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CCC34" w14:textId="77777777" w:rsidR="002F3328" w:rsidRPr="00E5219B" w:rsidRDefault="002F3328" w:rsidP="002F3328">
      <w:pPr>
        <w:jc w:val="center"/>
        <w:rPr>
          <w:b/>
          <w:szCs w:val="22"/>
        </w:rPr>
      </w:pPr>
      <w:bookmarkStart w:id="0" w:name="_GoBack"/>
      <w:bookmarkEnd w:id="0"/>
      <w:r w:rsidRPr="00E5219B">
        <w:rPr>
          <w:rFonts w:ascii="Times New Roman Bold" w:hAnsi="Times New Roman Bold"/>
          <w:b/>
          <w:szCs w:val="22"/>
        </w:rPr>
        <w:t>Before</w:t>
      </w:r>
      <w:r w:rsidRPr="00E5219B">
        <w:rPr>
          <w:b/>
          <w:szCs w:val="22"/>
        </w:rPr>
        <w:t xml:space="preserve"> </w:t>
      </w:r>
      <w:r w:rsidRPr="005C3B5B">
        <w:rPr>
          <w:b/>
          <w:szCs w:val="22"/>
        </w:rPr>
        <w:t>the</w:t>
      </w:r>
    </w:p>
    <w:p w14:paraId="1E32B711" w14:textId="77777777" w:rsidR="002F3328" w:rsidRPr="00E5219B" w:rsidRDefault="002F3328" w:rsidP="002F3328">
      <w:pPr>
        <w:pStyle w:val="StyleBoldCentered"/>
      </w:pPr>
      <w:r w:rsidRPr="00E5219B">
        <w:t>F</w:t>
      </w:r>
      <w:r w:rsidRPr="00E5219B">
        <w:rPr>
          <w:caps w:val="0"/>
        </w:rPr>
        <w:t>ederal Communications Commission</w:t>
      </w:r>
    </w:p>
    <w:p w14:paraId="1AA5C84B" w14:textId="77777777" w:rsidR="002F3328" w:rsidRPr="00E5219B" w:rsidRDefault="002F3328" w:rsidP="002F3328">
      <w:pPr>
        <w:pStyle w:val="StyleBoldCentered"/>
      </w:pPr>
      <w:r w:rsidRPr="00E5219B">
        <w:rPr>
          <w:caps w:val="0"/>
        </w:rPr>
        <w:t>Washington, D.C. 20554</w:t>
      </w:r>
    </w:p>
    <w:p w14:paraId="650192CD" w14:textId="77777777" w:rsidR="002F3328" w:rsidRPr="00E5219B" w:rsidRDefault="002F3328" w:rsidP="002F3328">
      <w:pPr>
        <w:rPr>
          <w:szCs w:val="22"/>
        </w:rPr>
      </w:pPr>
    </w:p>
    <w:p w14:paraId="0869AD19" w14:textId="77777777" w:rsidR="00F621D5" w:rsidRPr="00E5219B" w:rsidRDefault="00F621D5" w:rsidP="002F3328">
      <w:pPr>
        <w:rPr>
          <w:szCs w:val="22"/>
        </w:rPr>
      </w:pPr>
    </w:p>
    <w:tbl>
      <w:tblPr>
        <w:tblW w:w="0" w:type="auto"/>
        <w:tblLayout w:type="fixed"/>
        <w:tblLook w:val="0000" w:firstRow="0" w:lastRow="0" w:firstColumn="0" w:lastColumn="0" w:noHBand="0" w:noVBand="0"/>
      </w:tblPr>
      <w:tblGrid>
        <w:gridCol w:w="4698"/>
        <w:gridCol w:w="630"/>
        <w:gridCol w:w="4248"/>
      </w:tblGrid>
      <w:tr w:rsidR="002F3328" w:rsidRPr="00E5219B" w14:paraId="31D74D9F" w14:textId="77777777" w:rsidTr="00A27B0D">
        <w:tc>
          <w:tcPr>
            <w:tcW w:w="4698" w:type="dxa"/>
          </w:tcPr>
          <w:p w14:paraId="59225DC4" w14:textId="77777777" w:rsidR="002F3328" w:rsidRPr="00E5219B" w:rsidRDefault="002F3328" w:rsidP="00A27B0D">
            <w:pPr>
              <w:tabs>
                <w:tab w:val="center" w:pos="4680"/>
              </w:tabs>
              <w:suppressAutoHyphens/>
              <w:rPr>
                <w:spacing w:val="-2"/>
                <w:szCs w:val="22"/>
              </w:rPr>
            </w:pPr>
            <w:r w:rsidRPr="00E5219B">
              <w:rPr>
                <w:spacing w:val="-2"/>
                <w:szCs w:val="22"/>
              </w:rPr>
              <w:t>In the Matter of</w:t>
            </w:r>
          </w:p>
          <w:p w14:paraId="1673FF33" w14:textId="77777777" w:rsidR="002F3328" w:rsidRPr="00E5219B" w:rsidRDefault="002F3328" w:rsidP="00A27B0D">
            <w:pPr>
              <w:tabs>
                <w:tab w:val="center" w:pos="4680"/>
              </w:tabs>
              <w:suppressAutoHyphens/>
              <w:rPr>
                <w:spacing w:val="-2"/>
                <w:szCs w:val="22"/>
              </w:rPr>
            </w:pPr>
          </w:p>
          <w:p w14:paraId="7B11F694" w14:textId="77777777" w:rsidR="002F3328" w:rsidRPr="00E5219B" w:rsidRDefault="001574A3" w:rsidP="00A27B0D">
            <w:pPr>
              <w:tabs>
                <w:tab w:val="center" w:pos="4680"/>
              </w:tabs>
              <w:suppressAutoHyphens/>
              <w:rPr>
                <w:spacing w:val="-2"/>
                <w:szCs w:val="22"/>
              </w:rPr>
            </w:pPr>
            <w:r w:rsidRPr="00E5219B">
              <w:rPr>
                <w:spacing w:val="-2"/>
                <w:szCs w:val="22"/>
              </w:rPr>
              <w:t>Lifeline and Link Up Reform and Modernization</w:t>
            </w:r>
          </w:p>
          <w:p w14:paraId="7B2D8EA9" w14:textId="77777777" w:rsidR="001574A3" w:rsidRPr="00E5219B" w:rsidRDefault="001574A3" w:rsidP="00A27B0D">
            <w:pPr>
              <w:tabs>
                <w:tab w:val="center" w:pos="4680"/>
              </w:tabs>
              <w:suppressAutoHyphens/>
              <w:rPr>
                <w:spacing w:val="-2"/>
                <w:szCs w:val="22"/>
              </w:rPr>
            </w:pPr>
          </w:p>
          <w:p w14:paraId="1DC6F630" w14:textId="77777777" w:rsidR="001574A3" w:rsidRPr="00E5219B" w:rsidRDefault="001574A3" w:rsidP="00A27B0D">
            <w:pPr>
              <w:tabs>
                <w:tab w:val="center" w:pos="4680"/>
              </w:tabs>
              <w:suppressAutoHyphens/>
              <w:rPr>
                <w:spacing w:val="-2"/>
                <w:szCs w:val="22"/>
              </w:rPr>
            </w:pPr>
            <w:r w:rsidRPr="00E5219B">
              <w:rPr>
                <w:spacing w:val="-2"/>
                <w:szCs w:val="22"/>
              </w:rPr>
              <w:t>Telecommunications Carriers Eligible for Universal Service Support</w:t>
            </w:r>
          </w:p>
          <w:p w14:paraId="74DF4E99" w14:textId="77777777" w:rsidR="001574A3" w:rsidRPr="00E5219B" w:rsidRDefault="001574A3" w:rsidP="00A27B0D">
            <w:pPr>
              <w:tabs>
                <w:tab w:val="center" w:pos="4680"/>
              </w:tabs>
              <w:suppressAutoHyphens/>
              <w:rPr>
                <w:spacing w:val="-2"/>
                <w:szCs w:val="22"/>
              </w:rPr>
            </w:pPr>
          </w:p>
          <w:p w14:paraId="35D74881" w14:textId="77777777" w:rsidR="001574A3" w:rsidRPr="00E5219B" w:rsidRDefault="001574A3" w:rsidP="00A27B0D">
            <w:pPr>
              <w:tabs>
                <w:tab w:val="center" w:pos="4680"/>
              </w:tabs>
              <w:suppressAutoHyphens/>
              <w:rPr>
                <w:spacing w:val="-2"/>
                <w:szCs w:val="22"/>
              </w:rPr>
            </w:pPr>
            <w:r w:rsidRPr="00E5219B">
              <w:rPr>
                <w:spacing w:val="-2"/>
                <w:szCs w:val="22"/>
              </w:rPr>
              <w:t>Connect America Fund</w:t>
            </w:r>
          </w:p>
        </w:tc>
        <w:tc>
          <w:tcPr>
            <w:tcW w:w="630" w:type="dxa"/>
          </w:tcPr>
          <w:p w14:paraId="1F055FB2" w14:textId="77777777" w:rsidR="002F3328" w:rsidRPr="00E5219B" w:rsidRDefault="002F3328" w:rsidP="00A27B0D">
            <w:pPr>
              <w:tabs>
                <w:tab w:val="center" w:pos="4680"/>
              </w:tabs>
              <w:suppressAutoHyphens/>
              <w:rPr>
                <w:b/>
                <w:spacing w:val="-2"/>
                <w:szCs w:val="22"/>
              </w:rPr>
            </w:pPr>
            <w:r w:rsidRPr="00E5219B">
              <w:rPr>
                <w:b/>
                <w:spacing w:val="-2"/>
                <w:szCs w:val="22"/>
              </w:rPr>
              <w:t>)</w:t>
            </w:r>
          </w:p>
          <w:p w14:paraId="2C34F98B" w14:textId="77777777" w:rsidR="002F3328" w:rsidRPr="00E5219B" w:rsidRDefault="002F3328" w:rsidP="00A27B0D">
            <w:pPr>
              <w:tabs>
                <w:tab w:val="center" w:pos="4680"/>
              </w:tabs>
              <w:suppressAutoHyphens/>
              <w:rPr>
                <w:b/>
                <w:spacing w:val="-2"/>
                <w:szCs w:val="22"/>
              </w:rPr>
            </w:pPr>
            <w:r w:rsidRPr="00E5219B">
              <w:rPr>
                <w:b/>
                <w:spacing w:val="-2"/>
                <w:szCs w:val="22"/>
              </w:rPr>
              <w:t>)</w:t>
            </w:r>
          </w:p>
          <w:p w14:paraId="07562716" w14:textId="77777777" w:rsidR="002F3328" w:rsidRPr="00E5219B" w:rsidRDefault="002F3328" w:rsidP="00A27B0D">
            <w:pPr>
              <w:tabs>
                <w:tab w:val="center" w:pos="4680"/>
              </w:tabs>
              <w:suppressAutoHyphens/>
              <w:rPr>
                <w:b/>
                <w:spacing w:val="-2"/>
                <w:szCs w:val="22"/>
              </w:rPr>
            </w:pPr>
            <w:r w:rsidRPr="00E5219B">
              <w:rPr>
                <w:b/>
                <w:spacing w:val="-2"/>
                <w:szCs w:val="22"/>
              </w:rPr>
              <w:t>)</w:t>
            </w:r>
          </w:p>
          <w:p w14:paraId="0F262573" w14:textId="77777777" w:rsidR="002F3328" w:rsidRPr="00E5219B" w:rsidRDefault="001574A3" w:rsidP="00A27B0D">
            <w:pPr>
              <w:tabs>
                <w:tab w:val="center" w:pos="4680"/>
              </w:tabs>
              <w:suppressAutoHyphens/>
              <w:rPr>
                <w:b/>
                <w:spacing w:val="-2"/>
                <w:szCs w:val="22"/>
              </w:rPr>
            </w:pPr>
            <w:r w:rsidRPr="00E5219B">
              <w:rPr>
                <w:b/>
                <w:spacing w:val="-2"/>
                <w:szCs w:val="22"/>
              </w:rPr>
              <w:t>)</w:t>
            </w:r>
          </w:p>
          <w:p w14:paraId="457777EE" w14:textId="77777777" w:rsidR="001574A3" w:rsidRPr="00E5219B" w:rsidRDefault="001574A3" w:rsidP="00A27B0D">
            <w:pPr>
              <w:tabs>
                <w:tab w:val="center" w:pos="4680"/>
              </w:tabs>
              <w:suppressAutoHyphens/>
              <w:rPr>
                <w:b/>
                <w:spacing w:val="-2"/>
                <w:szCs w:val="22"/>
              </w:rPr>
            </w:pPr>
            <w:r w:rsidRPr="00E5219B">
              <w:rPr>
                <w:b/>
                <w:spacing w:val="-2"/>
                <w:szCs w:val="22"/>
              </w:rPr>
              <w:t>)</w:t>
            </w:r>
          </w:p>
          <w:p w14:paraId="1340C66C" w14:textId="77777777" w:rsidR="001574A3" w:rsidRPr="00E5219B" w:rsidRDefault="001574A3" w:rsidP="00A27B0D">
            <w:pPr>
              <w:tabs>
                <w:tab w:val="center" w:pos="4680"/>
              </w:tabs>
              <w:suppressAutoHyphens/>
              <w:rPr>
                <w:b/>
                <w:spacing w:val="-2"/>
                <w:szCs w:val="22"/>
              </w:rPr>
            </w:pPr>
            <w:r w:rsidRPr="00E5219B">
              <w:rPr>
                <w:b/>
                <w:spacing w:val="-2"/>
                <w:szCs w:val="22"/>
              </w:rPr>
              <w:t>)</w:t>
            </w:r>
          </w:p>
          <w:p w14:paraId="3708D25C" w14:textId="77777777" w:rsidR="001574A3" w:rsidRPr="00E5219B" w:rsidRDefault="001574A3" w:rsidP="00A27B0D">
            <w:pPr>
              <w:tabs>
                <w:tab w:val="center" w:pos="4680"/>
              </w:tabs>
              <w:suppressAutoHyphens/>
              <w:rPr>
                <w:b/>
                <w:spacing w:val="-2"/>
                <w:szCs w:val="22"/>
              </w:rPr>
            </w:pPr>
            <w:r w:rsidRPr="00E5219B">
              <w:rPr>
                <w:b/>
                <w:spacing w:val="-2"/>
                <w:szCs w:val="22"/>
              </w:rPr>
              <w:t>)</w:t>
            </w:r>
          </w:p>
          <w:p w14:paraId="687AE4F1" w14:textId="77777777" w:rsidR="001574A3" w:rsidRPr="00E5219B" w:rsidRDefault="001574A3" w:rsidP="00A27B0D">
            <w:pPr>
              <w:tabs>
                <w:tab w:val="center" w:pos="4680"/>
              </w:tabs>
              <w:suppressAutoHyphens/>
              <w:rPr>
                <w:spacing w:val="-2"/>
                <w:szCs w:val="22"/>
              </w:rPr>
            </w:pPr>
            <w:r w:rsidRPr="00E5219B">
              <w:rPr>
                <w:b/>
                <w:spacing w:val="-2"/>
                <w:szCs w:val="22"/>
              </w:rPr>
              <w:t>)</w:t>
            </w:r>
          </w:p>
        </w:tc>
        <w:tc>
          <w:tcPr>
            <w:tcW w:w="4248" w:type="dxa"/>
          </w:tcPr>
          <w:p w14:paraId="4DADE35E" w14:textId="77777777" w:rsidR="002F3328" w:rsidRPr="00E5219B" w:rsidRDefault="002F3328" w:rsidP="00A27B0D">
            <w:pPr>
              <w:tabs>
                <w:tab w:val="center" w:pos="4680"/>
              </w:tabs>
              <w:suppressAutoHyphens/>
              <w:rPr>
                <w:spacing w:val="-2"/>
                <w:szCs w:val="22"/>
              </w:rPr>
            </w:pPr>
          </w:p>
          <w:p w14:paraId="22F8639E" w14:textId="77777777" w:rsidR="002F3328" w:rsidRPr="00E5219B" w:rsidRDefault="002F3328" w:rsidP="00A27B0D">
            <w:pPr>
              <w:pStyle w:val="TOAHeading"/>
              <w:tabs>
                <w:tab w:val="clear" w:pos="9360"/>
                <w:tab w:val="center" w:pos="4680"/>
              </w:tabs>
              <w:rPr>
                <w:spacing w:val="-2"/>
                <w:szCs w:val="22"/>
              </w:rPr>
            </w:pPr>
          </w:p>
          <w:p w14:paraId="2E126F67" w14:textId="77777777" w:rsidR="002F3328" w:rsidRPr="00E5219B" w:rsidRDefault="001574A3" w:rsidP="00A27B0D">
            <w:pPr>
              <w:tabs>
                <w:tab w:val="center" w:pos="4680"/>
              </w:tabs>
              <w:suppressAutoHyphens/>
              <w:rPr>
                <w:spacing w:val="-2"/>
                <w:szCs w:val="22"/>
              </w:rPr>
            </w:pPr>
            <w:r w:rsidRPr="00E5219B">
              <w:rPr>
                <w:spacing w:val="-2"/>
                <w:szCs w:val="22"/>
              </w:rPr>
              <w:t>WC Docket No. 11-42</w:t>
            </w:r>
          </w:p>
          <w:p w14:paraId="14489571" w14:textId="77777777" w:rsidR="001574A3" w:rsidRPr="00E5219B" w:rsidRDefault="001574A3" w:rsidP="00A27B0D">
            <w:pPr>
              <w:tabs>
                <w:tab w:val="center" w:pos="4680"/>
              </w:tabs>
              <w:suppressAutoHyphens/>
              <w:rPr>
                <w:spacing w:val="-2"/>
                <w:szCs w:val="22"/>
              </w:rPr>
            </w:pPr>
          </w:p>
          <w:p w14:paraId="3F99CD6B" w14:textId="77777777" w:rsidR="001574A3" w:rsidRPr="00E5219B" w:rsidRDefault="001574A3" w:rsidP="00A27B0D">
            <w:pPr>
              <w:tabs>
                <w:tab w:val="center" w:pos="4680"/>
              </w:tabs>
              <w:suppressAutoHyphens/>
              <w:rPr>
                <w:spacing w:val="-2"/>
                <w:szCs w:val="22"/>
              </w:rPr>
            </w:pPr>
            <w:r w:rsidRPr="00E5219B">
              <w:rPr>
                <w:spacing w:val="-2"/>
                <w:szCs w:val="22"/>
              </w:rPr>
              <w:t>WC Docket No. 09-197</w:t>
            </w:r>
          </w:p>
          <w:p w14:paraId="0A6A52A6" w14:textId="77777777" w:rsidR="001574A3" w:rsidRPr="00E5219B" w:rsidRDefault="001574A3" w:rsidP="00A27B0D">
            <w:pPr>
              <w:tabs>
                <w:tab w:val="center" w:pos="4680"/>
              </w:tabs>
              <w:suppressAutoHyphens/>
              <w:rPr>
                <w:spacing w:val="-2"/>
                <w:szCs w:val="22"/>
              </w:rPr>
            </w:pPr>
          </w:p>
          <w:p w14:paraId="2BF15670" w14:textId="77777777" w:rsidR="001574A3" w:rsidRPr="00E5219B" w:rsidRDefault="001574A3" w:rsidP="00A27B0D">
            <w:pPr>
              <w:tabs>
                <w:tab w:val="center" w:pos="4680"/>
              </w:tabs>
              <w:suppressAutoHyphens/>
              <w:rPr>
                <w:spacing w:val="-2"/>
                <w:szCs w:val="22"/>
              </w:rPr>
            </w:pPr>
          </w:p>
          <w:p w14:paraId="648DE000" w14:textId="77777777" w:rsidR="001574A3" w:rsidRPr="00E5219B" w:rsidRDefault="001574A3" w:rsidP="00A27B0D">
            <w:pPr>
              <w:tabs>
                <w:tab w:val="center" w:pos="4680"/>
              </w:tabs>
              <w:suppressAutoHyphens/>
              <w:rPr>
                <w:spacing w:val="-2"/>
                <w:szCs w:val="22"/>
              </w:rPr>
            </w:pPr>
            <w:r w:rsidRPr="00E5219B">
              <w:rPr>
                <w:spacing w:val="-2"/>
                <w:szCs w:val="22"/>
              </w:rPr>
              <w:t>WC Docket No. 10-90</w:t>
            </w:r>
          </w:p>
        </w:tc>
      </w:tr>
    </w:tbl>
    <w:p w14:paraId="2BC99CA3" w14:textId="77777777" w:rsidR="002F3328" w:rsidRPr="00E5219B" w:rsidRDefault="002F3328" w:rsidP="002F3328">
      <w:pPr>
        <w:rPr>
          <w:szCs w:val="22"/>
        </w:rPr>
      </w:pPr>
    </w:p>
    <w:p w14:paraId="708AE4D1" w14:textId="77777777" w:rsidR="002F3328" w:rsidRPr="00E5219B" w:rsidRDefault="002F3328" w:rsidP="002F3328">
      <w:pPr>
        <w:pStyle w:val="StyleBoldCentered"/>
        <w:rPr>
          <w:rFonts w:ascii="Times New Roman" w:hAnsi="Times New Roman"/>
        </w:rPr>
      </w:pPr>
      <w:r w:rsidRPr="00E5219B">
        <w:rPr>
          <w:rFonts w:ascii="Times New Roman" w:hAnsi="Times New Roman"/>
        </w:rPr>
        <w:t>Order Denying Stay Petition</w:t>
      </w:r>
    </w:p>
    <w:p w14:paraId="1B790A55" w14:textId="77777777" w:rsidR="002F3328" w:rsidRPr="00E5219B" w:rsidRDefault="002F3328" w:rsidP="002F3328">
      <w:pPr>
        <w:tabs>
          <w:tab w:val="left" w:pos="-720"/>
        </w:tabs>
        <w:suppressAutoHyphens/>
        <w:spacing w:line="227" w:lineRule="auto"/>
        <w:rPr>
          <w:spacing w:val="-2"/>
          <w:szCs w:val="22"/>
        </w:rPr>
      </w:pPr>
    </w:p>
    <w:p w14:paraId="0D8E21A5" w14:textId="038EFDA0" w:rsidR="002F3328" w:rsidRPr="00E5219B" w:rsidRDefault="002F3328" w:rsidP="002F3328">
      <w:pPr>
        <w:tabs>
          <w:tab w:val="left" w:pos="720"/>
          <w:tab w:val="right" w:pos="9360"/>
        </w:tabs>
        <w:suppressAutoHyphens/>
        <w:spacing w:line="227" w:lineRule="auto"/>
        <w:rPr>
          <w:spacing w:val="-2"/>
          <w:szCs w:val="22"/>
        </w:rPr>
      </w:pPr>
      <w:r w:rsidRPr="00E5219B">
        <w:rPr>
          <w:b/>
          <w:spacing w:val="-2"/>
          <w:szCs w:val="22"/>
        </w:rPr>
        <w:t xml:space="preserve">Adopted:  </w:t>
      </w:r>
      <w:r w:rsidR="00746F5B" w:rsidRPr="00E5219B">
        <w:rPr>
          <w:b/>
          <w:spacing w:val="-2"/>
          <w:szCs w:val="22"/>
        </w:rPr>
        <w:t xml:space="preserve">November </w:t>
      </w:r>
      <w:r w:rsidR="00A42FAE">
        <w:rPr>
          <w:b/>
          <w:spacing w:val="-2"/>
          <w:szCs w:val="22"/>
        </w:rPr>
        <w:t>6</w:t>
      </w:r>
      <w:r w:rsidRPr="00E5219B">
        <w:rPr>
          <w:b/>
          <w:spacing w:val="-2"/>
          <w:szCs w:val="22"/>
        </w:rPr>
        <w:t>, 2015</w:t>
      </w:r>
      <w:r w:rsidRPr="00E5219B">
        <w:rPr>
          <w:b/>
          <w:spacing w:val="-2"/>
          <w:szCs w:val="22"/>
        </w:rPr>
        <w:tab/>
        <w:t xml:space="preserve">Released:  </w:t>
      </w:r>
      <w:r w:rsidR="00746F5B" w:rsidRPr="00E5219B">
        <w:rPr>
          <w:b/>
          <w:spacing w:val="-2"/>
          <w:szCs w:val="22"/>
        </w:rPr>
        <w:t xml:space="preserve">November </w:t>
      </w:r>
      <w:r w:rsidR="00A42FAE">
        <w:rPr>
          <w:b/>
          <w:spacing w:val="-2"/>
          <w:szCs w:val="22"/>
        </w:rPr>
        <w:t>6</w:t>
      </w:r>
      <w:r w:rsidRPr="00E5219B">
        <w:rPr>
          <w:b/>
          <w:spacing w:val="-2"/>
          <w:szCs w:val="22"/>
        </w:rPr>
        <w:t>, 2015</w:t>
      </w:r>
    </w:p>
    <w:p w14:paraId="20AD645A" w14:textId="77777777" w:rsidR="002F3328" w:rsidRPr="00E5219B" w:rsidRDefault="002F3328" w:rsidP="002F3328">
      <w:pPr>
        <w:rPr>
          <w:szCs w:val="22"/>
        </w:rPr>
      </w:pPr>
    </w:p>
    <w:p w14:paraId="36EF8705" w14:textId="77777777" w:rsidR="002F3328" w:rsidRPr="00E5219B" w:rsidRDefault="002F3328" w:rsidP="002F3328">
      <w:pPr>
        <w:rPr>
          <w:spacing w:val="-2"/>
          <w:szCs w:val="22"/>
        </w:rPr>
      </w:pPr>
      <w:r w:rsidRPr="00E5219B">
        <w:rPr>
          <w:szCs w:val="22"/>
        </w:rPr>
        <w:t xml:space="preserve">By the </w:t>
      </w:r>
      <w:r w:rsidR="00B86CA1" w:rsidRPr="00E5219B">
        <w:rPr>
          <w:szCs w:val="22"/>
        </w:rPr>
        <w:t xml:space="preserve">Chief, </w:t>
      </w:r>
      <w:r w:rsidR="00A92931" w:rsidRPr="00E5219B">
        <w:rPr>
          <w:szCs w:val="22"/>
        </w:rPr>
        <w:t>Wireline Competition Bureau</w:t>
      </w:r>
      <w:r w:rsidRPr="00E5219B">
        <w:rPr>
          <w:spacing w:val="-2"/>
          <w:szCs w:val="22"/>
        </w:rPr>
        <w:t>:</w:t>
      </w:r>
    </w:p>
    <w:p w14:paraId="1E1B98BF" w14:textId="77777777" w:rsidR="002F3328" w:rsidRPr="00E5219B" w:rsidRDefault="002F3328" w:rsidP="002F3328">
      <w:pPr>
        <w:rPr>
          <w:szCs w:val="22"/>
        </w:rPr>
      </w:pPr>
    </w:p>
    <w:p w14:paraId="23BF8745" w14:textId="77777777" w:rsidR="002F3328" w:rsidRPr="00E5219B" w:rsidRDefault="002F3328" w:rsidP="002F3328">
      <w:pPr>
        <w:pStyle w:val="Heading1"/>
        <w:rPr>
          <w:szCs w:val="22"/>
        </w:rPr>
      </w:pPr>
      <w:r w:rsidRPr="00E5219B">
        <w:rPr>
          <w:szCs w:val="22"/>
        </w:rPr>
        <w:t>Introduction</w:t>
      </w:r>
    </w:p>
    <w:p w14:paraId="05B5182B" w14:textId="77777777" w:rsidR="002F3328" w:rsidRPr="00E5219B" w:rsidRDefault="004F48DF" w:rsidP="00305DA9">
      <w:pPr>
        <w:pStyle w:val="ParaNum"/>
        <w:ind w:firstLine="720"/>
        <w:rPr>
          <w:szCs w:val="22"/>
        </w:rPr>
      </w:pPr>
      <w:r w:rsidRPr="00E5219B">
        <w:rPr>
          <w:szCs w:val="22"/>
        </w:rPr>
        <w:t>On October 16</w:t>
      </w:r>
      <w:r w:rsidR="002F3328" w:rsidRPr="00E5219B">
        <w:rPr>
          <w:szCs w:val="22"/>
        </w:rPr>
        <w:t>, 2015,</w:t>
      </w:r>
      <w:r w:rsidRPr="00E5219B">
        <w:rPr>
          <w:szCs w:val="22"/>
        </w:rPr>
        <w:t xml:space="preserve"> Assist Wireless, LLC, Easy Telephone Services Company d/b/a Easy Wireless, TerraCom, Inc., and True Wireless, LLC (Petitioners) filed a petition</w:t>
      </w:r>
      <w:r w:rsidR="002F3328" w:rsidRPr="00E5219B">
        <w:rPr>
          <w:szCs w:val="22"/>
        </w:rPr>
        <w:t xml:space="preserve"> for </w:t>
      </w:r>
      <w:r w:rsidRPr="00E5219B">
        <w:rPr>
          <w:szCs w:val="22"/>
        </w:rPr>
        <w:t xml:space="preserve">partial </w:t>
      </w:r>
      <w:r w:rsidR="002F3328" w:rsidRPr="00E5219B">
        <w:rPr>
          <w:szCs w:val="22"/>
        </w:rPr>
        <w:t xml:space="preserve">stay of the </w:t>
      </w:r>
      <w:r w:rsidR="002F3328" w:rsidRPr="00E5219B">
        <w:rPr>
          <w:i/>
          <w:szCs w:val="22"/>
        </w:rPr>
        <w:t xml:space="preserve">2015 </w:t>
      </w:r>
      <w:r w:rsidRPr="00E5219B">
        <w:rPr>
          <w:i/>
          <w:szCs w:val="22"/>
        </w:rPr>
        <w:t>Lifeline Reform Order</w:t>
      </w:r>
      <w:r w:rsidR="002F3328" w:rsidRPr="00E5219B">
        <w:rPr>
          <w:szCs w:val="22"/>
        </w:rPr>
        <w:t>, pending judicial review</w:t>
      </w:r>
      <w:r w:rsidRPr="00E5219B">
        <w:rPr>
          <w:szCs w:val="22"/>
        </w:rPr>
        <w:t>.</w:t>
      </w:r>
      <w:r w:rsidR="00D215D9" w:rsidRPr="00E5219B">
        <w:rPr>
          <w:rStyle w:val="FootnoteReference"/>
          <w:sz w:val="22"/>
          <w:szCs w:val="22"/>
        </w:rPr>
        <w:footnoteReference w:id="2"/>
      </w:r>
      <w:r w:rsidR="002F3328" w:rsidRPr="00E5219B">
        <w:rPr>
          <w:szCs w:val="22"/>
        </w:rPr>
        <w:t xml:space="preserve">  For the reasons discussed below, we deny the Petitioners’ request for stay.</w:t>
      </w:r>
    </w:p>
    <w:p w14:paraId="0F6CE2A5" w14:textId="77777777" w:rsidR="002F3328" w:rsidRPr="00E5219B" w:rsidRDefault="002F3328" w:rsidP="002F3328">
      <w:pPr>
        <w:pStyle w:val="Heading1"/>
        <w:rPr>
          <w:szCs w:val="22"/>
        </w:rPr>
      </w:pPr>
      <w:r w:rsidRPr="00E5219B">
        <w:rPr>
          <w:szCs w:val="22"/>
        </w:rPr>
        <w:t>Background</w:t>
      </w:r>
    </w:p>
    <w:p w14:paraId="5F3F902F" w14:textId="220FF23D" w:rsidR="00EA7FA2" w:rsidRPr="00E5219B" w:rsidRDefault="00EA7FA2" w:rsidP="00305DA9">
      <w:pPr>
        <w:pStyle w:val="ParaNum"/>
        <w:widowControl/>
        <w:ind w:firstLine="720"/>
        <w:rPr>
          <w:szCs w:val="22"/>
        </w:rPr>
      </w:pPr>
      <w:r w:rsidRPr="00E5219B">
        <w:rPr>
          <w:szCs w:val="22"/>
        </w:rPr>
        <w:t xml:space="preserve">In 2000, the </w:t>
      </w:r>
      <w:r w:rsidR="00233143">
        <w:rPr>
          <w:szCs w:val="22"/>
        </w:rPr>
        <w:t xml:space="preserve">Federal Communications </w:t>
      </w:r>
      <w:r w:rsidRPr="00E5219B">
        <w:rPr>
          <w:szCs w:val="22"/>
        </w:rPr>
        <w:t>Commission adopted Tribal Lifeline and Link Up support, establishing that customers living on “Tribal lands” are eligible to receive enhanced support.</w:t>
      </w:r>
      <w:r w:rsidRPr="00E5219B">
        <w:rPr>
          <w:rStyle w:val="FootnoteReference"/>
          <w:sz w:val="22"/>
          <w:szCs w:val="22"/>
        </w:rPr>
        <w:footnoteReference w:id="3"/>
      </w:r>
      <w:r w:rsidR="00D615FE" w:rsidRPr="00E5219B">
        <w:rPr>
          <w:szCs w:val="22"/>
        </w:rPr>
        <w:t xml:space="preserve">  The Commission further defined “Tribal lands” to include </w:t>
      </w:r>
      <w:r w:rsidR="00DC390F" w:rsidRPr="00E5219B">
        <w:rPr>
          <w:szCs w:val="22"/>
        </w:rPr>
        <w:t>“any federally recognized Tribe’s reservation, Pueblo, or Colony, including former reservations in Oklahoma,” and “near reservation” areas.</w:t>
      </w:r>
      <w:r w:rsidR="00DC390F" w:rsidRPr="00E5219B">
        <w:rPr>
          <w:rStyle w:val="FootnoteReference"/>
          <w:sz w:val="22"/>
          <w:szCs w:val="22"/>
        </w:rPr>
        <w:footnoteReference w:id="4"/>
      </w:r>
      <w:r w:rsidR="00DB5CF5" w:rsidRPr="00E5219B">
        <w:rPr>
          <w:szCs w:val="22"/>
        </w:rPr>
        <w:t xml:space="preserve">  </w:t>
      </w:r>
      <w:r w:rsidR="00233143">
        <w:rPr>
          <w:szCs w:val="22"/>
        </w:rPr>
        <w:t xml:space="preserve">Until this year, </w:t>
      </w:r>
      <w:r w:rsidR="00CE55E0" w:rsidRPr="00E5219B">
        <w:rPr>
          <w:szCs w:val="22"/>
        </w:rPr>
        <w:t xml:space="preserve">the Commission </w:t>
      </w:r>
      <w:r w:rsidR="00DB5CF5" w:rsidRPr="00E5219B">
        <w:rPr>
          <w:szCs w:val="22"/>
        </w:rPr>
        <w:t>had not defined the boundaries of the “former reservations in Oklahoma” for purposes of enhanced Lifeline support</w:t>
      </w:r>
      <w:r w:rsidR="00D455CF">
        <w:rPr>
          <w:szCs w:val="22"/>
        </w:rPr>
        <w:t xml:space="preserve">.  Moreover, </w:t>
      </w:r>
      <w:r w:rsidR="00CE55E0" w:rsidRPr="00E5219B">
        <w:rPr>
          <w:szCs w:val="22"/>
        </w:rPr>
        <w:t xml:space="preserve">various maps </w:t>
      </w:r>
      <w:r w:rsidR="009118DF">
        <w:rPr>
          <w:szCs w:val="22"/>
        </w:rPr>
        <w:t>at</w:t>
      </w:r>
      <w:r w:rsidR="00CE55E0" w:rsidRPr="00E5219B">
        <w:rPr>
          <w:szCs w:val="22"/>
        </w:rPr>
        <w:t xml:space="preserve"> the state and federal levels defining the boundaries of the former reservations in Oklahoma </w:t>
      </w:r>
      <w:r w:rsidR="00D455CF">
        <w:rPr>
          <w:szCs w:val="22"/>
        </w:rPr>
        <w:t>are</w:t>
      </w:r>
      <w:r w:rsidR="00CE55E0" w:rsidRPr="00E5219B">
        <w:rPr>
          <w:szCs w:val="22"/>
        </w:rPr>
        <w:t xml:space="preserve"> inconsistent</w:t>
      </w:r>
      <w:r w:rsidR="00DB5CF5" w:rsidRPr="00E5219B">
        <w:rPr>
          <w:szCs w:val="22"/>
        </w:rPr>
        <w:t>.</w:t>
      </w:r>
      <w:r w:rsidR="00DB5CF5" w:rsidRPr="00E5219B">
        <w:rPr>
          <w:rStyle w:val="FootnoteReference"/>
          <w:sz w:val="22"/>
          <w:szCs w:val="22"/>
        </w:rPr>
        <w:footnoteReference w:id="5"/>
      </w:r>
      <w:r w:rsidR="00E54BAC" w:rsidRPr="00E5219B">
        <w:rPr>
          <w:szCs w:val="22"/>
        </w:rPr>
        <w:t xml:space="preserve">  </w:t>
      </w:r>
      <w:r w:rsidR="00E036EA" w:rsidRPr="00E5219B">
        <w:rPr>
          <w:szCs w:val="22"/>
        </w:rPr>
        <w:t xml:space="preserve">In practice, </w:t>
      </w:r>
      <w:r w:rsidR="00D455CF">
        <w:rPr>
          <w:szCs w:val="22"/>
        </w:rPr>
        <w:t xml:space="preserve">based on informal guidance provided by staff of the Commission in 2004, </w:t>
      </w:r>
      <w:r w:rsidR="00E036EA" w:rsidRPr="00E5219B">
        <w:rPr>
          <w:szCs w:val="22"/>
        </w:rPr>
        <w:t>the Universal Service Administrative Company (USAC) had distributed Tribal support in Oklahoma based on a map hosted on the Oklahoma Corporation Commission’s (OCC) website.</w:t>
      </w:r>
      <w:r w:rsidR="00E036EA" w:rsidRPr="00E5219B">
        <w:rPr>
          <w:rStyle w:val="FootnoteReference"/>
          <w:sz w:val="22"/>
          <w:szCs w:val="22"/>
        </w:rPr>
        <w:footnoteReference w:id="6"/>
      </w:r>
    </w:p>
    <w:p w14:paraId="248B366A" w14:textId="77777777" w:rsidR="00E036EA" w:rsidRPr="00E5219B" w:rsidRDefault="00233143" w:rsidP="00305DA9">
      <w:pPr>
        <w:pStyle w:val="ParaNum"/>
        <w:widowControl/>
        <w:ind w:firstLine="720"/>
        <w:rPr>
          <w:szCs w:val="22"/>
        </w:rPr>
      </w:pPr>
      <w:r w:rsidRPr="00E5219B">
        <w:rPr>
          <w:szCs w:val="22"/>
        </w:rPr>
        <w:lastRenderedPageBreak/>
        <w:t xml:space="preserve">On June 18, 2015, the Commission adopted </w:t>
      </w:r>
      <w:r w:rsidR="008C1593">
        <w:rPr>
          <w:szCs w:val="22"/>
        </w:rPr>
        <w:t xml:space="preserve">the </w:t>
      </w:r>
      <w:r w:rsidRPr="00E5219B">
        <w:rPr>
          <w:i/>
          <w:szCs w:val="22"/>
        </w:rPr>
        <w:t>2015 Lifeline Reform Order</w:t>
      </w:r>
      <w:r w:rsidRPr="00E5219B">
        <w:rPr>
          <w:szCs w:val="22"/>
        </w:rPr>
        <w:t xml:space="preserve"> or </w:t>
      </w:r>
      <w:r w:rsidRPr="00E5219B">
        <w:rPr>
          <w:i/>
          <w:szCs w:val="22"/>
        </w:rPr>
        <w:t>Order</w:t>
      </w:r>
      <w:r w:rsidR="008C1593">
        <w:rPr>
          <w:szCs w:val="22"/>
        </w:rPr>
        <w:t>, further</w:t>
      </w:r>
      <w:r>
        <w:rPr>
          <w:szCs w:val="22"/>
        </w:rPr>
        <w:t xml:space="preserve"> modernizing the Lifeline program</w:t>
      </w:r>
      <w:r w:rsidRPr="00E5219B">
        <w:rPr>
          <w:szCs w:val="22"/>
        </w:rPr>
        <w:t>.</w:t>
      </w:r>
      <w:r w:rsidRPr="00E5219B">
        <w:rPr>
          <w:rStyle w:val="FootnoteReference"/>
          <w:sz w:val="22"/>
          <w:szCs w:val="22"/>
        </w:rPr>
        <w:footnoteReference w:id="7"/>
      </w:r>
      <w:r w:rsidRPr="00E5219B">
        <w:rPr>
          <w:szCs w:val="22"/>
        </w:rPr>
        <w:t xml:space="preserve">  In the </w:t>
      </w:r>
      <w:r w:rsidRPr="00E5219B">
        <w:rPr>
          <w:i/>
          <w:szCs w:val="22"/>
        </w:rPr>
        <w:t>Order</w:t>
      </w:r>
      <w:r w:rsidRPr="00E5219B">
        <w:rPr>
          <w:szCs w:val="22"/>
        </w:rPr>
        <w:t xml:space="preserve">, the Commission departed from </w:t>
      </w:r>
      <w:r w:rsidR="001A14A5">
        <w:rPr>
          <w:szCs w:val="22"/>
        </w:rPr>
        <w:t xml:space="preserve">the </w:t>
      </w:r>
      <w:r w:rsidRPr="00E5219B">
        <w:rPr>
          <w:szCs w:val="22"/>
        </w:rPr>
        <w:t xml:space="preserve">staff’s prior informal guidance and interpreted “the former reservations in Oklahoma” within section 54.400(e) of the Commission’s rules </w:t>
      </w:r>
      <w:r w:rsidR="001A14A5">
        <w:rPr>
          <w:szCs w:val="22"/>
        </w:rPr>
        <w:t>to be defined by</w:t>
      </w:r>
      <w:r w:rsidRPr="00E5219B">
        <w:rPr>
          <w:szCs w:val="22"/>
        </w:rPr>
        <w:t xml:space="preserve"> “the geographic boundaries reflected in the Historical Map of Oklahoma 1870-1890 (Oklahoma Historical Map).”</w:t>
      </w:r>
      <w:r w:rsidRPr="00E5219B">
        <w:rPr>
          <w:rStyle w:val="FootnoteReference"/>
          <w:sz w:val="22"/>
          <w:szCs w:val="22"/>
        </w:rPr>
        <w:footnoteReference w:id="8"/>
      </w:r>
      <w:r>
        <w:rPr>
          <w:szCs w:val="22"/>
        </w:rPr>
        <w:t xml:space="preserve">  </w:t>
      </w:r>
      <w:r w:rsidR="00E036EA" w:rsidRPr="00E5219B">
        <w:rPr>
          <w:szCs w:val="22"/>
        </w:rPr>
        <w:t xml:space="preserve">The Commission concluded that its </w:t>
      </w:r>
      <w:r w:rsidR="00AD1BF4">
        <w:rPr>
          <w:szCs w:val="22"/>
        </w:rPr>
        <w:t xml:space="preserve">use </w:t>
      </w:r>
      <w:r w:rsidR="00E036EA" w:rsidRPr="00E5219B">
        <w:rPr>
          <w:szCs w:val="22"/>
        </w:rPr>
        <w:t>of the Oklahoma Historical Map</w:t>
      </w:r>
      <w:r w:rsidR="00AD1BF4">
        <w:rPr>
          <w:szCs w:val="22"/>
        </w:rPr>
        <w:t xml:space="preserve"> to interpret the relevant term in its rules</w:t>
      </w:r>
      <w:r w:rsidR="00E036EA" w:rsidRPr="00E5219B">
        <w:rPr>
          <w:szCs w:val="22"/>
        </w:rPr>
        <w:t xml:space="preserve"> “comport[s] with the complex legal history within Oklahoma and uphold[s] our government-to-government responsibilities to the Oklahoma Tribal Nations, while also improving administration of the Lifeline program and distribution of enhanced Tribal support.”</w:t>
      </w:r>
      <w:r w:rsidR="00E036EA" w:rsidRPr="00E5219B">
        <w:rPr>
          <w:rStyle w:val="FootnoteReference"/>
          <w:sz w:val="22"/>
          <w:szCs w:val="22"/>
        </w:rPr>
        <w:footnoteReference w:id="9"/>
      </w:r>
      <w:r w:rsidR="0074398E" w:rsidRPr="00E5219B">
        <w:rPr>
          <w:szCs w:val="22"/>
        </w:rPr>
        <w:t xml:space="preserve">  </w:t>
      </w:r>
      <w:r w:rsidR="00684FA4">
        <w:rPr>
          <w:szCs w:val="22"/>
        </w:rPr>
        <w:t>T</w:t>
      </w:r>
      <w:r w:rsidR="00684FA4" w:rsidRPr="00E5219B">
        <w:rPr>
          <w:szCs w:val="22"/>
        </w:rPr>
        <w:t xml:space="preserve">he Commission </w:t>
      </w:r>
      <w:r w:rsidR="00684FA4">
        <w:rPr>
          <w:szCs w:val="22"/>
        </w:rPr>
        <w:t xml:space="preserve">also </w:t>
      </w:r>
      <w:r w:rsidR="00AD1BF4">
        <w:rPr>
          <w:szCs w:val="22"/>
        </w:rPr>
        <w:t>provided</w:t>
      </w:r>
      <w:r w:rsidR="00AD1BF4" w:rsidRPr="00E5219B">
        <w:rPr>
          <w:szCs w:val="22"/>
        </w:rPr>
        <w:t xml:space="preserve"> </w:t>
      </w:r>
      <w:r w:rsidR="00684FA4" w:rsidRPr="00E5219B">
        <w:rPr>
          <w:szCs w:val="22"/>
        </w:rPr>
        <w:t xml:space="preserve">a transition period of 180 days from the effective date of the </w:t>
      </w:r>
      <w:r w:rsidR="00684FA4" w:rsidRPr="00E5219B">
        <w:rPr>
          <w:i/>
          <w:szCs w:val="22"/>
        </w:rPr>
        <w:t>Order</w:t>
      </w:r>
      <w:r w:rsidR="00684FA4" w:rsidRPr="00E5219B">
        <w:rPr>
          <w:szCs w:val="22"/>
        </w:rPr>
        <w:t xml:space="preserve">, </w:t>
      </w:r>
      <w:r w:rsidR="00684FA4">
        <w:rPr>
          <w:szCs w:val="22"/>
        </w:rPr>
        <w:t xml:space="preserve">in order to </w:t>
      </w:r>
      <w:r w:rsidR="00BA383E">
        <w:rPr>
          <w:szCs w:val="22"/>
        </w:rPr>
        <w:t xml:space="preserve">ensure </w:t>
      </w:r>
      <w:r w:rsidR="001A14A5">
        <w:rPr>
          <w:szCs w:val="22"/>
        </w:rPr>
        <w:t xml:space="preserve">that </w:t>
      </w:r>
      <w:r w:rsidR="00BA383E">
        <w:rPr>
          <w:szCs w:val="22"/>
        </w:rPr>
        <w:t xml:space="preserve">all </w:t>
      </w:r>
      <w:r w:rsidR="001A14A5">
        <w:rPr>
          <w:szCs w:val="22"/>
        </w:rPr>
        <w:t>affected</w:t>
      </w:r>
      <w:r w:rsidR="00BA383E">
        <w:rPr>
          <w:szCs w:val="22"/>
        </w:rPr>
        <w:t xml:space="preserve"> parties have sufficient time to transition to the Oklahoma Historical Map</w:t>
      </w:r>
      <w:r w:rsidR="00684FA4">
        <w:rPr>
          <w:szCs w:val="22"/>
        </w:rPr>
        <w:t xml:space="preserve">, </w:t>
      </w:r>
      <w:r w:rsidR="00684FA4" w:rsidRPr="00E5219B">
        <w:rPr>
          <w:szCs w:val="22"/>
        </w:rPr>
        <w:t xml:space="preserve">making the </w:t>
      </w:r>
      <w:r w:rsidR="00AD1BF4">
        <w:rPr>
          <w:szCs w:val="22"/>
        </w:rPr>
        <w:t>interpretation</w:t>
      </w:r>
      <w:r w:rsidR="00684FA4" w:rsidRPr="00E5219B">
        <w:rPr>
          <w:szCs w:val="22"/>
        </w:rPr>
        <w:t xml:space="preserve"> effective on February 9, 2016.</w:t>
      </w:r>
      <w:r w:rsidR="00684FA4" w:rsidRPr="00E5219B">
        <w:rPr>
          <w:rStyle w:val="FootnoteReference"/>
          <w:sz w:val="22"/>
          <w:szCs w:val="22"/>
        </w:rPr>
        <w:footnoteReference w:id="10"/>
      </w:r>
      <w:r w:rsidR="00684FA4">
        <w:rPr>
          <w:szCs w:val="22"/>
        </w:rPr>
        <w:t xml:space="preserve">  </w:t>
      </w:r>
      <w:r w:rsidR="0074398E" w:rsidRPr="00E5219B">
        <w:rPr>
          <w:szCs w:val="22"/>
        </w:rPr>
        <w:t xml:space="preserve">During that transition period, the </w:t>
      </w:r>
      <w:r w:rsidR="00D6431E" w:rsidRPr="00E5219B">
        <w:rPr>
          <w:szCs w:val="22"/>
        </w:rPr>
        <w:t>Commission directed the</w:t>
      </w:r>
      <w:r w:rsidR="004539F6" w:rsidRPr="00E5219B">
        <w:rPr>
          <w:szCs w:val="22"/>
        </w:rPr>
        <w:t xml:space="preserve"> Office of Native Affairs and Policy</w:t>
      </w:r>
      <w:r w:rsidR="002C7367" w:rsidRPr="00E5219B">
        <w:rPr>
          <w:szCs w:val="22"/>
        </w:rPr>
        <w:t xml:space="preserve"> (ONAP)</w:t>
      </w:r>
      <w:r w:rsidR="004539F6" w:rsidRPr="00E5219B">
        <w:rPr>
          <w:szCs w:val="22"/>
        </w:rPr>
        <w:t xml:space="preserve">, </w:t>
      </w:r>
      <w:r w:rsidR="00AD5E8F" w:rsidRPr="00E5219B">
        <w:rPr>
          <w:szCs w:val="22"/>
        </w:rPr>
        <w:t>in coordination with the Bureau and other Commission Bureaus and Offices,</w:t>
      </w:r>
      <w:r w:rsidR="004539F6" w:rsidRPr="00E5219B">
        <w:rPr>
          <w:szCs w:val="22"/>
        </w:rPr>
        <w:t xml:space="preserve"> to consult with </w:t>
      </w:r>
      <w:r w:rsidR="00EA05E1">
        <w:rPr>
          <w:szCs w:val="22"/>
        </w:rPr>
        <w:t xml:space="preserve">the </w:t>
      </w:r>
      <w:r w:rsidR="004539F6" w:rsidRPr="00E5219B">
        <w:rPr>
          <w:szCs w:val="22"/>
        </w:rPr>
        <w:t>Tribal Nations in Oklahoma to ensure the accuracy and operational effectiveness of the boundaries as presented in the Oklahoma Historical Map.</w:t>
      </w:r>
      <w:r w:rsidR="004539F6" w:rsidRPr="00E5219B">
        <w:rPr>
          <w:rStyle w:val="FootnoteReference"/>
          <w:sz w:val="22"/>
          <w:szCs w:val="22"/>
        </w:rPr>
        <w:footnoteReference w:id="11"/>
      </w:r>
    </w:p>
    <w:p w14:paraId="0BB34419" w14:textId="77777777" w:rsidR="002F3328" w:rsidRPr="00E5219B" w:rsidRDefault="00CF03CD" w:rsidP="00305DA9">
      <w:pPr>
        <w:pStyle w:val="ParaNum"/>
        <w:widowControl/>
        <w:ind w:firstLine="720"/>
        <w:rPr>
          <w:szCs w:val="22"/>
        </w:rPr>
      </w:pPr>
      <w:r w:rsidRPr="00E5219B">
        <w:rPr>
          <w:szCs w:val="22"/>
        </w:rPr>
        <w:t>On October 16</w:t>
      </w:r>
      <w:r w:rsidR="00DC71D2" w:rsidRPr="00E5219B">
        <w:rPr>
          <w:szCs w:val="22"/>
        </w:rPr>
        <w:t xml:space="preserve">, 2015, </w:t>
      </w:r>
      <w:r w:rsidR="002F3328" w:rsidRPr="00E5219B">
        <w:rPr>
          <w:szCs w:val="22"/>
        </w:rPr>
        <w:t xml:space="preserve">Petitioners filed </w:t>
      </w:r>
      <w:r w:rsidRPr="00E5219B">
        <w:rPr>
          <w:szCs w:val="22"/>
        </w:rPr>
        <w:t xml:space="preserve">a petition for partial stay of the </w:t>
      </w:r>
      <w:r w:rsidRPr="00E5219B">
        <w:rPr>
          <w:i/>
          <w:szCs w:val="22"/>
        </w:rPr>
        <w:t>Order</w:t>
      </w:r>
      <w:r w:rsidRPr="00E5219B">
        <w:rPr>
          <w:szCs w:val="22"/>
        </w:rPr>
        <w:t xml:space="preserve"> insofar as it relates to the implementation of the Oklahoma Historical Map</w:t>
      </w:r>
      <w:r w:rsidR="002F3328" w:rsidRPr="00E5219B">
        <w:rPr>
          <w:szCs w:val="22"/>
        </w:rPr>
        <w:t>, pending judicial review</w:t>
      </w:r>
      <w:r w:rsidR="00274A5F" w:rsidRPr="00E5219B">
        <w:rPr>
          <w:szCs w:val="22"/>
        </w:rPr>
        <w:t xml:space="preserve"> of the </w:t>
      </w:r>
      <w:r w:rsidR="00F621D5" w:rsidRPr="00E5219B">
        <w:rPr>
          <w:i/>
          <w:szCs w:val="22"/>
        </w:rPr>
        <w:t>Order</w:t>
      </w:r>
      <w:r w:rsidR="002F3328" w:rsidRPr="00E5219B">
        <w:rPr>
          <w:szCs w:val="22"/>
        </w:rPr>
        <w:t xml:space="preserve">.  </w:t>
      </w:r>
      <w:r w:rsidR="007B77BF" w:rsidRPr="00E5219B">
        <w:rPr>
          <w:szCs w:val="22"/>
        </w:rPr>
        <w:t>Petitioners request a ru</w:t>
      </w:r>
      <w:r w:rsidRPr="00E5219B">
        <w:rPr>
          <w:szCs w:val="22"/>
        </w:rPr>
        <w:t>ling on their petitions by November 6</w:t>
      </w:r>
      <w:r w:rsidR="007B77BF" w:rsidRPr="00E5219B">
        <w:rPr>
          <w:szCs w:val="22"/>
        </w:rPr>
        <w:t xml:space="preserve">, 2015, “[t]o allow adequate </w:t>
      </w:r>
      <w:r w:rsidRPr="00E5219B">
        <w:rPr>
          <w:szCs w:val="22"/>
        </w:rPr>
        <w:t>time to seek a judicial stay[</w:t>
      </w:r>
      <w:r w:rsidR="007B77BF" w:rsidRPr="00E5219B">
        <w:rPr>
          <w:szCs w:val="22"/>
        </w:rPr>
        <w:t>.</w:t>
      </w:r>
      <w:r w:rsidRPr="00E5219B">
        <w:rPr>
          <w:szCs w:val="22"/>
        </w:rPr>
        <w:t>]</w:t>
      </w:r>
      <w:r w:rsidR="007B77BF" w:rsidRPr="00E5219B">
        <w:rPr>
          <w:szCs w:val="22"/>
        </w:rPr>
        <w:t>”</w:t>
      </w:r>
      <w:r w:rsidR="007B77BF" w:rsidRPr="00E5219B">
        <w:rPr>
          <w:rStyle w:val="FootnoteReference"/>
          <w:sz w:val="22"/>
          <w:szCs w:val="22"/>
        </w:rPr>
        <w:footnoteReference w:id="12"/>
      </w:r>
    </w:p>
    <w:p w14:paraId="77482069" w14:textId="77777777" w:rsidR="002F3328" w:rsidRPr="00E5219B" w:rsidRDefault="002F3328" w:rsidP="002F3328">
      <w:pPr>
        <w:pStyle w:val="Heading1"/>
        <w:rPr>
          <w:szCs w:val="22"/>
        </w:rPr>
      </w:pPr>
      <w:r w:rsidRPr="00E5219B">
        <w:rPr>
          <w:szCs w:val="22"/>
        </w:rPr>
        <w:t>Discussion</w:t>
      </w:r>
    </w:p>
    <w:p w14:paraId="2510583A" w14:textId="77777777" w:rsidR="002F3328" w:rsidRPr="00E5219B" w:rsidRDefault="00274A5F" w:rsidP="00305DA9">
      <w:pPr>
        <w:pStyle w:val="ParaNum"/>
        <w:ind w:firstLine="720"/>
        <w:rPr>
          <w:szCs w:val="22"/>
        </w:rPr>
      </w:pPr>
      <w:r w:rsidRPr="00E5219B">
        <w:rPr>
          <w:szCs w:val="22"/>
        </w:rPr>
        <w:t xml:space="preserve">In determining whether to stay the effectiveness of one of its </w:t>
      </w:r>
      <w:r w:rsidR="00F621D5" w:rsidRPr="00E5219B">
        <w:rPr>
          <w:szCs w:val="22"/>
        </w:rPr>
        <w:t>Order</w:t>
      </w:r>
      <w:r w:rsidRPr="00E5219B">
        <w:rPr>
          <w:szCs w:val="22"/>
        </w:rPr>
        <w:t xml:space="preserve">s, the Commission applies </w:t>
      </w:r>
      <w:r w:rsidR="006918C5" w:rsidRPr="00E5219B">
        <w:rPr>
          <w:szCs w:val="22"/>
        </w:rPr>
        <w:t xml:space="preserve">the traditional </w:t>
      </w:r>
      <w:r w:rsidRPr="00E5219B">
        <w:rPr>
          <w:szCs w:val="22"/>
        </w:rPr>
        <w:t>four-factor test</w:t>
      </w:r>
      <w:r w:rsidR="00B54F4E" w:rsidRPr="00E5219B">
        <w:rPr>
          <w:szCs w:val="22"/>
        </w:rPr>
        <w:t xml:space="preserve"> </w:t>
      </w:r>
      <w:r w:rsidR="001A14A5">
        <w:rPr>
          <w:szCs w:val="22"/>
        </w:rPr>
        <w:t>employed</w:t>
      </w:r>
      <w:r w:rsidR="00B54F4E" w:rsidRPr="00E5219B">
        <w:rPr>
          <w:szCs w:val="22"/>
        </w:rPr>
        <w:t xml:space="preserve"> by the </w:t>
      </w:r>
      <w:r w:rsidR="000E6042" w:rsidRPr="00E5219B">
        <w:rPr>
          <w:szCs w:val="22"/>
        </w:rPr>
        <w:t xml:space="preserve">U.S. </w:t>
      </w:r>
      <w:r w:rsidR="00B54F4E" w:rsidRPr="00E5219B">
        <w:rPr>
          <w:szCs w:val="22"/>
        </w:rPr>
        <w:t>Court of Appeals for the District of Columbia Circuit (“D.C. Circuit”)</w:t>
      </w:r>
      <w:r w:rsidRPr="00E5219B">
        <w:rPr>
          <w:szCs w:val="22"/>
        </w:rPr>
        <w:t>.</w:t>
      </w:r>
      <w:r w:rsidRPr="00E5219B">
        <w:rPr>
          <w:szCs w:val="22"/>
          <w:vertAlign w:val="superscript"/>
        </w:rPr>
        <w:footnoteReference w:id="13"/>
      </w:r>
      <w:r w:rsidRPr="00E5219B">
        <w:rPr>
          <w:szCs w:val="22"/>
        </w:rPr>
        <w:t xml:space="preserve">  </w:t>
      </w:r>
      <w:r w:rsidR="002F3328" w:rsidRPr="00E5219B">
        <w:rPr>
          <w:szCs w:val="22"/>
        </w:rPr>
        <w:t>To qualify for the extraordinary remedy of a stay, a petitioner must show that: (1) it is likely to prevail on the merits; (2) it will suffer irreparable harm absent the grant of preliminary relief; (3) other interested parties will not be harmed if the stay is granted; and (4) the public interest would favor grant of the stay</w:t>
      </w:r>
      <w:r w:rsidRPr="00E5219B">
        <w:rPr>
          <w:szCs w:val="22"/>
        </w:rPr>
        <w:t>.</w:t>
      </w:r>
      <w:r w:rsidR="002F3328" w:rsidRPr="00E5219B">
        <w:rPr>
          <w:szCs w:val="22"/>
        </w:rPr>
        <w:t xml:space="preserve"> </w:t>
      </w:r>
      <w:r w:rsidR="0092670B" w:rsidRPr="00E5219B">
        <w:rPr>
          <w:szCs w:val="22"/>
        </w:rPr>
        <w:t xml:space="preserve"> </w:t>
      </w:r>
      <w:r w:rsidR="002F3328" w:rsidRPr="00E5219B">
        <w:rPr>
          <w:szCs w:val="22"/>
        </w:rPr>
        <w:t xml:space="preserve">For the reasons described below, </w:t>
      </w:r>
      <w:r w:rsidR="00BD1B9A" w:rsidRPr="00E5219B">
        <w:rPr>
          <w:szCs w:val="22"/>
        </w:rPr>
        <w:t xml:space="preserve">we </w:t>
      </w:r>
      <w:r w:rsidR="001A14A5">
        <w:rPr>
          <w:szCs w:val="22"/>
        </w:rPr>
        <w:t>conclude</w:t>
      </w:r>
      <w:r w:rsidR="00BD1B9A" w:rsidRPr="00E5219B">
        <w:rPr>
          <w:szCs w:val="22"/>
        </w:rPr>
        <w:t xml:space="preserve"> that </w:t>
      </w:r>
      <w:r w:rsidR="002F3328" w:rsidRPr="00E5219B">
        <w:rPr>
          <w:szCs w:val="22"/>
        </w:rPr>
        <w:t>Petitioners have failed to meet the test for this extraordinary equitable relief.</w:t>
      </w:r>
    </w:p>
    <w:p w14:paraId="7F157B1D" w14:textId="77777777" w:rsidR="002F3328" w:rsidRPr="00E5219B" w:rsidRDefault="000D4076" w:rsidP="0049272C">
      <w:pPr>
        <w:pStyle w:val="Heading2"/>
        <w:rPr>
          <w:szCs w:val="22"/>
        </w:rPr>
      </w:pPr>
      <w:r>
        <w:rPr>
          <w:szCs w:val="22"/>
        </w:rPr>
        <w:lastRenderedPageBreak/>
        <w:t xml:space="preserve">Petitioners are Unlikely to </w:t>
      </w:r>
      <w:r w:rsidR="0050178C">
        <w:rPr>
          <w:szCs w:val="22"/>
        </w:rPr>
        <w:t>P</w:t>
      </w:r>
      <w:r>
        <w:rPr>
          <w:szCs w:val="22"/>
        </w:rPr>
        <w:t>revail</w:t>
      </w:r>
      <w:r w:rsidR="002F3328" w:rsidRPr="00E5219B">
        <w:rPr>
          <w:szCs w:val="22"/>
        </w:rPr>
        <w:t xml:space="preserve"> on the Merits</w:t>
      </w:r>
    </w:p>
    <w:p w14:paraId="762103C3" w14:textId="34925625" w:rsidR="002F3328" w:rsidRPr="00860168" w:rsidRDefault="0098146F" w:rsidP="00305DA9">
      <w:pPr>
        <w:pStyle w:val="ParaNum"/>
        <w:widowControl/>
        <w:ind w:firstLine="720"/>
        <w:rPr>
          <w:szCs w:val="22"/>
        </w:rPr>
      </w:pPr>
      <w:r w:rsidRPr="00E5219B">
        <w:rPr>
          <w:szCs w:val="22"/>
        </w:rPr>
        <w:t xml:space="preserve">Petitioners </w:t>
      </w:r>
      <w:r w:rsidR="00A63FC4" w:rsidRPr="00E5219B">
        <w:rPr>
          <w:szCs w:val="22"/>
        </w:rPr>
        <w:t xml:space="preserve">have </w:t>
      </w:r>
      <w:r w:rsidRPr="00E5219B">
        <w:rPr>
          <w:szCs w:val="22"/>
        </w:rPr>
        <w:t>fail</w:t>
      </w:r>
      <w:r w:rsidR="00A63FC4" w:rsidRPr="00E5219B">
        <w:rPr>
          <w:szCs w:val="22"/>
        </w:rPr>
        <w:t>ed</w:t>
      </w:r>
      <w:r w:rsidRPr="00E5219B">
        <w:rPr>
          <w:szCs w:val="22"/>
        </w:rPr>
        <w:t xml:space="preserve"> to demonstrate that they are likely to succeed on the merits.</w:t>
      </w:r>
      <w:r w:rsidR="00A04BD6" w:rsidRPr="00E5219B">
        <w:rPr>
          <w:szCs w:val="22"/>
        </w:rPr>
        <w:t xml:space="preserve"> </w:t>
      </w:r>
      <w:r w:rsidR="00A63FC4" w:rsidRPr="00E5219B">
        <w:rPr>
          <w:szCs w:val="22"/>
        </w:rPr>
        <w:t xml:space="preserve"> The Commission’s</w:t>
      </w:r>
      <w:r w:rsidR="00471482" w:rsidRPr="00E5219B">
        <w:rPr>
          <w:szCs w:val="22"/>
        </w:rPr>
        <w:t xml:space="preserve"> </w:t>
      </w:r>
      <w:r w:rsidR="00DA0BE2">
        <w:rPr>
          <w:szCs w:val="22"/>
        </w:rPr>
        <w:t xml:space="preserve">determination that the </w:t>
      </w:r>
      <w:r w:rsidR="00471482" w:rsidRPr="00E5219B">
        <w:rPr>
          <w:szCs w:val="22"/>
        </w:rPr>
        <w:t>“former reservations in Oklahoma</w:t>
      </w:r>
      <w:r w:rsidR="00923FA1" w:rsidRPr="00E5219B">
        <w:rPr>
          <w:szCs w:val="22"/>
        </w:rPr>
        <w:t xml:space="preserve">” </w:t>
      </w:r>
      <w:r w:rsidR="00DA0BE2">
        <w:rPr>
          <w:szCs w:val="22"/>
        </w:rPr>
        <w:t>are most accurately defined by</w:t>
      </w:r>
      <w:r w:rsidR="00471482" w:rsidRPr="00E5219B">
        <w:rPr>
          <w:szCs w:val="22"/>
        </w:rPr>
        <w:t xml:space="preserve"> the geographic boundaries reflected in the Oklahoma Historical Map</w:t>
      </w:r>
      <w:r w:rsidR="00684FA4">
        <w:rPr>
          <w:szCs w:val="22"/>
        </w:rPr>
        <w:t xml:space="preserve"> does not run afoul of </w:t>
      </w:r>
      <w:r w:rsidR="00A63FC4" w:rsidRPr="00E5219B">
        <w:rPr>
          <w:szCs w:val="22"/>
        </w:rPr>
        <w:t>the Administrative Procedure Act</w:t>
      </w:r>
      <w:r w:rsidR="001A7C34">
        <w:rPr>
          <w:szCs w:val="22"/>
        </w:rPr>
        <w:t xml:space="preserve"> </w:t>
      </w:r>
      <w:r w:rsidR="001A7C34" w:rsidRPr="00860168">
        <w:rPr>
          <w:szCs w:val="22"/>
        </w:rPr>
        <w:t>(APA)</w:t>
      </w:r>
      <w:r w:rsidR="00A63FC4" w:rsidRPr="00E5219B">
        <w:rPr>
          <w:szCs w:val="22"/>
        </w:rPr>
        <w:t>.</w:t>
      </w:r>
      <w:r w:rsidR="00860168">
        <w:rPr>
          <w:szCs w:val="22"/>
        </w:rPr>
        <w:t xml:space="preserve"> </w:t>
      </w:r>
      <w:r w:rsidR="006C7236">
        <w:rPr>
          <w:szCs w:val="22"/>
        </w:rPr>
        <w:t xml:space="preserve"> </w:t>
      </w:r>
      <w:r w:rsidR="00923FA1" w:rsidRPr="00860168">
        <w:rPr>
          <w:szCs w:val="22"/>
        </w:rPr>
        <w:t>Petitioners</w:t>
      </w:r>
      <w:r w:rsidR="002F3328" w:rsidRPr="00860168">
        <w:rPr>
          <w:szCs w:val="22"/>
        </w:rPr>
        <w:t xml:space="preserve"> assert that the Commission violated the </w:t>
      </w:r>
      <w:r w:rsidR="00193BBB" w:rsidRPr="00860168">
        <w:rPr>
          <w:szCs w:val="22"/>
        </w:rPr>
        <w:t xml:space="preserve">APA </w:t>
      </w:r>
      <w:r w:rsidR="002F3328" w:rsidRPr="00860168">
        <w:rPr>
          <w:szCs w:val="22"/>
        </w:rPr>
        <w:t xml:space="preserve">because the </w:t>
      </w:r>
      <w:r w:rsidR="00923FA1" w:rsidRPr="00860168">
        <w:rPr>
          <w:szCs w:val="22"/>
        </w:rPr>
        <w:t>Commission was</w:t>
      </w:r>
      <w:r w:rsidR="002F3328" w:rsidRPr="00860168">
        <w:rPr>
          <w:szCs w:val="22"/>
        </w:rPr>
        <w:t xml:space="preserve"> allegedly </w:t>
      </w:r>
      <w:r w:rsidR="00923FA1" w:rsidRPr="00860168">
        <w:rPr>
          <w:szCs w:val="22"/>
        </w:rPr>
        <w:t>required</w:t>
      </w:r>
      <w:r w:rsidR="002F3328" w:rsidRPr="00860168">
        <w:rPr>
          <w:szCs w:val="22"/>
        </w:rPr>
        <w:t xml:space="preserve"> to provide notice </w:t>
      </w:r>
      <w:r w:rsidR="00923FA1" w:rsidRPr="00860168">
        <w:rPr>
          <w:szCs w:val="22"/>
        </w:rPr>
        <w:t xml:space="preserve">and seek comment on the adoption </w:t>
      </w:r>
      <w:r w:rsidR="002F3328" w:rsidRPr="00860168">
        <w:rPr>
          <w:szCs w:val="22"/>
        </w:rPr>
        <w:t xml:space="preserve">of the </w:t>
      </w:r>
      <w:r w:rsidR="00923FA1" w:rsidRPr="00860168">
        <w:rPr>
          <w:szCs w:val="22"/>
        </w:rPr>
        <w:t>Oklahoma Historical Map</w:t>
      </w:r>
      <w:r w:rsidR="002F3328" w:rsidRPr="00860168">
        <w:rPr>
          <w:szCs w:val="22"/>
        </w:rPr>
        <w:t xml:space="preserve"> and the </w:t>
      </w:r>
      <w:r w:rsidR="00F621D5" w:rsidRPr="00860168">
        <w:rPr>
          <w:i/>
          <w:szCs w:val="22"/>
        </w:rPr>
        <w:t>Order</w:t>
      </w:r>
      <w:r w:rsidR="002F3328" w:rsidRPr="00860168">
        <w:rPr>
          <w:szCs w:val="22"/>
        </w:rPr>
        <w:t xml:space="preserve"> is arbitrary and capricious.</w:t>
      </w:r>
      <w:r w:rsidR="002F3328" w:rsidRPr="00E5219B">
        <w:rPr>
          <w:rStyle w:val="FootnoteReference"/>
          <w:sz w:val="22"/>
          <w:szCs w:val="22"/>
        </w:rPr>
        <w:footnoteReference w:id="14"/>
      </w:r>
      <w:r w:rsidR="00DA0BE2">
        <w:rPr>
          <w:szCs w:val="22"/>
        </w:rPr>
        <w:t xml:space="preserve">  These contentions lack merit.</w:t>
      </w:r>
    </w:p>
    <w:p w14:paraId="6B9A5655" w14:textId="537168BF" w:rsidR="00923FA1" w:rsidRPr="00E5219B" w:rsidRDefault="00D455CF" w:rsidP="00305DA9">
      <w:pPr>
        <w:pStyle w:val="ParaNum"/>
        <w:widowControl/>
        <w:ind w:firstLine="720"/>
        <w:rPr>
          <w:szCs w:val="22"/>
        </w:rPr>
      </w:pPr>
      <w:r>
        <w:rPr>
          <w:i/>
          <w:szCs w:val="22"/>
        </w:rPr>
        <w:t xml:space="preserve">The APA Did Not Require </w:t>
      </w:r>
      <w:r w:rsidR="00FF2581">
        <w:rPr>
          <w:i/>
          <w:szCs w:val="22"/>
        </w:rPr>
        <w:t>t</w:t>
      </w:r>
      <w:r>
        <w:rPr>
          <w:i/>
          <w:szCs w:val="22"/>
        </w:rPr>
        <w:t xml:space="preserve">he Commission to Provide </w:t>
      </w:r>
      <w:r w:rsidR="00CD4EBC" w:rsidRPr="00E5219B">
        <w:rPr>
          <w:i/>
          <w:szCs w:val="22"/>
        </w:rPr>
        <w:t xml:space="preserve">Notice and </w:t>
      </w:r>
      <w:r>
        <w:rPr>
          <w:i/>
          <w:szCs w:val="22"/>
        </w:rPr>
        <w:t xml:space="preserve">Seek </w:t>
      </w:r>
      <w:r w:rsidR="00CD4EBC" w:rsidRPr="00E5219B">
        <w:rPr>
          <w:i/>
          <w:szCs w:val="22"/>
        </w:rPr>
        <w:t>Comment</w:t>
      </w:r>
      <w:r>
        <w:rPr>
          <w:i/>
          <w:szCs w:val="22"/>
        </w:rPr>
        <w:t xml:space="preserve"> Prior to </w:t>
      </w:r>
      <w:r w:rsidR="00CD40EF">
        <w:rPr>
          <w:i/>
          <w:szCs w:val="22"/>
        </w:rPr>
        <w:t>Interpreting the Meaning of “Former Reservations in Oklahoma</w:t>
      </w:r>
      <w:r w:rsidR="00CD4EBC" w:rsidRPr="00E5219B">
        <w:rPr>
          <w:i/>
          <w:szCs w:val="22"/>
        </w:rPr>
        <w:t>.</w:t>
      </w:r>
      <w:r w:rsidR="00CD40EF">
        <w:rPr>
          <w:szCs w:val="22"/>
        </w:rPr>
        <w:t>”</w:t>
      </w:r>
      <w:r w:rsidR="00CD4EBC" w:rsidRPr="00E5219B">
        <w:rPr>
          <w:szCs w:val="22"/>
        </w:rPr>
        <w:t xml:space="preserve"> </w:t>
      </w:r>
      <w:r w:rsidR="00923FA1" w:rsidRPr="00E5219B">
        <w:rPr>
          <w:szCs w:val="22"/>
        </w:rPr>
        <w:t xml:space="preserve"> Petitioners argue that the Commission violated the APA by failing to provide notice and seek comment on the Oklahoma Historical Map.</w:t>
      </w:r>
      <w:r w:rsidR="00923FA1" w:rsidRPr="00E5219B">
        <w:rPr>
          <w:rStyle w:val="FootnoteReference"/>
          <w:sz w:val="22"/>
          <w:szCs w:val="22"/>
        </w:rPr>
        <w:footnoteReference w:id="15"/>
      </w:r>
      <w:r w:rsidR="001F6EDE" w:rsidRPr="00E5219B">
        <w:rPr>
          <w:szCs w:val="22"/>
        </w:rPr>
        <w:t xml:space="preserve">  However, as the Commission explained in the </w:t>
      </w:r>
      <w:r w:rsidR="001F6EDE" w:rsidRPr="00E5219B">
        <w:rPr>
          <w:i/>
          <w:szCs w:val="22"/>
        </w:rPr>
        <w:t>Order</w:t>
      </w:r>
      <w:r w:rsidR="001F6EDE" w:rsidRPr="00E5219B">
        <w:rPr>
          <w:szCs w:val="22"/>
        </w:rPr>
        <w:t xml:space="preserve">, the Commission did not change section 54.400(e) of the Commission’s rules or adopt a construction inconsistent with that rule, but rather interpreted </w:t>
      </w:r>
      <w:r w:rsidR="00CD40EF">
        <w:rPr>
          <w:szCs w:val="22"/>
        </w:rPr>
        <w:t xml:space="preserve">for the first time </w:t>
      </w:r>
      <w:r w:rsidR="001F6EDE" w:rsidRPr="00E5219B">
        <w:rPr>
          <w:szCs w:val="22"/>
        </w:rPr>
        <w:t>what is meant by “former reservations in Oklahoma” within section 54.400(e) of the rules.</w:t>
      </w:r>
      <w:r w:rsidR="001F6EDE" w:rsidRPr="00E5219B">
        <w:rPr>
          <w:rStyle w:val="FootnoteReference"/>
          <w:sz w:val="22"/>
          <w:szCs w:val="22"/>
        </w:rPr>
        <w:footnoteReference w:id="16"/>
      </w:r>
      <w:r w:rsidR="00BA619B" w:rsidRPr="00E5219B">
        <w:rPr>
          <w:szCs w:val="22"/>
        </w:rPr>
        <w:t xml:space="preserve">  The Commission simply “advise[d] the public of the agency’s construction of the . . . rules which it administers</w:t>
      </w:r>
      <w:r w:rsidR="00F10DEA" w:rsidRPr="00E5219B">
        <w:rPr>
          <w:szCs w:val="22"/>
        </w:rPr>
        <w:t>.</w:t>
      </w:r>
      <w:r w:rsidR="00BA619B" w:rsidRPr="00E5219B">
        <w:rPr>
          <w:szCs w:val="22"/>
        </w:rPr>
        <w:t>”</w:t>
      </w:r>
      <w:r w:rsidR="00BA619B" w:rsidRPr="00E5219B">
        <w:rPr>
          <w:rStyle w:val="FootnoteReference"/>
          <w:sz w:val="22"/>
          <w:szCs w:val="22"/>
        </w:rPr>
        <w:footnoteReference w:id="17"/>
      </w:r>
      <w:r w:rsidR="00B61B37" w:rsidRPr="00E5219B">
        <w:rPr>
          <w:szCs w:val="22"/>
        </w:rPr>
        <w:t xml:space="preserve">  As a result, the Commission is not required to provide notice and seek comment under the APA.</w:t>
      </w:r>
      <w:r w:rsidR="0092477D" w:rsidRPr="00E5219B">
        <w:rPr>
          <w:rStyle w:val="FootnoteReference"/>
          <w:sz w:val="22"/>
          <w:szCs w:val="22"/>
        </w:rPr>
        <w:footnoteReference w:id="18"/>
      </w:r>
    </w:p>
    <w:p w14:paraId="1AEEFCE2" w14:textId="75F92D2F" w:rsidR="00F10DEA" w:rsidRPr="00C30EC6" w:rsidRDefault="00CD40EF" w:rsidP="00305DA9">
      <w:pPr>
        <w:pStyle w:val="ParaNum"/>
        <w:widowControl/>
        <w:ind w:firstLine="720"/>
        <w:rPr>
          <w:szCs w:val="22"/>
        </w:rPr>
      </w:pPr>
      <w:r>
        <w:rPr>
          <w:i/>
          <w:szCs w:val="22"/>
        </w:rPr>
        <w:t xml:space="preserve">The Decision to </w:t>
      </w:r>
      <w:r w:rsidR="009C4DE3">
        <w:rPr>
          <w:i/>
          <w:szCs w:val="22"/>
        </w:rPr>
        <w:t>U</w:t>
      </w:r>
      <w:r>
        <w:rPr>
          <w:i/>
          <w:szCs w:val="22"/>
        </w:rPr>
        <w:t xml:space="preserve">se the Oklahoma Historical Map Was Not </w:t>
      </w:r>
      <w:r w:rsidR="00CD4EBC" w:rsidRPr="00E5219B">
        <w:rPr>
          <w:i/>
          <w:szCs w:val="22"/>
        </w:rPr>
        <w:t xml:space="preserve">Arbitrary </w:t>
      </w:r>
      <w:r w:rsidR="00FB0A77">
        <w:rPr>
          <w:i/>
          <w:szCs w:val="22"/>
        </w:rPr>
        <w:t>or</w:t>
      </w:r>
      <w:r w:rsidR="00CD4EBC" w:rsidRPr="00E5219B">
        <w:rPr>
          <w:i/>
          <w:szCs w:val="22"/>
        </w:rPr>
        <w:t xml:space="preserve"> Capricious.</w:t>
      </w:r>
      <w:r w:rsidR="00CD4EBC" w:rsidRPr="00E5219B">
        <w:rPr>
          <w:szCs w:val="22"/>
        </w:rPr>
        <w:t xml:space="preserve">  </w:t>
      </w:r>
      <w:r w:rsidR="00F10DEA" w:rsidRPr="00E5219B">
        <w:rPr>
          <w:szCs w:val="22"/>
        </w:rPr>
        <w:t xml:space="preserve">Petitioners </w:t>
      </w:r>
      <w:r w:rsidR="00AD5E8F" w:rsidRPr="00E5219B">
        <w:rPr>
          <w:szCs w:val="22"/>
        </w:rPr>
        <w:t xml:space="preserve">raise multiple arguments </w:t>
      </w:r>
      <w:r w:rsidR="00C90BE8" w:rsidRPr="00E5219B">
        <w:rPr>
          <w:szCs w:val="22"/>
        </w:rPr>
        <w:t xml:space="preserve">that the Commission’s decision to use </w:t>
      </w:r>
      <w:r w:rsidR="00EE312B" w:rsidRPr="00E5219B">
        <w:rPr>
          <w:szCs w:val="22"/>
        </w:rPr>
        <w:t>the Oklahoma Historical Ma</w:t>
      </w:r>
      <w:r w:rsidR="009234BA" w:rsidRPr="00E5219B">
        <w:rPr>
          <w:szCs w:val="22"/>
        </w:rPr>
        <w:t>p was arbitrary and capricious</w:t>
      </w:r>
      <w:r>
        <w:rPr>
          <w:szCs w:val="22"/>
        </w:rPr>
        <w:t>, none of which are persuasive</w:t>
      </w:r>
      <w:r w:rsidR="009234BA" w:rsidRPr="00E5219B">
        <w:rPr>
          <w:szCs w:val="22"/>
        </w:rPr>
        <w:t>.</w:t>
      </w:r>
      <w:r w:rsidR="009234BA" w:rsidRPr="00E5219B">
        <w:rPr>
          <w:rStyle w:val="FootnoteReference"/>
          <w:sz w:val="22"/>
          <w:szCs w:val="22"/>
        </w:rPr>
        <w:footnoteReference w:id="19"/>
      </w:r>
      <w:r w:rsidR="00AD5E8F" w:rsidRPr="00E5219B">
        <w:rPr>
          <w:szCs w:val="22"/>
        </w:rPr>
        <w:t xml:space="preserve">  First, Petitioners contend that the Commission neglected to consult with Tribal government</w:t>
      </w:r>
      <w:r w:rsidR="00DA0BE2">
        <w:rPr>
          <w:szCs w:val="22"/>
        </w:rPr>
        <w:t>s</w:t>
      </w:r>
      <w:r w:rsidR="00AD5E8F" w:rsidRPr="00E5219B">
        <w:rPr>
          <w:szCs w:val="22"/>
        </w:rPr>
        <w:t xml:space="preserve"> and failed to explain the lack of consultation in the </w:t>
      </w:r>
      <w:r w:rsidR="00AD5E8F" w:rsidRPr="00E5219B">
        <w:rPr>
          <w:i/>
          <w:szCs w:val="22"/>
        </w:rPr>
        <w:t>Order</w:t>
      </w:r>
      <w:r w:rsidR="00AD5E8F" w:rsidRPr="00E5219B">
        <w:rPr>
          <w:szCs w:val="22"/>
        </w:rPr>
        <w:t>.</w:t>
      </w:r>
      <w:r w:rsidR="00AD5E8F" w:rsidRPr="00E5219B">
        <w:rPr>
          <w:rStyle w:val="FootnoteReference"/>
          <w:sz w:val="22"/>
          <w:szCs w:val="22"/>
        </w:rPr>
        <w:footnoteReference w:id="20"/>
      </w:r>
      <w:r w:rsidR="00AD5E8F" w:rsidRPr="00E5219B">
        <w:rPr>
          <w:szCs w:val="22"/>
        </w:rPr>
        <w:t xml:space="preserve">  However,</w:t>
      </w:r>
      <w:r w:rsidR="003930EB">
        <w:rPr>
          <w:szCs w:val="22"/>
        </w:rPr>
        <w:t xml:space="preserve"> </w:t>
      </w:r>
      <w:r w:rsidR="00C30EC6">
        <w:rPr>
          <w:szCs w:val="22"/>
        </w:rPr>
        <w:t>th</w:t>
      </w:r>
      <w:r w:rsidR="009B1552">
        <w:rPr>
          <w:szCs w:val="22"/>
        </w:rPr>
        <w:t>e Commission’s</w:t>
      </w:r>
      <w:r w:rsidR="00C30EC6">
        <w:rPr>
          <w:szCs w:val="22"/>
        </w:rPr>
        <w:t xml:space="preserve"> policy is</w:t>
      </w:r>
      <w:r w:rsidR="003930EB">
        <w:rPr>
          <w:szCs w:val="22"/>
        </w:rPr>
        <w:t xml:space="preserve"> to “consult with Tribal governments prior to implementing any regulatory action or policy that will significantl</w:t>
      </w:r>
      <w:r w:rsidR="00C071EA">
        <w:rPr>
          <w:szCs w:val="22"/>
        </w:rPr>
        <w:t>y or uniquely affect Tribal governments, their land and resources</w:t>
      </w:r>
      <w:r w:rsidR="00C30EC6">
        <w:rPr>
          <w:szCs w:val="22"/>
        </w:rPr>
        <w:t>.</w:t>
      </w:r>
      <w:r w:rsidR="00C071EA">
        <w:rPr>
          <w:szCs w:val="22"/>
        </w:rPr>
        <w:t>”</w:t>
      </w:r>
      <w:r w:rsidR="00C071EA">
        <w:rPr>
          <w:rStyle w:val="FootnoteReference"/>
          <w:szCs w:val="22"/>
        </w:rPr>
        <w:footnoteReference w:id="21"/>
      </w:r>
      <w:r w:rsidR="00AD5E8F" w:rsidRPr="00E5219B">
        <w:rPr>
          <w:szCs w:val="22"/>
        </w:rPr>
        <w:t xml:space="preserve"> </w:t>
      </w:r>
      <w:r w:rsidR="00C30EC6">
        <w:rPr>
          <w:szCs w:val="22"/>
        </w:rPr>
        <w:t xml:space="preserve"> As an initial matter, Petitioners have not demonstrated that the action taken in the </w:t>
      </w:r>
      <w:r w:rsidR="00C30EC6">
        <w:rPr>
          <w:i/>
          <w:szCs w:val="22"/>
        </w:rPr>
        <w:t>Order</w:t>
      </w:r>
      <w:r w:rsidR="00C30EC6">
        <w:rPr>
          <w:szCs w:val="22"/>
        </w:rPr>
        <w:t xml:space="preserve"> meets that standard, i.e., that it </w:t>
      </w:r>
      <w:r w:rsidR="009B1552">
        <w:rPr>
          <w:szCs w:val="22"/>
        </w:rPr>
        <w:t xml:space="preserve">is a “regulatory action or policy” and that it will </w:t>
      </w:r>
      <w:r w:rsidR="00C30EC6">
        <w:rPr>
          <w:szCs w:val="22"/>
        </w:rPr>
        <w:t>“significantly or uniquely” affects Tribal governments, their land</w:t>
      </w:r>
      <w:r w:rsidR="000231ED">
        <w:rPr>
          <w:szCs w:val="22"/>
        </w:rPr>
        <w:t>,</w:t>
      </w:r>
      <w:r w:rsidR="00C30EC6">
        <w:rPr>
          <w:szCs w:val="22"/>
        </w:rPr>
        <w:t xml:space="preserve"> and resources.  Unlike a new rule that changes Commission policy</w:t>
      </w:r>
      <w:r w:rsidR="0057373C">
        <w:rPr>
          <w:szCs w:val="22"/>
        </w:rPr>
        <w:t>—</w:t>
      </w:r>
      <w:r w:rsidR="00C30EC6">
        <w:rPr>
          <w:szCs w:val="22"/>
        </w:rPr>
        <w:t xml:space="preserve">such as questions in the </w:t>
      </w:r>
      <w:r w:rsidR="00C30EC6">
        <w:rPr>
          <w:i/>
          <w:szCs w:val="22"/>
        </w:rPr>
        <w:t xml:space="preserve">Further Notice </w:t>
      </w:r>
      <w:r w:rsidR="00C30EC6">
        <w:rPr>
          <w:szCs w:val="22"/>
        </w:rPr>
        <w:t xml:space="preserve">that accompanied the </w:t>
      </w:r>
      <w:r w:rsidR="00C30EC6">
        <w:rPr>
          <w:i/>
          <w:szCs w:val="22"/>
        </w:rPr>
        <w:t xml:space="preserve">Order </w:t>
      </w:r>
      <w:r w:rsidR="00C30EC6">
        <w:rPr>
          <w:szCs w:val="22"/>
        </w:rPr>
        <w:t xml:space="preserve">regarding whether the Commission should alter the existing rule that provides enhanced Tribal support </w:t>
      </w:r>
      <w:r w:rsidR="0096749A">
        <w:rPr>
          <w:szCs w:val="22"/>
        </w:rPr>
        <w:t>for low-income recipients residing on Tribal lands</w:t>
      </w:r>
      <w:r w:rsidR="0096749A">
        <w:rPr>
          <w:rStyle w:val="FootnoteReference"/>
          <w:szCs w:val="22"/>
        </w:rPr>
        <w:footnoteReference w:id="22"/>
      </w:r>
      <w:r w:rsidR="0057373C">
        <w:rPr>
          <w:szCs w:val="22"/>
        </w:rPr>
        <w:t>—</w:t>
      </w:r>
      <w:r w:rsidR="00C30EC6">
        <w:rPr>
          <w:szCs w:val="22"/>
        </w:rPr>
        <w:t xml:space="preserve">in the </w:t>
      </w:r>
      <w:r w:rsidR="00C30EC6">
        <w:rPr>
          <w:i/>
          <w:szCs w:val="22"/>
        </w:rPr>
        <w:t>Order</w:t>
      </w:r>
      <w:r w:rsidR="00C30EC6">
        <w:rPr>
          <w:szCs w:val="22"/>
        </w:rPr>
        <w:t>, the Commission merely adopted a formal interpretation of the existing rule and did so by using a recognized BIA map of former reservations in Oklahoma.</w:t>
      </w:r>
      <w:r w:rsidR="00980B87">
        <w:rPr>
          <w:szCs w:val="22"/>
        </w:rPr>
        <w:t xml:space="preserve">  </w:t>
      </w:r>
      <w:r w:rsidR="00C30EC6">
        <w:rPr>
          <w:szCs w:val="22"/>
        </w:rPr>
        <w:t xml:space="preserve">Petitioners also overlook the fact that, despite not having taken an action of the sort contemplated by the policy on Tribal consultation, </w:t>
      </w:r>
      <w:r w:rsidR="00AD5E8F" w:rsidRPr="00C30EC6">
        <w:rPr>
          <w:szCs w:val="22"/>
        </w:rPr>
        <w:t xml:space="preserve">the </w:t>
      </w:r>
      <w:r w:rsidR="00AD5E8F" w:rsidRPr="00C30EC6">
        <w:rPr>
          <w:i/>
          <w:szCs w:val="22"/>
        </w:rPr>
        <w:t>Order</w:t>
      </w:r>
      <w:r w:rsidR="00AD5E8F" w:rsidRPr="00C30EC6">
        <w:rPr>
          <w:szCs w:val="22"/>
        </w:rPr>
        <w:t xml:space="preserve"> </w:t>
      </w:r>
      <w:r w:rsidR="00C30EC6">
        <w:rPr>
          <w:szCs w:val="22"/>
        </w:rPr>
        <w:t xml:space="preserve">nevertheless </w:t>
      </w:r>
      <w:r w:rsidR="00AD1BF4" w:rsidRPr="00C30EC6">
        <w:rPr>
          <w:szCs w:val="22"/>
        </w:rPr>
        <w:t xml:space="preserve">provides a </w:t>
      </w:r>
      <w:r w:rsidR="00564B12" w:rsidRPr="00C30EC6">
        <w:rPr>
          <w:szCs w:val="22"/>
        </w:rPr>
        <w:t xml:space="preserve">lengthy </w:t>
      </w:r>
      <w:r w:rsidR="00AD1BF4" w:rsidRPr="00C30EC6">
        <w:rPr>
          <w:szCs w:val="22"/>
        </w:rPr>
        <w:t xml:space="preserve">transition period before the interpretation takes effect and </w:t>
      </w:r>
      <w:r w:rsidR="00AD5E8F" w:rsidRPr="00C30EC6">
        <w:rPr>
          <w:szCs w:val="22"/>
        </w:rPr>
        <w:t>explicitly directs ONAP, in coordination with other Commission Bureaus and Offices, “to engage in government-to-government consultation with the Tribal Nations in Oklahoma”</w:t>
      </w:r>
      <w:r w:rsidR="00C071EA" w:rsidRPr="00C30EC6">
        <w:rPr>
          <w:szCs w:val="22"/>
        </w:rPr>
        <w:t xml:space="preserve"> prior to the implementation of the Oklahoma Historical Map</w:t>
      </w:r>
      <w:r w:rsidR="00AD5E8F" w:rsidRPr="00C30EC6">
        <w:rPr>
          <w:szCs w:val="22"/>
        </w:rPr>
        <w:t>.</w:t>
      </w:r>
      <w:r w:rsidR="00AD5E8F" w:rsidRPr="00E5219B">
        <w:rPr>
          <w:rStyle w:val="FootnoteReference"/>
          <w:sz w:val="22"/>
          <w:szCs w:val="22"/>
        </w:rPr>
        <w:footnoteReference w:id="23"/>
      </w:r>
      <w:r w:rsidR="00AD5E8F" w:rsidRPr="00C30EC6">
        <w:rPr>
          <w:szCs w:val="22"/>
        </w:rPr>
        <w:t xml:space="preserve">  </w:t>
      </w:r>
      <w:r w:rsidR="0087623B" w:rsidRPr="00C30EC6">
        <w:rPr>
          <w:szCs w:val="22"/>
        </w:rPr>
        <w:t xml:space="preserve">As a result, Petitioners’ arguments that the Commission has </w:t>
      </w:r>
      <w:r w:rsidR="007B0033" w:rsidRPr="00C30EC6">
        <w:rPr>
          <w:szCs w:val="22"/>
        </w:rPr>
        <w:t>neglected</w:t>
      </w:r>
      <w:r w:rsidR="0087623B" w:rsidRPr="00C30EC6">
        <w:rPr>
          <w:szCs w:val="22"/>
        </w:rPr>
        <w:t xml:space="preserve"> to consult with Tribal governm</w:t>
      </w:r>
      <w:r w:rsidR="009D1289" w:rsidRPr="00C30EC6">
        <w:rPr>
          <w:szCs w:val="22"/>
        </w:rPr>
        <w:t>ents</w:t>
      </w:r>
      <w:r w:rsidR="008D0D4D" w:rsidRPr="00C30EC6">
        <w:rPr>
          <w:szCs w:val="22"/>
        </w:rPr>
        <w:t xml:space="preserve"> in a manner consistent with its stated policy</w:t>
      </w:r>
      <w:r w:rsidR="009D1289" w:rsidRPr="00C30EC6">
        <w:rPr>
          <w:szCs w:val="22"/>
        </w:rPr>
        <w:t xml:space="preserve"> and to </w:t>
      </w:r>
      <w:r w:rsidR="0087623B" w:rsidRPr="00C30EC6">
        <w:rPr>
          <w:szCs w:val="22"/>
        </w:rPr>
        <w:t>explain its lack of consultation both fail.</w:t>
      </w:r>
    </w:p>
    <w:p w14:paraId="789755BF" w14:textId="261C5359" w:rsidR="00CD40EF" w:rsidRDefault="00CD40EF" w:rsidP="00305DA9">
      <w:pPr>
        <w:pStyle w:val="ParaNum"/>
        <w:widowControl/>
        <w:ind w:firstLine="720"/>
        <w:rPr>
          <w:szCs w:val="22"/>
        </w:rPr>
      </w:pPr>
      <w:r>
        <w:rPr>
          <w:szCs w:val="22"/>
        </w:rPr>
        <w:t xml:space="preserve">Second, </w:t>
      </w:r>
      <w:r w:rsidR="00590A5D" w:rsidRPr="00E5219B">
        <w:rPr>
          <w:szCs w:val="22"/>
        </w:rPr>
        <w:t xml:space="preserve">Petitioners argue the </w:t>
      </w:r>
      <w:r w:rsidR="00590A5D" w:rsidRPr="00E5219B">
        <w:rPr>
          <w:i/>
          <w:szCs w:val="22"/>
        </w:rPr>
        <w:t>Order</w:t>
      </w:r>
      <w:r w:rsidR="00590A5D" w:rsidRPr="00E5219B">
        <w:rPr>
          <w:szCs w:val="22"/>
        </w:rPr>
        <w:t xml:space="preserve"> is arbitrary and capricious because it failed to explain how </w:t>
      </w:r>
      <w:r w:rsidR="008C15F6" w:rsidRPr="00E5219B">
        <w:rPr>
          <w:szCs w:val="22"/>
        </w:rPr>
        <w:t xml:space="preserve">lands previously considered </w:t>
      </w:r>
      <w:r w:rsidR="00590A5D" w:rsidRPr="00E5219B">
        <w:rPr>
          <w:szCs w:val="22"/>
        </w:rPr>
        <w:t xml:space="preserve">“former reservations” could </w:t>
      </w:r>
      <w:r w:rsidR="00FA2D10" w:rsidRPr="00E5219B">
        <w:rPr>
          <w:szCs w:val="22"/>
        </w:rPr>
        <w:t>be excluded from “former reservations” under</w:t>
      </w:r>
      <w:r w:rsidR="008C15F6" w:rsidRPr="00E5219B">
        <w:rPr>
          <w:szCs w:val="22"/>
        </w:rPr>
        <w:t xml:space="preserve"> the </w:t>
      </w:r>
      <w:r w:rsidR="008C15F6" w:rsidRPr="00E5219B">
        <w:rPr>
          <w:i/>
          <w:szCs w:val="22"/>
        </w:rPr>
        <w:t>Order</w:t>
      </w:r>
      <w:r w:rsidR="008C15F6" w:rsidRPr="00E5219B">
        <w:rPr>
          <w:szCs w:val="22"/>
        </w:rPr>
        <w:t>.</w:t>
      </w:r>
      <w:r w:rsidR="008C15F6" w:rsidRPr="00E5219B">
        <w:rPr>
          <w:rStyle w:val="FootnoteReference"/>
          <w:sz w:val="22"/>
          <w:szCs w:val="22"/>
        </w:rPr>
        <w:footnoteReference w:id="24"/>
      </w:r>
      <w:r w:rsidR="0047244B" w:rsidRPr="00E5219B">
        <w:rPr>
          <w:szCs w:val="22"/>
        </w:rPr>
        <w:t xml:space="preserve"> </w:t>
      </w:r>
      <w:r w:rsidR="009606CD" w:rsidRPr="00E5219B">
        <w:rPr>
          <w:szCs w:val="22"/>
        </w:rPr>
        <w:t xml:space="preserve"> </w:t>
      </w:r>
      <w:r>
        <w:rPr>
          <w:szCs w:val="22"/>
        </w:rPr>
        <w:t xml:space="preserve">This </w:t>
      </w:r>
      <w:r w:rsidR="009E7FEF" w:rsidRPr="00E5219B">
        <w:rPr>
          <w:szCs w:val="22"/>
        </w:rPr>
        <w:t xml:space="preserve">argument </w:t>
      </w:r>
      <w:r>
        <w:rPr>
          <w:szCs w:val="22"/>
        </w:rPr>
        <w:t xml:space="preserve">too is </w:t>
      </w:r>
      <w:r w:rsidR="00A33ECF">
        <w:rPr>
          <w:szCs w:val="22"/>
        </w:rPr>
        <w:t xml:space="preserve">unpersuasive </w:t>
      </w:r>
      <w:r w:rsidR="009E7FEF" w:rsidRPr="00E5219B">
        <w:rPr>
          <w:szCs w:val="22"/>
        </w:rPr>
        <w:t xml:space="preserve">because the </w:t>
      </w:r>
      <w:r w:rsidR="009E7FEF" w:rsidRPr="00E5219B">
        <w:rPr>
          <w:i/>
          <w:szCs w:val="22"/>
        </w:rPr>
        <w:t>Order</w:t>
      </w:r>
      <w:r w:rsidR="009E7FEF" w:rsidRPr="00E5219B">
        <w:rPr>
          <w:szCs w:val="22"/>
        </w:rPr>
        <w:t xml:space="preserve"> </w:t>
      </w:r>
      <w:r w:rsidR="00DA0BE2">
        <w:rPr>
          <w:szCs w:val="22"/>
        </w:rPr>
        <w:t>sets forth</w:t>
      </w:r>
      <w:r w:rsidR="009E7FEF" w:rsidRPr="00E5219B">
        <w:rPr>
          <w:szCs w:val="22"/>
        </w:rPr>
        <w:t xml:space="preserve"> the Commission’s reasons for </w:t>
      </w:r>
      <w:r w:rsidR="005175DE" w:rsidRPr="00E5219B">
        <w:rPr>
          <w:szCs w:val="22"/>
        </w:rPr>
        <w:t xml:space="preserve">departing from </w:t>
      </w:r>
      <w:r w:rsidR="008D0D4D">
        <w:rPr>
          <w:szCs w:val="22"/>
        </w:rPr>
        <w:t>USAC’s past</w:t>
      </w:r>
      <w:r w:rsidR="008D0D4D" w:rsidRPr="00E5219B">
        <w:rPr>
          <w:szCs w:val="22"/>
        </w:rPr>
        <w:t xml:space="preserve"> </w:t>
      </w:r>
      <w:r w:rsidR="005175DE" w:rsidRPr="00E5219B">
        <w:rPr>
          <w:szCs w:val="22"/>
        </w:rPr>
        <w:t>practice</w:t>
      </w:r>
      <w:r>
        <w:rPr>
          <w:szCs w:val="22"/>
        </w:rPr>
        <w:t>, which was</w:t>
      </w:r>
      <w:r w:rsidR="00970F65">
        <w:rPr>
          <w:szCs w:val="22"/>
        </w:rPr>
        <w:t xml:space="preserve"> based on informal guidance from Commission staff</w:t>
      </w:r>
      <w:r w:rsidR="00A33ECF">
        <w:rPr>
          <w:szCs w:val="22"/>
        </w:rPr>
        <w:t>.</w:t>
      </w:r>
      <w:r>
        <w:rPr>
          <w:rStyle w:val="FootnoteReference"/>
          <w:szCs w:val="22"/>
        </w:rPr>
        <w:footnoteReference w:id="25"/>
      </w:r>
      <w:r w:rsidR="00A33ECF">
        <w:rPr>
          <w:szCs w:val="22"/>
        </w:rPr>
        <w:t xml:space="preserve">  </w:t>
      </w:r>
      <w:r w:rsidR="00F80E16">
        <w:rPr>
          <w:szCs w:val="22"/>
        </w:rPr>
        <w:t xml:space="preserve">The </w:t>
      </w:r>
      <w:r w:rsidR="00A33ECF">
        <w:rPr>
          <w:szCs w:val="22"/>
        </w:rPr>
        <w:t xml:space="preserve">Commission </w:t>
      </w:r>
      <w:r w:rsidR="00B62642" w:rsidRPr="00E5219B">
        <w:rPr>
          <w:szCs w:val="22"/>
        </w:rPr>
        <w:t>explain</w:t>
      </w:r>
      <w:r w:rsidR="00A33ECF">
        <w:rPr>
          <w:szCs w:val="22"/>
        </w:rPr>
        <w:t>ed</w:t>
      </w:r>
      <w:r w:rsidR="00B62642" w:rsidRPr="00E5219B">
        <w:rPr>
          <w:szCs w:val="22"/>
        </w:rPr>
        <w:t xml:space="preserve"> that </w:t>
      </w:r>
      <w:r w:rsidR="00A33ECF">
        <w:rPr>
          <w:szCs w:val="22"/>
        </w:rPr>
        <w:t xml:space="preserve">it </w:t>
      </w:r>
      <w:r w:rsidR="00B62642" w:rsidRPr="00E5219B">
        <w:rPr>
          <w:szCs w:val="22"/>
        </w:rPr>
        <w:t xml:space="preserve">interpreted “former reservations in Oklahoma” </w:t>
      </w:r>
      <w:r w:rsidR="00052CEA">
        <w:rPr>
          <w:szCs w:val="22"/>
        </w:rPr>
        <w:t xml:space="preserve">to be defined by </w:t>
      </w:r>
      <w:r w:rsidR="00B62642" w:rsidRPr="00E5219B">
        <w:rPr>
          <w:szCs w:val="22"/>
        </w:rPr>
        <w:t xml:space="preserve">the geographic boundaries reflected in the Oklahoma Historical Map </w:t>
      </w:r>
      <w:r w:rsidR="00BA1FFE" w:rsidRPr="00E5219B">
        <w:rPr>
          <w:szCs w:val="22"/>
        </w:rPr>
        <w:t>because that interpretation more accurately</w:t>
      </w:r>
      <w:r w:rsidR="009A58D9" w:rsidRPr="00E5219B">
        <w:rPr>
          <w:szCs w:val="22"/>
        </w:rPr>
        <w:t xml:space="preserve"> “comports with the complex legal history within Oklahoma</w:t>
      </w:r>
      <w:r w:rsidR="00BA1FFE" w:rsidRPr="00E5219B">
        <w:rPr>
          <w:szCs w:val="22"/>
        </w:rPr>
        <w:t>,</w:t>
      </w:r>
      <w:r w:rsidR="009A58D9" w:rsidRPr="00E5219B">
        <w:rPr>
          <w:szCs w:val="22"/>
        </w:rPr>
        <w:t>”</w:t>
      </w:r>
      <w:r w:rsidR="009A58D9" w:rsidRPr="00E5219B">
        <w:rPr>
          <w:rStyle w:val="FootnoteReference"/>
          <w:sz w:val="22"/>
          <w:szCs w:val="22"/>
        </w:rPr>
        <w:footnoteReference w:id="26"/>
      </w:r>
      <w:r w:rsidR="0059238B" w:rsidRPr="00E5219B">
        <w:rPr>
          <w:szCs w:val="22"/>
        </w:rPr>
        <w:t xml:space="preserve"> </w:t>
      </w:r>
      <w:r w:rsidR="00BA1FFE" w:rsidRPr="00E5219B">
        <w:rPr>
          <w:szCs w:val="22"/>
        </w:rPr>
        <w:t xml:space="preserve">and </w:t>
      </w:r>
      <w:r w:rsidR="0059238B" w:rsidRPr="00E5219B">
        <w:rPr>
          <w:szCs w:val="22"/>
        </w:rPr>
        <w:t>“</w:t>
      </w:r>
      <w:r w:rsidR="00BA1FFE" w:rsidRPr="00E5219B">
        <w:rPr>
          <w:szCs w:val="22"/>
        </w:rPr>
        <w:t>improv[es]</w:t>
      </w:r>
      <w:r w:rsidR="0059238B" w:rsidRPr="00E5219B">
        <w:rPr>
          <w:szCs w:val="22"/>
        </w:rPr>
        <w:t xml:space="preserve"> administration of the Lifeline program and distribution of enhanced Tribal support.”</w:t>
      </w:r>
      <w:r w:rsidR="0059238B" w:rsidRPr="00E5219B">
        <w:rPr>
          <w:rStyle w:val="FootnoteReference"/>
          <w:sz w:val="22"/>
          <w:szCs w:val="22"/>
        </w:rPr>
        <w:footnoteReference w:id="27"/>
      </w:r>
      <w:r w:rsidR="00511B0B" w:rsidRPr="00E5219B">
        <w:rPr>
          <w:szCs w:val="22"/>
        </w:rPr>
        <w:t xml:space="preserve">  The </w:t>
      </w:r>
      <w:r w:rsidR="00511B0B" w:rsidRPr="00E5219B">
        <w:rPr>
          <w:i/>
          <w:szCs w:val="22"/>
        </w:rPr>
        <w:t>Order</w:t>
      </w:r>
      <w:r w:rsidR="00511B0B" w:rsidRPr="00E5219B">
        <w:rPr>
          <w:szCs w:val="22"/>
        </w:rPr>
        <w:t xml:space="preserve"> also explains that the</w:t>
      </w:r>
      <w:r w:rsidR="00EB3707" w:rsidRPr="00E5219B">
        <w:rPr>
          <w:szCs w:val="22"/>
        </w:rPr>
        <w:t xml:space="preserve"> Oklahoma Historical Map “represents actual former reservation boundaries prescribed by Acts of Congress – both laws and treaties,”</w:t>
      </w:r>
      <w:r w:rsidR="00EB3707" w:rsidRPr="00E5219B">
        <w:rPr>
          <w:rStyle w:val="FootnoteReference"/>
          <w:sz w:val="22"/>
          <w:szCs w:val="22"/>
        </w:rPr>
        <w:footnoteReference w:id="28"/>
      </w:r>
      <w:r w:rsidR="00EB3707" w:rsidRPr="00E5219B">
        <w:rPr>
          <w:szCs w:val="22"/>
        </w:rPr>
        <w:t xml:space="preserve"> provides more clarity for the address-based eligibility criteria used in the Lifeline program,</w:t>
      </w:r>
      <w:r w:rsidR="00EB3707" w:rsidRPr="00E5219B">
        <w:rPr>
          <w:rStyle w:val="FootnoteReference"/>
          <w:sz w:val="22"/>
          <w:szCs w:val="22"/>
        </w:rPr>
        <w:footnoteReference w:id="29"/>
      </w:r>
      <w:r w:rsidR="00EB3707" w:rsidRPr="00E5219B">
        <w:rPr>
          <w:szCs w:val="22"/>
        </w:rPr>
        <w:t xml:space="preserve"> and </w:t>
      </w:r>
      <w:r w:rsidR="000A6E2D" w:rsidRPr="00E5219B">
        <w:rPr>
          <w:szCs w:val="22"/>
        </w:rPr>
        <w:t>“ensure</w:t>
      </w:r>
      <w:r w:rsidR="00E47977" w:rsidRPr="00E5219B">
        <w:rPr>
          <w:szCs w:val="22"/>
        </w:rPr>
        <w:t>[s]</w:t>
      </w:r>
      <w:r w:rsidR="000A6E2D" w:rsidRPr="00E5219B">
        <w:rPr>
          <w:szCs w:val="22"/>
        </w:rPr>
        <w:t xml:space="preserve"> that funds are allocated for the intended purpose of assisting those living on Tribal lands, which typically have lower adoption rates for telecommunications services.”</w:t>
      </w:r>
      <w:r w:rsidR="000A6E2D" w:rsidRPr="00E5219B">
        <w:rPr>
          <w:rStyle w:val="FootnoteReference"/>
          <w:sz w:val="22"/>
          <w:szCs w:val="22"/>
        </w:rPr>
        <w:footnoteReference w:id="30"/>
      </w:r>
      <w:r w:rsidR="00A33ECF">
        <w:rPr>
          <w:szCs w:val="22"/>
        </w:rPr>
        <w:t xml:space="preserve">  </w:t>
      </w:r>
    </w:p>
    <w:p w14:paraId="5D682345" w14:textId="2D62D148" w:rsidR="009A58D9" w:rsidRPr="00E5219B" w:rsidRDefault="00CD40EF" w:rsidP="00305DA9">
      <w:pPr>
        <w:pStyle w:val="ParaNum"/>
        <w:widowControl/>
        <w:ind w:firstLine="720"/>
        <w:rPr>
          <w:szCs w:val="22"/>
        </w:rPr>
      </w:pPr>
      <w:r>
        <w:rPr>
          <w:szCs w:val="22"/>
        </w:rPr>
        <w:t>Third, contrary to another claim by Petitioners,</w:t>
      </w:r>
      <w:r w:rsidR="000665A1">
        <w:rPr>
          <w:rStyle w:val="FootnoteReference"/>
          <w:szCs w:val="22"/>
        </w:rPr>
        <w:footnoteReference w:id="31"/>
      </w:r>
      <w:r>
        <w:rPr>
          <w:szCs w:val="22"/>
        </w:rPr>
        <w:t xml:space="preserve"> t</w:t>
      </w:r>
      <w:r w:rsidR="00A33ECF">
        <w:rPr>
          <w:szCs w:val="22"/>
        </w:rPr>
        <w:t xml:space="preserve">he Commission accounted for any </w:t>
      </w:r>
      <w:r w:rsidR="00A33ECF" w:rsidRPr="00E5219B">
        <w:rPr>
          <w:szCs w:val="22"/>
        </w:rPr>
        <w:t xml:space="preserve">impact </w:t>
      </w:r>
      <w:r w:rsidR="00A33ECF">
        <w:rPr>
          <w:szCs w:val="22"/>
        </w:rPr>
        <w:t xml:space="preserve">the </w:t>
      </w:r>
      <w:r w:rsidR="00A33ECF" w:rsidRPr="00E5219B">
        <w:rPr>
          <w:szCs w:val="22"/>
        </w:rPr>
        <w:t xml:space="preserve">interpretation will have on carriers and subscribers, </w:t>
      </w:r>
      <w:r w:rsidR="00A33ECF">
        <w:rPr>
          <w:szCs w:val="22"/>
        </w:rPr>
        <w:t>by ensuring</w:t>
      </w:r>
      <w:r w:rsidR="00A33ECF" w:rsidRPr="00E5219B">
        <w:rPr>
          <w:szCs w:val="22"/>
        </w:rPr>
        <w:t xml:space="preserve"> </w:t>
      </w:r>
      <w:r w:rsidR="00052CEA">
        <w:rPr>
          <w:szCs w:val="22"/>
        </w:rPr>
        <w:t>that affected</w:t>
      </w:r>
      <w:r w:rsidR="00A33ECF" w:rsidRPr="00E5219B">
        <w:rPr>
          <w:szCs w:val="22"/>
        </w:rPr>
        <w:t xml:space="preserve"> parties have sufficient time to transition to the Oklahoma Historical Map.</w:t>
      </w:r>
      <w:r w:rsidR="00A33ECF" w:rsidRPr="00E5219B">
        <w:rPr>
          <w:rStyle w:val="FootnoteReference"/>
          <w:sz w:val="22"/>
          <w:szCs w:val="22"/>
        </w:rPr>
        <w:footnoteReference w:id="32"/>
      </w:r>
      <w:r w:rsidR="00A33ECF" w:rsidRPr="00E5219B">
        <w:rPr>
          <w:szCs w:val="22"/>
        </w:rPr>
        <w:t xml:space="preserve">  </w:t>
      </w:r>
      <w:r w:rsidR="008D0D4D">
        <w:rPr>
          <w:szCs w:val="22"/>
        </w:rPr>
        <w:t xml:space="preserve">Moreover, Lifeline-eligible subscribers in areas formerly treated as residing on </w:t>
      </w:r>
      <w:r w:rsidR="008D0D4D" w:rsidRPr="00E5219B">
        <w:rPr>
          <w:szCs w:val="22"/>
        </w:rPr>
        <w:t>“former reservations in Oklahoma”</w:t>
      </w:r>
      <w:r w:rsidR="008D0D4D">
        <w:rPr>
          <w:szCs w:val="22"/>
        </w:rPr>
        <w:t xml:space="preserve"> under past USAC practice will remain eligible for the basic Lifeline discount just like other similarly</w:t>
      </w:r>
      <w:r w:rsidR="006611B8">
        <w:rPr>
          <w:szCs w:val="22"/>
        </w:rPr>
        <w:t xml:space="preserve"> </w:t>
      </w:r>
      <w:r w:rsidR="008D0D4D">
        <w:rPr>
          <w:szCs w:val="22"/>
        </w:rPr>
        <w:t>situated subscribers.</w:t>
      </w:r>
      <w:r w:rsidR="008D0D4D">
        <w:rPr>
          <w:rStyle w:val="FootnoteReference"/>
          <w:szCs w:val="22"/>
        </w:rPr>
        <w:footnoteReference w:id="33"/>
      </w:r>
    </w:p>
    <w:p w14:paraId="7F1DFE9B" w14:textId="752F2E0C" w:rsidR="00826913" w:rsidRPr="00E5219B" w:rsidRDefault="00CD40EF" w:rsidP="00305DA9">
      <w:pPr>
        <w:pStyle w:val="ParaNum"/>
        <w:widowControl/>
        <w:ind w:firstLine="720"/>
        <w:rPr>
          <w:szCs w:val="22"/>
        </w:rPr>
      </w:pPr>
      <w:r>
        <w:rPr>
          <w:szCs w:val="22"/>
        </w:rPr>
        <w:t xml:space="preserve">Fourth, </w:t>
      </w:r>
      <w:r w:rsidR="00826913" w:rsidRPr="00E5219B">
        <w:rPr>
          <w:szCs w:val="22"/>
        </w:rPr>
        <w:t xml:space="preserve">Petitioners argue that the </w:t>
      </w:r>
      <w:r w:rsidR="00826913" w:rsidRPr="00E5219B">
        <w:rPr>
          <w:i/>
          <w:szCs w:val="22"/>
        </w:rPr>
        <w:t>Order</w:t>
      </w:r>
      <w:r w:rsidR="00826913" w:rsidRPr="00E5219B">
        <w:rPr>
          <w:szCs w:val="22"/>
        </w:rPr>
        <w:t xml:space="preserve"> is arbitrary and capricious because it did not reconcile its use of the Oklahoma Historical Map with </w:t>
      </w:r>
      <w:r w:rsidR="003930EB">
        <w:rPr>
          <w:szCs w:val="22"/>
        </w:rPr>
        <w:t xml:space="preserve">the Department of the Interior’s </w:t>
      </w:r>
      <w:r w:rsidR="008E188D" w:rsidRPr="00E5219B">
        <w:rPr>
          <w:szCs w:val="22"/>
        </w:rPr>
        <w:t>Bureau of Indian Affairs (BIA) rules for financial assistance and social support programs.</w:t>
      </w:r>
      <w:r w:rsidR="008E188D" w:rsidRPr="00E5219B">
        <w:rPr>
          <w:rStyle w:val="FootnoteReference"/>
          <w:sz w:val="22"/>
          <w:szCs w:val="22"/>
        </w:rPr>
        <w:footnoteReference w:id="34"/>
      </w:r>
      <w:r w:rsidR="00D162AB" w:rsidRPr="00E5219B">
        <w:rPr>
          <w:szCs w:val="22"/>
        </w:rPr>
        <w:t xml:space="preserve">  </w:t>
      </w:r>
      <w:r w:rsidR="00A33ECF">
        <w:rPr>
          <w:szCs w:val="22"/>
        </w:rPr>
        <w:t>T</w:t>
      </w:r>
      <w:r w:rsidR="003109CF" w:rsidRPr="00E5219B">
        <w:rPr>
          <w:szCs w:val="22"/>
        </w:rPr>
        <w:t>he Commission’s interpretation of “former reservations in Oklahoma</w:t>
      </w:r>
      <w:r w:rsidR="00A33ECF">
        <w:rPr>
          <w:szCs w:val="22"/>
        </w:rPr>
        <w:t>,</w:t>
      </w:r>
      <w:r w:rsidR="003109CF" w:rsidRPr="00E5219B">
        <w:rPr>
          <w:szCs w:val="22"/>
        </w:rPr>
        <w:t xml:space="preserve">” </w:t>
      </w:r>
      <w:r w:rsidR="00A33ECF">
        <w:rPr>
          <w:szCs w:val="22"/>
        </w:rPr>
        <w:t xml:space="preserve">however, </w:t>
      </w:r>
      <w:r w:rsidR="003109CF" w:rsidRPr="00E5219B">
        <w:rPr>
          <w:szCs w:val="22"/>
        </w:rPr>
        <w:t>is limited to the administration of the Lifeline program, an</w:t>
      </w:r>
      <w:r w:rsidR="000D1106" w:rsidRPr="00E5219B">
        <w:rPr>
          <w:szCs w:val="22"/>
        </w:rPr>
        <w:t>d other support programs targeted</w:t>
      </w:r>
      <w:r w:rsidR="003109CF" w:rsidRPr="00E5219B">
        <w:rPr>
          <w:szCs w:val="22"/>
        </w:rPr>
        <w:t xml:space="preserve"> to Tribal communities may properly use different rules </w:t>
      </w:r>
      <w:r w:rsidR="000566D9" w:rsidRPr="00E5219B">
        <w:rPr>
          <w:szCs w:val="22"/>
        </w:rPr>
        <w:t>that encompass</w:t>
      </w:r>
      <w:r w:rsidR="003109CF" w:rsidRPr="00E5219B">
        <w:rPr>
          <w:szCs w:val="22"/>
        </w:rPr>
        <w:t xml:space="preserve"> correspondingly different geographic areas.</w:t>
      </w:r>
      <w:r w:rsidR="00A30AFF" w:rsidRPr="00E5219B">
        <w:rPr>
          <w:rStyle w:val="FootnoteReference"/>
          <w:sz w:val="22"/>
          <w:szCs w:val="22"/>
        </w:rPr>
        <w:footnoteReference w:id="35"/>
      </w:r>
      <w:r w:rsidR="00784A8A" w:rsidRPr="00E5219B">
        <w:rPr>
          <w:szCs w:val="22"/>
        </w:rPr>
        <w:t xml:space="preserve">  </w:t>
      </w:r>
      <w:r w:rsidR="004C6221" w:rsidRPr="00E5219B">
        <w:rPr>
          <w:szCs w:val="22"/>
        </w:rPr>
        <w:t>Moreover</w:t>
      </w:r>
      <w:r w:rsidR="004A24CF" w:rsidRPr="00E5219B">
        <w:rPr>
          <w:szCs w:val="22"/>
        </w:rPr>
        <w:t xml:space="preserve">, </w:t>
      </w:r>
      <w:r w:rsidR="001C6CEF">
        <w:rPr>
          <w:szCs w:val="22"/>
        </w:rPr>
        <w:t>Petitioners cannot plausibly claim that the Commission’s reliance on the Oklahoma Historical Map is inconsistent with the BIA’s views regarding the location of former reservations in Oklahoma.  T</w:t>
      </w:r>
      <w:r w:rsidR="004A24CF" w:rsidRPr="00E5219B">
        <w:rPr>
          <w:szCs w:val="22"/>
        </w:rPr>
        <w:t xml:space="preserve">he </w:t>
      </w:r>
      <w:r w:rsidR="004A24CF" w:rsidRPr="00E5219B">
        <w:rPr>
          <w:i/>
          <w:szCs w:val="22"/>
        </w:rPr>
        <w:t>Order</w:t>
      </w:r>
      <w:r w:rsidR="004A24CF" w:rsidRPr="00E5219B">
        <w:rPr>
          <w:szCs w:val="22"/>
        </w:rPr>
        <w:t xml:space="preserve"> explicitly states that </w:t>
      </w:r>
      <w:r w:rsidR="003109CF" w:rsidRPr="00E5219B">
        <w:rPr>
          <w:szCs w:val="22"/>
        </w:rPr>
        <w:t>the Commission</w:t>
      </w:r>
      <w:r w:rsidR="004A24CF" w:rsidRPr="00E5219B">
        <w:rPr>
          <w:szCs w:val="22"/>
        </w:rPr>
        <w:t xml:space="preserve"> received the </w:t>
      </w:r>
      <w:r w:rsidR="00950DBA" w:rsidRPr="00E5219B">
        <w:rPr>
          <w:szCs w:val="22"/>
        </w:rPr>
        <w:t xml:space="preserve">Oklahoma Historical Map from BIA and, “consistent with [the Commission’s] past and present recognition of the BIA’s expertise and its federal trust relationship and responsibilities to Tribal Nations,” </w:t>
      </w:r>
      <w:r w:rsidR="000F400C">
        <w:rPr>
          <w:szCs w:val="22"/>
        </w:rPr>
        <w:t>relied on</w:t>
      </w:r>
      <w:r w:rsidR="000F400C" w:rsidRPr="00E5219B">
        <w:rPr>
          <w:szCs w:val="22"/>
        </w:rPr>
        <w:t xml:space="preserve"> </w:t>
      </w:r>
      <w:r w:rsidR="00950DBA" w:rsidRPr="00E5219B">
        <w:rPr>
          <w:szCs w:val="22"/>
        </w:rPr>
        <w:t xml:space="preserve">the Oklahoma Historical Map </w:t>
      </w:r>
      <w:r w:rsidR="004A24CF" w:rsidRPr="00E5219B">
        <w:rPr>
          <w:szCs w:val="22"/>
        </w:rPr>
        <w:t xml:space="preserve">as </w:t>
      </w:r>
      <w:r w:rsidR="002A518A" w:rsidRPr="00E5219B">
        <w:rPr>
          <w:szCs w:val="22"/>
        </w:rPr>
        <w:t>a</w:t>
      </w:r>
      <w:r w:rsidR="004A24CF" w:rsidRPr="00E5219B">
        <w:rPr>
          <w:szCs w:val="22"/>
        </w:rPr>
        <w:t xml:space="preserve"> more accurate reflection of “former reservations in Oklahoma</w:t>
      </w:r>
      <w:r w:rsidR="003930EB">
        <w:rPr>
          <w:szCs w:val="22"/>
        </w:rPr>
        <w:t>.</w:t>
      </w:r>
      <w:r w:rsidR="004A24CF" w:rsidRPr="00E5219B">
        <w:rPr>
          <w:szCs w:val="22"/>
        </w:rPr>
        <w:t>”</w:t>
      </w:r>
      <w:r w:rsidR="003209A9">
        <w:rPr>
          <w:rStyle w:val="FootnoteReference"/>
          <w:szCs w:val="22"/>
        </w:rPr>
        <w:footnoteReference w:id="36"/>
      </w:r>
      <w:r w:rsidR="003209A9">
        <w:rPr>
          <w:szCs w:val="22"/>
        </w:rPr>
        <w:t xml:space="preserve"> </w:t>
      </w:r>
      <w:r w:rsidR="003930EB">
        <w:rPr>
          <w:szCs w:val="22"/>
        </w:rPr>
        <w:t xml:space="preserve"> Recognizing the Department of the Interior’s “jurisdictional authority over many administrative trust responsibilities with respect to the Tribal lands in Oklahoma,” the Commission adopted the Oklahoma Historical Map and departed from </w:t>
      </w:r>
      <w:r w:rsidR="003209A9">
        <w:rPr>
          <w:szCs w:val="22"/>
        </w:rPr>
        <w:t>the map that had previously been used based on informal guidance from Commission staff in 2004.</w:t>
      </w:r>
      <w:r w:rsidR="004A24CF" w:rsidRPr="00E5219B">
        <w:rPr>
          <w:rStyle w:val="FootnoteReference"/>
          <w:sz w:val="22"/>
          <w:szCs w:val="22"/>
        </w:rPr>
        <w:footnoteReference w:id="37"/>
      </w:r>
    </w:p>
    <w:p w14:paraId="255A6978" w14:textId="5E06871B" w:rsidR="00564476" w:rsidRPr="00564476" w:rsidRDefault="00AB549D" w:rsidP="00305DA9">
      <w:pPr>
        <w:pStyle w:val="ParaNum"/>
        <w:widowControl/>
        <w:ind w:firstLine="720"/>
        <w:rPr>
          <w:szCs w:val="22"/>
        </w:rPr>
      </w:pPr>
      <w:r w:rsidRPr="00E5219B">
        <w:rPr>
          <w:szCs w:val="22"/>
        </w:rPr>
        <w:t xml:space="preserve">Finally, Petitioners argue that </w:t>
      </w:r>
      <w:r w:rsidR="003A4527" w:rsidRPr="00E5219B">
        <w:rPr>
          <w:szCs w:val="22"/>
        </w:rPr>
        <w:t xml:space="preserve">the </w:t>
      </w:r>
      <w:r w:rsidR="003A4527" w:rsidRPr="00E5219B">
        <w:rPr>
          <w:i/>
          <w:szCs w:val="22"/>
        </w:rPr>
        <w:t>Order</w:t>
      </w:r>
      <w:r w:rsidR="003A4527" w:rsidRPr="00E5219B">
        <w:rPr>
          <w:szCs w:val="22"/>
        </w:rPr>
        <w:t xml:space="preserve"> does not take into account problems administering the Oklahoma Historical Map due to uncertainty over the exact boundaries reflected in the map.</w:t>
      </w:r>
      <w:r w:rsidR="003A4527" w:rsidRPr="00E5219B">
        <w:rPr>
          <w:rStyle w:val="FootnoteReference"/>
          <w:sz w:val="22"/>
          <w:szCs w:val="22"/>
        </w:rPr>
        <w:footnoteReference w:id="38"/>
      </w:r>
      <w:r w:rsidR="003431C8" w:rsidRPr="00E5219B">
        <w:rPr>
          <w:szCs w:val="22"/>
        </w:rPr>
        <w:t xml:space="preserve">  As described above, the Commission established a transition </w:t>
      </w:r>
      <w:r w:rsidR="00A33ECF">
        <w:rPr>
          <w:szCs w:val="22"/>
        </w:rPr>
        <w:t xml:space="preserve">and consultation </w:t>
      </w:r>
      <w:r w:rsidR="003431C8" w:rsidRPr="00E5219B">
        <w:rPr>
          <w:szCs w:val="22"/>
        </w:rPr>
        <w:t xml:space="preserve">period to allow sufficient time for the </w:t>
      </w:r>
      <w:r w:rsidR="001D7DB3">
        <w:rPr>
          <w:szCs w:val="22"/>
        </w:rPr>
        <w:t>Commission</w:t>
      </w:r>
      <w:r w:rsidR="001D7DB3" w:rsidRPr="00E5219B">
        <w:rPr>
          <w:szCs w:val="22"/>
        </w:rPr>
        <w:t xml:space="preserve"> </w:t>
      </w:r>
      <w:r w:rsidR="003431C8" w:rsidRPr="00E5219B">
        <w:rPr>
          <w:szCs w:val="22"/>
        </w:rPr>
        <w:t>to consult with relevant Tribal governments</w:t>
      </w:r>
      <w:r w:rsidR="00A33ECF">
        <w:rPr>
          <w:szCs w:val="22"/>
        </w:rPr>
        <w:t>,</w:t>
      </w:r>
      <w:r w:rsidR="003431C8" w:rsidRPr="00E5219B">
        <w:rPr>
          <w:szCs w:val="22"/>
        </w:rPr>
        <w:t xml:space="preserve"> </w:t>
      </w:r>
      <w:r w:rsidR="00A33ECF">
        <w:rPr>
          <w:szCs w:val="22"/>
        </w:rPr>
        <w:t xml:space="preserve">to </w:t>
      </w:r>
      <w:r w:rsidR="003431C8" w:rsidRPr="00E5219B">
        <w:rPr>
          <w:szCs w:val="22"/>
        </w:rPr>
        <w:t xml:space="preserve">seek input from the OCC, and to coordinate </w:t>
      </w:r>
      <w:r w:rsidR="001A7958" w:rsidRPr="00E5219B">
        <w:rPr>
          <w:szCs w:val="22"/>
        </w:rPr>
        <w:t>a seamless transition to the Oklahoma Historical Map.</w:t>
      </w:r>
      <w:r w:rsidR="001A7958" w:rsidRPr="00E5219B">
        <w:rPr>
          <w:rStyle w:val="FootnoteReference"/>
          <w:sz w:val="22"/>
          <w:szCs w:val="22"/>
        </w:rPr>
        <w:footnoteReference w:id="39"/>
      </w:r>
      <w:r w:rsidR="00564476">
        <w:rPr>
          <w:szCs w:val="22"/>
        </w:rPr>
        <w:t xml:space="preserve">  In addition, by providing a formal Commission interpretation of what is meant by the term “former reservations in Oklahoma” found in the rules, the Commission has provided considerably greater certainty than existed prior to the </w:t>
      </w:r>
      <w:r w:rsidR="00564476">
        <w:rPr>
          <w:i/>
          <w:szCs w:val="22"/>
        </w:rPr>
        <w:t>Order</w:t>
      </w:r>
      <w:r w:rsidR="00564476">
        <w:rPr>
          <w:szCs w:val="22"/>
        </w:rPr>
        <w:t xml:space="preserve">.  That is, until the </w:t>
      </w:r>
      <w:r w:rsidR="00564476">
        <w:rPr>
          <w:i/>
          <w:szCs w:val="22"/>
        </w:rPr>
        <w:t>Order</w:t>
      </w:r>
      <w:r w:rsidR="00564476">
        <w:rPr>
          <w:szCs w:val="22"/>
        </w:rPr>
        <w:t xml:space="preserve">, the question of </w:t>
      </w:r>
      <w:r w:rsidR="00E810C6">
        <w:rPr>
          <w:szCs w:val="22"/>
        </w:rPr>
        <w:t xml:space="preserve">how USAC would determine </w:t>
      </w:r>
      <w:r w:rsidR="00564476">
        <w:rPr>
          <w:szCs w:val="22"/>
        </w:rPr>
        <w:t xml:space="preserve">the boundaries of former reservations in Oklahoma </w:t>
      </w:r>
      <w:r w:rsidR="00E810C6">
        <w:rPr>
          <w:szCs w:val="22"/>
        </w:rPr>
        <w:t xml:space="preserve">in its administration of the Lifeline program </w:t>
      </w:r>
      <w:r w:rsidR="00564476">
        <w:rPr>
          <w:szCs w:val="22"/>
        </w:rPr>
        <w:t>could have changed at any time and without any transition period, whereas now it is the subject of a Commission-level decision</w:t>
      </w:r>
      <w:r w:rsidR="00DD1F1D">
        <w:rPr>
          <w:szCs w:val="22"/>
        </w:rPr>
        <w:t xml:space="preserve"> which USAC, Commission staff, and </w:t>
      </w:r>
      <w:r w:rsidR="00564476">
        <w:rPr>
          <w:szCs w:val="22"/>
        </w:rPr>
        <w:t xml:space="preserve">all </w:t>
      </w:r>
      <w:r w:rsidR="00DD1F1D">
        <w:rPr>
          <w:szCs w:val="22"/>
        </w:rPr>
        <w:t xml:space="preserve">other </w:t>
      </w:r>
      <w:r w:rsidR="00E810C6">
        <w:rPr>
          <w:szCs w:val="22"/>
        </w:rPr>
        <w:t>parties affected</w:t>
      </w:r>
      <w:r w:rsidR="00DD1F1D">
        <w:rPr>
          <w:szCs w:val="22"/>
        </w:rPr>
        <w:t xml:space="preserve"> are bound to follow</w:t>
      </w:r>
      <w:r w:rsidR="00564476">
        <w:rPr>
          <w:szCs w:val="22"/>
        </w:rPr>
        <w:t>.</w:t>
      </w:r>
    </w:p>
    <w:p w14:paraId="4BF53EFA" w14:textId="77777777" w:rsidR="009A58D9" w:rsidRPr="00E5219B" w:rsidRDefault="007E4821" w:rsidP="00A42FAE">
      <w:pPr>
        <w:pStyle w:val="ParaNum"/>
        <w:widowControl/>
        <w:ind w:firstLine="720"/>
        <w:rPr>
          <w:szCs w:val="22"/>
        </w:rPr>
      </w:pPr>
      <w:r w:rsidRPr="00E5219B">
        <w:rPr>
          <w:bCs/>
          <w:szCs w:val="22"/>
        </w:rPr>
        <w:t>For the reasons stated above</w:t>
      </w:r>
      <w:r w:rsidR="002F3328" w:rsidRPr="00E5219B">
        <w:rPr>
          <w:bCs/>
          <w:szCs w:val="22"/>
        </w:rPr>
        <w:t xml:space="preserve">, </w:t>
      </w:r>
      <w:r w:rsidR="00B63E47" w:rsidRPr="00E5219B">
        <w:rPr>
          <w:bCs/>
          <w:szCs w:val="22"/>
        </w:rPr>
        <w:t>P</w:t>
      </w:r>
      <w:r w:rsidR="002F3328" w:rsidRPr="00E5219B">
        <w:rPr>
          <w:bCs/>
          <w:szCs w:val="22"/>
        </w:rPr>
        <w:t>etitioners</w:t>
      </w:r>
      <w:r w:rsidR="004C1BEC" w:rsidRPr="00E5219B">
        <w:rPr>
          <w:bCs/>
          <w:szCs w:val="22"/>
        </w:rPr>
        <w:t xml:space="preserve"> have </w:t>
      </w:r>
      <w:r w:rsidR="00C468AE" w:rsidRPr="00E5219B">
        <w:rPr>
          <w:bCs/>
          <w:szCs w:val="22"/>
        </w:rPr>
        <w:t xml:space="preserve">failed to demonstrate a likelihood of success on the </w:t>
      </w:r>
      <w:r w:rsidR="004C1BEC" w:rsidRPr="00E5219B">
        <w:rPr>
          <w:bCs/>
          <w:szCs w:val="22"/>
        </w:rPr>
        <w:t>merits.</w:t>
      </w:r>
    </w:p>
    <w:p w14:paraId="1A7DD071" w14:textId="77777777" w:rsidR="002F3328" w:rsidRPr="00E5219B" w:rsidRDefault="002F3328" w:rsidP="0049272C">
      <w:pPr>
        <w:pStyle w:val="Heading2"/>
        <w:rPr>
          <w:szCs w:val="22"/>
        </w:rPr>
      </w:pPr>
      <w:r w:rsidRPr="00E5219B">
        <w:rPr>
          <w:szCs w:val="22"/>
        </w:rPr>
        <w:t>Petitioner</w:t>
      </w:r>
      <w:r w:rsidR="00D70A2F" w:rsidRPr="00E5219B">
        <w:rPr>
          <w:szCs w:val="22"/>
        </w:rPr>
        <w:t>s</w:t>
      </w:r>
      <w:r w:rsidRPr="00E5219B">
        <w:rPr>
          <w:szCs w:val="22"/>
        </w:rPr>
        <w:t xml:space="preserve"> Will Not Suffer Irreparable Injury</w:t>
      </w:r>
    </w:p>
    <w:p w14:paraId="67B24DCC" w14:textId="77777777" w:rsidR="00391D13" w:rsidRPr="00E5219B" w:rsidRDefault="002F3328" w:rsidP="00305DA9">
      <w:pPr>
        <w:pStyle w:val="ParaNum"/>
        <w:ind w:firstLine="720"/>
        <w:rPr>
          <w:szCs w:val="22"/>
        </w:rPr>
      </w:pPr>
      <w:r w:rsidRPr="00E5219B">
        <w:rPr>
          <w:szCs w:val="22"/>
        </w:rPr>
        <w:t>Several general principles govern the irreparable injury inquiry.  First, “the injury must be both certain and great; it must be actual and not theoretical.”</w:t>
      </w:r>
      <w:r w:rsidRPr="00E5219B">
        <w:rPr>
          <w:rStyle w:val="FootnoteReference"/>
          <w:sz w:val="22"/>
          <w:szCs w:val="22"/>
        </w:rPr>
        <w:footnoteReference w:id="40"/>
      </w:r>
      <w:r w:rsidRPr="00E5219B">
        <w:rPr>
          <w:szCs w:val="22"/>
        </w:rPr>
        <w:t xml:space="preserve">  A petitioner must also “substantiate the claim that the irreparable injury is ‘likely’ to occur. . .</w:t>
      </w:r>
      <w:r w:rsidR="000C6F09" w:rsidRPr="00E5219B">
        <w:rPr>
          <w:szCs w:val="22"/>
        </w:rPr>
        <w:t xml:space="preserve"> </w:t>
      </w:r>
      <w:r w:rsidRPr="00E5219B">
        <w:rPr>
          <w:szCs w:val="22"/>
        </w:rPr>
        <w:t>. Bare allegations of what is likely to occur are of no value since the court must decide whether the harm will in fact occur.”</w:t>
      </w:r>
      <w:r w:rsidRPr="00E5219B">
        <w:rPr>
          <w:rStyle w:val="FootnoteReference"/>
          <w:sz w:val="22"/>
          <w:szCs w:val="22"/>
        </w:rPr>
        <w:footnoteReference w:id="41"/>
      </w:r>
      <w:r w:rsidRPr="00E5219B">
        <w:rPr>
          <w:szCs w:val="22"/>
        </w:rPr>
        <w:t xml:space="preserve">  </w:t>
      </w:r>
      <w:r w:rsidR="00391D13" w:rsidRPr="00E5219B">
        <w:rPr>
          <w:szCs w:val="22"/>
        </w:rPr>
        <w:t>Further, it is “well settled that economic loss does not, in and of itself, constitute irreparable harm.”</w:t>
      </w:r>
      <w:r w:rsidR="00391D13" w:rsidRPr="00E5219B">
        <w:rPr>
          <w:szCs w:val="22"/>
          <w:vertAlign w:val="superscript"/>
        </w:rPr>
        <w:footnoteReference w:id="42"/>
      </w:r>
      <w:r w:rsidR="000D115B">
        <w:rPr>
          <w:szCs w:val="22"/>
        </w:rPr>
        <w:t xml:space="preserve"> </w:t>
      </w:r>
      <w:r w:rsidR="00391D13" w:rsidRPr="00E5219B">
        <w:rPr>
          <w:szCs w:val="22"/>
        </w:rPr>
        <w:t xml:space="preserve"> There are two exceptions to this rule, neither of which applies to petitioners: (1) when the economic loss threatens the “very existence of the movant’s business,”</w:t>
      </w:r>
      <w:r w:rsidR="00391D13" w:rsidRPr="00E5219B">
        <w:rPr>
          <w:szCs w:val="22"/>
          <w:vertAlign w:val="superscript"/>
        </w:rPr>
        <w:footnoteReference w:id="43"/>
      </w:r>
      <w:r w:rsidR="00391D13" w:rsidRPr="00E5219B">
        <w:rPr>
          <w:szCs w:val="22"/>
        </w:rPr>
        <w:t xml:space="preserve"> and (2) when the economic loss is great, certain, and imminent.</w:t>
      </w:r>
      <w:r w:rsidR="00391D13" w:rsidRPr="00E5219B">
        <w:rPr>
          <w:szCs w:val="22"/>
          <w:vertAlign w:val="superscript"/>
        </w:rPr>
        <w:footnoteReference w:id="44"/>
      </w:r>
    </w:p>
    <w:p w14:paraId="3E5F87A4" w14:textId="77777777" w:rsidR="00391D13" w:rsidRPr="00E5219B" w:rsidRDefault="00391D13" w:rsidP="00305DA9">
      <w:pPr>
        <w:pStyle w:val="ParaNum"/>
        <w:ind w:firstLine="720"/>
        <w:rPr>
          <w:szCs w:val="22"/>
        </w:rPr>
      </w:pPr>
      <w:r w:rsidRPr="00E5219B">
        <w:rPr>
          <w:szCs w:val="22"/>
        </w:rPr>
        <w:t xml:space="preserve">Petitioners have failed to prove that they will suffer an irreparable injury absent a grant of their stay petitions. </w:t>
      </w:r>
      <w:r w:rsidR="000D115B">
        <w:rPr>
          <w:szCs w:val="22"/>
        </w:rPr>
        <w:t xml:space="preserve"> </w:t>
      </w:r>
      <w:r w:rsidRPr="00E5219B">
        <w:rPr>
          <w:szCs w:val="22"/>
        </w:rPr>
        <w:t>Terra</w:t>
      </w:r>
      <w:r w:rsidR="00FB7B79" w:rsidRPr="00E5219B">
        <w:rPr>
          <w:szCs w:val="22"/>
        </w:rPr>
        <w:t>C</w:t>
      </w:r>
      <w:r w:rsidRPr="00E5219B">
        <w:rPr>
          <w:szCs w:val="22"/>
        </w:rPr>
        <w:t>om, Easy Wireless, and Assist Wireless do not claim that their businesses’ “very existence[s]” are threatened, and their alleged economic harms are both unsubstantiated and insufficient to warrant a stay.</w:t>
      </w:r>
      <w:r w:rsidR="000D115B">
        <w:rPr>
          <w:szCs w:val="22"/>
        </w:rPr>
        <w:t xml:space="preserve"> </w:t>
      </w:r>
      <w:r w:rsidRPr="00E5219B">
        <w:rPr>
          <w:szCs w:val="22"/>
        </w:rPr>
        <w:t xml:space="preserve"> While True Wireless alleges that it will “likely” be forced to close,</w:t>
      </w:r>
      <w:r w:rsidRPr="00E5219B">
        <w:rPr>
          <w:rStyle w:val="FootnoteReference"/>
          <w:sz w:val="22"/>
          <w:szCs w:val="22"/>
        </w:rPr>
        <w:footnoteReference w:id="45"/>
      </w:r>
      <w:r w:rsidRPr="00E5219B">
        <w:rPr>
          <w:szCs w:val="22"/>
        </w:rPr>
        <w:t xml:space="preserve"> this unsubstantiated allegation is insufficient to warrant a stay.</w:t>
      </w:r>
    </w:p>
    <w:p w14:paraId="71E37412" w14:textId="4033956A" w:rsidR="00391D13" w:rsidRPr="00E5219B" w:rsidRDefault="00391D13" w:rsidP="00305DA9">
      <w:pPr>
        <w:pStyle w:val="ParaNum"/>
        <w:ind w:firstLine="720"/>
        <w:rPr>
          <w:szCs w:val="22"/>
        </w:rPr>
      </w:pPr>
      <w:r w:rsidRPr="00E5219B">
        <w:rPr>
          <w:i/>
          <w:szCs w:val="22"/>
        </w:rPr>
        <w:t>TerraCom, Easy Wireless</w:t>
      </w:r>
      <w:r w:rsidR="00C46E2D">
        <w:rPr>
          <w:i/>
          <w:szCs w:val="22"/>
        </w:rPr>
        <w:t>,</w:t>
      </w:r>
      <w:r w:rsidRPr="00E5219B">
        <w:rPr>
          <w:i/>
          <w:szCs w:val="22"/>
        </w:rPr>
        <w:t xml:space="preserve"> and Assist Wireless</w:t>
      </w:r>
      <w:r w:rsidRPr="00E5219B">
        <w:rPr>
          <w:szCs w:val="22"/>
        </w:rPr>
        <w:t>.</w:t>
      </w:r>
      <w:r w:rsidR="00173938" w:rsidRPr="00E5219B">
        <w:rPr>
          <w:szCs w:val="22"/>
        </w:rPr>
        <w:t xml:space="preserve">  </w:t>
      </w:r>
      <w:r w:rsidRPr="00E5219B">
        <w:rPr>
          <w:szCs w:val="22"/>
        </w:rPr>
        <w:t xml:space="preserve">TerraCom, Easy Wireless, and Assist Wireless’s alleged harms are economic losses that do not warrant a stay because they are neither great nor certain.  Although </w:t>
      </w:r>
      <w:r w:rsidR="004D2D5A">
        <w:rPr>
          <w:szCs w:val="22"/>
        </w:rPr>
        <w:t>P</w:t>
      </w:r>
      <w:r w:rsidRPr="00E5219B">
        <w:rPr>
          <w:szCs w:val="22"/>
        </w:rPr>
        <w:t>etitioners claim that the new map will also lead to a loss of consumer goodwill,</w:t>
      </w:r>
      <w:r w:rsidRPr="00E5219B">
        <w:rPr>
          <w:szCs w:val="22"/>
          <w:vertAlign w:val="superscript"/>
        </w:rPr>
        <w:footnoteReference w:id="46"/>
      </w:r>
      <w:r w:rsidRPr="00E5219B">
        <w:rPr>
          <w:szCs w:val="22"/>
        </w:rPr>
        <w:t xml:space="preserve"> goodwill has been specifically classified as a type of economic loss that is not irreparable.</w:t>
      </w:r>
      <w:r w:rsidRPr="00E5219B">
        <w:rPr>
          <w:szCs w:val="22"/>
          <w:vertAlign w:val="superscript"/>
        </w:rPr>
        <w:footnoteReference w:id="47"/>
      </w:r>
      <w:r w:rsidR="000D115B">
        <w:rPr>
          <w:szCs w:val="22"/>
        </w:rPr>
        <w:t xml:space="preserve"> </w:t>
      </w:r>
      <w:r w:rsidRPr="00E5219B">
        <w:rPr>
          <w:szCs w:val="22"/>
        </w:rPr>
        <w:t xml:space="preserve"> An economic injury sufficiently “great” to warrant a stay must be both “serious in terms of its effect on the [petitioner]” and unrecoverable.</w:t>
      </w:r>
      <w:r w:rsidRPr="00E5219B">
        <w:rPr>
          <w:szCs w:val="22"/>
          <w:vertAlign w:val="superscript"/>
        </w:rPr>
        <w:t xml:space="preserve"> </w:t>
      </w:r>
      <w:r w:rsidRPr="00E5219B">
        <w:rPr>
          <w:szCs w:val="22"/>
          <w:vertAlign w:val="superscript"/>
        </w:rPr>
        <w:footnoteReference w:id="48"/>
      </w:r>
      <w:r w:rsidRPr="00E5219B">
        <w:rPr>
          <w:szCs w:val="22"/>
        </w:rPr>
        <w:t xml:space="preserve"> </w:t>
      </w:r>
      <w:r w:rsidR="000D115B">
        <w:rPr>
          <w:szCs w:val="22"/>
        </w:rPr>
        <w:t xml:space="preserve"> </w:t>
      </w:r>
      <w:r w:rsidRPr="00E5219B">
        <w:rPr>
          <w:szCs w:val="22"/>
        </w:rPr>
        <w:t>The “mere fact that economic losses may be unrecoverable does not, in and of itself, compel a finding of irreparable harm.”</w:t>
      </w:r>
      <w:r w:rsidRPr="00E5219B">
        <w:rPr>
          <w:szCs w:val="22"/>
          <w:vertAlign w:val="superscript"/>
        </w:rPr>
        <w:footnoteReference w:id="49"/>
      </w:r>
      <w:r w:rsidR="00D07F36" w:rsidRPr="00E5219B">
        <w:rPr>
          <w:szCs w:val="22"/>
        </w:rPr>
        <w:t xml:space="preserve"> </w:t>
      </w:r>
      <w:r w:rsidR="004D182A">
        <w:rPr>
          <w:szCs w:val="22"/>
        </w:rPr>
        <w:t xml:space="preserve"> </w:t>
      </w:r>
    </w:p>
    <w:p w14:paraId="3DE8BA0B" w14:textId="3ED99C6F" w:rsidR="00173938" w:rsidRPr="00E5219B" w:rsidRDefault="00173938" w:rsidP="00305DA9">
      <w:pPr>
        <w:pStyle w:val="ParaNum"/>
        <w:ind w:firstLine="720"/>
        <w:rPr>
          <w:szCs w:val="22"/>
        </w:rPr>
      </w:pPr>
      <w:r w:rsidRPr="00E5219B">
        <w:rPr>
          <w:szCs w:val="22"/>
        </w:rPr>
        <w:t xml:space="preserve">Petitioners’ alleged losses are insufficient to warrant a stay. </w:t>
      </w:r>
      <w:r w:rsidR="004D2D5A">
        <w:rPr>
          <w:szCs w:val="22"/>
        </w:rPr>
        <w:t xml:space="preserve"> </w:t>
      </w:r>
      <w:r w:rsidRPr="00E5219B">
        <w:rPr>
          <w:szCs w:val="22"/>
        </w:rPr>
        <w:t>An alleged economic injury is evaluated in “comparison with the overall financial wherewithal of the corporation involved.”</w:t>
      </w:r>
      <w:r w:rsidRPr="00E5219B">
        <w:rPr>
          <w:rStyle w:val="FootnoteReference"/>
          <w:sz w:val="22"/>
          <w:szCs w:val="22"/>
        </w:rPr>
        <w:footnoteReference w:id="50"/>
      </w:r>
      <w:r w:rsidRPr="00E5219B">
        <w:rPr>
          <w:szCs w:val="22"/>
        </w:rPr>
        <w:t xml:space="preserve"> </w:t>
      </w:r>
      <w:r w:rsidR="004D2D5A">
        <w:rPr>
          <w:szCs w:val="22"/>
        </w:rPr>
        <w:t xml:space="preserve"> </w:t>
      </w:r>
      <w:r w:rsidRPr="00E5219B">
        <w:rPr>
          <w:szCs w:val="22"/>
        </w:rPr>
        <w:t xml:space="preserve">Here, </w:t>
      </w:r>
      <w:r w:rsidR="004D2D5A">
        <w:rPr>
          <w:szCs w:val="22"/>
        </w:rPr>
        <w:t>P</w:t>
      </w:r>
      <w:r w:rsidRPr="00E5219B">
        <w:rPr>
          <w:szCs w:val="22"/>
        </w:rPr>
        <w:t>etitioners have not provided any information about their respective financial status or total revenues, and instead have simply asserted that their lost revenue would be significant enough to warrant a stay.</w:t>
      </w:r>
      <w:r w:rsidR="004D2D5A">
        <w:rPr>
          <w:szCs w:val="22"/>
        </w:rPr>
        <w:t xml:space="preserve"> </w:t>
      </w:r>
      <w:r w:rsidRPr="00E5219B">
        <w:rPr>
          <w:szCs w:val="22"/>
        </w:rPr>
        <w:t xml:space="preserve"> The closest </w:t>
      </w:r>
      <w:r w:rsidR="007A60DE">
        <w:rPr>
          <w:szCs w:val="22"/>
        </w:rPr>
        <w:t>P</w:t>
      </w:r>
      <w:r w:rsidR="007A60DE" w:rsidRPr="00E5219B">
        <w:rPr>
          <w:szCs w:val="22"/>
        </w:rPr>
        <w:t>etitioners</w:t>
      </w:r>
      <w:r w:rsidRPr="00E5219B">
        <w:rPr>
          <w:szCs w:val="22"/>
        </w:rPr>
        <w:t xml:space="preserve"> come to providing revenue figures is their statement that their </w:t>
      </w:r>
      <w:r w:rsidR="007A60DE">
        <w:rPr>
          <w:szCs w:val="22"/>
        </w:rPr>
        <w:t xml:space="preserve">combined </w:t>
      </w:r>
      <w:r w:rsidRPr="00E5219B">
        <w:rPr>
          <w:szCs w:val="22"/>
        </w:rPr>
        <w:t>total revenue would be reduced “by over 1.484 million dollars per month,”</w:t>
      </w:r>
      <w:r w:rsidRPr="00E5219B">
        <w:rPr>
          <w:rStyle w:val="FootnoteReference"/>
          <w:sz w:val="22"/>
          <w:szCs w:val="22"/>
        </w:rPr>
        <w:footnoteReference w:id="51"/>
      </w:r>
      <w:r w:rsidRPr="00E5219B">
        <w:rPr>
          <w:szCs w:val="22"/>
        </w:rPr>
        <w:t xml:space="preserve"> and that they currently “serve over 170,000 customers in Oklahoma</w:t>
      </w:r>
      <w:r w:rsidR="001F1294">
        <w:rPr>
          <w:szCs w:val="22"/>
        </w:rPr>
        <w:t>,</w:t>
      </w:r>
      <w:r w:rsidR="007A60DE" w:rsidRPr="00E5219B">
        <w:rPr>
          <w:szCs w:val="22"/>
        </w:rPr>
        <w:t>”</w:t>
      </w:r>
      <w:r w:rsidR="001F1294">
        <w:rPr>
          <w:szCs w:val="22"/>
        </w:rPr>
        <w:t xml:space="preserve"> the majority of whom will remain eligible for the enhanced subsidy</w:t>
      </w:r>
      <w:r w:rsidR="00562AA9">
        <w:rPr>
          <w:szCs w:val="22"/>
        </w:rPr>
        <w:t>, and all of whom will remain eligible for Lifeline</w:t>
      </w:r>
      <w:r w:rsidR="001F1294">
        <w:rPr>
          <w:szCs w:val="22"/>
        </w:rPr>
        <w:t>.</w:t>
      </w:r>
      <w:r w:rsidR="007A60DE" w:rsidRPr="00E5219B">
        <w:rPr>
          <w:rStyle w:val="FootnoteReference"/>
          <w:sz w:val="22"/>
          <w:szCs w:val="22"/>
        </w:rPr>
        <w:footnoteReference w:id="52"/>
      </w:r>
      <w:r w:rsidR="007A60DE" w:rsidRPr="00E5219B">
        <w:rPr>
          <w:szCs w:val="22"/>
        </w:rPr>
        <w:t xml:space="preserve"> </w:t>
      </w:r>
      <w:r w:rsidR="004D2D5A">
        <w:rPr>
          <w:szCs w:val="22"/>
        </w:rPr>
        <w:t xml:space="preserve"> </w:t>
      </w:r>
      <w:r w:rsidR="001E7C08">
        <w:rPr>
          <w:szCs w:val="22"/>
        </w:rPr>
        <w:t xml:space="preserve">As a threshold matter, each petitioner has previously certified that it </w:t>
      </w:r>
      <w:r w:rsidR="001E7C08" w:rsidRPr="001E7C08">
        <w:rPr>
          <w:szCs w:val="22"/>
        </w:rPr>
        <w:t xml:space="preserve">does not rely solely on USF disbursements because </w:t>
      </w:r>
      <w:r w:rsidR="001F1294">
        <w:rPr>
          <w:szCs w:val="22"/>
        </w:rPr>
        <w:t>it has non-Lifeline customers and</w:t>
      </w:r>
      <w:r w:rsidR="001E7C08">
        <w:rPr>
          <w:szCs w:val="22"/>
        </w:rPr>
        <w:t xml:space="preserve"> additional revenue sources.</w:t>
      </w:r>
      <w:bookmarkStart w:id="1" w:name="_Ref433965166"/>
      <w:r w:rsidR="001E7C08" w:rsidRPr="001E7C08">
        <w:rPr>
          <w:szCs w:val="22"/>
          <w:vertAlign w:val="superscript"/>
        </w:rPr>
        <w:footnoteReference w:id="53"/>
      </w:r>
      <w:bookmarkEnd w:id="1"/>
      <w:r w:rsidR="00A82753">
        <w:rPr>
          <w:szCs w:val="22"/>
        </w:rPr>
        <w:t xml:space="preserve">  </w:t>
      </w:r>
      <w:r w:rsidRPr="00E5219B">
        <w:rPr>
          <w:szCs w:val="22"/>
        </w:rPr>
        <w:t xml:space="preserve">Even assuming, </w:t>
      </w:r>
      <w:r w:rsidRPr="00E5219B">
        <w:rPr>
          <w:i/>
          <w:szCs w:val="22"/>
        </w:rPr>
        <w:t>arguendo</w:t>
      </w:r>
      <w:r w:rsidRPr="00E5219B">
        <w:rPr>
          <w:szCs w:val="22"/>
        </w:rPr>
        <w:t xml:space="preserve">, that </w:t>
      </w:r>
      <w:r w:rsidR="007A60DE">
        <w:rPr>
          <w:szCs w:val="22"/>
        </w:rPr>
        <w:t>P</w:t>
      </w:r>
      <w:r w:rsidR="007A60DE" w:rsidRPr="00E5219B">
        <w:rPr>
          <w:szCs w:val="22"/>
        </w:rPr>
        <w:t>etitioners’</w:t>
      </w:r>
      <w:r w:rsidRPr="00E5219B">
        <w:rPr>
          <w:szCs w:val="22"/>
        </w:rPr>
        <w:t xml:space="preserve"> gross revenues were limited to Lifeline funds, </w:t>
      </w:r>
      <w:r w:rsidR="001E7C08" w:rsidRPr="00E5219B">
        <w:rPr>
          <w:szCs w:val="22"/>
        </w:rPr>
        <w:t>th</w:t>
      </w:r>
      <w:r w:rsidR="001E7C08">
        <w:rPr>
          <w:szCs w:val="22"/>
        </w:rPr>
        <w:t>e projected losses</w:t>
      </w:r>
      <w:r w:rsidR="001E7C08" w:rsidRPr="00E5219B">
        <w:rPr>
          <w:szCs w:val="22"/>
        </w:rPr>
        <w:t xml:space="preserve"> </w:t>
      </w:r>
      <w:r w:rsidRPr="00E5219B">
        <w:rPr>
          <w:szCs w:val="22"/>
        </w:rPr>
        <w:t xml:space="preserve">would </w:t>
      </w:r>
      <w:r w:rsidR="007A60DE">
        <w:rPr>
          <w:szCs w:val="22"/>
        </w:rPr>
        <w:t>be insufficient</w:t>
      </w:r>
      <w:r w:rsidRPr="00E5219B">
        <w:rPr>
          <w:szCs w:val="22"/>
        </w:rPr>
        <w:t xml:space="preserve"> to </w:t>
      </w:r>
      <w:r w:rsidR="007A60DE">
        <w:rPr>
          <w:szCs w:val="22"/>
        </w:rPr>
        <w:t xml:space="preserve">warrant </w:t>
      </w:r>
      <w:r w:rsidRPr="00E5219B">
        <w:rPr>
          <w:szCs w:val="22"/>
        </w:rPr>
        <w:t xml:space="preserve">a </w:t>
      </w:r>
      <w:r w:rsidR="007A60DE">
        <w:rPr>
          <w:szCs w:val="22"/>
        </w:rPr>
        <w:t>stay</w:t>
      </w:r>
      <w:r w:rsidRPr="00E5219B">
        <w:rPr>
          <w:szCs w:val="22"/>
        </w:rPr>
        <w:t>.</w:t>
      </w:r>
      <w:r w:rsidR="007A60DE">
        <w:rPr>
          <w:szCs w:val="22"/>
        </w:rPr>
        <w:t xml:space="preserve">  Through </w:t>
      </w:r>
      <w:r w:rsidR="001E7C08">
        <w:rPr>
          <w:szCs w:val="22"/>
        </w:rPr>
        <w:t>October</w:t>
      </w:r>
      <w:r w:rsidR="007A60DE">
        <w:rPr>
          <w:szCs w:val="22"/>
        </w:rPr>
        <w:t>, Petitioners</w:t>
      </w:r>
      <w:r w:rsidR="00A74BF0">
        <w:rPr>
          <w:szCs w:val="22"/>
        </w:rPr>
        <w:t xml:space="preserve"> together</w:t>
      </w:r>
      <w:r w:rsidR="007A60DE">
        <w:rPr>
          <w:szCs w:val="22"/>
        </w:rPr>
        <w:t xml:space="preserve"> have received USF disbursements</w:t>
      </w:r>
      <w:r w:rsidRPr="00E5219B">
        <w:rPr>
          <w:szCs w:val="22"/>
        </w:rPr>
        <w:t xml:space="preserve"> of </w:t>
      </w:r>
      <w:r w:rsidR="007A60DE">
        <w:rPr>
          <w:szCs w:val="22"/>
        </w:rPr>
        <w:t>over $</w:t>
      </w:r>
      <w:r w:rsidR="001E7C08">
        <w:rPr>
          <w:szCs w:val="22"/>
        </w:rPr>
        <w:t xml:space="preserve">68 </w:t>
      </w:r>
      <w:r w:rsidR="007A60DE">
        <w:rPr>
          <w:szCs w:val="22"/>
        </w:rPr>
        <w:t>million</w:t>
      </w:r>
      <w:r w:rsidR="0081443D">
        <w:rPr>
          <w:szCs w:val="22"/>
        </w:rPr>
        <w:t xml:space="preserve"> in 2015</w:t>
      </w:r>
      <w:r w:rsidR="007A60DE">
        <w:rPr>
          <w:szCs w:val="22"/>
        </w:rPr>
        <w:t>, with an average monthly disbursement of over $6.8 million.</w:t>
      </w:r>
      <w:r w:rsidR="007A60DE">
        <w:rPr>
          <w:rStyle w:val="FootnoteReference"/>
          <w:szCs w:val="22"/>
        </w:rPr>
        <w:footnoteReference w:id="54"/>
      </w:r>
      <w:r w:rsidR="004D2D5A">
        <w:rPr>
          <w:szCs w:val="22"/>
        </w:rPr>
        <w:t xml:space="preserve"> </w:t>
      </w:r>
      <w:r w:rsidRPr="00E5219B">
        <w:rPr>
          <w:szCs w:val="22"/>
        </w:rPr>
        <w:t xml:space="preserve"> </w:t>
      </w:r>
      <w:r w:rsidR="0081443D">
        <w:rPr>
          <w:szCs w:val="22"/>
        </w:rPr>
        <w:t xml:space="preserve">Accordingly, Petitioners’ projected losses are, at most, </w:t>
      </w:r>
      <w:r w:rsidRPr="00E5219B">
        <w:rPr>
          <w:szCs w:val="22"/>
        </w:rPr>
        <w:t>twenty-</w:t>
      </w:r>
      <w:r w:rsidR="0081443D">
        <w:rPr>
          <w:szCs w:val="22"/>
        </w:rPr>
        <w:t>two</w:t>
      </w:r>
      <w:r w:rsidRPr="00E5219B">
        <w:rPr>
          <w:szCs w:val="22"/>
        </w:rPr>
        <w:t xml:space="preserve"> percent of </w:t>
      </w:r>
      <w:r w:rsidR="0081443D">
        <w:rPr>
          <w:szCs w:val="22"/>
        </w:rPr>
        <w:t xml:space="preserve">their </w:t>
      </w:r>
      <w:r w:rsidRPr="00E5219B">
        <w:rPr>
          <w:szCs w:val="22"/>
        </w:rPr>
        <w:t>gross revenues.</w:t>
      </w:r>
      <w:r w:rsidR="0081443D">
        <w:rPr>
          <w:rStyle w:val="FootnoteReference"/>
          <w:szCs w:val="22"/>
        </w:rPr>
        <w:footnoteReference w:id="55"/>
      </w:r>
      <w:r w:rsidR="0081443D">
        <w:rPr>
          <w:szCs w:val="22"/>
        </w:rPr>
        <w:t xml:space="preserve">  </w:t>
      </w:r>
      <w:r w:rsidR="00803C44">
        <w:rPr>
          <w:szCs w:val="22"/>
        </w:rPr>
        <w:t>These projected losses do not</w:t>
      </w:r>
      <w:r w:rsidR="0081443D">
        <w:rPr>
          <w:szCs w:val="22"/>
        </w:rPr>
        <w:t xml:space="preserve"> warrant a stay, because a</w:t>
      </w:r>
      <w:r w:rsidRPr="00E5219B">
        <w:rPr>
          <w:szCs w:val="22"/>
        </w:rPr>
        <w:t xml:space="preserve"> loss of “approximately twenty-five percent” of projected gross revenues is insufficient to constitute the type of irreparable injury that warrants a stay.</w:t>
      </w:r>
      <w:r w:rsidRPr="00E5219B">
        <w:rPr>
          <w:rStyle w:val="FootnoteReference"/>
          <w:sz w:val="22"/>
          <w:szCs w:val="22"/>
        </w:rPr>
        <w:footnoteReference w:id="56"/>
      </w:r>
      <w:r w:rsidRPr="00E5219B">
        <w:rPr>
          <w:szCs w:val="22"/>
        </w:rPr>
        <w:t xml:space="preserve"> </w:t>
      </w:r>
      <w:r w:rsidR="004D2D5A">
        <w:rPr>
          <w:szCs w:val="22"/>
        </w:rPr>
        <w:t xml:space="preserve"> </w:t>
      </w:r>
      <w:r w:rsidRPr="00E5219B">
        <w:rPr>
          <w:szCs w:val="22"/>
        </w:rPr>
        <w:t xml:space="preserve">Accordingly, </w:t>
      </w:r>
      <w:r w:rsidR="004D2D5A">
        <w:rPr>
          <w:szCs w:val="22"/>
        </w:rPr>
        <w:t>P</w:t>
      </w:r>
      <w:r w:rsidRPr="00E5219B">
        <w:rPr>
          <w:szCs w:val="22"/>
        </w:rPr>
        <w:t>etitioners’ claimed injuries are insufficient to warrant a stay.</w:t>
      </w:r>
    </w:p>
    <w:p w14:paraId="24361A3B" w14:textId="3318BED9" w:rsidR="00173938" w:rsidRPr="00E5219B" w:rsidRDefault="00173938" w:rsidP="00305DA9">
      <w:pPr>
        <w:pStyle w:val="ParaNum"/>
        <w:ind w:firstLine="720"/>
        <w:rPr>
          <w:szCs w:val="22"/>
        </w:rPr>
      </w:pPr>
      <w:r w:rsidRPr="00E5219B">
        <w:rPr>
          <w:szCs w:val="22"/>
        </w:rPr>
        <w:t xml:space="preserve">Petitioners’ alleged harms are also recoverable. </w:t>
      </w:r>
      <w:r w:rsidR="004D2D5A">
        <w:rPr>
          <w:szCs w:val="22"/>
        </w:rPr>
        <w:t xml:space="preserve"> </w:t>
      </w:r>
      <w:r w:rsidRPr="00E5219B">
        <w:rPr>
          <w:szCs w:val="22"/>
        </w:rPr>
        <w:t xml:space="preserve">An economic loss is unrecoverable when an affected party has no recourse to recoup </w:t>
      </w:r>
      <w:r w:rsidR="00045EA8" w:rsidRPr="00E5219B">
        <w:rPr>
          <w:szCs w:val="22"/>
        </w:rPr>
        <w:t xml:space="preserve">funds it is </w:t>
      </w:r>
      <w:r w:rsidR="001F1294">
        <w:rPr>
          <w:szCs w:val="22"/>
        </w:rPr>
        <w:t xml:space="preserve">legally </w:t>
      </w:r>
      <w:r w:rsidR="00045EA8" w:rsidRPr="00E5219B">
        <w:rPr>
          <w:szCs w:val="22"/>
        </w:rPr>
        <w:t>entitled to</w:t>
      </w:r>
      <w:r w:rsidRPr="00E5219B">
        <w:rPr>
          <w:szCs w:val="22"/>
        </w:rPr>
        <w:t>, thereby necessitating a stay.</w:t>
      </w:r>
      <w:r w:rsidR="004D2D5A">
        <w:rPr>
          <w:szCs w:val="22"/>
        </w:rPr>
        <w:t xml:space="preserve"> </w:t>
      </w:r>
      <w:r w:rsidRPr="00E5219B">
        <w:rPr>
          <w:szCs w:val="22"/>
        </w:rPr>
        <w:t xml:space="preserve"> </w:t>
      </w:r>
      <w:r w:rsidR="00045EA8" w:rsidRPr="00E5219B">
        <w:rPr>
          <w:szCs w:val="22"/>
        </w:rPr>
        <w:t xml:space="preserve">Both </w:t>
      </w:r>
      <w:r w:rsidRPr="00E5219B">
        <w:rPr>
          <w:szCs w:val="22"/>
        </w:rPr>
        <w:t xml:space="preserve">cases </w:t>
      </w:r>
      <w:r w:rsidR="004D2D5A">
        <w:rPr>
          <w:szCs w:val="22"/>
        </w:rPr>
        <w:t>P</w:t>
      </w:r>
      <w:r w:rsidR="00045EA8" w:rsidRPr="00E5219B">
        <w:rPr>
          <w:szCs w:val="22"/>
        </w:rPr>
        <w:t xml:space="preserve">etitioners cite to </w:t>
      </w:r>
      <w:r w:rsidRPr="00E5219B">
        <w:rPr>
          <w:szCs w:val="22"/>
        </w:rPr>
        <w:t xml:space="preserve">support </w:t>
      </w:r>
      <w:r w:rsidR="00045EA8" w:rsidRPr="00E5219B">
        <w:rPr>
          <w:szCs w:val="22"/>
        </w:rPr>
        <w:t>their claim</w:t>
      </w:r>
      <w:r w:rsidRPr="00E5219B">
        <w:rPr>
          <w:szCs w:val="22"/>
        </w:rPr>
        <w:t xml:space="preserve"> that their </w:t>
      </w:r>
      <w:r w:rsidR="00045EA8" w:rsidRPr="00E5219B">
        <w:rPr>
          <w:szCs w:val="22"/>
        </w:rPr>
        <w:t xml:space="preserve">alleged </w:t>
      </w:r>
      <w:r w:rsidRPr="00E5219B">
        <w:rPr>
          <w:szCs w:val="22"/>
        </w:rPr>
        <w:t>losses are not recoverable</w:t>
      </w:r>
      <w:r w:rsidR="00045EA8" w:rsidRPr="00E5219B">
        <w:rPr>
          <w:szCs w:val="22"/>
        </w:rPr>
        <w:t xml:space="preserve"> involve</w:t>
      </w:r>
      <w:r w:rsidRPr="00E5219B">
        <w:rPr>
          <w:szCs w:val="22"/>
        </w:rPr>
        <w:t xml:space="preserve"> already-earned compensation being withheld</w:t>
      </w:r>
      <w:r w:rsidR="00B32C14" w:rsidRPr="00E5219B">
        <w:rPr>
          <w:szCs w:val="22"/>
        </w:rPr>
        <w:t xml:space="preserve"> or taken away</w:t>
      </w:r>
      <w:r w:rsidRPr="00E5219B">
        <w:rPr>
          <w:szCs w:val="22"/>
        </w:rPr>
        <w:t>.</w:t>
      </w:r>
      <w:r w:rsidR="00045EA8" w:rsidRPr="00E5219B">
        <w:rPr>
          <w:szCs w:val="22"/>
          <w:vertAlign w:val="superscript"/>
        </w:rPr>
        <w:footnoteReference w:id="57"/>
      </w:r>
      <w:r w:rsidR="00045EA8" w:rsidRPr="00E5219B">
        <w:rPr>
          <w:szCs w:val="22"/>
        </w:rPr>
        <w:t xml:space="preserve"> </w:t>
      </w:r>
      <w:r w:rsidR="004D2D5A">
        <w:rPr>
          <w:szCs w:val="22"/>
        </w:rPr>
        <w:t xml:space="preserve"> </w:t>
      </w:r>
      <w:r w:rsidR="00045EA8" w:rsidRPr="00E5219B">
        <w:rPr>
          <w:szCs w:val="22"/>
        </w:rPr>
        <w:t xml:space="preserve">Petitioners’ alleged losses are materially different </w:t>
      </w:r>
      <w:r w:rsidR="001F1294">
        <w:rPr>
          <w:szCs w:val="22"/>
        </w:rPr>
        <w:t>because</w:t>
      </w:r>
      <w:r w:rsidRPr="00E5219B" w:rsidDel="002E32FD">
        <w:rPr>
          <w:szCs w:val="22"/>
        </w:rPr>
        <w:t xml:space="preserve"> </w:t>
      </w:r>
      <w:r w:rsidR="004D2D5A">
        <w:rPr>
          <w:szCs w:val="22"/>
        </w:rPr>
        <w:t>P</w:t>
      </w:r>
      <w:r w:rsidRPr="00E5219B">
        <w:rPr>
          <w:szCs w:val="22"/>
        </w:rPr>
        <w:t xml:space="preserve">etitioners have no legal </w:t>
      </w:r>
      <w:r w:rsidR="00B32C14" w:rsidRPr="00E5219B">
        <w:rPr>
          <w:szCs w:val="22"/>
        </w:rPr>
        <w:t>rights</w:t>
      </w:r>
      <w:r w:rsidRPr="00E5219B">
        <w:rPr>
          <w:szCs w:val="22"/>
        </w:rPr>
        <w:t xml:space="preserve"> to any</w:t>
      </w:r>
      <w:r w:rsidR="00D42282">
        <w:rPr>
          <w:szCs w:val="22"/>
        </w:rPr>
        <w:t xml:space="preserve"> greater</w:t>
      </w:r>
      <w:r w:rsidRPr="00E5219B">
        <w:rPr>
          <w:szCs w:val="22"/>
        </w:rPr>
        <w:t xml:space="preserve"> future </w:t>
      </w:r>
      <w:r w:rsidR="00B32C14" w:rsidRPr="00E5219B">
        <w:rPr>
          <w:szCs w:val="22"/>
        </w:rPr>
        <w:t>USF</w:t>
      </w:r>
      <w:r w:rsidRPr="00E5219B">
        <w:rPr>
          <w:szCs w:val="22"/>
        </w:rPr>
        <w:t xml:space="preserve"> disbursements</w:t>
      </w:r>
      <w:r w:rsidR="00D42282">
        <w:rPr>
          <w:szCs w:val="22"/>
        </w:rPr>
        <w:t xml:space="preserve"> than provided for under Commission rules</w:t>
      </w:r>
      <w:r w:rsidRPr="00E5219B">
        <w:rPr>
          <w:szCs w:val="22"/>
        </w:rPr>
        <w:t>,</w:t>
      </w:r>
      <w:r w:rsidRPr="00E5219B">
        <w:rPr>
          <w:szCs w:val="22"/>
          <w:vertAlign w:val="superscript"/>
        </w:rPr>
        <w:footnoteReference w:id="58"/>
      </w:r>
      <w:r w:rsidRPr="00E5219B">
        <w:rPr>
          <w:szCs w:val="22"/>
        </w:rPr>
        <w:t xml:space="preserve"> </w:t>
      </w:r>
      <w:r w:rsidR="00B32C14" w:rsidRPr="00E5219B">
        <w:rPr>
          <w:szCs w:val="22"/>
        </w:rPr>
        <w:t>because</w:t>
      </w:r>
      <w:r w:rsidRPr="00E5219B">
        <w:rPr>
          <w:szCs w:val="22"/>
        </w:rPr>
        <w:t xml:space="preserve"> they </w:t>
      </w:r>
      <w:r w:rsidR="00B32C14" w:rsidRPr="00E5219B">
        <w:rPr>
          <w:szCs w:val="22"/>
        </w:rPr>
        <w:t>are simply eligible for, and not entitled to, USF funds.</w:t>
      </w:r>
      <w:r w:rsidR="00045EA8" w:rsidRPr="00E5219B">
        <w:rPr>
          <w:szCs w:val="22"/>
          <w:vertAlign w:val="superscript"/>
        </w:rPr>
        <w:footnoteReference w:id="59"/>
      </w:r>
      <w:r w:rsidR="000F7B5B">
        <w:rPr>
          <w:szCs w:val="22"/>
        </w:rPr>
        <w:t xml:space="preserve">  As explained above, </w:t>
      </w:r>
      <w:r w:rsidR="001F0CE7">
        <w:rPr>
          <w:szCs w:val="22"/>
        </w:rPr>
        <w:t xml:space="preserve">as interpreted by the </w:t>
      </w:r>
      <w:r w:rsidR="000F7B5B">
        <w:rPr>
          <w:szCs w:val="22"/>
        </w:rPr>
        <w:t>Commission</w:t>
      </w:r>
      <w:r w:rsidR="001F0CE7">
        <w:rPr>
          <w:szCs w:val="22"/>
        </w:rPr>
        <w:t>, those</w:t>
      </w:r>
      <w:r w:rsidR="000F7B5B">
        <w:rPr>
          <w:szCs w:val="22"/>
        </w:rPr>
        <w:t xml:space="preserve"> rules do not provide for enhanced Tribal support in the</w:t>
      </w:r>
      <w:r w:rsidR="00D42282">
        <w:rPr>
          <w:szCs w:val="22"/>
        </w:rPr>
        <w:t xml:space="preserve"> </w:t>
      </w:r>
      <w:r w:rsidR="000F7B5B">
        <w:rPr>
          <w:szCs w:val="22"/>
        </w:rPr>
        <w:t>areas of Oklahoma</w:t>
      </w:r>
      <w:r w:rsidR="00D42282">
        <w:rPr>
          <w:szCs w:val="22"/>
        </w:rPr>
        <w:t xml:space="preserve"> of concern to Petitioners.</w:t>
      </w:r>
      <w:r w:rsidR="00045EA8" w:rsidRPr="00E5219B">
        <w:rPr>
          <w:szCs w:val="22"/>
        </w:rPr>
        <w:t xml:space="preserve"> </w:t>
      </w:r>
      <w:r w:rsidR="004D2D5A">
        <w:rPr>
          <w:szCs w:val="22"/>
        </w:rPr>
        <w:t xml:space="preserve"> </w:t>
      </w:r>
      <w:r w:rsidRPr="00E5219B">
        <w:rPr>
          <w:szCs w:val="22"/>
        </w:rPr>
        <w:t xml:space="preserve">Additionally, </w:t>
      </w:r>
      <w:r w:rsidR="004D2D5A">
        <w:rPr>
          <w:szCs w:val="22"/>
        </w:rPr>
        <w:t>P</w:t>
      </w:r>
      <w:r w:rsidRPr="00E5219B">
        <w:rPr>
          <w:szCs w:val="22"/>
        </w:rPr>
        <w:t xml:space="preserve">etitioners have certified </w:t>
      </w:r>
      <w:r w:rsidR="004D2D5A">
        <w:rPr>
          <w:szCs w:val="22"/>
        </w:rPr>
        <w:t xml:space="preserve">to the Commission </w:t>
      </w:r>
      <w:r w:rsidRPr="00E5219B">
        <w:rPr>
          <w:szCs w:val="22"/>
        </w:rPr>
        <w:t xml:space="preserve">that they have revenue streams distinct from the USF, which provides an additional avenue to </w:t>
      </w:r>
      <w:r w:rsidR="004D2D5A">
        <w:rPr>
          <w:szCs w:val="22"/>
        </w:rPr>
        <w:t>sustain their businesses</w:t>
      </w:r>
      <w:r w:rsidRPr="00E5219B">
        <w:rPr>
          <w:szCs w:val="22"/>
        </w:rPr>
        <w:t>.</w:t>
      </w:r>
      <w:r w:rsidRPr="00E5219B">
        <w:rPr>
          <w:rStyle w:val="FootnoteReference"/>
          <w:sz w:val="22"/>
          <w:szCs w:val="22"/>
        </w:rPr>
        <w:footnoteReference w:id="60"/>
      </w:r>
      <w:r w:rsidRPr="00E5219B">
        <w:rPr>
          <w:szCs w:val="22"/>
        </w:rPr>
        <w:t xml:space="preserve"> </w:t>
      </w:r>
      <w:r w:rsidR="004D2D5A">
        <w:rPr>
          <w:szCs w:val="22"/>
        </w:rPr>
        <w:t xml:space="preserve"> </w:t>
      </w:r>
      <w:r w:rsidRPr="00E5219B">
        <w:rPr>
          <w:szCs w:val="22"/>
        </w:rPr>
        <w:t xml:space="preserve">Because </w:t>
      </w:r>
      <w:r w:rsidR="004D2D5A">
        <w:rPr>
          <w:szCs w:val="22"/>
        </w:rPr>
        <w:t>P</w:t>
      </w:r>
      <w:r w:rsidRPr="00E5219B">
        <w:rPr>
          <w:szCs w:val="22"/>
        </w:rPr>
        <w:t xml:space="preserve">etitioners </w:t>
      </w:r>
      <w:r w:rsidR="006E63DE" w:rsidRPr="00E5219B">
        <w:rPr>
          <w:szCs w:val="22"/>
        </w:rPr>
        <w:t>have not shown that their</w:t>
      </w:r>
      <w:r w:rsidRPr="00E5219B">
        <w:rPr>
          <w:szCs w:val="22"/>
        </w:rPr>
        <w:t xml:space="preserve"> alleged injuries are </w:t>
      </w:r>
      <w:r w:rsidR="006E63DE" w:rsidRPr="00E5219B">
        <w:rPr>
          <w:szCs w:val="22"/>
        </w:rPr>
        <w:t>un</w:t>
      </w:r>
      <w:r w:rsidRPr="00E5219B">
        <w:rPr>
          <w:szCs w:val="22"/>
        </w:rPr>
        <w:t>recoverable, a stay</w:t>
      </w:r>
      <w:r w:rsidR="006E63DE" w:rsidRPr="00E5219B">
        <w:rPr>
          <w:szCs w:val="22"/>
        </w:rPr>
        <w:t xml:space="preserve"> is not warranted</w:t>
      </w:r>
      <w:r w:rsidRPr="00E5219B">
        <w:rPr>
          <w:szCs w:val="22"/>
        </w:rPr>
        <w:t>.</w:t>
      </w:r>
    </w:p>
    <w:p w14:paraId="4A9901EE" w14:textId="01DE3B1A" w:rsidR="00173938" w:rsidRPr="00E5219B" w:rsidRDefault="0032138B" w:rsidP="00A42FAE">
      <w:pPr>
        <w:pStyle w:val="ParaNum"/>
        <w:widowControl/>
        <w:ind w:firstLine="720"/>
        <w:rPr>
          <w:szCs w:val="22"/>
        </w:rPr>
      </w:pPr>
      <w:r w:rsidRPr="00E5219B">
        <w:rPr>
          <w:szCs w:val="22"/>
        </w:rPr>
        <w:t>The alleged injuries are also not certain.</w:t>
      </w:r>
      <w:r w:rsidR="00045EA8" w:rsidRPr="00E5219B">
        <w:rPr>
          <w:szCs w:val="22"/>
        </w:rPr>
        <w:t xml:space="preserve"> </w:t>
      </w:r>
      <w:r w:rsidRPr="00E5219B">
        <w:rPr>
          <w:szCs w:val="22"/>
        </w:rPr>
        <w:t xml:space="preserve"> Petitioners state that they expect that “many of the customers faced with a reduction in services will drop service altogether,”</w:t>
      </w:r>
      <w:r w:rsidRPr="00E5219B">
        <w:rPr>
          <w:rStyle w:val="FootnoteReference"/>
          <w:sz w:val="22"/>
          <w:szCs w:val="22"/>
        </w:rPr>
        <w:footnoteReference w:id="61"/>
      </w:r>
      <w:r w:rsidRPr="00E5219B">
        <w:rPr>
          <w:szCs w:val="22"/>
        </w:rPr>
        <w:t xml:space="preserve"> but they do not explain why a customer would prefer to have no phone service instead of phone service</w:t>
      </w:r>
      <w:r w:rsidR="00A82753">
        <w:rPr>
          <w:szCs w:val="22"/>
        </w:rPr>
        <w:t xml:space="preserve"> at the levels of Lifeline support provided in areas not entitled to enhanced </w:t>
      </w:r>
      <w:r w:rsidR="001C043D">
        <w:rPr>
          <w:szCs w:val="22"/>
        </w:rPr>
        <w:t xml:space="preserve">Tribal </w:t>
      </w:r>
      <w:r w:rsidR="00A82753">
        <w:rPr>
          <w:szCs w:val="22"/>
        </w:rPr>
        <w:t>support</w:t>
      </w:r>
      <w:r w:rsidRPr="00E5219B">
        <w:rPr>
          <w:szCs w:val="22"/>
        </w:rPr>
        <w:t xml:space="preserve">. </w:t>
      </w:r>
      <w:r w:rsidR="004D2D5A">
        <w:rPr>
          <w:szCs w:val="22"/>
        </w:rPr>
        <w:t xml:space="preserve"> </w:t>
      </w:r>
      <w:r w:rsidR="001C043D">
        <w:rPr>
          <w:szCs w:val="22"/>
        </w:rPr>
        <w:t xml:space="preserve">Each customer currently eligible for the enhanced Tribal benefit will remain eligible for the standard $9.25 benefit, and Petitioners fail to </w:t>
      </w:r>
      <w:r w:rsidR="00860B9E">
        <w:rPr>
          <w:szCs w:val="22"/>
        </w:rPr>
        <w:t>provide any basis upon which to conclude that these</w:t>
      </w:r>
      <w:r w:rsidR="001C043D">
        <w:rPr>
          <w:szCs w:val="22"/>
        </w:rPr>
        <w:t xml:space="preserve"> customers will choose not to use it.  </w:t>
      </w:r>
      <w:r w:rsidRPr="00E5219B">
        <w:rPr>
          <w:szCs w:val="22"/>
        </w:rPr>
        <w:t xml:space="preserve">Moreover, </w:t>
      </w:r>
      <w:r w:rsidR="004D2D5A">
        <w:rPr>
          <w:szCs w:val="22"/>
        </w:rPr>
        <w:t>P</w:t>
      </w:r>
      <w:r w:rsidRPr="00E5219B">
        <w:rPr>
          <w:szCs w:val="22"/>
        </w:rPr>
        <w:t>etitioners do not explain why customers who reside in</w:t>
      </w:r>
      <w:r w:rsidR="00D42282">
        <w:rPr>
          <w:szCs w:val="22"/>
        </w:rPr>
        <w:t xml:space="preserve"> areas not considered</w:t>
      </w:r>
      <w:r w:rsidRPr="00E5219B">
        <w:rPr>
          <w:szCs w:val="22"/>
        </w:rPr>
        <w:t xml:space="preserve"> </w:t>
      </w:r>
      <w:r w:rsidR="004D2D5A">
        <w:rPr>
          <w:szCs w:val="22"/>
        </w:rPr>
        <w:t>T</w:t>
      </w:r>
      <w:r w:rsidRPr="00E5219B">
        <w:rPr>
          <w:szCs w:val="22"/>
        </w:rPr>
        <w:t>ribal lands</w:t>
      </w:r>
      <w:r w:rsidR="00D42282">
        <w:rPr>
          <w:szCs w:val="22"/>
        </w:rPr>
        <w:t xml:space="preserve"> under the interpretation in the </w:t>
      </w:r>
      <w:r w:rsidR="00D42282">
        <w:rPr>
          <w:i/>
          <w:szCs w:val="22"/>
        </w:rPr>
        <w:t>2015 Lifeline Reform Order</w:t>
      </w:r>
      <w:r w:rsidRPr="00E5219B">
        <w:rPr>
          <w:szCs w:val="22"/>
        </w:rPr>
        <w:t xml:space="preserve"> would switch to a different</w:t>
      </w:r>
      <w:r w:rsidR="004D2D5A">
        <w:rPr>
          <w:szCs w:val="22"/>
        </w:rPr>
        <w:t xml:space="preserve"> </w:t>
      </w:r>
      <w:r w:rsidRPr="00E5219B">
        <w:rPr>
          <w:szCs w:val="22"/>
        </w:rPr>
        <w:t>provider</w:t>
      </w:r>
      <w:r w:rsidR="004D2D5A">
        <w:rPr>
          <w:szCs w:val="22"/>
        </w:rPr>
        <w:t xml:space="preserve"> when that </w:t>
      </w:r>
      <w:r w:rsidR="00575B02">
        <w:rPr>
          <w:szCs w:val="22"/>
        </w:rPr>
        <w:t>different</w:t>
      </w:r>
      <w:r w:rsidR="004D2D5A">
        <w:rPr>
          <w:szCs w:val="22"/>
        </w:rPr>
        <w:t xml:space="preserve"> provider would be similarly unable to offer an enhanced Lifeline</w:t>
      </w:r>
      <w:r w:rsidR="00C46E2D">
        <w:rPr>
          <w:szCs w:val="22"/>
        </w:rPr>
        <w:t xml:space="preserve"> discount</w:t>
      </w:r>
      <w:r w:rsidRPr="00E5219B">
        <w:rPr>
          <w:szCs w:val="22"/>
        </w:rPr>
        <w:t>.</w:t>
      </w:r>
      <w:r w:rsidR="004D2D5A">
        <w:rPr>
          <w:szCs w:val="22"/>
        </w:rPr>
        <w:t xml:space="preserve"> </w:t>
      </w:r>
      <w:r w:rsidRPr="00E5219B">
        <w:rPr>
          <w:szCs w:val="22"/>
        </w:rPr>
        <w:t xml:space="preserve"> Finally, the alleged harms are speculative. </w:t>
      </w:r>
      <w:r w:rsidR="004D2D5A">
        <w:rPr>
          <w:szCs w:val="22"/>
        </w:rPr>
        <w:t xml:space="preserve"> </w:t>
      </w:r>
      <w:r w:rsidRPr="00E5219B">
        <w:rPr>
          <w:szCs w:val="22"/>
        </w:rPr>
        <w:t>Easy Wireless states that it “expects” to lose customers, and to be forced to close the majority of its storefront locations.</w:t>
      </w:r>
      <w:r w:rsidRPr="00E5219B">
        <w:rPr>
          <w:szCs w:val="22"/>
          <w:vertAlign w:val="superscript"/>
        </w:rPr>
        <w:footnoteReference w:id="62"/>
      </w:r>
      <w:r w:rsidRPr="00E5219B">
        <w:rPr>
          <w:szCs w:val="22"/>
        </w:rPr>
        <w:t xml:space="preserve"> </w:t>
      </w:r>
      <w:r w:rsidR="004D2D5A">
        <w:rPr>
          <w:szCs w:val="22"/>
        </w:rPr>
        <w:t xml:space="preserve"> </w:t>
      </w:r>
      <w:r w:rsidRPr="00E5219B">
        <w:rPr>
          <w:szCs w:val="22"/>
        </w:rPr>
        <w:t>TerraCom states that customers are “likely” to cancel service,</w:t>
      </w:r>
      <w:r w:rsidRPr="00E5219B">
        <w:rPr>
          <w:szCs w:val="22"/>
          <w:vertAlign w:val="superscript"/>
        </w:rPr>
        <w:footnoteReference w:id="63"/>
      </w:r>
      <w:r w:rsidRPr="00E5219B">
        <w:rPr>
          <w:szCs w:val="22"/>
        </w:rPr>
        <w:t xml:space="preserve"> and Assist “expects” that it will lose customers and “estimates” that it would have to fire “the majority” of its employees.</w:t>
      </w:r>
      <w:r w:rsidRPr="00E5219B">
        <w:rPr>
          <w:rStyle w:val="FootnoteReference"/>
          <w:sz w:val="22"/>
          <w:szCs w:val="22"/>
        </w:rPr>
        <w:footnoteReference w:id="64"/>
      </w:r>
      <w:r w:rsidRPr="00E5219B">
        <w:rPr>
          <w:szCs w:val="22"/>
        </w:rPr>
        <w:t xml:space="preserve"> </w:t>
      </w:r>
      <w:r w:rsidR="004D2D5A">
        <w:rPr>
          <w:szCs w:val="22"/>
        </w:rPr>
        <w:t xml:space="preserve"> </w:t>
      </w:r>
      <w:r w:rsidRPr="00E5219B">
        <w:rPr>
          <w:szCs w:val="22"/>
        </w:rPr>
        <w:t>Without any underlying support, these are the type of “blanket, unsubstantiated allegations of harm”</w:t>
      </w:r>
      <w:r w:rsidRPr="00E5219B">
        <w:rPr>
          <w:rStyle w:val="FootnoteReference"/>
          <w:sz w:val="22"/>
          <w:szCs w:val="22"/>
        </w:rPr>
        <w:footnoteReference w:id="65"/>
      </w:r>
      <w:r w:rsidRPr="00E5219B">
        <w:rPr>
          <w:szCs w:val="22"/>
        </w:rPr>
        <w:t xml:space="preserve"> that may not be used to grant a stay. </w:t>
      </w:r>
      <w:r w:rsidR="00A9788C">
        <w:rPr>
          <w:szCs w:val="22"/>
        </w:rPr>
        <w:t xml:space="preserve"> </w:t>
      </w:r>
    </w:p>
    <w:p w14:paraId="6AEBDFA6" w14:textId="77777777" w:rsidR="004C73E5" w:rsidRPr="00E5219B" w:rsidRDefault="004C73E5" w:rsidP="00305DA9">
      <w:pPr>
        <w:pStyle w:val="ParaNum"/>
        <w:ind w:firstLine="720"/>
        <w:rPr>
          <w:szCs w:val="22"/>
        </w:rPr>
      </w:pPr>
      <w:r w:rsidRPr="00E5219B">
        <w:rPr>
          <w:i/>
          <w:szCs w:val="22"/>
        </w:rPr>
        <w:t>True Wireless</w:t>
      </w:r>
      <w:r w:rsidRPr="00E5219B">
        <w:rPr>
          <w:szCs w:val="22"/>
        </w:rPr>
        <w:t xml:space="preserve">.  True Wireless states that the </w:t>
      </w:r>
      <w:r w:rsidR="00C46E2D">
        <w:rPr>
          <w:szCs w:val="22"/>
        </w:rPr>
        <w:t>Commission’s interpretation of “former reservations in Oklahoma”</w:t>
      </w:r>
      <w:r w:rsidR="00C46E2D" w:rsidRPr="00E5219B">
        <w:rPr>
          <w:szCs w:val="22"/>
        </w:rPr>
        <w:t xml:space="preserve"> </w:t>
      </w:r>
      <w:r w:rsidRPr="00E5219B">
        <w:rPr>
          <w:szCs w:val="22"/>
        </w:rPr>
        <w:t>“will likely put True Wireless out of business.”</w:t>
      </w:r>
      <w:r w:rsidRPr="00E5219B">
        <w:rPr>
          <w:rStyle w:val="FootnoteReference"/>
          <w:sz w:val="22"/>
          <w:szCs w:val="22"/>
        </w:rPr>
        <w:footnoteReference w:id="66"/>
      </w:r>
      <w:r w:rsidRPr="00E5219B">
        <w:rPr>
          <w:szCs w:val="22"/>
        </w:rPr>
        <w:t xml:space="preserve"> </w:t>
      </w:r>
      <w:r w:rsidR="004D2D5A">
        <w:rPr>
          <w:szCs w:val="22"/>
        </w:rPr>
        <w:t xml:space="preserve"> </w:t>
      </w:r>
      <w:r w:rsidRPr="00E5219B">
        <w:rPr>
          <w:szCs w:val="22"/>
        </w:rPr>
        <w:t>While this would be the type of irreparable injury required for a preliminary injunction</w:t>
      </w:r>
      <w:r w:rsidR="00F47B0D">
        <w:rPr>
          <w:szCs w:val="22"/>
        </w:rPr>
        <w:t xml:space="preserve"> if it were borne out by evidence</w:t>
      </w:r>
      <w:r w:rsidRPr="00E5219B">
        <w:rPr>
          <w:szCs w:val="22"/>
        </w:rPr>
        <w:t>, something more than a “conclusory projection is necessary to show” that True Wireless will actually close as a result of the new map.</w:t>
      </w:r>
      <w:r w:rsidRPr="00E5219B">
        <w:rPr>
          <w:rStyle w:val="FootnoteReference"/>
          <w:sz w:val="22"/>
          <w:szCs w:val="22"/>
        </w:rPr>
        <w:footnoteReference w:id="67"/>
      </w:r>
      <w:r w:rsidRPr="00E5219B">
        <w:rPr>
          <w:szCs w:val="22"/>
        </w:rPr>
        <w:t xml:space="preserve"> </w:t>
      </w:r>
      <w:r w:rsidR="004D2D5A">
        <w:rPr>
          <w:szCs w:val="22"/>
        </w:rPr>
        <w:t xml:space="preserve"> </w:t>
      </w:r>
      <w:r w:rsidRPr="00E5219B">
        <w:rPr>
          <w:szCs w:val="22"/>
        </w:rPr>
        <w:t>Projections that do not “offer a projection of future losses,” tie those projections to the company’s current assets, or “state with any specificity” how the projection is reached are not sufficient to prove the type of irreparable harm needed to grant a stay.</w:t>
      </w:r>
      <w:r w:rsidRPr="00E5219B">
        <w:rPr>
          <w:rStyle w:val="FootnoteReference"/>
          <w:sz w:val="22"/>
          <w:szCs w:val="22"/>
        </w:rPr>
        <w:footnoteReference w:id="68"/>
      </w:r>
    </w:p>
    <w:p w14:paraId="75EFDB7D" w14:textId="77777777" w:rsidR="002F3328" w:rsidRPr="00E5219B" w:rsidRDefault="004C73E5" w:rsidP="00305DA9">
      <w:pPr>
        <w:pStyle w:val="ParaNum"/>
        <w:ind w:firstLine="720"/>
        <w:rPr>
          <w:color w:val="FF0000"/>
          <w:szCs w:val="22"/>
        </w:rPr>
      </w:pPr>
      <w:r w:rsidRPr="00E5219B">
        <w:rPr>
          <w:szCs w:val="22"/>
        </w:rPr>
        <w:t>Here, True Wireless has failed to provide any information beyond its own conclusory projections.</w:t>
      </w:r>
      <w:r w:rsidR="004D2D5A">
        <w:rPr>
          <w:szCs w:val="22"/>
        </w:rPr>
        <w:t xml:space="preserve"> </w:t>
      </w:r>
      <w:r w:rsidRPr="00E5219B">
        <w:rPr>
          <w:szCs w:val="22"/>
        </w:rPr>
        <w:t xml:space="preserve"> It fails to provide any information about its revenue, or any indication of how it reached its conclusion that the Commission’s new map will force it out of business.</w:t>
      </w:r>
      <w:r w:rsidR="004D2D5A">
        <w:rPr>
          <w:szCs w:val="22"/>
        </w:rPr>
        <w:t xml:space="preserve"> </w:t>
      </w:r>
      <w:r w:rsidRPr="00E5219B">
        <w:rPr>
          <w:szCs w:val="22"/>
        </w:rPr>
        <w:t xml:space="preserve"> Instead, it relies only on its president’s declaration that the changes will “likely” force True Wireless out of business. </w:t>
      </w:r>
      <w:r w:rsidR="004D2D5A">
        <w:rPr>
          <w:szCs w:val="22"/>
        </w:rPr>
        <w:t xml:space="preserve"> </w:t>
      </w:r>
      <w:r w:rsidRPr="00E5219B">
        <w:rPr>
          <w:szCs w:val="22"/>
        </w:rPr>
        <w:t>Allowing a mere “bald assertion”</w:t>
      </w:r>
      <w:r w:rsidRPr="00E5219B">
        <w:rPr>
          <w:rStyle w:val="FootnoteReference"/>
          <w:sz w:val="22"/>
          <w:szCs w:val="22"/>
        </w:rPr>
        <w:footnoteReference w:id="69"/>
      </w:r>
      <w:r w:rsidRPr="00E5219B">
        <w:rPr>
          <w:szCs w:val="22"/>
        </w:rPr>
        <w:t xml:space="preserve"> of a company’s potential closure would significantly lower the “high bar” that has been set for proving an irreparable injury and granting a stay.</w:t>
      </w:r>
      <w:r w:rsidRPr="00E5219B">
        <w:rPr>
          <w:rStyle w:val="FootnoteReference"/>
          <w:sz w:val="22"/>
          <w:szCs w:val="22"/>
        </w:rPr>
        <w:footnoteReference w:id="70"/>
      </w:r>
      <w:r w:rsidR="008A5497" w:rsidRPr="00E5219B">
        <w:rPr>
          <w:szCs w:val="22"/>
        </w:rPr>
        <w:t xml:space="preserve"> </w:t>
      </w:r>
      <w:r w:rsidR="004D2D5A">
        <w:rPr>
          <w:szCs w:val="22"/>
        </w:rPr>
        <w:t xml:space="preserve"> </w:t>
      </w:r>
      <w:r w:rsidR="008A5497" w:rsidRPr="00E5219B">
        <w:rPr>
          <w:szCs w:val="22"/>
        </w:rPr>
        <w:t>Accordingly, True Wireless has not carried its burden of proving the irreparable harm needed to warrant a stay.</w:t>
      </w:r>
      <w:r w:rsidR="00306835" w:rsidRPr="00E5219B">
        <w:rPr>
          <w:szCs w:val="22"/>
        </w:rPr>
        <w:t xml:space="preserve"> </w:t>
      </w:r>
      <w:r w:rsidR="006D142A">
        <w:rPr>
          <w:szCs w:val="22"/>
        </w:rPr>
        <w:t xml:space="preserve"> </w:t>
      </w:r>
    </w:p>
    <w:p w14:paraId="0DC431BD" w14:textId="77777777" w:rsidR="00B7434D" w:rsidRPr="00E5219B" w:rsidRDefault="00B7434D" w:rsidP="0049272C">
      <w:pPr>
        <w:pStyle w:val="Heading2"/>
        <w:rPr>
          <w:szCs w:val="22"/>
        </w:rPr>
      </w:pPr>
      <w:r w:rsidRPr="00E5219B">
        <w:rPr>
          <w:szCs w:val="22"/>
        </w:rPr>
        <w:t>The Requested Stay Will Result in Harm to Others and is Contrary to the Public Interest</w:t>
      </w:r>
    </w:p>
    <w:p w14:paraId="3AB4E5B8" w14:textId="77777777" w:rsidR="00B7434D" w:rsidRPr="00E5219B" w:rsidRDefault="00B7434D" w:rsidP="00305DA9">
      <w:pPr>
        <w:pStyle w:val="ParaNum"/>
        <w:ind w:firstLine="720"/>
        <w:rPr>
          <w:szCs w:val="22"/>
        </w:rPr>
      </w:pPr>
      <w:r w:rsidRPr="00E5219B">
        <w:rPr>
          <w:szCs w:val="22"/>
        </w:rPr>
        <w:t>As described below, we find that the Petitioners failed to demonstrate that</w:t>
      </w:r>
      <w:r w:rsidR="008A25B5" w:rsidRPr="00E5219B">
        <w:rPr>
          <w:szCs w:val="22"/>
        </w:rPr>
        <w:t xml:space="preserve"> the requested stay will serve the public interest and</w:t>
      </w:r>
      <w:r w:rsidRPr="00E5219B">
        <w:rPr>
          <w:szCs w:val="22"/>
        </w:rPr>
        <w:t xml:space="preserve"> </w:t>
      </w:r>
      <w:r w:rsidR="005525A4">
        <w:rPr>
          <w:szCs w:val="22"/>
        </w:rPr>
        <w:t xml:space="preserve">will not harm </w:t>
      </w:r>
      <w:r w:rsidRPr="00E5219B">
        <w:rPr>
          <w:szCs w:val="22"/>
        </w:rPr>
        <w:t xml:space="preserve">third parties. </w:t>
      </w:r>
    </w:p>
    <w:p w14:paraId="48DD9750" w14:textId="5D11B1F4" w:rsidR="00E2446B" w:rsidRPr="00E5219B" w:rsidRDefault="00DF57D4" w:rsidP="00305DA9">
      <w:pPr>
        <w:pStyle w:val="ParaNum"/>
        <w:ind w:firstLine="720"/>
        <w:rPr>
          <w:szCs w:val="22"/>
        </w:rPr>
      </w:pPr>
      <w:r w:rsidRPr="00E5219B">
        <w:rPr>
          <w:szCs w:val="22"/>
        </w:rPr>
        <w:t xml:space="preserve">Petitioners argue that </w:t>
      </w:r>
      <w:r w:rsidR="003063D4" w:rsidRPr="00E5219B">
        <w:rPr>
          <w:szCs w:val="22"/>
        </w:rPr>
        <w:t xml:space="preserve">a partial stay of the </w:t>
      </w:r>
      <w:r w:rsidR="003063D4" w:rsidRPr="00E5219B">
        <w:rPr>
          <w:i/>
          <w:szCs w:val="22"/>
        </w:rPr>
        <w:t>Order</w:t>
      </w:r>
      <w:r w:rsidR="003063D4" w:rsidRPr="00E5219B">
        <w:rPr>
          <w:szCs w:val="22"/>
        </w:rPr>
        <w:t xml:space="preserve"> as it relates to the implementation of the Oklahoma Historical Map will not cause harm to any third parties</w:t>
      </w:r>
      <w:r w:rsidR="00F964C3" w:rsidRPr="00E5219B">
        <w:rPr>
          <w:szCs w:val="22"/>
        </w:rPr>
        <w:t xml:space="preserve"> and will serve the public interest</w:t>
      </w:r>
      <w:r w:rsidR="003063D4" w:rsidRPr="00E5219B">
        <w:rPr>
          <w:szCs w:val="22"/>
        </w:rPr>
        <w:t>.</w:t>
      </w:r>
      <w:r w:rsidR="003063D4" w:rsidRPr="00E5219B">
        <w:rPr>
          <w:rStyle w:val="FootnoteReference"/>
          <w:sz w:val="22"/>
          <w:szCs w:val="22"/>
        </w:rPr>
        <w:footnoteReference w:id="71"/>
      </w:r>
      <w:r w:rsidR="00F964C3" w:rsidRPr="00E5219B">
        <w:rPr>
          <w:szCs w:val="22"/>
        </w:rPr>
        <w:t xml:space="preserve">  </w:t>
      </w:r>
      <w:r w:rsidR="007B1CCA" w:rsidRPr="00E5219B">
        <w:rPr>
          <w:szCs w:val="22"/>
        </w:rPr>
        <w:t xml:space="preserve">In administering the Lifeline program, the Commission has committed itself to: </w:t>
      </w:r>
      <w:r w:rsidR="00B34598" w:rsidRPr="00E5219B">
        <w:rPr>
          <w:szCs w:val="22"/>
        </w:rPr>
        <w:t>(1) ensuring the availability of voice service to low-income Americans; (2) ensuring the availability of broadband service to low-income Americans; and (3) minimizing the contribution burden on consumers and businesses that pay into the Universal Service Fund to support programs like Lifeline.</w:t>
      </w:r>
      <w:r w:rsidR="00B34598" w:rsidRPr="00E5219B">
        <w:rPr>
          <w:rStyle w:val="FootnoteReference"/>
          <w:sz w:val="22"/>
          <w:szCs w:val="22"/>
        </w:rPr>
        <w:footnoteReference w:id="72"/>
      </w:r>
      <w:r w:rsidR="00E2446B" w:rsidRPr="00E5219B">
        <w:rPr>
          <w:szCs w:val="22"/>
        </w:rPr>
        <w:t xml:space="preserve">  As Petitioners acknowledge, when the Commission established enhanced Lifeline support for Tribal lands, the Commission sought</w:t>
      </w:r>
      <w:r w:rsidR="00722F08">
        <w:rPr>
          <w:szCs w:val="22"/>
        </w:rPr>
        <w:t>, among other goals like affordability of service,</w:t>
      </w:r>
      <w:r w:rsidR="00E2446B" w:rsidRPr="00E5219B">
        <w:rPr>
          <w:szCs w:val="22"/>
        </w:rPr>
        <w:t xml:space="preserve"> “to promote telecommunications deployment and subscribership for the benefit of those living on federally-recognized American Indian and Alaska Native tribal lands, based on the fact that American Indian and Alaska Native communities, on average, have the lowest reported telephone subscribership levels in the country.”</w:t>
      </w:r>
      <w:r w:rsidR="00E2446B" w:rsidRPr="00E5219B">
        <w:rPr>
          <w:rStyle w:val="FootnoteReference"/>
          <w:sz w:val="22"/>
          <w:szCs w:val="22"/>
        </w:rPr>
        <w:footnoteReference w:id="73"/>
      </w:r>
    </w:p>
    <w:p w14:paraId="7802BF3C" w14:textId="77777777" w:rsidR="003063D4" w:rsidRPr="00E5219B" w:rsidRDefault="009751EA" w:rsidP="00305DA9">
      <w:pPr>
        <w:pStyle w:val="ParaNum"/>
        <w:ind w:firstLine="720"/>
        <w:rPr>
          <w:szCs w:val="22"/>
        </w:rPr>
      </w:pPr>
      <w:r w:rsidRPr="00E5219B">
        <w:rPr>
          <w:szCs w:val="22"/>
        </w:rPr>
        <w:t xml:space="preserve">The </w:t>
      </w:r>
      <w:r w:rsidRPr="00E5219B">
        <w:rPr>
          <w:i/>
          <w:szCs w:val="22"/>
        </w:rPr>
        <w:t>Order</w:t>
      </w:r>
      <w:r w:rsidR="00F172AD" w:rsidRPr="00E5219B">
        <w:rPr>
          <w:i/>
          <w:szCs w:val="22"/>
        </w:rPr>
        <w:t>’s</w:t>
      </w:r>
      <w:r w:rsidR="00F172AD" w:rsidRPr="00E5219B">
        <w:rPr>
          <w:szCs w:val="22"/>
        </w:rPr>
        <w:t xml:space="preserve"> adoption of the Oklahoma Historical Map</w:t>
      </w:r>
      <w:r w:rsidRPr="00E5219B">
        <w:rPr>
          <w:szCs w:val="22"/>
        </w:rPr>
        <w:t xml:space="preserve"> serves the public interest by accurately target</w:t>
      </w:r>
      <w:r w:rsidR="006D6C3A">
        <w:rPr>
          <w:szCs w:val="22"/>
        </w:rPr>
        <w:t>ing</w:t>
      </w:r>
      <w:r w:rsidRPr="00E5219B">
        <w:rPr>
          <w:szCs w:val="22"/>
        </w:rPr>
        <w:t xml:space="preserve"> funds for the enhanced Lifeline subsidy to Tribal lands while minimizing the burden </w:t>
      </w:r>
      <w:r w:rsidR="005525A4">
        <w:rPr>
          <w:szCs w:val="22"/>
        </w:rPr>
        <w:t>impose</w:t>
      </w:r>
      <w:r w:rsidRPr="00E5219B">
        <w:rPr>
          <w:szCs w:val="22"/>
        </w:rPr>
        <w:t xml:space="preserve">d </w:t>
      </w:r>
      <w:r w:rsidR="005525A4">
        <w:rPr>
          <w:szCs w:val="22"/>
        </w:rPr>
        <w:t>on</w:t>
      </w:r>
      <w:r w:rsidRPr="00E5219B">
        <w:rPr>
          <w:szCs w:val="22"/>
        </w:rPr>
        <w:t xml:space="preserve"> contributing providers and ratepayers.</w:t>
      </w:r>
      <w:r w:rsidR="004B7F15" w:rsidRPr="00E5219B">
        <w:rPr>
          <w:rStyle w:val="FootnoteReference"/>
          <w:sz w:val="22"/>
          <w:szCs w:val="22"/>
        </w:rPr>
        <w:footnoteReference w:id="74"/>
      </w:r>
      <w:r w:rsidRPr="00E5219B">
        <w:rPr>
          <w:szCs w:val="22"/>
        </w:rPr>
        <w:t xml:space="preserve">  </w:t>
      </w:r>
      <w:r w:rsidR="0048025C" w:rsidRPr="00E5219B">
        <w:rPr>
          <w:szCs w:val="22"/>
        </w:rPr>
        <w:t xml:space="preserve">In contrast, a stay of the </w:t>
      </w:r>
      <w:r w:rsidR="0048025C" w:rsidRPr="00E5219B">
        <w:rPr>
          <w:i/>
          <w:szCs w:val="22"/>
        </w:rPr>
        <w:t>Order</w:t>
      </w:r>
      <w:r w:rsidR="0048025C" w:rsidRPr="00E5219B">
        <w:rPr>
          <w:szCs w:val="22"/>
        </w:rPr>
        <w:t xml:space="preserve"> insofar as it related to the Oklahoma Historical Map would not serve the public interest and would harm third parties by disbursing enhanced Lifeline funding for geographic areas that do not qualify as Tribal lands u</w:t>
      </w:r>
      <w:r w:rsidR="006E5F4B">
        <w:rPr>
          <w:szCs w:val="22"/>
        </w:rPr>
        <w:t>nder our interpretation of Section 54.400(e) of the rules</w:t>
      </w:r>
      <w:r w:rsidR="0048025C" w:rsidRPr="00E5219B">
        <w:rPr>
          <w:szCs w:val="22"/>
        </w:rPr>
        <w:t xml:space="preserve">, and burdening contributing providers and ratepayers </w:t>
      </w:r>
      <w:r w:rsidR="005525A4">
        <w:rPr>
          <w:szCs w:val="22"/>
        </w:rPr>
        <w:t>to bear</w:t>
      </w:r>
      <w:r w:rsidR="0048025C" w:rsidRPr="00E5219B">
        <w:rPr>
          <w:szCs w:val="22"/>
        </w:rPr>
        <w:t xml:space="preserve"> the cost of those disbursements.</w:t>
      </w:r>
      <w:r w:rsidR="000D7D41" w:rsidRPr="00E5219B">
        <w:rPr>
          <w:szCs w:val="22"/>
        </w:rPr>
        <w:t xml:space="preserve">  To the extent that </w:t>
      </w:r>
      <w:r w:rsidR="003063D4" w:rsidRPr="00E5219B">
        <w:rPr>
          <w:szCs w:val="22"/>
        </w:rPr>
        <w:t xml:space="preserve">Petitioners argue a stay will serve the public interest because it will </w:t>
      </w:r>
      <w:r w:rsidR="00B6164F" w:rsidRPr="00E5219B">
        <w:rPr>
          <w:szCs w:val="22"/>
        </w:rPr>
        <w:t>allow time for</w:t>
      </w:r>
      <w:r w:rsidR="003063D4" w:rsidRPr="00E5219B">
        <w:rPr>
          <w:szCs w:val="22"/>
        </w:rPr>
        <w:t xml:space="preserve"> the Commission </w:t>
      </w:r>
      <w:r w:rsidR="00B6164F" w:rsidRPr="00E5219B">
        <w:rPr>
          <w:szCs w:val="22"/>
        </w:rPr>
        <w:t>to consult</w:t>
      </w:r>
      <w:r w:rsidR="003063D4" w:rsidRPr="00E5219B">
        <w:rPr>
          <w:szCs w:val="22"/>
        </w:rPr>
        <w:t xml:space="preserve"> with Tribal governments</w:t>
      </w:r>
      <w:r w:rsidR="000D7D41" w:rsidRPr="00E5219B">
        <w:rPr>
          <w:szCs w:val="22"/>
        </w:rPr>
        <w:t>,</w:t>
      </w:r>
      <w:r w:rsidR="003063D4" w:rsidRPr="00E5219B">
        <w:rPr>
          <w:rStyle w:val="FootnoteReference"/>
          <w:sz w:val="22"/>
          <w:szCs w:val="22"/>
        </w:rPr>
        <w:footnoteReference w:id="75"/>
      </w:r>
      <w:r w:rsidR="000D7D41" w:rsidRPr="00E5219B">
        <w:rPr>
          <w:szCs w:val="22"/>
        </w:rPr>
        <w:t xml:space="preserve"> </w:t>
      </w:r>
      <w:r w:rsidR="00114B6C" w:rsidRPr="00E5219B">
        <w:rPr>
          <w:szCs w:val="22"/>
        </w:rPr>
        <w:t xml:space="preserve">the </w:t>
      </w:r>
      <w:r w:rsidR="00114B6C" w:rsidRPr="00E5219B">
        <w:rPr>
          <w:i/>
          <w:szCs w:val="22"/>
        </w:rPr>
        <w:t>Order</w:t>
      </w:r>
      <w:r w:rsidR="00114B6C" w:rsidRPr="00E5219B">
        <w:rPr>
          <w:szCs w:val="22"/>
        </w:rPr>
        <w:t xml:space="preserve"> already </w:t>
      </w:r>
      <w:r w:rsidR="00B6164F" w:rsidRPr="00E5219B">
        <w:rPr>
          <w:szCs w:val="22"/>
        </w:rPr>
        <w:t xml:space="preserve">establishes a </w:t>
      </w:r>
      <w:r w:rsidR="00973538">
        <w:rPr>
          <w:szCs w:val="22"/>
        </w:rPr>
        <w:t xml:space="preserve">generous </w:t>
      </w:r>
      <w:r w:rsidR="000D7D41" w:rsidRPr="00E5219B">
        <w:rPr>
          <w:szCs w:val="22"/>
        </w:rPr>
        <w:t>transition</w:t>
      </w:r>
      <w:r w:rsidR="00B6164F" w:rsidRPr="00E5219B">
        <w:rPr>
          <w:szCs w:val="22"/>
        </w:rPr>
        <w:t xml:space="preserve"> period </w:t>
      </w:r>
      <w:r w:rsidR="000D7D41" w:rsidRPr="00E5219B">
        <w:rPr>
          <w:szCs w:val="22"/>
        </w:rPr>
        <w:t>in which</w:t>
      </w:r>
      <w:r w:rsidR="00B6164F" w:rsidRPr="00E5219B">
        <w:rPr>
          <w:szCs w:val="22"/>
        </w:rPr>
        <w:t xml:space="preserve"> ONAP and the Bureau </w:t>
      </w:r>
      <w:r w:rsidR="000D7D41" w:rsidRPr="00E5219B">
        <w:rPr>
          <w:szCs w:val="22"/>
        </w:rPr>
        <w:t>will</w:t>
      </w:r>
      <w:r w:rsidR="00B6164F" w:rsidRPr="00E5219B">
        <w:rPr>
          <w:szCs w:val="22"/>
        </w:rPr>
        <w:t xml:space="preserve"> consult with the </w:t>
      </w:r>
      <w:r w:rsidR="000D7D41" w:rsidRPr="00E5219B">
        <w:rPr>
          <w:szCs w:val="22"/>
        </w:rPr>
        <w:t>Tribal Nations in Oklahoma and any</w:t>
      </w:r>
      <w:r w:rsidR="00114B6C" w:rsidRPr="00E5219B">
        <w:rPr>
          <w:szCs w:val="22"/>
        </w:rPr>
        <w:t xml:space="preserve"> impacted Lifeline subscribers </w:t>
      </w:r>
      <w:r w:rsidR="00B6164F" w:rsidRPr="00E5219B">
        <w:rPr>
          <w:szCs w:val="22"/>
        </w:rPr>
        <w:t>will</w:t>
      </w:r>
      <w:r w:rsidR="00114B6C" w:rsidRPr="00E5219B">
        <w:rPr>
          <w:szCs w:val="22"/>
        </w:rPr>
        <w:t xml:space="preserve"> continue receiving the enhanced Tribal subsidy</w:t>
      </w:r>
      <w:r w:rsidR="00206005">
        <w:rPr>
          <w:szCs w:val="22"/>
        </w:rPr>
        <w:t xml:space="preserve"> throughout the transition period</w:t>
      </w:r>
      <w:r w:rsidR="00114B6C" w:rsidRPr="00E5219B">
        <w:rPr>
          <w:szCs w:val="22"/>
        </w:rPr>
        <w:t>.</w:t>
      </w:r>
      <w:r w:rsidR="00114B6C" w:rsidRPr="00E5219B">
        <w:rPr>
          <w:rStyle w:val="FootnoteReference"/>
          <w:sz w:val="22"/>
          <w:szCs w:val="22"/>
        </w:rPr>
        <w:footnoteReference w:id="76"/>
      </w:r>
      <w:r w:rsidR="00B6164F" w:rsidRPr="00E5219B">
        <w:rPr>
          <w:szCs w:val="22"/>
        </w:rPr>
        <w:t xml:space="preserve">  After the </w:t>
      </w:r>
      <w:r w:rsidR="00B6164F" w:rsidRPr="00E5219B">
        <w:rPr>
          <w:i/>
          <w:szCs w:val="22"/>
        </w:rPr>
        <w:t>Order’s</w:t>
      </w:r>
      <w:r w:rsidR="00B6164F" w:rsidRPr="00E5219B">
        <w:rPr>
          <w:szCs w:val="22"/>
        </w:rPr>
        <w:t xml:space="preserve"> transition period is complete, delaying implementation of the Oklahoma Historical Map will not </w:t>
      </w:r>
      <w:r w:rsidR="002D4442" w:rsidRPr="00E5219B">
        <w:rPr>
          <w:szCs w:val="22"/>
        </w:rPr>
        <w:t>serve the public interest</w:t>
      </w:r>
      <w:r w:rsidR="004B7F15" w:rsidRPr="00E5219B">
        <w:rPr>
          <w:szCs w:val="22"/>
        </w:rPr>
        <w:t xml:space="preserve">. </w:t>
      </w:r>
    </w:p>
    <w:p w14:paraId="1C6F6593" w14:textId="77777777" w:rsidR="00B7434D" w:rsidRPr="00E5219B" w:rsidRDefault="00D60DCD" w:rsidP="00305DA9">
      <w:pPr>
        <w:pStyle w:val="ParaNum"/>
        <w:ind w:firstLine="720"/>
        <w:rPr>
          <w:szCs w:val="22"/>
        </w:rPr>
      </w:pPr>
      <w:r w:rsidRPr="00E5219B">
        <w:rPr>
          <w:szCs w:val="22"/>
        </w:rPr>
        <w:t xml:space="preserve">For the </w:t>
      </w:r>
      <w:r w:rsidR="005525A4">
        <w:rPr>
          <w:szCs w:val="22"/>
        </w:rPr>
        <w:t>foregoing</w:t>
      </w:r>
      <w:r w:rsidRPr="00E5219B">
        <w:rPr>
          <w:szCs w:val="22"/>
        </w:rPr>
        <w:t xml:space="preserve"> reasons</w:t>
      </w:r>
      <w:r w:rsidR="00B7434D" w:rsidRPr="00E5219B">
        <w:rPr>
          <w:szCs w:val="22"/>
        </w:rPr>
        <w:t xml:space="preserve"> we conclude that the requested stay is likely to result in harm to </w:t>
      </w:r>
      <w:r w:rsidRPr="00E5219B">
        <w:rPr>
          <w:szCs w:val="22"/>
        </w:rPr>
        <w:t>harm to third parties and</w:t>
      </w:r>
      <w:r w:rsidR="00B7434D" w:rsidRPr="00E5219B">
        <w:rPr>
          <w:szCs w:val="22"/>
        </w:rPr>
        <w:t xml:space="preserve"> </w:t>
      </w:r>
      <w:r w:rsidR="0048528C" w:rsidRPr="00E5219B">
        <w:rPr>
          <w:szCs w:val="22"/>
        </w:rPr>
        <w:t>would be co</w:t>
      </w:r>
      <w:r w:rsidR="005525A4">
        <w:rPr>
          <w:szCs w:val="22"/>
        </w:rPr>
        <w:t>ntrary</w:t>
      </w:r>
      <w:r w:rsidR="0048528C" w:rsidRPr="00E5219B">
        <w:rPr>
          <w:szCs w:val="22"/>
        </w:rPr>
        <w:t xml:space="preserve"> to the </w:t>
      </w:r>
      <w:r w:rsidR="00B7434D" w:rsidRPr="00E5219B">
        <w:rPr>
          <w:szCs w:val="22"/>
        </w:rPr>
        <w:t>public interest.</w:t>
      </w:r>
    </w:p>
    <w:p w14:paraId="789866C8" w14:textId="77777777" w:rsidR="002F3328" w:rsidRPr="00E5219B" w:rsidRDefault="002F3328" w:rsidP="002F3328">
      <w:pPr>
        <w:pStyle w:val="Heading1"/>
        <w:rPr>
          <w:szCs w:val="22"/>
        </w:rPr>
      </w:pPr>
      <w:r w:rsidRPr="00E5219B">
        <w:rPr>
          <w:szCs w:val="22"/>
        </w:rPr>
        <w:t>Ordering Clauses</w:t>
      </w:r>
    </w:p>
    <w:p w14:paraId="09ABF135" w14:textId="77777777" w:rsidR="00FF2B2A" w:rsidRPr="00E5219B" w:rsidRDefault="002F3328" w:rsidP="00305DA9">
      <w:pPr>
        <w:pStyle w:val="ParaNum"/>
        <w:ind w:firstLine="720"/>
        <w:rPr>
          <w:szCs w:val="22"/>
        </w:rPr>
      </w:pPr>
      <w:r w:rsidRPr="00E5219B">
        <w:rPr>
          <w:szCs w:val="22"/>
        </w:rPr>
        <w:t xml:space="preserve">Accordingly, IT IS ORDERED, pursuant to the authority contained in sections 1, 4(i), 4(j), </w:t>
      </w:r>
      <w:r w:rsidR="0087092A" w:rsidRPr="00E5219B">
        <w:rPr>
          <w:szCs w:val="22"/>
        </w:rPr>
        <w:t xml:space="preserve">5, </w:t>
      </w:r>
      <w:r w:rsidRPr="00E5219B">
        <w:rPr>
          <w:szCs w:val="22"/>
        </w:rPr>
        <w:t xml:space="preserve">201, </w:t>
      </w:r>
      <w:r w:rsidR="0097370C" w:rsidRPr="00E5219B">
        <w:rPr>
          <w:szCs w:val="22"/>
        </w:rPr>
        <w:t>205</w:t>
      </w:r>
      <w:r w:rsidRPr="00E5219B">
        <w:rPr>
          <w:szCs w:val="22"/>
        </w:rPr>
        <w:t xml:space="preserve">, and </w:t>
      </w:r>
      <w:r w:rsidR="00970987" w:rsidRPr="00E5219B">
        <w:rPr>
          <w:szCs w:val="22"/>
        </w:rPr>
        <w:t>254</w:t>
      </w:r>
      <w:r w:rsidRPr="00E5219B">
        <w:rPr>
          <w:szCs w:val="22"/>
        </w:rPr>
        <w:t xml:space="preserve"> of the Communications Act of 1934, as amended, 47 U.S.C. §§ 151, 154(i)-(j), </w:t>
      </w:r>
      <w:r w:rsidR="00BD3FFD" w:rsidRPr="00E5219B">
        <w:rPr>
          <w:szCs w:val="22"/>
        </w:rPr>
        <w:t xml:space="preserve">155, </w:t>
      </w:r>
      <w:r w:rsidRPr="00E5219B">
        <w:rPr>
          <w:szCs w:val="22"/>
        </w:rPr>
        <w:t xml:space="preserve">201, </w:t>
      </w:r>
      <w:r w:rsidR="0097370C" w:rsidRPr="00E5219B">
        <w:rPr>
          <w:szCs w:val="22"/>
        </w:rPr>
        <w:t xml:space="preserve">205, </w:t>
      </w:r>
      <w:r w:rsidR="006E026E" w:rsidRPr="00E5219B">
        <w:rPr>
          <w:szCs w:val="22"/>
        </w:rPr>
        <w:t xml:space="preserve">and </w:t>
      </w:r>
      <w:r w:rsidR="00970987" w:rsidRPr="00E5219B">
        <w:rPr>
          <w:szCs w:val="22"/>
        </w:rPr>
        <w:t>254</w:t>
      </w:r>
      <w:r w:rsidRPr="00E5219B">
        <w:rPr>
          <w:szCs w:val="22"/>
        </w:rPr>
        <w:t xml:space="preserve"> and the authority delegated pursuant to sections 0.91</w:t>
      </w:r>
      <w:r w:rsidR="006E026E" w:rsidRPr="00E5219B">
        <w:rPr>
          <w:szCs w:val="22"/>
        </w:rPr>
        <w:t xml:space="preserve"> and</w:t>
      </w:r>
      <w:r w:rsidR="00BD3FFD" w:rsidRPr="00E5219B">
        <w:rPr>
          <w:szCs w:val="22"/>
        </w:rPr>
        <w:t xml:space="preserve"> </w:t>
      </w:r>
      <w:r w:rsidRPr="00E5219B">
        <w:rPr>
          <w:szCs w:val="22"/>
        </w:rPr>
        <w:t>0.291 of the Commission's rules, 47 C.F.R. §§ 0.91</w:t>
      </w:r>
      <w:r w:rsidR="00E26751" w:rsidRPr="00E5219B">
        <w:rPr>
          <w:szCs w:val="22"/>
        </w:rPr>
        <w:t>,</w:t>
      </w:r>
      <w:r w:rsidRPr="00E5219B">
        <w:rPr>
          <w:szCs w:val="22"/>
        </w:rPr>
        <w:t xml:space="preserve"> 0.291, this Order Denying Stay Petition in </w:t>
      </w:r>
      <w:r w:rsidR="009A31C5" w:rsidRPr="00E5219B">
        <w:rPr>
          <w:szCs w:val="22"/>
        </w:rPr>
        <w:t>WC</w:t>
      </w:r>
      <w:r w:rsidRPr="00E5219B">
        <w:rPr>
          <w:szCs w:val="22"/>
        </w:rPr>
        <w:t xml:space="preserve"> Docket No</w:t>
      </w:r>
      <w:r w:rsidR="009A31C5" w:rsidRPr="00E5219B">
        <w:rPr>
          <w:szCs w:val="22"/>
        </w:rPr>
        <w:t>s</w:t>
      </w:r>
      <w:r w:rsidRPr="00E5219B">
        <w:rPr>
          <w:szCs w:val="22"/>
        </w:rPr>
        <w:t>. 1</w:t>
      </w:r>
      <w:r w:rsidR="009A31C5" w:rsidRPr="00E5219B">
        <w:rPr>
          <w:szCs w:val="22"/>
        </w:rPr>
        <w:t>1-42, 09-197, and 10-90</w:t>
      </w:r>
      <w:r w:rsidRPr="00E5219B">
        <w:rPr>
          <w:szCs w:val="22"/>
        </w:rPr>
        <w:t xml:space="preserve"> IS ADOPTED.</w:t>
      </w:r>
    </w:p>
    <w:p w14:paraId="24513D1F" w14:textId="77777777" w:rsidR="002F3328" w:rsidRPr="00E5219B" w:rsidRDefault="002F3328" w:rsidP="00A42FAE">
      <w:pPr>
        <w:pStyle w:val="ParaNum"/>
        <w:widowControl/>
        <w:ind w:firstLine="720"/>
        <w:rPr>
          <w:szCs w:val="22"/>
        </w:rPr>
      </w:pPr>
      <w:r w:rsidRPr="00E5219B">
        <w:rPr>
          <w:szCs w:val="22"/>
        </w:rPr>
        <w:t xml:space="preserve">IT IS FURTHER ORDERED that the petition for </w:t>
      </w:r>
      <w:r w:rsidR="009A31C5" w:rsidRPr="00E5219B">
        <w:rPr>
          <w:szCs w:val="22"/>
        </w:rPr>
        <w:t xml:space="preserve">partial </w:t>
      </w:r>
      <w:r w:rsidRPr="00E5219B">
        <w:rPr>
          <w:szCs w:val="22"/>
        </w:rPr>
        <w:t xml:space="preserve">stay of </w:t>
      </w:r>
      <w:r w:rsidR="009A31C5" w:rsidRPr="00E5219B">
        <w:rPr>
          <w:szCs w:val="22"/>
        </w:rPr>
        <w:t>Assist Wireless, LLC, Easy Telephone Services Company d/b/a Easy Wireless, TerraCom, Inc., and True Wireless, LLC</w:t>
      </w:r>
      <w:r w:rsidRPr="00E5219B">
        <w:rPr>
          <w:szCs w:val="22"/>
        </w:rPr>
        <w:t xml:space="preserve"> </w:t>
      </w:r>
      <w:r w:rsidR="009A31C5" w:rsidRPr="00E5219B">
        <w:rPr>
          <w:szCs w:val="22"/>
        </w:rPr>
        <w:t>IS</w:t>
      </w:r>
      <w:r w:rsidRPr="00E5219B">
        <w:rPr>
          <w:szCs w:val="22"/>
        </w:rPr>
        <w:t xml:space="preserve"> DENIED.</w:t>
      </w:r>
    </w:p>
    <w:p w14:paraId="5BA290F2" w14:textId="77777777" w:rsidR="002F3328" w:rsidRPr="00E5219B" w:rsidRDefault="002F3328" w:rsidP="002F3328">
      <w:pPr>
        <w:rPr>
          <w:szCs w:val="22"/>
        </w:rPr>
      </w:pPr>
    </w:p>
    <w:p w14:paraId="069F8715" w14:textId="77777777" w:rsidR="002F3328" w:rsidRPr="00E5219B" w:rsidRDefault="002F3328" w:rsidP="002F3328">
      <w:pPr>
        <w:ind w:left="3600" w:firstLine="720"/>
        <w:rPr>
          <w:szCs w:val="22"/>
        </w:rPr>
      </w:pPr>
      <w:r w:rsidRPr="00E5219B">
        <w:rPr>
          <w:szCs w:val="22"/>
        </w:rPr>
        <w:t>FEDERAL COMMUNICATIONS COMMISSION</w:t>
      </w:r>
    </w:p>
    <w:p w14:paraId="310DEB13" w14:textId="77777777" w:rsidR="002F3328" w:rsidRPr="00E5219B" w:rsidRDefault="002F3328" w:rsidP="002F3328">
      <w:pPr>
        <w:rPr>
          <w:szCs w:val="22"/>
        </w:rPr>
      </w:pPr>
    </w:p>
    <w:p w14:paraId="7E000573" w14:textId="77777777" w:rsidR="002F3328" w:rsidRDefault="002F3328" w:rsidP="00E402A5">
      <w:pPr>
        <w:rPr>
          <w:szCs w:val="22"/>
        </w:rPr>
      </w:pPr>
    </w:p>
    <w:p w14:paraId="1C98188D" w14:textId="77777777" w:rsidR="00A42FAE" w:rsidRDefault="00A42FAE" w:rsidP="00E402A5">
      <w:pPr>
        <w:rPr>
          <w:szCs w:val="22"/>
        </w:rPr>
      </w:pPr>
    </w:p>
    <w:p w14:paraId="11F2A5A7" w14:textId="77777777" w:rsidR="00A42FAE" w:rsidRPr="00E5219B" w:rsidRDefault="00A42FAE" w:rsidP="00E402A5">
      <w:pPr>
        <w:rPr>
          <w:szCs w:val="22"/>
        </w:rPr>
      </w:pPr>
    </w:p>
    <w:p w14:paraId="61DE0CE7" w14:textId="77777777" w:rsidR="001F1763" w:rsidRPr="00E5219B" w:rsidRDefault="004A6F22" w:rsidP="001F1763">
      <w:pPr>
        <w:ind w:left="4320"/>
        <w:rPr>
          <w:szCs w:val="22"/>
        </w:rPr>
      </w:pPr>
      <w:r w:rsidRPr="00E5219B">
        <w:rPr>
          <w:szCs w:val="22"/>
        </w:rPr>
        <w:t>Matthew S. DelNero</w:t>
      </w:r>
    </w:p>
    <w:p w14:paraId="1EA1EB23" w14:textId="77777777" w:rsidR="001F1763" w:rsidRPr="00E5219B" w:rsidRDefault="001F1763" w:rsidP="001F1763">
      <w:pPr>
        <w:ind w:left="4320"/>
        <w:rPr>
          <w:szCs w:val="22"/>
        </w:rPr>
      </w:pPr>
      <w:r w:rsidRPr="00E5219B">
        <w:rPr>
          <w:szCs w:val="22"/>
        </w:rPr>
        <w:t>Chief</w:t>
      </w:r>
    </w:p>
    <w:p w14:paraId="09C91816" w14:textId="24C9B5A3" w:rsidR="002F3328" w:rsidRPr="00E5219B" w:rsidRDefault="001F1763" w:rsidP="00A42FAE">
      <w:pPr>
        <w:ind w:left="4320"/>
        <w:rPr>
          <w:szCs w:val="22"/>
        </w:rPr>
      </w:pPr>
      <w:r w:rsidRPr="00E5219B">
        <w:rPr>
          <w:szCs w:val="22"/>
        </w:rPr>
        <w:t>Wirel</w:t>
      </w:r>
      <w:r w:rsidR="00A92931" w:rsidRPr="00E5219B">
        <w:rPr>
          <w:szCs w:val="22"/>
        </w:rPr>
        <w:t>ine</w:t>
      </w:r>
      <w:r w:rsidRPr="00E5219B">
        <w:rPr>
          <w:szCs w:val="22"/>
        </w:rPr>
        <w:t xml:space="preserve"> Competition Bureau</w:t>
      </w:r>
    </w:p>
    <w:sectPr w:rsidR="002F3328" w:rsidRPr="00E5219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EC620" w14:textId="77777777" w:rsidR="00566952" w:rsidRDefault="00566952">
      <w:pPr>
        <w:spacing w:line="20" w:lineRule="exact"/>
      </w:pPr>
    </w:p>
  </w:endnote>
  <w:endnote w:type="continuationSeparator" w:id="0">
    <w:p w14:paraId="25C14C35" w14:textId="77777777" w:rsidR="00566952" w:rsidRDefault="00566952">
      <w:r>
        <w:t xml:space="preserve"> </w:t>
      </w:r>
    </w:p>
  </w:endnote>
  <w:endnote w:type="continuationNotice" w:id="1">
    <w:p w14:paraId="12483BEF" w14:textId="77777777" w:rsidR="00566952" w:rsidRDefault="005669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B79F1" w14:textId="77777777" w:rsidR="00EF5BA3" w:rsidRDefault="00EF5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20DE4" w14:textId="77777777" w:rsidR="004E3673" w:rsidRDefault="004E3673" w:rsidP="0055614C">
    <w:pPr>
      <w:pStyle w:val="Footer"/>
      <w:framePr w:wrap="around" w:vAnchor="text" w:hAnchor="margin" w:xAlign="center" w:y="1"/>
    </w:pPr>
    <w:r>
      <w:fldChar w:fldCharType="begin"/>
    </w:r>
    <w:r>
      <w:instrText xml:space="preserve">PAGE  </w:instrText>
    </w:r>
    <w:r>
      <w:fldChar w:fldCharType="separate"/>
    </w:r>
    <w:r w:rsidR="00024CA2">
      <w:rPr>
        <w:noProof/>
      </w:rPr>
      <w:t>2</w:t>
    </w:r>
    <w:r>
      <w:fldChar w:fldCharType="end"/>
    </w:r>
  </w:p>
  <w:p w14:paraId="704BB86B" w14:textId="77777777" w:rsidR="004E3673" w:rsidRDefault="004E367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D4DC" w14:textId="77777777" w:rsidR="004E3673" w:rsidRDefault="004E367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CA989" w14:textId="77777777" w:rsidR="00566952" w:rsidRDefault="00566952">
      <w:r>
        <w:separator/>
      </w:r>
    </w:p>
  </w:footnote>
  <w:footnote w:type="continuationSeparator" w:id="0">
    <w:p w14:paraId="42E05642" w14:textId="77777777" w:rsidR="00566952" w:rsidRDefault="00566952" w:rsidP="00C721AC">
      <w:pPr>
        <w:spacing w:before="120"/>
        <w:rPr>
          <w:sz w:val="20"/>
        </w:rPr>
      </w:pPr>
      <w:r>
        <w:rPr>
          <w:sz w:val="20"/>
        </w:rPr>
        <w:t xml:space="preserve">(Continued from previous page)  </w:t>
      </w:r>
      <w:r>
        <w:rPr>
          <w:sz w:val="20"/>
        </w:rPr>
        <w:separator/>
      </w:r>
    </w:p>
  </w:footnote>
  <w:footnote w:type="continuationNotice" w:id="1">
    <w:p w14:paraId="1BDF6C77" w14:textId="77777777" w:rsidR="00566952" w:rsidRDefault="00566952" w:rsidP="00C721AC">
      <w:pPr>
        <w:jc w:val="right"/>
        <w:rPr>
          <w:sz w:val="20"/>
        </w:rPr>
      </w:pPr>
      <w:r>
        <w:rPr>
          <w:sz w:val="20"/>
        </w:rPr>
        <w:t>(continued….)</w:t>
      </w:r>
    </w:p>
  </w:footnote>
  <w:footnote w:id="2">
    <w:p w14:paraId="318D41A2" w14:textId="77777777" w:rsidR="004E3673" w:rsidRPr="00D67587" w:rsidRDefault="004E3673" w:rsidP="00D215D9">
      <w:pPr>
        <w:pStyle w:val="FootnoteText"/>
      </w:pPr>
      <w:r w:rsidRPr="00D67587">
        <w:rPr>
          <w:rStyle w:val="FootnoteReference"/>
        </w:rPr>
        <w:footnoteRef/>
      </w:r>
      <w:r w:rsidRPr="00D67587">
        <w:t xml:space="preserve"> Joint Petition for Partial Stay of Assist Wireless, LLC, Easy Telephone Services Company d/b/a Easy Wireless, TerraCom, Inc., and True Wireless, LLC, WC Docket Nos. 11-42, et al., (filed Oct. 16, 2015) (Joint Petition).</w:t>
      </w:r>
    </w:p>
  </w:footnote>
  <w:footnote w:id="3">
    <w:p w14:paraId="131BBD9E" w14:textId="77777777" w:rsidR="004E3673" w:rsidRPr="00D67587" w:rsidRDefault="004E3673">
      <w:pPr>
        <w:pStyle w:val="FootnoteText"/>
      </w:pPr>
      <w:r w:rsidRPr="00D67587">
        <w:rPr>
          <w:rStyle w:val="FootnoteReference"/>
        </w:rPr>
        <w:footnoteRef/>
      </w:r>
      <w:r w:rsidRPr="00D67587">
        <w:t xml:space="preserve"> </w:t>
      </w:r>
      <w:r w:rsidRPr="00D67587">
        <w:rPr>
          <w:i/>
        </w:rPr>
        <w:t>See Federal-State Joint Board on Universal Service et al.</w:t>
      </w:r>
      <w:r w:rsidRPr="00D67587">
        <w:t>, CC Docket No. 96-45 et al., Twelfth Report and Order, Memorandum Opinion and Order, and Further Notice of Proposed Rulemaking, 15 FCC Rcd 12208, 12235, para. 42 (2000) (</w:t>
      </w:r>
      <w:r w:rsidRPr="00D67587">
        <w:rPr>
          <w:i/>
        </w:rPr>
        <w:t>2000 Tribal Order</w:t>
      </w:r>
      <w:r w:rsidRPr="00D67587">
        <w:t>).</w:t>
      </w:r>
    </w:p>
  </w:footnote>
  <w:footnote w:id="4">
    <w:p w14:paraId="2A46211B" w14:textId="77777777" w:rsidR="004E3673" w:rsidRPr="00D67587" w:rsidRDefault="004E3673">
      <w:pPr>
        <w:pStyle w:val="FootnoteText"/>
      </w:pPr>
      <w:r w:rsidRPr="00D67587">
        <w:rPr>
          <w:rStyle w:val="FootnoteReference"/>
        </w:rPr>
        <w:footnoteRef/>
      </w:r>
      <w:r w:rsidRPr="00D67587">
        <w:t xml:space="preserve"> </w:t>
      </w:r>
      <w:r w:rsidRPr="00D67587">
        <w:rPr>
          <w:i/>
        </w:rPr>
        <w:t>See 2000 Tribal Order</w:t>
      </w:r>
      <w:r w:rsidRPr="00D67587">
        <w:t>, 15 FCC Rcd at 12218-19, paras. 17-18 (citing 25 C.F.R. § 20.1(r), (v)).</w:t>
      </w:r>
    </w:p>
  </w:footnote>
  <w:footnote w:id="5">
    <w:p w14:paraId="5F70BFF4" w14:textId="77777777" w:rsidR="004E3673" w:rsidRPr="00D67587" w:rsidRDefault="004E3673">
      <w:pPr>
        <w:pStyle w:val="FootnoteText"/>
      </w:pPr>
      <w:r w:rsidRPr="00D67587">
        <w:rPr>
          <w:rStyle w:val="FootnoteReference"/>
        </w:rPr>
        <w:footnoteRef/>
      </w:r>
      <w:r w:rsidRPr="00D67587">
        <w:t xml:space="preserve"> </w:t>
      </w:r>
      <w:r w:rsidRPr="00D67587">
        <w:rPr>
          <w:i/>
        </w:rPr>
        <w:t>See</w:t>
      </w:r>
      <w:r w:rsidRPr="00D67587">
        <w:t xml:space="preserve"> </w:t>
      </w:r>
      <w:r w:rsidRPr="00D67587">
        <w:rPr>
          <w:i/>
        </w:rPr>
        <w:t>Lifeline and Link Up Reform and Modernization et al.</w:t>
      </w:r>
      <w:r w:rsidRPr="00D67587">
        <w:t>, WC Docket No. 11-42 et al., Second Further Notice of Proposed Rulemaking, Order on Reconsideration, Second Report and Order, and Memorandum Opinion and Order, 30 FCC Rcd 7818</w:t>
      </w:r>
      <w:r>
        <w:t>, 7906, para. 258</w:t>
      </w:r>
      <w:r w:rsidRPr="00D67587">
        <w:t xml:space="preserve"> (rel. June 22, 2015) (</w:t>
      </w:r>
      <w:r w:rsidRPr="00D67587">
        <w:rPr>
          <w:i/>
        </w:rPr>
        <w:t>2015 Lifeline Reform Order</w:t>
      </w:r>
      <w:r w:rsidRPr="00D67587">
        <w:t>)</w:t>
      </w:r>
      <w:r>
        <w:t>.</w:t>
      </w:r>
    </w:p>
  </w:footnote>
  <w:footnote w:id="6">
    <w:p w14:paraId="0380E7DC" w14:textId="77777777" w:rsidR="004E3673" w:rsidRPr="00D67587" w:rsidRDefault="004E3673">
      <w:pPr>
        <w:pStyle w:val="FootnoteText"/>
      </w:pPr>
      <w:r w:rsidRPr="00D67587">
        <w:rPr>
          <w:rStyle w:val="FootnoteReference"/>
        </w:rPr>
        <w:footnoteRef/>
      </w:r>
      <w:r w:rsidRPr="00D67587">
        <w:t xml:space="preserve"> </w:t>
      </w:r>
      <w:r w:rsidRPr="00D67587">
        <w:rPr>
          <w:i/>
        </w:rPr>
        <w:t xml:space="preserve">See </w:t>
      </w:r>
      <w:r>
        <w:rPr>
          <w:i/>
        </w:rPr>
        <w:t>id.</w:t>
      </w:r>
    </w:p>
  </w:footnote>
  <w:footnote w:id="7">
    <w:p w14:paraId="034B8BD6" w14:textId="77777777" w:rsidR="004E3673" w:rsidRPr="00D67587" w:rsidRDefault="004E3673" w:rsidP="00233143">
      <w:pPr>
        <w:pStyle w:val="FootnoteText"/>
      </w:pPr>
      <w:r w:rsidRPr="00D67587">
        <w:rPr>
          <w:rStyle w:val="FootnoteReference"/>
        </w:rPr>
        <w:footnoteRef/>
      </w:r>
      <w:r w:rsidRPr="00D67587">
        <w:t xml:space="preserve"> </w:t>
      </w:r>
      <w:r>
        <w:rPr>
          <w:i/>
        </w:rPr>
        <w:t>2015 Lifeline Reform Order</w:t>
      </w:r>
      <w:r>
        <w:t>,</w:t>
      </w:r>
      <w:r w:rsidRPr="00D67587">
        <w:t xml:space="preserve"> 30 FCC Rcd 7818.</w:t>
      </w:r>
    </w:p>
  </w:footnote>
  <w:footnote w:id="8">
    <w:p w14:paraId="04404AF7" w14:textId="77777777" w:rsidR="004E3673" w:rsidRPr="00D67587" w:rsidRDefault="004E3673" w:rsidP="00233143">
      <w:pPr>
        <w:pStyle w:val="FootnoteText"/>
      </w:pPr>
      <w:r w:rsidRPr="00D67587">
        <w:rPr>
          <w:rStyle w:val="FootnoteReference"/>
        </w:rPr>
        <w:footnoteRef/>
      </w:r>
      <w:r w:rsidRPr="00D67587">
        <w:t xml:space="preserve"> </w:t>
      </w:r>
      <w:r>
        <w:rPr>
          <w:i/>
        </w:rPr>
        <w:t>Id.</w:t>
      </w:r>
      <w:r w:rsidRPr="00D67587">
        <w:t xml:space="preserve"> at 7903, para. 257 (citing Oklahoma Historical Map, 1870-1890, Plate 6, Webb Publishing Company, Oklahoma City, OK (1917) (Copyright 1917, George Rainey, Enid, OK; Engraved George F. Cram Company, Chicago, IL)); 47 C.F.R. § 54.400(e).</w:t>
      </w:r>
    </w:p>
  </w:footnote>
  <w:footnote w:id="9">
    <w:p w14:paraId="31889E61" w14:textId="77777777" w:rsidR="004E3673" w:rsidRPr="00D67587" w:rsidRDefault="004E3673">
      <w:pPr>
        <w:pStyle w:val="FootnoteText"/>
      </w:pPr>
      <w:r w:rsidRPr="00D67587">
        <w:rPr>
          <w:rStyle w:val="FootnoteReference"/>
        </w:rPr>
        <w:footnoteRef/>
      </w:r>
      <w:r w:rsidRPr="00D67587">
        <w:t xml:space="preserve"> </w:t>
      </w:r>
      <w:r>
        <w:rPr>
          <w:i/>
        </w:rPr>
        <w:t>Id.</w:t>
      </w:r>
      <w:r w:rsidRPr="00D67587">
        <w:t xml:space="preserve"> at 7904, para. 259.</w:t>
      </w:r>
    </w:p>
  </w:footnote>
  <w:footnote w:id="10">
    <w:p w14:paraId="6130C5FF" w14:textId="77777777" w:rsidR="004E3673" w:rsidRPr="00D67587" w:rsidRDefault="004E3673" w:rsidP="00684FA4">
      <w:pPr>
        <w:pStyle w:val="FootnoteText"/>
      </w:pPr>
      <w:r w:rsidRPr="00D67587">
        <w:rPr>
          <w:rStyle w:val="FootnoteReference"/>
        </w:rPr>
        <w:footnoteRef/>
      </w:r>
      <w:r w:rsidRPr="00D67587">
        <w:t xml:space="preserve"> </w:t>
      </w:r>
      <w:r w:rsidRPr="00D67587">
        <w:rPr>
          <w:i/>
        </w:rPr>
        <w:t xml:space="preserve">See </w:t>
      </w:r>
      <w:r>
        <w:rPr>
          <w:i/>
        </w:rPr>
        <w:t>id.</w:t>
      </w:r>
      <w:r w:rsidRPr="00D67587">
        <w:t xml:space="preserve"> at 7903-04, paras. 257, 260, 265.  The Commission established that the </w:t>
      </w:r>
      <w:r w:rsidRPr="00D67587">
        <w:rPr>
          <w:i/>
        </w:rPr>
        <w:t>Order</w:t>
      </w:r>
      <w:r w:rsidRPr="00D67587">
        <w:t xml:space="preserve"> would be effective 30 days after publication in the Federal Register.  </w:t>
      </w:r>
      <w:r w:rsidRPr="00D67587">
        <w:rPr>
          <w:i/>
        </w:rPr>
        <w:t>Id.</w:t>
      </w:r>
      <w:r w:rsidRPr="00D67587">
        <w:t xml:space="preserve"> at 7917, para. 298.  The </w:t>
      </w:r>
      <w:r w:rsidRPr="00D67587">
        <w:rPr>
          <w:i/>
        </w:rPr>
        <w:t>Order</w:t>
      </w:r>
      <w:r w:rsidRPr="00D67587">
        <w:t xml:space="preserve"> was published in the Federal Register on July 14, 2015.  </w:t>
      </w:r>
      <w:r w:rsidRPr="00D67587">
        <w:rPr>
          <w:i/>
        </w:rPr>
        <w:t>See</w:t>
      </w:r>
      <w:r w:rsidRPr="00D67587">
        <w:t xml:space="preserve"> Federal Communications Commission, Lifeline and Link Up Reform and Modernization, Telecommunications Carriers Eligible for Universal Service Support, Connect America Fund, Final Rule, 80 Fed. Reg. 40923, 40929-30 (July 14, 2015).</w:t>
      </w:r>
    </w:p>
  </w:footnote>
  <w:footnote w:id="11">
    <w:p w14:paraId="27289F44" w14:textId="77777777" w:rsidR="004E3673" w:rsidRPr="00D67587" w:rsidRDefault="004E3673">
      <w:pPr>
        <w:pStyle w:val="FootnoteText"/>
      </w:pPr>
      <w:r w:rsidRPr="00D67587">
        <w:rPr>
          <w:rStyle w:val="FootnoteReference"/>
        </w:rPr>
        <w:footnoteRef/>
      </w:r>
      <w:r w:rsidRPr="00D67587">
        <w:t xml:space="preserve"> </w:t>
      </w:r>
      <w:r w:rsidRPr="00D67587">
        <w:rPr>
          <w:i/>
        </w:rPr>
        <w:t xml:space="preserve">See </w:t>
      </w:r>
      <w:r>
        <w:rPr>
          <w:i/>
        </w:rPr>
        <w:t xml:space="preserve">2015 Lifeline Reform </w:t>
      </w:r>
      <w:r w:rsidRPr="00F80E16">
        <w:t>Order</w:t>
      </w:r>
      <w:r>
        <w:t>, 30 FCC Rcd</w:t>
      </w:r>
      <w:r w:rsidRPr="00D67587">
        <w:t xml:space="preserve"> at 7907, para. 265.  If, based on these consultations, the Bureau finds that the Commission should depart from the Oklahoma Historical Map for purposes of interpreting section 54.400(e) of the Commission’s rules, the Bureau, in coordination with ONAP, is directed to recommend to the Commission an order that would further revise the Commission’s interpretation of the appropriate boundaries for the former reservations in Oklahoma.  </w:t>
      </w:r>
      <w:r w:rsidRPr="00D67587">
        <w:rPr>
          <w:i/>
        </w:rPr>
        <w:t xml:space="preserve">See id. </w:t>
      </w:r>
      <w:r w:rsidRPr="00D67587">
        <w:t>at 7907, para. 266.</w:t>
      </w:r>
    </w:p>
  </w:footnote>
  <w:footnote w:id="12">
    <w:p w14:paraId="5C72CAC5" w14:textId="77777777" w:rsidR="004E3673" w:rsidRPr="00D67587" w:rsidRDefault="004E3673" w:rsidP="007B77BF">
      <w:pPr>
        <w:pStyle w:val="FootnoteText"/>
      </w:pPr>
      <w:r w:rsidRPr="00D67587">
        <w:rPr>
          <w:rStyle w:val="FootnoteReference"/>
        </w:rPr>
        <w:footnoteRef/>
      </w:r>
      <w:r w:rsidRPr="00D67587">
        <w:t xml:space="preserve"> Joint Petition at 2.</w:t>
      </w:r>
    </w:p>
  </w:footnote>
  <w:footnote w:id="13">
    <w:p w14:paraId="3AD9C3F4" w14:textId="77777777" w:rsidR="004E3673" w:rsidRPr="00D67587" w:rsidRDefault="004E3673" w:rsidP="00274A5F">
      <w:pPr>
        <w:pStyle w:val="FootnoteText"/>
      </w:pPr>
      <w:r w:rsidRPr="00D67587">
        <w:rPr>
          <w:rStyle w:val="FootnoteReference"/>
        </w:rPr>
        <w:footnoteRef/>
      </w:r>
      <w:r w:rsidRPr="00D67587">
        <w:t xml:space="preserve"> </w:t>
      </w:r>
      <w:r w:rsidRPr="00D67587">
        <w:rPr>
          <w:i/>
        </w:rPr>
        <w:t>See Washington Metro. Area Transit Comm’n v. Holiday Tours, Inc.</w:t>
      </w:r>
      <w:r w:rsidRPr="00D67587">
        <w:t>, 559 F.2d 841, 843 (D.C. Cir. 1977) (</w:t>
      </w:r>
      <w:r w:rsidRPr="00D67587">
        <w:rPr>
          <w:i/>
        </w:rPr>
        <w:t>Holiday Tours</w:t>
      </w:r>
      <w:r w:rsidRPr="00D67587">
        <w:t xml:space="preserve">); </w:t>
      </w:r>
      <w:r w:rsidRPr="00D67587">
        <w:rPr>
          <w:i/>
        </w:rPr>
        <w:t>Virginia Petroleum Jobbers Ass’n v. Federal Power Comm’n</w:t>
      </w:r>
      <w:r w:rsidRPr="00D67587">
        <w:t>, 259 F.2d 921, 925 (D.C. Cir. 1958) (</w:t>
      </w:r>
      <w:r w:rsidRPr="00D67587">
        <w:rPr>
          <w:i/>
        </w:rPr>
        <w:t>VA Petroleum Jobbers</w:t>
      </w:r>
      <w:r w:rsidRPr="00D67587">
        <w:t>).</w:t>
      </w:r>
    </w:p>
  </w:footnote>
  <w:footnote w:id="14">
    <w:p w14:paraId="4F3F400E" w14:textId="77777777" w:rsidR="004E3673" w:rsidRPr="00D67587" w:rsidRDefault="004E3673" w:rsidP="002F3328">
      <w:pPr>
        <w:pStyle w:val="FootnoteText"/>
      </w:pPr>
      <w:r w:rsidRPr="00D67587">
        <w:rPr>
          <w:rStyle w:val="FootnoteReference"/>
        </w:rPr>
        <w:footnoteRef/>
      </w:r>
      <w:r w:rsidRPr="00D67587">
        <w:t xml:space="preserve"> </w:t>
      </w:r>
      <w:r w:rsidRPr="00D67587">
        <w:rPr>
          <w:i/>
        </w:rPr>
        <w:t xml:space="preserve">See </w:t>
      </w:r>
      <w:r w:rsidRPr="00D67587">
        <w:t>Joint Petition at 11-14.</w:t>
      </w:r>
    </w:p>
  </w:footnote>
  <w:footnote w:id="15">
    <w:p w14:paraId="48893FD0" w14:textId="77777777" w:rsidR="004E3673" w:rsidRPr="00D67587" w:rsidRDefault="004E3673">
      <w:pPr>
        <w:pStyle w:val="FootnoteText"/>
      </w:pPr>
      <w:r w:rsidRPr="00D67587">
        <w:rPr>
          <w:rStyle w:val="FootnoteReference"/>
        </w:rPr>
        <w:footnoteRef/>
      </w:r>
      <w:r w:rsidRPr="00D67587">
        <w:t xml:space="preserve"> </w:t>
      </w:r>
      <w:r w:rsidRPr="00D67587">
        <w:rPr>
          <w:i/>
        </w:rPr>
        <w:t>See</w:t>
      </w:r>
      <w:r w:rsidRPr="00D67587">
        <w:t xml:space="preserve"> </w:t>
      </w:r>
      <w:r>
        <w:rPr>
          <w:i/>
        </w:rPr>
        <w:t>id.</w:t>
      </w:r>
      <w:r w:rsidRPr="00D67587">
        <w:t xml:space="preserve"> at 11-13.</w:t>
      </w:r>
    </w:p>
  </w:footnote>
  <w:footnote w:id="16">
    <w:p w14:paraId="5461E986" w14:textId="77777777" w:rsidR="004E3673" w:rsidRPr="00D67587" w:rsidRDefault="004E3673">
      <w:pPr>
        <w:pStyle w:val="FootnoteText"/>
      </w:pPr>
      <w:r w:rsidRPr="00D67587">
        <w:rPr>
          <w:rStyle w:val="FootnoteReference"/>
        </w:rPr>
        <w:footnoteRef/>
      </w:r>
      <w:r w:rsidRPr="00D67587">
        <w:t xml:space="preserve"> </w:t>
      </w:r>
      <w:r w:rsidRPr="00D67587">
        <w:rPr>
          <w:i/>
        </w:rPr>
        <w:t>See</w:t>
      </w:r>
      <w:r w:rsidRPr="00D67587">
        <w:t xml:space="preserve"> </w:t>
      </w:r>
      <w:r w:rsidRPr="00D67587">
        <w:rPr>
          <w:i/>
        </w:rPr>
        <w:t>2015 Lifeline Reform Order</w:t>
      </w:r>
      <w:r w:rsidRPr="00D67587">
        <w:t>, 30 FCC Rcd at 7904-05, para. 260 n.523.</w:t>
      </w:r>
    </w:p>
  </w:footnote>
  <w:footnote w:id="17">
    <w:p w14:paraId="4B48A726" w14:textId="29A42B1B" w:rsidR="004E3673" w:rsidRPr="00D67587" w:rsidRDefault="004E3673">
      <w:pPr>
        <w:pStyle w:val="FootnoteText"/>
      </w:pPr>
      <w:r w:rsidRPr="00D67587">
        <w:rPr>
          <w:rStyle w:val="FootnoteReference"/>
        </w:rPr>
        <w:footnoteRef/>
      </w:r>
      <w:r w:rsidRPr="00D67587">
        <w:t xml:space="preserve"> </w:t>
      </w:r>
      <w:r w:rsidRPr="00D67587">
        <w:rPr>
          <w:i/>
        </w:rPr>
        <w:t xml:space="preserve">See </w:t>
      </w:r>
      <w:r>
        <w:rPr>
          <w:i/>
        </w:rPr>
        <w:t>id.</w:t>
      </w:r>
      <w:r w:rsidRPr="00D67587">
        <w:t xml:space="preserve"> (quoting </w:t>
      </w:r>
      <w:r w:rsidRPr="00D67587">
        <w:rPr>
          <w:i/>
        </w:rPr>
        <w:t>Perez v. Mortgage Bankers Ass’n</w:t>
      </w:r>
      <w:r w:rsidRPr="00D67587">
        <w:t xml:space="preserve">, 135 S. Ct. 1199, 1204 (2015); </w:t>
      </w:r>
      <w:r w:rsidRPr="00D67587">
        <w:rPr>
          <w:i/>
        </w:rPr>
        <w:t>Shalala v. Guernsey Memorial Hospital</w:t>
      </w:r>
      <w:r w:rsidRPr="00D67587">
        <w:t>, 514 U.S. 87, 99 (1995)).</w:t>
      </w:r>
      <w:r>
        <w:t xml:space="preserve"> </w:t>
      </w:r>
    </w:p>
  </w:footnote>
  <w:footnote w:id="18">
    <w:p w14:paraId="3D41451B" w14:textId="77777777" w:rsidR="004E3673" w:rsidRPr="00D67587" w:rsidRDefault="004E3673">
      <w:pPr>
        <w:pStyle w:val="FootnoteText"/>
        <w:rPr>
          <w:i/>
        </w:rPr>
      </w:pPr>
      <w:r w:rsidRPr="00D67587">
        <w:rPr>
          <w:rStyle w:val="FootnoteReference"/>
        </w:rPr>
        <w:footnoteRef/>
      </w:r>
      <w:r w:rsidRPr="00D67587">
        <w:t xml:space="preserve"> </w:t>
      </w:r>
      <w:r w:rsidRPr="00D67587">
        <w:rPr>
          <w:i/>
        </w:rPr>
        <w:t>See Perez</w:t>
      </w:r>
      <w:r w:rsidRPr="00D67587">
        <w:t>, 135 S. Ct. at 1206.</w:t>
      </w:r>
      <w:r w:rsidRPr="00D67587">
        <w:rPr>
          <w:i/>
        </w:rPr>
        <w:t xml:space="preserve"> </w:t>
      </w:r>
    </w:p>
  </w:footnote>
  <w:footnote w:id="19">
    <w:p w14:paraId="0C04F0A8" w14:textId="77777777" w:rsidR="004E3673" w:rsidRPr="00D67587" w:rsidRDefault="004E3673">
      <w:pPr>
        <w:pStyle w:val="FootnoteText"/>
      </w:pPr>
      <w:r w:rsidRPr="00D67587">
        <w:rPr>
          <w:rStyle w:val="FootnoteReference"/>
        </w:rPr>
        <w:footnoteRef/>
      </w:r>
      <w:r w:rsidRPr="00D67587">
        <w:t xml:space="preserve"> </w:t>
      </w:r>
      <w:r w:rsidRPr="00D67587">
        <w:rPr>
          <w:i/>
        </w:rPr>
        <w:t xml:space="preserve">See </w:t>
      </w:r>
      <w:r w:rsidRPr="00D67587">
        <w:t>Joint Petition at 13-14.</w:t>
      </w:r>
    </w:p>
  </w:footnote>
  <w:footnote w:id="20">
    <w:p w14:paraId="34911A53" w14:textId="77777777" w:rsidR="004E3673" w:rsidRPr="00D67587" w:rsidRDefault="004E3673">
      <w:pPr>
        <w:pStyle w:val="FootnoteText"/>
      </w:pPr>
      <w:r w:rsidRPr="00D67587">
        <w:rPr>
          <w:rStyle w:val="FootnoteReference"/>
        </w:rPr>
        <w:footnoteRef/>
      </w:r>
      <w:r w:rsidRPr="00D67587">
        <w:t xml:space="preserve"> </w:t>
      </w:r>
      <w:r w:rsidRPr="00D67587">
        <w:rPr>
          <w:i/>
        </w:rPr>
        <w:t>See</w:t>
      </w:r>
      <w:r w:rsidRPr="00D67587">
        <w:t xml:space="preserve"> </w:t>
      </w:r>
      <w:r>
        <w:rPr>
          <w:i/>
        </w:rPr>
        <w:t>id.</w:t>
      </w:r>
      <w:r w:rsidRPr="00D67587">
        <w:t xml:space="preserve"> at 13.</w:t>
      </w:r>
    </w:p>
  </w:footnote>
  <w:footnote w:id="21">
    <w:p w14:paraId="3DABABF5" w14:textId="77777777" w:rsidR="004E3673" w:rsidRPr="00C071EA" w:rsidRDefault="004E3673">
      <w:pPr>
        <w:pStyle w:val="FootnoteText"/>
      </w:pPr>
      <w:r>
        <w:rPr>
          <w:rStyle w:val="FootnoteReference"/>
        </w:rPr>
        <w:footnoteRef/>
      </w:r>
      <w:r>
        <w:t xml:space="preserve"> </w:t>
      </w:r>
      <w:r>
        <w:rPr>
          <w:i/>
        </w:rPr>
        <w:t>Statement of Policy on Establishing a Government-to-Government Relationship with Indian Tribes</w:t>
      </w:r>
      <w:r>
        <w:t>, Policy Statement, 16 FCC Rcd 4078, 4081 (rel. June 23, 2000).</w:t>
      </w:r>
    </w:p>
  </w:footnote>
  <w:footnote w:id="22">
    <w:p w14:paraId="71744164" w14:textId="14F8A481" w:rsidR="004E3673" w:rsidRPr="00826F32" w:rsidRDefault="004E3673">
      <w:pPr>
        <w:pStyle w:val="FootnoteText"/>
      </w:pPr>
      <w:r>
        <w:rPr>
          <w:rStyle w:val="FootnoteReference"/>
        </w:rPr>
        <w:footnoteRef/>
      </w:r>
      <w:r>
        <w:t xml:space="preserve"> </w:t>
      </w:r>
      <w:r>
        <w:rPr>
          <w:i/>
        </w:rPr>
        <w:t>See 2015 Lifeline Reform Order</w:t>
      </w:r>
      <w:r>
        <w:t xml:space="preserve">, 30 FCC Rcd at 7873-77, paras. 158-71.  The Commission directed ONAP, in coordination with the Bureau, to engage in government-to-government consultation with Tribal Nations on the questions in the </w:t>
      </w:r>
      <w:r>
        <w:rPr>
          <w:i/>
        </w:rPr>
        <w:t xml:space="preserve">Further Notice </w:t>
      </w:r>
      <w:r>
        <w:t xml:space="preserve">regarding the rules for enhanced Tribal Lifeline support.  </w:t>
      </w:r>
      <w:r>
        <w:rPr>
          <w:i/>
        </w:rPr>
        <w:t>Id.</w:t>
      </w:r>
      <w:r>
        <w:t xml:space="preserve"> at 7877, paras. 170-71.</w:t>
      </w:r>
    </w:p>
  </w:footnote>
  <w:footnote w:id="23">
    <w:p w14:paraId="7DF0AC9E" w14:textId="7443D255" w:rsidR="004E3673" w:rsidRPr="00890B2F" w:rsidRDefault="004E3673">
      <w:pPr>
        <w:pStyle w:val="FootnoteText"/>
      </w:pPr>
      <w:r w:rsidRPr="00D67587">
        <w:rPr>
          <w:rStyle w:val="FootnoteReference"/>
        </w:rPr>
        <w:footnoteRef/>
      </w:r>
      <w:r w:rsidRPr="00D67587">
        <w:t xml:space="preserve"> </w:t>
      </w:r>
      <w:r w:rsidRPr="00D67587">
        <w:rPr>
          <w:i/>
        </w:rPr>
        <w:t>See 2015 Lifeline Reform Order</w:t>
      </w:r>
      <w:r w:rsidRPr="00D67587">
        <w:t xml:space="preserve">, 30 FCC Rcd at </w:t>
      </w:r>
      <w:r>
        <w:t xml:space="preserve">7903, </w:t>
      </w:r>
      <w:r w:rsidRPr="00D67587">
        <w:t>7907, para</w:t>
      </w:r>
      <w:r>
        <w:t>s</w:t>
      </w:r>
      <w:r w:rsidRPr="00D67587">
        <w:t xml:space="preserve">. </w:t>
      </w:r>
      <w:r>
        <w:t xml:space="preserve">257, </w:t>
      </w:r>
      <w:r w:rsidRPr="00D67587">
        <w:t>265.</w:t>
      </w:r>
      <w:r>
        <w:t xml:space="preserve">  </w:t>
      </w:r>
      <w:r w:rsidRPr="00E5219B">
        <w:rPr>
          <w:szCs w:val="22"/>
        </w:rPr>
        <w:t xml:space="preserve">The </w:t>
      </w:r>
      <w:r w:rsidRPr="00E5219B">
        <w:rPr>
          <w:i/>
          <w:szCs w:val="22"/>
        </w:rPr>
        <w:t>Order</w:t>
      </w:r>
      <w:r w:rsidRPr="00E5219B">
        <w:rPr>
          <w:szCs w:val="22"/>
        </w:rPr>
        <w:t xml:space="preserve"> even directs the Bureau, in coordination with ONAP, to recommend an order to the Commission that would further revise the Commission’s interpretation of the “former reservations in Oklahoma” if the Bureaus finds</w:t>
      </w:r>
      <w:r>
        <w:rPr>
          <w:szCs w:val="22"/>
        </w:rPr>
        <w:t>, based on the consultations,</w:t>
      </w:r>
      <w:r w:rsidRPr="00E5219B">
        <w:rPr>
          <w:szCs w:val="22"/>
        </w:rPr>
        <w:t xml:space="preserve"> that the Commission should depart from the Oklahoma Historical Map to better reflect section 54.400(e) of the Commission’s rules.</w:t>
      </w:r>
      <w:r>
        <w:rPr>
          <w:szCs w:val="22"/>
        </w:rPr>
        <w:t xml:space="preserve">  </w:t>
      </w:r>
      <w:r>
        <w:rPr>
          <w:i/>
          <w:szCs w:val="22"/>
        </w:rPr>
        <w:t>Id</w:t>
      </w:r>
      <w:r>
        <w:rPr>
          <w:szCs w:val="22"/>
        </w:rPr>
        <w:t xml:space="preserve">. 7907, para. 266.  </w:t>
      </w:r>
    </w:p>
  </w:footnote>
  <w:footnote w:id="24">
    <w:p w14:paraId="4DF54C3E" w14:textId="77777777" w:rsidR="004E3673" w:rsidRPr="00D67587" w:rsidRDefault="004E3673">
      <w:pPr>
        <w:pStyle w:val="FootnoteText"/>
      </w:pPr>
      <w:r w:rsidRPr="00D67587">
        <w:rPr>
          <w:rStyle w:val="FootnoteReference"/>
        </w:rPr>
        <w:footnoteRef/>
      </w:r>
      <w:r w:rsidRPr="00D67587">
        <w:t xml:space="preserve"> </w:t>
      </w:r>
      <w:r w:rsidRPr="00D67587">
        <w:rPr>
          <w:i/>
        </w:rPr>
        <w:t xml:space="preserve">See </w:t>
      </w:r>
      <w:r w:rsidRPr="00D67587">
        <w:t>Joint Petition at 14.</w:t>
      </w:r>
    </w:p>
  </w:footnote>
  <w:footnote w:id="25">
    <w:p w14:paraId="552A6DF3" w14:textId="7825E01E" w:rsidR="004E3673" w:rsidRPr="00CD40EF" w:rsidRDefault="004E3673">
      <w:pPr>
        <w:pStyle w:val="FootnoteText"/>
      </w:pPr>
      <w:r>
        <w:rPr>
          <w:rStyle w:val="FootnoteReference"/>
        </w:rPr>
        <w:footnoteRef/>
      </w:r>
      <w:r>
        <w:t xml:space="preserve"> It is well-established that informal staff guidance is not binding on the Commission.  </w:t>
      </w:r>
      <w:r>
        <w:rPr>
          <w:i/>
        </w:rPr>
        <w:t>See, e.g.</w:t>
      </w:r>
      <w:r>
        <w:t xml:space="preserve">, </w:t>
      </w:r>
      <w:r>
        <w:rPr>
          <w:i/>
        </w:rPr>
        <w:t>Vernal Enterprises, Inc. v. FCC</w:t>
      </w:r>
      <w:r>
        <w:t xml:space="preserve">, 355 F.3d 650, 660 (D.C. Cir. 2004).  </w:t>
      </w:r>
      <w:r>
        <w:rPr>
          <w:i/>
        </w:rPr>
        <w:t>See also</w:t>
      </w:r>
      <w:r>
        <w:t xml:space="preserve"> </w:t>
      </w:r>
      <w:r>
        <w:rPr>
          <w:i/>
        </w:rPr>
        <w:t>Cmty. Care Found. v. Thompson</w:t>
      </w:r>
      <w:r>
        <w:t>, 318 F.3d 219, 227 (D.C. Cir. 2003) (“</w:t>
      </w:r>
      <w:r w:rsidRPr="00860866">
        <w:t>There is no authority for the proposition that a lower component of a government agency may bind the decision making of the highest level.</w:t>
      </w:r>
      <w:r>
        <w:t xml:space="preserve">”); </w:t>
      </w:r>
      <w:r>
        <w:rPr>
          <w:i/>
        </w:rPr>
        <w:t>Comcast Corp. v. FCC</w:t>
      </w:r>
      <w:r>
        <w:t>, 526 F.3d 763 (D.C. Cir. 2008) (“[A]</w:t>
      </w:r>
      <w:r w:rsidRPr="004E3673">
        <w:t xml:space="preserve"> long line of cases in this circuit</w:t>
      </w:r>
      <w:r>
        <w:t xml:space="preserve"> . . . </w:t>
      </w:r>
      <w:r w:rsidRPr="004E3673">
        <w:t>unambiguously holds that an agency is not bound by unchallenged staff decisions</w:t>
      </w:r>
      <w:r>
        <w:t>.”).</w:t>
      </w:r>
    </w:p>
  </w:footnote>
  <w:footnote w:id="26">
    <w:p w14:paraId="40D60311" w14:textId="6013D668" w:rsidR="004E3673" w:rsidRPr="00D67587" w:rsidRDefault="004E3673">
      <w:pPr>
        <w:pStyle w:val="FootnoteText"/>
      </w:pPr>
      <w:r w:rsidRPr="00D67587">
        <w:rPr>
          <w:rStyle w:val="FootnoteReference"/>
        </w:rPr>
        <w:footnoteRef/>
      </w:r>
      <w:r w:rsidRPr="00D67587">
        <w:t xml:space="preserve"> </w:t>
      </w:r>
      <w:r>
        <w:rPr>
          <w:i/>
        </w:rPr>
        <w:t xml:space="preserve">2015 Lifeline Reform </w:t>
      </w:r>
      <w:r w:rsidRPr="000665A1">
        <w:rPr>
          <w:i/>
        </w:rPr>
        <w:t>Order</w:t>
      </w:r>
      <w:r w:rsidRPr="000665A1">
        <w:t>,</w:t>
      </w:r>
      <w:r>
        <w:t xml:space="preserve"> 30 FCC Rcd</w:t>
      </w:r>
      <w:r w:rsidRPr="00D67587">
        <w:t xml:space="preserve"> at 7903-05, paras. 257, 259-62.</w:t>
      </w:r>
    </w:p>
  </w:footnote>
  <w:footnote w:id="27">
    <w:p w14:paraId="6D407332" w14:textId="77777777" w:rsidR="004E3673" w:rsidRPr="00D67587" w:rsidRDefault="004E3673">
      <w:pPr>
        <w:pStyle w:val="FootnoteText"/>
      </w:pPr>
      <w:r w:rsidRPr="00D67587">
        <w:rPr>
          <w:rStyle w:val="FootnoteReference"/>
        </w:rPr>
        <w:footnoteRef/>
      </w:r>
      <w:r w:rsidRPr="00D67587">
        <w:t xml:space="preserve"> </w:t>
      </w:r>
      <w:r>
        <w:rPr>
          <w:i/>
        </w:rPr>
        <w:t>Id.</w:t>
      </w:r>
      <w:r w:rsidRPr="00D67587">
        <w:t xml:space="preserve"> at 7904, para. 259.</w:t>
      </w:r>
    </w:p>
  </w:footnote>
  <w:footnote w:id="28">
    <w:p w14:paraId="5C904511" w14:textId="77777777" w:rsidR="004E3673" w:rsidRPr="00D67587" w:rsidRDefault="004E3673" w:rsidP="00EB3707">
      <w:pPr>
        <w:pStyle w:val="FootnoteText"/>
      </w:pPr>
      <w:r w:rsidRPr="00D67587">
        <w:rPr>
          <w:rStyle w:val="FootnoteReference"/>
        </w:rPr>
        <w:footnoteRef/>
      </w:r>
      <w:r w:rsidRPr="00D67587">
        <w:t xml:space="preserve"> </w:t>
      </w:r>
      <w:r>
        <w:rPr>
          <w:i/>
        </w:rPr>
        <w:t>Id.</w:t>
      </w:r>
      <w:r w:rsidRPr="00D67587">
        <w:t xml:space="preserve"> at 7906, para. 263.</w:t>
      </w:r>
    </w:p>
  </w:footnote>
  <w:footnote w:id="29">
    <w:p w14:paraId="25B6796A" w14:textId="77777777" w:rsidR="004E3673" w:rsidRPr="00D67587" w:rsidRDefault="004E3673">
      <w:pPr>
        <w:pStyle w:val="FootnoteText"/>
      </w:pPr>
      <w:r w:rsidRPr="00D67587">
        <w:rPr>
          <w:rStyle w:val="FootnoteReference"/>
        </w:rPr>
        <w:footnoteRef/>
      </w:r>
      <w:r w:rsidRPr="00D67587">
        <w:t xml:space="preserve"> </w:t>
      </w:r>
      <w:r>
        <w:rPr>
          <w:i/>
        </w:rPr>
        <w:t>Id.</w:t>
      </w:r>
    </w:p>
  </w:footnote>
  <w:footnote w:id="30">
    <w:p w14:paraId="645CA1FC" w14:textId="77777777" w:rsidR="004E3673" w:rsidRPr="00D67587" w:rsidRDefault="004E3673">
      <w:pPr>
        <w:pStyle w:val="FootnoteText"/>
      </w:pPr>
      <w:r w:rsidRPr="00D67587">
        <w:rPr>
          <w:rStyle w:val="FootnoteReference"/>
        </w:rPr>
        <w:footnoteRef/>
      </w:r>
      <w:r w:rsidRPr="00D67587">
        <w:t xml:space="preserve"> </w:t>
      </w:r>
      <w:r>
        <w:rPr>
          <w:i/>
        </w:rPr>
        <w:t>Id.</w:t>
      </w:r>
      <w:r w:rsidRPr="00D67587">
        <w:t xml:space="preserve"> at 7906, para. 262 (citing </w:t>
      </w:r>
      <w:r w:rsidRPr="00D67587">
        <w:rPr>
          <w:i/>
        </w:rPr>
        <w:t>2000 Tribal Order</w:t>
      </w:r>
      <w:r w:rsidRPr="00D67587">
        <w:t>, 15 FCC Rcd at 12235, para. 51).</w:t>
      </w:r>
    </w:p>
  </w:footnote>
  <w:footnote w:id="31">
    <w:p w14:paraId="43037CC4" w14:textId="48A8F9D7" w:rsidR="004E3673" w:rsidRPr="000665A1" w:rsidRDefault="004E3673">
      <w:pPr>
        <w:pStyle w:val="FootnoteText"/>
      </w:pPr>
      <w:r>
        <w:rPr>
          <w:rStyle w:val="FootnoteReference"/>
        </w:rPr>
        <w:footnoteRef/>
      </w:r>
      <w:r>
        <w:t xml:space="preserve"> </w:t>
      </w:r>
      <w:r>
        <w:rPr>
          <w:i/>
        </w:rPr>
        <w:t xml:space="preserve">See </w:t>
      </w:r>
      <w:r>
        <w:t>Joint Petition at 14.</w:t>
      </w:r>
    </w:p>
  </w:footnote>
  <w:footnote w:id="32">
    <w:p w14:paraId="50BF2F84" w14:textId="74154931" w:rsidR="004E3673" w:rsidRPr="00D67587" w:rsidRDefault="004E3673" w:rsidP="00A33ECF">
      <w:pPr>
        <w:pStyle w:val="FootnoteText"/>
      </w:pPr>
      <w:r w:rsidRPr="00D67587">
        <w:rPr>
          <w:rStyle w:val="FootnoteReference"/>
        </w:rPr>
        <w:footnoteRef/>
      </w:r>
      <w:r w:rsidRPr="00D67587">
        <w:t xml:space="preserve"> </w:t>
      </w:r>
      <w:r w:rsidRPr="00D67587">
        <w:rPr>
          <w:i/>
        </w:rPr>
        <w:t xml:space="preserve">See </w:t>
      </w:r>
      <w:r>
        <w:rPr>
          <w:i/>
        </w:rPr>
        <w:t xml:space="preserve">2015 Lifeline Reform </w:t>
      </w:r>
      <w:r w:rsidRPr="000665A1">
        <w:rPr>
          <w:i/>
        </w:rPr>
        <w:t>Order</w:t>
      </w:r>
      <w:r w:rsidRPr="000665A1">
        <w:t>,</w:t>
      </w:r>
      <w:r>
        <w:t xml:space="preserve"> 30 FCC Rcd</w:t>
      </w:r>
      <w:r w:rsidRPr="00D67587">
        <w:t xml:space="preserve"> at 7903-04, 7906-07, paras. 257, 260, 264-67.</w:t>
      </w:r>
    </w:p>
  </w:footnote>
  <w:footnote w:id="33">
    <w:p w14:paraId="518EB52B" w14:textId="77777777" w:rsidR="004E3673" w:rsidRPr="008D0D4D" w:rsidRDefault="004E3673" w:rsidP="00DB5EDB">
      <w:pPr>
        <w:pStyle w:val="FootnoteText"/>
      </w:pPr>
      <w:r>
        <w:rPr>
          <w:rStyle w:val="FootnoteReference"/>
        </w:rPr>
        <w:footnoteRef/>
      </w:r>
      <w:r>
        <w:t xml:space="preserve"> </w:t>
      </w:r>
      <w:r>
        <w:rPr>
          <w:i/>
        </w:rPr>
        <w:t xml:space="preserve">See generally </w:t>
      </w:r>
      <w:r>
        <w:t xml:space="preserve">47 C.F.R. § 54.403.  There is no entitlement to support except to the extent provided for by Commission rules, and thus insofar as the proper interpretation of our rules results in some reduction in support relative to USAC’s historical practice, that result does not itself undermine the Commission’s interpretation.  </w:t>
      </w:r>
      <w:r w:rsidRPr="00DB5EDB">
        <w:rPr>
          <w:i/>
        </w:rPr>
        <w:t>Lifeline and Link Up Reform and Modernization et al.</w:t>
      </w:r>
      <w:r>
        <w:t>, WC Docket No. 11-42 et al., Report and Order and Further Notice of Proposed Rulemaking, 27 FCC Rcd 6656, 6743, 6759, para. 201 n.159, 238 (2012) (</w:t>
      </w:r>
      <w:r>
        <w:rPr>
          <w:i/>
        </w:rPr>
        <w:t>2012 Lifeline Reform Order</w:t>
      </w:r>
      <w:r>
        <w:t>).</w:t>
      </w:r>
    </w:p>
  </w:footnote>
  <w:footnote w:id="34">
    <w:p w14:paraId="6AC900C5" w14:textId="77777777" w:rsidR="004E3673" w:rsidRPr="00086C94" w:rsidRDefault="004E3673">
      <w:pPr>
        <w:pStyle w:val="FootnoteText"/>
      </w:pPr>
      <w:r w:rsidRPr="00D67587">
        <w:rPr>
          <w:rStyle w:val="FootnoteReference"/>
        </w:rPr>
        <w:footnoteRef/>
      </w:r>
      <w:r w:rsidRPr="00D67587">
        <w:t xml:space="preserve"> </w:t>
      </w:r>
      <w:r w:rsidRPr="00D67587">
        <w:rPr>
          <w:i/>
        </w:rPr>
        <w:t>See</w:t>
      </w:r>
      <w:r w:rsidRPr="00D67587">
        <w:t xml:space="preserve"> Joint Petition at 14.  Petitioners do not reference any specific support program.  </w:t>
      </w:r>
      <w:r w:rsidRPr="00D67587">
        <w:rPr>
          <w:i/>
        </w:rPr>
        <w:t>See id.</w:t>
      </w:r>
      <w:r>
        <w:rPr>
          <w:i/>
        </w:rPr>
        <w:t xml:space="preserve"> </w:t>
      </w:r>
      <w:r>
        <w:t xml:space="preserve"> While Petitioners assert that the Commission “</w:t>
      </w:r>
      <w:r w:rsidRPr="00086C94">
        <w:t>modeled its definitions of Tribal territories (including former reservations) on those BIA rules</w:t>
      </w:r>
      <w:r>
        <w:t xml:space="preserve">,” </w:t>
      </w:r>
      <w:r>
        <w:rPr>
          <w:i/>
        </w:rPr>
        <w:t>see id</w:t>
      </w:r>
      <w:r>
        <w:t xml:space="preserve">., the Commission previously made clear that that its interpretation of the term “Tribal lands” was not intended to encompass areas identical to any </w:t>
      </w:r>
      <w:r w:rsidRPr="00E5219B">
        <w:rPr>
          <w:szCs w:val="22"/>
        </w:rPr>
        <w:t>BIA</w:t>
      </w:r>
      <w:r>
        <w:rPr>
          <w:szCs w:val="22"/>
        </w:rPr>
        <w:t xml:space="preserve"> </w:t>
      </w:r>
      <w:r w:rsidRPr="00E5219B">
        <w:rPr>
          <w:szCs w:val="22"/>
        </w:rPr>
        <w:t>financial assistance and social support programs</w:t>
      </w:r>
      <w:r>
        <w:rPr>
          <w:szCs w:val="22"/>
        </w:rPr>
        <w:t xml:space="preserve">.  </w:t>
      </w:r>
      <w:r>
        <w:rPr>
          <w:i/>
          <w:szCs w:val="22"/>
        </w:rPr>
        <w:t>See, e.g.</w:t>
      </w:r>
      <w:r>
        <w:rPr>
          <w:szCs w:val="22"/>
        </w:rPr>
        <w:t xml:space="preserve">, </w:t>
      </w:r>
      <w:r>
        <w:rPr>
          <w:i/>
          <w:szCs w:val="22"/>
        </w:rPr>
        <w:t>Federal-State Joint Board on Universal Service et al.</w:t>
      </w:r>
      <w:r>
        <w:rPr>
          <w:szCs w:val="22"/>
        </w:rPr>
        <w:t xml:space="preserve">, </w:t>
      </w:r>
      <w:r w:rsidRPr="00086C94">
        <w:rPr>
          <w:szCs w:val="22"/>
        </w:rPr>
        <w:t>CC Docket No. 96-45</w:t>
      </w:r>
      <w:r>
        <w:rPr>
          <w:szCs w:val="22"/>
        </w:rPr>
        <w:t xml:space="preserve">, </w:t>
      </w:r>
      <w:r w:rsidRPr="00086C94">
        <w:rPr>
          <w:szCs w:val="22"/>
        </w:rPr>
        <w:t>Twenty-Fifth Order on Reconsideration, Report and Order, Order, and Further Notice of Proposed Rulemaking</w:t>
      </w:r>
      <w:r>
        <w:rPr>
          <w:szCs w:val="22"/>
        </w:rPr>
        <w:t xml:space="preserve">, </w:t>
      </w:r>
      <w:r w:rsidRPr="00086C94">
        <w:rPr>
          <w:szCs w:val="22"/>
        </w:rPr>
        <w:t>18 FCC Rcd 10958</w:t>
      </w:r>
      <w:r>
        <w:rPr>
          <w:szCs w:val="22"/>
        </w:rPr>
        <w:t>, 10966-67, paras. 16-17 (2003) (declining to interpret “Tribal lands” for universal service purposes to fully reflect revised BIA rules governing areas receiving assistance, and making clear that the scope of Tribal lands would not automatically match BIA rule changes, while citing BIA’s continued provision of assistance in certain areas as one factor supporting the decision not to revise the Commission’s definition of “Tribal lands” to omit certain areas even though they were no longer expressly identified in BIA rules (in addition to the Commission’s conclusion that this outcome would ensure its rules “remain c</w:t>
      </w:r>
      <w:r w:rsidRPr="00642648">
        <w:rPr>
          <w:szCs w:val="22"/>
        </w:rPr>
        <w:t>onsistent with the underlying goals of the Commission</w:t>
      </w:r>
      <w:r>
        <w:rPr>
          <w:szCs w:val="22"/>
        </w:rPr>
        <w:t>’</w:t>
      </w:r>
      <w:r w:rsidRPr="00642648">
        <w:rPr>
          <w:szCs w:val="22"/>
        </w:rPr>
        <w:t>s enhanced Lifeline and Link-Up programs</w:t>
      </w:r>
      <w:r>
        <w:rPr>
          <w:szCs w:val="22"/>
        </w:rPr>
        <w:t>”)).</w:t>
      </w:r>
    </w:p>
  </w:footnote>
  <w:footnote w:id="35">
    <w:p w14:paraId="3C2F70B7" w14:textId="77777777" w:rsidR="004E3673" w:rsidRPr="00D67587" w:rsidRDefault="004E3673">
      <w:pPr>
        <w:pStyle w:val="FootnoteText"/>
      </w:pPr>
      <w:r w:rsidRPr="00D67587">
        <w:rPr>
          <w:rStyle w:val="FootnoteReference"/>
        </w:rPr>
        <w:footnoteRef/>
      </w:r>
      <w:r w:rsidRPr="00D67587">
        <w:t xml:space="preserve"> We note that at least one other federal program excludes certain higher density geographic areas in Oklahoma from Tribal income assistance programs in Oklahoma.  </w:t>
      </w:r>
      <w:r>
        <w:t>T</w:t>
      </w:r>
      <w:r w:rsidRPr="00D67587">
        <w:t>he United States Department of Agriculture’s Food Distribution Program on Indian Reservations excludes from eligibility residents of towns or cities in Oklahoma</w:t>
      </w:r>
      <w:r>
        <w:t xml:space="preserve"> with populations</w:t>
      </w:r>
      <w:r w:rsidRPr="00D67587">
        <w:t xml:space="preserve"> greater than 10,000.  </w:t>
      </w:r>
      <w:r w:rsidRPr="00D67587">
        <w:rPr>
          <w:i/>
        </w:rPr>
        <w:t>See 2015 Lifeline Reform Order</w:t>
      </w:r>
      <w:r w:rsidRPr="00D67587">
        <w:t>, 30 FCC Rcd. at 7876, para. 170 (citing 7 C.F.R. §§ 254.2(h), 254.5(b)).</w:t>
      </w:r>
    </w:p>
  </w:footnote>
  <w:footnote w:id="36">
    <w:p w14:paraId="0303ECBC" w14:textId="77777777" w:rsidR="004E3673" w:rsidRPr="003209A9" w:rsidRDefault="004E3673" w:rsidP="003209A9">
      <w:pPr>
        <w:pStyle w:val="FootnoteText"/>
      </w:pPr>
      <w:r>
        <w:rPr>
          <w:rStyle w:val="FootnoteReference"/>
        </w:rPr>
        <w:footnoteRef/>
      </w:r>
      <w:r>
        <w:t xml:space="preserve"> </w:t>
      </w:r>
      <w:r>
        <w:rPr>
          <w:i/>
        </w:rPr>
        <w:t xml:space="preserve">See id. </w:t>
      </w:r>
      <w:r>
        <w:t xml:space="preserve">at </w:t>
      </w:r>
      <w:r w:rsidRPr="00D67587">
        <w:t>7903, 7905-06, paras. 257, 261-63</w:t>
      </w:r>
      <w:r>
        <w:t xml:space="preserve">. </w:t>
      </w:r>
    </w:p>
  </w:footnote>
  <w:footnote w:id="37">
    <w:p w14:paraId="489D8A04" w14:textId="77777777" w:rsidR="004E3673" w:rsidRPr="00D67587" w:rsidRDefault="004E3673">
      <w:pPr>
        <w:pStyle w:val="FootnoteText"/>
      </w:pPr>
      <w:r w:rsidRPr="00D67587">
        <w:rPr>
          <w:rStyle w:val="FootnoteReference"/>
        </w:rPr>
        <w:footnoteRef/>
      </w:r>
      <w:r w:rsidRPr="00D67587">
        <w:t xml:space="preserve"> </w:t>
      </w:r>
      <w:r w:rsidRPr="00D67587">
        <w:rPr>
          <w:i/>
        </w:rPr>
        <w:t xml:space="preserve">See </w:t>
      </w:r>
      <w:r>
        <w:rPr>
          <w:i/>
        </w:rPr>
        <w:t>id.</w:t>
      </w:r>
      <w:r w:rsidRPr="00D67587">
        <w:t xml:space="preserve"> at</w:t>
      </w:r>
      <w:r>
        <w:t xml:space="preserve"> 7904-05, paras. 258, 262.</w:t>
      </w:r>
    </w:p>
  </w:footnote>
  <w:footnote w:id="38">
    <w:p w14:paraId="5EC48B41" w14:textId="77777777" w:rsidR="004E3673" w:rsidRPr="00D67587" w:rsidRDefault="004E3673">
      <w:pPr>
        <w:pStyle w:val="FootnoteText"/>
      </w:pPr>
      <w:r w:rsidRPr="00D67587">
        <w:rPr>
          <w:rStyle w:val="FootnoteReference"/>
        </w:rPr>
        <w:footnoteRef/>
      </w:r>
      <w:r w:rsidRPr="00D67587">
        <w:t xml:space="preserve"> </w:t>
      </w:r>
      <w:r w:rsidRPr="00D67587">
        <w:rPr>
          <w:i/>
        </w:rPr>
        <w:t xml:space="preserve">See </w:t>
      </w:r>
      <w:r w:rsidRPr="00D67587">
        <w:t>Joint Petition at 14.</w:t>
      </w:r>
    </w:p>
  </w:footnote>
  <w:footnote w:id="39">
    <w:p w14:paraId="351F1840" w14:textId="77777777" w:rsidR="004E3673" w:rsidRPr="00D67587" w:rsidRDefault="004E3673">
      <w:pPr>
        <w:pStyle w:val="FootnoteText"/>
      </w:pPr>
      <w:r w:rsidRPr="00D67587">
        <w:rPr>
          <w:rStyle w:val="FootnoteReference"/>
        </w:rPr>
        <w:footnoteRef/>
      </w:r>
      <w:r w:rsidRPr="00D67587">
        <w:t xml:space="preserve"> </w:t>
      </w:r>
      <w:r w:rsidRPr="00D67587">
        <w:rPr>
          <w:i/>
        </w:rPr>
        <w:t>See 2015 Lifeline Reform Order</w:t>
      </w:r>
      <w:r w:rsidRPr="00D67587">
        <w:t>, 30 FCC RCd at 7907, paras. 265-67.</w:t>
      </w:r>
    </w:p>
  </w:footnote>
  <w:footnote w:id="40">
    <w:p w14:paraId="04F22EB6" w14:textId="77777777" w:rsidR="004E3673" w:rsidRPr="00D67587" w:rsidRDefault="004E3673" w:rsidP="002F3328">
      <w:pPr>
        <w:pStyle w:val="FootnoteText"/>
      </w:pPr>
      <w:r w:rsidRPr="00D67587">
        <w:rPr>
          <w:rStyle w:val="FootnoteReference"/>
        </w:rPr>
        <w:footnoteRef/>
      </w:r>
      <w:r w:rsidRPr="00D67587">
        <w:t xml:space="preserve"> </w:t>
      </w:r>
      <w:r w:rsidRPr="00D67587">
        <w:rPr>
          <w:i/>
        </w:rPr>
        <w:t>Wisconsin Gas Co. v. FERC</w:t>
      </w:r>
      <w:r w:rsidRPr="00D67587">
        <w:t>, 758 F.2d 669, 674 (D.C. Cir. 1985).</w:t>
      </w:r>
    </w:p>
  </w:footnote>
  <w:footnote w:id="41">
    <w:p w14:paraId="59F6BF54" w14:textId="77777777" w:rsidR="004E3673" w:rsidRPr="00D67587" w:rsidRDefault="004E3673" w:rsidP="002F3328">
      <w:pPr>
        <w:pStyle w:val="FootnoteText"/>
      </w:pPr>
      <w:r w:rsidRPr="00D67587">
        <w:rPr>
          <w:rStyle w:val="FootnoteReference"/>
        </w:rPr>
        <w:footnoteRef/>
      </w:r>
      <w:r w:rsidRPr="00D67587">
        <w:t xml:space="preserve"> </w:t>
      </w:r>
      <w:r w:rsidRPr="00D67587">
        <w:rPr>
          <w:i/>
        </w:rPr>
        <w:t xml:space="preserve">Wisconsin Gas Co., </w:t>
      </w:r>
      <w:r w:rsidRPr="00D67587">
        <w:t>758 F.2d at 674.</w:t>
      </w:r>
    </w:p>
  </w:footnote>
  <w:footnote w:id="42">
    <w:p w14:paraId="6A16D0BB" w14:textId="77777777" w:rsidR="004E3673" w:rsidRPr="00D67587" w:rsidRDefault="004E3673" w:rsidP="00173938">
      <w:pPr>
        <w:spacing w:after="120"/>
        <w:rPr>
          <w:sz w:val="20"/>
        </w:rPr>
      </w:pPr>
      <w:r w:rsidRPr="00D67587">
        <w:rPr>
          <w:rStyle w:val="FootnoteReference"/>
        </w:rPr>
        <w:footnoteRef/>
      </w:r>
      <w:r>
        <w:rPr>
          <w:i/>
          <w:sz w:val="20"/>
        </w:rPr>
        <w:t xml:space="preserve"> </w:t>
      </w:r>
      <w:r w:rsidRPr="00D67587">
        <w:rPr>
          <w:i/>
          <w:sz w:val="20"/>
        </w:rPr>
        <w:t>Id</w:t>
      </w:r>
      <w:r w:rsidRPr="00D67587">
        <w:rPr>
          <w:sz w:val="20"/>
        </w:rPr>
        <w:t>.</w:t>
      </w:r>
    </w:p>
  </w:footnote>
  <w:footnote w:id="43">
    <w:p w14:paraId="08528043" w14:textId="77777777" w:rsidR="004E3673" w:rsidRPr="00D67587" w:rsidRDefault="004E3673" w:rsidP="00391D13">
      <w:pPr>
        <w:pStyle w:val="FootnoteText"/>
      </w:pPr>
      <w:r w:rsidRPr="00D67587">
        <w:rPr>
          <w:rStyle w:val="FootnoteReference"/>
        </w:rPr>
        <w:footnoteRef/>
      </w:r>
      <w:r w:rsidRPr="00D67587">
        <w:t xml:space="preserve"> </w:t>
      </w:r>
      <w:r w:rsidRPr="00D67587">
        <w:rPr>
          <w:i/>
        </w:rPr>
        <w:t>Id</w:t>
      </w:r>
      <w:r w:rsidRPr="00D67587">
        <w:t>.</w:t>
      </w:r>
    </w:p>
  </w:footnote>
  <w:footnote w:id="44">
    <w:p w14:paraId="600F3426" w14:textId="77777777" w:rsidR="004E3673" w:rsidRPr="00D67587" w:rsidRDefault="004E3673" w:rsidP="00391D13">
      <w:pPr>
        <w:pStyle w:val="FootnoteText"/>
      </w:pPr>
      <w:r w:rsidRPr="00D67587">
        <w:rPr>
          <w:rStyle w:val="FootnoteReference"/>
        </w:rPr>
        <w:footnoteRef/>
      </w:r>
      <w:r w:rsidRPr="00D67587">
        <w:t xml:space="preserve"> </w:t>
      </w:r>
      <w:r w:rsidRPr="00D67587">
        <w:rPr>
          <w:i/>
        </w:rPr>
        <w:t>Cardinal Health, Inc. v. Holder</w:t>
      </w:r>
      <w:r w:rsidRPr="00D67587">
        <w:t>, 846 F. Supp. 2d 203, 211 (D.D.C. 2012).</w:t>
      </w:r>
    </w:p>
  </w:footnote>
  <w:footnote w:id="45">
    <w:p w14:paraId="42507D48" w14:textId="77777777" w:rsidR="004E3673" w:rsidRPr="00D67587" w:rsidRDefault="004E3673" w:rsidP="00391D13">
      <w:pPr>
        <w:pStyle w:val="FootnoteText"/>
      </w:pPr>
      <w:r w:rsidRPr="00D67587">
        <w:rPr>
          <w:rStyle w:val="FootnoteReference"/>
        </w:rPr>
        <w:footnoteRef/>
      </w:r>
      <w:r w:rsidRPr="00D67587">
        <w:t xml:space="preserve"> Joint Petition at Attach. 2 (Declaration of Michael Fina, President, True Wireless), at 2.</w:t>
      </w:r>
    </w:p>
  </w:footnote>
  <w:footnote w:id="46">
    <w:p w14:paraId="24E30714" w14:textId="77777777" w:rsidR="004E3673" w:rsidRPr="00D67587" w:rsidRDefault="004E3673" w:rsidP="00391D13">
      <w:pPr>
        <w:pStyle w:val="FootnoteText"/>
      </w:pPr>
      <w:r w:rsidRPr="00D67587">
        <w:rPr>
          <w:rStyle w:val="FootnoteReference"/>
        </w:rPr>
        <w:footnoteRef/>
      </w:r>
      <w:r w:rsidRPr="00D67587">
        <w:t xml:space="preserve"> Joint Petition at 17.</w:t>
      </w:r>
    </w:p>
  </w:footnote>
  <w:footnote w:id="47">
    <w:p w14:paraId="34934E87" w14:textId="77777777" w:rsidR="004E3673" w:rsidRPr="00D67587" w:rsidRDefault="004E3673" w:rsidP="00391D13">
      <w:pPr>
        <w:pStyle w:val="FootnoteText"/>
      </w:pPr>
      <w:r w:rsidRPr="00D67587">
        <w:rPr>
          <w:rStyle w:val="FootnoteReference"/>
        </w:rPr>
        <w:footnoteRef/>
      </w:r>
      <w:r w:rsidRPr="00D67587">
        <w:t xml:space="preserve"> </w:t>
      </w:r>
      <w:r w:rsidRPr="00D67587">
        <w:rPr>
          <w:i/>
        </w:rPr>
        <w:t>Clipper Cruise Line, Inc. v. United States</w:t>
      </w:r>
      <w:r w:rsidRPr="00D67587">
        <w:t>, 855 F. Supp. 1, 4 (D.D.C. 1994).</w:t>
      </w:r>
    </w:p>
  </w:footnote>
  <w:footnote w:id="48">
    <w:p w14:paraId="123856BB" w14:textId="77777777" w:rsidR="004E3673" w:rsidRPr="00D67587" w:rsidRDefault="004E3673" w:rsidP="00391D13">
      <w:pPr>
        <w:pStyle w:val="FootnoteText"/>
      </w:pPr>
      <w:r w:rsidRPr="00D67587">
        <w:rPr>
          <w:rStyle w:val="FootnoteReference"/>
        </w:rPr>
        <w:footnoteRef/>
      </w:r>
      <w:r w:rsidRPr="00D67587">
        <w:t xml:space="preserve"> </w:t>
      </w:r>
      <w:r>
        <w:rPr>
          <w:i/>
          <w:iCs/>
        </w:rPr>
        <w:t>Gulf Oil Corp. v. Dep’</w:t>
      </w:r>
      <w:r w:rsidRPr="00D67587">
        <w:rPr>
          <w:i/>
          <w:iCs/>
        </w:rPr>
        <w:t>t of Energy</w:t>
      </w:r>
      <w:r w:rsidRPr="00D67587">
        <w:t>, 514 F. Supp. 1019, 1026 (D.D.C. 1981).</w:t>
      </w:r>
    </w:p>
  </w:footnote>
  <w:footnote w:id="49">
    <w:p w14:paraId="1663F491" w14:textId="77777777" w:rsidR="004E3673" w:rsidRPr="00D67587" w:rsidRDefault="004E3673" w:rsidP="00391D13">
      <w:pPr>
        <w:pStyle w:val="FootnoteText"/>
      </w:pPr>
      <w:r w:rsidRPr="00D67587">
        <w:rPr>
          <w:rStyle w:val="FootnoteReference"/>
        </w:rPr>
        <w:footnoteRef/>
      </w:r>
      <w:r w:rsidRPr="00D67587">
        <w:t xml:space="preserve"> </w:t>
      </w:r>
      <w:r>
        <w:rPr>
          <w:i/>
        </w:rPr>
        <w:t>Nat'l Min. Ass’</w:t>
      </w:r>
      <w:r w:rsidRPr="00D67587">
        <w:rPr>
          <w:i/>
        </w:rPr>
        <w:t>n v. Jackson</w:t>
      </w:r>
      <w:r w:rsidRPr="00D67587">
        <w:t>, 768 F. Supp. 2d 34, 53 (D.D.C. 2011).</w:t>
      </w:r>
    </w:p>
  </w:footnote>
  <w:footnote w:id="50">
    <w:p w14:paraId="13AA0DBC" w14:textId="77777777" w:rsidR="004E3673" w:rsidRPr="00D67587" w:rsidRDefault="004E3673" w:rsidP="00173938">
      <w:pPr>
        <w:pStyle w:val="FootnoteText"/>
      </w:pPr>
      <w:r w:rsidRPr="00D67587">
        <w:rPr>
          <w:rStyle w:val="FootnoteReference"/>
        </w:rPr>
        <w:footnoteRef/>
      </w:r>
      <w:r w:rsidRPr="00D67587">
        <w:t xml:space="preserve"> </w:t>
      </w:r>
      <w:r w:rsidRPr="00D67587">
        <w:rPr>
          <w:i/>
          <w:iCs/>
        </w:rPr>
        <w:t>Mylan Labs., Inc. v. Leavitt</w:t>
      </w:r>
      <w:r w:rsidRPr="00D67587">
        <w:t>, 484 F. Supp. 2d 109, 123 (D.D.C. 2007).</w:t>
      </w:r>
    </w:p>
  </w:footnote>
  <w:footnote w:id="51">
    <w:p w14:paraId="7DDD9B77" w14:textId="78DFF028" w:rsidR="004E3673" w:rsidRPr="00D67587" w:rsidRDefault="004E3673" w:rsidP="00173938">
      <w:pPr>
        <w:pStyle w:val="FootnoteText"/>
      </w:pPr>
      <w:r w:rsidRPr="00D67587">
        <w:rPr>
          <w:rStyle w:val="FootnoteReference"/>
        </w:rPr>
        <w:footnoteRef/>
      </w:r>
      <w:r w:rsidRPr="00D67587">
        <w:t xml:space="preserve"> Joint Petition at 15</w:t>
      </w:r>
      <w:r w:rsidR="007D3CFA">
        <w:t xml:space="preserve"> (</w:t>
      </w:r>
      <w:r w:rsidR="00860B9E">
        <w:t xml:space="preserve">discussing the revenue differential upon conversion of certain customers to the standard </w:t>
      </w:r>
      <w:r w:rsidR="001C043D">
        <w:t>$9.25 subsidy</w:t>
      </w:r>
      <w:r w:rsidR="007D3CFA">
        <w:t>)</w:t>
      </w:r>
      <w:r w:rsidRPr="00D67587">
        <w:t>.</w:t>
      </w:r>
    </w:p>
  </w:footnote>
  <w:footnote w:id="52">
    <w:p w14:paraId="39A230F2" w14:textId="76D83F75" w:rsidR="004E3673" w:rsidRPr="00D67587" w:rsidRDefault="004E3673" w:rsidP="00173938">
      <w:pPr>
        <w:pStyle w:val="FootnoteText"/>
      </w:pPr>
      <w:r w:rsidRPr="00D67587">
        <w:rPr>
          <w:rStyle w:val="FootnoteReference"/>
        </w:rPr>
        <w:footnoteRef/>
      </w:r>
      <w:r w:rsidRPr="00D67587">
        <w:t xml:space="preserve"> </w:t>
      </w:r>
      <w:r w:rsidRPr="00D67587">
        <w:rPr>
          <w:i/>
        </w:rPr>
        <w:t>Id</w:t>
      </w:r>
      <w:r w:rsidR="00722F08">
        <w:rPr>
          <w:i/>
        </w:rPr>
        <w:t>.</w:t>
      </w:r>
      <w:r w:rsidR="007D3CFA">
        <w:t xml:space="preserve"> (</w:t>
      </w:r>
      <w:r w:rsidR="00CB735A">
        <w:t>stating that 59,370 customers reside in areas no longer considered Tribal lands</w:t>
      </w:r>
      <w:r w:rsidR="007D3CFA">
        <w:t>)</w:t>
      </w:r>
      <w:r w:rsidRPr="00D67587">
        <w:t>.</w:t>
      </w:r>
    </w:p>
  </w:footnote>
  <w:footnote w:id="53">
    <w:p w14:paraId="1E3C928D" w14:textId="77777777" w:rsidR="004E3673" w:rsidRPr="00D67587" w:rsidRDefault="004E3673" w:rsidP="001E7C08">
      <w:pPr>
        <w:pStyle w:val="FootnoteText"/>
      </w:pPr>
      <w:r w:rsidRPr="00D67587">
        <w:rPr>
          <w:rStyle w:val="FootnoteReference"/>
        </w:rPr>
        <w:footnoteRef/>
      </w:r>
      <w:r w:rsidRPr="00D67587">
        <w:t xml:space="preserve"> Compliance Plan of Assist Wireless, WC Docket No. 11-42 et al., at 4 (filed June 29, 2012) (Assist Wireless Compliance Plan); Compliance Plan of True Wireless, WC Docket No. 11-42 et al., at 34 (filed June 1, 2012) (True Wireless Compliance Plan); Third Revised Compliance plan of TerraCom, WC Docket No. 11-42 et al., at 29 (filed June 19, 2012) (TerraCom Compliance Plan) (“So, TerraCom does not, and does not intend to, offer exclusively Lifeline supported services—and is therefore not exclusively dependent on USAC for its revenue.”); Compliance plan of Easy Wireless, WC Docket No. 11-42 et al., at 23 (filed March 4, 2013) (Easy Wireless Compliance Plan) (“The Company generates substantial revenues from non-Lifeline services and, consequently, has not and will not be relying exclusively on Lifeline reimbursement for the Company’s operating revenues.”).</w:t>
      </w:r>
    </w:p>
  </w:footnote>
  <w:footnote w:id="54">
    <w:p w14:paraId="14CEEE83" w14:textId="77777777" w:rsidR="004E3673" w:rsidRPr="007A60DE" w:rsidRDefault="004E3673">
      <w:pPr>
        <w:pStyle w:val="FootnoteText"/>
      </w:pPr>
      <w:r>
        <w:rPr>
          <w:rStyle w:val="FootnoteReference"/>
        </w:rPr>
        <w:footnoteRef/>
      </w:r>
      <w:r>
        <w:t xml:space="preserve"> </w:t>
      </w:r>
      <w:r>
        <w:rPr>
          <w:i/>
        </w:rPr>
        <w:t>See</w:t>
      </w:r>
      <w:r>
        <w:t xml:space="preserve"> </w:t>
      </w:r>
      <w:r w:rsidRPr="007A60DE">
        <w:t>USAC Disbursement Tool, http://www.usac.org/li/tools/disbursements/default.aspx (providing the disbursement amounts for ETCs by study area code (SAC) for each month</w:t>
      </w:r>
      <w:r>
        <w:t xml:space="preserve">, and showing Petitioners’ combined 2015 USF disbursements of $68,447,400.00, thereby producing an average monthly USF disbursement of </w:t>
      </w:r>
      <w:r w:rsidRPr="0081443D">
        <w:t>$6,8</w:t>
      </w:r>
      <w:r>
        <w:t>44</w:t>
      </w:r>
      <w:r w:rsidRPr="0081443D">
        <w:t>,</w:t>
      </w:r>
      <w:r>
        <w:t>740</w:t>
      </w:r>
      <w:r w:rsidRPr="0081443D">
        <w:t xml:space="preserve"> </w:t>
      </w:r>
      <w:r>
        <w:t>(</w:t>
      </w:r>
      <w:r w:rsidRPr="001E7C08">
        <w:t>68,447,400</w:t>
      </w:r>
      <w:r>
        <w:t>/10)</w:t>
      </w:r>
      <w:r w:rsidRPr="007A60DE">
        <w:t>) (last vis</w:t>
      </w:r>
      <w:r>
        <w:t>ited October 30</w:t>
      </w:r>
      <w:r w:rsidRPr="007A60DE">
        <w:t>, 2015)</w:t>
      </w:r>
      <w:r>
        <w:t>.</w:t>
      </w:r>
    </w:p>
  </w:footnote>
  <w:footnote w:id="55">
    <w:p w14:paraId="61A0CF69" w14:textId="77777777" w:rsidR="004E3673" w:rsidRDefault="004E3673">
      <w:pPr>
        <w:pStyle w:val="FootnoteText"/>
      </w:pPr>
      <w:r>
        <w:rPr>
          <w:rStyle w:val="FootnoteReference"/>
        </w:rPr>
        <w:footnoteRef/>
      </w:r>
      <w:r>
        <w:t xml:space="preserve"> 1,484,000/</w:t>
      </w:r>
      <w:r w:rsidRPr="001E7C08">
        <w:t>6,844,740</w:t>
      </w:r>
      <w:r>
        <w:t>=.217</w:t>
      </w:r>
    </w:p>
  </w:footnote>
  <w:footnote w:id="56">
    <w:p w14:paraId="7141D558" w14:textId="77777777" w:rsidR="004E3673" w:rsidRPr="00D67587" w:rsidRDefault="004E3673" w:rsidP="00173938">
      <w:pPr>
        <w:pStyle w:val="FootnoteText"/>
      </w:pPr>
      <w:r w:rsidRPr="00D67587">
        <w:rPr>
          <w:rStyle w:val="FootnoteReference"/>
        </w:rPr>
        <w:footnoteRef/>
      </w:r>
      <w:r w:rsidRPr="00D67587">
        <w:t xml:space="preserve"> </w:t>
      </w:r>
      <w:r w:rsidRPr="00D67587">
        <w:rPr>
          <w:i/>
          <w:iCs/>
        </w:rPr>
        <w:t>Arrow Air, Inc. v. United States</w:t>
      </w:r>
      <w:r w:rsidRPr="00D67587">
        <w:t>, 649 F. Supp. 993, 1000 (D.D.C. 1986).</w:t>
      </w:r>
    </w:p>
  </w:footnote>
  <w:footnote w:id="57">
    <w:p w14:paraId="05A287E2" w14:textId="77777777" w:rsidR="004E3673" w:rsidRPr="00D67587" w:rsidRDefault="004E3673" w:rsidP="00045EA8">
      <w:pPr>
        <w:pStyle w:val="FootnoteText"/>
      </w:pPr>
      <w:r w:rsidRPr="00D67587">
        <w:rPr>
          <w:rStyle w:val="FootnoteReference"/>
        </w:rPr>
        <w:footnoteRef/>
      </w:r>
      <w:r w:rsidRPr="00D67587">
        <w:t xml:space="preserve"> In </w:t>
      </w:r>
      <w:r w:rsidRPr="00D67587">
        <w:rPr>
          <w:i/>
        </w:rPr>
        <w:t>Brendsel v. Office of Fed. Hous. Enter. Oversight</w:t>
      </w:r>
      <w:r w:rsidRPr="00D67587">
        <w:t xml:space="preserve">, 339 F. Supp. 2d 52 (D.D.C. 2004), petitioner’s already-earned compensation was being withheld, and his stock options would have expired before the merits of his case were heard. In </w:t>
      </w:r>
      <w:r w:rsidRPr="00D67587">
        <w:rPr>
          <w:i/>
        </w:rPr>
        <w:t>Texas Children's Hosp. v. Burwell</w:t>
      </w:r>
      <w:r w:rsidRPr="00D67587">
        <w:t>, 76 F. Supp. 3d 224, 234 (D.D.C. 2014), the court emphasized that the petitioning hospitals treated patients without the ability to pay, and the proposed rule change would lead to the hospitals having already-earned funds recouped from them</w:t>
      </w:r>
    </w:p>
  </w:footnote>
  <w:footnote w:id="58">
    <w:p w14:paraId="4743A6C4" w14:textId="77777777" w:rsidR="004E3673" w:rsidRPr="00D67587" w:rsidRDefault="004E3673" w:rsidP="00173938">
      <w:pPr>
        <w:pStyle w:val="FootnoteText"/>
      </w:pPr>
      <w:r w:rsidRPr="00D67587">
        <w:rPr>
          <w:rStyle w:val="FootnoteReference"/>
        </w:rPr>
        <w:footnoteRef/>
      </w:r>
      <w:r w:rsidRPr="00D67587">
        <w:t xml:space="preserve"> </w:t>
      </w:r>
      <w:r w:rsidRPr="00D67587">
        <w:rPr>
          <w:i/>
        </w:rPr>
        <w:t>In re FCC 11-161</w:t>
      </w:r>
      <w:r w:rsidRPr="00D67587">
        <w:t>, 753 F.3d 1015, 1088 (10th Cir. 2014).</w:t>
      </w:r>
    </w:p>
  </w:footnote>
  <w:footnote w:id="59">
    <w:p w14:paraId="096199DA" w14:textId="77777777" w:rsidR="004E3673" w:rsidRPr="00192EBF" w:rsidRDefault="004E3673" w:rsidP="00045EA8">
      <w:pPr>
        <w:pStyle w:val="FootnoteText"/>
        <w:rPr>
          <w:i/>
        </w:rPr>
      </w:pPr>
      <w:r w:rsidRPr="00D67587">
        <w:rPr>
          <w:rStyle w:val="FootnoteReference"/>
        </w:rPr>
        <w:footnoteRef/>
      </w:r>
      <w:r w:rsidRPr="00D67587">
        <w:t xml:space="preserve"> </w:t>
      </w:r>
      <w:r w:rsidRPr="00D67587">
        <w:rPr>
          <w:i/>
        </w:rPr>
        <w:t>Id</w:t>
      </w:r>
      <w:r w:rsidRPr="00D67587">
        <w:t>.</w:t>
      </w:r>
      <w:r>
        <w:t xml:space="preserve"> </w:t>
      </w:r>
      <w:r>
        <w:rPr>
          <w:i/>
        </w:rPr>
        <w:t xml:space="preserve">Compare with </w:t>
      </w:r>
      <w:r w:rsidRPr="00192EBF">
        <w:rPr>
          <w:i/>
          <w:iCs/>
        </w:rPr>
        <w:t>Hi-Tech Pharmacal Co. v. U.S. Food &amp; Drug Admin</w:t>
      </w:r>
      <w:r w:rsidRPr="00192EBF">
        <w:rPr>
          <w:iCs/>
        </w:rPr>
        <w:t>.</w:t>
      </w:r>
      <w:r w:rsidRPr="00192EBF">
        <w:t>, 587 F. Supp. 2d 1, 11 (D.D.C. 2008)</w:t>
      </w:r>
      <w:r w:rsidRPr="00192EBF">
        <w:rPr>
          <w:i/>
        </w:rPr>
        <w:t xml:space="preserve"> </w:t>
      </w:r>
      <w:r w:rsidRPr="00192EBF">
        <w:t xml:space="preserve">(Finding that the loss of a </w:t>
      </w:r>
      <w:r w:rsidRPr="00192EBF">
        <w:rPr>
          <w:i/>
        </w:rPr>
        <w:t>statutory entitlement</w:t>
      </w:r>
      <w:r w:rsidRPr="00192EBF">
        <w:t xml:space="preserve"> to an </w:t>
      </w:r>
      <w:r w:rsidRPr="00192EBF">
        <w:rPr>
          <w:i/>
        </w:rPr>
        <w:t>exclusive</w:t>
      </w:r>
      <w:r w:rsidRPr="00192EBF">
        <w:t xml:space="preserve"> marketing period for a generic drug could constitute irreparable harm) (emphasis added).</w:t>
      </w:r>
    </w:p>
  </w:footnote>
  <w:footnote w:id="60">
    <w:p w14:paraId="4B598611" w14:textId="77777777" w:rsidR="004E3673" w:rsidRPr="00D67587" w:rsidRDefault="004E3673" w:rsidP="00173938">
      <w:pPr>
        <w:pStyle w:val="FootnoteText"/>
      </w:pPr>
      <w:r w:rsidRPr="00D67587">
        <w:rPr>
          <w:rStyle w:val="FootnoteReference"/>
        </w:rPr>
        <w:footnoteRef/>
      </w:r>
      <w:r w:rsidRPr="00D67587">
        <w:t xml:space="preserve"> </w:t>
      </w:r>
      <w:r w:rsidRPr="00D67587">
        <w:rPr>
          <w:i/>
        </w:rPr>
        <w:t>See supra</w:t>
      </w:r>
      <w:r w:rsidRPr="00D67587">
        <w:t xml:space="preserve"> n. </w:t>
      </w:r>
      <w:r>
        <w:fldChar w:fldCharType="begin"/>
      </w:r>
      <w:r>
        <w:instrText xml:space="preserve"> NOTEREF _Ref433965166 \h </w:instrText>
      </w:r>
      <w:r>
        <w:fldChar w:fldCharType="separate"/>
      </w:r>
      <w:r w:rsidR="00CC41A6">
        <w:t>52</w:t>
      </w:r>
      <w:r>
        <w:fldChar w:fldCharType="end"/>
      </w:r>
    </w:p>
  </w:footnote>
  <w:footnote w:id="61">
    <w:p w14:paraId="447919B6" w14:textId="77777777" w:rsidR="004E3673" w:rsidRPr="00D67587" w:rsidRDefault="004E3673" w:rsidP="0032138B">
      <w:pPr>
        <w:pStyle w:val="FootnoteText"/>
      </w:pPr>
      <w:r w:rsidRPr="00D67587">
        <w:rPr>
          <w:rStyle w:val="FootnoteReference"/>
        </w:rPr>
        <w:footnoteRef/>
      </w:r>
      <w:r w:rsidRPr="00D67587">
        <w:t xml:space="preserve"> Joint Petition at 16.</w:t>
      </w:r>
    </w:p>
  </w:footnote>
  <w:footnote w:id="62">
    <w:p w14:paraId="74DC33AE" w14:textId="77777777" w:rsidR="004E3673" w:rsidRPr="00D67587" w:rsidRDefault="004E3673" w:rsidP="0032138B">
      <w:pPr>
        <w:pStyle w:val="FootnoteText"/>
      </w:pPr>
      <w:r w:rsidRPr="00D67587">
        <w:rPr>
          <w:rStyle w:val="FootnoteReference"/>
        </w:rPr>
        <w:footnoteRef/>
      </w:r>
      <w:r w:rsidRPr="00D67587">
        <w:t xml:space="preserve"> Joint Petition at Attach. 3 (Declaration of Joseph Fernandez, Owner &amp; President, Easy Wireless), at 3.</w:t>
      </w:r>
    </w:p>
  </w:footnote>
  <w:footnote w:id="63">
    <w:p w14:paraId="3EB78EE0" w14:textId="77777777" w:rsidR="004E3673" w:rsidRPr="00D67587" w:rsidRDefault="004E3673" w:rsidP="0032138B">
      <w:pPr>
        <w:pStyle w:val="FootnoteText"/>
      </w:pPr>
      <w:r w:rsidRPr="00D67587">
        <w:rPr>
          <w:rStyle w:val="FootnoteReference"/>
        </w:rPr>
        <w:footnoteRef/>
      </w:r>
      <w:r w:rsidRPr="00D67587">
        <w:t xml:space="preserve"> Joint Petition at Attach. 4 (Declaration of Dale R. Schmick, Chief Operating Officer, Terracom, Inc.), at 5.</w:t>
      </w:r>
    </w:p>
  </w:footnote>
  <w:footnote w:id="64">
    <w:p w14:paraId="22F0FA2C" w14:textId="77777777" w:rsidR="004E3673" w:rsidRPr="00D67587" w:rsidRDefault="004E3673" w:rsidP="0032138B">
      <w:pPr>
        <w:pStyle w:val="FootnoteText"/>
      </w:pPr>
      <w:r w:rsidRPr="00D67587">
        <w:rPr>
          <w:rStyle w:val="FootnoteReference"/>
        </w:rPr>
        <w:footnoteRef/>
      </w:r>
      <w:r w:rsidRPr="00D67587">
        <w:t xml:space="preserve"> Joint Petition at Attach. 1 (Declaration of Byron Young, Chief Executive Officer, Assist Wireless), at 3-4.</w:t>
      </w:r>
    </w:p>
  </w:footnote>
  <w:footnote w:id="65">
    <w:p w14:paraId="11BA38D0" w14:textId="77777777" w:rsidR="004E3673" w:rsidRPr="00D67587" w:rsidRDefault="004E3673" w:rsidP="0032138B">
      <w:pPr>
        <w:pStyle w:val="FootnoteText"/>
      </w:pPr>
      <w:r w:rsidRPr="00D67587">
        <w:rPr>
          <w:rStyle w:val="FootnoteReference"/>
        </w:rPr>
        <w:footnoteRef/>
      </w:r>
      <w:r>
        <w:rPr>
          <w:i/>
          <w:iCs/>
        </w:rPr>
        <w:t>Am. Meat Inst. v. U.S. Dep’</w:t>
      </w:r>
      <w:r w:rsidRPr="00D67587">
        <w:rPr>
          <w:i/>
          <w:iCs/>
        </w:rPr>
        <w:t>t of Agric.</w:t>
      </w:r>
      <w:r w:rsidRPr="00D67587">
        <w:t xml:space="preserve">, 968 F. Supp. 2d 38, 77 (D.D.C. 2013) </w:t>
      </w:r>
      <w:r>
        <w:rPr>
          <w:i/>
          <w:iCs/>
        </w:rPr>
        <w:t>aff’</w:t>
      </w:r>
      <w:r w:rsidRPr="00D67587">
        <w:rPr>
          <w:i/>
          <w:iCs/>
        </w:rPr>
        <w:t>d,</w:t>
      </w:r>
      <w:r w:rsidRPr="00D67587">
        <w:t xml:space="preserve"> 746 F.3d 1065 (D.C. Cir. 2014) </w:t>
      </w:r>
      <w:r>
        <w:rPr>
          <w:i/>
          <w:iCs/>
        </w:rPr>
        <w:t>reh’</w:t>
      </w:r>
      <w:r w:rsidRPr="00D67587">
        <w:rPr>
          <w:i/>
          <w:iCs/>
        </w:rPr>
        <w:t>g en banc granted, opinion vacated,</w:t>
      </w:r>
      <w:r w:rsidRPr="00D67587">
        <w:t xml:space="preserve"> 35 ITRD 2763 (D.C. Cir. 2014) and </w:t>
      </w:r>
      <w:r w:rsidRPr="00D67587">
        <w:rPr>
          <w:i/>
          <w:iCs/>
        </w:rPr>
        <w:t>judgment reinstated,</w:t>
      </w:r>
      <w:r w:rsidRPr="00D67587">
        <w:t xml:space="preserve"> 760 F.3d 18 (D.C. Cir. 2014).</w:t>
      </w:r>
    </w:p>
  </w:footnote>
  <w:footnote w:id="66">
    <w:p w14:paraId="30223A56" w14:textId="77777777" w:rsidR="004E3673" w:rsidRPr="00D67587" w:rsidRDefault="004E3673" w:rsidP="004C73E5">
      <w:pPr>
        <w:pStyle w:val="FootnoteText"/>
      </w:pPr>
      <w:r w:rsidRPr="00D67587">
        <w:rPr>
          <w:rStyle w:val="FootnoteReference"/>
        </w:rPr>
        <w:footnoteRef/>
      </w:r>
      <w:r w:rsidRPr="00D67587">
        <w:t xml:space="preserve"> </w:t>
      </w:r>
      <w:r w:rsidRPr="001E7C08">
        <w:t xml:space="preserve">Joint Petition at Attach. </w:t>
      </w:r>
      <w:r>
        <w:t>2</w:t>
      </w:r>
      <w:r w:rsidRPr="001E7C08">
        <w:t xml:space="preserve"> (Declaration of </w:t>
      </w:r>
      <w:r>
        <w:t>Michael Fina</w:t>
      </w:r>
      <w:r w:rsidRPr="001E7C08">
        <w:t xml:space="preserve">, </w:t>
      </w:r>
      <w:r>
        <w:t>President</w:t>
      </w:r>
      <w:r w:rsidRPr="001E7C08">
        <w:t xml:space="preserve">, </w:t>
      </w:r>
      <w:r>
        <w:t>True Wireless</w:t>
      </w:r>
      <w:r w:rsidRPr="001E7C08">
        <w:t xml:space="preserve">.), at </w:t>
      </w:r>
      <w:r>
        <w:t>2</w:t>
      </w:r>
      <w:r w:rsidRPr="001E7C08">
        <w:t>.</w:t>
      </w:r>
    </w:p>
  </w:footnote>
  <w:footnote w:id="67">
    <w:p w14:paraId="2C24C69E" w14:textId="77777777" w:rsidR="004E3673" w:rsidRPr="00D67587" w:rsidRDefault="004E3673" w:rsidP="00734082">
      <w:pPr>
        <w:spacing w:after="120"/>
        <w:rPr>
          <w:sz w:val="20"/>
        </w:rPr>
      </w:pPr>
      <w:r w:rsidRPr="00D67587">
        <w:rPr>
          <w:rStyle w:val="FootnoteReference"/>
        </w:rPr>
        <w:footnoteRef/>
      </w:r>
      <w:r w:rsidRPr="00D67587">
        <w:rPr>
          <w:sz w:val="20"/>
        </w:rPr>
        <w:t xml:space="preserve"> </w:t>
      </w:r>
      <w:r>
        <w:rPr>
          <w:i/>
          <w:sz w:val="20"/>
        </w:rPr>
        <w:t>Nat’l Min. Ass’</w:t>
      </w:r>
      <w:r w:rsidRPr="00D67587">
        <w:rPr>
          <w:i/>
          <w:sz w:val="20"/>
        </w:rPr>
        <w:t>n v. Jackson</w:t>
      </w:r>
      <w:r w:rsidRPr="00D67587">
        <w:rPr>
          <w:sz w:val="20"/>
        </w:rPr>
        <w:t>, 768 F. Supp. 2d 34, 52 (D.D.C. 2011).</w:t>
      </w:r>
    </w:p>
  </w:footnote>
  <w:footnote w:id="68">
    <w:p w14:paraId="19E458EB" w14:textId="77777777" w:rsidR="004E3673" w:rsidRPr="00D67587" w:rsidRDefault="004E3673" w:rsidP="00734082">
      <w:pPr>
        <w:pStyle w:val="FootnoteText"/>
      </w:pPr>
      <w:r w:rsidRPr="00D67587">
        <w:rPr>
          <w:rStyle w:val="FootnoteReference"/>
        </w:rPr>
        <w:footnoteRef/>
      </w:r>
      <w:r w:rsidRPr="00D67587">
        <w:t xml:space="preserve"> </w:t>
      </w:r>
      <w:r w:rsidRPr="00D67587">
        <w:rPr>
          <w:i/>
        </w:rPr>
        <w:t>Id</w:t>
      </w:r>
      <w:r w:rsidRPr="00D67587">
        <w:t>.</w:t>
      </w:r>
    </w:p>
  </w:footnote>
  <w:footnote w:id="69">
    <w:p w14:paraId="6833E7B7" w14:textId="77777777" w:rsidR="004E3673" w:rsidRPr="00D67587" w:rsidRDefault="004E3673" w:rsidP="00734082">
      <w:pPr>
        <w:pStyle w:val="FootnoteText"/>
      </w:pPr>
      <w:r w:rsidRPr="00D67587">
        <w:rPr>
          <w:rStyle w:val="FootnoteReference"/>
        </w:rPr>
        <w:footnoteRef/>
      </w:r>
      <w:r w:rsidRPr="00D67587">
        <w:t xml:space="preserve"> </w:t>
      </w:r>
      <w:r>
        <w:rPr>
          <w:i/>
        </w:rPr>
        <w:t>Int’</w:t>
      </w:r>
      <w:r w:rsidRPr="00D67587">
        <w:rPr>
          <w:i/>
        </w:rPr>
        <w:t>l Internships Programs v. Napolitano</w:t>
      </w:r>
      <w:r w:rsidRPr="00D67587">
        <w:t xml:space="preserve">, 798 F. Supp. 2d 92, 100 (D.D.C. 2011) </w:t>
      </w:r>
      <w:r w:rsidRPr="00D67587">
        <w:rPr>
          <w:i/>
        </w:rPr>
        <w:t>order vacated, appeal dismissed sub nom.</w:t>
      </w:r>
      <w:r w:rsidRPr="00D67587">
        <w:t xml:space="preserve"> </w:t>
      </w:r>
      <w:r>
        <w:rPr>
          <w:i/>
        </w:rPr>
        <w:t>Int’</w:t>
      </w:r>
      <w:r w:rsidRPr="00D67587">
        <w:rPr>
          <w:i/>
        </w:rPr>
        <w:t>l Internship Programs v. Napolitano</w:t>
      </w:r>
      <w:r w:rsidRPr="00D67587">
        <w:t>, 463 F. App'x 2 (D.C. Cir. 2012).</w:t>
      </w:r>
    </w:p>
  </w:footnote>
  <w:footnote w:id="70">
    <w:p w14:paraId="2A4D4819" w14:textId="77777777" w:rsidR="004E3673" w:rsidRPr="00D67587" w:rsidRDefault="004E3673" w:rsidP="00734082">
      <w:pPr>
        <w:pStyle w:val="FootnoteText"/>
      </w:pPr>
      <w:r w:rsidRPr="00D67587">
        <w:rPr>
          <w:rStyle w:val="FootnoteReference"/>
        </w:rPr>
        <w:footnoteRef/>
      </w:r>
      <w:r w:rsidRPr="00D67587">
        <w:t xml:space="preserve"> </w:t>
      </w:r>
      <w:r>
        <w:rPr>
          <w:i/>
        </w:rPr>
        <w:t>Coal. for Common Sense in Gov’</w:t>
      </w:r>
      <w:r w:rsidRPr="00D67587">
        <w:rPr>
          <w:i/>
        </w:rPr>
        <w:t>t Procurement v. United States</w:t>
      </w:r>
      <w:r w:rsidRPr="00D67587">
        <w:t>, 576 F. Supp. 2d 162, 168 (D.D.C. 2008).</w:t>
      </w:r>
    </w:p>
  </w:footnote>
  <w:footnote w:id="71">
    <w:p w14:paraId="71D3C125" w14:textId="77777777" w:rsidR="004E3673" w:rsidRPr="00D67587" w:rsidRDefault="004E3673">
      <w:pPr>
        <w:pStyle w:val="FootnoteText"/>
      </w:pPr>
      <w:r w:rsidRPr="00D67587">
        <w:rPr>
          <w:rStyle w:val="FootnoteReference"/>
        </w:rPr>
        <w:footnoteRef/>
      </w:r>
      <w:r w:rsidRPr="00D67587">
        <w:t xml:space="preserve"> </w:t>
      </w:r>
      <w:r w:rsidRPr="00D67587">
        <w:rPr>
          <w:i/>
        </w:rPr>
        <w:t xml:space="preserve">See </w:t>
      </w:r>
      <w:r w:rsidRPr="00D67587">
        <w:t>Joint Petition</w:t>
      </w:r>
      <w:r w:rsidRPr="00D67587">
        <w:rPr>
          <w:i/>
        </w:rPr>
        <w:t xml:space="preserve"> </w:t>
      </w:r>
      <w:r w:rsidRPr="00D67587">
        <w:t>at 17-20.</w:t>
      </w:r>
    </w:p>
  </w:footnote>
  <w:footnote w:id="72">
    <w:p w14:paraId="63A58F04" w14:textId="77777777" w:rsidR="004E3673" w:rsidRPr="00D67587" w:rsidRDefault="004E3673" w:rsidP="00AE625F">
      <w:pPr>
        <w:pStyle w:val="FootnoteText"/>
      </w:pPr>
      <w:r w:rsidRPr="00D67587">
        <w:rPr>
          <w:rStyle w:val="FootnoteReference"/>
        </w:rPr>
        <w:footnoteRef/>
      </w:r>
      <w:r w:rsidRPr="00D67587">
        <w:t xml:space="preserve"> </w:t>
      </w:r>
      <w:r w:rsidRPr="00D67587">
        <w:rPr>
          <w:i/>
        </w:rPr>
        <w:t>See 2015 Lifeline Reform Order</w:t>
      </w:r>
      <w:r>
        <w:t>,</w:t>
      </w:r>
      <w:r w:rsidRPr="00D67587">
        <w:t xml:space="preserve"> 30 FCC Rcd at 7827, para. 15; </w:t>
      </w:r>
      <w:r>
        <w:rPr>
          <w:i/>
        </w:rPr>
        <w:t xml:space="preserve">2012 </w:t>
      </w:r>
      <w:r w:rsidRPr="00D67587">
        <w:rPr>
          <w:i/>
        </w:rPr>
        <w:t>Lifeline</w:t>
      </w:r>
      <w:r>
        <w:rPr>
          <w:i/>
        </w:rPr>
        <w:t xml:space="preserve"> Reform Order</w:t>
      </w:r>
      <w:r w:rsidRPr="00D67587">
        <w:t xml:space="preserve">, </w:t>
      </w:r>
      <w:r>
        <w:t>27 FCC Rcd at 6671, para. 25</w:t>
      </w:r>
      <w:r w:rsidRPr="00D67587">
        <w:t xml:space="preserve">.  </w:t>
      </w:r>
      <w:r w:rsidRPr="00D67587">
        <w:rPr>
          <w:i/>
        </w:rPr>
        <w:t>See also</w:t>
      </w:r>
      <w:r w:rsidRPr="00D67587">
        <w:t xml:space="preserve"> </w:t>
      </w:r>
      <w:r w:rsidRPr="00D67587">
        <w:rPr>
          <w:i/>
        </w:rPr>
        <w:t>Alenco Communications, Inc. v. FCC</w:t>
      </w:r>
      <w:r w:rsidRPr="00D67587">
        <w:t>, 201 F.3d 608, 620 (5th Cir. 2000) (“Moreover, excessive funding may itself violate the sufficiency requirements of the Act. Because universal service is funded by a general pool subsidized by all telecommunications providers and thus indirectly by the customers excess subsidization in some cases may detract from universal service by causing rates unnecessarily to rise, thereby pricing some consumers out of the market.”)</w:t>
      </w:r>
      <w:r>
        <w:t xml:space="preserve">; </w:t>
      </w:r>
      <w:r>
        <w:rPr>
          <w:i/>
        </w:rPr>
        <w:t>Rural Cellular Ass’n v. FCC</w:t>
      </w:r>
      <w:r>
        <w:t xml:space="preserve">, 588 F.3d 1095, 1102-03 (D.C. Cir. 2009) (quoting </w:t>
      </w:r>
      <w:r>
        <w:rPr>
          <w:i/>
        </w:rPr>
        <w:t>Alenco</w:t>
      </w:r>
      <w:r>
        <w:t>)</w:t>
      </w:r>
      <w:r w:rsidRPr="00D67587">
        <w:t>.</w:t>
      </w:r>
    </w:p>
  </w:footnote>
  <w:footnote w:id="73">
    <w:p w14:paraId="616C7FEA" w14:textId="63CF399B" w:rsidR="004E3673" w:rsidRPr="00D67587" w:rsidRDefault="004E3673" w:rsidP="00E2446B">
      <w:pPr>
        <w:pStyle w:val="FootnoteText"/>
      </w:pPr>
      <w:r w:rsidRPr="00D67587">
        <w:rPr>
          <w:rStyle w:val="FootnoteReference"/>
        </w:rPr>
        <w:footnoteRef/>
      </w:r>
      <w:r w:rsidRPr="00D67587">
        <w:t xml:space="preserve"> </w:t>
      </w:r>
      <w:r w:rsidRPr="00D67587">
        <w:rPr>
          <w:i/>
        </w:rPr>
        <w:t>2000 Tribal Order</w:t>
      </w:r>
      <w:r w:rsidRPr="00D67587">
        <w:t>, 15 FCC Rcd at 12212</w:t>
      </w:r>
      <w:r w:rsidR="000873FF">
        <w:t>, 12219-20</w:t>
      </w:r>
      <w:r w:rsidRPr="00D67587">
        <w:t>, para</w:t>
      </w:r>
      <w:r w:rsidR="000873FF">
        <w:t>s</w:t>
      </w:r>
      <w:r w:rsidRPr="00D67587">
        <w:t>. 5</w:t>
      </w:r>
      <w:r w:rsidR="000873FF">
        <w:t>, 20</w:t>
      </w:r>
      <w:r w:rsidRPr="00D67587">
        <w:t xml:space="preserve">; </w:t>
      </w:r>
      <w:r w:rsidRPr="00D67587">
        <w:rPr>
          <w:i/>
        </w:rPr>
        <w:t>see also</w:t>
      </w:r>
      <w:r w:rsidRPr="00D67587">
        <w:t xml:space="preserve"> Joint Petition at 18.</w:t>
      </w:r>
    </w:p>
  </w:footnote>
  <w:footnote w:id="74">
    <w:p w14:paraId="1A7430B1" w14:textId="77777777" w:rsidR="004E3673" w:rsidRPr="00D67587" w:rsidRDefault="004E3673">
      <w:pPr>
        <w:pStyle w:val="FootnoteText"/>
      </w:pPr>
      <w:r w:rsidRPr="00D67587">
        <w:rPr>
          <w:rStyle w:val="FootnoteReference"/>
        </w:rPr>
        <w:footnoteRef/>
      </w:r>
      <w:r w:rsidRPr="00D67587">
        <w:t xml:space="preserve"> The Commission notes that eligible Lifeline subscribers impacted by the implementation of the Oklahoma Historical Map will remain eligible for the Lifeline subsidy, but not for additional enhanced Lifeline support intended for Tribal lands.</w:t>
      </w:r>
    </w:p>
  </w:footnote>
  <w:footnote w:id="75">
    <w:p w14:paraId="767CB35D" w14:textId="77777777" w:rsidR="004E3673" w:rsidRPr="00D67587" w:rsidRDefault="004E3673">
      <w:pPr>
        <w:pStyle w:val="FootnoteText"/>
      </w:pPr>
      <w:r w:rsidRPr="00D67587">
        <w:rPr>
          <w:rStyle w:val="FootnoteReference"/>
        </w:rPr>
        <w:footnoteRef/>
      </w:r>
      <w:r w:rsidRPr="00D67587">
        <w:t xml:space="preserve"> </w:t>
      </w:r>
      <w:r w:rsidRPr="00D67587">
        <w:rPr>
          <w:i/>
        </w:rPr>
        <w:t>See</w:t>
      </w:r>
      <w:r w:rsidRPr="00D67587">
        <w:t xml:space="preserve"> Joint Petition at 18.</w:t>
      </w:r>
    </w:p>
  </w:footnote>
  <w:footnote w:id="76">
    <w:p w14:paraId="28F9F86A" w14:textId="77777777" w:rsidR="004E3673" w:rsidRPr="00D67587" w:rsidRDefault="004E3673">
      <w:pPr>
        <w:pStyle w:val="FootnoteText"/>
      </w:pPr>
      <w:r w:rsidRPr="00D67587">
        <w:rPr>
          <w:rStyle w:val="FootnoteReference"/>
        </w:rPr>
        <w:footnoteRef/>
      </w:r>
      <w:r w:rsidRPr="00D67587">
        <w:t xml:space="preserve"> </w:t>
      </w:r>
      <w:r w:rsidRPr="00D67587">
        <w:rPr>
          <w:i/>
        </w:rPr>
        <w:t>See 2015 Lifeline Reform Order</w:t>
      </w:r>
      <w:r w:rsidRPr="00D67587">
        <w:t>, 30 FCC Rcd at 7907, paras. 265-67.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BFD78" w14:textId="77777777" w:rsidR="00EF5BA3" w:rsidRDefault="00EF5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58BD1" w14:textId="541FB4B8" w:rsidR="004E3673" w:rsidRDefault="004E3673" w:rsidP="00810B6F">
    <w:pPr>
      <w:pStyle w:val="Header"/>
      <w:rPr>
        <w:b w:val="0"/>
      </w:rPr>
    </w:pPr>
    <w:r>
      <w:tab/>
      <w:t>Federal Communications Commission</w:t>
    </w:r>
    <w:r>
      <w:tab/>
    </w:r>
    <w:r w:rsidRPr="0048447C">
      <w:t>DA 15-</w:t>
    </w:r>
    <w:r w:rsidR="002D1A73">
      <w:t>1259</w:t>
    </w:r>
  </w:p>
  <w:p w14:paraId="0D6008C6" w14:textId="5F64DD32" w:rsidR="004E3673" w:rsidRPr="002D1A73" w:rsidRDefault="004E3673" w:rsidP="002D1A73">
    <w:pPr>
      <w:tabs>
        <w:tab w:val="left" w:pos="-720"/>
      </w:tabs>
      <w:suppressAutoHyphens/>
      <w:spacing w:line="19" w:lineRule="exact"/>
      <w:rPr>
        <w:spacing w:val="-2"/>
      </w:rPr>
    </w:pPr>
    <w:r w:rsidRPr="00A0740E">
      <w:rPr>
        <w:noProof/>
      </w:rPr>
      <mc:AlternateContent>
        <mc:Choice Requires="wps">
          <w:drawing>
            <wp:anchor distT="0" distB="0" distL="114300" distR="114300" simplePos="0" relativeHeight="251658240" behindDoc="1" locked="0" layoutInCell="0" allowOverlap="1" wp14:anchorId="71C45EFD" wp14:editId="157CF9C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F93CA0"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sQ2/V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C2CB" w14:textId="783EF2E0" w:rsidR="004E3673" w:rsidRDefault="004E3673" w:rsidP="00810B6F">
    <w:pPr>
      <w:pStyle w:val="Header"/>
      <w:rPr>
        <w:b w:val="0"/>
      </w:rPr>
    </w:pPr>
    <w:r w:rsidRPr="00A0740E">
      <w:rPr>
        <w:b w:val="0"/>
        <w:noProof/>
      </w:rPr>
      <mc:AlternateContent>
        <mc:Choice Requires="wps">
          <w:drawing>
            <wp:anchor distT="0" distB="0" distL="114300" distR="114300" simplePos="0" relativeHeight="251658241" behindDoc="1" locked="0" layoutInCell="0" allowOverlap="1" wp14:anchorId="768760D1" wp14:editId="429A391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7302F0"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E1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BrgITV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r>
    <w:r w:rsidRPr="0048447C">
      <w:rPr>
        <w:spacing w:val="-2"/>
      </w:rPr>
      <w:t>DA 15-</w:t>
    </w:r>
    <w:r w:rsidR="002D1A73">
      <w:rPr>
        <w:spacing w:val="-2"/>
      </w:rPr>
      <w:t>1259</w:t>
    </w:r>
  </w:p>
  <w:p w14:paraId="24E899C0" w14:textId="77777777" w:rsidR="004E3673" w:rsidRDefault="004E36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DD6E36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0A0F18"/>
    <w:multiLevelType w:val="hybridMultilevel"/>
    <w:tmpl w:val="8B4A3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8BD4A99E"/>
    <w:lvl w:ilvl="0">
      <w:start w:val="1"/>
      <w:numFmt w:val="decimal"/>
      <w:pStyle w:val="ParaNum"/>
      <w:lvlText w:val="%1."/>
      <w:lvlJc w:val="left"/>
      <w:pPr>
        <w:tabs>
          <w:tab w:val="num" w:pos="1080"/>
        </w:tabs>
        <w:ind w:left="0" w:firstLine="720"/>
      </w:pPr>
      <w:rPr>
        <w:color w:val="auto"/>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28"/>
    <w:rsid w:val="000005A5"/>
    <w:rsid w:val="00005ECF"/>
    <w:rsid w:val="00007A55"/>
    <w:rsid w:val="000105F4"/>
    <w:rsid w:val="00010849"/>
    <w:rsid w:val="00011982"/>
    <w:rsid w:val="000231ED"/>
    <w:rsid w:val="000241C9"/>
    <w:rsid w:val="00024CA2"/>
    <w:rsid w:val="00024F0F"/>
    <w:rsid w:val="00031A2B"/>
    <w:rsid w:val="00032833"/>
    <w:rsid w:val="00036039"/>
    <w:rsid w:val="000365D2"/>
    <w:rsid w:val="00037F90"/>
    <w:rsid w:val="000428FB"/>
    <w:rsid w:val="00045EA8"/>
    <w:rsid w:val="00045EF7"/>
    <w:rsid w:val="0004705A"/>
    <w:rsid w:val="0005118D"/>
    <w:rsid w:val="00052CEA"/>
    <w:rsid w:val="000566D9"/>
    <w:rsid w:val="00060013"/>
    <w:rsid w:val="000613E2"/>
    <w:rsid w:val="000631D5"/>
    <w:rsid w:val="000665A1"/>
    <w:rsid w:val="0007074D"/>
    <w:rsid w:val="00072F32"/>
    <w:rsid w:val="00075C1F"/>
    <w:rsid w:val="00084697"/>
    <w:rsid w:val="000854D6"/>
    <w:rsid w:val="00086C94"/>
    <w:rsid w:val="00086EDA"/>
    <w:rsid w:val="000873FF"/>
    <w:rsid w:val="000875BF"/>
    <w:rsid w:val="0009046E"/>
    <w:rsid w:val="00091061"/>
    <w:rsid w:val="00093D22"/>
    <w:rsid w:val="000966A5"/>
    <w:rsid w:val="00096D8C"/>
    <w:rsid w:val="000A2FF9"/>
    <w:rsid w:val="000A3000"/>
    <w:rsid w:val="000A416B"/>
    <w:rsid w:val="000A63CA"/>
    <w:rsid w:val="000A6E2D"/>
    <w:rsid w:val="000B1D1B"/>
    <w:rsid w:val="000B3752"/>
    <w:rsid w:val="000B553B"/>
    <w:rsid w:val="000B73A1"/>
    <w:rsid w:val="000C0B65"/>
    <w:rsid w:val="000C1658"/>
    <w:rsid w:val="000C2DEB"/>
    <w:rsid w:val="000C3C83"/>
    <w:rsid w:val="000C6896"/>
    <w:rsid w:val="000C6F09"/>
    <w:rsid w:val="000D03D1"/>
    <w:rsid w:val="000D1106"/>
    <w:rsid w:val="000D115B"/>
    <w:rsid w:val="000D1474"/>
    <w:rsid w:val="000D4076"/>
    <w:rsid w:val="000D7D41"/>
    <w:rsid w:val="000E05FE"/>
    <w:rsid w:val="000E0E84"/>
    <w:rsid w:val="000E2FFB"/>
    <w:rsid w:val="000E338C"/>
    <w:rsid w:val="000E3D42"/>
    <w:rsid w:val="000E5562"/>
    <w:rsid w:val="000E6042"/>
    <w:rsid w:val="000E7AD2"/>
    <w:rsid w:val="000F0A63"/>
    <w:rsid w:val="000F0FBB"/>
    <w:rsid w:val="000F400C"/>
    <w:rsid w:val="000F4519"/>
    <w:rsid w:val="000F7B5B"/>
    <w:rsid w:val="00102511"/>
    <w:rsid w:val="00106A09"/>
    <w:rsid w:val="00110064"/>
    <w:rsid w:val="00111432"/>
    <w:rsid w:val="00112230"/>
    <w:rsid w:val="00112D89"/>
    <w:rsid w:val="00114B6C"/>
    <w:rsid w:val="00117E1A"/>
    <w:rsid w:val="00120D0C"/>
    <w:rsid w:val="00122BD5"/>
    <w:rsid w:val="00123F46"/>
    <w:rsid w:val="00126884"/>
    <w:rsid w:val="00126B9F"/>
    <w:rsid w:val="0013113F"/>
    <w:rsid w:val="0013168D"/>
    <w:rsid w:val="00133F79"/>
    <w:rsid w:val="00133FB4"/>
    <w:rsid w:val="001341FE"/>
    <w:rsid w:val="00137FBA"/>
    <w:rsid w:val="00142E52"/>
    <w:rsid w:val="00143623"/>
    <w:rsid w:val="00152302"/>
    <w:rsid w:val="001547FF"/>
    <w:rsid w:val="00157129"/>
    <w:rsid w:val="001574A3"/>
    <w:rsid w:val="001623E9"/>
    <w:rsid w:val="001717E8"/>
    <w:rsid w:val="00172B85"/>
    <w:rsid w:val="00173938"/>
    <w:rsid w:val="00175D96"/>
    <w:rsid w:val="0017674B"/>
    <w:rsid w:val="00177397"/>
    <w:rsid w:val="00185576"/>
    <w:rsid w:val="0018668E"/>
    <w:rsid w:val="00186F05"/>
    <w:rsid w:val="00187DD6"/>
    <w:rsid w:val="00192EBF"/>
    <w:rsid w:val="00193BBB"/>
    <w:rsid w:val="00194A66"/>
    <w:rsid w:val="00197B22"/>
    <w:rsid w:val="001A14A5"/>
    <w:rsid w:val="001A1AB9"/>
    <w:rsid w:val="001A2D5F"/>
    <w:rsid w:val="001A6663"/>
    <w:rsid w:val="001A7958"/>
    <w:rsid w:val="001A7C34"/>
    <w:rsid w:val="001B3A83"/>
    <w:rsid w:val="001B589E"/>
    <w:rsid w:val="001C043D"/>
    <w:rsid w:val="001C2111"/>
    <w:rsid w:val="001C2B28"/>
    <w:rsid w:val="001C6CEF"/>
    <w:rsid w:val="001D6BCF"/>
    <w:rsid w:val="001D76F6"/>
    <w:rsid w:val="001D7DB3"/>
    <w:rsid w:val="001E01CA"/>
    <w:rsid w:val="001E39AF"/>
    <w:rsid w:val="001E3F6A"/>
    <w:rsid w:val="001E7C08"/>
    <w:rsid w:val="001F0CE7"/>
    <w:rsid w:val="001F1294"/>
    <w:rsid w:val="001F1763"/>
    <w:rsid w:val="001F1B51"/>
    <w:rsid w:val="001F298C"/>
    <w:rsid w:val="001F3975"/>
    <w:rsid w:val="001F3BAA"/>
    <w:rsid w:val="001F6EDE"/>
    <w:rsid w:val="001F76B1"/>
    <w:rsid w:val="00201BF9"/>
    <w:rsid w:val="00206005"/>
    <w:rsid w:val="002061E6"/>
    <w:rsid w:val="00213EDD"/>
    <w:rsid w:val="00216467"/>
    <w:rsid w:val="00223453"/>
    <w:rsid w:val="002237D3"/>
    <w:rsid w:val="00223AEE"/>
    <w:rsid w:val="00225517"/>
    <w:rsid w:val="00233143"/>
    <w:rsid w:val="0023659C"/>
    <w:rsid w:val="00242983"/>
    <w:rsid w:val="002503F4"/>
    <w:rsid w:val="00252993"/>
    <w:rsid w:val="002531EF"/>
    <w:rsid w:val="00253349"/>
    <w:rsid w:val="00255176"/>
    <w:rsid w:val="002565B3"/>
    <w:rsid w:val="00260272"/>
    <w:rsid w:val="00263267"/>
    <w:rsid w:val="00265DBE"/>
    <w:rsid w:val="00271072"/>
    <w:rsid w:val="00271B9B"/>
    <w:rsid w:val="00271BD4"/>
    <w:rsid w:val="0027339C"/>
    <w:rsid w:val="00274A5F"/>
    <w:rsid w:val="00275CF5"/>
    <w:rsid w:val="00277158"/>
    <w:rsid w:val="00282370"/>
    <w:rsid w:val="0028301F"/>
    <w:rsid w:val="002849F8"/>
    <w:rsid w:val="00285017"/>
    <w:rsid w:val="00285126"/>
    <w:rsid w:val="0028664E"/>
    <w:rsid w:val="00294282"/>
    <w:rsid w:val="002A2D2E"/>
    <w:rsid w:val="002A518A"/>
    <w:rsid w:val="002A68B4"/>
    <w:rsid w:val="002B32E5"/>
    <w:rsid w:val="002B5267"/>
    <w:rsid w:val="002B538D"/>
    <w:rsid w:val="002C00E8"/>
    <w:rsid w:val="002C369B"/>
    <w:rsid w:val="002C4523"/>
    <w:rsid w:val="002C6949"/>
    <w:rsid w:val="002C7367"/>
    <w:rsid w:val="002D193F"/>
    <w:rsid w:val="002D1A73"/>
    <w:rsid w:val="002D1E82"/>
    <w:rsid w:val="002D251B"/>
    <w:rsid w:val="002D4442"/>
    <w:rsid w:val="002D743D"/>
    <w:rsid w:val="002E16D4"/>
    <w:rsid w:val="002E2F2D"/>
    <w:rsid w:val="002E32FD"/>
    <w:rsid w:val="002F1B50"/>
    <w:rsid w:val="002F3328"/>
    <w:rsid w:val="002F4749"/>
    <w:rsid w:val="002F5377"/>
    <w:rsid w:val="0030072D"/>
    <w:rsid w:val="00305D23"/>
    <w:rsid w:val="00305DA9"/>
    <w:rsid w:val="003063D4"/>
    <w:rsid w:val="00306835"/>
    <w:rsid w:val="003109CF"/>
    <w:rsid w:val="003152B4"/>
    <w:rsid w:val="003209A9"/>
    <w:rsid w:val="0032138B"/>
    <w:rsid w:val="003246B4"/>
    <w:rsid w:val="00324815"/>
    <w:rsid w:val="003258C5"/>
    <w:rsid w:val="003330A1"/>
    <w:rsid w:val="00335A36"/>
    <w:rsid w:val="00342A08"/>
    <w:rsid w:val="003431C8"/>
    <w:rsid w:val="003432DE"/>
    <w:rsid w:val="0034370D"/>
    <w:rsid w:val="00343749"/>
    <w:rsid w:val="00345096"/>
    <w:rsid w:val="00346F9D"/>
    <w:rsid w:val="00351F39"/>
    <w:rsid w:val="003528F0"/>
    <w:rsid w:val="003579F4"/>
    <w:rsid w:val="00362F03"/>
    <w:rsid w:val="00366019"/>
    <w:rsid w:val="003660ED"/>
    <w:rsid w:val="00374D42"/>
    <w:rsid w:val="0038410E"/>
    <w:rsid w:val="00384B92"/>
    <w:rsid w:val="00386191"/>
    <w:rsid w:val="00391D13"/>
    <w:rsid w:val="003930EB"/>
    <w:rsid w:val="00393D48"/>
    <w:rsid w:val="0039702F"/>
    <w:rsid w:val="003A0A8F"/>
    <w:rsid w:val="003A1862"/>
    <w:rsid w:val="003A3119"/>
    <w:rsid w:val="003A4527"/>
    <w:rsid w:val="003A6955"/>
    <w:rsid w:val="003B04EF"/>
    <w:rsid w:val="003B0550"/>
    <w:rsid w:val="003B236D"/>
    <w:rsid w:val="003B694F"/>
    <w:rsid w:val="003B7D1B"/>
    <w:rsid w:val="003C0693"/>
    <w:rsid w:val="003C2D33"/>
    <w:rsid w:val="003C2F5C"/>
    <w:rsid w:val="003C7947"/>
    <w:rsid w:val="003D32ED"/>
    <w:rsid w:val="003D342B"/>
    <w:rsid w:val="003D40DD"/>
    <w:rsid w:val="003D63D6"/>
    <w:rsid w:val="003E0653"/>
    <w:rsid w:val="003E2096"/>
    <w:rsid w:val="003E4419"/>
    <w:rsid w:val="003F171C"/>
    <w:rsid w:val="003F5211"/>
    <w:rsid w:val="003F64B6"/>
    <w:rsid w:val="003F71CC"/>
    <w:rsid w:val="00400638"/>
    <w:rsid w:val="00402BA9"/>
    <w:rsid w:val="00403F53"/>
    <w:rsid w:val="00405755"/>
    <w:rsid w:val="004115AE"/>
    <w:rsid w:val="00412F57"/>
    <w:rsid w:val="00412FC5"/>
    <w:rsid w:val="0041504D"/>
    <w:rsid w:val="00421983"/>
    <w:rsid w:val="004220EC"/>
    <w:rsid w:val="00422276"/>
    <w:rsid w:val="00424217"/>
    <w:rsid w:val="004242F1"/>
    <w:rsid w:val="004322E9"/>
    <w:rsid w:val="00432FA9"/>
    <w:rsid w:val="0043345C"/>
    <w:rsid w:val="00434941"/>
    <w:rsid w:val="004371EF"/>
    <w:rsid w:val="00440C04"/>
    <w:rsid w:val="00445A00"/>
    <w:rsid w:val="0045099D"/>
    <w:rsid w:val="00451B0F"/>
    <w:rsid w:val="00451D0E"/>
    <w:rsid w:val="00452C0E"/>
    <w:rsid w:val="004539F6"/>
    <w:rsid w:val="00454BD4"/>
    <w:rsid w:val="00470678"/>
    <w:rsid w:val="00471482"/>
    <w:rsid w:val="0047244B"/>
    <w:rsid w:val="00476D99"/>
    <w:rsid w:val="0048025C"/>
    <w:rsid w:val="004825C7"/>
    <w:rsid w:val="0048447C"/>
    <w:rsid w:val="0048528C"/>
    <w:rsid w:val="004868FD"/>
    <w:rsid w:val="004902DF"/>
    <w:rsid w:val="00490D37"/>
    <w:rsid w:val="004920B6"/>
    <w:rsid w:val="0049272C"/>
    <w:rsid w:val="00495373"/>
    <w:rsid w:val="00495B42"/>
    <w:rsid w:val="0049757B"/>
    <w:rsid w:val="004A0EAD"/>
    <w:rsid w:val="004A24CF"/>
    <w:rsid w:val="004A45D1"/>
    <w:rsid w:val="004A4847"/>
    <w:rsid w:val="004A55BB"/>
    <w:rsid w:val="004A6757"/>
    <w:rsid w:val="004A6F22"/>
    <w:rsid w:val="004A7B7B"/>
    <w:rsid w:val="004B0FD6"/>
    <w:rsid w:val="004B54D5"/>
    <w:rsid w:val="004B57E7"/>
    <w:rsid w:val="004B7F15"/>
    <w:rsid w:val="004C0AE1"/>
    <w:rsid w:val="004C1BEC"/>
    <w:rsid w:val="004C2EE3"/>
    <w:rsid w:val="004C3B7A"/>
    <w:rsid w:val="004C6221"/>
    <w:rsid w:val="004C6C9D"/>
    <w:rsid w:val="004C72B8"/>
    <w:rsid w:val="004C73E5"/>
    <w:rsid w:val="004D182A"/>
    <w:rsid w:val="004D1BDF"/>
    <w:rsid w:val="004D1FB8"/>
    <w:rsid w:val="004D2575"/>
    <w:rsid w:val="004D2D5A"/>
    <w:rsid w:val="004D2E96"/>
    <w:rsid w:val="004D46EA"/>
    <w:rsid w:val="004D7D68"/>
    <w:rsid w:val="004E3673"/>
    <w:rsid w:val="004E4A22"/>
    <w:rsid w:val="004F0E45"/>
    <w:rsid w:val="004F2BCA"/>
    <w:rsid w:val="004F48DF"/>
    <w:rsid w:val="0050178C"/>
    <w:rsid w:val="00502A62"/>
    <w:rsid w:val="00504E41"/>
    <w:rsid w:val="00510475"/>
    <w:rsid w:val="00511968"/>
    <w:rsid w:val="00511B0B"/>
    <w:rsid w:val="0051351B"/>
    <w:rsid w:val="0051532C"/>
    <w:rsid w:val="005175DE"/>
    <w:rsid w:val="00522D2A"/>
    <w:rsid w:val="00534DD9"/>
    <w:rsid w:val="00550713"/>
    <w:rsid w:val="005525A4"/>
    <w:rsid w:val="0055614C"/>
    <w:rsid w:val="005567E3"/>
    <w:rsid w:val="005625DF"/>
    <w:rsid w:val="00562AA9"/>
    <w:rsid w:val="00562CC6"/>
    <w:rsid w:val="005634D8"/>
    <w:rsid w:val="00564476"/>
    <w:rsid w:val="00564547"/>
    <w:rsid w:val="00564B12"/>
    <w:rsid w:val="005652FC"/>
    <w:rsid w:val="00566952"/>
    <w:rsid w:val="00566E8D"/>
    <w:rsid w:val="0057373C"/>
    <w:rsid w:val="00573BB5"/>
    <w:rsid w:val="00575B02"/>
    <w:rsid w:val="00577D5B"/>
    <w:rsid w:val="00590A5D"/>
    <w:rsid w:val="005910A0"/>
    <w:rsid w:val="0059238B"/>
    <w:rsid w:val="0059479C"/>
    <w:rsid w:val="0059567B"/>
    <w:rsid w:val="00596EBB"/>
    <w:rsid w:val="005A0B7C"/>
    <w:rsid w:val="005B67B9"/>
    <w:rsid w:val="005C344F"/>
    <w:rsid w:val="005C3B5B"/>
    <w:rsid w:val="005C46E0"/>
    <w:rsid w:val="005D092D"/>
    <w:rsid w:val="005D603E"/>
    <w:rsid w:val="005E06AB"/>
    <w:rsid w:val="005E0C92"/>
    <w:rsid w:val="005E14C2"/>
    <w:rsid w:val="005E1803"/>
    <w:rsid w:val="005E37C7"/>
    <w:rsid w:val="005E486A"/>
    <w:rsid w:val="005F1B47"/>
    <w:rsid w:val="005F1F45"/>
    <w:rsid w:val="005F2041"/>
    <w:rsid w:val="005F6EE8"/>
    <w:rsid w:val="006052E4"/>
    <w:rsid w:val="00607BA5"/>
    <w:rsid w:val="00610A42"/>
    <w:rsid w:val="00610F4B"/>
    <w:rsid w:val="0061180A"/>
    <w:rsid w:val="00612C6F"/>
    <w:rsid w:val="00614B85"/>
    <w:rsid w:val="00614BCE"/>
    <w:rsid w:val="00617935"/>
    <w:rsid w:val="006253B9"/>
    <w:rsid w:val="00625A61"/>
    <w:rsid w:val="00626EB6"/>
    <w:rsid w:val="006328F4"/>
    <w:rsid w:val="006348AC"/>
    <w:rsid w:val="00634B4D"/>
    <w:rsid w:val="00634DEF"/>
    <w:rsid w:val="00642648"/>
    <w:rsid w:val="00647BC0"/>
    <w:rsid w:val="006505E9"/>
    <w:rsid w:val="00652CDE"/>
    <w:rsid w:val="00655D03"/>
    <w:rsid w:val="0065713C"/>
    <w:rsid w:val="00660768"/>
    <w:rsid w:val="006611B8"/>
    <w:rsid w:val="006633BC"/>
    <w:rsid w:val="00665819"/>
    <w:rsid w:val="006707FA"/>
    <w:rsid w:val="00681BB0"/>
    <w:rsid w:val="006822E1"/>
    <w:rsid w:val="00683388"/>
    <w:rsid w:val="00683F84"/>
    <w:rsid w:val="00684FA4"/>
    <w:rsid w:val="006854A7"/>
    <w:rsid w:val="00687E3E"/>
    <w:rsid w:val="00690994"/>
    <w:rsid w:val="006918C5"/>
    <w:rsid w:val="00695DF4"/>
    <w:rsid w:val="006977B5"/>
    <w:rsid w:val="00697957"/>
    <w:rsid w:val="006979C1"/>
    <w:rsid w:val="006A0AB8"/>
    <w:rsid w:val="006A0FD2"/>
    <w:rsid w:val="006A46C4"/>
    <w:rsid w:val="006A48E5"/>
    <w:rsid w:val="006A6A81"/>
    <w:rsid w:val="006A6ED7"/>
    <w:rsid w:val="006B40A5"/>
    <w:rsid w:val="006B585B"/>
    <w:rsid w:val="006C27D5"/>
    <w:rsid w:val="006C4182"/>
    <w:rsid w:val="006C7236"/>
    <w:rsid w:val="006D142A"/>
    <w:rsid w:val="006D6C3A"/>
    <w:rsid w:val="006D6C9D"/>
    <w:rsid w:val="006E026E"/>
    <w:rsid w:val="006E3454"/>
    <w:rsid w:val="006E5F4B"/>
    <w:rsid w:val="006E63DE"/>
    <w:rsid w:val="006E73AE"/>
    <w:rsid w:val="006F7393"/>
    <w:rsid w:val="0070224F"/>
    <w:rsid w:val="00703FF3"/>
    <w:rsid w:val="00706461"/>
    <w:rsid w:val="00710150"/>
    <w:rsid w:val="007115F7"/>
    <w:rsid w:val="00711FCD"/>
    <w:rsid w:val="0072060D"/>
    <w:rsid w:val="00722F08"/>
    <w:rsid w:val="007244BE"/>
    <w:rsid w:val="00724FF0"/>
    <w:rsid w:val="00725122"/>
    <w:rsid w:val="007317F9"/>
    <w:rsid w:val="00734082"/>
    <w:rsid w:val="00734439"/>
    <w:rsid w:val="0074398E"/>
    <w:rsid w:val="00743E10"/>
    <w:rsid w:val="00746F5B"/>
    <w:rsid w:val="0074744A"/>
    <w:rsid w:val="00750FCD"/>
    <w:rsid w:val="00752088"/>
    <w:rsid w:val="0075323F"/>
    <w:rsid w:val="00754001"/>
    <w:rsid w:val="0075562E"/>
    <w:rsid w:val="0075618E"/>
    <w:rsid w:val="00756A4C"/>
    <w:rsid w:val="00757B65"/>
    <w:rsid w:val="00765BF2"/>
    <w:rsid w:val="00772B81"/>
    <w:rsid w:val="00774B07"/>
    <w:rsid w:val="00784A8A"/>
    <w:rsid w:val="00785689"/>
    <w:rsid w:val="00790215"/>
    <w:rsid w:val="00792DDB"/>
    <w:rsid w:val="00795F51"/>
    <w:rsid w:val="0079754B"/>
    <w:rsid w:val="00797F2B"/>
    <w:rsid w:val="007A1E6D"/>
    <w:rsid w:val="007A60DE"/>
    <w:rsid w:val="007B0033"/>
    <w:rsid w:val="007B0EB2"/>
    <w:rsid w:val="007B1A49"/>
    <w:rsid w:val="007B1CCA"/>
    <w:rsid w:val="007B77BF"/>
    <w:rsid w:val="007C0697"/>
    <w:rsid w:val="007C11B1"/>
    <w:rsid w:val="007C4159"/>
    <w:rsid w:val="007D1AE3"/>
    <w:rsid w:val="007D3CFA"/>
    <w:rsid w:val="007D6F23"/>
    <w:rsid w:val="007E2A4D"/>
    <w:rsid w:val="007E2DCA"/>
    <w:rsid w:val="007E4821"/>
    <w:rsid w:val="007E4A90"/>
    <w:rsid w:val="007F2AF6"/>
    <w:rsid w:val="00801469"/>
    <w:rsid w:val="0080183A"/>
    <w:rsid w:val="008039C5"/>
    <w:rsid w:val="00803C44"/>
    <w:rsid w:val="0080496B"/>
    <w:rsid w:val="00805CC5"/>
    <w:rsid w:val="00807B0C"/>
    <w:rsid w:val="00810B6F"/>
    <w:rsid w:val="00811D28"/>
    <w:rsid w:val="0081443D"/>
    <w:rsid w:val="00815A27"/>
    <w:rsid w:val="00822256"/>
    <w:rsid w:val="00822655"/>
    <w:rsid w:val="00822CE0"/>
    <w:rsid w:val="00822D75"/>
    <w:rsid w:val="00823BD1"/>
    <w:rsid w:val="00826159"/>
    <w:rsid w:val="00826913"/>
    <w:rsid w:val="00826F32"/>
    <w:rsid w:val="0083132E"/>
    <w:rsid w:val="00833D2F"/>
    <w:rsid w:val="00836844"/>
    <w:rsid w:val="00836A12"/>
    <w:rsid w:val="00841AB1"/>
    <w:rsid w:val="00844EC9"/>
    <w:rsid w:val="00850206"/>
    <w:rsid w:val="00855E33"/>
    <w:rsid w:val="00860168"/>
    <w:rsid w:val="00860866"/>
    <w:rsid w:val="00860B9E"/>
    <w:rsid w:val="00861003"/>
    <w:rsid w:val="00866930"/>
    <w:rsid w:val="0087092A"/>
    <w:rsid w:val="00874BF3"/>
    <w:rsid w:val="00875E91"/>
    <w:rsid w:val="0087623B"/>
    <w:rsid w:val="00882F43"/>
    <w:rsid w:val="0088387C"/>
    <w:rsid w:val="00883EB6"/>
    <w:rsid w:val="00884AF2"/>
    <w:rsid w:val="00890B2F"/>
    <w:rsid w:val="008914D5"/>
    <w:rsid w:val="008A17DC"/>
    <w:rsid w:val="008A1DA4"/>
    <w:rsid w:val="008A25B5"/>
    <w:rsid w:val="008A4BD8"/>
    <w:rsid w:val="008A5497"/>
    <w:rsid w:val="008B2B33"/>
    <w:rsid w:val="008B464B"/>
    <w:rsid w:val="008B532D"/>
    <w:rsid w:val="008C1593"/>
    <w:rsid w:val="008C15F6"/>
    <w:rsid w:val="008C45F1"/>
    <w:rsid w:val="008C68AE"/>
    <w:rsid w:val="008C68F1"/>
    <w:rsid w:val="008D0D4D"/>
    <w:rsid w:val="008D0EAF"/>
    <w:rsid w:val="008D121C"/>
    <w:rsid w:val="008D1522"/>
    <w:rsid w:val="008D219D"/>
    <w:rsid w:val="008D237B"/>
    <w:rsid w:val="008D3FF0"/>
    <w:rsid w:val="008D5B2C"/>
    <w:rsid w:val="008E188D"/>
    <w:rsid w:val="008E5FDA"/>
    <w:rsid w:val="008E7729"/>
    <w:rsid w:val="008F175F"/>
    <w:rsid w:val="009118DF"/>
    <w:rsid w:val="00916F0F"/>
    <w:rsid w:val="009179DF"/>
    <w:rsid w:val="00917BAA"/>
    <w:rsid w:val="00917EC4"/>
    <w:rsid w:val="00921803"/>
    <w:rsid w:val="009234BA"/>
    <w:rsid w:val="00923FA1"/>
    <w:rsid w:val="0092477D"/>
    <w:rsid w:val="00925DEE"/>
    <w:rsid w:val="00926503"/>
    <w:rsid w:val="0092670B"/>
    <w:rsid w:val="00926E8C"/>
    <w:rsid w:val="009333C5"/>
    <w:rsid w:val="00936998"/>
    <w:rsid w:val="0094238F"/>
    <w:rsid w:val="0094284B"/>
    <w:rsid w:val="00943754"/>
    <w:rsid w:val="009474B6"/>
    <w:rsid w:val="00950B7D"/>
    <w:rsid w:val="00950DBA"/>
    <w:rsid w:val="00951A0E"/>
    <w:rsid w:val="00952280"/>
    <w:rsid w:val="00955487"/>
    <w:rsid w:val="009606CD"/>
    <w:rsid w:val="00966119"/>
    <w:rsid w:val="0096749A"/>
    <w:rsid w:val="00967E8C"/>
    <w:rsid w:val="00970987"/>
    <w:rsid w:val="00970F65"/>
    <w:rsid w:val="009726D8"/>
    <w:rsid w:val="00973538"/>
    <w:rsid w:val="0097370C"/>
    <w:rsid w:val="00975103"/>
    <w:rsid w:val="009751EA"/>
    <w:rsid w:val="00980B87"/>
    <w:rsid w:val="0098146F"/>
    <w:rsid w:val="009844FE"/>
    <w:rsid w:val="00991301"/>
    <w:rsid w:val="00992C71"/>
    <w:rsid w:val="0099345A"/>
    <w:rsid w:val="009955B5"/>
    <w:rsid w:val="009A26FA"/>
    <w:rsid w:val="009A31C5"/>
    <w:rsid w:val="009A3FDF"/>
    <w:rsid w:val="009A4AAF"/>
    <w:rsid w:val="009A4DA7"/>
    <w:rsid w:val="009A58D9"/>
    <w:rsid w:val="009B1552"/>
    <w:rsid w:val="009B5797"/>
    <w:rsid w:val="009C190F"/>
    <w:rsid w:val="009C4DE3"/>
    <w:rsid w:val="009C51BD"/>
    <w:rsid w:val="009C5ED5"/>
    <w:rsid w:val="009C6A28"/>
    <w:rsid w:val="009D0D0C"/>
    <w:rsid w:val="009D0F4B"/>
    <w:rsid w:val="009D1289"/>
    <w:rsid w:val="009D23FF"/>
    <w:rsid w:val="009D7505"/>
    <w:rsid w:val="009D7C46"/>
    <w:rsid w:val="009E049C"/>
    <w:rsid w:val="009E7FEF"/>
    <w:rsid w:val="009F098C"/>
    <w:rsid w:val="009F76DB"/>
    <w:rsid w:val="009F7F77"/>
    <w:rsid w:val="00A03C98"/>
    <w:rsid w:val="00A04BD6"/>
    <w:rsid w:val="00A04F80"/>
    <w:rsid w:val="00A0740E"/>
    <w:rsid w:val="00A100D6"/>
    <w:rsid w:val="00A11904"/>
    <w:rsid w:val="00A132C5"/>
    <w:rsid w:val="00A16501"/>
    <w:rsid w:val="00A17697"/>
    <w:rsid w:val="00A17DCE"/>
    <w:rsid w:val="00A25E27"/>
    <w:rsid w:val="00A278F2"/>
    <w:rsid w:val="00A27B0D"/>
    <w:rsid w:val="00A30AFF"/>
    <w:rsid w:val="00A32C3B"/>
    <w:rsid w:val="00A33ECF"/>
    <w:rsid w:val="00A34634"/>
    <w:rsid w:val="00A42FAE"/>
    <w:rsid w:val="00A45C3E"/>
    <w:rsid w:val="00A45F4F"/>
    <w:rsid w:val="00A50538"/>
    <w:rsid w:val="00A52AD6"/>
    <w:rsid w:val="00A57D54"/>
    <w:rsid w:val="00A600A9"/>
    <w:rsid w:val="00A62A37"/>
    <w:rsid w:val="00A63FC4"/>
    <w:rsid w:val="00A6447F"/>
    <w:rsid w:val="00A64E8D"/>
    <w:rsid w:val="00A74BF0"/>
    <w:rsid w:val="00A81798"/>
    <w:rsid w:val="00A81FC6"/>
    <w:rsid w:val="00A82753"/>
    <w:rsid w:val="00A83289"/>
    <w:rsid w:val="00A843F1"/>
    <w:rsid w:val="00A8628D"/>
    <w:rsid w:val="00A87FAA"/>
    <w:rsid w:val="00A92931"/>
    <w:rsid w:val="00A9788C"/>
    <w:rsid w:val="00AA41F6"/>
    <w:rsid w:val="00AA55B7"/>
    <w:rsid w:val="00AA5B9E"/>
    <w:rsid w:val="00AB0EF3"/>
    <w:rsid w:val="00AB1C12"/>
    <w:rsid w:val="00AB2407"/>
    <w:rsid w:val="00AB53DF"/>
    <w:rsid w:val="00AB549D"/>
    <w:rsid w:val="00AB63CE"/>
    <w:rsid w:val="00AC0401"/>
    <w:rsid w:val="00AC12FA"/>
    <w:rsid w:val="00AC2749"/>
    <w:rsid w:val="00AD1654"/>
    <w:rsid w:val="00AD16B9"/>
    <w:rsid w:val="00AD1BF4"/>
    <w:rsid w:val="00AD28A6"/>
    <w:rsid w:val="00AD3C9B"/>
    <w:rsid w:val="00AD46D8"/>
    <w:rsid w:val="00AD5B3A"/>
    <w:rsid w:val="00AD5E8F"/>
    <w:rsid w:val="00AD6F2C"/>
    <w:rsid w:val="00AE1633"/>
    <w:rsid w:val="00AE625F"/>
    <w:rsid w:val="00AF3474"/>
    <w:rsid w:val="00AF3DB3"/>
    <w:rsid w:val="00AF4656"/>
    <w:rsid w:val="00AF5F84"/>
    <w:rsid w:val="00B009DA"/>
    <w:rsid w:val="00B02B86"/>
    <w:rsid w:val="00B04F70"/>
    <w:rsid w:val="00B06D64"/>
    <w:rsid w:val="00B07E5C"/>
    <w:rsid w:val="00B15BD5"/>
    <w:rsid w:val="00B16597"/>
    <w:rsid w:val="00B21848"/>
    <w:rsid w:val="00B22E53"/>
    <w:rsid w:val="00B307C9"/>
    <w:rsid w:val="00B31053"/>
    <w:rsid w:val="00B32C14"/>
    <w:rsid w:val="00B33D38"/>
    <w:rsid w:val="00B34598"/>
    <w:rsid w:val="00B34E97"/>
    <w:rsid w:val="00B37749"/>
    <w:rsid w:val="00B41761"/>
    <w:rsid w:val="00B4211A"/>
    <w:rsid w:val="00B44259"/>
    <w:rsid w:val="00B50113"/>
    <w:rsid w:val="00B50D5D"/>
    <w:rsid w:val="00B52EFA"/>
    <w:rsid w:val="00B54F4E"/>
    <w:rsid w:val="00B6164F"/>
    <w:rsid w:val="00B61B37"/>
    <w:rsid w:val="00B61D94"/>
    <w:rsid w:val="00B62642"/>
    <w:rsid w:val="00B63E47"/>
    <w:rsid w:val="00B64B17"/>
    <w:rsid w:val="00B67FCB"/>
    <w:rsid w:val="00B72CED"/>
    <w:rsid w:val="00B7434D"/>
    <w:rsid w:val="00B811F7"/>
    <w:rsid w:val="00B81D1C"/>
    <w:rsid w:val="00B8422E"/>
    <w:rsid w:val="00B86CA1"/>
    <w:rsid w:val="00B94266"/>
    <w:rsid w:val="00B94F83"/>
    <w:rsid w:val="00B96FBC"/>
    <w:rsid w:val="00BA1FFE"/>
    <w:rsid w:val="00BA383E"/>
    <w:rsid w:val="00BA3B21"/>
    <w:rsid w:val="00BA5DC6"/>
    <w:rsid w:val="00BA6196"/>
    <w:rsid w:val="00BA619B"/>
    <w:rsid w:val="00BA6E9A"/>
    <w:rsid w:val="00BB1F1B"/>
    <w:rsid w:val="00BB539D"/>
    <w:rsid w:val="00BB67EF"/>
    <w:rsid w:val="00BC0CC4"/>
    <w:rsid w:val="00BC18B1"/>
    <w:rsid w:val="00BC6CD0"/>
    <w:rsid w:val="00BC6D8C"/>
    <w:rsid w:val="00BD1B9A"/>
    <w:rsid w:val="00BD2A87"/>
    <w:rsid w:val="00BD3FFD"/>
    <w:rsid w:val="00BD5400"/>
    <w:rsid w:val="00BE158C"/>
    <w:rsid w:val="00BE2914"/>
    <w:rsid w:val="00BF41A6"/>
    <w:rsid w:val="00BF477B"/>
    <w:rsid w:val="00BF76A5"/>
    <w:rsid w:val="00C069BD"/>
    <w:rsid w:val="00C071EA"/>
    <w:rsid w:val="00C13501"/>
    <w:rsid w:val="00C1691B"/>
    <w:rsid w:val="00C25CCB"/>
    <w:rsid w:val="00C26EC6"/>
    <w:rsid w:val="00C30B8D"/>
    <w:rsid w:val="00C30EC6"/>
    <w:rsid w:val="00C33605"/>
    <w:rsid w:val="00C34006"/>
    <w:rsid w:val="00C40CCC"/>
    <w:rsid w:val="00C426B1"/>
    <w:rsid w:val="00C43603"/>
    <w:rsid w:val="00C468AE"/>
    <w:rsid w:val="00C46E2D"/>
    <w:rsid w:val="00C5179A"/>
    <w:rsid w:val="00C54377"/>
    <w:rsid w:val="00C5643A"/>
    <w:rsid w:val="00C61C89"/>
    <w:rsid w:val="00C65D26"/>
    <w:rsid w:val="00C66160"/>
    <w:rsid w:val="00C721AC"/>
    <w:rsid w:val="00C74F27"/>
    <w:rsid w:val="00C779C0"/>
    <w:rsid w:val="00C8003E"/>
    <w:rsid w:val="00C81037"/>
    <w:rsid w:val="00C81E24"/>
    <w:rsid w:val="00C82248"/>
    <w:rsid w:val="00C842BF"/>
    <w:rsid w:val="00C90BE8"/>
    <w:rsid w:val="00C90D6A"/>
    <w:rsid w:val="00C9388E"/>
    <w:rsid w:val="00C9567C"/>
    <w:rsid w:val="00C95DD0"/>
    <w:rsid w:val="00CA1503"/>
    <w:rsid w:val="00CA1E3D"/>
    <w:rsid w:val="00CA247E"/>
    <w:rsid w:val="00CB16C1"/>
    <w:rsid w:val="00CB538A"/>
    <w:rsid w:val="00CB735A"/>
    <w:rsid w:val="00CB7EBE"/>
    <w:rsid w:val="00CC3E41"/>
    <w:rsid w:val="00CC41A6"/>
    <w:rsid w:val="00CC6442"/>
    <w:rsid w:val="00CC6A81"/>
    <w:rsid w:val="00CC72B6"/>
    <w:rsid w:val="00CD0A7F"/>
    <w:rsid w:val="00CD3659"/>
    <w:rsid w:val="00CD3A67"/>
    <w:rsid w:val="00CD40EF"/>
    <w:rsid w:val="00CD48F9"/>
    <w:rsid w:val="00CD4EBC"/>
    <w:rsid w:val="00CD6BCD"/>
    <w:rsid w:val="00CE3560"/>
    <w:rsid w:val="00CE4789"/>
    <w:rsid w:val="00CE55E0"/>
    <w:rsid w:val="00CE6016"/>
    <w:rsid w:val="00CF03CD"/>
    <w:rsid w:val="00CF18D6"/>
    <w:rsid w:val="00CF4E2B"/>
    <w:rsid w:val="00CF5492"/>
    <w:rsid w:val="00CF7CBF"/>
    <w:rsid w:val="00D02051"/>
    <w:rsid w:val="00D0218D"/>
    <w:rsid w:val="00D04BE9"/>
    <w:rsid w:val="00D07F36"/>
    <w:rsid w:val="00D1187E"/>
    <w:rsid w:val="00D14C6F"/>
    <w:rsid w:val="00D162AB"/>
    <w:rsid w:val="00D203F1"/>
    <w:rsid w:val="00D20D80"/>
    <w:rsid w:val="00D215D9"/>
    <w:rsid w:val="00D21EE1"/>
    <w:rsid w:val="00D25FB5"/>
    <w:rsid w:val="00D26A76"/>
    <w:rsid w:val="00D278AF"/>
    <w:rsid w:val="00D362C6"/>
    <w:rsid w:val="00D4189F"/>
    <w:rsid w:val="00D42282"/>
    <w:rsid w:val="00D432D0"/>
    <w:rsid w:val="00D43AFA"/>
    <w:rsid w:val="00D44223"/>
    <w:rsid w:val="00D455CF"/>
    <w:rsid w:val="00D4592D"/>
    <w:rsid w:val="00D51C5A"/>
    <w:rsid w:val="00D60D57"/>
    <w:rsid w:val="00D60DCD"/>
    <w:rsid w:val="00D6151F"/>
    <w:rsid w:val="00D615FE"/>
    <w:rsid w:val="00D62882"/>
    <w:rsid w:val="00D63723"/>
    <w:rsid w:val="00D6431E"/>
    <w:rsid w:val="00D67587"/>
    <w:rsid w:val="00D70A2F"/>
    <w:rsid w:val="00D7440A"/>
    <w:rsid w:val="00D76C77"/>
    <w:rsid w:val="00D779CE"/>
    <w:rsid w:val="00D83C60"/>
    <w:rsid w:val="00D8598F"/>
    <w:rsid w:val="00D87CD0"/>
    <w:rsid w:val="00D91433"/>
    <w:rsid w:val="00D94FCF"/>
    <w:rsid w:val="00DA0BE2"/>
    <w:rsid w:val="00DA2529"/>
    <w:rsid w:val="00DA4347"/>
    <w:rsid w:val="00DA6920"/>
    <w:rsid w:val="00DB130A"/>
    <w:rsid w:val="00DB2EBB"/>
    <w:rsid w:val="00DB54C7"/>
    <w:rsid w:val="00DB5CF5"/>
    <w:rsid w:val="00DB5EDB"/>
    <w:rsid w:val="00DB6788"/>
    <w:rsid w:val="00DC005A"/>
    <w:rsid w:val="00DC0E1E"/>
    <w:rsid w:val="00DC10A1"/>
    <w:rsid w:val="00DC2124"/>
    <w:rsid w:val="00DC390F"/>
    <w:rsid w:val="00DC655F"/>
    <w:rsid w:val="00DC71D2"/>
    <w:rsid w:val="00DD0B59"/>
    <w:rsid w:val="00DD1879"/>
    <w:rsid w:val="00DD1F1D"/>
    <w:rsid w:val="00DD37ED"/>
    <w:rsid w:val="00DD4775"/>
    <w:rsid w:val="00DD7EBD"/>
    <w:rsid w:val="00DE3260"/>
    <w:rsid w:val="00DE3367"/>
    <w:rsid w:val="00DE53C5"/>
    <w:rsid w:val="00DF1385"/>
    <w:rsid w:val="00DF57D4"/>
    <w:rsid w:val="00DF62B6"/>
    <w:rsid w:val="00E036EA"/>
    <w:rsid w:val="00E07225"/>
    <w:rsid w:val="00E1207B"/>
    <w:rsid w:val="00E14DEC"/>
    <w:rsid w:val="00E16A38"/>
    <w:rsid w:val="00E2446B"/>
    <w:rsid w:val="00E262A6"/>
    <w:rsid w:val="00E26751"/>
    <w:rsid w:val="00E27EB5"/>
    <w:rsid w:val="00E317E0"/>
    <w:rsid w:val="00E32CCC"/>
    <w:rsid w:val="00E33354"/>
    <w:rsid w:val="00E36A43"/>
    <w:rsid w:val="00E402A5"/>
    <w:rsid w:val="00E434FD"/>
    <w:rsid w:val="00E44C4B"/>
    <w:rsid w:val="00E454C7"/>
    <w:rsid w:val="00E47977"/>
    <w:rsid w:val="00E511D3"/>
    <w:rsid w:val="00E5219B"/>
    <w:rsid w:val="00E53D3A"/>
    <w:rsid w:val="00E5409F"/>
    <w:rsid w:val="00E54BAC"/>
    <w:rsid w:val="00E600D8"/>
    <w:rsid w:val="00E611F2"/>
    <w:rsid w:val="00E64F5E"/>
    <w:rsid w:val="00E70FE7"/>
    <w:rsid w:val="00E71E18"/>
    <w:rsid w:val="00E728FC"/>
    <w:rsid w:val="00E73A35"/>
    <w:rsid w:val="00E810C6"/>
    <w:rsid w:val="00E811A0"/>
    <w:rsid w:val="00E90E8B"/>
    <w:rsid w:val="00E95606"/>
    <w:rsid w:val="00EA05E1"/>
    <w:rsid w:val="00EA7FA2"/>
    <w:rsid w:val="00EB1C02"/>
    <w:rsid w:val="00EB3707"/>
    <w:rsid w:val="00EB4FC6"/>
    <w:rsid w:val="00EC13A4"/>
    <w:rsid w:val="00EC1975"/>
    <w:rsid w:val="00EC407E"/>
    <w:rsid w:val="00EC730C"/>
    <w:rsid w:val="00EE1AB0"/>
    <w:rsid w:val="00EE312B"/>
    <w:rsid w:val="00EE6488"/>
    <w:rsid w:val="00EF28D8"/>
    <w:rsid w:val="00EF5836"/>
    <w:rsid w:val="00EF5BA3"/>
    <w:rsid w:val="00F021FA"/>
    <w:rsid w:val="00F0436A"/>
    <w:rsid w:val="00F04C1E"/>
    <w:rsid w:val="00F05701"/>
    <w:rsid w:val="00F075D9"/>
    <w:rsid w:val="00F10DEA"/>
    <w:rsid w:val="00F12096"/>
    <w:rsid w:val="00F14EF1"/>
    <w:rsid w:val="00F15D5F"/>
    <w:rsid w:val="00F172AD"/>
    <w:rsid w:val="00F200DB"/>
    <w:rsid w:val="00F259FD"/>
    <w:rsid w:val="00F27657"/>
    <w:rsid w:val="00F357F1"/>
    <w:rsid w:val="00F42218"/>
    <w:rsid w:val="00F43C76"/>
    <w:rsid w:val="00F47B0D"/>
    <w:rsid w:val="00F509AE"/>
    <w:rsid w:val="00F51089"/>
    <w:rsid w:val="00F621D5"/>
    <w:rsid w:val="00F62E97"/>
    <w:rsid w:val="00F64209"/>
    <w:rsid w:val="00F659CF"/>
    <w:rsid w:val="00F677FA"/>
    <w:rsid w:val="00F71E54"/>
    <w:rsid w:val="00F739BD"/>
    <w:rsid w:val="00F7533B"/>
    <w:rsid w:val="00F80387"/>
    <w:rsid w:val="00F80E16"/>
    <w:rsid w:val="00F810A9"/>
    <w:rsid w:val="00F84838"/>
    <w:rsid w:val="00F8577C"/>
    <w:rsid w:val="00F86D0D"/>
    <w:rsid w:val="00F9381E"/>
    <w:rsid w:val="00F93BF5"/>
    <w:rsid w:val="00F964C3"/>
    <w:rsid w:val="00F97BEF"/>
    <w:rsid w:val="00FA20C3"/>
    <w:rsid w:val="00FA2D10"/>
    <w:rsid w:val="00FA469A"/>
    <w:rsid w:val="00FA671D"/>
    <w:rsid w:val="00FA6C89"/>
    <w:rsid w:val="00FB0A77"/>
    <w:rsid w:val="00FB2F33"/>
    <w:rsid w:val="00FB4E46"/>
    <w:rsid w:val="00FB63E2"/>
    <w:rsid w:val="00FB6811"/>
    <w:rsid w:val="00FB7B79"/>
    <w:rsid w:val="00FC4D03"/>
    <w:rsid w:val="00FE0C19"/>
    <w:rsid w:val="00FE265A"/>
    <w:rsid w:val="00FE26E6"/>
    <w:rsid w:val="00FF2581"/>
    <w:rsid w:val="00FF2686"/>
    <w:rsid w:val="00FF2B2A"/>
    <w:rsid w:val="00FF6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C2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49272C"/>
    <w:pPr>
      <w:keepNext/>
      <w:numPr>
        <w:ilvl w:val="1"/>
        <w:numId w:val="3"/>
      </w:numPr>
      <w:tabs>
        <w:tab w:val="clear" w:pos="1440"/>
        <w:tab w:val="num" w:pos="2160"/>
      </w:tabs>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36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uiPriority w:val="99"/>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uiPriority w:val="99"/>
    <w:rsid w:val="002F3328"/>
  </w:style>
  <w:style w:type="character" w:styleId="CommentReference">
    <w:name w:val="annotation reference"/>
    <w:uiPriority w:val="99"/>
    <w:rsid w:val="002F3328"/>
    <w:rPr>
      <w:sz w:val="16"/>
      <w:szCs w:val="16"/>
    </w:rPr>
  </w:style>
  <w:style w:type="character" w:customStyle="1" w:styleId="ParaNumChar">
    <w:name w:val="ParaNum Char"/>
    <w:link w:val="ParaNum"/>
    <w:locked/>
    <w:rsid w:val="002F3328"/>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49272C"/>
    <w:rPr>
      <w:b/>
      <w:snapToGrid w:val="0"/>
      <w:kern w:val="28"/>
      <w:sz w:val="22"/>
    </w:rPr>
  </w:style>
  <w:style w:type="paragraph" w:styleId="CommentText">
    <w:name w:val="annotation text"/>
    <w:basedOn w:val="Normal"/>
    <w:link w:val="CommentTextChar"/>
    <w:uiPriority w:val="99"/>
    <w:rsid w:val="00D215D9"/>
    <w:rPr>
      <w:sz w:val="20"/>
    </w:rPr>
  </w:style>
  <w:style w:type="character" w:customStyle="1" w:styleId="CommentTextChar">
    <w:name w:val="Comment Text Char"/>
    <w:basedOn w:val="DefaultParagraphFont"/>
    <w:link w:val="CommentText"/>
    <w:uiPriority w:val="99"/>
    <w:rsid w:val="00D215D9"/>
    <w:rPr>
      <w:snapToGrid w:val="0"/>
      <w:kern w:val="28"/>
    </w:rPr>
  </w:style>
  <w:style w:type="paragraph" w:styleId="CommentSubject">
    <w:name w:val="annotation subject"/>
    <w:basedOn w:val="CommentText"/>
    <w:next w:val="CommentText"/>
    <w:link w:val="CommentSubjectChar"/>
    <w:rsid w:val="00D215D9"/>
    <w:rPr>
      <w:b/>
      <w:bCs/>
    </w:rPr>
  </w:style>
  <w:style w:type="character" w:customStyle="1" w:styleId="CommentSubjectChar">
    <w:name w:val="Comment Subject Char"/>
    <w:basedOn w:val="CommentTextChar"/>
    <w:link w:val="CommentSubject"/>
    <w:rsid w:val="00D215D9"/>
    <w:rPr>
      <w:b/>
      <w:bCs/>
      <w:snapToGrid w:val="0"/>
      <w:kern w:val="28"/>
    </w:rPr>
  </w:style>
  <w:style w:type="paragraph" w:styleId="BalloonText">
    <w:name w:val="Balloon Text"/>
    <w:basedOn w:val="Normal"/>
    <w:link w:val="BalloonTextChar"/>
    <w:rsid w:val="00D215D9"/>
    <w:rPr>
      <w:rFonts w:ascii="Tahoma" w:hAnsi="Tahoma" w:cs="Tahoma"/>
      <w:sz w:val="16"/>
      <w:szCs w:val="16"/>
    </w:rPr>
  </w:style>
  <w:style w:type="character" w:customStyle="1" w:styleId="BalloonTextChar">
    <w:name w:val="Balloon Text Char"/>
    <w:basedOn w:val="DefaultParagraphFont"/>
    <w:link w:val="BalloonText"/>
    <w:rsid w:val="00D215D9"/>
    <w:rPr>
      <w:rFonts w:ascii="Tahoma" w:hAnsi="Tahoma" w:cs="Tahoma"/>
      <w:snapToGrid w:val="0"/>
      <w:kern w:val="28"/>
      <w:sz w:val="16"/>
      <w:szCs w:val="16"/>
    </w:rPr>
  </w:style>
  <w:style w:type="paragraph" w:styleId="Revision">
    <w:name w:val="Revision"/>
    <w:hidden/>
    <w:uiPriority w:val="99"/>
    <w:semiHidden/>
    <w:rsid w:val="003C2F5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49272C"/>
    <w:pPr>
      <w:keepNext/>
      <w:numPr>
        <w:ilvl w:val="1"/>
        <w:numId w:val="3"/>
      </w:numPr>
      <w:tabs>
        <w:tab w:val="clear" w:pos="1440"/>
        <w:tab w:val="num" w:pos="2160"/>
      </w:tabs>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36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uiPriority w:val="99"/>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uiPriority w:val="99"/>
    <w:rsid w:val="002F3328"/>
  </w:style>
  <w:style w:type="character" w:styleId="CommentReference">
    <w:name w:val="annotation reference"/>
    <w:uiPriority w:val="99"/>
    <w:rsid w:val="002F3328"/>
    <w:rPr>
      <w:sz w:val="16"/>
      <w:szCs w:val="16"/>
    </w:rPr>
  </w:style>
  <w:style w:type="character" w:customStyle="1" w:styleId="ParaNumChar">
    <w:name w:val="ParaNum Char"/>
    <w:link w:val="ParaNum"/>
    <w:locked/>
    <w:rsid w:val="002F3328"/>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49272C"/>
    <w:rPr>
      <w:b/>
      <w:snapToGrid w:val="0"/>
      <w:kern w:val="28"/>
      <w:sz w:val="22"/>
    </w:rPr>
  </w:style>
  <w:style w:type="paragraph" w:styleId="CommentText">
    <w:name w:val="annotation text"/>
    <w:basedOn w:val="Normal"/>
    <w:link w:val="CommentTextChar"/>
    <w:uiPriority w:val="99"/>
    <w:rsid w:val="00D215D9"/>
    <w:rPr>
      <w:sz w:val="20"/>
    </w:rPr>
  </w:style>
  <w:style w:type="character" w:customStyle="1" w:styleId="CommentTextChar">
    <w:name w:val="Comment Text Char"/>
    <w:basedOn w:val="DefaultParagraphFont"/>
    <w:link w:val="CommentText"/>
    <w:uiPriority w:val="99"/>
    <w:rsid w:val="00D215D9"/>
    <w:rPr>
      <w:snapToGrid w:val="0"/>
      <w:kern w:val="28"/>
    </w:rPr>
  </w:style>
  <w:style w:type="paragraph" w:styleId="CommentSubject">
    <w:name w:val="annotation subject"/>
    <w:basedOn w:val="CommentText"/>
    <w:next w:val="CommentText"/>
    <w:link w:val="CommentSubjectChar"/>
    <w:rsid w:val="00D215D9"/>
    <w:rPr>
      <w:b/>
      <w:bCs/>
    </w:rPr>
  </w:style>
  <w:style w:type="character" w:customStyle="1" w:styleId="CommentSubjectChar">
    <w:name w:val="Comment Subject Char"/>
    <w:basedOn w:val="CommentTextChar"/>
    <w:link w:val="CommentSubject"/>
    <w:rsid w:val="00D215D9"/>
    <w:rPr>
      <w:b/>
      <w:bCs/>
      <w:snapToGrid w:val="0"/>
      <w:kern w:val="28"/>
    </w:rPr>
  </w:style>
  <w:style w:type="paragraph" w:styleId="BalloonText">
    <w:name w:val="Balloon Text"/>
    <w:basedOn w:val="Normal"/>
    <w:link w:val="BalloonTextChar"/>
    <w:rsid w:val="00D215D9"/>
    <w:rPr>
      <w:rFonts w:ascii="Tahoma" w:hAnsi="Tahoma" w:cs="Tahoma"/>
      <w:sz w:val="16"/>
      <w:szCs w:val="16"/>
    </w:rPr>
  </w:style>
  <w:style w:type="character" w:customStyle="1" w:styleId="BalloonTextChar">
    <w:name w:val="Balloon Text Char"/>
    <w:basedOn w:val="DefaultParagraphFont"/>
    <w:link w:val="BalloonText"/>
    <w:rsid w:val="00D215D9"/>
    <w:rPr>
      <w:rFonts w:ascii="Tahoma" w:hAnsi="Tahoma" w:cs="Tahoma"/>
      <w:snapToGrid w:val="0"/>
      <w:kern w:val="28"/>
      <w:sz w:val="16"/>
      <w:szCs w:val="16"/>
    </w:rPr>
  </w:style>
  <w:style w:type="paragraph" w:styleId="Revision">
    <w:name w:val="Revision"/>
    <w:hidden/>
    <w:uiPriority w:val="99"/>
    <w:semiHidden/>
    <w:rsid w:val="003C2F5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92213">
      <w:bodyDiv w:val="1"/>
      <w:marLeft w:val="0"/>
      <w:marRight w:val="0"/>
      <w:marTop w:val="0"/>
      <w:marBottom w:val="0"/>
      <w:divBdr>
        <w:top w:val="none" w:sz="0" w:space="0" w:color="auto"/>
        <w:left w:val="none" w:sz="0" w:space="0" w:color="auto"/>
        <w:bottom w:val="none" w:sz="0" w:space="0" w:color="auto"/>
        <w:right w:val="none" w:sz="0" w:space="0" w:color="auto"/>
      </w:divBdr>
    </w:div>
    <w:div w:id="1095980926">
      <w:bodyDiv w:val="1"/>
      <w:marLeft w:val="0"/>
      <w:marRight w:val="0"/>
      <w:marTop w:val="0"/>
      <w:marBottom w:val="0"/>
      <w:divBdr>
        <w:top w:val="none" w:sz="0" w:space="0" w:color="auto"/>
        <w:left w:val="none" w:sz="0" w:space="0" w:color="auto"/>
        <w:bottom w:val="none" w:sz="0" w:space="0" w:color="auto"/>
        <w:right w:val="none" w:sz="0" w:space="0" w:color="auto"/>
      </w:divBdr>
    </w:div>
    <w:div w:id="1349215093">
      <w:bodyDiv w:val="1"/>
      <w:marLeft w:val="0"/>
      <w:marRight w:val="0"/>
      <w:marTop w:val="0"/>
      <w:marBottom w:val="0"/>
      <w:divBdr>
        <w:top w:val="none" w:sz="0" w:space="0" w:color="auto"/>
        <w:left w:val="none" w:sz="0" w:space="0" w:color="auto"/>
        <w:bottom w:val="none" w:sz="0" w:space="0" w:color="auto"/>
        <w:right w:val="none" w:sz="0" w:space="0" w:color="auto"/>
      </w:divBdr>
    </w:div>
    <w:div w:id="1381590079">
      <w:bodyDiv w:val="1"/>
      <w:marLeft w:val="0"/>
      <w:marRight w:val="0"/>
      <w:marTop w:val="0"/>
      <w:marBottom w:val="0"/>
      <w:divBdr>
        <w:top w:val="none" w:sz="0" w:space="0" w:color="auto"/>
        <w:left w:val="none" w:sz="0" w:space="0" w:color="auto"/>
        <w:bottom w:val="none" w:sz="0" w:space="0" w:color="auto"/>
        <w:right w:val="none" w:sz="0" w:space="0" w:color="auto"/>
      </w:divBdr>
    </w:div>
    <w:div w:id="1418404758">
      <w:bodyDiv w:val="1"/>
      <w:marLeft w:val="0"/>
      <w:marRight w:val="0"/>
      <w:marTop w:val="0"/>
      <w:marBottom w:val="0"/>
      <w:divBdr>
        <w:top w:val="none" w:sz="0" w:space="0" w:color="auto"/>
        <w:left w:val="none" w:sz="0" w:space="0" w:color="auto"/>
        <w:bottom w:val="none" w:sz="0" w:space="0" w:color="auto"/>
        <w:right w:val="none" w:sz="0" w:space="0" w:color="auto"/>
      </w:divBdr>
    </w:div>
    <w:div w:id="18647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3456</Words>
  <Characters>19289</Characters>
  <Application>Microsoft Office Word</Application>
  <DocSecurity>0</DocSecurity>
  <Lines>284</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2015-11-06T19:05:00Z</cp:lastPrinted>
  <dcterms:created xsi:type="dcterms:W3CDTF">2015-11-06T19:14:00Z</dcterms:created>
  <dcterms:modified xsi:type="dcterms:W3CDTF">2015-11-06T19:14:00Z</dcterms:modified>
  <cp:category> </cp:category>
  <cp:contentStatus> </cp:contentStatus>
</cp:coreProperties>
</file>