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C" w:rsidRDefault="004658BC">
      <w:pPr>
        <w:pStyle w:val="Header"/>
        <w:tabs>
          <w:tab w:val="clear" w:pos="4320"/>
          <w:tab w:val="clear" w:pos="8640"/>
        </w:tabs>
        <w:sectPr w:rsidR="004658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1440" w:left="720" w:header="720" w:footer="1440" w:gutter="0"/>
          <w:cols w:space="720"/>
          <w:titlePg/>
        </w:sectPr>
      </w:pPr>
      <w:bookmarkStart w:id="1" w:name="_GoBack"/>
      <w:bookmarkEnd w:id="1"/>
      <w:r>
        <w:t xml:space="preserve"> </w:t>
      </w:r>
    </w:p>
    <w:p w:rsidR="004658BC" w:rsidRPr="00C071B2" w:rsidRDefault="004658BC">
      <w:pPr>
        <w:tabs>
          <w:tab w:val="right" w:pos="9360"/>
        </w:tabs>
        <w:suppressAutoHyphens/>
        <w:spacing w:line="227" w:lineRule="auto"/>
        <w:jc w:val="right"/>
        <w:rPr>
          <w:rFonts w:ascii="Times" w:hAnsi="Times"/>
          <w:b/>
          <w:spacing w:val="-2"/>
          <w:sz w:val="22"/>
          <w:szCs w:val="22"/>
        </w:rPr>
      </w:pPr>
      <w:r>
        <w:rPr>
          <w:rFonts w:ascii="Times" w:hAnsi="Times"/>
          <w:b/>
          <w:spacing w:val="-2"/>
          <w:sz w:val="22"/>
        </w:rPr>
        <w:lastRenderedPageBreak/>
        <w:tab/>
      </w:r>
      <w:r w:rsidRPr="00C071B2">
        <w:rPr>
          <w:rFonts w:ascii="Times" w:hAnsi="Times"/>
          <w:b/>
          <w:spacing w:val="-2"/>
          <w:sz w:val="22"/>
          <w:szCs w:val="22"/>
        </w:rPr>
        <w:t xml:space="preserve">DA </w:t>
      </w:r>
      <w:r w:rsidR="00654F14" w:rsidRPr="00C071B2">
        <w:rPr>
          <w:rFonts w:ascii="Times" w:hAnsi="Times"/>
          <w:b/>
          <w:spacing w:val="-2"/>
          <w:sz w:val="22"/>
          <w:szCs w:val="22"/>
        </w:rPr>
        <w:t>1</w:t>
      </w:r>
      <w:r w:rsidR="001457E3">
        <w:rPr>
          <w:rFonts w:ascii="Times" w:hAnsi="Times"/>
          <w:b/>
          <w:spacing w:val="-2"/>
          <w:sz w:val="22"/>
          <w:szCs w:val="22"/>
        </w:rPr>
        <w:t>5</w:t>
      </w:r>
      <w:r w:rsidR="00654F14" w:rsidRPr="00C071B2">
        <w:rPr>
          <w:rFonts w:ascii="Times" w:hAnsi="Times"/>
          <w:b/>
          <w:spacing w:val="-2"/>
          <w:sz w:val="22"/>
          <w:szCs w:val="22"/>
        </w:rPr>
        <w:t>-</w:t>
      </w:r>
      <w:r w:rsidR="00D82FA1">
        <w:rPr>
          <w:rFonts w:ascii="Times" w:hAnsi="Times"/>
          <w:b/>
          <w:spacing w:val="-2"/>
          <w:sz w:val="22"/>
          <w:szCs w:val="22"/>
        </w:rPr>
        <w:t>122</w:t>
      </w:r>
    </w:p>
    <w:p w:rsidR="004658BC" w:rsidRPr="00C071B2" w:rsidRDefault="004658BC">
      <w:pPr>
        <w:tabs>
          <w:tab w:val="right" w:pos="9360"/>
        </w:tabs>
        <w:suppressAutoHyphens/>
        <w:spacing w:line="227" w:lineRule="auto"/>
        <w:rPr>
          <w:rFonts w:ascii="Times" w:hAnsi="Times"/>
          <w:b/>
          <w:spacing w:val="-2"/>
          <w:sz w:val="22"/>
          <w:szCs w:val="22"/>
        </w:rPr>
      </w:pPr>
      <w:r w:rsidRPr="00C071B2">
        <w:rPr>
          <w:rFonts w:ascii="Times" w:hAnsi="Times"/>
          <w:b/>
          <w:spacing w:val="-2"/>
          <w:sz w:val="22"/>
          <w:szCs w:val="22"/>
        </w:rPr>
        <w:tab/>
      </w:r>
    </w:p>
    <w:p w:rsidR="004658BC" w:rsidRPr="00C071B2" w:rsidRDefault="004658BC">
      <w:pPr>
        <w:tabs>
          <w:tab w:val="right" w:pos="9360"/>
        </w:tabs>
        <w:suppressAutoHyphens/>
        <w:spacing w:line="227" w:lineRule="auto"/>
        <w:rPr>
          <w:rFonts w:ascii="Times" w:hAnsi="Times"/>
          <w:spacing w:val="-2"/>
          <w:sz w:val="22"/>
          <w:szCs w:val="22"/>
        </w:rPr>
      </w:pPr>
      <w:r w:rsidRPr="00C071B2">
        <w:rPr>
          <w:rFonts w:ascii="Times" w:hAnsi="Times"/>
          <w:b/>
          <w:spacing w:val="-2"/>
          <w:sz w:val="22"/>
          <w:szCs w:val="22"/>
        </w:rPr>
        <w:tab/>
        <w:t xml:space="preserve">Released:  </w:t>
      </w:r>
      <w:r w:rsidR="001457E3">
        <w:rPr>
          <w:rFonts w:ascii="Times" w:hAnsi="Times"/>
          <w:b/>
          <w:spacing w:val="-2"/>
          <w:sz w:val="22"/>
          <w:szCs w:val="22"/>
        </w:rPr>
        <w:t xml:space="preserve">January </w:t>
      </w:r>
      <w:r w:rsidR="00D82FA1">
        <w:rPr>
          <w:rFonts w:ascii="Times" w:hAnsi="Times"/>
          <w:b/>
          <w:spacing w:val="-2"/>
          <w:sz w:val="22"/>
          <w:szCs w:val="22"/>
        </w:rPr>
        <w:t>28</w:t>
      </w:r>
      <w:r w:rsidRPr="00C071B2">
        <w:rPr>
          <w:rFonts w:ascii="Times" w:hAnsi="Times"/>
          <w:b/>
          <w:spacing w:val="-2"/>
          <w:sz w:val="22"/>
          <w:szCs w:val="22"/>
        </w:rPr>
        <w:t>, 201</w:t>
      </w:r>
      <w:r w:rsidR="001457E3">
        <w:rPr>
          <w:rFonts w:ascii="Times" w:hAnsi="Times"/>
          <w:b/>
          <w:spacing w:val="-2"/>
          <w:sz w:val="22"/>
          <w:szCs w:val="22"/>
        </w:rPr>
        <w:t>5</w:t>
      </w:r>
    </w:p>
    <w:p w:rsidR="004658BC" w:rsidRPr="00C071B2" w:rsidRDefault="004658BC">
      <w:pPr>
        <w:tabs>
          <w:tab w:val="left" w:pos="-720"/>
        </w:tabs>
        <w:suppressAutoHyphens/>
        <w:spacing w:line="227" w:lineRule="auto"/>
        <w:jc w:val="both"/>
        <w:rPr>
          <w:rFonts w:ascii="Times" w:hAnsi="Times"/>
          <w:spacing w:val="-2"/>
          <w:sz w:val="22"/>
          <w:szCs w:val="22"/>
        </w:rPr>
      </w:pPr>
    </w:p>
    <w:p w:rsidR="00C071B2" w:rsidRPr="00C071B2" w:rsidRDefault="00D3752A" w:rsidP="004632D2">
      <w:pPr>
        <w:spacing w:after="120"/>
        <w:jc w:val="center"/>
        <w:rPr>
          <w:b/>
          <w:sz w:val="22"/>
          <w:szCs w:val="22"/>
        </w:rPr>
      </w:pPr>
      <w:r w:rsidRPr="00C071B2">
        <w:rPr>
          <w:b/>
          <w:sz w:val="22"/>
          <w:szCs w:val="22"/>
        </w:rPr>
        <w:t>WIRELESS TE</w:t>
      </w:r>
      <w:r w:rsidR="004632D2">
        <w:rPr>
          <w:b/>
          <w:sz w:val="22"/>
          <w:szCs w:val="22"/>
        </w:rPr>
        <w:t xml:space="preserve">LECOMMUNICATIONS BUREAU </w:t>
      </w:r>
      <w:r w:rsidR="00821AD3">
        <w:rPr>
          <w:b/>
          <w:sz w:val="22"/>
          <w:szCs w:val="22"/>
        </w:rPr>
        <w:t xml:space="preserve">ESTABLISHES FILING </w:t>
      </w:r>
      <w:r w:rsidR="004632D2">
        <w:rPr>
          <w:b/>
          <w:sz w:val="22"/>
          <w:szCs w:val="22"/>
        </w:rPr>
        <w:t xml:space="preserve">DEADLINE </w:t>
      </w:r>
      <w:r w:rsidR="00821AD3">
        <w:rPr>
          <w:b/>
          <w:sz w:val="22"/>
          <w:szCs w:val="22"/>
        </w:rPr>
        <w:t xml:space="preserve">FOR OPPOSITIONS TO APPLICATIONS FOR REVIEW </w:t>
      </w:r>
      <w:r w:rsidR="00472609">
        <w:rPr>
          <w:b/>
          <w:sz w:val="22"/>
          <w:szCs w:val="22"/>
        </w:rPr>
        <w:t xml:space="preserve">AND REPLIES IN </w:t>
      </w:r>
      <w:r w:rsidR="00821AD3">
        <w:rPr>
          <w:b/>
          <w:sz w:val="22"/>
          <w:szCs w:val="22"/>
        </w:rPr>
        <w:t xml:space="preserve">DATA ROAMING </w:t>
      </w:r>
      <w:r w:rsidR="00472609">
        <w:rPr>
          <w:b/>
          <w:sz w:val="22"/>
          <w:szCs w:val="22"/>
        </w:rPr>
        <w:t>PROCEEDING</w:t>
      </w:r>
    </w:p>
    <w:p w:rsidR="004658BC" w:rsidRPr="00C071B2" w:rsidRDefault="004658BC">
      <w:pPr>
        <w:pStyle w:val="BodyText"/>
        <w:rPr>
          <w:szCs w:val="22"/>
        </w:rPr>
      </w:pPr>
    </w:p>
    <w:p w:rsidR="004658BC" w:rsidRPr="00C071B2" w:rsidRDefault="004658BC">
      <w:pPr>
        <w:pStyle w:val="BodyText"/>
        <w:shd w:val="clear" w:color="auto" w:fill="FFFFFF"/>
        <w:rPr>
          <w:szCs w:val="22"/>
        </w:rPr>
      </w:pPr>
      <w:r w:rsidRPr="00C071B2">
        <w:rPr>
          <w:szCs w:val="22"/>
        </w:rPr>
        <w:t xml:space="preserve">WT Docket No. </w:t>
      </w:r>
      <w:r w:rsidR="00C071B2">
        <w:rPr>
          <w:szCs w:val="22"/>
        </w:rPr>
        <w:t>05-265</w:t>
      </w:r>
    </w:p>
    <w:p w:rsidR="004658BC" w:rsidRPr="00C071B2" w:rsidRDefault="004658BC">
      <w:pPr>
        <w:pStyle w:val="BodyText"/>
        <w:rPr>
          <w:szCs w:val="22"/>
        </w:rPr>
      </w:pPr>
    </w:p>
    <w:p w:rsidR="008A7789" w:rsidRPr="008A7789" w:rsidRDefault="00597AD7" w:rsidP="007631DF">
      <w:pPr>
        <w:pStyle w:val="Heading2"/>
        <w:numPr>
          <w:ilvl w:val="0"/>
          <w:numId w:val="0"/>
        </w:numPr>
        <w:spacing w:after="0"/>
        <w:jc w:val="left"/>
        <w:rPr>
          <w:szCs w:val="22"/>
        </w:rPr>
      </w:pPr>
      <w:r w:rsidRPr="008A7789">
        <w:rPr>
          <w:szCs w:val="22"/>
        </w:rPr>
        <w:t xml:space="preserve">Deadline for filing Oppositions:  Feb. </w:t>
      </w:r>
      <w:r w:rsidR="00F77443" w:rsidRPr="008A7789">
        <w:rPr>
          <w:szCs w:val="22"/>
        </w:rPr>
        <w:t>4</w:t>
      </w:r>
      <w:r w:rsidRPr="008A7789">
        <w:rPr>
          <w:szCs w:val="22"/>
        </w:rPr>
        <w:t>, 2015</w:t>
      </w:r>
    </w:p>
    <w:p w:rsidR="008A7789" w:rsidRDefault="008A7789" w:rsidP="007631DF">
      <w:pPr>
        <w:pStyle w:val="Heading2"/>
        <w:numPr>
          <w:ilvl w:val="0"/>
          <w:numId w:val="0"/>
        </w:numPr>
        <w:spacing w:after="0"/>
        <w:jc w:val="left"/>
        <w:rPr>
          <w:szCs w:val="22"/>
        </w:rPr>
      </w:pPr>
      <w:r w:rsidRPr="001950EA">
        <w:rPr>
          <w:szCs w:val="22"/>
        </w:rPr>
        <w:t>Deadline for filing Replies</w:t>
      </w:r>
      <w:r w:rsidRPr="007631DF">
        <w:rPr>
          <w:szCs w:val="22"/>
        </w:rPr>
        <w:t>:  Feb. 1</w:t>
      </w:r>
      <w:r w:rsidR="00B11806">
        <w:rPr>
          <w:szCs w:val="22"/>
        </w:rPr>
        <w:t>9</w:t>
      </w:r>
      <w:r w:rsidRPr="007631DF">
        <w:rPr>
          <w:szCs w:val="22"/>
        </w:rPr>
        <w:t>, 2015</w:t>
      </w:r>
    </w:p>
    <w:p w:rsidR="008A7789" w:rsidRPr="001950EA" w:rsidRDefault="008A7789" w:rsidP="007631DF"/>
    <w:p w:rsidR="004658BC" w:rsidRPr="00C071B2" w:rsidRDefault="004658BC" w:rsidP="00D37B7E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t xml:space="preserve">By this </w:t>
      </w:r>
      <w:r w:rsidRPr="00D82146">
        <w:rPr>
          <w:sz w:val="22"/>
          <w:szCs w:val="22"/>
        </w:rPr>
        <w:t>Public Notice</w:t>
      </w:r>
      <w:r w:rsidRPr="00C071B2">
        <w:rPr>
          <w:sz w:val="22"/>
          <w:szCs w:val="22"/>
        </w:rPr>
        <w:t xml:space="preserve">, we </w:t>
      </w:r>
      <w:r w:rsidR="00164865">
        <w:rPr>
          <w:sz w:val="22"/>
          <w:szCs w:val="22"/>
        </w:rPr>
        <w:t xml:space="preserve">establish a filing deadline of Feb. </w:t>
      </w:r>
      <w:r w:rsidR="00F77443">
        <w:rPr>
          <w:sz w:val="22"/>
          <w:szCs w:val="22"/>
        </w:rPr>
        <w:t>4</w:t>
      </w:r>
      <w:r w:rsidR="00164865">
        <w:rPr>
          <w:sz w:val="22"/>
          <w:szCs w:val="22"/>
        </w:rPr>
        <w:t xml:space="preserve">, 2015 for all oppositions to applications for review </w:t>
      </w:r>
      <w:r w:rsidR="00472609">
        <w:rPr>
          <w:sz w:val="22"/>
          <w:szCs w:val="22"/>
        </w:rPr>
        <w:t xml:space="preserve">and a </w:t>
      </w:r>
      <w:r w:rsidR="00A95437">
        <w:rPr>
          <w:sz w:val="22"/>
          <w:szCs w:val="22"/>
        </w:rPr>
        <w:t xml:space="preserve">filing </w:t>
      </w:r>
      <w:r w:rsidR="00472609">
        <w:rPr>
          <w:sz w:val="22"/>
          <w:szCs w:val="22"/>
        </w:rPr>
        <w:t>deadline of Feb. 1</w:t>
      </w:r>
      <w:r w:rsidR="00B11806">
        <w:rPr>
          <w:sz w:val="22"/>
          <w:szCs w:val="22"/>
        </w:rPr>
        <w:t>9</w:t>
      </w:r>
      <w:r w:rsidR="00472609">
        <w:rPr>
          <w:sz w:val="22"/>
          <w:szCs w:val="22"/>
        </w:rPr>
        <w:t xml:space="preserve"> for all replies to oppositions</w:t>
      </w:r>
      <w:r w:rsidR="00FC7FC3">
        <w:rPr>
          <w:sz w:val="22"/>
          <w:szCs w:val="22"/>
        </w:rPr>
        <w:t xml:space="preserve"> in the above-referenced proceeding</w:t>
      </w:r>
      <w:r w:rsidR="0016683E">
        <w:rPr>
          <w:sz w:val="22"/>
          <w:szCs w:val="22"/>
        </w:rPr>
        <w:t>.</w:t>
      </w:r>
    </w:p>
    <w:p w:rsidR="004658BC" w:rsidRPr="00C071B2" w:rsidRDefault="004658BC">
      <w:pPr>
        <w:ind w:firstLine="720"/>
        <w:rPr>
          <w:sz w:val="22"/>
          <w:szCs w:val="22"/>
        </w:rPr>
      </w:pPr>
    </w:p>
    <w:p w:rsidR="00B03E51" w:rsidRDefault="00956B4D" w:rsidP="0096409F">
      <w:pPr>
        <w:ind w:firstLine="720"/>
        <w:rPr>
          <w:sz w:val="22"/>
          <w:szCs w:val="22"/>
        </w:rPr>
      </w:pPr>
      <w:r>
        <w:rPr>
          <w:sz w:val="22"/>
          <w:szCs w:val="22"/>
        </w:rPr>
        <w:t>On Dec. 18, 2014, the Wireless Telecommunications Bureau released a</w:t>
      </w:r>
      <w:r w:rsidR="00D56D2B">
        <w:rPr>
          <w:sz w:val="22"/>
          <w:szCs w:val="22"/>
        </w:rPr>
        <w:t xml:space="preserve">n order granting </w:t>
      </w:r>
      <w:r w:rsidR="0016683E">
        <w:rPr>
          <w:sz w:val="22"/>
          <w:szCs w:val="22"/>
        </w:rPr>
        <w:t xml:space="preserve">a </w:t>
      </w:r>
      <w:r w:rsidR="00D56D2B">
        <w:rPr>
          <w:sz w:val="22"/>
          <w:szCs w:val="22"/>
        </w:rPr>
        <w:t>petition by T-Mobile USA, Inc. for a declaratory ruling regarding data roaming.</w:t>
      </w:r>
      <w:r w:rsidR="009677B7">
        <w:rPr>
          <w:rStyle w:val="FootnoteReference"/>
          <w:sz w:val="22"/>
          <w:szCs w:val="22"/>
        </w:rPr>
        <w:footnoteReference w:id="1"/>
      </w:r>
      <w:r w:rsidR="00D56D2B">
        <w:rPr>
          <w:sz w:val="22"/>
          <w:szCs w:val="22"/>
        </w:rPr>
        <w:t xml:space="preserve">  </w:t>
      </w:r>
      <w:r w:rsidR="00DE5F21">
        <w:rPr>
          <w:sz w:val="22"/>
          <w:szCs w:val="22"/>
        </w:rPr>
        <w:t>Two parties, AT&amp;T</w:t>
      </w:r>
      <w:r w:rsidR="0096409F">
        <w:rPr>
          <w:sz w:val="22"/>
          <w:szCs w:val="22"/>
        </w:rPr>
        <w:t xml:space="preserve"> Services, Inc. (“AT&amp;T”)</w:t>
      </w:r>
      <w:r w:rsidR="00DE5F21">
        <w:rPr>
          <w:sz w:val="22"/>
          <w:szCs w:val="22"/>
        </w:rPr>
        <w:t xml:space="preserve"> and Verizon</w:t>
      </w:r>
      <w:r w:rsidR="00C20C27">
        <w:rPr>
          <w:sz w:val="22"/>
          <w:szCs w:val="22"/>
        </w:rPr>
        <w:t>,</w:t>
      </w:r>
      <w:r w:rsidR="0096409F">
        <w:rPr>
          <w:rStyle w:val="FootnoteReference"/>
          <w:sz w:val="22"/>
          <w:szCs w:val="22"/>
        </w:rPr>
        <w:footnoteReference w:id="2"/>
      </w:r>
      <w:r w:rsidR="0096409F">
        <w:rPr>
          <w:sz w:val="22"/>
          <w:szCs w:val="22"/>
        </w:rPr>
        <w:t xml:space="preserve"> </w:t>
      </w:r>
      <w:r w:rsidR="00DE5F21">
        <w:rPr>
          <w:sz w:val="22"/>
          <w:szCs w:val="22"/>
        </w:rPr>
        <w:t>have filed applications for review of the declaratory ruling.</w:t>
      </w:r>
      <w:r w:rsidR="00EB022B">
        <w:rPr>
          <w:rStyle w:val="FootnoteReference"/>
          <w:sz w:val="22"/>
          <w:szCs w:val="22"/>
        </w:rPr>
        <w:footnoteReference w:id="3"/>
      </w:r>
      <w:r w:rsidR="00DE5F21">
        <w:rPr>
          <w:sz w:val="22"/>
          <w:szCs w:val="22"/>
        </w:rPr>
        <w:t xml:space="preserve">  AT&amp;T filed its application for review on Jan. 16, 2015, and Verizon filed its application for review on Jan. 20, 2015.</w:t>
      </w:r>
      <w:r w:rsidR="0069695E">
        <w:rPr>
          <w:sz w:val="22"/>
          <w:szCs w:val="22"/>
        </w:rPr>
        <w:t xml:space="preserve">  </w:t>
      </w:r>
      <w:r w:rsidR="00DE5F21">
        <w:rPr>
          <w:sz w:val="22"/>
          <w:szCs w:val="22"/>
        </w:rPr>
        <w:t xml:space="preserve">Under the Commission’s rules, oppositions to </w:t>
      </w:r>
      <w:r w:rsidR="00A13F47">
        <w:rPr>
          <w:sz w:val="22"/>
          <w:szCs w:val="22"/>
        </w:rPr>
        <w:t xml:space="preserve">an </w:t>
      </w:r>
      <w:r w:rsidR="00DE5F21">
        <w:rPr>
          <w:sz w:val="22"/>
          <w:szCs w:val="22"/>
        </w:rPr>
        <w:t xml:space="preserve">application for review must be filed within 15 </w:t>
      </w:r>
      <w:r w:rsidR="00C20C27">
        <w:rPr>
          <w:sz w:val="22"/>
          <w:szCs w:val="22"/>
        </w:rPr>
        <w:t xml:space="preserve">days </w:t>
      </w:r>
      <w:r w:rsidR="00A13F47">
        <w:rPr>
          <w:sz w:val="22"/>
          <w:szCs w:val="22"/>
        </w:rPr>
        <w:t>after the application for review is filed.</w:t>
      </w:r>
      <w:r w:rsidR="00D42E85">
        <w:rPr>
          <w:rStyle w:val="FootnoteReference"/>
          <w:sz w:val="22"/>
          <w:szCs w:val="22"/>
        </w:rPr>
        <w:footnoteReference w:id="4"/>
      </w:r>
      <w:r w:rsidR="00D42E85">
        <w:rPr>
          <w:sz w:val="22"/>
          <w:szCs w:val="22"/>
        </w:rPr>
        <w:t xml:space="preserve"> </w:t>
      </w:r>
      <w:r w:rsidR="00DE5F21">
        <w:rPr>
          <w:sz w:val="22"/>
          <w:szCs w:val="22"/>
        </w:rPr>
        <w:t xml:space="preserve"> </w:t>
      </w:r>
      <w:r w:rsidR="0069695E">
        <w:rPr>
          <w:sz w:val="22"/>
          <w:szCs w:val="22"/>
        </w:rPr>
        <w:t xml:space="preserve">Accordingly, oppositions to the AT&amp;T application for review would be due on Feb. 2, 2015, and </w:t>
      </w:r>
      <w:r w:rsidR="00812CBD">
        <w:rPr>
          <w:sz w:val="22"/>
          <w:szCs w:val="22"/>
        </w:rPr>
        <w:t>oppositions to</w:t>
      </w:r>
      <w:r w:rsidR="0069695E">
        <w:rPr>
          <w:sz w:val="22"/>
          <w:szCs w:val="22"/>
        </w:rPr>
        <w:t xml:space="preserve"> the Verizon application for review would be due on Feb. 4, 2015.</w:t>
      </w:r>
      <w:r w:rsidR="00DE5F21">
        <w:rPr>
          <w:sz w:val="22"/>
          <w:szCs w:val="22"/>
        </w:rPr>
        <w:t xml:space="preserve"> </w:t>
      </w:r>
    </w:p>
    <w:p w:rsidR="00B03E51" w:rsidRDefault="00B03E51" w:rsidP="007140D7">
      <w:pPr>
        <w:ind w:firstLine="720"/>
        <w:rPr>
          <w:sz w:val="22"/>
          <w:szCs w:val="22"/>
        </w:rPr>
      </w:pPr>
    </w:p>
    <w:p w:rsidR="001950EA" w:rsidRDefault="00B03E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6D6423">
        <w:rPr>
          <w:sz w:val="22"/>
          <w:szCs w:val="22"/>
        </w:rPr>
        <w:t xml:space="preserve">establish </w:t>
      </w:r>
      <w:r w:rsidR="00C20C27">
        <w:rPr>
          <w:sz w:val="22"/>
          <w:szCs w:val="22"/>
        </w:rPr>
        <w:t xml:space="preserve">a single date, </w:t>
      </w:r>
      <w:r w:rsidR="006D6423">
        <w:rPr>
          <w:sz w:val="22"/>
          <w:szCs w:val="22"/>
        </w:rPr>
        <w:t>Feb. 4, 2015</w:t>
      </w:r>
      <w:r w:rsidR="00C20C27">
        <w:rPr>
          <w:sz w:val="22"/>
          <w:szCs w:val="22"/>
        </w:rPr>
        <w:t>,</w:t>
      </w:r>
      <w:r w:rsidR="006D6423">
        <w:rPr>
          <w:sz w:val="22"/>
          <w:szCs w:val="22"/>
        </w:rPr>
        <w:t xml:space="preserve"> as the deadline for filing all oppositions to applications for review</w:t>
      </w:r>
      <w:r w:rsidR="00C2013C">
        <w:rPr>
          <w:sz w:val="22"/>
          <w:szCs w:val="22"/>
        </w:rPr>
        <w:t xml:space="preserve"> in this proceeding</w:t>
      </w:r>
      <w:r w:rsidR="006D6423">
        <w:rPr>
          <w:sz w:val="22"/>
          <w:szCs w:val="22"/>
        </w:rPr>
        <w:t xml:space="preserve">.  </w:t>
      </w:r>
      <w:r w:rsidR="00314E90">
        <w:rPr>
          <w:sz w:val="22"/>
          <w:szCs w:val="22"/>
        </w:rPr>
        <w:t>Th</w:t>
      </w:r>
      <w:r w:rsidR="008A7789">
        <w:rPr>
          <w:sz w:val="22"/>
          <w:szCs w:val="22"/>
        </w:rPr>
        <w:t>is</w:t>
      </w:r>
      <w:r w:rsidR="00314E90">
        <w:rPr>
          <w:sz w:val="22"/>
          <w:szCs w:val="22"/>
        </w:rPr>
        <w:t xml:space="preserve"> deadline gives parties a short extension of time – two additional days – to </w:t>
      </w:r>
      <w:r w:rsidR="006F2702">
        <w:rPr>
          <w:sz w:val="22"/>
          <w:szCs w:val="22"/>
        </w:rPr>
        <w:t>review and re</w:t>
      </w:r>
      <w:r w:rsidR="00314E90">
        <w:rPr>
          <w:sz w:val="22"/>
          <w:szCs w:val="22"/>
        </w:rPr>
        <w:t xml:space="preserve">spond to the arguments in AT&amp;T’s application for review.  We note that </w:t>
      </w:r>
      <w:r w:rsidR="006D6423">
        <w:rPr>
          <w:sz w:val="22"/>
          <w:szCs w:val="22"/>
        </w:rPr>
        <w:t>the time period for filing oppositions to AT&amp;T’s application for review includes the federal holiday on Jan</w:t>
      </w:r>
      <w:r w:rsidR="007F1D4D">
        <w:rPr>
          <w:sz w:val="22"/>
          <w:szCs w:val="22"/>
        </w:rPr>
        <w:t>.</w:t>
      </w:r>
      <w:r w:rsidR="006D6423">
        <w:rPr>
          <w:sz w:val="22"/>
          <w:szCs w:val="22"/>
        </w:rPr>
        <w:t xml:space="preserve"> 19, 2015, when many offices were closed</w:t>
      </w:r>
      <w:r w:rsidR="00314E90">
        <w:rPr>
          <w:sz w:val="22"/>
          <w:szCs w:val="22"/>
        </w:rPr>
        <w:t xml:space="preserve">, and we find that this limited </w:t>
      </w:r>
      <w:r w:rsidR="00650A3D">
        <w:rPr>
          <w:sz w:val="22"/>
          <w:szCs w:val="22"/>
        </w:rPr>
        <w:t xml:space="preserve">extension of time </w:t>
      </w:r>
      <w:r w:rsidR="004564F6">
        <w:rPr>
          <w:sz w:val="22"/>
          <w:szCs w:val="22"/>
        </w:rPr>
        <w:t xml:space="preserve">will </w:t>
      </w:r>
      <w:r w:rsidR="00650A3D">
        <w:rPr>
          <w:sz w:val="22"/>
          <w:szCs w:val="22"/>
        </w:rPr>
        <w:t xml:space="preserve">help to ensure that the </w:t>
      </w:r>
      <w:r w:rsidR="00650A3D">
        <w:rPr>
          <w:sz w:val="22"/>
          <w:szCs w:val="22"/>
        </w:rPr>
        <w:lastRenderedPageBreak/>
        <w:t xml:space="preserve">Commission obtains a complete and thorough record </w:t>
      </w:r>
      <w:r w:rsidR="004564F6">
        <w:rPr>
          <w:sz w:val="22"/>
          <w:szCs w:val="22"/>
        </w:rPr>
        <w:t>on the issues raised</w:t>
      </w:r>
      <w:r w:rsidR="00314E90">
        <w:rPr>
          <w:sz w:val="22"/>
          <w:szCs w:val="22"/>
        </w:rPr>
        <w:t xml:space="preserve"> in the applications for review</w:t>
      </w:r>
      <w:r w:rsidR="00650A3D">
        <w:rPr>
          <w:sz w:val="22"/>
          <w:szCs w:val="22"/>
        </w:rPr>
        <w:t xml:space="preserve">.  </w:t>
      </w:r>
      <w:r w:rsidR="00F050C8">
        <w:rPr>
          <w:sz w:val="22"/>
          <w:szCs w:val="22"/>
        </w:rPr>
        <w:t xml:space="preserve">Moreover, this action </w:t>
      </w:r>
      <w:r w:rsidR="00F050C8" w:rsidRPr="00F050C8">
        <w:rPr>
          <w:sz w:val="22"/>
          <w:szCs w:val="22"/>
        </w:rPr>
        <w:t xml:space="preserve">will permit parties to file a single opposition to both applications for review by Feb. 4, </w:t>
      </w:r>
      <w:r w:rsidR="00F050C8">
        <w:rPr>
          <w:sz w:val="22"/>
          <w:szCs w:val="22"/>
        </w:rPr>
        <w:t xml:space="preserve">which will increase </w:t>
      </w:r>
      <w:r w:rsidR="00F050C8" w:rsidRPr="00F050C8">
        <w:rPr>
          <w:sz w:val="22"/>
          <w:szCs w:val="22"/>
        </w:rPr>
        <w:t>administrative efficien</w:t>
      </w:r>
      <w:r w:rsidR="00F050C8">
        <w:rPr>
          <w:sz w:val="22"/>
          <w:szCs w:val="22"/>
        </w:rPr>
        <w:t xml:space="preserve">cy for parties filing oppositions and for Commission staff.  </w:t>
      </w:r>
    </w:p>
    <w:p w:rsidR="001950EA" w:rsidRDefault="001950EA">
      <w:pPr>
        <w:ind w:firstLine="720"/>
        <w:rPr>
          <w:sz w:val="22"/>
          <w:szCs w:val="22"/>
        </w:rPr>
      </w:pPr>
    </w:p>
    <w:p w:rsidR="001950EA" w:rsidRDefault="00F050C8">
      <w:pPr>
        <w:ind w:firstLine="720"/>
        <w:rPr>
          <w:sz w:val="22"/>
          <w:szCs w:val="22"/>
        </w:rPr>
      </w:pPr>
      <w:r>
        <w:rPr>
          <w:sz w:val="22"/>
          <w:szCs w:val="22"/>
        </w:rPr>
        <w:t>We note that the Commission’s rules provide that replies to oppositions shall be submitted within 10 days of the filing of the oppositions</w:t>
      </w:r>
      <w:r w:rsidR="001950EA">
        <w:rPr>
          <w:sz w:val="22"/>
          <w:szCs w:val="22"/>
        </w:rPr>
        <w:t>.</w:t>
      </w:r>
      <w:r w:rsidR="001950EA">
        <w:rPr>
          <w:rStyle w:val="FootnoteReference"/>
          <w:sz w:val="22"/>
          <w:szCs w:val="22"/>
        </w:rPr>
        <w:footnoteReference w:id="5"/>
      </w:r>
      <w:r w:rsidR="001950EA">
        <w:rPr>
          <w:sz w:val="22"/>
          <w:szCs w:val="22"/>
        </w:rPr>
        <w:t xml:space="preserve">  For administrative convenience, we establish Feb. 1</w:t>
      </w:r>
      <w:r w:rsidR="002A5A22">
        <w:rPr>
          <w:sz w:val="22"/>
          <w:szCs w:val="22"/>
        </w:rPr>
        <w:t>9</w:t>
      </w:r>
      <w:r w:rsidR="001950EA">
        <w:rPr>
          <w:sz w:val="22"/>
          <w:szCs w:val="22"/>
        </w:rPr>
        <w:t xml:space="preserve"> as the deadline for filing replies</w:t>
      </w:r>
      <w:r w:rsidR="00874968">
        <w:rPr>
          <w:sz w:val="22"/>
          <w:szCs w:val="22"/>
        </w:rPr>
        <w:t>.</w:t>
      </w:r>
      <w:r w:rsidR="002A5A22">
        <w:rPr>
          <w:rStyle w:val="FootnoteReference"/>
          <w:sz w:val="22"/>
          <w:szCs w:val="22"/>
        </w:rPr>
        <w:footnoteReference w:id="6"/>
      </w:r>
      <w:r>
        <w:rPr>
          <w:sz w:val="22"/>
          <w:szCs w:val="22"/>
        </w:rPr>
        <w:t xml:space="preserve">  </w:t>
      </w:r>
      <w:r w:rsidRPr="00F050C8">
        <w:rPr>
          <w:sz w:val="22"/>
          <w:szCs w:val="22"/>
        </w:rPr>
        <w:t xml:space="preserve">  </w:t>
      </w:r>
    </w:p>
    <w:p w:rsidR="001950EA" w:rsidRDefault="001950EA">
      <w:pPr>
        <w:ind w:firstLine="720"/>
        <w:rPr>
          <w:sz w:val="22"/>
          <w:szCs w:val="22"/>
        </w:rPr>
      </w:pPr>
    </w:p>
    <w:p w:rsidR="004658BC" w:rsidRDefault="004658BC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t>Accordingly,</w:t>
      </w:r>
      <w:r w:rsidR="0021067B" w:rsidRPr="00C071B2">
        <w:rPr>
          <w:sz w:val="22"/>
          <w:szCs w:val="22"/>
        </w:rPr>
        <w:t xml:space="preserve"> pursuant to</w:t>
      </w:r>
      <w:r w:rsidRPr="00C071B2">
        <w:rPr>
          <w:sz w:val="22"/>
          <w:szCs w:val="22"/>
        </w:rPr>
        <w:t xml:space="preserve"> </w:t>
      </w:r>
      <w:r w:rsidR="00E81537" w:rsidRPr="00C071B2">
        <w:rPr>
          <w:sz w:val="22"/>
          <w:szCs w:val="22"/>
        </w:rPr>
        <w:t>Section</w:t>
      </w:r>
      <w:r w:rsidR="00A61A5D">
        <w:rPr>
          <w:sz w:val="22"/>
          <w:szCs w:val="22"/>
        </w:rPr>
        <w:t>s</w:t>
      </w:r>
      <w:r w:rsidR="00E81537" w:rsidRPr="00C071B2">
        <w:rPr>
          <w:sz w:val="22"/>
          <w:szCs w:val="22"/>
        </w:rPr>
        <w:t xml:space="preserve"> 4(i)</w:t>
      </w:r>
      <w:r w:rsidR="00A61A5D">
        <w:rPr>
          <w:sz w:val="22"/>
          <w:szCs w:val="22"/>
        </w:rPr>
        <w:t xml:space="preserve"> and 4(j)</w:t>
      </w:r>
      <w:r w:rsidR="00E81537" w:rsidRPr="00C071B2">
        <w:rPr>
          <w:sz w:val="22"/>
          <w:szCs w:val="22"/>
        </w:rPr>
        <w:t xml:space="preserve"> of the Communications Act of 1934, as amended,</w:t>
      </w:r>
      <w:r w:rsidR="00E81537" w:rsidRPr="00C071B2">
        <w:rPr>
          <w:rStyle w:val="FootnoteReference"/>
          <w:sz w:val="22"/>
          <w:szCs w:val="22"/>
        </w:rPr>
        <w:footnoteReference w:id="7"/>
      </w:r>
      <w:r w:rsidR="00E81537" w:rsidRPr="00C071B2">
        <w:rPr>
          <w:sz w:val="22"/>
          <w:szCs w:val="22"/>
        </w:rPr>
        <w:t xml:space="preserve"> and Section</w:t>
      </w:r>
      <w:r w:rsidR="00266739">
        <w:rPr>
          <w:sz w:val="22"/>
          <w:szCs w:val="22"/>
        </w:rPr>
        <w:t>s</w:t>
      </w:r>
      <w:r w:rsidR="00E81537" w:rsidRPr="00C071B2">
        <w:rPr>
          <w:sz w:val="22"/>
          <w:szCs w:val="22"/>
        </w:rPr>
        <w:t xml:space="preserve"> </w:t>
      </w:r>
      <w:r w:rsidR="00266739">
        <w:rPr>
          <w:sz w:val="22"/>
          <w:szCs w:val="22"/>
        </w:rPr>
        <w:t xml:space="preserve">0.131 and 0.331 </w:t>
      </w:r>
      <w:r w:rsidR="00E81537" w:rsidRPr="00C071B2">
        <w:rPr>
          <w:sz w:val="22"/>
          <w:szCs w:val="22"/>
        </w:rPr>
        <w:t>of the Commission's rules,</w:t>
      </w:r>
      <w:r w:rsidR="00E81537" w:rsidRPr="00C071B2">
        <w:rPr>
          <w:rStyle w:val="FootnoteReference"/>
          <w:sz w:val="22"/>
          <w:szCs w:val="22"/>
        </w:rPr>
        <w:footnoteReference w:id="8"/>
      </w:r>
      <w:r w:rsidR="00E81537" w:rsidRPr="00C071B2">
        <w:rPr>
          <w:sz w:val="22"/>
          <w:szCs w:val="22"/>
        </w:rPr>
        <w:t xml:space="preserve"> </w:t>
      </w:r>
      <w:r w:rsidRPr="00C071B2">
        <w:rPr>
          <w:sz w:val="22"/>
          <w:szCs w:val="22"/>
        </w:rPr>
        <w:t xml:space="preserve">we </w:t>
      </w:r>
      <w:r w:rsidR="00F84DDB">
        <w:rPr>
          <w:sz w:val="22"/>
          <w:szCs w:val="22"/>
        </w:rPr>
        <w:t>establish the deadline</w:t>
      </w:r>
      <w:r w:rsidR="00A95437">
        <w:rPr>
          <w:sz w:val="22"/>
          <w:szCs w:val="22"/>
        </w:rPr>
        <w:t>s</w:t>
      </w:r>
      <w:r w:rsidR="00F84DDB">
        <w:rPr>
          <w:sz w:val="22"/>
          <w:szCs w:val="22"/>
        </w:rPr>
        <w:t xml:space="preserve"> for filing oppositions</w:t>
      </w:r>
      <w:r w:rsidR="001950EA">
        <w:rPr>
          <w:sz w:val="22"/>
          <w:szCs w:val="22"/>
        </w:rPr>
        <w:t xml:space="preserve"> and replies</w:t>
      </w:r>
      <w:r w:rsidR="00F84DDB">
        <w:rPr>
          <w:sz w:val="22"/>
          <w:szCs w:val="22"/>
        </w:rPr>
        <w:t xml:space="preserve"> as stated herein.</w:t>
      </w:r>
    </w:p>
    <w:p w:rsidR="00D42E85" w:rsidRPr="00C071B2" w:rsidRDefault="00D42E85">
      <w:pPr>
        <w:ind w:firstLine="720"/>
        <w:rPr>
          <w:sz w:val="22"/>
          <w:szCs w:val="22"/>
        </w:rPr>
      </w:pPr>
    </w:p>
    <w:p w:rsidR="004658BC" w:rsidRPr="00C071B2" w:rsidRDefault="004658BC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t xml:space="preserve">For further information, please contact </w:t>
      </w:r>
      <w:r w:rsidR="00C071B2">
        <w:rPr>
          <w:sz w:val="22"/>
          <w:szCs w:val="22"/>
        </w:rPr>
        <w:t>Brenda Boykin</w:t>
      </w:r>
      <w:r w:rsidRPr="00C071B2">
        <w:rPr>
          <w:sz w:val="22"/>
          <w:szCs w:val="22"/>
        </w:rPr>
        <w:t xml:space="preserve"> of the Wireless Telecommunications Bureau, </w:t>
      </w:r>
      <w:r w:rsidR="004632D2">
        <w:rPr>
          <w:sz w:val="22"/>
          <w:szCs w:val="22"/>
        </w:rPr>
        <w:t xml:space="preserve">Spectrum </w:t>
      </w:r>
      <w:r w:rsidR="001B0DDF">
        <w:rPr>
          <w:sz w:val="22"/>
          <w:szCs w:val="22"/>
        </w:rPr>
        <w:t>and</w:t>
      </w:r>
      <w:r w:rsidR="004632D2">
        <w:rPr>
          <w:sz w:val="22"/>
          <w:szCs w:val="22"/>
        </w:rPr>
        <w:t xml:space="preserve"> Competition Policy </w:t>
      </w:r>
      <w:r w:rsidRPr="00C071B2">
        <w:rPr>
          <w:sz w:val="22"/>
          <w:szCs w:val="22"/>
        </w:rPr>
        <w:t>Division, at (202) 418-</w:t>
      </w:r>
      <w:r w:rsidR="00C071B2">
        <w:rPr>
          <w:sz w:val="22"/>
          <w:szCs w:val="22"/>
        </w:rPr>
        <w:t>2</w:t>
      </w:r>
      <w:r w:rsidR="0021067B" w:rsidRPr="00C071B2">
        <w:rPr>
          <w:sz w:val="22"/>
          <w:szCs w:val="22"/>
        </w:rPr>
        <w:t>0</w:t>
      </w:r>
      <w:r w:rsidR="00C071B2">
        <w:rPr>
          <w:sz w:val="22"/>
          <w:szCs w:val="22"/>
        </w:rPr>
        <w:t>62</w:t>
      </w:r>
      <w:r w:rsidRPr="00C071B2">
        <w:rPr>
          <w:sz w:val="22"/>
          <w:szCs w:val="22"/>
        </w:rPr>
        <w:t xml:space="preserve"> </w:t>
      </w:r>
      <w:r w:rsidR="00C071B2">
        <w:rPr>
          <w:sz w:val="22"/>
          <w:szCs w:val="22"/>
        </w:rPr>
        <w:t>or Brenda.Boykin</w:t>
      </w:r>
      <w:r w:rsidRPr="00C071B2">
        <w:rPr>
          <w:sz w:val="22"/>
          <w:szCs w:val="22"/>
        </w:rPr>
        <w:t xml:space="preserve">@fcc.gov. </w:t>
      </w:r>
    </w:p>
    <w:p w:rsidR="004658BC" w:rsidRPr="00C071B2" w:rsidRDefault="004658BC">
      <w:pPr>
        <w:ind w:firstLine="720"/>
        <w:rPr>
          <w:sz w:val="22"/>
          <w:szCs w:val="22"/>
        </w:rPr>
      </w:pPr>
    </w:p>
    <w:p w:rsidR="004658BC" w:rsidRPr="00C071B2" w:rsidRDefault="004658BC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t xml:space="preserve">Action by the </w:t>
      </w:r>
      <w:r w:rsidR="00BB4C1E">
        <w:rPr>
          <w:sz w:val="22"/>
          <w:szCs w:val="22"/>
        </w:rPr>
        <w:t xml:space="preserve">Chief, </w:t>
      </w:r>
      <w:r w:rsidR="00A61A5D">
        <w:rPr>
          <w:sz w:val="22"/>
          <w:szCs w:val="22"/>
        </w:rPr>
        <w:t xml:space="preserve">Spectrum and Competition Policy Division, </w:t>
      </w:r>
      <w:r w:rsidRPr="00C071B2">
        <w:rPr>
          <w:sz w:val="22"/>
          <w:szCs w:val="22"/>
        </w:rPr>
        <w:t>Wireless Telecommunications</w:t>
      </w:r>
      <w:r w:rsidR="001B0DDF">
        <w:rPr>
          <w:sz w:val="22"/>
          <w:szCs w:val="22"/>
        </w:rPr>
        <w:t xml:space="preserve"> </w:t>
      </w:r>
      <w:r w:rsidRPr="00C071B2">
        <w:rPr>
          <w:sz w:val="22"/>
          <w:szCs w:val="22"/>
        </w:rPr>
        <w:t xml:space="preserve">Bureau.  </w:t>
      </w:r>
    </w:p>
    <w:p w:rsidR="004658BC" w:rsidRPr="00C071B2" w:rsidRDefault="004658BC">
      <w:pPr>
        <w:pStyle w:val="BodyText2"/>
        <w:spacing w:line="228" w:lineRule="auto"/>
        <w:ind w:firstLine="720"/>
        <w:jc w:val="left"/>
        <w:rPr>
          <w:szCs w:val="22"/>
        </w:rPr>
      </w:pPr>
    </w:p>
    <w:p w:rsidR="004658BC" w:rsidRPr="00C071B2" w:rsidRDefault="004658BC">
      <w:pPr>
        <w:pStyle w:val="BodyText2"/>
        <w:spacing w:line="228" w:lineRule="auto"/>
        <w:jc w:val="center"/>
        <w:rPr>
          <w:szCs w:val="22"/>
        </w:rPr>
      </w:pPr>
      <w:r w:rsidRPr="00C071B2">
        <w:rPr>
          <w:szCs w:val="22"/>
        </w:rPr>
        <w:t>- FCC -</w:t>
      </w:r>
    </w:p>
    <w:p w:rsidR="004658BC" w:rsidRPr="00C071B2" w:rsidRDefault="004658BC" w:rsidP="0001067F">
      <w:pPr>
        <w:pStyle w:val="BodyText2"/>
        <w:tabs>
          <w:tab w:val="clear" w:pos="9360"/>
        </w:tabs>
        <w:spacing w:line="228" w:lineRule="auto"/>
        <w:jc w:val="left"/>
        <w:rPr>
          <w:szCs w:val="22"/>
        </w:rPr>
      </w:pPr>
    </w:p>
    <w:sectPr w:rsidR="004658BC" w:rsidRPr="00C071B2">
      <w:type w:val="continuous"/>
      <w:pgSz w:w="12240" w:h="15840" w:code="1"/>
      <w:pgMar w:top="1368" w:right="1440" w:bottom="1368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6F" w:rsidRDefault="008A3B6F">
      <w:r>
        <w:separator/>
      </w:r>
    </w:p>
  </w:endnote>
  <w:endnote w:type="continuationSeparator" w:id="0">
    <w:p w:rsidR="008A3B6F" w:rsidRDefault="008A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A" w:rsidRDefault="002D6E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E7A" w:rsidRDefault="002D6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A" w:rsidRDefault="002D6E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778">
      <w:rPr>
        <w:rStyle w:val="PageNumber"/>
        <w:noProof/>
      </w:rPr>
      <w:t>2</w:t>
    </w:r>
    <w:r>
      <w:rPr>
        <w:rStyle w:val="PageNumber"/>
      </w:rPr>
      <w:fldChar w:fldCharType="end"/>
    </w:r>
  </w:p>
  <w:p w:rsidR="002D6E7A" w:rsidRDefault="002D6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1" w:rsidRDefault="00F6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6F" w:rsidRDefault="008A3B6F">
      <w:r>
        <w:separator/>
      </w:r>
    </w:p>
  </w:footnote>
  <w:footnote w:type="continuationSeparator" w:id="0">
    <w:p w:rsidR="008A3B6F" w:rsidRDefault="008A3B6F">
      <w:r>
        <w:continuationSeparator/>
      </w:r>
    </w:p>
  </w:footnote>
  <w:footnote w:id="1">
    <w:p w:rsidR="009677B7" w:rsidRPr="007631DF" w:rsidRDefault="009677B7" w:rsidP="00FE6AB7">
      <w:pPr>
        <w:pStyle w:val="FootnoteText"/>
        <w:rPr>
          <w:sz w:val="20"/>
        </w:rPr>
      </w:pPr>
      <w:r w:rsidRPr="00EB022B">
        <w:rPr>
          <w:rStyle w:val="FootnoteReference"/>
          <w:sz w:val="20"/>
        </w:rPr>
        <w:footnoteRef/>
      </w:r>
      <w:r w:rsidRPr="00EB022B">
        <w:rPr>
          <w:sz w:val="20"/>
        </w:rPr>
        <w:t xml:space="preserve"> </w:t>
      </w:r>
      <w:r w:rsidR="00EB022B">
        <w:rPr>
          <w:sz w:val="20"/>
        </w:rPr>
        <w:t xml:space="preserve">Reexamination of Roaming Obligations of </w:t>
      </w:r>
      <w:r w:rsidR="00A95437">
        <w:rPr>
          <w:sz w:val="20"/>
        </w:rPr>
        <w:t xml:space="preserve">Commercial Mobile Radio Service Providers and Other </w:t>
      </w:r>
      <w:r w:rsidR="00EB022B">
        <w:rPr>
          <w:sz w:val="20"/>
        </w:rPr>
        <w:t xml:space="preserve">Providers of Mobile Data Services, WT Docket No. 05-265, </w:t>
      </w:r>
      <w:r w:rsidR="00EB022B" w:rsidRPr="00EB022B">
        <w:rPr>
          <w:i/>
          <w:sz w:val="20"/>
        </w:rPr>
        <w:t>Declaratory Ruling</w:t>
      </w:r>
      <w:r w:rsidR="00B30109">
        <w:rPr>
          <w:sz w:val="20"/>
        </w:rPr>
        <w:t xml:space="preserve">, DA 14-1865 </w:t>
      </w:r>
      <w:r w:rsidR="00EB022B">
        <w:rPr>
          <w:sz w:val="20"/>
        </w:rPr>
        <w:t>(WTB, released Dec. 18, 2014).</w:t>
      </w:r>
    </w:p>
  </w:footnote>
  <w:footnote w:id="2">
    <w:p w:rsidR="0096409F" w:rsidRPr="0096409F" w:rsidRDefault="0096409F">
      <w:pPr>
        <w:pStyle w:val="FootnoteText"/>
        <w:rPr>
          <w:sz w:val="20"/>
        </w:rPr>
      </w:pPr>
      <w:r w:rsidRPr="0096409F">
        <w:rPr>
          <w:rStyle w:val="FootnoteReference"/>
          <w:sz w:val="20"/>
        </w:rPr>
        <w:footnoteRef/>
      </w:r>
      <w:r w:rsidRPr="0096409F">
        <w:rPr>
          <w:sz w:val="20"/>
        </w:rPr>
        <w:t xml:space="preserve"> The</w:t>
      </w:r>
      <w:r w:rsidR="00C20C27">
        <w:rPr>
          <w:sz w:val="20"/>
        </w:rPr>
        <w:t xml:space="preserve"> a</w:t>
      </w:r>
      <w:r>
        <w:rPr>
          <w:sz w:val="20"/>
        </w:rPr>
        <w:t xml:space="preserve">pplication for </w:t>
      </w:r>
      <w:r w:rsidR="00C20C27">
        <w:rPr>
          <w:sz w:val="20"/>
        </w:rPr>
        <w:t>r</w:t>
      </w:r>
      <w:r>
        <w:rPr>
          <w:sz w:val="20"/>
        </w:rPr>
        <w:t>eview states that the companies participating in the filing are Verizon Wireless and the regulated wholly-owned subsidiaries of Verizon Communications Inc.</w:t>
      </w:r>
    </w:p>
  </w:footnote>
  <w:footnote w:id="3">
    <w:p w:rsidR="00EB022B" w:rsidRPr="00EB022B" w:rsidRDefault="00EB022B">
      <w:pPr>
        <w:pStyle w:val="FootnoteText"/>
        <w:rPr>
          <w:sz w:val="20"/>
        </w:rPr>
      </w:pPr>
      <w:r w:rsidRPr="00EB022B">
        <w:rPr>
          <w:rStyle w:val="FootnoteReference"/>
          <w:sz w:val="20"/>
        </w:rPr>
        <w:footnoteRef/>
      </w:r>
      <w:r w:rsidRPr="00EB022B">
        <w:rPr>
          <w:sz w:val="20"/>
        </w:rPr>
        <w:t xml:space="preserve"> </w:t>
      </w:r>
      <w:r w:rsidRPr="00EB022B">
        <w:rPr>
          <w:i/>
          <w:sz w:val="20"/>
        </w:rPr>
        <w:t>See</w:t>
      </w:r>
      <w:r w:rsidRPr="00EB022B">
        <w:rPr>
          <w:sz w:val="20"/>
        </w:rPr>
        <w:t xml:space="preserve"> Application</w:t>
      </w:r>
      <w:r>
        <w:rPr>
          <w:sz w:val="20"/>
        </w:rPr>
        <w:t xml:space="preserve"> for Review of AT&amp;T, WT Docket No. 05-265 (filed Jan. 16, 2015); Verizon Application for Review, WT Docket No. 05-265 (filed Jan. 20, 2015).</w:t>
      </w:r>
    </w:p>
  </w:footnote>
  <w:footnote w:id="4">
    <w:p w:rsidR="00D42E85" w:rsidRDefault="00D42E85">
      <w:pPr>
        <w:pStyle w:val="FootnoteText"/>
      </w:pPr>
      <w:r w:rsidRPr="00AB2BE7">
        <w:rPr>
          <w:rStyle w:val="FootnoteReference"/>
          <w:sz w:val="20"/>
        </w:rPr>
        <w:footnoteRef/>
      </w:r>
      <w:r w:rsidRPr="00AB2BE7">
        <w:rPr>
          <w:sz w:val="20"/>
        </w:rPr>
        <w:t xml:space="preserve"> </w:t>
      </w:r>
      <w:r w:rsidRPr="00E81537">
        <w:rPr>
          <w:sz w:val="20"/>
        </w:rPr>
        <w:t>47 C.F.R. § 1.</w:t>
      </w:r>
      <w:r>
        <w:rPr>
          <w:sz w:val="20"/>
        </w:rPr>
        <w:t>115(d).</w:t>
      </w:r>
    </w:p>
  </w:footnote>
  <w:footnote w:id="5">
    <w:p w:rsidR="001950EA" w:rsidRPr="00AB2BE7" w:rsidRDefault="001950EA">
      <w:pPr>
        <w:pStyle w:val="FootnoteText"/>
        <w:rPr>
          <w:i/>
          <w:sz w:val="20"/>
        </w:rPr>
      </w:pPr>
      <w:r w:rsidRPr="00AB2BE7">
        <w:rPr>
          <w:rStyle w:val="FootnoteReference"/>
          <w:sz w:val="20"/>
        </w:rPr>
        <w:footnoteRef/>
      </w:r>
      <w:r w:rsidRPr="00AB2BE7">
        <w:rPr>
          <w:sz w:val="20"/>
        </w:rPr>
        <w:t xml:space="preserve"> </w:t>
      </w:r>
      <w:r w:rsidRPr="00AB2BE7">
        <w:rPr>
          <w:i/>
          <w:sz w:val="20"/>
        </w:rPr>
        <w:t>Id.</w:t>
      </w:r>
    </w:p>
  </w:footnote>
  <w:footnote w:id="6">
    <w:p w:rsidR="002A5A22" w:rsidRPr="002A5A22" w:rsidRDefault="002A5A22">
      <w:pPr>
        <w:pStyle w:val="FootnoteText"/>
        <w:rPr>
          <w:sz w:val="20"/>
        </w:rPr>
      </w:pPr>
      <w:r w:rsidRPr="002A5A22">
        <w:rPr>
          <w:rStyle w:val="FootnoteReference"/>
          <w:sz w:val="20"/>
        </w:rPr>
        <w:footnoteRef/>
      </w:r>
      <w:r w:rsidRPr="002A5A22">
        <w:rPr>
          <w:sz w:val="20"/>
        </w:rPr>
        <w:t xml:space="preserve"> </w:t>
      </w:r>
      <w:r w:rsidRPr="002A5A22">
        <w:rPr>
          <w:i/>
          <w:sz w:val="20"/>
        </w:rPr>
        <w:t>See</w:t>
      </w:r>
      <w:r>
        <w:rPr>
          <w:sz w:val="20"/>
        </w:rPr>
        <w:t xml:space="preserve"> </w:t>
      </w:r>
      <w:r w:rsidR="00874968" w:rsidRPr="00874968">
        <w:rPr>
          <w:i/>
          <w:sz w:val="20"/>
        </w:rPr>
        <w:t>id.; see also</w:t>
      </w:r>
      <w:r w:rsidR="00874968">
        <w:rPr>
          <w:sz w:val="20"/>
        </w:rPr>
        <w:t xml:space="preserve"> </w:t>
      </w:r>
      <w:r w:rsidRPr="002A5A22">
        <w:rPr>
          <w:sz w:val="20"/>
        </w:rPr>
        <w:t>47 C.F.R. §</w:t>
      </w:r>
      <w:r>
        <w:rPr>
          <w:sz w:val="20"/>
        </w:rPr>
        <w:t xml:space="preserve"> 1.4(h).</w:t>
      </w:r>
    </w:p>
  </w:footnote>
  <w:footnote w:id="7">
    <w:p w:rsidR="002D6E7A" w:rsidRPr="00E81537" w:rsidRDefault="002D6E7A" w:rsidP="0001067F">
      <w:pPr>
        <w:pStyle w:val="FootnoteText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47 U.S.C. §</w:t>
      </w:r>
      <w:r w:rsidR="00A61A5D" w:rsidRPr="00E81537">
        <w:rPr>
          <w:sz w:val="20"/>
        </w:rPr>
        <w:t>§</w:t>
      </w:r>
      <w:r w:rsidRPr="00E81537">
        <w:rPr>
          <w:sz w:val="20"/>
        </w:rPr>
        <w:t xml:space="preserve"> 154(i)</w:t>
      </w:r>
      <w:r w:rsidR="00A61A5D">
        <w:rPr>
          <w:sz w:val="20"/>
        </w:rPr>
        <w:t>, 154(j)</w:t>
      </w:r>
      <w:r w:rsidRPr="00E81537">
        <w:rPr>
          <w:sz w:val="20"/>
        </w:rPr>
        <w:t>.</w:t>
      </w:r>
    </w:p>
  </w:footnote>
  <w:footnote w:id="8">
    <w:p w:rsidR="002D6E7A" w:rsidRPr="00E81537" w:rsidRDefault="002D6E7A" w:rsidP="0001067F">
      <w:pPr>
        <w:pStyle w:val="FootnoteText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47 C.F.R. §</w:t>
      </w:r>
      <w:r w:rsidR="00A61A5D" w:rsidRPr="00E81537">
        <w:rPr>
          <w:sz w:val="20"/>
        </w:rPr>
        <w:t>§</w:t>
      </w:r>
      <w:r w:rsidRPr="00E81537">
        <w:rPr>
          <w:sz w:val="20"/>
        </w:rPr>
        <w:t xml:space="preserve"> </w:t>
      </w:r>
      <w:r w:rsidR="00266739">
        <w:rPr>
          <w:sz w:val="20"/>
        </w:rPr>
        <w:t>0.131, 0.331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1" w:rsidRDefault="00F62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1" w:rsidRDefault="00F62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A" w:rsidRDefault="002D6E7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7A" w:rsidRDefault="002D6E7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2D6E7A" w:rsidRDefault="002D6E7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2D6E7A" w:rsidRDefault="002D6E7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Ega&#10;V7mEAgAADw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2D6E7A" w:rsidRDefault="002D6E7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2D6E7A" w:rsidRDefault="002D6E7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2D6E7A" w:rsidRDefault="002D6E7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kern w:val="28"/>
        <w:sz w:val="96"/>
      </w:rPr>
      <w:t>PUBLIC NOTICE</w:t>
    </w:r>
  </w:p>
  <w:p w:rsidR="002D6E7A" w:rsidRDefault="002D6E7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zF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Kv17M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7A" w:rsidRDefault="002D6E7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D6E7A" w:rsidRDefault="002D6E7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2D6E7A" w:rsidRDefault="002D6E7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2D6E7A" w:rsidRDefault="002D6E7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T/ga&#10;2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2D6E7A" w:rsidRDefault="002D6E7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2D6E7A" w:rsidRDefault="002D6E7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2D6E7A" w:rsidRDefault="002D6E7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2D6E7A" w:rsidRDefault="002D6E7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D6E7A" w:rsidRDefault="002D6E7A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D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370266C"/>
    <w:multiLevelType w:val="hybridMultilevel"/>
    <w:tmpl w:val="930A4E2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7"/>
    <w:rsid w:val="0001067F"/>
    <w:rsid w:val="00027D69"/>
    <w:rsid w:val="00030B81"/>
    <w:rsid w:val="000474E3"/>
    <w:rsid w:val="0006219A"/>
    <w:rsid w:val="00082F0C"/>
    <w:rsid w:val="000C30F2"/>
    <w:rsid w:val="00144B79"/>
    <w:rsid w:val="001457E3"/>
    <w:rsid w:val="00146203"/>
    <w:rsid w:val="00164865"/>
    <w:rsid w:val="0016683E"/>
    <w:rsid w:val="0017497C"/>
    <w:rsid w:val="00176722"/>
    <w:rsid w:val="00193701"/>
    <w:rsid w:val="001950EA"/>
    <w:rsid w:val="001968FD"/>
    <w:rsid w:val="001B0DDF"/>
    <w:rsid w:val="001C324B"/>
    <w:rsid w:val="001D1453"/>
    <w:rsid w:val="001D21E4"/>
    <w:rsid w:val="001D3E96"/>
    <w:rsid w:val="001F76A0"/>
    <w:rsid w:val="0021067B"/>
    <w:rsid w:val="002620EF"/>
    <w:rsid w:val="00266739"/>
    <w:rsid w:val="00276871"/>
    <w:rsid w:val="002A5A22"/>
    <w:rsid w:val="002D6E7A"/>
    <w:rsid w:val="00313729"/>
    <w:rsid w:val="0031378B"/>
    <w:rsid w:val="00314E90"/>
    <w:rsid w:val="00323349"/>
    <w:rsid w:val="00393F82"/>
    <w:rsid w:val="00393FF4"/>
    <w:rsid w:val="003C0FAA"/>
    <w:rsid w:val="003C6411"/>
    <w:rsid w:val="003F46A8"/>
    <w:rsid w:val="00425CA6"/>
    <w:rsid w:val="004564F6"/>
    <w:rsid w:val="004632D2"/>
    <w:rsid w:val="004658BC"/>
    <w:rsid w:val="00472609"/>
    <w:rsid w:val="004824B3"/>
    <w:rsid w:val="00482528"/>
    <w:rsid w:val="0048410F"/>
    <w:rsid w:val="004922D7"/>
    <w:rsid w:val="00493744"/>
    <w:rsid w:val="004E4923"/>
    <w:rsid w:val="004F107C"/>
    <w:rsid w:val="00525738"/>
    <w:rsid w:val="0054735F"/>
    <w:rsid w:val="005520C7"/>
    <w:rsid w:val="00560382"/>
    <w:rsid w:val="00581778"/>
    <w:rsid w:val="00593B6C"/>
    <w:rsid w:val="00597AD7"/>
    <w:rsid w:val="005C2E30"/>
    <w:rsid w:val="005C3ECA"/>
    <w:rsid w:val="005C6A09"/>
    <w:rsid w:val="005F2CAE"/>
    <w:rsid w:val="005F7BEC"/>
    <w:rsid w:val="00623213"/>
    <w:rsid w:val="0063581B"/>
    <w:rsid w:val="00640A3C"/>
    <w:rsid w:val="00645FB0"/>
    <w:rsid w:val="00650A3D"/>
    <w:rsid w:val="00654F14"/>
    <w:rsid w:val="00663754"/>
    <w:rsid w:val="00687D7E"/>
    <w:rsid w:val="0069695E"/>
    <w:rsid w:val="006D6423"/>
    <w:rsid w:val="006E0C65"/>
    <w:rsid w:val="006F2702"/>
    <w:rsid w:val="006F6E21"/>
    <w:rsid w:val="007140D7"/>
    <w:rsid w:val="007213C5"/>
    <w:rsid w:val="0072457F"/>
    <w:rsid w:val="007631DF"/>
    <w:rsid w:val="00770948"/>
    <w:rsid w:val="00797BC2"/>
    <w:rsid w:val="007C00A5"/>
    <w:rsid w:val="007C03C2"/>
    <w:rsid w:val="007E065F"/>
    <w:rsid w:val="007F1D4D"/>
    <w:rsid w:val="00812CBD"/>
    <w:rsid w:val="00821AD3"/>
    <w:rsid w:val="00822AE8"/>
    <w:rsid w:val="0086529F"/>
    <w:rsid w:val="00874968"/>
    <w:rsid w:val="00877AFB"/>
    <w:rsid w:val="00896AA5"/>
    <w:rsid w:val="008A3B6F"/>
    <w:rsid w:val="008A7789"/>
    <w:rsid w:val="008C51A4"/>
    <w:rsid w:val="008D2C51"/>
    <w:rsid w:val="008D31E4"/>
    <w:rsid w:val="008F15F2"/>
    <w:rsid w:val="00935629"/>
    <w:rsid w:val="009528C4"/>
    <w:rsid w:val="00953B3B"/>
    <w:rsid w:val="0095528B"/>
    <w:rsid w:val="00955656"/>
    <w:rsid w:val="00956B4D"/>
    <w:rsid w:val="0096009C"/>
    <w:rsid w:val="0096409F"/>
    <w:rsid w:val="009677B7"/>
    <w:rsid w:val="009839D7"/>
    <w:rsid w:val="009E7850"/>
    <w:rsid w:val="00A13F47"/>
    <w:rsid w:val="00A3386E"/>
    <w:rsid w:val="00A44BAA"/>
    <w:rsid w:val="00A57BD3"/>
    <w:rsid w:val="00A61A5D"/>
    <w:rsid w:val="00A63BEC"/>
    <w:rsid w:val="00A8413D"/>
    <w:rsid w:val="00A95437"/>
    <w:rsid w:val="00AA4CFC"/>
    <w:rsid w:val="00AB2BE7"/>
    <w:rsid w:val="00AC7D0D"/>
    <w:rsid w:val="00B03E51"/>
    <w:rsid w:val="00B078BF"/>
    <w:rsid w:val="00B11806"/>
    <w:rsid w:val="00B21235"/>
    <w:rsid w:val="00B30109"/>
    <w:rsid w:val="00B34371"/>
    <w:rsid w:val="00B41417"/>
    <w:rsid w:val="00B41446"/>
    <w:rsid w:val="00B60981"/>
    <w:rsid w:val="00B9635F"/>
    <w:rsid w:val="00BB4C1E"/>
    <w:rsid w:val="00C071B2"/>
    <w:rsid w:val="00C2013C"/>
    <w:rsid w:val="00C20C27"/>
    <w:rsid w:val="00C36D0F"/>
    <w:rsid w:val="00C44764"/>
    <w:rsid w:val="00C70222"/>
    <w:rsid w:val="00C71635"/>
    <w:rsid w:val="00CA27F7"/>
    <w:rsid w:val="00D3752A"/>
    <w:rsid w:val="00D37B7E"/>
    <w:rsid w:val="00D42E85"/>
    <w:rsid w:val="00D5425B"/>
    <w:rsid w:val="00D561FF"/>
    <w:rsid w:val="00D56D2B"/>
    <w:rsid w:val="00D82146"/>
    <w:rsid w:val="00D82FA1"/>
    <w:rsid w:val="00D82FCC"/>
    <w:rsid w:val="00D84E1E"/>
    <w:rsid w:val="00D95086"/>
    <w:rsid w:val="00DE3FA9"/>
    <w:rsid w:val="00DE5F21"/>
    <w:rsid w:val="00E07CC2"/>
    <w:rsid w:val="00E46F70"/>
    <w:rsid w:val="00E5386E"/>
    <w:rsid w:val="00E81537"/>
    <w:rsid w:val="00E92F12"/>
    <w:rsid w:val="00EB0118"/>
    <w:rsid w:val="00EB022B"/>
    <w:rsid w:val="00F01ED4"/>
    <w:rsid w:val="00F050C8"/>
    <w:rsid w:val="00F1494E"/>
    <w:rsid w:val="00F24199"/>
    <w:rsid w:val="00F62061"/>
    <w:rsid w:val="00F77443"/>
    <w:rsid w:val="00F84DDB"/>
    <w:rsid w:val="00F85447"/>
    <w:rsid w:val="00FC7FC3"/>
    <w:rsid w:val="00FD0FD6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link w:val="BlockTextChar"/>
    <w:pPr>
      <w:widowControl w:val="0"/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napToGrid w:val="0"/>
      <w:spacing w:val="-2"/>
      <w:sz w:val="22"/>
    </w:rPr>
  </w:style>
  <w:style w:type="paragraph" w:styleId="BodyText2">
    <w:name w:val="Body Text 2"/>
    <w:basedOn w:val="Normal"/>
    <w:pPr>
      <w:widowControl w:val="0"/>
      <w:tabs>
        <w:tab w:val="right" w:pos="9360"/>
      </w:tabs>
      <w:suppressAutoHyphens/>
      <w:spacing w:line="227" w:lineRule="auto"/>
      <w:jc w:val="both"/>
    </w:pPr>
    <w:rPr>
      <w:snapToGrid w:val="0"/>
      <w:spacing w:val="-2"/>
      <w:sz w:val="22"/>
    </w:rPr>
  </w:style>
  <w:style w:type="character" w:customStyle="1" w:styleId="StyleTimesNewRoman11ptCharCharChar">
    <w:name w:val="Style Times New Roman 11 pt Char Char Char"/>
    <w:rPr>
      <w:rFonts w:ascii="Times New Roman" w:hAnsi="Times New Roman"/>
      <w:noProof w:val="0"/>
      <w:snapToGrid w:val="0"/>
      <w:sz w:val="22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napToGrid w:val="0"/>
      <w:kern w:val="28"/>
      <w:sz w:val="22"/>
    </w:rPr>
  </w:style>
  <w:style w:type="character" w:customStyle="1" w:styleId="BlockTextChar">
    <w:name w:val="Block Text Char"/>
    <w:link w:val="BlockText"/>
    <w:rPr>
      <w:sz w:val="22"/>
      <w:lang w:val="en-US" w:eastAsia="en-US" w:bidi="ar-S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9600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09C"/>
    <w:rPr>
      <w:szCs w:val="24"/>
    </w:rPr>
  </w:style>
  <w:style w:type="character" w:customStyle="1" w:styleId="CommentTextChar">
    <w:name w:val="Comment Text Char"/>
    <w:link w:val="CommentText"/>
    <w:rsid w:val="009600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00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6009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link w:val="BlockTextChar"/>
    <w:pPr>
      <w:widowControl w:val="0"/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napToGrid w:val="0"/>
      <w:spacing w:val="-2"/>
      <w:sz w:val="22"/>
    </w:rPr>
  </w:style>
  <w:style w:type="paragraph" w:styleId="BodyText2">
    <w:name w:val="Body Text 2"/>
    <w:basedOn w:val="Normal"/>
    <w:pPr>
      <w:widowControl w:val="0"/>
      <w:tabs>
        <w:tab w:val="right" w:pos="9360"/>
      </w:tabs>
      <w:suppressAutoHyphens/>
      <w:spacing w:line="227" w:lineRule="auto"/>
      <w:jc w:val="both"/>
    </w:pPr>
    <w:rPr>
      <w:snapToGrid w:val="0"/>
      <w:spacing w:val="-2"/>
      <w:sz w:val="22"/>
    </w:rPr>
  </w:style>
  <w:style w:type="character" w:customStyle="1" w:styleId="StyleTimesNewRoman11ptCharCharChar">
    <w:name w:val="Style Times New Roman 11 pt Char Char Char"/>
    <w:rPr>
      <w:rFonts w:ascii="Times New Roman" w:hAnsi="Times New Roman"/>
      <w:noProof w:val="0"/>
      <w:snapToGrid w:val="0"/>
      <w:sz w:val="22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napToGrid w:val="0"/>
      <w:kern w:val="28"/>
      <w:sz w:val="22"/>
    </w:rPr>
  </w:style>
  <w:style w:type="character" w:customStyle="1" w:styleId="BlockTextChar">
    <w:name w:val="Block Text Char"/>
    <w:link w:val="BlockText"/>
    <w:rPr>
      <w:sz w:val="22"/>
      <w:lang w:val="en-US" w:eastAsia="en-US" w:bidi="ar-S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9600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09C"/>
    <w:rPr>
      <w:szCs w:val="24"/>
    </w:rPr>
  </w:style>
  <w:style w:type="character" w:customStyle="1" w:styleId="CommentTextChar">
    <w:name w:val="Comment Text Char"/>
    <w:link w:val="CommentText"/>
    <w:rsid w:val="009600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00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6009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2010-01-05T16:13:00Z</cp:lastPrinted>
  <dcterms:created xsi:type="dcterms:W3CDTF">2015-01-28T20:46:00Z</dcterms:created>
  <dcterms:modified xsi:type="dcterms:W3CDTF">2015-01-28T20:46:00Z</dcterms:modified>
  <cp:category> </cp:category>
  <cp:contentStatus> </cp:contentStatus>
</cp:coreProperties>
</file>