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237198">
        <w:rPr>
          <w:b/>
          <w:spacing w:val="-2"/>
          <w:szCs w:val="22"/>
        </w:rPr>
        <w:t>1214</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6071ED">
        <w:rPr>
          <w:b/>
          <w:spacing w:val="-2"/>
          <w:szCs w:val="22"/>
        </w:rPr>
        <w:t>October 23</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Applications of AT&amp;T Mobility Spectrum LLC, Tampnet Inc., </w:t>
      </w:r>
      <w:r w:rsidR="00E70D8D">
        <w:rPr>
          <w:b/>
          <w:caps/>
        </w:rPr>
        <w:t xml:space="preserve">TAMPNET LICENSEE LLC, </w:t>
      </w:r>
      <w:r w:rsidRPr="00D417B1">
        <w:rPr>
          <w:b/>
          <w:caps/>
        </w:rPr>
        <w:t xml:space="preserve">Broadpoint License Co., LLC, and Broadpoint Wireless License Co., LLC for Consent to Assign Licenses and Approval of Long-Term </w:t>
      </w:r>
      <w:r w:rsidRPr="00416135">
        <w:rPr>
          <w:b/>
          <w:i/>
          <w:caps/>
        </w:rPr>
        <w:t>De Facto</w:t>
      </w:r>
      <w:r w:rsidRPr="00D417B1">
        <w:rPr>
          <w:b/>
          <w:caps/>
        </w:rPr>
        <w:t xml:space="preserve"> Transfer Spectrum Leasing Arrangements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51317A">
        <w:rPr>
          <w:b/>
          <w:color w:val="000000"/>
          <w:szCs w:val="22"/>
        </w:rPr>
        <w:t>255</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E70D8D" w:rsidP="00747C80">
      <w:pPr>
        <w:spacing w:after="220"/>
        <w:ind w:firstLine="720"/>
      </w:pPr>
      <w:r>
        <w:rPr>
          <w:szCs w:val="22"/>
        </w:rPr>
        <w:t xml:space="preserve">AT&amp;T Mobility Spectrum LLC, an indirect wholly-owned subsidiary of AT&amp;T Inc. (together with AT&amp;T Mobility Spectrum LLC, “AT&amp;T”), Tampnet Licensee LLC, a wholly-owned subsidiary of Tampnet Inc. (together with Tampnet Licensee LCC, “Tampnet”), Broadpoint License Co., LLC, and Broadpoint Wireless License Co., LLC (together with Broadpoint License Co., LLC, “Broadpoint,” and </w:t>
      </w:r>
      <w:r w:rsidRPr="00030F87">
        <w:rPr>
          <w:szCs w:val="22"/>
        </w:rPr>
        <w:t xml:space="preserve">together with </w:t>
      </w:r>
      <w:r>
        <w:rPr>
          <w:szCs w:val="22"/>
        </w:rPr>
        <w:t>AT&amp;T and Tampnet,</w:t>
      </w:r>
      <w:r w:rsidRPr="00030F87">
        <w:rPr>
          <w:szCs w:val="22"/>
        </w:rPr>
        <w:t xml:space="preserve"> the “Applicants”) </w:t>
      </w:r>
      <w:r>
        <w:rPr>
          <w:szCs w:val="22"/>
        </w:rPr>
        <w:t xml:space="preserve">have filed </w:t>
      </w:r>
      <w:r w:rsidRPr="00030F87">
        <w:rPr>
          <w:szCs w:val="22"/>
        </w:rPr>
        <w:t>application</w:t>
      </w:r>
      <w:r>
        <w:rPr>
          <w:szCs w:val="22"/>
        </w:rPr>
        <w:t>s</w:t>
      </w:r>
      <w:r w:rsidRPr="00030F87">
        <w:rPr>
          <w:szCs w:val="22"/>
        </w:rPr>
        <w:t xml:space="preserve"> pursuant to section</w:t>
      </w:r>
      <w:r>
        <w:rPr>
          <w:szCs w:val="22"/>
        </w:rPr>
        <w:t>s 214(a) and</w:t>
      </w:r>
      <w:r w:rsidRPr="00030F87">
        <w:rPr>
          <w:szCs w:val="22"/>
        </w:rPr>
        <w:t xml:space="preserve"> 310(d) of the Communications Act of 1934, as amended</w:t>
      </w:r>
      <w:r>
        <w:rPr>
          <w:szCs w:val="22"/>
        </w:rPr>
        <w:t xml:space="preserve"> (the “Act”)</w:t>
      </w:r>
      <w:r w:rsidRPr="00030F87">
        <w:rPr>
          <w:szCs w:val="22"/>
        </w:rPr>
        <w:t>,</w:t>
      </w:r>
      <w:r w:rsidRPr="00030F87">
        <w:rPr>
          <w:rStyle w:val="FootnoteReference"/>
          <w:szCs w:val="22"/>
        </w:rPr>
        <w:footnoteReference w:id="1"/>
      </w:r>
      <w:r>
        <w:rPr>
          <w:szCs w:val="22"/>
        </w:rPr>
        <w:t xml:space="preserve"> seeking approval of a number of license assignments and long-term </w:t>
      </w:r>
      <w:r>
        <w:rPr>
          <w:i/>
          <w:szCs w:val="22"/>
        </w:rPr>
        <w:t xml:space="preserve">de </w:t>
      </w:r>
      <w:r w:rsidRPr="00D713A9">
        <w:rPr>
          <w:i/>
          <w:szCs w:val="22"/>
        </w:rPr>
        <w:t>facto</w:t>
      </w:r>
      <w:r>
        <w:rPr>
          <w:szCs w:val="22"/>
        </w:rPr>
        <w:t xml:space="preserve"> transfer spectrum lease</w:t>
      </w:r>
      <w:r w:rsidR="002E2368">
        <w:rPr>
          <w:szCs w:val="22"/>
        </w:rPr>
        <w:t xml:space="preserve">.  </w:t>
      </w:r>
      <w:r>
        <w:rPr>
          <w:szCs w:val="22"/>
        </w:rPr>
        <w:t xml:space="preserve">Broadpoint proposes to assign to AT&amp;T two cellular licenses covering undefined areas in the Gulf of Mexico Exclusive Zone, and Tampnet ultimately would lease from AT&amp;T 25 megahertz under parts of those two cellular licenses.  </w:t>
      </w:r>
      <w:r w:rsidR="0061670C">
        <w:rPr>
          <w:szCs w:val="22"/>
        </w:rPr>
        <w:t xml:space="preserve">Broadpoint also would assign to Tampnet two other cellular licenses as well as two Advanced Wireless Services (“AWS-1”) licenses.  </w:t>
      </w:r>
      <w:r w:rsidR="002E2368">
        <w:rPr>
          <w:szCs w:val="22"/>
        </w:rPr>
        <w:t>The subject licenses cover the Gulf of Mexico.</w:t>
      </w:r>
      <w:r w:rsidR="002E2368">
        <w:rPr>
          <w:rStyle w:val="FootnoteReference"/>
          <w:szCs w:val="22"/>
        </w:rPr>
        <w:footnoteReference w:id="2"/>
      </w:r>
      <w:r w:rsidR="002E2368">
        <w:rPr>
          <w:szCs w:val="22"/>
        </w:rPr>
        <w:t xml:space="preserve">  </w:t>
      </w:r>
      <w:r w:rsidR="002E2368">
        <w:t xml:space="preserve">On </w:t>
      </w:r>
      <w:r w:rsidR="006071ED">
        <w:t>October 23</w:t>
      </w:r>
      <w:r w:rsidR="002E2368">
        <w:t>, 2015, the Commission accepted the applications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lastRenderedPageBreak/>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 xml:space="preserve">Persons seeking to review the NRUF or LNP data may do so only for purposes of participating in this proceeding.  Pursuant to the NRUF Protective Order, outside persons participating or intending to </w:t>
      </w:r>
      <w:r>
        <w:lastRenderedPageBreak/>
        <w:t>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6071ED">
        <w:rPr>
          <w:b/>
          <w:u w:val="single"/>
        </w:rPr>
        <w:t>November 2</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6071ED">
        <w:t>November 2</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51317A">
        <w:rPr>
          <w:szCs w:val="22"/>
        </w:rPr>
        <w:t>255</w:t>
      </w:r>
      <w:r>
        <w:t>.</w:t>
      </w:r>
    </w:p>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xml:space="preserve">) </w:t>
      </w:r>
      <w:r w:rsidR="003D6D35">
        <w:rPr>
          <w:szCs w:val="22"/>
        </w:rPr>
        <w:t xml:space="preserve">Linda Ray, Broadband Division, Wireless Telecommunications Bureau, at linda.ray@fcc.gov or (202) 418-7247 (facsimile); (3)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D6D35">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904">
      <w:rPr>
        <w:rStyle w:val="PageNumber"/>
        <w:noProof/>
      </w:rPr>
      <w:t>4</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058">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04" w:rsidRDefault="0066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E70D8D" w:rsidRDefault="00E70D8D" w:rsidP="00E70D8D">
      <w:pPr>
        <w:pStyle w:val="FootnoteText"/>
      </w:pPr>
      <w:r>
        <w:rPr>
          <w:rStyle w:val="FootnoteReference"/>
        </w:rPr>
        <w:footnoteRef/>
      </w:r>
      <w:r>
        <w:t xml:space="preserve"> 47 U.S.C. §§ 214(a), 310(d).  </w:t>
      </w:r>
    </w:p>
  </w:footnote>
  <w:footnote w:id="2">
    <w:p w:rsidR="002E2368" w:rsidRDefault="002E2368" w:rsidP="002E2368">
      <w:pPr>
        <w:pStyle w:val="FootnoteText"/>
      </w:pPr>
      <w:r>
        <w:rPr>
          <w:rStyle w:val="FootnoteReference"/>
        </w:rPr>
        <w:footnoteRef/>
      </w:r>
      <w:r>
        <w:t xml:space="preserve"> </w:t>
      </w:r>
      <w:r>
        <w:rPr>
          <w:i/>
        </w:rPr>
        <w:t>See</w:t>
      </w:r>
      <w:r>
        <w:t xml:space="preserve"> Application of </w:t>
      </w:r>
      <w:r w:rsidR="00101161">
        <w:t>Broadpoint License Co., LLC</w:t>
      </w:r>
      <w:r>
        <w:t xml:space="preserve"> and </w:t>
      </w:r>
      <w:r w:rsidR="00101161">
        <w:t>AT&amp;T Mobility Spectrum LLC</w:t>
      </w:r>
      <w:r w:rsidR="00E70D8D">
        <w:t xml:space="preserve"> for Consent T</w:t>
      </w:r>
      <w:r>
        <w:t>o Assign L</w:t>
      </w:r>
      <w:r w:rsidR="00101161">
        <w:t>icenses, ULS File No. 0006888586, Ex. 1</w:t>
      </w:r>
      <w:r>
        <w:t xml:space="preserve"> (filed </w:t>
      </w:r>
      <w:r w:rsidR="00F52F9A">
        <w:t>Aug. 28</w:t>
      </w:r>
      <w:r>
        <w:t>, 2015).  The Applicants have designated this application as the lead application.</w:t>
      </w:r>
    </w:p>
    <w:p w:rsidR="00FE411E" w:rsidRPr="001D64C4" w:rsidRDefault="00FE411E" w:rsidP="00416135">
      <w:pPr>
        <w:pStyle w:val="FootnoteText"/>
        <w:tabs>
          <w:tab w:val="clear" w:pos="720"/>
          <w:tab w:val="left" w:pos="360"/>
        </w:tabs>
        <w:rPr>
          <w:i/>
        </w:rPr>
      </w:pPr>
      <w:r>
        <w:tab/>
        <w:t>In addition to these cellular and AWS-1 licenses, the Applicants separately have proposed to assign earth station licenses to Tampnet, and Tampnet al</w:t>
      </w:r>
      <w:r w:rsidR="00FB067A">
        <w:t>so has</w:t>
      </w:r>
      <w:r>
        <w:t xml:space="preserve"> applied for an international section 214 authorization and filed</w:t>
      </w:r>
      <w:r w:rsidR="004B65A7">
        <w:t xml:space="preserve"> a foreign ownership Petition for Declaratory Ruling.  </w:t>
      </w:r>
      <w:r w:rsidR="001D64C4">
        <w:rPr>
          <w:i/>
        </w:rPr>
        <w:t xml:space="preserve">See </w:t>
      </w:r>
      <w:r w:rsidR="001D64C4">
        <w:t xml:space="preserve">AT&amp;T Mobility Spectrum LLC, </w:t>
      </w:r>
      <w:r w:rsidR="00E70D8D">
        <w:t xml:space="preserve">Tampnet Inc., Tampnet Licensee LLC, </w:t>
      </w:r>
      <w:r w:rsidR="001D64C4">
        <w:t xml:space="preserve">Broadpoint License Co., LLC, </w:t>
      </w:r>
      <w:r w:rsidR="00E70D8D">
        <w:t xml:space="preserve">and </w:t>
      </w:r>
      <w:r w:rsidR="001D64C4">
        <w:t xml:space="preserve">Broadpoint Wireless License Co., LLC Seek FCC Grant of Assignment and Long-Term </w:t>
      </w:r>
      <w:r w:rsidR="001D64C4">
        <w:rPr>
          <w:i/>
        </w:rPr>
        <w:t xml:space="preserve">De Facto </w:t>
      </w:r>
      <w:r w:rsidR="001D64C4">
        <w:t>Transfer Spectrum Leasing Applications Involving Four Cellular, Two Advanced Wireless Services, and Satellite Earth Station Licenses, an International Section 214 Authorization, and a Foreign Ownership Declaratory Ruling, WT Docket No. 15-</w:t>
      </w:r>
      <w:r w:rsidR="0051317A">
        <w:t>255</w:t>
      </w:r>
      <w:r w:rsidR="001D64C4">
        <w:t xml:space="preserve">, </w:t>
      </w:r>
      <w:r w:rsidR="001D64C4">
        <w:rPr>
          <w:i/>
        </w:rPr>
        <w:t>Public Notice</w:t>
      </w:r>
      <w:r w:rsidR="001D64C4">
        <w:t>¸ DA 15-</w:t>
      </w:r>
      <w:r w:rsidR="006B0997">
        <w:t>1211</w:t>
      </w:r>
      <w:r w:rsidR="001D64C4">
        <w:t xml:space="preserve"> (WTB rel. </w:t>
      </w:r>
      <w:r w:rsidR="006071ED">
        <w:t>Oct. 23</w:t>
      </w:r>
      <w:r w:rsidR="001D64C4">
        <w:t>, 2015) (“</w:t>
      </w:r>
      <w:r w:rsidR="001D64C4">
        <w:rPr>
          <w:i/>
        </w:rPr>
        <w:t>Comment Public Notice</w:t>
      </w:r>
      <w:r w:rsidR="001D64C4">
        <w:t>”).</w:t>
      </w:r>
    </w:p>
  </w:footnote>
  <w:footnote w:id="3">
    <w:p w:rsidR="002E2368" w:rsidRDefault="002E2368" w:rsidP="002E2368">
      <w:pPr>
        <w:pStyle w:val="FootnoteText"/>
      </w:pPr>
      <w:r>
        <w:rPr>
          <w:rStyle w:val="FootnoteReference"/>
        </w:rPr>
        <w:footnoteRef/>
      </w:r>
      <w:r w:rsidR="00F52F9A">
        <w:t xml:space="preserve"> </w:t>
      </w:r>
      <w:r w:rsidR="001D64C4">
        <w:rPr>
          <w:i/>
        </w:rPr>
        <w:t xml:space="preserve">See </w:t>
      </w:r>
      <w:r w:rsidR="00FE411E">
        <w:rPr>
          <w:i/>
        </w:rPr>
        <w:t>Comment Public Notice</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Applications of AT&amp;T Mobility Spectrum LLC, Tampnet Inc., </w:t>
      </w:r>
      <w:r w:rsidR="00962902">
        <w:t xml:space="preserve">Tampnet Licensee LLC, </w:t>
      </w:r>
      <w:r w:rsidR="00416135" w:rsidRPr="00416135">
        <w:t>Broadpoint License Co., LLC, and Broadpoint Wireles</w:t>
      </w:r>
      <w:r w:rsidR="00962902">
        <w:t>s License Co., LLC for Consent T</w:t>
      </w:r>
      <w:r w:rsidR="00416135" w:rsidRPr="00416135">
        <w:t xml:space="preserve">o Assign Licenses and Approval of Long-Term </w:t>
      </w:r>
      <w:r w:rsidR="00416135" w:rsidRPr="00416135">
        <w:rPr>
          <w:i/>
        </w:rPr>
        <w:t>De Facto</w:t>
      </w:r>
      <w:r w:rsidR="00416135" w:rsidRPr="00416135">
        <w:t xml:space="preserve"> Transfer Spectrum Leasing Arrangements</w:t>
      </w:r>
      <w:r w:rsidRPr="00D27ABB">
        <w:t xml:space="preserve">, WT Docket No. </w:t>
      </w:r>
      <w:r w:rsidR="00BF2C0C">
        <w:t>15</w:t>
      </w:r>
      <w:r w:rsidR="00D27ABB" w:rsidRPr="00D27ABB">
        <w:t>-</w:t>
      </w:r>
      <w:r w:rsidR="0051317A">
        <w:t>255</w:t>
      </w:r>
      <w:r w:rsidRPr="00D27ABB">
        <w:t xml:space="preserve">, </w:t>
      </w:r>
      <w:r w:rsidRPr="00D27ABB">
        <w:rPr>
          <w:i/>
        </w:rPr>
        <w:t>NRUF/LNP Protective Order</w:t>
      </w:r>
      <w:r w:rsidR="00D27ABB" w:rsidRPr="00D27ABB">
        <w:t>, DA 1</w:t>
      </w:r>
      <w:r w:rsidR="00BF2C0C">
        <w:t>5</w:t>
      </w:r>
      <w:r w:rsidR="006B0997">
        <w:noBreakHyphen/>
        <w:t>1213</w:t>
      </w:r>
      <w:r w:rsidRPr="00D27ABB">
        <w:t xml:space="preserve"> (WTB rel. </w:t>
      </w:r>
      <w:r w:rsidR="006071ED">
        <w:t>Oct. 23</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04" w:rsidRDefault="00664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04" w:rsidRDefault="00664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6DA4"/>
    <w:rsid w:val="000D4EDB"/>
    <w:rsid w:val="000D55AB"/>
    <w:rsid w:val="000E3CA0"/>
    <w:rsid w:val="000E64EF"/>
    <w:rsid w:val="000E7058"/>
    <w:rsid w:val="00101161"/>
    <w:rsid w:val="001068CD"/>
    <w:rsid w:val="001151AE"/>
    <w:rsid w:val="00116B0A"/>
    <w:rsid w:val="00124E6D"/>
    <w:rsid w:val="00144248"/>
    <w:rsid w:val="001530F5"/>
    <w:rsid w:val="00162CBF"/>
    <w:rsid w:val="001A1B22"/>
    <w:rsid w:val="001B1E13"/>
    <w:rsid w:val="001B4273"/>
    <w:rsid w:val="001D27DB"/>
    <w:rsid w:val="001D64C4"/>
    <w:rsid w:val="00207D89"/>
    <w:rsid w:val="00207F55"/>
    <w:rsid w:val="00212E17"/>
    <w:rsid w:val="00223E28"/>
    <w:rsid w:val="00224B2A"/>
    <w:rsid w:val="00224B7C"/>
    <w:rsid w:val="00237198"/>
    <w:rsid w:val="00247B2F"/>
    <w:rsid w:val="00252FBC"/>
    <w:rsid w:val="002610D9"/>
    <w:rsid w:val="00281877"/>
    <w:rsid w:val="002A187B"/>
    <w:rsid w:val="002E2368"/>
    <w:rsid w:val="002F6CBC"/>
    <w:rsid w:val="00334B32"/>
    <w:rsid w:val="00364D40"/>
    <w:rsid w:val="003659D2"/>
    <w:rsid w:val="00385149"/>
    <w:rsid w:val="003924E8"/>
    <w:rsid w:val="003B46B8"/>
    <w:rsid w:val="003C0DF0"/>
    <w:rsid w:val="003D6D35"/>
    <w:rsid w:val="003E0808"/>
    <w:rsid w:val="003E317B"/>
    <w:rsid w:val="003E3CAC"/>
    <w:rsid w:val="003E7324"/>
    <w:rsid w:val="00415BE9"/>
    <w:rsid w:val="00416135"/>
    <w:rsid w:val="00452893"/>
    <w:rsid w:val="00474F4B"/>
    <w:rsid w:val="004952B2"/>
    <w:rsid w:val="004A24F2"/>
    <w:rsid w:val="004B4DD2"/>
    <w:rsid w:val="004B65A7"/>
    <w:rsid w:val="004D1383"/>
    <w:rsid w:val="005028CA"/>
    <w:rsid w:val="0051317A"/>
    <w:rsid w:val="00513DCA"/>
    <w:rsid w:val="00517DFC"/>
    <w:rsid w:val="005377E5"/>
    <w:rsid w:val="005526E1"/>
    <w:rsid w:val="0056192E"/>
    <w:rsid w:val="00573195"/>
    <w:rsid w:val="00584FD6"/>
    <w:rsid w:val="005869A5"/>
    <w:rsid w:val="005948B4"/>
    <w:rsid w:val="005F1BE4"/>
    <w:rsid w:val="006071ED"/>
    <w:rsid w:val="0061670C"/>
    <w:rsid w:val="00631919"/>
    <w:rsid w:val="00653267"/>
    <w:rsid w:val="00664904"/>
    <w:rsid w:val="00672F78"/>
    <w:rsid w:val="00684E19"/>
    <w:rsid w:val="00687CBA"/>
    <w:rsid w:val="00696C42"/>
    <w:rsid w:val="006A0A76"/>
    <w:rsid w:val="006B0997"/>
    <w:rsid w:val="006E07AD"/>
    <w:rsid w:val="006E5208"/>
    <w:rsid w:val="006F65C3"/>
    <w:rsid w:val="006F7DA0"/>
    <w:rsid w:val="00702361"/>
    <w:rsid w:val="007344E2"/>
    <w:rsid w:val="00747C80"/>
    <w:rsid w:val="00761671"/>
    <w:rsid w:val="00782AFF"/>
    <w:rsid w:val="007B3550"/>
    <w:rsid w:val="007B5C7B"/>
    <w:rsid w:val="007D045D"/>
    <w:rsid w:val="007E76CC"/>
    <w:rsid w:val="007F2C9E"/>
    <w:rsid w:val="007F304E"/>
    <w:rsid w:val="008006E2"/>
    <w:rsid w:val="00814205"/>
    <w:rsid w:val="00817B5C"/>
    <w:rsid w:val="00820D6F"/>
    <w:rsid w:val="00825306"/>
    <w:rsid w:val="00832C33"/>
    <w:rsid w:val="008A0118"/>
    <w:rsid w:val="008B3F31"/>
    <w:rsid w:val="008D7C95"/>
    <w:rsid w:val="008E1700"/>
    <w:rsid w:val="0090098F"/>
    <w:rsid w:val="009019D5"/>
    <w:rsid w:val="00912EBA"/>
    <w:rsid w:val="00962902"/>
    <w:rsid w:val="00977B22"/>
    <w:rsid w:val="009A2D37"/>
    <w:rsid w:val="009A51D8"/>
    <w:rsid w:val="009C279E"/>
    <w:rsid w:val="009D0FBF"/>
    <w:rsid w:val="009E6D3A"/>
    <w:rsid w:val="009E7D1E"/>
    <w:rsid w:val="00A0638E"/>
    <w:rsid w:val="00A436EB"/>
    <w:rsid w:val="00A622C6"/>
    <w:rsid w:val="00A66F67"/>
    <w:rsid w:val="00A806EA"/>
    <w:rsid w:val="00A81374"/>
    <w:rsid w:val="00A8766E"/>
    <w:rsid w:val="00A9441C"/>
    <w:rsid w:val="00AB2804"/>
    <w:rsid w:val="00AD0049"/>
    <w:rsid w:val="00AE14BC"/>
    <w:rsid w:val="00AE40C6"/>
    <w:rsid w:val="00AF10A9"/>
    <w:rsid w:val="00B002C3"/>
    <w:rsid w:val="00B03696"/>
    <w:rsid w:val="00B22C19"/>
    <w:rsid w:val="00B33FD2"/>
    <w:rsid w:val="00B53714"/>
    <w:rsid w:val="00B57948"/>
    <w:rsid w:val="00B615F5"/>
    <w:rsid w:val="00B72E25"/>
    <w:rsid w:val="00B91F44"/>
    <w:rsid w:val="00BA5420"/>
    <w:rsid w:val="00BA75FE"/>
    <w:rsid w:val="00BC44E1"/>
    <w:rsid w:val="00BC7B84"/>
    <w:rsid w:val="00BF2C0C"/>
    <w:rsid w:val="00C45392"/>
    <w:rsid w:val="00C74CAF"/>
    <w:rsid w:val="00C81C63"/>
    <w:rsid w:val="00C946EB"/>
    <w:rsid w:val="00CA6F74"/>
    <w:rsid w:val="00CA7E3A"/>
    <w:rsid w:val="00CD023F"/>
    <w:rsid w:val="00CF5297"/>
    <w:rsid w:val="00D27ABB"/>
    <w:rsid w:val="00D33EE3"/>
    <w:rsid w:val="00D417B1"/>
    <w:rsid w:val="00D53141"/>
    <w:rsid w:val="00D55EBA"/>
    <w:rsid w:val="00D7448D"/>
    <w:rsid w:val="00D777DF"/>
    <w:rsid w:val="00D941D1"/>
    <w:rsid w:val="00DC0A1A"/>
    <w:rsid w:val="00DC1868"/>
    <w:rsid w:val="00DD02C7"/>
    <w:rsid w:val="00DE236F"/>
    <w:rsid w:val="00DE53FC"/>
    <w:rsid w:val="00DE5E6D"/>
    <w:rsid w:val="00E258AC"/>
    <w:rsid w:val="00E26DD6"/>
    <w:rsid w:val="00E70D8D"/>
    <w:rsid w:val="00E85688"/>
    <w:rsid w:val="00E936F1"/>
    <w:rsid w:val="00EA430A"/>
    <w:rsid w:val="00ED16C4"/>
    <w:rsid w:val="00EF2688"/>
    <w:rsid w:val="00EF5FDA"/>
    <w:rsid w:val="00EF660B"/>
    <w:rsid w:val="00F26685"/>
    <w:rsid w:val="00F52F9A"/>
    <w:rsid w:val="00F60D30"/>
    <w:rsid w:val="00F83C44"/>
    <w:rsid w:val="00F85BAB"/>
    <w:rsid w:val="00F878CD"/>
    <w:rsid w:val="00FB067A"/>
    <w:rsid w:val="00FB0D80"/>
    <w:rsid w:val="00FC30BD"/>
    <w:rsid w:val="00FC5F7D"/>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7488</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2015-10-23T19:59:00Z</dcterms:created>
  <dcterms:modified xsi:type="dcterms:W3CDTF">2015-10-23T19:59:00Z</dcterms:modified>
  <cp:category> </cp:category>
  <cp:contentStatus> </cp:contentStatus>
</cp:coreProperties>
</file>