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297" w:rsidRPr="00740106" w:rsidRDefault="00B60297" w:rsidP="001D228A">
      <w:pPr>
        <w:pStyle w:val="Header"/>
        <w:jc w:val="center"/>
        <w:rPr>
          <w:szCs w:val="22"/>
        </w:rPr>
      </w:pPr>
      <w:bookmarkStart w:id="0" w:name="_GoBack"/>
      <w:bookmarkEnd w:id="0"/>
      <w:r w:rsidRPr="00740106">
        <w:rPr>
          <w:szCs w:val="22"/>
        </w:rPr>
        <w:t>Before the</w:t>
      </w:r>
    </w:p>
    <w:p w:rsidR="00B60297" w:rsidRPr="00740106" w:rsidRDefault="00B60297" w:rsidP="001D228A">
      <w:pPr>
        <w:pStyle w:val="Header"/>
        <w:jc w:val="center"/>
        <w:rPr>
          <w:szCs w:val="22"/>
        </w:rPr>
      </w:pPr>
      <w:r w:rsidRPr="00740106">
        <w:rPr>
          <w:szCs w:val="22"/>
        </w:rPr>
        <w:t>Federal Communications Commission</w:t>
      </w:r>
    </w:p>
    <w:p w:rsidR="00B60297" w:rsidRPr="00740106" w:rsidRDefault="00B60297" w:rsidP="001D228A">
      <w:pPr>
        <w:pStyle w:val="Header"/>
        <w:jc w:val="center"/>
        <w:rPr>
          <w:szCs w:val="22"/>
        </w:rPr>
      </w:pPr>
      <w:r w:rsidRPr="00740106">
        <w:rPr>
          <w:szCs w:val="22"/>
        </w:rPr>
        <w:t>Washington, DC  20554</w:t>
      </w:r>
    </w:p>
    <w:p w:rsidR="00740106" w:rsidRPr="00740106" w:rsidRDefault="00740106" w:rsidP="00740106">
      <w:pPr>
        <w:tabs>
          <w:tab w:val="center" w:pos="4680"/>
          <w:tab w:val="right" w:pos="9360"/>
        </w:tabs>
        <w:rPr>
          <w:szCs w:val="22"/>
        </w:rPr>
      </w:pPr>
    </w:p>
    <w:p w:rsidR="00740106" w:rsidRPr="00740106" w:rsidRDefault="00740106" w:rsidP="00740106">
      <w:pPr>
        <w:tabs>
          <w:tab w:val="center" w:pos="4680"/>
          <w:tab w:val="left" w:pos="5040"/>
          <w:tab w:val="right" w:pos="9360"/>
        </w:tabs>
        <w:rPr>
          <w:szCs w:val="22"/>
        </w:rPr>
      </w:pPr>
      <w:r w:rsidRPr="00740106">
        <w:rPr>
          <w:szCs w:val="22"/>
        </w:rPr>
        <w:t>In the Matter of</w:t>
      </w:r>
      <w:r w:rsidRPr="00740106">
        <w:rPr>
          <w:szCs w:val="22"/>
        </w:rPr>
        <w:tab/>
        <w:t>)</w:t>
      </w:r>
    </w:p>
    <w:p w:rsidR="00740106" w:rsidRPr="00740106" w:rsidRDefault="00740106" w:rsidP="00740106">
      <w:pPr>
        <w:tabs>
          <w:tab w:val="center" w:pos="4680"/>
          <w:tab w:val="left" w:pos="5040"/>
          <w:tab w:val="right" w:pos="9360"/>
        </w:tabs>
        <w:rPr>
          <w:szCs w:val="22"/>
        </w:rPr>
      </w:pPr>
      <w:r w:rsidRPr="00740106">
        <w:rPr>
          <w:szCs w:val="22"/>
        </w:rPr>
        <w:tab/>
        <w:t>)</w:t>
      </w:r>
    </w:p>
    <w:p w:rsidR="00740106" w:rsidRPr="00740106" w:rsidRDefault="00740106" w:rsidP="00740106">
      <w:pPr>
        <w:tabs>
          <w:tab w:val="center" w:pos="4680"/>
          <w:tab w:val="left" w:pos="5040"/>
          <w:tab w:val="right" w:pos="9360"/>
        </w:tabs>
        <w:rPr>
          <w:szCs w:val="22"/>
        </w:rPr>
      </w:pPr>
      <w:r w:rsidRPr="00740106">
        <w:rPr>
          <w:szCs w:val="22"/>
        </w:rPr>
        <w:t>Request for Review</w:t>
      </w:r>
      <w:r w:rsidRPr="00740106">
        <w:rPr>
          <w:szCs w:val="22"/>
        </w:rPr>
        <w:tab/>
        <w:t>)</w:t>
      </w:r>
    </w:p>
    <w:p w:rsidR="00740106" w:rsidRPr="00740106" w:rsidRDefault="00740106" w:rsidP="00740106">
      <w:pPr>
        <w:tabs>
          <w:tab w:val="center" w:pos="4680"/>
          <w:tab w:val="left" w:pos="5040"/>
          <w:tab w:val="right" w:pos="9360"/>
        </w:tabs>
        <w:rPr>
          <w:szCs w:val="22"/>
        </w:rPr>
      </w:pPr>
      <w:r w:rsidRPr="00740106">
        <w:rPr>
          <w:szCs w:val="22"/>
        </w:rPr>
        <w:tab/>
        <w:t>)</w:t>
      </w:r>
    </w:p>
    <w:p w:rsidR="00740106" w:rsidRPr="00740106" w:rsidRDefault="00740106" w:rsidP="00740106">
      <w:pPr>
        <w:tabs>
          <w:tab w:val="center" w:pos="4680"/>
          <w:tab w:val="left" w:pos="5040"/>
          <w:tab w:val="right" w:pos="9360"/>
        </w:tabs>
        <w:rPr>
          <w:szCs w:val="22"/>
        </w:rPr>
      </w:pPr>
      <w:r w:rsidRPr="00740106">
        <w:rPr>
          <w:szCs w:val="22"/>
        </w:rPr>
        <w:t>St. Vincent Health Suburban Health</w:t>
      </w:r>
      <w:r w:rsidR="00176F4C">
        <w:rPr>
          <w:szCs w:val="22"/>
        </w:rPr>
        <w:t xml:space="preserve"> Or</w:t>
      </w:r>
      <w:r w:rsidRPr="00740106">
        <w:rPr>
          <w:szCs w:val="22"/>
        </w:rPr>
        <w:t>ganization</w:t>
      </w:r>
      <w:r w:rsidRPr="00740106">
        <w:rPr>
          <w:szCs w:val="22"/>
        </w:rPr>
        <w:tab/>
        <w:t>)</w:t>
      </w:r>
      <w:r w:rsidRPr="00740106">
        <w:rPr>
          <w:szCs w:val="22"/>
        </w:rPr>
        <w:tab/>
      </w:r>
    </w:p>
    <w:p w:rsidR="00740106" w:rsidRPr="00740106" w:rsidRDefault="00740106" w:rsidP="00740106">
      <w:pPr>
        <w:tabs>
          <w:tab w:val="center" w:pos="4680"/>
          <w:tab w:val="left" w:pos="5040"/>
          <w:tab w:val="right" w:pos="9360"/>
        </w:tabs>
        <w:rPr>
          <w:szCs w:val="22"/>
        </w:rPr>
      </w:pPr>
      <w:r w:rsidRPr="00740106">
        <w:rPr>
          <w:szCs w:val="22"/>
        </w:rPr>
        <w:t>Indianapolis, Indiana</w:t>
      </w:r>
      <w:r>
        <w:rPr>
          <w:szCs w:val="22"/>
        </w:rPr>
        <w:tab/>
        <w:t>)</w:t>
      </w:r>
    </w:p>
    <w:p w:rsidR="00740106" w:rsidRPr="00740106" w:rsidRDefault="00740106" w:rsidP="00740106">
      <w:pPr>
        <w:tabs>
          <w:tab w:val="center" w:pos="4680"/>
          <w:tab w:val="left" w:pos="5040"/>
          <w:tab w:val="right" w:pos="9360"/>
        </w:tabs>
        <w:rPr>
          <w:szCs w:val="22"/>
        </w:rPr>
      </w:pPr>
      <w:r w:rsidRPr="00740106">
        <w:rPr>
          <w:szCs w:val="22"/>
        </w:rPr>
        <w:tab/>
        <w:t>)</w:t>
      </w:r>
    </w:p>
    <w:p w:rsidR="00740106" w:rsidRPr="00740106" w:rsidRDefault="00740106" w:rsidP="00740106">
      <w:pPr>
        <w:tabs>
          <w:tab w:val="center" w:pos="4680"/>
          <w:tab w:val="left" w:pos="5040"/>
          <w:tab w:val="right" w:pos="9360"/>
        </w:tabs>
        <w:rPr>
          <w:szCs w:val="22"/>
        </w:rPr>
      </w:pPr>
      <w:r w:rsidRPr="00740106">
        <w:rPr>
          <w:szCs w:val="22"/>
        </w:rPr>
        <w:t>Rural Health Care Universal Service</w:t>
      </w:r>
      <w:r w:rsidRPr="00740106">
        <w:rPr>
          <w:szCs w:val="22"/>
        </w:rPr>
        <w:tab/>
        <w:t xml:space="preserve">) </w:t>
      </w:r>
      <w:r w:rsidRPr="00740106">
        <w:rPr>
          <w:szCs w:val="22"/>
        </w:rPr>
        <w:tab/>
      </w:r>
      <w:r w:rsidR="006B5900">
        <w:rPr>
          <w:szCs w:val="22"/>
        </w:rPr>
        <w:t xml:space="preserve">     </w:t>
      </w:r>
      <w:r w:rsidRPr="00740106">
        <w:rPr>
          <w:szCs w:val="22"/>
        </w:rPr>
        <w:t>WC Docket No. 02-60</w:t>
      </w:r>
    </w:p>
    <w:p w:rsidR="00740106" w:rsidRPr="00740106" w:rsidRDefault="00740106" w:rsidP="00740106">
      <w:pPr>
        <w:tabs>
          <w:tab w:val="center" w:pos="4680"/>
          <w:tab w:val="left" w:pos="5040"/>
          <w:tab w:val="right" w:pos="9360"/>
        </w:tabs>
        <w:rPr>
          <w:b/>
          <w:szCs w:val="22"/>
        </w:rPr>
      </w:pPr>
      <w:r w:rsidRPr="00740106">
        <w:rPr>
          <w:szCs w:val="22"/>
        </w:rPr>
        <w:t>Support Mechanism</w:t>
      </w:r>
      <w:r w:rsidRPr="00740106">
        <w:rPr>
          <w:szCs w:val="22"/>
        </w:rPr>
        <w:tab/>
        <w:t>)</w:t>
      </w:r>
      <w:r w:rsidRPr="00740106">
        <w:rPr>
          <w:szCs w:val="22"/>
        </w:rPr>
        <w:tab/>
      </w:r>
    </w:p>
    <w:p w:rsidR="00B60297" w:rsidRPr="00740106" w:rsidRDefault="00B60297" w:rsidP="000D7879">
      <w:pPr>
        <w:pStyle w:val="Header"/>
        <w:rPr>
          <w:szCs w:val="22"/>
        </w:rPr>
      </w:pPr>
    </w:p>
    <w:p w:rsidR="00FB5B56" w:rsidRDefault="00FB5B56" w:rsidP="00D01D69">
      <w:pPr>
        <w:tabs>
          <w:tab w:val="center" w:pos="4680"/>
          <w:tab w:val="right" w:pos="9360"/>
        </w:tabs>
        <w:jc w:val="center"/>
        <w:rPr>
          <w:b/>
          <w:caps/>
          <w:szCs w:val="22"/>
        </w:rPr>
      </w:pPr>
    </w:p>
    <w:p w:rsidR="00740106" w:rsidRPr="00740106" w:rsidRDefault="00740106" w:rsidP="00D01D69">
      <w:pPr>
        <w:tabs>
          <w:tab w:val="center" w:pos="4680"/>
          <w:tab w:val="right" w:pos="9360"/>
        </w:tabs>
        <w:jc w:val="center"/>
        <w:rPr>
          <w:b/>
          <w:caps/>
          <w:szCs w:val="22"/>
        </w:rPr>
      </w:pPr>
      <w:r w:rsidRPr="00740106">
        <w:rPr>
          <w:b/>
          <w:caps/>
          <w:szCs w:val="22"/>
        </w:rPr>
        <w:t>order</w:t>
      </w:r>
    </w:p>
    <w:p w:rsidR="00B60297" w:rsidRPr="00740106" w:rsidRDefault="00B60297" w:rsidP="00D01D69">
      <w:pPr>
        <w:pStyle w:val="Header"/>
        <w:rPr>
          <w:szCs w:val="22"/>
        </w:rPr>
      </w:pPr>
      <w:r w:rsidRPr="00740106">
        <w:rPr>
          <w:szCs w:val="22"/>
        </w:rPr>
        <w:tab/>
      </w:r>
    </w:p>
    <w:p w:rsidR="00B60297" w:rsidRPr="00740106" w:rsidRDefault="0002323A" w:rsidP="00D01D69">
      <w:pPr>
        <w:pStyle w:val="Header"/>
        <w:rPr>
          <w:szCs w:val="22"/>
        </w:rPr>
      </w:pPr>
      <w:r w:rsidRPr="00740106">
        <w:rPr>
          <w:szCs w:val="22"/>
        </w:rPr>
        <w:t xml:space="preserve">Adopted:  </w:t>
      </w:r>
      <w:r w:rsidR="000E25A3">
        <w:rPr>
          <w:szCs w:val="22"/>
        </w:rPr>
        <w:t>Octo</w:t>
      </w:r>
      <w:r w:rsidR="0003752D">
        <w:rPr>
          <w:szCs w:val="22"/>
        </w:rPr>
        <w:t>ber</w:t>
      </w:r>
      <w:r w:rsidR="00C20467">
        <w:rPr>
          <w:szCs w:val="22"/>
        </w:rPr>
        <w:t xml:space="preserve"> </w:t>
      </w:r>
      <w:r w:rsidR="000E25A3">
        <w:rPr>
          <w:szCs w:val="22"/>
        </w:rPr>
        <w:t>2</w:t>
      </w:r>
      <w:r w:rsidR="00B63B63" w:rsidRPr="00740106">
        <w:rPr>
          <w:szCs w:val="22"/>
        </w:rPr>
        <w:t xml:space="preserve">, </w:t>
      </w:r>
      <w:r w:rsidRPr="00740106">
        <w:rPr>
          <w:szCs w:val="22"/>
        </w:rPr>
        <w:t>2015</w:t>
      </w:r>
      <w:r w:rsidR="003030D2" w:rsidRPr="00740106">
        <w:rPr>
          <w:szCs w:val="22"/>
        </w:rPr>
        <w:tab/>
      </w:r>
      <w:r w:rsidR="00B60297" w:rsidRPr="00740106">
        <w:rPr>
          <w:szCs w:val="22"/>
        </w:rPr>
        <w:tab/>
      </w:r>
      <w:r w:rsidR="003030D2" w:rsidRPr="00740106">
        <w:rPr>
          <w:szCs w:val="22"/>
        </w:rPr>
        <w:t xml:space="preserve">          </w:t>
      </w:r>
      <w:r w:rsidRPr="00740106">
        <w:rPr>
          <w:szCs w:val="22"/>
        </w:rPr>
        <w:t xml:space="preserve">    </w:t>
      </w:r>
      <w:r w:rsidR="00B63B63" w:rsidRPr="00740106">
        <w:rPr>
          <w:szCs w:val="22"/>
        </w:rPr>
        <w:t xml:space="preserve">   </w:t>
      </w:r>
      <w:r w:rsidR="001B2BBC" w:rsidRPr="00740106">
        <w:rPr>
          <w:szCs w:val="22"/>
        </w:rPr>
        <w:t xml:space="preserve"> </w:t>
      </w:r>
      <w:r w:rsidR="006B5900">
        <w:rPr>
          <w:szCs w:val="22"/>
        </w:rPr>
        <w:t xml:space="preserve">   </w:t>
      </w:r>
      <w:r w:rsidR="00E65FD3">
        <w:rPr>
          <w:szCs w:val="22"/>
        </w:rPr>
        <w:t xml:space="preserve">     </w:t>
      </w:r>
      <w:r w:rsidRPr="00740106">
        <w:rPr>
          <w:szCs w:val="22"/>
        </w:rPr>
        <w:t xml:space="preserve">Released:  </w:t>
      </w:r>
      <w:r w:rsidR="000E25A3">
        <w:rPr>
          <w:szCs w:val="22"/>
        </w:rPr>
        <w:t>Octo</w:t>
      </w:r>
      <w:r w:rsidR="0003752D">
        <w:rPr>
          <w:szCs w:val="22"/>
        </w:rPr>
        <w:t>ber</w:t>
      </w:r>
      <w:r w:rsidR="001927DE">
        <w:rPr>
          <w:szCs w:val="22"/>
        </w:rPr>
        <w:t xml:space="preserve"> </w:t>
      </w:r>
      <w:r w:rsidR="000E25A3">
        <w:rPr>
          <w:szCs w:val="22"/>
        </w:rPr>
        <w:t>2</w:t>
      </w:r>
      <w:r w:rsidRPr="00740106">
        <w:rPr>
          <w:szCs w:val="22"/>
        </w:rPr>
        <w:t>, 2015</w:t>
      </w:r>
    </w:p>
    <w:p w:rsidR="00B60297" w:rsidRPr="00740106" w:rsidRDefault="00B60297" w:rsidP="00D01D69">
      <w:pPr>
        <w:pStyle w:val="Titleinfo"/>
        <w:rPr>
          <w:szCs w:val="22"/>
        </w:rPr>
      </w:pPr>
    </w:p>
    <w:p w:rsidR="0025440C" w:rsidRPr="00740106" w:rsidRDefault="00E157A2" w:rsidP="00D01D69">
      <w:pPr>
        <w:pStyle w:val="ParaNum"/>
        <w:numPr>
          <w:ilvl w:val="0"/>
          <w:numId w:val="0"/>
        </w:numPr>
        <w:spacing w:after="0"/>
        <w:rPr>
          <w:szCs w:val="22"/>
        </w:rPr>
      </w:pPr>
      <w:r w:rsidRPr="00740106">
        <w:rPr>
          <w:szCs w:val="22"/>
        </w:rPr>
        <w:t xml:space="preserve">By the </w:t>
      </w:r>
      <w:r w:rsidR="00B60297" w:rsidRPr="00740106">
        <w:rPr>
          <w:szCs w:val="22"/>
        </w:rPr>
        <w:t>Chief, Telecommunications Ac</w:t>
      </w:r>
      <w:r w:rsidR="0047492B" w:rsidRPr="00740106">
        <w:rPr>
          <w:szCs w:val="22"/>
        </w:rPr>
        <w:t>ce</w:t>
      </w:r>
      <w:r w:rsidR="00FF420F">
        <w:rPr>
          <w:szCs w:val="22"/>
        </w:rPr>
        <w:t xml:space="preserve">ss Policy Division, </w:t>
      </w:r>
      <w:r w:rsidR="00B60297" w:rsidRPr="00740106">
        <w:rPr>
          <w:szCs w:val="22"/>
        </w:rPr>
        <w:t>Wireline Competition Bureau:</w:t>
      </w:r>
    </w:p>
    <w:p w:rsidR="00B60297" w:rsidRPr="00740106" w:rsidRDefault="00B60297" w:rsidP="00D01D69">
      <w:pPr>
        <w:pStyle w:val="ParaNum"/>
        <w:numPr>
          <w:ilvl w:val="0"/>
          <w:numId w:val="0"/>
        </w:numPr>
        <w:spacing w:after="0"/>
        <w:rPr>
          <w:szCs w:val="22"/>
        </w:rPr>
      </w:pPr>
      <w:r w:rsidRPr="00740106">
        <w:rPr>
          <w:szCs w:val="22"/>
        </w:rPr>
        <w:t xml:space="preserve"> </w:t>
      </w:r>
    </w:p>
    <w:p w:rsidR="0025440C" w:rsidRPr="00F63397" w:rsidRDefault="0025440C" w:rsidP="00F63397">
      <w:pPr>
        <w:pStyle w:val="Heading1"/>
        <w:rPr>
          <w:rFonts w:ascii="Times New Roman" w:hAnsi="Times New Roman"/>
          <w:szCs w:val="22"/>
        </w:rPr>
      </w:pPr>
      <w:r w:rsidRPr="00740106">
        <w:rPr>
          <w:rFonts w:ascii="Times New Roman" w:hAnsi="Times New Roman"/>
          <w:szCs w:val="22"/>
        </w:rPr>
        <w:t>INTRODUCTION</w:t>
      </w:r>
    </w:p>
    <w:p w:rsidR="00350C8B" w:rsidRPr="00F63397" w:rsidRDefault="006539BD" w:rsidP="00F63397">
      <w:pPr>
        <w:widowControl/>
        <w:numPr>
          <w:ilvl w:val="0"/>
          <w:numId w:val="18"/>
        </w:numPr>
        <w:spacing w:after="120"/>
        <w:ind w:left="0" w:firstLine="720"/>
        <w:rPr>
          <w:rFonts w:eastAsia="Calibri"/>
          <w:snapToGrid/>
          <w:kern w:val="0"/>
          <w:szCs w:val="22"/>
        </w:rPr>
      </w:pPr>
      <w:r w:rsidRPr="00740106">
        <w:rPr>
          <w:rStyle w:val="StyleNumberedparagraphs11ptChar"/>
          <w:szCs w:val="22"/>
        </w:rPr>
        <w:t>In this order, we deny</w:t>
      </w:r>
      <w:r w:rsidR="00415B88" w:rsidRPr="00740106">
        <w:rPr>
          <w:rStyle w:val="StyleNumberedparagraphs11ptChar"/>
          <w:szCs w:val="22"/>
        </w:rPr>
        <w:t xml:space="preserve"> a request from </w:t>
      </w:r>
      <w:r w:rsidRPr="00740106">
        <w:rPr>
          <w:rStyle w:val="StyleNumberedparagraphs11ptChar"/>
          <w:szCs w:val="22"/>
        </w:rPr>
        <w:t>St. Vincent Health Suburban Health Organization (St. Vincent Health SHO)</w:t>
      </w:r>
      <w:r w:rsidR="00DC7FE0">
        <w:rPr>
          <w:rStyle w:val="FootnoteReference"/>
          <w:szCs w:val="22"/>
        </w:rPr>
        <w:footnoteReference w:id="2"/>
      </w:r>
      <w:r w:rsidRPr="00740106">
        <w:rPr>
          <w:rStyle w:val="StyleNumberedparagraphs11ptChar"/>
          <w:szCs w:val="22"/>
        </w:rPr>
        <w:t xml:space="preserve"> </w:t>
      </w:r>
      <w:r w:rsidR="00415B88" w:rsidRPr="00740106">
        <w:rPr>
          <w:color w:val="000000"/>
          <w:szCs w:val="22"/>
          <w:shd w:val="clear" w:color="auto" w:fill="FFFFFF"/>
        </w:rPr>
        <w:t xml:space="preserve">seeking review </w:t>
      </w:r>
      <w:r w:rsidR="00415B88" w:rsidRPr="00740106">
        <w:rPr>
          <w:rStyle w:val="StyleNumberedparagraphs11ptChar"/>
          <w:szCs w:val="22"/>
        </w:rPr>
        <w:t>of de</w:t>
      </w:r>
      <w:r w:rsidR="00D64A04">
        <w:rPr>
          <w:rStyle w:val="StyleNumberedparagraphs11ptChar"/>
          <w:szCs w:val="22"/>
        </w:rPr>
        <w:t xml:space="preserve">cisions </w:t>
      </w:r>
      <w:r w:rsidR="00415B88" w:rsidRPr="00740106">
        <w:rPr>
          <w:rStyle w:val="StyleNumberedparagraphs11ptChar"/>
          <w:szCs w:val="22"/>
        </w:rPr>
        <w:t xml:space="preserve">made by the Universal Service Administrative Company (USAC) </w:t>
      </w:r>
      <w:r w:rsidR="00A12B94" w:rsidRPr="00740106">
        <w:rPr>
          <w:rFonts w:eastAsia="Calibri"/>
          <w:snapToGrid/>
          <w:kern w:val="0"/>
          <w:szCs w:val="22"/>
        </w:rPr>
        <w:t>under the rural health care universal service support mechanism (also known as the Rural Health Care (RHC) Program).</w:t>
      </w:r>
      <w:r w:rsidR="00A12B94" w:rsidRPr="00740106">
        <w:rPr>
          <w:rFonts w:eastAsia="Calibri"/>
          <w:snapToGrid/>
          <w:kern w:val="0"/>
          <w:szCs w:val="22"/>
          <w:vertAlign w:val="superscript"/>
        </w:rPr>
        <w:footnoteReference w:id="3"/>
      </w:r>
      <w:r w:rsidR="00A12B94" w:rsidRPr="00740106">
        <w:rPr>
          <w:rFonts w:eastAsia="Calibri"/>
          <w:snapToGrid/>
          <w:kern w:val="0"/>
          <w:szCs w:val="22"/>
        </w:rPr>
        <w:t xml:space="preserve">  In i</w:t>
      </w:r>
      <w:r w:rsidR="003A4E43" w:rsidRPr="00740106">
        <w:rPr>
          <w:rFonts w:eastAsia="Calibri"/>
          <w:snapToGrid/>
          <w:kern w:val="0"/>
          <w:szCs w:val="22"/>
        </w:rPr>
        <w:t>ts de</w:t>
      </w:r>
      <w:r w:rsidR="00D64A04">
        <w:rPr>
          <w:rFonts w:eastAsia="Calibri"/>
          <w:snapToGrid/>
          <w:kern w:val="0"/>
          <w:szCs w:val="22"/>
        </w:rPr>
        <w:t>cision</w:t>
      </w:r>
      <w:r w:rsidR="00C91E16">
        <w:rPr>
          <w:rFonts w:eastAsia="Calibri"/>
          <w:snapToGrid/>
          <w:kern w:val="0"/>
          <w:szCs w:val="22"/>
        </w:rPr>
        <w:t>s, USAC found 6</w:t>
      </w:r>
      <w:r w:rsidR="00BC1762">
        <w:rPr>
          <w:rFonts w:eastAsia="Calibri"/>
          <w:snapToGrid/>
          <w:kern w:val="0"/>
          <w:szCs w:val="22"/>
        </w:rPr>
        <w:t xml:space="preserve">1 </w:t>
      </w:r>
      <w:r w:rsidR="00015C56">
        <w:rPr>
          <w:rFonts w:eastAsia="Calibri"/>
          <w:snapToGrid/>
          <w:kern w:val="0"/>
          <w:szCs w:val="22"/>
        </w:rPr>
        <w:t xml:space="preserve">out of </w:t>
      </w:r>
      <w:r w:rsidR="007A774B">
        <w:rPr>
          <w:rFonts w:eastAsia="Calibri"/>
          <w:snapToGrid/>
          <w:kern w:val="0"/>
          <w:szCs w:val="22"/>
        </w:rPr>
        <w:t xml:space="preserve">St. Vincent Health SHO’s </w:t>
      </w:r>
      <w:r w:rsidR="00015C56">
        <w:rPr>
          <w:rFonts w:eastAsia="Calibri"/>
          <w:snapToGrid/>
          <w:kern w:val="0"/>
          <w:szCs w:val="22"/>
        </w:rPr>
        <w:t>146 service locations</w:t>
      </w:r>
      <w:r w:rsidR="007A774B">
        <w:rPr>
          <w:rFonts w:eastAsia="Calibri"/>
          <w:snapToGrid/>
          <w:kern w:val="0"/>
          <w:szCs w:val="22"/>
        </w:rPr>
        <w:t xml:space="preserve"> </w:t>
      </w:r>
      <w:r w:rsidR="007A51A3" w:rsidRPr="00740106">
        <w:rPr>
          <w:rFonts w:eastAsia="Calibri"/>
          <w:snapToGrid/>
          <w:kern w:val="0"/>
          <w:szCs w:val="22"/>
        </w:rPr>
        <w:t>ineligible to re</w:t>
      </w:r>
      <w:r w:rsidR="00A12B94" w:rsidRPr="00740106">
        <w:rPr>
          <w:rFonts w:eastAsia="Calibri"/>
          <w:snapToGrid/>
          <w:kern w:val="0"/>
          <w:szCs w:val="22"/>
        </w:rPr>
        <w:t>ceive support</w:t>
      </w:r>
      <w:r w:rsidR="00A12B94" w:rsidRPr="00A12B94">
        <w:rPr>
          <w:rFonts w:eastAsia="Calibri"/>
          <w:snapToGrid/>
          <w:kern w:val="0"/>
          <w:szCs w:val="22"/>
        </w:rPr>
        <w:t xml:space="preserve"> from the Healthcare Conn</w:t>
      </w:r>
      <w:r w:rsidR="00C142DB">
        <w:rPr>
          <w:rFonts w:eastAsia="Calibri"/>
          <w:snapToGrid/>
          <w:kern w:val="0"/>
          <w:szCs w:val="22"/>
        </w:rPr>
        <w:t xml:space="preserve">ect Fund—a component of the RHC </w:t>
      </w:r>
      <w:r w:rsidR="00C142DB" w:rsidRPr="00C142DB">
        <w:rPr>
          <w:rFonts w:eastAsia="Calibri"/>
          <w:snapToGrid/>
          <w:kern w:val="0"/>
          <w:szCs w:val="22"/>
        </w:rPr>
        <w:t>Program</w:t>
      </w:r>
      <w:r w:rsidR="00B27923">
        <w:rPr>
          <w:rFonts w:eastAsia="Calibri"/>
          <w:snapToGrid/>
          <w:kern w:val="0"/>
          <w:szCs w:val="22"/>
        </w:rPr>
        <w:t>.</w:t>
      </w:r>
      <w:r w:rsidR="00C142DB" w:rsidRPr="00C142DB">
        <w:rPr>
          <w:rFonts w:eastAsia="Calibri"/>
          <w:snapToGrid/>
          <w:kern w:val="0"/>
          <w:sz w:val="20"/>
          <w:szCs w:val="22"/>
          <w:vertAlign w:val="superscript"/>
        </w:rPr>
        <w:footnoteReference w:id="4"/>
      </w:r>
      <w:r w:rsidR="00B27923">
        <w:rPr>
          <w:rFonts w:eastAsia="Calibri"/>
          <w:snapToGrid/>
          <w:kern w:val="0"/>
          <w:szCs w:val="22"/>
        </w:rPr>
        <w:t xml:space="preserve">  </w:t>
      </w:r>
      <w:r w:rsidR="00C142DB">
        <w:rPr>
          <w:rFonts w:eastAsia="Calibri"/>
          <w:snapToGrid/>
          <w:kern w:val="0"/>
          <w:szCs w:val="22"/>
        </w:rPr>
        <w:t>W</w:t>
      </w:r>
      <w:r w:rsidR="00C142DB" w:rsidRPr="00C142DB">
        <w:rPr>
          <w:rFonts w:eastAsia="Calibri"/>
          <w:snapToGrid/>
          <w:kern w:val="0"/>
          <w:szCs w:val="22"/>
        </w:rPr>
        <w:t>e affirm USAC’s de</w:t>
      </w:r>
      <w:r w:rsidR="00D64A04">
        <w:rPr>
          <w:rFonts w:eastAsia="Calibri"/>
          <w:snapToGrid/>
          <w:kern w:val="0"/>
          <w:szCs w:val="22"/>
        </w:rPr>
        <w:t xml:space="preserve">terminations </w:t>
      </w:r>
      <w:r w:rsidR="00C142DB" w:rsidRPr="00C142DB">
        <w:rPr>
          <w:rFonts w:eastAsia="Calibri"/>
          <w:snapToGrid/>
          <w:kern w:val="0"/>
          <w:szCs w:val="22"/>
        </w:rPr>
        <w:t xml:space="preserve">and find that </w:t>
      </w:r>
      <w:r w:rsidR="00C142DB">
        <w:rPr>
          <w:rFonts w:eastAsia="Calibri"/>
          <w:snapToGrid/>
          <w:kern w:val="0"/>
          <w:szCs w:val="22"/>
        </w:rPr>
        <w:t xml:space="preserve">these sites are </w:t>
      </w:r>
      <w:r w:rsidR="008567D3">
        <w:rPr>
          <w:rFonts w:eastAsia="Calibri"/>
          <w:snapToGrid/>
          <w:kern w:val="0"/>
          <w:szCs w:val="22"/>
        </w:rPr>
        <w:t xml:space="preserve">neither </w:t>
      </w:r>
      <w:r w:rsidR="00C142DB">
        <w:rPr>
          <w:rFonts w:eastAsia="Calibri"/>
          <w:snapToGrid/>
          <w:kern w:val="0"/>
          <w:szCs w:val="22"/>
        </w:rPr>
        <w:t xml:space="preserve">“non-profit </w:t>
      </w:r>
      <w:r w:rsidR="00C142DB">
        <w:rPr>
          <w:rFonts w:eastAsia="Calibri"/>
          <w:snapToGrid/>
          <w:kern w:val="0"/>
          <w:szCs w:val="22"/>
        </w:rPr>
        <w:lastRenderedPageBreak/>
        <w:t xml:space="preserve">hospitals” </w:t>
      </w:r>
      <w:r w:rsidR="008567D3">
        <w:rPr>
          <w:rFonts w:eastAsia="Calibri"/>
          <w:snapToGrid/>
          <w:kern w:val="0"/>
          <w:szCs w:val="22"/>
        </w:rPr>
        <w:t>n</w:t>
      </w:r>
      <w:r w:rsidR="002F1946">
        <w:rPr>
          <w:rFonts w:eastAsia="Calibri"/>
          <w:snapToGrid/>
          <w:kern w:val="0"/>
          <w:szCs w:val="22"/>
        </w:rPr>
        <w:t>or “rural health clinics”</w:t>
      </w:r>
      <w:r w:rsidR="00134EA7">
        <w:rPr>
          <w:rFonts w:eastAsia="Calibri"/>
          <w:snapToGrid/>
          <w:kern w:val="0"/>
          <w:szCs w:val="22"/>
        </w:rPr>
        <w:t xml:space="preserve"> </w:t>
      </w:r>
      <w:r w:rsidR="00C142DB" w:rsidRPr="00C142DB">
        <w:rPr>
          <w:rFonts w:eastAsia="Calibri"/>
          <w:snapToGrid/>
          <w:kern w:val="0"/>
          <w:szCs w:val="22"/>
        </w:rPr>
        <w:t>as defined by section 254(h)(7)(B) of the Communications Act of 1934 (the Act) and section 54.600(a) of the Commis</w:t>
      </w:r>
      <w:r w:rsidR="00FB1A38">
        <w:rPr>
          <w:rFonts w:eastAsia="Calibri"/>
          <w:snapToGrid/>
          <w:kern w:val="0"/>
          <w:szCs w:val="22"/>
        </w:rPr>
        <w:t xml:space="preserve">sion’s rules, and therefore </w:t>
      </w:r>
      <w:r w:rsidR="00C142DB" w:rsidRPr="00C142DB">
        <w:rPr>
          <w:rFonts w:eastAsia="Calibri"/>
          <w:snapToGrid/>
          <w:kern w:val="0"/>
          <w:szCs w:val="22"/>
        </w:rPr>
        <w:t>ineligible to receive support under the Healthcare Connect Fund.</w:t>
      </w:r>
      <w:r w:rsidR="00C142DB" w:rsidRPr="00C142DB">
        <w:rPr>
          <w:rFonts w:eastAsia="Calibri"/>
          <w:snapToGrid/>
          <w:kern w:val="0"/>
          <w:szCs w:val="22"/>
          <w:vertAlign w:val="superscript"/>
        </w:rPr>
        <w:footnoteReference w:id="5"/>
      </w:r>
    </w:p>
    <w:p w:rsidR="00415B88" w:rsidRPr="00F63397" w:rsidRDefault="0025440C" w:rsidP="00F63397">
      <w:pPr>
        <w:pStyle w:val="Heading1"/>
        <w:rPr>
          <w:rStyle w:val="StyleNumberedparagraphs11ptChar"/>
          <w:rFonts w:eastAsia="Calibri"/>
        </w:rPr>
      </w:pPr>
      <w:r>
        <w:rPr>
          <w:rFonts w:eastAsia="Calibri"/>
        </w:rPr>
        <w:t>BACKGROUND</w:t>
      </w:r>
    </w:p>
    <w:p w:rsidR="00D91B19" w:rsidRPr="00F63397" w:rsidRDefault="00DA4F2C" w:rsidP="00F63397">
      <w:pPr>
        <w:widowControl/>
        <w:numPr>
          <w:ilvl w:val="0"/>
          <w:numId w:val="18"/>
        </w:numPr>
        <w:spacing w:after="120"/>
        <w:ind w:left="0" w:firstLine="720"/>
        <w:rPr>
          <w:rFonts w:eastAsia="Calibri"/>
          <w:snapToGrid/>
          <w:kern w:val="0"/>
          <w:szCs w:val="22"/>
        </w:rPr>
      </w:pPr>
      <w:r w:rsidRPr="00DA4F2C">
        <w:rPr>
          <w:rFonts w:eastAsia="Calibri"/>
          <w:snapToGrid/>
          <w:kern w:val="0"/>
          <w:szCs w:val="22"/>
        </w:rPr>
        <w:t>As part of the Telecommunications Act of 1996, Congress recognized the value of providing rural health care providers with “an affordable rate for the services necessary for the provision of telemedicine and instruction relating to such services.”</w:t>
      </w:r>
      <w:r w:rsidRPr="00DA4F2C">
        <w:rPr>
          <w:rFonts w:eastAsia="Calibri"/>
          <w:snapToGrid/>
          <w:kern w:val="0"/>
          <w:szCs w:val="22"/>
          <w:vertAlign w:val="superscript"/>
        </w:rPr>
        <w:t xml:space="preserve"> </w:t>
      </w:r>
      <w:r w:rsidRPr="00DA4F2C">
        <w:rPr>
          <w:rFonts w:eastAsia="Calibri"/>
          <w:snapToGrid/>
          <w:kern w:val="0"/>
          <w:szCs w:val="22"/>
          <w:vertAlign w:val="superscript"/>
        </w:rPr>
        <w:footnoteReference w:id="6"/>
      </w:r>
      <w:r w:rsidR="001034A4">
        <w:rPr>
          <w:rFonts w:eastAsia="Calibri"/>
          <w:snapToGrid/>
          <w:kern w:val="0"/>
          <w:szCs w:val="22"/>
          <w:vertAlign w:val="superscript"/>
        </w:rPr>
        <w:t xml:space="preserve"> </w:t>
      </w:r>
      <w:r w:rsidR="001034A4">
        <w:rPr>
          <w:rFonts w:eastAsia="Calibri"/>
          <w:snapToGrid/>
          <w:kern w:val="0"/>
          <w:szCs w:val="22"/>
        </w:rPr>
        <w:t xml:space="preserve"> </w:t>
      </w:r>
      <w:r w:rsidRPr="00DA4F2C">
        <w:rPr>
          <w:rFonts w:eastAsia="Calibri"/>
          <w:snapToGrid/>
          <w:kern w:val="0"/>
          <w:szCs w:val="22"/>
        </w:rPr>
        <w:t>Eligible health care providers, as defined in the 1996 Act</w:t>
      </w:r>
      <w:r w:rsidR="001A4505">
        <w:rPr>
          <w:rFonts w:eastAsia="Calibri"/>
          <w:snapToGrid/>
          <w:kern w:val="0"/>
          <w:szCs w:val="22"/>
        </w:rPr>
        <w:t xml:space="preserve"> and implemented in the Commission’s rules</w:t>
      </w:r>
      <w:r w:rsidRPr="00DA4F2C">
        <w:rPr>
          <w:rFonts w:eastAsia="Calibri"/>
          <w:snapToGrid/>
          <w:kern w:val="0"/>
          <w:szCs w:val="22"/>
        </w:rPr>
        <w:t xml:space="preserve">, </w:t>
      </w:r>
      <w:r w:rsidR="008567D3">
        <w:rPr>
          <w:rFonts w:eastAsia="Calibri"/>
          <w:snapToGrid/>
          <w:kern w:val="0"/>
          <w:szCs w:val="22"/>
        </w:rPr>
        <w:t>are limited to</w:t>
      </w:r>
      <w:r w:rsidRPr="00DA4F2C">
        <w:rPr>
          <w:rFonts w:eastAsia="Calibri"/>
          <w:snapToGrid/>
          <w:kern w:val="0"/>
          <w:szCs w:val="22"/>
        </w:rPr>
        <w:t>: (1) post-secondary educational institutions offering health care instruction, teaching hospitals, and medical schools; (2) community health centers or health centers providing health care to migrants; (3) local health departments or agencies; (4) community mental health centers; (5) not-for-profit hospitals; (6) rural health clinics; and (7) consortium of health care providers consisting of one or more entities falling into the first six categories.</w:t>
      </w:r>
      <w:r w:rsidRPr="00DA4F2C">
        <w:rPr>
          <w:rFonts w:eastAsia="Calibri"/>
          <w:snapToGrid/>
          <w:kern w:val="0"/>
          <w:sz w:val="20"/>
          <w:szCs w:val="22"/>
          <w:vertAlign w:val="superscript"/>
        </w:rPr>
        <w:footnoteReference w:id="7"/>
      </w:r>
      <w:r w:rsidRPr="00DA4F2C">
        <w:rPr>
          <w:rFonts w:eastAsia="Calibri"/>
          <w:snapToGrid/>
          <w:kern w:val="0"/>
          <w:szCs w:val="22"/>
        </w:rPr>
        <w:t xml:space="preserve">  In addition, eligible health care providers must be non-profit or public.</w:t>
      </w:r>
      <w:r w:rsidRPr="00DA4F2C">
        <w:rPr>
          <w:rFonts w:eastAsia="Calibri"/>
          <w:snapToGrid/>
          <w:kern w:val="0"/>
          <w:sz w:val="20"/>
          <w:szCs w:val="22"/>
          <w:vertAlign w:val="superscript"/>
        </w:rPr>
        <w:footnoteReference w:id="8"/>
      </w:r>
      <w:r>
        <w:rPr>
          <w:rFonts w:eastAsia="Calibri"/>
          <w:snapToGrid/>
          <w:kern w:val="0"/>
          <w:szCs w:val="22"/>
        </w:rPr>
        <w:t xml:space="preserve">  </w:t>
      </w:r>
    </w:p>
    <w:p w:rsidR="00C56CC3" w:rsidRPr="00F63397" w:rsidRDefault="0025440C" w:rsidP="00F63397">
      <w:pPr>
        <w:widowControl/>
        <w:numPr>
          <w:ilvl w:val="0"/>
          <w:numId w:val="18"/>
        </w:numPr>
        <w:spacing w:after="120"/>
        <w:ind w:left="0" w:firstLine="720"/>
        <w:rPr>
          <w:rFonts w:eastAsia="Calibri"/>
          <w:snapToGrid/>
          <w:kern w:val="0"/>
          <w:szCs w:val="22"/>
        </w:rPr>
      </w:pPr>
      <w:r w:rsidRPr="0025440C">
        <w:rPr>
          <w:rFonts w:eastAsia="Calibri"/>
          <w:i/>
          <w:snapToGrid/>
          <w:kern w:val="0"/>
          <w:szCs w:val="22"/>
        </w:rPr>
        <w:t>Healthcare Connect Fund</w:t>
      </w:r>
      <w:r w:rsidR="00295305">
        <w:rPr>
          <w:rFonts w:eastAsia="Calibri"/>
          <w:snapToGrid/>
          <w:kern w:val="0"/>
          <w:szCs w:val="22"/>
        </w:rPr>
        <w:t xml:space="preserve">.  </w:t>
      </w:r>
      <w:r w:rsidR="00D91B19">
        <w:rPr>
          <w:rFonts w:eastAsia="Calibri"/>
          <w:snapToGrid/>
          <w:kern w:val="0"/>
          <w:szCs w:val="22"/>
        </w:rPr>
        <w:t xml:space="preserve">In 2012, </w:t>
      </w:r>
      <w:r w:rsidR="00DA4F2C" w:rsidRPr="00DA4F2C">
        <w:rPr>
          <w:rFonts w:eastAsia="Calibri"/>
          <w:snapToGrid/>
          <w:kern w:val="0"/>
          <w:szCs w:val="22"/>
          <w:lang w:val="en"/>
        </w:rPr>
        <w:t xml:space="preserve">the Commission </w:t>
      </w:r>
      <w:r w:rsidR="00DA4F2C" w:rsidRPr="00DA4F2C">
        <w:rPr>
          <w:rFonts w:eastAsia="Calibri"/>
          <w:snapToGrid/>
          <w:kern w:val="0"/>
          <w:szCs w:val="22"/>
        </w:rPr>
        <w:t xml:space="preserve">adopted the </w:t>
      </w:r>
      <w:r w:rsidR="00DA4F2C" w:rsidRPr="00DA4F2C">
        <w:rPr>
          <w:rFonts w:eastAsia="Calibri"/>
          <w:i/>
          <w:snapToGrid/>
          <w:kern w:val="0"/>
          <w:szCs w:val="22"/>
        </w:rPr>
        <w:t>Healthcare Connect Fund Order</w:t>
      </w:r>
      <w:r w:rsidR="00DA4F2C" w:rsidRPr="00DA4F2C">
        <w:rPr>
          <w:rFonts w:eastAsia="Calibri"/>
          <w:snapToGrid/>
          <w:kern w:val="0"/>
          <w:szCs w:val="22"/>
        </w:rPr>
        <w:t>, which permanently reformed and modernized the RHC Program.</w:t>
      </w:r>
      <w:r w:rsidR="00DA4F2C" w:rsidRPr="00DA4F2C">
        <w:rPr>
          <w:rFonts w:eastAsia="Calibri"/>
          <w:snapToGrid/>
          <w:kern w:val="0"/>
          <w:szCs w:val="22"/>
          <w:vertAlign w:val="superscript"/>
        </w:rPr>
        <w:footnoteReference w:id="9"/>
      </w:r>
      <w:bookmarkStart w:id="1" w:name="FN[FN41]"/>
      <w:bookmarkEnd w:id="1"/>
      <w:r w:rsidR="00295305">
        <w:rPr>
          <w:rFonts w:eastAsia="Calibri"/>
          <w:snapToGrid/>
          <w:kern w:val="0"/>
          <w:szCs w:val="22"/>
        </w:rPr>
        <w:t xml:space="preserve">  </w:t>
      </w:r>
      <w:r w:rsidR="00D91B19">
        <w:rPr>
          <w:rFonts w:eastAsia="Calibri"/>
          <w:snapToGrid/>
          <w:kern w:val="0"/>
          <w:szCs w:val="22"/>
        </w:rPr>
        <w:t>T</w:t>
      </w:r>
      <w:r w:rsidR="00DA4F2C" w:rsidRPr="00DA4F2C">
        <w:rPr>
          <w:rFonts w:eastAsia="Calibri"/>
          <w:snapToGrid/>
          <w:kern w:val="0"/>
          <w:szCs w:val="22"/>
        </w:rPr>
        <w:t xml:space="preserve">he Healthcare Connect Fund provides support for high-capacity broadband connectivity to eligible health care providers, encourages the formation of state and regional broadband networks, </w:t>
      </w:r>
      <w:r w:rsidR="00DA4F2C" w:rsidRPr="00DA4F2C">
        <w:rPr>
          <w:rFonts w:eastAsia="Calibri"/>
          <w:bCs/>
          <w:iCs/>
          <w:snapToGrid/>
          <w:kern w:val="0"/>
          <w:szCs w:val="22"/>
        </w:rPr>
        <w:t>and expands the benefits of telemedicine nationwide.</w:t>
      </w:r>
      <w:r w:rsidR="00DA4F2C" w:rsidRPr="00DA4F2C">
        <w:rPr>
          <w:rFonts w:eastAsia="Calibri"/>
          <w:snapToGrid/>
          <w:kern w:val="0"/>
          <w:szCs w:val="22"/>
          <w:vertAlign w:val="superscript"/>
        </w:rPr>
        <w:footnoteReference w:id="10"/>
      </w:r>
      <w:r w:rsidR="00DA4F2C" w:rsidRPr="00DA4F2C">
        <w:rPr>
          <w:rFonts w:eastAsia="Calibri"/>
          <w:snapToGrid/>
          <w:kern w:val="0"/>
          <w:szCs w:val="22"/>
        </w:rPr>
        <w:t xml:space="preserve">  </w:t>
      </w:r>
      <w:r w:rsidR="00350C8B">
        <w:rPr>
          <w:rFonts w:eastAsia="Calibri"/>
          <w:snapToGrid/>
          <w:kern w:val="0"/>
          <w:szCs w:val="22"/>
        </w:rPr>
        <w:t xml:space="preserve">A health care provider </w:t>
      </w:r>
      <w:r w:rsidR="00D4622B" w:rsidRPr="00D4622B">
        <w:rPr>
          <w:rFonts w:eastAsia="Calibri"/>
          <w:snapToGrid/>
          <w:kern w:val="0"/>
          <w:szCs w:val="22"/>
        </w:rPr>
        <w:t>is eligible to receive support from the Healthcare Connect Fund if it: (1) is a public or non-profit health care provider</w:t>
      </w:r>
      <w:r w:rsidR="00D4622B" w:rsidRPr="00D4622B">
        <w:rPr>
          <w:rFonts w:eastAsia="Calibri"/>
          <w:snapToGrid/>
          <w:spacing w:val="-5"/>
          <w:kern w:val="0"/>
          <w:szCs w:val="22"/>
          <w:vertAlign w:val="superscript"/>
        </w:rPr>
        <w:footnoteReference w:id="11"/>
      </w:r>
      <w:r w:rsidR="00D4622B" w:rsidRPr="00D4622B">
        <w:rPr>
          <w:rFonts w:eastAsia="Calibri"/>
          <w:snapToGrid/>
          <w:spacing w:val="-5"/>
          <w:kern w:val="0"/>
          <w:szCs w:val="22"/>
          <w:vertAlign w:val="superscript"/>
        </w:rPr>
        <w:t xml:space="preserve"> </w:t>
      </w:r>
      <w:r w:rsidR="00D4622B" w:rsidRPr="00D4622B">
        <w:rPr>
          <w:rFonts w:eastAsia="Calibri"/>
          <w:snapToGrid/>
          <w:kern w:val="0"/>
          <w:szCs w:val="22"/>
        </w:rPr>
        <w:t>and (2) qualifies as a “health care provider” under the Act and the Commission’s rules.</w:t>
      </w:r>
      <w:r w:rsidR="00D4622B" w:rsidRPr="00D4622B">
        <w:rPr>
          <w:rFonts w:eastAsia="Calibri"/>
          <w:snapToGrid/>
          <w:spacing w:val="-5"/>
          <w:kern w:val="0"/>
          <w:szCs w:val="22"/>
          <w:vertAlign w:val="superscript"/>
        </w:rPr>
        <w:footnoteReference w:id="12"/>
      </w:r>
      <w:r w:rsidR="00D4622B" w:rsidRPr="00A138A0">
        <w:rPr>
          <w:rFonts w:eastAsia="Calibri"/>
          <w:spacing w:val="-5"/>
          <w:kern w:val="0"/>
        </w:rPr>
        <w:t xml:space="preserve">  </w:t>
      </w:r>
      <w:r w:rsidR="00D4622B" w:rsidRPr="00D4622B">
        <w:rPr>
          <w:rFonts w:eastAsia="Calibri"/>
          <w:snapToGrid/>
          <w:spacing w:val="-5"/>
          <w:kern w:val="0"/>
          <w:szCs w:val="22"/>
        </w:rPr>
        <w:t>To keep the focus of the program on rural needs, the Healthcare Connect Fund specifically targets funding to eligible rural health care providers</w:t>
      </w:r>
      <w:r w:rsidR="00843A09">
        <w:rPr>
          <w:rFonts w:eastAsia="Calibri"/>
          <w:snapToGrid/>
          <w:spacing w:val="-5"/>
          <w:kern w:val="0"/>
          <w:szCs w:val="22"/>
        </w:rPr>
        <w:t>,</w:t>
      </w:r>
      <w:r w:rsidR="00D4622B" w:rsidRPr="00D4622B">
        <w:rPr>
          <w:rFonts w:eastAsia="Calibri"/>
          <w:snapToGrid/>
          <w:spacing w:val="-5"/>
          <w:kern w:val="0"/>
          <w:szCs w:val="22"/>
        </w:rPr>
        <w:t xml:space="preserve"> who</w:t>
      </w:r>
      <w:r w:rsidR="00D4622B" w:rsidRPr="00A138A0">
        <w:rPr>
          <w:rFonts w:eastAsia="Calibri"/>
          <w:kern w:val="0"/>
          <w:lang w:val="en"/>
        </w:rPr>
        <w:t xml:space="preserve"> </w:t>
      </w:r>
      <w:r w:rsidR="00D4622B" w:rsidRPr="00D4622B">
        <w:rPr>
          <w:rFonts w:eastAsia="Calibri"/>
          <w:snapToGrid/>
          <w:kern w:val="0"/>
          <w:szCs w:val="22"/>
          <w:lang w:val="en"/>
        </w:rPr>
        <w:t>can receive a 65 percent discount on all eligible expenses.</w:t>
      </w:r>
      <w:r w:rsidR="00D4622B" w:rsidRPr="00D4622B">
        <w:rPr>
          <w:rFonts w:eastAsia="Calibri"/>
          <w:snapToGrid/>
          <w:kern w:val="0"/>
          <w:szCs w:val="22"/>
          <w:vertAlign w:val="superscript"/>
          <w:lang w:val="en"/>
        </w:rPr>
        <w:footnoteReference w:id="13"/>
      </w:r>
      <w:r w:rsidR="00D4622B" w:rsidRPr="00D4622B">
        <w:rPr>
          <w:rFonts w:eastAsia="Calibri"/>
          <w:snapToGrid/>
          <w:kern w:val="0"/>
          <w:szCs w:val="22"/>
        </w:rPr>
        <w:t xml:space="preserve">  </w:t>
      </w:r>
      <w:r w:rsidR="00DA4F2C" w:rsidRPr="00C56CC3">
        <w:rPr>
          <w:rFonts w:eastAsia="Calibri"/>
          <w:snapToGrid/>
          <w:spacing w:val="-5"/>
          <w:kern w:val="0"/>
          <w:szCs w:val="22"/>
        </w:rPr>
        <w:t xml:space="preserve">Recognizing that there can be benefits to rural health </w:t>
      </w:r>
      <w:r w:rsidR="000725FA">
        <w:rPr>
          <w:rFonts w:eastAsia="Calibri"/>
          <w:snapToGrid/>
          <w:spacing w:val="-5"/>
          <w:kern w:val="0"/>
          <w:szCs w:val="22"/>
        </w:rPr>
        <w:t xml:space="preserve">care </w:t>
      </w:r>
      <w:r w:rsidR="00DA4F2C" w:rsidRPr="00C56CC3">
        <w:rPr>
          <w:rFonts w:eastAsia="Calibri"/>
          <w:snapToGrid/>
          <w:spacing w:val="-5"/>
          <w:kern w:val="0"/>
          <w:szCs w:val="22"/>
        </w:rPr>
        <w:t xml:space="preserve">by </w:t>
      </w:r>
      <w:r w:rsidR="00DA4F2C" w:rsidRPr="00C56CC3">
        <w:rPr>
          <w:rFonts w:eastAsia="Calibri"/>
          <w:snapToGrid/>
          <w:spacing w:val="-5"/>
          <w:kern w:val="0"/>
          <w:szCs w:val="22"/>
        </w:rPr>
        <w:lastRenderedPageBreak/>
        <w:t xml:space="preserve">including non-rural participants as well, the Healthcare Connect Fund also provides funding to certain non-rural entities.  Specifically, </w:t>
      </w:r>
      <w:r w:rsidR="00DA4F2C" w:rsidRPr="00C56CC3">
        <w:rPr>
          <w:rFonts w:eastAsia="Calibri"/>
          <w:snapToGrid/>
          <w:kern w:val="0"/>
          <w:szCs w:val="22"/>
          <w:lang w:val="en"/>
        </w:rPr>
        <w:t xml:space="preserve">eligible </w:t>
      </w:r>
      <w:r w:rsidR="00350C8B">
        <w:rPr>
          <w:rFonts w:eastAsia="Calibri"/>
          <w:snapToGrid/>
          <w:kern w:val="0"/>
          <w:szCs w:val="22"/>
          <w:lang w:val="en"/>
        </w:rPr>
        <w:t xml:space="preserve">non-rural health care providers (satisfying criteria (1) and (2)) </w:t>
      </w:r>
      <w:r w:rsidR="00843A09" w:rsidRPr="00843A09">
        <w:rPr>
          <w:rFonts w:eastAsia="Calibri"/>
          <w:snapToGrid/>
          <w:kern w:val="0"/>
          <w:szCs w:val="22"/>
          <w:lang w:val="en"/>
        </w:rPr>
        <w:t>can receive a 65 percent discount on all eligible expenses</w:t>
      </w:r>
      <w:r w:rsidR="00843A09">
        <w:rPr>
          <w:rFonts w:eastAsia="Calibri"/>
          <w:snapToGrid/>
          <w:kern w:val="0"/>
          <w:szCs w:val="22"/>
          <w:lang w:val="en"/>
        </w:rPr>
        <w:t xml:space="preserve"> if they </w:t>
      </w:r>
      <w:r w:rsidR="00DA4F2C" w:rsidRPr="00843A09">
        <w:rPr>
          <w:rFonts w:eastAsia="Calibri"/>
          <w:snapToGrid/>
          <w:kern w:val="0"/>
          <w:szCs w:val="22"/>
          <w:lang w:val="en"/>
        </w:rPr>
        <w:t xml:space="preserve">are members of a consortium </w:t>
      </w:r>
      <w:r w:rsidR="00DB1DB3" w:rsidRPr="00843A09">
        <w:rPr>
          <w:rFonts w:eastAsia="Calibri"/>
          <w:snapToGrid/>
          <w:kern w:val="0"/>
          <w:szCs w:val="22"/>
          <w:lang w:val="en"/>
        </w:rPr>
        <w:t xml:space="preserve">in which </w:t>
      </w:r>
      <w:r w:rsidR="00DA4F2C" w:rsidRPr="00843A09">
        <w:rPr>
          <w:rFonts w:eastAsia="Calibri"/>
          <w:snapToGrid/>
          <w:kern w:val="0"/>
          <w:szCs w:val="22"/>
          <w:lang w:val="en"/>
        </w:rPr>
        <w:t xml:space="preserve">more than 50 percent </w:t>
      </w:r>
      <w:r w:rsidR="00843A09" w:rsidRPr="00843A09">
        <w:rPr>
          <w:rFonts w:eastAsia="Calibri"/>
          <w:snapToGrid/>
          <w:kern w:val="0"/>
          <w:szCs w:val="22"/>
          <w:lang w:val="en"/>
        </w:rPr>
        <w:t xml:space="preserve">of the sites are </w:t>
      </w:r>
      <w:r w:rsidR="00DA4F2C" w:rsidRPr="00843A09">
        <w:rPr>
          <w:rFonts w:eastAsia="Calibri"/>
          <w:snapToGrid/>
          <w:kern w:val="0"/>
          <w:szCs w:val="22"/>
          <w:lang w:val="en"/>
        </w:rPr>
        <w:t>rural health care provider sites.</w:t>
      </w:r>
      <w:r w:rsidR="00DA4F2C" w:rsidRPr="00DA4F2C">
        <w:rPr>
          <w:rFonts w:eastAsia="Calibri"/>
          <w:snapToGrid/>
          <w:kern w:val="0"/>
          <w:szCs w:val="22"/>
          <w:vertAlign w:val="superscript"/>
          <w:lang w:val="en"/>
        </w:rPr>
        <w:footnoteReference w:id="14"/>
      </w:r>
      <w:r w:rsidR="00DA4F2C" w:rsidRPr="00843A09">
        <w:rPr>
          <w:rFonts w:eastAsia="Calibri"/>
          <w:snapToGrid/>
          <w:kern w:val="0"/>
          <w:szCs w:val="22"/>
        </w:rPr>
        <w:t xml:space="preserve">  Ineligible non-rural entities</w:t>
      </w:r>
      <w:r w:rsidR="00350C8B" w:rsidRPr="00843A09">
        <w:rPr>
          <w:rFonts w:eastAsia="Calibri"/>
          <w:snapToGrid/>
          <w:kern w:val="0"/>
          <w:szCs w:val="22"/>
        </w:rPr>
        <w:t xml:space="preserve"> </w:t>
      </w:r>
      <w:r w:rsidR="00350C8B" w:rsidRPr="00843A09">
        <w:rPr>
          <w:rFonts w:eastAsia="Calibri"/>
          <w:snapToGrid/>
          <w:kern w:val="0"/>
          <w:szCs w:val="22"/>
          <w:lang w:val="en"/>
        </w:rPr>
        <w:t>(not satisfying criteria (1) and (2))</w:t>
      </w:r>
      <w:r w:rsidR="00DA4F2C" w:rsidRPr="00843A09">
        <w:rPr>
          <w:rFonts w:eastAsia="Calibri"/>
          <w:snapToGrid/>
          <w:kern w:val="0"/>
          <w:szCs w:val="22"/>
        </w:rPr>
        <w:t>, while permitted to participate as members of a consortium, cannot receive support from the Healthcare Connect Fund and must pay their “fair share” of the network costs.</w:t>
      </w:r>
      <w:r w:rsidR="00DA4F2C" w:rsidRPr="00DA4F2C">
        <w:rPr>
          <w:rFonts w:eastAsia="Calibri"/>
          <w:snapToGrid/>
          <w:kern w:val="0"/>
          <w:sz w:val="20"/>
          <w:szCs w:val="22"/>
          <w:vertAlign w:val="superscript"/>
        </w:rPr>
        <w:footnoteReference w:id="15"/>
      </w:r>
      <w:r w:rsidR="00DA4F2C" w:rsidRPr="00843A09">
        <w:rPr>
          <w:rFonts w:eastAsia="Calibri"/>
          <w:snapToGrid/>
          <w:kern w:val="0"/>
          <w:szCs w:val="22"/>
        </w:rPr>
        <w:t xml:space="preserve">  </w:t>
      </w:r>
    </w:p>
    <w:p w:rsidR="009F11FC" w:rsidRPr="00F63397" w:rsidRDefault="007F3181" w:rsidP="00F63397">
      <w:pPr>
        <w:widowControl/>
        <w:numPr>
          <w:ilvl w:val="0"/>
          <w:numId w:val="18"/>
        </w:numPr>
        <w:spacing w:after="120"/>
        <w:ind w:left="0" w:firstLine="720"/>
        <w:rPr>
          <w:rFonts w:eastAsia="Calibri"/>
          <w:snapToGrid/>
          <w:kern w:val="0"/>
          <w:szCs w:val="22"/>
        </w:rPr>
      </w:pPr>
      <w:r>
        <w:t>Consistent with the Commission’s rules, i</w:t>
      </w:r>
      <w:r w:rsidR="00DA4F2C" w:rsidRPr="00DA4F2C">
        <w:rPr>
          <w:rFonts w:eastAsia="Calibri"/>
          <w:snapToGrid/>
          <w:spacing w:val="-5"/>
          <w:kern w:val="0"/>
          <w:szCs w:val="22"/>
        </w:rPr>
        <w:t>n order to seek funding under the Healthcare Connect Fund, eligible health care providers or a consortium of eligible health care providers must submit an FCC Form 460 to USAC to obtain an eligibility determination from USAC for each health care provider site.</w:t>
      </w:r>
      <w:r w:rsidR="00DA4F2C" w:rsidRPr="00DA4F2C">
        <w:rPr>
          <w:rFonts w:eastAsia="Calibri"/>
          <w:snapToGrid/>
          <w:spacing w:val="-5"/>
          <w:kern w:val="0"/>
          <w:sz w:val="20"/>
          <w:szCs w:val="22"/>
          <w:vertAlign w:val="superscript"/>
        </w:rPr>
        <w:footnoteReference w:id="16"/>
      </w:r>
      <w:r w:rsidR="00DA4F2C" w:rsidRPr="00DA4F2C">
        <w:rPr>
          <w:rFonts w:eastAsia="Calibri"/>
          <w:snapToGrid/>
          <w:spacing w:val="-5"/>
          <w:kern w:val="0"/>
          <w:szCs w:val="22"/>
        </w:rPr>
        <w:t xml:space="preserve">  On </w:t>
      </w:r>
      <w:r w:rsidR="00C56CC3">
        <w:rPr>
          <w:rFonts w:eastAsia="Calibri"/>
          <w:snapToGrid/>
          <w:spacing w:val="-5"/>
          <w:kern w:val="0"/>
          <w:szCs w:val="22"/>
        </w:rPr>
        <w:t>the FCC Form 460</w:t>
      </w:r>
      <w:r w:rsidR="00D83B85">
        <w:rPr>
          <w:rFonts w:eastAsia="Calibri"/>
          <w:snapToGrid/>
          <w:spacing w:val="-5"/>
          <w:kern w:val="0"/>
          <w:szCs w:val="22"/>
        </w:rPr>
        <w:t xml:space="preserve">, </w:t>
      </w:r>
      <w:r w:rsidR="00DA4F2C" w:rsidRPr="00DA4F2C">
        <w:rPr>
          <w:rFonts w:eastAsia="Calibri"/>
          <w:snapToGrid/>
          <w:spacing w:val="-5"/>
          <w:kern w:val="0"/>
          <w:szCs w:val="22"/>
        </w:rPr>
        <w:t xml:space="preserve">the </w:t>
      </w:r>
      <w:r w:rsidR="00DA4F2C" w:rsidRPr="00307585">
        <w:rPr>
          <w:rFonts w:eastAsia="Calibri"/>
          <w:snapToGrid/>
          <w:spacing w:val="-5"/>
          <w:kern w:val="0"/>
          <w:szCs w:val="22"/>
        </w:rPr>
        <w:t xml:space="preserve">health care provider or the health care provider consortium must indicate the </w:t>
      </w:r>
      <w:r w:rsidR="00C163A2">
        <w:rPr>
          <w:rFonts w:eastAsia="Calibri"/>
          <w:snapToGrid/>
          <w:spacing w:val="-5"/>
          <w:kern w:val="0"/>
          <w:szCs w:val="22"/>
        </w:rPr>
        <w:t xml:space="preserve">eligible health care provider </w:t>
      </w:r>
      <w:r w:rsidR="000725FA">
        <w:rPr>
          <w:rFonts w:eastAsia="Calibri"/>
          <w:snapToGrid/>
          <w:spacing w:val="-5"/>
          <w:kern w:val="0"/>
          <w:szCs w:val="22"/>
        </w:rPr>
        <w:t xml:space="preserve">type for </w:t>
      </w:r>
      <w:r w:rsidR="00F366A3" w:rsidRPr="00783556">
        <w:rPr>
          <w:rFonts w:eastAsia="Calibri"/>
          <w:snapToGrid/>
          <w:spacing w:val="-5"/>
          <w:kern w:val="0"/>
          <w:szCs w:val="22"/>
        </w:rPr>
        <w:t xml:space="preserve">each site and provide a brief explanation of why the site </w:t>
      </w:r>
      <w:r w:rsidR="009A1BCB">
        <w:rPr>
          <w:rFonts w:eastAsia="Calibri"/>
          <w:snapToGrid/>
          <w:spacing w:val="-5"/>
          <w:kern w:val="0"/>
          <w:szCs w:val="22"/>
        </w:rPr>
        <w:t xml:space="preserve">is eligible and </w:t>
      </w:r>
      <w:r w:rsidR="00F366A3" w:rsidRPr="00783556">
        <w:rPr>
          <w:rFonts w:eastAsia="Calibri"/>
          <w:snapToGrid/>
          <w:spacing w:val="-5"/>
          <w:kern w:val="0"/>
          <w:szCs w:val="22"/>
        </w:rPr>
        <w:t xml:space="preserve">qualifies as the specific </w:t>
      </w:r>
      <w:r w:rsidR="00C163A2">
        <w:rPr>
          <w:rFonts w:eastAsia="Calibri"/>
          <w:snapToGrid/>
          <w:spacing w:val="-5"/>
          <w:kern w:val="0"/>
          <w:szCs w:val="22"/>
        </w:rPr>
        <w:t xml:space="preserve">health care provider </w:t>
      </w:r>
      <w:r w:rsidR="00F366A3" w:rsidRPr="00783556">
        <w:rPr>
          <w:rFonts w:eastAsia="Calibri"/>
          <w:snapToGrid/>
          <w:spacing w:val="-5"/>
          <w:kern w:val="0"/>
          <w:szCs w:val="22"/>
        </w:rPr>
        <w:t>type.</w:t>
      </w:r>
      <w:r w:rsidR="00DA4F2C" w:rsidRPr="00783556">
        <w:rPr>
          <w:rFonts w:eastAsia="Calibri"/>
          <w:snapToGrid/>
          <w:spacing w:val="-5"/>
          <w:kern w:val="0"/>
          <w:szCs w:val="22"/>
          <w:vertAlign w:val="superscript"/>
        </w:rPr>
        <w:footnoteReference w:id="17"/>
      </w:r>
      <w:r w:rsidR="00D83B85" w:rsidRPr="00783556">
        <w:rPr>
          <w:rFonts w:eastAsia="Calibri"/>
          <w:snapToGrid/>
          <w:spacing w:val="-5"/>
          <w:kern w:val="0"/>
          <w:szCs w:val="22"/>
        </w:rPr>
        <w:t xml:space="preserve">  </w:t>
      </w:r>
      <w:r w:rsidR="00C163A2">
        <w:rPr>
          <w:rFonts w:eastAsia="Calibri"/>
          <w:snapToGrid/>
          <w:spacing w:val="-5"/>
          <w:kern w:val="0"/>
          <w:szCs w:val="22"/>
        </w:rPr>
        <w:t xml:space="preserve">Furthermore, </w:t>
      </w:r>
      <w:r w:rsidR="00C163A2">
        <w:rPr>
          <w:rFonts w:cs="ArialMT"/>
          <w:szCs w:val="22"/>
        </w:rPr>
        <w:t>i</w:t>
      </w:r>
      <w:r w:rsidR="00307585" w:rsidRPr="00783556">
        <w:rPr>
          <w:rFonts w:cs="ArialMT"/>
          <w:szCs w:val="22"/>
        </w:rPr>
        <w:t xml:space="preserve">f a </w:t>
      </w:r>
      <w:r w:rsidR="007B1A5B" w:rsidRPr="00783556">
        <w:rPr>
          <w:rFonts w:cs="ArialMT"/>
          <w:szCs w:val="22"/>
        </w:rPr>
        <w:t xml:space="preserve">site is a </w:t>
      </w:r>
      <w:r w:rsidR="00C163A2">
        <w:rPr>
          <w:rFonts w:cs="ArialMT"/>
          <w:szCs w:val="22"/>
        </w:rPr>
        <w:t>not-for-</w:t>
      </w:r>
      <w:r w:rsidR="007B1A5B" w:rsidRPr="00783556">
        <w:rPr>
          <w:rFonts w:cs="ArialMT"/>
          <w:szCs w:val="22"/>
        </w:rPr>
        <w:t>profit hospital, it must also indicate</w:t>
      </w:r>
      <w:r w:rsidR="00D83B85" w:rsidRPr="00783556">
        <w:rPr>
          <w:rFonts w:cs="ArialMT"/>
          <w:szCs w:val="22"/>
        </w:rPr>
        <w:t xml:space="preserve"> whether</w:t>
      </w:r>
      <w:r w:rsidR="007B1A5B" w:rsidRPr="00783556">
        <w:rPr>
          <w:rFonts w:cs="ArialMT"/>
          <w:szCs w:val="22"/>
        </w:rPr>
        <w:t>: (1)</w:t>
      </w:r>
      <w:r w:rsidR="00D83B85" w:rsidRPr="00783556">
        <w:rPr>
          <w:rFonts w:cs="ArialMT"/>
          <w:szCs w:val="22"/>
        </w:rPr>
        <w:t xml:space="preserve"> </w:t>
      </w:r>
      <w:r w:rsidR="007B1A5B" w:rsidRPr="00783556">
        <w:rPr>
          <w:rFonts w:cs="ArialMT"/>
          <w:szCs w:val="22"/>
        </w:rPr>
        <w:t>it is a Critical Access Hospital and (2) how many licensed patient beds are at the site</w:t>
      </w:r>
      <w:r w:rsidR="007B1A5B" w:rsidRPr="00783556">
        <w:rPr>
          <w:rFonts w:eastAsia="Calibri"/>
          <w:snapToGrid/>
          <w:spacing w:val="-5"/>
          <w:kern w:val="0"/>
          <w:szCs w:val="22"/>
        </w:rPr>
        <w:t>.</w:t>
      </w:r>
      <w:r w:rsidR="00307585" w:rsidRPr="00783556">
        <w:rPr>
          <w:rStyle w:val="FootnoteReference"/>
          <w:rFonts w:eastAsia="Calibri"/>
          <w:snapToGrid/>
          <w:spacing w:val="-5"/>
          <w:kern w:val="0"/>
          <w:sz w:val="22"/>
          <w:szCs w:val="22"/>
        </w:rPr>
        <w:footnoteReference w:id="18"/>
      </w:r>
      <w:r w:rsidR="00767191" w:rsidRPr="00783556">
        <w:rPr>
          <w:rFonts w:eastAsia="Calibri"/>
          <w:snapToGrid/>
          <w:spacing w:val="-5"/>
          <w:kern w:val="0"/>
          <w:szCs w:val="22"/>
        </w:rPr>
        <w:t xml:space="preserve">  </w:t>
      </w:r>
      <w:r w:rsidR="00DA4F2C" w:rsidRPr="00783556">
        <w:rPr>
          <w:rFonts w:eastAsia="Calibri"/>
          <w:snapToGrid/>
          <w:spacing w:val="-5"/>
          <w:kern w:val="0"/>
          <w:szCs w:val="22"/>
        </w:rPr>
        <w:t>USAC then reviews the information provided on the FCC Form 460 to determine whether each health care provider site qualifies as an eligible health care provider for purposes of the Healthcare Connect Fund program.</w:t>
      </w:r>
      <w:r w:rsidR="00DA4F2C" w:rsidRPr="00783556">
        <w:rPr>
          <w:rFonts w:eastAsia="Calibri"/>
          <w:snapToGrid/>
          <w:spacing w:val="-5"/>
          <w:kern w:val="0"/>
          <w:szCs w:val="22"/>
          <w:vertAlign w:val="superscript"/>
        </w:rPr>
        <w:footnoteReference w:id="19"/>
      </w:r>
      <w:r w:rsidR="00DA4F2C" w:rsidRPr="00783556">
        <w:rPr>
          <w:rFonts w:eastAsia="Calibri"/>
          <w:snapToGrid/>
          <w:spacing w:val="-5"/>
          <w:kern w:val="0"/>
          <w:szCs w:val="22"/>
        </w:rPr>
        <w:t xml:space="preserve">  </w:t>
      </w:r>
    </w:p>
    <w:p w:rsidR="00EF778A" w:rsidRPr="00F63397" w:rsidRDefault="0025440C" w:rsidP="00F63397">
      <w:pPr>
        <w:widowControl/>
        <w:numPr>
          <w:ilvl w:val="0"/>
          <w:numId w:val="18"/>
        </w:numPr>
        <w:spacing w:after="120"/>
        <w:ind w:left="0" w:firstLine="720"/>
        <w:rPr>
          <w:rFonts w:eastAsia="Calibri"/>
          <w:snapToGrid/>
          <w:kern w:val="0"/>
          <w:szCs w:val="22"/>
        </w:rPr>
      </w:pPr>
      <w:r w:rsidRPr="00783556">
        <w:rPr>
          <w:rFonts w:eastAsia="Calibri"/>
          <w:i/>
          <w:snapToGrid/>
          <w:kern w:val="0"/>
          <w:szCs w:val="22"/>
        </w:rPr>
        <w:t>St. Vincent Health SHO Request for Review</w:t>
      </w:r>
      <w:r w:rsidRPr="00783556">
        <w:rPr>
          <w:rFonts w:eastAsia="Calibri"/>
          <w:snapToGrid/>
          <w:kern w:val="0"/>
          <w:szCs w:val="22"/>
        </w:rPr>
        <w:t>.</w:t>
      </w:r>
      <w:r w:rsidR="00BF40A2" w:rsidRPr="00783556">
        <w:rPr>
          <w:rFonts w:eastAsia="Calibri"/>
          <w:snapToGrid/>
          <w:kern w:val="0"/>
          <w:szCs w:val="22"/>
        </w:rPr>
        <w:t xml:space="preserve">  </w:t>
      </w:r>
      <w:r w:rsidR="002661D3" w:rsidRPr="00783556">
        <w:rPr>
          <w:rFonts w:eastAsia="Calibri"/>
          <w:snapToGrid/>
          <w:kern w:val="0"/>
          <w:szCs w:val="22"/>
        </w:rPr>
        <w:t>In July 20</w:t>
      </w:r>
      <w:r w:rsidR="00B00A69">
        <w:rPr>
          <w:rFonts w:eastAsia="Calibri"/>
          <w:snapToGrid/>
          <w:kern w:val="0"/>
          <w:szCs w:val="22"/>
        </w:rPr>
        <w:t>1</w:t>
      </w:r>
      <w:r w:rsidR="007D7DBD">
        <w:rPr>
          <w:rFonts w:eastAsia="Calibri"/>
          <w:snapToGrid/>
          <w:kern w:val="0"/>
          <w:szCs w:val="22"/>
        </w:rPr>
        <w:t>4, USAC denied eligibility to 61</w:t>
      </w:r>
      <w:r w:rsidR="002661D3" w:rsidRPr="00783556">
        <w:rPr>
          <w:rFonts w:eastAsia="Calibri"/>
          <w:snapToGrid/>
          <w:kern w:val="0"/>
          <w:szCs w:val="22"/>
        </w:rPr>
        <w:t xml:space="preserve"> out of 146 of St. Vincent Health SHO’s </w:t>
      </w:r>
      <w:r w:rsidR="00EA0B8A">
        <w:rPr>
          <w:rFonts w:eastAsia="Calibri"/>
          <w:snapToGrid/>
          <w:kern w:val="0"/>
          <w:szCs w:val="22"/>
        </w:rPr>
        <w:t xml:space="preserve">sites </w:t>
      </w:r>
      <w:r w:rsidR="002661D3" w:rsidRPr="00783556">
        <w:rPr>
          <w:rFonts w:eastAsia="Calibri"/>
          <w:snapToGrid/>
          <w:kern w:val="0"/>
          <w:szCs w:val="22"/>
        </w:rPr>
        <w:t xml:space="preserve">based on its review of </w:t>
      </w:r>
      <w:r w:rsidR="00C163A2" w:rsidRPr="00783556">
        <w:rPr>
          <w:rFonts w:eastAsia="Calibri"/>
          <w:snapToGrid/>
          <w:kern w:val="0"/>
          <w:szCs w:val="22"/>
        </w:rPr>
        <w:t xml:space="preserve">St. Vincent Health SHO’s </w:t>
      </w:r>
      <w:r w:rsidR="002661D3" w:rsidRPr="00783556">
        <w:rPr>
          <w:rFonts w:eastAsia="Calibri"/>
          <w:snapToGrid/>
          <w:kern w:val="0"/>
          <w:szCs w:val="22"/>
        </w:rPr>
        <w:t>FCC Form 460 package.</w:t>
      </w:r>
      <w:r w:rsidR="002661D3" w:rsidRPr="00783556">
        <w:rPr>
          <w:rStyle w:val="FootnoteReference"/>
          <w:rFonts w:eastAsia="Calibri"/>
          <w:snapToGrid/>
          <w:kern w:val="0"/>
          <w:sz w:val="22"/>
          <w:szCs w:val="22"/>
        </w:rPr>
        <w:footnoteReference w:id="20"/>
      </w:r>
      <w:r w:rsidR="002661D3" w:rsidRPr="00783556">
        <w:rPr>
          <w:rFonts w:eastAsia="Calibri"/>
          <w:snapToGrid/>
          <w:kern w:val="0"/>
          <w:szCs w:val="22"/>
        </w:rPr>
        <w:t xml:space="preserve">  </w:t>
      </w:r>
      <w:r w:rsidR="00EA0B8A" w:rsidRPr="00783556">
        <w:rPr>
          <w:rFonts w:eastAsia="Calibri"/>
          <w:snapToGrid/>
          <w:kern w:val="0"/>
          <w:szCs w:val="22"/>
        </w:rPr>
        <w:t xml:space="preserve">St. Vincent Health SHO </w:t>
      </w:r>
      <w:r w:rsidR="00EA0B8A">
        <w:rPr>
          <w:rFonts w:eastAsia="Calibri"/>
          <w:snapToGrid/>
          <w:kern w:val="0"/>
          <w:szCs w:val="22"/>
        </w:rPr>
        <w:t xml:space="preserve">claimed 146 sites were either “non-profit hospitals” or “rural health clinics” but, based on a review of the sites, </w:t>
      </w:r>
      <w:r w:rsidR="00AB0C43" w:rsidRPr="00783556">
        <w:rPr>
          <w:rFonts w:eastAsia="Calibri"/>
          <w:snapToGrid/>
          <w:kern w:val="0"/>
          <w:szCs w:val="22"/>
        </w:rPr>
        <w:t xml:space="preserve">USAC </w:t>
      </w:r>
      <w:r w:rsidR="008F122E" w:rsidRPr="00783556">
        <w:rPr>
          <w:rFonts w:eastAsia="Calibri"/>
          <w:snapToGrid/>
          <w:kern w:val="0"/>
          <w:szCs w:val="22"/>
        </w:rPr>
        <w:t xml:space="preserve">determined that </w:t>
      </w:r>
      <w:r w:rsidR="00EA0B8A">
        <w:rPr>
          <w:rFonts w:eastAsia="Calibri"/>
          <w:snapToGrid/>
          <w:kern w:val="0"/>
          <w:szCs w:val="22"/>
        </w:rPr>
        <w:t xml:space="preserve">61 sites </w:t>
      </w:r>
      <w:r w:rsidR="00AB0C43" w:rsidRPr="00783556">
        <w:rPr>
          <w:rFonts w:eastAsia="Calibri"/>
          <w:snapToGrid/>
          <w:kern w:val="0"/>
          <w:szCs w:val="22"/>
        </w:rPr>
        <w:t>were</w:t>
      </w:r>
      <w:r w:rsidR="002661D3" w:rsidRPr="00783556">
        <w:rPr>
          <w:rFonts w:eastAsia="Calibri"/>
          <w:snapToGrid/>
          <w:kern w:val="0"/>
          <w:szCs w:val="22"/>
        </w:rPr>
        <w:t xml:space="preserve"> </w:t>
      </w:r>
      <w:r w:rsidR="00EA0B8A">
        <w:rPr>
          <w:rFonts w:eastAsia="Calibri"/>
          <w:snapToGrid/>
          <w:kern w:val="0"/>
          <w:szCs w:val="22"/>
        </w:rPr>
        <w:t xml:space="preserve">not </w:t>
      </w:r>
      <w:r w:rsidR="008F122E" w:rsidRPr="00783556">
        <w:rPr>
          <w:rFonts w:eastAsia="Calibri"/>
          <w:snapToGrid/>
          <w:kern w:val="0"/>
          <w:szCs w:val="22"/>
        </w:rPr>
        <w:t xml:space="preserve">eligible </w:t>
      </w:r>
      <w:r w:rsidR="00EA0B8A">
        <w:rPr>
          <w:rFonts w:eastAsia="Calibri"/>
          <w:snapToGrid/>
          <w:kern w:val="0"/>
          <w:szCs w:val="22"/>
        </w:rPr>
        <w:t>as “</w:t>
      </w:r>
      <w:r w:rsidR="005D2348">
        <w:rPr>
          <w:rFonts w:eastAsia="Calibri"/>
          <w:snapToGrid/>
          <w:kern w:val="0"/>
          <w:szCs w:val="22"/>
        </w:rPr>
        <w:t xml:space="preserve">non-profit hospitals” </w:t>
      </w:r>
      <w:r w:rsidR="0055138F">
        <w:rPr>
          <w:rFonts w:eastAsia="Calibri"/>
          <w:snapToGrid/>
          <w:kern w:val="0"/>
          <w:szCs w:val="22"/>
        </w:rPr>
        <w:t xml:space="preserve">or </w:t>
      </w:r>
      <w:r w:rsidR="00A27975">
        <w:rPr>
          <w:rFonts w:eastAsia="Calibri"/>
          <w:snapToGrid/>
          <w:kern w:val="0"/>
          <w:szCs w:val="22"/>
        </w:rPr>
        <w:t>“rural health clinics</w:t>
      </w:r>
      <w:r w:rsidR="00EA0B8A">
        <w:rPr>
          <w:rFonts w:eastAsia="Calibri"/>
          <w:snapToGrid/>
          <w:kern w:val="0"/>
          <w:szCs w:val="22"/>
        </w:rPr>
        <w:t>.</w:t>
      </w:r>
      <w:r w:rsidR="00A27975">
        <w:rPr>
          <w:rFonts w:eastAsia="Calibri"/>
          <w:snapToGrid/>
          <w:kern w:val="0"/>
          <w:szCs w:val="22"/>
        </w:rPr>
        <w:t>”</w:t>
      </w:r>
      <w:r w:rsidR="00AB0C43" w:rsidRPr="00783556">
        <w:rPr>
          <w:rFonts w:eastAsia="Calibri"/>
          <w:snapToGrid/>
          <w:kern w:val="0"/>
          <w:szCs w:val="22"/>
          <w:vertAlign w:val="superscript"/>
        </w:rPr>
        <w:footnoteReference w:id="21"/>
      </w:r>
      <w:r w:rsidR="00FA5FE2" w:rsidRPr="00783556">
        <w:rPr>
          <w:rFonts w:eastAsia="Calibri"/>
          <w:snapToGrid/>
          <w:kern w:val="0"/>
          <w:szCs w:val="22"/>
        </w:rPr>
        <w:t xml:space="preserve">  </w:t>
      </w:r>
      <w:r w:rsidR="00AB0C43" w:rsidRPr="00783556">
        <w:rPr>
          <w:rFonts w:eastAsia="Calibri"/>
          <w:snapToGrid/>
          <w:kern w:val="0"/>
          <w:szCs w:val="22"/>
        </w:rPr>
        <w:t xml:space="preserve">USAC staff </w:t>
      </w:r>
      <w:r w:rsidR="0055138F">
        <w:rPr>
          <w:rFonts w:eastAsia="Calibri"/>
          <w:snapToGrid/>
          <w:kern w:val="0"/>
          <w:szCs w:val="22"/>
        </w:rPr>
        <w:t xml:space="preserve">also </w:t>
      </w:r>
      <w:r w:rsidR="00EA0B8A">
        <w:rPr>
          <w:rFonts w:eastAsia="Calibri"/>
          <w:snapToGrid/>
          <w:kern w:val="0"/>
          <w:szCs w:val="22"/>
        </w:rPr>
        <w:t xml:space="preserve">found </w:t>
      </w:r>
      <w:r w:rsidR="0055138F">
        <w:rPr>
          <w:rFonts w:eastAsia="Calibri"/>
          <w:snapToGrid/>
          <w:kern w:val="0"/>
          <w:szCs w:val="22"/>
        </w:rPr>
        <w:t xml:space="preserve">that </w:t>
      </w:r>
      <w:r w:rsidR="00EA0B8A">
        <w:rPr>
          <w:rFonts w:eastAsia="Calibri"/>
          <w:snapToGrid/>
          <w:kern w:val="0"/>
          <w:szCs w:val="22"/>
        </w:rPr>
        <w:t xml:space="preserve">some of </w:t>
      </w:r>
      <w:r w:rsidR="00AB0C43" w:rsidRPr="00783556">
        <w:rPr>
          <w:rFonts w:eastAsia="Calibri"/>
          <w:snapToGrid/>
          <w:kern w:val="0"/>
          <w:szCs w:val="22"/>
        </w:rPr>
        <w:t xml:space="preserve">St. Vincent </w:t>
      </w:r>
      <w:r w:rsidR="00B874FC" w:rsidRPr="00783556">
        <w:rPr>
          <w:rFonts w:eastAsia="Calibri"/>
          <w:snapToGrid/>
          <w:kern w:val="0"/>
          <w:szCs w:val="22"/>
        </w:rPr>
        <w:t xml:space="preserve">Health </w:t>
      </w:r>
      <w:r w:rsidR="00FA5FE2" w:rsidRPr="00783556">
        <w:rPr>
          <w:rFonts w:eastAsia="Calibri"/>
          <w:snapToGrid/>
          <w:kern w:val="0"/>
          <w:szCs w:val="22"/>
        </w:rPr>
        <w:t xml:space="preserve">SHO’s </w:t>
      </w:r>
      <w:r w:rsidR="00EA0B8A">
        <w:rPr>
          <w:rFonts w:eastAsia="Calibri"/>
          <w:snapToGrid/>
          <w:kern w:val="0"/>
          <w:szCs w:val="22"/>
        </w:rPr>
        <w:t>61 sites</w:t>
      </w:r>
      <w:r w:rsidR="00FA5FE2" w:rsidRPr="00783556">
        <w:rPr>
          <w:rFonts w:eastAsia="Calibri"/>
          <w:snapToGrid/>
          <w:kern w:val="0"/>
          <w:szCs w:val="22"/>
        </w:rPr>
        <w:t xml:space="preserve"> </w:t>
      </w:r>
      <w:r w:rsidR="00AB0C43" w:rsidRPr="00783556">
        <w:rPr>
          <w:rFonts w:eastAsia="Calibri"/>
          <w:snapToGrid/>
          <w:kern w:val="0"/>
          <w:szCs w:val="22"/>
        </w:rPr>
        <w:t>did not have any licensed hospital beds.</w:t>
      </w:r>
      <w:r w:rsidR="00307585" w:rsidRPr="00783556">
        <w:rPr>
          <w:rStyle w:val="FootnoteReference"/>
          <w:rFonts w:eastAsia="Calibri"/>
          <w:snapToGrid/>
          <w:kern w:val="0"/>
          <w:sz w:val="22"/>
          <w:szCs w:val="22"/>
        </w:rPr>
        <w:footnoteReference w:id="22"/>
      </w:r>
      <w:r w:rsidR="003314A7" w:rsidRPr="00783556">
        <w:rPr>
          <w:rFonts w:eastAsia="Calibri"/>
          <w:snapToGrid/>
          <w:kern w:val="0"/>
          <w:szCs w:val="22"/>
        </w:rPr>
        <w:t xml:space="preserve">  Subsequently, </w:t>
      </w:r>
      <w:r w:rsidR="006925F2" w:rsidRPr="00783556">
        <w:rPr>
          <w:rFonts w:eastAsia="Calibri"/>
          <w:snapToGrid/>
          <w:kern w:val="0"/>
          <w:szCs w:val="22"/>
        </w:rPr>
        <w:t>i</w:t>
      </w:r>
      <w:r w:rsidR="003314A7" w:rsidRPr="00783556">
        <w:rPr>
          <w:rFonts w:eastAsia="Calibri"/>
          <w:snapToGrid/>
          <w:kern w:val="0"/>
          <w:szCs w:val="22"/>
        </w:rPr>
        <w:t>n August</w:t>
      </w:r>
      <w:r w:rsidR="006925F2" w:rsidRPr="00783556">
        <w:rPr>
          <w:rFonts w:eastAsia="Calibri"/>
          <w:snapToGrid/>
          <w:kern w:val="0"/>
          <w:szCs w:val="22"/>
        </w:rPr>
        <w:t xml:space="preserve"> </w:t>
      </w:r>
      <w:r w:rsidR="002661D3" w:rsidRPr="00783556">
        <w:rPr>
          <w:rFonts w:eastAsia="Calibri"/>
          <w:snapToGrid/>
          <w:kern w:val="0"/>
          <w:szCs w:val="22"/>
        </w:rPr>
        <w:t xml:space="preserve">2014, the </w:t>
      </w:r>
      <w:r w:rsidR="003314A7" w:rsidRPr="00783556">
        <w:rPr>
          <w:rFonts w:eastAsia="Calibri"/>
          <w:snapToGrid/>
          <w:kern w:val="0"/>
          <w:szCs w:val="22"/>
        </w:rPr>
        <w:t xml:space="preserve">St. Vincent </w:t>
      </w:r>
      <w:r w:rsidR="003314A7" w:rsidRPr="00783556">
        <w:rPr>
          <w:rFonts w:eastAsia="Calibri"/>
          <w:snapToGrid/>
          <w:kern w:val="0"/>
          <w:szCs w:val="22"/>
        </w:rPr>
        <w:lastRenderedPageBreak/>
        <w:t xml:space="preserve">Health </w:t>
      </w:r>
      <w:r w:rsidR="006925F2" w:rsidRPr="00783556">
        <w:rPr>
          <w:rFonts w:eastAsia="Calibri"/>
          <w:snapToGrid/>
          <w:kern w:val="0"/>
          <w:szCs w:val="22"/>
        </w:rPr>
        <w:t xml:space="preserve">SHO filed the instant </w:t>
      </w:r>
      <w:r w:rsidR="003314A7" w:rsidRPr="00783556">
        <w:rPr>
          <w:rFonts w:eastAsia="Calibri"/>
          <w:snapToGrid/>
          <w:kern w:val="0"/>
          <w:szCs w:val="22"/>
        </w:rPr>
        <w:t>request for review with the Commission seeking review of USAC’s d</w:t>
      </w:r>
      <w:r w:rsidR="00511512" w:rsidRPr="00783556">
        <w:rPr>
          <w:rFonts w:eastAsia="Calibri"/>
          <w:snapToGrid/>
          <w:kern w:val="0"/>
          <w:szCs w:val="22"/>
        </w:rPr>
        <w:t>e</w:t>
      </w:r>
      <w:r w:rsidR="002D17AE" w:rsidRPr="00783556">
        <w:rPr>
          <w:rFonts w:eastAsia="Calibri"/>
          <w:snapToGrid/>
          <w:kern w:val="0"/>
          <w:szCs w:val="22"/>
        </w:rPr>
        <w:t>terminations</w:t>
      </w:r>
      <w:r w:rsidR="003314A7" w:rsidRPr="00783556">
        <w:rPr>
          <w:rFonts w:eastAsia="Calibri"/>
          <w:snapToGrid/>
          <w:kern w:val="0"/>
          <w:szCs w:val="22"/>
        </w:rPr>
        <w:t>.</w:t>
      </w:r>
      <w:r w:rsidR="003314A7" w:rsidRPr="00783556">
        <w:rPr>
          <w:rStyle w:val="FootnoteReference"/>
          <w:rFonts w:eastAsia="Calibri"/>
          <w:snapToGrid/>
          <w:kern w:val="0"/>
          <w:sz w:val="22"/>
          <w:szCs w:val="22"/>
        </w:rPr>
        <w:footnoteReference w:id="23"/>
      </w:r>
      <w:r w:rsidR="003314A7" w:rsidRPr="00783556">
        <w:rPr>
          <w:rFonts w:eastAsia="Calibri"/>
          <w:snapToGrid/>
          <w:kern w:val="0"/>
          <w:szCs w:val="22"/>
        </w:rPr>
        <w:t xml:space="preserve"> </w:t>
      </w:r>
    </w:p>
    <w:p w:rsidR="00AB52CA" w:rsidRPr="00F63397" w:rsidRDefault="003314A7" w:rsidP="00F63397">
      <w:pPr>
        <w:widowControl/>
        <w:numPr>
          <w:ilvl w:val="0"/>
          <w:numId w:val="18"/>
        </w:numPr>
        <w:spacing w:after="120"/>
        <w:ind w:left="0" w:firstLine="720"/>
        <w:rPr>
          <w:rFonts w:eastAsia="Calibri"/>
          <w:snapToGrid/>
          <w:kern w:val="0"/>
          <w:szCs w:val="22"/>
        </w:rPr>
      </w:pPr>
      <w:r w:rsidRPr="00EF778A">
        <w:rPr>
          <w:rFonts w:eastAsia="Calibri"/>
          <w:snapToGrid/>
          <w:kern w:val="0"/>
          <w:szCs w:val="22"/>
        </w:rPr>
        <w:t>In its appeal</w:t>
      </w:r>
      <w:r w:rsidR="00307585" w:rsidRPr="00EF778A">
        <w:rPr>
          <w:rFonts w:eastAsia="Calibri"/>
          <w:snapToGrid/>
          <w:kern w:val="0"/>
          <w:szCs w:val="22"/>
        </w:rPr>
        <w:t>,</w:t>
      </w:r>
      <w:r w:rsidR="00783556" w:rsidRPr="00EF778A">
        <w:rPr>
          <w:rFonts w:eastAsia="Calibri"/>
          <w:snapToGrid/>
          <w:kern w:val="0"/>
          <w:szCs w:val="22"/>
        </w:rPr>
        <w:t xml:space="preserve"> </w:t>
      </w:r>
      <w:r w:rsidR="00EB1C98" w:rsidRPr="00EF778A">
        <w:rPr>
          <w:snapToGrid/>
          <w:color w:val="020100"/>
          <w:kern w:val="0"/>
          <w:szCs w:val="22"/>
        </w:rPr>
        <w:t xml:space="preserve">St. Vincent Health SHO </w:t>
      </w:r>
      <w:r w:rsidR="00EF778A">
        <w:rPr>
          <w:snapToGrid/>
          <w:color w:val="020100"/>
          <w:kern w:val="0"/>
          <w:szCs w:val="22"/>
        </w:rPr>
        <w:t xml:space="preserve">requests the Commission determine </w:t>
      </w:r>
      <w:r w:rsidR="0095214C" w:rsidRPr="00EF778A">
        <w:rPr>
          <w:snapToGrid/>
          <w:color w:val="020100"/>
          <w:kern w:val="0"/>
          <w:szCs w:val="22"/>
        </w:rPr>
        <w:t xml:space="preserve">that the </w:t>
      </w:r>
      <w:r w:rsidR="00EB1C98" w:rsidRPr="00EF778A">
        <w:rPr>
          <w:snapToGrid/>
          <w:color w:val="020100"/>
          <w:kern w:val="0"/>
          <w:szCs w:val="22"/>
        </w:rPr>
        <w:t xml:space="preserve">denied </w:t>
      </w:r>
      <w:r w:rsidR="00E72BC6">
        <w:rPr>
          <w:snapToGrid/>
          <w:color w:val="020100"/>
          <w:kern w:val="0"/>
          <w:szCs w:val="22"/>
        </w:rPr>
        <w:t xml:space="preserve">sites </w:t>
      </w:r>
      <w:r w:rsidR="00EB1C98" w:rsidRPr="00EF778A">
        <w:rPr>
          <w:snapToGrid/>
          <w:color w:val="020100"/>
          <w:kern w:val="0"/>
          <w:szCs w:val="22"/>
        </w:rPr>
        <w:t xml:space="preserve">are operated by </w:t>
      </w:r>
      <w:r w:rsidR="0095214C" w:rsidRPr="00EF778A">
        <w:rPr>
          <w:snapToGrid/>
          <w:color w:val="020100"/>
          <w:kern w:val="0"/>
          <w:szCs w:val="22"/>
        </w:rPr>
        <w:t xml:space="preserve">eligible </w:t>
      </w:r>
      <w:r w:rsidR="00EB1C98" w:rsidRPr="00EF778A">
        <w:rPr>
          <w:snapToGrid/>
          <w:color w:val="020100"/>
          <w:kern w:val="0"/>
          <w:szCs w:val="22"/>
        </w:rPr>
        <w:t>entities</w:t>
      </w:r>
      <w:r w:rsidR="0095214C" w:rsidRPr="00EF778A">
        <w:rPr>
          <w:snapToGrid/>
          <w:color w:val="020100"/>
          <w:kern w:val="0"/>
          <w:szCs w:val="22"/>
        </w:rPr>
        <w:t xml:space="preserve"> </w:t>
      </w:r>
      <w:r w:rsidR="00EB1C98" w:rsidRPr="00EF778A">
        <w:rPr>
          <w:snapToGrid/>
          <w:color w:val="020100"/>
          <w:kern w:val="0"/>
          <w:szCs w:val="22"/>
        </w:rPr>
        <w:t>(either as not-for-profit hospitals or local health departments or a</w:t>
      </w:r>
      <w:r w:rsidR="00783556" w:rsidRPr="00EF778A">
        <w:rPr>
          <w:snapToGrid/>
          <w:color w:val="020100"/>
          <w:kern w:val="0"/>
          <w:szCs w:val="22"/>
        </w:rPr>
        <w:t>gencies) and th</w:t>
      </w:r>
      <w:r w:rsidR="0095214C" w:rsidRPr="00EF778A">
        <w:rPr>
          <w:snapToGrid/>
          <w:color w:val="020100"/>
          <w:kern w:val="0"/>
          <w:szCs w:val="22"/>
        </w:rPr>
        <w:t xml:space="preserve">erefore </w:t>
      </w:r>
      <w:r w:rsidR="00783556" w:rsidRPr="00EF778A">
        <w:rPr>
          <w:snapToGrid/>
          <w:color w:val="020100"/>
          <w:kern w:val="0"/>
          <w:szCs w:val="22"/>
        </w:rPr>
        <w:t xml:space="preserve">the </w:t>
      </w:r>
      <w:r w:rsidR="00E72BC6">
        <w:rPr>
          <w:snapToGrid/>
          <w:color w:val="020100"/>
          <w:kern w:val="0"/>
          <w:szCs w:val="22"/>
        </w:rPr>
        <w:t xml:space="preserve">sites </w:t>
      </w:r>
      <w:r w:rsidR="00EB1C98" w:rsidRPr="00EF778A">
        <w:rPr>
          <w:snapToGrid/>
          <w:color w:val="020100"/>
          <w:kern w:val="0"/>
          <w:szCs w:val="22"/>
        </w:rPr>
        <w:t>are eligible for funding</w:t>
      </w:r>
      <w:r w:rsidR="00A02284">
        <w:rPr>
          <w:snapToGrid/>
          <w:color w:val="020100"/>
          <w:kern w:val="0"/>
          <w:szCs w:val="22"/>
        </w:rPr>
        <w:t xml:space="preserve"> </w:t>
      </w:r>
      <w:r w:rsidR="00EB1C98" w:rsidRPr="00EF778A">
        <w:rPr>
          <w:snapToGrid/>
          <w:color w:val="020100"/>
          <w:kern w:val="0"/>
          <w:szCs w:val="22"/>
        </w:rPr>
        <w:t xml:space="preserve">under the </w:t>
      </w:r>
      <w:r w:rsidR="00783556" w:rsidRPr="00EF778A">
        <w:rPr>
          <w:snapToGrid/>
          <w:color w:val="020100"/>
          <w:kern w:val="0"/>
          <w:szCs w:val="22"/>
        </w:rPr>
        <w:t xml:space="preserve">Healthcare Connect Fund </w:t>
      </w:r>
      <w:r w:rsidR="00EB1C98" w:rsidRPr="00EF778A">
        <w:rPr>
          <w:snapToGrid/>
          <w:color w:val="020100"/>
          <w:kern w:val="0"/>
          <w:szCs w:val="22"/>
        </w:rPr>
        <w:t>Program.</w:t>
      </w:r>
      <w:r w:rsidR="00783556">
        <w:rPr>
          <w:rStyle w:val="FootnoteReference"/>
          <w:snapToGrid/>
          <w:kern w:val="0"/>
          <w:szCs w:val="22"/>
        </w:rPr>
        <w:footnoteReference w:id="24"/>
      </w:r>
      <w:r w:rsidR="002F308D">
        <w:rPr>
          <w:snapToGrid/>
          <w:color w:val="020100"/>
          <w:kern w:val="0"/>
          <w:szCs w:val="22"/>
        </w:rPr>
        <w:t xml:space="preserve">  </w:t>
      </w:r>
      <w:r w:rsidR="00EF778A" w:rsidRPr="00EF778A">
        <w:rPr>
          <w:rFonts w:eastAsia="Calibri"/>
          <w:snapToGrid/>
          <w:kern w:val="0"/>
          <w:szCs w:val="22"/>
        </w:rPr>
        <w:t xml:space="preserve">St. Vincent Health SHO states that its </w:t>
      </w:r>
      <w:r w:rsidR="00E72BC6">
        <w:rPr>
          <w:rFonts w:eastAsia="Calibri"/>
          <w:snapToGrid/>
          <w:kern w:val="0"/>
          <w:szCs w:val="22"/>
        </w:rPr>
        <w:t xml:space="preserve">consortium </w:t>
      </w:r>
      <w:r w:rsidR="00EF778A" w:rsidRPr="00EF778A">
        <w:rPr>
          <w:rFonts w:eastAsia="Calibri"/>
          <w:snapToGrid/>
          <w:kern w:val="0"/>
          <w:szCs w:val="22"/>
        </w:rPr>
        <w:t>members are hospitals licensed by the Indiana State Department of Health and identified as Indiana non-profits or Indiana County Hospitals.</w:t>
      </w:r>
      <w:r w:rsidR="00EF778A">
        <w:rPr>
          <w:rStyle w:val="FootnoteReference"/>
          <w:rFonts w:eastAsia="Calibri"/>
          <w:snapToGrid/>
          <w:kern w:val="0"/>
          <w:szCs w:val="22"/>
        </w:rPr>
        <w:footnoteReference w:id="25"/>
      </w:r>
      <w:r w:rsidR="00EF778A" w:rsidRPr="00EF778A">
        <w:rPr>
          <w:rFonts w:eastAsia="Calibri"/>
          <w:snapToGrid/>
          <w:kern w:val="0"/>
          <w:szCs w:val="22"/>
        </w:rPr>
        <w:t xml:space="preserve"> It also </w:t>
      </w:r>
      <w:r w:rsidR="009A1BCB">
        <w:rPr>
          <w:rFonts w:eastAsia="Calibri"/>
          <w:snapToGrid/>
          <w:kern w:val="0"/>
          <w:szCs w:val="22"/>
        </w:rPr>
        <w:t xml:space="preserve">contends </w:t>
      </w:r>
      <w:r w:rsidR="00EF778A" w:rsidRPr="00EF778A">
        <w:rPr>
          <w:rFonts w:eastAsia="Calibri"/>
          <w:snapToGrid/>
          <w:kern w:val="0"/>
          <w:szCs w:val="22"/>
        </w:rPr>
        <w:t>that all of its member sites are operated directly or indirectly by an entity which meets the meaning of a “non-profit hospital” under the Internal Revenue Code and which has been exempted from paying federal communications tax.</w:t>
      </w:r>
      <w:r w:rsidR="00EF778A" w:rsidRPr="00AB0C43">
        <w:rPr>
          <w:rFonts w:eastAsia="Calibri"/>
          <w:snapToGrid/>
          <w:kern w:val="0"/>
          <w:szCs w:val="22"/>
          <w:vertAlign w:val="superscript"/>
        </w:rPr>
        <w:footnoteReference w:id="26"/>
      </w:r>
      <w:r w:rsidR="009A1BCB">
        <w:rPr>
          <w:rFonts w:eastAsia="Calibri"/>
          <w:snapToGrid/>
          <w:kern w:val="0"/>
          <w:szCs w:val="22"/>
        </w:rPr>
        <w:t xml:space="preserve">  </w:t>
      </w:r>
      <w:r w:rsidR="00AB0C43" w:rsidRPr="00EF778A">
        <w:rPr>
          <w:rFonts w:eastAsia="Calibri"/>
          <w:snapToGrid/>
          <w:kern w:val="0"/>
          <w:szCs w:val="22"/>
        </w:rPr>
        <w:t xml:space="preserve">St. Vincent </w:t>
      </w:r>
      <w:r w:rsidR="00307585" w:rsidRPr="00EF778A">
        <w:rPr>
          <w:rFonts w:eastAsia="Calibri"/>
          <w:snapToGrid/>
          <w:kern w:val="0"/>
          <w:szCs w:val="22"/>
        </w:rPr>
        <w:t xml:space="preserve">Health </w:t>
      </w:r>
      <w:r w:rsidR="00AB0C43" w:rsidRPr="00EF778A">
        <w:rPr>
          <w:rFonts w:eastAsia="Calibri"/>
          <w:snapToGrid/>
          <w:kern w:val="0"/>
          <w:szCs w:val="22"/>
        </w:rPr>
        <w:t xml:space="preserve">SHO </w:t>
      </w:r>
      <w:r w:rsidR="00AB52CA">
        <w:rPr>
          <w:rFonts w:eastAsia="Calibri"/>
          <w:snapToGrid/>
          <w:kern w:val="0"/>
          <w:szCs w:val="22"/>
        </w:rPr>
        <w:t xml:space="preserve">also requests </w:t>
      </w:r>
      <w:r w:rsidR="00AB0C43" w:rsidRPr="00EF778A">
        <w:rPr>
          <w:rFonts w:eastAsia="Calibri"/>
          <w:snapToGrid/>
          <w:kern w:val="0"/>
          <w:szCs w:val="22"/>
        </w:rPr>
        <w:t>the Commission</w:t>
      </w:r>
      <w:r w:rsidR="00307585" w:rsidRPr="00EF778A">
        <w:rPr>
          <w:rFonts w:eastAsia="Calibri"/>
          <w:snapToGrid/>
          <w:kern w:val="0"/>
          <w:szCs w:val="22"/>
        </w:rPr>
        <w:t xml:space="preserve"> </w:t>
      </w:r>
      <w:r w:rsidR="00AB0C43" w:rsidRPr="00EF778A">
        <w:rPr>
          <w:rFonts w:eastAsia="Calibri"/>
          <w:snapToGrid/>
          <w:kern w:val="0"/>
          <w:szCs w:val="22"/>
        </w:rPr>
        <w:t xml:space="preserve">define a “not-for-profit hospital” as a nonprofit or public entity, the principal purpose of which is the promotion of hospital services and which directly or indirectly operates one or more hospital </w:t>
      </w:r>
      <w:r w:rsidR="00307585" w:rsidRPr="00EF778A">
        <w:rPr>
          <w:rFonts w:eastAsia="Calibri"/>
          <w:snapToGrid/>
          <w:kern w:val="0"/>
          <w:szCs w:val="22"/>
        </w:rPr>
        <w:t>facilities.</w:t>
      </w:r>
      <w:r w:rsidR="00307585" w:rsidRPr="00783556">
        <w:rPr>
          <w:rStyle w:val="FootnoteReference"/>
          <w:rFonts w:eastAsia="Calibri"/>
          <w:snapToGrid/>
          <w:kern w:val="0"/>
          <w:sz w:val="22"/>
          <w:szCs w:val="22"/>
        </w:rPr>
        <w:footnoteReference w:id="27"/>
      </w:r>
      <w:r w:rsidR="00AB0C43" w:rsidRPr="00EF778A">
        <w:rPr>
          <w:rFonts w:eastAsia="Calibri"/>
          <w:snapToGrid/>
          <w:kern w:val="0"/>
          <w:szCs w:val="22"/>
        </w:rPr>
        <w:t xml:space="preserve"> </w:t>
      </w:r>
      <w:r w:rsidR="003E533C">
        <w:rPr>
          <w:rFonts w:eastAsia="Calibri"/>
          <w:snapToGrid/>
          <w:kern w:val="0"/>
          <w:szCs w:val="22"/>
        </w:rPr>
        <w:t xml:space="preserve"> </w:t>
      </w:r>
      <w:r w:rsidR="00307585" w:rsidRPr="00EF778A">
        <w:rPr>
          <w:rFonts w:eastAsia="Calibri"/>
          <w:snapToGrid/>
          <w:kern w:val="0"/>
          <w:szCs w:val="22"/>
        </w:rPr>
        <w:t>T</w:t>
      </w:r>
      <w:r w:rsidR="00AB0C43" w:rsidRPr="00EF778A">
        <w:rPr>
          <w:rFonts w:eastAsia="Calibri"/>
          <w:snapToGrid/>
          <w:kern w:val="0"/>
          <w:szCs w:val="22"/>
        </w:rPr>
        <w:t xml:space="preserve">o the extent that the operations by a </w:t>
      </w:r>
      <w:r w:rsidR="00AB0C43" w:rsidRPr="00CC48B9">
        <w:rPr>
          <w:rFonts w:eastAsia="Calibri"/>
          <w:snapToGrid/>
          <w:kern w:val="0"/>
          <w:szCs w:val="22"/>
        </w:rPr>
        <w:t>public entity do not fall within the meaning of “not-for-profit hospital</w:t>
      </w:r>
      <w:r w:rsidRPr="00CC48B9">
        <w:rPr>
          <w:rFonts w:eastAsia="Calibri"/>
          <w:snapToGrid/>
          <w:kern w:val="0"/>
          <w:szCs w:val="22"/>
        </w:rPr>
        <w:t xml:space="preserve">,” </w:t>
      </w:r>
      <w:r w:rsidR="00307585" w:rsidRPr="00CC48B9">
        <w:rPr>
          <w:rFonts w:eastAsia="Calibri"/>
          <w:snapToGrid/>
          <w:kern w:val="0"/>
          <w:szCs w:val="22"/>
        </w:rPr>
        <w:t>St. Vincent Health SHO request</w:t>
      </w:r>
      <w:r w:rsidRPr="00CC48B9">
        <w:rPr>
          <w:rFonts w:eastAsia="Calibri"/>
          <w:snapToGrid/>
          <w:kern w:val="0"/>
          <w:szCs w:val="22"/>
        </w:rPr>
        <w:t>s</w:t>
      </w:r>
      <w:r w:rsidR="00AB52CA" w:rsidRPr="00CC48B9">
        <w:rPr>
          <w:rFonts w:eastAsia="Calibri"/>
          <w:snapToGrid/>
          <w:kern w:val="0"/>
          <w:szCs w:val="22"/>
        </w:rPr>
        <w:t xml:space="preserve"> </w:t>
      </w:r>
      <w:r w:rsidR="00307585" w:rsidRPr="00CC48B9">
        <w:rPr>
          <w:rFonts w:eastAsia="Calibri"/>
          <w:snapToGrid/>
          <w:kern w:val="0"/>
          <w:szCs w:val="22"/>
        </w:rPr>
        <w:t xml:space="preserve">the Commission </w:t>
      </w:r>
      <w:r w:rsidR="00AB0C43" w:rsidRPr="00CC48B9">
        <w:rPr>
          <w:rFonts w:eastAsia="Calibri"/>
          <w:snapToGrid/>
          <w:kern w:val="0"/>
          <w:szCs w:val="22"/>
        </w:rPr>
        <w:t>define “local health departments or agencies” as including all locations of a county hospital or other similar entity, agency or operating unit of a state or local government, the principal purpose of which is the provision of hospital services and which directly or indirectly operates one or more acute care facilities</w:t>
      </w:r>
      <w:r w:rsidR="00307585" w:rsidRPr="00CC48B9">
        <w:rPr>
          <w:rFonts w:eastAsia="Calibri"/>
          <w:snapToGrid/>
          <w:kern w:val="0"/>
          <w:szCs w:val="22"/>
        </w:rPr>
        <w:t>.</w:t>
      </w:r>
      <w:r w:rsidR="00307585" w:rsidRPr="00CC48B9">
        <w:rPr>
          <w:rStyle w:val="FootnoteReference"/>
          <w:rFonts w:eastAsia="Calibri"/>
          <w:snapToGrid/>
          <w:kern w:val="0"/>
          <w:szCs w:val="22"/>
        </w:rPr>
        <w:footnoteReference w:id="28"/>
      </w:r>
      <w:r w:rsidRPr="00CC48B9">
        <w:rPr>
          <w:rFonts w:eastAsia="Calibri"/>
          <w:snapToGrid/>
          <w:kern w:val="0"/>
          <w:szCs w:val="22"/>
        </w:rPr>
        <w:t xml:space="preserve">  </w:t>
      </w:r>
      <w:r w:rsidR="00E72BC6" w:rsidRPr="00CC48B9">
        <w:rPr>
          <w:rFonts w:eastAsia="Calibri"/>
          <w:snapToGrid/>
          <w:kern w:val="0"/>
          <w:szCs w:val="22"/>
        </w:rPr>
        <w:t>Finally</w:t>
      </w:r>
      <w:r w:rsidRPr="00CC48B9">
        <w:rPr>
          <w:rFonts w:eastAsia="Calibri"/>
          <w:snapToGrid/>
          <w:kern w:val="0"/>
          <w:szCs w:val="22"/>
        </w:rPr>
        <w:t xml:space="preserve">, </w:t>
      </w:r>
      <w:r w:rsidR="00307585" w:rsidRPr="00CC48B9">
        <w:rPr>
          <w:rFonts w:eastAsia="Calibri"/>
          <w:snapToGrid/>
          <w:kern w:val="0"/>
          <w:szCs w:val="22"/>
        </w:rPr>
        <w:t>St. Vincent Health SHO</w:t>
      </w:r>
      <w:r w:rsidRPr="00CC48B9">
        <w:rPr>
          <w:rFonts w:eastAsia="Calibri"/>
          <w:snapToGrid/>
          <w:kern w:val="0"/>
          <w:szCs w:val="22"/>
        </w:rPr>
        <w:t xml:space="preserve"> </w:t>
      </w:r>
      <w:r w:rsidR="00307585" w:rsidRPr="00CC48B9">
        <w:rPr>
          <w:rFonts w:eastAsia="Calibri"/>
          <w:snapToGrid/>
          <w:kern w:val="0"/>
          <w:szCs w:val="22"/>
        </w:rPr>
        <w:t xml:space="preserve">asks the Commission to </w:t>
      </w:r>
      <w:r w:rsidR="00AB0C43" w:rsidRPr="00CC48B9">
        <w:rPr>
          <w:rFonts w:eastAsia="Calibri"/>
          <w:snapToGrid/>
          <w:kern w:val="0"/>
          <w:szCs w:val="22"/>
        </w:rPr>
        <w:t xml:space="preserve">clarify that “not-for-profit hospitals” and “local health departments and agencies” </w:t>
      </w:r>
      <w:r w:rsidR="00E72BC6" w:rsidRPr="00CC48B9">
        <w:rPr>
          <w:rFonts w:eastAsia="Calibri"/>
          <w:snapToGrid/>
          <w:kern w:val="0"/>
          <w:szCs w:val="22"/>
        </w:rPr>
        <w:t xml:space="preserve">should </w:t>
      </w:r>
      <w:r w:rsidR="00AB0C43" w:rsidRPr="00CC48B9">
        <w:rPr>
          <w:rFonts w:eastAsia="Calibri"/>
          <w:snapToGrid/>
          <w:kern w:val="0"/>
          <w:szCs w:val="22"/>
        </w:rPr>
        <w:t>appl</w:t>
      </w:r>
      <w:r w:rsidR="00E72BC6" w:rsidRPr="00CC48B9">
        <w:rPr>
          <w:rFonts w:eastAsia="Calibri"/>
          <w:snapToGrid/>
          <w:kern w:val="0"/>
          <w:szCs w:val="22"/>
        </w:rPr>
        <w:t>y</w:t>
      </w:r>
      <w:r w:rsidR="00AB0C43" w:rsidRPr="00CC48B9">
        <w:rPr>
          <w:rFonts w:eastAsia="Calibri"/>
          <w:snapToGrid/>
          <w:kern w:val="0"/>
          <w:szCs w:val="22"/>
        </w:rPr>
        <w:t xml:space="preserve"> to the </w:t>
      </w:r>
      <w:r w:rsidR="00E72BC6" w:rsidRPr="00CC48B9">
        <w:rPr>
          <w:rFonts w:eastAsia="Calibri"/>
          <w:snapToGrid/>
          <w:kern w:val="0"/>
          <w:szCs w:val="22"/>
        </w:rPr>
        <w:t xml:space="preserve">broader </w:t>
      </w:r>
      <w:r w:rsidR="00AB0C43" w:rsidRPr="00CC48B9">
        <w:rPr>
          <w:rFonts w:eastAsia="Calibri"/>
          <w:snapToGrid/>
          <w:kern w:val="0"/>
          <w:szCs w:val="22"/>
        </w:rPr>
        <w:t xml:space="preserve">organization </w:t>
      </w:r>
      <w:r w:rsidR="00E72BC6" w:rsidRPr="00CC48B9">
        <w:rPr>
          <w:rFonts w:eastAsia="Calibri"/>
          <w:snapToGrid/>
          <w:kern w:val="0"/>
          <w:szCs w:val="22"/>
        </w:rPr>
        <w:t xml:space="preserve">operating the site </w:t>
      </w:r>
      <w:r w:rsidR="00AB0C43" w:rsidRPr="00CC48B9">
        <w:rPr>
          <w:rFonts w:eastAsia="Calibri"/>
          <w:snapToGrid/>
          <w:kern w:val="0"/>
          <w:szCs w:val="22"/>
        </w:rPr>
        <w:t xml:space="preserve">not the </w:t>
      </w:r>
      <w:r w:rsidR="00E72BC6" w:rsidRPr="00CC48B9">
        <w:rPr>
          <w:rFonts w:eastAsia="Calibri"/>
          <w:snapToGrid/>
          <w:kern w:val="0"/>
          <w:szCs w:val="22"/>
        </w:rPr>
        <w:t>individual site</w:t>
      </w:r>
      <w:r w:rsidR="00AB0C43" w:rsidRPr="00CC48B9">
        <w:rPr>
          <w:rFonts w:eastAsia="Calibri"/>
          <w:snapToGrid/>
          <w:kern w:val="0"/>
          <w:szCs w:val="22"/>
        </w:rPr>
        <w:t>.</w:t>
      </w:r>
      <w:r w:rsidR="00307585" w:rsidRPr="00CC48B9">
        <w:rPr>
          <w:rStyle w:val="FootnoteReference"/>
          <w:rFonts w:eastAsia="Calibri"/>
          <w:snapToGrid/>
          <w:kern w:val="0"/>
          <w:szCs w:val="22"/>
        </w:rPr>
        <w:footnoteReference w:id="29"/>
      </w:r>
      <w:r w:rsidR="00307585" w:rsidRPr="00CC48B9">
        <w:rPr>
          <w:rFonts w:eastAsia="Calibri"/>
          <w:snapToGrid/>
          <w:kern w:val="0"/>
          <w:szCs w:val="22"/>
        </w:rPr>
        <w:t xml:space="preserve">  </w:t>
      </w:r>
    </w:p>
    <w:p w:rsidR="005A173B" w:rsidRPr="00F63397" w:rsidRDefault="0025440C" w:rsidP="00F63397">
      <w:pPr>
        <w:pStyle w:val="Heading1"/>
      </w:pPr>
      <w:r w:rsidRPr="00CC48B9">
        <w:t>DISCUSSION</w:t>
      </w:r>
    </w:p>
    <w:p w:rsidR="001A4828" w:rsidRPr="00F63397" w:rsidRDefault="00E240E4" w:rsidP="00F63397">
      <w:pPr>
        <w:widowControl/>
        <w:numPr>
          <w:ilvl w:val="0"/>
          <w:numId w:val="18"/>
        </w:numPr>
        <w:tabs>
          <w:tab w:val="left" w:pos="0"/>
        </w:tabs>
        <w:spacing w:after="120"/>
        <w:ind w:left="0" w:firstLine="720"/>
        <w:rPr>
          <w:rFonts w:eastAsia="Calibri"/>
          <w:snapToGrid/>
          <w:kern w:val="0"/>
          <w:szCs w:val="22"/>
        </w:rPr>
      </w:pPr>
      <w:r w:rsidRPr="00CC48B9">
        <w:rPr>
          <w:rFonts w:eastAsia="Calibri"/>
          <w:snapToGrid/>
          <w:kern w:val="0"/>
          <w:szCs w:val="22"/>
        </w:rPr>
        <w:t>W</w:t>
      </w:r>
      <w:r w:rsidR="00AE1A94" w:rsidRPr="00CC48B9">
        <w:rPr>
          <w:rFonts w:eastAsia="Calibri"/>
          <w:snapToGrid/>
          <w:kern w:val="0"/>
          <w:szCs w:val="22"/>
        </w:rPr>
        <w:t xml:space="preserve">e </w:t>
      </w:r>
      <w:r w:rsidR="001A4505" w:rsidRPr="00CC48B9">
        <w:rPr>
          <w:rFonts w:eastAsia="Calibri"/>
          <w:snapToGrid/>
          <w:kern w:val="0"/>
          <w:szCs w:val="22"/>
        </w:rPr>
        <w:t xml:space="preserve">first </w:t>
      </w:r>
      <w:r w:rsidR="00AE1A94" w:rsidRPr="00CC48B9">
        <w:rPr>
          <w:rFonts w:eastAsia="Calibri"/>
          <w:snapToGrid/>
          <w:kern w:val="0"/>
          <w:szCs w:val="22"/>
        </w:rPr>
        <w:t xml:space="preserve">deny </w:t>
      </w:r>
      <w:r w:rsidR="009F11FC" w:rsidRPr="00CC48B9">
        <w:rPr>
          <w:rFonts w:eastAsia="Calibri"/>
          <w:snapToGrid/>
          <w:kern w:val="0"/>
          <w:szCs w:val="22"/>
        </w:rPr>
        <w:t>St. Vincent Health SHO’s request</w:t>
      </w:r>
      <w:r w:rsidR="00513893" w:rsidRPr="00CC48B9">
        <w:rPr>
          <w:rFonts w:eastAsia="Calibri"/>
          <w:snapToGrid/>
          <w:kern w:val="0"/>
          <w:szCs w:val="22"/>
        </w:rPr>
        <w:t xml:space="preserve"> </w:t>
      </w:r>
      <w:r w:rsidR="00AE1A94" w:rsidRPr="00CC48B9">
        <w:rPr>
          <w:rFonts w:eastAsia="Calibri"/>
          <w:snapToGrid/>
          <w:kern w:val="0"/>
          <w:szCs w:val="22"/>
        </w:rPr>
        <w:t>and af</w:t>
      </w:r>
      <w:r w:rsidR="00513893" w:rsidRPr="00CC48B9">
        <w:rPr>
          <w:rFonts w:eastAsia="Calibri"/>
          <w:snapToGrid/>
          <w:kern w:val="0"/>
          <w:szCs w:val="22"/>
        </w:rPr>
        <w:t xml:space="preserve">firm USAC’s </w:t>
      </w:r>
      <w:r w:rsidR="00200A8B" w:rsidRPr="00CC48B9">
        <w:rPr>
          <w:rFonts w:eastAsia="Calibri"/>
          <w:snapToGrid/>
          <w:kern w:val="0"/>
          <w:szCs w:val="22"/>
        </w:rPr>
        <w:t>determinati</w:t>
      </w:r>
      <w:r w:rsidR="00513893" w:rsidRPr="00CC48B9">
        <w:rPr>
          <w:rFonts w:eastAsia="Calibri"/>
          <w:snapToGrid/>
          <w:kern w:val="0"/>
          <w:szCs w:val="22"/>
        </w:rPr>
        <w:t xml:space="preserve">on </w:t>
      </w:r>
      <w:r w:rsidR="00AE1A94" w:rsidRPr="00CC48B9">
        <w:rPr>
          <w:rFonts w:eastAsia="Calibri"/>
          <w:snapToGrid/>
          <w:kern w:val="0"/>
          <w:szCs w:val="22"/>
        </w:rPr>
        <w:t xml:space="preserve">that </w:t>
      </w:r>
      <w:r w:rsidR="004C0651" w:rsidRPr="00CC48B9">
        <w:rPr>
          <w:rFonts w:eastAsia="Calibri"/>
          <w:snapToGrid/>
          <w:kern w:val="0"/>
          <w:szCs w:val="22"/>
        </w:rPr>
        <w:t>the 61</w:t>
      </w:r>
      <w:r w:rsidR="009F11FC" w:rsidRPr="00CC48B9">
        <w:rPr>
          <w:rFonts w:eastAsia="Calibri"/>
          <w:snapToGrid/>
          <w:kern w:val="0"/>
          <w:szCs w:val="22"/>
        </w:rPr>
        <w:t xml:space="preserve"> </w:t>
      </w:r>
      <w:r w:rsidR="00E72BC6" w:rsidRPr="00CC48B9">
        <w:rPr>
          <w:rFonts w:eastAsia="Calibri"/>
          <w:snapToGrid/>
          <w:kern w:val="0"/>
          <w:szCs w:val="22"/>
        </w:rPr>
        <w:t xml:space="preserve">sites </w:t>
      </w:r>
      <w:r w:rsidR="00AE1A94" w:rsidRPr="00CC48B9">
        <w:rPr>
          <w:rFonts w:eastAsia="Calibri"/>
          <w:snapToGrid/>
          <w:kern w:val="0"/>
          <w:szCs w:val="22"/>
        </w:rPr>
        <w:t xml:space="preserve">are not eligible to receive support under section 54.600(a) of </w:t>
      </w:r>
      <w:r w:rsidR="00513893" w:rsidRPr="00CC48B9">
        <w:rPr>
          <w:rFonts w:eastAsia="Calibri"/>
          <w:snapToGrid/>
          <w:kern w:val="0"/>
          <w:szCs w:val="22"/>
        </w:rPr>
        <w:t xml:space="preserve">the Commission’s </w:t>
      </w:r>
      <w:r w:rsidR="00AE1A94" w:rsidRPr="00CC48B9">
        <w:rPr>
          <w:rFonts w:eastAsia="Calibri"/>
          <w:snapToGrid/>
          <w:kern w:val="0"/>
          <w:szCs w:val="22"/>
        </w:rPr>
        <w:t>rules, as defined by section 254(h)(7)(B) of the Act.</w:t>
      </w:r>
      <w:r w:rsidR="00AE1A94" w:rsidRPr="00CC48B9">
        <w:rPr>
          <w:rFonts w:eastAsia="Calibri"/>
          <w:snapToGrid/>
          <w:kern w:val="0"/>
          <w:szCs w:val="22"/>
          <w:vertAlign w:val="superscript"/>
        </w:rPr>
        <w:footnoteReference w:id="30"/>
      </w:r>
      <w:r w:rsidR="00AE1A94" w:rsidRPr="00CC48B9">
        <w:rPr>
          <w:rFonts w:eastAsia="Calibri"/>
          <w:snapToGrid/>
          <w:kern w:val="0"/>
          <w:szCs w:val="22"/>
        </w:rPr>
        <w:t xml:space="preserve">  The Commission specified that the </w:t>
      </w:r>
      <w:r w:rsidR="00855064" w:rsidRPr="00CC48B9">
        <w:rPr>
          <w:rFonts w:eastAsia="Calibri"/>
          <w:snapToGrid/>
          <w:kern w:val="0"/>
          <w:szCs w:val="22"/>
        </w:rPr>
        <w:t xml:space="preserve">Healthcare Connect Fund </w:t>
      </w:r>
      <w:r w:rsidR="00AE1A94" w:rsidRPr="00CC48B9">
        <w:rPr>
          <w:rFonts w:eastAsia="Calibri"/>
          <w:snapToGrid/>
          <w:kern w:val="0"/>
          <w:szCs w:val="22"/>
        </w:rPr>
        <w:t xml:space="preserve">program would provide support for broadband connectivity to </w:t>
      </w:r>
      <w:r w:rsidR="00AE1A94" w:rsidRPr="00CC48B9">
        <w:rPr>
          <w:rFonts w:eastAsia="Calibri"/>
          <w:i/>
          <w:snapToGrid/>
          <w:kern w:val="0"/>
          <w:szCs w:val="22"/>
        </w:rPr>
        <w:t xml:space="preserve">eligible </w:t>
      </w:r>
      <w:r w:rsidR="00AE1A94" w:rsidRPr="00CC48B9">
        <w:rPr>
          <w:rFonts w:eastAsia="Calibri"/>
          <w:snapToGrid/>
          <w:kern w:val="0"/>
          <w:szCs w:val="22"/>
        </w:rPr>
        <w:t>health care providers</w:t>
      </w:r>
      <w:r w:rsidR="00AE1A94" w:rsidRPr="00CC48B9">
        <w:rPr>
          <w:rFonts w:eastAsia="Calibri"/>
          <w:snapToGrid/>
          <w:kern w:val="0"/>
          <w:szCs w:val="22"/>
          <w:vertAlign w:val="superscript"/>
        </w:rPr>
        <w:footnoteReference w:id="31"/>
      </w:r>
      <w:r w:rsidR="00855064" w:rsidRPr="00CC48B9">
        <w:rPr>
          <w:rFonts w:eastAsia="Calibri"/>
          <w:snapToGrid/>
          <w:kern w:val="0"/>
          <w:szCs w:val="22"/>
        </w:rPr>
        <w:t xml:space="preserve"> and</w:t>
      </w:r>
      <w:r w:rsidR="00E81088" w:rsidRPr="00CC48B9">
        <w:rPr>
          <w:rFonts w:eastAsia="Calibri"/>
          <w:snapToGrid/>
          <w:kern w:val="0"/>
          <w:szCs w:val="22"/>
        </w:rPr>
        <w:t xml:space="preserve"> in order to be eligible to receive support, an applicant must: (1) be a public or non-profit health care provider</w:t>
      </w:r>
      <w:r w:rsidR="00E81088" w:rsidRPr="00CC48B9">
        <w:rPr>
          <w:rFonts w:eastAsia="Calibri"/>
          <w:snapToGrid/>
          <w:spacing w:val="-5"/>
          <w:kern w:val="0"/>
          <w:szCs w:val="22"/>
          <w:vertAlign w:val="superscript"/>
        </w:rPr>
        <w:footnoteReference w:id="32"/>
      </w:r>
      <w:r w:rsidR="00E81088" w:rsidRPr="00CC48B9">
        <w:rPr>
          <w:rFonts w:eastAsia="Calibri"/>
          <w:snapToGrid/>
          <w:spacing w:val="-5"/>
          <w:kern w:val="0"/>
          <w:szCs w:val="22"/>
          <w:vertAlign w:val="superscript"/>
        </w:rPr>
        <w:t xml:space="preserve"> </w:t>
      </w:r>
      <w:r w:rsidR="00E81088" w:rsidRPr="00CC48B9">
        <w:rPr>
          <w:rFonts w:eastAsia="Calibri"/>
          <w:snapToGrid/>
          <w:kern w:val="0"/>
          <w:szCs w:val="22"/>
        </w:rPr>
        <w:t>and (2) qualify as one of the eligible health care provider types under the Act and the Commission’s rules.</w:t>
      </w:r>
      <w:r w:rsidR="00E81088" w:rsidRPr="00CC48B9">
        <w:rPr>
          <w:rFonts w:eastAsia="Calibri"/>
          <w:snapToGrid/>
          <w:spacing w:val="-5"/>
          <w:kern w:val="0"/>
          <w:szCs w:val="22"/>
          <w:vertAlign w:val="superscript"/>
        </w:rPr>
        <w:t xml:space="preserve"> </w:t>
      </w:r>
      <w:r w:rsidR="00E81088" w:rsidRPr="00CC48B9">
        <w:rPr>
          <w:rFonts w:eastAsia="Calibri"/>
          <w:snapToGrid/>
          <w:spacing w:val="-5"/>
          <w:kern w:val="0"/>
          <w:szCs w:val="22"/>
          <w:vertAlign w:val="superscript"/>
        </w:rPr>
        <w:footnoteReference w:id="33"/>
      </w:r>
      <w:r w:rsidR="00E81088" w:rsidRPr="00CC48B9">
        <w:rPr>
          <w:rFonts w:eastAsia="Calibri"/>
          <w:snapToGrid/>
          <w:spacing w:val="-5"/>
          <w:kern w:val="0"/>
          <w:szCs w:val="22"/>
        </w:rPr>
        <w:t xml:space="preserve">  </w:t>
      </w:r>
      <w:r w:rsidRPr="00CC48B9">
        <w:rPr>
          <w:rFonts w:eastAsia="Calibri"/>
          <w:snapToGrid/>
          <w:spacing w:val="-5"/>
          <w:kern w:val="0"/>
          <w:szCs w:val="22"/>
        </w:rPr>
        <w:t xml:space="preserve">Based on the record before us, </w:t>
      </w:r>
      <w:r w:rsidR="009F11FC" w:rsidRPr="00CC48B9">
        <w:rPr>
          <w:rFonts w:eastAsia="Calibri"/>
          <w:snapToGrid/>
          <w:kern w:val="0"/>
          <w:szCs w:val="22"/>
        </w:rPr>
        <w:t xml:space="preserve">these specific </w:t>
      </w:r>
      <w:r w:rsidR="001A4505" w:rsidRPr="00CC48B9">
        <w:rPr>
          <w:rFonts w:eastAsia="Calibri"/>
          <w:snapToGrid/>
          <w:kern w:val="0"/>
          <w:szCs w:val="22"/>
        </w:rPr>
        <w:t xml:space="preserve">sites </w:t>
      </w:r>
      <w:r w:rsidR="00E81088" w:rsidRPr="00CC48B9">
        <w:rPr>
          <w:rFonts w:eastAsia="Calibri"/>
          <w:snapToGrid/>
          <w:kern w:val="0"/>
          <w:szCs w:val="22"/>
        </w:rPr>
        <w:t xml:space="preserve">do not fall under </w:t>
      </w:r>
      <w:r w:rsidR="006432E7">
        <w:rPr>
          <w:rFonts w:eastAsia="Calibri"/>
          <w:snapToGrid/>
          <w:kern w:val="0"/>
          <w:szCs w:val="22"/>
        </w:rPr>
        <w:t>the selected</w:t>
      </w:r>
      <w:r w:rsidR="00E81088" w:rsidRPr="00CC48B9">
        <w:rPr>
          <w:rFonts w:eastAsia="Calibri"/>
          <w:snapToGrid/>
          <w:kern w:val="0"/>
          <w:szCs w:val="22"/>
        </w:rPr>
        <w:t xml:space="preserve"> </w:t>
      </w:r>
      <w:r w:rsidR="00C22226">
        <w:rPr>
          <w:rFonts w:eastAsia="Calibri"/>
          <w:snapToGrid/>
          <w:kern w:val="0"/>
          <w:szCs w:val="22"/>
        </w:rPr>
        <w:t xml:space="preserve">eligible </w:t>
      </w:r>
      <w:r w:rsidR="00E81088" w:rsidRPr="00CC48B9">
        <w:rPr>
          <w:rFonts w:eastAsia="Calibri"/>
          <w:snapToGrid/>
          <w:kern w:val="0"/>
          <w:szCs w:val="22"/>
        </w:rPr>
        <w:t>category types</w:t>
      </w:r>
      <w:r w:rsidR="001A4505" w:rsidRPr="00CC48B9">
        <w:rPr>
          <w:rFonts w:eastAsia="Calibri"/>
          <w:snapToGrid/>
          <w:kern w:val="0"/>
          <w:szCs w:val="22"/>
        </w:rPr>
        <w:t xml:space="preserve">.  </w:t>
      </w:r>
      <w:r w:rsidR="001A4505" w:rsidRPr="00D01D69">
        <w:rPr>
          <w:rFonts w:eastAsia="Calibri"/>
          <w:snapToGrid/>
          <w:kern w:val="0"/>
          <w:szCs w:val="22"/>
        </w:rPr>
        <w:t xml:space="preserve">The </w:t>
      </w:r>
      <w:r w:rsidR="00843A09" w:rsidRPr="00843A09">
        <w:rPr>
          <w:rFonts w:eastAsia="Calibri"/>
          <w:snapToGrid/>
          <w:kern w:val="0"/>
          <w:szCs w:val="22"/>
        </w:rPr>
        <w:t xml:space="preserve">specific service locations </w:t>
      </w:r>
      <w:r w:rsidR="00843A09">
        <w:rPr>
          <w:rFonts w:eastAsia="Calibri"/>
          <w:snapToGrid/>
          <w:kern w:val="0"/>
          <w:szCs w:val="22"/>
        </w:rPr>
        <w:t xml:space="preserve">for the </w:t>
      </w:r>
      <w:r w:rsidR="001A4505" w:rsidRPr="00D01D69">
        <w:rPr>
          <w:rFonts w:eastAsia="Calibri"/>
          <w:snapToGrid/>
          <w:kern w:val="0"/>
          <w:szCs w:val="22"/>
        </w:rPr>
        <w:t xml:space="preserve">sites </w:t>
      </w:r>
      <w:r w:rsidR="002F5B7C">
        <w:rPr>
          <w:rFonts w:eastAsia="Calibri"/>
          <w:snapToGrid/>
          <w:kern w:val="0"/>
          <w:szCs w:val="22"/>
        </w:rPr>
        <w:t xml:space="preserve">St. Vincent </w:t>
      </w:r>
      <w:r w:rsidR="00BE2610">
        <w:rPr>
          <w:rFonts w:eastAsia="Calibri"/>
          <w:snapToGrid/>
          <w:kern w:val="0"/>
          <w:szCs w:val="22"/>
        </w:rPr>
        <w:t xml:space="preserve">SHO </w:t>
      </w:r>
      <w:r w:rsidR="002F5B7C">
        <w:rPr>
          <w:rFonts w:eastAsia="Calibri"/>
          <w:snapToGrid/>
          <w:kern w:val="0"/>
          <w:szCs w:val="22"/>
        </w:rPr>
        <w:t xml:space="preserve">claims </w:t>
      </w:r>
      <w:r w:rsidR="00843A09">
        <w:rPr>
          <w:rFonts w:eastAsia="Calibri"/>
          <w:snapToGrid/>
          <w:kern w:val="0"/>
          <w:szCs w:val="22"/>
        </w:rPr>
        <w:t>to be</w:t>
      </w:r>
      <w:r w:rsidR="002F5B7C">
        <w:rPr>
          <w:rFonts w:eastAsia="Calibri"/>
          <w:snapToGrid/>
          <w:kern w:val="0"/>
          <w:szCs w:val="22"/>
        </w:rPr>
        <w:t xml:space="preserve"> </w:t>
      </w:r>
      <w:r w:rsidR="001A4505" w:rsidRPr="00D01D69">
        <w:rPr>
          <w:rFonts w:eastAsia="Calibri"/>
          <w:snapToGrid/>
          <w:kern w:val="0"/>
          <w:szCs w:val="22"/>
        </w:rPr>
        <w:t xml:space="preserve">not-for-profit hospitals </w:t>
      </w:r>
      <w:r w:rsidR="002F5B7C">
        <w:rPr>
          <w:rFonts w:eastAsia="Calibri"/>
          <w:snapToGrid/>
          <w:kern w:val="0"/>
          <w:szCs w:val="22"/>
        </w:rPr>
        <w:t xml:space="preserve">are </w:t>
      </w:r>
      <w:r w:rsidR="00D01D69" w:rsidRPr="00D01D69">
        <w:rPr>
          <w:rFonts w:eastAsia="Calibri"/>
          <w:snapToGrid/>
          <w:kern w:val="0"/>
          <w:szCs w:val="22"/>
        </w:rPr>
        <w:t>not</w:t>
      </w:r>
      <w:r w:rsidR="00843A09">
        <w:rPr>
          <w:rFonts w:eastAsia="Calibri"/>
          <w:snapToGrid/>
          <w:kern w:val="0"/>
          <w:szCs w:val="22"/>
        </w:rPr>
        <w:t>, in fact,</w:t>
      </w:r>
      <w:r w:rsidR="00D01D69" w:rsidRPr="00D01D69">
        <w:rPr>
          <w:rFonts w:eastAsia="Calibri"/>
          <w:snapToGrid/>
          <w:kern w:val="0"/>
          <w:szCs w:val="22"/>
        </w:rPr>
        <w:t xml:space="preserve"> </w:t>
      </w:r>
      <w:r w:rsidR="002F5B7C">
        <w:rPr>
          <w:rFonts w:eastAsia="Calibri"/>
          <w:snapToGrid/>
          <w:kern w:val="0"/>
          <w:szCs w:val="22"/>
        </w:rPr>
        <w:t xml:space="preserve">accredited or licensed as </w:t>
      </w:r>
      <w:r w:rsidR="001B4B75" w:rsidRPr="00D01D69">
        <w:rPr>
          <w:rFonts w:eastAsia="Calibri"/>
          <w:snapToGrid/>
          <w:kern w:val="0"/>
          <w:szCs w:val="22"/>
        </w:rPr>
        <w:t>not-for-profit hospital</w:t>
      </w:r>
      <w:r w:rsidR="00D01D69" w:rsidRPr="00D01D69">
        <w:rPr>
          <w:rFonts w:eastAsia="Calibri"/>
          <w:snapToGrid/>
          <w:kern w:val="0"/>
          <w:szCs w:val="22"/>
        </w:rPr>
        <w:t>s</w:t>
      </w:r>
      <w:r w:rsidR="00843A09">
        <w:rPr>
          <w:rFonts w:eastAsia="Calibri"/>
          <w:snapToGrid/>
          <w:kern w:val="0"/>
          <w:szCs w:val="22"/>
        </w:rPr>
        <w:t xml:space="preserve"> – making them ineligible </w:t>
      </w:r>
      <w:r w:rsidR="00843A09">
        <w:rPr>
          <w:rFonts w:eastAsia="Calibri"/>
          <w:snapToGrid/>
          <w:kern w:val="0"/>
          <w:szCs w:val="22"/>
        </w:rPr>
        <w:lastRenderedPageBreak/>
        <w:t>to receive funding from the Healthcare Connect Fund as “not-for-profit hospitals</w:t>
      </w:r>
      <w:r w:rsidR="001B4B75" w:rsidRPr="00D01D69">
        <w:rPr>
          <w:rFonts w:eastAsia="Calibri"/>
          <w:snapToGrid/>
          <w:kern w:val="0"/>
          <w:szCs w:val="22"/>
        </w:rPr>
        <w:t>.</w:t>
      </w:r>
      <w:r w:rsidR="00843A09">
        <w:rPr>
          <w:rFonts w:eastAsia="Calibri"/>
          <w:snapToGrid/>
          <w:kern w:val="0"/>
          <w:szCs w:val="22"/>
        </w:rPr>
        <w:t>”</w:t>
      </w:r>
      <w:r w:rsidR="001B4B75" w:rsidRPr="00D01D69">
        <w:rPr>
          <w:rStyle w:val="FootnoteReference"/>
          <w:rFonts w:eastAsia="Calibri"/>
          <w:snapToGrid/>
          <w:kern w:val="0"/>
          <w:szCs w:val="22"/>
        </w:rPr>
        <w:footnoteReference w:id="34"/>
      </w:r>
      <w:r w:rsidR="001B4B75" w:rsidRPr="00D01D69">
        <w:rPr>
          <w:rFonts w:eastAsia="Calibri"/>
          <w:snapToGrid/>
          <w:kern w:val="0"/>
          <w:szCs w:val="22"/>
        </w:rPr>
        <w:t xml:space="preserve">  </w:t>
      </w:r>
      <w:r w:rsidR="001A4505" w:rsidRPr="00D01D69">
        <w:rPr>
          <w:rFonts w:eastAsia="Calibri"/>
          <w:snapToGrid/>
          <w:kern w:val="0"/>
          <w:szCs w:val="22"/>
        </w:rPr>
        <w:t>Similarly</w:t>
      </w:r>
      <w:r w:rsidR="00BA7819" w:rsidRPr="00D01D69">
        <w:rPr>
          <w:rFonts w:eastAsia="Calibri"/>
          <w:snapToGrid/>
          <w:kern w:val="0"/>
          <w:szCs w:val="22"/>
        </w:rPr>
        <w:t>,</w:t>
      </w:r>
      <w:r w:rsidR="001A4505" w:rsidRPr="00D01D69">
        <w:rPr>
          <w:rFonts w:eastAsia="Calibri"/>
          <w:snapToGrid/>
          <w:kern w:val="0"/>
          <w:szCs w:val="22"/>
        </w:rPr>
        <w:t xml:space="preserve"> the sites St. Vincent SHO claim</w:t>
      </w:r>
      <w:r w:rsidR="002F5B7C">
        <w:rPr>
          <w:rFonts w:eastAsia="Calibri"/>
          <w:snapToGrid/>
          <w:kern w:val="0"/>
          <w:szCs w:val="22"/>
        </w:rPr>
        <w:t xml:space="preserve">s are </w:t>
      </w:r>
      <w:r w:rsidR="001A4505" w:rsidRPr="00D01D69">
        <w:rPr>
          <w:rFonts w:eastAsia="Calibri"/>
          <w:snapToGrid/>
          <w:kern w:val="0"/>
          <w:szCs w:val="22"/>
        </w:rPr>
        <w:t xml:space="preserve">rural health clinics do not qualify </w:t>
      </w:r>
      <w:r w:rsidR="002F5B7C">
        <w:rPr>
          <w:rFonts w:eastAsia="Calibri"/>
          <w:snapToGrid/>
          <w:kern w:val="0"/>
          <w:szCs w:val="22"/>
        </w:rPr>
        <w:t xml:space="preserve">as eligible rural health clinics </w:t>
      </w:r>
      <w:r w:rsidR="001A4505" w:rsidRPr="00D01D69">
        <w:rPr>
          <w:rFonts w:eastAsia="Calibri"/>
          <w:snapToGrid/>
          <w:kern w:val="0"/>
          <w:szCs w:val="22"/>
        </w:rPr>
        <w:t>because</w:t>
      </w:r>
      <w:r w:rsidR="002F5B7C">
        <w:rPr>
          <w:rFonts w:eastAsia="Calibri"/>
          <w:snapToGrid/>
          <w:kern w:val="0"/>
          <w:szCs w:val="22"/>
        </w:rPr>
        <w:t xml:space="preserve"> the sites</w:t>
      </w:r>
      <w:r w:rsidR="001A4828">
        <w:rPr>
          <w:rFonts w:eastAsia="Calibri"/>
          <w:snapToGrid/>
          <w:kern w:val="0"/>
          <w:szCs w:val="22"/>
        </w:rPr>
        <w:t xml:space="preserve"> do not provide </w:t>
      </w:r>
      <w:r w:rsidR="002F5B7C">
        <w:rPr>
          <w:rFonts w:eastAsia="Calibri"/>
          <w:snapToGrid/>
          <w:kern w:val="0"/>
          <w:szCs w:val="22"/>
        </w:rPr>
        <w:t>eligible medical service</w:t>
      </w:r>
      <w:r w:rsidR="00BE2610">
        <w:rPr>
          <w:rFonts w:eastAsia="Calibri"/>
          <w:snapToGrid/>
          <w:kern w:val="0"/>
          <w:szCs w:val="22"/>
        </w:rPr>
        <w:t xml:space="preserve">s, </w:t>
      </w:r>
      <w:r w:rsidR="001A4828">
        <w:rPr>
          <w:rFonts w:eastAsia="Calibri"/>
          <w:snapToGrid/>
          <w:kern w:val="0"/>
          <w:szCs w:val="22"/>
        </w:rPr>
        <w:t xml:space="preserve">and, in one instance, the facility is closed.  </w:t>
      </w:r>
      <w:r w:rsidR="001A4505" w:rsidRPr="00D01D69">
        <w:rPr>
          <w:rFonts w:eastAsia="Calibri"/>
          <w:snapToGrid/>
          <w:kern w:val="0"/>
          <w:szCs w:val="22"/>
        </w:rPr>
        <w:t>W</w:t>
      </w:r>
      <w:r w:rsidR="00AE1A94" w:rsidRPr="00D01D69">
        <w:rPr>
          <w:rFonts w:eastAsia="Calibri"/>
          <w:snapToGrid/>
          <w:kern w:val="0"/>
          <w:szCs w:val="22"/>
        </w:rPr>
        <w:t xml:space="preserve">e </w:t>
      </w:r>
      <w:r w:rsidR="001A4505" w:rsidRPr="00D01D69">
        <w:rPr>
          <w:rFonts w:eastAsia="Calibri"/>
          <w:snapToGrid/>
          <w:kern w:val="0"/>
          <w:szCs w:val="22"/>
        </w:rPr>
        <w:t xml:space="preserve">thus </w:t>
      </w:r>
      <w:r w:rsidR="00AE1A94" w:rsidRPr="00D01D69">
        <w:rPr>
          <w:rFonts w:eastAsia="Calibri"/>
          <w:snapToGrid/>
          <w:kern w:val="0"/>
          <w:szCs w:val="22"/>
        </w:rPr>
        <w:t>conclude that the</w:t>
      </w:r>
      <w:r w:rsidR="002F5B7C">
        <w:rPr>
          <w:rFonts w:eastAsia="Calibri"/>
          <w:snapToGrid/>
          <w:kern w:val="0"/>
          <w:szCs w:val="22"/>
        </w:rPr>
        <w:t>se sites a</w:t>
      </w:r>
      <w:r w:rsidR="001A4505" w:rsidRPr="00D01D69">
        <w:rPr>
          <w:rFonts w:eastAsia="Calibri"/>
          <w:snapToGrid/>
          <w:kern w:val="0"/>
          <w:szCs w:val="22"/>
        </w:rPr>
        <w:t xml:space="preserve">re not eligible to receive support from </w:t>
      </w:r>
      <w:r w:rsidR="00CA5E54" w:rsidRPr="00D01D69">
        <w:rPr>
          <w:rFonts w:eastAsia="Calibri"/>
          <w:snapToGrid/>
          <w:kern w:val="0"/>
          <w:szCs w:val="22"/>
        </w:rPr>
        <w:t xml:space="preserve">the Healthcare Connect Fund as </w:t>
      </w:r>
      <w:r w:rsidR="00AE1A94" w:rsidRPr="00D01D69">
        <w:rPr>
          <w:rFonts w:eastAsia="Calibri"/>
          <w:snapToGrid/>
          <w:kern w:val="0"/>
          <w:szCs w:val="22"/>
        </w:rPr>
        <w:t>eligible health care provider</w:t>
      </w:r>
      <w:r w:rsidRPr="00D01D69">
        <w:rPr>
          <w:rFonts w:eastAsia="Calibri"/>
          <w:snapToGrid/>
          <w:kern w:val="0"/>
          <w:szCs w:val="22"/>
        </w:rPr>
        <w:t>s</w:t>
      </w:r>
      <w:r w:rsidR="00AE1A94" w:rsidRPr="00D01D69">
        <w:rPr>
          <w:rFonts w:eastAsia="Calibri"/>
          <w:snapToGrid/>
          <w:kern w:val="0"/>
          <w:szCs w:val="22"/>
        </w:rPr>
        <w:t>.</w:t>
      </w:r>
      <w:r w:rsidR="001C141A" w:rsidRPr="00D01D69">
        <w:rPr>
          <w:rStyle w:val="FootnoteReference"/>
          <w:rFonts w:eastAsia="Calibri"/>
          <w:snapToGrid/>
          <w:kern w:val="0"/>
          <w:sz w:val="22"/>
          <w:szCs w:val="22"/>
        </w:rPr>
        <w:footnoteReference w:id="35"/>
      </w:r>
    </w:p>
    <w:p w:rsidR="0051198A" w:rsidRPr="00F63397" w:rsidRDefault="001A4505" w:rsidP="00F63397">
      <w:pPr>
        <w:widowControl/>
        <w:numPr>
          <w:ilvl w:val="0"/>
          <w:numId w:val="18"/>
        </w:numPr>
        <w:tabs>
          <w:tab w:val="left" w:pos="0"/>
        </w:tabs>
        <w:spacing w:after="120"/>
        <w:ind w:left="0" w:firstLine="720"/>
        <w:rPr>
          <w:rFonts w:eastAsia="Calibri"/>
          <w:snapToGrid/>
          <w:kern w:val="0"/>
          <w:szCs w:val="22"/>
        </w:rPr>
      </w:pPr>
      <w:r w:rsidRPr="00FB6FAF">
        <w:rPr>
          <w:rFonts w:eastAsia="Calibri"/>
          <w:snapToGrid/>
          <w:kern w:val="0"/>
          <w:szCs w:val="22"/>
        </w:rPr>
        <w:t xml:space="preserve">We also reject St. Vincent SHO’s contention that the Commission should </w:t>
      </w:r>
      <w:r w:rsidR="00A10281" w:rsidRPr="00FB6FAF">
        <w:rPr>
          <w:rFonts w:eastAsia="Calibri"/>
          <w:snapToGrid/>
          <w:kern w:val="0"/>
          <w:szCs w:val="22"/>
        </w:rPr>
        <w:t xml:space="preserve">consider the entity operating the site when determining eligibility for the program rather than the site itself.  </w:t>
      </w:r>
      <w:r w:rsidR="00FB6FAF" w:rsidRPr="00FB6FAF">
        <w:rPr>
          <w:szCs w:val="22"/>
        </w:rPr>
        <w:t xml:space="preserve">Section 254(h)(7)(B) of the Act restricts eligibility for support to specific types of </w:t>
      </w:r>
      <w:r w:rsidR="00C22226">
        <w:rPr>
          <w:szCs w:val="22"/>
        </w:rPr>
        <w:t>health care providers</w:t>
      </w:r>
      <w:r w:rsidR="00FB6FAF" w:rsidRPr="00FB6FAF">
        <w:rPr>
          <w:szCs w:val="22"/>
        </w:rPr>
        <w:t>.</w:t>
      </w:r>
      <w:r w:rsidR="00FB6FAF" w:rsidRPr="00FB6FAF">
        <w:rPr>
          <w:rStyle w:val="FootnoteReference"/>
          <w:szCs w:val="22"/>
        </w:rPr>
        <w:footnoteReference w:id="36"/>
      </w:r>
      <w:r w:rsidR="00FB6FAF">
        <w:rPr>
          <w:szCs w:val="22"/>
        </w:rPr>
        <w:t xml:space="preserve">  Thus, </w:t>
      </w:r>
      <w:r w:rsidR="00EB2C9A">
        <w:rPr>
          <w:szCs w:val="22"/>
        </w:rPr>
        <w:t xml:space="preserve">in order to ensure the </w:t>
      </w:r>
      <w:r w:rsidR="001A4828">
        <w:rPr>
          <w:szCs w:val="22"/>
        </w:rPr>
        <w:t xml:space="preserve">RHC Program </w:t>
      </w:r>
      <w:r w:rsidR="00EB2C9A">
        <w:rPr>
          <w:szCs w:val="22"/>
        </w:rPr>
        <w:t xml:space="preserve">operates in accordance with the Act and congressional intent, </w:t>
      </w:r>
      <w:r w:rsidR="00FB6FAF">
        <w:rPr>
          <w:szCs w:val="22"/>
        </w:rPr>
        <w:t>t</w:t>
      </w:r>
      <w:r w:rsidR="00E81088" w:rsidRPr="00FB6FAF">
        <w:rPr>
          <w:rFonts w:eastAsia="Calibri"/>
          <w:snapToGrid/>
          <w:kern w:val="0"/>
          <w:szCs w:val="22"/>
        </w:rPr>
        <w:t>he Commission</w:t>
      </w:r>
      <w:r w:rsidR="00EB2C9A">
        <w:rPr>
          <w:rFonts w:eastAsia="Calibri"/>
          <w:snapToGrid/>
          <w:kern w:val="0"/>
          <w:szCs w:val="22"/>
        </w:rPr>
        <w:t xml:space="preserve"> </w:t>
      </w:r>
      <w:r w:rsidR="00E81088" w:rsidRPr="00FB6FAF">
        <w:rPr>
          <w:rFonts w:eastAsia="Calibri"/>
          <w:snapToGrid/>
          <w:kern w:val="0"/>
          <w:szCs w:val="22"/>
        </w:rPr>
        <w:t>require</w:t>
      </w:r>
      <w:r w:rsidR="00EB2C9A">
        <w:rPr>
          <w:rFonts w:eastAsia="Calibri"/>
          <w:snapToGrid/>
          <w:kern w:val="0"/>
          <w:szCs w:val="22"/>
        </w:rPr>
        <w:t>s</w:t>
      </w:r>
      <w:r w:rsidR="00E81088" w:rsidRPr="00FB6FAF">
        <w:rPr>
          <w:rFonts w:eastAsia="Calibri"/>
          <w:snapToGrid/>
          <w:kern w:val="0"/>
          <w:szCs w:val="22"/>
        </w:rPr>
        <w:t xml:space="preserve"> that e</w:t>
      </w:r>
      <w:r w:rsidR="00E81088" w:rsidRPr="00FB6FAF">
        <w:rPr>
          <w:szCs w:val="22"/>
        </w:rPr>
        <w:t xml:space="preserve">ach </w:t>
      </w:r>
      <w:r w:rsidR="00CA5E54" w:rsidRPr="00FB6FAF">
        <w:rPr>
          <w:szCs w:val="22"/>
        </w:rPr>
        <w:t xml:space="preserve">health care provider </w:t>
      </w:r>
      <w:r w:rsidR="00E81088" w:rsidRPr="00FB6FAF">
        <w:rPr>
          <w:szCs w:val="22"/>
        </w:rPr>
        <w:t>site or location</w:t>
      </w:r>
      <w:r w:rsidR="00CA5E54" w:rsidRPr="00FB6FAF">
        <w:rPr>
          <w:szCs w:val="22"/>
        </w:rPr>
        <w:t xml:space="preserve"> </w:t>
      </w:r>
      <w:r w:rsidR="00E81088" w:rsidRPr="00FB6FAF">
        <w:rPr>
          <w:szCs w:val="22"/>
        </w:rPr>
        <w:t>shall be considered an individual health care provider for purposes of calculating and limiting support und</w:t>
      </w:r>
      <w:r w:rsidR="004F19B1" w:rsidRPr="00FB6FAF">
        <w:rPr>
          <w:szCs w:val="22"/>
        </w:rPr>
        <w:t>er the RHC program.</w:t>
      </w:r>
      <w:r w:rsidR="004F19B1" w:rsidRPr="00FB6FAF">
        <w:rPr>
          <w:rStyle w:val="FootnoteReference"/>
          <w:sz w:val="22"/>
          <w:szCs w:val="22"/>
        </w:rPr>
        <w:footnoteReference w:id="37"/>
      </w:r>
      <w:r w:rsidR="004F19B1" w:rsidRPr="00FB6FAF">
        <w:rPr>
          <w:szCs w:val="22"/>
        </w:rPr>
        <w:t xml:space="preserve">  </w:t>
      </w:r>
      <w:r w:rsidR="00A3570A" w:rsidRPr="00A3570A">
        <w:rPr>
          <w:szCs w:val="22"/>
        </w:rPr>
        <w:t>A</w:t>
      </w:r>
      <w:r w:rsidR="00A3570A" w:rsidRPr="00A3570A">
        <w:t>n ineligible entity’s relationship with an eligible entity is an insufficient basis for allowing an entity omitted from the list in the statute to qualify for the benefits of the universal service support mechanism.</w:t>
      </w:r>
      <w:r w:rsidR="00A3570A">
        <w:rPr>
          <w:rStyle w:val="FootnoteReference"/>
        </w:rPr>
        <w:footnoteReference w:id="38"/>
      </w:r>
      <w:r w:rsidR="00A3570A" w:rsidRPr="00A3570A">
        <w:t xml:space="preserve">  </w:t>
      </w:r>
      <w:r w:rsidR="00FB6FAF" w:rsidRPr="00A3570A">
        <w:rPr>
          <w:szCs w:val="22"/>
        </w:rPr>
        <w:t>A</w:t>
      </w:r>
      <w:r w:rsidR="00CA5E54" w:rsidRPr="00A3570A">
        <w:rPr>
          <w:szCs w:val="22"/>
        </w:rPr>
        <w:t xml:space="preserve"> health care provider </w:t>
      </w:r>
      <w:r w:rsidR="00FB6FAF" w:rsidRPr="00A3570A">
        <w:rPr>
          <w:szCs w:val="22"/>
        </w:rPr>
        <w:t xml:space="preserve">therefore </w:t>
      </w:r>
      <w:r w:rsidR="00CA5E54" w:rsidRPr="00A3570A">
        <w:rPr>
          <w:szCs w:val="22"/>
        </w:rPr>
        <w:t>cannot “piggy-back” off another entity’s eligibility status</w:t>
      </w:r>
      <w:r w:rsidR="00A10281" w:rsidRPr="00A3570A">
        <w:rPr>
          <w:szCs w:val="22"/>
        </w:rPr>
        <w:t xml:space="preserve"> and </w:t>
      </w:r>
      <w:r w:rsidR="00CA5E54" w:rsidRPr="00A3570A">
        <w:rPr>
          <w:szCs w:val="22"/>
        </w:rPr>
        <w:t>each site must</w:t>
      </w:r>
      <w:r w:rsidR="00CA5E54" w:rsidRPr="00FB6FAF">
        <w:rPr>
          <w:szCs w:val="22"/>
        </w:rPr>
        <w:t xml:space="preserve"> demonstrate that </w:t>
      </w:r>
      <w:r w:rsidR="00CA5E54" w:rsidRPr="00FB6FAF">
        <w:rPr>
          <w:i/>
          <w:szCs w:val="22"/>
        </w:rPr>
        <w:t>by itself</w:t>
      </w:r>
      <w:r w:rsidR="00CA5E54" w:rsidRPr="00FB6FAF">
        <w:rPr>
          <w:szCs w:val="22"/>
        </w:rPr>
        <w:t xml:space="preserve"> it is an eligible entity</w:t>
      </w:r>
      <w:r w:rsidR="00FB6FAF" w:rsidRPr="00FB6FAF">
        <w:rPr>
          <w:szCs w:val="22"/>
        </w:rPr>
        <w:t>.</w:t>
      </w:r>
      <w:r w:rsidR="00FB6FAF">
        <w:rPr>
          <w:szCs w:val="22"/>
        </w:rPr>
        <w:t xml:space="preserve">  Additionally, o</w:t>
      </w:r>
      <w:r w:rsidR="00FB6FAF" w:rsidRPr="00FB6FAF">
        <w:rPr>
          <w:szCs w:val="22"/>
        </w:rPr>
        <w:t>ne FCC Form 460 must be completed for each site, including each eligible health care provider site, ineligible site, off-site data center, and off-site administrative office.</w:t>
      </w:r>
      <w:r w:rsidR="00FB6FAF" w:rsidRPr="00FB6FAF">
        <w:rPr>
          <w:rStyle w:val="FootnoteReference"/>
          <w:szCs w:val="22"/>
        </w:rPr>
        <w:footnoteReference w:id="39"/>
      </w:r>
      <w:r w:rsidR="00FB6FAF" w:rsidRPr="00FB6FAF">
        <w:rPr>
          <w:szCs w:val="22"/>
        </w:rPr>
        <w:t xml:space="preserve"> </w:t>
      </w:r>
      <w:r w:rsidR="00843A09">
        <w:rPr>
          <w:szCs w:val="22"/>
        </w:rPr>
        <w:t xml:space="preserve"> </w:t>
      </w:r>
      <w:r w:rsidR="00FB6FAF" w:rsidRPr="00FB6FAF">
        <w:rPr>
          <w:szCs w:val="22"/>
        </w:rPr>
        <w:t>Each consortium and each and every health care provider site, including those participating in a consortium, must obtain an eligibility determination via the FCC Form 460 to receive Healthcare Connect Fund support.</w:t>
      </w:r>
      <w:r w:rsidR="00FB6FAF" w:rsidRPr="00FB6FAF">
        <w:rPr>
          <w:rStyle w:val="FootnoteReference"/>
          <w:szCs w:val="22"/>
        </w:rPr>
        <w:footnoteReference w:id="40"/>
      </w:r>
      <w:r w:rsidR="00FB6FAF">
        <w:rPr>
          <w:szCs w:val="22"/>
        </w:rPr>
        <w:t xml:space="preserve"> </w:t>
      </w:r>
      <w:r w:rsidR="00843A09">
        <w:rPr>
          <w:szCs w:val="22"/>
        </w:rPr>
        <w:t xml:space="preserve"> </w:t>
      </w:r>
      <w:r w:rsidR="004F19B1" w:rsidRPr="00FB6FAF">
        <w:rPr>
          <w:szCs w:val="22"/>
        </w:rPr>
        <w:t xml:space="preserve">USAC </w:t>
      </w:r>
      <w:r w:rsidR="00200A8B" w:rsidRPr="00FB6FAF">
        <w:rPr>
          <w:szCs w:val="22"/>
        </w:rPr>
        <w:t xml:space="preserve">therefore </w:t>
      </w:r>
      <w:r w:rsidR="004F19B1" w:rsidRPr="00FB6FAF">
        <w:rPr>
          <w:szCs w:val="22"/>
        </w:rPr>
        <w:t>properly made its eligibility determination</w:t>
      </w:r>
      <w:r w:rsidR="00413302" w:rsidRPr="00FB6FAF">
        <w:rPr>
          <w:szCs w:val="22"/>
        </w:rPr>
        <w:t>s</w:t>
      </w:r>
      <w:r w:rsidR="004F19B1" w:rsidRPr="00FB6FAF">
        <w:rPr>
          <w:szCs w:val="22"/>
        </w:rPr>
        <w:t xml:space="preserve"> based on </w:t>
      </w:r>
      <w:r w:rsidR="00200A8B" w:rsidRPr="00FB6FAF">
        <w:rPr>
          <w:szCs w:val="22"/>
        </w:rPr>
        <w:t xml:space="preserve">specific </w:t>
      </w:r>
      <w:r w:rsidR="004F19B1" w:rsidRPr="00FB6FAF">
        <w:rPr>
          <w:szCs w:val="22"/>
        </w:rPr>
        <w:t xml:space="preserve">site eligibility rather than by determining </w:t>
      </w:r>
      <w:r w:rsidR="00200A8B" w:rsidRPr="00FB6FAF">
        <w:rPr>
          <w:szCs w:val="22"/>
        </w:rPr>
        <w:t xml:space="preserve">a </w:t>
      </w:r>
      <w:r w:rsidR="004F19B1" w:rsidRPr="00FB6FAF">
        <w:rPr>
          <w:szCs w:val="22"/>
        </w:rPr>
        <w:t xml:space="preserve">site eligible simply because it is owned and/or operated by a </w:t>
      </w:r>
      <w:r w:rsidR="00FE0941" w:rsidRPr="00FB6FAF">
        <w:rPr>
          <w:szCs w:val="22"/>
        </w:rPr>
        <w:t xml:space="preserve">licensed </w:t>
      </w:r>
      <w:r w:rsidR="004F19B1" w:rsidRPr="00FB6FAF">
        <w:rPr>
          <w:szCs w:val="22"/>
        </w:rPr>
        <w:t>hospital organization.</w:t>
      </w:r>
    </w:p>
    <w:p w:rsidR="0051198A" w:rsidRPr="00F63397" w:rsidRDefault="00AE1A94" w:rsidP="00F63397">
      <w:pPr>
        <w:widowControl/>
        <w:numPr>
          <w:ilvl w:val="0"/>
          <w:numId w:val="18"/>
        </w:numPr>
        <w:tabs>
          <w:tab w:val="left" w:pos="0"/>
        </w:tabs>
        <w:spacing w:after="120"/>
        <w:ind w:left="0" w:firstLine="720"/>
        <w:rPr>
          <w:rFonts w:eastAsia="Calibri"/>
          <w:snapToGrid/>
          <w:kern w:val="0"/>
          <w:szCs w:val="22"/>
        </w:rPr>
      </w:pPr>
      <w:r w:rsidRPr="0051198A">
        <w:rPr>
          <w:rFonts w:eastAsia="Calibri"/>
          <w:snapToGrid/>
          <w:kern w:val="0"/>
          <w:szCs w:val="22"/>
        </w:rPr>
        <w:t xml:space="preserve">This denial, however, does not mean that </w:t>
      </w:r>
      <w:r w:rsidR="00307585" w:rsidRPr="0051198A">
        <w:rPr>
          <w:rFonts w:eastAsia="Calibri"/>
          <w:snapToGrid/>
          <w:kern w:val="0"/>
          <w:szCs w:val="22"/>
        </w:rPr>
        <w:t xml:space="preserve">these </w:t>
      </w:r>
      <w:r w:rsidRPr="0051198A">
        <w:rPr>
          <w:rFonts w:eastAsia="Calibri"/>
          <w:snapToGrid/>
          <w:kern w:val="0"/>
          <w:szCs w:val="22"/>
        </w:rPr>
        <w:t xml:space="preserve">health care providers are excluded from the Healthcare Connect Fund program.  Even though </w:t>
      </w:r>
      <w:r w:rsidR="00307585" w:rsidRPr="0051198A">
        <w:rPr>
          <w:rFonts w:eastAsia="Calibri"/>
          <w:snapToGrid/>
          <w:kern w:val="0"/>
          <w:szCs w:val="22"/>
        </w:rPr>
        <w:t xml:space="preserve">these sites </w:t>
      </w:r>
      <w:r w:rsidRPr="0051198A">
        <w:rPr>
          <w:rFonts w:eastAsia="Calibri"/>
          <w:snapToGrid/>
          <w:kern w:val="0"/>
          <w:szCs w:val="22"/>
        </w:rPr>
        <w:t>will not receive support from the Healthcare Connect Fund, they are still permitted to participate in a consortium, and thereby benefit from being part of those health care networks and from the bulk discounts negotiated by the consortium (so long as they pay “fair share”).</w:t>
      </w:r>
      <w:r w:rsidRPr="00413302">
        <w:rPr>
          <w:rFonts w:eastAsia="Calibri"/>
          <w:snapToGrid/>
          <w:kern w:val="0"/>
          <w:szCs w:val="22"/>
          <w:vertAlign w:val="superscript"/>
        </w:rPr>
        <w:footnoteReference w:id="41"/>
      </w:r>
      <w:r w:rsidRPr="0051198A">
        <w:rPr>
          <w:rFonts w:eastAsia="Calibri"/>
          <w:snapToGrid/>
          <w:kern w:val="0"/>
          <w:szCs w:val="22"/>
        </w:rPr>
        <w:t xml:space="preserve">  Additionally, </w:t>
      </w:r>
      <w:r w:rsidR="00E240E4" w:rsidRPr="0051198A">
        <w:rPr>
          <w:rFonts w:eastAsia="Calibri"/>
          <w:snapToGrid/>
          <w:kern w:val="0"/>
          <w:szCs w:val="22"/>
        </w:rPr>
        <w:t>to the extent any</w:t>
      </w:r>
      <w:r w:rsidR="0066192E" w:rsidRPr="0051198A">
        <w:rPr>
          <w:rFonts w:eastAsia="Calibri"/>
          <w:snapToGrid/>
          <w:kern w:val="0"/>
          <w:szCs w:val="22"/>
        </w:rPr>
        <w:t xml:space="preserve"> of</w:t>
      </w:r>
      <w:r w:rsidR="00E240E4" w:rsidRPr="0051198A">
        <w:rPr>
          <w:rFonts w:eastAsia="Calibri"/>
          <w:snapToGrid/>
          <w:kern w:val="0"/>
          <w:szCs w:val="22"/>
        </w:rPr>
        <w:t xml:space="preserve"> </w:t>
      </w:r>
      <w:r w:rsidR="00307585" w:rsidRPr="0051198A">
        <w:rPr>
          <w:rFonts w:eastAsia="Calibri"/>
          <w:snapToGrid/>
          <w:kern w:val="0"/>
          <w:szCs w:val="22"/>
        </w:rPr>
        <w:t>th</w:t>
      </w:r>
      <w:r w:rsidR="00E240E4" w:rsidRPr="0051198A">
        <w:rPr>
          <w:rFonts w:eastAsia="Calibri"/>
          <w:snapToGrid/>
          <w:kern w:val="0"/>
          <w:szCs w:val="22"/>
        </w:rPr>
        <w:t>e</w:t>
      </w:r>
      <w:r w:rsidR="00307585" w:rsidRPr="0051198A">
        <w:rPr>
          <w:rFonts w:eastAsia="Calibri"/>
          <w:snapToGrid/>
          <w:kern w:val="0"/>
          <w:szCs w:val="22"/>
        </w:rPr>
        <w:t xml:space="preserve">se health care providers </w:t>
      </w:r>
      <w:r w:rsidRPr="0051198A">
        <w:rPr>
          <w:rFonts w:eastAsia="Calibri"/>
          <w:snapToGrid/>
          <w:kern w:val="0"/>
          <w:szCs w:val="22"/>
        </w:rPr>
        <w:t xml:space="preserve">fall within </w:t>
      </w:r>
      <w:r w:rsidR="00E240E4" w:rsidRPr="0051198A">
        <w:rPr>
          <w:rFonts w:eastAsia="Calibri"/>
          <w:snapToGrid/>
          <w:kern w:val="0"/>
          <w:szCs w:val="22"/>
        </w:rPr>
        <w:t>an</w:t>
      </w:r>
      <w:r w:rsidR="004C0651" w:rsidRPr="0051198A">
        <w:rPr>
          <w:rFonts w:eastAsia="Calibri"/>
          <w:snapToGrid/>
          <w:kern w:val="0"/>
          <w:szCs w:val="22"/>
        </w:rPr>
        <w:t xml:space="preserve">other </w:t>
      </w:r>
      <w:r w:rsidR="00E240E4" w:rsidRPr="0051198A">
        <w:rPr>
          <w:rFonts w:eastAsia="Calibri"/>
          <w:snapToGrid/>
          <w:kern w:val="0"/>
          <w:szCs w:val="22"/>
        </w:rPr>
        <w:t>eligible category</w:t>
      </w:r>
      <w:r w:rsidR="004C0651" w:rsidRPr="0051198A">
        <w:rPr>
          <w:rFonts w:eastAsia="Calibri"/>
          <w:snapToGrid/>
          <w:kern w:val="0"/>
          <w:szCs w:val="22"/>
        </w:rPr>
        <w:t xml:space="preserve"> listed </w:t>
      </w:r>
      <w:r w:rsidRPr="0051198A">
        <w:rPr>
          <w:rFonts w:eastAsia="Calibri"/>
          <w:snapToGrid/>
          <w:kern w:val="0"/>
          <w:szCs w:val="22"/>
        </w:rPr>
        <w:t>in section 54.600(a) of the Commission’s rules</w:t>
      </w:r>
      <w:r w:rsidR="00E240E4" w:rsidRPr="0051198A">
        <w:rPr>
          <w:rFonts w:eastAsia="Calibri"/>
          <w:snapToGrid/>
          <w:kern w:val="0"/>
          <w:szCs w:val="22"/>
        </w:rPr>
        <w:t>, they</w:t>
      </w:r>
      <w:r w:rsidRPr="0051198A">
        <w:rPr>
          <w:rFonts w:eastAsia="Calibri"/>
          <w:snapToGrid/>
          <w:kern w:val="0"/>
          <w:szCs w:val="22"/>
        </w:rPr>
        <w:t xml:space="preserve"> are eligible to receive support within the Healthcare Connect Fund as part of a consortium.</w:t>
      </w:r>
      <w:r w:rsidRPr="00AE1A94">
        <w:rPr>
          <w:rFonts w:eastAsia="Calibri"/>
          <w:snapToGrid/>
          <w:kern w:val="0"/>
          <w:szCs w:val="22"/>
          <w:vertAlign w:val="superscript"/>
        </w:rPr>
        <w:footnoteReference w:id="42"/>
      </w:r>
      <w:r w:rsidRPr="0051198A">
        <w:rPr>
          <w:rFonts w:eastAsia="Calibri"/>
          <w:snapToGrid/>
          <w:kern w:val="0"/>
          <w:szCs w:val="22"/>
        </w:rPr>
        <w:t xml:space="preserve">  </w:t>
      </w:r>
      <w:r w:rsidR="00307585" w:rsidRPr="0051198A">
        <w:rPr>
          <w:rFonts w:eastAsia="Calibri"/>
          <w:snapToGrid/>
          <w:kern w:val="0"/>
          <w:szCs w:val="22"/>
        </w:rPr>
        <w:t xml:space="preserve">Therefore, </w:t>
      </w:r>
      <w:r w:rsidRPr="0051198A">
        <w:rPr>
          <w:rFonts w:eastAsia="Calibri"/>
          <w:snapToGrid/>
          <w:kern w:val="0"/>
          <w:szCs w:val="22"/>
        </w:rPr>
        <w:t>if</w:t>
      </w:r>
      <w:r w:rsidR="00307585" w:rsidRPr="0051198A">
        <w:rPr>
          <w:rFonts w:eastAsia="Calibri"/>
          <w:snapToGrid/>
          <w:kern w:val="0"/>
          <w:szCs w:val="22"/>
        </w:rPr>
        <w:t xml:space="preserve"> St. Vincent Health SHO </w:t>
      </w:r>
      <w:r w:rsidRPr="0051198A">
        <w:rPr>
          <w:rFonts w:eastAsia="Calibri"/>
          <w:snapToGrid/>
          <w:kern w:val="0"/>
          <w:szCs w:val="22"/>
        </w:rPr>
        <w:t>believe</w:t>
      </w:r>
      <w:r w:rsidR="00307585" w:rsidRPr="0051198A">
        <w:rPr>
          <w:rFonts w:eastAsia="Calibri"/>
          <w:snapToGrid/>
          <w:kern w:val="0"/>
          <w:szCs w:val="22"/>
        </w:rPr>
        <w:t xml:space="preserve">s its consortium members </w:t>
      </w:r>
      <w:r w:rsidRPr="0051198A">
        <w:rPr>
          <w:rFonts w:eastAsia="Calibri"/>
          <w:snapToGrid/>
          <w:kern w:val="0"/>
          <w:szCs w:val="22"/>
        </w:rPr>
        <w:t xml:space="preserve">fall within another eligibility category, they may seek an eligibility </w:t>
      </w:r>
      <w:r w:rsidRPr="0051198A">
        <w:rPr>
          <w:rFonts w:eastAsia="Calibri"/>
          <w:snapToGrid/>
          <w:kern w:val="0"/>
          <w:szCs w:val="22"/>
        </w:rPr>
        <w:lastRenderedPageBreak/>
        <w:t>determination from USAC.</w:t>
      </w:r>
      <w:r w:rsidR="007F72A7" w:rsidRPr="0051198A">
        <w:rPr>
          <w:rFonts w:eastAsia="Calibri"/>
          <w:snapToGrid/>
          <w:kern w:val="0"/>
          <w:szCs w:val="22"/>
        </w:rPr>
        <w:t xml:space="preserve">  </w:t>
      </w:r>
      <w:r w:rsidRPr="0051198A">
        <w:rPr>
          <w:rFonts w:eastAsia="Calibri"/>
          <w:snapToGrid/>
          <w:kern w:val="0"/>
          <w:szCs w:val="22"/>
        </w:rPr>
        <w:t>We therefore urge</w:t>
      </w:r>
      <w:r w:rsidR="004C0651" w:rsidRPr="0051198A">
        <w:rPr>
          <w:rFonts w:eastAsia="Calibri"/>
          <w:snapToGrid/>
          <w:kern w:val="0"/>
          <w:szCs w:val="22"/>
        </w:rPr>
        <w:t xml:space="preserve"> </w:t>
      </w:r>
      <w:r w:rsidR="00307585" w:rsidRPr="0051198A">
        <w:rPr>
          <w:rFonts w:eastAsia="Calibri"/>
          <w:snapToGrid/>
          <w:kern w:val="0"/>
          <w:szCs w:val="22"/>
        </w:rPr>
        <w:t>St. Vincent Health SHO</w:t>
      </w:r>
      <w:r w:rsidR="004C0651" w:rsidRPr="0051198A">
        <w:rPr>
          <w:rFonts w:eastAsia="Calibri"/>
          <w:snapToGrid/>
          <w:kern w:val="0"/>
          <w:szCs w:val="22"/>
        </w:rPr>
        <w:t xml:space="preserve">, </w:t>
      </w:r>
      <w:r w:rsidRPr="0051198A">
        <w:rPr>
          <w:rFonts w:eastAsia="Calibri"/>
          <w:snapToGrid/>
          <w:kern w:val="0"/>
          <w:szCs w:val="22"/>
        </w:rPr>
        <w:t>to the</w:t>
      </w:r>
      <w:r w:rsidR="004C0651" w:rsidRPr="0051198A">
        <w:rPr>
          <w:rFonts w:eastAsia="Calibri"/>
          <w:snapToGrid/>
          <w:kern w:val="0"/>
          <w:szCs w:val="22"/>
        </w:rPr>
        <w:t xml:space="preserve"> </w:t>
      </w:r>
      <w:r w:rsidRPr="0051198A">
        <w:rPr>
          <w:rFonts w:eastAsia="Calibri"/>
          <w:snapToGrid/>
          <w:kern w:val="0"/>
          <w:szCs w:val="22"/>
        </w:rPr>
        <w:t>exte</w:t>
      </w:r>
      <w:r w:rsidR="00307585" w:rsidRPr="0051198A">
        <w:rPr>
          <w:rFonts w:eastAsia="Calibri"/>
          <w:snapToGrid/>
          <w:kern w:val="0"/>
          <w:szCs w:val="22"/>
        </w:rPr>
        <w:t xml:space="preserve">nt it has </w:t>
      </w:r>
      <w:r w:rsidRPr="0051198A">
        <w:rPr>
          <w:rFonts w:eastAsia="Calibri"/>
          <w:snapToGrid/>
          <w:kern w:val="0"/>
          <w:szCs w:val="22"/>
        </w:rPr>
        <w:t xml:space="preserve">not already done so, to seek an eligibility determination from USAC as appropriate. </w:t>
      </w:r>
      <w:r w:rsidR="00C25A70" w:rsidRPr="0051198A">
        <w:rPr>
          <w:rFonts w:eastAsia="Calibri"/>
          <w:snapToGrid/>
          <w:kern w:val="0"/>
          <w:szCs w:val="22"/>
        </w:rPr>
        <w:t xml:space="preserve"> </w:t>
      </w:r>
    </w:p>
    <w:p w:rsidR="005A173B" w:rsidRPr="00F63397" w:rsidRDefault="00B0717D" w:rsidP="00F63397">
      <w:pPr>
        <w:pStyle w:val="Heading1"/>
        <w:rPr>
          <w:rFonts w:eastAsia="Calibri"/>
          <w:snapToGrid/>
        </w:rPr>
      </w:pPr>
      <w:r w:rsidRPr="00B0717D">
        <w:rPr>
          <w:rFonts w:eastAsia="Calibri"/>
          <w:snapToGrid/>
        </w:rPr>
        <w:t>ORDERING CLAUSES</w:t>
      </w:r>
    </w:p>
    <w:p w:rsidR="000257A5" w:rsidRPr="00F63397" w:rsidRDefault="00B0717D" w:rsidP="00F63397">
      <w:pPr>
        <w:widowControl/>
        <w:numPr>
          <w:ilvl w:val="0"/>
          <w:numId w:val="18"/>
        </w:numPr>
        <w:spacing w:after="120"/>
        <w:ind w:left="0" w:firstLine="720"/>
        <w:rPr>
          <w:rFonts w:eastAsia="Calibri"/>
          <w:snapToGrid/>
          <w:kern w:val="0"/>
          <w:szCs w:val="22"/>
        </w:rPr>
      </w:pPr>
      <w:r w:rsidRPr="00B0717D">
        <w:rPr>
          <w:rFonts w:eastAsia="Calibri"/>
          <w:snapToGrid/>
          <w:kern w:val="0"/>
          <w:szCs w:val="22"/>
        </w:rPr>
        <w:t>Accordingly, IT IS ORDERED that, pursuant to the authority contained in sections 1-4 and 254 of the Communications Act of 1934, as amended, 47 U.S.C. §§ 151-154 and 254, and sections 0.91, 0.291, 1.3, and 54.722(a) of the Commission’s rules, 47 C.F.R. §§ 0.91, 0.</w:t>
      </w:r>
      <w:r w:rsidR="0081155F">
        <w:rPr>
          <w:rFonts w:eastAsia="Calibri"/>
          <w:snapToGrid/>
          <w:kern w:val="0"/>
          <w:szCs w:val="22"/>
        </w:rPr>
        <w:t xml:space="preserve">291, 1.3, 54.722(a), the </w:t>
      </w:r>
      <w:r w:rsidR="00100320">
        <w:rPr>
          <w:rFonts w:eastAsia="Calibri"/>
          <w:snapToGrid/>
          <w:kern w:val="0"/>
          <w:szCs w:val="22"/>
        </w:rPr>
        <w:t xml:space="preserve">Request for Review </w:t>
      </w:r>
      <w:r w:rsidRPr="00B0717D">
        <w:rPr>
          <w:rFonts w:eastAsia="Calibri"/>
          <w:snapToGrid/>
          <w:kern w:val="0"/>
          <w:szCs w:val="22"/>
        </w:rPr>
        <w:t xml:space="preserve">filed by </w:t>
      </w:r>
      <w:r w:rsidR="0081155F">
        <w:rPr>
          <w:rFonts w:eastAsia="Calibri"/>
          <w:snapToGrid/>
          <w:kern w:val="0"/>
          <w:szCs w:val="22"/>
        </w:rPr>
        <w:t>St. Vincent Health Suburban Health Organization</w:t>
      </w:r>
      <w:r w:rsidR="00267B97">
        <w:rPr>
          <w:rFonts w:eastAsia="Calibri"/>
          <w:snapToGrid/>
          <w:kern w:val="0"/>
          <w:szCs w:val="22"/>
        </w:rPr>
        <w:t xml:space="preserve"> on August 8, 2014 </w:t>
      </w:r>
      <w:r w:rsidR="0081155F">
        <w:rPr>
          <w:rFonts w:eastAsia="Calibri"/>
          <w:snapToGrid/>
          <w:kern w:val="0"/>
          <w:szCs w:val="22"/>
        </w:rPr>
        <w:t xml:space="preserve">IS </w:t>
      </w:r>
      <w:r w:rsidR="00267B97">
        <w:rPr>
          <w:rFonts w:eastAsia="Calibri"/>
          <w:snapToGrid/>
          <w:kern w:val="0"/>
          <w:szCs w:val="22"/>
        </w:rPr>
        <w:t xml:space="preserve">DENIED </w:t>
      </w:r>
      <w:r w:rsidR="00404094">
        <w:rPr>
          <w:rFonts w:eastAsia="Calibri"/>
          <w:snapToGrid/>
          <w:kern w:val="0"/>
          <w:szCs w:val="22"/>
        </w:rPr>
        <w:t>as</w:t>
      </w:r>
      <w:r w:rsidRPr="00B0717D">
        <w:rPr>
          <w:rFonts w:eastAsia="Calibri"/>
          <w:snapToGrid/>
          <w:kern w:val="0"/>
          <w:szCs w:val="22"/>
        </w:rPr>
        <w:t xml:space="preserve"> provided herein. </w:t>
      </w:r>
    </w:p>
    <w:p w:rsidR="003451CA" w:rsidRPr="00F63397" w:rsidRDefault="00B0717D" w:rsidP="00F63397">
      <w:pPr>
        <w:widowControl/>
        <w:numPr>
          <w:ilvl w:val="0"/>
          <w:numId w:val="18"/>
        </w:numPr>
        <w:ind w:left="0" w:firstLine="720"/>
        <w:rPr>
          <w:rFonts w:eastAsia="Calibri"/>
          <w:snapToGrid/>
          <w:kern w:val="0"/>
          <w:szCs w:val="22"/>
        </w:rPr>
      </w:pPr>
      <w:r w:rsidRPr="00A67B29">
        <w:rPr>
          <w:rFonts w:eastAsia="Calibri"/>
          <w:snapToGrid/>
          <w:kern w:val="0"/>
          <w:szCs w:val="22"/>
        </w:rPr>
        <w:t>IT IS FURTHER ORDERED that, pursuant to section 1.102(b)(1) of the Commission’s rules, 47 C.F.R. § 1.102(b)(1), this Order SHALL BE EFFECTIVE upon release.</w:t>
      </w:r>
    </w:p>
    <w:p w:rsidR="005A173B" w:rsidRPr="00F27510" w:rsidRDefault="005A173B" w:rsidP="00E10E4F">
      <w:pPr>
        <w:keepNext/>
        <w:tabs>
          <w:tab w:val="left" w:pos="-720"/>
        </w:tabs>
        <w:suppressAutoHyphens/>
        <w:ind w:left="4320"/>
        <w:outlineLvl w:val="0"/>
        <w:rPr>
          <w:szCs w:val="22"/>
        </w:rPr>
      </w:pPr>
    </w:p>
    <w:p w:rsidR="00B60297" w:rsidRPr="00F27510" w:rsidRDefault="00B60297" w:rsidP="00E10E4F">
      <w:pPr>
        <w:keepNext/>
        <w:tabs>
          <w:tab w:val="left" w:pos="-720"/>
        </w:tabs>
        <w:suppressAutoHyphens/>
        <w:ind w:left="4320"/>
        <w:outlineLvl w:val="0"/>
        <w:rPr>
          <w:szCs w:val="22"/>
        </w:rPr>
      </w:pPr>
      <w:r w:rsidRPr="00F27510">
        <w:rPr>
          <w:szCs w:val="22"/>
        </w:rPr>
        <w:t>FEDERAL COMMUNICATIONS COMMISSION</w:t>
      </w:r>
    </w:p>
    <w:p w:rsidR="00B60297" w:rsidRPr="00F27510" w:rsidRDefault="00B60297" w:rsidP="00E10E4F">
      <w:pPr>
        <w:keepNext/>
        <w:tabs>
          <w:tab w:val="left" w:pos="-720"/>
        </w:tabs>
        <w:suppressAutoHyphens/>
        <w:ind w:left="4320"/>
        <w:rPr>
          <w:szCs w:val="22"/>
        </w:rPr>
      </w:pPr>
    </w:p>
    <w:p w:rsidR="00B60297" w:rsidRPr="00F27510" w:rsidRDefault="00B60297" w:rsidP="00E10E4F">
      <w:pPr>
        <w:keepNext/>
        <w:tabs>
          <w:tab w:val="left" w:pos="-720"/>
        </w:tabs>
        <w:suppressAutoHyphens/>
        <w:ind w:left="4320"/>
        <w:rPr>
          <w:szCs w:val="22"/>
        </w:rPr>
      </w:pPr>
    </w:p>
    <w:p w:rsidR="00B60297" w:rsidRPr="00F27510" w:rsidRDefault="00B60297" w:rsidP="00E10E4F">
      <w:pPr>
        <w:keepNext/>
        <w:keepLines/>
        <w:ind w:left="4320"/>
        <w:outlineLvl w:val="0"/>
        <w:rPr>
          <w:szCs w:val="22"/>
        </w:rPr>
      </w:pPr>
    </w:p>
    <w:p w:rsidR="00B60297" w:rsidRPr="00F27510" w:rsidRDefault="00B60297" w:rsidP="00E10E4F">
      <w:pPr>
        <w:keepNext/>
        <w:keepLines/>
        <w:ind w:left="3600" w:firstLine="720"/>
        <w:outlineLvl w:val="0"/>
        <w:rPr>
          <w:szCs w:val="22"/>
        </w:rPr>
      </w:pPr>
    </w:p>
    <w:p w:rsidR="00B60297" w:rsidRPr="00F27510" w:rsidRDefault="00E157A2" w:rsidP="00E10E4F">
      <w:pPr>
        <w:keepNext/>
        <w:keepLines/>
        <w:ind w:left="3600" w:firstLine="720"/>
        <w:outlineLvl w:val="0"/>
        <w:rPr>
          <w:szCs w:val="22"/>
        </w:rPr>
      </w:pPr>
      <w:r w:rsidRPr="00F27510">
        <w:rPr>
          <w:szCs w:val="22"/>
        </w:rPr>
        <w:t>Ryan B. Palmer</w:t>
      </w:r>
    </w:p>
    <w:p w:rsidR="00B60297" w:rsidRPr="00F27510" w:rsidRDefault="00B60297" w:rsidP="00E10E4F">
      <w:pPr>
        <w:keepNext/>
        <w:keepLines/>
        <w:ind w:left="3600" w:firstLine="720"/>
        <w:outlineLvl w:val="0"/>
        <w:rPr>
          <w:szCs w:val="22"/>
        </w:rPr>
      </w:pPr>
      <w:r w:rsidRPr="00F27510">
        <w:rPr>
          <w:szCs w:val="22"/>
        </w:rPr>
        <w:t>Chief</w:t>
      </w:r>
    </w:p>
    <w:p w:rsidR="00B60297" w:rsidRPr="00F27510" w:rsidRDefault="00B60297" w:rsidP="00E10E4F">
      <w:pPr>
        <w:keepNext/>
        <w:keepLines/>
        <w:ind w:left="4320"/>
        <w:outlineLvl w:val="0"/>
        <w:rPr>
          <w:szCs w:val="22"/>
        </w:rPr>
      </w:pPr>
      <w:r w:rsidRPr="00F27510">
        <w:rPr>
          <w:szCs w:val="22"/>
        </w:rPr>
        <w:t>Telecommunications Access Policy Division</w:t>
      </w:r>
    </w:p>
    <w:p w:rsidR="00B60297" w:rsidRPr="00F27510" w:rsidRDefault="00B60297" w:rsidP="00E10E4F">
      <w:pPr>
        <w:keepNext/>
        <w:keepLines/>
        <w:ind w:left="4320"/>
        <w:outlineLvl w:val="0"/>
        <w:rPr>
          <w:szCs w:val="22"/>
        </w:rPr>
      </w:pPr>
      <w:r w:rsidRPr="00F27510">
        <w:rPr>
          <w:szCs w:val="22"/>
        </w:rPr>
        <w:t>Wireline Competition Bureau</w:t>
      </w:r>
    </w:p>
    <w:sectPr w:rsidR="00B60297" w:rsidRPr="00F27510">
      <w:headerReference w:type="even" r:id="rId8"/>
      <w:headerReference w:type="default" r:id="rId9"/>
      <w:footerReference w:type="even" r:id="rId10"/>
      <w:footerReference w:type="default" r:id="rId11"/>
      <w:headerReference w:type="first" r:id="rId12"/>
      <w:footerReference w:type="first" r:id="rId13"/>
      <w:pgSz w:w="12240" w:h="15840"/>
      <w:pgMar w:top="1080" w:right="1440" w:bottom="108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6AF9" w:rsidRDefault="00EC6AF9">
      <w:r>
        <w:separator/>
      </w:r>
    </w:p>
  </w:endnote>
  <w:endnote w:type="continuationSeparator" w:id="0">
    <w:p w:rsidR="00EC6AF9" w:rsidRDefault="00EC6AF9">
      <w:r>
        <w:continuationSeparator/>
      </w:r>
    </w:p>
  </w:endnote>
  <w:endnote w:type="continuationNotice" w:id="1">
    <w:p w:rsidR="00EC6AF9" w:rsidRDefault="00EC6A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MT">
    <w:panose1 w:val="00000000000000000000"/>
    <w:charset w:val="00"/>
    <w:family w:val="swiss"/>
    <w:notTrueType/>
    <w:pitch w:val="default"/>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297" w:rsidRDefault="00B602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60297" w:rsidRDefault="00B602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297" w:rsidRDefault="00B60297">
    <w:pPr>
      <w:pStyle w:val="Footer"/>
      <w:framePr w:wrap="around" w:vAnchor="text" w:hAnchor="margin" w:xAlign="center" w:y="1"/>
      <w:rPr>
        <w:rStyle w:val="PageNumber"/>
        <w:szCs w:val="22"/>
      </w:rPr>
    </w:pPr>
    <w:r>
      <w:rPr>
        <w:rStyle w:val="PageNumber"/>
        <w:szCs w:val="22"/>
      </w:rPr>
      <w:fldChar w:fldCharType="begin"/>
    </w:r>
    <w:r>
      <w:rPr>
        <w:rStyle w:val="PageNumber"/>
        <w:szCs w:val="22"/>
      </w:rPr>
      <w:instrText xml:space="preserve">PAGE  </w:instrText>
    </w:r>
    <w:r>
      <w:rPr>
        <w:rStyle w:val="PageNumber"/>
        <w:szCs w:val="22"/>
      </w:rPr>
      <w:fldChar w:fldCharType="separate"/>
    </w:r>
    <w:r w:rsidR="00120F1B">
      <w:rPr>
        <w:rStyle w:val="PageNumber"/>
        <w:noProof/>
        <w:szCs w:val="22"/>
      </w:rPr>
      <w:t>5</w:t>
    </w:r>
    <w:r>
      <w:rPr>
        <w:rStyle w:val="PageNumber"/>
        <w:szCs w:val="22"/>
      </w:rPr>
      <w:fldChar w:fldCharType="end"/>
    </w:r>
  </w:p>
  <w:p w:rsidR="00B60297" w:rsidRDefault="00B60297">
    <w:pPr>
      <w:pStyle w:val="Footer"/>
      <w:tabs>
        <w:tab w:val="clear" w:pos="4320"/>
        <w:tab w:val="clear" w:pos="8640"/>
      </w:tabs>
    </w:pPr>
    <w:r>
      <w:tab/>
    </w:r>
    <w:r>
      <w:tab/>
    </w:r>
    <w:r>
      <w:tab/>
    </w:r>
    <w:r>
      <w:tab/>
    </w:r>
    <w:r>
      <w:tab/>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A2D" w:rsidRDefault="005A2A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6AF9" w:rsidRDefault="00EC6AF9">
      <w:r>
        <w:separator/>
      </w:r>
    </w:p>
  </w:footnote>
  <w:footnote w:type="continuationSeparator" w:id="0">
    <w:p w:rsidR="00EC6AF9" w:rsidRDefault="00EC6AF9">
      <w:r>
        <w:continuationSeparator/>
      </w:r>
    </w:p>
  </w:footnote>
  <w:footnote w:type="continuationNotice" w:id="1">
    <w:p w:rsidR="00EC6AF9" w:rsidRDefault="00EC6AF9"/>
  </w:footnote>
  <w:footnote w:id="2">
    <w:p w:rsidR="00DC7FE0" w:rsidRPr="00BE2274" w:rsidRDefault="00DC7FE0" w:rsidP="00C91E16">
      <w:pPr>
        <w:pStyle w:val="FootnoteText"/>
      </w:pPr>
      <w:r>
        <w:rPr>
          <w:rStyle w:val="FootnoteReference"/>
        </w:rPr>
        <w:footnoteRef/>
      </w:r>
      <w:r>
        <w:t xml:space="preserve"> </w:t>
      </w:r>
      <w:r w:rsidRPr="003959F7">
        <w:rPr>
          <w:i/>
        </w:rPr>
        <w:t>See</w:t>
      </w:r>
      <w:r>
        <w:t xml:space="preserve"> Request for Review by St. Vincent Health Suburban Health Organization, WC Docket No. 02-60 (filed Aug. 8, 2014)</w:t>
      </w:r>
      <w:r w:rsidR="006B5900">
        <w:t xml:space="preserve"> (St. </w:t>
      </w:r>
      <w:r w:rsidR="00D70EF1">
        <w:t>Vincent Health SHO Request for Review)</w:t>
      </w:r>
      <w:r>
        <w:t>.</w:t>
      </w:r>
      <w:r w:rsidR="006B5900">
        <w:t xml:space="preserve">  </w:t>
      </w:r>
      <w:r w:rsidRPr="004325D5">
        <w:t xml:space="preserve">The St. Vincent </w:t>
      </w:r>
      <w:r>
        <w:t xml:space="preserve">Health </w:t>
      </w:r>
      <w:r w:rsidRPr="004325D5">
        <w:t>SHO consortium is comprised of 11 Indiana nonprofit corporations and Indiana County Hospitals serving the need</w:t>
      </w:r>
      <w:r w:rsidR="006B5900">
        <w:t xml:space="preserve">s of central Indiana.  </w:t>
      </w:r>
      <w:r w:rsidRPr="00DC7FE0">
        <w:rPr>
          <w:i/>
        </w:rPr>
        <w:t>Id.</w:t>
      </w:r>
      <w:r w:rsidR="006B5900">
        <w:t xml:space="preserve"> at 1; St. Vincent Heart Center, </w:t>
      </w:r>
      <w:r w:rsidR="00353E79">
        <w:t>Programs and Services,</w:t>
      </w:r>
      <w:r w:rsidR="00033E79">
        <w:t xml:space="preserve"> Other Programs and Services, </w:t>
      </w:r>
      <w:hyperlink r:id="rId1" w:history="1">
        <w:r w:rsidR="006B5900" w:rsidRPr="0097689A">
          <w:rPr>
            <w:rStyle w:val="Hyperlink"/>
          </w:rPr>
          <w:t>http://www.stvincent.org/St-Vincent-Heart-Center/Programs-And-Services/Other-Programs-Services/Suburban-Health-Organization-Partner.aspx</w:t>
        </w:r>
      </w:hyperlink>
      <w:r w:rsidR="006B5900">
        <w:t xml:space="preserve"> </w:t>
      </w:r>
      <w:r w:rsidR="002717B9">
        <w:t xml:space="preserve">(last </w:t>
      </w:r>
      <w:r w:rsidR="005001BA">
        <w:t>visited Sept. 17</w:t>
      </w:r>
      <w:r w:rsidR="006B5900">
        <w:t>,</w:t>
      </w:r>
      <w:r w:rsidR="00D4622B">
        <w:t xml:space="preserve"> </w:t>
      </w:r>
      <w:r w:rsidR="006B5900">
        <w:t>2015)</w:t>
      </w:r>
      <w:r w:rsidR="00667139">
        <w:t xml:space="preserve"> (St. Vincent SHO)</w:t>
      </w:r>
      <w:r w:rsidR="002717B9">
        <w:t xml:space="preserve">.  </w:t>
      </w:r>
      <w:r>
        <w:t>The</w:t>
      </w:r>
      <w:r w:rsidR="00667139">
        <w:t xml:space="preserve"> </w:t>
      </w:r>
      <w:r w:rsidRPr="004325D5">
        <w:t xml:space="preserve">principal purpose or function of each </w:t>
      </w:r>
      <w:r w:rsidR="00667139">
        <w:t xml:space="preserve">member </w:t>
      </w:r>
      <w:r w:rsidRPr="004325D5">
        <w:t xml:space="preserve">is the provision of hospital services through one or more </w:t>
      </w:r>
      <w:r>
        <w:t xml:space="preserve">licensed acute care facilities </w:t>
      </w:r>
      <w:r w:rsidRPr="004325D5">
        <w:t>together with a broad array of ambulatory care services.</w:t>
      </w:r>
      <w:r w:rsidR="004A2B69">
        <w:t xml:space="preserve">  St. </w:t>
      </w:r>
      <w:r w:rsidR="00667139" w:rsidRPr="00C91E16">
        <w:t xml:space="preserve">Vincent Health </w:t>
      </w:r>
      <w:r w:rsidR="00C20467">
        <w:t xml:space="preserve">SHO </w:t>
      </w:r>
      <w:r w:rsidR="00667139" w:rsidRPr="00C91E16">
        <w:t xml:space="preserve">Request </w:t>
      </w:r>
      <w:r w:rsidR="00667139" w:rsidRPr="00BE2274">
        <w:t>fo</w:t>
      </w:r>
      <w:r w:rsidR="002717B9" w:rsidRPr="00BE2274">
        <w:t xml:space="preserve">r Review at 1. </w:t>
      </w:r>
      <w:r w:rsidR="00667139" w:rsidRPr="00BE2274">
        <w:t xml:space="preserve"> </w:t>
      </w:r>
    </w:p>
  </w:footnote>
  <w:footnote w:id="3">
    <w:p w:rsidR="00A12B94" w:rsidRPr="00BE2274" w:rsidRDefault="00A12B94" w:rsidP="00C91E16">
      <w:pPr>
        <w:pStyle w:val="FootnoteText"/>
      </w:pPr>
      <w:r w:rsidRPr="00BE2274">
        <w:rPr>
          <w:rStyle w:val="FootnoteReference"/>
        </w:rPr>
        <w:footnoteRef/>
      </w:r>
      <w:r w:rsidR="00FF30C9">
        <w:t xml:space="preserve"> Section 54.722(a</w:t>
      </w:r>
      <w:r w:rsidRPr="00BE2274">
        <w:t xml:space="preserve">) of the Commission’s rules provides </w:t>
      </w:r>
      <w:r w:rsidR="00FF30C9">
        <w:t>“[r]equests for review of [USAC</w:t>
      </w:r>
      <w:r w:rsidR="00FB5B56">
        <w:t>]</w:t>
      </w:r>
      <w:r w:rsidR="00FF30C9">
        <w:t xml:space="preserve"> decisions that are submitted to the Federal Communications Commission shall be considered and acted upon by the Wireline Competition Bureau</w:t>
      </w:r>
      <w:r w:rsidR="00957ED0">
        <w:t>; provided, however, that requests for review that raise new or novel questions of fact, law or policy shall be considered by the full Commission.</w:t>
      </w:r>
      <w:r w:rsidR="00FF30C9">
        <w:t xml:space="preserve">”  47 C.F.R. § 54.722(a).  The Commission has previously noted that “[t]o the extent clarification of our rules are necessary, . . ., we delegate to the Chief, Common Carrier Bureau the authority to issue orders interpreting our rules as necessary to ensure that support for services provided to . . . rural healthcare providers operate to further our universal service goals.  We find that this action is ‘necessary to the proper functioning of the Commission and the prompt and orderly conduct of its business.’”  </w:t>
      </w:r>
      <w:r w:rsidR="00FF30C9">
        <w:rPr>
          <w:i/>
        </w:rPr>
        <w:t>See</w:t>
      </w:r>
      <w:r w:rsidR="00FF30C9">
        <w:t xml:space="preserve"> </w:t>
      </w:r>
      <w:r w:rsidR="00FF30C9">
        <w:rPr>
          <w:i/>
        </w:rPr>
        <w:t>Federal-State Joint Board on Universal Service</w:t>
      </w:r>
      <w:r w:rsidR="00FF30C9">
        <w:t>, Third Report and Order, CC Docket No. 96-45, 12 FCC Rcd 22485, 22488-89, para. 6 (1997)</w:t>
      </w:r>
      <w:r w:rsidR="00957ED0">
        <w:t xml:space="preserve"> (footnotes omitted)</w:t>
      </w:r>
      <w:r w:rsidR="00FF30C9">
        <w:t>.</w:t>
      </w:r>
      <w:r w:rsidR="003959F7" w:rsidRPr="00BE2274">
        <w:t xml:space="preserve">  </w:t>
      </w:r>
    </w:p>
  </w:footnote>
  <w:footnote w:id="4">
    <w:p w:rsidR="00C142DB" w:rsidRPr="00BE2274" w:rsidRDefault="00C142DB" w:rsidP="00FF30C9">
      <w:pPr>
        <w:pStyle w:val="FootnoteText"/>
      </w:pPr>
      <w:r w:rsidRPr="00BE2274">
        <w:rPr>
          <w:rStyle w:val="FootnoteReference"/>
        </w:rPr>
        <w:footnoteRef/>
      </w:r>
      <w:r w:rsidRPr="00A073DF">
        <w:t xml:space="preserve"> </w:t>
      </w:r>
      <w:r w:rsidRPr="00A073DF">
        <w:rPr>
          <w:i/>
        </w:rPr>
        <w:t>See, e.g.,</w:t>
      </w:r>
      <w:r w:rsidRPr="00A073DF">
        <w:t xml:space="preserve"> </w:t>
      </w:r>
      <w:r w:rsidR="00AE701A" w:rsidRPr="00A073DF">
        <w:t xml:space="preserve">Email from </w:t>
      </w:r>
      <w:r w:rsidR="00D25966" w:rsidRPr="00A073DF">
        <w:t xml:space="preserve">Amy Kavelman, </w:t>
      </w:r>
      <w:r w:rsidR="00AE701A" w:rsidRPr="00A073DF">
        <w:t>USAC, to M</w:t>
      </w:r>
      <w:r w:rsidR="00D25966" w:rsidRPr="00A073DF">
        <w:t xml:space="preserve">ichael T. Batt, </w:t>
      </w:r>
      <w:r w:rsidR="007D0060" w:rsidRPr="00A073DF">
        <w:t xml:space="preserve">counsel for St. Vincent Health SHO </w:t>
      </w:r>
      <w:r w:rsidR="00D25966" w:rsidRPr="00A073DF">
        <w:t>(dated July 17</w:t>
      </w:r>
      <w:r w:rsidRPr="00A073DF">
        <w:t>, 2014)</w:t>
      </w:r>
      <w:r w:rsidR="00FB1A38" w:rsidRPr="00A073DF">
        <w:t xml:space="preserve"> (USAC Eligibility </w:t>
      </w:r>
      <w:r w:rsidR="00C91E16" w:rsidRPr="00A073DF">
        <w:t>Decision); St. Vincent Health SHO Request for Review, List of Exhibits.</w:t>
      </w:r>
      <w:r w:rsidR="00B27923" w:rsidRPr="00A073DF">
        <w:t xml:space="preserve">  Although St. Vincent </w:t>
      </w:r>
      <w:r w:rsidR="002F1946" w:rsidRPr="00A073DF">
        <w:t xml:space="preserve">Health </w:t>
      </w:r>
      <w:r w:rsidR="00B27923" w:rsidRPr="00A073DF">
        <w:t>SHO indicates in its appeal that USAC denied 62 service</w:t>
      </w:r>
      <w:r w:rsidR="002F1946" w:rsidRPr="00A073DF">
        <w:t xml:space="preserve"> locations, it only lists 60 </w:t>
      </w:r>
      <w:r w:rsidR="00B27923" w:rsidRPr="00A073DF">
        <w:t xml:space="preserve">locations as part of its List of Exhibits.  </w:t>
      </w:r>
      <w:r w:rsidR="00B27923" w:rsidRPr="00A073DF">
        <w:rPr>
          <w:i/>
        </w:rPr>
        <w:t xml:space="preserve">See </w:t>
      </w:r>
      <w:r w:rsidR="00B27923" w:rsidRPr="00A073DF">
        <w:t xml:space="preserve">St. Vincent Health SHO Request for Review, List of Exhibits. </w:t>
      </w:r>
      <w:r w:rsidR="00BC1762" w:rsidRPr="00A073DF">
        <w:t>USAC, however, determined one</w:t>
      </w:r>
      <w:r w:rsidR="002F1946" w:rsidRPr="00A073DF">
        <w:t xml:space="preserve"> additional </w:t>
      </w:r>
      <w:r w:rsidR="00BC1762" w:rsidRPr="00A073DF">
        <w:t>service location</w:t>
      </w:r>
      <w:r w:rsidR="00BE2274" w:rsidRPr="00A073DF">
        <w:t xml:space="preserve"> </w:t>
      </w:r>
      <w:r w:rsidR="00EA756D" w:rsidRPr="00A073DF">
        <w:t>(</w:t>
      </w:r>
      <w:r w:rsidR="00BE2274" w:rsidRPr="00A073DF">
        <w:t>SVMG White Street, Healthcare Provider N</w:t>
      </w:r>
      <w:r w:rsidR="00EA756D" w:rsidRPr="00A073DF">
        <w:t>umber 3809</w:t>
      </w:r>
      <w:r w:rsidR="00BE2274" w:rsidRPr="00A073DF">
        <w:t xml:space="preserve">1) </w:t>
      </w:r>
      <w:r w:rsidR="00BC1762" w:rsidRPr="00A073DF">
        <w:t>i</w:t>
      </w:r>
      <w:r w:rsidR="002F1946" w:rsidRPr="00A073DF">
        <w:t>neligible to receive support fro</w:t>
      </w:r>
      <w:r w:rsidR="00BC1762" w:rsidRPr="00A073DF">
        <w:t>m the Healthcare Connect Fund</w:t>
      </w:r>
      <w:r w:rsidR="00DB1DB3">
        <w:t xml:space="preserve"> – t</w:t>
      </w:r>
      <w:r w:rsidR="00BE2274" w:rsidRPr="00A073DF">
        <w:t xml:space="preserve">hus totaling 61 service locations at issue in this request for review. </w:t>
      </w:r>
      <w:r w:rsidR="00350C8B" w:rsidRPr="00D1334B">
        <w:t xml:space="preserve">The Commission’s RHC Program is currently made up of the Telecommunications Program, the RHC Pilot Program, and the Healthcare Connect Fund Program.  </w:t>
      </w:r>
      <w:r w:rsidR="00350C8B" w:rsidRPr="00D1334B">
        <w:rPr>
          <w:i/>
        </w:rPr>
        <w:t xml:space="preserve">See generally Rural Health Care Support Mechanism, </w:t>
      </w:r>
      <w:r w:rsidR="00350C8B" w:rsidRPr="00D1334B">
        <w:t>WC Docket No. 02-60, Report and Order, 27 FCC Rcd 16678 (2012) (</w:t>
      </w:r>
      <w:r w:rsidR="00350C8B" w:rsidRPr="00D1334B">
        <w:rPr>
          <w:i/>
        </w:rPr>
        <w:t>Healthcare Connect Fund Order</w:t>
      </w:r>
      <w:r w:rsidR="00350C8B" w:rsidRPr="00D1334B">
        <w:t>)</w:t>
      </w:r>
      <w:r w:rsidR="00350C8B" w:rsidRPr="00D1334B">
        <w:rPr>
          <w:i/>
        </w:rPr>
        <w:t xml:space="preserve"> </w:t>
      </w:r>
      <w:r w:rsidR="00350C8B" w:rsidRPr="00D1334B">
        <w:t xml:space="preserve">(providing background on the then-current RHC programs and adopting the Healthcare Connect Fund); USAC, Rural Health Care, </w:t>
      </w:r>
      <w:hyperlink r:id="rId2" w:history="1">
        <w:r w:rsidR="00350C8B" w:rsidRPr="00D1334B">
          <w:rPr>
            <w:rStyle w:val="Hyperlink"/>
          </w:rPr>
          <w:t>http://www.usac.org/rhc/</w:t>
        </w:r>
      </w:hyperlink>
      <w:r w:rsidR="005001BA">
        <w:t xml:space="preserve"> (last visited Sept. 17</w:t>
      </w:r>
      <w:r w:rsidR="00350C8B">
        <w:t>, 2015</w:t>
      </w:r>
      <w:r w:rsidR="00350C8B" w:rsidRPr="00D1334B">
        <w:t xml:space="preserve">). </w:t>
      </w:r>
    </w:p>
  </w:footnote>
  <w:footnote w:id="5">
    <w:p w:rsidR="00C20467" w:rsidRPr="00D1334B" w:rsidRDefault="00C142DB" w:rsidP="00C20467">
      <w:pPr>
        <w:spacing w:after="120"/>
        <w:rPr>
          <w:b/>
        </w:rPr>
      </w:pPr>
      <w:r w:rsidRPr="00BE2274">
        <w:rPr>
          <w:rStyle w:val="FootnoteReference"/>
        </w:rPr>
        <w:footnoteRef/>
      </w:r>
      <w:r w:rsidRPr="00BE2274">
        <w:rPr>
          <w:sz w:val="20"/>
        </w:rPr>
        <w:t xml:space="preserve"> </w:t>
      </w:r>
      <w:r w:rsidRPr="00BE2274">
        <w:rPr>
          <w:i/>
          <w:sz w:val="20"/>
        </w:rPr>
        <w:t>See</w:t>
      </w:r>
      <w:r w:rsidRPr="00BE2274">
        <w:rPr>
          <w:b/>
          <w:sz w:val="20"/>
        </w:rPr>
        <w:t xml:space="preserve"> </w:t>
      </w:r>
      <w:r w:rsidRPr="00BE2274">
        <w:rPr>
          <w:sz w:val="20"/>
        </w:rPr>
        <w:t>47 U.S.C. § 254(h)(7)(B);</w:t>
      </w:r>
      <w:r w:rsidRPr="00BE2274">
        <w:rPr>
          <w:b/>
          <w:sz w:val="20"/>
        </w:rPr>
        <w:t xml:space="preserve"> </w:t>
      </w:r>
      <w:r w:rsidRPr="00BE2274">
        <w:rPr>
          <w:sz w:val="20"/>
        </w:rPr>
        <w:t>47 C.F.R. § 54.600(a).  Section 254 was added to the Act by the Telecommunications Act of 1996, Pub. L. No. 104-104, 110 Stat. 56 (1996).</w:t>
      </w:r>
      <w:r w:rsidR="007560DB" w:rsidRPr="00BE2274">
        <w:rPr>
          <w:sz w:val="20"/>
        </w:rPr>
        <w:t xml:space="preserve">  USAC found </w:t>
      </w:r>
      <w:r w:rsidR="000D0F56" w:rsidRPr="00BE2274">
        <w:rPr>
          <w:sz w:val="20"/>
        </w:rPr>
        <w:t>that of the 6</w:t>
      </w:r>
      <w:r w:rsidR="007560DB" w:rsidRPr="00BE2274">
        <w:rPr>
          <w:sz w:val="20"/>
        </w:rPr>
        <w:t>1</w:t>
      </w:r>
      <w:r w:rsidR="000D0F56" w:rsidRPr="00BE2274">
        <w:rPr>
          <w:sz w:val="20"/>
        </w:rPr>
        <w:t xml:space="preserve"> denied sites, </w:t>
      </w:r>
      <w:r w:rsidR="007560DB" w:rsidRPr="00BE2274">
        <w:rPr>
          <w:sz w:val="20"/>
        </w:rPr>
        <w:t>58 were denied as “non-profit hospitals” and three were denied as “rural health clinics.”</w:t>
      </w:r>
      <w:r w:rsidR="007560DB">
        <w:rPr>
          <w:sz w:val="20"/>
        </w:rPr>
        <w:t xml:space="preserve"> </w:t>
      </w:r>
    </w:p>
  </w:footnote>
  <w:footnote w:id="6">
    <w:p w:rsidR="00DA4F2C" w:rsidRPr="00D1334B" w:rsidRDefault="00DA4F2C" w:rsidP="00C20467">
      <w:pPr>
        <w:pStyle w:val="FootnoteText"/>
      </w:pPr>
      <w:r w:rsidRPr="00D1334B">
        <w:rPr>
          <w:rStyle w:val="FootnoteReference"/>
        </w:rPr>
        <w:footnoteRef/>
      </w:r>
      <w:r w:rsidRPr="00D1334B">
        <w:t xml:space="preserve"> Joint Explanatory Statement of the Committee of Conference, 104</w:t>
      </w:r>
      <w:r w:rsidRPr="00D1334B">
        <w:rPr>
          <w:vertAlign w:val="superscript"/>
        </w:rPr>
        <w:t>th</w:t>
      </w:r>
      <w:r w:rsidRPr="00D1334B">
        <w:t xml:space="preserve"> Cong., 2d Sess. at 133 (1996).  </w:t>
      </w:r>
      <w:r w:rsidRPr="00D1334B">
        <w:rPr>
          <w:i/>
        </w:rPr>
        <w:t>See also</w:t>
      </w:r>
      <w:r w:rsidRPr="00D1334B">
        <w:t xml:space="preserve"> 47 U.S.C. § 254(b)(3), (h)(1)(A).</w:t>
      </w:r>
    </w:p>
  </w:footnote>
  <w:footnote w:id="7">
    <w:p w:rsidR="00DA4F2C" w:rsidRPr="00D1334B" w:rsidRDefault="00DA4F2C" w:rsidP="00C20467">
      <w:pPr>
        <w:pStyle w:val="FootnoteText"/>
      </w:pPr>
      <w:r w:rsidRPr="00D1334B">
        <w:rPr>
          <w:rStyle w:val="FootnoteReference"/>
        </w:rPr>
        <w:footnoteRef/>
      </w:r>
      <w:r w:rsidRPr="00D1334B">
        <w:t xml:space="preserve"> 47 U.S.C. § 254(h)(7)(B).  </w:t>
      </w:r>
      <w:r w:rsidRPr="00D1334B">
        <w:rPr>
          <w:i/>
        </w:rPr>
        <w:t>See also</w:t>
      </w:r>
      <w:r w:rsidRPr="00D1334B">
        <w:t xml:space="preserve"> 47 C.F.R. § 54.600(a).   </w:t>
      </w:r>
    </w:p>
  </w:footnote>
  <w:footnote w:id="8">
    <w:p w:rsidR="00DA4F2C" w:rsidRPr="00D1334B" w:rsidRDefault="00DA4F2C" w:rsidP="00C20467">
      <w:pPr>
        <w:pStyle w:val="FootnoteText"/>
      </w:pPr>
      <w:r w:rsidRPr="00D1334B">
        <w:rPr>
          <w:rStyle w:val="FootnoteReference"/>
        </w:rPr>
        <w:footnoteRef/>
      </w:r>
      <w:r w:rsidRPr="00D1334B">
        <w:t xml:space="preserve"> 47 U.S.C. § 254(h)(1)(A), (h)(2)(A), (h)(4).  </w:t>
      </w:r>
      <w:r w:rsidRPr="00D1334B">
        <w:rPr>
          <w:i/>
        </w:rPr>
        <w:t>See also</w:t>
      </w:r>
      <w:r w:rsidRPr="00D1334B">
        <w:t xml:space="preserve"> 47 C.F.R. § 54.601(a).   </w:t>
      </w:r>
    </w:p>
  </w:footnote>
  <w:footnote w:id="9">
    <w:p w:rsidR="00DA4F2C" w:rsidRPr="00D1334B" w:rsidRDefault="00DA4F2C" w:rsidP="00DA4F2C">
      <w:pPr>
        <w:pStyle w:val="FootnoteText"/>
      </w:pPr>
      <w:r w:rsidRPr="00D1334B">
        <w:rPr>
          <w:rStyle w:val="FootnoteReference"/>
        </w:rPr>
        <w:footnoteRef/>
      </w:r>
      <w:r w:rsidRPr="00D1334B">
        <w:t xml:space="preserve"> </w:t>
      </w:r>
      <w:r w:rsidR="004D41FE">
        <w:rPr>
          <w:i/>
        </w:rPr>
        <w:t xml:space="preserve">See generally </w:t>
      </w:r>
      <w:r w:rsidR="004D41FE" w:rsidRPr="00D1334B">
        <w:rPr>
          <w:i/>
        </w:rPr>
        <w:t xml:space="preserve">Rural Health Care Support Mechanism, </w:t>
      </w:r>
      <w:r w:rsidR="004D41FE" w:rsidRPr="00D1334B">
        <w:t>WC Docket No. 02-60, Report and Order, 27 FCC Rcd 16678 (2012) (</w:t>
      </w:r>
      <w:r w:rsidR="004D41FE" w:rsidRPr="00D1334B">
        <w:rPr>
          <w:i/>
        </w:rPr>
        <w:t>Healthcare Connect Fund Order</w:t>
      </w:r>
      <w:r w:rsidR="004D41FE" w:rsidRPr="00D1334B">
        <w:t>)</w:t>
      </w:r>
      <w:r w:rsidR="004D41FE">
        <w:rPr>
          <w:i/>
        </w:rPr>
        <w:t>.</w:t>
      </w:r>
    </w:p>
  </w:footnote>
  <w:footnote w:id="10">
    <w:p w:rsidR="00DA4F2C" w:rsidRPr="00D1334B" w:rsidRDefault="00DA4F2C" w:rsidP="00DA4F2C">
      <w:pPr>
        <w:pStyle w:val="FootnoteText"/>
      </w:pPr>
      <w:r w:rsidRPr="00D1334B">
        <w:rPr>
          <w:rStyle w:val="FootnoteReference"/>
        </w:rPr>
        <w:footnoteRef/>
      </w:r>
      <w:r w:rsidRPr="00D1334B">
        <w:t xml:space="preserve"> </w:t>
      </w:r>
      <w:r w:rsidRPr="00D1334B">
        <w:rPr>
          <w:i/>
        </w:rPr>
        <w:t xml:space="preserve">See </w:t>
      </w:r>
      <w:r>
        <w:rPr>
          <w:i/>
        </w:rPr>
        <w:t xml:space="preserve">id. </w:t>
      </w:r>
      <w:r w:rsidRPr="00D1334B">
        <w:t xml:space="preserve">at 16681, para. 3. </w:t>
      </w:r>
    </w:p>
  </w:footnote>
  <w:footnote w:id="11">
    <w:p w:rsidR="00D4622B" w:rsidRPr="000B645E" w:rsidRDefault="00D4622B" w:rsidP="00D4622B">
      <w:pPr>
        <w:autoSpaceDE w:val="0"/>
        <w:autoSpaceDN w:val="0"/>
        <w:adjustRightInd w:val="0"/>
        <w:spacing w:after="120"/>
        <w:rPr>
          <w:sz w:val="20"/>
        </w:rPr>
      </w:pPr>
      <w:r w:rsidRPr="000B645E">
        <w:rPr>
          <w:rStyle w:val="FootnoteReference"/>
        </w:rPr>
        <w:footnoteRef/>
      </w:r>
      <w:r w:rsidRPr="000B645E">
        <w:rPr>
          <w:sz w:val="20"/>
        </w:rPr>
        <w:t xml:space="preserve"> </w:t>
      </w:r>
      <w:r w:rsidRPr="000B645E">
        <w:rPr>
          <w:i/>
          <w:sz w:val="20"/>
        </w:rPr>
        <w:t>See</w:t>
      </w:r>
      <w:r w:rsidRPr="000B645E">
        <w:rPr>
          <w:sz w:val="20"/>
        </w:rPr>
        <w:t xml:space="preserve"> </w:t>
      </w:r>
      <w:hyperlink r:id="rId3" w:anchor="47:3.0.1.1.7.7.8.2" w:history="1">
        <w:r w:rsidRPr="000B645E">
          <w:rPr>
            <w:sz w:val="20"/>
          </w:rPr>
          <w:t>47 C.F.R. § 54.601(a)</w:t>
        </w:r>
      </w:hyperlink>
      <w:r w:rsidRPr="000B645E">
        <w:rPr>
          <w:sz w:val="20"/>
        </w:rPr>
        <w:t xml:space="preserve"> (providing that “[o]nly an entity that is either a public or non-profit health care provider, as defined in this subpart, shall be eligible to receive support under this subpart”).</w:t>
      </w:r>
    </w:p>
  </w:footnote>
  <w:footnote w:id="12">
    <w:p w:rsidR="00D4622B" w:rsidRPr="000B645E" w:rsidRDefault="00D4622B" w:rsidP="00A138A0">
      <w:pPr>
        <w:spacing w:after="120"/>
        <w:rPr>
          <w:sz w:val="20"/>
        </w:rPr>
      </w:pPr>
      <w:r w:rsidRPr="000B645E">
        <w:rPr>
          <w:rStyle w:val="FootnoteReference"/>
        </w:rPr>
        <w:footnoteRef/>
      </w:r>
      <w:r w:rsidRPr="000B645E">
        <w:rPr>
          <w:sz w:val="20"/>
        </w:rPr>
        <w:t xml:space="preserve"> </w:t>
      </w:r>
      <w:r w:rsidR="00350C8B" w:rsidRPr="00D1334B">
        <w:rPr>
          <w:i/>
          <w:sz w:val="20"/>
        </w:rPr>
        <w:t>See</w:t>
      </w:r>
      <w:r w:rsidR="00350C8B" w:rsidRPr="00D1334B">
        <w:rPr>
          <w:sz w:val="20"/>
        </w:rPr>
        <w:t xml:space="preserve"> </w:t>
      </w:r>
      <w:r w:rsidR="00350C8B" w:rsidRPr="00364BA7">
        <w:rPr>
          <w:sz w:val="20"/>
        </w:rPr>
        <w:t>47 U.S.C. § 254(h)(7)(B)</w:t>
      </w:r>
      <w:r w:rsidR="00350C8B">
        <w:rPr>
          <w:sz w:val="20"/>
        </w:rPr>
        <w:t xml:space="preserve">, </w:t>
      </w:r>
      <w:hyperlink r:id="rId4" w:anchor="47:3.0.1.1.7.7.8.2" w:history="1">
        <w:r w:rsidR="00350C8B" w:rsidRPr="00D1334B">
          <w:rPr>
            <w:sz w:val="20"/>
          </w:rPr>
          <w:t>47 C.F.R. § 54.600(a)</w:t>
        </w:r>
      </w:hyperlink>
      <w:r w:rsidR="00350C8B" w:rsidRPr="00D1334B">
        <w:rPr>
          <w:sz w:val="20"/>
        </w:rPr>
        <w:t xml:space="preserve"> (providing that a “health </w:t>
      </w:r>
      <w:r w:rsidR="00350C8B">
        <w:rPr>
          <w:sz w:val="20"/>
        </w:rPr>
        <w:t>care provider” must be a: “(1) p</w:t>
      </w:r>
      <w:r w:rsidR="00350C8B" w:rsidRPr="00D1334B">
        <w:rPr>
          <w:sz w:val="20"/>
        </w:rPr>
        <w:t>ost-secondary educational institution offering health care instruction, including a teaching h</w:t>
      </w:r>
      <w:r w:rsidR="00350C8B">
        <w:rPr>
          <w:sz w:val="20"/>
        </w:rPr>
        <w:t>ospital or medical school; (2) c</w:t>
      </w:r>
      <w:r w:rsidR="00350C8B" w:rsidRPr="00D1334B">
        <w:rPr>
          <w:sz w:val="20"/>
        </w:rPr>
        <w:t>ommunity health center or health center providing health care to migrant</w:t>
      </w:r>
      <w:r w:rsidR="00350C8B">
        <w:rPr>
          <w:sz w:val="20"/>
        </w:rPr>
        <w:t>s; (3) l</w:t>
      </w:r>
      <w:r w:rsidR="00350C8B" w:rsidRPr="00D1334B">
        <w:rPr>
          <w:sz w:val="20"/>
        </w:rPr>
        <w:t>ocal he</w:t>
      </w:r>
      <w:r w:rsidR="00350C8B">
        <w:rPr>
          <w:sz w:val="20"/>
        </w:rPr>
        <w:t>alth department or agency; (4) c</w:t>
      </w:r>
      <w:r w:rsidR="00350C8B" w:rsidRPr="00D1334B">
        <w:rPr>
          <w:sz w:val="20"/>
        </w:rPr>
        <w:t>ommu</w:t>
      </w:r>
      <w:r w:rsidR="00350C8B">
        <w:rPr>
          <w:sz w:val="20"/>
        </w:rPr>
        <w:t>nity mental health center; (5) not-for-profit hospital; (6) rural health clinic; or (7) c</w:t>
      </w:r>
      <w:r w:rsidR="00350C8B" w:rsidRPr="00D1334B">
        <w:rPr>
          <w:sz w:val="20"/>
        </w:rPr>
        <w:t>onsortium of health care providers consisting of one or more entities described in paragraphs (a)(1) through (a)(6) of this section.”).</w:t>
      </w:r>
      <w:r w:rsidR="00350C8B">
        <w:rPr>
          <w:i/>
          <w:sz w:val="20"/>
        </w:rPr>
        <w:t xml:space="preserve">  </w:t>
      </w:r>
      <w:r w:rsidRPr="008956E6">
        <w:rPr>
          <w:i/>
          <w:sz w:val="20"/>
        </w:rPr>
        <w:t xml:space="preserve">See also </w:t>
      </w:r>
      <w:hyperlink r:id="rId5" w:anchor="47:3.0.1.1.7.7.8.2" w:history="1">
        <w:r w:rsidR="00350C8B" w:rsidRPr="008956E6">
          <w:rPr>
            <w:sz w:val="20"/>
          </w:rPr>
          <w:t>47 C.F.R. § 54.600(c)</w:t>
        </w:r>
      </w:hyperlink>
      <w:r w:rsidR="00350C8B" w:rsidRPr="008956E6">
        <w:rPr>
          <w:sz w:val="20"/>
        </w:rPr>
        <w:t xml:space="preserve"> (“</w:t>
      </w:r>
      <w:r w:rsidR="00350C8B" w:rsidRPr="00350C8B">
        <w:rPr>
          <w:rFonts w:eastAsia="Calibri"/>
          <w:snapToGrid/>
          <w:kern w:val="0"/>
          <w:sz w:val="20"/>
        </w:rPr>
        <w:t>A “rural health care provider” is an eligible health care provider site located in a rural area.”);</w:t>
      </w:r>
      <w:r w:rsidR="00350C8B">
        <w:rPr>
          <w:rFonts w:eastAsia="Calibri"/>
          <w:snapToGrid/>
          <w:kern w:val="0"/>
          <w:sz w:val="20"/>
        </w:rPr>
        <w:t xml:space="preserve"> </w:t>
      </w:r>
      <w:r w:rsidRPr="008956E6">
        <w:rPr>
          <w:sz w:val="20"/>
        </w:rPr>
        <w:t>47 U.S.C. § 254(h)(1)(A) (</w:t>
      </w:r>
      <w:r w:rsidRPr="00D4622B">
        <w:rPr>
          <w:rFonts w:eastAsia="Calibri"/>
          <w:snapToGrid/>
          <w:kern w:val="0"/>
          <w:sz w:val="20"/>
        </w:rPr>
        <w:t xml:space="preserve">mandating that telecommunications carriers provide telecommunications services for health care purposes to rural public or non-profit health care providers . . .”). </w:t>
      </w:r>
    </w:p>
  </w:footnote>
  <w:footnote w:id="13">
    <w:p w:rsidR="00D4622B" w:rsidRPr="000B645E" w:rsidRDefault="00D4622B" w:rsidP="00D4622B">
      <w:pPr>
        <w:pStyle w:val="FootnoteText"/>
        <w:rPr>
          <w:i/>
        </w:rPr>
      </w:pPr>
      <w:r w:rsidRPr="000B645E">
        <w:rPr>
          <w:rStyle w:val="FootnoteReference"/>
        </w:rPr>
        <w:footnoteRef/>
      </w:r>
      <w:r w:rsidRPr="000B645E">
        <w:t xml:space="preserve"> </w:t>
      </w:r>
      <w:r w:rsidR="00350C8B">
        <w:rPr>
          <w:i/>
        </w:rPr>
        <w:t xml:space="preserve">See </w:t>
      </w:r>
      <w:r w:rsidR="00350C8B" w:rsidRPr="00D1334B">
        <w:rPr>
          <w:i/>
        </w:rPr>
        <w:t>Healthcare Connect Fund Order</w:t>
      </w:r>
      <w:r w:rsidRPr="00A138A0">
        <w:rPr>
          <w:i/>
        </w:rPr>
        <w:t xml:space="preserve"> </w:t>
      </w:r>
      <w:r w:rsidRPr="000B645E">
        <w:t>at 16681, 16705, paras. 5-6, 59.</w:t>
      </w:r>
    </w:p>
  </w:footnote>
  <w:footnote w:id="14">
    <w:p w:rsidR="00DA4F2C" w:rsidRPr="00D1334B" w:rsidRDefault="00DA4F2C" w:rsidP="00DA4F2C">
      <w:pPr>
        <w:pStyle w:val="FootnoteText"/>
        <w:rPr>
          <w:i/>
        </w:rPr>
      </w:pPr>
      <w:r w:rsidRPr="00D1334B">
        <w:rPr>
          <w:rStyle w:val="FootnoteReference"/>
        </w:rPr>
        <w:footnoteRef/>
      </w:r>
      <w:r w:rsidRPr="00D1334B">
        <w:t xml:space="preserve"> </w:t>
      </w:r>
      <w:r w:rsidRPr="00BB66DA">
        <w:rPr>
          <w:i/>
        </w:rPr>
        <w:t>Id.</w:t>
      </w:r>
      <w:r>
        <w:t xml:space="preserve"> </w:t>
      </w:r>
    </w:p>
  </w:footnote>
  <w:footnote w:id="15">
    <w:p w:rsidR="00DA4F2C" w:rsidRPr="00D1334B" w:rsidRDefault="00DA4F2C" w:rsidP="00DA4F2C">
      <w:pPr>
        <w:pStyle w:val="FootnoteText"/>
      </w:pPr>
      <w:r w:rsidRPr="00D1334B">
        <w:rPr>
          <w:rStyle w:val="FootnoteReference"/>
        </w:rPr>
        <w:footnoteRef/>
      </w:r>
      <w:r w:rsidRPr="00D1334B">
        <w:t xml:space="preserve"> </w:t>
      </w:r>
      <w:r w:rsidRPr="00D1334B">
        <w:rPr>
          <w:i/>
        </w:rPr>
        <w:t>Id.</w:t>
      </w:r>
      <w:r w:rsidRPr="00D1334B">
        <w:t xml:space="preserve"> at 16709-10, para. 66. </w:t>
      </w:r>
    </w:p>
  </w:footnote>
  <w:footnote w:id="16">
    <w:p w:rsidR="00DA4F2C" w:rsidRPr="00D1334B" w:rsidRDefault="00DA4F2C" w:rsidP="005A173B">
      <w:pPr>
        <w:pStyle w:val="FootnoteText"/>
      </w:pPr>
      <w:r w:rsidRPr="00D1334B">
        <w:rPr>
          <w:rStyle w:val="FootnoteReference"/>
        </w:rPr>
        <w:footnoteRef/>
      </w:r>
      <w:r w:rsidRPr="00D1334B">
        <w:t xml:space="preserve"> </w:t>
      </w:r>
      <w:r w:rsidRPr="00D1334B">
        <w:rPr>
          <w:i/>
        </w:rPr>
        <w:t xml:space="preserve">See </w:t>
      </w:r>
      <w:r w:rsidRPr="00D1334B">
        <w:rPr>
          <w:bCs/>
        </w:rPr>
        <w:t>47 C.F.R. § 54.601(a)</w:t>
      </w:r>
      <w:r w:rsidRPr="00D1334B">
        <w:t xml:space="preserve">(2) (“Each separate site or location of a health care provider shall be considered an individual health care provider for purposes of calculating and limiting support under this subpart.”); </w:t>
      </w:r>
      <w:r w:rsidRPr="00D1334B">
        <w:rPr>
          <w:i/>
        </w:rPr>
        <w:t>Healthcare Connect Fund Order</w:t>
      </w:r>
      <w:r w:rsidR="007F3181">
        <w:rPr>
          <w:i/>
        </w:rPr>
        <w:t xml:space="preserve">, </w:t>
      </w:r>
      <w:r w:rsidR="007F3181" w:rsidRPr="00D1334B">
        <w:t xml:space="preserve">27 FCC Rcd </w:t>
      </w:r>
      <w:r w:rsidR="007F3181">
        <w:t xml:space="preserve">at </w:t>
      </w:r>
      <w:r w:rsidRPr="00D1334B">
        <w:t>16773, para. 215 (“For each [health care provider] listed, applicants will be required to provide the [health care provider’s] address and contact information, identify the eligible [health care provider] type….provide a brief explanation for why the [health care provider] is eligible under the Act and Commission’s rules and orders.”); FCC Form 460 Instructions, Rural Health Care</w:t>
      </w:r>
      <w:r w:rsidR="007F3181">
        <w:t xml:space="preserve"> Universal Se</w:t>
      </w:r>
      <w:r w:rsidR="00D83B85">
        <w:t xml:space="preserve">rvice, Eligibility </w:t>
      </w:r>
      <w:r w:rsidRPr="00D1334B">
        <w:t>and Registration Form, OMB 3060-0804  at 2 (FCC Form 460 Instructions) (“Each participating entity of a consortium must file a Form 460 to determine the eligibility of that physical location.” “All individual [health care providers], consortia, and consortium members must obtain an eligibility determination via Form 460 to receive Fund support.”).</w:t>
      </w:r>
    </w:p>
  </w:footnote>
  <w:footnote w:id="17">
    <w:p w:rsidR="00DA4F2C" w:rsidRPr="00D1334B" w:rsidRDefault="00DA4F2C" w:rsidP="005A173B">
      <w:pPr>
        <w:pStyle w:val="FootnoteText"/>
      </w:pPr>
      <w:r w:rsidRPr="00D1334B">
        <w:rPr>
          <w:rStyle w:val="FootnoteReference"/>
        </w:rPr>
        <w:footnoteRef/>
      </w:r>
      <w:r w:rsidRPr="00D1334B">
        <w:t xml:space="preserve"> </w:t>
      </w:r>
      <w:r w:rsidRPr="00D1334B">
        <w:rPr>
          <w:i/>
        </w:rPr>
        <w:t xml:space="preserve">See </w:t>
      </w:r>
      <w:r w:rsidRPr="00D1334B">
        <w:t>FCC Form 460 Instructions at 9 (“Line 43: Requires selecting the category that describes the type of health care provider requesting an eligibility determination.  Only public or non-profit health care providers that qualify under one of the categories listed in Block 5 are eligible for [Healthcare Connect Fund program] support.”).</w:t>
      </w:r>
    </w:p>
  </w:footnote>
  <w:footnote w:id="18">
    <w:p w:rsidR="00307585" w:rsidRDefault="00307585">
      <w:pPr>
        <w:pStyle w:val="FootnoteText"/>
      </w:pPr>
      <w:r>
        <w:rPr>
          <w:rStyle w:val="FootnoteReference"/>
        </w:rPr>
        <w:footnoteRef/>
      </w:r>
      <w:r>
        <w:t xml:space="preserve"> </w:t>
      </w:r>
      <w:r w:rsidR="009B1F7B" w:rsidRPr="00D1334B">
        <w:rPr>
          <w:i/>
        </w:rPr>
        <w:t xml:space="preserve">See </w:t>
      </w:r>
      <w:r w:rsidR="009B1F7B">
        <w:t xml:space="preserve">FCC Form 460 Instructions at 10. </w:t>
      </w:r>
    </w:p>
  </w:footnote>
  <w:footnote w:id="19">
    <w:p w:rsidR="00DA4F2C" w:rsidRPr="00985927" w:rsidRDefault="00DA4F2C" w:rsidP="005A173B">
      <w:pPr>
        <w:pStyle w:val="FootnoteText"/>
      </w:pPr>
      <w:r w:rsidRPr="00985927">
        <w:rPr>
          <w:rStyle w:val="FootnoteReference"/>
        </w:rPr>
        <w:footnoteRef/>
      </w:r>
      <w:r w:rsidRPr="00985927">
        <w:t xml:space="preserve"> </w:t>
      </w:r>
      <w:r w:rsidRPr="00985927">
        <w:rPr>
          <w:i/>
        </w:rPr>
        <w:t>See</w:t>
      </w:r>
      <w:r w:rsidRPr="00985927">
        <w:t xml:space="preserve"> </w:t>
      </w:r>
      <w:hyperlink r:id="rId6" w:anchor="47:3.0.1.1.7.7.8.2" w:history="1">
        <w:r w:rsidRPr="00985927">
          <w:t>47 C.F.R. § 54.600(a)</w:t>
        </w:r>
      </w:hyperlink>
      <w:r w:rsidRPr="00985927">
        <w:t>.</w:t>
      </w:r>
    </w:p>
  </w:footnote>
  <w:footnote w:id="20">
    <w:p w:rsidR="002661D3" w:rsidRDefault="002661D3">
      <w:pPr>
        <w:pStyle w:val="FootnoteText"/>
      </w:pPr>
      <w:r>
        <w:rPr>
          <w:rStyle w:val="FootnoteReference"/>
        </w:rPr>
        <w:footnoteRef/>
      </w:r>
      <w:r>
        <w:t xml:space="preserve"> </w:t>
      </w:r>
      <w:r w:rsidRPr="00985927">
        <w:rPr>
          <w:i/>
        </w:rPr>
        <w:t>See</w:t>
      </w:r>
      <w:r w:rsidRPr="00985927">
        <w:t xml:space="preserve"> St. Vincent Health SHO Request for Review</w:t>
      </w:r>
      <w:r w:rsidR="007D7DBD">
        <w:t>, List of Exhibits</w:t>
      </w:r>
      <w:r w:rsidRPr="00985927">
        <w:t>; USAC Eligibility Decision.</w:t>
      </w:r>
    </w:p>
  </w:footnote>
  <w:footnote w:id="21">
    <w:p w:rsidR="00AB0C43" w:rsidRPr="00985927" w:rsidRDefault="00AB0C43" w:rsidP="005A173B">
      <w:pPr>
        <w:pStyle w:val="FootnoteText"/>
      </w:pPr>
      <w:r w:rsidRPr="00985927">
        <w:rPr>
          <w:rStyle w:val="FootnoteReference"/>
        </w:rPr>
        <w:footnoteRef/>
      </w:r>
      <w:r w:rsidRPr="00985927">
        <w:t xml:space="preserve"> </w:t>
      </w:r>
      <w:r w:rsidR="00B874FC" w:rsidRPr="00985927">
        <w:rPr>
          <w:i/>
        </w:rPr>
        <w:t>See</w:t>
      </w:r>
      <w:r w:rsidR="00B874FC" w:rsidRPr="00985927">
        <w:t xml:space="preserve"> </w:t>
      </w:r>
      <w:r w:rsidR="002661D3">
        <w:t xml:space="preserve">USAC Eligibility </w:t>
      </w:r>
      <w:r w:rsidR="007560DB">
        <w:t xml:space="preserve">Decision.  USAC found that of the 61 denied sites, 58 were denied as “non-profit hospitals” and three were denied as “rural health clinics.”   </w:t>
      </w:r>
    </w:p>
  </w:footnote>
  <w:footnote w:id="22">
    <w:p w:rsidR="00307585" w:rsidRDefault="00307585">
      <w:pPr>
        <w:pStyle w:val="FootnoteText"/>
      </w:pPr>
      <w:r w:rsidRPr="00985927">
        <w:rPr>
          <w:rStyle w:val="FootnoteReference"/>
        </w:rPr>
        <w:footnoteRef/>
      </w:r>
      <w:r w:rsidRPr="00985927">
        <w:t xml:space="preserve"> </w:t>
      </w:r>
      <w:r w:rsidR="007F1181" w:rsidRPr="00985927">
        <w:rPr>
          <w:i/>
        </w:rPr>
        <w:t>See</w:t>
      </w:r>
      <w:r w:rsidR="007F1181" w:rsidRPr="00985927">
        <w:t xml:space="preserve"> St. Vincent Health SHO Request for Review</w:t>
      </w:r>
      <w:r w:rsidR="00985927" w:rsidRPr="00985927">
        <w:t xml:space="preserve"> at 2-3, 9.  Email from Amy Kavelman, USAC, to Megan E. Herring, Paralegal, Hall, Render, Killian, Heath &amp; Lyman, P.C.</w:t>
      </w:r>
      <w:r w:rsidR="00985927">
        <w:t>,</w:t>
      </w:r>
      <w:r w:rsidR="008F484F">
        <w:t xml:space="preserve"> </w:t>
      </w:r>
      <w:r w:rsidR="00985927">
        <w:t xml:space="preserve">counsel </w:t>
      </w:r>
      <w:r w:rsidR="00985927" w:rsidRPr="00985927">
        <w:t>to St</w:t>
      </w:r>
      <w:r w:rsidR="00985927">
        <w:t>. Vincen</w:t>
      </w:r>
      <w:r w:rsidR="00985927" w:rsidRPr="00985927">
        <w:t>t Health SHO (dated June 11, 2014).</w:t>
      </w:r>
      <w:r w:rsidR="00985927">
        <w:rPr>
          <w:rFonts w:ascii="Arial" w:hAnsi="Arial" w:cs="Arial"/>
          <w:color w:val="1F497C"/>
        </w:rPr>
        <w:t xml:space="preserve"> </w:t>
      </w:r>
    </w:p>
  </w:footnote>
  <w:footnote w:id="23">
    <w:p w:rsidR="003314A7" w:rsidRPr="00985927" w:rsidRDefault="003314A7" w:rsidP="003314A7">
      <w:pPr>
        <w:pStyle w:val="FootnoteText"/>
      </w:pPr>
      <w:r w:rsidRPr="00985927">
        <w:rPr>
          <w:rStyle w:val="FootnoteReference"/>
        </w:rPr>
        <w:footnoteRef/>
      </w:r>
      <w:r w:rsidRPr="00985927">
        <w:t xml:space="preserve"> </w:t>
      </w:r>
      <w:r w:rsidRPr="00985927">
        <w:rPr>
          <w:i/>
        </w:rPr>
        <w:t>See</w:t>
      </w:r>
      <w:r w:rsidRPr="00985927">
        <w:t xml:space="preserve"> St. Vincent Health SHO Request for Review</w:t>
      </w:r>
      <w:r w:rsidR="002661D3">
        <w:t>.</w:t>
      </w:r>
    </w:p>
  </w:footnote>
  <w:footnote w:id="24">
    <w:p w:rsidR="00783556" w:rsidRDefault="00783556">
      <w:pPr>
        <w:pStyle w:val="FootnoteText"/>
      </w:pPr>
      <w:r>
        <w:rPr>
          <w:rStyle w:val="FootnoteReference"/>
        </w:rPr>
        <w:footnoteRef/>
      </w:r>
      <w:r>
        <w:t xml:space="preserve"> </w:t>
      </w:r>
      <w:r w:rsidRPr="00783556">
        <w:rPr>
          <w:i/>
        </w:rPr>
        <w:t>Id.</w:t>
      </w:r>
      <w:r>
        <w:t xml:space="preserve"> at 11. </w:t>
      </w:r>
    </w:p>
  </w:footnote>
  <w:footnote w:id="25">
    <w:p w:rsidR="00EF778A" w:rsidRPr="00492B3B" w:rsidRDefault="00EF778A" w:rsidP="00EF778A">
      <w:pPr>
        <w:pStyle w:val="FootnoteText"/>
      </w:pPr>
      <w:r>
        <w:rPr>
          <w:rStyle w:val="FootnoteReference"/>
        </w:rPr>
        <w:footnoteRef/>
      </w:r>
      <w:r>
        <w:t xml:space="preserve"> </w:t>
      </w:r>
      <w:r>
        <w:rPr>
          <w:i/>
        </w:rPr>
        <w:t xml:space="preserve">Id. </w:t>
      </w:r>
      <w:r>
        <w:t xml:space="preserve">at 1-2. </w:t>
      </w:r>
      <w:r w:rsidR="009A1BCB" w:rsidRPr="00EF778A">
        <w:rPr>
          <w:rFonts w:eastAsia="Calibri"/>
          <w:szCs w:val="22"/>
        </w:rPr>
        <w:t>With respect to the Witham Anson facility, St. Vincent Health SHO contends that it is a free standing emergency room and is identified on the hospital license as an additional address for which Witham provides hospital services</w:t>
      </w:r>
      <w:r w:rsidR="009A1BCB">
        <w:rPr>
          <w:rFonts w:eastAsia="Calibri"/>
          <w:szCs w:val="22"/>
        </w:rPr>
        <w:t>.</w:t>
      </w:r>
      <w:r w:rsidR="009A1BCB">
        <w:rPr>
          <w:i/>
        </w:rPr>
        <w:t xml:space="preserve"> Id. </w:t>
      </w:r>
      <w:r w:rsidR="009A1BCB">
        <w:t>at 8-9.</w:t>
      </w:r>
    </w:p>
  </w:footnote>
  <w:footnote w:id="26">
    <w:p w:rsidR="00EF778A" w:rsidRDefault="00EF778A" w:rsidP="00EF778A">
      <w:pPr>
        <w:pStyle w:val="FootnoteText"/>
      </w:pPr>
      <w:r>
        <w:rPr>
          <w:rStyle w:val="FootnoteReference"/>
        </w:rPr>
        <w:footnoteRef/>
      </w:r>
      <w:r>
        <w:t xml:space="preserve"> </w:t>
      </w:r>
      <w:r>
        <w:rPr>
          <w:i/>
        </w:rPr>
        <w:t xml:space="preserve">Id. </w:t>
      </w:r>
      <w:r w:rsidR="008F484F">
        <w:t>at 8</w:t>
      </w:r>
      <w:r>
        <w:t>.</w:t>
      </w:r>
    </w:p>
  </w:footnote>
  <w:footnote w:id="27">
    <w:p w:rsidR="00307585" w:rsidRDefault="00307585">
      <w:pPr>
        <w:pStyle w:val="FootnoteText"/>
      </w:pPr>
      <w:r>
        <w:rPr>
          <w:rStyle w:val="FootnoteReference"/>
        </w:rPr>
        <w:footnoteRef/>
      </w:r>
      <w:r>
        <w:t xml:space="preserve"> </w:t>
      </w:r>
      <w:r w:rsidR="00300A32">
        <w:rPr>
          <w:i/>
        </w:rPr>
        <w:t xml:space="preserve">Id. </w:t>
      </w:r>
      <w:r w:rsidR="00E456E1">
        <w:t>at 1, 8-10.</w:t>
      </w:r>
    </w:p>
  </w:footnote>
  <w:footnote w:id="28">
    <w:p w:rsidR="00307585" w:rsidRDefault="00307585">
      <w:pPr>
        <w:pStyle w:val="FootnoteText"/>
      </w:pPr>
      <w:r>
        <w:rPr>
          <w:rStyle w:val="FootnoteReference"/>
        </w:rPr>
        <w:footnoteRef/>
      </w:r>
      <w:r>
        <w:t xml:space="preserve"> </w:t>
      </w:r>
      <w:r w:rsidR="00A82445">
        <w:rPr>
          <w:i/>
        </w:rPr>
        <w:t xml:space="preserve">Id. </w:t>
      </w:r>
      <w:r w:rsidR="00E456E1">
        <w:t>at 1, 10.</w:t>
      </w:r>
    </w:p>
  </w:footnote>
  <w:footnote w:id="29">
    <w:p w:rsidR="00307585" w:rsidRDefault="00307585">
      <w:pPr>
        <w:pStyle w:val="FootnoteText"/>
      </w:pPr>
      <w:r>
        <w:rPr>
          <w:rStyle w:val="FootnoteReference"/>
        </w:rPr>
        <w:footnoteRef/>
      </w:r>
      <w:r>
        <w:t xml:space="preserve"> </w:t>
      </w:r>
      <w:r w:rsidR="00A82445">
        <w:rPr>
          <w:i/>
        </w:rPr>
        <w:t xml:space="preserve">Id. </w:t>
      </w:r>
      <w:r w:rsidR="00E456E1">
        <w:t>at 1-2.</w:t>
      </w:r>
    </w:p>
  </w:footnote>
  <w:footnote w:id="30">
    <w:p w:rsidR="00AE1A94" w:rsidRPr="000A55BB" w:rsidRDefault="00AE1A94" w:rsidP="005A173B">
      <w:pPr>
        <w:pStyle w:val="FootnoteText"/>
      </w:pPr>
      <w:r w:rsidRPr="000A55BB">
        <w:rPr>
          <w:rStyle w:val="FootnoteReference"/>
        </w:rPr>
        <w:footnoteRef/>
      </w:r>
      <w:r w:rsidRPr="000A55BB">
        <w:t xml:space="preserve"> </w:t>
      </w:r>
      <w:r w:rsidRPr="000A55BB">
        <w:rPr>
          <w:i/>
        </w:rPr>
        <w:t xml:space="preserve">See </w:t>
      </w:r>
      <w:r w:rsidRPr="000A55BB">
        <w:t xml:space="preserve">47 C.F.R. § 54.600(a); 47 U.S.C. § 254(h)(7)(B). </w:t>
      </w:r>
    </w:p>
  </w:footnote>
  <w:footnote w:id="31">
    <w:p w:rsidR="00AE1A94" w:rsidRPr="00D1334B" w:rsidRDefault="00AE1A94" w:rsidP="005A173B">
      <w:pPr>
        <w:pStyle w:val="FootnoteText"/>
      </w:pPr>
      <w:r w:rsidRPr="000A55BB">
        <w:rPr>
          <w:rStyle w:val="FootnoteReference"/>
        </w:rPr>
        <w:footnoteRef/>
      </w:r>
      <w:r w:rsidRPr="000A55BB">
        <w:t xml:space="preserve"> </w:t>
      </w:r>
      <w:r w:rsidRPr="004B75BC">
        <w:rPr>
          <w:i/>
        </w:rPr>
        <w:t xml:space="preserve">See </w:t>
      </w:r>
      <w:r w:rsidRPr="000A55BB">
        <w:rPr>
          <w:i/>
        </w:rPr>
        <w:t>Healthcare Connect Fund Order</w:t>
      </w:r>
      <w:r w:rsidR="007F72A7">
        <w:t xml:space="preserve">, 27 FCC Rcd at </w:t>
      </w:r>
      <w:r>
        <w:t xml:space="preserve">16699, para. 44.  </w:t>
      </w:r>
      <w:r w:rsidRPr="00B10714">
        <w:rPr>
          <w:i/>
        </w:rPr>
        <w:t>See also</w:t>
      </w:r>
      <w:r>
        <w:t xml:space="preserve"> </w:t>
      </w:r>
      <w:r w:rsidRPr="00B10714">
        <w:rPr>
          <w:i/>
        </w:rPr>
        <w:t>id.</w:t>
      </w:r>
      <w:r>
        <w:t xml:space="preserve"> </w:t>
      </w:r>
      <w:r w:rsidRPr="000A55BB">
        <w:t xml:space="preserve">at 16705, para. 59; </w:t>
      </w:r>
      <w:r w:rsidR="00C93EF4" w:rsidRPr="00D1334B">
        <w:t xml:space="preserve">FCC, Healthcare Connect Fund – Frequently Asked Questions, </w:t>
      </w:r>
      <w:hyperlink r:id="rId7" w:history="1">
        <w:r w:rsidR="00C93EF4" w:rsidRPr="00D1334B">
          <w:rPr>
            <w:rStyle w:val="Hyperlink"/>
          </w:rPr>
          <w:t>http://www.fcc.gov/encyclopedia/healthcare-connect-fund-frequently-asked-questions</w:t>
        </w:r>
      </w:hyperlink>
      <w:r w:rsidR="00C93EF4">
        <w:rPr>
          <w:rStyle w:val="Hyperlink"/>
        </w:rPr>
        <w:t>,</w:t>
      </w:r>
      <w:r w:rsidR="00C20467">
        <w:t xml:space="preserve"> at n</w:t>
      </w:r>
      <w:r w:rsidR="008A5A7A">
        <w:t xml:space="preserve">o. 11 </w:t>
      </w:r>
      <w:r w:rsidR="00C93EF4">
        <w:t>(last vi</w:t>
      </w:r>
      <w:r w:rsidR="005001BA">
        <w:t>sited Sept. 17</w:t>
      </w:r>
      <w:r w:rsidR="00C93EF4">
        <w:t xml:space="preserve">, 2015) </w:t>
      </w:r>
      <w:r w:rsidRPr="000A55BB">
        <w:t>(stating that “[n]</w:t>
      </w:r>
      <w:r w:rsidRPr="000A55BB">
        <w:rPr>
          <w:lang w:val="en"/>
        </w:rPr>
        <w:t>on-rural [health care providers] can receive support from the [Healthcare Connect Fund] program, as long as they apply as part of a consortium that has a majority rural [healthcare provider] sites and are otherwise considered eligible)</w:t>
      </w:r>
      <w:r>
        <w:rPr>
          <w:lang w:val="en"/>
        </w:rPr>
        <w:t>.</w:t>
      </w:r>
    </w:p>
  </w:footnote>
  <w:footnote w:id="32">
    <w:p w:rsidR="00E81088" w:rsidRPr="007F3181" w:rsidRDefault="00E81088" w:rsidP="00E81088">
      <w:pPr>
        <w:autoSpaceDE w:val="0"/>
        <w:autoSpaceDN w:val="0"/>
        <w:adjustRightInd w:val="0"/>
        <w:spacing w:after="120"/>
        <w:rPr>
          <w:sz w:val="20"/>
        </w:rPr>
      </w:pPr>
      <w:r w:rsidRPr="00D1334B">
        <w:rPr>
          <w:rStyle w:val="FootnoteReference"/>
        </w:rPr>
        <w:footnoteRef/>
      </w:r>
      <w:r w:rsidRPr="00D1334B">
        <w:rPr>
          <w:sz w:val="20"/>
        </w:rPr>
        <w:t xml:space="preserve"> </w:t>
      </w:r>
      <w:r w:rsidRPr="00D1334B">
        <w:rPr>
          <w:i/>
          <w:sz w:val="20"/>
        </w:rPr>
        <w:t>See</w:t>
      </w:r>
      <w:r w:rsidRPr="00D1334B">
        <w:rPr>
          <w:sz w:val="20"/>
        </w:rPr>
        <w:t xml:space="preserve"> </w:t>
      </w:r>
      <w:hyperlink r:id="rId8" w:anchor="47:3.0.1.1.7.7.8.2" w:history="1">
        <w:r w:rsidRPr="00D1334B">
          <w:rPr>
            <w:sz w:val="20"/>
          </w:rPr>
          <w:t>47 C.F.R. § 54.601(a)</w:t>
        </w:r>
      </w:hyperlink>
      <w:r w:rsidR="00850ADF">
        <w:rPr>
          <w:sz w:val="20"/>
        </w:rPr>
        <w:t>.</w:t>
      </w:r>
    </w:p>
  </w:footnote>
  <w:footnote w:id="33">
    <w:p w:rsidR="00E81088" w:rsidRPr="00D1334B" w:rsidRDefault="00E81088" w:rsidP="00E81088">
      <w:pPr>
        <w:autoSpaceDE w:val="0"/>
        <w:autoSpaceDN w:val="0"/>
        <w:adjustRightInd w:val="0"/>
        <w:spacing w:after="120"/>
        <w:rPr>
          <w:sz w:val="20"/>
        </w:rPr>
      </w:pPr>
      <w:r w:rsidRPr="007F3181">
        <w:rPr>
          <w:rStyle w:val="FootnoteReference"/>
        </w:rPr>
        <w:footnoteRef/>
      </w:r>
      <w:r w:rsidRPr="007F3181">
        <w:rPr>
          <w:sz w:val="20"/>
        </w:rPr>
        <w:t xml:space="preserve"> </w:t>
      </w:r>
      <w:r w:rsidRPr="007F3181">
        <w:rPr>
          <w:i/>
          <w:sz w:val="20"/>
        </w:rPr>
        <w:t>See</w:t>
      </w:r>
      <w:r w:rsidRPr="007F3181">
        <w:rPr>
          <w:sz w:val="20"/>
        </w:rPr>
        <w:t xml:space="preserve"> 47 U.S.C. § 254(h)(7)(B).  </w:t>
      </w:r>
      <w:r w:rsidRPr="007F3181">
        <w:rPr>
          <w:i/>
          <w:sz w:val="20"/>
        </w:rPr>
        <w:t>See also</w:t>
      </w:r>
      <w:r w:rsidRPr="007F3181">
        <w:rPr>
          <w:sz w:val="20"/>
        </w:rPr>
        <w:t xml:space="preserve"> 47 C.F.R. § 54.600(a).</w:t>
      </w:r>
      <w:r w:rsidRPr="00D1334B">
        <w:t xml:space="preserve">   </w:t>
      </w:r>
    </w:p>
  </w:footnote>
  <w:footnote w:id="34">
    <w:p w:rsidR="001B4B75" w:rsidRDefault="001B4B75">
      <w:pPr>
        <w:pStyle w:val="FootnoteText"/>
      </w:pPr>
      <w:r>
        <w:rPr>
          <w:rStyle w:val="FootnoteReference"/>
        </w:rPr>
        <w:footnoteRef/>
      </w:r>
      <w:r>
        <w:t xml:space="preserve"> </w:t>
      </w:r>
      <w:r w:rsidRPr="00D1334B">
        <w:rPr>
          <w:i/>
        </w:rPr>
        <w:t xml:space="preserve">See </w:t>
      </w:r>
      <w:r w:rsidRPr="00D1334B">
        <w:rPr>
          <w:bCs/>
        </w:rPr>
        <w:t>47 C.F.R. § 54.601(a)</w:t>
      </w:r>
      <w:r w:rsidRPr="00D1334B">
        <w:t>(2) (“Each separate site or location of a health care provider shall be considered an individual health care provider for purposes of calculating and limitin</w:t>
      </w:r>
      <w:r>
        <w:t>g support under this subpart.”).</w:t>
      </w:r>
    </w:p>
  </w:footnote>
  <w:footnote w:id="35">
    <w:p w:rsidR="001C141A" w:rsidRDefault="001C141A">
      <w:pPr>
        <w:pStyle w:val="FootnoteText"/>
      </w:pPr>
      <w:r>
        <w:rPr>
          <w:rStyle w:val="FootnoteReference"/>
        </w:rPr>
        <w:footnoteRef/>
      </w:r>
      <w:r>
        <w:t xml:space="preserve"> St. Vincent Health SHO </w:t>
      </w:r>
      <w:r w:rsidR="000E7601">
        <w:t>requests the Commission to define “not-for-profit hospital” and “loca</w:t>
      </w:r>
      <w:r w:rsidR="00FF420F">
        <w:t>l health department or agencies</w:t>
      </w:r>
      <w:r w:rsidR="00850ADF">
        <w:t xml:space="preserve">” </w:t>
      </w:r>
      <w:r w:rsidR="004622A6">
        <w:t xml:space="preserve">broadly </w:t>
      </w:r>
      <w:r w:rsidR="00850ADF">
        <w:t xml:space="preserve">and </w:t>
      </w:r>
      <w:r w:rsidR="004622A6">
        <w:t xml:space="preserve">to </w:t>
      </w:r>
      <w:r w:rsidR="000E7601">
        <w:t xml:space="preserve">clarify that </w:t>
      </w:r>
      <w:r w:rsidR="000E7601" w:rsidRPr="009F11FC">
        <w:rPr>
          <w:rFonts w:eastAsia="Calibri"/>
          <w:szCs w:val="22"/>
        </w:rPr>
        <w:t>the eligible entity type with respect to “not-for-profit hospitals” and “local health departments and agencies” is an analysis that applies to the organization (the person under the law) not the facility (which is an asset of the organization</w:t>
      </w:r>
      <w:r w:rsidR="000E7601">
        <w:rPr>
          <w:rFonts w:eastAsia="Calibri"/>
          <w:szCs w:val="22"/>
        </w:rPr>
        <w:t xml:space="preserve">).  </w:t>
      </w:r>
      <w:r w:rsidR="000E7601" w:rsidRPr="000E7601">
        <w:rPr>
          <w:rFonts w:eastAsia="Calibri"/>
          <w:i/>
          <w:szCs w:val="22"/>
        </w:rPr>
        <w:t>See supra</w:t>
      </w:r>
      <w:r w:rsidR="000E7601">
        <w:rPr>
          <w:rFonts w:eastAsia="Calibri"/>
          <w:szCs w:val="22"/>
        </w:rPr>
        <w:t xml:space="preserve"> para. 6.  </w:t>
      </w:r>
      <w:r w:rsidR="004622A6">
        <w:rPr>
          <w:rFonts w:eastAsia="Calibri"/>
          <w:szCs w:val="22"/>
        </w:rPr>
        <w:t xml:space="preserve">As discussed in this order, </w:t>
      </w:r>
      <w:r w:rsidR="004622A6">
        <w:t>the Commission has never</w:t>
      </w:r>
      <w:r w:rsidRPr="00D1334B">
        <w:t xml:space="preserve"> </w:t>
      </w:r>
      <w:r w:rsidR="004622A6">
        <w:t xml:space="preserve">adopted the broad reading of </w:t>
      </w:r>
      <w:r w:rsidR="000E7601">
        <w:t xml:space="preserve">these terms </w:t>
      </w:r>
      <w:r w:rsidR="004622A6">
        <w:t xml:space="preserve">that St. Vincent SHO proposes.  </w:t>
      </w:r>
      <w:r w:rsidR="0081026D">
        <w:t xml:space="preserve">Moreover, </w:t>
      </w:r>
      <w:r w:rsidR="004622A6">
        <w:t xml:space="preserve">we note that </w:t>
      </w:r>
      <w:r w:rsidR="0081026D">
        <w:t>St. Vincent SHO did not seek eligibility as a local health department or agency for any of the</w:t>
      </w:r>
      <w:r w:rsidR="004622A6">
        <w:t xml:space="preserve"> sites at issue in its appeal.</w:t>
      </w:r>
    </w:p>
  </w:footnote>
  <w:footnote w:id="36">
    <w:p w:rsidR="00FB6FAF" w:rsidRDefault="00FB6FAF" w:rsidP="00FB6FAF">
      <w:pPr>
        <w:pStyle w:val="FootnoteText"/>
      </w:pPr>
      <w:r>
        <w:rPr>
          <w:rStyle w:val="FootnoteReference"/>
        </w:rPr>
        <w:footnoteRef/>
      </w:r>
      <w:r>
        <w:t xml:space="preserve"> </w:t>
      </w:r>
      <w:r w:rsidRPr="00D1334B">
        <w:t xml:space="preserve">47 U.S.C. § 254(h)(7)(B).  </w:t>
      </w:r>
      <w:r w:rsidRPr="00D1334B">
        <w:rPr>
          <w:i/>
        </w:rPr>
        <w:t>See also</w:t>
      </w:r>
      <w:r w:rsidRPr="00D1334B">
        <w:t xml:space="preserve"> 47 C.F.R. § 54.600(a).   </w:t>
      </w:r>
    </w:p>
  </w:footnote>
  <w:footnote w:id="37">
    <w:p w:rsidR="004F19B1" w:rsidRPr="00A3570A" w:rsidRDefault="004F19B1" w:rsidP="00C22226">
      <w:pPr>
        <w:pStyle w:val="FootnoteText"/>
      </w:pPr>
      <w:r w:rsidRPr="00A3570A">
        <w:rPr>
          <w:rStyle w:val="FootnoteReference"/>
        </w:rPr>
        <w:footnoteRef/>
      </w:r>
      <w:r w:rsidRPr="00A3570A">
        <w:t xml:space="preserve"> </w:t>
      </w:r>
      <w:r w:rsidRPr="00A3570A">
        <w:rPr>
          <w:i/>
        </w:rPr>
        <w:t xml:space="preserve">See </w:t>
      </w:r>
      <w:r w:rsidRPr="00A3570A">
        <w:rPr>
          <w:bCs/>
        </w:rPr>
        <w:t>47 C.F.R. § 54.601(a)</w:t>
      </w:r>
      <w:r w:rsidRPr="00A3570A">
        <w:t>(2).</w:t>
      </w:r>
      <w:r w:rsidR="00CA5E54" w:rsidRPr="00A3570A">
        <w:rPr>
          <w:i/>
        </w:rPr>
        <w:t xml:space="preserve"> See also</w:t>
      </w:r>
      <w:r w:rsidR="00CA5E54" w:rsidRPr="00A3570A">
        <w:t xml:space="preserve"> </w:t>
      </w:r>
      <w:r w:rsidR="00CA5E54" w:rsidRPr="00A3570A">
        <w:rPr>
          <w:i/>
        </w:rPr>
        <w:t>Healthcare Connect Fund Order</w:t>
      </w:r>
      <w:r w:rsidR="00CA5E54" w:rsidRPr="00A3570A">
        <w:t>, 27 FCC Rcd at 16773, para. 215; FCC Form 460 Instructions at 2.</w:t>
      </w:r>
    </w:p>
  </w:footnote>
  <w:footnote w:id="38">
    <w:p w:rsidR="00A3570A" w:rsidRPr="00A3570A" w:rsidRDefault="00A3570A" w:rsidP="00C22226">
      <w:pPr>
        <w:pStyle w:val="FootnoteText"/>
      </w:pPr>
      <w:r w:rsidRPr="00A3570A">
        <w:rPr>
          <w:rStyle w:val="FootnoteReference"/>
        </w:rPr>
        <w:footnoteRef/>
      </w:r>
      <w:r w:rsidRPr="00A3570A">
        <w:t xml:space="preserve"> </w:t>
      </w:r>
      <w:r w:rsidRPr="005B1FE4">
        <w:rPr>
          <w:i/>
        </w:rPr>
        <w:t xml:space="preserve">See </w:t>
      </w:r>
      <w:r w:rsidR="005B1FE4" w:rsidRPr="005B1FE4">
        <w:rPr>
          <w:i/>
        </w:rPr>
        <w:t>Changes to the Board of Directors of the National Exchange Carrier Association, Inc., Federal-State Joint Board on Universal Service</w:t>
      </w:r>
      <w:r w:rsidR="005B1FE4" w:rsidRPr="005B1FE4">
        <w:t>, CC Docket Nos. 97-21, 96-45, Sixth Order on Reconsideration, Fifteenth Order on Reconsideration, FCC 99-269, para. 49. (1999).</w:t>
      </w:r>
      <w:r w:rsidR="005B1FE4">
        <w:rPr>
          <w:rFonts w:ascii="Verdana" w:hAnsi="Verdana"/>
          <w:color w:val="FF0000"/>
          <w:sz w:val="19"/>
          <w:szCs w:val="19"/>
        </w:rPr>
        <w:t xml:space="preserve"> </w:t>
      </w:r>
    </w:p>
  </w:footnote>
  <w:footnote w:id="39">
    <w:p w:rsidR="00FB6FAF" w:rsidRPr="00A3570A" w:rsidRDefault="00FB6FAF" w:rsidP="00C22226">
      <w:pPr>
        <w:pStyle w:val="FootnoteText"/>
      </w:pPr>
      <w:r w:rsidRPr="00A3570A">
        <w:rPr>
          <w:rStyle w:val="FootnoteReference"/>
        </w:rPr>
        <w:footnoteRef/>
      </w:r>
      <w:r w:rsidRPr="00A3570A">
        <w:t xml:space="preserve"> </w:t>
      </w:r>
      <w:r w:rsidRPr="00A3570A">
        <w:rPr>
          <w:i/>
        </w:rPr>
        <w:t>See supra</w:t>
      </w:r>
      <w:r w:rsidRPr="00A3570A">
        <w:t xml:space="preserve"> n.15. </w:t>
      </w:r>
    </w:p>
  </w:footnote>
  <w:footnote w:id="40">
    <w:p w:rsidR="00FB6FAF" w:rsidRPr="00A3570A" w:rsidRDefault="00FB6FAF" w:rsidP="00C22226">
      <w:pPr>
        <w:pStyle w:val="FootnoteText"/>
      </w:pPr>
      <w:r w:rsidRPr="00A3570A">
        <w:rPr>
          <w:rStyle w:val="FootnoteReference"/>
        </w:rPr>
        <w:footnoteRef/>
      </w:r>
      <w:r w:rsidRPr="00A3570A">
        <w:t xml:space="preserve"> </w:t>
      </w:r>
      <w:r w:rsidRPr="00A3570A">
        <w:rPr>
          <w:i/>
        </w:rPr>
        <w:t>Id.</w:t>
      </w:r>
    </w:p>
  </w:footnote>
  <w:footnote w:id="41">
    <w:p w:rsidR="00AE1A94" w:rsidRPr="00A3570A" w:rsidRDefault="00AE1A94" w:rsidP="00C22226">
      <w:pPr>
        <w:pStyle w:val="FootnoteText"/>
      </w:pPr>
      <w:r w:rsidRPr="00A3570A">
        <w:rPr>
          <w:rStyle w:val="FootnoteReference"/>
        </w:rPr>
        <w:footnoteRef/>
      </w:r>
      <w:r w:rsidRPr="00A3570A">
        <w:t xml:space="preserve"> </w:t>
      </w:r>
      <w:r w:rsidRPr="00A3570A">
        <w:rPr>
          <w:i/>
        </w:rPr>
        <w:t>See Healthcare Connect Fund Order</w:t>
      </w:r>
      <w:r w:rsidR="007F72A7" w:rsidRPr="00A3570A">
        <w:rPr>
          <w:i/>
        </w:rPr>
        <w:t xml:space="preserve">, </w:t>
      </w:r>
      <w:r w:rsidR="007F72A7" w:rsidRPr="00A3570A">
        <w:t>27 FCC Rcd a</w:t>
      </w:r>
      <w:r w:rsidRPr="00A3570A">
        <w:t>t</w:t>
      </w:r>
      <w:r w:rsidR="007F72A7" w:rsidRPr="00A3570A">
        <w:t xml:space="preserve"> 16</w:t>
      </w:r>
      <w:r w:rsidRPr="00A3570A">
        <w:t xml:space="preserve">699, 166709-10, paras. </w:t>
      </w:r>
      <w:r w:rsidR="00EB1A50" w:rsidRPr="00A3570A">
        <w:t xml:space="preserve">45, </w:t>
      </w:r>
      <w:r w:rsidRPr="00A3570A">
        <w:t xml:space="preserve">66. </w:t>
      </w:r>
    </w:p>
  </w:footnote>
  <w:footnote w:id="42">
    <w:p w:rsidR="00AE1A94" w:rsidRPr="00511802" w:rsidRDefault="00AE1A94" w:rsidP="00C22226">
      <w:pPr>
        <w:pStyle w:val="FootnoteText"/>
      </w:pPr>
      <w:r w:rsidRPr="00511802">
        <w:rPr>
          <w:rStyle w:val="FootnoteReference"/>
        </w:rPr>
        <w:footnoteRef/>
      </w:r>
      <w:r w:rsidRPr="00511802">
        <w:t xml:space="preserve"> </w:t>
      </w:r>
      <w:r w:rsidRPr="00511802">
        <w:rPr>
          <w:i/>
        </w:rPr>
        <w:t xml:space="preserve">See </w:t>
      </w:r>
      <w:r w:rsidRPr="00511802">
        <w:t xml:space="preserve">47 C.F.R. § 54.600(a).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A2D" w:rsidRDefault="005A2A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297" w:rsidRDefault="00B60297">
    <w:pPr>
      <w:pStyle w:val="FirstPageHeader"/>
      <w:tabs>
        <w:tab w:val="clear" w:pos="4320"/>
        <w:tab w:val="clear" w:pos="8640"/>
        <w:tab w:val="center" w:pos="4680"/>
        <w:tab w:val="right" w:pos="9360"/>
      </w:tabs>
      <w:rPr>
        <w:szCs w:val="22"/>
        <w:u w:val="single"/>
      </w:rPr>
    </w:pPr>
    <w:r>
      <w:rPr>
        <w:szCs w:val="22"/>
        <w:u w:val="single"/>
      </w:rPr>
      <w:tab/>
      <w:t>Federal Communications Commission</w:t>
    </w:r>
    <w:r>
      <w:rPr>
        <w:szCs w:val="22"/>
        <w:u w:val="single"/>
      </w:rPr>
      <w:tab/>
      <w:t xml:space="preserve">  DA </w:t>
    </w:r>
    <w:r w:rsidR="003451CA">
      <w:rPr>
        <w:szCs w:val="22"/>
        <w:u w:val="single"/>
      </w:rPr>
      <w:t>15-</w:t>
    </w:r>
    <w:r w:rsidR="00FB5B56">
      <w:rPr>
        <w:szCs w:val="22"/>
        <w:u w:val="single"/>
      </w:rPr>
      <w:t>1125</w:t>
    </w:r>
  </w:p>
  <w:p w:rsidR="00B60297" w:rsidRDefault="00B60297">
    <w:pPr>
      <w:pStyle w:val="FirstPageHeader"/>
      <w:tabs>
        <w:tab w:val="clear" w:pos="4320"/>
        <w:tab w:val="clear" w:pos="8640"/>
        <w:tab w:val="center" w:pos="4680"/>
        <w:tab w:val="right" w:pos="9360"/>
      </w:tabs>
      <w:rPr>
        <w:b w:val="0"/>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297" w:rsidRDefault="00B60297">
    <w:pPr>
      <w:pStyle w:val="FirstPageHeader"/>
      <w:tabs>
        <w:tab w:val="clear" w:pos="4320"/>
        <w:tab w:val="clear" w:pos="8640"/>
        <w:tab w:val="center" w:pos="4680"/>
        <w:tab w:val="right" w:pos="9360"/>
      </w:tabs>
      <w:rPr>
        <w:szCs w:val="22"/>
        <w:u w:val="single"/>
      </w:rPr>
    </w:pPr>
    <w:r>
      <w:rPr>
        <w:szCs w:val="22"/>
        <w:u w:val="single"/>
      </w:rPr>
      <w:tab/>
      <w:t>Federal Communications Commission</w:t>
    </w:r>
    <w:r>
      <w:rPr>
        <w:szCs w:val="22"/>
        <w:u w:val="single"/>
      </w:rPr>
      <w:tab/>
      <w:t xml:space="preserve">   DA </w:t>
    </w:r>
    <w:r>
      <w:rPr>
        <w:szCs w:val="22"/>
        <w:u w:val="single"/>
      </w:rPr>
      <w:fldChar w:fldCharType="begin"/>
    </w:r>
    <w:r>
      <w:rPr>
        <w:szCs w:val="22"/>
        <w:u w:val="single"/>
      </w:rPr>
      <w:instrText xml:space="preserve"> AUTOTEXTLIST  \* MERGEFORMAT </w:instrText>
    </w:r>
    <w:r>
      <w:rPr>
        <w:szCs w:val="22"/>
        <w:u w:val="single"/>
      </w:rPr>
      <w:fldChar w:fldCharType="end"/>
    </w:r>
    <w:r>
      <w:rPr>
        <w:szCs w:val="22"/>
        <w:u w:val="single"/>
      </w:rPr>
      <w:fldChar w:fldCharType="begin"/>
    </w:r>
    <w:r>
      <w:rPr>
        <w:szCs w:val="22"/>
        <w:u w:val="single"/>
      </w:rPr>
      <w:instrText xml:space="preserve"> AUTOTEXTLIST  \* MERGEFORMAT </w:instrText>
    </w:r>
    <w:r>
      <w:rPr>
        <w:szCs w:val="22"/>
        <w:u w:val="single"/>
      </w:rPr>
      <w:fldChar w:fldCharType="end"/>
    </w:r>
    <w:r w:rsidR="00A72E81">
      <w:rPr>
        <w:szCs w:val="22"/>
        <w:u w:val="single"/>
      </w:rPr>
      <w:t>15-</w:t>
    </w:r>
    <w:r w:rsidR="00FB5B56">
      <w:rPr>
        <w:szCs w:val="22"/>
        <w:u w:val="single"/>
      </w:rPr>
      <w:t>1125</w:t>
    </w:r>
  </w:p>
  <w:p w:rsidR="00B60297" w:rsidRDefault="00B60297">
    <w:pPr>
      <w:pStyle w:val="FirstPageHeader"/>
      <w:tabs>
        <w:tab w:val="clear" w:pos="4320"/>
        <w:tab w:val="clear" w:pos="8640"/>
        <w:tab w:val="center" w:pos="4680"/>
        <w:tab w:val="right" w:pos="9360"/>
      </w:tabs>
      <w:rPr>
        <w:b w:val="0"/>
        <w:i/>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numPicBullet w:numPicBulletId="1">
    <w:pict>
      <v:shape id="_x0000_i1030" type="#_x0000_t75" style="width:3in;height:3in" o:bullet="t"/>
    </w:pict>
  </w:numPicBullet>
  <w:numPicBullet w:numPicBulletId="2">
    <w:pict>
      <v:shape id="_x0000_i1031" type="#_x0000_t75" style="width:3in;height:3in" o:bullet="t"/>
    </w:pict>
  </w:numPicBullet>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4313D6E"/>
    <w:multiLevelType w:val="hybridMultilevel"/>
    <w:tmpl w:val="C772E1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C06B25"/>
    <w:multiLevelType w:val="hybridMultilevel"/>
    <w:tmpl w:val="77125F5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C7610BE"/>
    <w:multiLevelType w:val="hybridMultilevel"/>
    <w:tmpl w:val="951E03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83705F"/>
    <w:multiLevelType w:val="hybridMultilevel"/>
    <w:tmpl w:val="C772E1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70750D"/>
    <w:multiLevelType w:val="hybridMultilevel"/>
    <w:tmpl w:val="9EB4DB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7">
    <w:nsid w:val="248246F3"/>
    <w:multiLevelType w:val="singleLevel"/>
    <w:tmpl w:val="B1F45678"/>
    <w:lvl w:ilvl="0">
      <w:start w:val="1"/>
      <w:numFmt w:val="decimal"/>
      <w:lvlText w:val="%1."/>
      <w:lvlJc w:val="left"/>
      <w:pPr>
        <w:tabs>
          <w:tab w:val="num" w:pos="1080"/>
        </w:tabs>
        <w:ind w:left="0" w:firstLine="720"/>
      </w:pPr>
    </w:lvl>
  </w:abstractNum>
  <w:abstractNum w:abstractNumId="8">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9">
    <w:nsid w:val="36D83D08"/>
    <w:multiLevelType w:val="multilevel"/>
    <w:tmpl w:val="E0EECF8E"/>
    <w:lvl w:ilvl="0">
      <w:start w:val="1"/>
      <w:numFmt w:val="upperRoman"/>
      <w:suff w:val="nothing"/>
      <w:lvlText w:val="%1.  "/>
      <w:lvlJc w:val="left"/>
      <w:pPr>
        <w:ind w:left="0" w:firstLine="0"/>
      </w:pPr>
      <w:rPr>
        <w:rFonts w:ascii="Times New Roman" w:hAnsi="Times New Roman" w:hint="default"/>
        <w:b/>
        <w:i w:val="0"/>
        <w:sz w:val="22"/>
      </w:rPr>
    </w:lvl>
    <w:lvl w:ilvl="1">
      <w:start w:val="1"/>
      <w:numFmt w:val="upperLetter"/>
      <w:lvlText w:val="%2."/>
      <w:lvlJc w:val="left"/>
      <w:pPr>
        <w:tabs>
          <w:tab w:val="num" w:pos="450"/>
        </w:tabs>
        <w:ind w:left="90" w:firstLine="0"/>
      </w:pPr>
    </w:lvl>
    <w:lvl w:ilvl="2">
      <w:start w:val="1"/>
      <w:numFmt w:val="decimal"/>
      <w:lvlRestart w:val="0"/>
      <w:pStyle w:val="Numberedparagraphs"/>
      <w:lvlText w:val="%3."/>
      <w:lvlJc w:val="left"/>
      <w:pPr>
        <w:tabs>
          <w:tab w:val="num" w:pos="1440"/>
        </w:tabs>
        <w:ind w:left="360" w:firstLine="720"/>
      </w:pPr>
      <w:rPr>
        <w:rFonts w:ascii="Times New Roman" w:hAnsi="Times New Roman" w:hint="default"/>
        <w:b w:val="0"/>
        <w:i w:val="0"/>
        <w:color w:val="auto"/>
        <w:sz w:val="22"/>
      </w:rPr>
    </w:lvl>
    <w:lvl w:ilvl="3">
      <w:start w:val="1"/>
      <w:numFmt w:val="lowerLetter"/>
      <w:lvlText w:val="%4)"/>
      <w:lvlJc w:val="left"/>
      <w:pPr>
        <w:tabs>
          <w:tab w:val="num" w:pos="2520"/>
        </w:tabs>
        <w:ind w:left="2160" w:firstLine="0"/>
      </w:pPr>
      <w:rPr>
        <w:rFonts w:ascii="Times New Roman" w:hAnsi="Times New Roman" w:cs="Times New Roman" w:hint="default"/>
      </w:r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0">
    <w:nsid w:val="3D0F1B3D"/>
    <w:multiLevelType w:val="singleLevel"/>
    <w:tmpl w:val="4DCCE696"/>
    <w:lvl w:ilvl="0">
      <w:start w:val="1"/>
      <w:numFmt w:val="decimal"/>
      <w:lvlText w:val="%1."/>
      <w:lvlJc w:val="left"/>
      <w:pPr>
        <w:tabs>
          <w:tab w:val="num" w:pos="1260"/>
        </w:tabs>
        <w:ind w:left="18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nsid w:val="3D540621"/>
    <w:multiLevelType w:val="singleLevel"/>
    <w:tmpl w:val="0409000F"/>
    <w:lvl w:ilvl="0">
      <w:start w:val="1"/>
      <w:numFmt w:val="decimal"/>
      <w:lvlText w:val="%1."/>
      <w:lvlJc w:val="left"/>
      <w:pPr>
        <w:tabs>
          <w:tab w:val="num" w:pos="360"/>
        </w:tabs>
        <w:ind w:left="360" w:hanging="360"/>
      </w:pPr>
    </w:lvl>
  </w:abstractNum>
  <w:abstractNum w:abstractNumId="12">
    <w:nsid w:val="46847DB3"/>
    <w:multiLevelType w:val="multilevel"/>
    <w:tmpl w:val="16900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4">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5">
    <w:nsid w:val="576E7052"/>
    <w:multiLevelType w:val="hybridMultilevel"/>
    <w:tmpl w:val="5C220A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7">
    <w:nsid w:val="64A30BA1"/>
    <w:multiLevelType w:val="hybridMultilevel"/>
    <w:tmpl w:val="8E9EA7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9"/>
  </w:num>
  <w:num w:numId="3">
    <w:abstractNumId w:val="14"/>
  </w:num>
  <w:num w:numId="4">
    <w:abstractNumId w:val="10"/>
  </w:num>
  <w:num w:numId="5">
    <w:abstractNumId w:val="16"/>
  </w:num>
  <w:num w:numId="6">
    <w:abstractNumId w:val="9"/>
    <w:lvlOverride w:ilvl="0">
      <w:startOverride w:val="1"/>
    </w:lvlOverride>
    <w:lvlOverride w:ilvl="1">
      <w:startOverride w:val="1"/>
    </w:lvlOverride>
    <w:lvlOverride w:ilvl="2">
      <w:startOverride w:val="1"/>
    </w:lvlOverride>
    <w:lvlOverride w:ilvl="3">
      <w:startOverride w:val="2"/>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2"/>
    </w:lvlOverride>
  </w:num>
  <w:num w:numId="8">
    <w:abstractNumId w:val="11"/>
  </w:num>
  <w:num w:numId="9">
    <w:abstractNumId w:val="9"/>
  </w:num>
  <w:num w:numId="10">
    <w:abstractNumId w:val="9"/>
  </w:num>
  <w:num w:numId="11">
    <w:abstractNumId w:val="9"/>
  </w:num>
  <w:num w:numId="12">
    <w:abstractNumId w:val="12"/>
  </w:num>
  <w:num w:numId="13">
    <w:abstractNumId w:val="6"/>
  </w:num>
  <w:num w:numId="14">
    <w:abstractNumId w:val="8"/>
  </w:num>
  <w:num w:numId="15">
    <w:abstractNumId w:val="13"/>
  </w:num>
  <w:num w:numId="16">
    <w:abstractNumId w:val="7"/>
  </w:num>
  <w:num w:numId="17">
    <w:abstractNumId w:val="0"/>
  </w:num>
  <w:num w:numId="18">
    <w:abstractNumId w:val="4"/>
  </w:num>
  <w:num w:numId="19">
    <w:abstractNumId w:val="17"/>
  </w:num>
  <w:num w:numId="20">
    <w:abstractNumId w:val="10"/>
    <w:lvlOverride w:ilvl="0">
      <w:startOverride w:val="1"/>
    </w:lvlOverride>
  </w:num>
  <w:num w:numId="21">
    <w:abstractNumId w:val="3"/>
  </w:num>
  <w:num w:numId="22">
    <w:abstractNumId w:val="2"/>
  </w:num>
  <w:num w:numId="23">
    <w:abstractNumId w:val="5"/>
  </w:num>
  <w:num w:numId="24">
    <w:abstractNumId w:val="15"/>
  </w:num>
  <w:num w:numId="2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DCA"/>
    <w:rsid w:val="00005551"/>
    <w:rsid w:val="00005622"/>
    <w:rsid w:val="000062D5"/>
    <w:rsid w:val="00011F85"/>
    <w:rsid w:val="00015606"/>
    <w:rsid w:val="00015C56"/>
    <w:rsid w:val="00016586"/>
    <w:rsid w:val="00020746"/>
    <w:rsid w:val="00020A27"/>
    <w:rsid w:val="00022EA1"/>
    <w:rsid w:val="0002323A"/>
    <w:rsid w:val="000249C7"/>
    <w:rsid w:val="000257A5"/>
    <w:rsid w:val="00025E4C"/>
    <w:rsid w:val="000261FA"/>
    <w:rsid w:val="00031B75"/>
    <w:rsid w:val="00033E79"/>
    <w:rsid w:val="00035286"/>
    <w:rsid w:val="0003752D"/>
    <w:rsid w:val="00041D77"/>
    <w:rsid w:val="00044E66"/>
    <w:rsid w:val="00050553"/>
    <w:rsid w:val="00050901"/>
    <w:rsid w:val="00054593"/>
    <w:rsid w:val="00056F73"/>
    <w:rsid w:val="0005734C"/>
    <w:rsid w:val="0006007C"/>
    <w:rsid w:val="00060BE5"/>
    <w:rsid w:val="00064E7B"/>
    <w:rsid w:val="00065516"/>
    <w:rsid w:val="00066A63"/>
    <w:rsid w:val="00070962"/>
    <w:rsid w:val="00071862"/>
    <w:rsid w:val="00071D30"/>
    <w:rsid w:val="0007205E"/>
    <w:rsid w:val="000725FA"/>
    <w:rsid w:val="00073A4E"/>
    <w:rsid w:val="00075407"/>
    <w:rsid w:val="00075E6F"/>
    <w:rsid w:val="00077161"/>
    <w:rsid w:val="000850B1"/>
    <w:rsid w:val="000868EF"/>
    <w:rsid w:val="000876F7"/>
    <w:rsid w:val="00087EDF"/>
    <w:rsid w:val="000965F6"/>
    <w:rsid w:val="0009740C"/>
    <w:rsid w:val="000A1913"/>
    <w:rsid w:val="000B1571"/>
    <w:rsid w:val="000B22B9"/>
    <w:rsid w:val="000C604C"/>
    <w:rsid w:val="000D0F56"/>
    <w:rsid w:val="000D43CB"/>
    <w:rsid w:val="000D7879"/>
    <w:rsid w:val="000E25A3"/>
    <w:rsid w:val="000E4E66"/>
    <w:rsid w:val="000E6B70"/>
    <w:rsid w:val="000E7601"/>
    <w:rsid w:val="00100320"/>
    <w:rsid w:val="00100E16"/>
    <w:rsid w:val="001034A4"/>
    <w:rsid w:val="00105C44"/>
    <w:rsid w:val="0011292E"/>
    <w:rsid w:val="00120AB5"/>
    <w:rsid w:val="00120F1B"/>
    <w:rsid w:val="00124E1C"/>
    <w:rsid w:val="00125837"/>
    <w:rsid w:val="00134EA7"/>
    <w:rsid w:val="00140601"/>
    <w:rsid w:val="001441C1"/>
    <w:rsid w:val="0015055D"/>
    <w:rsid w:val="0015481C"/>
    <w:rsid w:val="001550CA"/>
    <w:rsid w:val="00156BBD"/>
    <w:rsid w:val="00176F4C"/>
    <w:rsid w:val="001838BB"/>
    <w:rsid w:val="00186127"/>
    <w:rsid w:val="001873DE"/>
    <w:rsid w:val="001901E7"/>
    <w:rsid w:val="001927DE"/>
    <w:rsid w:val="001A32C1"/>
    <w:rsid w:val="001A4505"/>
    <w:rsid w:val="001A4828"/>
    <w:rsid w:val="001B2BBC"/>
    <w:rsid w:val="001B2CDD"/>
    <w:rsid w:val="001B4B75"/>
    <w:rsid w:val="001C0DDC"/>
    <w:rsid w:val="001C141A"/>
    <w:rsid w:val="001C24C9"/>
    <w:rsid w:val="001C402A"/>
    <w:rsid w:val="001C5A7D"/>
    <w:rsid w:val="001C5F8E"/>
    <w:rsid w:val="001D13A1"/>
    <w:rsid w:val="001D228A"/>
    <w:rsid w:val="001D2F34"/>
    <w:rsid w:val="001D7D77"/>
    <w:rsid w:val="001E79EC"/>
    <w:rsid w:val="001F64DB"/>
    <w:rsid w:val="00200A8B"/>
    <w:rsid w:val="00203605"/>
    <w:rsid w:val="002045B5"/>
    <w:rsid w:val="00207FC4"/>
    <w:rsid w:val="00211066"/>
    <w:rsid w:val="00216D17"/>
    <w:rsid w:val="002279DD"/>
    <w:rsid w:val="00233CD6"/>
    <w:rsid w:val="00235833"/>
    <w:rsid w:val="0024505D"/>
    <w:rsid w:val="0024625A"/>
    <w:rsid w:val="0025072E"/>
    <w:rsid w:val="002517EF"/>
    <w:rsid w:val="002536A7"/>
    <w:rsid w:val="0025440C"/>
    <w:rsid w:val="00260FDA"/>
    <w:rsid w:val="00262967"/>
    <w:rsid w:val="002661D3"/>
    <w:rsid w:val="00267B97"/>
    <w:rsid w:val="002717B9"/>
    <w:rsid w:val="00276EE2"/>
    <w:rsid w:val="0028042A"/>
    <w:rsid w:val="00282049"/>
    <w:rsid w:val="00295305"/>
    <w:rsid w:val="002A054B"/>
    <w:rsid w:val="002A36C7"/>
    <w:rsid w:val="002A6FBA"/>
    <w:rsid w:val="002A72F3"/>
    <w:rsid w:val="002A7BA6"/>
    <w:rsid w:val="002B3483"/>
    <w:rsid w:val="002C03B5"/>
    <w:rsid w:val="002C4220"/>
    <w:rsid w:val="002C45F3"/>
    <w:rsid w:val="002C6F65"/>
    <w:rsid w:val="002C7BBB"/>
    <w:rsid w:val="002D17AE"/>
    <w:rsid w:val="002D6FB2"/>
    <w:rsid w:val="002E0528"/>
    <w:rsid w:val="002E2716"/>
    <w:rsid w:val="002E298E"/>
    <w:rsid w:val="002F1946"/>
    <w:rsid w:val="002F1A88"/>
    <w:rsid w:val="002F2B99"/>
    <w:rsid w:val="002F2E99"/>
    <w:rsid w:val="002F308D"/>
    <w:rsid w:val="002F4C36"/>
    <w:rsid w:val="002F5B7C"/>
    <w:rsid w:val="002F6E27"/>
    <w:rsid w:val="002F7D95"/>
    <w:rsid w:val="00300A32"/>
    <w:rsid w:val="003014D0"/>
    <w:rsid w:val="00301E14"/>
    <w:rsid w:val="003030D2"/>
    <w:rsid w:val="00307585"/>
    <w:rsid w:val="00307D6F"/>
    <w:rsid w:val="00310653"/>
    <w:rsid w:val="00312DB5"/>
    <w:rsid w:val="00315218"/>
    <w:rsid w:val="00317AD5"/>
    <w:rsid w:val="0032514D"/>
    <w:rsid w:val="003314A7"/>
    <w:rsid w:val="0033269D"/>
    <w:rsid w:val="0033533F"/>
    <w:rsid w:val="0034481D"/>
    <w:rsid w:val="00344DBC"/>
    <w:rsid w:val="003451CA"/>
    <w:rsid w:val="003459C0"/>
    <w:rsid w:val="00347380"/>
    <w:rsid w:val="00350544"/>
    <w:rsid w:val="00350C8B"/>
    <w:rsid w:val="0035275C"/>
    <w:rsid w:val="00353E79"/>
    <w:rsid w:val="00356998"/>
    <w:rsid w:val="0036600C"/>
    <w:rsid w:val="00370751"/>
    <w:rsid w:val="0037229B"/>
    <w:rsid w:val="00373FF1"/>
    <w:rsid w:val="0037562D"/>
    <w:rsid w:val="00377ACE"/>
    <w:rsid w:val="00381C35"/>
    <w:rsid w:val="00383A1D"/>
    <w:rsid w:val="00391520"/>
    <w:rsid w:val="003953C9"/>
    <w:rsid w:val="003959F7"/>
    <w:rsid w:val="00395DBE"/>
    <w:rsid w:val="00397F26"/>
    <w:rsid w:val="003A0389"/>
    <w:rsid w:val="003A4E18"/>
    <w:rsid w:val="003A4E43"/>
    <w:rsid w:val="003B2DCA"/>
    <w:rsid w:val="003B4CDA"/>
    <w:rsid w:val="003B507D"/>
    <w:rsid w:val="003B7A59"/>
    <w:rsid w:val="003C1B56"/>
    <w:rsid w:val="003C25BB"/>
    <w:rsid w:val="003C6E95"/>
    <w:rsid w:val="003D121A"/>
    <w:rsid w:val="003D5E23"/>
    <w:rsid w:val="003E328B"/>
    <w:rsid w:val="003E533C"/>
    <w:rsid w:val="003E5CE4"/>
    <w:rsid w:val="003F21BA"/>
    <w:rsid w:val="003F27A5"/>
    <w:rsid w:val="003F2824"/>
    <w:rsid w:val="003F32A8"/>
    <w:rsid w:val="003F437A"/>
    <w:rsid w:val="003F43FB"/>
    <w:rsid w:val="004016A3"/>
    <w:rsid w:val="00404094"/>
    <w:rsid w:val="004065E5"/>
    <w:rsid w:val="00406FFB"/>
    <w:rsid w:val="00413302"/>
    <w:rsid w:val="00415B88"/>
    <w:rsid w:val="00423C1B"/>
    <w:rsid w:val="004242CF"/>
    <w:rsid w:val="0043045F"/>
    <w:rsid w:val="00433574"/>
    <w:rsid w:val="004337B7"/>
    <w:rsid w:val="004364DB"/>
    <w:rsid w:val="0043745F"/>
    <w:rsid w:val="0044037E"/>
    <w:rsid w:val="004440BF"/>
    <w:rsid w:val="004513DA"/>
    <w:rsid w:val="0045563D"/>
    <w:rsid w:val="00460DBE"/>
    <w:rsid w:val="004622A6"/>
    <w:rsid w:val="00462801"/>
    <w:rsid w:val="0047492B"/>
    <w:rsid w:val="0048199C"/>
    <w:rsid w:val="004821C0"/>
    <w:rsid w:val="00483CA5"/>
    <w:rsid w:val="00492B3B"/>
    <w:rsid w:val="00493623"/>
    <w:rsid w:val="004A0A58"/>
    <w:rsid w:val="004A2B69"/>
    <w:rsid w:val="004A3117"/>
    <w:rsid w:val="004A36B7"/>
    <w:rsid w:val="004A4B03"/>
    <w:rsid w:val="004A7257"/>
    <w:rsid w:val="004B00EA"/>
    <w:rsid w:val="004B254E"/>
    <w:rsid w:val="004B4F79"/>
    <w:rsid w:val="004C0651"/>
    <w:rsid w:val="004C07D5"/>
    <w:rsid w:val="004C177C"/>
    <w:rsid w:val="004C4BB1"/>
    <w:rsid w:val="004C6F33"/>
    <w:rsid w:val="004D41FE"/>
    <w:rsid w:val="004D4E1C"/>
    <w:rsid w:val="004E02F5"/>
    <w:rsid w:val="004E09E3"/>
    <w:rsid w:val="004E7371"/>
    <w:rsid w:val="004F19B1"/>
    <w:rsid w:val="004F483F"/>
    <w:rsid w:val="004F552D"/>
    <w:rsid w:val="004F67FE"/>
    <w:rsid w:val="004F7690"/>
    <w:rsid w:val="004F7DD1"/>
    <w:rsid w:val="005001BA"/>
    <w:rsid w:val="00501F3A"/>
    <w:rsid w:val="0050387C"/>
    <w:rsid w:val="005064F5"/>
    <w:rsid w:val="00511512"/>
    <w:rsid w:val="00511802"/>
    <w:rsid w:val="0051198A"/>
    <w:rsid w:val="00513358"/>
    <w:rsid w:val="00513893"/>
    <w:rsid w:val="00513BED"/>
    <w:rsid w:val="00521B3D"/>
    <w:rsid w:val="00522E50"/>
    <w:rsid w:val="00530A2B"/>
    <w:rsid w:val="00531525"/>
    <w:rsid w:val="005351D2"/>
    <w:rsid w:val="005353E4"/>
    <w:rsid w:val="00540E1D"/>
    <w:rsid w:val="00541B1C"/>
    <w:rsid w:val="0055138F"/>
    <w:rsid w:val="0055254B"/>
    <w:rsid w:val="00553B57"/>
    <w:rsid w:val="00554E11"/>
    <w:rsid w:val="005636B4"/>
    <w:rsid w:val="00566CD7"/>
    <w:rsid w:val="00576F62"/>
    <w:rsid w:val="00577C43"/>
    <w:rsid w:val="005832BC"/>
    <w:rsid w:val="005A173B"/>
    <w:rsid w:val="005A2A2D"/>
    <w:rsid w:val="005A4C5E"/>
    <w:rsid w:val="005A6393"/>
    <w:rsid w:val="005B0DE1"/>
    <w:rsid w:val="005B1E97"/>
    <w:rsid w:val="005B1FE4"/>
    <w:rsid w:val="005B3BD0"/>
    <w:rsid w:val="005B49D1"/>
    <w:rsid w:val="005C133B"/>
    <w:rsid w:val="005C6713"/>
    <w:rsid w:val="005D2348"/>
    <w:rsid w:val="005D7372"/>
    <w:rsid w:val="005D7A0F"/>
    <w:rsid w:val="005D7B0C"/>
    <w:rsid w:val="005E3B2E"/>
    <w:rsid w:val="005E432E"/>
    <w:rsid w:val="005E4EB0"/>
    <w:rsid w:val="005E591A"/>
    <w:rsid w:val="005E5B97"/>
    <w:rsid w:val="005F3895"/>
    <w:rsid w:val="005F3936"/>
    <w:rsid w:val="005F609B"/>
    <w:rsid w:val="005F6225"/>
    <w:rsid w:val="005F6BD7"/>
    <w:rsid w:val="005F7F07"/>
    <w:rsid w:val="00600AFA"/>
    <w:rsid w:val="00603124"/>
    <w:rsid w:val="00606F52"/>
    <w:rsid w:val="00607E31"/>
    <w:rsid w:val="006111F9"/>
    <w:rsid w:val="0062063B"/>
    <w:rsid w:val="0062116C"/>
    <w:rsid w:val="00631411"/>
    <w:rsid w:val="00632501"/>
    <w:rsid w:val="00635F1A"/>
    <w:rsid w:val="00641408"/>
    <w:rsid w:val="006432E7"/>
    <w:rsid w:val="00644D5B"/>
    <w:rsid w:val="00651A07"/>
    <w:rsid w:val="006539BD"/>
    <w:rsid w:val="00653BEA"/>
    <w:rsid w:val="006549E9"/>
    <w:rsid w:val="006556DC"/>
    <w:rsid w:val="00655FCB"/>
    <w:rsid w:val="00656F54"/>
    <w:rsid w:val="0066192E"/>
    <w:rsid w:val="00661CF3"/>
    <w:rsid w:val="00662777"/>
    <w:rsid w:val="00662F5E"/>
    <w:rsid w:val="00667139"/>
    <w:rsid w:val="00667CDF"/>
    <w:rsid w:val="00682272"/>
    <w:rsid w:val="006925F2"/>
    <w:rsid w:val="00695EBF"/>
    <w:rsid w:val="006A07EB"/>
    <w:rsid w:val="006A4470"/>
    <w:rsid w:val="006B5900"/>
    <w:rsid w:val="006C0CA8"/>
    <w:rsid w:val="006C4EB5"/>
    <w:rsid w:val="006C57AF"/>
    <w:rsid w:val="006C5A08"/>
    <w:rsid w:val="006C7B74"/>
    <w:rsid w:val="006C7DDE"/>
    <w:rsid w:val="006D6B63"/>
    <w:rsid w:val="006D7AF7"/>
    <w:rsid w:val="006E3E78"/>
    <w:rsid w:val="006E543D"/>
    <w:rsid w:val="006F7CEA"/>
    <w:rsid w:val="0070187A"/>
    <w:rsid w:val="0070443B"/>
    <w:rsid w:val="007064C0"/>
    <w:rsid w:val="00707A87"/>
    <w:rsid w:val="007100E2"/>
    <w:rsid w:val="007119BC"/>
    <w:rsid w:val="0071237A"/>
    <w:rsid w:val="00717A8C"/>
    <w:rsid w:val="007222C0"/>
    <w:rsid w:val="00730E7F"/>
    <w:rsid w:val="00740106"/>
    <w:rsid w:val="0074453B"/>
    <w:rsid w:val="007460BB"/>
    <w:rsid w:val="00746232"/>
    <w:rsid w:val="00746ACC"/>
    <w:rsid w:val="0075192D"/>
    <w:rsid w:val="00755C65"/>
    <w:rsid w:val="007560DB"/>
    <w:rsid w:val="00760104"/>
    <w:rsid w:val="0076038A"/>
    <w:rsid w:val="00766F25"/>
    <w:rsid w:val="00767191"/>
    <w:rsid w:val="007715C3"/>
    <w:rsid w:val="00773738"/>
    <w:rsid w:val="00781FB3"/>
    <w:rsid w:val="0078234C"/>
    <w:rsid w:val="00783556"/>
    <w:rsid w:val="00783A3B"/>
    <w:rsid w:val="007841E3"/>
    <w:rsid w:val="0078440B"/>
    <w:rsid w:val="0078721B"/>
    <w:rsid w:val="007959CD"/>
    <w:rsid w:val="00796438"/>
    <w:rsid w:val="007A51A3"/>
    <w:rsid w:val="007A774B"/>
    <w:rsid w:val="007B11EF"/>
    <w:rsid w:val="007B1A5B"/>
    <w:rsid w:val="007B479B"/>
    <w:rsid w:val="007B69F2"/>
    <w:rsid w:val="007C30BF"/>
    <w:rsid w:val="007C46DC"/>
    <w:rsid w:val="007C5276"/>
    <w:rsid w:val="007C78ED"/>
    <w:rsid w:val="007D0060"/>
    <w:rsid w:val="007D06A9"/>
    <w:rsid w:val="007D2DAF"/>
    <w:rsid w:val="007D7DBD"/>
    <w:rsid w:val="007E0F27"/>
    <w:rsid w:val="007E2959"/>
    <w:rsid w:val="007E3E89"/>
    <w:rsid w:val="007E4F40"/>
    <w:rsid w:val="007F1181"/>
    <w:rsid w:val="007F3181"/>
    <w:rsid w:val="007F350A"/>
    <w:rsid w:val="007F7160"/>
    <w:rsid w:val="007F72A7"/>
    <w:rsid w:val="007F72A8"/>
    <w:rsid w:val="007F7697"/>
    <w:rsid w:val="00802451"/>
    <w:rsid w:val="00804180"/>
    <w:rsid w:val="0081026D"/>
    <w:rsid w:val="00810624"/>
    <w:rsid w:val="00811307"/>
    <w:rsid w:val="0081155F"/>
    <w:rsid w:val="008115B6"/>
    <w:rsid w:val="00811800"/>
    <w:rsid w:val="00811DB0"/>
    <w:rsid w:val="00815D11"/>
    <w:rsid w:val="00817A11"/>
    <w:rsid w:val="00821316"/>
    <w:rsid w:val="0082365E"/>
    <w:rsid w:val="00823FFC"/>
    <w:rsid w:val="00827352"/>
    <w:rsid w:val="00830CDD"/>
    <w:rsid w:val="00832B0D"/>
    <w:rsid w:val="008345F2"/>
    <w:rsid w:val="00842A5C"/>
    <w:rsid w:val="00842DD4"/>
    <w:rsid w:val="00843A09"/>
    <w:rsid w:val="008449AD"/>
    <w:rsid w:val="00844A61"/>
    <w:rsid w:val="0084536F"/>
    <w:rsid w:val="00845647"/>
    <w:rsid w:val="00847FB8"/>
    <w:rsid w:val="00850ADF"/>
    <w:rsid w:val="00852026"/>
    <w:rsid w:val="00855064"/>
    <w:rsid w:val="00855E6D"/>
    <w:rsid w:val="008567D3"/>
    <w:rsid w:val="0086175C"/>
    <w:rsid w:val="0086373A"/>
    <w:rsid w:val="00863758"/>
    <w:rsid w:val="00867EC2"/>
    <w:rsid w:val="00873C72"/>
    <w:rsid w:val="00876D91"/>
    <w:rsid w:val="0088106D"/>
    <w:rsid w:val="008824A5"/>
    <w:rsid w:val="008917B2"/>
    <w:rsid w:val="008A17FB"/>
    <w:rsid w:val="008A2328"/>
    <w:rsid w:val="008A33A6"/>
    <w:rsid w:val="008A3E4A"/>
    <w:rsid w:val="008A5A7A"/>
    <w:rsid w:val="008A698A"/>
    <w:rsid w:val="008A6B90"/>
    <w:rsid w:val="008A751B"/>
    <w:rsid w:val="008A7ACB"/>
    <w:rsid w:val="008C0006"/>
    <w:rsid w:val="008C0DF5"/>
    <w:rsid w:val="008C31CC"/>
    <w:rsid w:val="008D125B"/>
    <w:rsid w:val="008D21FF"/>
    <w:rsid w:val="008D2B93"/>
    <w:rsid w:val="008D4B5E"/>
    <w:rsid w:val="008D592E"/>
    <w:rsid w:val="008E1093"/>
    <w:rsid w:val="008E50C9"/>
    <w:rsid w:val="008E6C36"/>
    <w:rsid w:val="008F0D5F"/>
    <w:rsid w:val="008F122E"/>
    <w:rsid w:val="008F14C7"/>
    <w:rsid w:val="008F2504"/>
    <w:rsid w:val="008F484F"/>
    <w:rsid w:val="008F7B9B"/>
    <w:rsid w:val="008F7FEA"/>
    <w:rsid w:val="009003FB"/>
    <w:rsid w:val="00907431"/>
    <w:rsid w:val="00910EB2"/>
    <w:rsid w:val="00913F6C"/>
    <w:rsid w:val="009201C3"/>
    <w:rsid w:val="00924C62"/>
    <w:rsid w:val="00930739"/>
    <w:rsid w:val="00931D7C"/>
    <w:rsid w:val="009342DD"/>
    <w:rsid w:val="009366E1"/>
    <w:rsid w:val="009413CD"/>
    <w:rsid w:val="00943B64"/>
    <w:rsid w:val="00947DD7"/>
    <w:rsid w:val="00950C97"/>
    <w:rsid w:val="00951396"/>
    <w:rsid w:val="0095214C"/>
    <w:rsid w:val="009544EB"/>
    <w:rsid w:val="00955A4D"/>
    <w:rsid w:val="00957ED0"/>
    <w:rsid w:val="00964F60"/>
    <w:rsid w:val="0097071E"/>
    <w:rsid w:val="009709A2"/>
    <w:rsid w:val="009710CE"/>
    <w:rsid w:val="00972B3D"/>
    <w:rsid w:val="009737DF"/>
    <w:rsid w:val="0097565A"/>
    <w:rsid w:val="00976E4F"/>
    <w:rsid w:val="00981348"/>
    <w:rsid w:val="00984E31"/>
    <w:rsid w:val="00985927"/>
    <w:rsid w:val="009861AE"/>
    <w:rsid w:val="00991860"/>
    <w:rsid w:val="00992A3C"/>
    <w:rsid w:val="00995207"/>
    <w:rsid w:val="009A097F"/>
    <w:rsid w:val="009A0F8A"/>
    <w:rsid w:val="009A13C8"/>
    <w:rsid w:val="009A1BCB"/>
    <w:rsid w:val="009A3BEE"/>
    <w:rsid w:val="009B0DC2"/>
    <w:rsid w:val="009B1F7B"/>
    <w:rsid w:val="009B36A2"/>
    <w:rsid w:val="009B7550"/>
    <w:rsid w:val="009C3FCB"/>
    <w:rsid w:val="009D44CD"/>
    <w:rsid w:val="009E20C8"/>
    <w:rsid w:val="009E7694"/>
    <w:rsid w:val="009F11FC"/>
    <w:rsid w:val="009F4627"/>
    <w:rsid w:val="00A02284"/>
    <w:rsid w:val="00A03904"/>
    <w:rsid w:val="00A065A3"/>
    <w:rsid w:val="00A073DF"/>
    <w:rsid w:val="00A10281"/>
    <w:rsid w:val="00A106F7"/>
    <w:rsid w:val="00A10A1F"/>
    <w:rsid w:val="00A10E62"/>
    <w:rsid w:val="00A12B94"/>
    <w:rsid w:val="00A12CA4"/>
    <w:rsid w:val="00A138A0"/>
    <w:rsid w:val="00A25734"/>
    <w:rsid w:val="00A27975"/>
    <w:rsid w:val="00A33D8C"/>
    <w:rsid w:val="00A3570A"/>
    <w:rsid w:val="00A36C62"/>
    <w:rsid w:val="00A415AF"/>
    <w:rsid w:val="00A45BDB"/>
    <w:rsid w:val="00A6605E"/>
    <w:rsid w:val="00A66969"/>
    <w:rsid w:val="00A67B29"/>
    <w:rsid w:val="00A71140"/>
    <w:rsid w:val="00A72E81"/>
    <w:rsid w:val="00A76315"/>
    <w:rsid w:val="00A82445"/>
    <w:rsid w:val="00A935D2"/>
    <w:rsid w:val="00A94491"/>
    <w:rsid w:val="00A94DE9"/>
    <w:rsid w:val="00AA1FEA"/>
    <w:rsid w:val="00AA2D86"/>
    <w:rsid w:val="00AA3704"/>
    <w:rsid w:val="00AB058A"/>
    <w:rsid w:val="00AB0C43"/>
    <w:rsid w:val="00AB52CA"/>
    <w:rsid w:val="00AB7428"/>
    <w:rsid w:val="00AB7522"/>
    <w:rsid w:val="00AC2318"/>
    <w:rsid w:val="00AC7AAB"/>
    <w:rsid w:val="00AC7BB0"/>
    <w:rsid w:val="00AD1B4C"/>
    <w:rsid w:val="00AD640E"/>
    <w:rsid w:val="00AD7279"/>
    <w:rsid w:val="00AE1A94"/>
    <w:rsid w:val="00AE3201"/>
    <w:rsid w:val="00AE4D14"/>
    <w:rsid w:val="00AE5F99"/>
    <w:rsid w:val="00AE701A"/>
    <w:rsid w:val="00AF1E78"/>
    <w:rsid w:val="00AF24F8"/>
    <w:rsid w:val="00B0034C"/>
    <w:rsid w:val="00B00A69"/>
    <w:rsid w:val="00B02795"/>
    <w:rsid w:val="00B07012"/>
    <w:rsid w:val="00B0717D"/>
    <w:rsid w:val="00B172F3"/>
    <w:rsid w:val="00B20170"/>
    <w:rsid w:val="00B20570"/>
    <w:rsid w:val="00B25BC5"/>
    <w:rsid w:val="00B27923"/>
    <w:rsid w:val="00B34FDC"/>
    <w:rsid w:val="00B361EE"/>
    <w:rsid w:val="00B4221C"/>
    <w:rsid w:val="00B453B7"/>
    <w:rsid w:val="00B46459"/>
    <w:rsid w:val="00B51793"/>
    <w:rsid w:val="00B57DC5"/>
    <w:rsid w:val="00B60297"/>
    <w:rsid w:val="00B63B63"/>
    <w:rsid w:val="00B66A69"/>
    <w:rsid w:val="00B73CA0"/>
    <w:rsid w:val="00B772C2"/>
    <w:rsid w:val="00B77D36"/>
    <w:rsid w:val="00B80D29"/>
    <w:rsid w:val="00B833BD"/>
    <w:rsid w:val="00B85F12"/>
    <w:rsid w:val="00B873B2"/>
    <w:rsid w:val="00B874FC"/>
    <w:rsid w:val="00B939AD"/>
    <w:rsid w:val="00B94F18"/>
    <w:rsid w:val="00B95024"/>
    <w:rsid w:val="00B952C8"/>
    <w:rsid w:val="00B96A49"/>
    <w:rsid w:val="00BA050D"/>
    <w:rsid w:val="00BA08C5"/>
    <w:rsid w:val="00BA230C"/>
    <w:rsid w:val="00BA26F4"/>
    <w:rsid w:val="00BA7819"/>
    <w:rsid w:val="00BB04B1"/>
    <w:rsid w:val="00BB3023"/>
    <w:rsid w:val="00BB36DF"/>
    <w:rsid w:val="00BB3EA8"/>
    <w:rsid w:val="00BC1307"/>
    <w:rsid w:val="00BC1762"/>
    <w:rsid w:val="00BD14C3"/>
    <w:rsid w:val="00BD1B77"/>
    <w:rsid w:val="00BD5FFB"/>
    <w:rsid w:val="00BE20FC"/>
    <w:rsid w:val="00BE2274"/>
    <w:rsid w:val="00BE2610"/>
    <w:rsid w:val="00BF40A2"/>
    <w:rsid w:val="00C04CE5"/>
    <w:rsid w:val="00C13194"/>
    <w:rsid w:val="00C142DB"/>
    <w:rsid w:val="00C14790"/>
    <w:rsid w:val="00C163A2"/>
    <w:rsid w:val="00C20011"/>
    <w:rsid w:val="00C20467"/>
    <w:rsid w:val="00C22226"/>
    <w:rsid w:val="00C25A70"/>
    <w:rsid w:val="00C2715C"/>
    <w:rsid w:val="00C34033"/>
    <w:rsid w:val="00C412AF"/>
    <w:rsid w:val="00C44838"/>
    <w:rsid w:val="00C44FC0"/>
    <w:rsid w:val="00C45449"/>
    <w:rsid w:val="00C45B7C"/>
    <w:rsid w:val="00C465F5"/>
    <w:rsid w:val="00C501DA"/>
    <w:rsid w:val="00C508DD"/>
    <w:rsid w:val="00C56CC3"/>
    <w:rsid w:val="00C60D2A"/>
    <w:rsid w:val="00C61AE0"/>
    <w:rsid w:val="00C641DE"/>
    <w:rsid w:val="00C65729"/>
    <w:rsid w:val="00C7325C"/>
    <w:rsid w:val="00C7401C"/>
    <w:rsid w:val="00C82EFE"/>
    <w:rsid w:val="00C912B2"/>
    <w:rsid w:val="00C913ED"/>
    <w:rsid w:val="00C91E16"/>
    <w:rsid w:val="00C92FA9"/>
    <w:rsid w:val="00C93EF4"/>
    <w:rsid w:val="00CA2BA0"/>
    <w:rsid w:val="00CA409B"/>
    <w:rsid w:val="00CA5E54"/>
    <w:rsid w:val="00CA6C05"/>
    <w:rsid w:val="00CB26D4"/>
    <w:rsid w:val="00CC2550"/>
    <w:rsid w:val="00CC48B9"/>
    <w:rsid w:val="00CC4C43"/>
    <w:rsid w:val="00CC674E"/>
    <w:rsid w:val="00CD2936"/>
    <w:rsid w:val="00CD403C"/>
    <w:rsid w:val="00CD49FB"/>
    <w:rsid w:val="00CE414D"/>
    <w:rsid w:val="00CE4C2C"/>
    <w:rsid w:val="00CE73E9"/>
    <w:rsid w:val="00CE7C59"/>
    <w:rsid w:val="00CF283C"/>
    <w:rsid w:val="00CF2B7F"/>
    <w:rsid w:val="00CF3D53"/>
    <w:rsid w:val="00CF68A4"/>
    <w:rsid w:val="00D01610"/>
    <w:rsid w:val="00D01D69"/>
    <w:rsid w:val="00D05C5E"/>
    <w:rsid w:val="00D077CB"/>
    <w:rsid w:val="00D24520"/>
    <w:rsid w:val="00D25966"/>
    <w:rsid w:val="00D30EA9"/>
    <w:rsid w:val="00D31131"/>
    <w:rsid w:val="00D33833"/>
    <w:rsid w:val="00D43EEE"/>
    <w:rsid w:val="00D43F3D"/>
    <w:rsid w:val="00D4622B"/>
    <w:rsid w:val="00D470C0"/>
    <w:rsid w:val="00D53F15"/>
    <w:rsid w:val="00D56268"/>
    <w:rsid w:val="00D57036"/>
    <w:rsid w:val="00D6012B"/>
    <w:rsid w:val="00D64A04"/>
    <w:rsid w:val="00D66B01"/>
    <w:rsid w:val="00D675C5"/>
    <w:rsid w:val="00D70EF1"/>
    <w:rsid w:val="00D723F8"/>
    <w:rsid w:val="00D81731"/>
    <w:rsid w:val="00D823C9"/>
    <w:rsid w:val="00D83B85"/>
    <w:rsid w:val="00D846F4"/>
    <w:rsid w:val="00D85215"/>
    <w:rsid w:val="00D85A5C"/>
    <w:rsid w:val="00D866A7"/>
    <w:rsid w:val="00D91B19"/>
    <w:rsid w:val="00D9541B"/>
    <w:rsid w:val="00DA2E70"/>
    <w:rsid w:val="00DA4F2C"/>
    <w:rsid w:val="00DA6402"/>
    <w:rsid w:val="00DA74C7"/>
    <w:rsid w:val="00DB1DB3"/>
    <w:rsid w:val="00DB2B24"/>
    <w:rsid w:val="00DB50F3"/>
    <w:rsid w:val="00DB6728"/>
    <w:rsid w:val="00DC005B"/>
    <w:rsid w:val="00DC11B1"/>
    <w:rsid w:val="00DC5900"/>
    <w:rsid w:val="00DC7FE0"/>
    <w:rsid w:val="00DD0376"/>
    <w:rsid w:val="00DD23CC"/>
    <w:rsid w:val="00DD40FC"/>
    <w:rsid w:val="00DD6688"/>
    <w:rsid w:val="00DE0046"/>
    <w:rsid w:val="00DE1139"/>
    <w:rsid w:val="00DE224E"/>
    <w:rsid w:val="00DE2B95"/>
    <w:rsid w:val="00DF1376"/>
    <w:rsid w:val="00DF5647"/>
    <w:rsid w:val="00DF65BF"/>
    <w:rsid w:val="00E00903"/>
    <w:rsid w:val="00E10E4F"/>
    <w:rsid w:val="00E157A2"/>
    <w:rsid w:val="00E22047"/>
    <w:rsid w:val="00E240E4"/>
    <w:rsid w:val="00E258AA"/>
    <w:rsid w:val="00E325EF"/>
    <w:rsid w:val="00E35718"/>
    <w:rsid w:val="00E407DC"/>
    <w:rsid w:val="00E42DE3"/>
    <w:rsid w:val="00E456E1"/>
    <w:rsid w:val="00E45E21"/>
    <w:rsid w:val="00E461C8"/>
    <w:rsid w:val="00E51D85"/>
    <w:rsid w:val="00E55BE6"/>
    <w:rsid w:val="00E604BF"/>
    <w:rsid w:val="00E6150F"/>
    <w:rsid w:val="00E65A2B"/>
    <w:rsid w:val="00E65FD3"/>
    <w:rsid w:val="00E72BC6"/>
    <w:rsid w:val="00E74C4A"/>
    <w:rsid w:val="00E77EE5"/>
    <w:rsid w:val="00E81088"/>
    <w:rsid w:val="00E82B33"/>
    <w:rsid w:val="00E8338B"/>
    <w:rsid w:val="00E8367A"/>
    <w:rsid w:val="00E85903"/>
    <w:rsid w:val="00E8595B"/>
    <w:rsid w:val="00E90EAD"/>
    <w:rsid w:val="00E91D57"/>
    <w:rsid w:val="00E957FE"/>
    <w:rsid w:val="00E958C8"/>
    <w:rsid w:val="00EA0B8A"/>
    <w:rsid w:val="00EA2539"/>
    <w:rsid w:val="00EA756D"/>
    <w:rsid w:val="00EB03BA"/>
    <w:rsid w:val="00EB1A50"/>
    <w:rsid w:val="00EB1C98"/>
    <w:rsid w:val="00EB2996"/>
    <w:rsid w:val="00EB2BFA"/>
    <w:rsid w:val="00EB2C9A"/>
    <w:rsid w:val="00EB683B"/>
    <w:rsid w:val="00EC16D2"/>
    <w:rsid w:val="00EC2F01"/>
    <w:rsid w:val="00EC6AF9"/>
    <w:rsid w:val="00EC7BB4"/>
    <w:rsid w:val="00ED1DF4"/>
    <w:rsid w:val="00ED2F21"/>
    <w:rsid w:val="00ED3E6E"/>
    <w:rsid w:val="00EE2072"/>
    <w:rsid w:val="00EE3BB5"/>
    <w:rsid w:val="00EE5AA4"/>
    <w:rsid w:val="00EF497D"/>
    <w:rsid w:val="00EF778A"/>
    <w:rsid w:val="00F01E03"/>
    <w:rsid w:val="00F033D5"/>
    <w:rsid w:val="00F06A79"/>
    <w:rsid w:val="00F077BD"/>
    <w:rsid w:val="00F1029E"/>
    <w:rsid w:val="00F12366"/>
    <w:rsid w:val="00F1348C"/>
    <w:rsid w:val="00F13D72"/>
    <w:rsid w:val="00F20441"/>
    <w:rsid w:val="00F22835"/>
    <w:rsid w:val="00F241AA"/>
    <w:rsid w:val="00F24DF9"/>
    <w:rsid w:val="00F2514B"/>
    <w:rsid w:val="00F27510"/>
    <w:rsid w:val="00F31578"/>
    <w:rsid w:val="00F36520"/>
    <w:rsid w:val="00F366A3"/>
    <w:rsid w:val="00F37188"/>
    <w:rsid w:val="00F42E47"/>
    <w:rsid w:val="00F43675"/>
    <w:rsid w:val="00F50F87"/>
    <w:rsid w:val="00F51329"/>
    <w:rsid w:val="00F53858"/>
    <w:rsid w:val="00F5440D"/>
    <w:rsid w:val="00F55F47"/>
    <w:rsid w:val="00F57C48"/>
    <w:rsid w:val="00F60354"/>
    <w:rsid w:val="00F63397"/>
    <w:rsid w:val="00F64595"/>
    <w:rsid w:val="00F6628B"/>
    <w:rsid w:val="00F674DE"/>
    <w:rsid w:val="00F76B2C"/>
    <w:rsid w:val="00F76B4B"/>
    <w:rsid w:val="00F80411"/>
    <w:rsid w:val="00F80FEE"/>
    <w:rsid w:val="00F93F8B"/>
    <w:rsid w:val="00F9490D"/>
    <w:rsid w:val="00FA02A6"/>
    <w:rsid w:val="00FA0E57"/>
    <w:rsid w:val="00FA0FBE"/>
    <w:rsid w:val="00FA2FC9"/>
    <w:rsid w:val="00FA44EA"/>
    <w:rsid w:val="00FA4B85"/>
    <w:rsid w:val="00FA5FE2"/>
    <w:rsid w:val="00FA7018"/>
    <w:rsid w:val="00FB1A38"/>
    <w:rsid w:val="00FB1DE5"/>
    <w:rsid w:val="00FB58E4"/>
    <w:rsid w:val="00FB5B56"/>
    <w:rsid w:val="00FB6FAF"/>
    <w:rsid w:val="00FB7508"/>
    <w:rsid w:val="00FC7316"/>
    <w:rsid w:val="00FC7DAD"/>
    <w:rsid w:val="00FD26CD"/>
    <w:rsid w:val="00FD6290"/>
    <w:rsid w:val="00FE0941"/>
    <w:rsid w:val="00FE0DAD"/>
    <w:rsid w:val="00FE2FAD"/>
    <w:rsid w:val="00FF30C9"/>
    <w:rsid w:val="00FF420F"/>
    <w:rsid w:val="00FF69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0F1B"/>
    <w:pPr>
      <w:widowControl w:val="0"/>
    </w:pPr>
    <w:rPr>
      <w:snapToGrid w:val="0"/>
      <w:kern w:val="28"/>
      <w:sz w:val="22"/>
    </w:rPr>
  </w:style>
  <w:style w:type="paragraph" w:styleId="Heading1">
    <w:name w:val="heading 1"/>
    <w:basedOn w:val="Normal"/>
    <w:next w:val="ParaNum"/>
    <w:qFormat/>
    <w:rsid w:val="00120F1B"/>
    <w:pPr>
      <w:keepNext/>
      <w:numPr>
        <w:numId w:val="14"/>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120F1B"/>
    <w:pPr>
      <w:keepNext/>
      <w:numPr>
        <w:ilvl w:val="1"/>
        <w:numId w:val="14"/>
      </w:numPr>
      <w:spacing w:after="120"/>
      <w:outlineLvl w:val="1"/>
    </w:pPr>
    <w:rPr>
      <w:b/>
    </w:rPr>
  </w:style>
  <w:style w:type="paragraph" w:styleId="Heading3">
    <w:name w:val="heading 3"/>
    <w:basedOn w:val="Normal"/>
    <w:next w:val="ParaNum"/>
    <w:qFormat/>
    <w:rsid w:val="00120F1B"/>
    <w:pPr>
      <w:keepNext/>
      <w:numPr>
        <w:ilvl w:val="2"/>
        <w:numId w:val="14"/>
      </w:numPr>
      <w:tabs>
        <w:tab w:val="left" w:pos="2160"/>
      </w:tabs>
      <w:spacing w:after="120"/>
      <w:outlineLvl w:val="2"/>
    </w:pPr>
    <w:rPr>
      <w:b/>
    </w:rPr>
  </w:style>
  <w:style w:type="paragraph" w:styleId="Heading4">
    <w:name w:val="heading 4"/>
    <w:basedOn w:val="Normal"/>
    <w:next w:val="ParaNum"/>
    <w:qFormat/>
    <w:rsid w:val="00120F1B"/>
    <w:pPr>
      <w:keepNext/>
      <w:numPr>
        <w:ilvl w:val="3"/>
        <w:numId w:val="14"/>
      </w:numPr>
      <w:tabs>
        <w:tab w:val="left" w:pos="2880"/>
      </w:tabs>
      <w:spacing w:after="120"/>
      <w:outlineLvl w:val="3"/>
    </w:pPr>
    <w:rPr>
      <w:b/>
    </w:rPr>
  </w:style>
  <w:style w:type="paragraph" w:styleId="Heading5">
    <w:name w:val="heading 5"/>
    <w:basedOn w:val="Normal"/>
    <w:next w:val="ParaNum"/>
    <w:qFormat/>
    <w:rsid w:val="00120F1B"/>
    <w:pPr>
      <w:keepNext/>
      <w:numPr>
        <w:ilvl w:val="4"/>
        <w:numId w:val="14"/>
      </w:numPr>
      <w:tabs>
        <w:tab w:val="left" w:pos="3600"/>
      </w:tabs>
      <w:suppressAutoHyphens/>
      <w:spacing w:after="120"/>
      <w:outlineLvl w:val="4"/>
    </w:pPr>
    <w:rPr>
      <w:b/>
    </w:rPr>
  </w:style>
  <w:style w:type="paragraph" w:styleId="Heading6">
    <w:name w:val="heading 6"/>
    <w:basedOn w:val="Normal"/>
    <w:next w:val="ParaNum"/>
    <w:qFormat/>
    <w:rsid w:val="00120F1B"/>
    <w:pPr>
      <w:numPr>
        <w:ilvl w:val="5"/>
        <w:numId w:val="14"/>
      </w:numPr>
      <w:tabs>
        <w:tab w:val="left" w:pos="4320"/>
      </w:tabs>
      <w:spacing w:after="120"/>
      <w:outlineLvl w:val="5"/>
    </w:pPr>
    <w:rPr>
      <w:b/>
    </w:rPr>
  </w:style>
  <w:style w:type="paragraph" w:styleId="Heading7">
    <w:name w:val="heading 7"/>
    <w:basedOn w:val="Normal"/>
    <w:next w:val="ParaNum"/>
    <w:qFormat/>
    <w:rsid w:val="00120F1B"/>
    <w:pPr>
      <w:numPr>
        <w:ilvl w:val="6"/>
        <w:numId w:val="14"/>
      </w:numPr>
      <w:tabs>
        <w:tab w:val="left" w:pos="5040"/>
      </w:tabs>
      <w:spacing w:after="120"/>
      <w:ind w:left="5040" w:hanging="720"/>
      <w:outlineLvl w:val="6"/>
    </w:pPr>
    <w:rPr>
      <w:b/>
    </w:rPr>
  </w:style>
  <w:style w:type="paragraph" w:styleId="Heading8">
    <w:name w:val="heading 8"/>
    <w:basedOn w:val="Normal"/>
    <w:next w:val="ParaNum"/>
    <w:qFormat/>
    <w:rsid w:val="00120F1B"/>
    <w:pPr>
      <w:numPr>
        <w:ilvl w:val="7"/>
        <w:numId w:val="14"/>
      </w:numPr>
      <w:tabs>
        <w:tab w:val="clear" w:pos="5400"/>
        <w:tab w:val="left" w:pos="5760"/>
      </w:tabs>
      <w:spacing w:after="120"/>
      <w:ind w:left="5760" w:hanging="720"/>
      <w:outlineLvl w:val="7"/>
    </w:pPr>
    <w:rPr>
      <w:b/>
    </w:rPr>
  </w:style>
  <w:style w:type="paragraph" w:styleId="Heading9">
    <w:name w:val="heading 9"/>
    <w:basedOn w:val="Normal"/>
    <w:next w:val="ParaNum"/>
    <w:qFormat/>
    <w:rsid w:val="00120F1B"/>
    <w:pPr>
      <w:numPr>
        <w:ilvl w:val="8"/>
        <w:numId w:val="14"/>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120F1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20F1B"/>
  </w:style>
  <w:style w:type="paragraph" w:styleId="Header">
    <w:name w:val="header"/>
    <w:basedOn w:val="Normal"/>
    <w:autoRedefine/>
    <w:rsid w:val="00120F1B"/>
    <w:pPr>
      <w:tabs>
        <w:tab w:val="center" w:pos="4680"/>
        <w:tab w:val="right" w:pos="9360"/>
      </w:tabs>
    </w:pPr>
    <w:rPr>
      <w:b/>
    </w:rPr>
  </w:style>
  <w:style w:type="paragraph" w:styleId="Footer">
    <w:name w:val="footer"/>
    <w:basedOn w:val="Normal"/>
    <w:link w:val="FooterChar"/>
    <w:rsid w:val="00120F1B"/>
    <w:pPr>
      <w:tabs>
        <w:tab w:val="center" w:pos="4320"/>
        <w:tab w:val="right" w:pos="8640"/>
      </w:tabs>
    </w:pPr>
  </w:style>
  <w:style w:type="character" w:styleId="PageNumber">
    <w:name w:val="page number"/>
    <w:basedOn w:val="DefaultParagraphFont"/>
    <w:rsid w:val="00120F1B"/>
  </w:style>
  <w:style w:type="paragraph" w:customStyle="1" w:styleId="FirstPageHeader">
    <w:name w:val="First Page Header"/>
    <w:basedOn w:val="Normal"/>
    <w:pPr>
      <w:tabs>
        <w:tab w:val="center" w:pos="4320"/>
        <w:tab w:val="right" w:pos="8640"/>
      </w:tabs>
    </w:pPr>
    <w:rPr>
      <w:b/>
    </w:rPr>
  </w:style>
  <w:style w:type="paragraph" w:customStyle="1" w:styleId="Titleinfo">
    <w:name w:val="Title info"/>
    <w:basedOn w:val="Header"/>
  </w:style>
  <w:style w:type="paragraph" w:customStyle="1" w:styleId="Numberedparagraphs">
    <w:name w:val="Numbered paragraphs"/>
    <w:basedOn w:val="Normal"/>
    <w:pPr>
      <w:numPr>
        <w:ilvl w:val="2"/>
        <w:numId w:val="1"/>
      </w:numPr>
      <w:spacing w:after="220"/>
    </w:pPr>
    <w:rPr>
      <w:sz w:val="24"/>
    </w:rPr>
  </w:style>
  <w:style w:type="paragraph" w:styleId="FootnoteText">
    <w:name w:val="footnote text"/>
    <w:aliases w:val="ALTS FOOTNOTE,fn,Footnote Text Char,ALTS FOOTNOTE Char,fn Char,Footnote Text Char1 Char,Footnote Text Char Char Char,Footnote Text Char2 Char Char Char,Footnote Text Char1 Char1 Char Char Char,Footnote Text Char Char Char Char Char Char,f"/>
    <w:link w:val="FootnoteTextChar2"/>
    <w:rsid w:val="00120F1B"/>
    <w:pPr>
      <w:spacing w:after="120"/>
    </w:pPr>
  </w:style>
  <w:style w:type="character" w:styleId="FootnoteReference">
    <w:name w:val="footnote reference"/>
    <w:aliases w:val="Style 12,(NECG) Footnote Reference,Style 13,Appel note de bas de p,Style 124,fr,o,Style 3,FR,Style 17,Footnote Reference/,Style 6,Style 7"/>
    <w:rsid w:val="00120F1B"/>
    <w:rPr>
      <w:rFonts w:ascii="Times New Roman" w:hAnsi="Times New Roman"/>
      <w:dstrike w:val="0"/>
      <w:color w:val="auto"/>
      <w:sz w:val="20"/>
      <w:vertAlign w:val="superscript"/>
    </w:rPr>
  </w:style>
  <w:style w:type="paragraph" w:styleId="BalloonText">
    <w:name w:val="Balloon Text"/>
    <w:basedOn w:val="Normal"/>
    <w:semiHidden/>
    <w:rPr>
      <w:rFonts w:ascii="Tahoma" w:hAnsi="Tahoma" w:cs="Tahoma"/>
      <w:sz w:val="16"/>
      <w:szCs w:val="16"/>
    </w:rPr>
  </w:style>
  <w:style w:type="character" w:styleId="Hyperlink">
    <w:name w:val="Hyperlink"/>
    <w:rsid w:val="00120F1B"/>
    <w:rPr>
      <w:color w:val="0000FF"/>
      <w:u w:val="single"/>
    </w:rPr>
  </w:style>
  <w:style w:type="character" w:customStyle="1" w:styleId="documentbody1">
    <w:name w:val="documentbody1"/>
    <w:rPr>
      <w:rFonts w:ascii="Verdana" w:hAnsi="Verdana" w:hint="default"/>
      <w:sz w:val="19"/>
      <w:szCs w:val="19"/>
    </w:rPr>
  </w:style>
  <w:style w:type="character" w:styleId="FollowedHyperlink">
    <w:name w:val="FollowedHyperlink"/>
    <w:rPr>
      <w:color w:val="800080"/>
      <w:u w:val="single"/>
    </w:rPr>
  </w:style>
  <w:style w:type="paragraph" w:customStyle="1" w:styleId="StyleNumberedparagraphs11pt">
    <w:name w:val="Style Numbered paragraphs + 11 pt"/>
    <w:basedOn w:val="Numberedparagraphs"/>
    <w:autoRedefine/>
    <w:pPr>
      <w:numPr>
        <w:ilvl w:val="0"/>
        <w:numId w:val="0"/>
      </w:numPr>
      <w:ind w:firstLine="720"/>
    </w:pPr>
    <w:rPr>
      <w:sz w:val="22"/>
      <w:szCs w:val="22"/>
    </w:rPr>
  </w:style>
  <w:style w:type="character" w:customStyle="1" w:styleId="NumberedparagraphsChar">
    <w:name w:val="Numbered paragraphs Char"/>
    <w:rPr>
      <w:noProof w:val="0"/>
      <w:sz w:val="24"/>
      <w:lang w:val="en-US" w:eastAsia="en-US" w:bidi="ar-SA"/>
    </w:rPr>
  </w:style>
  <w:style w:type="character" w:customStyle="1" w:styleId="StyleNumberedparagraphs11ptChar">
    <w:name w:val="Style Numbered paragraphs + 11 pt Char"/>
    <w:rPr>
      <w:noProof w:val="0"/>
      <w:sz w:val="22"/>
      <w:lang w:val="en-US" w:eastAsia="en-US" w:bidi="ar-SA"/>
    </w:rPr>
  </w:style>
  <w:style w:type="paragraph" w:styleId="NormalWeb">
    <w:name w:val="Normal (Web)"/>
    <w:basedOn w:val="Normal"/>
    <w:pPr>
      <w:spacing w:before="100" w:beforeAutospacing="1" w:after="100" w:afterAutospacing="1"/>
    </w:pPr>
    <w:rPr>
      <w:szCs w:val="24"/>
    </w:rPr>
  </w:style>
  <w:style w:type="character" w:customStyle="1" w:styleId="FootnoteTextChar1">
    <w:name w:val="Footnote Text Char1"/>
    <w:aliases w:val="ALTS FOOTNOTE Char1,fn Char1,Footnote Text Char Char,ALTS FOOTNOTE Char Char,fn Char Char,Footnote Text Char1 Char Char,Footnote Text Char Char Char Char,Footnote Text Char2 Char Char Char Char,Footnote Text Char3 Char,f Char1"/>
    <w:rPr>
      <w:lang w:val="en-US" w:eastAsia="en-US" w:bidi="ar-SA"/>
    </w:rPr>
  </w:style>
  <w:style w:type="character" w:customStyle="1" w:styleId="FootnoteTextChar1Char1">
    <w:name w:val="Footnote Text Char1 Char1"/>
    <w:aliases w:val="Footnote Text Char Char Char1,Footnote Text Char1 Char Char Char1,Footnote Text Char Char Char Char Char1,Footnote Text Char1 Char Char Char Char Char,ALTS FOOTNOTE Char1 Char Char Char Char Char,Footnote Text Char Char1 Char"/>
    <w:rPr>
      <w:sz w:val="24"/>
      <w:lang w:val="en-US" w:eastAsia="en-US" w:bidi="ar-SA"/>
    </w:rPr>
  </w:style>
  <w:style w:type="character" w:styleId="EndnoteReference">
    <w:name w:val="endnote reference"/>
    <w:semiHidden/>
    <w:rsid w:val="00120F1B"/>
    <w:rPr>
      <w:vertAlign w:val="superscript"/>
    </w:rPr>
  </w:style>
  <w:style w:type="character" w:customStyle="1" w:styleId="StyleFootnoteReference10pt">
    <w:name w:val="Style Footnote Reference + 10 pt"/>
    <w:rPr>
      <w:rFonts w:ascii="Times New Roman" w:hAnsi="Times New Roman"/>
      <w:sz w:val="22"/>
      <w:vertAlign w:val="superscript"/>
    </w:rPr>
  </w:style>
  <w:style w:type="paragraph" w:customStyle="1" w:styleId="NumberedList">
    <w:name w:val="Numbered List"/>
    <w:basedOn w:val="Normal"/>
    <w:pPr>
      <w:numPr>
        <w:numId w:val="3"/>
      </w:numPr>
      <w:tabs>
        <w:tab w:val="clear" w:pos="1080"/>
      </w:tabs>
      <w:spacing w:after="220"/>
      <w:ind w:firstLine="0"/>
    </w:pPr>
  </w:style>
  <w:style w:type="paragraph" w:customStyle="1" w:styleId="ParaNum">
    <w:name w:val="ParaNum"/>
    <w:basedOn w:val="Normal"/>
    <w:link w:val="ParaNumChar"/>
    <w:rsid w:val="00120F1B"/>
    <w:pPr>
      <w:numPr>
        <w:numId w:val="5"/>
      </w:numPr>
      <w:tabs>
        <w:tab w:val="clear" w:pos="1080"/>
        <w:tab w:val="num" w:pos="1440"/>
      </w:tabs>
      <w:spacing w:after="120"/>
    </w:pPr>
  </w:style>
  <w:style w:type="paragraph" w:customStyle="1" w:styleId="TableFormat">
    <w:name w:val="TableFormat"/>
    <w:basedOn w:val="Bullet"/>
    <w:rsid w:val="00120F1B"/>
    <w:pPr>
      <w:tabs>
        <w:tab w:val="clear" w:pos="2160"/>
        <w:tab w:val="left" w:pos="5040"/>
      </w:tabs>
      <w:ind w:left="5040" w:hanging="3600"/>
    </w:pPr>
  </w:style>
  <w:style w:type="character" w:customStyle="1" w:styleId="FootnoteTextChar2Char">
    <w:name w:val="Footnote Text Char2 Char"/>
    <w:aliases w:val="Footnote Text Char1 Char Char Char,rrfootnote Char Char Char Char,ALTS FOOTNOTE Char1 Char Char Char,fn Char1 Char Char Char,Footnote Text Char Char Char Char Char1 Cha,ALTS FOOTNOTE Char1 Char,fn Char1 Char,fn Char Char Char"/>
    <w:rPr>
      <w:lang w:val="en-US" w:eastAsia="en-US" w:bidi="ar-SA"/>
    </w:rPr>
  </w:style>
  <w:style w:type="character" w:customStyle="1" w:styleId="searchterm3">
    <w:name w:val="searchterm3"/>
    <w:rPr>
      <w:rFonts w:ascii="Verdana" w:hAnsi="Verdana" w:hint="default"/>
      <w:b/>
      <w:bCs/>
      <w:sz w:val="19"/>
      <w:szCs w:val="19"/>
      <w:shd w:val="clear" w:color="auto" w:fill="FFFF00"/>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NumCharCharCharCharChar">
    <w:name w:val="ParaNum Char Char Char Char Char"/>
    <w:basedOn w:val="Normal"/>
    <w:pPr>
      <w:tabs>
        <w:tab w:val="num" w:pos="1080"/>
      </w:tabs>
      <w:spacing w:after="220"/>
      <w:ind w:firstLine="720"/>
      <w:jc w:val="both"/>
    </w:pPr>
  </w:style>
  <w:style w:type="character" w:customStyle="1" w:styleId="FooterChar">
    <w:name w:val="Footer Char"/>
    <w:link w:val="Footer"/>
    <w:rPr>
      <w:snapToGrid w:val="0"/>
      <w:kern w:val="28"/>
      <w:sz w:val="22"/>
    </w:rPr>
  </w:style>
  <w:style w:type="character" w:customStyle="1" w:styleId="FootnoteTextChar2">
    <w:name w:val="Footnote Text Char2"/>
    <w:aliases w:val="ALTS FOOTNOTE Char2,fn Char2,Footnote Text Char Char1,ALTS FOOTNOTE Char Char1,fn Char Char1,Footnote Text Char1 Char Char1,Footnote Text Char Char Char Char1,Footnote Text Char2 Char Char Char Char1,f Char"/>
    <w:link w:val="FootnoteText"/>
  </w:style>
  <w:style w:type="character" w:styleId="CommentReference">
    <w:name w:val="annotation reference"/>
    <w:semiHidden/>
    <w:rPr>
      <w:sz w:val="16"/>
      <w:szCs w:val="16"/>
    </w:rPr>
  </w:style>
  <w:style w:type="paragraph" w:styleId="CommentText">
    <w:name w:val="annotation text"/>
    <w:basedOn w:val="Normal"/>
    <w:link w:val="CommentTextChar"/>
    <w:rsid w:val="00A073DF"/>
    <w:rPr>
      <w:sz w:val="20"/>
    </w:rPr>
  </w:style>
  <w:style w:type="paragraph" w:styleId="CommentSubject">
    <w:name w:val="annotation subject"/>
    <w:basedOn w:val="CommentText"/>
    <w:next w:val="CommentText"/>
    <w:semiHidden/>
    <w:rPr>
      <w:b/>
      <w:bCs/>
    </w:rPr>
  </w:style>
  <w:style w:type="paragraph" w:styleId="ListParagraph">
    <w:name w:val="List Paragraph"/>
    <w:basedOn w:val="Normal"/>
    <w:uiPriority w:val="34"/>
    <w:qFormat/>
    <w:rsid w:val="002536A7"/>
    <w:pPr>
      <w:ind w:left="720"/>
    </w:pPr>
  </w:style>
  <w:style w:type="paragraph" w:styleId="EndnoteText">
    <w:name w:val="endnote text"/>
    <w:basedOn w:val="Normal"/>
    <w:link w:val="EndnoteTextChar"/>
    <w:rsid w:val="00120F1B"/>
    <w:rPr>
      <w:sz w:val="20"/>
    </w:rPr>
  </w:style>
  <w:style w:type="character" w:customStyle="1" w:styleId="EndnoteTextChar">
    <w:name w:val="Endnote Text Char"/>
    <w:link w:val="EndnoteText"/>
    <w:rsid w:val="0037229B"/>
    <w:rPr>
      <w:snapToGrid w:val="0"/>
      <w:kern w:val="28"/>
    </w:rPr>
  </w:style>
  <w:style w:type="paragraph" w:styleId="TOC1">
    <w:name w:val="toc 1"/>
    <w:basedOn w:val="Normal"/>
    <w:next w:val="Normal"/>
    <w:rsid w:val="00120F1B"/>
    <w:pPr>
      <w:tabs>
        <w:tab w:val="left" w:pos="360"/>
        <w:tab w:val="right" w:leader="dot" w:pos="9360"/>
      </w:tabs>
      <w:suppressAutoHyphens/>
      <w:ind w:left="360" w:right="720" w:hanging="360"/>
    </w:pPr>
    <w:rPr>
      <w:caps/>
      <w:noProof/>
    </w:rPr>
  </w:style>
  <w:style w:type="paragraph" w:styleId="TOC2">
    <w:name w:val="toc 2"/>
    <w:basedOn w:val="Normal"/>
    <w:next w:val="Normal"/>
    <w:rsid w:val="00120F1B"/>
    <w:pPr>
      <w:tabs>
        <w:tab w:val="left" w:pos="720"/>
        <w:tab w:val="right" w:leader="dot" w:pos="9360"/>
      </w:tabs>
      <w:suppressAutoHyphens/>
      <w:ind w:left="720" w:right="720" w:hanging="360"/>
    </w:pPr>
    <w:rPr>
      <w:noProof/>
    </w:rPr>
  </w:style>
  <w:style w:type="paragraph" w:styleId="TOC3">
    <w:name w:val="toc 3"/>
    <w:basedOn w:val="Normal"/>
    <w:next w:val="Normal"/>
    <w:rsid w:val="00120F1B"/>
    <w:pPr>
      <w:tabs>
        <w:tab w:val="left" w:pos="1080"/>
        <w:tab w:val="right" w:leader="dot" w:pos="9360"/>
      </w:tabs>
      <w:suppressAutoHyphens/>
      <w:ind w:left="1080" w:right="720" w:hanging="360"/>
    </w:pPr>
    <w:rPr>
      <w:noProof/>
    </w:rPr>
  </w:style>
  <w:style w:type="paragraph" w:styleId="TOC4">
    <w:name w:val="toc 4"/>
    <w:basedOn w:val="Normal"/>
    <w:next w:val="Normal"/>
    <w:autoRedefine/>
    <w:rsid w:val="00120F1B"/>
    <w:pPr>
      <w:tabs>
        <w:tab w:val="left" w:pos="1440"/>
        <w:tab w:val="right" w:leader="dot" w:pos="9360"/>
      </w:tabs>
      <w:suppressAutoHyphens/>
      <w:ind w:left="1440" w:right="720" w:hanging="360"/>
    </w:pPr>
    <w:rPr>
      <w:noProof/>
    </w:rPr>
  </w:style>
  <w:style w:type="paragraph" w:styleId="TOC5">
    <w:name w:val="toc 5"/>
    <w:basedOn w:val="Normal"/>
    <w:next w:val="Normal"/>
    <w:autoRedefine/>
    <w:rsid w:val="00120F1B"/>
    <w:pPr>
      <w:tabs>
        <w:tab w:val="left" w:pos="1800"/>
        <w:tab w:val="right" w:leader="dot" w:pos="9360"/>
      </w:tabs>
      <w:suppressAutoHyphens/>
      <w:ind w:left="1800" w:right="720" w:hanging="360"/>
    </w:pPr>
    <w:rPr>
      <w:noProof/>
    </w:rPr>
  </w:style>
  <w:style w:type="paragraph" w:styleId="TOC6">
    <w:name w:val="toc 6"/>
    <w:basedOn w:val="Normal"/>
    <w:next w:val="Normal"/>
    <w:autoRedefine/>
    <w:rsid w:val="00120F1B"/>
    <w:pPr>
      <w:tabs>
        <w:tab w:val="left" w:pos="2160"/>
        <w:tab w:val="right" w:leader="dot" w:pos="9360"/>
      </w:tabs>
      <w:suppressAutoHyphens/>
      <w:ind w:left="2160" w:hanging="360"/>
    </w:pPr>
    <w:rPr>
      <w:noProof/>
    </w:rPr>
  </w:style>
  <w:style w:type="paragraph" w:styleId="TOC7">
    <w:name w:val="toc 7"/>
    <w:basedOn w:val="Normal"/>
    <w:next w:val="Normal"/>
    <w:autoRedefine/>
    <w:rsid w:val="00120F1B"/>
    <w:pPr>
      <w:tabs>
        <w:tab w:val="left" w:pos="2520"/>
        <w:tab w:val="right" w:leader="dot" w:pos="9360"/>
      </w:tabs>
      <w:suppressAutoHyphens/>
      <w:ind w:left="2520" w:hanging="360"/>
    </w:pPr>
    <w:rPr>
      <w:noProof/>
    </w:rPr>
  </w:style>
  <w:style w:type="paragraph" w:styleId="TOC8">
    <w:name w:val="toc 8"/>
    <w:basedOn w:val="Normal"/>
    <w:next w:val="Normal"/>
    <w:autoRedefine/>
    <w:rsid w:val="00120F1B"/>
    <w:pPr>
      <w:tabs>
        <w:tab w:val="left" w:pos="2880"/>
        <w:tab w:val="right" w:leader="dot" w:pos="9360"/>
      </w:tabs>
      <w:suppressAutoHyphens/>
      <w:ind w:left="2880" w:hanging="360"/>
    </w:pPr>
    <w:rPr>
      <w:noProof/>
    </w:rPr>
  </w:style>
  <w:style w:type="paragraph" w:styleId="TOC9">
    <w:name w:val="toc 9"/>
    <w:basedOn w:val="Normal"/>
    <w:next w:val="Normal"/>
    <w:autoRedefine/>
    <w:rsid w:val="00120F1B"/>
    <w:pPr>
      <w:tabs>
        <w:tab w:val="left" w:pos="3240"/>
        <w:tab w:val="right" w:leader="dot" w:pos="9360"/>
      </w:tabs>
      <w:suppressAutoHyphens/>
      <w:ind w:left="3240" w:hanging="360"/>
    </w:pPr>
    <w:rPr>
      <w:noProof/>
    </w:rPr>
  </w:style>
  <w:style w:type="paragraph" w:styleId="TOAHeading">
    <w:name w:val="toa heading"/>
    <w:basedOn w:val="Normal"/>
    <w:next w:val="Normal"/>
    <w:rsid w:val="00120F1B"/>
    <w:pPr>
      <w:tabs>
        <w:tab w:val="right" w:pos="9360"/>
      </w:tabs>
      <w:suppressAutoHyphens/>
    </w:pPr>
  </w:style>
  <w:style w:type="character" w:customStyle="1" w:styleId="EquationCaption">
    <w:name w:val="_Equation Caption"/>
    <w:rsid w:val="00120F1B"/>
  </w:style>
  <w:style w:type="paragraph" w:styleId="BlockText">
    <w:name w:val="Block Text"/>
    <w:basedOn w:val="Normal"/>
    <w:rsid w:val="00120F1B"/>
    <w:pPr>
      <w:spacing w:after="240"/>
      <w:ind w:left="1440" w:right="1440"/>
    </w:pPr>
  </w:style>
  <w:style w:type="paragraph" w:customStyle="1" w:styleId="Paratitle">
    <w:name w:val="Para title"/>
    <w:basedOn w:val="Normal"/>
    <w:rsid w:val="00120F1B"/>
    <w:pPr>
      <w:tabs>
        <w:tab w:val="center" w:pos="9270"/>
      </w:tabs>
      <w:spacing w:after="240"/>
    </w:pPr>
    <w:rPr>
      <w:spacing w:val="-2"/>
    </w:rPr>
  </w:style>
  <w:style w:type="paragraph" w:customStyle="1" w:styleId="Bullet">
    <w:name w:val="Bullet"/>
    <w:basedOn w:val="Normal"/>
    <w:rsid w:val="00120F1B"/>
    <w:pPr>
      <w:tabs>
        <w:tab w:val="left" w:pos="2160"/>
      </w:tabs>
      <w:spacing w:after="220"/>
      <w:ind w:left="2160" w:hanging="720"/>
    </w:pPr>
  </w:style>
  <w:style w:type="paragraph" w:customStyle="1" w:styleId="TOCTitle">
    <w:name w:val="TOC Title"/>
    <w:basedOn w:val="Normal"/>
    <w:rsid w:val="00120F1B"/>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120F1B"/>
    <w:pPr>
      <w:jc w:val="center"/>
    </w:pPr>
    <w:rPr>
      <w:rFonts w:ascii="Times New Roman Bold" w:hAnsi="Times New Roman Bold"/>
      <w:b/>
      <w:bCs/>
      <w:caps/>
      <w:szCs w:val="22"/>
    </w:rPr>
  </w:style>
  <w:style w:type="paragraph" w:customStyle="1" w:styleId="Default">
    <w:name w:val="Default"/>
    <w:rsid w:val="00B73CA0"/>
    <w:pPr>
      <w:autoSpaceDE w:val="0"/>
      <w:autoSpaceDN w:val="0"/>
      <w:adjustRightInd w:val="0"/>
    </w:pPr>
    <w:rPr>
      <w:rFonts w:ascii="Arial" w:hAnsi="Arial" w:cs="Arial"/>
      <w:color w:val="000000"/>
      <w:sz w:val="24"/>
      <w:szCs w:val="24"/>
    </w:rPr>
  </w:style>
  <w:style w:type="character" w:customStyle="1" w:styleId="ParaNumChar">
    <w:name w:val="ParaNum Char"/>
    <w:link w:val="ParaNum"/>
    <w:locked/>
    <w:rsid w:val="004C6F33"/>
    <w:rPr>
      <w:snapToGrid w:val="0"/>
      <w:kern w:val="28"/>
      <w:sz w:val="22"/>
    </w:rPr>
  </w:style>
  <w:style w:type="character" w:styleId="Emphasis">
    <w:name w:val="Emphasis"/>
    <w:qFormat/>
    <w:rsid w:val="00951396"/>
    <w:rPr>
      <w:i/>
      <w:iCs/>
    </w:rPr>
  </w:style>
  <w:style w:type="character" w:customStyle="1" w:styleId="CommentTextChar">
    <w:name w:val="Comment Text Char"/>
    <w:link w:val="CommentText"/>
    <w:rsid w:val="00D4622B"/>
    <w:rPr>
      <w:snapToGrid w:val="0"/>
      <w:kern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0F1B"/>
    <w:pPr>
      <w:widowControl w:val="0"/>
    </w:pPr>
    <w:rPr>
      <w:snapToGrid w:val="0"/>
      <w:kern w:val="28"/>
      <w:sz w:val="22"/>
    </w:rPr>
  </w:style>
  <w:style w:type="paragraph" w:styleId="Heading1">
    <w:name w:val="heading 1"/>
    <w:basedOn w:val="Normal"/>
    <w:next w:val="ParaNum"/>
    <w:qFormat/>
    <w:rsid w:val="00120F1B"/>
    <w:pPr>
      <w:keepNext/>
      <w:numPr>
        <w:numId w:val="14"/>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120F1B"/>
    <w:pPr>
      <w:keepNext/>
      <w:numPr>
        <w:ilvl w:val="1"/>
        <w:numId w:val="14"/>
      </w:numPr>
      <w:spacing w:after="120"/>
      <w:outlineLvl w:val="1"/>
    </w:pPr>
    <w:rPr>
      <w:b/>
    </w:rPr>
  </w:style>
  <w:style w:type="paragraph" w:styleId="Heading3">
    <w:name w:val="heading 3"/>
    <w:basedOn w:val="Normal"/>
    <w:next w:val="ParaNum"/>
    <w:qFormat/>
    <w:rsid w:val="00120F1B"/>
    <w:pPr>
      <w:keepNext/>
      <w:numPr>
        <w:ilvl w:val="2"/>
        <w:numId w:val="14"/>
      </w:numPr>
      <w:tabs>
        <w:tab w:val="left" w:pos="2160"/>
      </w:tabs>
      <w:spacing w:after="120"/>
      <w:outlineLvl w:val="2"/>
    </w:pPr>
    <w:rPr>
      <w:b/>
    </w:rPr>
  </w:style>
  <w:style w:type="paragraph" w:styleId="Heading4">
    <w:name w:val="heading 4"/>
    <w:basedOn w:val="Normal"/>
    <w:next w:val="ParaNum"/>
    <w:qFormat/>
    <w:rsid w:val="00120F1B"/>
    <w:pPr>
      <w:keepNext/>
      <w:numPr>
        <w:ilvl w:val="3"/>
        <w:numId w:val="14"/>
      </w:numPr>
      <w:tabs>
        <w:tab w:val="left" w:pos="2880"/>
      </w:tabs>
      <w:spacing w:after="120"/>
      <w:outlineLvl w:val="3"/>
    </w:pPr>
    <w:rPr>
      <w:b/>
    </w:rPr>
  </w:style>
  <w:style w:type="paragraph" w:styleId="Heading5">
    <w:name w:val="heading 5"/>
    <w:basedOn w:val="Normal"/>
    <w:next w:val="ParaNum"/>
    <w:qFormat/>
    <w:rsid w:val="00120F1B"/>
    <w:pPr>
      <w:keepNext/>
      <w:numPr>
        <w:ilvl w:val="4"/>
        <w:numId w:val="14"/>
      </w:numPr>
      <w:tabs>
        <w:tab w:val="left" w:pos="3600"/>
      </w:tabs>
      <w:suppressAutoHyphens/>
      <w:spacing w:after="120"/>
      <w:outlineLvl w:val="4"/>
    </w:pPr>
    <w:rPr>
      <w:b/>
    </w:rPr>
  </w:style>
  <w:style w:type="paragraph" w:styleId="Heading6">
    <w:name w:val="heading 6"/>
    <w:basedOn w:val="Normal"/>
    <w:next w:val="ParaNum"/>
    <w:qFormat/>
    <w:rsid w:val="00120F1B"/>
    <w:pPr>
      <w:numPr>
        <w:ilvl w:val="5"/>
        <w:numId w:val="14"/>
      </w:numPr>
      <w:tabs>
        <w:tab w:val="left" w:pos="4320"/>
      </w:tabs>
      <w:spacing w:after="120"/>
      <w:outlineLvl w:val="5"/>
    </w:pPr>
    <w:rPr>
      <w:b/>
    </w:rPr>
  </w:style>
  <w:style w:type="paragraph" w:styleId="Heading7">
    <w:name w:val="heading 7"/>
    <w:basedOn w:val="Normal"/>
    <w:next w:val="ParaNum"/>
    <w:qFormat/>
    <w:rsid w:val="00120F1B"/>
    <w:pPr>
      <w:numPr>
        <w:ilvl w:val="6"/>
        <w:numId w:val="14"/>
      </w:numPr>
      <w:tabs>
        <w:tab w:val="left" w:pos="5040"/>
      </w:tabs>
      <w:spacing w:after="120"/>
      <w:ind w:left="5040" w:hanging="720"/>
      <w:outlineLvl w:val="6"/>
    </w:pPr>
    <w:rPr>
      <w:b/>
    </w:rPr>
  </w:style>
  <w:style w:type="paragraph" w:styleId="Heading8">
    <w:name w:val="heading 8"/>
    <w:basedOn w:val="Normal"/>
    <w:next w:val="ParaNum"/>
    <w:qFormat/>
    <w:rsid w:val="00120F1B"/>
    <w:pPr>
      <w:numPr>
        <w:ilvl w:val="7"/>
        <w:numId w:val="14"/>
      </w:numPr>
      <w:tabs>
        <w:tab w:val="clear" w:pos="5400"/>
        <w:tab w:val="left" w:pos="5760"/>
      </w:tabs>
      <w:spacing w:after="120"/>
      <w:ind w:left="5760" w:hanging="720"/>
      <w:outlineLvl w:val="7"/>
    </w:pPr>
    <w:rPr>
      <w:b/>
    </w:rPr>
  </w:style>
  <w:style w:type="paragraph" w:styleId="Heading9">
    <w:name w:val="heading 9"/>
    <w:basedOn w:val="Normal"/>
    <w:next w:val="ParaNum"/>
    <w:qFormat/>
    <w:rsid w:val="00120F1B"/>
    <w:pPr>
      <w:numPr>
        <w:ilvl w:val="8"/>
        <w:numId w:val="14"/>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120F1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20F1B"/>
  </w:style>
  <w:style w:type="paragraph" w:styleId="Header">
    <w:name w:val="header"/>
    <w:basedOn w:val="Normal"/>
    <w:autoRedefine/>
    <w:rsid w:val="00120F1B"/>
    <w:pPr>
      <w:tabs>
        <w:tab w:val="center" w:pos="4680"/>
        <w:tab w:val="right" w:pos="9360"/>
      </w:tabs>
    </w:pPr>
    <w:rPr>
      <w:b/>
    </w:rPr>
  </w:style>
  <w:style w:type="paragraph" w:styleId="Footer">
    <w:name w:val="footer"/>
    <w:basedOn w:val="Normal"/>
    <w:link w:val="FooterChar"/>
    <w:rsid w:val="00120F1B"/>
    <w:pPr>
      <w:tabs>
        <w:tab w:val="center" w:pos="4320"/>
        <w:tab w:val="right" w:pos="8640"/>
      </w:tabs>
    </w:pPr>
  </w:style>
  <w:style w:type="character" w:styleId="PageNumber">
    <w:name w:val="page number"/>
    <w:basedOn w:val="DefaultParagraphFont"/>
    <w:rsid w:val="00120F1B"/>
  </w:style>
  <w:style w:type="paragraph" w:customStyle="1" w:styleId="FirstPageHeader">
    <w:name w:val="First Page Header"/>
    <w:basedOn w:val="Normal"/>
    <w:pPr>
      <w:tabs>
        <w:tab w:val="center" w:pos="4320"/>
        <w:tab w:val="right" w:pos="8640"/>
      </w:tabs>
    </w:pPr>
    <w:rPr>
      <w:b/>
    </w:rPr>
  </w:style>
  <w:style w:type="paragraph" w:customStyle="1" w:styleId="Titleinfo">
    <w:name w:val="Title info"/>
    <w:basedOn w:val="Header"/>
  </w:style>
  <w:style w:type="paragraph" w:customStyle="1" w:styleId="Numberedparagraphs">
    <w:name w:val="Numbered paragraphs"/>
    <w:basedOn w:val="Normal"/>
    <w:pPr>
      <w:numPr>
        <w:ilvl w:val="2"/>
        <w:numId w:val="1"/>
      </w:numPr>
      <w:spacing w:after="220"/>
    </w:pPr>
    <w:rPr>
      <w:sz w:val="24"/>
    </w:rPr>
  </w:style>
  <w:style w:type="paragraph" w:styleId="FootnoteText">
    <w:name w:val="footnote text"/>
    <w:aliases w:val="ALTS FOOTNOTE,fn,Footnote Text Char,ALTS FOOTNOTE Char,fn Char,Footnote Text Char1 Char,Footnote Text Char Char Char,Footnote Text Char2 Char Char Char,Footnote Text Char1 Char1 Char Char Char,Footnote Text Char Char Char Char Char Char,f"/>
    <w:link w:val="FootnoteTextChar2"/>
    <w:rsid w:val="00120F1B"/>
    <w:pPr>
      <w:spacing w:after="120"/>
    </w:pPr>
  </w:style>
  <w:style w:type="character" w:styleId="FootnoteReference">
    <w:name w:val="footnote reference"/>
    <w:aliases w:val="Style 12,(NECG) Footnote Reference,Style 13,Appel note de bas de p,Style 124,fr,o,Style 3,FR,Style 17,Footnote Reference/,Style 6,Style 7"/>
    <w:rsid w:val="00120F1B"/>
    <w:rPr>
      <w:rFonts w:ascii="Times New Roman" w:hAnsi="Times New Roman"/>
      <w:dstrike w:val="0"/>
      <w:color w:val="auto"/>
      <w:sz w:val="20"/>
      <w:vertAlign w:val="superscript"/>
    </w:rPr>
  </w:style>
  <w:style w:type="paragraph" w:styleId="BalloonText">
    <w:name w:val="Balloon Text"/>
    <w:basedOn w:val="Normal"/>
    <w:semiHidden/>
    <w:rPr>
      <w:rFonts w:ascii="Tahoma" w:hAnsi="Tahoma" w:cs="Tahoma"/>
      <w:sz w:val="16"/>
      <w:szCs w:val="16"/>
    </w:rPr>
  </w:style>
  <w:style w:type="character" w:styleId="Hyperlink">
    <w:name w:val="Hyperlink"/>
    <w:rsid w:val="00120F1B"/>
    <w:rPr>
      <w:color w:val="0000FF"/>
      <w:u w:val="single"/>
    </w:rPr>
  </w:style>
  <w:style w:type="character" w:customStyle="1" w:styleId="documentbody1">
    <w:name w:val="documentbody1"/>
    <w:rPr>
      <w:rFonts w:ascii="Verdana" w:hAnsi="Verdana" w:hint="default"/>
      <w:sz w:val="19"/>
      <w:szCs w:val="19"/>
    </w:rPr>
  </w:style>
  <w:style w:type="character" w:styleId="FollowedHyperlink">
    <w:name w:val="FollowedHyperlink"/>
    <w:rPr>
      <w:color w:val="800080"/>
      <w:u w:val="single"/>
    </w:rPr>
  </w:style>
  <w:style w:type="paragraph" w:customStyle="1" w:styleId="StyleNumberedparagraphs11pt">
    <w:name w:val="Style Numbered paragraphs + 11 pt"/>
    <w:basedOn w:val="Numberedparagraphs"/>
    <w:autoRedefine/>
    <w:pPr>
      <w:numPr>
        <w:ilvl w:val="0"/>
        <w:numId w:val="0"/>
      </w:numPr>
      <w:ind w:firstLine="720"/>
    </w:pPr>
    <w:rPr>
      <w:sz w:val="22"/>
      <w:szCs w:val="22"/>
    </w:rPr>
  </w:style>
  <w:style w:type="character" w:customStyle="1" w:styleId="NumberedparagraphsChar">
    <w:name w:val="Numbered paragraphs Char"/>
    <w:rPr>
      <w:noProof w:val="0"/>
      <w:sz w:val="24"/>
      <w:lang w:val="en-US" w:eastAsia="en-US" w:bidi="ar-SA"/>
    </w:rPr>
  </w:style>
  <w:style w:type="character" w:customStyle="1" w:styleId="StyleNumberedparagraphs11ptChar">
    <w:name w:val="Style Numbered paragraphs + 11 pt Char"/>
    <w:rPr>
      <w:noProof w:val="0"/>
      <w:sz w:val="22"/>
      <w:lang w:val="en-US" w:eastAsia="en-US" w:bidi="ar-SA"/>
    </w:rPr>
  </w:style>
  <w:style w:type="paragraph" w:styleId="NormalWeb">
    <w:name w:val="Normal (Web)"/>
    <w:basedOn w:val="Normal"/>
    <w:pPr>
      <w:spacing w:before="100" w:beforeAutospacing="1" w:after="100" w:afterAutospacing="1"/>
    </w:pPr>
    <w:rPr>
      <w:szCs w:val="24"/>
    </w:rPr>
  </w:style>
  <w:style w:type="character" w:customStyle="1" w:styleId="FootnoteTextChar1">
    <w:name w:val="Footnote Text Char1"/>
    <w:aliases w:val="ALTS FOOTNOTE Char1,fn Char1,Footnote Text Char Char,ALTS FOOTNOTE Char Char,fn Char Char,Footnote Text Char1 Char Char,Footnote Text Char Char Char Char,Footnote Text Char2 Char Char Char Char,Footnote Text Char3 Char,f Char1"/>
    <w:rPr>
      <w:lang w:val="en-US" w:eastAsia="en-US" w:bidi="ar-SA"/>
    </w:rPr>
  </w:style>
  <w:style w:type="character" w:customStyle="1" w:styleId="FootnoteTextChar1Char1">
    <w:name w:val="Footnote Text Char1 Char1"/>
    <w:aliases w:val="Footnote Text Char Char Char1,Footnote Text Char1 Char Char Char1,Footnote Text Char Char Char Char Char1,Footnote Text Char1 Char Char Char Char Char,ALTS FOOTNOTE Char1 Char Char Char Char Char,Footnote Text Char Char1 Char"/>
    <w:rPr>
      <w:sz w:val="24"/>
      <w:lang w:val="en-US" w:eastAsia="en-US" w:bidi="ar-SA"/>
    </w:rPr>
  </w:style>
  <w:style w:type="character" w:styleId="EndnoteReference">
    <w:name w:val="endnote reference"/>
    <w:semiHidden/>
    <w:rsid w:val="00120F1B"/>
    <w:rPr>
      <w:vertAlign w:val="superscript"/>
    </w:rPr>
  </w:style>
  <w:style w:type="character" w:customStyle="1" w:styleId="StyleFootnoteReference10pt">
    <w:name w:val="Style Footnote Reference + 10 pt"/>
    <w:rPr>
      <w:rFonts w:ascii="Times New Roman" w:hAnsi="Times New Roman"/>
      <w:sz w:val="22"/>
      <w:vertAlign w:val="superscript"/>
    </w:rPr>
  </w:style>
  <w:style w:type="paragraph" w:customStyle="1" w:styleId="NumberedList">
    <w:name w:val="Numbered List"/>
    <w:basedOn w:val="Normal"/>
    <w:pPr>
      <w:numPr>
        <w:numId w:val="3"/>
      </w:numPr>
      <w:tabs>
        <w:tab w:val="clear" w:pos="1080"/>
      </w:tabs>
      <w:spacing w:after="220"/>
      <w:ind w:firstLine="0"/>
    </w:pPr>
  </w:style>
  <w:style w:type="paragraph" w:customStyle="1" w:styleId="ParaNum">
    <w:name w:val="ParaNum"/>
    <w:basedOn w:val="Normal"/>
    <w:link w:val="ParaNumChar"/>
    <w:rsid w:val="00120F1B"/>
    <w:pPr>
      <w:numPr>
        <w:numId w:val="5"/>
      </w:numPr>
      <w:tabs>
        <w:tab w:val="clear" w:pos="1080"/>
        <w:tab w:val="num" w:pos="1440"/>
      </w:tabs>
      <w:spacing w:after="120"/>
    </w:pPr>
  </w:style>
  <w:style w:type="paragraph" w:customStyle="1" w:styleId="TableFormat">
    <w:name w:val="TableFormat"/>
    <w:basedOn w:val="Bullet"/>
    <w:rsid w:val="00120F1B"/>
    <w:pPr>
      <w:tabs>
        <w:tab w:val="clear" w:pos="2160"/>
        <w:tab w:val="left" w:pos="5040"/>
      </w:tabs>
      <w:ind w:left="5040" w:hanging="3600"/>
    </w:pPr>
  </w:style>
  <w:style w:type="character" w:customStyle="1" w:styleId="FootnoteTextChar2Char">
    <w:name w:val="Footnote Text Char2 Char"/>
    <w:aliases w:val="Footnote Text Char1 Char Char Char,rrfootnote Char Char Char Char,ALTS FOOTNOTE Char1 Char Char Char,fn Char1 Char Char Char,Footnote Text Char Char Char Char Char1 Cha,ALTS FOOTNOTE Char1 Char,fn Char1 Char,fn Char Char Char"/>
    <w:rPr>
      <w:lang w:val="en-US" w:eastAsia="en-US" w:bidi="ar-SA"/>
    </w:rPr>
  </w:style>
  <w:style w:type="character" w:customStyle="1" w:styleId="searchterm3">
    <w:name w:val="searchterm3"/>
    <w:rPr>
      <w:rFonts w:ascii="Verdana" w:hAnsi="Verdana" w:hint="default"/>
      <w:b/>
      <w:bCs/>
      <w:sz w:val="19"/>
      <w:szCs w:val="19"/>
      <w:shd w:val="clear" w:color="auto" w:fill="FFFF00"/>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NumCharCharCharCharChar">
    <w:name w:val="ParaNum Char Char Char Char Char"/>
    <w:basedOn w:val="Normal"/>
    <w:pPr>
      <w:tabs>
        <w:tab w:val="num" w:pos="1080"/>
      </w:tabs>
      <w:spacing w:after="220"/>
      <w:ind w:firstLine="720"/>
      <w:jc w:val="both"/>
    </w:pPr>
  </w:style>
  <w:style w:type="character" w:customStyle="1" w:styleId="FooterChar">
    <w:name w:val="Footer Char"/>
    <w:link w:val="Footer"/>
    <w:rPr>
      <w:snapToGrid w:val="0"/>
      <w:kern w:val="28"/>
      <w:sz w:val="22"/>
    </w:rPr>
  </w:style>
  <w:style w:type="character" w:customStyle="1" w:styleId="FootnoteTextChar2">
    <w:name w:val="Footnote Text Char2"/>
    <w:aliases w:val="ALTS FOOTNOTE Char2,fn Char2,Footnote Text Char Char1,ALTS FOOTNOTE Char Char1,fn Char Char1,Footnote Text Char1 Char Char1,Footnote Text Char Char Char Char1,Footnote Text Char2 Char Char Char Char1,f Char"/>
    <w:link w:val="FootnoteText"/>
  </w:style>
  <w:style w:type="character" w:styleId="CommentReference">
    <w:name w:val="annotation reference"/>
    <w:semiHidden/>
    <w:rPr>
      <w:sz w:val="16"/>
      <w:szCs w:val="16"/>
    </w:rPr>
  </w:style>
  <w:style w:type="paragraph" w:styleId="CommentText">
    <w:name w:val="annotation text"/>
    <w:basedOn w:val="Normal"/>
    <w:link w:val="CommentTextChar"/>
    <w:rsid w:val="00A073DF"/>
    <w:rPr>
      <w:sz w:val="20"/>
    </w:rPr>
  </w:style>
  <w:style w:type="paragraph" w:styleId="CommentSubject">
    <w:name w:val="annotation subject"/>
    <w:basedOn w:val="CommentText"/>
    <w:next w:val="CommentText"/>
    <w:semiHidden/>
    <w:rPr>
      <w:b/>
      <w:bCs/>
    </w:rPr>
  </w:style>
  <w:style w:type="paragraph" w:styleId="ListParagraph">
    <w:name w:val="List Paragraph"/>
    <w:basedOn w:val="Normal"/>
    <w:uiPriority w:val="34"/>
    <w:qFormat/>
    <w:rsid w:val="002536A7"/>
    <w:pPr>
      <w:ind w:left="720"/>
    </w:pPr>
  </w:style>
  <w:style w:type="paragraph" w:styleId="EndnoteText">
    <w:name w:val="endnote text"/>
    <w:basedOn w:val="Normal"/>
    <w:link w:val="EndnoteTextChar"/>
    <w:rsid w:val="00120F1B"/>
    <w:rPr>
      <w:sz w:val="20"/>
    </w:rPr>
  </w:style>
  <w:style w:type="character" w:customStyle="1" w:styleId="EndnoteTextChar">
    <w:name w:val="Endnote Text Char"/>
    <w:link w:val="EndnoteText"/>
    <w:rsid w:val="0037229B"/>
    <w:rPr>
      <w:snapToGrid w:val="0"/>
      <w:kern w:val="28"/>
    </w:rPr>
  </w:style>
  <w:style w:type="paragraph" w:styleId="TOC1">
    <w:name w:val="toc 1"/>
    <w:basedOn w:val="Normal"/>
    <w:next w:val="Normal"/>
    <w:rsid w:val="00120F1B"/>
    <w:pPr>
      <w:tabs>
        <w:tab w:val="left" w:pos="360"/>
        <w:tab w:val="right" w:leader="dot" w:pos="9360"/>
      </w:tabs>
      <w:suppressAutoHyphens/>
      <w:ind w:left="360" w:right="720" w:hanging="360"/>
    </w:pPr>
    <w:rPr>
      <w:caps/>
      <w:noProof/>
    </w:rPr>
  </w:style>
  <w:style w:type="paragraph" w:styleId="TOC2">
    <w:name w:val="toc 2"/>
    <w:basedOn w:val="Normal"/>
    <w:next w:val="Normal"/>
    <w:rsid w:val="00120F1B"/>
    <w:pPr>
      <w:tabs>
        <w:tab w:val="left" w:pos="720"/>
        <w:tab w:val="right" w:leader="dot" w:pos="9360"/>
      </w:tabs>
      <w:suppressAutoHyphens/>
      <w:ind w:left="720" w:right="720" w:hanging="360"/>
    </w:pPr>
    <w:rPr>
      <w:noProof/>
    </w:rPr>
  </w:style>
  <w:style w:type="paragraph" w:styleId="TOC3">
    <w:name w:val="toc 3"/>
    <w:basedOn w:val="Normal"/>
    <w:next w:val="Normal"/>
    <w:rsid w:val="00120F1B"/>
    <w:pPr>
      <w:tabs>
        <w:tab w:val="left" w:pos="1080"/>
        <w:tab w:val="right" w:leader="dot" w:pos="9360"/>
      </w:tabs>
      <w:suppressAutoHyphens/>
      <w:ind w:left="1080" w:right="720" w:hanging="360"/>
    </w:pPr>
    <w:rPr>
      <w:noProof/>
    </w:rPr>
  </w:style>
  <w:style w:type="paragraph" w:styleId="TOC4">
    <w:name w:val="toc 4"/>
    <w:basedOn w:val="Normal"/>
    <w:next w:val="Normal"/>
    <w:autoRedefine/>
    <w:rsid w:val="00120F1B"/>
    <w:pPr>
      <w:tabs>
        <w:tab w:val="left" w:pos="1440"/>
        <w:tab w:val="right" w:leader="dot" w:pos="9360"/>
      </w:tabs>
      <w:suppressAutoHyphens/>
      <w:ind w:left="1440" w:right="720" w:hanging="360"/>
    </w:pPr>
    <w:rPr>
      <w:noProof/>
    </w:rPr>
  </w:style>
  <w:style w:type="paragraph" w:styleId="TOC5">
    <w:name w:val="toc 5"/>
    <w:basedOn w:val="Normal"/>
    <w:next w:val="Normal"/>
    <w:autoRedefine/>
    <w:rsid w:val="00120F1B"/>
    <w:pPr>
      <w:tabs>
        <w:tab w:val="left" w:pos="1800"/>
        <w:tab w:val="right" w:leader="dot" w:pos="9360"/>
      </w:tabs>
      <w:suppressAutoHyphens/>
      <w:ind w:left="1800" w:right="720" w:hanging="360"/>
    </w:pPr>
    <w:rPr>
      <w:noProof/>
    </w:rPr>
  </w:style>
  <w:style w:type="paragraph" w:styleId="TOC6">
    <w:name w:val="toc 6"/>
    <w:basedOn w:val="Normal"/>
    <w:next w:val="Normal"/>
    <w:autoRedefine/>
    <w:rsid w:val="00120F1B"/>
    <w:pPr>
      <w:tabs>
        <w:tab w:val="left" w:pos="2160"/>
        <w:tab w:val="right" w:leader="dot" w:pos="9360"/>
      </w:tabs>
      <w:suppressAutoHyphens/>
      <w:ind w:left="2160" w:hanging="360"/>
    </w:pPr>
    <w:rPr>
      <w:noProof/>
    </w:rPr>
  </w:style>
  <w:style w:type="paragraph" w:styleId="TOC7">
    <w:name w:val="toc 7"/>
    <w:basedOn w:val="Normal"/>
    <w:next w:val="Normal"/>
    <w:autoRedefine/>
    <w:rsid w:val="00120F1B"/>
    <w:pPr>
      <w:tabs>
        <w:tab w:val="left" w:pos="2520"/>
        <w:tab w:val="right" w:leader="dot" w:pos="9360"/>
      </w:tabs>
      <w:suppressAutoHyphens/>
      <w:ind w:left="2520" w:hanging="360"/>
    </w:pPr>
    <w:rPr>
      <w:noProof/>
    </w:rPr>
  </w:style>
  <w:style w:type="paragraph" w:styleId="TOC8">
    <w:name w:val="toc 8"/>
    <w:basedOn w:val="Normal"/>
    <w:next w:val="Normal"/>
    <w:autoRedefine/>
    <w:rsid w:val="00120F1B"/>
    <w:pPr>
      <w:tabs>
        <w:tab w:val="left" w:pos="2880"/>
        <w:tab w:val="right" w:leader="dot" w:pos="9360"/>
      </w:tabs>
      <w:suppressAutoHyphens/>
      <w:ind w:left="2880" w:hanging="360"/>
    </w:pPr>
    <w:rPr>
      <w:noProof/>
    </w:rPr>
  </w:style>
  <w:style w:type="paragraph" w:styleId="TOC9">
    <w:name w:val="toc 9"/>
    <w:basedOn w:val="Normal"/>
    <w:next w:val="Normal"/>
    <w:autoRedefine/>
    <w:rsid w:val="00120F1B"/>
    <w:pPr>
      <w:tabs>
        <w:tab w:val="left" w:pos="3240"/>
        <w:tab w:val="right" w:leader="dot" w:pos="9360"/>
      </w:tabs>
      <w:suppressAutoHyphens/>
      <w:ind w:left="3240" w:hanging="360"/>
    </w:pPr>
    <w:rPr>
      <w:noProof/>
    </w:rPr>
  </w:style>
  <w:style w:type="paragraph" w:styleId="TOAHeading">
    <w:name w:val="toa heading"/>
    <w:basedOn w:val="Normal"/>
    <w:next w:val="Normal"/>
    <w:rsid w:val="00120F1B"/>
    <w:pPr>
      <w:tabs>
        <w:tab w:val="right" w:pos="9360"/>
      </w:tabs>
      <w:suppressAutoHyphens/>
    </w:pPr>
  </w:style>
  <w:style w:type="character" w:customStyle="1" w:styleId="EquationCaption">
    <w:name w:val="_Equation Caption"/>
    <w:rsid w:val="00120F1B"/>
  </w:style>
  <w:style w:type="paragraph" w:styleId="BlockText">
    <w:name w:val="Block Text"/>
    <w:basedOn w:val="Normal"/>
    <w:rsid w:val="00120F1B"/>
    <w:pPr>
      <w:spacing w:after="240"/>
      <w:ind w:left="1440" w:right="1440"/>
    </w:pPr>
  </w:style>
  <w:style w:type="paragraph" w:customStyle="1" w:styleId="Paratitle">
    <w:name w:val="Para title"/>
    <w:basedOn w:val="Normal"/>
    <w:rsid w:val="00120F1B"/>
    <w:pPr>
      <w:tabs>
        <w:tab w:val="center" w:pos="9270"/>
      </w:tabs>
      <w:spacing w:after="240"/>
    </w:pPr>
    <w:rPr>
      <w:spacing w:val="-2"/>
    </w:rPr>
  </w:style>
  <w:style w:type="paragraph" w:customStyle="1" w:styleId="Bullet">
    <w:name w:val="Bullet"/>
    <w:basedOn w:val="Normal"/>
    <w:rsid w:val="00120F1B"/>
    <w:pPr>
      <w:tabs>
        <w:tab w:val="left" w:pos="2160"/>
      </w:tabs>
      <w:spacing w:after="220"/>
      <w:ind w:left="2160" w:hanging="720"/>
    </w:pPr>
  </w:style>
  <w:style w:type="paragraph" w:customStyle="1" w:styleId="TOCTitle">
    <w:name w:val="TOC Title"/>
    <w:basedOn w:val="Normal"/>
    <w:rsid w:val="00120F1B"/>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120F1B"/>
    <w:pPr>
      <w:jc w:val="center"/>
    </w:pPr>
    <w:rPr>
      <w:rFonts w:ascii="Times New Roman Bold" w:hAnsi="Times New Roman Bold"/>
      <w:b/>
      <w:bCs/>
      <w:caps/>
      <w:szCs w:val="22"/>
    </w:rPr>
  </w:style>
  <w:style w:type="paragraph" w:customStyle="1" w:styleId="Default">
    <w:name w:val="Default"/>
    <w:rsid w:val="00B73CA0"/>
    <w:pPr>
      <w:autoSpaceDE w:val="0"/>
      <w:autoSpaceDN w:val="0"/>
      <w:adjustRightInd w:val="0"/>
    </w:pPr>
    <w:rPr>
      <w:rFonts w:ascii="Arial" w:hAnsi="Arial" w:cs="Arial"/>
      <w:color w:val="000000"/>
      <w:sz w:val="24"/>
      <w:szCs w:val="24"/>
    </w:rPr>
  </w:style>
  <w:style w:type="character" w:customStyle="1" w:styleId="ParaNumChar">
    <w:name w:val="ParaNum Char"/>
    <w:link w:val="ParaNum"/>
    <w:locked/>
    <w:rsid w:val="004C6F33"/>
    <w:rPr>
      <w:snapToGrid w:val="0"/>
      <w:kern w:val="28"/>
      <w:sz w:val="22"/>
    </w:rPr>
  </w:style>
  <w:style w:type="character" w:styleId="Emphasis">
    <w:name w:val="Emphasis"/>
    <w:qFormat/>
    <w:rsid w:val="00951396"/>
    <w:rPr>
      <w:i/>
      <w:iCs/>
    </w:rPr>
  </w:style>
  <w:style w:type="character" w:customStyle="1" w:styleId="CommentTextChar">
    <w:name w:val="Comment Text Char"/>
    <w:link w:val="CommentText"/>
    <w:rsid w:val="00D4622B"/>
    <w:rPr>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81828">
      <w:bodyDiv w:val="1"/>
      <w:marLeft w:val="0"/>
      <w:marRight w:val="0"/>
      <w:marTop w:val="0"/>
      <w:marBottom w:val="0"/>
      <w:divBdr>
        <w:top w:val="none" w:sz="0" w:space="0" w:color="auto"/>
        <w:left w:val="none" w:sz="0" w:space="0" w:color="auto"/>
        <w:bottom w:val="none" w:sz="0" w:space="0" w:color="auto"/>
        <w:right w:val="none" w:sz="0" w:space="0" w:color="auto"/>
      </w:divBdr>
    </w:div>
    <w:div w:id="189758705">
      <w:bodyDiv w:val="1"/>
      <w:marLeft w:val="0"/>
      <w:marRight w:val="0"/>
      <w:marTop w:val="0"/>
      <w:marBottom w:val="0"/>
      <w:divBdr>
        <w:top w:val="none" w:sz="0" w:space="0" w:color="auto"/>
        <w:left w:val="none" w:sz="0" w:space="0" w:color="auto"/>
        <w:bottom w:val="none" w:sz="0" w:space="0" w:color="auto"/>
        <w:right w:val="none" w:sz="0" w:space="0" w:color="auto"/>
      </w:divBdr>
    </w:div>
    <w:div w:id="213468393">
      <w:bodyDiv w:val="1"/>
      <w:marLeft w:val="0"/>
      <w:marRight w:val="0"/>
      <w:marTop w:val="0"/>
      <w:marBottom w:val="0"/>
      <w:divBdr>
        <w:top w:val="none" w:sz="0" w:space="0" w:color="auto"/>
        <w:left w:val="none" w:sz="0" w:space="0" w:color="auto"/>
        <w:bottom w:val="none" w:sz="0" w:space="0" w:color="auto"/>
        <w:right w:val="none" w:sz="0" w:space="0" w:color="auto"/>
      </w:divBdr>
    </w:div>
    <w:div w:id="294915687">
      <w:bodyDiv w:val="1"/>
      <w:marLeft w:val="0"/>
      <w:marRight w:val="0"/>
      <w:marTop w:val="0"/>
      <w:marBottom w:val="0"/>
      <w:divBdr>
        <w:top w:val="none" w:sz="0" w:space="0" w:color="auto"/>
        <w:left w:val="none" w:sz="0" w:space="0" w:color="auto"/>
        <w:bottom w:val="none" w:sz="0" w:space="0" w:color="auto"/>
        <w:right w:val="none" w:sz="0" w:space="0" w:color="auto"/>
      </w:divBdr>
    </w:div>
    <w:div w:id="335806962">
      <w:bodyDiv w:val="1"/>
      <w:marLeft w:val="0"/>
      <w:marRight w:val="0"/>
      <w:marTop w:val="0"/>
      <w:marBottom w:val="0"/>
      <w:divBdr>
        <w:top w:val="none" w:sz="0" w:space="0" w:color="auto"/>
        <w:left w:val="none" w:sz="0" w:space="0" w:color="auto"/>
        <w:bottom w:val="none" w:sz="0" w:space="0" w:color="auto"/>
        <w:right w:val="none" w:sz="0" w:space="0" w:color="auto"/>
      </w:divBdr>
    </w:div>
    <w:div w:id="349187824">
      <w:bodyDiv w:val="1"/>
      <w:marLeft w:val="0"/>
      <w:marRight w:val="0"/>
      <w:marTop w:val="0"/>
      <w:marBottom w:val="0"/>
      <w:divBdr>
        <w:top w:val="none" w:sz="0" w:space="0" w:color="auto"/>
        <w:left w:val="none" w:sz="0" w:space="0" w:color="auto"/>
        <w:bottom w:val="none" w:sz="0" w:space="0" w:color="auto"/>
        <w:right w:val="none" w:sz="0" w:space="0" w:color="auto"/>
      </w:divBdr>
    </w:div>
    <w:div w:id="508176777">
      <w:bodyDiv w:val="1"/>
      <w:marLeft w:val="0"/>
      <w:marRight w:val="0"/>
      <w:marTop w:val="0"/>
      <w:marBottom w:val="0"/>
      <w:divBdr>
        <w:top w:val="none" w:sz="0" w:space="0" w:color="auto"/>
        <w:left w:val="none" w:sz="0" w:space="0" w:color="auto"/>
        <w:bottom w:val="none" w:sz="0" w:space="0" w:color="auto"/>
        <w:right w:val="none" w:sz="0" w:space="0" w:color="auto"/>
      </w:divBdr>
    </w:div>
    <w:div w:id="558977874">
      <w:bodyDiv w:val="1"/>
      <w:marLeft w:val="0"/>
      <w:marRight w:val="0"/>
      <w:marTop w:val="0"/>
      <w:marBottom w:val="0"/>
      <w:divBdr>
        <w:top w:val="none" w:sz="0" w:space="0" w:color="auto"/>
        <w:left w:val="none" w:sz="0" w:space="0" w:color="auto"/>
        <w:bottom w:val="none" w:sz="0" w:space="0" w:color="auto"/>
        <w:right w:val="none" w:sz="0" w:space="0" w:color="auto"/>
      </w:divBdr>
    </w:div>
    <w:div w:id="676537418">
      <w:bodyDiv w:val="1"/>
      <w:marLeft w:val="0"/>
      <w:marRight w:val="0"/>
      <w:marTop w:val="0"/>
      <w:marBottom w:val="0"/>
      <w:divBdr>
        <w:top w:val="none" w:sz="0" w:space="0" w:color="auto"/>
        <w:left w:val="none" w:sz="0" w:space="0" w:color="auto"/>
        <w:bottom w:val="none" w:sz="0" w:space="0" w:color="auto"/>
        <w:right w:val="none" w:sz="0" w:space="0" w:color="auto"/>
      </w:divBdr>
    </w:div>
    <w:div w:id="852109773">
      <w:bodyDiv w:val="1"/>
      <w:marLeft w:val="0"/>
      <w:marRight w:val="0"/>
      <w:marTop w:val="0"/>
      <w:marBottom w:val="0"/>
      <w:divBdr>
        <w:top w:val="none" w:sz="0" w:space="0" w:color="auto"/>
        <w:left w:val="none" w:sz="0" w:space="0" w:color="auto"/>
        <w:bottom w:val="none" w:sz="0" w:space="0" w:color="auto"/>
        <w:right w:val="none" w:sz="0" w:space="0" w:color="auto"/>
      </w:divBdr>
    </w:div>
    <w:div w:id="935870128">
      <w:bodyDiv w:val="1"/>
      <w:marLeft w:val="0"/>
      <w:marRight w:val="0"/>
      <w:marTop w:val="0"/>
      <w:marBottom w:val="0"/>
      <w:divBdr>
        <w:top w:val="none" w:sz="0" w:space="0" w:color="auto"/>
        <w:left w:val="none" w:sz="0" w:space="0" w:color="auto"/>
        <w:bottom w:val="none" w:sz="0" w:space="0" w:color="auto"/>
        <w:right w:val="none" w:sz="0" w:space="0" w:color="auto"/>
      </w:divBdr>
    </w:div>
    <w:div w:id="1032337550">
      <w:bodyDiv w:val="1"/>
      <w:marLeft w:val="0"/>
      <w:marRight w:val="0"/>
      <w:marTop w:val="0"/>
      <w:marBottom w:val="0"/>
      <w:divBdr>
        <w:top w:val="none" w:sz="0" w:space="0" w:color="auto"/>
        <w:left w:val="none" w:sz="0" w:space="0" w:color="auto"/>
        <w:bottom w:val="none" w:sz="0" w:space="0" w:color="auto"/>
        <w:right w:val="none" w:sz="0" w:space="0" w:color="auto"/>
      </w:divBdr>
    </w:div>
    <w:div w:id="1271401961">
      <w:bodyDiv w:val="1"/>
      <w:marLeft w:val="0"/>
      <w:marRight w:val="0"/>
      <w:marTop w:val="0"/>
      <w:marBottom w:val="0"/>
      <w:divBdr>
        <w:top w:val="none" w:sz="0" w:space="0" w:color="auto"/>
        <w:left w:val="none" w:sz="0" w:space="0" w:color="auto"/>
        <w:bottom w:val="none" w:sz="0" w:space="0" w:color="auto"/>
        <w:right w:val="none" w:sz="0" w:space="0" w:color="auto"/>
      </w:divBdr>
    </w:div>
    <w:div w:id="1301225253">
      <w:bodyDiv w:val="1"/>
      <w:marLeft w:val="0"/>
      <w:marRight w:val="0"/>
      <w:marTop w:val="0"/>
      <w:marBottom w:val="0"/>
      <w:divBdr>
        <w:top w:val="none" w:sz="0" w:space="0" w:color="auto"/>
        <w:left w:val="none" w:sz="0" w:space="0" w:color="auto"/>
        <w:bottom w:val="none" w:sz="0" w:space="0" w:color="auto"/>
        <w:right w:val="none" w:sz="0" w:space="0" w:color="auto"/>
      </w:divBdr>
    </w:div>
    <w:div w:id="1441339885">
      <w:bodyDiv w:val="1"/>
      <w:marLeft w:val="0"/>
      <w:marRight w:val="0"/>
      <w:marTop w:val="0"/>
      <w:marBottom w:val="0"/>
      <w:divBdr>
        <w:top w:val="none" w:sz="0" w:space="0" w:color="auto"/>
        <w:left w:val="none" w:sz="0" w:space="0" w:color="auto"/>
        <w:bottom w:val="none" w:sz="0" w:space="0" w:color="auto"/>
        <w:right w:val="none" w:sz="0" w:space="0" w:color="auto"/>
      </w:divBdr>
    </w:div>
    <w:div w:id="1596474258">
      <w:bodyDiv w:val="1"/>
      <w:marLeft w:val="0"/>
      <w:marRight w:val="0"/>
      <w:marTop w:val="0"/>
      <w:marBottom w:val="0"/>
      <w:divBdr>
        <w:top w:val="none" w:sz="0" w:space="0" w:color="auto"/>
        <w:left w:val="none" w:sz="0" w:space="0" w:color="auto"/>
        <w:bottom w:val="none" w:sz="0" w:space="0" w:color="auto"/>
        <w:right w:val="none" w:sz="0" w:space="0" w:color="auto"/>
      </w:divBdr>
    </w:div>
    <w:div w:id="1697853507">
      <w:bodyDiv w:val="1"/>
      <w:marLeft w:val="0"/>
      <w:marRight w:val="0"/>
      <w:marTop w:val="0"/>
      <w:marBottom w:val="0"/>
      <w:divBdr>
        <w:top w:val="none" w:sz="0" w:space="0" w:color="auto"/>
        <w:left w:val="none" w:sz="0" w:space="0" w:color="auto"/>
        <w:bottom w:val="none" w:sz="0" w:space="0" w:color="auto"/>
        <w:right w:val="none" w:sz="0" w:space="0" w:color="auto"/>
      </w:divBdr>
    </w:div>
    <w:div w:id="1712412425">
      <w:bodyDiv w:val="1"/>
      <w:marLeft w:val="0"/>
      <w:marRight w:val="0"/>
      <w:marTop w:val="0"/>
      <w:marBottom w:val="0"/>
      <w:divBdr>
        <w:top w:val="none" w:sz="0" w:space="0" w:color="auto"/>
        <w:left w:val="none" w:sz="0" w:space="0" w:color="auto"/>
        <w:bottom w:val="none" w:sz="0" w:space="0" w:color="auto"/>
        <w:right w:val="none" w:sz="0" w:space="0" w:color="auto"/>
      </w:divBdr>
    </w:div>
    <w:div w:id="1886940266">
      <w:bodyDiv w:val="1"/>
      <w:marLeft w:val="0"/>
      <w:marRight w:val="0"/>
      <w:marTop w:val="0"/>
      <w:marBottom w:val="0"/>
      <w:divBdr>
        <w:top w:val="none" w:sz="0" w:space="0" w:color="auto"/>
        <w:left w:val="none" w:sz="0" w:space="0" w:color="auto"/>
        <w:bottom w:val="none" w:sz="0" w:space="0" w:color="auto"/>
        <w:right w:val="none" w:sz="0" w:space="0" w:color="auto"/>
      </w:divBdr>
    </w:div>
    <w:div w:id="1928801452">
      <w:bodyDiv w:val="1"/>
      <w:marLeft w:val="0"/>
      <w:marRight w:val="0"/>
      <w:marTop w:val="0"/>
      <w:marBottom w:val="0"/>
      <w:divBdr>
        <w:top w:val="single" w:sz="2" w:space="0" w:color="0000FF"/>
        <w:left w:val="single" w:sz="2" w:space="0" w:color="0000FF"/>
        <w:bottom w:val="single" w:sz="2" w:space="0" w:color="0000FF"/>
        <w:right w:val="single" w:sz="2" w:space="0" w:color="0000FF"/>
      </w:divBdr>
      <w:divsChild>
        <w:div w:id="1481340943">
          <w:marLeft w:val="0"/>
          <w:marRight w:val="0"/>
          <w:marTop w:val="0"/>
          <w:marBottom w:val="0"/>
          <w:divBdr>
            <w:top w:val="none" w:sz="0" w:space="0" w:color="auto"/>
            <w:left w:val="single" w:sz="6" w:space="23" w:color="CCCCCC"/>
            <w:bottom w:val="none" w:sz="0" w:space="0" w:color="auto"/>
            <w:right w:val="single" w:sz="6" w:space="23" w:color="CCCCCC"/>
          </w:divBdr>
          <w:divsChild>
            <w:div w:id="1223326270">
              <w:marLeft w:val="0"/>
              <w:marRight w:val="0"/>
              <w:marTop w:val="0"/>
              <w:marBottom w:val="0"/>
              <w:divBdr>
                <w:top w:val="single" w:sz="2" w:space="0" w:color="FF0066"/>
                <w:left w:val="single" w:sz="2" w:space="0" w:color="FF0066"/>
                <w:bottom w:val="single" w:sz="2" w:space="0" w:color="FF0066"/>
                <w:right w:val="single" w:sz="2" w:space="0" w:color="FF0066"/>
              </w:divBdr>
              <w:divsChild>
                <w:div w:id="1128624848">
                  <w:marLeft w:val="750"/>
                  <w:marRight w:val="0"/>
                  <w:marTop w:val="150"/>
                  <w:marBottom w:val="0"/>
                  <w:divBdr>
                    <w:top w:val="single" w:sz="2" w:space="0" w:color="CC9900"/>
                    <w:left w:val="single" w:sz="2" w:space="0" w:color="CC9900"/>
                    <w:bottom w:val="single" w:sz="2" w:space="23" w:color="CC9900"/>
                    <w:right w:val="single" w:sz="2" w:space="0" w:color="CC9900"/>
                  </w:divBdr>
                  <w:divsChild>
                    <w:div w:id="915091918">
                      <w:marLeft w:val="0"/>
                      <w:marRight w:val="0"/>
                      <w:marTop w:val="0"/>
                      <w:marBottom w:val="0"/>
                      <w:divBdr>
                        <w:top w:val="single" w:sz="2" w:space="0" w:color="E5E5E5"/>
                        <w:left w:val="single" w:sz="2" w:space="0" w:color="E5E5E5"/>
                        <w:bottom w:val="single" w:sz="2" w:space="0" w:color="E5E5E5"/>
                        <w:right w:val="single" w:sz="2" w:space="0" w:color="E5E5E5"/>
                      </w:divBdr>
                    </w:div>
                  </w:divsChild>
                </w:div>
              </w:divsChild>
            </w:div>
          </w:divsChild>
        </w:div>
      </w:divsChild>
    </w:div>
    <w:div w:id="1939095032">
      <w:bodyDiv w:val="1"/>
      <w:marLeft w:val="0"/>
      <w:marRight w:val="0"/>
      <w:marTop w:val="0"/>
      <w:marBottom w:val="0"/>
      <w:divBdr>
        <w:top w:val="none" w:sz="0" w:space="0" w:color="auto"/>
        <w:left w:val="none" w:sz="0" w:space="0" w:color="auto"/>
        <w:bottom w:val="none" w:sz="0" w:space="0" w:color="auto"/>
        <w:right w:val="none" w:sz="0" w:space="0" w:color="auto"/>
      </w:divBdr>
    </w:div>
    <w:div w:id="2113743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ecfr.gov/cgi-bin/text-idx?c=ecfr&amp;SID=b9419ee9a989e80a118c41ed38195f61&amp;rgn=div6&amp;view=text&amp;node=47:3.0.1.1.7.7&amp;idno=47" TargetMode="External"/><Relationship Id="rId3" Type="http://schemas.openxmlformats.org/officeDocument/2006/relationships/hyperlink" Target="http://www.ecfr.gov/cgi-bin/text-idx?c=ecfr&amp;SID=b9419ee9a989e80a118c41ed38195f61&amp;rgn=div6&amp;view=text&amp;node=47:3.0.1.1.7.7&amp;idno=47" TargetMode="External"/><Relationship Id="rId7" Type="http://schemas.openxmlformats.org/officeDocument/2006/relationships/hyperlink" Target="http://www.fcc.gov/encyclopedia/healthcare-connect-fund-frequently-asked-questions" TargetMode="External"/><Relationship Id="rId2" Type="http://schemas.openxmlformats.org/officeDocument/2006/relationships/hyperlink" Target="http://www.usac.org/rhc/" TargetMode="External"/><Relationship Id="rId1" Type="http://schemas.openxmlformats.org/officeDocument/2006/relationships/hyperlink" Target="http://www.stvincent.org/St-Vincent-Heart-Center/Programs-And-Services/Other-Programs-Services/Suburban-Health-Organization-Partner.aspx" TargetMode="External"/><Relationship Id="rId6" Type="http://schemas.openxmlformats.org/officeDocument/2006/relationships/hyperlink" Target="http://www.ecfr.gov/cgi-bin/text-idx?c=ecfr&amp;SID=b9419ee9a989e80a118c41ed38195f61&amp;rgn=div6&amp;view=text&amp;node=47:3.0.1.1.7.7&amp;idno=47" TargetMode="External"/><Relationship Id="rId5" Type="http://schemas.openxmlformats.org/officeDocument/2006/relationships/hyperlink" Target="http://www.ecfr.gov/cgi-bin/text-idx?c=ecfr&amp;SID=b9419ee9a989e80a118c41ed38195f61&amp;rgn=div6&amp;view=text&amp;node=47:3.0.1.1.7.7&amp;idno=47" TargetMode="External"/><Relationship Id="rId4" Type="http://schemas.openxmlformats.org/officeDocument/2006/relationships/hyperlink" Target="http://www.ecfr.gov/cgi-bin/text-idx?c=ecfr&amp;SID=b9419ee9a989e80a118c41ed38195f61&amp;rgn=div6&amp;view=text&amp;node=47:3.0.1.1.7.7&amp;idno=4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6</Pages>
  <Words>1820</Words>
  <Characters>9980</Characters>
  <Application>Microsoft Office Word</Application>
  <DocSecurity>0</DocSecurity>
  <Lines>150</Lines>
  <Paragraphs>35</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11860</CharactersWithSpaces>
  <SharedDoc>false</SharedDoc>
  <HyperlinkBase> </HyperlinkBase>
  <HLinks>
    <vt:vector size="48" baseType="variant">
      <vt:variant>
        <vt:i4>1376333</vt:i4>
      </vt:variant>
      <vt:variant>
        <vt:i4>21</vt:i4>
      </vt:variant>
      <vt:variant>
        <vt:i4>0</vt:i4>
      </vt:variant>
      <vt:variant>
        <vt:i4>5</vt:i4>
      </vt:variant>
      <vt:variant>
        <vt:lpwstr>http://www.ecfr.gov/cgi-bin/text-idx?c=ecfr&amp;SID=b9419ee9a989e80a118c41ed38195f61&amp;rgn=div6&amp;view=text&amp;node=47:3.0.1.1.7.7&amp;idno=47</vt:lpwstr>
      </vt:variant>
      <vt:variant>
        <vt:lpwstr>47:3.0.1.1.7.7.8.2</vt:lpwstr>
      </vt:variant>
      <vt:variant>
        <vt:i4>3342383</vt:i4>
      </vt:variant>
      <vt:variant>
        <vt:i4>18</vt:i4>
      </vt:variant>
      <vt:variant>
        <vt:i4>0</vt:i4>
      </vt:variant>
      <vt:variant>
        <vt:i4>5</vt:i4>
      </vt:variant>
      <vt:variant>
        <vt:lpwstr>http://www.fcc.gov/encyclopedia/healthcare-connect-fund-frequently-asked-questions</vt:lpwstr>
      </vt:variant>
      <vt:variant>
        <vt:lpwstr/>
      </vt:variant>
      <vt:variant>
        <vt:i4>1376333</vt:i4>
      </vt:variant>
      <vt:variant>
        <vt:i4>15</vt:i4>
      </vt:variant>
      <vt:variant>
        <vt:i4>0</vt:i4>
      </vt:variant>
      <vt:variant>
        <vt:i4>5</vt:i4>
      </vt:variant>
      <vt:variant>
        <vt:lpwstr>http://www.ecfr.gov/cgi-bin/text-idx?c=ecfr&amp;SID=b9419ee9a989e80a118c41ed38195f61&amp;rgn=div6&amp;view=text&amp;node=47:3.0.1.1.7.7&amp;idno=47</vt:lpwstr>
      </vt:variant>
      <vt:variant>
        <vt:lpwstr>47:3.0.1.1.7.7.8.2</vt:lpwstr>
      </vt:variant>
      <vt:variant>
        <vt:i4>1376333</vt:i4>
      </vt:variant>
      <vt:variant>
        <vt:i4>12</vt:i4>
      </vt:variant>
      <vt:variant>
        <vt:i4>0</vt:i4>
      </vt:variant>
      <vt:variant>
        <vt:i4>5</vt:i4>
      </vt:variant>
      <vt:variant>
        <vt:lpwstr>http://www.ecfr.gov/cgi-bin/text-idx?c=ecfr&amp;SID=b9419ee9a989e80a118c41ed38195f61&amp;rgn=div6&amp;view=text&amp;node=47:3.0.1.1.7.7&amp;idno=47</vt:lpwstr>
      </vt:variant>
      <vt:variant>
        <vt:lpwstr>47:3.0.1.1.7.7.8.2</vt:lpwstr>
      </vt:variant>
      <vt:variant>
        <vt:i4>1376333</vt:i4>
      </vt:variant>
      <vt:variant>
        <vt:i4>9</vt:i4>
      </vt:variant>
      <vt:variant>
        <vt:i4>0</vt:i4>
      </vt:variant>
      <vt:variant>
        <vt:i4>5</vt:i4>
      </vt:variant>
      <vt:variant>
        <vt:lpwstr>http://www.ecfr.gov/cgi-bin/text-idx?c=ecfr&amp;SID=b9419ee9a989e80a118c41ed38195f61&amp;rgn=div6&amp;view=text&amp;node=47:3.0.1.1.7.7&amp;idno=47</vt:lpwstr>
      </vt:variant>
      <vt:variant>
        <vt:lpwstr>47:3.0.1.1.7.7.8.2</vt:lpwstr>
      </vt:variant>
      <vt:variant>
        <vt:i4>1376333</vt:i4>
      </vt:variant>
      <vt:variant>
        <vt:i4>6</vt:i4>
      </vt:variant>
      <vt:variant>
        <vt:i4>0</vt:i4>
      </vt:variant>
      <vt:variant>
        <vt:i4>5</vt:i4>
      </vt:variant>
      <vt:variant>
        <vt:lpwstr>http://www.ecfr.gov/cgi-bin/text-idx?c=ecfr&amp;SID=b9419ee9a989e80a118c41ed38195f61&amp;rgn=div6&amp;view=text&amp;node=47:3.0.1.1.7.7&amp;idno=47</vt:lpwstr>
      </vt:variant>
      <vt:variant>
        <vt:lpwstr>47:3.0.1.1.7.7.8.2</vt:lpwstr>
      </vt:variant>
      <vt:variant>
        <vt:i4>720985</vt:i4>
      </vt:variant>
      <vt:variant>
        <vt:i4>3</vt:i4>
      </vt:variant>
      <vt:variant>
        <vt:i4>0</vt:i4>
      </vt:variant>
      <vt:variant>
        <vt:i4>5</vt:i4>
      </vt:variant>
      <vt:variant>
        <vt:lpwstr>http://www.usac.org/rhc/</vt:lpwstr>
      </vt:variant>
      <vt:variant>
        <vt:lpwstr/>
      </vt:variant>
      <vt:variant>
        <vt:i4>1048578</vt:i4>
      </vt:variant>
      <vt:variant>
        <vt:i4>0</vt:i4>
      </vt:variant>
      <vt:variant>
        <vt:i4>0</vt:i4>
      </vt:variant>
      <vt:variant>
        <vt:i4>5</vt:i4>
      </vt:variant>
      <vt:variant>
        <vt:lpwstr>http://www.stvincent.org/St-Vincent-Heart-Center/Programs-And-Services/Other-Programs-Services/Suburban-Health-Organization-Partner.aspx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2011-01-14T19:13:00Z</cp:lastPrinted>
  <dcterms:created xsi:type="dcterms:W3CDTF">2015-10-02T21:17:00Z</dcterms:created>
  <dcterms:modified xsi:type="dcterms:W3CDTF">2015-10-02T21:17:00Z</dcterms:modified>
  <cp:category> </cp:category>
  <cp:contentStatus> </cp:contentStatus>
</cp:coreProperties>
</file>