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46540" w14:textId="77777777" w:rsidR="009E3C37" w:rsidRDefault="009E3C37">
      <w:pPr>
        <w:jc w:val="center"/>
        <w:rPr>
          <w:b/>
          <w:szCs w:val="22"/>
        </w:rPr>
      </w:pPr>
      <w:bookmarkStart w:id="0" w:name="_GoBack"/>
      <w:bookmarkEnd w:id="0"/>
      <w:r>
        <w:rPr>
          <w:b/>
          <w:szCs w:val="22"/>
        </w:rPr>
        <w:t>Before the</w:t>
      </w:r>
    </w:p>
    <w:p w14:paraId="7EBD31AC" w14:textId="77777777" w:rsidR="009E3C37" w:rsidRDefault="009E3C37">
      <w:pPr>
        <w:jc w:val="center"/>
        <w:rPr>
          <w:b/>
          <w:szCs w:val="22"/>
        </w:rPr>
      </w:pPr>
      <w:r>
        <w:rPr>
          <w:b/>
          <w:szCs w:val="22"/>
        </w:rPr>
        <w:t>Federal Communications Commission</w:t>
      </w:r>
    </w:p>
    <w:p w14:paraId="3B278321" w14:textId="77777777" w:rsidR="009E3C37" w:rsidRDefault="009E3C37">
      <w:pPr>
        <w:jc w:val="center"/>
        <w:rPr>
          <w:b/>
          <w:szCs w:val="22"/>
        </w:rPr>
      </w:pPr>
      <w:r>
        <w:rPr>
          <w:b/>
          <w:szCs w:val="22"/>
        </w:rPr>
        <w:t>Washington, D.C.  20554</w:t>
      </w:r>
    </w:p>
    <w:p w14:paraId="75DE5556" w14:textId="77777777" w:rsidR="009E3C37" w:rsidRDefault="009E3C37"/>
    <w:tbl>
      <w:tblPr>
        <w:tblW w:w="8748" w:type="dxa"/>
        <w:tblLayout w:type="fixed"/>
        <w:tblLook w:val="0000" w:firstRow="0" w:lastRow="0" w:firstColumn="0" w:lastColumn="0" w:noHBand="0" w:noVBand="0"/>
      </w:tblPr>
      <w:tblGrid>
        <w:gridCol w:w="4698"/>
        <w:gridCol w:w="4050"/>
      </w:tblGrid>
      <w:tr w:rsidR="009E3C37" w:rsidRPr="003C4C63" w14:paraId="4A179437" w14:textId="77777777">
        <w:tc>
          <w:tcPr>
            <w:tcW w:w="4698" w:type="dxa"/>
          </w:tcPr>
          <w:p w14:paraId="6D7CC7F7" w14:textId="77777777" w:rsidR="009E3C37" w:rsidRPr="003C4C63" w:rsidRDefault="009E3C37">
            <w:pPr>
              <w:tabs>
                <w:tab w:val="center" w:pos="4680"/>
              </w:tabs>
              <w:suppressAutoHyphens/>
              <w:rPr>
                <w:spacing w:val="-2"/>
                <w:szCs w:val="22"/>
              </w:rPr>
            </w:pPr>
            <w:r w:rsidRPr="003C4C63">
              <w:rPr>
                <w:spacing w:val="-2"/>
                <w:szCs w:val="22"/>
              </w:rPr>
              <w:t>In the Matter of</w:t>
            </w:r>
          </w:p>
          <w:p w14:paraId="67103528" w14:textId="77777777" w:rsidR="009E3C37" w:rsidRPr="003C4C63" w:rsidRDefault="009E3C37">
            <w:pPr>
              <w:tabs>
                <w:tab w:val="center" w:pos="4680"/>
              </w:tabs>
              <w:suppressAutoHyphens/>
              <w:rPr>
                <w:spacing w:val="-2"/>
                <w:szCs w:val="22"/>
              </w:rPr>
            </w:pPr>
          </w:p>
          <w:p w14:paraId="73D4250E" w14:textId="77777777" w:rsidR="009E3C37" w:rsidRPr="003C4C63" w:rsidRDefault="0086138F">
            <w:pPr>
              <w:rPr>
                <w:szCs w:val="22"/>
              </w:rPr>
            </w:pPr>
            <w:r w:rsidRPr="003C4C63">
              <w:rPr>
                <w:szCs w:val="22"/>
              </w:rPr>
              <w:t>Telecommunications Carriers Eligible for Universal Service Support</w:t>
            </w:r>
          </w:p>
          <w:p w14:paraId="2C9E8F03" w14:textId="77777777" w:rsidR="0086138F" w:rsidRPr="003C4C63" w:rsidRDefault="0086138F">
            <w:pPr>
              <w:rPr>
                <w:szCs w:val="22"/>
              </w:rPr>
            </w:pPr>
          </w:p>
          <w:p w14:paraId="59E1228E" w14:textId="77777777" w:rsidR="0086138F" w:rsidRPr="003C4C63" w:rsidRDefault="0086138F">
            <w:pPr>
              <w:rPr>
                <w:szCs w:val="22"/>
              </w:rPr>
            </w:pPr>
            <w:r w:rsidRPr="003C4C63">
              <w:rPr>
                <w:szCs w:val="22"/>
              </w:rPr>
              <w:t>Connect America Fund</w:t>
            </w:r>
          </w:p>
          <w:p w14:paraId="2CF791D4" w14:textId="77777777" w:rsidR="0086138F" w:rsidRPr="003C4C63" w:rsidRDefault="0086138F">
            <w:pPr>
              <w:rPr>
                <w:szCs w:val="22"/>
              </w:rPr>
            </w:pPr>
          </w:p>
          <w:p w14:paraId="30A24F9A" w14:textId="77777777" w:rsidR="0086138F" w:rsidRPr="003C4C63" w:rsidRDefault="0086138F">
            <w:pPr>
              <w:rPr>
                <w:szCs w:val="22"/>
              </w:rPr>
            </w:pPr>
            <w:r w:rsidRPr="003C4C63">
              <w:rPr>
                <w:szCs w:val="22"/>
              </w:rPr>
              <w:t>Rural Broadband Experiments</w:t>
            </w:r>
          </w:p>
          <w:p w14:paraId="5DD49BC3" w14:textId="77777777" w:rsidR="009E3C37" w:rsidRPr="003C4C63" w:rsidRDefault="009E3C37">
            <w:pPr>
              <w:rPr>
                <w:szCs w:val="22"/>
              </w:rPr>
            </w:pPr>
          </w:p>
          <w:p w14:paraId="4068795B" w14:textId="77777777" w:rsidR="009E3C37" w:rsidRPr="003C4C63" w:rsidRDefault="009E3C37" w:rsidP="0086138F">
            <w:pPr>
              <w:snapToGrid w:val="0"/>
              <w:rPr>
                <w:szCs w:val="22"/>
              </w:rPr>
            </w:pPr>
            <w:r w:rsidRPr="003C4C63">
              <w:rPr>
                <w:szCs w:val="22"/>
              </w:rPr>
              <w:t xml:space="preserve">Petition of </w:t>
            </w:r>
            <w:r w:rsidR="0086138F" w:rsidRPr="003C4C63">
              <w:rPr>
                <w:szCs w:val="22"/>
              </w:rPr>
              <w:t xml:space="preserve">BARConnects, LLC for </w:t>
            </w:r>
            <w:r w:rsidRPr="003C4C63">
              <w:rPr>
                <w:szCs w:val="22"/>
              </w:rPr>
              <w:t xml:space="preserve">FCC Designation </w:t>
            </w:r>
            <w:r w:rsidR="0086138F" w:rsidRPr="003C4C63">
              <w:rPr>
                <w:szCs w:val="22"/>
              </w:rPr>
              <w:t>a</w:t>
            </w:r>
            <w:r w:rsidRPr="003C4C63">
              <w:rPr>
                <w:szCs w:val="22"/>
              </w:rPr>
              <w:t xml:space="preserve">s </w:t>
            </w:r>
            <w:r w:rsidR="0086138F" w:rsidRPr="003C4C63">
              <w:rPr>
                <w:szCs w:val="22"/>
              </w:rPr>
              <w:t>a</w:t>
            </w:r>
            <w:r w:rsidRPr="003C4C63">
              <w:rPr>
                <w:szCs w:val="22"/>
              </w:rPr>
              <w:t xml:space="preserve">n Eligible Telecommunications Carrier </w:t>
            </w:r>
            <w:r w:rsidR="0086138F" w:rsidRPr="003C4C63">
              <w:rPr>
                <w:szCs w:val="22"/>
              </w:rPr>
              <w:t xml:space="preserve">in the Commonwealth of Virginia </w:t>
            </w:r>
          </w:p>
        </w:tc>
        <w:tc>
          <w:tcPr>
            <w:tcW w:w="4050" w:type="dxa"/>
          </w:tcPr>
          <w:p w14:paraId="03047905" w14:textId="77777777" w:rsidR="009E3C37" w:rsidRPr="003C4C63" w:rsidRDefault="009E3C37">
            <w:pPr>
              <w:ind w:right="2358"/>
              <w:rPr>
                <w:b/>
                <w:szCs w:val="22"/>
              </w:rPr>
            </w:pPr>
            <w:r w:rsidRPr="003C4C63">
              <w:rPr>
                <w:b/>
                <w:szCs w:val="22"/>
              </w:rPr>
              <w:t>)</w:t>
            </w:r>
          </w:p>
          <w:p w14:paraId="5DA369F0" w14:textId="77777777" w:rsidR="009E3C37" w:rsidRPr="003C4C63" w:rsidRDefault="009E3C37">
            <w:pPr>
              <w:rPr>
                <w:b/>
                <w:szCs w:val="22"/>
              </w:rPr>
            </w:pPr>
            <w:r w:rsidRPr="003C4C63">
              <w:rPr>
                <w:b/>
                <w:szCs w:val="22"/>
              </w:rPr>
              <w:t>)</w:t>
            </w:r>
          </w:p>
          <w:p w14:paraId="61241413" w14:textId="77777777" w:rsidR="009E3C37" w:rsidRPr="003C4C63" w:rsidRDefault="009E3C37">
            <w:pPr>
              <w:rPr>
                <w:szCs w:val="22"/>
              </w:rPr>
            </w:pPr>
            <w:r w:rsidRPr="003C4C63">
              <w:rPr>
                <w:b/>
                <w:szCs w:val="22"/>
              </w:rPr>
              <w:t xml:space="preserve">)     </w:t>
            </w:r>
            <w:r w:rsidRPr="003C4C63">
              <w:rPr>
                <w:szCs w:val="22"/>
              </w:rPr>
              <w:t>WC Docket No. 09-197</w:t>
            </w:r>
          </w:p>
          <w:p w14:paraId="4022FF5C" w14:textId="50187D52" w:rsidR="009E3C37" w:rsidRPr="003C4C63" w:rsidRDefault="009E3C37">
            <w:pPr>
              <w:rPr>
                <w:szCs w:val="22"/>
              </w:rPr>
            </w:pPr>
            <w:r w:rsidRPr="003C4C63">
              <w:rPr>
                <w:b/>
                <w:szCs w:val="22"/>
              </w:rPr>
              <w:t>)</w:t>
            </w:r>
          </w:p>
          <w:p w14:paraId="19AB39D3" w14:textId="7FE9764A" w:rsidR="009E3C37" w:rsidRPr="003C4C63" w:rsidRDefault="009E3C37">
            <w:pPr>
              <w:rPr>
                <w:szCs w:val="22"/>
              </w:rPr>
            </w:pPr>
            <w:r w:rsidRPr="003C4C63">
              <w:rPr>
                <w:b/>
                <w:szCs w:val="22"/>
              </w:rPr>
              <w:t>)</w:t>
            </w:r>
          </w:p>
          <w:p w14:paraId="58D61F7B" w14:textId="77777777" w:rsidR="009E3C37" w:rsidRPr="003C4C63" w:rsidRDefault="009E3C37">
            <w:pPr>
              <w:rPr>
                <w:b/>
                <w:szCs w:val="22"/>
              </w:rPr>
            </w:pPr>
            <w:r w:rsidRPr="003C4C63">
              <w:rPr>
                <w:b/>
                <w:szCs w:val="22"/>
              </w:rPr>
              <w:t>)</w:t>
            </w:r>
            <w:r w:rsidR="009D6B94" w:rsidRPr="003C4C63">
              <w:rPr>
                <w:b/>
                <w:szCs w:val="22"/>
              </w:rPr>
              <w:t xml:space="preserve">     </w:t>
            </w:r>
            <w:r w:rsidR="009D6B94" w:rsidRPr="003C4C63">
              <w:rPr>
                <w:szCs w:val="22"/>
              </w:rPr>
              <w:t>WC Docket No. 10-90</w:t>
            </w:r>
          </w:p>
          <w:p w14:paraId="298284A2" w14:textId="77777777" w:rsidR="009E3C37" w:rsidRPr="003C4C63" w:rsidRDefault="009E3C37">
            <w:pPr>
              <w:rPr>
                <w:b/>
                <w:szCs w:val="22"/>
              </w:rPr>
            </w:pPr>
            <w:r w:rsidRPr="003C4C63">
              <w:rPr>
                <w:b/>
                <w:szCs w:val="22"/>
              </w:rPr>
              <w:t>)</w:t>
            </w:r>
          </w:p>
          <w:p w14:paraId="0F26F141" w14:textId="77777777" w:rsidR="009E3C37" w:rsidRPr="003C4C63" w:rsidRDefault="009E3C37">
            <w:pPr>
              <w:rPr>
                <w:b/>
                <w:szCs w:val="22"/>
              </w:rPr>
            </w:pPr>
            <w:r w:rsidRPr="003C4C63">
              <w:rPr>
                <w:b/>
                <w:szCs w:val="22"/>
              </w:rPr>
              <w:t>)</w:t>
            </w:r>
            <w:r w:rsidR="009D6B94" w:rsidRPr="003C4C63">
              <w:rPr>
                <w:b/>
                <w:szCs w:val="22"/>
              </w:rPr>
              <w:t xml:space="preserve">     </w:t>
            </w:r>
            <w:r w:rsidR="009D6B94" w:rsidRPr="003C4C63">
              <w:rPr>
                <w:szCs w:val="22"/>
              </w:rPr>
              <w:t>WC Docket No. 14-259</w:t>
            </w:r>
          </w:p>
          <w:p w14:paraId="6401F924" w14:textId="77777777" w:rsidR="009E3C37" w:rsidRPr="003C4C63" w:rsidRDefault="009E3C37">
            <w:pPr>
              <w:rPr>
                <w:b/>
                <w:szCs w:val="22"/>
              </w:rPr>
            </w:pPr>
            <w:r w:rsidRPr="003C4C63">
              <w:rPr>
                <w:b/>
                <w:szCs w:val="22"/>
              </w:rPr>
              <w:t>)</w:t>
            </w:r>
          </w:p>
          <w:p w14:paraId="3ABFD290" w14:textId="77777777" w:rsidR="009E3C37" w:rsidRPr="003C4C63" w:rsidRDefault="009E3C37">
            <w:pPr>
              <w:rPr>
                <w:b/>
                <w:szCs w:val="22"/>
              </w:rPr>
            </w:pPr>
            <w:r w:rsidRPr="003C4C63">
              <w:rPr>
                <w:b/>
                <w:szCs w:val="22"/>
              </w:rPr>
              <w:t>)</w:t>
            </w:r>
          </w:p>
          <w:p w14:paraId="6BFDBB25" w14:textId="77777777" w:rsidR="00436C44" w:rsidRPr="003C4C63" w:rsidRDefault="00436C44" w:rsidP="00436C44">
            <w:pPr>
              <w:rPr>
                <w:b/>
                <w:szCs w:val="22"/>
              </w:rPr>
            </w:pPr>
            <w:r w:rsidRPr="003C4C63">
              <w:rPr>
                <w:b/>
                <w:szCs w:val="22"/>
              </w:rPr>
              <w:t>)</w:t>
            </w:r>
          </w:p>
          <w:p w14:paraId="00017CAC" w14:textId="77777777" w:rsidR="00436C44" w:rsidRPr="003C4C63" w:rsidRDefault="00436C44" w:rsidP="00436C44">
            <w:pPr>
              <w:rPr>
                <w:b/>
                <w:szCs w:val="22"/>
              </w:rPr>
            </w:pPr>
            <w:r w:rsidRPr="003C4C63">
              <w:rPr>
                <w:b/>
                <w:szCs w:val="22"/>
              </w:rPr>
              <w:t>)</w:t>
            </w:r>
          </w:p>
          <w:p w14:paraId="54187A45" w14:textId="77777777" w:rsidR="00436C44" w:rsidRPr="003C4C63" w:rsidRDefault="00436C44">
            <w:pPr>
              <w:rPr>
                <w:b/>
                <w:szCs w:val="22"/>
              </w:rPr>
            </w:pPr>
          </w:p>
        </w:tc>
      </w:tr>
    </w:tbl>
    <w:p w14:paraId="059DDFF2" w14:textId="77777777" w:rsidR="009E3C37" w:rsidRPr="003C4C63" w:rsidRDefault="009E3C37">
      <w:pPr>
        <w:jc w:val="center"/>
        <w:rPr>
          <w:b/>
          <w:szCs w:val="22"/>
        </w:rPr>
      </w:pPr>
      <w:r w:rsidRPr="003C4C63">
        <w:rPr>
          <w:b/>
          <w:szCs w:val="22"/>
        </w:rPr>
        <w:t>ORDER</w:t>
      </w:r>
    </w:p>
    <w:p w14:paraId="14A4F1DA" w14:textId="77777777" w:rsidR="009E3C37" w:rsidRPr="003C4C63" w:rsidRDefault="009E3C37">
      <w:pPr>
        <w:rPr>
          <w:szCs w:val="22"/>
        </w:rPr>
      </w:pPr>
    </w:p>
    <w:p w14:paraId="16DEEEBF" w14:textId="094B7D8B" w:rsidR="009E3C37" w:rsidRPr="003C4C63" w:rsidRDefault="009E3C37">
      <w:pPr>
        <w:tabs>
          <w:tab w:val="right" w:pos="9360"/>
        </w:tabs>
        <w:rPr>
          <w:b/>
          <w:szCs w:val="22"/>
        </w:rPr>
      </w:pPr>
      <w:r w:rsidRPr="003C4C63">
        <w:rPr>
          <w:b/>
          <w:szCs w:val="22"/>
        </w:rPr>
        <w:t xml:space="preserve">Adopted:  </w:t>
      </w:r>
      <w:r w:rsidR="00982796">
        <w:rPr>
          <w:b/>
          <w:szCs w:val="22"/>
        </w:rPr>
        <w:t>September 25</w:t>
      </w:r>
      <w:r w:rsidRPr="003C4C63">
        <w:rPr>
          <w:b/>
          <w:szCs w:val="22"/>
        </w:rPr>
        <w:t>, 201</w:t>
      </w:r>
      <w:r w:rsidR="0086138F" w:rsidRPr="003C4C63">
        <w:rPr>
          <w:b/>
          <w:szCs w:val="22"/>
        </w:rPr>
        <w:t>5</w:t>
      </w:r>
      <w:r w:rsidRPr="003C4C63">
        <w:rPr>
          <w:b/>
          <w:szCs w:val="22"/>
        </w:rPr>
        <w:tab/>
        <w:t xml:space="preserve">Released:  </w:t>
      </w:r>
      <w:r w:rsidR="00982796">
        <w:rPr>
          <w:b/>
          <w:szCs w:val="22"/>
        </w:rPr>
        <w:t>September 25</w:t>
      </w:r>
      <w:r w:rsidR="0086138F" w:rsidRPr="003C4C63">
        <w:rPr>
          <w:b/>
          <w:szCs w:val="22"/>
        </w:rPr>
        <w:t>, 2015</w:t>
      </w:r>
    </w:p>
    <w:p w14:paraId="0179D1DC" w14:textId="77777777" w:rsidR="009E3C37" w:rsidRPr="003C4C63" w:rsidRDefault="009E3C37">
      <w:pPr>
        <w:tabs>
          <w:tab w:val="left" w:pos="5760"/>
        </w:tabs>
        <w:rPr>
          <w:szCs w:val="22"/>
        </w:rPr>
      </w:pPr>
    </w:p>
    <w:p w14:paraId="39748870" w14:textId="3A6BFB74" w:rsidR="009E3C37" w:rsidRPr="003C4C63" w:rsidRDefault="009E3C37">
      <w:pPr>
        <w:tabs>
          <w:tab w:val="left" w:pos="5760"/>
        </w:tabs>
        <w:rPr>
          <w:szCs w:val="22"/>
        </w:rPr>
      </w:pPr>
      <w:r w:rsidRPr="003C4C63">
        <w:rPr>
          <w:szCs w:val="22"/>
        </w:rPr>
        <w:t>By the Chief, Wireline Competition Bureau:</w:t>
      </w:r>
    </w:p>
    <w:p w14:paraId="46A30E46" w14:textId="77777777" w:rsidR="009E3C37" w:rsidRPr="003C4C63" w:rsidRDefault="009E3C37">
      <w:pPr>
        <w:tabs>
          <w:tab w:val="left" w:pos="5760"/>
        </w:tabs>
        <w:rPr>
          <w:szCs w:val="22"/>
        </w:rPr>
      </w:pPr>
    </w:p>
    <w:p w14:paraId="786773B6" w14:textId="77777777" w:rsidR="009E3C37" w:rsidRPr="003C4C63" w:rsidRDefault="009E3C37" w:rsidP="0039092C">
      <w:pPr>
        <w:pStyle w:val="Heading1"/>
      </w:pPr>
      <w:r w:rsidRPr="003C4C63">
        <w:t>INTRODUCTION</w:t>
      </w:r>
    </w:p>
    <w:p w14:paraId="33CEF69E" w14:textId="48E421F6" w:rsidR="00A15235" w:rsidRPr="003C4C63" w:rsidRDefault="009E3C37" w:rsidP="0039092C">
      <w:pPr>
        <w:pStyle w:val="ParaNum"/>
      </w:pPr>
      <w:r w:rsidRPr="003C4C63">
        <w:t>In this order, the Wireline Competition Bureau</w:t>
      </w:r>
      <w:r w:rsidR="00E63845" w:rsidRPr="003C4C63">
        <w:t xml:space="preserve"> (Bureau)</w:t>
      </w:r>
      <w:r w:rsidRPr="003C4C63">
        <w:t xml:space="preserve"> grants the petition filed by BARConnects, LLC (BARConnects)</w:t>
      </w:r>
      <w:r w:rsidR="004D703B" w:rsidRPr="003C4C63">
        <w:t xml:space="preserve"> </w:t>
      </w:r>
      <w:r w:rsidR="008867B0" w:rsidRPr="003C4C63">
        <w:t xml:space="preserve">seeking </w:t>
      </w:r>
      <w:r w:rsidR="00A15235" w:rsidRPr="003C4C63">
        <w:t xml:space="preserve">designation as an </w:t>
      </w:r>
      <w:r w:rsidR="00D95A1C">
        <w:t>e</w:t>
      </w:r>
      <w:r w:rsidR="00A15235" w:rsidRPr="003C4C63">
        <w:t xml:space="preserve">ligible </w:t>
      </w:r>
      <w:r w:rsidR="00D95A1C">
        <w:t>t</w:t>
      </w:r>
      <w:r w:rsidR="00A15235" w:rsidRPr="003C4C63">
        <w:t xml:space="preserve">elecommunications </w:t>
      </w:r>
      <w:r w:rsidR="00D95A1C">
        <w:t>c</w:t>
      </w:r>
      <w:r w:rsidR="00A15235" w:rsidRPr="003C4C63">
        <w:t>arrier (ETC)</w:t>
      </w:r>
      <w:r w:rsidR="00B92DB9">
        <w:t xml:space="preserve"> for 64 census blocks in Virginia</w:t>
      </w:r>
      <w:r w:rsidR="008867B0" w:rsidRPr="003C4C63">
        <w:t>.</w:t>
      </w:r>
      <w:r w:rsidR="008867B0" w:rsidRPr="003C4C63">
        <w:rPr>
          <w:rStyle w:val="FootnoteReference"/>
          <w:szCs w:val="22"/>
        </w:rPr>
        <w:footnoteReference w:id="2"/>
      </w:r>
      <w:r w:rsidR="008867B0" w:rsidRPr="003C4C63">
        <w:t xml:space="preserve">  </w:t>
      </w:r>
      <w:r w:rsidRPr="003C4C63">
        <w:t xml:space="preserve">We find that </w:t>
      </w:r>
      <w:r w:rsidR="00A15235" w:rsidRPr="003C4C63">
        <w:t>BARConnects</w:t>
      </w:r>
      <w:r w:rsidRPr="003C4C63">
        <w:t xml:space="preserve"> meets the eligibility requirements of section 214(e)(6) of the Communications Act of 1934, as amended (the Act), and the Commission</w:t>
      </w:r>
      <w:r w:rsidR="00D446BD">
        <w:t>’</w:t>
      </w:r>
      <w:r w:rsidRPr="003C4C63">
        <w:t>s rules to be designated as</w:t>
      </w:r>
      <w:r w:rsidR="007A5D88" w:rsidRPr="003C4C63">
        <w:t xml:space="preserve"> an ETC</w:t>
      </w:r>
      <w:r w:rsidR="000153B7">
        <w:t xml:space="preserve"> in the relevant areas of Virginia</w:t>
      </w:r>
      <w:r w:rsidRPr="003C4C63">
        <w:t>.</w:t>
      </w:r>
      <w:r w:rsidRPr="003C4C63">
        <w:rPr>
          <w:rStyle w:val="FootnoteReference"/>
          <w:szCs w:val="22"/>
        </w:rPr>
        <w:footnoteReference w:id="3"/>
      </w:r>
      <w:r w:rsidRPr="003C4C63">
        <w:t xml:space="preserve">  </w:t>
      </w:r>
      <w:r w:rsidR="00A15235" w:rsidRPr="003C4C63">
        <w:t>Relatedly</w:t>
      </w:r>
      <w:r w:rsidR="00E63845" w:rsidRPr="003C4C63">
        <w:t>, we g</w:t>
      </w:r>
      <w:r w:rsidR="000153B7">
        <w:t xml:space="preserve">rant </w:t>
      </w:r>
      <w:r w:rsidR="00A15235" w:rsidRPr="003C4C63">
        <w:t>BARConnect</w:t>
      </w:r>
      <w:r w:rsidR="00A847C5" w:rsidRPr="003C4C63">
        <w:t>s</w:t>
      </w:r>
      <w:r w:rsidR="00D446BD">
        <w:t>’</w:t>
      </w:r>
      <w:r w:rsidR="00A15235" w:rsidRPr="003C4C63">
        <w:t xml:space="preserve"> petition for waiver </w:t>
      </w:r>
      <w:r w:rsidR="0062489E" w:rsidRPr="003C4C63">
        <w:t>and request for extension of time to file proof of ETC designation</w:t>
      </w:r>
      <w:r w:rsidR="00436C44" w:rsidRPr="003C4C63">
        <w:t>, finding that BARConnects acted with good faith in timely seeking ETC designation.</w:t>
      </w:r>
      <w:r w:rsidR="00227B82" w:rsidRPr="003C4C63">
        <w:rPr>
          <w:rStyle w:val="FootnoteReference"/>
          <w:szCs w:val="22"/>
        </w:rPr>
        <w:footnoteReference w:id="4"/>
      </w:r>
      <w:r w:rsidR="00A15235" w:rsidRPr="003C4C63">
        <w:t xml:space="preserve"> </w:t>
      </w:r>
      <w:r w:rsidR="007A5D88" w:rsidRPr="003C4C63">
        <w:t xml:space="preserve"> </w:t>
      </w:r>
    </w:p>
    <w:p w14:paraId="25D7DBA6" w14:textId="77777777" w:rsidR="009E3C37" w:rsidRPr="003C4C63" w:rsidRDefault="009E3C37">
      <w:pPr>
        <w:pStyle w:val="Heading1"/>
        <w:rPr>
          <w:szCs w:val="22"/>
        </w:rPr>
      </w:pPr>
      <w:r w:rsidRPr="003C4C63">
        <w:rPr>
          <w:szCs w:val="22"/>
        </w:rPr>
        <w:t>Background</w:t>
      </w:r>
    </w:p>
    <w:p w14:paraId="65123762" w14:textId="77777777" w:rsidR="007B0A11" w:rsidRDefault="007B0A11" w:rsidP="0039092C">
      <w:pPr>
        <w:pStyle w:val="Heading2"/>
      </w:pPr>
      <w:r>
        <w:t>Rural Broadband Experiments</w:t>
      </w:r>
    </w:p>
    <w:p w14:paraId="659B43D6" w14:textId="18EC5808" w:rsidR="00490067" w:rsidRDefault="007B0A11" w:rsidP="0039092C">
      <w:pPr>
        <w:pStyle w:val="ParaNum"/>
      </w:pPr>
      <w:r w:rsidRPr="00FC3B43">
        <w:t xml:space="preserve">In the </w:t>
      </w:r>
      <w:r w:rsidRPr="00FC3B43">
        <w:rPr>
          <w:i/>
        </w:rPr>
        <w:t>USF/ICC Transformation Order</w:t>
      </w:r>
      <w:r w:rsidRPr="00FC3B43">
        <w:t xml:space="preserve">, the Commission comprehensively reformed and modernized the high-cost program within the universal service fund and the intercarrier compensation </w:t>
      </w:r>
      <w:r w:rsidRPr="00FC3B43">
        <w:lastRenderedPageBreak/>
        <w:t>system to focus support on networks capable of providing voice and broadband services.</w:t>
      </w:r>
      <w:r w:rsidRPr="00FC3B43">
        <w:rPr>
          <w:rStyle w:val="FootnoteReference"/>
          <w:szCs w:val="22"/>
        </w:rPr>
        <w:footnoteReference w:id="5"/>
      </w:r>
      <w:r w:rsidRPr="00FC3B43">
        <w:t xml:space="preserve">  The Commission concluded that support in price cap areas would be provided through a combination of “</w:t>
      </w:r>
      <w:r w:rsidR="000C199A" w:rsidRPr="000C199A">
        <w:t>a new forward-looking model of the cost of constructing modern multi-purpose networks</w:t>
      </w:r>
      <w:r w:rsidRPr="00FC3B43">
        <w:t>” and a competitive bidding process.</w:t>
      </w:r>
      <w:r w:rsidRPr="00FC3B43">
        <w:rPr>
          <w:rStyle w:val="FootnoteReference"/>
          <w:szCs w:val="22"/>
        </w:rPr>
        <w:footnoteReference w:id="6"/>
      </w:r>
      <w:r w:rsidRPr="00FC3B43">
        <w:t xml:space="preserve">  </w:t>
      </w:r>
      <w:r w:rsidRPr="0027208C">
        <w:t xml:space="preserve">Subsequently, in July 2014, the Commission adopted </w:t>
      </w:r>
      <w:r w:rsidR="00D33C8E">
        <w:t xml:space="preserve">rules for </w:t>
      </w:r>
      <w:r w:rsidRPr="0027208C">
        <w:t xml:space="preserve">a limited program </w:t>
      </w:r>
      <w:r w:rsidR="00D33C8E">
        <w:t xml:space="preserve">of </w:t>
      </w:r>
      <w:r w:rsidRPr="0027208C">
        <w:t xml:space="preserve">rural broadband experiments </w:t>
      </w:r>
      <w:r w:rsidR="00D33C8E">
        <w:t xml:space="preserve">that would use </w:t>
      </w:r>
      <w:r w:rsidRPr="0027208C">
        <w:t>an objective methodology for selecting projects among formal applications from those carriers that would provide robust broadband to consumers in price cap areas.</w:t>
      </w:r>
      <w:r w:rsidRPr="00FC3B43">
        <w:rPr>
          <w:rStyle w:val="FootnoteReference"/>
          <w:szCs w:val="22"/>
        </w:rPr>
        <w:footnoteReference w:id="7"/>
      </w:r>
      <w:r w:rsidRPr="0027208C">
        <w:t xml:space="preserve">  </w:t>
      </w:r>
    </w:p>
    <w:p w14:paraId="10865145" w14:textId="0ED7AFAB" w:rsidR="007B0A11" w:rsidRPr="00490067" w:rsidRDefault="00490067" w:rsidP="0039092C">
      <w:pPr>
        <w:pStyle w:val="ParaNum"/>
      </w:pPr>
      <w:r w:rsidRPr="003C4C63">
        <w:t xml:space="preserve">On December </w:t>
      </w:r>
      <w:r>
        <w:t>5</w:t>
      </w:r>
      <w:r w:rsidRPr="003C4C63">
        <w:t>, 2014, the Bureau announced the provisional selection of winning bidders for rural broadband experiments funding, subject to the post-s</w:t>
      </w:r>
      <w:r>
        <w:t xml:space="preserve">election review process, </w:t>
      </w:r>
      <w:r w:rsidRPr="003C4C63">
        <w:t xml:space="preserve">as well as the dates by which these bidders needed to submit additional </w:t>
      </w:r>
      <w:r>
        <w:t xml:space="preserve">information </w:t>
      </w:r>
      <w:r w:rsidRPr="003C4C63">
        <w:t>to avoid default.</w:t>
      </w:r>
      <w:r w:rsidRPr="003C4C63">
        <w:rPr>
          <w:rStyle w:val="FootnoteReference"/>
          <w:szCs w:val="22"/>
        </w:rPr>
        <w:footnoteReference w:id="8"/>
      </w:r>
      <w:r w:rsidRPr="003C4C63">
        <w:t xml:space="preserve">  </w:t>
      </w:r>
      <w:r w:rsidRPr="007B0A11">
        <w:t>When some of these initially selected bidders defaulted, their allocated funding became available for redistribution.</w:t>
      </w:r>
      <w:r w:rsidRPr="007B0A11">
        <w:rPr>
          <w:rStyle w:val="FootnoteReference"/>
          <w:szCs w:val="22"/>
        </w:rPr>
        <w:footnoteReference w:id="9"/>
      </w:r>
      <w:r w:rsidRPr="003C4C63">
        <w:t xml:space="preserve">  Accordingly, on March 4, 2015, the Bureau released a second public notice (Public Notice) announcing a second set of </w:t>
      </w:r>
      <w:r>
        <w:t>provisionally selected bidders</w:t>
      </w:r>
      <w:r w:rsidRPr="003C4C63">
        <w:t xml:space="preserve"> and the dates by which these bidders needed to submit add</w:t>
      </w:r>
      <w:r>
        <w:t xml:space="preserve">itional information to avoid default, including the </w:t>
      </w:r>
      <w:r w:rsidRPr="003C4C63">
        <w:t>90-day deadline of June 2, 2015 to submit proof of ETC designation.</w:t>
      </w:r>
      <w:r w:rsidRPr="003C4C63">
        <w:rPr>
          <w:rStyle w:val="FootnoteReference"/>
          <w:szCs w:val="22"/>
        </w:rPr>
        <w:footnoteReference w:id="10"/>
      </w:r>
      <w:r w:rsidRPr="003C4C63">
        <w:t xml:space="preserve">  Among this second set of provisionally selected bidders, the Bureau announced BARC Electric Cooperative—the sole controlling member of BARConnects—as the winning bidder for 64 census blocks in Virginia (hereinafter, provisionally </w:t>
      </w:r>
      <w:r w:rsidR="00D33C8E">
        <w:t>selected</w:t>
      </w:r>
      <w:r w:rsidR="00D33C8E" w:rsidRPr="003C4C63">
        <w:t xml:space="preserve"> </w:t>
      </w:r>
      <w:r w:rsidRPr="003C4C63">
        <w:t>census blocks).</w:t>
      </w:r>
      <w:r w:rsidRPr="003C4C63">
        <w:rPr>
          <w:rStyle w:val="FootnoteReference"/>
          <w:szCs w:val="22"/>
        </w:rPr>
        <w:footnoteReference w:id="11"/>
      </w:r>
      <w:r w:rsidRPr="003C4C63">
        <w:t xml:space="preserve">  </w:t>
      </w:r>
    </w:p>
    <w:p w14:paraId="0BE88675" w14:textId="1FBB1981" w:rsidR="009E3C37" w:rsidRPr="003C4C63" w:rsidRDefault="00BE5DC8">
      <w:pPr>
        <w:pStyle w:val="Heading2"/>
        <w:rPr>
          <w:szCs w:val="22"/>
        </w:rPr>
      </w:pPr>
      <w:r>
        <w:rPr>
          <w:szCs w:val="22"/>
        </w:rPr>
        <w:t>Statutory Framework for ETC Designation</w:t>
      </w:r>
    </w:p>
    <w:p w14:paraId="727AE76E" w14:textId="77777777" w:rsidR="009E3C37" w:rsidRPr="003C4C63" w:rsidRDefault="009E3C37">
      <w:pPr>
        <w:pStyle w:val="ParaNum"/>
        <w:rPr>
          <w:szCs w:val="22"/>
        </w:rPr>
      </w:pPr>
      <w:r w:rsidRPr="003C4C63">
        <w:rPr>
          <w:szCs w:val="22"/>
        </w:rPr>
        <w:t>Section 254(e) of the Act provides that “only an eligible telecommunications carrier designated under section 214(e) shall be eligible to receive specific federal universal service support.”</w:t>
      </w:r>
      <w:r w:rsidRPr="003C4C63">
        <w:rPr>
          <w:rStyle w:val="FootnoteReference"/>
          <w:szCs w:val="22"/>
        </w:rPr>
        <w:footnoteReference w:id="12"/>
      </w:r>
      <w:r w:rsidRPr="003C4C63">
        <w:rPr>
          <w:szCs w:val="22"/>
        </w:rPr>
        <w:t xml:space="preserve">  Pursuant to section 214(e)(1), a common carrier designated as an ETC must offer and advertise the </w:t>
      </w:r>
      <w:r w:rsidRPr="003C4C63">
        <w:rPr>
          <w:szCs w:val="22"/>
        </w:rPr>
        <w:lastRenderedPageBreak/>
        <w:t>services supported by the federal universal service support mechanisms throughout its designated service area.</w:t>
      </w:r>
      <w:r w:rsidRPr="003C4C63">
        <w:rPr>
          <w:rStyle w:val="FootnoteReference"/>
          <w:szCs w:val="22"/>
        </w:rPr>
        <w:footnoteReference w:id="13"/>
      </w:r>
    </w:p>
    <w:p w14:paraId="700D5840" w14:textId="229B83B9" w:rsidR="009E3C37" w:rsidRPr="003C4C63" w:rsidRDefault="009E3C37">
      <w:pPr>
        <w:pStyle w:val="ParaNum"/>
        <w:rPr>
          <w:szCs w:val="22"/>
        </w:rPr>
      </w:pPr>
      <w:r w:rsidRPr="003C4C63">
        <w:rPr>
          <w:szCs w:val="22"/>
        </w:rPr>
        <w:t>Section 214(e)(2) of the Act gives state commissions the primary responsibility for designating ETCs in their states.</w:t>
      </w:r>
      <w:r w:rsidRPr="003C4C63">
        <w:rPr>
          <w:rStyle w:val="FootnoteReference"/>
          <w:szCs w:val="22"/>
        </w:rPr>
        <w:footnoteReference w:id="14"/>
      </w:r>
      <w:r w:rsidRPr="003C4C63">
        <w:rPr>
          <w:szCs w:val="22"/>
        </w:rPr>
        <w:t xml:space="preserve">  Section 214(e)(6) directs the Commission, upon request, to designate as an ETC “a common carrier providing telephone exchange service and exchange access that is not subject to the jurisdiction of a State commission.”</w:t>
      </w:r>
      <w:r w:rsidRPr="003C4C63">
        <w:rPr>
          <w:rStyle w:val="FootnoteReference"/>
          <w:szCs w:val="22"/>
        </w:rPr>
        <w:footnoteReference w:id="15"/>
      </w:r>
      <w:r w:rsidRPr="003C4C63">
        <w:rPr>
          <w:szCs w:val="22"/>
        </w:rPr>
        <w:t xml:space="preserve">  </w:t>
      </w:r>
      <w:r w:rsidR="006802C3">
        <w:rPr>
          <w:szCs w:val="22"/>
        </w:rPr>
        <w:t>The Wireline Competition Bureau designate</w:t>
      </w:r>
      <w:r w:rsidR="005B3848">
        <w:rPr>
          <w:szCs w:val="22"/>
        </w:rPr>
        <w:t>s</w:t>
      </w:r>
      <w:r w:rsidR="006802C3">
        <w:rPr>
          <w:szCs w:val="22"/>
        </w:rPr>
        <w:t xml:space="preserve"> carriers as </w:t>
      </w:r>
      <w:r w:rsidR="001320F8">
        <w:rPr>
          <w:szCs w:val="22"/>
        </w:rPr>
        <w:t>ETC</w:t>
      </w:r>
      <w:r w:rsidR="006802C3">
        <w:rPr>
          <w:szCs w:val="22"/>
        </w:rPr>
        <w:t>s</w:t>
      </w:r>
      <w:r w:rsidR="005B3848">
        <w:rPr>
          <w:szCs w:val="22"/>
        </w:rPr>
        <w:t xml:space="preserve"> pursuant to a delegation of authority by the Commission</w:t>
      </w:r>
      <w:r w:rsidR="006802C3">
        <w:rPr>
          <w:szCs w:val="22"/>
        </w:rPr>
        <w:t>.</w:t>
      </w:r>
      <w:r w:rsidR="001320F8">
        <w:rPr>
          <w:rStyle w:val="FootnoteReference"/>
          <w:szCs w:val="22"/>
        </w:rPr>
        <w:footnoteReference w:id="16"/>
      </w:r>
    </w:p>
    <w:p w14:paraId="4AFF81AA" w14:textId="77777777" w:rsidR="009E3C37" w:rsidRPr="003C4C63" w:rsidRDefault="009E3C37">
      <w:pPr>
        <w:pStyle w:val="Heading2"/>
        <w:rPr>
          <w:szCs w:val="22"/>
        </w:rPr>
      </w:pPr>
      <w:r w:rsidRPr="003C4C63">
        <w:rPr>
          <w:szCs w:val="22"/>
        </w:rPr>
        <w:t>Commission Requirements for ETC Designation</w:t>
      </w:r>
    </w:p>
    <w:p w14:paraId="471E3EAF" w14:textId="74A7F662" w:rsidR="009E3C37" w:rsidRPr="003C4C63" w:rsidRDefault="009E3C37">
      <w:pPr>
        <w:pStyle w:val="ParaNum"/>
        <w:rPr>
          <w:szCs w:val="22"/>
        </w:rPr>
      </w:pPr>
      <w:bookmarkStart w:id="1" w:name="_Ref176322272"/>
      <w:r w:rsidRPr="003C4C63">
        <w:rPr>
          <w:szCs w:val="22"/>
        </w:rPr>
        <w:t>An ETC petition must contain the following:  (1) a certification and brief statement of supporting facts demonstrating that the petitioner is not subject to the jurisdiction of a state commission;</w:t>
      </w:r>
      <w:r w:rsidRPr="003C4C63">
        <w:rPr>
          <w:rStyle w:val="FootnoteReference"/>
          <w:szCs w:val="22"/>
        </w:rPr>
        <w:footnoteReference w:id="17"/>
      </w:r>
      <w:r w:rsidRPr="003C4C63">
        <w:rPr>
          <w:szCs w:val="22"/>
        </w:rPr>
        <w:t xml:space="preserve">  (2) a certification that the petitioner offers all services designated for support by the Commission pursuant to section 254(c) of the Act;</w:t>
      </w:r>
      <w:r w:rsidRPr="003C4C63">
        <w:rPr>
          <w:rStyle w:val="FootnoteReference"/>
          <w:szCs w:val="22"/>
        </w:rPr>
        <w:footnoteReference w:id="18"/>
      </w:r>
      <w:r w:rsidRPr="003C4C63">
        <w:rPr>
          <w:szCs w:val="22"/>
        </w:rPr>
        <w:t xml:space="preserve"> (3) a certification that the petitioner offers or intends to offer the supported services “either using its own facilities or a combination of its own facilities and resale of another carrier</w:t>
      </w:r>
      <w:r w:rsidR="00D446BD">
        <w:rPr>
          <w:szCs w:val="22"/>
        </w:rPr>
        <w:t>’</w:t>
      </w:r>
      <w:r w:rsidRPr="003C4C63">
        <w:rPr>
          <w:szCs w:val="22"/>
        </w:rPr>
        <w:t>s services;”</w:t>
      </w:r>
      <w:r w:rsidRPr="003C4C63">
        <w:rPr>
          <w:rStyle w:val="FootnoteReference"/>
          <w:szCs w:val="22"/>
        </w:rPr>
        <w:footnoteReference w:id="19"/>
      </w:r>
      <w:r w:rsidRPr="003C4C63">
        <w:rPr>
          <w:szCs w:val="22"/>
        </w:rPr>
        <w:t xml:space="preserve"> (4) a description of how the petitioner “advertise[s] the availability of the [supported] services and the charges therefor using media of general distribution;”</w:t>
      </w:r>
      <w:r w:rsidRPr="003C4C63">
        <w:rPr>
          <w:rStyle w:val="FootnoteReference"/>
          <w:szCs w:val="22"/>
        </w:rPr>
        <w:footnoteReference w:id="20"/>
      </w:r>
      <w:r w:rsidRPr="003C4C63">
        <w:rPr>
          <w:szCs w:val="22"/>
        </w:rPr>
        <w:t xml:space="preserve"> </w:t>
      </w:r>
      <w:r w:rsidRPr="008F7301">
        <w:rPr>
          <w:szCs w:val="22"/>
        </w:rPr>
        <w:t>and (5) if the petitioner is not a rural telephone company, a detailed description of the geographic service area for which it requests an ETC designation from the Commission</w:t>
      </w:r>
      <w:r w:rsidRPr="003C4C63">
        <w:rPr>
          <w:szCs w:val="22"/>
        </w:rPr>
        <w:t>.</w:t>
      </w:r>
      <w:r w:rsidRPr="003C4C63">
        <w:rPr>
          <w:rStyle w:val="FootnoteReference"/>
          <w:szCs w:val="22"/>
        </w:rPr>
        <w:footnoteReference w:id="21"/>
      </w:r>
      <w:r w:rsidRPr="003C4C63">
        <w:rPr>
          <w:szCs w:val="22"/>
        </w:rPr>
        <w:t xml:space="preserve">  </w:t>
      </w:r>
      <w:r w:rsidR="00BE5DC8">
        <w:rPr>
          <w:szCs w:val="22"/>
        </w:rPr>
        <w:t>A p</w:t>
      </w:r>
      <w:r w:rsidRPr="003C4C63">
        <w:rPr>
          <w:szCs w:val="22"/>
        </w:rPr>
        <w:t>etitioner also must certify that neither the petitioner nor any party to the application is subject to a denial of federal benefits, including Commission benefits, pursuant to section 5301 of the Anti-Drug Abuse Act of 1988, as implemented in section 1.2002 of the Commission</w:t>
      </w:r>
      <w:r w:rsidR="00D446BD">
        <w:rPr>
          <w:szCs w:val="22"/>
        </w:rPr>
        <w:t>’</w:t>
      </w:r>
      <w:r w:rsidRPr="003C4C63">
        <w:rPr>
          <w:szCs w:val="22"/>
        </w:rPr>
        <w:t>s rules.</w:t>
      </w:r>
      <w:r w:rsidRPr="003C4C63">
        <w:rPr>
          <w:rStyle w:val="FootnoteReference"/>
          <w:szCs w:val="22"/>
        </w:rPr>
        <w:footnoteReference w:id="22"/>
      </w:r>
    </w:p>
    <w:p w14:paraId="31466D73" w14:textId="61495C3F" w:rsidR="009E3C37" w:rsidRPr="00D33C8E" w:rsidRDefault="009E3C37" w:rsidP="001C2F73">
      <w:pPr>
        <w:pStyle w:val="ParaNum"/>
        <w:rPr>
          <w:szCs w:val="22"/>
        </w:rPr>
      </w:pPr>
      <w:r w:rsidRPr="00D33C8E">
        <w:rPr>
          <w:szCs w:val="22"/>
        </w:rPr>
        <w:t xml:space="preserve">Consistent with the service obligations all ETCs must satisfy, a party petitioning for designation as an ETC </w:t>
      </w:r>
      <w:r w:rsidR="006D0792" w:rsidRPr="00D33C8E">
        <w:rPr>
          <w:szCs w:val="22"/>
        </w:rPr>
        <w:t>must, absent waiver</w:t>
      </w:r>
      <w:r w:rsidR="00C34B9E" w:rsidRPr="00D33C8E">
        <w:rPr>
          <w:szCs w:val="22"/>
        </w:rPr>
        <w:t xml:space="preserve"> or exception:</w:t>
      </w:r>
      <w:r w:rsidRPr="00D33C8E">
        <w:rPr>
          <w:szCs w:val="22"/>
        </w:rPr>
        <w:t xml:space="preserve"> (1) certify that it will comply with the service requirements applicable to the support that it receives;</w:t>
      </w:r>
      <w:r w:rsidRPr="003C4C63">
        <w:rPr>
          <w:rStyle w:val="FootnoteReference"/>
          <w:szCs w:val="22"/>
        </w:rPr>
        <w:footnoteReference w:id="23"/>
      </w:r>
      <w:r w:rsidRPr="00D33C8E">
        <w:rPr>
          <w:szCs w:val="22"/>
        </w:rPr>
        <w:t xml:space="preserve"> (2) </w:t>
      </w:r>
      <w:r w:rsidR="006D0792" w:rsidRPr="00D33C8E">
        <w:rPr>
          <w:szCs w:val="22"/>
        </w:rPr>
        <w:t>submit a five-year plan containing the required information;</w:t>
      </w:r>
      <w:r w:rsidR="006D0792" w:rsidRPr="003C4C63">
        <w:rPr>
          <w:rStyle w:val="FootnoteReference"/>
          <w:szCs w:val="22"/>
        </w:rPr>
        <w:footnoteReference w:id="24"/>
      </w:r>
      <w:r w:rsidR="006D0792" w:rsidRPr="00D33C8E">
        <w:rPr>
          <w:szCs w:val="22"/>
        </w:rPr>
        <w:t xml:space="preserve"> </w:t>
      </w:r>
      <w:r w:rsidR="005B3848">
        <w:rPr>
          <w:szCs w:val="22"/>
        </w:rPr>
        <w:t>(</w:t>
      </w:r>
      <w:r w:rsidR="006D0792" w:rsidRPr="00D33C8E">
        <w:rPr>
          <w:szCs w:val="22"/>
        </w:rPr>
        <w:t xml:space="preserve">3) </w:t>
      </w:r>
      <w:r w:rsidRPr="00D33C8E">
        <w:rPr>
          <w:szCs w:val="22"/>
        </w:rPr>
        <w:t>demonstrate that it will remain functional in emergency situations;</w:t>
      </w:r>
      <w:r w:rsidRPr="003C4C63">
        <w:rPr>
          <w:rStyle w:val="FootnoteReference"/>
          <w:szCs w:val="22"/>
        </w:rPr>
        <w:footnoteReference w:id="25"/>
      </w:r>
      <w:r w:rsidRPr="00D33C8E">
        <w:rPr>
          <w:szCs w:val="22"/>
        </w:rPr>
        <w:t xml:space="preserve"> and (</w:t>
      </w:r>
      <w:r w:rsidR="005B3848">
        <w:rPr>
          <w:szCs w:val="22"/>
        </w:rPr>
        <w:t>4</w:t>
      </w:r>
      <w:r w:rsidRPr="00D33C8E">
        <w:rPr>
          <w:szCs w:val="22"/>
        </w:rPr>
        <w:t>) demonstrate that it will satisfy applicable consumer protection and service quality standards.</w:t>
      </w:r>
      <w:r w:rsidRPr="003C4C63">
        <w:rPr>
          <w:rStyle w:val="FootnoteReference"/>
          <w:szCs w:val="22"/>
        </w:rPr>
        <w:footnoteReference w:id="26"/>
      </w:r>
      <w:r w:rsidRPr="00D33C8E">
        <w:rPr>
          <w:szCs w:val="22"/>
        </w:rPr>
        <w:t xml:space="preserve">  </w:t>
      </w:r>
      <w:bookmarkEnd w:id="1"/>
      <w:r w:rsidRPr="00D33C8E">
        <w:rPr>
          <w:szCs w:val="22"/>
        </w:rPr>
        <w:t>Prior to designating an ETC pursuant to section 214(e)(6), the Commission must determine whether such designation is in the public interest.</w:t>
      </w:r>
      <w:r w:rsidRPr="003C4C63">
        <w:rPr>
          <w:rStyle w:val="FootnoteReference"/>
          <w:szCs w:val="22"/>
        </w:rPr>
        <w:footnoteReference w:id="27"/>
      </w:r>
      <w:r w:rsidRPr="00D33C8E">
        <w:rPr>
          <w:szCs w:val="22"/>
        </w:rPr>
        <w:t xml:space="preserve">  </w:t>
      </w:r>
    </w:p>
    <w:p w14:paraId="75E19CC8" w14:textId="77777777" w:rsidR="003D3EA3" w:rsidRPr="003C4C63" w:rsidRDefault="00D95A1C" w:rsidP="00E63845">
      <w:pPr>
        <w:pStyle w:val="Heading2"/>
        <w:rPr>
          <w:szCs w:val="22"/>
        </w:rPr>
      </w:pPr>
      <w:r>
        <w:rPr>
          <w:szCs w:val="22"/>
        </w:rPr>
        <w:t xml:space="preserve">Rural Broadband Experiments </w:t>
      </w:r>
      <w:r w:rsidR="00A27412" w:rsidRPr="003C4C63">
        <w:rPr>
          <w:szCs w:val="22"/>
        </w:rPr>
        <w:t>Deadline for Submission of Proof of Designation as an ETC</w:t>
      </w:r>
    </w:p>
    <w:p w14:paraId="6B4893D9" w14:textId="26922E77" w:rsidR="005D7F2B" w:rsidRPr="003C4C63" w:rsidRDefault="00C72AEF" w:rsidP="00C72AEF">
      <w:pPr>
        <w:pStyle w:val="ParaNum"/>
        <w:rPr>
          <w:szCs w:val="22"/>
        </w:rPr>
      </w:pPr>
      <w:r w:rsidRPr="00C72AEF">
        <w:rPr>
          <w:szCs w:val="22"/>
        </w:rPr>
        <w:t xml:space="preserve">The Commission </w:t>
      </w:r>
      <w:r w:rsidR="00480F05">
        <w:rPr>
          <w:szCs w:val="22"/>
        </w:rPr>
        <w:t xml:space="preserve">has concluded </w:t>
      </w:r>
      <w:r w:rsidRPr="00C72AEF">
        <w:rPr>
          <w:szCs w:val="22"/>
        </w:rPr>
        <w:t>that while bidders for funding made available through the rural broadband experiments need not be designated an ETC</w:t>
      </w:r>
      <w:r w:rsidR="00490067">
        <w:rPr>
          <w:szCs w:val="22"/>
        </w:rPr>
        <w:t xml:space="preserve"> at the time they submit bids</w:t>
      </w:r>
      <w:r w:rsidRPr="00C72AEF">
        <w:rPr>
          <w:szCs w:val="22"/>
        </w:rPr>
        <w:t>, winning bidders had to obtain the requisite ETC designation within 90 days of the public notice announcing their selection for provisional funding</w:t>
      </w:r>
      <w:r w:rsidR="00A27412" w:rsidRPr="003C4C63">
        <w:rPr>
          <w:szCs w:val="22"/>
        </w:rPr>
        <w:t>.</w:t>
      </w:r>
      <w:r w:rsidR="00A27412" w:rsidRPr="003C4C63">
        <w:rPr>
          <w:rStyle w:val="FootnoteReference"/>
          <w:szCs w:val="22"/>
        </w:rPr>
        <w:footnoteReference w:id="28"/>
      </w:r>
      <w:r w:rsidR="008660AA">
        <w:rPr>
          <w:szCs w:val="22"/>
        </w:rPr>
        <w:t xml:space="preserve">  </w:t>
      </w:r>
      <w:r w:rsidR="00A27412" w:rsidRPr="003C4C63">
        <w:rPr>
          <w:szCs w:val="22"/>
        </w:rPr>
        <w:t xml:space="preserve">Subsequently, in </w:t>
      </w:r>
      <w:r w:rsidR="00480F05">
        <w:rPr>
          <w:szCs w:val="22"/>
        </w:rPr>
        <w:t xml:space="preserve">the </w:t>
      </w:r>
      <w:r w:rsidR="003D3EA3" w:rsidRPr="003C4C63">
        <w:rPr>
          <w:i/>
          <w:szCs w:val="22"/>
        </w:rPr>
        <w:t>Rural Broadband Experiments Order</w:t>
      </w:r>
      <w:r w:rsidR="003D3EA3" w:rsidRPr="003C4C63">
        <w:rPr>
          <w:szCs w:val="22"/>
        </w:rPr>
        <w:t>,</w:t>
      </w:r>
      <w:r w:rsidR="003D15E8" w:rsidRPr="003C4C63">
        <w:rPr>
          <w:szCs w:val="22"/>
        </w:rPr>
        <w:t xml:space="preserve"> </w:t>
      </w:r>
      <w:r w:rsidR="00B27239" w:rsidRPr="003C4C63">
        <w:rPr>
          <w:szCs w:val="22"/>
        </w:rPr>
        <w:t xml:space="preserve">the </w:t>
      </w:r>
      <w:r w:rsidR="003D15E8" w:rsidRPr="003C4C63">
        <w:rPr>
          <w:szCs w:val="22"/>
        </w:rPr>
        <w:t xml:space="preserve">Commission </w:t>
      </w:r>
      <w:r w:rsidR="00480F05">
        <w:rPr>
          <w:szCs w:val="22"/>
        </w:rPr>
        <w:t xml:space="preserve">held </w:t>
      </w:r>
      <w:r w:rsidR="003D15E8" w:rsidRPr="003C4C63">
        <w:rPr>
          <w:szCs w:val="22"/>
        </w:rPr>
        <w:t xml:space="preserve">that it would “presume an entity to have shown good faith,” </w:t>
      </w:r>
      <w:r w:rsidR="005D7F2B" w:rsidRPr="003C4C63">
        <w:rPr>
          <w:szCs w:val="22"/>
        </w:rPr>
        <w:t xml:space="preserve">in attempting to obtain a timely ETC designation if that entity filed its application </w:t>
      </w:r>
      <w:r w:rsidR="000153B7">
        <w:rPr>
          <w:szCs w:val="22"/>
        </w:rPr>
        <w:t xml:space="preserve">for ETC designation with the relevant state authority </w:t>
      </w:r>
      <w:r w:rsidR="005D7F2B" w:rsidRPr="003C4C63">
        <w:rPr>
          <w:szCs w:val="22"/>
        </w:rPr>
        <w:t>within 15 days of the public notice announcing that the entity had been selected as a provisionally selected bidder.</w:t>
      </w:r>
      <w:r w:rsidR="003D15E8" w:rsidRPr="003C4C63">
        <w:rPr>
          <w:rStyle w:val="FootnoteReference"/>
          <w:szCs w:val="22"/>
        </w:rPr>
        <w:footnoteReference w:id="29"/>
      </w:r>
      <w:r w:rsidR="005D7F2B" w:rsidRPr="003C4C63">
        <w:rPr>
          <w:szCs w:val="22"/>
        </w:rPr>
        <w:t xml:space="preserve"> </w:t>
      </w:r>
    </w:p>
    <w:p w14:paraId="37488481" w14:textId="32173091" w:rsidR="008F1894" w:rsidRPr="003C4C63" w:rsidRDefault="008F1894" w:rsidP="00E63845">
      <w:pPr>
        <w:pStyle w:val="Heading2"/>
        <w:rPr>
          <w:szCs w:val="22"/>
        </w:rPr>
      </w:pPr>
      <w:r w:rsidRPr="003C4C63">
        <w:rPr>
          <w:szCs w:val="22"/>
        </w:rPr>
        <w:t>BARConnects</w:t>
      </w:r>
      <w:r w:rsidR="00D446BD">
        <w:rPr>
          <w:szCs w:val="22"/>
        </w:rPr>
        <w:t>’</w:t>
      </w:r>
      <w:r w:rsidRPr="003C4C63">
        <w:rPr>
          <w:szCs w:val="22"/>
        </w:rPr>
        <w:t xml:space="preserve"> Petition</w:t>
      </w:r>
      <w:r w:rsidR="006243DB" w:rsidRPr="003C4C63">
        <w:rPr>
          <w:szCs w:val="22"/>
        </w:rPr>
        <w:t xml:space="preserve"> </w:t>
      </w:r>
      <w:r w:rsidR="004C4A1C" w:rsidRPr="003C4C63">
        <w:rPr>
          <w:szCs w:val="22"/>
        </w:rPr>
        <w:t xml:space="preserve">for ETC Designation </w:t>
      </w:r>
      <w:r w:rsidR="006243DB" w:rsidRPr="003C4C63">
        <w:rPr>
          <w:szCs w:val="22"/>
        </w:rPr>
        <w:t>and Request for Waiver</w:t>
      </w:r>
      <w:r w:rsidR="004C4A1C" w:rsidRPr="003C4C63">
        <w:rPr>
          <w:szCs w:val="22"/>
        </w:rPr>
        <w:t xml:space="preserve"> and Extension of Time to Submit Proof of ETC Status</w:t>
      </w:r>
    </w:p>
    <w:p w14:paraId="281EDB70" w14:textId="77584308" w:rsidR="00AD1B55" w:rsidRPr="00480F05" w:rsidRDefault="00C72AEF" w:rsidP="00480F05">
      <w:pPr>
        <w:pStyle w:val="ParaNum"/>
        <w:rPr>
          <w:szCs w:val="22"/>
        </w:rPr>
      </w:pPr>
      <w:r w:rsidRPr="007A4F47">
        <w:rPr>
          <w:szCs w:val="22"/>
        </w:rPr>
        <w:t xml:space="preserve">On April 22, 2015, BARConnects filed </w:t>
      </w:r>
      <w:r w:rsidR="005B3848">
        <w:rPr>
          <w:szCs w:val="22"/>
        </w:rPr>
        <w:t>its</w:t>
      </w:r>
      <w:r w:rsidRPr="007A4F47">
        <w:rPr>
          <w:szCs w:val="22"/>
        </w:rPr>
        <w:t xml:space="preserve"> </w:t>
      </w:r>
      <w:r w:rsidR="00D5540E">
        <w:rPr>
          <w:szCs w:val="22"/>
        </w:rPr>
        <w:t xml:space="preserve">ETC </w:t>
      </w:r>
      <w:r w:rsidRPr="007A4F47">
        <w:rPr>
          <w:szCs w:val="22"/>
        </w:rPr>
        <w:t xml:space="preserve">Petition with the Bureau, requesting that the Bureau designate it as an ETC within its provisionally </w:t>
      </w:r>
      <w:r w:rsidR="00D95A1C">
        <w:rPr>
          <w:szCs w:val="22"/>
        </w:rPr>
        <w:t xml:space="preserve">selected </w:t>
      </w:r>
      <w:r w:rsidRPr="007A4F47">
        <w:rPr>
          <w:szCs w:val="22"/>
        </w:rPr>
        <w:t>census blocks.</w:t>
      </w:r>
      <w:r w:rsidRPr="003C4C63">
        <w:rPr>
          <w:rStyle w:val="FootnoteReference"/>
          <w:szCs w:val="22"/>
        </w:rPr>
        <w:footnoteReference w:id="30"/>
      </w:r>
      <w:r w:rsidRPr="007A4F47">
        <w:rPr>
          <w:szCs w:val="22"/>
        </w:rPr>
        <w:t xml:space="preserve">  </w:t>
      </w:r>
      <w:r w:rsidRPr="00480F05">
        <w:rPr>
          <w:szCs w:val="22"/>
        </w:rPr>
        <w:t xml:space="preserve">In its </w:t>
      </w:r>
      <w:r w:rsidR="00D5540E" w:rsidRPr="00480F05">
        <w:rPr>
          <w:szCs w:val="22"/>
        </w:rPr>
        <w:t>ETC Petition</w:t>
      </w:r>
      <w:r w:rsidR="00F527DF" w:rsidRPr="00480F05">
        <w:rPr>
          <w:szCs w:val="22"/>
        </w:rPr>
        <w:t xml:space="preserve">, </w:t>
      </w:r>
      <w:r w:rsidR="008F1894" w:rsidRPr="00480F05">
        <w:rPr>
          <w:szCs w:val="22"/>
        </w:rPr>
        <w:t>BARConnects</w:t>
      </w:r>
      <w:r w:rsidR="00F527DF" w:rsidRPr="00480F05">
        <w:rPr>
          <w:szCs w:val="22"/>
        </w:rPr>
        <w:t xml:space="preserve"> explains that </w:t>
      </w:r>
      <w:r w:rsidRPr="00480F05">
        <w:rPr>
          <w:szCs w:val="22"/>
        </w:rPr>
        <w:t xml:space="preserve">on March 18, 2015, </w:t>
      </w:r>
      <w:r w:rsidR="00480F05">
        <w:rPr>
          <w:szCs w:val="22"/>
        </w:rPr>
        <w:t xml:space="preserve">less than </w:t>
      </w:r>
      <w:r w:rsidR="00AD1B55" w:rsidRPr="00480F05">
        <w:rPr>
          <w:szCs w:val="22"/>
        </w:rPr>
        <w:t>15 days of the release of the March 4, 2015 public notice announcing BARC Electric Cooperative</w:t>
      </w:r>
      <w:r w:rsidR="00D446BD">
        <w:rPr>
          <w:szCs w:val="22"/>
        </w:rPr>
        <w:t>’</w:t>
      </w:r>
      <w:r w:rsidR="00AD1B55" w:rsidRPr="00480F05">
        <w:rPr>
          <w:szCs w:val="22"/>
        </w:rPr>
        <w:t xml:space="preserve">s provisional selection for rural broadband experiment funding, BARConnects </w:t>
      </w:r>
      <w:r w:rsidRPr="00480F05">
        <w:rPr>
          <w:szCs w:val="22"/>
        </w:rPr>
        <w:t>petitioned the Virginia State Corporation Commission (</w:t>
      </w:r>
      <w:r w:rsidR="003650FE" w:rsidRPr="00480F05">
        <w:rPr>
          <w:szCs w:val="22"/>
        </w:rPr>
        <w:t xml:space="preserve">Virginia </w:t>
      </w:r>
      <w:r w:rsidRPr="00480F05">
        <w:rPr>
          <w:szCs w:val="22"/>
        </w:rPr>
        <w:t xml:space="preserve">SCC) </w:t>
      </w:r>
      <w:r w:rsidR="00AD1B55" w:rsidRPr="00480F05">
        <w:rPr>
          <w:szCs w:val="22"/>
        </w:rPr>
        <w:t>for ETC</w:t>
      </w:r>
      <w:r w:rsidRPr="00480F05">
        <w:rPr>
          <w:szCs w:val="22"/>
        </w:rPr>
        <w:t xml:space="preserve"> designation within the provisionally</w:t>
      </w:r>
      <w:r w:rsidR="000A0DB5" w:rsidRPr="00480F05">
        <w:rPr>
          <w:szCs w:val="22"/>
        </w:rPr>
        <w:t xml:space="preserve"> </w:t>
      </w:r>
      <w:r w:rsidR="00480F05">
        <w:rPr>
          <w:szCs w:val="22"/>
        </w:rPr>
        <w:t xml:space="preserve">selected </w:t>
      </w:r>
      <w:r w:rsidR="000A0DB5" w:rsidRPr="00480F05">
        <w:rPr>
          <w:szCs w:val="22"/>
        </w:rPr>
        <w:t>census block</w:t>
      </w:r>
      <w:r w:rsidRPr="00480F05">
        <w:rPr>
          <w:szCs w:val="22"/>
        </w:rPr>
        <w:t>s</w:t>
      </w:r>
      <w:r w:rsidR="00AD1B55" w:rsidRPr="00480F05">
        <w:rPr>
          <w:szCs w:val="22"/>
        </w:rPr>
        <w:t xml:space="preserve"> or in the alternative, for a decision holding that the </w:t>
      </w:r>
      <w:r w:rsidR="003650FE" w:rsidRPr="00480F05">
        <w:rPr>
          <w:szCs w:val="22"/>
        </w:rPr>
        <w:t xml:space="preserve">Virginia </w:t>
      </w:r>
      <w:r w:rsidR="00AD1B55" w:rsidRPr="00480F05">
        <w:rPr>
          <w:szCs w:val="22"/>
        </w:rPr>
        <w:t>SCC lacked jurisdiction to so designate BARConnects as an ETC.</w:t>
      </w:r>
      <w:r w:rsidR="007A4F47" w:rsidRPr="003C4C63">
        <w:rPr>
          <w:rStyle w:val="FootnoteReference"/>
          <w:szCs w:val="22"/>
        </w:rPr>
        <w:footnoteReference w:id="31"/>
      </w:r>
      <w:r w:rsidRPr="00480F05">
        <w:rPr>
          <w:szCs w:val="22"/>
        </w:rPr>
        <w:t xml:space="preserve"> </w:t>
      </w:r>
      <w:r w:rsidR="00AD1B55" w:rsidRPr="00480F05">
        <w:rPr>
          <w:szCs w:val="22"/>
        </w:rPr>
        <w:t xml:space="preserve"> BARConnects further explains that </w:t>
      </w:r>
      <w:r w:rsidR="007A4F47" w:rsidRPr="00480F05">
        <w:rPr>
          <w:szCs w:val="22"/>
        </w:rPr>
        <w:t xml:space="preserve">on March 30, 2015, the </w:t>
      </w:r>
      <w:r w:rsidR="003650FE" w:rsidRPr="00480F05">
        <w:rPr>
          <w:szCs w:val="22"/>
        </w:rPr>
        <w:t xml:space="preserve">Virginia </w:t>
      </w:r>
      <w:r w:rsidR="007A4F47" w:rsidRPr="00480F05">
        <w:rPr>
          <w:szCs w:val="22"/>
        </w:rPr>
        <w:t>SCC issued a decision declining</w:t>
      </w:r>
      <w:r w:rsidRPr="00480F05">
        <w:rPr>
          <w:szCs w:val="22"/>
        </w:rPr>
        <w:t xml:space="preserve"> jurisdiction</w:t>
      </w:r>
      <w:r w:rsidR="007A4F47" w:rsidRPr="00480F05">
        <w:rPr>
          <w:szCs w:val="22"/>
        </w:rPr>
        <w:t xml:space="preserve"> and</w:t>
      </w:r>
      <w:r w:rsidRPr="00480F05">
        <w:rPr>
          <w:szCs w:val="22"/>
        </w:rPr>
        <w:t xml:space="preserve"> advising BARConnects to request ETC designation from the Federal Communications Commission pursuant to </w:t>
      </w:r>
      <w:r w:rsidR="00B113A8" w:rsidRPr="00480F05">
        <w:rPr>
          <w:szCs w:val="22"/>
        </w:rPr>
        <w:t>s</w:t>
      </w:r>
      <w:r w:rsidRPr="00480F05">
        <w:rPr>
          <w:szCs w:val="22"/>
        </w:rPr>
        <w:t xml:space="preserve">ection 214(e)(6) of the </w:t>
      </w:r>
      <w:r w:rsidR="00B113A8" w:rsidRPr="00480F05">
        <w:rPr>
          <w:szCs w:val="22"/>
        </w:rPr>
        <w:t>Act</w:t>
      </w:r>
      <w:r w:rsidR="000A0DB5" w:rsidRPr="00480F05">
        <w:rPr>
          <w:szCs w:val="22"/>
        </w:rPr>
        <w:t>.</w:t>
      </w:r>
      <w:r w:rsidR="000A0DB5" w:rsidRPr="003C4C63">
        <w:rPr>
          <w:rStyle w:val="FootnoteReference"/>
          <w:szCs w:val="22"/>
        </w:rPr>
        <w:footnoteReference w:id="32"/>
      </w:r>
      <w:r w:rsidR="000A0DB5" w:rsidRPr="00480F05">
        <w:rPr>
          <w:szCs w:val="22"/>
        </w:rPr>
        <w:t xml:space="preserve"> </w:t>
      </w:r>
      <w:r w:rsidR="00F527DF" w:rsidRPr="00480F05">
        <w:rPr>
          <w:szCs w:val="22"/>
        </w:rPr>
        <w:t xml:space="preserve"> </w:t>
      </w:r>
      <w:r w:rsidR="00AD1B55" w:rsidRPr="00480F05">
        <w:rPr>
          <w:szCs w:val="22"/>
        </w:rPr>
        <w:t xml:space="preserve">Accordingly, BARConnects filed the </w:t>
      </w:r>
      <w:r w:rsidR="00D5540E" w:rsidRPr="00480F05">
        <w:rPr>
          <w:szCs w:val="22"/>
        </w:rPr>
        <w:t>ETC Petition</w:t>
      </w:r>
      <w:r w:rsidR="00AD1B55" w:rsidRPr="00480F05">
        <w:rPr>
          <w:szCs w:val="22"/>
        </w:rPr>
        <w:t xml:space="preserve"> now under </w:t>
      </w:r>
      <w:r w:rsidR="0095760C">
        <w:rPr>
          <w:szCs w:val="22"/>
        </w:rPr>
        <w:t>the Bureau</w:t>
      </w:r>
      <w:r w:rsidR="00D446BD">
        <w:rPr>
          <w:szCs w:val="22"/>
        </w:rPr>
        <w:t>’</w:t>
      </w:r>
      <w:r w:rsidR="0095760C">
        <w:rPr>
          <w:szCs w:val="22"/>
        </w:rPr>
        <w:t xml:space="preserve">s </w:t>
      </w:r>
      <w:r w:rsidR="00AD1B55" w:rsidRPr="00480F05">
        <w:rPr>
          <w:szCs w:val="22"/>
        </w:rPr>
        <w:t>consideration.</w:t>
      </w:r>
    </w:p>
    <w:p w14:paraId="009755B2" w14:textId="5D01B031" w:rsidR="00480F05" w:rsidRPr="007A4F47" w:rsidRDefault="00480F05" w:rsidP="00480F05">
      <w:pPr>
        <w:pStyle w:val="ParaNum"/>
        <w:rPr>
          <w:szCs w:val="22"/>
        </w:rPr>
      </w:pPr>
      <w:r>
        <w:rPr>
          <w:szCs w:val="22"/>
        </w:rPr>
        <w:t xml:space="preserve">On April 28, 2015, </w:t>
      </w:r>
      <w:r w:rsidRPr="007A4F47">
        <w:rPr>
          <w:szCs w:val="22"/>
        </w:rPr>
        <w:t>the Bureau released a public notice soliciting comments</w:t>
      </w:r>
      <w:r>
        <w:rPr>
          <w:szCs w:val="22"/>
        </w:rPr>
        <w:t xml:space="preserve"> regarding the ETC Petition</w:t>
      </w:r>
      <w:r w:rsidRPr="007A4F47">
        <w:rPr>
          <w:szCs w:val="22"/>
        </w:rPr>
        <w:t>.</w:t>
      </w:r>
      <w:r w:rsidRPr="003C4C63">
        <w:rPr>
          <w:rStyle w:val="FootnoteReference"/>
          <w:szCs w:val="22"/>
        </w:rPr>
        <w:footnoteReference w:id="33"/>
      </w:r>
      <w:r w:rsidRPr="007A4F47">
        <w:rPr>
          <w:szCs w:val="22"/>
        </w:rPr>
        <w:t xml:space="preserve">  </w:t>
      </w:r>
      <w:r w:rsidR="005B3848">
        <w:rPr>
          <w:szCs w:val="22"/>
        </w:rPr>
        <w:t>No third party filed comments in response</w:t>
      </w:r>
      <w:r w:rsidRPr="007A4F47">
        <w:rPr>
          <w:szCs w:val="22"/>
        </w:rPr>
        <w:t xml:space="preserve">.  </w:t>
      </w:r>
      <w:r w:rsidR="005B3848">
        <w:rPr>
          <w:szCs w:val="22"/>
        </w:rPr>
        <w:t>O</w:t>
      </w:r>
      <w:r w:rsidRPr="007A4F47">
        <w:rPr>
          <w:szCs w:val="22"/>
        </w:rPr>
        <w:t xml:space="preserve">n May 18, 2015, </w:t>
      </w:r>
      <w:r w:rsidR="005B3848">
        <w:rPr>
          <w:szCs w:val="22"/>
        </w:rPr>
        <w:t xml:space="preserve">however, </w:t>
      </w:r>
      <w:r w:rsidRPr="007A4F47">
        <w:rPr>
          <w:szCs w:val="22"/>
        </w:rPr>
        <w:t xml:space="preserve">BARConnects filed a reply comment urging the Bureau to grant its </w:t>
      </w:r>
      <w:r>
        <w:rPr>
          <w:szCs w:val="22"/>
        </w:rPr>
        <w:t>ETC Petition</w:t>
      </w:r>
      <w:r w:rsidRPr="007A4F47">
        <w:rPr>
          <w:szCs w:val="22"/>
        </w:rPr>
        <w:t>.</w:t>
      </w:r>
      <w:r w:rsidRPr="003C4C63">
        <w:rPr>
          <w:rStyle w:val="FootnoteReference"/>
          <w:szCs w:val="22"/>
        </w:rPr>
        <w:footnoteReference w:id="34"/>
      </w:r>
      <w:r w:rsidRPr="007A4F47">
        <w:rPr>
          <w:szCs w:val="22"/>
        </w:rPr>
        <w:t xml:space="preserve">  When the Bureau had not yet acted on the </w:t>
      </w:r>
      <w:r>
        <w:rPr>
          <w:szCs w:val="22"/>
        </w:rPr>
        <w:t>ETC Petition</w:t>
      </w:r>
      <w:r w:rsidRPr="007A4F47">
        <w:rPr>
          <w:szCs w:val="22"/>
        </w:rPr>
        <w:t xml:space="preserve"> as of June 2, 2015, BARConnects, pursuant to </w:t>
      </w:r>
      <w:r>
        <w:rPr>
          <w:szCs w:val="22"/>
        </w:rPr>
        <w:t>s</w:t>
      </w:r>
      <w:r w:rsidRPr="007A4F47">
        <w:rPr>
          <w:szCs w:val="22"/>
        </w:rPr>
        <w:t>ection 1.3 of the Commission</w:t>
      </w:r>
      <w:r w:rsidR="00D446BD">
        <w:rPr>
          <w:szCs w:val="22"/>
        </w:rPr>
        <w:t>’</w:t>
      </w:r>
      <w:r w:rsidRPr="007A4F47">
        <w:rPr>
          <w:szCs w:val="22"/>
        </w:rPr>
        <w:t>s rules, filed a petition for waiver and a request for extension of time to submit documentation of its status as an ETC pending the Bureau</w:t>
      </w:r>
      <w:r w:rsidR="00D446BD">
        <w:rPr>
          <w:szCs w:val="22"/>
        </w:rPr>
        <w:t>’</w:t>
      </w:r>
      <w:r w:rsidRPr="007A4F47">
        <w:rPr>
          <w:szCs w:val="22"/>
        </w:rPr>
        <w:t>s decision.</w:t>
      </w:r>
      <w:r w:rsidRPr="003C4C63">
        <w:rPr>
          <w:rStyle w:val="FootnoteReference"/>
          <w:szCs w:val="22"/>
        </w:rPr>
        <w:footnoteReference w:id="35"/>
      </w:r>
    </w:p>
    <w:p w14:paraId="42D52131" w14:textId="77777777" w:rsidR="00AD1B55" w:rsidRDefault="00AD1B55" w:rsidP="00AD1B55">
      <w:pPr>
        <w:pStyle w:val="Heading1"/>
      </w:pPr>
      <w:r>
        <w:t>DISCUSSION</w:t>
      </w:r>
    </w:p>
    <w:p w14:paraId="144C3FE8" w14:textId="0DCD2A84" w:rsidR="003E456D" w:rsidRPr="00CF3AB3" w:rsidRDefault="003B7EBD" w:rsidP="00CF3AB3">
      <w:pPr>
        <w:pStyle w:val="ParaNum"/>
        <w:rPr>
          <w:szCs w:val="22"/>
        </w:rPr>
      </w:pPr>
      <w:r w:rsidRPr="007A4F47">
        <w:t xml:space="preserve">In this </w:t>
      </w:r>
      <w:r w:rsidR="0016377D">
        <w:t>O</w:t>
      </w:r>
      <w:r w:rsidRPr="007A4F47">
        <w:t xml:space="preserve">rder, </w:t>
      </w:r>
      <w:r w:rsidR="004A34CE" w:rsidRPr="007A4F47">
        <w:t xml:space="preserve">we </w:t>
      </w:r>
      <w:r w:rsidR="007F514A">
        <w:t xml:space="preserve">find that BARConnects has satisfied </w:t>
      </w:r>
      <w:r w:rsidR="009E3C37" w:rsidRPr="007A4F47">
        <w:t>the requirements under the Act and the Commission</w:t>
      </w:r>
      <w:r w:rsidR="00D446BD">
        <w:t>’</w:t>
      </w:r>
      <w:r w:rsidR="009E3C37" w:rsidRPr="007A4F47">
        <w:t xml:space="preserve">s rules to be designated as an ETC </w:t>
      </w:r>
      <w:r w:rsidR="00A61E9B">
        <w:t xml:space="preserve">to serve </w:t>
      </w:r>
      <w:r w:rsidR="006A6358">
        <w:t>the</w:t>
      </w:r>
      <w:r w:rsidR="007471BA" w:rsidRPr="007A4F47">
        <w:t xml:space="preserve"> provisionally </w:t>
      </w:r>
      <w:r w:rsidR="00A61E9B">
        <w:t xml:space="preserve">selected </w:t>
      </w:r>
      <w:r w:rsidR="007471BA" w:rsidRPr="007A4F47">
        <w:t>census blocks</w:t>
      </w:r>
      <w:r w:rsidR="007F514A">
        <w:t>.</w:t>
      </w:r>
      <w:r w:rsidR="00AA141B" w:rsidRPr="007A4F47">
        <w:t xml:space="preserve"> </w:t>
      </w:r>
      <w:r w:rsidR="00CF3AB3">
        <w:t xml:space="preserve"> </w:t>
      </w:r>
      <w:r w:rsidR="004F1C7C" w:rsidRPr="007A4F47">
        <w:t xml:space="preserve">We also </w:t>
      </w:r>
      <w:r w:rsidR="0016377D">
        <w:t xml:space="preserve">find </w:t>
      </w:r>
      <w:r w:rsidR="00CB6AF3" w:rsidRPr="007A4F47">
        <w:t xml:space="preserve">good cause </w:t>
      </w:r>
      <w:r w:rsidR="007471BA" w:rsidRPr="007A4F47">
        <w:t xml:space="preserve">warrants </w:t>
      </w:r>
      <w:r w:rsidR="0016377D">
        <w:t>waiving the June 2 ETC deadline</w:t>
      </w:r>
      <w:r w:rsidR="004F1C7C" w:rsidRPr="007A4F47">
        <w:t>.</w:t>
      </w:r>
      <w:r w:rsidR="00CB6AF3" w:rsidRPr="003C4C63">
        <w:rPr>
          <w:rStyle w:val="FootnoteReference"/>
          <w:szCs w:val="22"/>
        </w:rPr>
        <w:footnoteReference w:id="36"/>
      </w:r>
      <w:r w:rsidR="004F1C7C" w:rsidRPr="007A4F47">
        <w:t xml:space="preserve">  </w:t>
      </w:r>
      <w:r w:rsidR="00FD24BE">
        <w:t xml:space="preserve">Accordingly, the Bureau will </w:t>
      </w:r>
      <w:r w:rsidR="001108DB">
        <w:t xml:space="preserve">shortly </w:t>
      </w:r>
      <w:r w:rsidR="00FD24BE">
        <w:t xml:space="preserve">release a public notice announcing its readiness </w:t>
      </w:r>
      <w:r w:rsidR="004D68ED" w:rsidRPr="004D68ED">
        <w:rPr>
          <w:szCs w:val="22"/>
        </w:rPr>
        <w:t xml:space="preserve">to authorize rural broadband experiments support for </w:t>
      </w:r>
      <w:r w:rsidR="004D68ED">
        <w:rPr>
          <w:szCs w:val="22"/>
        </w:rPr>
        <w:t xml:space="preserve">BARConnects as a </w:t>
      </w:r>
      <w:r w:rsidR="004D68ED" w:rsidRPr="004D68ED">
        <w:rPr>
          <w:szCs w:val="22"/>
        </w:rPr>
        <w:t xml:space="preserve">provisionally selected </w:t>
      </w:r>
      <w:r w:rsidR="004D68ED">
        <w:rPr>
          <w:szCs w:val="22"/>
        </w:rPr>
        <w:t>bidder</w:t>
      </w:r>
      <w:r w:rsidR="004D68ED" w:rsidRPr="004D68ED">
        <w:rPr>
          <w:szCs w:val="22"/>
        </w:rPr>
        <w:t>.</w:t>
      </w:r>
      <w:r w:rsidR="00CF3AB3">
        <w:rPr>
          <w:rStyle w:val="FootnoteReference"/>
        </w:rPr>
        <w:footnoteReference w:id="37"/>
      </w:r>
      <w:r w:rsidR="00CF3AB3">
        <w:t xml:space="preserve"> </w:t>
      </w:r>
      <w:r w:rsidR="00FD24BE">
        <w:t xml:space="preserve"> </w:t>
      </w:r>
    </w:p>
    <w:p w14:paraId="638BEEB4" w14:textId="77777777" w:rsidR="003A69D0" w:rsidRPr="003C4C63" w:rsidRDefault="000E0973">
      <w:pPr>
        <w:pStyle w:val="Heading2"/>
        <w:rPr>
          <w:szCs w:val="22"/>
        </w:rPr>
      </w:pPr>
      <w:r w:rsidRPr="003C4C63">
        <w:rPr>
          <w:szCs w:val="22"/>
        </w:rPr>
        <w:t>ETC Designation</w:t>
      </w:r>
    </w:p>
    <w:p w14:paraId="0A515F0A" w14:textId="77777777" w:rsidR="009E3C37" w:rsidRPr="003C4C63" w:rsidRDefault="009E3C37" w:rsidP="002F0164">
      <w:pPr>
        <w:pStyle w:val="Heading3"/>
        <w:rPr>
          <w:szCs w:val="22"/>
        </w:rPr>
      </w:pPr>
      <w:r w:rsidRPr="003C4C63">
        <w:rPr>
          <w:szCs w:val="22"/>
        </w:rPr>
        <w:t>Commission Authority to Perform the ETC Designation</w:t>
      </w:r>
    </w:p>
    <w:p w14:paraId="6EB7A878" w14:textId="6DB9A5D1" w:rsidR="009E3C37" w:rsidRPr="003C4C63" w:rsidRDefault="00A939E3" w:rsidP="00A27412">
      <w:pPr>
        <w:pStyle w:val="ParaNum"/>
        <w:rPr>
          <w:szCs w:val="22"/>
        </w:rPr>
      </w:pPr>
      <w:r w:rsidRPr="003C4C63">
        <w:rPr>
          <w:szCs w:val="22"/>
        </w:rPr>
        <w:t xml:space="preserve">In its </w:t>
      </w:r>
      <w:r w:rsidR="00D5540E">
        <w:rPr>
          <w:szCs w:val="22"/>
        </w:rPr>
        <w:t>ETC Petition</w:t>
      </w:r>
      <w:r w:rsidRPr="003C4C63">
        <w:rPr>
          <w:szCs w:val="22"/>
        </w:rPr>
        <w:t>, B</w:t>
      </w:r>
      <w:r w:rsidR="0026320E">
        <w:rPr>
          <w:szCs w:val="22"/>
        </w:rPr>
        <w:t>AR</w:t>
      </w:r>
      <w:r w:rsidRPr="003C4C63">
        <w:rPr>
          <w:szCs w:val="22"/>
        </w:rPr>
        <w:t>Connects</w:t>
      </w:r>
      <w:r w:rsidR="009E3C37" w:rsidRPr="003C4C63">
        <w:rPr>
          <w:szCs w:val="22"/>
        </w:rPr>
        <w:t xml:space="preserve"> cites </w:t>
      </w:r>
      <w:r w:rsidR="001108DB">
        <w:rPr>
          <w:szCs w:val="22"/>
        </w:rPr>
        <w:t xml:space="preserve">the Virginia SCC decision declining to exercise jurisdiction </w:t>
      </w:r>
      <w:r w:rsidR="0095760C">
        <w:rPr>
          <w:szCs w:val="22"/>
        </w:rPr>
        <w:t>as demonstration of</w:t>
      </w:r>
      <w:r w:rsidR="001108DB">
        <w:rPr>
          <w:szCs w:val="22"/>
        </w:rPr>
        <w:t xml:space="preserve"> </w:t>
      </w:r>
      <w:r w:rsidR="0095760C">
        <w:rPr>
          <w:szCs w:val="22"/>
        </w:rPr>
        <w:t xml:space="preserve">the </w:t>
      </w:r>
      <w:r w:rsidR="009E3C37" w:rsidRPr="003C4C63">
        <w:rPr>
          <w:szCs w:val="22"/>
        </w:rPr>
        <w:t>Commiss</w:t>
      </w:r>
      <w:r w:rsidRPr="003C4C63">
        <w:rPr>
          <w:szCs w:val="22"/>
        </w:rPr>
        <w:t>ion</w:t>
      </w:r>
      <w:r w:rsidR="00D446BD">
        <w:rPr>
          <w:szCs w:val="22"/>
        </w:rPr>
        <w:t>’</w:t>
      </w:r>
      <w:r w:rsidR="0095760C">
        <w:rPr>
          <w:szCs w:val="22"/>
        </w:rPr>
        <w:t>s</w:t>
      </w:r>
      <w:r w:rsidRPr="003C4C63">
        <w:rPr>
          <w:szCs w:val="22"/>
        </w:rPr>
        <w:t xml:space="preserve"> authority to consider B</w:t>
      </w:r>
      <w:r w:rsidR="0026320E">
        <w:rPr>
          <w:szCs w:val="22"/>
        </w:rPr>
        <w:t>AR</w:t>
      </w:r>
      <w:r w:rsidRPr="003C4C63">
        <w:rPr>
          <w:szCs w:val="22"/>
        </w:rPr>
        <w:t>Connects</w:t>
      </w:r>
      <w:r w:rsidR="009E3C37" w:rsidRPr="003C4C63">
        <w:rPr>
          <w:szCs w:val="22"/>
        </w:rPr>
        <w:t xml:space="preserve"> </w:t>
      </w:r>
      <w:r w:rsidR="00D5540E">
        <w:rPr>
          <w:szCs w:val="22"/>
        </w:rPr>
        <w:t>ETC Petition</w:t>
      </w:r>
      <w:r w:rsidR="009E3C37" w:rsidRPr="003C4C63">
        <w:rPr>
          <w:szCs w:val="22"/>
        </w:rPr>
        <w:t xml:space="preserve"> under section 214(e)(6) of the Act.</w:t>
      </w:r>
      <w:r w:rsidR="009E3C37" w:rsidRPr="003C4C63">
        <w:rPr>
          <w:rStyle w:val="FootnoteReference"/>
          <w:szCs w:val="22"/>
        </w:rPr>
        <w:footnoteReference w:id="38"/>
      </w:r>
      <w:r w:rsidR="009E3C37" w:rsidRPr="003C4C63">
        <w:rPr>
          <w:szCs w:val="22"/>
        </w:rPr>
        <w:t xml:space="preserve">  </w:t>
      </w:r>
      <w:r w:rsidRPr="003C4C63">
        <w:rPr>
          <w:szCs w:val="22"/>
        </w:rPr>
        <w:t>B</w:t>
      </w:r>
      <w:r w:rsidR="0026320E">
        <w:rPr>
          <w:szCs w:val="22"/>
        </w:rPr>
        <w:t>AR</w:t>
      </w:r>
      <w:r w:rsidRPr="003C4C63">
        <w:rPr>
          <w:szCs w:val="22"/>
        </w:rPr>
        <w:t>Connects</w:t>
      </w:r>
      <w:r w:rsidR="009E3C37" w:rsidRPr="003C4C63">
        <w:rPr>
          <w:szCs w:val="22"/>
        </w:rPr>
        <w:t xml:space="preserve"> thereby has demonstrated that the Commission has authority to perform the requested ETC designation.</w:t>
      </w:r>
      <w:r w:rsidR="009E3C37" w:rsidRPr="003C4C63">
        <w:rPr>
          <w:rStyle w:val="FootnoteReference"/>
          <w:szCs w:val="22"/>
        </w:rPr>
        <w:footnoteReference w:id="39"/>
      </w:r>
    </w:p>
    <w:p w14:paraId="16C6F962" w14:textId="77777777" w:rsidR="009E3C37" w:rsidRPr="003C4C63" w:rsidRDefault="009E3C37" w:rsidP="008660AA">
      <w:pPr>
        <w:pStyle w:val="Heading3"/>
      </w:pPr>
      <w:r w:rsidRPr="003C4C63">
        <w:t>Threshold Eligibility Requirements</w:t>
      </w:r>
    </w:p>
    <w:p w14:paraId="6A59ECC1" w14:textId="77777777" w:rsidR="009E3C37" w:rsidRPr="003C4C63" w:rsidRDefault="00A939E3">
      <w:pPr>
        <w:pStyle w:val="ParaNum"/>
        <w:rPr>
          <w:szCs w:val="22"/>
        </w:rPr>
      </w:pPr>
      <w:r w:rsidRPr="003C4C63">
        <w:rPr>
          <w:szCs w:val="22"/>
        </w:rPr>
        <w:t xml:space="preserve">BARConnects </w:t>
      </w:r>
      <w:r w:rsidR="009E3C37" w:rsidRPr="003C4C63">
        <w:rPr>
          <w:szCs w:val="22"/>
        </w:rPr>
        <w:t>has established through the required certifications and related filings that it will offer the services supported by the federal universal service support mechanisms.</w:t>
      </w:r>
      <w:r w:rsidR="009E3C37" w:rsidRPr="003C4C63">
        <w:rPr>
          <w:rStyle w:val="FootnoteReference"/>
          <w:szCs w:val="22"/>
        </w:rPr>
        <w:footnoteReference w:id="40"/>
      </w:r>
      <w:r w:rsidR="009E3C37" w:rsidRPr="003C4C63">
        <w:rPr>
          <w:szCs w:val="22"/>
        </w:rPr>
        <w:t xml:space="preserve">  In addition, </w:t>
      </w:r>
      <w:r w:rsidRPr="003C4C63">
        <w:rPr>
          <w:szCs w:val="22"/>
        </w:rPr>
        <w:t>BARConnects</w:t>
      </w:r>
      <w:r w:rsidR="009E3C37" w:rsidRPr="003C4C63">
        <w:rPr>
          <w:szCs w:val="22"/>
        </w:rPr>
        <w:t xml:space="preserve"> has certified that it offers or will offer the supported services using its own facilities.</w:t>
      </w:r>
      <w:r w:rsidR="009E3C37" w:rsidRPr="003C4C63">
        <w:rPr>
          <w:rStyle w:val="FootnoteReference"/>
          <w:szCs w:val="22"/>
        </w:rPr>
        <w:footnoteReference w:id="41"/>
      </w:r>
      <w:r w:rsidR="009E3C37" w:rsidRPr="003C4C63">
        <w:rPr>
          <w:szCs w:val="22"/>
        </w:rPr>
        <w:t xml:space="preserve">  Consistent with the require</w:t>
      </w:r>
      <w:r w:rsidRPr="003C4C63">
        <w:rPr>
          <w:szCs w:val="22"/>
        </w:rPr>
        <w:t>ments of section 214(e)(1)(A), BARConnects</w:t>
      </w:r>
      <w:r w:rsidR="009E3C37" w:rsidRPr="003C4C63">
        <w:rPr>
          <w:szCs w:val="22"/>
        </w:rPr>
        <w:t xml:space="preserve"> has </w:t>
      </w:r>
      <w:r w:rsidR="00DF2AC2" w:rsidRPr="003C4C63">
        <w:rPr>
          <w:szCs w:val="22"/>
        </w:rPr>
        <w:t xml:space="preserve">also </w:t>
      </w:r>
      <w:r w:rsidR="009E3C37" w:rsidRPr="003C4C63">
        <w:rPr>
          <w:szCs w:val="22"/>
        </w:rPr>
        <w:t>committed to advertise the availability of the supported services and the relate</w:t>
      </w:r>
      <w:r w:rsidR="00DF2AC2" w:rsidRPr="003C4C63">
        <w:rPr>
          <w:szCs w:val="22"/>
        </w:rPr>
        <w:t>d charges</w:t>
      </w:r>
      <w:r w:rsidR="006A6358">
        <w:rPr>
          <w:szCs w:val="22"/>
        </w:rPr>
        <w:t xml:space="preserve"> using media of general distribution</w:t>
      </w:r>
      <w:r w:rsidR="00DF2AC2" w:rsidRPr="003C4C63">
        <w:rPr>
          <w:szCs w:val="22"/>
        </w:rPr>
        <w:t>.</w:t>
      </w:r>
      <w:r w:rsidR="009E3C37" w:rsidRPr="003C4C63">
        <w:rPr>
          <w:rStyle w:val="FootnoteReference"/>
          <w:szCs w:val="22"/>
        </w:rPr>
        <w:footnoteReference w:id="42"/>
      </w:r>
    </w:p>
    <w:p w14:paraId="16DCA53F" w14:textId="37347F92" w:rsidR="009E3C37" w:rsidRPr="003C4C63" w:rsidRDefault="00A939E3">
      <w:pPr>
        <w:pStyle w:val="ParaNum"/>
        <w:rPr>
          <w:szCs w:val="22"/>
        </w:rPr>
      </w:pPr>
      <w:r w:rsidRPr="003C4C63">
        <w:rPr>
          <w:szCs w:val="22"/>
        </w:rPr>
        <w:t xml:space="preserve">BARConnects </w:t>
      </w:r>
      <w:r w:rsidR="009E3C37" w:rsidRPr="003C4C63">
        <w:rPr>
          <w:szCs w:val="22"/>
        </w:rPr>
        <w:t xml:space="preserve">has identified with specificity </w:t>
      </w:r>
      <w:r w:rsidR="003D15E8" w:rsidRPr="003C4C63">
        <w:rPr>
          <w:szCs w:val="22"/>
        </w:rPr>
        <w:t xml:space="preserve">the census blocks for which it </w:t>
      </w:r>
      <w:r w:rsidR="006A6358">
        <w:rPr>
          <w:szCs w:val="22"/>
        </w:rPr>
        <w:t>seeks</w:t>
      </w:r>
      <w:r w:rsidR="003D15E8" w:rsidRPr="003C4C63">
        <w:rPr>
          <w:szCs w:val="22"/>
        </w:rPr>
        <w:t xml:space="preserve"> provisional funding pursuant to the </w:t>
      </w:r>
      <w:r w:rsidR="001C21A1">
        <w:rPr>
          <w:szCs w:val="22"/>
        </w:rPr>
        <w:t>r</w:t>
      </w:r>
      <w:r w:rsidR="003D15E8" w:rsidRPr="003C4C63">
        <w:rPr>
          <w:szCs w:val="22"/>
        </w:rPr>
        <w:t xml:space="preserve">ural </w:t>
      </w:r>
      <w:r w:rsidR="001C21A1">
        <w:rPr>
          <w:szCs w:val="22"/>
        </w:rPr>
        <w:t>b</w:t>
      </w:r>
      <w:r w:rsidR="003D15E8" w:rsidRPr="003C4C63">
        <w:rPr>
          <w:szCs w:val="22"/>
        </w:rPr>
        <w:t xml:space="preserve">roadband </w:t>
      </w:r>
      <w:r w:rsidR="001C21A1">
        <w:rPr>
          <w:szCs w:val="22"/>
        </w:rPr>
        <w:t>e</w:t>
      </w:r>
      <w:r w:rsidR="003D15E8" w:rsidRPr="003C4C63">
        <w:rPr>
          <w:szCs w:val="22"/>
        </w:rPr>
        <w:t>xperiments and intend</w:t>
      </w:r>
      <w:r w:rsidR="006A6358">
        <w:rPr>
          <w:szCs w:val="22"/>
        </w:rPr>
        <w:t>s</w:t>
      </w:r>
      <w:r w:rsidR="003D15E8" w:rsidRPr="003C4C63">
        <w:rPr>
          <w:szCs w:val="22"/>
        </w:rPr>
        <w:t xml:space="preserve"> to serve in conformity with the requirements thereof</w:t>
      </w:r>
      <w:r w:rsidR="009E3C37" w:rsidRPr="003C4C63">
        <w:rPr>
          <w:szCs w:val="22"/>
        </w:rPr>
        <w:t>.</w:t>
      </w:r>
      <w:r w:rsidR="006A6358">
        <w:rPr>
          <w:rStyle w:val="FootnoteReference"/>
          <w:szCs w:val="22"/>
        </w:rPr>
        <w:footnoteReference w:id="43"/>
      </w:r>
      <w:r w:rsidR="009E3C37" w:rsidRPr="003C4C63">
        <w:rPr>
          <w:szCs w:val="22"/>
        </w:rPr>
        <w:t xml:space="preserve">  </w:t>
      </w:r>
      <w:r w:rsidR="006D68E4">
        <w:rPr>
          <w:szCs w:val="22"/>
        </w:rPr>
        <w:t>BARConnect</w:t>
      </w:r>
      <w:r w:rsidR="007243A7">
        <w:rPr>
          <w:szCs w:val="22"/>
        </w:rPr>
        <w:t>s</w:t>
      </w:r>
      <w:r w:rsidR="00D446BD">
        <w:rPr>
          <w:szCs w:val="22"/>
        </w:rPr>
        <w:t>’</w:t>
      </w:r>
      <w:r w:rsidR="006D68E4">
        <w:rPr>
          <w:szCs w:val="22"/>
        </w:rPr>
        <w:t xml:space="preserve"> designated service area </w:t>
      </w:r>
      <w:r w:rsidR="009E3C37" w:rsidRPr="003C4C63">
        <w:rPr>
          <w:szCs w:val="22"/>
        </w:rPr>
        <w:t xml:space="preserve">will consist of the </w:t>
      </w:r>
      <w:r w:rsidR="003D15E8" w:rsidRPr="003C4C63">
        <w:rPr>
          <w:szCs w:val="22"/>
        </w:rPr>
        <w:t>census blocks where BARConnects has been provisionally</w:t>
      </w:r>
      <w:r w:rsidR="00700389" w:rsidRPr="003C4C63">
        <w:rPr>
          <w:szCs w:val="22"/>
        </w:rPr>
        <w:t>.</w:t>
      </w:r>
      <w:r w:rsidR="009E3C37" w:rsidRPr="003C4C63">
        <w:rPr>
          <w:szCs w:val="22"/>
        </w:rPr>
        <w:t xml:space="preserve">  We conclude that a service area designated by these means meets the Commission</w:t>
      </w:r>
      <w:r w:rsidR="00D446BD">
        <w:rPr>
          <w:szCs w:val="22"/>
        </w:rPr>
        <w:t>’</w:t>
      </w:r>
      <w:r w:rsidR="009E3C37" w:rsidRPr="003C4C63">
        <w:rPr>
          <w:szCs w:val="22"/>
        </w:rPr>
        <w:t>s requirement</w:t>
      </w:r>
      <w:r w:rsidR="0095760C">
        <w:rPr>
          <w:szCs w:val="22"/>
        </w:rPr>
        <w:t>s</w:t>
      </w:r>
      <w:r w:rsidR="009E3C37" w:rsidRPr="003C4C63">
        <w:rPr>
          <w:szCs w:val="22"/>
        </w:rPr>
        <w:t>.</w:t>
      </w:r>
    </w:p>
    <w:p w14:paraId="29BC2267" w14:textId="76BF50CC" w:rsidR="009E3C37" w:rsidRPr="003C4C63" w:rsidRDefault="009E3C37">
      <w:pPr>
        <w:pStyle w:val="ParaNum"/>
        <w:rPr>
          <w:szCs w:val="22"/>
        </w:rPr>
      </w:pPr>
      <w:r w:rsidRPr="003C4C63">
        <w:rPr>
          <w:szCs w:val="22"/>
        </w:rPr>
        <w:t>Pursuant to section 5301 of the Anti-Drug Abuse Act of 1988, no applicant is eligible for any new, modified, or renewed instrument of authorization from the Commission, including authorizations issued pursuant to section 214 of the Act, unless the applicant certifies that neither it nor any party to its application is subject to a denial of federal benefits, including Commission benefits.</w:t>
      </w:r>
      <w:r w:rsidRPr="003C4C63">
        <w:rPr>
          <w:rStyle w:val="FootnoteReference"/>
          <w:szCs w:val="22"/>
        </w:rPr>
        <w:footnoteReference w:id="44"/>
      </w:r>
      <w:r w:rsidRPr="003C4C63">
        <w:rPr>
          <w:szCs w:val="22"/>
        </w:rPr>
        <w:t xml:space="preserve">  </w:t>
      </w:r>
      <w:r w:rsidR="002F292E" w:rsidRPr="003C4C63">
        <w:rPr>
          <w:szCs w:val="22"/>
        </w:rPr>
        <w:t xml:space="preserve">BARConnects </w:t>
      </w:r>
      <w:r w:rsidRPr="003C4C63">
        <w:rPr>
          <w:szCs w:val="22"/>
        </w:rPr>
        <w:t>has provided a certification consistent with the requirements of the Anti-Drug Abuse Act of 1988.</w:t>
      </w:r>
      <w:r w:rsidRPr="003C4C63">
        <w:rPr>
          <w:rStyle w:val="FootnoteReference"/>
          <w:szCs w:val="22"/>
        </w:rPr>
        <w:footnoteReference w:id="45"/>
      </w:r>
      <w:r w:rsidRPr="003C4C63">
        <w:rPr>
          <w:szCs w:val="22"/>
        </w:rPr>
        <w:t xml:space="preserve">  We find that </w:t>
      </w:r>
      <w:r w:rsidR="002F292E" w:rsidRPr="003C4C63">
        <w:rPr>
          <w:szCs w:val="22"/>
        </w:rPr>
        <w:t>BARConnects</w:t>
      </w:r>
      <w:r w:rsidRPr="003C4C63">
        <w:rPr>
          <w:szCs w:val="22"/>
        </w:rPr>
        <w:t xml:space="preserve"> has satisfied the requirements of the Anti-Drug Abuse Act of 1988, as codified in sections 1.2001–1.2003 of the Commission</w:t>
      </w:r>
      <w:r w:rsidR="00D446BD">
        <w:rPr>
          <w:szCs w:val="22"/>
        </w:rPr>
        <w:t>’</w:t>
      </w:r>
      <w:r w:rsidRPr="003C4C63">
        <w:rPr>
          <w:szCs w:val="22"/>
        </w:rPr>
        <w:t>s rules.</w:t>
      </w:r>
    </w:p>
    <w:p w14:paraId="31808BF5" w14:textId="77777777" w:rsidR="009E3C37" w:rsidRPr="003C4C63" w:rsidRDefault="009E3C37" w:rsidP="008660AA">
      <w:pPr>
        <w:pStyle w:val="Heading3"/>
      </w:pPr>
      <w:r w:rsidRPr="003C4C63">
        <w:t>Public Interest Service Obligations</w:t>
      </w:r>
    </w:p>
    <w:p w14:paraId="2B85F4DF" w14:textId="15A022DC" w:rsidR="009E3C37" w:rsidRPr="003C4C63" w:rsidRDefault="002F292E">
      <w:pPr>
        <w:pStyle w:val="ParaNum"/>
        <w:rPr>
          <w:szCs w:val="22"/>
        </w:rPr>
      </w:pPr>
      <w:r w:rsidRPr="003C4C63">
        <w:rPr>
          <w:szCs w:val="22"/>
        </w:rPr>
        <w:t>BARConnects</w:t>
      </w:r>
      <w:r w:rsidR="009E3C37" w:rsidRPr="003C4C63">
        <w:rPr>
          <w:szCs w:val="22"/>
        </w:rPr>
        <w:t xml:space="preserve"> also has established through the required certifications and related filings that it meets the other requirements for ETC eligibility.</w:t>
      </w:r>
      <w:r w:rsidR="00C633E2">
        <w:rPr>
          <w:rStyle w:val="FootnoteReference"/>
          <w:szCs w:val="22"/>
        </w:rPr>
        <w:footnoteReference w:id="46"/>
      </w:r>
      <w:r w:rsidR="009E3C37" w:rsidRPr="003C4C63">
        <w:rPr>
          <w:szCs w:val="22"/>
        </w:rPr>
        <w:t xml:space="preserve">  </w:t>
      </w:r>
      <w:r w:rsidR="001108DB">
        <w:rPr>
          <w:szCs w:val="22"/>
        </w:rPr>
        <w:t xml:space="preserve">We find that </w:t>
      </w:r>
      <w:r w:rsidRPr="003C4C63">
        <w:rPr>
          <w:szCs w:val="22"/>
        </w:rPr>
        <w:t>BARConnects</w:t>
      </w:r>
      <w:r w:rsidR="009E3C37" w:rsidRPr="003C4C63">
        <w:rPr>
          <w:szCs w:val="22"/>
        </w:rPr>
        <w:t xml:space="preserve"> has (1) certified that it will comply with the service requirements applicable to the support that it receives;</w:t>
      </w:r>
      <w:r w:rsidR="009E3C37" w:rsidRPr="003C4C63">
        <w:rPr>
          <w:rStyle w:val="FootnoteReference"/>
          <w:szCs w:val="22"/>
        </w:rPr>
        <w:footnoteReference w:id="47"/>
      </w:r>
      <w:r w:rsidR="009E3C37" w:rsidRPr="003C4C63">
        <w:rPr>
          <w:szCs w:val="22"/>
        </w:rPr>
        <w:t xml:space="preserve"> (2) submitted a five-year plan containing the required information;</w:t>
      </w:r>
      <w:r w:rsidR="009E3C37" w:rsidRPr="003C4C63">
        <w:rPr>
          <w:rStyle w:val="FootnoteReference"/>
          <w:szCs w:val="22"/>
        </w:rPr>
        <w:footnoteReference w:id="48"/>
      </w:r>
      <w:r w:rsidR="009E3C37" w:rsidRPr="003C4C63">
        <w:rPr>
          <w:szCs w:val="22"/>
        </w:rPr>
        <w:t xml:space="preserve"> (3) demonstrated its ability to remain functional in emergency situations;</w:t>
      </w:r>
      <w:r w:rsidR="009E3C37" w:rsidRPr="003C4C63">
        <w:rPr>
          <w:rStyle w:val="FootnoteReference"/>
          <w:szCs w:val="22"/>
        </w:rPr>
        <w:footnoteReference w:id="49"/>
      </w:r>
      <w:r w:rsidR="009E3C37" w:rsidRPr="003C4C63">
        <w:rPr>
          <w:szCs w:val="22"/>
        </w:rPr>
        <w:t xml:space="preserve"> and (4) demonstrated that it will satisfy applicable consumer protection and ser</w:t>
      </w:r>
      <w:r w:rsidR="00A847C5" w:rsidRPr="003C4C63">
        <w:rPr>
          <w:szCs w:val="22"/>
        </w:rPr>
        <w:t>vice quality standards</w:t>
      </w:r>
      <w:r w:rsidR="009E3C37" w:rsidRPr="003C4C63">
        <w:rPr>
          <w:szCs w:val="22"/>
        </w:rPr>
        <w:t>.</w:t>
      </w:r>
      <w:r w:rsidR="009E3C37" w:rsidRPr="003C4C63">
        <w:rPr>
          <w:rStyle w:val="FootnoteReference"/>
          <w:szCs w:val="22"/>
        </w:rPr>
        <w:footnoteReference w:id="50"/>
      </w:r>
    </w:p>
    <w:p w14:paraId="4D0FD1B3" w14:textId="57FCC0B5" w:rsidR="009E3C37" w:rsidRPr="003C4C63" w:rsidRDefault="009E3C37" w:rsidP="008660AA">
      <w:pPr>
        <w:pStyle w:val="Heading3"/>
      </w:pPr>
      <w:r w:rsidRPr="003C4C63">
        <w:t>Public Interest Analysis</w:t>
      </w:r>
    </w:p>
    <w:p w14:paraId="3F38B8D8" w14:textId="1D37994B" w:rsidR="000B0D97" w:rsidRPr="000B0D97" w:rsidRDefault="009E3C37" w:rsidP="00726DD7">
      <w:pPr>
        <w:pStyle w:val="ParaNum"/>
        <w:rPr>
          <w:szCs w:val="22"/>
        </w:rPr>
      </w:pPr>
      <w:r w:rsidRPr="003C4C63">
        <w:t xml:space="preserve">We find that </w:t>
      </w:r>
      <w:r w:rsidR="00B613DA" w:rsidRPr="003C4C63">
        <w:t>BARConnects</w:t>
      </w:r>
      <w:r w:rsidR="00D446BD">
        <w:t>’</w:t>
      </w:r>
      <w:r w:rsidRPr="003C4C63">
        <w:t xml:space="preserve"> participating in universal service programs in areas in which it becomes authorized to receive </w:t>
      </w:r>
      <w:r w:rsidR="00761360" w:rsidRPr="003C4C63">
        <w:t>rural broadband experiment funding</w:t>
      </w:r>
      <w:r w:rsidRPr="003C4C63">
        <w:t xml:space="preserve"> support should provide a variety of benefits to consumers including voice </w:t>
      </w:r>
      <w:r w:rsidR="0095763B">
        <w:t xml:space="preserve">service </w:t>
      </w:r>
      <w:r w:rsidRPr="003C4C63">
        <w:t>and next</w:t>
      </w:r>
      <w:r w:rsidR="0095763B">
        <w:t>-</w:t>
      </w:r>
      <w:r w:rsidRPr="003C4C63">
        <w:t>generation broadband access.</w:t>
      </w:r>
      <w:r w:rsidRPr="003C4C63">
        <w:rPr>
          <w:rStyle w:val="FootnoteReference"/>
          <w:szCs w:val="22"/>
        </w:rPr>
        <w:footnoteReference w:id="51"/>
      </w:r>
      <w:r w:rsidRPr="003C4C63">
        <w:t xml:space="preserve">  </w:t>
      </w:r>
      <w:r w:rsidR="00BE57DF" w:rsidRPr="003C4C63">
        <w:t xml:space="preserve">BARConnects </w:t>
      </w:r>
      <w:r w:rsidR="0095763B">
        <w:t xml:space="preserve">has committed </w:t>
      </w:r>
      <w:r w:rsidR="00BE57DF" w:rsidRPr="003C4C63">
        <w:t>to deploy</w:t>
      </w:r>
      <w:r w:rsidR="00885D30">
        <w:t xml:space="preserve">ing </w:t>
      </w:r>
      <w:r w:rsidR="00BE57DF" w:rsidRPr="003C4C63">
        <w:t>an advanced communications network capable of delivering supported services to any area for which it becomes authorized to receive rural broadband experiments funding, consistent with the goals of these experiments.</w:t>
      </w:r>
      <w:r w:rsidR="00BE57DF" w:rsidRPr="003C4C63">
        <w:rPr>
          <w:rStyle w:val="FootnoteReference"/>
          <w:szCs w:val="22"/>
        </w:rPr>
        <w:footnoteReference w:id="52"/>
      </w:r>
      <w:r w:rsidR="00BE57DF" w:rsidRPr="003C4C63">
        <w:t xml:space="preserve"> </w:t>
      </w:r>
    </w:p>
    <w:p w14:paraId="691D29BA" w14:textId="24D13366" w:rsidR="002C3A5C" w:rsidRPr="00885D30" w:rsidRDefault="00117B15" w:rsidP="00B85C1D">
      <w:pPr>
        <w:pStyle w:val="ParaNum"/>
        <w:rPr>
          <w:szCs w:val="22"/>
        </w:rPr>
      </w:pPr>
      <w:r w:rsidRPr="00885D30">
        <w:rPr>
          <w:szCs w:val="22"/>
        </w:rPr>
        <w:t>S</w:t>
      </w:r>
      <w:r w:rsidR="00885D30" w:rsidRPr="00885D30">
        <w:rPr>
          <w:szCs w:val="22"/>
        </w:rPr>
        <w:t xml:space="preserve">pecifically, through the use of new and existing fiber networks, BARConnects </w:t>
      </w:r>
      <w:r w:rsidRPr="00885D30">
        <w:rPr>
          <w:szCs w:val="22"/>
        </w:rPr>
        <w:t>has committed to deploy</w:t>
      </w:r>
      <w:r w:rsidR="00885D30" w:rsidRPr="00885D30">
        <w:rPr>
          <w:szCs w:val="22"/>
        </w:rPr>
        <w:t>ing a</w:t>
      </w:r>
      <w:r w:rsidR="00F1630E">
        <w:rPr>
          <w:szCs w:val="22"/>
        </w:rPr>
        <w:t xml:space="preserve"> </w:t>
      </w:r>
      <w:r w:rsidRPr="00885D30">
        <w:rPr>
          <w:szCs w:val="22"/>
        </w:rPr>
        <w:t xml:space="preserve">network capable of delivering </w:t>
      </w:r>
      <w:r w:rsidR="00F1630E">
        <w:rPr>
          <w:szCs w:val="22"/>
        </w:rPr>
        <w:t xml:space="preserve">voice and broadband service of up to </w:t>
      </w:r>
      <w:r w:rsidRPr="00885D30">
        <w:rPr>
          <w:szCs w:val="22"/>
        </w:rPr>
        <w:t>100 M</w:t>
      </w:r>
      <w:r w:rsidR="00885D30" w:rsidRPr="00BC2BB8">
        <w:rPr>
          <w:szCs w:val="22"/>
        </w:rPr>
        <w:t>bps downstream/25 Mbps upstream</w:t>
      </w:r>
      <w:r w:rsidR="00F1630E">
        <w:rPr>
          <w:szCs w:val="22"/>
        </w:rPr>
        <w:t xml:space="preserve">, including </w:t>
      </w:r>
      <w:r w:rsidR="00885D30" w:rsidRPr="00BC2BB8">
        <w:rPr>
          <w:szCs w:val="22"/>
        </w:rPr>
        <w:t xml:space="preserve">offering </w:t>
      </w:r>
      <w:r w:rsidRPr="00BC2BB8">
        <w:rPr>
          <w:szCs w:val="22"/>
        </w:rPr>
        <w:t>at least one service plan that provides 25 Mbps downstream/5 Mbps upstream to all eligible locations</w:t>
      </w:r>
      <w:r w:rsidR="00885D30" w:rsidRPr="00117B15">
        <w:rPr>
          <w:szCs w:val="22"/>
        </w:rPr>
        <w:t>.</w:t>
      </w:r>
      <w:r w:rsidR="00885D30">
        <w:rPr>
          <w:rStyle w:val="FootnoteReference"/>
          <w:szCs w:val="22"/>
        </w:rPr>
        <w:footnoteReference w:id="53"/>
      </w:r>
      <w:r w:rsidR="00885D30">
        <w:t xml:space="preserve"> </w:t>
      </w:r>
      <w:r w:rsidRPr="00885D30">
        <w:rPr>
          <w:szCs w:val="22"/>
        </w:rPr>
        <w:t xml:space="preserve"> For that service plan, it </w:t>
      </w:r>
      <w:r w:rsidR="00885D30" w:rsidRPr="00885D30">
        <w:rPr>
          <w:szCs w:val="22"/>
        </w:rPr>
        <w:t xml:space="preserve">must </w:t>
      </w:r>
      <w:r w:rsidRPr="00885D30">
        <w:rPr>
          <w:szCs w:val="22"/>
        </w:rPr>
        <w:t>provide usage that is reasonably comparable to usage available for comparable wireline offerings in urban areas, at a price that meets the Commission</w:t>
      </w:r>
      <w:r w:rsidR="00D446BD">
        <w:rPr>
          <w:szCs w:val="22"/>
        </w:rPr>
        <w:t>’</w:t>
      </w:r>
      <w:r w:rsidRPr="00885D30">
        <w:rPr>
          <w:szCs w:val="22"/>
        </w:rPr>
        <w:t>s reasonable comparability benchmarks, and latency no greater than 100 milliseconds</w:t>
      </w:r>
      <w:r w:rsidR="00885D30">
        <w:rPr>
          <w:szCs w:val="22"/>
        </w:rPr>
        <w:t>.</w:t>
      </w:r>
      <w:r w:rsidR="00885D30">
        <w:rPr>
          <w:rStyle w:val="FootnoteReference"/>
          <w:szCs w:val="22"/>
        </w:rPr>
        <w:footnoteReference w:id="54"/>
      </w:r>
      <w:r w:rsidR="00DC7ED2" w:rsidRPr="00885D30">
        <w:rPr>
          <w:szCs w:val="22"/>
        </w:rPr>
        <w:t xml:space="preserve"> </w:t>
      </w:r>
      <w:r w:rsidR="00F1630E">
        <w:rPr>
          <w:szCs w:val="22"/>
        </w:rPr>
        <w:t xml:space="preserve"> BARConnects also </w:t>
      </w:r>
      <w:r w:rsidR="005B3848">
        <w:rPr>
          <w:szCs w:val="22"/>
        </w:rPr>
        <w:t xml:space="preserve">has committed to </w:t>
      </w:r>
      <w:r w:rsidR="00F1630E">
        <w:rPr>
          <w:szCs w:val="22"/>
        </w:rPr>
        <w:t>satisfy its Lifeline obligations.</w:t>
      </w:r>
      <w:r w:rsidR="00F1630E">
        <w:rPr>
          <w:rStyle w:val="FootnoteReference"/>
          <w:szCs w:val="22"/>
        </w:rPr>
        <w:footnoteReference w:id="55"/>
      </w:r>
    </w:p>
    <w:p w14:paraId="2F113F92" w14:textId="4E111430" w:rsidR="002C3A5C" w:rsidRPr="00BA094C" w:rsidRDefault="00C633E2" w:rsidP="0095763B">
      <w:pPr>
        <w:pStyle w:val="ParaNum"/>
      </w:pPr>
      <w:r>
        <w:rPr>
          <w:szCs w:val="22"/>
        </w:rPr>
        <w:t>W</w:t>
      </w:r>
      <w:r w:rsidR="002C3A5C" w:rsidRPr="003C4C63">
        <w:rPr>
          <w:szCs w:val="22"/>
        </w:rPr>
        <w:t xml:space="preserve">e designate BARConnects as an ETC within the provisionally </w:t>
      </w:r>
      <w:r w:rsidR="00673B53">
        <w:rPr>
          <w:szCs w:val="22"/>
        </w:rPr>
        <w:t>selected</w:t>
      </w:r>
      <w:r w:rsidR="00673B53" w:rsidRPr="003C4C63">
        <w:rPr>
          <w:szCs w:val="22"/>
        </w:rPr>
        <w:t xml:space="preserve"> </w:t>
      </w:r>
      <w:r w:rsidR="002C3A5C" w:rsidRPr="003C4C63">
        <w:rPr>
          <w:szCs w:val="22"/>
        </w:rPr>
        <w:t>census blocks</w:t>
      </w:r>
      <w:r w:rsidR="0095763B">
        <w:rPr>
          <w:szCs w:val="22"/>
        </w:rPr>
        <w:t xml:space="preserve"> as listed in the Appendix</w:t>
      </w:r>
      <w:r w:rsidR="002C3A5C" w:rsidRPr="003C4C63">
        <w:rPr>
          <w:szCs w:val="22"/>
        </w:rPr>
        <w:t>.</w:t>
      </w:r>
      <w:r w:rsidR="002C3A5C" w:rsidRPr="003C4C63">
        <w:rPr>
          <w:rStyle w:val="FootnoteReference"/>
          <w:szCs w:val="22"/>
        </w:rPr>
        <w:footnoteReference w:id="56"/>
      </w:r>
      <w:r w:rsidR="002C3A5C" w:rsidRPr="003C4C63">
        <w:rPr>
          <w:szCs w:val="22"/>
        </w:rPr>
        <w:t xml:space="preserve">  </w:t>
      </w:r>
    </w:p>
    <w:p w14:paraId="43C08E25" w14:textId="77777777" w:rsidR="009E3C37" w:rsidRPr="003C4C63" w:rsidRDefault="009E3C37" w:rsidP="008660AA">
      <w:pPr>
        <w:pStyle w:val="Heading3"/>
      </w:pPr>
      <w:r w:rsidRPr="003C4C63">
        <w:t>Regulatory Oversight</w:t>
      </w:r>
    </w:p>
    <w:p w14:paraId="4D19ED91" w14:textId="16354D1A" w:rsidR="009E3C37" w:rsidRPr="003C4C63" w:rsidRDefault="009E3C37" w:rsidP="00AB3054">
      <w:pPr>
        <w:pStyle w:val="ParaNum"/>
        <w:rPr>
          <w:szCs w:val="22"/>
        </w:rPr>
      </w:pPr>
      <w:r w:rsidRPr="003C4C63">
        <w:rPr>
          <w:szCs w:val="22"/>
        </w:rPr>
        <w:t xml:space="preserve">We note that </w:t>
      </w:r>
      <w:r w:rsidR="002F292E" w:rsidRPr="003C4C63">
        <w:rPr>
          <w:szCs w:val="22"/>
        </w:rPr>
        <w:t>BARConnects</w:t>
      </w:r>
      <w:r w:rsidRPr="003C4C63">
        <w:rPr>
          <w:szCs w:val="22"/>
        </w:rPr>
        <w:t xml:space="preserve"> will be required under section 254(e) of the Act to use universal service support “only for the provision, maintenance, and upgrading of facilities and services for which the support is intended.”  </w:t>
      </w:r>
      <w:r w:rsidR="00AB3054" w:rsidRPr="003C4C63">
        <w:rPr>
          <w:szCs w:val="22"/>
        </w:rPr>
        <w:t>We conclude that fulfillment of additional reporting requirements will further the Commission</w:t>
      </w:r>
      <w:r w:rsidR="00D446BD">
        <w:rPr>
          <w:szCs w:val="22"/>
        </w:rPr>
        <w:t>’</w:t>
      </w:r>
      <w:r w:rsidR="00AB3054" w:rsidRPr="003C4C63">
        <w:rPr>
          <w:szCs w:val="22"/>
        </w:rPr>
        <w:t>s goal of ensuring that BARConnects satisfies its obligation under section 214(e) of the Act to provide supported services throughout its designated service area.</w:t>
      </w:r>
      <w:r w:rsidR="0095763B">
        <w:rPr>
          <w:szCs w:val="22"/>
        </w:rPr>
        <w:t xml:space="preserve">  As an ETC designated pursuant to section 214(e)(6) of the Act, BARConnects will be responsible for filing its own annual use certification pursuant to section 54.314(b) of the </w:t>
      </w:r>
      <w:r w:rsidR="00605A59">
        <w:rPr>
          <w:szCs w:val="22"/>
        </w:rPr>
        <w:t>Commission</w:t>
      </w:r>
      <w:r w:rsidR="00D446BD">
        <w:rPr>
          <w:szCs w:val="22"/>
        </w:rPr>
        <w:t>’</w:t>
      </w:r>
      <w:r w:rsidR="00605A59">
        <w:rPr>
          <w:szCs w:val="22"/>
        </w:rPr>
        <w:t>s</w:t>
      </w:r>
      <w:r w:rsidR="0095763B">
        <w:rPr>
          <w:szCs w:val="22"/>
        </w:rPr>
        <w:t xml:space="preserve"> rules.</w:t>
      </w:r>
      <w:r w:rsidR="002F17DF">
        <w:rPr>
          <w:rStyle w:val="FootnoteReference"/>
          <w:szCs w:val="22"/>
        </w:rPr>
        <w:footnoteReference w:id="57"/>
      </w:r>
    </w:p>
    <w:p w14:paraId="76BBC27E" w14:textId="32670AAD" w:rsidR="009E3C37" w:rsidRPr="003C4C63" w:rsidRDefault="009E3C37" w:rsidP="0006582F">
      <w:pPr>
        <w:pStyle w:val="ParaNum"/>
        <w:rPr>
          <w:szCs w:val="22"/>
        </w:rPr>
      </w:pPr>
      <w:r w:rsidRPr="003C4C63">
        <w:rPr>
          <w:szCs w:val="22"/>
        </w:rPr>
        <w:t xml:space="preserve">We find that reliance on </w:t>
      </w:r>
      <w:r w:rsidR="002F292E" w:rsidRPr="003C4C63">
        <w:rPr>
          <w:szCs w:val="22"/>
        </w:rPr>
        <w:t>BARConnects</w:t>
      </w:r>
      <w:r w:rsidR="00D446BD">
        <w:rPr>
          <w:szCs w:val="22"/>
        </w:rPr>
        <w:t>’</w:t>
      </w:r>
      <w:r w:rsidRPr="003C4C63">
        <w:rPr>
          <w:szCs w:val="22"/>
        </w:rPr>
        <w:t xml:space="preserve"> commitments to meet these requirements is reasonable and consistent with the public interest and the Act.</w:t>
      </w:r>
      <w:r w:rsidRPr="003C4C63">
        <w:rPr>
          <w:rStyle w:val="FootnoteReference"/>
          <w:szCs w:val="22"/>
        </w:rPr>
        <w:footnoteReference w:id="58"/>
      </w:r>
      <w:r w:rsidRPr="003C4C63">
        <w:rPr>
          <w:szCs w:val="22"/>
        </w:rPr>
        <w:t xml:space="preserve">  The Commission may institute an inquiry on its own motion to examine any ETC</w:t>
      </w:r>
      <w:r w:rsidR="00D446BD">
        <w:rPr>
          <w:szCs w:val="22"/>
        </w:rPr>
        <w:t>’</w:t>
      </w:r>
      <w:r w:rsidRPr="003C4C63">
        <w:rPr>
          <w:szCs w:val="22"/>
        </w:rPr>
        <w:t>s records and documentation to ensure that the universal service support the ETC receives is being used “only for the provision, maintenance, and upgrading of facilities and services” in the areas in which it is designated as an ETC.</w:t>
      </w:r>
      <w:r w:rsidRPr="003C4C63">
        <w:rPr>
          <w:rStyle w:val="FootnoteReference"/>
          <w:bCs/>
          <w:szCs w:val="22"/>
        </w:rPr>
        <w:footnoteReference w:id="59"/>
      </w:r>
      <w:r w:rsidRPr="003C4C63">
        <w:rPr>
          <w:szCs w:val="22"/>
        </w:rPr>
        <w:t xml:space="preserve">  </w:t>
      </w:r>
      <w:r w:rsidR="002F292E" w:rsidRPr="003C4C63">
        <w:rPr>
          <w:szCs w:val="22"/>
        </w:rPr>
        <w:t>BARConnects</w:t>
      </w:r>
      <w:r w:rsidRPr="003C4C63">
        <w:rPr>
          <w:szCs w:val="22"/>
        </w:rPr>
        <w:t xml:space="preserve"> will be required to provide such records and documentation to the Commission and USAC upon request.</w:t>
      </w:r>
      <w:r w:rsidRPr="003C4C63">
        <w:rPr>
          <w:rStyle w:val="FootnoteReference"/>
          <w:szCs w:val="22"/>
        </w:rPr>
        <w:footnoteReference w:id="60"/>
      </w:r>
      <w:r w:rsidRPr="003C4C63">
        <w:rPr>
          <w:szCs w:val="22"/>
        </w:rPr>
        <w:t xml:space="preserve">  We further emphasize that if </w:t>
      </w:r>
      <w:r w:rsidR="002F292E" w:rsidRPr="003C4C63">
        <w:rPr>
          <w:szCs w:val="22"/>
        </w:rPr>
        <w:t>BARConnects</w:t>
      </w:r>
      <w:r w:rsidRPr="003C4C63">
        <w:rPr>
          <w:szCs w:val="22"/>
        </w:rPr>
        <w:t xml:space="preserve"> fails to fulfill the requirements of the Act, the Commission</w:t>
      </w:r>
      <w:r w:rsidR="00D446BD">
        <w:rPr>
          <w:szCs w:val="22"/>
        </w:rPr>
        <w:t>’</w:t>
      </w:r>
      <w:r w:rsidRPr="003C4C63">
        <w:rPr>
          <w:szCs w:val="22"/>
        </w:rPr>
        <w:t>s rules, and the terms of this order after it begins receiving universal service support, the Commission has authority to revoke its ETC designation.</w:t>
      </w:r>
      <w:r w:rsidRPr="003C4C63">
        <w:rPr>
          <w:rStyle w:val="FootnoteReference"/>
          <w:szCs w:val="22"/>
        </w:rPr>
        <w:footnoteReference w:id="61"/>
      </w:r>
      <w:r w:rsidRPr="003C4C63">
        <w:rPr>
          <w:szCs w:val="22"/>
        </w:rPr>
        <w:t xml:space="preserve">  The Commission also may assess forfeitures for violations of Commission rules and orders.</w:t>
      </w:r>
      <w:r w:rsidRPr="003C4C63">
        <w:rPr>
          <w:rStyle w:val="FootnoteReference"/>
          <w:szCs w:val="22"/>
        </w:rPr>
        <w:footnoteReference w:id="62"/>
      </w:r>
    </w:p>
    <w:p w14:paraId="1C214E6B" w14:textId="77777777" w:rsidR="006C17A2" w:rsidRPr="003C4C63" w:rsidRDefault="006C17A2" w:rsidP="006C17A2">
      <w:pPr>
        <w:pStyle w:val="Heading2"/>
        <w:keepLines/>
        <w:widowControl/>
        <w:rPr>
          <w:szCs w:val="22"/>
        </w:rPr>
      </w:pPr>
      <w:r w:rsidRPr="003C4C63">
        <w:rPr>
          <w:szCs w:val="22"/>
        </w:rPr>
        <w:t>BARConnects Waiver Request</w:t>
      </w:r>
    </w:p>
    <w:p w14:paraId="44CA0F0D" w14:textId="5E8994CA" w:rsidR="006C17A2" w:rsidRPr="003C4C63" w:rsidRDefault="00673B53" w:rsidP="006C17A2">
      <w:pPr>
        <w:pStyle w:val="ParaNum"/>
        <w:rPr>
          <w:szCs w:val="22"/>
        </w:rPr>
      </w:pPr>
      <w:r>
        <w:rPr>
          <w:szCs w:val="22"/>
        </w:rPr>
        <w:t>Consistent with precedent,</w:t>
      </w:r>
      <w:r w:rsidR="0027651B">
        <w:rPr>
          <w:rStyle w:val="FootnoteReference"/>
          <w:szCs w:val="22"/>
        </w:rPr>
        <w:footnoteReference w:id="63"/>
      </w:r>
      <w:r>
        <w:rPr>
          <w:szCs w:val="22"/>
        </w:rPr>
        <w:t xml:space="preserve"> w</w:t>
      </w:r>
      <w:r w:rsidR="006C17A2" w:rsidRPr="003C4C63">
        <w:rPr>
          <w:szCs w:val="22"/>
        </w:rPr>
        <w:t>e find good cause to grant BARConnects</w:t>
      </w:r>
      <w:r w:rsidR="00D446BD">
        <w:rPr>
          <w:szCs w:val="22"/>
        </w:rPr>
        <w:t>’</w:t>
      </w:r>
      <w:r w:rsidR="006C17A2" w:rsidRPr="003C4C63">
        <w:rPr>
          <w:szCs w:val="22"/>
        </w:rPr>
        <w:t xml:space="preserve"> </w:t>
      </w:r>
      <w:r>
        <w:rPr>
          <w:szCs w:val="22"/>
        </w:rPr>
        <w:t xml:space="preserve">request for waiver of the deadline for submitting proof of ETC designation.  </w:t>
      </w:r>
      <w:r w:rsidR="006C17A2" w:rsidRPr="003C4C63">
        <w:rPr>
          <w:szCs w:val="22"/>
        </w:rPr>
        <w:t xml:space="preserve">BARConnects requested ETC designation from the </w:t>
      </w:r>
      <w:r w:rsidR="003650FE">
        <w:rPr>
          <w:szCs w:val="22"/>
        </w:rPr>
        <w:t xml:space="preserve">Virginia </w:t>
      </w:r>
      <w:r w:rsidR="006C17A2" w:rsidRPr="003C4C63">
        <w:rPr>
          <w:szCs w:val="22"/>
        </w:rPr>
        <w:t xml:space="preserve">SCC </w:t>
      </w:r>
      <w:r w:rsidR="00BA094C">
        <w:rPr>
          <w:szCs w:val="22"/>
        </w:rPr>
        <w:t>on March 18, 2015</w:t>
      </w:r>
      <w:r>
        <w:rPr>
          <w:szCs w:val="22"/>
        </w:rPr>
        <w:t xml:space="preserve">, less than </w:t>
      </w:r>
      <w:r w:rsidR="006C17A2" w:rsidRPr="003C4C63">
        <w:rPr>
          <w:szCs w:val="22"/>
        </w:rPr>
        <w:t xml:space="preserve">15 days </w:t>
      </w:r>
      <w:r>
        <w:rPr>
          <w:szCs w:val="22"/>
        </w:rPr>
        <w:t>after</w:t>
      </w:r>
      <w:r w:rsidR="006C17A2" w:rsidRPr="003C4C63">
        <w:rPr>
          <w:szCs w:val="22"/>
        </w:rPr>
        <w:t xml:space="preserve"> the release of the </w:t>
      </w:r>
      <w:r w:rsidR="00CE1157">
        <w:rPr>
          <w:szCs w:val="22"/>
        </w:rPr>
        <w:t>Bureau</w:t>
      </w:r>
      <w:r w:rsidR="00D446BD">
        <w:rPr>
          <w:szCs w:val="22"/>
        </w:rPr>
        <w:t>’</w:t>
      </w:r>
      <w:r w:rsidR="006C17A2" w:rsidRPr="003C4C63">
        <w:rPr>
          <w:szCs w:val="22"/>
        </w:rPr>
        <w:t xml:space="preserve">s </w:t>
      </w:r>
      <w:r w:rsidR="00BA094C">
        <w:rPr>
          <w:szCs w:val="22"/>
        </w:rPr>
        <w:t xml:space="preserve">March 4, 2015 </w:t>
      </w:r>
      <w:r w:rsidR="006C17A2" w:rsidRPr="003C4C63">
        <w:rPr>
          <w:szCs w:val="22"/>
        </w:rPr>
        <w:t xml:space="preserve">public notice announcing BARC Electric Cooperative as a provisionally selected bidder.  Accordingly, we </w:t>
      </w:r>
      <w:r w:rsidR="00F11EAC">
        <w:rPr>
          <w:szCs w:val="22"/>
        </w:rPr>
        <w:t xml:space="preserve">find </w:t>
      </w:r>
      <w:r w:rsidR="006C17A2" w:rsidRPr="003C4C63">
        <w:rPr>
          <w:szCs w:val="22"/>
        </w:rPr>
        <w:t>that BARConnects acted in good faith</w:t>
      </w:r>
      <w:r w:rsidR="0095763B">
        <w:rPr>
          <w:szCs w:val="22"/>
        </w:rPr>
        <w:t xml:space="preserve"> </w:t>
      </w:r>
      <w:r w:rsidR="006C17A2" w:rsidRPr="003C4C63">
        <w:rPr>
          <w:szCs w:val="22"/>
        </w:rPr>
        <w:t xml:space="preserve">in attempting to obtain ETC designation by the June 2, 2015 deadline.  </w:t>
      </w:r>
    </w:p>
    <w:p w14:paraId="01557691" w14:textId="77777777" w:rsidR="009E3C37" w:rsidRPr="003C4C63" w:rsidRDefault="009E3C37">
      <w:pPr>
        <w:pStyle w:val="Heading1"/>
        <w:rPr>
          <w:szCs w:val="22"/>
        </w:rPr>
      </w:pPr>
      <w:r w:rsidRPr="003C4C63">
        <w:rPr>
          <w:szCs w:val="22"/>
        </w:rPr>
        <w:t>ORDERING CLAUSES</w:t>
      </w:r>
    </w:p>
    <w:p w14:paraId="46B2566B" w14:textId="18079A5D" w:rsidR="00D366A0" w:rsidRPr="0067102D" w:rsidRDefault="009E3C37" w:rsidP="0067102D">
      <w:pPr>
        <w:pStyle w:val="ParaNum"/>
        <w:rPr>
          <w:szCs w:val="22"/>
        </w:rPr>
      </w:pPr>
      <w:r w:rsidRPr="003C4C63">
        <w:rPr>
          <w:szCs w:val="22"/>
        </w:rPr>
        <w:t>Accordingly, IT IS ORDERED that, pursuant to the authority contained in section 214(e)(6) of the Communications Act, 47 U.S.C. § 214(e)(6), and the authority delegated in sections 0.91</w:t>
      </w:r>
      <w:r w:rsidR="00564C48">
        <w:rPr>
          <w:szCs w:val="22"/>
        </w:rPr>
        <w:t xml:space="preserve"> and 0.291</w:t>
      </w:r>
      <w:r w:rsidRPr="003C4C63">
        <w:rPr>
          <w:szCs w:val="22"/>
        </w:rPr>
        <w:t xml:space="preserve"> of the Comm</w:t>
      </w:r>
      <w:r w:rsidRPr="0067102D">
        <w:rPr>
          <w:szCs w:val="22"/>
        </w:rPr>
        <w:t>i</w:t>
      </w:r>
      <w:r w:rsidR="00564C48" w:rsidRPr="0067102D">
        <w:rPr>
          <w:szCs w:val="22"/>
        </w:rPr>
        <w:t>ssion</w:t>
      </w:r>
      <w:r w:rsidR="00D446BD">
        <w:rPr>
          <w:szCs w:val="22"/>
        </w:rPr>
        <w:t>’</w:t>
      </w:r>
      <w:r w:rsidR="00564C48" w:rsidRPr="0067102D">
        <w:rPr>
          <w:szCs w:val="22"/>
        </w:rPr>
        <w:t xml:space="preserve">s rules, 47 C.F.R. §§ 0.91, </w:t>
      </w:r>
      <w:r w:rsidRPr="0067102D">
        <w:rPr>
          <w:szCs w:val="22"/>
        </w:rPr>
        <w:t>0.291,</w:t>
      </w:r>
      <w:r w:rsidR="00564C48" w:rsidRPr="0067102D">
        <w:rPr>
          <w:szCs w:val="22"/>
        </w:rPr>
        <w:t xml:space="preserve"> </w:t>
      </w:r>
      <w:r w:rsidR="00FC0CC3" w:rsidRPr="0067102D">
        <w:rPr>
          <w:szCs w:val="22"/>
        </w:rPr>
        <w:t>BARCONNECTS, LLC</w:t>
      </w:r>
      <w:r w:rsidR="002F292E" w:rsidRPr="0067102D">
        <w:rPr>
          <w:szCs w:val="22"/>
        </w:rPr>
        <w:t xml:space="preserve"> IS</w:t>
      </w:r>
      <w:r w:rsidRPr="0067102D">
        <w:rPr>
          <w:szCs w:val="22"/>
        </w:rPr>
        <w:t xml:space="preserve"> DESIGNATED AS </w:t>
      </w:r>
      <w:r w:rsidR="00D366A0" w:rsidRPr="0067102D">
        <w:rPr>
          <w:szCs w:val="22"/>
        </w:rPr>
        <w:t xml:space="preserve">AN </w:t>
      </w:r>
      <w:r w:rsidRPr="0067102D">
        <w:rPr>
          <w:szCs w:val="22"/>
        </w:rPr>
        <w:t>ELIGIBLE TEL</w:t>
      </w:r>
      <w:r w:rsidR="00D366A0" w:rsidRPr="0067102D">
        <w:rPr>
          <w:szCs w:val="22"/>
        </w:rPr>
        <w:t>ECOMMUNICATIONS CARRIER for the 64 census blocks located in the Commonwealth of Virginia for which BARC Electric Cooperative is th</w:t>
      </w:r>
      <w:r w:rsidR="00564C48" w:rsidRPr="0067102D">
        <w:rPr>
          <w:szCs w:val="22"/>
        </w:rPr>
        <w:t>e provisionally selected bidder.</w:t>
      </w:r>
    </w:p>
    <w:p w14:paraId="20ED6721" w14:textId="217EF71C" w:rsidR="00447F64" w:rsidRPr="0094685A" w:rsidRDefault="00447F64" w:rsidP="00247A02">
      <w:pPr>
        <w:pStyle w:val="ParaNum"/>
      </w:pPr>
      <w:r w:rsidRPr="0094685A">
        <w:t>IT IS FURTHER ORDERED, pur</w:t>
      </w:r>
      <w:r w:rsidR="0075371E">
        <w:t>suant to sections 1, 4(i), 5(c), and</w:t>
      </w:r>
      <w:r w:rsidRPr="0094685A">
        <w:t xml:space="preserve"> 214</w:t>
      </w:r>
      <w:r w:rsidR="0075371E">
        <w:t>(e)(6)</w:t>
      </w:r>
      <w:r w:rsidR="00247A02">
        <w:t xml:space="preserve"> </w:t>
      </w:r>
      <w:r w:rsidRPr="0094685A">
        <w:t xml:space="preserve">of the Communications Act of 1934, as amended, 47 U.S.C. §§ 151, 154(i), </w:t>
      </w:r>
      <w:r w:rsidR="0094685A" w:rsidRPr="0094685A">
        <w:t xml:space="preserve">and </w:t>
      </w:r>
      <w:r w:rsidRPr="0094685A">
        <w:t>214</w:t>
      </w:r>
      <w:r w:rsidR="0075371E">
        <w:t>(e)(6)</w:t>
      </w:r>
      <w:r w:rsidRPr="0094685A">
        <w:t>, and sections 0.91, 0.291 and 1.3 of the Commission</w:t>
      </w:r>
      <w:r w:rsidR="00D446BD">
        <w:t>’</w:t>
      </w:r>
      <w:r w:rsidRPr="0094685A">
        <w:t xml:space="preserve">s rules, 47 C.F.R. §§ 0.91, 0.291 and 1.3, that the petition for waiver </w:t>
      </w:r>
      <w:r w:rsidRPr="0094685A">
        <w:rPr>
          <w:szCs w:val="22"/>
        </w:rPr>
        <w:t xml:space="preserve">of the deadline for submitting proof of ETC designation </w:t>
      </w:r>
      <w:r w:rsidRPr="0094685A">
        <w:t xml:space="preserve">filed by BarConnects, LLC is GRANTED to the extent described herein. </w:t>
      </w:r>
    </w:p>
    <w:p w14:paraId="42AA1420" w14:textId="4E9A1A5B" w:rsidR="009E3C37" w:rsidRPr="003C4C63" w:rsidRDefault="00447F64" w:rsidP="00447F64">
      <w:pPr>
        <w:pStyle w:val="ParaNum"/>
      </w:pPr>
      <w:r w:rsidRPr="003C4C63">
        <w:t xml:space="preserve">IT IS FURTHER ORDERED that a copy of this order SHALL BE transmitted by the Office of the Secretary to the </w:t>
      </w:r>
      <w:r w:rsidRPr="007A4F47">
        <w:t xml:space="preserve">Virginia State Corporation Commission </w:t>
      </w:r>
      <w:r w:rsidRPr="003C4C63">
        <w:t>and the Universal Service Administrative Company; and</w:t>
      </w:r>
    </w:p>
    <w:p w14:paraId="11D2D8FC" w14:textId="45D8C063" w:rsidR="009E3C37" w:rsidRPr="003C4C63" w:rsidRDefault="009E3C37" w:rsidP="008660AA">
      <w:pPr>
        <w:pStyle w:val="ParaNum"/>
        <w:keepNext/>
        <w:rPr>
          <w:szCs w:val="22"/>
        </w:rPr>
      </w:pPr>
      <w:r w:rsidRPr="003C4C63">
        <w:rPr>
          <w:szCs w:val="22"/>
        </w:rPr>
        <w:t>IT IS FURTHER ORDERED that, pursuant to section 1.102(b)(1) of the Commission</w:t>
      </w:r>
      <w:r w:rsidR="00D446BD">
        <w:rPr>
          <w:szCs w:val="22"/>
        </w:rPr>
        <w:t>’</w:t>
      </w:r>
      <w:r w:rsidRPr="003C4C63">
        <w:rPr>
          <w:szCs w:val="22"/>
        </w:rPr>
        <w:t>s rules, 47 C.F.R. § 1.102(b)(1), this order SHALL BE effective upon release.</w:t>
      </w:r>
    </w:p>
    <w:p w14:paraId="60DAE85A" w14:textId="77777777" w:rsidR="009E3C37" w:rsidRPr="003C4C63" w:rsidRDefault="009E3C37">
      <w:pPr>
        <w:keepNext/>
        <w:rPr>
          <w:szCs w:val="22"/>
        </w:rPr>
      </w:pPr>
    </w:p>
    <w:p w14:paraId="4910B65C" w14:textId="77777777" w:rsidR="009E3C37" w:rsidRPr="003C4C63" w:rsidRDefault="009E3C37">
      <w:pPr>
        <w:keepNext/>
        <w:ind w:left="4320"/>
        <w:rPr>
          <w:szCs w:val="22"/>
        </w:rPr>
      </w:pPr>
      <w:r w:rsidRPr="003C4C63">
        <w:rPr>
          <w:szCs w:val="22"/>
        </w:rPr>
        <w:t>FEDERAL COMMUNICATIONS COMMISSION</w:t>
      </w:r>
    </w:p>
    <w:p w14:paraId="2130D651" w14:textId="77777777" w:rsidR="009E3C37" w:rsidRPr="003C4C63" w:rsidRDefault="009E3C37">
      <w:pPr>
        <w:keepNext/>
        <w:ind w:left="4320"/>
        <w:rPr>
          <w:szCs w:val="22"/>
        </w:rPr>
      </w:pPr>
    </w:p>
    <w:p w14:paraId="699AB4AB" w14:textId="77777777" w:rsidR="009E3C37" w:rsidRPr="003C4C63" w:rsidRDefault="009E3C37">
      <w:pPr>
        <w:keepNext/>
        <w:ind w:left="4320"/>
        <w:rPr>
          <w:szCs w:val="22"/>
        </w:rPr>
      </w:pPr>
    </w:p>
    <w:p w14:paraId="6F11FCC1" w14:textId="77777777" w:rsidR="009E3C37" w:rsidRDefault="009E3C37">
      <w:pPr>
        <w:keepNext/>
        <w:ind w:left="4320"/>
        <w:rPr>
          <w:szCs w:val="22"/>
        </w:rPr>
      </w:pPr>
    </w:p>
    <w:p w14:paraId="301C0355" w14:textId="77777777" w:rsidR="00982796" w:rsidRPr="003C4C63" w:rsidRDefault="00982796">
      <w:pPr>
        <w:keepNext/>
        <w:ind w:left="4320"/>
        <w:rPr>
          <w:szCs w:val="22"/>
        </w:rPr>
      </w:pPr>
    </w:p>
    <w:p w14:paraId="201A62E3" w14:textId="7B3600A0" w:rsidR="009E3C37" w:rsidRPr="003C4C63" w:rsidRDefault="009203AB">
      <w:pPr>
        <w:keepNext/>
        <w:ind w:left="4320"/>
        <w:rPr>
          <w:szCs w:val="22"/>
        </w:rPr>
      </w:pPr>
      <w:r>
        <w:rPr>
          <w:szCs w:val="22"/>
        </w:rPr>
        <w:t>Matthew S. DelNero</w:t>
      </w:r>
    </w:p>
    <w:p w14:paraId="2F507229" w14:textId="77777777" w:rsidR="009E3C37" w:rsidRPr="003C4C63" w:rsidRDefault="009E3C37">
      <w:pPr>
        <w:keepNext/>
        <w:ind w:left="4320"/>
        <w:rPr>
          <w:szCs w:val="22"/>
        </w:rPr>
      </w:pPr>
      <w:r w:rsidRPr="003C4C63">
        <w:rPr>
          <w:szCs w:val="22"/>
        </w:rPr>
        <w:t>Chief</w:t>
      </w:r>
    </w:p>
    <w:p w14:paraId="3C38649D" w14:textId="77777777" w:rsidR="00793124" w:rsidRPr="003C4C63" w:rsidRDefault="003C4C63" w:rsidP="003C4C63">
      <w:pPr>
        <w:ind w:left="4320"/>
        <w:rPr>
          <w:szCs w:val="22"/>
        </w:rPr>
      </w:pPr>
      <w:r w:rsidRPr="003C4C63">
        <w:rPr>
          <w:szCs w:val="22"/>
        </w:rPr>
        <w:t>Wireline Competition Bureau</w:t>
      </w:r>
    </w:p>
    <w:p w14:paraId="067734A3" w14:textId="77777777" w:rsidR="00887C87" w:rsidRDefault="00887C87" w:rsidP="00987D1F">
      <w:pPr>
        <w:sectPr w:rsidR="00887C8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60"/>
          <w:noEndnote/>
          <w:titlePg/>
        </w:sectPr>
      </w:pPr>
    </w:p>
    <w:p w14:paraId="0CC69432" w14:textId="027BE8E6" w:rsidR="00EA4AC4" w:rsidRDefault="00EA4AC4" w:rsidP="00F32339">
      <w:pPr>
        <w:jc w:val="center"/>
        <w:rPr>
          <w:b/>
          <w:u w:val="single"/>
        </w:rPr>
      </w:pPr>
      <w:r>
        <w:rPr>
          <w:b/>
          <w:u w:val="single"/>
        </w:rPr>
        <w:t xml:space="preserve">APPENDIX </w:t>
      </w:r>
    </w:p>
    <w:p w14:paraId="393006A6" w14:textId="77777777" w:rsidR="00EA4AC4" w:rsidRDefault="00EA4AC4" w:rsidP="00F32339">
      <w:pPr>
        <w:jc w:val="center"/>
        <w:rPr>
          <w:b/>
          <w:u w:val="single"/>
        </w:rPr>
      </w:pPr>
    </w:p>
    <w:p w14:paraId="012D6E74" w14:textId="4D9A4182" w:rsidR="00EA4AC4" w:rsidRDefault="006671EE" w:rsidP="00F32339">
      <w:pPr>
        <w:jc w:val="center"/>
        <w:rPr>
          <w:b/>
          <w:u w:val="single"/>
        </w:rPr>
      </w:pPr>
      <w:r>
        <w:rPr>
          <w:b/>
          <w:u w:val="single"/>
        </w:rPr>
        <w:t xml:space="preserve">Provisionally </w:t>
      </w:r>
      <w:r w:rsidR="00BC2BB8">
        <w:rPr>
          <w:b/>
          <w:u w:val="single"/>
        </w:rPr>
        <w:t>S</w:t>
      </w:r>
      <w:r>
        <w:rPr>
          <w:b/>
          <w:u w:val="single"/>
        </w:rPr>
        <w:t>elected</w:t>
      </w:r>
      <w:r w:rsidR="00EA4AC4">
        <w:rPr>
          <w:b/>
          <w:u w:val="single"/>
        </w:rPr>
        <w:t xml:space="preserve"> Census Blocks for which BARConnects, LLC </w:t>
      </w:r>
    </w:p>
    <w:p w14:paraId="5B9F0920" w14:textId="31CFF0A5" w:rsidR="00887C87" w:rsidRPr="00EA4AC4" w:rsidRDefault="00B22705" w:rsidP="00EA4AC4">
      <w:pPr>
        <w:jc w:val="center"/>
        <w:rPr>
          <w:b/>
          <w:u w:val="single"/>
        </w:rPr>
        <w:sectPr w:rsidR="00887C87" w:rsidRPr="00EA4AC4" w:rsidSect="00887439">
          <w:footerReference w:type="first" r:id="rId14"/>
          <w:pgSz w:w="12240" w:h="15840" w:code="1"/>
          <w:pgMar w:top="1440" w:right="1440" w:bottom="1440" w:left="1440" w:header="720" w:footer="720" w:gutter="0"/>
          <w:cols w:space="60"/>
          <w:noEndnote/>
          <w:docGrid w:linePitch="299"/>
        </w:sectPr>
      </w:pPr>
      <w:r>
        <w:rPr>
          <w:b/>
          <w:u w:val="single"/>
        </w:rPr>
        <w:t>Is</w:t>
      </w:r>
      <w:r w:rsidR="00EA4AC4">
        <w:rPr>
          <w:b/>
          <w:u w:val="single"/>
        </w:rPr>
        <w:t xml:space="preserve"> the </w:t>
      </w:r>
      <w:r>
        <w:rPr>
          <w:b/>
          <w:u w:val="single"/>
        </w:rPr>
        <w:t>D</w:t>
      </w:r>
      <w:r w:rsidR="00EA4AC4">
        <w:rPr>
          <w:b/>
          <w:u w:val="single"/>
        </w:rPr>
        <w:t xml:space="preserve">esignated Eligible Telecommunications Carrier </w:t>
      </w:r>
    </w:p>
    <w:p w14:paraId="3CD856E7" w14:textId="262B0657" w:rsidR="00987D1F" w:rsidRDefault="00987D1F" w:rsidP="00987D1F"/>
    <w:p w14:paraId="18E042FA" w14:textId="77777777" w:rsidR="00987D1F" w:rsidRPr="00F27892" w:rsidRDefault="00987D1F" w:rsidP="00F27892">
      <w:pPr>
        <w:ind w:left="720"/>
        <w:jc w:val="center"/>
      </w:pPr>
      <w:r w:rsidRPr="00F27892">
        <w:t>511639301002000</w:t>
      </w:r>
    </w:p>
    <w:p w14:paraId="6E763E5E" w14:textId="77777777" w:rsidR="00987D1F" w:rsidRPr="00F27892" w:rsidRDefault="00987D1F" w:rsidP="00F27892">
      <w:pPr>
        <w:ind w:left="720"/>
        <w:jc w:val="center"/>
      </w:pPr>
      <w:r w:rsidRPr="00F27892">
        <w:t>511639301002012</w:t>
      </w:r>
    </w:p>
    <w:p w14:paraId="49439C47" w14:textId="77777777" w:rsidR="00987D1F" w:rsidRPr="00F27892" w:rsidRDefault="00987D1F" w:rsidP="00F27892">
      <w:pPr>
        <w:ind w:left="720"/>
        <w:jc w:val="center"/>
      </w:pPr>
      <w:r w:rsidRPr="00F27892">
        <w:t>511639301002036</w:t>
      </w:r>
    </w:p>
    <w:p w14:paraId="41CF1AA6" w14:textId="77777777" w:rsidR="00987D1F" w:rsidRPr="00F27892" w:rsidRDefault="00987D1F" w:rsidP="00F27892">
      <w:pPr>
        <w:ind w:left="720"/>
        <w:jc w:val="center"/>
      </w:pPr>
      <w:r w:rsidRPr="00F27892">
        <w:t>511639301002039</w:t>
      </w:r>
    </w:p>
    <w:p w14:paraId="413E1764" w14:textId="77777777" w:rsidR="00987D1F" w:rsidRPr="00F27892" w:rsidRDefault="00987D1F" w:rsidP="00F27892">
      <w:pPr>
        <w:ind w:left="720"/>
        <w:jc w:val="center"/>
      </w:pPr>
      <w:r w:rsidRPr="00F27892">
        <w:t>511639301002040</w:t>
      </w:r>
    </w:p>
    <w:p w14:paraId="06141CF1" w14:textId="77777777" w:rsidR="00987D1F" w:rsidRPr="00F27892" w:rsidRDefault="00987D1F" w:rsidP="00F27892">
      <w:pPr>
        <w:ind w:left="720"/>
        <w:jc w:val="center"/>
      </w:pPr>
      <w:r w:rsidRPr="00F27892">
        <w:t>511639301002046</w:t>
      </w:r>
    </w:p>
    <w:p w14:paraId="4CA6F336" w14:textId="77777777" w:rsidR="00987D1F" w:rsidRPr="00F27892" w:rsidRDefault="00987D1F" w:rsidP="00F27892">
      <w:pPr>
        <w:ind w:left="720"/>
        <w:jc w:val="center"/>
      </w:pPr>
      <w:r w:rsidRPr="00F27892">
        <w:t>511639301002056</w:t>
      </w:r>
    </w:p>
    <w:p w14:paraId="3BCD3828" w14:textId="77777777" w:rsidR="00987D1F" w:rsidRPr="00F27892" w:rsidRDefault="00987D1F" w:rsidP="00F27892">
      <w:pPr>
        <w:ind w:left="720"/>
        <w:jc w:val="center"/>
      </w:pPr>
      <w:r w:rsidRPr="00F27892">
        <w:t>511639301002074</w:t>
      </w:r>
    </w:p>
    <w:p w14:paraId="4AF032B1" w14:textId="77777777" w:rsidR="00987D1F" w:rsidRPr="00F27892" w:rsidRDefault="00987D1F" w:rsidP="00F27892">
      <w:pPr>
        <w:ind w:left="720"/>
        <w:jc w:val="center"/>
      </w:pPr>
      <w:r w:rsidRPr="00F27892">
        <w:t>511639301003039</w:t>
      </w:r>
    </w:p>
    <w:p w14:paraId="7BD59A2C" w14:textId="77777777" w:rsidR="00987D1F" w:rsidRPr="00F27892" w:rsidRDefault="00987D1F" w:rsidP="00F27892">
      <w:pPr>
        <w:ind w:left="720"/>
        <w:jc w:val="center"/>
      </w:pPr>
      <w:r w:rsidRPr="00F27892">
        <w:t>511639301004000</w:t>
      </w:r>
    </w:p>
    <w:p w14:paraId="4C887D13" w14:textId="77777777" w:rsidR="00987D1F" w:rsidRPr="00F27892" w:rsidRDefault="00987D1F" w:rsidP="00F27892">
      <w:pPr>
        <w:ind w:left="720"/>
        <w:jc w:val="center"/>
      </w:pPr>
      <w:r w:rsidRPr="00F27892">
        <w:t>511639301004003</w:t>
      </w:r>
    </w:p>
    <w:p w14:paraId="2B331BBE" w14:textId="77777777" w:rsidR="00987D1F" w:rsidRPr="00F27892" w:rsidRDefault="00987D1F" w:rsidP="00F27892">
      <w:pPr>
        <w:ind w:left="720"/>
        <w:jc w:val="center"/>
      </w:pPr>
      <w:r w:rsidRPr="00F27892">
        <w:t>511639301004006</w:t>
      </w:r>
    </w:p>
    <w:p w14:paraId="62BC19B2" w14:textId="77777777" w:rsidR="00987D1F" w:rsidRPr="00F27892" w:rsidRDefault="00987D1F" w:rsidP="00F27892">
      <w:pPr>
        <w:ind w:left="720"/>
        <w:jc w:val="center"/>
      </w:pPr>
      <w:r w:rsidRPr="00F27892">
        <w:t>511639301004007</w:t>
      </w:r>
    </w:p>
    <w:p w14:paraId="65329B0D" w14:textId="77777777" w:rsidR="00987D1F" w:rsidRPr="00F27892" w:rsidRDefault="00987D1F" w:rsidP="00F27892">
      <w:pPr>
        <w:ind w:left="720"/>
        <w:jc w:val="center"/>
      </w:pPr>
      <w:r w:rsidRPr="00F27892">
        <w:t>511639301004009</w:t>
      </w:r>
    </w:p>
    <w:p w14:paraId="6173364F" w14:textId="77777777" w:rsidR="00987D1F" w:rsidRPr="00F27892" w:rsidRDefault="00987D1F" w:rsidP="00F27892">
      <w:pPr>
        <w:ind w:left="720"/>
        <w:jc w:val="center"/>
      </w:pPr>
      <w:r w:rsidRPr="00F27892">
        <w:t>511639301004010</w:t>
      </w:r>
    </w:p>
    <w:p w14:paraId="1BF766D1" w14:textId="77777777" w:rsidR="00987D1F" w:rsidRPr="00F27892" w:rsidRDefault="00987D1F" w:rsidP="00F27892">
      <w:pPr>
        <w:ind w:left="720"/>
        <w:jc w:val="center"/>
      </w:pPr>
      <w:r w:rsidRPr="00F27892">
        <w:t>511639301004013</w:t>
      </w:r>
    </w:p>
    <w:p w14:paraId="7D302BE6" w14:textId="77777777" w:rsidR="00987D1F" w:rsidRPr="00F27892" w:rsidRDefault="00987D1F" w:rsidP="00F27892">
      <w:pPr>
        <w:ind w:left="720"/>
        <w:jc w:val="center"/>
      </w:pPr>
      <w:r w:rsidRPr="00F27892">
        <w:t>511639301004020</w:t>
      </w:r>
    </w:p>
    <w:p w14:paraId="3C111DCD" w14:textId="77777777" w:rsidR="00987D1F" w:rsidRPr="00F27892" w:rsidRDefault="00987D1F" w:rsidP="00F27892">
      <w:pPr>
        <w:ind w:left="720"/>
        <w:jc w:val="center"/>
      </w:pPr>
      <w:r w:rsidRPr="00F27892">
        <w:t>511639301004021</w:t>
      </w:r>
    </w:p>
    <w:p w14:paraId="77B11610" w14:textId="77777777" w:rsidR="00987D1F" w:rsidRPr="00F27892" w:rsidRDefault="00987D1F" w:rsidP="00F27892">
      <w:pPr>
        <w:ind w:left="720"/>
        <w:jc w:val="center"/>
      </w:pPr>
      <w:r w:rsidRPr="00F27892">
        <w:t>511639301004022</w:t>
      </w:r>
    </w:p>
    <w:p w14:paraId="5FA866C9" w14:textId="77777777" w:rsidR="00987D1F" w:rsidRPr="00F27892" w:rsidRDefault="00987D1F" w:rsidP="00F27892">
      <w:pPr>
        <w:ind w:left="720"/>
        <w:jc w:val="center"/>
      </w:pPr>
      <w:r w:rsidRPr="00F27892">
        <w:t>511639301004027</w:t>
      </w:r>
    </w:p>
    <w:p w14:paraId="5A7C1A57" w14:textId="77777777" w:rsidR="00987D1F" w:rsidRPr="00F27892" w:rsidRDefault="00987D1F" w:rsidP="00F27892">
      <w:pPr>
        <w:ind w:left="720"/>
        <w:jc w:val="center"/>
      </w:pPr>
      <w:r w:rsidRPr="00F27892">
        <w:t>511639301004029</w:t>
      </w:r>
    </w:p>
    <w:p w14:paraId="660B55F8" w14:textId="77777777" w:rsidR="00987D1F" w:rsidRPr="00F27892" w:rsidRDefault="00987D1F" w:rsidP="00F27892">
      <w:pPr>
        <w:ind w:left="720"/>
        <w:jc w:val="center"/>
      </w:pPr>
      <w:r w:rsidRPr="00F27892">
        <w:t>511639301004034</w:t>
      </w:r>
    </w:p>
    <w:p w14:paraId="5BEDE72E" w14:textId="77777777" w:rsidR="00987D1F" w:rsidRPr="00F27892" w:rsidRDefault="00987D1F" w:rsidP="00F27892">
      <w:pPr>
        <w:ind w:left="720"/>
        <w:jc w:val="center"/>
      </w:pPr>
      <w:r w:rsidRPr="00F27892">
        <w:t>511639301004042</w:t>
      </w:r>
    </w:p>
    <w:p w14:paraId="50CAB29E" w14:textId="77777777" w:rsidR="00987D1F" w:rsidRPr="00F27892" w:rsidRDefault="00987D1F" w:rsidP="00F27892">
      <w:pPr>
        <w:ind w:left="720"/>
        <w:jc w:val="center"/>
      </w:pPr>
      <w:r w:rsidRPr="00F27892">
        <w:t>511639301004067</w:t>
      </w:r>
    </w:p>
    <w:p w14:paraId="0B332840" w14:textId="77777777" w:rsidR="00987D1F" w:rsidRPr="00F27892" w:rsidRDefault="00987D1F" w:rsidP="00F27892">
      <w:pPr>
        <w:ind w:left="720"/>
        <w:jc w:val="center"/>
      </w:pPr>
      <w:r w:rsidRPr="00F27892">
        <w:t>511639301004068</w:t>
      </w:r>
    </w:p>
    <w:p w14:paraId="449BD25A" w14:textId="77777777" w:rsidR="00987D1F" w:rsidRPr="00F27892" w:rsidRDefault="00987D1F" w:rsidP="00F27892">
      <w:pPr>
        <w:ind w:left="720"/>
        <w:jc w:val="center"/>
      </w:pPr>
      <w:r w:rsidRPr="00F27892">
        <w:t>511639301004074</w:t>
      </w:r>
    </w:p>
    <w:p w14:paraId="28E19BE4" w14:textId="77777777" w:rsidR="00987D1F" w:rsidRPr="00F27892" w:rsidRDefault="00987D1F" w:rsidP="00F27892">
      <w:pPr>
        <w:ind w:left="720"/>
        <w:jc w:val="center"/>
      </w:pPr>
      <w:r w:rsidRPr="00F27892">
        <w:t>511639301005072</w:t>
      </w:r>
    </w:p>
    <w:p w14:paraId="72264175" w14:textId="77777777" w:rsidR="00987D1F" w:rsidRPr="00F27892" w:rsidRDefault="00987D1F" w:rsidP="00F27892">
      <w:pPr>
        <w:ind w:left="720"/>
        <w:jc w:val="center"/>
      </w:pPr>
      <w:r w:rsidRPr="00F27892">
        <w:t>511639301005084</w:t>
      </w:r>
    </w:p>
    <w:p w14:paraId="40AA1838" w14:textId="77777777" w:rsidR="00987D1F" w:rsidRPr="00F27892" w:rsidRDefault="00987D1F" w:rsidP="00F27892">
      <w:pPr>
        <w:ind w:left="720"/>
        <w:jc w:val="center"/>
      </w:pPr>
      <w:r w:rsidRPr="00F27892">
        <w:t>511639301005106</w:t>
      </w:r>
    </w:p>
    <w:p w14:paraId="586FF9C7" w14:textId="77777777" w:rsidR="00987D1F" w:rsidRPr="00F27892" w:rsidRDefault="00987D1F" w:rsidP="00F27892">
      <w:pPr>
        <w:ind w:left="720"/>
        <w:jc w:val="center"/>
      </w:pPr>
      <w:r w:rsidRPr="00F27892">
        <w:t>511639301005110</w:t>
      </w:r>
    </w:p>
    <w:p w14:paraId="5ACE3489" w14:textId="77777777" w:rsidR="00987D1F" w:rsidRPr="00F27892" w:rsidRDefault="00987D1F" w:rsidP="00F27892">
      <w:pPr>
        <w:ind w:left="720"/>
        <w:jc w:val="center"/>
      </w:pPr>
      <w:r w:rsidRPr="00F27892">
        <w:t>511639301006004</w:t>
      </w:r>
    </w:p>
    <w:p w14:paraId="33C26587" w14:textId="77777777" w:rsidR="00987D1F" w:rsidRPr="00F27892" w:rsidRDefault="00987D1F" w:rsidP="00F27892">
      <w:pPr>
        <w:ind w:left="720"/>
        <w:jc w:val="center"/>
      </w:pPr>
      <w:r w:rsidRPr="00F27892">
        <w:t>511639301006013</w:t>
      </w:r>
    </w:p>
    <w:p w14:paraId="6446C101" w14:textId="77777777" w:rsidR="008C73C8" w:rsidRPr="00F27892" w:rsidRDefault="008C73C8" w:rsidP="00F27892">
      <w:pPr>
        <w:ind w:left="720"/>
        <w:jc w:val="center"/>
      </w:pPr>
      <w:r w:rsidRPr="00F27892">
        <w:t>511639301006028</w:t>
      </w:r>
    </w:p>
    <w:p w14:paraId="09673EB3" w14:textId="77777777" w:rsidR="008C73C8" w:rsidRPr="00F27892" w:rsidRDefault="008C73C8" w:rsidP="00F27892">
      <w:pPr>
        <w:ind w:left="720"/>
        <w:jc w:val="center"/>
      </w:pPr>
      <w:r w:rsidRPr="00F27892">
        <w:t>511639301006036</w:t>
      </w:r>
    </w:p>
    <w:p w14:paraId="58DD0BC1" w14:textId="77777777" w:rsidR="008C73C8" w:rsidRPr="00F27892" w:rsidRDefault="008C73C8" w:rsidP="00F27892">
      <w:pPr>
        <w:ind w:left="720"/>
        <w:jc w:val="center"/>
      </w:pPr>
      <w:r w:rsidRPr="00F27892">
        <w:t>511639301006037</w:t>
      </w:r>
    </w:p>
    <w:p w14:paraId="1407D380" w14:textId="77777777" w:rsidR="00887C87" w:rsidRPr="00F27892" w:rsidRDefault="00887C87" w:rsidP="00887C87">
      <w:pPr>
        <w:ind w:left="720"/>
      </w:pPr>
    </w:p>
    <w:p w14:paraId="0B49878E" w14:textId="77777777" w:rsidR="00887C87" w:rsidRPr="003E456D" w:rsidRDefault="00887C87" w:rsidP="00887C87">
      <w:pPr>
        <w:ind w:left="720"/>
      </w:pPr>
    </w:p>
    <w:p w14:paraId="1EE212F4" w14:textId="77777777" w:rsidR="00887C87" w:rsidRPr="003E456D" w:rsidRDefault="00887C87" w:rsidP="00887C87">
      <w:pPr>
        <w:ind w:left="720"/>
      </w:pPr>
    </w:p>
    <w:p w14:paraId="61FDCF3D" w14:textId="77777777" w:rsidR="00887C87" w:rsidRPr="00CF3AB3" w:rsidRDefault="00887C87" w:rsidP="00887C87">
      <w:pPr>
        <w:ind w:left="720"/>
      </w:pPr>
    </w:p>
    <w:p w14:paraId="610444A1" w14:textId="77777777" w:rsidR="00887C87" w:rsidRPr="00CF3AB3" w:rsidRDefault="00887C87" w:rsidP="00887C87">
      <w:pPr>
        <w:ind w:left="720"/>
      </w:pPr>
    </w:p>
    <w:p w14:paraId="7BC9BCC9" w14:textId="77777777" w:rsidR="00887C87" w:rsidRPr="00CF3AB3" w:rsidRDefault="00887C87" w:rsidP="00887C87">
      <w:pPr>
        <w:ind w:left="720"/>
      </w:pPr>
    </w:p>
    <w:p w14:paraId="055C653B" w14:textId="77777777" w:rsidR="00887C87" w:rsidRPr="00CF3AB3" w:rsidRDefault="00887C87" w:rsidP="00887C87">
      <w:pPr>
        <w:ind w:left="720"/>
      </w:pPr>
    </w:p>
    <w:p w14:paraId="44A445CD" w14:textId="77777777" w:rsidR="00887C87" w:rsidRPr="00CF3AB3" w:rsidRDefault="00887C87" w:rsidP="00887C87">
      <w:pPr>
        <w:ind w:left="720"/>
      </w:pPr>
    </w:p>
    <w:p w14:paraId="6D169A3E" w14:textId="77777777" w:rsidR="00887C87" w:rsidRPr="00CF3AB3" w:rsidRDefault="00887C87" w:rsidP="00887C87">
      <w:pPr>
        <w:ind w:left="720"/>
      </w:pPr>
    </w:p>
    <w:p w14:paraId="17283563" w14:textId="77777777" w:rsidR="00887C87" w:rsidRPr="00CF3AB3" w:rsidRDefault="00887C87" w:rsidP="00887C87">
      <w:pPr>
        <w:ind w:left="720"/>
      </w:pPr>
    </w:p>
    <w:p w14:paraId="7C94C9FD" w14:textId="77777777" w:rsidR="00887C87" w:rsidRPr="00CF3AB3" w:rsidRDefault="00887C87" w:rsidP="00887C87">
      <w:pPr>
        <w:ind w:left="720"/>
      </w:pPr>
    </w:p>
    <w:p w14:paraId="7315E37F" w14:textId="77777777" w:rsidR="00887C87" w:rsidRPr="00CF3AB3" w:rsidRDefault="00887C87" w:rsidP="00887C87">
      <w:pPr>
        <w:ind w:left="720"/>
      </w:pPr>
    </w:p>
    <w:p w14:paraId="35174A40" w14:textId="77777777" w:rsidR="00987D1F" w:rsidRPr="00CF3AB3" w:rsidRDefault="00987D1F" w:rsidP="008C73C8">
      <w:r w:rsidRPr="00CF3AB3">
        <w:t>511639302001171</w:t>
      </w:r>
    </w:p>
    <w:p w14:paraId="59884C92" w14:textId="77777777" w:rsidR="00987D1F" w:rsidRPr="00CF3AB3" w:rsidRDefault="00987D1F" w:rsidP="008C73C8">
      <w:r w:rsidRPr="00CF3AB3">
        <w:t>511639302001300</w:t>
      </w:r>
    </w:p>
    <w:p w14:paraId="5CEE5647" w14:textId="77777777" w:rsidR="00987D1F" w:rsidRPr="00CF3AB3" w:rsidRDefault="00987D1F" w:rsidP="008C73C8">
      <w:r w:rsidRPr="00CF3AB3">
        <w:t>511639302001332</w:t>
      </w:r>
    </w:p>
    <w:p w14:paraId="3E70C872" w14:textId="77777777" w:rsidR="00987D1F" w:rsidRPr="00CF3AB3" w:rsidRDefault="00987D1F" w:rsidP="008C73C8">
      <w:r w:rsidRPr="00CF3AB3">
        <w:t>511639302001343</w:t>
      </w:r>
    </w:p>
    <w:p w14:paraId="07C6916A" w14:textId="77777777" w:rsidR="00987D1F" w:rsidRPr="00CF3AB3" w:rsidRDefault="00987D1F" w:rsidP="008C73C8">
      <w:r w:rsidRPr="00CF3AB3">
        <w:t>511639302002067</w:t>
      </w:r>
    </w:p>
    <w:p w14:paraId="67C5345F" w14:textId="77777777" w:rsidR="00987D1F" w:rsidRPr="00CF3AB3" w:rsidRDefault="00987D1F" w:rsidP="008C73C8">
      <w:r w:rsidRPr="00CF3AB3">
        <w:t>511639302002068</w:t>
      </w:r>
    </w:p>
    <w:p w14:paraId="13770871" w14:textId="77777777" w:rsidR="00987D1F" w:rsidRPr="00CF3AB3" w:rsidRDefault="00987D1F" w:rsidP="008C73C8">
      <w:r w:rsidRPr="00CF3AB3">
        <w:t>511639302002098</w:t>
      </w:r>
    </w:p>
    <w:p w14:paraId="588B880D" w14:textId="77777777" w:rsidR="00987D1F" w:rsidRPr="00CF3AB3" w:rsidRDefault="00987D1F" w:rsidP="008C73C8">
      <w:r w:rsidRPr="00CF3AB3">
        <w:t>511639302002099</w:t>
      </w:r>
    </w:p>
    <w:p w14:paraId="7BEF52FB" w14:textId="77777777" w:rsidR="00987D1F" w:rsidRPr="00CF3AB3" w:rsidRDefault="00987D1F" w:rsidP="008C73C8">
      <w:r w:rsidRPr="00CF3AB3">
        <w:t>511639302002100</w:t>
      </w:r>
    </w:p>
    <w:p w14:paraId="274F557B" w14:textId="77777777" w:rsidR="00987D1F" w:rsidRPr="00CF3AB3" w:rsidRDefault="00987D1F" w:rsidP="008C73C8">
      <w:r w:rsidRPr="00CF3AB3">
        <w:t>511639302002113</w:t>
      </w:r>
    </w:p>
    <w:p w14:paraId="298F118C" w14:textId="77777777" w:rsidR="00987D1F" w:rsidRPr="00CF3AB3" w:rsidRDefault="00987D1F" w:rsidP="008C73C8">
      <w:r w:rsidRPr="00CF3AB3">
        <w:t>511639302002131</w:t>
      </w:r>
    </w:p>
    <w:p w14:paraId="70A0F4BC" w14:textId="77777777" w:rsidR="00987D1F" w:rsidRPr="00CF3AB3" w:rsidRDefault="00987D1F" w:rsidP="008C73C8">
      <w:r w:rsidRPr="00CF3AB3">
        <w:t>511639302002193</w:t>
      </w:r>
    </w:p>
    <w:p w14:paraId="69D9B812" w14:textId="77777777" w:rsidR="00987D1F" w:rsidRPr="00CF3AB3" w:rsidRDefault="00987D1F" w:rsidP="008C73C8">
      <w:r w:rsidRPr="00CF3AB3">
        <w:t>511639302003147</w:t>
      </w:r>
    </w:p>
    <w:p w14:paraId="60777A68" w14:textId="77777777" w:rsidR="00987D1F" w:rsidRPr="00CF3AB3" w:rsidRDefault="00987D1F" w:rsidP="008C73C8">
      <w:r w:rsidRPr="00CF3AB3">
        <w:t>511639302003193</w:t>
      </w:r>
    </w:p>
    <w:p w14:paraId="629FC8E3" w14:textId="77777777" w:rsidR="00987D1F" w:rsidRPr="00CF3AB3" w:rsidRDefault="00987D1F" w:rsidP="008C73C8">
      <w:r w:rsidRPr="00CF3AB3">
        <w:t>511639302003194</w:t>
      </w:r>
    </w:p>
    <w:p w14:paraId="26EA95E4" w14:textId="77777777" w:rsidR="00987D1F" w:rsidRPr="00CF3AB3" w:rsidRDefault="00987D1F" w:rsidP="008C73C8">
      <w:r w:rsidRPr="00CF3AB3">
        <w:t>511639302003195</w:t>
      </w:r>
    </w:p>
    <w:p w14:paraId="1085151C" w14:textId="77777777" w:rsidR="00987D1F" w:rsidRPr="00CF3AB3" w:rsidRDefault="00987D1F" w:rsidP="008C73C8">
      <w:r w:rsidRPr="00CF3AB3">
        <w:t>511639303002021</w:t>
      </w:r>
    </w:p>
    <w:p w14:paraId="5C879F5F" w14:textId="77777777" w:rsidR="00987D1F" w:rsidRPr="00CF3AB3" w:rsidRDefault="00987D1F" w:rsidP="008C73C8">
      <w:r w:rsidRPr="00CF3AB3">
        <w:t>511639303002023</w:t>
      </w:r>
    </w:p>
    <w:p w14:paraId="59F9F54C" w14:textId="77777777" w:rsidR="00987D1F" w:rsidRPr="00CF3AB3" w:rsidRDefault="00987D1F" w:rsidP="008C73C8">
      <w:r w:rsidRPr="00CF3AB3">
        <w:t>511639303002055</w:t>
      </w:r>
    </w:p>
    <w:p w14:paraId="65445320" w14:textId="77777777" w:rsidR="00987D1F" w:rsidRPr="00CF3AB3" w:rsidRDefault="00987D1F" w:rsidP="00F27892">
      <w:r w:rsidRPr="00CF3AB3">
        <w:t>511639303002061</w:t>
      </w:r>
    </w:p>
    <w:p w14:paraId="0935EFC2" w14:textId="77777777" w:rsidR="00987D1F" w:rsidRPr="00CF3AB3" w:rsidRDefault="00987D1F" w:rsidP="00F27892">
      <w:r w:rsidRPr="00CF3AB3">
        <w:t>511639303002063</w:t>
      </w:r>
    </w:p>
    <w:p w14:paraId="753BA5FD" w14:textId="77777777" w:rsidR="00987D1F" w:rsidRPr="00CF3AB3" w:rsidRDefault="00987D1F" w:rsidP="00F27892">
      <w:r w:rsidRPr="00CF3AB3">
        <w:t>511639303003094</w:t>
      </w:r>
    </w:p>
    <w:p w14:paraId="0C5BC3D0" w14:textId="77777777" w:rsidR="00987D1F" w:rsidRPr="00CF3AB3" w:rsidRDefault="00987D1F" w:rsidP="00F27892">
      <w:r w:rsidRPr="00CF3AB3">
        <w:t>511639303003099</w:t>
      </w:r>
    </w:p>
    <w:p w14:paraId="3773C16E" w14:textId="77777777" w:rsidR="00987D1F" w:rsidRPr="00CF3AB3" w:rsidRDefault="00987D1F" w:rsidP="00F27892">
      <w:r w:rsidRPr="00CF3AB3">
        <w:t>511639303003123</w:t>
      </w:r>
    </w:p>
    <w:p w14:paraId="6ED05BA5" w14:textId="77777777" w:rsidR="00987D1F" w:rsidRPr="00CF3AB3" w:rsidRDefault="00987D1F" w:rsidP="00F27892">
      <w:r w:rsidRPr="00CF3AB3">
        <w:t>511639303003124</w:t>
      </w:r>
    </w:p>
    <w:p w14:paraId="4A58BC1B" w14:textId="77777777" w:rsidR="00987D1F" w:rsidRPr="00CF3AB3" w:rsidRDefault="00987D1F" w:rsidP="00F27892">
      <w:r w:rsidRPr="00CF3AB3">
        <w:t>511639303003126</w:t>
      </w:r>
    </w:p>
    <w:p w14:paraId="493538B1" w14:textId="77777777" w:rsidR="00987D1F" w:rsidRPr="00CF3AB3" w:rsidRDefault="00987D1F" w:rsidP="003E456D">
      <w:r w:rsidRPr="00CF3AB3">
        <w:t>511639303003210</w:t>
      </w:r>
    </w:p>
    <w:p w14:paraId="19CCB2D3" w14:textId="77777777" w:rsidR="00987D1F" w:rsidRPr="00CF3AB3" w:rsidRDefault="00987D1F" w:rsidP="00F27892">
      <w:r w:rsidRPr="00CF3AB3">
        <w:t>511639303005075</w:t>
      </w:r>
    </w:p>
    <w:p w14:paraId="38177159" w14:textId="5CF4F7EE" w:rsidR="004F6942" w:rsidRDefault="00987D1F" w:rsidP="00F27892">
      <w:r w:rsidRPr="00CF3AB3">
        <w:t>511639303005079</w:t>
      </w:r>
    </w:p>
    <w:sectPr w:rsidR="004F6942" w:rsidSect="00887C87">
      <w:type w:val="continuous"/>
      <w:pgSz w:w="12240" w:h="15840" w:code="1"/>
      <w:pgMar w:top="1440" w:right="1440" w:bottom="1440" w:left="1440" w:header="720" w:footer="720" w:gutter="0"/>
      <w:cols w:num="2" w:space="108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51C6A" w14:textId="77777777" w:rsidR="00483E8A" w:rsidRDefault="00483E8A">
      <w:r>
        <w:separator/>
      </w:r>
    </w:p>
  </w:endnote>
  <w:endnote w:type="continuationSeparator" w:id="0">
    <w:p w14:paraId="2EF4D6A8" w14:textId="77777777" w:rsidR="00483E8A" w:rsidRDefault="00483E8A">
      <w:r>
        <w:continuationSeparator/>
      </w:r>
    </w:p>
  </w:endnote>
  <w:endnote w:type="continuationNotice" w:id="1">
    <w:p w14:paraId="66BAB514" w14:textId="77777777" w:rsidR="00483E8A" w:rsidRDefault="00483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9B6E0" w14:textId="77777777" w:rsidR="006809E3" w:rsidRDefault="006809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A98A90" w14:textId="77777777" w:rsidR="006809E3" w:rsidRDefault="006809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32261" w14:textId="77777777" w:rsidR="006809E3" w:rsidRDefault="006809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201E">
      <w:rPr>
        <w:rStyle w:val="PageNumber"/>
        <w:noProof/>
      </w:rPr>
      <w:t>2</w:t>
    </w:r>
    <w:r>
      <w:rPr>
        <w:rStyle w:val="PageNumber"/>
      </w:rPr>
      <w:fldChar w:fldCharType="end"/>
    </w:r>
  </w:p>
  <w:p w14:paraId="657AAE77" w14:textId="77777777" w:rsidR="006809E3" w:rsidRDefault="00680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7AB12" w14:textId="77777777" w:rsidR="006809E3" w:rsidRDefault="006809E3">
    <w:pPr>
      <w:pStyle w:val="Footer"/>
      <w:tabs>
        <w:tab w:val="clear" w:pos="8640"/>
        <w:tab w:val="right" w:pos="93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E7224" w14:textId="77777777" w:rsidR="00887439" w:rsidRDefault="00887439">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7FBB3" w14:textId="77777777" w:rsidR="00483E8A" w:rsidRDefault="00483E8A">
      <w:pPr>
        <w:spacing w:before="120"/>
        <w:rPr>
          <w:sz w:val="20"/>
        </w:rPr>
      </w:pPr>
      <w:r>
        <w:rPr>
          <w:sz w:val="20"/>
        </w:rPr>
        <w:separator/>
      </w:r>
    </w:p>
  </w:footnote>
  <w:footnote w:type="continuationSeparator" w:id="0">
    <w:p w14:paraId="4073BD49" w14:textId="77777777" w:rsidR="00483E8A" w:rsidRDefault="00483E8A">
      <w:pPr>
        <w:spacing w:before="120"/>
        <w:rPr>
          <w:sz w:val="20"/>
        </w:rPr>
      </w:pPr>
      <w:r>
        <w:rPr>
          <w:sz w:val="20"/>
        </w:rPr>
        <w:t xml:space="preserve">(. . . continued from previous page)  </w:t>
      </w:r>
      <w:r>
        <w:rPr>
          <w:sz w:val="20"/>
        </w:rPr>
        <w:separator/>
      </w:r>
    </w:p>
  </w:footnote>
  <w:footnote w:type="continuationNotice" w:id="1">
    <w:p w14:paraId="0C0677E1" w14:textId="77777777" w:rsidR="00483E8A" w:rsidRDefault="00483E8A">
      <w:pPr>
        <w:jc w:val="right"/>
        <w:rPr>
          <w:sz w:val="20"/>
        </w:rPr>
      </w:pPr>
      <w:r>
        <w:rPr>
          <w:sz w:val="20"/>
        </w:rPr>
        <w:t>(continued....)</w:t>
      </w:r>
    </w:p>
  </w:footnote>
  <w:footnote w:id="2">
    <w:p w14:paraId="1E6A240B" w14:textId="2C1A4736" w:rsidR="006809E3" w:rsidRPr="00B22705" w:rsidRDefault="006809E3" w:rsidP="00EE139D">
      <w:pPr>
        <w:pStyle w:val="FootnoteText"/>
        <w:jc w:val="left"/>
      </w:pPr>
      <w:r w:rsidRPr="00B22705">
        <w:rPr>
          <w:rStyle w:val="FootnoteReference"/>
        </w:rPr>
        <w:footnoteRef/>
      </w:r>
      <w:r w:rsidR="00FB191C" w:rsidRPr="00B22705">
        <w:t xml:space="preserve"> </w:t>
      </w:r>
      <w:r w:rsidR="00227B82" w:rsidRPr="00B22705">
        <w:rPr>
          <w:i/>
        </w:rPr>
        <w:t>See</w:t>
      </w:r>
      <w:r w:rsidR="00227B82" w:rsidRPr="00B22705">
        <w:t xml:space="preserve"> </w:t>
      </w:r>
      <w:r w:rsidR="00FB191C" w:rsidRPr="00B22705">
        <w:t xml:space="preserve">Petition of </w:t>
      </w:r>
      <w:r w:rsidR="00227B82" w:rsidRPr="00B22705">
        <w:t xml:space="preserve">BARConnects, LLC for Designation as an Eligible Telecommunications Carrier in the Commonwealth of Virginia, WC </w:t>
      </w:r>
      <w:r w:rsidR="009D6B94" w:rsidRPr="00B22705">
        <w:t>Docket</w:t>
      </w:r>
      <w:r w:rsidR="00227B82" w:rsidRPr="00B22705">
        <w:t xml:space="preserve"> Nos. 09-197, 10-90, 14-259 </w:t>
      </w:r>
      <w:r w:rsidRPr="00B22705">
        <w:t>(filed Apr</w:t>
      </w:r>
      <w:r w:rsidR="00227B82" w:rsidRPr="00B22705">
        <w:t>. 22, 2015)</w:t>
      </w:r>
      <w:r w:rsidR="00BB38AD" w:rsidRPr="00B22705">
        <w:t xml:space="preserve"> (</w:t>
      </w:r>
      <w:r w:rsidR="000C199A" w:rsidRPr="00B22705">
        <w:t xml:space="preserve">ETC </w:t>
      </w:r>
      <w:r w:rsidR="00BB38AD" w:rsidRPr="00B22705">
        <w:t>Petition)</w:t>
      </w:r>
      <w:r w:rsidR="00227B82" w:rsidRPr="00B22705">
        <w:t xml:space="preserve">.  </w:t>
      </w:r>
      <w:r w:rsidR="00BB38AD" w:rsidRPr="00B22705">
        <w:t xml:space="preserve">In its </w:t>
      </w:r>
      <w:r w:rsidR="00D5540E" w:rsidRPr="00B22705">
        <w:t>ETC Petition</w:t>
      </w:r>
      <w:r w:rsidR="00BB38AD" w:rsidRPr="00B22705">
        <w:t>,</w:t>
      </w:r>
      <w:r w:rsidR="000928B7" w:rsidRPr="00B22705">
        <w:t xml:space="preserve"> </w:t>
      </w:r>
      <w:r w:rsidR="00BB38AD" w:rsidRPr="00B22705">
        <w:t xml:space="preserve">BARConnects explains that </w:t>
      </w:r>
      <w:r w:rsidR="000153B7" w:rsidRPr="00B22705">
        <w:t xml:space="preserve">it </w:t>
      </w:r>
      <w:r w:rsidR="00227B82" w:rsidRPr="00B22705">
        <w:t>is a wholly owned subsidia</w:t>
      </w:r>
      <w:r w:rsidR="000153B7" w:rsidRPr="00B22705">
        <w:t xml:space="preserve">ry of BARC Electric Cooperative, a winning bidder for provisional funding under the rural broadband experiments. </w:t>
      </w:r>
      <w:r w:rsidR="00227B82" w:rsidRPr="00B22705">
        <w:t xml:space="preserve"> </w:t>
      </w:r>
      <w:r w:rsidR="000928B7" w:rsidRPr="00B22705">
        <w:rPr>
          <w:i/>
        </w:rPr>
        <w:t>See id</w:t>
      </w:r>
      <w:r w:rsidR="000928B7" w:rsidRPr="00B22705">
        <w:t xml:space="preserve">. </w:t>
      </w:r>
      <w:r w:rsidR="00FB191C" w:rsidRPr="00B22705">
        <w:t>at 2</w:t>
      </w:r>
      <w:r w:rsidR="000C199A" w:rsidRPr="00B22705">
        <w:t xml:space="preserve">; </w:t>
      </w:r>
      <w:r w:rsidR="000C199A" w:rsidRPr="00B22705">
        <w:rPr>
          <w:i/>
        </w:rPr>
        <w:t>s</w:t>
      </w:r>
      <w:r w:rsidR="00BB38AD" w:rsidRPr="00B22705">
        <w:rPr>
          <w:i/>
        </w:rPr>
        <w:t>ee</w:t>
      </w:r>
      <w:r w:rsidR="00BB38AD" w:rsidRPr="00B22705">
        <w:t xml:space="preserve"> </w:t>
      </w:r>
      <w:r w:rsidR="00B92DB9" w:rsidRPr="00B22705">
        <w:rPr>
          <w:i/>
        </w:rPr>
        <w:t>also</w:t>
      </w:r>
      <w:r w:rsidR="00B92DB9" w:rsidRPr="00B22705">
        <w:t xml:space="preserve"> </w:t>
      </w:r>
      <w:r w:rsidR="00BB38AD" w:rsidRPr="00B22705">
        <w:t>Petition of BARConnects, LLC for Waiver and Request for Extension of Time to File Proof of ETC Designation of B</w:t>
      </w:r>
      <w:r w:rsidR="0026320E" w:rsidRPr="00B22705">
        <w:t>AR</w:t>
      </w:r>
      <w:r w:rsidR="00BB38AD" w:rsidRPr="00B22705">
        <w:t xml:space="preserve">Connects, LLC, WC </w:t>
      </w:r>
      <w:r w:rsidR="009D6B94" w:rsidRPr="00B22705">
        <w:t>Docket</w:t>
      </w:r>
      <w:r w:rsidR="00BB38AD" w:rsidRPr="00B22705">
        <w:t xml:space="preserve"> Nos. 09-197, 10-90, 14-259</w:t>
      </w:r>
      <w:r w:rsidR="006B7E36" w:rsidRPr="00B22705">
        <w:t xml:space="preserve"> at 1 (filed </w:t>
      </w:r>
      <w:r w:rsidR="009D6B94" w:rsidRPr="00B22705">
        <w:t xml:space="preserve">June 2, </w:t>
      </w:r>
      <w:r w:rsidR="006B7E36" w:rsidRPr="00B22705">
        <w:t xml:space="preserve">2015) </w:t>
      </w:r>
      <w:r w:rsidR="00BB38AD" w:rsidRPr="00B22705">
        <w:t>(Request for Waive</w:t>
      </w:r>
      <w:r w:rsidR="00B92DB9" w:rsidRPr="00B22705">
        <w:t>r) (explaining that BARC Electric Cooperative is the sole controlling member of BARConnects, LLC).</w:t>
      </w:r>
    </w:p>
  </w:footnote>
  <w:footnote w:id="3">
    <w:p w14:paraId="68F5836C" w14:textId="77777777" w:rsidR="006809E3" w:rsidRPr="00B22705" w:rsidRDefault="006809E3" w:rsidP="00EE139D">
      <w:pPr>
        <w:pStyle w:val="FootnoteText"/>
        <w:jc w:val="left"/>
      </w:pPr>
      <w:r w:rsidRPr="00B22705">
        <w:rPr>
          <w:rStyle w:val="FootnoteReference"/>
        </w:rPr>
        <w:footnoteRef/>
      </w:r>
      <w:r w:rsidRPr="00B22705">
        <w:t xml:space="preserve"> 47 U.S.C. § 214(e)(6); 47 C.F.R. § 54.202.</w:t>
      </w:r>
    </w:p>
  </w:footnote>
  <w:footnote w:id="4">
    <w:p w14:paraId="2DBFC6BD" w14:textId="77777777" w:rsidR="00227B82" w:rsidRPr="00B22705" w:rsidRDefault="00227B82" w:rsidP="00EE139D">
      <w:pPr>
        <w:pStyle w:val="FootnoteText"/>
        <w:jc w:val="left"/>
      </w:pPr>
      <w:r w:rsidRPr="00B22705">
        <w:rPr>
          <w:rStyle w:val="FootnoteReference"/>
        </w:rPr>
        <w:footnoteRef/>
      </w:r>
      <w:r w:rsidR="0062489E" w:rsidRPr="00B22705">
        <w:t xml:space="preserve"> </w:t>
      </w:r>
      <w:r w:rsidR="0062489E" w:rsidRPr="00B22705">
        <w:rPr>
          <w:i/>
        </w:rPr>
        <w:t>See</w:t>
      </w:r>
      <w:r w:rsidR="0062489E" w:rsidRPr="00B22705">
        <w:t xml:space="preserve"> </w:t>
      </w:r>
      <w:r w:rsidR="00BB38AD" w:rsidRPr="00B22705">
        <w:t>Request for Waiver</w:t>
      </w:r>
      <w:r w:rsidR="00FB191C" w:rsidRPr="00B22705">
        <w:t xml:space="preserve"> at 1.  </w:t>
      </w:r>
    </w:p>
  </w:footnote>
  <w:footnote w:id="5">
    <w:p w14:paraId="313807D8" w14:textId="2FE00EEC" w:rsidR="007B0A11" w:rsidRPr="00B22705" w:rsidRDefault="007B0A11" w:rsidP="00EE139D">
      <w:pPr>
        <w:pStyle w:val="FootnoteText"/>
        <w:jc w:val="left"/>
      </w:pPr>
      <w:r w:rsidRPr="00B22705">
        <w:rPr>
          <w:rStyle w:val="FootnoteReference"/>
        </w:rPr>
        <w:footnoteRef/>
      </w:r>
      <w:r w:rsidRPr="00B22705">
        <w:t xml:space="preserve"> </w:t>
      </w:r>
      <w:r w:rsidRPr="00B22705">
        <w:rPr>
          <w:i/>
        </w:rPr>
        <w:t xml:space="preserve">Connect America Fund et al.; </w:t>
      </w:r>
      <w:r w:rsidRPr="00B22705">
        <w:t>WC Docket Nos. 10-90 et al., Report and Order and Further Notice of Proposed Rulemaking, 26 FCC Rcd 17663 (2011) (</w:t>
      </w:r>
      <w:r w:rsidRPr="00B22705">
        <w:rPr>
          <w:i/>
        </w:rPr>
        <w:t>USF/ICC Transformation Order</w:t>
      </w:r>
      <w:r w:rsidRPr="00B22705">
        <w:t>)</w:t>
      </w:r>
      <w:r w:rsidR="00C802CE" w:rsidRPr="00B22705">
        <w:t xml:space="preserve">, </w:t>
      </w:r>
      <w:r w:rsidRPr="00B22705">
        <w:rPr>
          <w:i/>
          <w:iCs/>
        </w:rPr>
        <w:t>aff</w:t>
      </w:r>
      <w:r w:rsidR="00D446BD">
        <w:rPr>
          <w:i/>
          <w:iCs/>
        </w:rPr>
        <w:t>’</w:t>
      </w:r>
      <w:r w:rsidRPr="00B22705">
        <w:rPr>
          <w:i/>
          <w:iCs/>
        </w:rPr>
        <w:t>d sub nom., In re: FCC 11-161</w:t>
      </w:r>
      <w:r w:rsidRPr="00B22705">
        <w:t>, 753 F.3d 1015 (10th Cir. 2014).</w:t>
      </w:r>
    </w:p>
  </w:footnote>
  <w:footnote w:id="6">
    <w:p w14:paraId="4D91B260" w14:textId="77777777" w:rsidR="007B0A11" w:rsidRPr="00B22705" w:rsidRDefault="007B0A11" w:rsidP="00EE139D">
      <w:pPr>
        <w:pStyle w:val="FootnoteText"/>
        <w:jc w:val="left"/>
      </w:pPr>
      <w:r w:rsidRPr="00B22705">
        <w:rPr>
          <w:rStyle w:val="FootnoteReference"/>
        </w:rPr>
        <w:footnoteRef/>
      </w:r>
      <w:r w:rsidRPr="00B22705">
        <w:rPr>
          <w:i/>
        </w:rPr>
        <w:t xml:space="preserve"> Id. </w:t>
      </w:r>
      <w:r w:rsidRPr="00B22705">
        <w:t xml:space="preserve">at 17725, para. 156. </w:t>
      </w:r>
    </w:p>
  </w:footnote>
  <w:footnote w:id="7">
    <w:p w14:paraId="6974DC99" w14:textId="77777777" w:rsidR="007B0A11" w:rsidRPr="00B22705" w:rsidRDefault="007B0A11" w:rsidP="00EE139D">
      <w:pPr>
        <w:pStyle w:val="FootnoteText"/>
        <w:jc w:val="left"/>
      </w:pPr>
      <w:r w:rsidRPr="00B22705">
        <w:rPr>
          <w:rStyle w:val="FootnoteReference"/>
        </w:rPr>
        <w:footnoteRef/>
      </w:r>
      <w:r w:rsidRPr="00B22705">
        <w:t xml:space="preserve"> </w:t>
      </w:r>
      <w:r w:rsidRPr="00B22705">
        <w:rPr>
          <w:i/>
        </w:rPr>
        <w:t>See Connect America Fund; ETC Annual Reports and Certification</w:t>
      </w:r>
      <w:r w:rsidRPr="00B22705">
        <w:t>, WC Docket Nos. 10-90, 14-58, Report and Order and Further Notice of Proposed Rulemaking, 29 FCC Rcd 8769 (2014) (</w:t>
      </w:r>
      <w:r w:rsidRPr="00B22705">
        <w:rPr>
          <w:i/>
        </w:rPr>
        <w:t>Rural Broadband Experiments Order</w:t>
      </w:r>
      <w:r w:rsidRPr="00B22705">
        <w:t>).</w:t>
      </w:r>
    </w:p>
  </w:footnote>
  <w:footnote w:id="8">
    <w:p w14:paraId="433FBD9D" w14:textId="114FAA4F" w:rsidR="00490067" w:rsidRPr="00B22705" w:rsidRDefault="00490067" w:rsidP="00EE139D">
      <w:pPr>
        <w:pStyle w:val="FootnoteText"/>
        <w:jc w:val="left"/>
      </w:pPr>
      <w:r w:rsidRPr="00B22705">
        <w:rPr>
          <w:rStyle w:val="FootnoteReference"/>
        </w:rPr>
        <w:footnoteRef/>
      </w:r>
      <w:r w:rsidRPr="00B22705">
        <w:t xml:space="preserve"> </w:t>
      </w:r>
      <w:r w:rsidRPr="00B22705">
        <w:rPr>
          <w:i/>
        </w:rPr>
        <w:t>See</w:t>
      </w:r>
      <w:r w:rsidRPr="00B22705">
        <w:t xml:space="preserve"> </w:t>
      </w:r>
      <w:r w:rsidRPr="00B22705">
        <w:rPr>
          <w:i/>
        </w:rPr>
        <w:t>Wireline Competition Bureau Announces Entities Provisionally Selected for Rural Broadband Experiments; Sets Deadlines for Submission of Additional Information</w:t>
      </w:r>
      <w:r w:rsidRPr="00B22705">
        <w:t xml:space="preserve">, WC Docket No. 10-90, Public Notice, DA 14-1772, 29 FCC Rcd 14684, Attach. B (Wireline Comp. Bur. 2014); </w:t>
      </w:r>
      <w:r w:rsidRPr="00B22705">
        <w:rPr>
          <w:i/>
        </w:rPr>
        <w:t>see also Rural Broadband Experiments Order</w:t>
      </w:r>
      <w:r w:rsidRPr="00B22705">
        <w:t>, 29 FCC Rcd at 8787</w:t>
      </w:r>
      <w:r w:rsidR="0095760C" w:rsidRPr="00B22705">
        <w:t>–</w:t>
      </w:r>
      <w:r w:rsidRPr="00B22705">
        <w:t xml:space="preserve">88, para. 54 (requiring entities to provide, </w:t>
      </w:r>
      <w:r w:rsidR="000C199A" w:rsidRPr="00B22705">
        <w:t xml:space="preserve">within 10 business days of </w:t>
      </w:r>
      <w:r w:rsidR="006802C3" w:rsidRPr="00B22705">
        <w:t xml:space="preserve">the release date of the </w:t>
      </w:r>
      <w:r w:rsidR="000C199A" w:rsidRPr="00B22705">
        <w:t xml:space="preserve">public notice </w:t>
      </w:r>
      <w:r w:rsidR="006802C3" w:rsidRPr="00B22705">
        <w:t xml:space="preserve">announcing </w:t>
      </w:r>
      <w:r w:rsidR="000C199A" w:rsidRPr="00B22705">
        <w:t>winning bidders</w:t>
      </w:r>
      <w:r w:rsidRPr="00B22705">
        <w:t xml:space="preserve">, certain financial and technical information). </w:t>
      </w:r>
    </w:p>
  </w:footnote>
  <w:footnote w:id="9">
    <w:p w14:paraId="7F59F650" w14:textId="16AD369A" w:rsidR="00490067" w:rsidRPr="00B22705" w:rsidRDefault="00490067" w:rsidP="00EE139D">
      <w:pPr>
        <w:pStyle w:val="FootnoteText"/>
        <w:jc w:val="left"/>
      </w:pPr>
      <w:r w:rsidRPr="00B22705">
        <w:rPr>
          <w:rStyle w:val="FootnoteReference"/>
        </w:rPr>
        <w:footnoteRef/>
      </w:r>
      <w:r w:rsidRPr="00B22705">
        <w:rPr>
          <w:i/>
        </w:rPr>
        <w:t xml:space="preserve"> See </w:t>
      </w:r>
      <w:r w:rsidR="003C3CB3" w:rsidRPr="00B22705">
        <w:rPr>
          <w:i/>
        </w:rPr>
        <w:t>Connect America Fund et al.</w:t>
      </w:r>
      <w:r w:rsidR="003C3CB3" w:rsidRPr="00B22705">
        <w:t>, WC Docket No. 10-90 et al., Report and Order, 29 FCC Rcd 15644,</w:t>
      </w:r>
      <w:r w:rsidRPr="00B22705">
        <w:t xml:space="preserve"> 15674–75, para. 83 </w:t>
      </w:r>
      <w:r w:rsidR="003C3CB3" w:rsidRPr="00B22705">
        <w:t xml:space="preserve">(2014) </w:t>
      </w:r>
      <w:r w:rsidRPr="00B22705">
        <w:t>(establishing process for provisional selection of additional bidders for rural broadband experiment support in the event any of the initially provisionally selected bidders defaulted before the Bureau</w:t>
      </w:r>
      <w:r w:rsidR="00D446BD">
        <w:t>’</w:t>
      </w:r>
      <w:r w:rsidRPr="00B22705">
        <w:t>s finalization of the list of census blocks for the Connect America Phase II offer of model-based support)</w:t>
      </w:r>
      <w:r w:rsidR="003C3CB3" w:rsidRPr="00B22705">
        <w:t xml:space="preserve"> (</w:t>
      </w:r>
      <w:r w:rsidR="003C3CB3" w:rsidRPr="00B22705">
        <w:rPr>
          <w:i/>
        </w:rPr>
        <w:t>December 2014 Connect America Order</w:t>
      </w:r>
      <w:r w:rsidR="003C3CB3" w:rsidRPr="00B22705">
        <w:t>)</w:t>
      </w:r>
      <w:r w:rsidRPr="00B22705">
        <w:t xml:space="preserve">. </w:t>
      </w:r>
    </w:p>
  </w:footnote>
  <w:footnote w:id="10">
    <w:p w14:paraId="394B69CD" w14:textId="77777777" w:rsidR="00490067" w:rsidRPr="00B22705" w:rsidRDefault="00490067" w:rsidP="00EE139D">
      <w:pPr>
        <w:pStyle w:val="FootnoteText"/>
        <w:jc w:val="left"/>
      </w:pPr>
      <w:r w:rsidRPr="00B22705">
        <w:rPr>
          <w:rStyle w:val="FootnoteReference"/>
        </w:rPr>
        <w:footnoteRef/>
      </w:r>
      <w:r w:rsidRPr="00B22705">
        <w:t xml:space="preserve"> </w:t>
      </w:r>
      <w:r w:rsidRPr="00B22705">
        <w:rPr>
          <w:i/>
        </w:rPr>
        <w:t>See Wireline Competition Bureau Announces Additional Provisionally Selected Bidders for Rural Broadband Experiments and Sets Deadlines for Submission of Additional Information</w:t>
      </w:r>
      <w:r w:rsidRPr="00B22705">
        <w:t xml:space="preserve">, WC Docket Nos. 10-90, 14-259, Public Notice, 30 FCC Rcd 2045, 2045 (Wireline Comp. Bur. 2015) (Public Notice).  </w:t>
      </w:r>
    </w:p>
  </w:footnote>
  <w:footnote w:id="11">
    <w:p w14:paraId="1D26B85D" w14:textId="7EBCBAF5" w:rsidR="00490067" w:rsidRPr="00B22705" w:rsidRDefault="00490067" w:rsidP="00EE139D">
      <w:pPr>
        <w:pStyle w:val="FootnoteText"/>
        <w:jc w:val="left"/>
      </w:pPr>
      <w:r w:rsidRPr="00B22705">
        <w:rPr>
          <w:rStyle w:val="FootnoteReference"/>
        </w:rPr>
        <w:footnoteRef/>
      </w:r>
      <w:r w:rsidRPr="00B22705">
        <w:t xml:space="preserve"> </w:t>
      </w:r>
      <w:r w:rsidRPr="00B22705">
        <w:rPr>
          <w:i/>
        </w:rPr>
        <w:t xml:space="preserve">See </w:t>
      </w:r>
      <w:r w:rsidR="000C199A" w:rsidRPr="00B22705">
        <w:rPr>
          <w:i/>
        </w:rPr>
        <w:t>id</w:t>
      </w:r>
      <w:r w:rsidR="000C199A" w:rsidRPr="00B22705">
        <w:t>.</w:t>
      </w:r>
      <w:r w:rsidRPr="00B22705">
        <w:t xml:space="preserve"> </w:t>
      </w:r>
      <w:r w:rsidR="000C199A" w:rsidRPr="00B22705">
        <w:t>at</w:t>
      </w:r>
      <w:r w:rsidRPr="00B22705">
        <w:t xml:space="preserve"> 2047, Attach; </w:t>
      </w:r>
      <w:r w:rsidRPr="00B22705">
        <w:rPr>
          <w:i/>
        </w:rPr>
        <w:t>see also supra</w:t>
      </w:r>
      <w:r w:rsidRPr="00B22705">
        <w:t xml:space="preserve"> note 1.</w:t>
      </w:r>
    </w:p>
  </w:footnote>
  <w:footnote w:id="12">
    <w:p w14:paraId="717B87EC" w14:textId="77777777" w:rsidR="006809E3" w:rsidRPr="00B22705" w:rsidRDefault="006809E3" w:rsidP="00EE139D">
      <w:pPr>
        <w:pStyle w:val="FootnoteText"/>
        <w:jc w:val="left"/>
      </w:pPr>
      <w:r w:rsidRPr="00B22705">
        <w:rPr>
          <w:rStyle w:val="FootnoteReference"/>
        </w:rPr>
        <w:footnoteRef/>
      </w:r>
      <w:r w:rsidRPr="00B22705">
        <w:t xml:space="preserve"> 47 U.S.C. § 254(e).</w:t>
      </w:r>
    </w:p>
  </w:footnote>
  <w:footnote w:id="13">
    <w:p w14:paraId="2B1A5528" w14:textId="77777777" w:rsidR="006809E3" w:rsidRPr="00B22705" w:rsidRDefault="006809E3" w:rsidP="00EE139D">
      <w:pPr>
        <w:pStyle w:val="FootnoteText"/>
        <w:jc w:val="left"/>
      </w:pPr>
      <w:r w:rsidRPr="00B22705">
        <w:rPr>
          <w:rStyle w:val="FootnoteReference"/>
        </w:rPr>
        <w:footnoteRef/>
      </w:r>
      <w:r w:rsidRPr="00B22705">
        <w:t xml:space="preserve"> 47 U.S.C. § 214(e)(1).</w:t>
      </w:r>
    </w:p>
  </w:footnote>
  <w:footnote w:id="14">
    <w:p w14:paraId="2C41B314" w14:textId="77777777" w:rsidR="006809E3" w:rsidRPr="00B22705" w:rsidRDefault="006809E3" w:rsidP="00EE139D">
      <w:pPr>
        <w:pStyle w:val="FootnoteText"/>
        <w:jc w:val="left"/>
      </w:pPr>
      <w:r w:rsidRPr="00B22705">
        <w:rPr>
          <w:rStyle w:val="FootnoteReference"/>
        </w:rPr>
        <w:footnoteRef/>
      </w:r>
      <w:r w:rsidRPr="00B22705">
        <w:t xml:space="preserve"> 47 U.S.C. § 214(e)(2).</w:t>
      </w:r>
    </w:p>
  </w:footnote>
  <w:footnote w:id="15">
    <w:p w14:paraId="6F7FCE0B" w14:textId="77777777" w:rsidR="006809E3" w:rsidRPr="00B22705" w:rsidRDefault="006809E3" w:rsidP="00EE139D">
      <w:pPr>
        <w:pStyle w:val="FootnoteText"/>
        <w:jc w:val="left"/>
      </w:pPr>
      <w:r w:rsidRPr="00B22705">
        <w:rPr>
          <w:rStyle w:val="FootnoteReference"/>
        </w:rPr>
        <w:footnoteRef/>
      </w:r>
      <w:r w:rsidRPr="00B22705">
        <w:t xml:space="preserve"> 47 U.S.C. § 214(e)(6).</w:t>
      </w:r>
    </w:p>
  </w:footnote>
  <w:footnote w:id="16">
    <w:p w14:paraId="0F3B6DB3" w14:textId="06ACE27E" w:rsidR="001320F8" w:rsidRPr="00B22705" w:rsidRDefault="001320F8" w:rsidP="00EE139D">
      <w:pPr>
        <w:pStyle w:val="FootnoteText"/>
        <w:jc w:val="left"/>
      </w:pPr>
      <w:r w:rsidRPr="00B22705">
        <w:rPr>
          <w:rStyle w:val="FootnoteReference"/>
        </w:rPr>
        <w:footnoteRef/>
      </w:r>
      <w:r w:rsidRPr="00B22705">
        <w:t xml:space="preserve"> </w:t>
      </w:r>
      <w:r w:rsidR="006802C3" w:rsidRPr="00B22705">
        <w:rPr>
          <w:i/>
        </w:rPr>
        <w:t>See</w:t>
      </w:r>
      <w:r w:rsidR="006802C3" w:rsidRPr="00B22705">
        <w:t xml:space="preserve"> </w:t>
      </w:r>
      <w:r w:rsidR="006802C3" w:rsidRPr="00B22705">
        <w:rPr>
          <w:i/>
        </w:rPr>
        <w:t>Procedures for FCC Designation of Eligible Telecommunications Carriers Pursuant to Section 214(e)(6) of the Communications Act</w:t>
      </w:r>
      <w:r w:rsidR="006802C3" w:rsidRPr="00B22705">
        <w:t xml:space="preserve">, CC Docket No. 96-45, Public Notice, 12 FCC Rcd 22947, 22948 (1997) </w:t>
      </w:r>
      <w:r w:rsidRPr="00B22705">
        <w:t>(</w:t>
      </w:r>
      <w:r w:rsidR="0095760C" w:rsidRPr="00B22705">
        <w:t>delegating ETC designations to predecessor of Wireline Competition Bureau</w:t>
      </w:r>
      <w:r w:rsidRPr="00B22705">
        <w:t>)</w:t>
      </w:r>
      <w:r w:rsidR="006802C3" w:rsidRPr="00B22705">
        <w:t xml:space="preserve"> (</w:t>
      </w:r>
      <w:r w:rsidR="006802C3" w:rsidRPr="00B22705">
        <w:rPr>
          <w:i/>
        </w:rPr>
        <w:t>Section 214(e)(6) Public Notice</w:t>
      </w:r>
      <w:r w:rsidR="006802C3" w:rsidRPr="00B22705">
        <w:t xml:space="preserve">).  </w:t>
      </w:r>
    </w:p>
  </w:footnote>
  <w:footnote w:id="17">
    <w:p w14:paraId="4A2E1322" w14:textId="55B34A14" w:rsidR="006809E3" w:rsidRPr="00B22705" w:rsidRDefault="006809E3" w:rsidP="00EE139D">
      <w:pPr>
        <w:pStyle w:val="FootnoteText"/>
        <w:jc w:val="left"/>
      </w:pPr>
      <w:r w:rsidRPr="00B22705">
        <w:rPr>
          <w:rStyle w:val="FootnoteReference"/>
        </w:rPr>
        <w:footnoteRef/>
      </w:r>
      <w:r w:rsidRPr="00B22705">
        <w:t xml:space="preserve"> </w:t>
      </w:r>
      <w:r w:rsidR="001320F8" w:rsidRPr="00B22705">
        <w:rPr>
          <w:lang w:val="it-IT"/>
        </w:rPr>
        <w:t>47 U.S.C. § 214(e)(6).</w:t>
      </w:r>
    </w:p>
  </w:footnote>
  <w:footnote w:id="18">
    <w:p w14:paraId="295D5319" w14:textId="43D0A060" w:rsidR="000C199A" w:rsidRPr="00B22705" w:rsidRDefault="006809E3" w:rsidP="00EE139D">
      <w:pPr>
        <w:pStyle w:val="FootnoteText"/>
        <w:jc w:val="left"/>
      </w:pPr>
      <w:r w:rsidRPr="00B22705">
        <w:rPr>
          <w:rStyle w:val="FootnoteReference"/>
        </w:rPr>
        <w:footnoteRef/>
      </w:r>
      <w:r w:rsidRPr="00B22705">
        <w:t xml:space="preserve"> 47 U.S.C. § 214(e)(1)(A).  Section 54</w:t>
      </w:r>
      <w:r w:rsidR="002035E3" w:rsidRPr="00B22705">
        <w:t>.101 of the Commission</w:t>
      </w:r>
      <w:r w:rsidR="00D446BD">
        <w:t>’</w:t>
      </w:r>
      <w:r w:rsidR="002035E3" w:rsidRPr="00B22705">
        <w:t>s rules provides, in relevant part</w:t>
      </w:r>
      <w:r w:rsidRPr="00B22705">
        <w:t xml:space="preserve">:  </w:t>
      </w:r>
    </w:p>
    <w:p w14:paraId="1969D206" w14:textId="25F80AA7" w:rsidR="000C199A" w:rsidRPr="00B22705" w:rsidRDefault="0093123A" w:rsidP="00EE139D">
      <w:pPr>
        <w:pStyle w:val="FootnoteText"/>
        <w:ind w:left="720" w:right="720"/>
        <w:jc w:val="left"/>
        <w:rPr>
          <w:bCs/>
          <w:color w:val="010101"/>
        </w:rPr>
      </w:pPr>
      <w:r w:rsidRPr="00B22705">
        <w:rPr>
          <w:bCs/>
          <w:color w:val="010101"/>
        </w:rPr>
        <w:t>Voice [t]elephony services shall be supported by federal universal service support mechanisms. Eligible voice telephony services must provide voice grade access to the public switched network or its functional equivalent; minutes of use for local service provided at no additional charge to end users; access to the emergency services provided by local government or other public safety organizations, such as 911 and enhanced 911, to the extent the local government in an eligible carrier's service area has implemented 911 or enhanced 911 systems; and toll limitation services to qualifying low-income consumers as provided in subpart E of this part</w:t>
      </w:r>
      <w:r w:rsidR="002035E3" w:rsidRPr="00B22705">
        <w:rPr>
          <w:bCs/>
          <w:color w:val="010101"/>
        </w:rPr>
        <w:t>.</w:t>
      </w:r>
      <w:r w:rsidR="006809E3" w:rsidRPr="00B22705">
        <w:rPr>
          <w:bCs/>
          <w:color w:val="010101"/>
        </w:rPr>
        <w:t xml:space="preserve">  </w:t>
      </w:r>
    </w:p>
    <w:p w14:paraId="64A0CBB4" w14:textId="0BAAF5DE" w:rsidR="006809E3" w:rsidRPr="00B22705" w:rsidRDefault="006809E3" w:rsidP="00EE139D">
      <w:pPr>
        <w:pStyle w:val="FootnoteText"/>
        <w:jc w:val="left"/>
        <w:rPr>
          <w:bCs/>
          <w:color w:val="010101"/>
        </w:rPr>
      </w:pPr>
      <w:r w:rsidRPr="00B22705">
        <w:rPr>
          <w:bCs/>
          <w:color w:val="010101"/>
        </w:rPr>
        <w:t xml:space="preserve">47 C.F.R. </w:t>
      </w:r>
      <w:r w:rsidRPr="00B22705">
        <w:t>§ 54.101(a).</w:t>
      </w:r>
      <w:r w:rsidRPr="00B22705">
        <w:rPr>
          <w:bCs/>
          <w:color w:val="010101"/>
        </w:rPr>
        <w:t xml:space="preserve">  </w:t>
      </w:r>
      <w:r w:rsidR="003E4733" w:rsidRPr="00B22705">
        <w:rPr>
          <w:bCs/>
          <w:i/>
          <w:color w:val="010101"/>
        </w:rPr>
        <w:t>See Lifeline and Link Up Reform and Modernization et al</w:t>
      </w:r>
      <w:r w:rsidR="003E4733" w:rsidRPr="00B22705">
        <w:rPr>
          <w:bCs/>
          <w:color w:val="010101"/>
        </w:rPr>
        <w:t xml:space="preserve">., Report and Order and Further Notice of Proposed Rulemaking, WC </w:t>
      </w:r>
      <w:r w:rsidR="009D6B94" w:rsidRPr="00B22705">
        <w:rPr>
          <w:bCs/>
          <w:color w:val="010101"/>
        </w:rPr>
        <w:t>Docket</w:t>
      </w:r>
      <w:r w:rsidR="003E4733" w:rsidRPr="00B22705">
        <w:rPr>
          <w:bCs/>
          <w:color w:val="010101"/>
        </w:rPr>
        <w:t xml:space="preserve"> Nos. 11-42 et al., CC </w:t>
      </w:r>
      <w:r w:rsidR="009D6B94" w:rsidRPr="00B22705">
        <w:rPr>
          <w:bCs/>
          <w:color w:val="010101"/>
        </w:rPr>
        <w:t>Docket</w:t>
      </w:r>
      <w:r w:rsidR="003E4733" w:rsidRPr="00B22705">
        <w:rPr>
          <w:bCs/>
          <w:color w:val="010101"/>
        </w:rPr>
        <w:t xml:space="preserve"> No. 96-45, 27 FCC Rcd 6656, 6679, para. 49, 6756, para. 230 (2012) (</w:t>
      </w:r>
      <w:r w:rsidR="003E4733" w:rsidRPr="00B22705">
        <w:rPr>
          <w:bCs/>
          <w:i/>
          <w:color w:val="010101"/>
        </w:rPr>
        <w:t>Lifeline Reform Order</w:t>
      </w:r>
      <w:r w:rsidR="003E4733" w:rsidRPr="00B22705">
        <w:rPr>
          <w:bCs/>
          <w:color w:val="010101"/>
        </w:rPr>
        <w:t>)</w:t>
      </w:r>
      <w:r w:rsidR="009D6B94" w:rsidRPr="00B22705">
        <w:rPr>
          <w:bCs/>
          <w:color w:val="010101"/>
        </w:rPr>
        <w:t xml:space="preserve">; </w:t>
      </w:r>
      <w:r w:rsidR="009D6B94" w:rsidRPr="00B22705">
        <w:rPr>
          <w:i/>
        </w:rPr>
        <w:t>s</w:t>
      </w:r>
      <w:r w:rsidRPr="00B22705">
        <w:rPr>
          <w:i/>
        </w:rPr>
        <w:t>ee also</w:t>
      </w:r>
      <w:r w:rsidRPr="00B22705">
        <w:rPr>
          <w:bCs/>
          <w:color w:val="010101"/>
        </w:rPr>
        <w:t xml:space="preserve"> </w:t>
      </w:r>
      <w:r w:rsidRPr="00B22705">
        <w:rPr>
          <w:i/>
          <w:iCs/>
        </w:rPr>
        <w:t>Connect America Fund</w:t>
      </w:r>
      <w:r w:rsidR="009D6B94" w:rsidRPr="00B22705">
        <w:rPr>
          <w:i/>
          <w:iCs/>
        </w:rPr>
        <w:t xml:space="preserve"> et al.</w:t>
      </w:r>
      <w:r w:rsidRPr="00B22705">
        <w:t xml:space="preserve">, WC </w:t>
      </w:r>
      <w:r w:rsidR="009D6B94" w:rsidRPr="00B22705">
        <w:t>Docket</w:t>
      </w:r>
      <w:r w:rsidRPr="00B22705">
        <w:t xml:space="preserve"> No. 10-90</w:t>
      </w:r>
      <w:r w:rsidR="009D6B94" w:rsidRPr="00B22705">
        <w:t xml:space="preserve"> et al.</w:t>
      </w:r>
      <w:r w:rsidRPr="00B22705">
        <w:t xml:space="preserve">, Order on Reconsideration, FCC 11-189, </w:t>
      </w:r>
      <w:r w:rsidR="003E4733" w:rsidRPr="00B22705">
        <w:t xml:space="preserve">26 FCC Rcd 17633, 17634, para. </w:t>
      </w:r>
      <w:r w:rsidRPr="00B22705">
        <w:t>3 (2011).</w:t>
      </w:r>
    </w:p>
  </w:footnote>
  <w:footnote w:id="19">
    <w:p w14:paraId="07B395C1" w14:textId="77777777" w:rsidR="006809E3" w:rsidRPr="00B22705" w:rsidRDefault="006809E3" w:rsidP="00EE139D">
      <w:pPr>
        <w:pStyle w:val="FootnoteText"/>
        <w:jc w:val="left"/>
      </w:pPr>
      <w:r w:rsidRPr="00B22705">
        <w:rPr>
          <w:rStyle w:val="FootnoteReference"/>
        </w:rPr>
        <w:footnoteRef/>
      </w:r>
      <w:r w:rsidRPr="00B22705">
        <w:t xml:space="preserve"> 47 U.S.C. § 214(e)(1)(A).  </w:t>
      </w:r>
    </w:p>
  </w:footnote>
  <w:footnote w:id="20">
    <w:p w14:paraId="0F84CD08" w14:textId="77777777" w:rsidR="006809E3" w:rsidRPr="00B22705" w:rsidRDefault="006809E3" w:rsidP="00EE139D">
      <w:pPr>
        <w:pStyle w:val="FootnoteText"/>
        <w:jc w:val="left"/>
      </w:pPr>
      <w:r w:rsidRPr="00B22705">
        <w:rPr>
          <w:rStyle w:val="FootnoteReference"/>
        </w:rPr>
        <w:footnoteRef/>
      </w:r>
      <w:r w:rsidRPr="00B22705">
        <w:t xml:space="preserve"> 47 U.S.C. § 214(e)(1)(B).  47 C.F.R. §§ 54.401 </w:t>
      </w:r>
      <w:r w:rsidRPr="00B22705">
        <w:rPr>
          <w:i/>
        </w:rPr>
        <w:t>et seq.</w:t>
      </w:r>
      <w:r w:rsidRPr="00B22705">
        <w:t xml:space="preserve">  In addition, an ETC must advertise the availability of Lifeline service and, if eligible for such support, Link Up, in a manner reasonably designed to reach those likely to qualify for those services.  In the </w:t>
      </w:r>
      <w:r w:rsidRPr="00B22705">
        <w:rPr>
          <w:i/>
        </w:rPr>
        <w:t>Lifeline Reform Order</w:t>
      </w:r>
      <w:r w:rsidRPr="00B22705">
        <w:t xml:space="preserve">, the Commission eliminated Link Up except for carriers that receive high-cost support on Tribal lands.  </w:t>
      </w:r>
      <w:r w:rsidRPr="00B22705">
        <w:rPr>
          <w:i/>
        </w:rPr>
        <w:t>Lifeline Reform Order</w:t>
      </w:r>
      <w:r w:rsidR="00E33324" w:rsidRPr="00B22705">
        <w:t xml:space="preserve">, 27 FCC Rcd </w:t>
      </w:r>
      <w:r w:rsidR="004F1C7C" w:rsidRPr="00B22705">
        <w:t>at 6767</w:t>
      </w:r>
      <w:r w:rsidR="001B43D0" w:rsidRPr="00B22705">
        <w:t>, para.</w:t>
      </w:r>
      <w:r w:rsidR="00E33324" w:rsidRPr="00B22705">
        <w:t xml:space="preserve"> </w:t>
      </w:r>
      <w:r w:rsidRPr="00B22705">
        <w:t>254.</w:t>
      </w:r>
    </w:p>
  </w:footnote>
  <w:footnote w:id="21">
    <w:p w14:paraId="74BA5D0E" w14:textId="47A8E09D" w:rsidR="006809E3" w:rsidRPr="00B22705" w:rsidRDefault="006809E3" w:rsidP="00EE139D">
      <w:pPr>
        <w:spacing w:after="120"/>
        <w:rPr>
          <w:sz w:val="20"/>
        </w:rPr>
      </w:pPr>
      <w:r w:rsidRPr="00B22705">
        <w:rPr>
          <w:rStyle w:val="FootnoteReference"/>
          <w:sz w:val="20"/>
        </w:rPr>
        <w:footnoteRef/>
      </w:r>
      <w:r w:rsidRPr="00B22705">
        <w:rPr>
          <w:sz w:val="20"/>
        </w:rPr>
        <w:t xml:space="preserve"> </w:t>
      </w:r>
      <w:r w:rsidR="00C87774" w:rsidRPr="00B22705">
        <w:rPr>
          <w:i/>
          <w:sz w:val="20"/>
        </w:rPr>
        <w:t xml:space="preserve">See </w:t>
      </w:r>
      <w:r w:rsidR="006802C3" w:rsidRPr="00B22705">
        <w:rPr>
          <w:i/>
          <w:sz w:val="20"/>
        </w:rPr>
        <w:t xml:space="preserve">Section 214(e)(6) </w:t>
      </w:r>
      <w:r w:rsidR="006802C3" w:rsidRPr="00B85C1D">
        <w:rPr>
          <w:i/>
          <w:sz w:val="20"/>
        </w:rPr>
        <w:t>Public Notice</w:t>
      </w:r>
      <w:r w:rsidR="00C87774" w:rsidRPr="00B22705">
        <w:rPr>
          <w:sz w:val="20"/>
        </w:rPr>
        <w:t xml:space="preserve">, 12 FCC Rcd </w:t>
      </w:r>
      <w:r w:rsidR="006802C3" w:rsidRPr="00B22705">
        <w:rPr>
          <w:sz w:val="20"/>
        </w:rPr>
        <w:t xml:space="preserve">at </w:t>
      </w:r>
      <w:r w:rsidR="00C87774" w:rsidRPr="00B22705">
        <w:rPr>
          <w:sz w:val="20"/>
        </w:rPr>
        <w:t xml:space="preserve">22948.  </w:t>
      </w:r>
    </w:p>
  </w:footnote>
  <w:footnote w:id="22">
    <w:p w14:paraId="2C90E849" w14:textId="77777777" w:rsidR="006809E3" w:rsidRPr="00B22705" w:rsidRDefault="006809E3" w:rsidP="00EE139D">
      <w:pPr>
        <w:pStyle w:val="FootnoteText"/>
        <w:jc w:val="left"/>
      </w:pPr>
      <w:r w:rsidRPr="00B22705">
        <w:rPr>
          <w:rStyle w:val="FootnoteReference"/>
        </w:rPr>
        <w:footnoteRef/>
      </w:r>
      <w:r w:rsidRPr="00B22705">
        <w:t xml:space="preserve"> 47 C.F.R. § 1.2002.  </w:t>
      </w:r>
    </w:p>
  </w:footnote>
  <w:footnote w:id="23">
    <w:p w14:paraId="07E0D21A" w14:textId="3F826EA7" w:rsidR="006809E3" w:rsidRPr="00B22705" w:rsidRDefault="006809E3" w:rsidP="00EE139D">
      <w:pPr>
        <w:pStyle w:val="FootnoteText"/>
        <w:jc w:val="left"/>
      </w:pPr>
      <w:r w:rsidRPr="00B22705">
        <w:rPr>
          <w:rStyle w:val="FootnoteReference"/>
        </w:rPr>
        <w:footnoteRef/>
      </w:r>
      <w:r w:rsidR="004F1C7C" w:rsidRPr="00B22705">
        <w:rPr>
          <w:rStyle w:val="FootnoteReference"/>
        </w:rPr>
        <w:t xml:space="preserve"> </w:t>
      </w:r>
      <w:r w:rsidR="00BB38AD" w:rsidRPr="00B22705">
        <w:t xml:space="preserve">47 C.F.R. </w:t>
      </w:r>
      <w:r w:rsidRPr="00B22705">
        <w:t>§ 54.202(a)(1)(i).</w:t>
      </w:r>
    </w:p>
  </w:footnote>
  <w:footnote w:id="24">
    <w:p w14:paraId="6AB11539" w14:textId="22FF945F" w:rsidR="006D0792" w:rsidRPr="00B22705" w:rsidRDefault="006D0792" w:rsidP="00EE139D">
      <w:pPr>
        <w:pStyle w:val="FootnoteText"/>
        <w:jc w:val="left"/>
      </w:pPr>
      <w:r w:rsidRPr="00B22705">
        <w:rPr>
          <w:rStyle w:val="FootnoteReference"/>
        </w:rPr>
        <w:footnoteRef/>
      </w:r>
      <w:r w:rsidRPr="00B22705">
        <w:rPr>
          <w:rStyle w:val="FootnoteReference"/>
        </w:rPr>
        <w:t xml:space="preserve"> </w:t>
      </w:r>
      <w:r w:rsidR="00B309B1" w:rsidRPr="00B22705">
        <w:rPr>
          <w:i/>
        </w:rPr>
        <w:t>See</w:t>
      </w:r>
      <w:r w:rsidR="00B309B1" w:rsidRPr="00B22705">
        <w:t xml:space="preserve"> </w:t>
      </w:r>
      <w:r w:rsidR="00C34B9E" w:rsidRPr="00B22705">
        <w:t xml:space="preserve">47 C.F.R. </w:t>
      </w:r>
      <w:r w:rsidR="00B309B1" w:rsidRPr="00B22705">
        <w:t>§ 54.202(a)(1)(ii).  The ETC must also file annual progress reports with the Commission</w:t>
      </w:r>
      <w:r w:rsidR="001C1036" w:rsidRPr="00B22705">
        <w:t>—</w:t>
      </w:r>
      <w:r w:rsidR="00B309B1" w:rsidRPr="00B22705">
        <w:t>a requirement that the Commission has waived, on its own motion, with respect to</w:t>
      </w:r>
      <w:r w:rsidR="00C34B9E" w:rsidRPr="00B22705">
        <w:t xml:space="preserve"> </w:t>
      </w:r>
      <w:r w:rsidR="00E67A99" w:rsidRPr="00B22705">
        <w:t>winning bidders of provisional rural broadband exper</w:t>
      </w:r>
      <w:r w:rsidR="00C34B9E" w:rsidRPr="00B22705">
        <w:t>iments funding</w:t>
      </w:r>
      <w:r w:rsidR="001C1036" w:rsidRPr="00B22705">
        <w:t>, reasoning that the recipients</w:t>
      </w:r>
      <w:r w:rsidR="00D446BD">
        <w:t>’</w:t>
      </w:r>
      <w:r w:rsidR="001C1036" w:rsidRPr="00B22705">
        <w:t xml:space="preserve"> more specific build-out and service reporting obligations make annual reporting unnecessary.  </w:t>
      </w:r>
      <w:r w:rsidR="00E67A99" w:rsidRPr="00B22705">
        <w:rPr>
          <w:i/>
        </w:rPr>
        <w:t>See Rural Broadband Experiments Order</w:t>
      </w:r>
      <w:r w:rsidR="00E67A99" w:rsidRPr="00B22705">
        <w:t>, 29 FCC Rcd at 8795, para. 77</w:t>
      </w:r>
      <w:r w:rsidR="00B309B1" w:rsidRPr="00B22705">
        <w:t xml:space="preserve"> (waiving </w:t>
      </w:r>
      <w:r w:rsidR="001C1036" w:rsidRPr="00B22705">
        <w:t xml:space="preserve">the annual reporting obligations set forth in </w:t>
      </w:r>
      <w:r w:rsidR="00480F05" w:rsidRPr="00B22705">
        <w:t>s</w:t>
      </w:r>
      <w:r w:rsidR="001C1036" w:rsidRPr="00B22705">
        <w:t xml:space="preserve">ection 54.313(a)(1), </w:t>
      </w:r>
      <w:r w:rsidR="00B309B1" w:rsidRPr="00B22705">
        <w:t>47 C.F.R. § 54.313(a)(1)).</w:t>
      </w:r>
      <w:r w:rsidR="001C1036" w:rsidRPr="00B22705">
        <w:t xml:space="preserve"> </w:t>
      </w:r>
    </w:p>
  </w:footnote>
  <w:footnote w:id="25">
    <w:p w14:paraId="417870D6" w14:textId="08ADA39A" w:rsidR="006809E3" w:rsidRPr="00B22705" w:rsidRDefault="006809E3" w:rsidP="00EE139D">
      <w:pPr>
        <w:pStyle w:val="FootnoteText"/>
        <w:jc w:val="left"/>
      </w:pPr>
      <w:r w:rsidRPr="00B22705">
        <w:rPr>
          <w:rStyle w:val="FootnoteReference"/>
        </w:rPr>
        <w:footnoteRef/>
      </w:r>
      <w:r w:rsidRPr="00B22705">
        <w:t xml:space="preserve"> In particular, the petition</w:t>
      </w:r>
      <w:r w:rsidR="000153B7" w:rsidRPr="00B22705">
        <w:t>er</w:t>
      </w:r>
      <w:r w:rsidRPr="00B22705">
        <w:t xml:space="preserve"> must </w:t>
      </w:r>
      <w:r w:rsidR="00C87774" w:rsidRPr="00B22705">
        <w:t>demonstrate</w:t>
      </w:r>
      <w:r w:rsidRPr="00B22705">
        <w:t xml:space="preserve"> that it </w:t>
      </w:r>
      <w:r w:rsidR="000153B7" w:rsidRPr="00B22705">
        <w:t>is capable of ensuring functionality through a reasonable amount of back-up power without an external power source</w:t>
      </w:r>
      <w:r w:rsidRPr="00B22705">
        <w:t xml:space="preserve">, </w:t>
      </w:r>
      <w:r w:rsidR="000153B7" w:rsidRPr="00B22705">
        <w:t>rerouting</w:t>
      </w:r>
      <w:r w:rsidRPr="00B22705">
        <w:t xml:space="preserve"> traffic around damaged facilities, and managing traffic spikes resulting from emergency situations.  </w:t>
      </w:r>
      <w:r w:rsidRPr="00B22705">
        <w:rPr>
          <w:rFonts w:eastAsia="MS Mincho"/>
          <w:i/>
          <w:color w:val="000000"/>
          <w:lang w:eastAsia="ja-JP"/>
        </w:rPr>
        <w:t>See</w:t>
      </w:r>
      <w:r w:rsidRPr="00B22705">
        <w:rPr>
          <w:rFonts w:eastAsia="MS Mincho"/>
          <w:color w:val="000000"/>
          <w:lang w:eastAsia="ja-JP"/>
        </w:rPr>
        <w:t xml:space="preserve"> </w:t>
      </w:r>
      <w:r w:rsidR="00BB38AD" w:rsidRPr="00B22705">
        <w:t xml:space="preserve">47 C.F.R. </w:t>
      </w:r>
      <w:r w:rsidRPr="00B22705">
        <w:t xml:space="preserve">§ 54.202(a)(2).  </w:t>
      </w:r>
    </w:p>
  </w:footnote>
  <w:footnote w:id="26">
    <w:p w14:paraId="448D8B66" w14:textId="77777777" w:rsidR="006809E3" w:rsidRPr="00B22705" w:rsidRDefault="006809E3" w:rsidP="00EE139D">
      <w:pPr>
        <w:pStyle w:val="FootnoteText"/>
        <w:jc w:val="left"/>
      </w:pPr>
      <w:r w:rsidRPr="00B22705">
        <w:rPr>
          <w:rStyle w:val="FootnoteReference"/>
        </w:rPr>
        <w:footnoteRef/>
      </w:r>
      <w:r w:rsidRPr="00B22705">
        <w:t xml:space="preserve"> </w:t>
      </w:r>
      <w:r w:rsidR="00BB38AD" w:rsidRPr="00B22705">
        <w:t xml:space="preserve">47 C.F.R. </w:t>
      </w:r>
      <w:r w:rsidRPr="00B22705">
        <w:t xml:space="preserve">§ 54.202(a)(3).  </w:t>
      </w:r>
    </w:p>
  </w:footnote>
  <w:footnote w:id="27">
    <w:p w14:paraId="052990BD" w14:textId="5FED24C3" w:rsidR="006809E3" w:rsidRPr="00B22705" w:rsidRDefault="006809E3" w:rsidP="00EE139D">
      <w:pPr>
        <w:pStyle w:val="FootnoteText"/>
        <w:jc w:val="left"/>
      </w:pPr>
      <w:r w:rsidRPr="00B22705">
        <w:rPr>
          <w:rStyle w:val="FootnoteReference"/>
        </w:rPr>
        <w:footnoteRef/>
      </w:r>
      <w:r w:rsidRPr="00B22705">
        <w:t xml:space="preserve"> 47 U.S.C. § 214(e)(6); 47 C.F.R. § 54.202(b); </w:t>
      </w:r>
      <w:r w:rsidRPr="00B22705">
        <w:rPr>
          <w:i/>
        </w:rPr>
        <w:t>see also Federal-State Joint Board on Universal Serv</w:t>
      </w:r>
      <w:r w:rsidR="0095760C" w:rsidRPr="00B22705">
        <w:rPr>
          <w:i/>
        </w:rPr>
        <w:t>.</w:t>
      </w:r>
      <w:r w:rsidRPr="00B22705">
        <w:t xml:space="preserve">, CC </w:t>
      </w:r>
      <w:r w:rsidR="009D6B94" w:rsidRPr="00B22705">
        <w:t>Docket</w:t>
      </w:r>
      <w:r w:rsidRPr="00B22705">
        <w:t xml:space="preserve"> No. 95-45, Report and Order, 20 FCC Rcd 6371, 6388</w:t>
      </w:r>
      <w:r w:rsidR="0095760C" w:rsidRPr="00B22705">
        <w:t>–</w:t>
      </w:r>
      <w:r w:rsidR="001B43D0" w:rsidRPr="00B22705">
        <w:t>96, paras. 4</w:t>
      </w:r>
      <w:r w:rsidRPr="00B22705">
        <w:t>0</w:t>
      </w:r>
      <w:r w:rsidR="0095760C" w:rsidRPr="00B22705">
        <w:t>–</w:t>
      </w:r>
      <w:r w:rsidRPr="00B22705">
        <w:t>57 (2005) (</w:t>
      </w:r>
      <w:r w:rsidRPr="00B22705">
        <w:rPr>
          <w:i/>
        </w:rPr>
        <w:t>ETC Designation Order</w:t>
      </w:r>
      <w:r w:rsidRPr="00B22705">
        <w:t xml:space="preserve">).  The Commission places the burden on the ETC applicant to demonstrate that designation will serve the public interest.  </w:t>
      </w:r>
      <w:r w:rsidRPr="00B22705">
        <w:rPr>
          <w:i/>
        </w:rPr>
        <w:t>Id.</w:t>
      </w:r>
      <w:r w:rsidRPr="00B22705">
        <w:t xml:space="preserve"> at 6390</w:t>
      </w:r>
      <w:r w:rsidR="001B43D0" w:rsidRPr="00B22705">
        <w:t>, para.</w:t>
      </w:r>
      <w:r w:rsidRPr="00B22705">
        <w:t xml:space="preserve"> 44.  </w:t>
      </w:r>
    </w:p>
  </w:footnote>
  <w:footnote w:id="28">
    <w:p w14:paraId="3DE901B7" w14:textId="69E1B7B6" w:rsidR="00A27412" w:rsidRPr="00B22705" w:rsidRDefault="00A27412" w:rsidP="00EE139D">
      <w:pPr>
        <w:pStyle w:val="FootnoteText"/>
        <w:jc w:val="left"/>
      </w:pPr>
      <w:r w:rsidRPr="00B22705">
        <w:rPr>
          <w:rStyle w:val="FootnoteReference"/>
        </w:rPr>
        <w:footnoteRef/>
      </w:r>
      <w:r w:rsidRPr="00B22705">
        <w:t xml:space="preserve"> </w:t>
      </w:r>
      <w:r w:rsidRPr="00B22705">
        <w:rPr>
          <w:i/>
        </w:rPr>
        <w:t>See Technology Transitions et al.,</w:t>
      </w:r>
      <w:r w:rsidRPr="00B22705">
        <w:t xml:space="preserve"> GN </w:t>
      </w:r>
      <w:r w:rsidR="009D6B94" w:rsidRPr="00B22705">
        <w:t>Docket</w:t>
      </w:r>
      <w:r w:rsidRPr="00B22705">
        <w:t xml:space="preserve"> No. 13-5 et al., Order et al., 29 FCC Rcd 1433, 1474</w:t>
      </w:r>
      <w:r w:rsidR="0095760C" w:rsidRPr="00B22705">
        <w:t>–</w:t>
      </w:r>
      <w:r w:rsidRPr="00B22705">
        <w:t>75, para. 118 (2014) (</w:t>
      </w:r>
      <w:r w:rsidRPr="00B22705">
        <w:rPr>
          <w:i/>
        </w:rPr>
        <w:t>Tech Transitions Order</w:t>
      </w:r>
      <w:r w:rsidRPr="00B22705">
        <w:t>).</w:t>
      </w:r>
    </w:p>
  </w:footnote>
  <w:footnote w:id="29">
    <w:p w14:paraId="2EF38EA4" w14:textId="7664C646" w:rsidR="003D15E8" w:rsidRPr="00B22705" w:rsidRDefault="003D15E8" w:rsidP="00EE139D">
      <w:pPr>
        <w:pStyle w:val="FootnoteText"/>
        <w:jc w:val="left"/>
      </w:pPr>
      <w:r w:rsidRPr="00B22705">
        <w:rPr>
          <w:rStyle w:val="FootnoteReference"/>
        </w:rPr>
        <w:footnoteRef/>
      </w:r>
      <w:r w:rsidRPr="00B22705">
        <w:t xml:space="preserve"> </w:t>
      </w:r>
      <w:r w:rsidR="00B27239" w:rsidRPr="00B22705">
        <w:rPr>
          <w:i/>
        </w:rPr>
        <w:t>See</w:t>
      </w:r>
      <w:r w:rsidR="00B27239" w:rsidRPr="00B22705">
        <w:t xml:space="preserve"> </w:t>
      </w:r>
      <w:r w:rsidR="00C802CE" w:rsidRPr="00B22705">
        <w:rPr>
          <w:i/>
        </w:rPr>
        <w:t>Rural Broadband Experiments Order</w:t>
      </w:r>
      <w:r w:rsidR="00B27239" w:rsidRPr="00B22705">
        <w:t xml:space="preserve">, 29 FCC Rcd </w:t>
      </w:r>
      <w:r w:rsidR="00C802CE" w:rsidRPr="00B22705">
        <w:t>at</w:t>
      </w:r>
      <w:r w:rsidR="00B27239" w:rsidRPr="00B22705">
        <w:t xml:space="preserve"> 8778, para</w:t>
      </w:r>
      <w:r w:rsidR="0095760C" w:rsidRPr="00B22705">
        <w:t>.</w:t>
      </w:r>
      <w:r w:rsidR="00B27239" w:rsidRPr="00B22705">
        <w:t xml:space="preserve"> 22 n.52</w:t>
      </w:r>
      <w:r w:rsidR="003B0CCD" w:rsidRPr="00B22705">
        <w:t>.</w:t>
      </w:r>
      <w:r w:rsidR="000A0DB5" w:rsidRPr="00B22705">
        <w:t xml:space="preserve"> </w:t>
      </w:r>
    </w:p>
  </w:footnote>
  <w:footnote w:id="30">
    <w:p w14:paraId="06563DD2" w14:textId="0D1F4329" w:rsidR="00C72AEF" w:rsidRPr="00B22705" w:rsidRDefault="00C72AEF" w:rsidP="00EE139D">
      <w:pPr>
        <w:pStyle w:val="FootnoteText"/>
        <w:jc w:val="left"/>
      </w:pPr>
      <w:r w:rsidRPr="00B22705">
        <w:rPr>
          <w:rStyle w:val="FootnoteReference"/>
        </w:rPr>
        <w:footnoteRef/>
      </w:r>
      <w:r w:rsidRPr="00B22705">
        <w:t xml:space="preserve"> </w:t>
      </w:r>
      <w:r w:rsidRPr="00B22705">
        <w:rPr>
          <w:i/>
        </w:rPr>
        <w:t>See</w:t>
      </w:r>
      <w:r w:rsidRPr="00B22705">
        <w:t xml:space="preserve"> </w:t>
      </w:r>
      <w:r w:rsidR="00D5540E" w:rsidRPr="00B22705">
        <w:t>ETC Petition</w:t>
      </w:r>
      <w:r w:rsidRPr="00B22705">
        <w:t xml:space="preserve"> at 1.</w:t>
      </w:r>
      <w:r w:rsidR="00490067" w:rsidRPr="00B22705">
        <w:t xml:space="preserve">  At this time, we do not rule on BARConnects</w:t>
      </w:r>
      <w:r w:rsidR="00D446BD">
        <w:t>’</w:t>
      </w:r>
      <w:r w:rsidR="007243A7" w:rsidRPr="00B22705">
        <w:t xml:space="preserve"> </w:t>
      </w:r>
      <w:r w:rsidR="00490067" w:rsidRPr="00B22705">
        <w:t xml:space="preserve">request for confidential treatment of some information provided in its </w:t>
      </w:r>
      <w:r w:rsidR="00D5540E" w:rsidRPr="00B22705">
        <w:t>ETC Petition</w:t>
      </w:r>
      <w:r w:rsidR="00490067" w:rsidRPr="00B22705">
        <w:t xml:space="preserve">.  </w:t>
      </w:r>
      <w:r w:rsidR="00490067" w:rsidRPr="00B22705">
        <w:rPr>
          <w:i/>
        </w:rPr>
        <w:t>See</w:t>
      </w:r>
      <w:r w:rsidR="00490067" w:rsidRPr="00B22705">
        <w:t xml:space="preserve"> Letter from Shannon M. Heim, Counsel for BARConnects, LLC, to Marlene K. Dortch, Secretary, Federal Communications Commission, WC Docket No. 09-197 (filed Apr. 22, 2015); </w:t>
      </w:r>
      <w:r w:rsidR="00490067" w:rsidRPr="00B22705">
        <w:rPr>
          <w:i/>
        </w:rPr>
        <w:t>see also</w:t>
      </w:r>
      <w:r w:rsidR="00490067" w:rsidRPr="00B22705">
        <w:t xml:space="preserve"> 47 C.F.R. §§ 0.457, 0.459.</w:t>
      </w:r>
    </w:p>
  </w:footnote>
  <w:footnote w:id="31">
    <w:p w14:paraId="3AD658A9" w14:textId="1DC43705" w:rsidR="007A4F47" w:rsidRPr="00B22705" w:rsidRDefault="007A4F47" w:rsidP="00EE139D">
      <w:pPr>
        <w:autoSpaceDE w:val="0"/>
        <w:autoSpaceDN w:val="0"/>
        <w:adjustRightInd w:val="0"/>
        <w:spacing w:after="120"/>
        <w:rPr>
          <w:i/>
          <w:iCs/>
          <w:sz w:val="20"/>
        </w:rPr>
      </w:pPr>
      <w:r w:rsidRPr="00B22705">
        <w:rPr>
          <w:rStyle w:val="FootnoteReference"/>
          <w:sz w:val="20"/>
        </w:rPr>
        <w:footnoteRef/>
      </w:r>
      <w:r w:rsidRPr="00B22705">
        <w:rPr>
          <w:sz w:val="20"/>
        </w:rPr>
        <w:t xml:space="preserve"> </w:t>
      </w:r>
      <w:r w:rsidRPr="00B22705">
        <w:rPr>
          <w:i/>
          <w:sz w:val="20"/>
        </w:rPr>
        <w:t>See</w:t>
      </w:r>
      <w:r w:rsidRPr="00B22705">
        <w:rPr>
          <w:sz w:val="20"/>
        </w:rPr>
        <w:t xml:space="preserve"> </w:t>
      </w:r>
      <w:r w:rsidR="00D5540E" w:rsidRPr="00B22705">
        <w:rPr>
          <w:sz w:val="20"/>
        </w:rPr>
        <w:t>ETC Petition</w:t>
      </w:r>
      <w:r w:rsidRPr="00B22705">
        <w:rPr>
          <w:sz w:val="20"/>
        </w:rPr>
        <w:t xml:space="preserve"> at Exhibit 1.</w:t>
      </w:r>
    </w:p>
  </w:footnote>
  <w:footnote w:id="32">
    <w:p w14:paraId="4C14309F" w14:textId="1351ABF8" w:rsidR="000A0DB5" w:rsidRPr="00B22705" w:rsidRDefault="000A0DB5" w:rsidP="00EE139D">
      <w:pPr>
        <w:pStyle w:val="FootnoteText"/>
        <w:jc w:val="left"/>
      </w:pPr>
      <w:r w:rsidRPr="00B22705">
        <w:rPr>
          <w:rStyle w:val="FootnoteReference"/>
        </w:rPr>
        <w:footnoteRef/>
      </w:r>
      <w:r w:rsidRPr="00B22705">
        <w:t xml:space="preserve"> </w:t>
      </w:r>
      <w:r w:rsidRPr="00B22705">
        <w:rPr>
          <w:i/>
        </w:rPr>
        <w:t>See</w:t>
      </w:r>
      <w:r w:rsidR="00B94BEF" w:rsidRPr="00B22705">
        <w:t xml:space="preserve"> </w:t>
      </w:r>
      <w:r w:rsidR="00B02C1B" w:rsidRPr="00B22705">
        <w:rPr>
          <w:i/>
        </w:rPr>
        <w:t>id</w:t>
      </w:r>
      <w:r w:rsidR="00B02C1B" w:rsidRPr="00B22705">
        <w:t>.</w:t>
      </w:r>
      <w:r w:rsidRPr="00B22705">
        <w:t xml:space="preserve"> at 4</w:t>
      </w:r>
      <w:r w:rsidR="0095760C" w:rsidRPr="00B22705">
        <w:t>–</w:t>
      </w:r>
      <w:r w:rsidRPr="00B22705">
        <w:t>5 (citing Application of B</w:t>
      </w:r>
      <w:r w:rsidR="0026320E" w:rsidRPr="00B22705">
        <w:t>AR</w:t>
      </w:r>
      <w:r w:rsidRPr="00B22705">
        <w:t>Connects, LLC for Designation as an Eligible Telecommunications Carrier Pursuant to 47 U.S.C. § 214(e), Case No. PUC-2015-00015, Application for Designation as an Eligible Telecommunications Carrier, before the Commonwealth of Virginia State Cooperation Commission (Mar. 12, 2015)).</w:t>
      </w:r>
    </w:p>
  </w:footnote>
  <w:footnote w:id="33">
    <w:p w14:paraId="48BF4795" w14:textId="1B5C88D1" w:rsidR="00480F05" w:rsidRPr="00B22705" w:rsidRDefault="00480F05" w:rsidP="00EE139D">
      <w:pPr>
        <w:pStyle w:val="FootnoteText"/>
        <w:jc w:val="left"/>
      </w:pPr>
      <w:r w:rsidRPr="00B22705">
        <w:rPr>
          <w:rStyle w:val="FootnoteReference"/>
        </w:rPr>
        <w:footnoteRef/>
      </w:r>
      <w:r w:rsidRPr="00B22705">
        <w:t xml:space="preserve"> </w:t>
      </w:r>
      <w:r w:rsidRPr="00B22705">
        <w:rPr>
          <w:i/>
        </w:rPr>
        <w:t>Wireline Competition Bureau Seeks Comment on BARConnects, LLC</w:t>
      </w:r>
      <w:r w:rsidR="00D446BD">
        <w:rPr>
          <w:i/>
        </w:rPr>
        <w:t>’</w:t>
      </w:r>
      <w:r w:rsidRPr="00B22705">
        <w:rPr>
          <w:i/>
        </w:rPr>
        <w:t>s Petition for Designation As an Eligible Telecommunications Carrier</w:t>
      </w:r>
      <w:r w:rsidRPr="00B22705">
        <w:t xml:space="preserve">, 09-197, 10-90, 14-259, Public Notice, DA 15-499, 30 FCC Rcd 3776 at Attach.  (Wireline Comp. Bur. 2015).  </w:t>
      </w:r>
    </w:p>
  </w:footnote>
  <w:footnote w:id="34">
    <w:p w14:paraId="6D2A08A0" w14:textId="48C6E47E" w:rsidR="00480F05" w:rsidRPr="00B22705" w:rsidRDefault="00480F05" w:rsidP="00EE139D">
      <w:pPr>
        <w:pStyle w:val="FootnoteText"/>
        <w:jc w:val="left"/>
      </w:pPr>
      <w:r w:rsidRPr="00B22705">
        <w:rPr>
          <w:rStyle w:val="FootnoteReference"/>
        </w:rPr>
        <w:footnoteRef/>
      </w:r>
      <w:r w:rsidRPr="00B22705">
        <w:t xml:space="preserve"> </w:t>
      </w:r>
      <w:r w:rsidRPr="00B22705">
        <w:rPr>
          <w:i/>
        </w:rPr>
        <w:t>See Wireline Competition Bureau Seeks Comment on BARConnects, LLC</w:t>
      </w:r>
      <w:r w:rsidR="00D446BD">
        <w:rPr>
          <w:i/>
        </w:rPr>
        <w:t>’</w:t>
      </w:r>
      <w:r w:rsidRPr="00B22705">
        <w:rPr>
          <w:i/>
        </w:rPr>
        <w:t>s Petition for Designation as an Eligible Telecommunications Carrier</w:t>
      </w:r>
      <w:r w:rsidRPr="00B22705">
        <w:t>, WC Docket Nos. 09-197, 10-90, 14-259, Reply Comments of BARConnects, LLC, before the Federal Communications Commission (filed May 18, 2015).</w:t>
      </w:r>
    </w:p>
  </w:footnote>
  <w:footnote w:id="35">
    <w:p w14:paraId="0099E434" w14:textId="223B70EA" w:rsidR="00480F05" w:rsidRPr="00B22705" w:rsidRDefault="00480F05" w:rsidP="00EE139D">
      <w:pPr>
        <w:pStyle w:val="FootnoteText"/>
        <w:jc w:val="left"/>
      </w:pPr>
      <w:r w:rsidRPr="00B22705">
        <w:rPr>
          <w:rStyle w:val="FootnoteReference"/>
        </w:rPr>
        <w:footnoteRef/>
      </w:r>
      <w:r w:rsidRPr="00B22705">
        <w:t xml:space="preserve"> </w:t>
      </w:r>
      <w:r w:rsidRPr="00B22705">
        <w:rPr>
          <w:i/>
        </w:rPr>
        <w:t>See supra</w:t>
      </w:r>
      <w:r w:rsidRPr="00B22705">
        <w:t xml:space="preserve"> note 1; 47 C.F.R. §</w:t>
      </w:r>
      <w:r w:rsidR="0095760C" w:rsidRPr="00B22705">
        <w:t xml:space="preserve"> </w:t>
      </w:r>
      <w:r w:rsidRPr="00B22705">
        <w:t>1.3.</w:t>
      </w:r>
    </w:p>
  </w:footnote>
  <w:footnote w:id="36">
    <w:p w14:paraId="3D9A2CD0" w14:textId="42322879" w:rsidR="00CB6AF3" w:rsidRPr="00B22705" w:rsidRDefault="00CB6AF3" w:rsidP="00EE139D">
      <w:pPr>
        <w:pStyle w:val="FootnoteText"/>
        <w:jc w:val="left"/>
      </w:pPr>
      <w:r w:rsidRPr="00B22705">
        <w:rPr>
          <w:rStyle w:val="FootnoteReference"/>
        </w:rPr>
        <w:footnoteRef/>
      </w:r>
      <w:r w:rsidRPr="00B22705">
        <w:t xml:space="preserve"> </w:t>
      </w:r>
      <w:r w:rsidR="005378EF" w:rsidRPr="00B22705">
        <w:t>T</w:t>
      </w:r>
      <w:r w:rsidRPr="00B22705">
        <w:t xml:space="preserve">he Commission may waive its policies or rules upon a showing of good cause </w:t>
      </w:r>
      <w:r w:rsidR="005378EF" w:rsidRPr="00B22705">
        <w:t xml:space="preserve">and </w:t>
      </w:r>
      <w:r w:rsidR="003A73D2" w:rsidRPr="00B22705">
        <w:t>may take into account, on an individual basis, considerations of hardship, equity</w:t>
      </w:r>
      <w:r w:rsidRPr="00B22705">
        <w:t xml:space="preserve">, or more effective implementation of overall policy.  </w:t>
      </w:r>
      <w:r w:rsidR="00EF349B" w:rsidRPr="00B22705">
        <w:rPr>
          <w:i/>
        </w:rPr>
        <w:t>See WAIT Radio v. F.C.C.</w:t>
      </w:r>
      <w:r w:rsidR="00EF349B" w:rsidRPr="00B22705">
        <w:t>, 418 F</w:t>
      </w:r>
      <w:r w:rsidR="003A73D2" w:rsidRPr="00B22705">
        <w:t xml:space="preserve">.2d 1153, 1159 (D.C. Cir. 1969); </w:t>
      </w:r>
      <w:r w:rsidR="003A73D2" w:rsidRPr="00B22705">
        <w:rPr>
          <w:i/>
        </w:rPr>
        <w:t>see also NE Cellular Tele. Co. v. FCC</w:t>
      </w:r>
      <w:r w:rsidR="003A73D2" w:rsidRPr="00B22705">
        <w:t>, 897 F.2d 1164, 1166 (D.C.</w:t>
      </w:r>
      <w:r w:rsidR="00F32339" w:rsidRPr="00B22705">
        <w:t xml:space="preserve"> </w:t>
      </w:r>
      <w:r w:rsidR="003A73D2" w:rsidRPr="00B22705">
        <w:t>Cir.</w:t>
      </w:r>
      <w:r w:rsidR="00B02C1B" w:rsidRPr="00B22705">
        <w:t xml:space="preserve"> </w:t>
      </w:r>
      <w:r w:rsidR="003A73D2" w:rsidRPr="00B22705">
        <w:t>1990).</w:t>
      </w:r>
      <w:r w:rsidR="00EF349B" w:rsidRPr="00B22705">
        <w:t xml:space="preserve">  </w:t>
      </w:r>
      <w:r w:rsidRPr="00B22705">
        <w:t>However, waiver of the Commission</w:t>
      </w:r>
      <w:r w:rsidR="00D446BD">
        <w:t>’</w:t>
      </w:r>
      <w:r w:rsidRPr="00B22705">
        <w:t xml:space="preserve">s policies or rules is appropriate only if both: (i) special circumstances warrant a deviation from the general rule; and (ii) such deviation will serve the public interest. </w:t>
      </w:r>
      <w:r w:rsidR="005378EF" w:rsidRPr="00B22705">
        <w:t xml:space="preserve"> </w:t>
      </w:r>
      <w:r w:rsidRPr="00B22705">
        <w:rPr>
          <w:i/>
        </w:rPr>
        <w:t>See Network</w:t>
      </w:r>
      <w:r w:rsidR="00357FD0" w:rsidRPr="00B22705">
        <w:rPr>
          <w:i/>
        </w:rPr>
        <w:t xml:space="preserve"> </w:t>
      </w:r>
      <w:r w:rsidRPr="00B22705">
        <w:rPr>
          <w:i/>
        </w:rPr>
        <w:t>IP, LLC v. F.C.C.</w:t>
      </w:r>
      <w:r w:rsidRPr="00B22705">
        <w:t xml:space="preserve">, 548 F.3d 116, 127 (D.C. Cir. 2008) (citing </w:t>
      </w:r>
      <w:r w:rsidRPr="00B22705">
        <w:rPr>
          <w:i/>
        </w:rPr>
        <w:t>NE Cellular Tele. Co. v. FCC</w:t>
      </w:r>
      <w:r w:rsidRPr="00B22705">
        <w:t>, 897 F</w:t>
      </w:r>
      <w:r w:rsidR="003B0CCD" w:rsidRPr="00B22705">
        <w:t>.2d 1164, 1166 (D.C.</w:t>
      </w:r>
      <w:r w:rsidR="00357FD0" w:rsidRPr="00B22705">
        <w:t xml:space="preserve"> </w:t>
      </w:r>
      <w:r w:rsidR="003B0CCD" w:rsidRPr="00B22705">
        <w:t>Cir.</w:t>
      </w:r>
      <w:r w:rsidR="00B02C1B" w:rsidRPr="00B22705">
        <w:t xml:space="preserve"> </w:t>
      </w:r>
      <w:r w:rsidR="003B0CCD" w:rsidRPr="00B22705">
        <w:t>1990)).</w:t>
      </w:r>
      <w:r w:rsidR="003A73D2" w:rsidRPr="00B22705">
        <w:t xml:space="preserve">  “[D]eadlines can only be waived under </w:t>
      </w:r>
      <w:r w:rsidR="008660AA" w:rsidRPr="00B22705">
        <w:t>‘</w:t>
      </w:r>
      <w:r w:rsidR="003A73D2" w:rsidRPr="00B22705">
        <w:t xml:space="preserve">unusual or compelling circumstances.” </w:t>
      </w:r>
      <w:r w:rsidR="003A73D2" w:rsidRPr="00B22705">
        <w:rPr>
          <w:i/>
        </w:rPr>
        <w:t>Network</w:t>
      </w:r>
      <w:r w:rsidR="00357FD0" w:rsidRPr="00B22705">
        <w:rPr>
          <w:i/>
        </w:rPr>
        <w:t xml:space="preserve"> </w:t>
      </w:r>
      <w:r w:rsidR="003A73D2" w:rsidRPr="00B22705">
        <w:rPr>
          <w:i/>
        </w:rPr>
        <w:t>IP, LLC v. FCC</w:t>
      </w:r>
      <w:r w:rsidR="003A73D2" w:rsidRPr="00B22705">
        <w:t xml:space="preserve">, 548 F.3d 116, 126 (D.C. Cir. 2008) (citation omitted).  </w:t>
      </w:r>
      <w:r w:rsidR="004B6121" w:rsidRPr="00B22705">
        <w:t xml:space="preserve">In this context, the Commission has delegated authority to the Wireline Competition Bureau to act on any such waivers.  </w:t>
      </w:r>
      <w:r w:rsidR="004B6121" w:rsidRPr="00B22705">
        <w:rPr>
          <w:i/>
        </w:rPr>
        <w:t>See Rural Broadband Experiments Order</w:t>
      </w:r>
      <w:r w:rsidR="004B6121" w:rsidRPr="00B22705">
        <w:t xml:space="preserve">, 29 FCC Rcd at </w:t>
      </w:r>
      <w:r w:rsidR="006A6358" w:rsidRPr="00B22705">
        <w:t>8788</w:t>
      </w:r>
      <w:r w:rsidR="004B6121" w:rsidRPr="00B22705">
        <w:t xml:space="preserve"> </w:t>
      </w:r>
      <w:r w:rsidR="00486FE4" w:rsidRPr="00B22705">
        <w:t xml:space="preserve">n.95; </w:t>
      </w:r>
      <w:r w:rsidR="002260E1" w:rsidRPr="00B22705">
        <w:t>47 C.F.R. §§ 0.91(p) (functions of Wireline Competition Bureau),</w:t>
      </w:r>
      <w:r w:rsidR="003B0CCD" w:rsidRPr="00B22705">
        <w:t xml:space="preserve"> </w:t>
      </w:r>
      <w:r w:rsidR="002260E1" w:rsidRPr="00B22705">
        <w:t xml:space="preserve">0.291 (delegation of authority </w:t>
      </w:r>
      <w:r w:rsidR="003B0CCD" w:rsidRPr="00B22705">
        <w:t>to Wireline Competition Bureau)</w:t>
      </w:r>
      <w:r w:rsidR="00B94BEF" w:rsidRPr="00B22705">
        <w:t xml:space="preserve">; </w:t>
      </w:r>
      <w:r w:rsidR="002260E1" w:rsidRPr="00B22705">
        <w:rPr>
          <w:i/>
        </w:rPr>
        <w:t>see also</w:t>
      </w:r>
      <w:r w:rsidR="002260E1" w:rsidRPr="00B22705">
        <w:t xml:space="preserve"> </w:t>
      </w:r>
      <w:r w:rsidR="0095760C" w:rsidRPr="00B22705">
        <w:rPr>
          <w:i/>
        </w:rPr>
        <w:t xml:space="preserve">supra </w:t>
      </w:r>
      <w:r w:rsidR="0095760C" w:rsidRPr="00B22705">
        <w:t>note 15.</w:t>
      </w:r>
    </w:p>
  </w:footnote>
  <w:footnote w:id="37">
    <w:p w14:paraId="769E01E6" w14:textId="0ECDE94F" w:rsidR="00CF3AB3" w:rsidRPr="00B22705" w:rsidRDefault="00CF3AB3" w:rsidP="00EE139D">
      <w:pPr>
        <w:pStyle w:val="FootnoteText"/>
        <w:jc w:val="left"/>
      </w:pPr>
      <w:r w:rsidRPr="00B22705">
        <w:rPr>
          <w:rStyle w:val="FootnoteReference"/>
        </w:rPr>
        <w:footnoteRef/>
      </w:r>
      <w:r w:rsidRPr="00B22705">
        <w:t xml:space="preserve"> </w:t>
      </w:r>
      <w:r w:rsidRPr="00B22705">
        <w:rPr>
          <w:i/>
        </w:rPr>
        <w:t xml:space="preserve">See </w:t>
      </w:r>
      <w:r w:rsidR="00C802CE" w:rsidRPr="00B22705">
        <w:rPr>
          <w:i/>
        </w:rPr>
        <w:t>Rural Broadband Experiments Order</w:t>
      </w:r>
      <w:r w:rsidRPr="00B22705">
        <w:t xml:space="preserve">, 29 FCC Rcd </w:t>
      </w:r>
      <w:r w:rsidR="00C802CE" w:rsidRPr="00B22705">
        <w:t>at</w:t>
      </w:r>
      <w:r w:rsidRPr="00B22705">
        <w:t xml:space="preserve"> 8788, para. 54.</w:t>
      </w:r>
    </w:p>
  </w:footnote>
  <w:footnote w:id="38">
    <w:p w14:paraId="5EB5F45D" w14:textId="37518FE5" w:rsidR="006809E3" w:rsidRPr="00B22705" w:rsidRDefault="006809E3" w:rsidP="00EE139D">
      <w:pPr>
        <w:pStyle w:val="FootnoteText"/>
        <w:jc w:val="left"/>
      </w:pPr>
      <w:r w:rsidRPr="00B22705">
        <w:rPr>
          <w:rStyle w:val="FootnoteReference"/>
        </w:rPr>
        <w:footnoteRef/>
      </w:r>
      <w:r w:rsidRPr="00B22705">
        <w:t xml:space="preserve"> </w:t>
      </w:r>
      <w:r w:rsidR="00D5540E" w:rsidRPr="00B22705">
        <w:t>ETC Petition</w:t>
      </w:r>
      <w:r w:rsidR="009B5058" w:rsidRPr="00B22705">
        <w:t xml:space="preserve"> at </w:t>
      </w:r>
      <w:r w:rsidR="00B94BEF" w:rsidRPr="00B22705">
        <w:t>Exhibit 1</w:t>
      </w:r>
      <w:r w:rsidR="00B64AE4" w:rsidRPr="00B22705">
        <w:t>.</w:t>
      </w:r>
    </w:p>
  </w:footnote>
  <w:footnote w:id="39">
    <w:p w14:paraId="056C7499" w14:textId="77777777" w:rsidR="006809E3" w:rsidRPr="00B22705" w:rsidRDefault="006809E3" w:rsidP="00EE139D">
      <w:pPr>
        <w:pStyle w:val="FootnoteText"/>
        <w:jc w:val="left"/>
      </w:pPr>
      <w:r w:rsidRPr="00B22705">
        <w:rPr>
          <w:rStyle w:val="FootnoteReference"/>
        </w:rPr>
        <w:footnoteRef/>
      </w:r>
      <w:r w:rsidRPr="00B22705">
        <w:t xml:space="preserve"> 47 U.S.C. § 214(e)(6).</w:t>
      </w:r>
    </w:p>
  </w:footnote>
  <w:footnote w:id="40">
    <w:p w14:paraId="2CC1B8C5" w14:textId="5FAA51E8" w:rsidR="006809E3" w:rsidRPr="00B22705" w:rsidRDefault="006809E3" w:rsidP="00EE139D">
      <w:pPr>
        <w:pStyle w:val="FootnoteText"/>
        <w:jc w:val="left"/>
      </w:pPr>
      <w:r w:rsidRPr="00B22705">
        <w:rPr>
          <w:rStyle w:val="FootnoteReference"/>
        </w:rPr>
        <w:footnoteRef/>
      </w:r>
      <w:r w:rsidRPr="00B22705">
        <w:t xml:space="preserve"> </w:t>
      </w:r>
      <w:r w:rsidRPr="00B22705">
        <w:rPr>
          <w:i/>
        </w:rPr>
        <w:t xml:space="preserve">See generally </w:t>
      </w:r>
      <w:r w:rsidR="00D5540E" w:rsidRPr="00B22705">
        <w:t>ETC Petition</w:t>
      </w:r>
      <w:r w:rsidR="00996981" w:rsidRPr="00B22705">
        <w:t>, B</w:t>
      </w:r>
      <w:r w:rsidR="0026320E" w:rsidRPr="00B22705">
        <w:t>AR</w:t>
      </w:r>
      <w:r w:rsidR="00996981" w:rsidRPr="00B22705">
        <w:t>Connects</w:t>
      </w:r>
      <w:r w:rsidRPr="00B22705">
        <w:t xml:space="preserve"> Certifications.</w:t>
      </w:r>
    </w:p>
  </w:footnote>
  <w:footnote w:id="41">
    <w:p w14:paraId="1EDA3755" w14:textId="0D154C15" w:rsidR="006809E3" w:rsidRPr="00B22705" w:rsidRDefault="006809E3" w:rsidP="00EE139D">
      <w:pPr>
        <w:pStyle w:val="FootnoteText"/>
        <w:jc w:val="left"/>
      </w:pPr>
      <w:r w:rsidRPr="00B22705">
        <w:rPr>
          <w:rStyle w:val="FootnoteReference"/>
        </w:rPr>
        <w:footnoteRef/>
      </w:r>
      <w:r w:rsidR="00DF2AC2" w:rsidRPr="00B22705">
        <w:t xml:space="preserve"> </w:t>
      </w:r>
      <w:r w:rsidR="00D5540E" w:rsidRPr="00B22705">
        <w:t>ETC Petition</w:t>
      </w:r>
      <w:r w:rsidRPr="00B22705">
        <w:t xml:space="preserve"> at </w:t>
      </w:r>
      <w:r w:rsidR="006A6358" w:rsidRPr="00B22705">
        <w:t>6</w:t>
      </w:r>
      <w:r w:rsidRPr="00B22705">
        <w:t xml:space="preserve">; </w:t>
      </w:r>
      <w:r w:rsidRPr="00B22705">
        <w:rPr>
          <w:i/>
        </w:rPr>
        <w:t xml:space="preserve">see </w:t>
      </w:r>
      <w:r w:rsidRPr="00B22705">
        <w:t>47 U.S.C. § 214(e)(1)(A); 47 C.F.R. § 54.201(d)(1).</w:t>
      </w:r>
    </w:p>
  </w:footnote>
  <w:footnote w:id="42">
    <w:p w14:paraId="34898295" w14:textId="7E085107" w:rsidR="006809E3" w:rsidRPr="00B22705" w:rsidRDefault="006809E3" w:rsidP="00EE139D">
      <w:pPr>
        <w:pStyle w:val="FootnoteText"/>
        <w:jc w:val="left"/>
      </w:pPr>
      <w:r w:rsidRPr="00B22705">
        <w:rPr>
          <w:rStyle w:val="FootnoteReference"/>
        </w:rPr>
        <w:footnoteRef/>
      </w:r>
      <w:r w:rsidRPr="00B22705">
        <w:t xml:space="preserve"> 47 U.S.C. § 214(e)(1)(B); </w:t>
      </w:r>
      <w:r w:rsidRPr="00B22705">
        <w:rPr>
          <w:i/>
        </w:rPr>
        <w:t xml:space="preserve">see </w:t>
      </w:r>
      <w:r w:rsidR="00D5540E" w:rsidRPr="00B22705">
        <w:t>ETC Petition</w:t>
      </w:r>
      <w:r w:rsidR="00DF2AC2" w:rsidRPr="00B22705">
        <w:t xml:space="preserve"> at </w:t>
      </w:r>
      <w:r w:rsidR="006A6358" w:rsidRPr="00B22705">
        <w:t>8</w:t>
      </w:r>
      <w:r w:rsidRPr="00B22705">
        <w:t>.</w:t>
      </w:r>
    </w:p>
  </w:footnote>
  <w:footnote w:id="43">
    <w:p w14:paraId="1A636BA4" w14:textId="0B52324B" w:rsidR="006A6358" w:rsidRPr="00B22705" w:rsidRDefault="006A6358" w:rsidP="00EE139D">
      <w:pPr>
        <w:pStyle w:val="FootnoteText"/>
        <w:jc w:val="left"/>
      </w:pPr>
      <w:r w:rsidRPr="00B22705">
        <w:rPr>
          <w:rStyle w:val="FootnoteReference"/>
        </w:rPr>
        <w:footnoteRef/>
      </w:r>
      <w:r w:rsidRPr="00B22705">
        <w:t xml:space="preserve"> </w:t>
      </w:r>
      <w:r w:rsidR="00D5540E" w:rsidRPr="00B22705">
        <w:t>ETC Petition</w:t>
      </w:r>
      <w:r w:rsidRPr="00B22705">
        <w:t xml:space="preserve"> at 9.</w:t>
      </w:r>
    </w:p>
  </w:footnote>
  <w:footnote w:id="44">
    <w:p w14:paraId="77258B3B" w14:textId="77777777" w:rsidR="006809E3" w:rsidRPr="00B22705" w:rsidRDefault="006809E3" w:rsidP="00EE139D">
      <w:pPr>
        <w:pStyle w:val="FootnoteText"/>
        <w:jc w:val="left"/>
      </w:pPr>
      <w:r w:rsidRPr="00B22705">
        <w:rPr>
          <w:rStyle w:val="FootnoteReference"/>
        </w:rPr>
        <w:footnoteRef/>
      </w:r>
      <w:r w:rsidRPr="00B22705">
        <w:t xml:space="preserve"> 21 U.S.C. § 862; 47 C.F.R. § 1.2002(a)–(b).  Section 1.2002(b) provides that a “party to the application” shall include:  “(1) If the applicant is an individual, that individual; (2) If the applicant is a corporation or unincorporated association, all officers, directors, or persons holding 5% or more of the outstanding stock or shares (voting and/or nonvoting) of the petitioner; and (3) If the application is a partnership, all non-limited partners and any limited partners holding a 5% or more interest in the partnership.”  47 C.F.R. § 1.2002(b); </w:t>
      </w:r>
      <w:r w:rsidRPr="00B22705">
        <w:rPr>
          <w:i/>
        </w:rPr>
        <w:t>see</w:t>
      </w:r>
      <w:r w:rsidRPr="00B22705">
        <w:t xml:space="preserve"> </w:t>
      </w:r>
      <w:r w:rsidRPr="00B22705">
        <w:rPr>
          <w:i/>
        </w:rPr>
        <w:t>Section 214(e)(6) Public Notice</w:t>
      </w:r>
      <w:r w:rsidRPr="00B22705">
        <w:t>, 12 FCC Rcd at 22949.</w:t>
      </w:r>
    </w:p>
  </w:footnote>
  <w:footnote w:id="45">
    <w:p w14:paraId="765B5D87" w14:textId="6277CB29" w:rsidR="006809E3" w:rsidRPr="00B22705" w:rsidRDefault="006809E3" w:rsidP="00EE139D">
      <w:pPr>
        <w:pStyle w:val="FootnoteText"/>
        <w:jc w:val="left"/>
      </w:pPr>
      <w:r w:rsidRPr="00B22705">
        <w:rPr>
          <w:rStyle w:val="FootnoteReference"/>
        </w:rPr>
        <w:footnoteRef/>
      </w:r>
      <w:r w:rsidR="00B94BEF" w:rsidRPr="00B22705">
        <w:t xml:space="preserve"> </w:t>
      </w:r>
      <w:r w:rsidR="00D5540E" w:rsidRPr="00B22705">
        <w:t>ETC Petition</w:t>
      </w:r>
      <w:r w:rsidR="00486FE4" w:rsidRPr="00B22705">
        <w:t xml:space="preserve"> at </w:t>
      </w:r>
      <w:r w:rsidR="006A6358" w:rsidRPr="00B22705">
        <w:t>13</w:t>
      </w:r>
      <w:r w:rsidRPr="00B22705">
        <w:t xml:space="preserve">; </w:t>
      </w:r>
      <w:r w:rsidRPr="00B22705">
        <w:rPr>
          <w:i/>
        </w:rPr>
        <w:t xml:space="preserve">see </w:t>
      </w:r>
      <w:r w:rsidR="00632130" w:rsidRPr="00B22705">
        <w:t>BARConnects</w:t>
      </w:r>
      <w:r w:rsidRPr="00B22705">
        <w:t xml:space="preserve"> Certifications.</w:t>
      </w:r>
    </w:p>
  </w:footnote>
  <w:footnote w:id="46">
    <w:p w14:paraId="2A1FF111" w14:textId="77777777" w:rsidR="00C633E2" w:rsidRPr="00B22705" w:rsidRDefault="00C633E2" w:rsidP="00EE139D">
      <w:pPr>
        <w:pStyle w:val="FootnoteText"/>
        <w:jc w:val="left"/>
      </w:pPr>
      <w:r w:rsidRPr="00B22705">
        <w:rPr>
          <w:rStyle w:val="FootnoteReference"/>
        </w:rPr>
        <w:footnoteRef/>
      </w:r>
      <w:r w:rsidRPr="00B22705">
        <w:t xml:space="preserve"> 47 C.F.R. § 54.202(a).</w:t>
      </w:r>
    </w:p>
  </w:footnote>
  <w:footnote w:id="47">
    <w:p w14:paraId="266FD7BE" w14:textId="08C297AD" w:rsidR="006809E3" w:rsidRPr="00B22705" w:rsidRDefault="006809E3" w:rsidP="00EE139D">
      <w:pPr>
        <w:pStyle w:val="FootnoteText"/>
        <w:jc w:val="left"/>
      </w:pPr>
      <w:r w:rsidRPr="00B22705">
        <w:rPr>
          <w:rStyle w:val="FootnoteReference"/>
        </w:rPr>
        <w:footnoteRef/>
      </w:r>
      <w:r w:rsidRPr="00B22705">
        <w:t xml:space="preserve"> </w:t>
      </w:r>
      <w:r w:rsidR="00D5540E" w:rsidRPr="00B22705">
        <w:t>ETC Petition</w:t>
      </w:r>
      <w:r w:rsidR="00632130" w:rsidRPr="00B22705">
        <w:t xml:space="preserve"> </w:t>
      </w:r>
      <w:r w:rsidR="006A6358" w:rsidRPr="00B22705">
        <w:t>at 7</w:t>
      </w:r>
      <w:r w:rsidRPr="00B22705">
        <w:t xml:space="preserve">; </w:t>
      </w:r>
      <w:r w:rsidRPr="00B22705">
        <w:rPr>
          <w:i/>
        </w:rPr>
        <w:t xml:space="preserve">see </w:t>
      </w:r>
      <w:r w:rsidR="00632130" w:rsidRPr="00B22705">
        <w:t>BARConnects</w:t>
      </w:r>
      <w:r w:rsidRPr="00B22705">
        <w:t xml:space="preserve"> Certifications.</w:t>
      </w:r>
    </w:p>
  </w:footnote>
  <w:footnote w:id="48">
    <w:p w14:paraId="2BB46133" w14:textId="3DB8ACBC" w:rsidR="006809E3" w:rsidRPr="00B22705" w:rsidRDefault="006809E3" w:rsidP="00EE139D">
      <w:pPr>
        <w:pStyle w:val="FootnoteText"/>
        <w:jc w:val="left"/>
      </w:pPr>
      <w:r w:rsidRPr="00B22705">
        <w:rPr>
          <w:rStyle w:val="FootnoteReference"/>
        </w:rPr>
        <w:footnoteRef/>
      </w:r>
      <w:r w:rsidRPr="00B22705">
        <w:t xml:space="preserve"> </w:t>
      </w:r>
      <w:r w:rsidR="00D5540E" w:rsidRPr="00B22705">
        <w:t>ETC Petition</w:t>
      </w:r>
      <w:r w:rsidR="00632130" w:rsidRPr="00B22705">
        <w:t xml:space="preserve"> at </w:t>
      </w:r>
      <w:r w:rsidR="006A6358" w:rsidRPr="00B22705">
        <w:t>Exhibit 4</w:t>
      </w:r>
      <w:r w:rsidR="00632130" w:rsidRPr="00B22705">
        <w:t xml:space="preserve">. </w:t>
      </w:r>
    </w:p>
  </w:footnote>
  <w:footnote w:id="49">
    <w:p w14:paraId="4201BED0" w14:textId="2C418D45" w:rsidR="006809E3" w:rsidRPr="00B22705" w:rsidRDefault="006809E3" w:rsidP="00EE139D">
      <w:pPr>
        <w:pStyle w:val="FootnoteText"/>
        <w:jc w:val="left"/>
      </w:pPr>
      <w:r w:rsidRPr="00B22705">
        <w:rPr>
          <w:rStyle w:val="FootnoteReference"/>
        </w:rPr>
        <w:footnoteRef/>
      </w:r>
      <w:r w:rsidRPr="00B22705">
        <w:t xml:space="preserve"> </w:t>
      </w:r>
      <w:r w:rsidR="00D5540E" w:rsidRPr="00B22705">
        <w:t>ETC Petition</w:t>
      </w:r>
      <w:r w:rsidR="00632130" w:rsidRPr="00B22705">
        <w:t xml:space="preserve"> at </w:t>
      </w:r>
      <w:r w:rsidR="006A6358" w:rsidRPr="00B22705">
        <w:t>9</w:t>
      </w:r>
      <w:r w:rsidR="00632130" w:rsidRPr="00B22705">
        <w:t xml:space="preserve">; </w:t>
      </w:r>
      <w:r w:rsidR="00632130" w:rsidRPr="00B22705">
        <w:rPr>
          <w:i/>
        </w:rPr>
        <w:t>see</w:t>
      </w:r>
      <w:r w:rsidR="00632130" w:rsidRPr="00B22705">
        <w:t xml:space="preserve"> BARConnects Certifications.</w:t>
      </w:r>
    </w:p>
  </w:footnote>
  <w:footnote w:id="50">
    <w:p w14:paraId="580210DF" w14:textId="13397AA3" w:rsidR="006809E3" w:rsidRPr="00B22705" w:rsidRDefault="006809E3" w:rsidP="00EE139D">
      <w:pPr>
        <w:pStyle w:val="FootnoteText"/>
        <w:jc w:val="left"/>
      </w:pPr>
      <w:r w:rsidRPr="00B22705">
        <w:rPr>
          <w:rStyle w:val="FootnoteReference"/>
        </w:rPr>
        <w:footnoteRef/>
      </w:r>
      <w:r w:rsidRPr="00B22705">
        <w:rPr>
          <w:i/>
        </w:rPr>
        <w:t xml:space="preserve"> </w:t>
      </w:r>
      <w:r w:rsidR="00D5540E" w:rsidRPr="00B22705">
        <w:t>ETC Petition</w:t>
      </w:r>
      <w:r w:rsidR="00C633E2" w:rsidRPr="00B22705">
        <w:t xml:space="preserve"> at 10.</w:t>
      </w:r>
    </w:p>
  </w:footnote>
  <w:footnote w:id="51">
    <w:p w14:paraId="624E16A6" w14:textId="695586BC" w:rsidR="006809E3" w:rsidRPr="00B22705" w:rsidRDefault="006809E3" w:rsidP="00EE139D">
      <w:pPr>
        <w:pStyle w:val="FootnoteText"/>
        <w:jc w:val="left"/>
      </w:pPr>
      <w:r w:rsidRPr="00B22705">
        <w:rPr>
          <w:rStyle w:val="FootnoteReference"/>
        </w:rPr>
        <w:footnoteRef/>
      </w:r>
      <w:r w:rsidRPr="00B22705">
        <w:t xml:space="preserve"> This </w:t>
      </w:r>
      <w:r w:rsidR="00486FE4" w:rsidRPr="00B22705">
        <w:t xml:space="preserve">Order in no </w:t>
      </w:r>
      <w:r w:rsidRPr="00B22705">
        <w:t xml:space="preserve">way pre-judges whether any particular proposed service offering </w:t>
      </w:r>
      <w:r w:rsidR="00C22AE9" w:rsidRPr="00B22705">
        <w:t>by BARConnects</w:t>
      </w:r>
      <w:r w:rsidRPr="00B22705">
        <w:t xml:space="preserve"> meets the requirements of the Commission</w:t>
      </w:r>
      <w:r w:rsidR="00D446BD">
        <w:t>’</w:t>
      </w:r>
      <w:r w:rsidRPr="00B22705">
        <w:t>s rules.</w:t>
      </w:r>
    </w:p>
  </w:footnote>
  <w:footnote w:id="52">
    <w:p w14:paraId="51C7CB6A" w14:textId="093A6F18" w:rsidR="00BE57DF" w:rsidRPr="00B22705" w:rsidRDefault="00BE57DF" w:rsidP="00EE139D">
      <w:pPr>
        <w:pStyle w:val="FootnoteText"/>
        <w:jc w:val="left"/>
      </w:pPr>
      <w:r w:rsidRPr="00B22705">
        <w:rPr>
          <w:rStyle w:val="FootnoteReference"/>
        </w:rPr>
        <w:footnoteRef/>
      </w:r>
      <w:r w:rsidRPr="00B22705">
        <w:t xml:space="preserve"> </w:t>
      </w:r>
      <w:r w:rsidR="00D5540E" w:rsidRPr="00B22705">
        <w:t>ETC Petition</w:t>
      </w:r>
      <w:r w:rsidRPr="00B22705">
        <w:t xml:space="preserve"> at </w:t>
      </w:r>
      <w:r w:rsidR="00C633E2" w:rsidRPr="00B22705">
        <w:t>6</w:t>
      </w:r>
      <w:r w:rsidRPr="00B22705">
        <w:t>.</w:t>
      </w:r>
    </w:p>
  </w:footnote>
  <w:footnote w:id="53">
    <w:p w14:paraId="37FD3520" w14:textId="28238A66" w:rsidR="00885D30" w:rsidRPr="00B22705" w:rsidRDefault="00885D30" w:rsidP="00EE139D">
      <w:pPr>
        <w:pStyle w:val="FootnoteText"/>
        <w:jc w:val="left"/>
      </w:pPr>
      <w:r w:rsidRPr="00B22705">
        <w:rPr>
          <w:rStyle w:val="FootnoteReference"/>
        </w:rPr>
        <w:footnoteRef/>
      </w:r>
      <w:r w:rsidRPr="00B22705">
        <w:t xml:space="preserve"> </w:t>
      </w:r>
      <w:r w:rsidR="00F1630E">
        <w:t xml:space="preserve">ETC Petition at 7; </w:t>
      </w:r>
      <w:r w:rsidR="00F1630E">
        <w:rPr>
          <w:i/>
        </w:rPr>
        <w:t xml:space="preserve">see also </w:t>
      </w:r>
      <w:r w:rsidRPr="00B22705">
        <w:rPr>
          <w:i/>
        </w:rPr>
        <w:t>Rural Broadband Experiments Order</w:t>
      </w:r>
      <w:r w:rsidRPr="00B22705">
        <w:t>, 29 FCC Rcd at 8779</w:t>
      </w:r>
      <w:r w:rsidR="0095760C" w:rsidRPr="00B22705">
        <w:t>–</w:t>
      </w:r>
      <w:r w:rsidRPr="00B22705">
        <w:t>80, para. 26.</w:t>
      </w:r>
    </w:p>
  </w:footnote>
  <w:footnote w:id="54">
    <w:p w14:paraId="19861960" w14:textId="2440D086" w:rsidR="00885D30" w:rsidRPr="00B22705" w:rsidRDefault="00885D30" w:rsidP="00EE139D">
      <w:pPr>
        <w:pStyle w:val="FootnoteText"/>
        <w:jc w:val="left"/>
      </w:pPr>
      <w:r w:rsidRPr="00B22705">
        <w:rPr>
          <w:rStyle w:val="FootnoteReference"/>
        </w:rPr>
        <w:footnoteRef/>
      </w:r>
      <w:r w:rsidRPr="00B22705">
        <w:t xml:space="preserve"> </w:t>
      </w:r>
      <w:r w:rsidR="007656EC" w:rsidRPr="007656EC">
        <w:t>ETC Petition at 6.</w:t>
      </w:r>
    </w:p>
  </w:footnote>
  <w:footnote w:id="55">
    <w:p w14:paraId="7A0E85FA" w14:textId="570186F7" w:rsidR="00F1630E" w:rsidRDefault="00F1630E" w:rsidP="00EE139D">
      <w:pPr>
        <w:pStyle w:val="FootnoteText"/>
        <w:jc w:val="left"/>
      </w:pPr>
      <w:r>
        <w:rPr>
          <w:rStyle w:val="FootnoteReference"/>
        </w:rPr>
        <w:footnoteRef/>
      </w:r>
      <w:r>
        <w:t xml:space="preserve"> </w:t>
      </w:r>
      <w:r w:rsidR="007656EC" w:rsidRPr="007656EC">
        <w:rPr>
          <w:i/>
        </w:rPr>
        <w:t>Id</w:t>
      </w:r>
      <w:r w:rsidR="007656EC">
        <w:t>.</w:t>
      </w:r>
      <w:r>
        <w:t xml:space="preserve"> at 6, 11.</w:t>
      </w:r>
    </w:p>
  </w:footnote>
  <w:footnote w:id="56">
    <w:p w14:paraId="4D9B151D" w14:textId="60F7F865" w:rsidR="002C3A5C" w:rsidRPr="00B22705" w:rsidRDefault="002C3A5C" w:rsidP="00EE139D">
      <w:pPr>
        <w:pStyle w:val="FootnoteText"/>
        <w:jc w:val="left"/>
      </w:pPr>
      <w:r w:rsidRPr="00B22705">
        <w:rPr>
          <w:rStyle w:val="FootnoteReference"/>
        </w:rPr>
        <w:footnoteRef/>
      </w:r>
      <w:r w:rsidRPr="00B22705">
        <w:t xml:space="preserve"> </w:t>
      </w:r>
      <w:r w:rsidR="006A6358" w:rsidRPr="00B22705">
        <w:rPr>
          <w:i/>
        </w:rPr>
        <w:t xml:space="preserve">See </w:t>
      </w:r>
      <w:r w:rsidR="0093123A" w:rsidRPr="00B22705">
        <w:rPr>
          <w:i/>
        </w:rPr>
        <w:t>Appendix</w:t>
      </w:r>
      <w:r w:rsidR="00900F19" w:rsidRPr="00B22705">
        <w:rPr>
          <w:i/>
        </w:rPr>
        <w:t xml:space="preserve">.  </w:t>
      </w:r>
    </w:p>
  </w:footnote>
  <w:footnote w:id="57">
    <w:p w14:paraId="7FB55CF6" w14:textId="473467F5" w:rsidR="002F17DF" w:rsidRPr="00B22705" w:rsidRDefault="002F17DF" w:rsidP="00EE139D">
      <w:pPr>
        <w:pStyle w:val="FootnoteText"/>
        <w:jc w:val="left"/>
      </w:pPr>
      <w:r w:rsidRPr="00B22705">
        <w:rPr>
          <w:rStyle w:val="FootnoteReference"/>
        </w:rPr>
        <w:footnoteRef/>
      </w:r>
      <w:r w:rsidRPr="00B22705">
        <w:t xml:space="preserve"> 47 C.F.R. § 54.314(b); </w:t>
      </w:r>
      <w:r w:rsidRPr="00B22705">
        <w:rPr>
          <w:i/>
        </w:rPr>
        <w:t>see also Rural Broadband Experiments Order</w:t>
      </w:r>
      <w:r w:rsidRPr="00B22705">
        <w:t xml:space="preserve">, 29 FCC Rcd at </w:t>
      </w:r>
      <w:r w:rsidR="00AE2AE5" w:rsidRPr="00B22705">
        <w:t>8796–97</w:t>
      </w:r>
      <w:r w:rsidRPr="00B22705">
        <w:t xml:space="preserve">, para. 82. </w:t>
      </w:r>
    </w:p>
  </w:footnote>
  <w:footnote w:id="58">
    <w:p w14:paraId="7881FA51" w14:textId="10DC7EAA" w:rsidR="006809E3" w:rsidRPr="00B22705" w:rsidRDefault="006809E3" w:rsidP="00EE139D">
      <w:pPr>
        <w:pStyle w:val="FootnoteText"/>
        <w:jc w:val="left"/>
      </w:pPr>
      <w:r w:rsidRPr="00B22705">
        <w:rPr>
          <w:rStyle w:val="FootnoteReference"/>
        </w:rPr>
        <w:footnoteRef/>
      </w:r>
      <w:r w:rsidRPr="00B22705">
        <w:t xml:space="preserve"> </w:t>
      </w:r>
      <w:r w:rsidRPr="00B22705">
        <w:rPr>
          <w:i/>
        </w:rPr>
        <w:t>See generally</w:t>
      </w:r>
      <w:r w:rsidRPr="00B22705">
        <w:t xml:space="preserve"> </w:t>
      </w:r>
      <w:r w:rsidR="00D5540E" w:rsidRPr="00B22705">
        <w:t>ETC Petition</w:t>
      </w:r>
      <w:r w:rsidRPr="00B22705">
        <w:t>.</w:t>
      </w:r>
    </w:p>
  </w:footnote>
  <w:footnote w:id="59">
    <w:p w14:paraId="2D6CE90B" w14:textId="7D084EED" w:rsidR="006809E3" w:rsidRPr="00B22705" w:rsidRDefault="006809E3" w:rsidP="00EE139D">
      <w:pPr>
        <w:pStyle w:val="FootnoteText"/>
        <w:tabs>
          <w:tab w:val="left" w:pos="5197"/>
        </w:tabs>
        <w:jc w:val="left"/>
      </w:pPr>
      <w:r w:rsidRPr="00B22705">
        <w:rPr>
          <w:rStyle w:val="FootnoteReference"/>
        </w:rPr>
        <w:footnoteRef/>
      </w:r>
      <w:r w:rsidRPr="00B22705">
        <w:t xml:space="preserve"> 47 U.S.C. §§ 220, 403.</w:t>
      </w:r>
      <w:r w:rsidR="000B0D97">
        <w:tab/>
      </w:r>
    </w:p>
  </w:footnote>
  <w:footnote w:id="60">
    <w:p w14:paraId="463508F6" w14:textId="77777777" w:rsidR="006809E3" w:rsidRPr="00B22705" w:rsidRDefault="006809E3" w:rsidP="00EE139D">
      <w:pPr>
        <w:pStyle w:val="FootnoteText"/>
        <w:jc w:val="left"/>
      </w:pPr>
      <w:r w:rsidRPr="00B22705">
        <w:rPr>
          <w:rStyle w:val="FootnoteReference"/>
        </w:rPr>
        <w:footnoteRef/>
      </w:r>
      <w:r w:rsidRPr="00B22705">
        <w:t xml:space="preserve"> </w:t>
      </w:r>
      <w:r w:rsidRPr="00B22705">
        <w:rPr>
          <w:i/>
        </w:rPr>
        <w:t>See USF/ICC Transformation Order</w:t>
      </w:r>
      <w:r w:rsidRPr="00B22705">
        <w:t>, 26 FCC Rcd at 17864</w:t>
      </w:r>
      <w:r w:rsidR="001B43D0" w:rsidRPr="00B22705">
        <w:t>, para.</w:t>
      </w:r>
      <w:r w:rsidRPr="00B22705">
        <w:t xml:space="preserve"> 621; 47 C.F.R. § 54.1010; </w:t>
      </w:r>
      <w:r w:rsidRPr="00B22705">
        <w:rPr>
          <w:i/>
        </w:rPr>
        <w:t>see also</w:t>
      </w:r>
      <w:r w:rsidR="00BA094C" w:rsidRPr="00B22705">
        <w:rPr>
          <w:i/>
        </w:rPr>
        <w:t xml:space="preserve"> </w:t>
      </w:r>
      <w:r w:rsidRPr="00B22705">
        <w:t>47 C.F.R. § 54.417.</w:t>
      </w:r>
    </w:p>
  </w:footnote>
  <w:footnote w:id="61">
    <w:p w14:paraId="7BA5A785" w14:textId="380E73F3" w:rsidR="006809E3" w:rsidRPr="00B22705" w:rsidRDefault="006809E3" w:rsidP="00EE139D">
      <w:pPr>
        <w:pStyle w:val="FootnoteText"/>
        <w:jc w:val="left"/>
      </w:pPr>
      <w:r w:rsidRPr="00B22705">
        <w:rPr>
          <w:rStyle w:val="FootnoteReference"/>
        </w:rPr>
        <w:footnoteRef/>
      </w:r>
      <w:r w:rsidR="00726DD7" w:rsidRPr="00B22705">
        <w:rPr>
          <w:i/>
        </w:rPr>
        <w:t>In</w:t>
      </w:r>
      <w:r w:rsidR="00726DD7" w:rsidRPr="00B85C1D">
        <w:rPr>
          <w:i/>
        </w:rPr>
        <w:t xml:space="preserve"> the </w:t>
      </w:r>
      <w:r w:rsidR="00726DD7" w:rsidRPr="00B22705">
        <w:rPr>
          <w:i/>
        </w:rPr>
        <w:t>Matter of Fed.-State Joint Bd. on Universal Serv</w:t>
      </w:r>
      <w:r w:rsidR="00726DD7" w:rsidRPr="00B22705">
        <w:t xml:space="preserve">., 20 </w:t>
      </w:r>
      <w:r w:rsidR="002F17DF" w:rsidRPr="00B22705">
        <w:t xml:space="preserve">FCC </w:t>
      </w:r>
      <w:r w:rsidR="00726DD7" w:rsidRPr="00B22705">
        <w:t>Rcd 6371, 6398, para. 63 (2005)</w:t>
      </w:r>
      <w:r w:rsidRPr="00B22705">
        <w:t xml:space="preserve">; </w:t>
      </w:r>
      <w:r w:rsidRPr="00B22705">
        <w:rPr>
          <w:i/>
        </w:rPr>
        <w:t>see also</w:t>
      </w:r>
      <w:r w:rsidRPr="00B22705">
        <w:t xml:space="preserve"> 47 U.S.C. § 254(e).</w:t>
      </w:r>
    </w:p>
  </w:footnote>
  <w:footnote w:id="62">
    <w:p w14:paraId="1D189793" w14:textId="77777777" w:rsidR="006809E3" w:rsidRPr="00B22705" w:rsidRDefault="006809E3" w:rsidP="00EE139D">
      <w:pPr>
        <w:pStyle w:val="FootnoteText"/>
        <w:jc w:val="left"/>
      </w:pPr>
      <w:r w:rsidRPr="00B22705">
        <w:rPr>
          <w:rStyle w:val="FootnoteReference"/>
        </w:rPr>
        <w:footnoteRef/>
      </w:r>
      <w:r w:rsidRPr="00B22705">
        <w:t xml:space="preserve"> </w:t>
      </w:r>
      <w:r w:rsidRPr="00B22705">
        <w:rPr>
          <w:i/>
        </w:rPr>
        <w:t>See</w:t>
      </w:r>
      <w:r w:rsidRPr="00B22705">
        <w:t xml:space="preserve"> 47 U.S.C. § 503(b).</w:t>
      </w:r>
    </w:p>
  </w:footnote>
  <w:footnote w:id="63">
    <w:p w14:paraId="5BC33F05" w14:textId="4790871A" w:rsidR="0027651B" w:rsidRPr="0063036A" w:rsidRDefault="0027651B" w:rsidP="009454BB">
      <w:pPr>
        <w:pStyle w:val="FootnoteText"/>
        <w:jc w:val="left"/>
      </w:pPr>
      <w:r w:rsidRPr="00B22705">
        <w:rPr>
          <w:rStyle w:val="FootnoteReference"/>
        </w:rPr>
        <w:footnoteRef/>
      </w:r>
      <w:r w:rsidRPr="00B22705">
        <w:t xml:space="preserve"> </w:t>
      </w:r>
      <w:r w:rsidRPr="00B22705">
        <w:rPr>
          <w:i/>
        </w:rPr>
        <w:t>Rural Broadband Experiments Order</w:t>
      </w:r>
      <w:r w:rsidRPr="00B22705">
        <w:t>, 29 FCC Rcd at 8778, para</w:t>
      </w:r>
      <w:r w:rsidR="002F17DF" w:rsidRPr="00B22705">
        <w:t>.</w:t>
      </w:r>
      <w:r w:rsidRPr="00B22705">
        <w:t xml:space="preserve"> 22 n.52</w:t>
      </w:r>
      <w:r w:rsidR="007656EC">
        <w:t xml:space="preserve">; </w:t>
      </w:r>
      <w:r w:rsidR="007656EC" w:rsidRPr="00727DCF">
        <w:rPr>
          <w:i/>
        </w:rPr>
        <w:t>see also, e.g.,</w:t>
      </w:r>
      <w:r w:rsidR="00ED68FB">
        <w:rPr>
          <w:i/>
        </w:rPr>
        <w:t xml:space="preserve"> </w:t>
      </w:r>
      <w:r w:rsidR="0063036A">
        <w:rPr>
          <w:i/>
        </w:rPr>
        <w:t>Wireline Competition Bureau Announces Rural Broadband Experiments Support for 13 Provisionally Selected Bids Is Ready to Be Authorized</w:t>
      </w:r>
      <w:r w:rsidR="0063036A" w:rsidRPr="0063036A">
        <w:t>, WC Docket Nos. 10-90, 14-259, DA 15-1024</w:t>
      </w:r>
      <w:r w:rsidR="005429B1">
        <w:t xml:space="preserve"> at 2–3</w:t>
      </w:r>
      <w:r w:rsidR="0063036A" w:rsidRPr="0063036A">
        <w:t xml:space="preserve"> (</w:t>
      </w:r>
      <w:r w:rsidR="0063036A">
        <w:t xml:space="preserve">Wireline Comp. Bur. </w:t>
      </w:r>
      <w:r w:rsidR="0063036A" w:rsidRPr="0063036A">
        <w:t>rel. Sept. 15, 2015)</w:t>
      </w:r>
      <w:r w:rsidR="009454BB">
        <w:t xml:space="preserve">, </w:t>
      </w:r>
      <w:r w:rsidR="009454BB" w:rsidRPr="00767CBC">
        <w:rPr>
          <w:i/>
        </w:rPr>
        <w:t>available at</w:t>
      </w:r>
      <w:r w:rsidR="009454BB">
        <w:t xml:space="preserve"> </w:t>
      </w:r>
      <w:r w:rsidR="009454BB" w:rsidRPr="009454BB">
        <w:t>http://transition.fcc.gov/Daily_Releases/Daily_Business/2015/db0915/DA-15-1024A1.pdf</w:t>
      </w:r>
      <w:r w:rsidR="0063036A">
        <w:t xml:space="preserve"> (finding good cause to grant waiver petitions </w:t>
      </w:r>
      <w:r w:rsidR="0063036A" w:rsidRPr="0063036A">
        <w:t>filed by Midwest Energy Cooperative d/b/a Midwest Connections, Paul Bunyon Rural Telephone Cooperative, and Skybeam, LLC (</w:t>
      </w:r>
      <w:r w:rsidR="00B8433F">
        <w:t>with respect</w:t>
      </w:r>
      <w:r w:rsidR="009454BB">
        <w:t xml:space="preserve"> to its </w:t>
      </w:r>
      <w:r w:rsidR="0063036A" w:rsidRPr="0063036A">
        <w:t>census blocks within Iowa and Nebraska)</w:t>
      </w:r>
      <w:r w:rsidR="0063036A">
        <w:t xml:space="preserve"> of the</w:t>
      </w:r>
      <w:r w:rsidR="005429B1">
        <w:t xml:space="preserve">ir respective </w:t>
      </w:r>
      <w:r w:rsidR="0063036A">
        <w:t>deadline</w:t>
      </w:r>
      <w:r w:rsidR="005429B1">
        <w:t>s</w:t>
      </w:r>
      <w:r w:rsidR="0063036A">
        <w:t xml:space="preserve"> for </w:t>
      </w:r>
      <w:r w:rsidR="009454BB">
        <w:t>obtaining</w:t>
      </w:r>
      <w:r w:rsidR="0063036A">
        <w:t xml:space="preserve"> ETC designation </w:t>
      </w:r>
      <w:r w:rsidR="009454BB">
        <w:t>for</w:t>
      </w:r>
      <w:r w:rsidR="0063036A">
        <w:t xml:space="preserve"> </w:t>
      </w:r>
      <w:r w:rsidR="009454BB">
        <w:t xml:space="preserve">their provisionally funded </w:t>
      </w:r>
      <w:r w:rsidR="0063036A">
        <w:t>census blocks)</w:t>
      </w:r>
      <w:r w:rsidR="0063036A" w:rsidRPr="0063036A">
        <w:t>;</w:t>
      </w:r>
      <w:r w:rsidR="0063036A">
        <w:t xml:space="preserve"> </w:t>
      </w:r>
      <w:r w:rsidR="00ED68FB">
        <w:rPr>
          <w:i/>
        </w:rPr>
        <w:t xml:space="preserve">Wireline Competition Bureau Announces Rural Broadband Experiments Support for 15 Provisionally Selected Bids Is Ready to Be Authorized and Releases Updated Frequently Asked Questions, </w:t>
      </w:r>
      <w:r w:rsidR="00ED68FB">
        <w:t xml:space="preserve">Public Notice, </w:t>
      </w:r>
      <w:r w:rsidR="00ED68FB" w:rsidRPr="00ED68FB">
        <w:t>WC Docket Nos. 10-90, 14-259</w:t>
      </w:r>
      <w:r w:rsidR="00ED68FB">
        <w:t xml:space="preserve">, </w:t>
      </w:r>
      <w:r w:rsidR="00ED68FB" w:rsidRPr="00ED68FB">
        <w:t>30 FCC Rcd 5038</w:t>
      </w:r>
      <w:r w:rsidR="00ED68FB">
        <w:t>, 5039</w:t>
      </w:r>
      <w:r w:rsidR="005429B1">
        <w:t>–40</w:t>
      </w:r>
      <w:r w:rsidR="00ED68FB">
        <w:t xml:space="preserve"> (Wireline Comp. Bur. 2015) (finding</w:t>
      </w:r>
      <w:r w:rsidR="00ED68FB" w:rsidRPr="00ED68FB">
        <w:t xml:space="preserve"> good cause to grant </w:t>
      </w:r>
      <w:r w:rsidR="00505C4D">
        <w:t xml:space="preserve">in part </w:t>
      </w:r>
      <w:r w:rsidR="00ED68FB" w:rsidRPr="00ED68FB">
        <w:t xml:space="preserve">Skybeam, </w:t>
      </w:r>
      <w:r w:rsidR="00ED68FB">
        <w:t>LLC</w:t>
      </w:r>
      <w:r w:rsidR="00D446BD">
        <w:t>’</w:t>
      </w:r>
      <w:r w:rsidR="00ED68FB">
        <w:t>s petition for waiver of its</w:t>
      </w:r>
      <w:r w:rsidR="00ED68FB" w:rsidRPr="00ED68FB">
        <w:t xml:space="preserve"> March 5th deadline for </w:t>
      </w:r>
      <w:r w:rsidR="009454BB">
        <w:t>obtaining an</w:t>
      </w:r>
      <w:r w:rsidR="00ED68FB" w:rsidRPr="00ED68FB">
        <w:t xml:space="preserve"> ETC designation</w:t>
      </w:r>
      <w:r w:rsidR="00ED68FB">
        <w:t xml:space="preserve"> </w:t>
      </w:r>
      <w:r w:rsidR="00505C4D">
        <w:t>for i</w:t>
      </w:r>
      <w:r w:rsidR="00ED68FB">
        <w:t>ts provisionally funded census blocks in Illinois)</w:t>
      </w:r>
      <w:r w:rsidR="00505C4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A5814" w14:textId="77777777" w:rsidR="00D21087" w:rsidRDefault="00D21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F72E7" w14:textId="35A927FC" w:rsidR="006809E3" w:rsidRDefault="006809E3">
    <w:pPr>
      <w:pStyle w:val="Footer"/>
      <w:pBdr>
        <w:bottom w:val="single" w:sz="12" w:space="1" w:color="auto"/>
      </w:pBdr>
      <w:tabs>
        <w:tab w:val="clear" w:pos="4320"/>
        <w:tab w:val="clear" w:pos="8640"/>
        <w:tab w:val="center" w:pos="4680"/>
        <w:tab w:val="right" w:pos="9360"/>
      </w:tabs>
      <w:rPr>
        <w:b/>
      </w:rPr>
    </w:pPr>
    <w:r>
      <w:rPr>
        <w:b/>
      </w:rPr>
      <w:tab/>
      <w:t xml:space="preserve">Federal Communications </w:t>
    </w:r>
    <w:r>
      <w:rPr>
        <w:b/>
        <w:szCs w:val="22"/>
      </w:rPr>
      <w:t>Commission</w:t>
    </w:r>
    <w:r>
      <w:rPr>
        <w:b/>
        <w:szCs w:val="22"/>
      </w:rPr>
      <w:tab/>
      <w:t>DA 1</w:t>
    </w:r>
    <w:r w:rsidR="00DC7ED2">
      <w:rPr>
        <w:b/>
        <w:szCs w:val="22"/>
      </w:rPr>
      <w:t>5</w:t>
    </w:r>
    <w:r>
      <w:rPr>
        <w:b/>
        <w:szCs w:val="22"/>
      </w:rPr>
      <w:t>-1</w:t>
    </w:r>
    <w:r w:rsidR="0078088B">
      <w:rPr>
        <w:b/>
        <w:szCs w:val="22"/>
      </w:rPr>
      <w:t>081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1CE7" w14:textId="4FD2F055" w:rsidR="006809E3" w:rsidRDefault="006809E3">
    <w:pPr>
      <w:pStyle w:val="Footer"/>
      <w:pBdr>
        <w:bottom w:val="single" w:sz="12" w:space="1" w:color="auto"/>
      </w:pBdr>
      <w:tabs>
        <w:tab w:val="clear" w:pos="4320"/>
        <w:tab w:val="clear" w:pos="8640"/>
        <w:tab w:val="center" w:pos="4680"/>
        <w:tab w:val="right" w:pos="9360"/>
      </w:tabs>
      <w:rPr>
        <w:b/>
      </w:rPr>
    </w:pPr>
    <w:r>
      <w:rPr>
        <w:b/>
      </w:rPr>
      <w:tab/>
      <w:t xml:space="preserve">Federal Communications </w:t>
    </w:r>
    <w:r>
      <w:rPr>
        <w:b/>
        <w:szCs w:val="22"/>
      </w:rPr>
      <w:t>Commission</w:t>
    </w:r>
    <w:r>
      <w:rPr>
        <w:b/>
        <w:szCs w:val="22"/>
      </w:rPr>
      <w:tab/>
      <w:t>DA 15-1</w:t>
    </w:r>
    <w:r w:rsidR="0078088B">
      <w:rPr>
        <w:b/>
        <w:szCs w:val="22"/>
      </w:rPr>
      <w:t>081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0A8F333A"/>
    <w:multiLevelType w:val="singleLevel"/>
    <w:tmpl w:val="CDC45D22"/>
    <w:lvl w:ilvl="0">
      <w:start w:val="4"/>
      <w:numFmt w:val="decimal"/>
      <w:lvlText w:val="%1."/>
      <w:legacy w:legacy="1" w:legacySpace="0" w:legacyIndent="346"/>
      <w:lvlJc w:val="left"/>
      <w:rPr>
        <w:rFonts w:ascii="Times New Roman" w:hAnsi="Times New Roman" w:cs="Times New Roman"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CDC4CF8"/>
    <w:multiLevelType w:val="singleLevel"/>
    <w:tmpl w:val="FFC8272A"/>
    <w:lvl w:ilvl="0">
      <w:start w:val="4"/>
      <w:numFmt w:val="decimal"/>
      <w:lvlText w:val="%1."/>
      <w:legacy w:legacy="1" w:legacySpace="0" w:legacyIndent="346"/>
      <w:lvlJc w:val="left"/>
      <w:rPr>
        <w:rFonts w:ascii="Times New Roman" w:hAnsi="Times New Roman" w:cs="Times New Roman"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41A3FDE"/>
    <w:multiLevelType w:val="singleLevel"/>
    <w:tmpl w:val="B852C0B4"/>
    <w:lvl w:ilvl="0">
      <w:start w:val="1"/>
      <w:numFmt w:val="decimal"/>
      <w:lvlText w:val="%1."/>
      <w:legacy w:legacy="1" w:legacySpace="0" w:legacyIndent="346"/>
      <w:lvlJc w:val="left"/>
      <w:rPr>
        <w:rFonts w:ascii="Times New Roman" w:hAnsi="Times New Roman" w:cs="Times New Roman" w:hint="default"/>
      </w:rPr>
    </w:lvl>
  </w:abstractNum>
  <w:abstractNum w:abstractNumId="7">
    <w:nsid w:val="27010BA7"/>
    <w:multiLevelType w:val="singleLevel"/>
    <w:tmpl w:val="59C43966"/>
    <w:lvl w:ilvl="0">
      <w:start w:val="4"/>
      <w:numFmt w:val="decimal"/>
      <w:lvlText w:val="%1."/>
      <w:legacy w:legacy="1" w:legacySpace="0" w:legacyIndent="346"/>
      <w:lvlJc w:val="left"/>
      <w:rPr>
        <w:rFonts w:ascii="Times New Roman" w:hAnsi="Times New Roman" w:cs="Times New Roman" w:hint="default"/>
      </w:r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BB14D8A"/>
    <w:multiLevelType w:val="singleLevel"/>
    <w:tmpl w:val="B4D250BC"/>
    <w:lvl w:ilvl="0">
      <w:start w:val="1"/>
      <w:numFmt w:val="decimal"/>
      <w:lvlText w:val="(%1)"/>
      <w:legacy w:legacy="1" w:legacySpace="0" w:legacyIndent="332"/>
      <w:lvlJc w:val="left"/>
      <w:rPr>
        <w:rFonts w:ascii="Times New Roman" w:hAnsi="Times New Roman" w:cs="Times New Roman"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3E730A"/>
    <w:multiLevelType w:val="singleLevel"/>
    <w:tmpl w:val="4C5A68F4"/>
    <w:lvl w:ilvl="0">
      <w:start w:val="4"/>
      <w:numFmt w:val="decimal"/>
      <w:lvlText w:val="%1."/>
      <w:legacy w:legacy="1" w:legacySpace="0" w:legacyIndent="346"/>
      <w:lvlJc w:val="left"/>
      <w:rPr>
        <w:rFonts w:ascii="Times New Roman" w:hAnsi="Times New Roman" w:cs="Times New Roman" w:hint="default"/>
      </w:rPr>
    </w:lvl>
  </w:abstractNum>
  <w:abstractNum w:abstractNumId="15">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5A00340E"/>
    <w:lvl w:ilvl="0">
      <w:start w:val="1"/>
      <w:numFmt w:val="decimal"/>
      <w:pStyle w:val="ParaNum"/>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E865E87"/>
    <w:multiLevelType w:val="singleLevel"/>
    <w:tmpl w:val="35205B6C"/>
    <w:lvl w:ilvl="0">
      <w:start w:val="1"/>
      <w:numFmt w:val="decimal"/>
      <w:lvlText w:val="%1."/>
      <w:legacy w:legacy="1" w:legacySpace="0" w:legacyIndent="346"/>
      <w:lvlJc w:val="left"/>
      <w:rPr>
        <w:rFonts w:ascii="Times New Roman" w:hAnsi="Times New Roman" w:cs="Times New Roman" w:hint="default"/>
      </w:rPr>
    </w:lvl>
  </w:abstractNum>
  <w:abstractNum w:abstractNumId="19">
    <w:nsid w:val="402173F7"/>
    <w:multiLevelType w:val="singleLevel"/>
    <w:tmpl w:val="52D886F0"/>
    <w:lvl w:ilvl="0">
      <w:start w:val="1"/>
      <w:numFmt w:val="decimal"/>
      <w:lvlText w:val="%1."/>
      <w:legacy w:legacy="1" w:legacySpace="0" w:legacyIndent="346"/>
      <w:lvlJc w:val="left"/>
      <w:rPr>
        <w:rFonts w:ascii="Times New Roman" w:hAnsi="Times New Roman" w:cs="Times New Roman" w:hint="default"/>
      </w:r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4AEF0283"/>
    <w:multiLevelType w:val="singleLevel"/>
    <w:tmpl w:val="2E8E88A6"/>
    <w:lvl w:ilvl="0">
      <w:start w:val="3"/>
      <w:numFmt w:val="decimal"/>
      <w:lvlText w:val="(%1)"/>
      <w:legacy w:legacy="1" w:legacySpace="0" w:legacyIndent="336"/>
      <w:lvlJc w:val="left"/>
      <w:rPr>
        <w:rFonts w:ascii="Times New Roman" w:hAnsi="Times New Roman" w:cs="Times New Roman" w:hint="default"/>
      </w:rPr>
    </w:lvl>
  </w:abstractNum>
  <w:abstractNum w:abstractNumId="23">
    <w:nsid w:val="4DBE2E3F"/>
    <w:multiLevelType w:val="hybridMultilevel"/>
    <w:tmpl w:val="17C2B3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341241F"/>
    <w:multiLevelType w:val="singleLevel"/>
    <w:tmpl w:val="4C62BFF4"/>
    <w:lvl w:ilvl="0">
      <w:start w:val="1"/>
      <w:numFmt w:val="decimal"/>
      <w:lvlText w:val="%1."/>
      <w:lvlJc w:val="left"/>
      <w:pPr>
        <w:tabs>
          <w:tab w:val="num" w:pos="1080"/>
        </w:tabs>
        <w:ind w:left="0" w:firstLine="720"/>
      </w:pPr>
      <w:rPr>
        <w:rFonts w:ascii="Times New Roman" w:hAnsi="Times New Roman" w:hint="default"/>
        <w:b w:val="0"/>
        <w:i w:val="0"/>
        <w:sz w:val="22"/>
        <w:u w:val="none"/>
      </w:rPr>
    </w:lvl>
  </w:abstractNum>
  <w:abstractNum w:abstractNumId="2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7">
    <w:nsid w:val="56EA20C8"/>
    <w:multiLevelType w:val="singleLevel"/>
    <w:tmpl w:val="99F24924"/>
    <w:lvl w:ilvl="0">
      <w:start w:val="1"/>
      <w:numFmt w:val="decimal"/>
      <w:lvlText w:val="%1."/>
      <w:legacy w:legacy="1" w:legacySpace="0" w:legacyIndent="346"/>
      <w:lvlJc w:val="left"/>
      <w:rPr>
        <w:rFonts w:ascii="Times New Roman" w:hAnsi="Times New Roman" w:cs="Times New Roman" w:hint="default"/>
      </w:rPr>
    </w:lvl>
  </w:abstractNum>
  <w:abstractNum w:abstractNumId="28">
    <w:nsid w:val="582009AB"/>
    <w:multiLevelType w:val="singleLevel"/>
    <w:tmpl w:val="0D3641B4"/>
    <w:lvl w:ilvl="0">
      <w:start w:val="1"/>
      <w:numFmt w:val="decimal"/>
      <w:lvlText w:val="%1."/>
      <w:legacy w:legacy="1" w:legacySpace="0" w:legacyIndent="346"/>
      <w:lvlJc w:val="left"/>
      <w:rPr>
        <w:rFonts w:ascii="Times New Roman" w:hAnsi="Times New Roman" w:cs="Times New Roman" w:hint="default"/>
      </w:rPr>
    </w:lvl>
  </w:abstractNum>
  <w:abstractNum w:abstractNumId="29">
    <w:nsid w:val="589D5380"/>
    <w:multiLevelType w:val="singleLevel"/>
    <w:tmpl w:val="2404FAD2"/>
    <w:lvl w:ilvl="0">
      <w:start w:val="4"/>
      <w:numFmt w:val="decimal"/>
      <w:lvlText w:val="%1."/>
      <w:legacy w:legacy="1" w:legacySpace="0" w:legacyIndent="346"/>
      <w:lvlJc w:val="left"/>
      <w:rPr>
        <w:rFonts w:ascii="Times New Roman" w:hAnsi="Times New Roman" w:cs="Times New Roman" w:hint="default"/>
      </w:rPr>
    </w:lvl>
  </w:abstractNum>
  <w:abstractNum w:abstractNumId="30">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3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2">
    <w:nsid w:val="61182925"/>
    <w:multiLevelType w:val="singleLevel"/>
    <w:tmpl w:val="EE607C2A"/>
    <w:lvl w:ilvl="0">
      <w:start w:val="2"/>
      <w:numFmt w:val="decimal"/>
      <w:lvlText w:val="%1."/>
      <w:lvlJc w:val="left"/>
      <w:pPr>
        <w:tabs>
          <w:tab w:val="num" w:pos="1080"/>
        </w:tabs>
        <w:ind w:left="0" w:firstLine="720"/>
      </w:pPr>
      <w:rPr>
        <w:rFonts w:hint="default"/>
      </w:rPr>
    </w:lvl>
  </w:abstractNum>
  <w:abstractNum w:abstractNumId="3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3"/>
  </w:num>
  <w:num w:numId="2">
    <w:abstractNumId w:val="34"/>
  </w:num>
  <w:num w:numId="3">
    <w:abstractNumId w:val="5"/>
  </w:num>
  <w:num w:numId="4">
    <w:abstractNumId w:val="25"/>
  </w:num>
  <w:num w:numId="5">
    <w:abstractNumId w:val="8"/>
  </w:num>
  <w:num w:numId="6">
    <w:abstractNumId w:val="31"/>
  </w:num>
  <w:num w:numId="7">
    <w:abstractNumId w:val="20"/>
  </w:num>
  <w:num w:numId="8">
    <w:abstractNumId w:val="9"/>
  </w:num>
  <w:num w:numId="9">
    <w:abstractNumId w:val="30"/>
  </w:num>
  <w:num w:numId="10">
    <w:abstractNumId w:val="16"/>
  </w:num>
  <w:num w:numId="11">
    <w:abstractNumId w:val="15"/>
  </w:num>
  <w:num w:numId="12">
    <w:abstractNumId w:val="11"/>
  </w:num>
  <w:num w:numId="13">
    <w:abstractNumId w:val="17"/>
  </w:num>
  <w:num w:numId="14">
    <w:abstractNumId w:val="26"/>
  </w:num>
  <w:num w:numId="15">
    <w:abstractNumId w:val="2"/>
  </w:num>
  <w:num w:numId="16">
    <w:abstractNumId w:val="3"/>
  </w:num>
  <w:num w:numId="17">
    <w:abstractNumId w:val="12"/>
  </w:num>
  <w:num w:numId="18">
    <w:abstractNumId w:val="0"/>
  </w:num>
  <w:num w:numId="19">
    <w:abstractNumId w:val="13"/>
  </w:num>
  <w:num w:numId="20">
    <w:abstractNumId w:val="21"/>
  </w:num>
  <w:num w:numId="21">
    <w:abstractNumId w:val="24"/>
  </w:num>
  <w:num w:numId="22">
    <w:abstractNumId w:val="23"/>
  </w:num>
  <w:num w:numId="23">
    <w:abstractNumId w:val="25"/>
    <w:lvlOverride w:ilvl="0">
      <w:startOverride w:val="4"/>
    </w:lvlOverride>
  </w:num>
  <w:num w:numId="24">
    <w:abstractNumId w:val="17"/>
  </w:num>
  <w:num w:numId="25">
    <w:abstractNumId w:val="6"/>
  </w:num>
  <w:num w:numId="26">
    <w:abstractNumId w:val="4"/>
  </w:num>
  <w:num w:numId="27">
    <w:abstractNumId w:val="27"/>
  </w:num>
  <w:num w:numId="28">
    <w:abstractNumId w:val="14"/>
  </w:num>
  <w:num w:numId="29">
    <w:abstractNumId w:val="19"/>
  </w:num>
  <w:num w:numId="30">
    <w:abstractNumId w:val="7"/>
  </w:num>
  <w:num w:numId="31">
    <w:abstractNumId w:val="10"/>
  </w:num>
  <w:num w:numId="32">
    <w:abstractNumId w:val="22"/>
  </w:num>
  <w:num w:numId="33">
    <w:abstractNumId w:val="28"/>
  </w:num>
  <w:num w:numId="34">
    <w:abstractNumId w:val="1"/>
  </w:num>
  <w:num w:numId="35">
    <w:abstractNumId w:val="18"/>
  </w:num>
  <w:num w:numId="36">
    <w:abstractNumId w:val="29"/>
  </w:num>
  <w:num w:numId="37">
    <w:abstractNumId w:val="25"/>
  </w:num>
  <w:num w:numId="38">
    <w:abstractNumId w:val="32"/>
  </w:num>
  <w:num w:numId="39">
    <w:abstractNumId w:val="17"/>
  </w:num>
  <w:num w:numId="40">
    <w:abstractNumId w:val="17"/>
    <w:lvlOverride w:ilvl="0">
      <w:startOverride w:val="3"/>
    </w:lvlOverride>
  </w:num>
  <w:num w:numId="41">
    <w:abstractNumId w:val="17"/>
    <w:lvlOverride w:ilvl="0">
      <w:startOverride w:val="3"/>
    </w:lvlOverride>
  </w:num>
  <w:num w:numId="42">
    <w:abstractNumId w:val="1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08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8F"/>
    <w:rsid w:val="00000B13"/>
    <w:rsid w:val="000078F2"/>
    <w:rsid w:val="0001281E"/>
    <w:rsid w:val="000153B7"/>
    <w:rsid w:val="00015974"/>
    <w:rsid w:val="00024BAF"/>
    <w:rsid w:val="00032045"/>
    <w:rsid w:val="00032858"/>
    <w:rsid w:val="0005506B"/>
    <w:rsid w:val="000657E9"/>
    <w:rsid w:val="0006582F"/>
    <w:rsid w:val="0007505E"/>
    <w:rsid w:val="000857D2"/>
    <w:rsid w:val="0009089A"/>
    <w:rsid w:val="000928B7"/>
    <w:rsid w:val="000A0DB5"/>
    <w:rsid w:val="000B0D97"/>
    <w:rsid w:val="000B1A2D"/>
    <w:rsid w:val="000B789D"/>
    <w:rsid w:val="000C199A"/>
    <w:rsid w:val="000D0EAD"/>
    <w:rsid w:val="000D4225"/>
    <w:rsid w:val="000E0973"/>
    <w:rsid w:val="000F010A"/>
    <w:rsid w:val="00107D6D"/>
    <w:rsid w:val="001108DB"/>
    <w:rsid w:val="00112C4B"/>
    <w:rsid w:val="00117B15"/>
    <w:rsid w:val="001320F8"/>
    <w:rsid w:val="0013258F"/>
    <w:rsid w:val="00134CD5"/>
    <w:rsid w:val="001422CF"/>
    <w:rsid w:val="0016377D"/>
    <w:rsid w:val="00176A26"/>
    <w:rsid w:val="00181F43"/>
    <w:rsid w:val="00182769"/>
    <w:rsid w:val="00195813"/>
    <w:rsid w:val="001A3FA6"/>
    <w:rsid w:val="001A5DCB"/>
    <w:rsid w:val="001B1B23"/>
    <w:rsid w:val="001B43D0"/>
    <w:rsid w:val="001C1036"/>
    <w:rsid w:val="001C21A1"/>
    <w:rsid w:val="001D757E"/>
    <w:rsid w:val="002035E3"/>
    <w:rsid w:val="00203B18"/>
    <w:rsid w:val="0021274C"/>
    <w:rsid w:val="00221628"/>
    <w:rsid w:val="00225F51"/>
    <w:rsid w:val="002260E1"/>
    <w:rsid w:val="00227B82"/>
    <w:rsid w:val="00230CF2"/>
    <w:rsid w:val="00234224"/>
    <w:rsid w:val="00235CBC"/>
    <w:rsid w:val="00237411"/>
    <w:rsid w:val="0024430C"/>
    <w:rsid w:val="00247A02"/>
    <w:rsid w:val="00251B64"/>
    <w:rsid w:val="0026320E"/>
    <w:rsid w:val="00265CEB"/>
    <w:rsid w:val="00272AED"/>
    <w:rsid w:val="00274636"/>
    <w:rsid w:val="0027651B"/>
    <w:rsid w:val="00293B43"/>
    <w:rsid w:val="002A5C42"/>
    <w:rsid w:val="002A6D2D"/>
    <w:rsid w:val="002A7F02"/>
    <w:rsid w:val="002B5A6B"/>
    <w:rsid w:val="002C3A5C"/>
    <w:rsid w:val="002F0164"/>
    <w:rsid w:val="002F1396"/>
    <w:rsid w:val="002F17DF"/>
    <w:rsid w:val="002F292E"/>
    <w:rsid w:val="00306F64"/>
    <w:rsid w:val="00325D94"/>
    <w:rsid w:val="003512B9"/>
    <w:rsid w:val="00357FD0"/>
    <w:rsid w:val="00363812"/>
    <w:rsid w:val="003650FE"/>
    <w:rsid w:val="0036624C"/>
    <w:rsid w:val="00366440"/>
    <w:rsid w:val="0036786C"/>
    <w:rsid w:val="003703B7"/>
    <w:rsid w:val="00387721"/>
    <w:rsid w:val="0039092C"/>
    <w:rsid w:val="003A53BF"/>
    <w:rsid w:val="003A69D0"/>
    <w:rsid w:val="003A73D2"/>
    <w:rsid w:val="003B0CCD"/>
    <w:rsid w:val="003B11C2"/>
    <w:rsid w:val="003B4431"/>
    <w:rsid w:val="003B7EBD"/>
    <w:rsid w:val="003C2EFD"/>
    <w:rsid w:val="003C3CB3"/>
    <w:rsid w:val="003C4C63"/>
    <w:rsid w:val="003C5F00"/>
    <w:rsid w:val="003D15E8"/>
    <w:rsid w:val="003D29E1"/>
    <w:rsid w:val="003D3EA3"/>
    <w:rsid w:val="003D63B7"/>
    <w:rsid w:val="003E456D"/>
    <w:rsid w:val="003E4733"/>
    <w:rsid w:val="003E77CA"/>
    <w:rsid w:val="003F20E3"/>
    <w:rsid w:val="003F4F4E"/>
    <w:rsid w:val="003F5D0D"/>
    <w:rsid w:val="00434848"/>
    <w:rsid w:val="00436C44"/>
    <w:rsid w:val="00437A70"/>
    <w:rsid w:val="00447F64"/>
    <w:rsid w:val="00450C7A"/>
    <w:rsid w:val="004665E6"/>
    <w:rsid w:val="00480F05"/>
    <w:rsid w:val="00483E8A"/>
    <w:rsid w:val="004841B9"/>
    <w:rsid w:val="00486FE4"/>
    <w:rsid w:val="0048763D"/>
    <w:rsid w:val="00490067"/>
    <w:rsid w:val="00492C8B"/>
    <w:rsid w:val="004A34CE"/>
    <w:rsid w:val="004A455F"/>
    <w:rsid w:val="004B6121"/>
    <w:rsid w:val="004C1C3F"/>
    <w:rsid w:val="004C4A1C"/>
    <w:rsid w:val="004C50CF"/>
    <w:rsid w:val="004D68ED"/>
    <w:rsid w:val="004D703B"/>
    <w:rsid w:val="004E0483"/>
    <w:rsid w:val="004E583C"/>
    <w:rsid w:val="004F1C7C"/>
    <w:rsid w:val="004F68D6"/>
    <w:rsid w:val="004F6942"/>
    <w:rsid w:val="00505C4D"/>
    <w:rsid w:val="00510E94"/>
    <w:rsid w:val="005215AA"/>
    <w:rsid w:val="00537224"/>
    <w:rsid w:val="005378EF"/>
    <w:rsid w:val="005429B1"/>
    <w:rsid w:val="005433E5"/>
    <w:rsid w:val="00563EEC"/>
    <w:rsid w:val="00564C48"/>
    <w:rsid w:val="00566D20"/>
    <w:rsid w:val="00576EE4"/>
    <w:rsid w:val="005823F0"/>
    <w:rsid w:val="00587BA2"/>
    <w:rsid w:val="00592F40"/>
    <w:rsid w:val="00596C08"/>
    <w:rsid w:val="005A1871"/>
    <w:rsid w:val="005B3848"/>
    <w:rsid w:val="005C6135"/>
    <w:rsid w:val="005D079B"/>
    <w:rsid w:val="005D1910"/>
    <w:rsid w:val="005D34DB"/>
    <w:rsid w:val="005D46A9"/>
    <w:rsid w:val="005D70F9"/>
    <w:rsid w:val="005D7F2B"/>
    <w:rsid w:val="005E0277"/>
    <w:rsid w:val="005E0736"/>
    <w:rsid w:val="005F44A2"/>
    <w:rsid w:val="005F64EA"/>
    <w:rsid w:val="00605A59"/>
    <w:rsid w:val="006243DB"/>
    <w:rsid w:val="0062489E"/>
    <w:rsid w:val="0063036A"/>
    <w:rsid w:val="00632130"/>
    <w:rsid w:val="0064315C"/>
    <w:rsid w:val="00644CDF"/>
    <w:rsid w:val="006671EE"/>
    <w:rsid w:val="0067102D"/>
    <w:rsid w:val="00673ABB"/>
    <w:rsid w:val="00673B53"/>
    <w:rsid w:val="006802C3"/>
    <w:rsid w:val="006809E3"/>
    <w:rsid w:val="006A6358"/>
    <w:rsid w:val="006B75F7"/>
    <w:rsid w:val="006B7E36"/>
    <w:rsid w:val="006C177A"/>
    <w:rsid w:val="006C17A2"/>
    <w:rsid w:val="006C68D5"/>
    <w:rsid w:val="006D0792"/>
    <w:rsid w:val="006D36F8"/>
    <w:rsid w:val="006D68E4"/>
    <w:rsid w:val="00700389"/>
    <w:rsid w:val="00702728"/>
    <w:rsid w:val="00703055"/>
    <w:rsid w:val="00705010"/>
    <w:rsid w:val="007243A7"/>
    <w:rsid w:val="00725B53"/>
    <w:rsid w:val="00725F3F"/>
    <w:rsid w:val="00726DD7"/>
    <w:rsid w:val="00727DCF"/>
    <w:rsid w:val="007359BC"/>
    <w:rsid w:val="007433DA"/>
    <w:rsid w:val="007471BA"/>
    <w:rsid w:val="0075371E"/>
    <w:rsid w:val="00761360"/>
    <w:rsid w:val="007656EC"/>
    <w:rsid w:val="00767CBC"/>
    <w:rsid w:val="00770D94"/>
    <w:rsid w:val="0078088B"/>
    <w:rsid w:val="007921A0"/>
    <w:rsid w:val="00793124"/>
    <w:rsid w:val="007A4F47"/>
    <w:rsid w:val="007A57A6"/>
    <w:rsid w:val="007A5D88"/>
    <w:rsid w:val="007A667E"/>
    <w:rsid w:val="007B0A11"/>
    <w:rsid w:val="007B207B"/>
    <w:rsid w:val="007C026D"/>
    <w:rsid w:val="007C03EF"/>
    <w:rsid w:val="007C058D"/>
    <w:rsid w:val="007F0848"/>
    <w:rsid w:val="007F514A"/>
    <w:rsid w:val="008000E7"/>
    <w:rsid w:val="0080513B"/>
    <w:rsid w:val="008140D8"/>
    <w:rsid w:val="00835BD6"/>
    <w:rsid w:val="0084651E"/>
    <w:rsid w:val="0085103D"/>
    <w:rsid w:val="008573C2"/>
    <w:rsid w:val="0086138F"/>
    <w:rsid w:val="00864788"/>
    <w:rsid w:val="008660AA"/>
    <w:rsid w:val="008761F4"/>
    <w:rsid w:val="00885D30"/>
    <w:rsid w:val="008867B0"/>
    <w:rsid w:val="00887439"/>
    <w:rsid w:val="00887C87"/>
    <w:rsid w:val="008B3932"/>
    <w:rsid w:val="008B62C8"/>
    <w:rsid w:val="008C73C8"/>
    <w:rsid w:val="008C7F25"/>
    <w:rsid w:val="008D0655"/>
    <w:rsid w:val="008D51B1"/>
    <w:rsid w:val="008E1AE0"/>
    <w:rsid w:val="008E27EB"/>
    <w:rsid w:val="008F1894"/>
    <w:rsid w:val="008F5BD7"/>
    <w:rsid w:val="008F7301"/>
    <w:rsid w:val="00900F19"/>
    <w:rsid w:val="00915341"/>
    <w:rsid w:val="009203AB"/>
    <w:rsid w:val="00923D4B"/>
    <w:rsid w:val="0093123A"/>
    <w:rsid w:val="009447E7"/>
    <w:rsid w:val="009454BB"/>
    <w:rsid w:val="0094685A"/>
    <w:rsid w:val="0095760C"/>
    <w:rsid w:val="0095763B"/>
    <w:rsid w:val="00960992"/>
    <w:rsid w:val="00982796"/>
    <w:rsid w:val="00987D1F"/>
    <w:rsid w:val="00996981"/>
    <w:rsid w:val="009A1FBE"/>
    <w:rsid w:val="009A2F45"/>
    <w:rsid w:val="009B5058"/>
    <w:rsid w:val="009B5713"/>
    <w:rsid w:val="009C2960"/>
    <w:rsid w:val="009C4422"/>
    <w:rsid w:val="009D3E46"/>
    <w:rsid w:val="009D4025"/>
    <w:rsid w:val="009D6B94"/>
    <w:rsid w:val="009E3C37"/>
    <w:rsid w:val="00A05DEC"/>
    <w:rsid w:val="00A06509"/>
    <w:rsid w:val="00A15235"/>
    <w:rsid w:val="00A23BEE"/>
    <w:rsid w:val="00A27412"/>
    <w:rsid w:val="00A40CF8"/>
    <w:rsid w:val="00A61E9B"/>
    <w:rsid w:val="00A7250E"/>
    <w:rsid w:val="00A77E13"/>
    <w:rsid w:val="00A83566"/>
    <w:rsid w:val="00A847C5"/>
    <w:rsid w:val="00A85492"/>
    <w:rsid w:val="00A939E3"/>
    <w:rsid w:val="00AA141B"/>
    <w:rsid w:val="00AA2EC7"/>
    <w:rsid w:val="00AB3054"/>
    <w:rsid w:val="00AD1B55"/>
    <w:rsid w:val="00AD201E"/>
    <w:rsid w:val="00AE2AE5"/>
    <w:rsid w:val="00AF29C1"/>
    <w:rsid w:val="00AF5113"/>
    <w:rsid w:val="00B02C1B"/>
    <w:rsid w:val="00B07AB5"/>
    <w:rsid w:val="00B113A8"/>
    <w:rsid w:val="00B16DA6"/>
    <w:rsid w:val="00B22705"/>
    <w:rsid w:val="00B27239"/>
    <w:rsid w:val="00B309B1"/>
    <w:rsid w:val="00B46B2F"/>
    <w:rsid w:val="00B613DA"/>
    <w:rsid w:val="00B636A6"/>
    <w:rsid w:val="00B64AE4"/>
    <w:rsid w:val="00B71215"/>
    <w:rsid w:val="00B72800"/>
    <w:rsid w:val="00B80A6E"/>
    <w:rsid w:val="00B8433F"/>
    <w:rsid w:val="00B85C1D"/>
    <w:rsid w:val="00B92DB9"/>
    <w:rsid w:val="00B94BEF"/>
    <w:rsid w:val="00B97F87"/>
    <w:rsid w:val="00BA094C"/>
    <w:rsid w:val="00BB38AD"/>
    <w:rsid w:val="00BC2BB8"/>
    <w:rsid w:val="00BD41E9"/>
    <w:rsid w:val="00BD67DF"/>
    <w:rsid w:val="00BE57DF"/>
    <w:rsid w:val="00BE5DC8"/>
    <w:rsid w:val="00BF2F5D"/>
    <w:rsid w:val="00BF7D98"/>
    <w:rsid w:val="00C00D1A"/>
    <w:rsid w:val="00C0676B"/>
    <w:rsid w:val="00C14ACB"/>
    <w:rsid w:val="00C14D7B"/>
    <w:rsid w:val="00C22AE9"/>
    <w:rsid w:val="00C25C54"/>
    <w:rsid w:val="00C34B9E"/>
    <w:rsid w:val="00C379B4"/>
    <w:rsid w:val="00C43EF0"/>
    <w:rsid w:val="00C44C72"/>
    <w:rsid w:val="00C633E2"/>
    <w:rsid w:val="00C6376D"/>
    <w:rsid w:val="00C7251B"/>
    <w:rsid w:val="00C72AEF"/>
    <w:rsid w:val="00C738BC"/>
    <w:rsid w:val="00C74FAD"/>
    <w:rsid w:val="00C802CE"/>
    <w:rsid w:val="00C8170E"/>
    <w:rsid w:val="00C87774"/>
    <w:rsid w:val="00C9005A"/>
    <w:rsid w:val="00CB3515"/>
    <w:rsid w:val="00CB6472"/>
    <w:rsid w:val="00CB6AF3"/>
    <w:rsid w:val="00CB7885"/>
    <w:rsid w:val="00CB7A4C"/>
    <w:rsid w:val="00CC5C09"/>
    <w:rsid w:val="00CD5476"/>
    <w:rsid w:val="00CE1157"/>
    <w:rsid w:val="00CE1C0A"/>
    <w:rsid w:val="00CF3AB3"/>
    <w:rsid w:val="00D21087"/>
    <w:rsid w:val="00D33C8E"/>
    <w:rsid w:val="00D366A0"/>
    <w:rsid w:val="00D423F5"/>
    <w:rsid w:val="00D43504"/>
    <w:rsid w:val="00D446BD"/>
    <w:rsid w:val="00D5540E"/>
    <w:rsid w:val="00D95A1C"/>
    <w:rsid w:val="00DA540C"/>
    <w:rsid w:val="00DB36C7"/>
    <w:rsid w:val="00DC4C4C"/>
    <w:rsid w:val="00DC7ED2"/>
    <w:rsid w:val="00DD3BF8"/>
    <w:rsid w:val="00DF2AC2"/>
    <w:rsid w:val="00DF530B"/>
    <w:rsid w:val="00DF5A1B"/>
    <w:rsid w:val="00E05C2A"/>
    <w:rsid w:val="00E16423"/>
    <w:rsid w:val="00E33324"/>
    <w:rsid w:val="00E37BBC"/>
    <w:rsid w:val="00E534FE"/>
    <w:rsid w:val="00E6336F"/>
    <w:rsid w:val="00E63845"/>
    <w:rsid w:val="00E67A99"/>
    <w:rsid w:val="00E7225D"/>
    <w:rsid w:val="00EA0A49"/>
    <w:rsid w:val="00EA4AC4"/>
    <w:rsid w:val="00EA521E"/>
    <w:rsid w:val="00EB1F54"/>
    <w:rsid w:val="00EB3B3F"/>
    <w:rsid w:val="00EB5A51"/>
    <w:rsid w:val="00EC177A"/>
    <w:rsid w:val="00EC4027"/>
    <w:rsid w:val="00ED68FB"/>
    <w:rsid w:val="00EE139D"/>
    <w:rsid w:val="00EE2B45"/>
    <w:rsid w:val="00EE607D"/>
    <w:rsid w:val="00EF349B"/>
    <w:rsid w:val="00F0253B"/>
    <w:rsid w:val="00F06E04"/>
    <w:rsid w:val="00F11EAC"/>
    <w:rsid w:val="00F1630E"/>
    <w:rsid w:val="00F16D2F"/>
    <w:rsid w:val="00F23912"/>
    <w:rsid w:val="00F2660F"/>
    <w:rsid w:val="00F27892"/>
    <w:rsid w:val="00F32339"/>
    <w:rsid w:val="00F35F58"/>
    <w:rsid w:val="00F438AC"/>
    <w:rsid w:val="00F46BE9"/>
    <w:rsid w:val="00F47402"/>
    <w:rsid w:val="00F527DF"/>
    <w:rsid w:val="00F53C68"/>
    <w:rsid w:val="00F715C2"/>
    <w:rsid w:val="00FA1B67"/>
    <w:rsid w:val="00FA4B7E"/>
    <w:rsid w:val="00FA591D"/>
    <w:rsid w:val="00FB191C"/>
    <w:rsid w:val="00FB1D43"/>
    <w:rsid w:val="00FB496D"/>
    <w:rsid w:val="00FC0CC3"/>
    <w:rsid w:val="00FC5774"/>
    <w:rsid w:val="00FD24BE"/>
    <w:rsid w:val="00FD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DE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numPr>
        <w:numId w:val="4"/>
      </w:numPr>
      <w:suppressAutoHyphens/>
      <w:spacing w:before="120" w:after="120"/>
      <w:outlineLvl w:val="0"/>
    </w:pPr>
    <w:rPr>
      <w:b/>
      <w:caps/>
    </w:rPr>
  </w:style>
  <w:style w:type="paragraph" w:styleId="Heading2">
    <w:name w:val="heading 2"/>
    <w:basedOn w:val="Normal"/>
    <w:next w:val="ParaNum"/>
    <w:qFormat/>
    <w:pPr>
      <w:keepNext/>
      <w:widowControl w:val="0"/>
      <w:numPr>
        <w:ilvl w:val="1"/>
        <w:numId w:val="4"/>
      </w:numPr>
      <w:spacing w:before="120" w:after="120"/>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B80A6E"/>
    <w:pPr>
      <w:numPr>
        <w:numId w:val="13"/>
      </w:numPr>
      <w:spacing w:after="120"/>
    </w:pPr>
  </w:style>
  <w:style w:type="paragraph" w:styleId="Caption">
    <w:name w:val="caption"/>
    <w:basedOn w:val="Normal"/>
    <w:next w:val="Normal"/>
    <w:qFormat/>
    <w:pPr>
      <w:spacing w:before="120" w:after="120"/>
    </w:pPr>
    <w:rPr>
      <w:b/>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spacing w:after="120"/>
      <w:jc w:val="both"/>
    </w:pPr>
    <w:rPr>
      <w:sz w:val="20"/>
    </w:rPr>
  </w:style>
  <w:style w:type="character" w:customStyle="1" w:styleId="FootnoteTextChar1">
    <w:name w:val="Footnote Text Char1"/>
    <w:aliases w:val="ALTS FOOTNOTE Char2,fn Char2,Footnote Text Char Char3,ALTS FOOTNOTE Char Char1,fn Char Char1,Footnote Text Char1 Char Char2,Footnote Text Char Char Char Char2,Footnote Text Char2 Char Char Char Char1,f Char"/>
    <w:link w:val="FootnoteText"/>
    <w:rPr>
      <w:lang w:val="en-US" w:eastAsia="en-US" w:bidi="ar-SA"/>
    </w:rPr>
  </w:style>
  <w:style w:type="paragraph" w:customStyle="1" w:styleId="Bullet">
    <w:name w:val="Bullet"/>
    <w:basedOn w:val="Normal"/>
    <w:pPr>
      <w:widowControl w:val="0"/>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Style 4,Footnote Reference1,Style 34,Style 9"/>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spacing w:after="22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2">
    <w:name w:val="Body Text 2"/>
    <w:aliases w:val="Body Text 2 Char"/>
    <w:basedOn w:val="Normal"/>
    <w:link w:val="BodyText2Char1"/>
  </w:style>
  <w:style w:type="character" w:customStyle="1" w:styleId="BodyText2Char1">
    <w:name w:val="Body Text 2 Char1"/>
    <w:aliases w:val="Body Text 2 Char Char"/>
    <w:link w:val="BodyText2"/>
    <w:rPr>
      <w:sz w:val="22"/>
      <w:lang w:val="en-US" w:eastAsia="en-US" w:bidi="ar-SA"/>
    </w:rPr>
  </w:style>
  <w:style w:type="character" w:styleId="Hyperlink">
    <w:name w:val="Hyperlink"/>
    <w:rPr>
      <w:color w:val="0000FF"/>
      <w:u w:val="single"/>
    </w:rPr>
  </w:style>
  <w:style w:type="paragraph" w:styleId="NormalWeb">
    <w:name w:val="Normal (Web)"/>
    <w:basedOn w:val="Normal"/>
    <w:rPr>
      <w:sz w:val="24"/>
      <w:szCs w:val="24"/>
    </w:rPr>
  </w:style>
  <w:style w:type="character" w:styleId="Strong">
    <w:name w:val="Strong"/>
    <w:qFormat/>
    <w:rPr>
      <w:b/>
      <w:bCs/>
    </w:rPr>
  </w:style>
  <w:style w:type="character" w:styleId="Emphasis">
    <w:name w:val="Emphasis"/>
    <w:uiPriority w:val="20"/>
    <w:qFormat/>
    <w:rPr>
      <w:i/>
      <w:iCs/>
    </w:rPr>
  </w:style>
  <w:style w:type="character" w:customStyle="1" w:styleId="FootnoteTextCharChar2">
    <w:name w:val="Footnote Text Char Char2"/>
    <w:rPr>
      <w:lang w:val="en-US" w:eastAsia="en-US" w:bidi="ar-SA"/>
    </w:rPr>
  </w:style>
  <w:style w:type="paragraph" w:customStyle="1" w:styleId="paranum0">
    <w:name w:val="paranum"/>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4"/>
    </w:rPr>
  </w:style>
  <w:style w:type="character" w:customStyle="1" w:styleId="FootnoteTextCharChar1">
    <w:name w:val="Footnote Text Char Char1"/>
    <w:aliases w:val="Footnote Text Char1 Char Char1,Footnote Text Char Char Char Char1,ALTS FOOTNOTE Char Char Char Char1,fn Char2 Char Char Char1,Footnote Text Char1 Char Char Char Char1,ALTS FOOTNOTE Char1 Char Char Char Char1"/>
    <w:rPr>
      <w:lang w:val="en-US" w:eastAsia="en-US" w:bidi="ar-SA"/>
    </w:rPr>
  </w:style>
  <w:style w:type="character" w:customStyle="1" w:styleId="FootnoteTextCharCharChar1">
    <w:name w:val="Footnote Text Char Char Char1"/>
    <w:aliases w:val="Footnote Text Char3 Char Char Char,Footnote Text Char Char Char Char Char2,Footnote Text Char1 Char Char Char Char Char1,Footnote Text Char Char Char Char Char1 Char Char,fn Char2 Char Char,Footnote Text Char5,fn Char1 Char"/>
    <w:rPr>
      <w:lang w:val="en-US"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apple-style-span">
    <w:name w:val="apple-style-span"/>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NumCharChar">
    <w:name w:val="ParaNum Char Char"/>
    <w:link w:val="ParaNum"/>
    <w:rPr>
      <w:sz w:val="22"/>
    </w:rPr>
  </w:style>
  <w:style w:type="character" w:customStyle="1" w:styleId="ParaNumCharChar1">
    <w:name w:val="ParaNum Char Char1"/>
    <w:rPr>
      <w:sz w:val="22"/>
      <w:lang w:val="en-US" w:eastAsia="ko-KR" w:bidi="ar-SA"/>
    </w:rPr>
  </w:style>
  <w:style w:type="paragraph" w:styleId="DocumentMap">
    <w:name w:val="Document Map"/>
    <w:basedOn w:val="Normal"/>
    <w:semiHidden/>
    <w:pPr>
      <w:shd w:val="clear" w:color="auto" w:fill="000080"/>
    </w:pPr>
    <w:rPr>
      <w:rFonts w:ascii="Tahoma" w:hAnsi="Tahoma" w:cs="Tahoma"/>
      <w:sz w:val="20"/>
    </w:rPr>
  </w:style>
  <w:style w:type="character" w:customStyle="1" w:styleId="ALTSFOOTNOTEChar1">
    <w:name w:val="ALTS FOOTNOTE Char1"/>
    <w:aliases w:val="fn Char1,Footnote Text Char Char,ALTS FOOTNOTE Char Char,fn Char Char,Footnote Text Char1 Char Char,Footnote Text Char Char Char Char,Footnote Text Char2 Char Char Char Char,Footnote Text Char1 Char1 Char Char Char Char,f Char Char"/>
    <w:locked/>
    <w:rPr>
      <w:sz w:val="22"/>
      <w:lang w:val="en-US" w:eastAsia="en-US" w:bidi="ar-SA"/>
    </w:rPr>
  </w:style>
  <w:style w:type="character" w:customStyle="1" w:styleId="ALTSFOOTNOTEChar3">
    <w:name w:val="ALTS FOOTNOTE Char3"/>
    <w:aliases w:val="fn Char3,Footnote Text Char Char4,ALTS FOOTNOTE Char Char2,fn Char Char2,Footnote Text Char1 Char Char3,Footnote Text Char Char Char Char3,Footnote Text Char2 Char Char Char Char2,Footnote Text Char1 Char1 Char Char Char Char2"/>
    <w:rPr>
      <w:lang w:val="en-US" w:eastAsia="en-US" w:bidi="ar-SA"/>
    </w:rPr>
  </w:style>
  <w:style w:type="character" w:customStyle="1" w:styleId="cosearchterm">
    <w:name w:val="co_searchterm"/>
    <w:rsid w:val="005D1910"/>
  </w:style>
  <w:style w:type="character" w:customStyle="1" w:styleId="CommentTextChar">
    <w:name w:val="Comment Text Char"/>
    <w:basedOn w:val="DefaultParagraphFont"/>
    <w:link w:val="CommentText"/>
    <w:semiHidden/>
    <w:rsid w:val="006D0792"/>
  </w:style>
  <w:style w:type="paragraph" w:styleId="Revision">
    <w:name w:val="Revision"/>
    <w:hidden/>
    <w:uiPriority w:val="99"/>
    <w:semiHidden/>
    <w:rsid w:val="00D33C8E"/>
    <w:rPr>
      <w:sz w:val="22"/>
    </w:rPr>
  </w:style>
  <w:style w:type="character" w:styleId="FollowedHyperlink">
    <w:name w:val="FollowedHyperlink"/>
    <w:basedOn w:val="DefaultParagraphFont"/>
    <w:rsid w:val="007656E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numPr>
        <w:numId w:val="4"/>
      </w:numPr>
      <w:suppressAutoHyphens/>
      <w:spacing w:before="120" w:after="120"/>
      <w:outlineLvl w:val="0"/>
    </w:pPr>
    <w:rPr>
      <w:b/>
      <w:caps/>
    </w:rPr>
  </w:style>
  <w:style w:type="paragraph" w:styleId="Heading2">
    <w:name w:val="heading 2"/>
    <w:basedOn w:val="Normal"/>
    <w:next w:val="ParaNum"/>
    <w:qFormat/>
    <w:pPr>
      <w:keepNext/>
      <w:widowControl w:val="0"/>
      <w:numPr>
        <w:ilvl w:val="1"/>
        <w:numId w:val="4"/>
      </w:numPr>
      <w:spacing w:before="120" w:after="120"/>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B80A6E"/>
    <w:pPr>
      <w:numPr>
        <w:numId w:val="13"/>
      </w:numPr>
      <w:spacing w:after="120"/>
    </w:pPr>
  </w:style>
  <w:style w:type="paragraph" w:styleId="Caption">
    <w:name w:val="caption"/>
    <w:basedOn w:val="Normal"/>
    <w:next w:val="Normal"/>
    <w:qFormat/>
    <w:pPr>
      <w:spacing w:before="120" w:after="120"/>
    </w:pPr>
    <w:rPr>
      <w:b/>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spacing w:after="120"/>
      <w:jc w:val="both"/>
    </w:pPr>
    <w:rPr>
      <w:sz w:val="20"/>
    </w:rPr>
  </w:style>
  <w:style w:type="character" w:customStyle="1" w:styleId="FootnoteTextChar1">
    <w:name w:val="Footnote Text Char1"/>
    <w:aliases w:val="ALTS FOOTNOTE Char2,fn Char2,Footnote Text Char Char3,ALTS FOOTNOTE Char Char1,fn Char Char1,Footnote Text Char1 Char Char2,Footnote Text Char Char Char Char2,Footnote Text Char2 Char Char Char Char1,f Char"/>
    <w:link w:val="FootnoteText"/>
    <w:rPr>
      <w:lang w:val="en-US" w:eastAsia="en-US" w:bidi="ar-SA"/>
    </w:rPr>
  </w:style>
  <w:style w:type="paragraph" w:customStyle="1" w:styleId="Bullet">
    <w:name w:val="Bullet"/>
    <w:basedOn w:val="Normal"/>
    <w:pPr>
      <w:widowControl w:val="0"/>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Style 4,Footnote Reference1,Style 34,Style 9"/>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spacing w:after="22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2">
    <w:name w:val="Body Text 2"/>
    <w:aliases w:val="Body Text 2 Char"/>
    <w:basedOn w:val="Normal"/>
    <w:link w:val="BodyText2Char1"/>
  </w:style>
  <w:style w:type="character" w:customStyle="1" w:styleId="BodyText2Char1">
    <w:name w:val="Body Text 2 Char1"/>
    <w:aliases w:val="Body Text 2 Char Char"/>
    <w:link w:val="BodyText2"/>
    <w:rPr>
      <w:sz w:val="22"/>
      <w:lang w:val="en-US" w:eastAsia="en-US" w:bidi="ar-SA"/>
    </w:rPr>
  </w:style>
  <w:style w:type="character" w:styleId="Hyperlink">
    <w:name w:val="Hyperlink"/>
    <w:rPr>
      <w:color w:val="0000FF"/>
      <w:u w:val="single"/>
    </w:rPr>
  </w:style>
  <w:style w:type="paragraph" w:styleId="NormalWeb">
    <w:name w:val="Normal (Web)"/>
    <w:basedOn w:val="Normal"/>
    <w:rPr>
      <w:sz w:val="24"/>
      <w:szCs w:val="24"/>
    </w:rPr>
  </w:style>
  <w:style w:type="character" w:styleId="Strong">
    <w:name w:val="Strong"/>
    <w:qFormat/>
    <w:rPr>
      <w:b/>
      <w:bCs/>
    </w:rPr>
  </w:style>
  <w:style w:type="character" w:styleId="Emphasis">
    <w:name w:val="Emphasis"/>
    <w:uiPriority w:val="20"/>
    <w:qFormat/>
    <w:rPr>
      <w:i/>
      <w:iCs/>
    </w:rPr>
  </w:style>
  <w:style w:type="character" w:customStyle="1" w:styleId="FootnoteTextCharChar2">
    <w:name w:val="Footnote Text Char Char2"/>
    <w:rPr>
      <w:lang w:val="en-US" w:eastAsia="en-US" w:bidi="ar-SA"/>
    </w:rPr>
  </w:style>
  <w:style w:type="paragraph" w:customStyle="1" w:styleId="paranum0">
    <w:name w:val="paranum"/>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4"/>
    </w:rPr>
  </w:style>
  <w:style w:type="character" w:customStyle="1" w:styleId="FootnoteTextCharChar1">
    <w:name w:val="Footnote Text Char Char1"/>
    <w:aliases w:val="Footnote Text Char1 Char Char1,Footnote Text Char Char Char Char1,ALTS FOOTNOTE Char Char Char Char1,fn Char2 Char Char Char1,Footnote Text Char1 Char Char Char Char1,ALTS FOOTNOTE Char1 Char Char Char Char1"/>
    <w:rPr>
      <w:lang w:val="en-US" w:eastAsia="en-US" w:bidi="ar-SA"/>
    </w:rPr>
  </w:style>
  <w:style w:type="character" w:customStyle="1" w:styleId="FootnoteTextCharCharChar1">
    <w:name w:val="Footnote Text Char Char Char1"/>
    <w:aliases w:val="Footnote Text Char3 Char Char Char,Footnote Text Char Char Char Char Char2,Footnote Text Char1 Char Char Char Char Char1,Footnote Text Char Char Char Char Char1 Char Char,fn Char2 Char Char,Footnote Text Char5,fn Char1 Char"/>
    <w:rPr>
      <w:lang w:val="en-US"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apple-style-span">
    <w:name w:val="apple-style-span"/>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NumCharChar">
    <w:name w:val="ParaNum Char Char"/>
    <w:link w:val="ParaNum"/>
    <w:rPr>
      <w:sz w:val="22"/>
    </w:rPr>
  </w:style>
  <w:style w:type="character" w:customStyle="1" w:styleId="ParaNumCharChar1">
    <w:name w:val="ParaNum Char Char1"/>
    <w:rPr>
      <w:sz w:val="22"/>
      <w:lang w:val="en-US" w:eastAsia="ko-KR" w:bidi="ar-SA"/>
    </w:rPr>
  </w:style>
  <w:style w:type="paragraph" w:styleId="DocumentMap">
    <w:name w:val="Document Map"/>
    <w:basedOn w:val="Normal"/>
    <w:semiHidden/>
    <w:pPr>
      <w:shd w:val="clear" w:color="auto" w:fill="000080"/>
    </w:pPr>
    <w:rPr>
      <w:rFonts w:ascii="Tahoma" w:hAnsi="Tahoma" w:cs="Tahoma"/>
      <w:sz w:val="20"/>
    </w:rPr>
  </w:style>
  <w:style w:type="character" w:customStyle="1" w:styleId="ALTSFOOTNOTEChar1">
    <w:name w:val="ALTS FOOTNOTE Char1"/>
    <w:aliases w:val="fn Char1,Footnote Text Char Char,ALTS FOOTNOTE Char Char,fn Char Char,Footnote Text Char1 Char Char,Footnote Text Char Char Char Char,Footnote Text Char2 Char Char Char Char,Footnote Text Char1 Char1 Char Char Char Char,f Char Char"/>
    <w:locked/>
    <w:rPr>
      <w:sz w:val="22"/>
      <w:lang w:val="en-US" w:eastAsia="en-US" w:bidi="ar-SA"/>
    </w:rPr>
  </w:style>
  <w:style w:type="character" w:customStyle="1" w:styleId="ALTSFOOTNOTEChar3">
    <w:name w:val="ALTS FOOTNOTE Char3"/>
    <w:aliases w:val="fn Char3,Footnote Text Char Char4,ALTS FOOTNOTE Char Char2,fn Char Char2,Footnote Text Char1 Char Char3,Footnote Text Char Char Char Char3,Footnote Text Char2 Char Char Char Char2,Footnote Text Char1 Char1 Char Char Char Char2"/>
    <w:rPr>
      <w:lang w:val="en-US" w:eastAsia="en-US" w:bidi="ar-SA"/>
    </w:rPr>
  </w:style>
  <w:style w:type="character" w:customStyle="1" w:styleId="cosearchterm">
    <w:name w:val="co_searchterm"/>
    <w:rsid w:val="005D1910"/>
  </w:style>
  <w:style w:type="character" w:customStyle="1" w:styleId="CommentTextChar">
    <w:name w:val="Comment Text Char"/>
    <w:basedOn w:val="DefaultParagraphFont"/>
    <w:link w:val="CommentText"/>
    <w:semiHidden/>
    <w:rsid w:val="006D0792"/>
  </w:style>
  <w:style w:type="paragraph" w:styleId="Revision">
    <w:name w:val="Revision"/>
    <w:hidden/>
    <w:uiPriority w:val="99"/>
    <w:semiHidden/>
    <w:rsid w:val="00D33C8E"/>
    <w:rPr>
      <w:sz w:val="22"/>
    </w:rPr>
  </w:style>
  <w:style w:type="character" w:styleId="FollowedHyperlink">
    <w:name w:val="FollowedHyperlink"/>
    <w:basedOn w:val="DefaultParagraphFont"/>
    <w:rsid w:val="007656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446">
      <w:bodyDiv w:val="1"/>
      <w:marLeft w:val="0"/>
      <w:marRight w:val="0"/>
      <w:marTop w:val="0"/>
      <w:marBottom w:val="0"/>
      <w:divBdr>
        <w:top w:val="none" w:sz="0" w:space="0" w:color="auto"/>
        <w:left w:val="none" w:sz="0" w:space="0" w:color="auto"/>
        <w:bottom w:val="none" w:sz="0" w:space="0" w:color="auto"/>
        <w:right w:val="none" w:sz="0" w:space="0" w:color="auto"/>
      </w:divBdr>
    </w:div>
    <w:div w:id="108595360">
      <w:bodyDiv w:val="1"/>
      <w:marLeft w:val="0"/>
      <w:marRight w:val="0"/>
      <w:marTop w:val="0"/>
      <w:marBottom w:val="0"/>
      <w:divBdr>
        <w:top w:val="none" w:sz="0" w:space="0" w:color="auto"/>
        <w:left w:val="none" w:sz="0" w:space="0" w:color="auto"/>
        <w:bottom w:val="none" w:sz="0" w:space="0" w:color="auto"/>
        <w:right w:val="none" w:sz="0" w:space="0" w:color="auto"/>
      </w:divBdr>
    </w:div>
    <w:div w:id="176191857">
      <w:bodyDiv w:val="1"/>
      <w:marLeft w:val="0"/>
      <w:marRight w:val="0"/>
      <w:marTop w:val="0"/>
      <w:marBottom w:val="0"/>
      <w:divBdr>
        <w:top w:val="none" w:sz="0" w:space="0" w:color="auto"/>
        <w:left w:val="none" w:sz="0" w:space="0" w:color="auto"/>
        <w:bottom w:val="none" w:sz="0" w:space="0" w:color="auto"/>
        <w:right w:val="none" w:sz="0" w:space="0" w:color="auto"/>
      </w:divBdr>
    </w:div>
    <w:div w:id="256909716">
      <w:bodyDiv w:val="1"/>
      <w:marLeft w:val="0"/>
      <w:marRight w:val="0"/>
      <w:marTop w:val="0"/>
      <w:marBottom w:val="0"/>
      <w:divBdr>
        <w:top w:val="none" w:sz="0" w:space="0" w:color="auto"/>
        <w:left w:val="none" w:sz="0" w:space="0" w:color="auto"/>
        <w:bottom w:val="none" w:sz="0" w:space="0" w:color="auto"/>
        <w:right w:val="none" w:sz="0" w:space="0" w:color="auto"/>
      </w:divBdr>
      <w:divsChild>
        <w:div w:id="1425035824">
          <w:marLeft w:val="0"/>
          <w:marRight w:val="0"/>
          <w:marTop w:val="0"/>
          <w:marBottom w:val="0"/>
          <w:divBdr>
            <w:top w:val="none" w:sz="0" w:space="0" w:color="auto"/>
            <w:left w:val="none" w:sz="0" w:space="0" w:color="auto"/>
            <w:bottom w:val="none" w:sz="0" w:space="0" w:color="auto"/>
            <w:right w:val="none" w:sz="0" w:space="0" w:color="auto"/>
          </w:divBdr>
        </w:div>
      </w:divsChild>
    </w:div>
    <w:div w:id="297418056">
      <w:bodyDiv w:val="1"/>
      <w:marLeft w:val="0"/>
      <w:marRight w:val="0"/>
      <w:marTop w:val="0"/>
      <w:marBottom w:val="0"/>
      <w:divBdr>
        <w:top w:val="none" w:sz="0" w:space="0" w:color="auto"/>
        <w:left w:val="none" w:sz="0" w:space="0" w:color="auto"/>
        <w:bottom w:val="none" w:sz="0" w:space="0" w:color="auto"/>
        <w:right w:val="none" w:sz="0" w:space="0" w:color="auto"/>
      </w:divBdr>
    </w:div>
    <w:div w:id="321466592">
      <w:bodyDiv w:val="1"/>
      <w:marLeft w:val="0"/>
      <w:marRight w:val="0"/>
      <w:marTop w:val="0"/>
      <w:marBottom w:val="0"/>
      <w:divBdr>
        <w:top w:val="none" w:sz="0" w:space="0" w:color="auto"/>
        <w:left w:val="none" w:sz="0" w:space="0" w:color="auto"/>
        <w:bottom w:val="none" w:sz="0" w:space="0" w:color="auto"/>
        <w:right w:val="none" w:sz="0" w:space="0" w:color="auto"/>
      </w:divBdr>
      <w:divsChild>
        <w:div w:id="213385908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0977960">
              <w:marLeft w:val="0"/>
              <w:marRight w:val="0"/>
              <w:marTop w:val="0"/>
              <w:marBottom w:val="0"/>
              <w:divBdr>
                <w:top w:val="none" w:sz="0" w:space="0" w:color="auto"/>
                <w:left w:val="none" w:sz="0" w:space="0" w:color="auto"/>
                <w:bottom w:val="none" w:sz="0" w:space="0" w:color="auto"/>
                <w:right w:val="none" w:sz="0" w:space="0" w:color="auto"/>
              </w:divBdr>
              <w:divsChild>
                <w:div w:id="19629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6842">
      <w:bodyDiv w:val="1"/>
      <w:marLeft w:val="0"/>
      <w:marRight w:val="0"/>
      <w:marTop w:val="0"/>
      <w:marBottom w:val="0"/>
      <w:divBdr>
        <w:top w:val="none" w:sz="0" w:space="0" w:color="auto"/>
        <w:left w:val="none" w:sz="0" w:space="0" w:color="auto"/>
        <w:bottom w:val="none" w:sz="0" w:space="0" w:color="auto"/>
        <w:right w:val="none" w:sz="0" w:space="0" w:color="auto"/>
      </w:divBdr>
      <w:divsChild>
        <w:div w:id="2824638">
          <w:marLeft w:val="0"/>
          <w:marRight w:val="0"/>
          <w:marTop w:val="0"/>
          <w:marBottom w:val="0"/>
          <w:divBdr>
            <w:top w:val="none" w:sz="0" w:space="0" w:color="auto"/>
            <w:left w:val="none" w:sz="0" w:space="0" w:color="auto"/>
            <w:bottom w:val="none" w:sz="0" w:space="0" w:color="auto"/>
            <w:right w:val="none" w:sz="0" w:space="0" w:color="auto"/>
          </w:divBdr>
          <w:divsChild>
            <w:div w:id="3636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5566">
      <w:bodyDiv w:val="1"/>
      <w:marLeft w:val="0"/>
      <w:marRight w:val="0"/>
      <w:marTop w:val="0"/>
      <w:marBottom w:val="0"/>
      <w:divBdr>
        <w:top w:val="none" w:sz="0" w:space="0" w:color="auto"/>
        <w:left w:val="none" w:sz="0" w:space="0" w:color="auto"/>
        <w:bottom w:val="none" w:sz="0" w:space="0" w:color="auto"/>
        <w:right w:val="none" w:sz="0" w:space="0" w:color="auto"/>
      </w:divBdr>
    </w:div>
    <w:div w:id="377703193">
      <w:bodyDiv w:val="1"/>
      <w:marLeft w:val="0"/>
      <w:marRight w:val="0"/>
      <w:marTop w:val="0"/>
      <w:marBottom w:val="0"/>
      <w:divBdr>
        <w:top w:val="none" w:sz="0" w:space="0" w:color="auto"/>
        <w:left w:val="none" w:sz="0" w:space="0" w:color="auto"/>
        <w:bottom w:val="none" w:sz="0" w:space="0" w:color="auto"/>
        <w:right w:val="none" w:sz="0" w:space="0" w:color="auto"/>
      </w:divBdr>
    </w:div>
    <w:div w:id="403798723">
      <w:bodyDiv w:val="1"/>
      <w:marLeft w:val="0"/>
      <w:marRight w:val="0"/>
      <w:marTop w:val="0"/>
      <w:marBottom w:val="0"/>
      <w:divBdr>
        <w:top w:val="none" w:sz="0" w:space="0" w:color="auto"/>
        <w:left w:val="none" w:sz="0" w:space="0" w:color="auto"/>
        <w:bottom w:val="none" w:sz="0" w:space="0" w:color="auto"/>
        <w:right w:val="none" w:sz="0" w:space="0" w:color="auto"/>
      </w:divBdr>
    </w:div>
    <w:div w:id="423382957">
      <w:bodyDiv w:val="1"/>
      <w:marLeft w:val="0"/>
      <w:marRight w:val="0"/>
      <w:marTop w:val="0"/>
      <w:marBottom w:val="0"/>
      <w:divBdr>
        <w:top w:val="none" w:sz="0" w:space="0" w:color="auto"/>
        <w:left w:val="none" w:sz="0" w:space="0" w:color="auto"/>
        <w:bottom w:val="none" w:sz="0" w:space="0" w:color="auto"/>
        <w:right w:val="none" w:sz="0" w:space="0" w:color="auto"/>
      </w:divBdr>
    </w:div>
    <w:div w:id="457770821">
      <w:bodyDiv w:val="1"/>
      <w:marLeft w:val="0"/>
      <w:marRight w:val="0"/>
      <w:marTop w:val="0"/>
      <w:marBottom w:val="0"/>
      <w:divBdr>
        <w:top w:val="none" w:sz="0" w:space="0" w:color="auto"/>
        <w:left w:val="none" w:sz="0" w:space="0" w:color="auto"/>
        <w:bottom w:val="none" w:sz="0" w:space="0" w:color="auto"/>
        <w:right w:val="none" w:sz="0" w:space="0" w:color="auto"/>
      </w:divBdr>
      <w:divsChild>
        <w:div w:id="1539514804">
          <w:marLeft w:val="0"/>
          <w:marRight w:val="0"/>
          <w:marTop w:val="0"/>
          <w:marBottom w:val="0"/>
          <w:divBdr>
            <w:top w:val="none" w:sz="0" w:space="0" w:color="auto"/>
            <w:left w:val="none" w:sz="0" w:space="0" w:color="auto"/>
            <w:bottom w:val="none" w:sz="0" w:space="0" w:color="auto"/>
            <w:right w:val="none" w:sz="0" w:space="0" w:color="auto"/>
          </w:divBdr>
          <w:divsChild>
            <w:div w:id="6699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3153">
      <w:bodyDiv w:val="1"/>
      <w:marLeft w:val="0"/>
      <w:marRight w:val="0"/>
      <w:marTop w:val="0"/>
      <w:marBottom w:val="0"/>
      <w:divBdr>
        <w:top w:val="none" w:sz="0" w:space="0" w:color="auto"/>
        <w:left w:val="none" w:sz="0" w:space="0" w:color="auto"/>
        <w:bottom w:val="none" w:sz="0" w:space="0" w:color="auto"/>
        <w:right w:val="none" w:sz="0" w:space="0" w:color="auto"/>
      </w:divBdr>
    </w:div>
    <w:div w:id="812022346">
      <w:bodyDiv w:val="1"/>
      <w:marLeft w:val="0"/>
      <w:marRight w:val="0"/>
      <w:marTop w:val="0"/>
      <w:marBottom w:val="0"/>
      <w:divBdr>
        <w:top w:val="none" w:sz="0" w:space="0" w:color="auto"/>
        <w:left w:val="none" w:sz="0" w:space="0" w:color="auto"/>
        <w:bottom w:val="none" w:sz="0" w:space="0" w:color="auto"/>
        <w:right w:val="none" w:sz="0" w:space="0" w:color="auto"/>
      </w:divBdr>
    </w:div>
    <w:div w:id="946234036">
      <w:bodyDiv w:val="1"/>
      <w:marLeft w:val="0"/>
      <w:marRight w:val="0"/>
      <w:marTop w:val="0"/>
      <w:marBottom w:val="0"/>
      <w:divBdr>
        <w:top w:val="none" w:sz="0" w:space="0" w:color="auto"/>
        <w:left w:val="none" w:sz="0" w:space="0" w:color="auto"/>
        <w:bottom w:val="none" w:sz="0" w:space="0" w:color="auto"/>
        <w:right w:val="none" w:sz="0" w:space="0" w:color="auto"/>
      </w:divBdr>
    </w:div>
    <w:div w:id="950938241">
      <w:bodyDiv w:val="1"/>
      <w:marLeft w:val="0"/>
      <w:marRight w:val="0"/>
      <w:marTop w:val="0"/>
      <w:marBottom w:val="0"/>
      <w:divBdr>
        <w:top w:val="none" w:sz="0" w:space="0" w:color="auto"/>
        <w:left w:val="none" w:sz="0" w:space="0" w:color="auto"/>
        <w:bottom w:val="none" w:sz="0" w:space="0" w:color="auto"/>
        <w:right w:val="none" w:sz="0" w:space="0" w:color="auto"/>
      </w:divBdr>
    </w:div>
    <w:div w:id="1110127834">
      <w:bodyDiv w:val="1"/>
      <w:marLeft w:val="0"/>
      <w:marRight w:val="0"/>
      <w:marTop w:val="0"/>
      <w:marBottom w:val="0"/>
      <w:divBdr>
        <w:top w:val="none" w:sz="0" w:space="0" w:color="auto"/>
        <w:left w:val="none" w:sz="0" w:space="0" w:color="auto"/>
        <w:bottom w:val="none" w:sz="0" w:space="0" w:color="auto"/>
        <w:right w:val="none" w:sz="0" w:space="0" w:color="auto"/>
      </w:divBdr>
    </w:div>
    <w:div w:id="1445886726">
      <w:bodyDiv w:val="1"/>
      <w:marLeft w:val="0"/>
      <w:marRight w:val="0"/>
      <w:marTop w:val="0"/>
      <w:marBottom w:val="0"/>
      <w:divBdr>
        <w:top w:val="none" w:sz="0" w:space="0" w:color="auto"/>
        <w:left w:val="none" w:sz="0" w:space="0" w:color="auto"/>
        <w:bottom w:val="none" w:sz="0" w:space="0" w:color="auto"/>
        <w:right w:val="none" w:sz="0" w:space="0" w:color="auto"/>
      </w:divBdr>
    </w:div>
    <w:div w:id="1476871348">
      <w:bodyDiv w:val="1"/>
      <w:marLeft w:val="0"/>
      <w:marRight w:val="0"/>
      <w:marTop w:val="0"/>
      <w:marBottom w:val="0"/>
      <w:divBdr>
        <w:top w:val="none" w:sz="0" w:space="0" w:color="auto"/>
        <w:left w:val="none" w:sz="0" w:space="0" w:color="auto"/>
        <w:bottom w:val="none" w:sz="0" w:space="0" w:color="auto"/>
        <w:right w:val="none" w:sz="0" w:space="0" w:color="auto"/>
      </w:divBdr>
    </w:div>
    <w:div w:id="1606226495">
      <w:bodyDiv w:val="1"/>
      <w:marLeft w:val="0"/>
      <w:marRight w:val="0"/>
      <w:marTop w:val="0"/>
      <w:marBottom w:val="0"/>
      <w:divBdr>
        <w:top w:val="none" w:sz="0" w:space="0" w:color="auto"/>
        <w:left w:val="none" w:sz="0" w:space="0" w:color="auto"/>
        <w:bottom w:val="none" w:sz="0" w:space="0" w:color="auto"/>
        <w:right w:val="none" w:sz="0" w:space="0" w:color="auto"/>
      </w:divBdr>
    </w:div>
    <w:div w:id="1635017629">
      <w:bodyDiv w:val="1"/>
      <w:marLeft w:val="0"/>
      <w:marRight w:val="0"/>
      <w:marTop w:val="0"/>
      <w:marBottom w:val="0"/>
      <w:divBdr>
        <w:top w:val="none" w:sz="0" w:space="0" w:color="auto"/>
        <w:left w:val="none" w:sz="0" w:space="0" w:color="auto"/>
        <w:bottom w:val="none" w:sz="0" w:space="0" w:color="auto"/>
        <w:right w:val="none" w:sz="0" w:space="0" w:color="auto"/>
      </w:divBdr>
    </w:div>
    <w:div w:id="2018536580">
      <w:bodyDiv w:val="1"/>
      <w:marLeft w:val="0"/>
      <w:marRight w:val="0"/>
      <w:marTop w:val="0"/>
      <w:marBottom w:val="0"/>
      <w:divBdr>
        <w:top w:val="none" w:sz="0" w:space="0" w:color="auto"/>
        <w:left w:val="none" w:sz="0" w:space="0" w:color="auto"/>
        <w:bottom w:val="none" w:sz="0" w:space="0" w:color="auto"/>
        <w:right w:val="none" w:sz="0" w:space="0" w:color="auto"/>
      </w:divBdr>
    </w:div>
    <w:div w:id="2054576890">
      <w:bodyDiv w:val="1"/>
      <w:marLeft w:val="0"/>
      <w:marRight w:val="0"/>
      <w:marTop w:val="0"/>
      <w:marBottom w:val="0"/>
      <w:divBdr>
        <w:top w:val="none" w:sz="0" w:space="0" w:color="auto"/>
        <w:left w:val="none" w:sz="0" w:space="0" w:color="auto"/>
        <w:bottom w:val="none" w:sz="0" w:space="0" w:color="auto"/>
        <w:right w:val="none" w:sz="0" w:space="0" w:color="auto"/>
      </w:divBdr>
      <w:divsChild>
        <w:div w:id="655885429">
          <w:marLeft w:val="0"/>
          <w:marRight w:val="0"/>
          <w:marTop w:val="0"/>
          <w:marBottom w:val="0"/>
          <w:divBdr>
            <w:top w:val="none" w:sz="0" w:space="0" w:color="auto"/>
            <w:left w:val="none" w:sz="0" w:space="0" w:color="auto"/>
            <w:bottom w:val="none" w:sz="0" w:space="0" w:color="auto"/>
            <w:right w:val="none" w:sz="0" w:space="0" w:color="auto"/>
          </w:divBdr>
          <w:divsChild>
            <w:div w:id="19285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2510</Words>
  <Characters>14856</Characters>
  <Application>Microsoft Office Word</Application>
  <DocSecurity>0</DocSecurity>
  <Lines>311</Lines>
  <Paragraphs>136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17303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2012-06-26T22:07:00Z</cp:lastPrinted>
  <dcterms:created xsi:type="dcterms:W3CDTF">2015-09-25T19:30:00Z</dcterms:created>
  <dcterms:modified xsi:type="dcterms:W3CDTF">2015-09-25T19:30:00Z</dcterms:modified>
  <cp:category> </cp:category>
  <cp:contentStatus> </cp:contentStatus>
</cp:coreProperties>
</file>