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28" w:rsidRDefault="00321328">
      <w:pPr>
        <w:jc w:val="center"/>
        <w:rPr>
          <w:b/>
        </w:rPr>
      </w:pPr>
      <w:bookmarkStart w:id="0" w:name="_GoBack"/>
      <w:bookmarkEnd w:id="0"/>
      <w:r>
        <w:rPr>
          <w:b/>
        </w:rPr>
        <w:t>Before the</w:t>
      </w:r>
    </w:p>
    <w:p w:rsidR="00321328" w:rsidRDefault="00321328">
      <w:pPr>
        <w:jc w:val="center"/>
        <w:rPr>
          <w:b/>
        </w:rPr>
      </w:pPr>
      <w:r>
        <w:rPr>
          <w:b/>
        </w:rPr>
        <w:t>Federal Communications Commission</w:t>
      </w:r>
    </w:p>
    <w:p w:rsidR="00321328" w:rsidRDefault="00321328">
      <w:pPr>
        <w:jc w:val="center"/>
        <w:rPr>
          <w:b/>
        </w:rPr>
      </w:pPr>
      <w:r>
        <w:rPr>
          <w:b/>
        </w:rPr>
        <w:t>Washington, D.C. 20554</w:t>
      </w:r>
    </w:p>
    <w:p w:rsidR="00321328" w:rsidRDefault="00321328"/>
    <w:p w:rsidR="00321328" w:rsidRDefault="00321328"/>
    <w:tbl>
      <w:tblPr>
        <w:tblW w:w="9648" w:type="dxa"/>
        <w:tblLayout w:type="fixed"/>
        <w:tblLook w:val="0000" w:firstRow="0" w:lastRow="0" w:firstColumn="0" w:lastColumn="0" w:noHBand="0" w:noVBand="0"/>
      </w:tblPr>
      <w:tblGrid>
        <w:gridCol w:w="4698"/>
        <w:gridCol w:w="720"/>
        <w:gridCol w:w="4230"/>
      </w:tblGrid>
      <w:tr w:rsidR="00321328" w:rsidTr="00C32C7D">
        <w:tc>
          <w:tcPr>
            <w:tcW w:w="4698" w:type="dxa"/>
          </w:tcPr>
          <w:p w:rsidR="00321328" w:rsidRDefault="00321328">
            <w:pPr>
              <w:ind w:right="-18"/>
            </w:pPr>
            <w:r>
              <w:t xml:space="preserve">In </w:t>
            </w:r>
            <w:r w:rsidR="00712D72">
              <w:t>re</w:t>
            </w:r>
            <w:r>
              <w:t xml:space="preserve"> Application of</w:t>
            </w:r>
          </w:p>
          <w:p w:rsidR="00321328" w:rsidRDefault="00321328">
            <w:pPr>
              <w:ind w:right="-18"/>
            </w:pPr>
          </w:p>
          <w:p w:rsidR="00321328" w:rsidRDefault="00712D72">
            <w:pPr>
              <w:ind w:right="-18"/>
            </w:pPr>
            <w:r>
              <w:t>ALLLIANCE COMMUNICATIONS GROUP</w:t>
            </w:r>
          </w:p>
          <w:p w:rsidR="00321328" w:rsidRDefault="00321328">
            <w:pPr>
              <w:ind w:right="-18"/>
            </w:pPr>
          </w:p>
          <w:p w:rsidR="00321328" w:rsidRDefault="00712D72" w:rsidP="000534A3">
            <w:pPr>
              <w:ind w:right="-18"/>
            </w:pPr>
            <w:r>
              <w:t xml:space="preserve">For Renewal </w:t>
            </w:r>
            <w:r w:rsidR="000534A3">
              <w:t>License for Industrial/Business Pool Station</w:t>
            </w:r>
            <w:r>
              <w:t xml:space="preserve"> WQCE473</w:t>
            </w:r>
            <w:r w:rsidR="00B150E4">
              <w:t xml:space="preserve"> </w:t>
            </w:r>
          </w:p>
        </w:tc>
        <w:tc>
          <w:tcPr>
            <w:tcW w:w="720" w:type="dxa"/>
          </w:tcPr>
          <w:p w:rsidR="00321328" w:rsidRDefault="00321328">
            <w:pPr>
              <w:rPr>
                <w:b/>
              </w:rPr>
            </w:pPr>
            <w:r>
              <w:rPr>
                <w:b/>
              </w:rPr>
              <w:t>)</w:t>
            </w:r>
          </w:p>
          <w:p w:rsidR="00321328" w:rsidRDefault="00321328">
            <w:pPr>
              <w:rPr>
                <w:b/>
              </w:rPr>
            </w:pPr>
            <w:r>
              <w:rPr>
                <w:b/>
              </w:rPr>
              <w:t>)</w:t>
            </w:r>
          </w:p>
          <w:p w:rsidR="00321328" w:rsidRDefault="00321328">
            <w:pPr>
              <w:rPr>
                <w:b/>
              </w:rPr>
            </w:pPr>
            <w:r>
              <w:rPr>
                <w:b/>
              </w:rPr>
              <w:t>)</w:t>
            </w:r>
          </w:p>
          <w:p w:rsidR="00321328" w:rsidRDefault="00321328">
            <w:pPr>
              <w:rPr>
                <w:b/>
              </w:rPr>
            </w:pPr>
            <w:r>
              <w:rPr>
                <w:b/>
              </w:rPr>
              <w:t>)</w:t>
            </w:r>
          </w:p>
          <w:p w:rsidR="00321328" w:rsidRDefault="00321328">
            <w:pPr>
              <w:rPr>
                <w:b/>
              </w:rPr>
            </w:pPr>
            <w:r>
              <w:rPr>
                <w:b/>
              </w:rPr>
              <w:t>)</w:t>
            </w:r>
          </w:p>
          <w:p w:rsidR="00B57E79" w:rsidRDefault="00321328">
            <w:pPr>
              <w:rPr>
                <w:b/>
              </w:rPr>
            </w:pPr>
            <w:r>
              <w:rPr>
                <w:b/>
              </w:rPr>
              <w:t>)</w:t>
            </w:r>
          </w:p>
        </w:tc>
        <w:tc>
          <w:tcPr>
            <w:tcW w:w="4230" w:type="dxa"/>
          </w:tcPr>
          <w:p w:rsidR="00321328" w:rsidRDefault="00321328"/>
          <w:p w:rsidR="001A1C6A" w:rsidRDefault="001A1C6A"/>
          <w:p w:rsidR="00321328" w:rsidRDefault="00AA224D">
            <w:r>
              <w:t>F</w:t>
            </w:r>
            <w:r w:rsidR="00321328">
              <w:t>ile No. 000</w:t>
            </w:r>
            <w:r w:rsidR="00712D72">
              <w:t>6596448</w:t>
            </w:r>
          </w:p>
          <w:p w:rsidR="00321328" w:rsidRDefault="00321328"/>
          <w:p w:rsidR="00321328" w:rsidRDefault="00321328"/>
          <w:p w:rsidR="00321328" w:rsidRDefault="00321328"/>
          <w:p w:rsidR="00321328" w:rsidRDefault="00321328"/>
          <w:p w:rsidR="00321328" w:rsidRDefault="00321328" w:rsidP="00321328"/>
        </w:tc>
      </w:tr>
    </w:tbl>
    <w:p w:rsidR="00C32C7D" w:rsidRDefault="00C32C7D" w:rsidP="00C32C7D">
      <w:pPr>
        <w:spacing w:before="120"/>
        <w:jc w:val="center"/>
        <w:rPr>
          <w:b/>
        </w:rPr>
      </w:pPr>
      <w:r>
        <w:rPr>
          <w:b/>
          <w:spacing w:val="-2"/>
        </w:rPr>
        <w:t>ORDER ON RECONSIDERATION</w:t>
      </w:r>
    </w:p>
    <w:p w:rsidR="00C32C7D" w:rsidRDefault="00C32C7D" w:rsidP="00C32C7D"/>
    <w:p w:rsidR="00C32C7D" w:rsidRDefault="00C32C7D" w:rsidP="00C32C7D">
      <w:pPr>
        <w:tabs>
          <w:tab w:val="right" w:pos="9360"/>
        </w:tabs>
        <w:rPr>
          <w:b/>
        </w:rPr>
      </w:pPr>
      <w:r>
        <w:rPr>
          <w:b/>
        </w:rPr>
        <w:t xml:space="preserve">Adopted: </w:t>
      </w:r>
      <w:r w:rsidR="00DF2528">
        <w:rPr>
          <w:b/>
        </w:rPr>
        <w:t xml:space="preserve"> September 22, 2015</w:t>
      </w:r>
      <w:r>
        <w:rPr>
          <w:b/>
        </w:rPr>
        <w:tab/>
        <w:t xml:space="preserve">Released:  </w:t>
      </w:r>
      <w:r w:rsidR="00DF2528">
        <w:rPr>
          <w:b/>
          <w:spacing w:val="-2"/>
        </w:rPr>
        <w:t>September 23, 2015</w:t>
      </w:r>
    </w:p>
    <w:p w:rsidR="00C32C7D" w:rsidRDefault="00C32C7D" w:rsidP="00C32C7D">
      <w:pPr>
        <w:tabs>
          <w:tab w:val="left" w:pos="5760"/>
        </w:tabs>
        <w:rPr>
          <w:b/>
        </w:rPr>
      </w:pPr>
    </w:p>
    <w:p w:rsidR="0073131A" w:rsidRDefault="00C32C7D" w:rsidP="0073131A">
      <w:pPr>
        <w:tabs>
          <w:tab w:val="left" w:pos="5760"/>
        </w:tabs>
      </w:pPr>
      <w:r>
        <w:t>By the Deputy Chief, Mobility Division, Wireless Telecommunications Bureau:</w:t>
      </w:r>
    </w:p>
    <w:p w:rsidR="0073131A" w:rsidRPr="0073131A" w:rsidRDefault="0073131A" w:rsidP="0073131A">
      <w:pPr>
        <w:tabs>
          <w:tab w:val="left" w:pos="5760"/>
        </w:tabs>
      </w:pPr>
    </w:p>
    <w:p w:rsidR="0073131A" w:rsidRDefault="000F32E5" w:rsidP="001674CD">
      <w:pPr>
        <w:pStyle w:val="ParaNum"/>
        <w:ind w:left="0"/>
        <w:jc w:val="left"/>
      </w:pPr>
      <w:r>
        <w:rPr>
          <w:i/>
        </w:rPr>
        <w:t xml:space="preserve">Introduction. </w:t>
      </w:r>
      <w:r w:rsidR="0073131A" w:rsidRPr="0073131A">
        <w:rPr>
          <w:i/>
        </w:rPr>
        <w:t xml:space="preserve"> </w:t>
      </w:r>
      <w:r w:rsidR="0073131A">
        <w:t xml:space="preserve">In this </w:t>
      </w:r>
      <w:r w:rsidR="0073131A" w:rsidRPr="0073131A">
        <w:rPr>
          <w:i/>
        </w:rPr>
        <w:t>Order on Reconsideration</w:t>
      </w:r>
      <w:r w:rsidR="0073131A">
        <w:t>, we deny a petition</w:t>
      </w:r>
      <w:r w:rsidR="00AB13CB">
        <w:t xml:space="preserve"> filed by </w:t>
      </w:r>
      <w:r w:rsidR="00712D72">
        <w:t xml:space="preserve">Mobile Relay Associates (MRA) </w:t>
      </w:r>
      <w:r w:rsidR="0073131A">
        <w:t xml:space="preserve">seeking reconsideration of </w:t>
      </w:r>
      <w:r w:rsidR="000534A3">
        <w:t>the</w:t>
      </w:r>
      <w:r w:rsidR="00712D72">
        <w:t xml:space="preserve"> grant of </w:t>
      </w:r>
      <w:r w:rsidR="000534A3">
        <w:t>the above-captioned</w:t>
      </w:r>
      <w:r w:rsidR="00712D72">
        <w:t xml:space="preserve"> application </w:t>
      </w:r>
      <w:r w:rsidR="000534A3">
        <w:t xml:space="preserve">to renew the license of </w:t>
      </w:r>
      <w:r w:rsidR="00712D72">
        <w:t xml:space="preserve">Alliance Communications Group (Alliance) </w:t>
      </w:r>
      <w:r w:rsidR="0073131A">
        <w:t xml:space="preserve">for </w:t>
      </w:r>
      <w:r w:rsidR="006C3151">
        <w:t>Industrial/Business Pool</w:t>
      </w:r>
      <w:r w:rsidR="0073131A">
        <w:t xml:space="preserve"> Station </w:t>
      </w:r>
      <w:r w:rsidR="00712D72">
        <w:t>WQCE473</w:t>
      </w:r>
      <w:r w:rsidR="000534A3">
        <w:t>, Los Angeles County, California.</w:t>
      </w:r>
      <w:r w:rsidR="000534A3">
        <w:rPr>
          <w:rStyle w:val="FootnoteReference"/>
        </w:rPr>
        <w:footnoteReference w:id="2"/>
      </w:r>
    </w:p>
    <w:p w:rsidR="00064F39" w:rsidRDefault="00321328" w:rsidP="00064F39">
      <w:pPr>
        <w:pStyle w:val="ParaNum"/>
        <w:ind w:left="0"/>
        <w:jc w:val="left"/>
      </w:pPr>
      <w:r>
        <w:rPr>
          <w:i/>
        </w:rPr>
        <w:t>Background</w:t>
      </w:r>
      <w:r>
        <w:t xml:space="preserve">.  </w:t>
      </w:r>
      <w:r w:rsidR="006C3151">
        <w:t xml:space="preserve">Alliance </w:t>
      </w:r>
      <w:r w:rsidR="000534A3">
        <w:t xml:space="preserve">was initially licensed for </w:t>
      </w:r>
      <w:r w:rsidR="00E652CB">
        <w:t>Station WQCE473 on February 11,</w:t>
      </w:r>
      <w:r w:rsidR="006C3151">
        <w:t xml:space="preserve"> 2005.</w:t>
      </w:r>
      <w:r w:rsidR="006C3151">
        <w:rPr>
          <w:rStyle w:val="FootnoteReference"/>
        </w:rPr>
        <w:footnoteReference w:id="3"/>
      </w:r>
      <w:r w:rsidR="006C3151">
        <w:t xml:space="preserve">  On December 26, 201</w:t>
      </w:r>
      <w:r w:rsidR="000534A3">
        <w:t>4</w:t>
      </w:r>
      <w:r w:rsidR="006C3151">
        <w:t>, Alliance filed an application to renew the license, which was granted on January 14, 2015.</w:t>
      </w:r>
      <w:r w:rsidR="006C3151">
        <w:rPr>
          <w:rStyle w:val="FootnoteReference"/>
        </w:rPr>
        <w:footnoteReference w:id="4"/>
      </w:r>
    </w:p>
    <w:p w:rsidR="00E652CB" w:rsidRDefault="00666CB8" w:rsidP="00E652CB">
      <w:pPr>
        <w:pStyle w:val="ParaNum"/>
        <w:ind w:left="0"/>
        <w:jc w:val="left"/>
      </w:pPr>
      <w:r>
        <w:t xml:space="preserve">In its petition, </w:t>
      </w:r>
      <w:r w:rsidR="00EB7E8D">
        <w:t xml:space="preserve">MRA </w:t>
      </w:r>
      <w:r w:rsidR="006C3151">
        <w:t xml:space="preserve">alleges that Hector </w:t>
      </w:r>
      <w:r w:rsidR="00EB7E8D">
        <w:t>Mosquera</w:t>
      </w:r>
      <w:r w:rsidR="000534A3">
        <w:t xml:space="preserve"> (Mosquera)</w:t>
      </w:r>
      <w:r w:rsidR="00172071">
        <w:t xml:space="preserve"> </w:t>
      </w:r>
      <w:r w:rsidR="000534A3">
        <w:t xml:space="preserve">is </w:t>
      </w:r>
      <w:r w:rsidR="00172071">
        <w:t>a convicted felon</w:t>
      </w:r>
      <w:r w:rsidR="000534A3">
        <w:t xml:space="preserve"> and </w:t>
      </w:r>
      <w:r w:rsidR="006C3151">
        <w:t xml:space="preserve">is </w:t>
      </w:r>
      <w:r w:rsidR="00172071">
        <w:t xml:space="preserve">one of the principals of </w:t>
      </w:r>
      <w:r w:rsidR="006C3151">
        <w:t>Alliance.</w:t>
      </w:r>
      <w:r w:rsidR="00172071">
        <w:rPr>
          <w:rStyle w:val="FootnoteReference"/>
        </w:rPr>
        <w:footnoteReference w:id="5"/>
      </w:r>
      <w:r w:rsidR="006C3151">
        <w:t xml:space="preserve"> </w:t>
      </w:r>
      <w:r w:rsidR="00172071">
        <w:t xml:space="preserve"> MRA states that </w:t>
      </w:r>
      <w:r w:rsidR="00064F39" w:rsidRPr="00064F39">
        <w:t xml:space="preserve">in neither the instant application nor any previously-granted application </w:t>
      </w:r>
      <w:r w:rsidR="00064F39">
        <w:t xml:space="preserve">did </w:t>
      </w:r>
      <w:r w:rsidR="00172071">
        <w:t xml:space="preserve">Alliance answer </w:t>
      </w:r>
      <w:r w:rsidR="00064F39">
        <w:t>in the affirmative Question 50 on Form 601</w:t>
      </w:r>
      <w:r w:rsidR="000534A3">
        <w:t>,</w:t>
      </w:r>
      <w:r w:rsidR="00172071">
        <w:t xml:space="preserve"> which asks whether the applicant or any party directly or indirectly controlling the applicant has even been convicted of a felony</w:t>
      </w:r>
      <w:r w:rsidR="00064F39">
        <w:t>.</w:t>
      </w:r>
      <w:r w:rsidR="004F43E9">
        <w:rPr>
          <w:rStyle w:val="FootnoteReference"/>
        </w:rPr>
        <w:footnoteReference w:id="6"/>
      </w:r>
      <w:r w:rsidR="00172071">
        <w:t xml:space="preserve">  </w:t>
      </w:r>
      <w:r w:rsidR="00661D23">
        <w:t>MRA states</w:t>
      </w:r>
      <w:r w:rsidR="004F43E9">
        <w:t xml:space="preserve"> that because Alliance failed to disclose</w:t>
      </w:r>
      <w:r w:rsidR="00F7164F">
        <w:t xml:space="preserve"> </w:t>
      </w:r>
      <w:r w:rsidR="004F43E9">
        <w:t>Mosquera’</w:t>
      </w:r>
      <w:r w:rsidR="00661D23">
        <w:t>s felo</w:t>
      </w:r>
      <w:r w:rsidR="00F7164F">
        <w:t>ny conviction</w:t>
      </w:r>
      <w:r w:rsidR="004F43E9">
        <w:t xml:space="preserve">, </w:t>
      </w:r>
      <w:r w:rsidR="00661D23">
        <w:t xml:space="preserve">the Commission should deny the instant application and revoke </w:t>
      </w:r>
      <w:r w:rsidR="00E040FE">
        <w:t xml:space="preserve">all of </w:t>
      </w:r>
      <w:r w:rsidR="004F43E9">
        <w:t>Alliance</w:t>
      </w:r>
      <w:r w:rsidR="00E040FE">
        <w:t>’s licenses</w:t>
      </w:r>
      <w:r w:rsidR="004F43E9">
        <w:t>.</w:t>
      </w:r>
      <w:r w:rsidR="004F43E9">
        <w:rPr>
          <w:rStyle w:val="FootnoteReference"/>
        </w:rPr>
        <w:footnoteReference w:id="7"/>
      </w:r>
    </w:p>
    <w:p w:rsidR="00D16DC6" w:rsidRDefault="00545EC5" w:rsidP="00E652CB">
      <w:pPr>
        <w:pStyle w:val="ParaNum"/>
        <w:ind w:left="0"/>
        <w:jc w:val="left"/>
      </w:pPr>
      <w:r w:rsidRPr="00E652CB">
        <w:rPr>
          <w:i/>
        </w:rPr>
        <w:t xml:space="preserve">Discussion.  </w:t>
      </w:r>
      <w:r w:rsidR="00064F39">
        <w:t>A f</w:t>
      </w:r>
      <w:r w:rsidR="00E652CB">
        <w:t xml:space="preserve">ailure to disclose </w:t>
      </w:r>
      <w:r w:rsidR="00064F39">
        <w:t xml:space="preserve">in filings submitted to the Commission </w:t>
      </w:r>
      <w:r w:rsidR="00E652CB">
        <w:t xml:space="preserve">a </w:t>
      </w:r>
      <w:r w:rsidR="00E652CB" w:rsidRPr="00E652CB">
        <w:t xml:space="preserve">felony conviction of an applicant’s principal </w:t>
      </w:r>
      <w:r w:rsidR="00E652CB">
        <w:t>may constitute</w:t>
      </w:r>
      <w:r w:rsidR="00064F39">
        <w:t xml:space="preserve"> an intentional misrepresentation of material facts, in violation of Section 1.17 of the Commission’s Rules.</w:t>
      </w:r>
      <w:r w:rsidR="00064F39">
        <w:rPr>
          <w:rStyle w:val="FootnoteReference"/>
        </w:rPr>
        <w:footnoteReference w:id="8"/>
      </w:r>
      <w:r w:rsidR="00064F39">
        <w:t xml:space="preserve">  </w:t>
      </w:r>
      <w:r w:rsidR="000534A3">
        <w:t>In this case, h</w:t>
      </w:r>
      <w:r w:rsidR="00064F39">
        <w:t xml:space="preserve">owever, </w:t>
      </w:r>
      <w:r w:rsidR="004F43E9" w:rsidRPr="004F43E9">
        <w:t xml:space="preserve">MRA </w:t>
      </w:r>
      <w:r w:rsidR="00E652CB">
        <w:t xml:space="preserve">has </w:t>
      </w:r>
      <w:r w:rsidR="004F43E9" w:rsidRPr="004F43E9">
        <w:t xml:space="preserve">not </w:t>
      </w:r>
      <w:r w:rsidR="000534A3">
        <w:t xml:space="preserve">demonstrated </w:t>
      </w:r>
      <w:r w:rsidR="004F43E9" w:rsidRPr="004F43E9">
        <w:t xml:space="preserve">that </w:t>
      </w:r>
      <w:r w:rsidR="00F7164F">
        <w:t>Mosquera is</w:t>
      </w:r>
      <w:r w:rsidR="004F43E9" w:rsidRPr="004F43E9">
        <w:t xml:space="preserve"> </w:t>
      </w:r>
      <w:r w:rsidR="00E652CB">
        <w:t xml:space="preserve">in fact </w:t>
      </w:r>
      <w:r w:rsidR="00F7164F">
        <w:t xml:space="preserve">one of </w:t>
      </w:r>
      <w:r w:rsidR="004F43E9" w:rsidRPr="004F43E9">
        <w:t>Alliance’s principal</w:t>
      </w:r>
      <w:r w:rsidR="00F7164F">
        <w:t>s</w:t>
      </w:r>
      <w:r w:rsidR="004F43E9" w:rsidRPr="004F43E9">
        <w:t>.</w:t>
      </w:r>
      <w:r w:rsidR="00F7164F">
        <w:t xml:space="preserve">  </w:t>
      </w:r>
      <w:r w:rsidR="000534A3">
        <w:t xml:space="preserve">The only evidence that MRA presents is that </w:t>
      </w:r>
      <w:r w:rsidR="000534A3">
        <w:lastRenderedPageBreak/>
        <w:t>Mosquera signed some earlier Alliance applications.</w:t>
      </w:r>
      <w:r w:rsidR="000534A3">
        <w:rPr>
          <w:rStyle w:val="FootnoteReference"/>
        </w:rPr>
        <w:footnoteReference w:id="9"/>
      </w:r>
      <w:r w:rsidR="000534A3">
        <w:t xml:space="preserve">  </w:t>
      </w:r>
      <w:r w:rsidR="00A56DF4">
        <w:t>Alliance is a corporation.  Any “duly authorized employee” may sign an application on a corporation’s behalf.</w:t>
      </w:r>
      <w:r w:rsidR="00A56DF4">
        <w:rPr>
          <w:rStyle w:val="FootnoteReference"/>
        </w:rPr>
        <w:footnoteReference w:id="10"/>
      </w:r>
      <w:r w:rsidR="00A56DF4">
        <w:t xml:space="preserve">  </w:t>
      </w:r>
      <w:r w:rsidR="00F7164F" w:rsidRPr="00E652CB">
        <w:rPr>
          <w:szCs w:val="22"/>
        </w:rPr>
        <w:t>Therefore, the</w:t>
      </w:r>
      <w:r w:rsidR="00661D23" w:rsidRPr="00E652CB">
        <w:rPr>
          <w:szCs w:val="22"/>
        </w:rPr>
        <w:t xml:space="preserve"> </w:t>
      </w:r>
      <w:r w:rsidR="00A56DF4">
        <w:rPr>
          <w:szCs w:val="22"/>
        </w:rPr>
        <w:t xml:space="preserve">fact that Mosquera signed applications for Alliance does not substantiate MRA’s assertion that he </w:t>
      </w:r>
      <w:r w:rsidR="000A3CBC">
        <w:rPr>
          <w:szCs w:val="22"/>
        </w:rPr>
        <w:t>is a principal of the company.  Speculation and conjecture are not evidence.</w:t>
      </w:r>
      <w:r w:rsidR="000A3CBC">
        <w:rPr>
          <w:rStyle w:val="FootnoteReference"/>
          <w:szCs w:val="22"/>
        </w:rPr>
        <w:footnoteReference w:id="11"/>
      </w:r>
    </w:p>
    <w:p w:rsidR="00C32C7D" w:rsidRPr="00873DEF" w:rsidRDefault="00321328" w:rsidP="004A76F2">
      <w:pPr>
        <w:pStyle w:val="ParaNum"/>
        <w:ind w:left="0"/>
        <w:jc w:val="left"/>
      </w:pPr>
      <w:r>
        <w:rPr>
          <w:i/>
        </w:rPr>
        <w:t>Conclusion and Ordering Clauses</w:t>
      </w:r>
      <w:r>
        <w:t xml:space="preserve">.  </w:t>
      </w:r>
      <w:r w:rsidR="00F7164F">
        <w:t>MRA has</w:t>
      </w:r>
      <w:r w:rsidR="004A76F2">
        <w:t xml:space="preserve"> not demonstrated </w:t>
      </w:r>
      <w:r w:rsidR="00A56DF4">
        <w:t>that reconsideration is warranted</w:t>
      </w:r>
      <w:r w:rsidR="00E652CB">
        <w:t xml:space="preserve">. </w:t>
      </w:r>
      <w:r w:rsidR="00A56DF4">
        <w:t xml:space="preserve"> </w:t>
      </w:r>
      <w:r w:rsidR="00E652CB">
        <w:t xml:space="preserve">We </w:t>
      </w:r>
      <w:r w:rsidR="00A56DF4">
        <w:t xml:space="preserve">therefore </w:t>
      </w:r>
      <w:r w:rsidR="00E652CB">
        <w:t>deny the petition.</w:t>
      </w:r>
      <w:r w:rsidR="00A56DF4">
        <w:t xml:space="preserve">  </w:t>
      </w:r>
      <w:r w:rsidR="00A56DF4" w:rsidRPr="00E652CB">
        <w:rPr>
          <w:szCs w:val="22"/>
        </w:rPr>
        <w:t xml:space="preserve">MRA </w:t>
      </w:r>
      <w:r w:rsidR="00A56DF4">
        <w:rPr>
          <w:szCs w:val="22"/>
        </w:rPr>
        <w:t>may</w:t>
      </w:r>
      <w:r w:rsidR="00A56DF4" w:rsidRPr="00E652CB">
        <w:rPr>
          <w:szCs w:val="22"/>
        </w:rPr>
        <w:t xml:space="preserve"> submit a substantiated complaint in the future.</w:t>
      </w:r>
    </w:p>
    <w:p w:rsidR="00C32C7D" w:rsidRPr="00B245A6" w:rsidRDefault="00C32C7D" w:rsidP="001674CD">
      <w:pPr>
        <w:pStyle w:val="ParaNum"/>
        <w:ind w:left="0"/>
        <w:jc w:val="left"/>
      </w:pPr>
      <w:r w:rsidRPr="00A9360D">
        <w:t xml:space="preserve">Accordingly, IT IS ORDERED that, pursuant to Sections 4(i) and 405 of the Communications Act of 1934, as amended, 47 U.S.C. §§ 154(i), 405, and Section 1.106 of the Commission's Rules, 47 C.F.R. § 1.106, the </w:t>
      </w:r>
      <w:r w:rsidRPr="00FA5E62">
        <w:t>Petition f</w:t>
      </w:r>
      <w:r w:rsidR="004A76F2">
        <w:t xml:space="preserve">or Reconsideration </w:t>
      </w:r>
      <w:r>
        <w:t xml:space="preserve">filed by </w:t>
      </w:r>
      <w:r w:rsidR="00F7164F">
        <w:t xml:space="preserve">Mobile Relay Associates </w:t>
      </w:r>
      <w:r>
        <w:t xml:space="preserve">on </w:t>
      </w:r>
      <w:r w:rsidR="00F7164F">
        <w:t>January 26, 2015</w:t>
      </w:r>
      <w:r>
        <w:t xml:space="preserve"> </w:t>
      </w:r>
      <w:r w:rsidRPr="00A9360D">
        <w:t xml:space="preserve">IS </w:t>
      </w:r>
      <w:r>
        <w:t>DENIED</w:t>
      </w:r>
      <w:r w:rsidRPr="00A9360D">
        <w:t>.</w:t>
      </w:r>
    </w:p>
    <w:p w:rsidR="00C32C7D" w:rsidRDefault="00C32C7D" w:rsidP="001674CD">
      <w:pPr>
        <w:pStyle w:val="ParaNum"/>
        <w:ind w:left="0"/>
        <w:jc w:val="left"/>
      </w:pPr>
      <w:r>
        <w:t>This action is taken under delegated authority pursuant to Sections 0.131 and 0.331 of the Commission’s Rules, 47 C.F.R. §§ 0131, 0.331.</w:t>
      </w:r>
    </w:p>
    <w:p w:rsidR="00C32C7D" w:rsidRDefault="00C32C7D" w:rsidP="00526601">
      <w:pPr>
        <w:ind w:left="3600" w:firstLine="720"/>
      </w:pPr>
      <w:r>
        <w:t>FEDERAL COMMUNICATIONS COMMISSION</w:t>
      </w:r>
    </w:p>
    <w:p w:rsidR="00C32C7D" w:rsidRDefault="00C32C7D" w:rsidP="001674CD"/>
    <w:p w:rsidR="00C32C7D" w:rsidRDefault="00C32C7D" w:rsidP="001674CD"/>
    <w:p w:rsidR="00C32C7D" w:rsidRDefault="00C32C7D" w:rsidP="001674CD"/>
    <w:p w:rsidR="00C32C7D" w:rsidRDefault="00C32C7D" w:rsidP="001674CD">
      <w:r>
        <w:tab/>
      </w:r>
      <w:r>
        <w:tab/>
      </w:r>
      <w:r>
        <w:tab/>
      </w:r>
      <w:r>
        <w:tab/>
      </w:r>
      <w:r>
        <w:tab/>
      </w:r>
      <w:r>
        <w:tab/>
        <w:t>Scot Stone</w:t>
      </w:r>
    </w:p>
    <w:p w:rsidR="00C32C7D" w:rsidRDefault="00C32C7D" w:rsidP="001674CD">
      <w:r>
        <w:tab/>
      </w:r>
      <w:r>
        <w:tab/>
      </w:r>
      <w:r>
        <w:tab/>
      </w:r>
      <w:r>
        <w:tab/>
      </w:r>
      <w:r>
        <w:tab/>
      </w:r>
      <w:r>
        <w:tab/>
        <w:t>Deputy Chief, Mobility Division</w:t>
      </w:r>
    </w:p>
    <w:p w:rsidR="00C32C7D" w:rsidRDefault="00C32C7D" w:rsidP="001674CD">
      <w:r>
        <w:tab/>
      </w:r>
      <w:r>
        <w:tab/>
      </w:r>
      <w:r>
        <w:tab/>
      </w:r>
      <w:r>
        <w:tab/>
      </w:r>
      <w:r>
        <w:tab/>
      </w:r>
      <w:r>
        <w:tab/>
        <w:t>Wireless Telecommunications Bureau</w:t>
      </w:r>
    </w:p>
    <w:p w:rsidR="00C32C7D" w:rsidRDefault="00C32C7D" w:rsidP="001674CD">
      <w:pPr>
        <w:tabs>
          <w:tab w:val="left" w:pos="4752"/>
        </w:tabs>
      </w:pPr>
    </w:p>
    <w:sectPr w:rsidR="00C32C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3B" w:rsidRDefault="004E4D3B">
      <w:r>
        <w:separator/>
      </w:r>
    </w:p>
  </w:endnote>
  <w:endnote w:type="continuationSeparator" w:id="0">
    <w:p w:rsidR="004E4D3B" w:rsidRDefault="004E4D3B">
      <w:r>
        <w:continuationSeparator/>
      </w:r>
    </w:p>
  </w:endnote>
  <w:endnote w:type="continuationNotice" w:id="1">
    <w:p w:rsidR="004E4D3B" w:rsidRDefault="004E4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4B" w:rsidRDefault="00375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1F" w:rsidRDefault="00846A1F">
    <w:pPr>
      <w:pStyle w:val="Footer"/>
      <w:jc w:val="center"/>
    </w:pPr>
    <w:r>
      <w:rPr>
        <w:rStyle w:val="PageNumber"/>
      </w:rPr>
      <w:fldChar w:fldCharType="begin"/>
    </w:r>
    <w:r>
      <w:rPr>
        <w:rStyle w:val="PageNumber"/>
      </w:rPr>
      <w:instrText xml:space="preserve"> PAGE </w:instrText>
    </w:r>
    <w:r>
      <w:rPr>
        <w:rStyle w:val="PageNumber"/>
      </w:rPr>
      <w:fldChar w:fldCharType="separate"/>
    </w:r>
    <w:r w:rsidR="003031D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4B" w:rsidRDefault="00375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3B" w:rsidRDefault="004E4D3B">
      <w:pPr>
        <w:rPr>
          <w:sz w:val="20"/>
        </w:rPr>
      </w:pPr>
      <w:r>
        <w:rPr>
          <w:sz w:val="20"/>
        </w:rPr>
        <w:separator/>
      </w:r>
    </w:p>
  </w:footnote>
  <w:footnote w:type="continuationSeparator" w:id="0">
    <w:p w:rsidR="004E4D3B" w:rsidRDefault="004E4D3B">
      <w:pPr>
        <w:rPr>
          <w:sz w:val="20"/>
        </w:rPr>
      </w:pPr>
      <w:r>
        <w:rPr>
          <w:sz w:val="20"/>
        </w:rPr>
        <w:separator/>
      </w:r>
    </w:p>
    <w:p w:rsidR="004E4D3B" w:rsidRDefault="004E4D3B">
      <w:pPr>
        <w:rPr>
          <w:sz w:val="20"/>
        </w:rPr>
      </w:pPr>
      <w:r>
        <w:rPr>
          <w:sz w:val="20"/>
        </w:rPr>
        <w:t>(...continued from previous page)</w:t>
      </w:r>
    </w:p>
  </w:footnote>
  <w:footnote w:type="continuationNotice" w:id="1">
    <w:p w:rsidR="004E4D3B" w:rsidRDefault="004E4D3B">
      <w:pPr>
        <w:jc w:val="right"/>
        <w:rPr>
          <w:sz w:val="20"/>
        </w:rPr>
      </w:pPr>
      <w:r>
        <w:rPr>
          <w:sz w:val="20"/>
        </w:rPr>
        <w:t>(continued....)</w:t>
      </w:r>
    </w:p>
  </w:footnote>
  <w:footnote w:id="2">
    <w:p w:rsidR="000534A3" w:rsidRDefault="000534A3" w:rsidP="000534A3">
      <w:pPr>
        <w:pStyle w:val="FootnoteText"/>
        <w:jc w:val="left"/>
      </w:pPr>
      <w:r>
        <w:rPr>
          <w:rStyle w:val="FootnoteReference"/>
        </w:rPr>
        <w:footnoteRef/>
      </w:r>
      <w:r>
        <w:t xml:space="preserve"> Petition for Reconsideration (filed Jan. 26, 2015) (PFR).</w:t>
      </w:r>
    </w:p>
  </w:footnote>
  <w:footnote w:id="3">
    <w:p w:rsidR="006C3151" w:rsidRDefault="006C3151">
      <w:pPr>
        <w:pStyle w:val="FootnoteText"/>
      </w:pPr>
      <w:r>
        <w:rPr>
          <w:rStyle w:val="FootnoteReference"/>
        </w:rPr>
        <w:footnoteRef/>
      </w:r>
      <w:r>
        <w:t xml:space="preserve"> </w:t>
      </w:r>
      <w:r>
        <w:rPr>
          <w:i/>
        </w:rPr>
        <w:t xml:space="preserve">See </w:t>
      </w:r>
      <w:r>
        <w:t xml:space="preserve">FCC File No. </w:t>
      </w:r>
      <w:r w:rsidRPr="006C3151">
        <w:t>0002028483</w:t>
      </w:r>
      <w:r>
        <w:t>.</w:t>
      </w:r>
    </w:p>
  </w:footnote>
  <w:footnote w:id="4">
    <w:p w:rsidR="006C3151" w:rsidRDefault="006C3151">
      <w:pPr>
        <w:pStyle w:val="FootnoteText"/>
      </w:pPr>
      <w:r>
        <w:rPr>
          <w:rStyle w:val="FootnoteReference"/>
        </w:rPr>
        <w:footnoteRef/>
      </w:r>
      <w:r>
        <w:t xml:space="preserve"> </w:t>
      </w:r>
      <w:r>
        <w:rPr>
          <w:i/>
        </w:rPr>
        <w:t xml:space="preserve">See </w:t>
      </w:r>
      <w:r>
        <w:t xml:space="preserve">FCC </w:t>
      </w:r>
      <w:r w:rsidRPr="006C3151">
        <w:t>File No. 0006596448</w:t>
      </w:r>
      <w:r>
        <w:t>.</w:t>
      </w:r>
    </w:p>
  </w:footnote>
  <w:footnote w:id="5">
    <w:p w:rsidR="00172071" w:rsidRPr="00172071" w:rsidRDefault="00172071">
      <w:pPr>
        <w:pStyle w:val="FootnoteText"/>
      </w:pPr>
      <w:r>
        <w:rPr>
          <w:rStyle w:val="FootnoteReference"/>
        </w:rPr>
        <w:footnoteRef/>
      </w:r>
      <w:r>
        <w:t xml:space="preserve"> </w:t>
      </w:r>
      <w:r>
        <w:rPr>
          <w:i/>
        </w:rPr>
        <w:t xml:space="preserve">See </w:t>
      </w:r>
      <w:r>
        <w:t>P</w:t>
      </w:r>
      <w:r w:rsidR="000534A3">
        <w:t>F</w:t>
      </w:r>
      <w:r>
        <w:t>R at 2.</w:t>
      </w:r>
    </w:p>
  </w:footnote>
  <w:footnote w:id="6">
    <w:p w:rsidR="004F43E9" w:rsidRPr="004F43E9" w:rsidRDefault="004F43E9">
      <w:pPr>
        <w:pStyle w:val="FootnoteText"/>
      </w:pPr>
      <w:r>
        <w:rPr>
          <w:rStyle w:val="FootnoteReference"/>
        </w:rPr>
        <w:footnoteRef/>
      </w:r>
      <w:r>
        <w:t xml:space="preserve"> </w:t>
      </w:r>
      <w:r>
        <w:rPr>
          <w:i/>
        </w:rPr>
        <w:t xml:space="preserve">See id. </w:t>
      </w:r>
      <w:r>
        <w:t>at 3-4.</w:t>
      </w:r>
    </w:p>
  </w:footnote>
  <w:footnote w:id="7">
    <w:p w:rsidR="004F43E9" w:rsidRDefault="004F43E9">
      <w:pPr>
        <w:pStyle w:val="FootnoteText"/>
      </w:pPr>
      <w:r>
        <w:rPr>
          <w:rStyle w:val="FootnoteReference"/>
        </w:rPr>
        <w:footnoteRef/>
      </w:r>
      <w:r>
        <w:t xml:space="preserve"> </w:t>
      </w:r>
      <w:r>
        <w:rPr>
          <w:i/>
        </w:rPr>
        <w:t xml:space="preserve">See id. </w:t>
      </w:r>
      <w:r>
        <w:t>at 4.</w:t>
      </w:r>
    </w:p>
  </w:footnote>
  <w:footnote w:id="8">
    <w:p w:rsidR="00064F39" w:rsidRPr="00E652CB" w:rsidRDefault="00064F39">
      <w:pPr>
        <w:pStyle w:val="FootnoteText"/>
      </w:pPr>
      <w:r>
        <w:rPr>
          <w:rStyle w:val="FootnoteReference"/>
        </w:rPr>
        <w:footnoteRef/>
      </w:r>
      <w:r>
        <w:t xml:space="preserve"> 47 C.F.R. § 1.17</w:t>
      </w:r>
      <w:r w:rsidR="00E040FE">
        <w:t>;</w:t>
      </w:r>
      <w:r>
        <w:t xml:space="preserve"> </w:t>
      </w:r>
      <w:r w:rsidR="00E040FE">
        <w:rPr>
          <w:i/>
        </w:rPr>
        <w:t>s</w:t>
      </w:r>
      <w:r>
        <w:rPr>
          <w:i/>
        </w:rPr>
        <w:t xml:space="preserve">ee also </w:t>
      </w:r>
      <w:r w:rsidR="00A56DF4">
        <w:t xml:space="preserve">Eddie </w:t>
      </w:r>
      <w:r>
        <w:t xml:space="preserve">Floyd, </w:t>
      </w:r>
      <w:r w:rsidR="00E652CB">
        <w:rPr>
          <w:i/>
        </w:rPr>
        <w:t xml:space="preserve">Order to Show Cause Hearing Designation Order and Notice of Apparent Liability for a Forfeiture, </w:t>
      </w:r>
      <w:r w:rsidR="00E040FE">
        <w:t xml:space="preserve">MB Docket No. 10-157, </w:t>
      </w:r>
      <w:r w:rsidR="00E652CB">
        <w:t>25 FCC Rcd 11348, 11351 ¶ 8 (2010).</w:t>
      </w:r>
    </w:p>
  </w:footnote>
  <w:footnote w:id="9">
    <w:p w:rsidR="000534A3" w:rsidRDefault="000534A3">
      <w:pPr>
        <w:pStyle w:val="FootnoteText"/>
      </w:pPr>
      <w:r>
        <w:rPr>
          <w:rStyle w:val="FootnoteReference"/>
        </w:rPr>
        <w:footnoteRef/>
      </w:r>
      <w:r>
        <w:t xml:space="preserve"> </w:t>
      </w:r>
      <w:r>
        <w:rPr>
          <w:i/>
        </w:rPr>
        <w:t xml:space="preserve">See </w:t>
      </w:r>
      <w:r>
        <w:t>PFR at 2-3.</w:t>
      </w:r>
    </w:p>
  </w:footnote>
  <w:footnote w:id="10">
    <w:p w:rsidR="00A56DF4" w:rsidRPr="00A56DF4" w:rsidRDefault="00A56DF4">
      <w:pPr>
        <w:pStyle w:val="FootnoteText"/>
      </w:pPr>
      <w:r>
        <w:rPr>
          <w:rStyle w:val="FootnoteReference"/>
        </w:rPr>
        <w:footnoteRef/>
      </w:r>
      <w:r>
        <w:t xml:space="preserve"> </w:t>
      </w:r>
      <w:r>
        <w:rPr>
          <w:i/>
        </w:rPr>
        <w:t xml:space="preserve">See </w:t>
      </w:r>
      <w:r>
        <w:t>47 C.F.R. § 1.917(a).</w:t>
      </w:r>
    </w:p>
  </w:footnote>
  <w:footnote w:id="11">
    <w:p w:rsidR="000A3CBC" w:rsidRPr="000A3CBC" w:rsidRDefault="000A3CBC">
      <w:pPr>
        <w:pStyle w:val="FootnoteText"/>
      </w:pPr>
      <w:r>
        <w:rPr>
          <w:rStyle w:val="FootnoteReference"/>
        </w:rPr>
        <w:footnoteRef/>
      </w:r>
      <w:r>
        <w:t xml:space="preserve"> </w:t>
      </w:r>
      <w:r>
        <w:rPr>
          <w:i/>
        </w:rPr>
        <w:t>See</w:t>
      </w:r>
      <w:r>
        <w:t xml:space="preserve">, </w:t>
      </w:r>
      <w:r>
        <w:rPr>
          <w:i/>
        </w:rPr>
        <w:t>e.g.</w:t>
      </w:r>
      <w:r>
        <w:t xml:space="preserve">, Abundant Ephesian 320 Spectrum, LLC, </w:t>
      </w:r>
      <w:r>
        <w:rPr>
          <w:i/>
        </w:rPr>
        <w:t>Order and Order on Reconsideration</w:t>
      </w:r>
      <w:r>
        <w:t>, 30 FCC Rcd 7240, 7243 ¶ 7 (WTB MD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4B" w:rsidRDefault="00375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1F" w:rsidRDefault="00846A1F">
    <w:pPr>
      <w:pStyle w:val="Header"/>
      <w:tabs>
        <w:tab w:val="clear" w:pos="4320"/>
        <w:tab w:val="clear" w:pos="8640"/>
        <w:tab w:val="center" w:pos="4680"/>
        <w:tab w:val="right" w:pos="9360"/>
      </w:tabs>
      <w:rPr>
        <w:b/>
      </w:rPr>
    </w:pPr>
    <w:r>
      <w:rPr>
        <w:b/>
      </w:rPr>
      <w:tab/>
      <w:t>Federal Communications Commission</w:t>
    </w:r>
    <w:r>
      <w:rPr>
        <w:b/>
      </w:rPr>
      <w:tab/>
      <w:t xml:space="preserve">DA </w:t>
    </w:r>
    <w:r w:rsidR="000534A3">
      <w:rPr>
        <w:b/>
      </w:rPr>
      <w:t>15</w:t>
    </w:r>
    <w:r>
      <w:rPr>
        <w:b/>
      </w:rPr>
      <w:t>-</w:t>
    </w:r>
    <w:r w:rsidR="00EF6EC2">
      <w:rPr>
        <w:b/>
      </w:rPr>
      <w:t>1069</w:t>
    </w:r>
  </w:p>
  <w:p w:rsidR="00846A1F" w:rsidRDefault="00D16DC6">
    <w:pPr>
      <w:pStyle w:val="Header"/>
      <w:tabs>
        <w:tab w:val="clear" w:pos="8640"/>
        <w:tab w:val="right" w:pos="9360"/>
      </w:tabs>
    </w:pPr>
    <w:r>
      <w:rPr>
        <w:b/>
        <w:noProof/>
      </w:rPr>
      <mc:AlternateContent>
        <mc:Choice Requires="wps">
          <w:drawing>
            <wp:anchor distT="0" distB="0" distL="114300" distR="114300" simplePos="0" relativeHeight="251658752" behindDoc="0" locked="0" layoutInCell="0" allowOverlap="1" wp14:anchorId="0D4F8B58" wp14:editId="1A6574EF">
              <wp:simplePos x="0" y="0"/>
              <wp:positionH relativeFrom="column">
                <wp:posOffset>0</wp:posOffset>
              </wp:positionH>
              <wp:positionV relativeFrom="paragraph">
                <wp:posOffset>22225</wp:posOffset>
              </wp:positionV>
              <wp:extent cx="59436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3BDB1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d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KBtx0QSAgAA&#10;KQQAAA4AAAAAAAAAAAAAAAAALgIAAGRycy9lMm9Eb2MueG1sUEsBAi0AFAAGAAgAAAAhAO4pKK7Y&#10;AAAABAEAAA8AAAAAAAAAAAAAAAAAbAQAAGRycy9kb3ducmV2LnhtbFBLBQYAAAAABAAEAPMAAABx&#10;BQAAAAA=&#10;" o:allowincell="f" strokeweight="1.5pt"/>
          </w:pict>
        </mc:Fallback>
      </mc:AlternateContent>
    </w:r>
    <w:r>
      <w:rPr>
        <w:noProof/>
      </w:rPr>
      <mc:AlternateContent>
        <mc:Choice Requires="wps">
          <w:drawing>
            <wp:anchor distT="0" distB="0" distL="114300" distR="114300" simplePos="0" relativeHeight="251657728" behindDoc="0" locked="0" layoutInCell="0" allowOverlap="1" wp14:anchorId="3FA17986" wp14:editId="714AE2E7">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449E0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1F" w:rsidRDefault="00846A1F">
    <w:pPr>
      <w:pStyle w:val="Header"/>
      <w:tabs>
        <w:tab w:val="clear" w:pos="4320"/>
        <w:tab w:val="clear" w:pos="8640"/>
        <w:tab w:val="center" w:pos="4680"/>
        <w:tab w:val="right" w:pos="9360"/>
      </w:tabs>
      <w:rPr>
        <w:b/>
      </w:rPr>
    </w:pPr>
    <w:r>
      <w:rPr>
        <w:b/>
      </w:rPr>
      <w:tab/>
      <w:t>Federal Communications Commission</w:t>
    </w:r>
    <w:r>
      <w:rPr>
        <w:b/>
      </w:rPr>
      <w:tab/>
      <w:t>DA 1</w:t>
    </w:r>
    <w:r w:rsidR="000534A3">
      <w:rPr>
        <w:b/>
      </w:rPr>
      <w:t>5</w:t>
    </w:r>
    <w:r>
      <w:rPr>
        <w:b/>
      </w:rPr>
      <w:t>-</w:t>
    </w:r>
    <w:r w:rsidR="00EF6EC2">
      <w:rPr>
        <w:b/>
      </w:rPr>
      <w:t>1069</w:t>
    </w:r>
  </w:p>
  <w:p w:rsidR="00846A1F" w:rsidRDefault="00D16DC6">
    <w:pPr>
      <w:pStyle w:val="Header"/>
      <w:tabs>
        <w:tab w:val="clear" w:pos="8640"/>
        <w:tab w:val="right" w:pos="9360"/>
      </w:tabs>
      <w:rPr>
        <w:b/>
      </w:rPr>
    </w:pPr>
    <w:r>
      <w:rPr>
        <w:b/>
        <w:noProof/>
      </w:rPr>
      <mc:AlternateContent>
        <mc:Choice Requires="wps">
          <w:drawing>
            <wp:anchor distT="0" distB="0" distL="114300" distR="114300" simplePos="0" relativeHeight="251656704" behindDoc="0" locked="0" layoutInCell="0" allowOverlap="1" wp14:anchorId="30BFD941" wp14:editId="50FF8CFB">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913295"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0E9B736C"/>
    <w:multiLevelType w:val="multilevel"/>
    <w:tmpl w:val="952078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6570"/>
        </w:tabs>
        <w:ind w:left="54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0"/>
  </w:num>
  <w:num w:numId="19">
    <w:abstractNumId w:val="9"/>
  </w:num>
  <w:num w:numId="20">
    <w:abstractNumId w:val="14"/>
  </w:num>
  <w:num w:numId="21">
    <w:abstractNumId w:val="15"/>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
  </w:num>
  <w:num w:numId="40">
    <w:abstractNumId w:val="12"/>
  </w:num>
  <w:num w:numId="4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F0"/>
    <w:rsid w:val="0000208D"/>
    <w:rsid w:val="000050F6"/>
    <w:rsid w:val="000142AF"/>
    <w:rsid w:val="0005072B"/>
    <w:rsid w:val="000534A3"/>
    <w:rsid w:val="0006055E"/>
    <w:rsid w:val="000632F4"/>
    <w:rsid w:val="00064F39"/>
    <w:rsid w:val="000A3CBC"/>
    <w:rsid w:val="000A3D28"/>
    <w:rsid w:val="000D24EB"/>
    <w:rsid w:val="000E3A02"/>
    <w:rsid w:val="000F32E5"/>
    <w:rsid w:val="00131AF6"/>
    <w:rsid w:val="001549AB"/>
    <w:rsid w:val="0016289D"/>
    <w:rsid w:val="001674CD"/>
    <w:rsid w:val="00172071"/>
    <w:rsid w:val="00191530"/>
    <w:rsid w:val="001A0D55"/>
    <w:rsid w:val="001A1C6A"/>
    <w:rsid w:val="001C0C84"/>
    <w:rsid w:val="001D035D"/>
    <w:rsid w:val="001D069B"/>
    <w:rsid w:val="00212315"/>
    <w:rsid w:val="00231241"/>
    <w:rsid w:val="002331C9"/>
    <w:rsid w:val="002A52B7"/>
    <w:rsid w:val="002B67AA"/>
    <w:rsid w:val="002C1B10"/>
    <w:rsid w:val="002C3202"/>
    <w:rsid w:val="002E2DF5"/>
    <w:rsid w:val="002E4B58"/>
    <w:rsid w:val="003031D3"/>
    <w:rsid w:val="00303DAD"/>
    <w:rsid w:val="00321328"/>
    <w:rsid w:val="00375B4B"/>
    <w:rsid w:val="00393B92"/>
    <w:rsid w:val="00394B43"/>
    <w:rsid w:val="003D762B"/>
    <w:rsid w:val="004125D3"/>
    <w:rsid w:val="004340B2"/>
    <w:rsid w:val="00437C92"/>
    <w:rsid w:val="0046295C"/>
    <w:rsid w:val="0047412F"/>
    <w:rsid w:val="00474828"/>
    <w:rsid w:val="004918BA"/>
    <w:rsid w:val="004944C9"/>
    <w:rsid w:val="004A76F2"/>
    <w:rsid w:val="004C6E61"/>
    <w:rsid w:val="004E2087"/>
    <w:rsid w:val="004E4D3B"/>
    <w:rsid w:val="004F43E9"/>
    <w:rsid w:val="005029DD"/>
    <w:rsid w:val="00522512"/>
    <w:rsid w:val="00526601"/>
    <w:rsid w:val="00545EC5"/>
    <w:rsid w:val="00556DAD"/>
    <w:rsid w:val="00561B43"/>
    <w:rsid w:val="0056210C"/>
    <w:rsid w:val="00563AFB"/>
    <w:rsid w:val="005811EE"/>
    <w:rsid w:val="005A79AE"/>
    <w:rsid w:val="005D0165"/>
    <w:rsid w:val="005D320A"/>
    <w:rsid w:val="005E46A1"/>
    <w:rsid w:val="006005A1"/>
    <w:rsid w:val="00601BB5"/>
    <w:rsid w:val="00606D75"/>
    <w:rsid w:val="00647406"/>
    <w:rsid w:val="00661D23"/>
    <w:rsid w:val="00666CB8"/>
    <w:rsid w:val="00685DC3"/>
    <w:rsid w:val="006B6576"/>
    <w:rsid w:val="006C3151"/>
    <w:rsid w:val="006C3691"/>
    <w:rsid w:val="006E312B"/>
    <w:rsid w:val="007064B4"/>
    <w:rsid w:val="00712D72"/>
    <w:rsid w:val="00713549"/>
    <w:rsid w:val="00716A30"/>
    <w:rsid w:val="0073131A"/>
    <w:rsid w:val="00733D5F"/>
    <w:rsid w:val="0075678E"/>
    <w:rsid w:val="00764651"/>
    <w:rsid w:val="00770949"/>
    <w:rsid w:val="007936B6"/>
    <w:rsid w:val="007A3F6F"/>
    <w:rsid w:val="007F7B66"/>
    <w:rsid w:val="00801A92"/>
    <w:rsid w:val="00814DDA"/>
    <w:rsid w:val="00846A1F"/>
    <w:rsid w:val="00853B4D"/>
    <w:rsid w:val="008D19A0"/>
    <w:rsid w:val="00904997"/>
    <w:rsid w:val="00910D48"/>
    <w:rsid w:val="009320C7"/>
    <w:rsid w:val="00936410"/>
    <w:rsid w:val="009576DE"/>
    <w:rsid w:val="00982700"/>
    <w:rsid w:val="009847E1"/>
    <w:rsid w:val="009B1421"/>
    <w:rsid w:val="009D240F"/>
    <w:rsid w:val="009E1C01"/>
    <w:rsid w:val="00A409D5"/>
    <w:rsid w:val="00A56DF4"/>
    <w:rsid w:val="00A90EEE"/>
    <w:rsid w:val="00AA1032"/>
    <w:rsid w:val="00AA224D"/>
    <w:rsid w:val="00AB13CB"/>
    <w:rsid w:val="00AB1650"/>
    <w:rsid w:val="00AB3D24"/>
    <w:rsid w:val="00AC1D0C"/>
    <w:rsid w:val="00AC44B8"/>
    <w:rsid w:val="00AD61E2"/>
    <w:rsid w:val="00AE1861"/>
    <w:rsid w:val="00AF01A6"/>
    <w:rsid w:val="00B02862"/>
    <w:rsid w:val="00B070F0"/>
    <w:rsid w:val="00B111D1"/>
    <w:rsid w:val="00B150E4"/>
    <w:rsid w:val="00B171A4"/>
    <w:rsid w:val="00B33527"/>
    <w:rsid w:val="00B57E79"/>
    <w:rsid w:val="00B81E79"/>
    <w:rsid w:val="00BA13F6"/>
    <w:rsid w:val="00C00786"/>
    <w:rsid w:val="00C023EE"/>
    <w:rsid w:val="00C109C5"/>
    <w:rsid w:val="00C32C7D"/>
    <w:rsid w:val="00C8012C"/>
    <w:rsid w:val="00C86724"/>
    <w:rsid w:val="00C87AE6"/>
    <w:rsid w:val="00C95D3F"/>
    <w:rsid w:val="00CA38F2"/>
    <w:rsid w:val="00CC5672"/>
    <w:rsid w:val="00CD7C2A"/>
    <w:rsid w:val="00D02D5E"/>
    <w:rsid w:val="00D16DC6"/>
    <w:rsid w:val="00D60DEF"/>
    <w:rsid w:val="00D60E4D"/>
    <w:rsid w:val="00D750AD"/>
    <w:rsid w:val="00D75BF7"/>
    <w:rsid w:val="00DB3490"/>
    <w:rsid w:val="00DC5C42"/>
    <w:rsid w:val="00DD320A"/>
    <w:rsid w:val="00DF19FA"/>
    <w:rsid w:val="00DF2528"/>
    <w:rsid w:val="00E01660"/>
    <w:rsid w:val="00E040FE"/>
    <w:rsid w:val="00E06D2A"/>
    <w:rsid w:val="00E652CB"/>
    <w:rsid w:val="00E66B5E"/>
    <w:rsid w:val="00EB3820"/>
    <w:rsid w:val="00EB641D"/>
    <w:rsid w:val="00EB6648"/>
    <w:rsid w:val="00EB7643"/>
    <w:rsid w:val="00EB7E8D"/>
    <w:rsid w:val="00EC6237"/>
    <w:rsid w:val="00EF05D0"/>
    <w:rsid w:val="00EF6EC2"/>
    <w:rsid w:val="00F002E2"/>
    <w:rsid w:val="00F052E0"/>
    <w:rsid w:val="00F10D5D"/>
    <w:rsid w:val="00F15D8B"/>
    <w:rsid w:val="00F27894"/>
    <w:rsid w:val="00F64809"/>
    <w:rsid w:val="00F64CE7"/>
    <w:rsid w:val="00F7164F"/>
    <w:rsid w:val="00F84BD2"/>
    <w:rsid w:val="00F8560C"/>
    <w:rsid w:val="00F91072"/>
    <w:rsid w:val="00F94647"/>
    <w:rsid w:val="00FA7AB9"/>
    <w:rsid w:val="00FB2533"/>
    <w:rsid w:val="00FE28CF"/>
    <w:rsid w:val="00FE7399"/>
    <w:rsid w:val="00FF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o,fr,Style 12,(NECG) Footnote Reference,Style 124,Style 3,Style 17,FR"/>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NormalWeb">
    <w:name w:val="Normal (Web)"/>
    <w:basedOn w:val="Normal"/>
    <w:rPr>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Footnote Text Char Char Char Char,Footnote Text Char1 Char Char Char Char,Footnote Text Char Char Char Char1 Char Char,Footnote Text Char1 Char Char Char Char Char Char"/>
    <w:link w:val="FootnoteText"/>
    <w:semiHidden/>
    <w:rsid w:val="00303DAD"/>
  </w:style>
  <w:style w:type="character" w:customStyle="1" w:styleId="ParaNumChar">
    <w:name w:val="ParaNum Char"/>
    <w:link w:val="ParaNum"/>
    <w:rsid w:val="00C32C7D"/>
    <w:rPr>
      <w:sz w:val="22"/>
    </w:rPr>
  </w:style>
  <w:style w:type="character" w:customStyle="1" w:styleId="FootnoteTextChar2">
    <w:name w:val="Footnote Text Char2"/>
    <w:aliases w:val="Footnote Text Char Char Char Char Char,Footnote Text Char Char1,Footnote Text Char2 Char Char,Footnote Text Char3 Char Char Char"/>
    <w:semiHidden/>
    <w:rsid w:val="00C32C7D"/>
  </w:style>
  <w:style w:type="paragraph" w:styleId="Revision">
    <w:name w:val="Revision"/>
    <w:hidden/>
    <w:uiPriority w:val="99"/>
    <w:semiHidden/>
    <w:rsid w:val="00910D48"/>
    <w:rPr>
      <w:sz w:val="22"/>
    </w:rPr>
  </w:style>
  <w:style w:type="character" w:customStyle="1" w:styleId="ftChar">
    <w:name w:val="ft Char"/>
    <w:aliases w:val="ALTS FOOTNOTE Char,fn Char,Footnote Text Char1 Char2 Char Char,Footnote Text Char Char Char1 Char Char"/>
    <w:semiHidden/>
    <w:rsid w:val="00801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o,fr,Style 12,(NECG) Footnote Reference,Style 124,Style 3,Style 17,FR"/>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NormalWeb">
    <w:name w:val="Normal (Web)"/>
    <w:basedOn w:val="Normal"/>
    <w:rPr>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Footnote Text Char Char Char Char,Footnote Text Char1 Char Char Char Char,Footnote Text Char Char Char Char1 Char Char,Footnote Text Char1 Char Char Char Char Char Char"/>
    <w:link w:val="FootnoteText"/>
    <w:semiHidden/>
    <w:rsid w:val="00303DAD"/>
  </w:style>
  <w:style w:type="character" w:customStyle="1" w:styleId="ParaNumChar">
    <w:name w:val="ParaNum Char"/>
    <w:link w:val="ParaNum"/>
    <w:rsid w:val="00C32C7D"/>
    <w:rPr>
      <w:sz w:val="22"/>
    </w:rPr>
  </w:style>
  <w:style w:type="character" w:customStyle="1" w:styleId="FootnoteTextChar2">
    <w:name w:val="Footnote Text Char2"/>
    <w:aliases w:val="Footnote Text Char Char Char Char Char,Footnote Text Char Char1,Footnote Text Char2 Char Char,Footnote Text Char3 Char Char Char"/>
    <w:semiHidden/>
    <w:rsid w:val="00C32C7D"/>
  </w:style>
  <w:style w:type="paragraph" w:styleId="Revision">
    <w:name w:val="Revision"/>
    <w:hidden/>
    <w:uiPriority w:val="99"/>
    <w:semiHidden/>
    <w:rsid w:val="00910D48"/>
    <w:rPr>
      <w:sz w:val="22"/>
    </w:rPr>
  </w:style>
  <w:style w:type="character" w:customStyle="1" w:styleId="ftChar">
    <w:name w:val="ft Char"/>
    <w:aliases w:val="ALTS FOOTNOTE Char,fn Char,Footnote Text Char1 Char2 Char Char,Footnote Text Char Char Char1 Char Char"/>
    <w:semiHidden/>
    <w:rsid w:val="0080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2</Pages>
  <Words>442</Words>
  <Characters>2538</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2010-07-14T12:19:00Z</cp:lastPrinted>
  <dcterms:created xsi:type="dcterms:W3CDTF">2015-09-23T18:50:00Z</dcterms:created>
  <dcterms:modified xsi:type="dcterms:W3CDTF">2015-09-23T18:50:00Z</dcterms:modified>
  <cp:category> </cp:category>
  <cp:contentStatus> </cp:contentStatus>
</cp:coreProperties>
</file>