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F1" w:rsidRDefault="005916F1">
      <w:pPr>
        <w:jc w:val="center"/>
        <w:rPr>
          <w:b/>
        </w:rPr>
      </w:pPr>
      <w:bookmarkStart w:id="0" w:name="_GoBack"/>
      <w:bookmarkEnd w:id="0"/>
      <w:r>
        <w:rPr>
          <w:b/>
        </w:rPr>
        <w:t>Before the</w:t>
      </w:r>
    </w:p>
    <w:p w:rsidR="005916F1" w:rsidRDefault="005916F1">
      <w:pPr>
        <w:jc w:val="center"/>
        <w:rPr>
          <w:b/>
        </w:rPr>
      </w:pPr>
      <w:r>
        <w:rPr>
          <w:b/>
        </w:rPr>
        <w:t>Federal Communications Commission</w:t>
      </w:r>
    </w:p>
    <w:p w:rsidR="005916F1" w:rsidRDefault="005916F1">
      <w:pPr>
        <w:jc w:val="center"/>
        <w:rPr>
          <w:b/>
        </w:rPr>
      </w:pPr>
      <w:r>
        <w:rPr>
          <w:b/>
        </w:rPr>
        <w:t>Washington, D.C. 20554</w:t>
      </w:r>
    </w:p>
    <w:tbl>
      <w:tblPr>
        <w:tblW w:w="9347" w:type="dxa"/>
        <w:tblLayout w:type="fixed"/>
        <w:tblLook w:val="0000" w:firstRow="0" w:lastRow="0" w:firstColumn="0" w:lastColumn="0" w:noHBand="0" w:noVBand="0"/>
      </w:tblPr>
      <w:tblGrid>
        <w:gridCol w:w="4586"/>
        <w:gridCol w:w="614"/>
        <w:gridCol w:w="4147"/>
      </w:tblGrid>
      <w:tr w:rsidR="005916F1" w:rsidTr="009B5BE0">
        <w:trPr>
          <w:trHeight w:val="2985"/>
        </w:trPr>
        <w:tc>
          <w:tcPr>
            <w:tcW w:w="4586" w:type="dxa"/>
          </w:tcPr>
          <w:p w:rsidR="005916F1" w:rsidRDefault="005916F1">
            <w:pPr>
              <w:tabs>
                <w:tab w:val="center" w:pos="4680"/>
              </w:tabs>
              <w:suppressAutoHyphens/>
              <w:rPr>
                <w:spacing w:val="-2"/>
                <w:szCs w:val="22"/>
              </w:rPr>
            </w:pPr>
          </w:p>
          <w:p w:rsidR="005916F1" w:rsidRDefault="005916F1">
            <w:pPr>
              <w:tabs>
                <w:tab w:val="center" w:pos="4680"/>
              </w:tabs>
              <w:suppressAutoHyphens/>
              <w:rPr>
                <w:spacing w:val="-2"/>
                <w:szCs w:val="22"/>
              </w:rPr>
            </w:pPr>
          </w:p>
          <w:p w:rsidR="005916F1" w:rsidRDefault="005916F1">
            <w:pPr>
              <w:tabs>
                <w:tab w:val="center" w:pos="4680"/>
              </w:tabs>
              <w:suppressAutoHyphens/>
              <w:rPr>
                <w:spacing w:val="-2"/>
                <w:szCs w:val="22"/>
              </w:rPr>
            </w:pPr>
            <w:r>
              <w:rPr>
                <w:spacing w:val="-2"/>
                <w:szCs w:val="22"/>
              </w:rPr>
              <w:t>In the Matter of</w:t>
            </w:r>
          </w:p>
          <w:p w:rsidR="005916F1" w:rsidRDefault="005916F1">
            <w:pPr>
              <w:tabs>
                <w:tab w:val="center" w:pos="4680"/>
              </w:tabs>
              <w:suppressAutoHyphens/>
              <w:rPr>
                <w:spacing w:val="-2"/>
                <w:szCs w:val="22"/>
              </w:rPr>
            </w:pPr>
          </w:p>
          <w:p w:rsidR="001A3BAF" w:rsidRDefault="001A3BAF">
            <w:pPr>
              <w:tabs>
                <w:tab w:val="center" w:pos="4680"/>
              </w:tabs>
              <w:rPr>
                <w:szCs w:val="22"/>
              </w:rPr>
            </w:pPr>
            <w:r>
              <w:rPr>
                <w:szCs w:val="22"/>
              </w:rPr>
              <w:t>Lifeline and Link Up Reform and Modernization</w:t>
            </w:r>
          </w:p>
          <w:p w:rsidR="001A3BAF" w:rsidRDefault="001A3BAF">
            <w:pPr>
              <w:tabs>
                <w:tab w:val="center" w:pos="4680"/>
              </w:tabs>
              <w:rPr>
                <w:szCs w:val="22"/>
              </w:rPr>
            </w:pPr>
          </w:p>
          <w:p w:rsidR="001A3BAF" w:rsidRDefault="001A3BAF">
            <w:pPr>
              <w:tabs>
                <w:tab w:val="center" w:pos="4680"/>
              </w:tabs>
              <w:rPr>
                <w:szCs w:val="22"/>
              </w:rPr>
            </w:pPr>
            <w:r>
              <w:rPr>
                <w:szCs w:val="22"/>
              </w:rPr>
              <w:t>Telecommunications Carriers Eligible for Universal Service Support</w:t>
            </w:r>
          </w:p>
          <w:p w:rsidR="001A3BAF" w:rsidRDefault="001A3BAF">
            <w:pPr>
              <w:tabs>
                <w:tab w:val="center" w:pos="4680"/>
              </w:tabs>
              <w:rPr>
                <w:szCs w:val="22"/>
              </w:rPr>
            </w:pPr>
          </w:p>
          <w:p w:rsidR="005916F1" w:rsidRDefault="001A3BAF">
            <w:pPr>
              <w:tabs>
                <w:tab w:val="center" w:pos="4680"/>
              </w:tabs>
              <w:rPr>
                <w:szCs w:val="22"/>
              </w:rPr>
            </w:pPr>
            <w:r>
              <w:rPr>
                <w:szCs w:val="22"/>
              </w:rPr>
              <w:t>Connect America Fund</w:t>
            </w:r>
            <w:r w:rsidR="009B5BE0">
              <w:rPr>
                <w:spacing w:val="-2"/>
                <w:szCs w:val="22"/>
              </w:rPr>
              <w:tab/>
            </w:r>
            <w:r w:rsidR="005916F1">
              <w:rPr>
                <w:szCs w:val="22"/>
              </w:rPr>
              <w:t xml:space="preserve"> </w:t>
            </w:r>
          </w:p>
          <w:p w:rsidR="005916F1" w:rsidRDefault="005916F1">
            <w:pPr>
              <w:tabs>
                <w:tab w:val="center" w:pos="4680"/>
              </w:tabs>
              <w:suppressAutoHyphens/>
              <w:rPr>
                <w:spacing w:val="-2"/>
                <w:szCs w:val="22"/>
              </w:rPr>
            </w:pPr>
          </w:p>
        </w:tc>
        <w:tc>
          <w:tcPr>
            <w:tcW w:w="614" w:type="dxa"/>
          </w:tcPr>
          <w:p w:rsidR="005916F1" w:rsidRDefault="005916F1">
            <w:pPr>
              <w:tabs>
                <w:tab w:val="center" w:pos="4680"/>
              </w:tabs>
              <w:suppressAutoHyphens/>
              <w:rPr>
                <w:b/>
                <w:spacing w:val="-2"/>
                <w:szCs w:val="22"/>
              </w:rPr>
            </w:pPr>
          </w:p>
          <w:p w:rsidR="005916F1" w:rsidRDefault="005916F1">
            <w:pPr>
              <w:tabs>
                <w:tab w:val="center" w:pos="4680"/>
              </w:tabs>
              <w:suppressAutoHyphens/>
              <w:rPr>
                <w:b/>
                <w:spacing w:val="-2"/>
                <w:szCs w:val="22"/>
              </w:rPr>
            </w:pPr>
          </w:p>
          <w:p w:rsidR="005916F1" w:rsidRDefault="005916F1">
            <w:pPr>
              <w:tabs>
                <w:tab w:val="center" w:pos="4680"/>
              </w:tabs>
              <w:suppressAutoHyphens/>
              <w:rPr>
                <w:b/>
                <w:spacing w:val="-2"/>
                <w:szCs w:val="22"/>
              </w:rPr>
            </w:pPr>
            <w:r>
              <w:rPr>
                <w:b/>
                <w:spacing w:val="-2"/>
                <w:szCs w:val="22"/>
              </w:rPr>
              <w:t>)</w:t>
            </w:r>
          </w:p>
          <w:p w:rsidR="005916F1" w:rsidRDefault="005916F1">
            <w:pPr>
              <w:tabs>
                <w:tab w:val="center" w:pos="4680"/>
              </w:tabs>
              <w:suppressAutoHyphens/>
              <w:rPr>
                <w:b/>
                <w:spacing w:val="-2"/>
                <w:szCs w:val="22"/>
              </w:rPr>
            </w:pPr>
            <w:r>
              <w:rPr>
                <w:b/>
                <w:spacing w:val="-2"/>
                <w:szCs w:val="22"/>
              </w:rPr>
              <w:t>)</w:t>
            </w:r>
          </w:p>
          <w:p w:rsidR="005916F1" w:rsidRDefault="005916F1">
            <w:pPr>
              <w:tabs>
                <w:tab w:val="center" w:pos="4680"/>
              </w:tabs>
              <w:suppressAutoHyphens/>
              <w:rPr>
                <w:b/>
                <w:spacing w:val="-2"/>
                <w:szCs w:val="22"/>
              </w:rPr>
            </w:pPr>
            <w:r>
              <w:rPr>
                <w:b/>
                <w:spacing w:val="-2"/>
                <w:szCs w:val="22"/>
              </w:rPr>
              <w:t>)</w:t>
            </w:r>
          </w:p>
          <w:p w:rsidR="005916F1" w:rsidRDefault="005916F1">
            <w:pPr>
              <w:tabs>
                <w:tab w:val="center" w:pos="4680"/>
              </w:tabs>
              <w:suppressAutoHyphens/>
              <w:rPr>
                <w:b/>
                <w:spacing w:val="-2"/>
                <w:szCs w:val="22"/>
              </w:rPr>
            </w:pPr>
            <w:r>
              <w:rPr>
                <w:b/>
                <w:spacing w:val="-2"/>
                <w:szCs w:val="22"/>
              </w:rPr>
              <w:t>)</w:t>
            </w:r>
          </w:p>
          <w:p w:rsidR="005916F1" w:rsidRDefault="005916F1">
            <w:pPr>
              <w:tabs>
                <w:tab w:val="center" w:pos="4680"/>
              </w:tabs>
              <w:suppressAutoHyphens/>
              <w:rPr>
                <w:b/>
                <w:spacing w:val="-2"/>
                <w:szCs w:val="22"/>
              </w:rPr>
            </w:pPr>
            <w:r>
              <w:rPr>
                <w:b/>
                <w:spacing w:val="-2"/>
                <w:szCs w:val="22"/>
              </w:rPr>
              <w:t>)</w:t>
            </w:r>
          </w:p>
          <w:p w:rsidR="001A3BAF" w:rsidRDefault="001A3BAF">
            <w:pPr>
              <w:tabs>
                <w:tab w:val="center" w:pos="4680"/>
              </w:tabs>
              <w:suppressAutoHyphens/>
              <w:rPr>
                <w:b/>
                <w:spacing w:val="-2"/>
                <w:szCs w:val="22"/>
              </w:rPr>
            </w:pPr>
            <w:r>
              <w:rPr>
                <w:b/>
                <w:spacing w:val="-2"/>
                <w:szCs w:val="22"/>
              </w:rPr>
              <w:t>)</w:t>
            </w:r>
          </w:p>
          <w:p w:rsidR="001A3BAF" w:rsidRDefault="001A3BAF">
            <w:pPr>
              <w:tabs>
                <w:tab w:val="center" w:pos="4680"/>
              </w:tabs>
              <w:suppressAutoHyphens/>
              <w:rPr>
                <w:b/>
                <w:spacing w:val="-2"/>
                <w:szCs w:val="22"/>
              </w:rPr>
            </w:pPr>
            <w:r>
              <w:rPr>
                <w:b/>
                <w:spacing w:val="-2"/>
                <w:szCs w:val="22"/>
              </w:rPr>
              <w:t>)</w:t>
            </w:r>
          </w:p>
          <w:p w:rsidR="001A3BAF" w:rsidRDefault="001A3BAF">
            <w:pPr>
              <w:tabs>
                <w:tab w:val="center" w:pos="4680"/>
              </w:tabs>
              <w:suppressAutoHyphens/>
              <w:rPr>
                <w:b/>
                <w:spacing w:val="-2"/>
                <w:szCs w:val="22"/>
              </w:rPr>
            </w:pPr>
            <w:r>
              <w:rPr>
                <w:b/>
                <w:spacing w:val="-2"/>
                <w:szCs w:val="22"/>
              </w:rPr>
              <w:t>)</w:t>
            </w:r>
          </w:p>
          <w:p w:rsidR="009B5BE0" w:rsidRDefault="009B5BE0">
            <w:pPr>
              <w:tabs>
                <w:tab w:val="center" w:pos="4680"/>
              </w:tabs>
              <w:suppressAutoHyphens/>
              <w:rPr>
                <w:b/>
                <w:spacing w:val="-2"/>
                <w:szCs w:val="22"/>
              </w:rPr>
            </w:pPr>
            <w:r>
              <w:rPr>
                <w:b/>
                <w:spacing w:val="-2"/>
                <w:szCs w:val="22"/>
              </w:rPr>
              <w:t>)</w:t>
            </w:r>
          </w:p>
        </w:tc>
        <w:tc>
          <w:tcPr>
            <w:tcW w:w="4147" w:type="dxa"/>
          </w:tcPr>
          <w:p w:rsidR="005916F1" w:rsidRDefault="005916F1">
            <w:pPr>
              <w:tabs>
                <w:tab w:val="center" w:pos="4680"/>
              </w:tabs>
              <w:suppressAutoHyphens/>
              <w:rPr>
                <w:spacing w:val="-2"/>
                <w:szCs w:val="22"/>
              </w:rPr>
            </w:pPr>
          </w:p>
          <w:p w:rsidR="005916F1" w:rsidRDefault="005916F1">
            <w:pPr>
              <w:pStyle w:val="TOAHeading"/>
              <w:tabs>
                <w:tab w:val="clear" w:pos="9360"/>
                <w:tab w:val="center" w:pos="4680"/>
              </w:tabs>
              <w:rPr>
                <w:spacing w:val="-2"/>
                <w:szCs w:val="22"/>
              </w:rPr>
            </w:pPr>
          </w:p>
          <w:p w:rsidR="005916F1" w:rsidRDefault="005916F1">
            <w:pPr>
              <w:tabs>
                <w:tab w:val="center" w:pos="4680"/>
              </w:tabs>
              <w:suppressAutoHyphens/>
              <w:rPr>
                <w:spacing w:val="-2"/>
                <w:szCs w:val="22"/>
              </w:rPr>
            </w:pPr>
          </w:p>
          <w:p w:rsidR="005916F1" w:rsidRDefault="005916F1">
            <w:pPr>
              <w:tabs>
                <w:tab w:val="center" w:pos="4680"/>
              </w:tabs>
              <w:suppressAutoHyphens/>
              <w:rPr>
                <w:spacing w:val="-2"/>
                <w:szCs w:val="22"/>
              </w:rPr>
            </w:pPr>
          </w:p>
          <w:p w:rsidR="001A3BAF" w:rsidRDefault="001A3BAF">
            <w:pPr>
              <w:tabs>
                <w:tab w:val="center" w:pos="4680"/>
              </w:tabs>
              <w:suppressAutoHyphens/>
              <w:rPr>
                <w:spacing w:val="-2"/>
                <w:szCs w:val="22"/>
              </w:rPr>
            </w:pPr>
            <w:r>
              <w:rPr>
                <w:spacing w:val="-2"/>
                <w:szCs w:val="22"/>
              </w:rPr>
              <w:t>WC Docket No. 11-42</w:t>
            </w:r>
          </w:p>
          <w:p w:rsidR="001A3BAF" w:rsidRDefault="001A3BAF">
            <w:pPr>
              <w:tabs>
                <w:tab w:val="center" w:pos="4680"/>
              </w:tabs>
              <w:suppressAutoHyphens/>
              <w:rPr>
                <w:spacing w:val="-2"/>
                <w:szCs w:val="22"/>
              </w:rPr>
            </w:pPr>
          </w:p>
          <w:p w:rsidR="001A3BAF" w:rsidRDefault="001A3BAF">
            <w:pPr>
              <w:tabs>
                <w:tab w:val="center" w:pos="4680"/>
              </w:tabs>
              <w:suppressAutoHyphens/>
              <w:rPr>
                <w:spacing w:val="-2"/>
                <w:szCs w:val="22"/>
              </w:rPr>
            </w:pPr>
            <w:r>
              <w:rPr>
                <w:spacing w:val="-2"/>
                <w:szCs w:val="22"/>
              </w:rPr>
              <w:t>WC Docket No. 09-197</w:t>
            </w:r>
          </w:p>
          <w:p w:rsidR="001A3BAF" w:rsidRDefault="001A3BAF">
            <w:pPr>
              <w:tabs>
                <w:tab w:val="center" w:pos="4680"/>
              </w:tabs>
              <w:suppressAutoHyphens/>
              <w:rPr>
                <w:spacing w:val="-2"/>
                <w:szCs w:val="22"/>
              </w:rPr>
            </w:pPr>
          </w:p>
          <w:p w:rsidR="001A3BAF" w:rsidRDefault="001A3BAF">
            <w:pPr>
              <w:tabs>
                <w:tab w:val="center" w:pos="4680"/>
              </w:tabs>
              <w:suppressAutoHyphens/>
              <w:rPr>
                <w:spacing w:val="-2"/>
                <w:szCs w:val="22"/>
              </w:rPr>
            </w:pPr>
          </w:p>
          <w:p w:rsidR="001A3BAF" w:rsidRDefault="001A3BAF">
            <w:pPr>
              <w:tabs>
                <w:tab w:val="center" w:pos="4680"/>
              </w:tabs>
              <w:suppressAutoHyphens/>
              <w:rPr>
                <w:spacing w:val="-2"/>
                <w:szCs w:val="22"/>
              </w:rPr>
            </w:pPr>
            <w:r>
              <w:rPr>
                <w:spacing w:val="-2"/>
                <w:szCs w:val="22"/>
              </w:rPr>
              <w:t>WC Docket No. 10-90</w:t>
            </w:r>
          </w:p>
          <w:p w:rsidR="009B5BE0" w:rsidRDefault="009B5BE0">
            <w:pPr>
              <w:tabs>
                <w:tab w:val="center" w:pos="4680"/>
              </w:tabs>
              <w:suppressAutoHyphens/>
              <w:rPr>
                <w:spacing w:val="-2"/>
                <w:szCs w:val="22"/>
              </w:rPr>
            </w:pPr>
          </w:p>
        </w:tc>
      </w:tr>
    </w:tbl>
    <w:p w:rsidR="005916F1" w:rsidRDefault="005916F1">
      <w:pPr>
        <w:tabs>
          <w:tab w:val="center" w:pos="4680"/>
        </w:tabs>
        <w:suppressAutoHyphens/>
        <w:rPr>
          <w:b/>
          <w:spacing w:val="-2"/>
          <w:szCs w:val="22"/>
        </w:rPr>
      </w:pPr>
      <w:r>
        <w:rPr>
          <w:b/>
          <w:spacing w:val="-2"/>
          <w:szCs w:val="22"/>
        </w:rPr>
        <w:tab/>
      </w:r>
    </w:p>
    <w:p w:rsidR="005916F1" w:rsidRDefault="005916F1">
      <w:pPr>
        <w:pStyle w:val="StyleBoldCentered"/>
        <w:rPr>
          <w:rFonts w:ascii="Times New Roman" w:hAnsi="Times New Roman"/>
        </w:rPr>
      </w:pPr>
      <w:r>
        <w:rPr>
          <w:rFonts w:ascii="Times New Roman" w:hAnsi="Times New Roman"/>
        </w:rPr>
        <w:t>order</w:t>
      </w:r>
    </w:p>
    <w:p w:rsidR="005916F1" w:rsidRDefault="005916F1">
      <w:pPr>
        <w:pStyle w:val="StyleBoldCentered"/>
        <w:rPr>
          <w:rFonts w:ascii="Times New Roman" w:hAnsi="Times New Roman"/>
        </w:rPr>
      </w:pPr>
    </w:p>
    <w:p w:rsidR="005916F1" w:rsidRDefault="005916F1">
      <w:pPr>
        <w:tabs>
          <w:tab w:val="left" w:pos="720"/>
          <w:tab w:val="left" w:pos="5760"/>
        </w:tabs>
        <w:suppressAutoHyphens/>
        <w:spacing w:line="227" w:lineRule="auto"/>
        <w:rPr>
          <w:spacing w:val="-2"/>
          <w:szCs w:val="22"/>
        </w:rPr>
      </w:pPr>
      <w:r>
        <w:rPr>
          <w:b/>
          <w:spacing w:val="-2"/>
          <w:szCs w:val="22"/>
        </w:rPr>
        <w:t xml:space="preserve">Adopted:  </w:t>
      </w:r>
      <w:r w:rsidR="001F5050">
        <w:rPr>
          <w:b/>
          <w:spacing w:val="-2"/>
          <w:szCs w:val="22"/>
        </w:rPr>
        <w:t>September 23, 2015</w:t>
      </w:r>
      <w:r>
        <w:rPr>
          <w:b/>
          <w:spacing w:val="-2"/>
          <w:szCs w:val="22"/>
        </w:rPr>
        <w:tab/>
      </w:r>
      <w:r w:rsidR="001F5050">
        <w:rPr>
          <w:b/>
          <w:spacing w:val="-2"/>
          <w:szCs w:val="22"/>
        </w:rPr>
        <w:tab/>
      </w:r>
      <w:r w:rsidR="00C529A7">
        <w:rPr>
          <w:b/>
          <w:spacing w:val="-2"/>
          <w:szCs w:val="22"/>
        </w:rPr>
        <w:t xml:space="preserve"> </w:t>
      </w:r>
      <w:r>
        <w:rPr>
          <w:b/>
          <w:spacing w:val="-2"/>
          <w:szCs w:val="22"/>
        </w:rPr>
        <w:t xml:space="preserve">Released:  </w:t>
      </w:r>
      <w:r w:rsidR="001F5050">
        <w:rPr>
          <w:b/>
          <w:spacing w:val="-2"/>
          <w:szCs w:val="22"/>
        </w:rPr>
        <w:t>September 23, 2015</w:t>
      </w:r>
    </w:p>
    <w:p w:rsidR="005916F1" w:rsidRDefault="005916F1">
      <w:pPr>
        <w:autoSpaceDE w:val="0"/>
        <w:autoSpaceDN w:val="0"/>
        <w:adjustRightInd w:val="0"/>
        <w:jc w:val="both"/>
        <w:rPr>
          <w:color w:val="000000"/>
          <w:szCs w:val="22"/>
        </w:rPr>
      </w:pPr>
    </w:p>
    <w:p w:rsidR="005916F1" w:rsidRDefault="005916F1">
      <w:pPr>
        <w:autoSpaceDE w:val="0"/>
        <w:autoSpaceDN w:val="0"/>
        <w:adjustRightInd w:val="0"/>
        <w:jc w:val="both"/>
        <w:rPr>
          <w:color w:val="000000"/>
          <w:szCs w:val="22"/>
        </w:rPr>
      </w:pPr>
      <w:r>
        <w:rPr>
          <w:color w:val="000000"/>
          <w:szCs w:val="22"/>
        </w:rPr>
        <w:t xml:space="preserve">By the </w:t>
      </w:r>
      <w:r w:rsidR="004D5EAC">
        <w:rPr>
          <w:color w:val="000000"/>
          <w:szCs w:val="22"/>
        </w:rPr>
        <w:t>Chief</w:t>
      </w:r>
      <w:r>
        <w:rPr>
          <w:spacing w:val="-2"/>
          <w:szCs w:val="22"/>
        </w:rPr>
        <w:t>,</w:t>
      </w:r>
      <w:r w:rsidR="004D5EAC">
        <w:rPr>
          <w:spacing w:val="-2"/>
          <w:szCs w:val="22"/>
        </w:rPr>
        <w:t xml:space="preserve"> </w:t>
      </w:r>
      <w:r w:rsidR="001A3BAF">
        <w:rPr>
          <w:color w:val="000000"/>
          <w:szCs w:val="22"/>
        </w:rPr>
        <w:t>Wireline Competition</w:t>
      </w:r>
      <w:r>
        <w:rPr>
          <w:color w:val="000000"/>
          <w:szCs w:val="22"/>
        </w:rPr>
        <w:t xml:space="preserve"> Bureau:</w:t>
      </w:r>
    </w:p>
    <w:p w:rsidR="005916F1" w:rsidRDefault="005916F1">
      <w:pPr>
        <w:autoSpaceDE w:val="0"/>
        <w:autoSpaceDN w:val="0"/>
        <w:adjustRightInd w:val="0"/>
        <w:rPr>
          <w:color w:val="000000"/>
          <w:szCs w:val="22"/>
        </w:rPr>
      </w:pPr>
    </w:p>
    <w:p w:rsidR="00F32D41" w:rsidRDefault="00F32D41">
      <w:pPr>
        <w:pStyle w:val="ParaNum"/>
        <w:numPr>
          <w:ilvl w:val="0"/>
          <w:numId w:val="5"/>
        </w:numPr>
        <w:tabs>
          <w:tab w:val="clear" w:pos="1080"/>
          <w:tab w:val="num" w:pos="1440"/>
        </w:tabs>
        <w:spacing w:after="120"/>
        <w:jc w:val="left"/>
        <w:rPr>
          <w:szCs w:val="22"/>
        </w:rPr>
      </w:pPr>
      <w:r>
        <w:rPr>
          <w:rStyle w:val="StyleNumberedparagraphs11ptChar"/>
          <w:szCs w:val="22"/>
        </w:rPr>
        <w:t xml:space="preserve">In this Order, </w:t>
      </w:r>
      <w:r w:rsidR="003145D7">
        <w:rPr>
          <w:rStyle w:val="StyleNumberedparagraphs11ptChar"/>
          <w:szCs w:val="22"/>
        </w:rPr>
        <w:t xml:space="preserve">the </w:t>
      </w:r>
      <w:r>
        <w:rPr>
          <w:szCs w:val="22"/>
        </w:rPr>
        <w:t>Wireline Competition Bureau (Bureau)</w:t>
      </w:r>
      <w:r>
        <w:rPr>
          <w:rStyle w:val="StyleNumberedparagraphs11ptChar"/>
          <w:szCs w:val="22"/>
        </w:rPr>
        <w:t xml:space="preserve"> denies a request for an extension of time to file reply comments in the Commission’s Lifeline and Link Up Reform and Modernization proceeding, filed by the National Association of State Utility Consumer Advocates, Public Knowledge, the National Consumer Law Center, the Greenlining Institute, </w:t>
      </w:r>
      <w:r w:rsidR="00D04C66">
        <w:rPr>
          <w:rStyle w:val="StyleNumberedparagraphs11ptChar"/>
          <w:szCs w:val="22"/>
        </w:rPr>
        <w:t xml:space="preserve">the </w:t>
      </w:r>
      <w:r>
        <w:rPr>
          <w:rStyle w:val="StyleNumberedparagraphs11ptChar"/>
          <w:szCs w:val="22"/>
        </w:rPr>
        <w:t xml:space="preserve">California Emerging Technology Fund, Center for Accessible </w:t>
      </w:r>
      <w:r w:rsidR="00D04C66">
        <w:rPr>
          <w:rStyle w:val="StyleNumberedparagraphs11ptChar"/>
          <w:szCs w:val="22"/>
        </w:rPr>
        <w:t>T</w:t>
      </w:r>
      <w:r>
        <w:rPr>
          <w:rStyle w:val="StyleNumberedparagraphs11ptChar"/>
          <w:szCs w:val="22"/>
        </w:rPr>
        <w:t>echnology, Media Alliance</w:t>
      </w:r>
      <w:r w:rsidR="00D04C66">
        <w:rPr>
          <w:rStyle w:val="StyleNumberedparagraphs11ptChar"/>
          <w:szCs w:val="22"/>
        </w:rPr>
        <w:t>,</w:t>
      </w:r>
      <w:r>
        <w:rPr>
          <w:rStyle w:val="StyleNumberedparagraphs11ptChar"/>
          <w:szCs w:val="22"/>
        </w:rPr>
        <w:t xml:space="preserve"> and Consumer Action</w:t>
      </w:r>
      <w:r w:rsidR="003145D7">
        <w:rPr>
          <w:rStyle w:val="StyleNumberedparagraphs11ptChar"/>
          <w:szCs w:val="22"/>
        </w:rPr>
        <w:t xml:space="preserve"> (</w:t>
      </w:r>
      <w:r w:rsidR="00604D29">
        <w:rPr>
          <w:rStyle w:val="StyleNumberedparagraphs11ptChar"/>
          <w:szCs w:val="22"/>
        </w:rPr>
        <w:t>Requestors</w:t>
      </w:r>
      <w:r w:rsidR="003145D7">
        <w:rPr>
          <w:rStyle w:val="StyleNumberedparagraphs11ptChar"/>
          <w:szCs w:val="22"/>
        </w:rPr>
        <w:t>)</w:t>
      </w:r>
      <w:r>
        <w:rPr>
          <w:rStyle w:val="StyleNumberedparagraphs11ptChar"/>
          <w:szCs w:val="22"/>
        </w:rPr>
        <w:t>.</w:t>
      </w:r>
      <w:r>
        <w:rPr>
          <w:rStyle w:val="FootnoteReference"/>
          <w:szCs w:val="22"/>
        </w:rPr>
        <w:footnoteReference w:id="2"/>
      </w:r>
      <w:r>
        <w:rPr>
          <w:rStyle w:val="StyleNumberedparagraphs11ptChar"/>
        </w:rPr>
        <w:t xml:space="preserve">  </w:t>
      </w:r>
    </w:p>
    <w:p w:rsidR="005916F1" w:rsidRDefault="00D40DBF">
      <w:pPr>
        <w:pStyle w:val="ParaNum"/>
        <w:numPr>
          <w:ilvl w:val="0"/>
          <w:numId w:val="5"/>
        </w:numPr>
        <w:tabs>
          <w:tab w:val="clear" w:pos="1080"/>
          <w:tab w:val="num" w:pos="1440"/>
        </w:tabs>
        <w:spacing w:after="120"/>
        <w:jc w:val="left"/>
        <w:rPr>
          <w:szCs w:val="22"/>
        </w:rPr>
      </w:pPr>
      <w:r>
        <w:rPr>
          <w:szCs w:val="22"/>
        </w:rPr>
        <w:t>On June 18, 2015, the Federal Communications Commission adopted a Second Further Notice of Proposed Rulemaking</w:t>
      </w:r>
      <w:r w:rsidR="00386E16">
        <w:rPr>
          <w:szCs w:val="22"/>
        </w:rPr>
        <w:t xml:space="preserve"> (Second FNPRM)</w:t>
      </w:r>
      <w:r>
        <w:rPr>
          <w:szCs w:val="22"/>
        </w:rPr>
        <w:t xml:space="preserve"> in which the Commission sought comment and reply comment on proposals to modernize the Lifeline program.</w:t>
      </w:r>
      <w:r>
        <w:rPr>
          <w:rStyle w:val="FootnoteReference"/>
          <w:szCs w:val="22"/>
        </w:rPr>
        <w:footnoteReference w:id="3"/>
      </w:r>
      <w:r w:rsidR="00386E16">
        <w:rPr>
          <w:szCs w:val="22"/>
        </w:rPr>
        <w:t xml:space="preserve">  The Second FNPRM set the deadline for filing comments at 30 days after its publication in the Federal Register and reply comments at 60 days after its publication in the Federal Register.</w:t>
      </w:r>
      <w:r w:rsidR="00386E16">
        <w:rPr>
          <w:rStyle w:val="FootnoteReference"/>
          <w:szCs w:val="22"/>
        </w:rPr>
        <w:footnoteReference w:id="4"/>
      </w:r>
      <w:r>
        <w:rPr>
          <w:szCs w:val="22"/>
        </w:rPr>
        <w:t xml:space="preserve">  </w:t>
      </w:r>
      <w:r w:rsidR="005916F1">
        <w:rPr>
          <w:szCs w:val="22"/>
        </w:rPr>
        <w:t xml:space="preserve">On </w:t>
      </w:r>
      <w:r>
        <w:rPr>
          <w:color w:val="000000"/>
          <w:szCs w:val="22"/>
        </w:rPr>
        <w:t>July 17, 2015</w:t>
      </w:r>
      <w:r w:rsidR="005916F1">
        <w:rPr>
          <w:szCs w:val="22"/>
        </w:rPr>
        <w:t xml:space="preserve">, </w:t>
      </w:r>
      <w:r w:rsidR="00386E16">
        <w:rPr>
          <w:szCs w:val="22"/>
        </w:rPr>
        <w:t xml:space="preserve">the Second FNPRM was published in the Federal Register and </w:t>
      </w:r>
      <w:r w:rsidR="005916F1">
        <w:rPr>
          <w:szCs w:val="22"/>
        </w:rPr>
        <w:t xml:space="preserve">the </w:t>
      </w:r>
      <w:r>
        <w:rPr>
          <w:szCs w:val="22"/>
        </w:rPr>
        <w:t>Wireline Competition</w:t>
      </w:r>
      <w:r w:rsidR="005916F1">
        <w:rPr>
          <w:szCs w:val="22"/>
        </w:rPr>
        <w:t xml:space="preserve"> Bureau released a Public Notice </w:t>
      </w:r>
      <w:r w:rsidR="00386E16">
        <w:rPr>
          <w:szCs w:val="22"/>
        </w:rPr>
        <w:t>that</w:t>
      </w:r>
      <w:r w:rsidR="005916F1">
        <w:rPr>
          <w:szCs w:val="22"/>
        </w:rPr>
        <w:t xml:space="preserve"> </w:t>
      </w:r>
      <w:r w:rsidR="00386E16">
        <w:rPr>
          <w:szCs w:val="22"/>
        </w:rPr>
        <w:t xml:space="preserve">announced the deadline for filing comments as August 17, 2015, and </w:t>
      </w:r>
      <w:r w:rsidR="00C10A2B">
        <w:rPr>
          <w:szCs w:val="22"/>
        </w:rPr>
        <w:t xml:space="preserve">the deadline for filing </w:t>
      </w:r>
      <w:r w:rsidR="00386E16">
        <w:rPr>
          <w:szCs w:val="22"/>
        </w:rPr>
        <w:t>reply comments as September 15, 2015</w:t>
      </w:r>
      <w:r w:rsidR="005916F1">
        <w:rPr>
          <w:szCs w:val="22"/>
        </w:rPr>
        <w:t>.</w:t>
      </w:r>
      <w:r w:rsidR="00386E16">
        <w:rPr>
          <w:rStyle w:val="FootnoteReference"/>
          <w:szCs w:val="22"/>
        </w:rPr>
        <w:footnoteReference w:id="5"/>
      </w:r>
      <w:r w:rsidR="00F32D41">
        <w:rPr>
          <w:szCs w:val="22"/>
        </w:rPr>
        <w:t xml:space="preserve">  On August 5, 2015</w:t>
      </w:r>
      <w:r w:rsidR="00CA735F">
        <w:rPr>
          <w:szCs w:val="22"/>
        </w:rPr>
        <w:t xml:space="preserve">, in response to </w:t>
      </w:r>
      <w:r w:rsidR="006E3DB8">
        <w:rPr>
          <w:szCs w:val="22"/>
        </w:rPr>
        <w:t xml:space="preserve">multiple </w:t>
      </w:r>
      <w:r w:rsidR="00CA735F">
        <w:rPr>
          <w:szCs w:val="22"/>
        </w:rPr>
        <w:t>requests</w:t>
      </w:r>
      <w:r w:rsidR="006E3DB8">
        <w:rPr>
          <w:color w:val="000000"/>
          <w:szCs w:val="22"/>
        </w:rPr>
        <w:t xml:space="preserve"> for extension of those filing deadlines</w:t>
      </w:r>
      <w:r w:rsidR="00CA735F">
        <w:rPr>
          <w:color w:val="000000"/>
          <w:szCs w:val="22"/>
        </w:rPr>
        <w:t>,</w:t>
      </w:r>
      <w:r w:rsidR="00F32D41">
        <w:rPr>
          <w:szCs w:val="22"/>
        </w:rPr>
        <w:t xml:space="preserve"> the </w:t>
      </w:r>
      <w:r w:rsidR="003145D7">
        <w:rPr>
          <w:szCs w:val="22"/>
        </w:rPr>
        <w:t>Bureau extended</w:t>
      </w:r>
      <w:r w:rsidR="00F32D41">
        <w:rPr>
          <w:szCs w:val="22"/>
        </w:rPr>
        <w:t xml:space="preserve"> </w:t>
      </w:r>
      <w:r w:rsidR="00D04C66">
        <w:rPr>
          <w:szCs w:val="22"/>
        </w:rPr>
        <w:t xml:space="preserve">the </w:t>
      </w:r>
      <w:r w:rsidR="00F32D41">
        <w:rPr>
          <w:szCs w:val="22"/>
        </w:rPr>
        <w:t xml:space="preserve">comment filing deadline </w:t>
      </w:r>
      <w:r w:rsidR="003145D7">
        <w:rPr>
          <w:szCs w:val="22"/>
        </w:rPr>
        <w:t xml:space="preserve">by 14 days until August 31, 2015, </w:t>
      </w:r>
      <w:r w:rsidR="00F32D41">
        <w:rPr>
          <w:szCs w:val="22"/>
        </w:rPr>
        <w:t>and the reply comment filing deadline</w:t>
      </w:r>
      <w:r w:rsidR="003145D7">
        <w:rPr>
          <w:szCs w:val="22"/>
        </w:rPr>
        <w:t xml:space="preserve"> by 15 days until September 30, 2015</w:t>
      </w:r>
      <w:r w:rsidR="00CA735F">
        <w:rPr>
          <w:szCs w:val="22"/>
        </w:rPr>
        <w:t xml:space="preserve"> in order to facilitate more thorough </w:t>
      </w:r>
      <w:r w:rsidR="00CA735F">
        <w:rPr>
          <w:szCs w:val="22"/>
        </w:rPr>
        <w:lastRenderedPageBreak/>
        <w:t>and deliberate consideration of the issues raised in this proceeding</w:t>
      </w:r>
      <w:r w:rsidR="00F32D41">
        <w:rPr>
          <w:szCs w:val="22"/>
        </w:rPr>
        <w:t>.</w:t>
      </w:r>
      <w:r w:rsidR="003145D7">
        <w:rPr>
          <w:rStyle w:val="FootnoteReference"/>
          <w:szCs w:val="22"/>
        </w:rPr>
        <w:footnoteReference w:id="6"/>
      </w:r>
    </w:p>
    <w:p w:rsidR="003145D7" w:rsidRDefault="003145D7">
      <w:pPr>
        <w:pStyle w:val="ParaNum"/>
        <w:numPr>
          <w:ilvl w:val="0"/>
          <w:numId w:val="5"/>
        </w:numPr>
        <w:tabs>
          <w:tab w:val="clear" w:pos="1080"/>
          <w:tab w:val="num" w:pos="1440"/>
        </w:tabs>
        <w:spacing w:after="120"/>
        <w:jc w:val="left"/>
        <w:rPr>
          <w:szCs w:val="22"/>
        </w:rPr>
      </w:pPr>
      <w:r>
        <w:rPr>
          <w:szCs w:val="22"/>
        </w:rPr>
        <w:t xml:space="preserve">On September 17, 2015, </w:t>
      </w:r>
      <w:r w:rsidR="00604D29">
        <w:rPr>
          <w:szCs w:val="22"/>
        </w:rPr>
        <w:t>the Requestors jointly filed a motion to extend the reply comment filing deadline by 14 day</w:t>
      </w:r>
      <w:r w:rsidR="00514583">
        <w:rPr>
          <w:szCs w:val="22"/>
        </w:rPr>
        <w:t>s</w:t>
      </w:r>
      <w:r w:rsidR="00604D29">
        <w:rPr>
          <w:szCs w:val="22"/>
        </w:rPr>
        <w:t>, to October 14, 2015.</w:t>
      </w:r>
      <w:r w:rsidR="00604D29">
        <w:rPr>
          <w:rStyle w:val="FootnoteReference"/>
          <w:szCs w:val="22"/>
        </w:rPr>
        <w:footnoteReference w:id="7"/>
      </w:r>
      <w:r w:rsidR="00604D29">
        <w:rPr>
          <w:szCs w:val="22"/>
        </w:rPr>
        <w:t xml:space="preserve">  </w:t>
      </w:r>
      <w:r w:rsidR="00604D29">
        <w:t>The Requestors seek additional time to draft “more focused” reply comments that would “provide the Commission with more useful information upon which to base its decisions.”</w:t>
      </w:r>
      <w:r w:rsidR="00604D29">
        <w:rPr>
          <w:rStyle w:val="FootnoteReference"/>
        </w:rPr>
        <w:footnoteReference w:id="8"/>
      </w:r>
      <w:r w:rsidR="00604D29">
        <w:t xml:space="preserve">  The Requestors note that “[t]he Commission received a large number of comments, most of which were not posted to the Commission’s web site until the afternoon of Sep</w:t>
      </w:r>
      <w:r w:rsidR="00514583">
        <w:t>tember 2</w:t>
      </w:r>
      <w:r w:rsidR="00604D29">
        <w:t>.”</w:t>
      </w:r>
      <w:r w:rsidR="00604D29">
        <w:rPr>
          <w:rStyle w:val="FootnoteReference"/>
        </w:rPr>
        <w:footnoteReference w:id="9"/>
      </w:r>
      <w:r w:rsidR="00604D29">
        <w:t xml:space="preserve">  </w:t>
      </w:r>
      <w:r w:rsidR="00C42093">
        <w:t>Additionally, the Requestors not</w:t>
      </w:r>
      <w:r w:rsidR="00514583">
        <w:t>e</w:t>
      </w:r>
      <w:r w:rsidR="00C42093">
        <w:t xml:space="preserve"> that [t]he issues being addressed in the broadband Lifeline NPRM and very important and very complex,” and</w:t>
      </w:r>
      <w:r w:rsidR="00604D29">
        <w:t xml:space="preserve"> </w:t>
      </w:r>
      <w:r w:rsidR="00C42093">
        <w:t>additional time would be beneficial to “facilitate stakeholder discussions on recommendations.”</w:t>
      </w:r>
      <w:r w:rsidR="00C42093">
        <w:rPr>
          <w:rStyle w:val="FootnoteReference"/>
        </w:rPr>
        <w:footnoteReference w:id="10"/>
      </w:r>
    </w:p>
    <w:p w:rsidR="00C42093" w:rsidRPr="009336FF" w:rsidRDefault="00C42093" w:rsidP="00C42093">
      <w:pPr>
        <w:pStyle w:val="ParaNum"/>
        <w:numPr>
          <w:ilvl w:val="0"/>
          <w:numId w:val="5"/>
        </w:numPr>
        <w:tabs>
          <w:tab w:val="clear" w:pos="1080"/>
          <w:tab w:val="num" w:pos="1440"/>
        </w:tabs>
        <w:spacing w:after="120"/>
        <w:jc w:val="left"/>
        <w:rPr>
          <w:rStyle w:val="StyleNumberedparagraphs11ptChar"/>
        </w:rPr>
      </w:pPr>
      <w:r>
        <w:t>We conclude that grant of an extension of time in the above captioned proceedings is not warranted under the present circumstances.  Extensions of time are not routinely granted,</w:t>
      </w:r>
      <w:r>
        <w:rPr>
          <w:rStyle w:val="FootnoteReference"/>
          <w:szCs w:val="22"/>
        </w:rPr>
        <w:footnoteReference w:id="11"/>
      </w:r>
      <w:r>
        <w:t xml:space="preserve"> and </w:t>
      </w:r>
      <w:r>
        <w:rPr>
          <w:rStyle w:val="StyleNumberedparagraphs11ptChar"/>
          <w:szCs w:val="22"/>
        </w:rPr>
        <w:t>we do not believe that circumstances cited by the Requestors warrant a grant of additional time.</w:t>
      </w:r>
      <w:r>
        <w:rPr>
          <w:rStyle w:val="StyleNumberedparagraphs11ptChar"/>
        </w:rPr>
        <w:t xml:space="preserve">  </w:t>
      </w:r>
      <w:r w:rsidR="00222D72">
        <w:t xml:space="preserve">Commission proceedings often involve novel and important issues and </w:t>
      </w:r>
      <w:r>
        <w:rPr>
          <w:rStyle w:val="StyleNumberedparagraphs11ptChar"/>
        </w:rPr>
        <w:t>significant number of comments</w:t>
      </w:r>
      <w:r w:rsidR="00222D72">
        <w:rPr>
          <w:rStyle w:val="StyleNumberedparagraphs11ptChar"/>
        </w:rPr>
        <w:t xml:space="preserve">, </w:t>
      </w:r>
      <w:r w:rsidR="00222D72">
        <w:t>yet granting an extension is not the norm.</w:t>
      </w:r>
      <w:r>
        <w:rPr>
          <w:rStyle w:val="FootnoteReference"/>
        </w:rPr>
        <w:footnoteReference w:id="12"/>
      </w:r>
      <w:r>
        <w:rPr>
          <w:rStyle w:val="StyleNumberedparagraphs11ptChar"/>
        </w:rPr>
        <w:t xml:space="preserve">  We find the comment cycle established by the Commission in this proceeding</w:t>
      </w:r>
      <w:r w:rsidR="006E3DB8">
        <w:rPr>
          <w:rStyle w:val="StyleNumberedparagraphs11ptChar"/>
        </w:rPr>
        <w:t xml:space="preserve"> – as already extended once in response to prior requests –</w:t>
      </w:r>
      <w:r>
        <w:rPr>
          <w:rStyle w:val="StyleNumberedparagraphs11ptChar"/>
        </w:rPr>
        <w:t xml:space="preserve"> affords sufficient time for public participation.  We therefore deny the </w:t>
      </w:r>
      <w:r w:rsidR="00222D72">
        <w:rPr>
          <w:rStyle w:val="StyleNumberedparagraphs11ptChar"/>
        </w:rPr>
        <w:t>Requestors</w:t>
      </w:r>
      <w:r>
        <w:rPr>
          <w:rStyle w:val="StyleNumberedparagraphs11ptChar"/>
        </w:rPr>
        <w:t xml:space="preserve"> Motion for Extension of Time, and the pleading cycles established in the </w:t>
      </w:r>
      <w:r w:rsidR="00222D72">
        <w:rPr>
          <w:rStyle w:val="StyleNumberedparagraphs11ptChar"/>
        </w:rPr>
        <w:t>August 5</w:t>
      </w:r>
      <w:r w:rsidR="00D04C66">
        <w:rPr>
          <w:rStyle w:val="StyleNumberedparagraphs11ptChar"/>
        </w:rPr>
        <w:t>, 2015</w:t>
      </w:r>
      <w:r w:rsidR="00222D72">
        <w:rPr>
          <w:rStyle w:val="StyleNumberedparagraphs11ptChar"/>
        </w:rPr>
        <w:t xml:space="preserve"> Deadline Extension Order</w:t>
      </w:r>
      <w:r>
        <w:rPr>
          <w:rStyle w:val="StyleNumberedparagraphs11ptChar"/>
        </w:rPr>
        <w:t xml:space="preserve"> will remain in effect.</w:t>
      </w:r>
      <w:r w:rsidR="00222D72">
        <w:rPr>
          <w:rStyle w:val="FootnoteReference"/>
        </w:rPr>
        <w:footnoteReference w:id="13"/>
      </w:r>
    </w:p>
    <w:p w:rsidR="00CA735F" w:rsidRDefault="005916F1" w:rsidP="00CA735F">
      <w:pPr>
        <w:pStyle w:val="ParaNum"/>
        <w:numPr>
          <w:ilvl w:val="0"/>
          <w:numId w:val="5"/>
        </w:numPr>
        <w:tabs>
          <w:tab w:val="clear" w:pos="1080"/>
          <w:tab w:val="num" w:pos="1440"/>
        </w:tabs>
        <w:spacing w:after="120"/>
        <w:jc w:val="left"/>
      </w:pPr>
      <w:r w:rsidRPr="00D45654">
        <w:rPr>
          <w:szCs w:val="22"/>
        </w:rPr>
        <w:t>Accordingly, IT IS ORDERED that</w:t>
      </w:r>
      <w:r w:rsidR="00514583" w:rsidRPr="00071DEA">
        <w:rPr>
          <w:rFonts w:eastAsia="Batang"/>
          <w:lang w:eastAsia="ja-JP"/>
        </w:rPr>
        <w:t xml:space="preserve">, </w:t>
      </w:r>
      <w:r w:rsidR="00514583">
        <w:t xml:space="preserve">pursuant to </w:t>
      </w:r>
      <w:r w:rsidR="00514583" w:rsidRPr="004769E4">
        <w:t>sections 4(i)</w:t>
      </w:r>
      <w:r w:rsidR="00514583">
        <w:t>, 4(j),</w:t>
      </w:r>
      <w:r w:rsidR="00514583" w:rsidRPr="004769E4">
        <w:t xml:space="preserve"> </w:t>
      </w:r>
      <w:r w:rsidR="00514583">
        <w:t xml:space="preserve">5(c) </w:t>
      </w:r>
      <w:r w:rsidR="00514583" w:rsidRPr="004769E4">
        <w:t>and 303(r) of the Communications Act</w:t>
      </w:r>
      <w:r w:rsidR="00514583">
        <w:t xml:space="preserve"> of 1934</w:t>
      </w:r>
      <w:r w:rsidR="00514583" w:rsidRPr="004769E4">
        <w:t>, as amended, 47 U.S.C. §§ 154(i)</w:t>
      </w:r>
      <w:r w:rsidR="00514583">
        <w:t xml:space="preserve">, </w:t>
      </w:r>
      <w:r w:rsidR="00514583" w:rsidRPr="004769E4">
        <w:t>154</w:t>
      </w:r>
      <w:r w:rsidR="00514583">
        <w:t>(j),</w:t>
      </w:r>
      <w:r w:rsidR="00514583" w:rsidRPr="004769E4">
        <w:t xml:space="preserve"> </w:t>
      </w:r>
      <w:r w:rsidR="00514583">
        <w:t xml:space="preserve">155(c) </w:t>
      </w:r>
      <w:r w:rsidR="00514583" w:rsidRPr="004769E4">
        <w:t>and 303(r)</w:t>
      </w:r>
      <w:r w:rsidR="00514583">
        <w:t xml:space="preserve">, </w:t>
      </w:r>
      <w:r w:rsidR="00237CF3" w:rsidRPr="00D45654">
        <w:rPr>
          <w:szCs w:val="22"/>
        </w:rPr>
        <w:t>and Sections 0.9</w:t>
      </w:r>
      <w:r w:rsidRPr="00D45654">
        <w:rPr>
          <w:szCs w:val="22"/>
        </w:rPr>
        <w:t>1,</w:t>
      </w:r>
      <w:r w:rsidR="00237CF3" w:rsidRPr="00D45654">
        <w:rPr>
          <w:szCs w:val="22"/>
        </w:rPr>
        <w:t xml:space="preserve"> 0.291,</w:t>
      </w:r>
      <w:r w:rsidR="0034026E" w:rsidRPr="00D45654">
        <w:rPr>
          <w:szCs w:val="22"/>
        </w:rPr>
        <w:t xml:space="preserve"> 1.46, and 1.41</w:t>
      </w:r>
      <w:r w:rsidR="00237CF3" w:rsidRPr="00D45654">
        <w:rPr>
          <w:szCs w:val="22"/>
        </w:rPr>
        <w:t>5</w:t>
      </w:r>
      <w:r w:rsidRPr="00D45654">
        <w:rPr>
          <w:szCs w:val="22"/>
        </w:rPr>
        <w:t xml:space="preserve"> of the Commission’s Rules, 47 C.F.R. §§ </w:t>
      </w:r>
      <w:r w:rsidR="0034026E" w:rsidRPr="00D45654">
        <w:rPr>
          <w:szCs w:val="22"/>
        </w:rPr>
        <w:t>0.91, 0.291, 1.46</w:t>
      </w:r>
      <w:r w:rsidR="00237CF3" w:rsidRPr="00D45654">
        <w:rPr>
          <w:szCs w:val="22"/>
        </w:rPr>
        <w:t xml:space="preserve">, and </w:t>
      </w:r>
      <w:r w:rsidR="0034026E" w:rsidRPr="00D45654">
        <w:rPr>
          <w:szCs w:val="22"/>
        </w:rPr>
        <w:t>1.41</w:t>
      </w:r>
      <w:r w:rsidR="00237CF3" w:rsidRPr="00D45654">
        <w:rPr>
          <w:szCs w:val="22"/>
        </w:rPr>
        <w:t>5</w:t>
      </w:r>
      <w:r w:rsidRPr="00D45654">
        <w:rPr>
          <w:szCs w:val="22"/>
        </w:rPr>
        <w:t xml:space="preserve">, the </w:t>
      </w:r>
      <w:r w:rsidR="00E178D4" w:rsidRPr="00D45654">
        <w:rPr>
          <w:szCs w:val="22"/>
        </w:rPr>
        <w:t>m</w:t>
      </w:r>
      <w:r w:rsidR="00C10A2B" w:rsidRPr="00D45654">
        <w:rPr>
          <w:szCs w:val="22"/>
        </w:rPr>
        <w:t xml:space="preserve">otion of </w:t>
      </w:r>
      <w:r w:rsidR="00514583">
        <w:rPr>
          <w:szCs w:val="22"/>
        </w:rPr>
        <w:t xml:space="preserve">the </w:t>
      </w:r>
      <w:r w:rsidR="00514583">
        <w:rPr>
          <w:rStyle w:val="StyleNumberedparagraphs11ptChar"/>
          <w:szCs w:val="22"/>
        </w:rPr>
        <w:t xml:space="preserve">National Association of State Utility Consumer Advocates, Public Knowledge, the National Consumer Law Center, the Greenlining Institute, California Emerging Technology Fund, the Center for Accessible technology, and Media Alliance and Consumer Action </w:t>
      </w:r>
      <w:r w:rsidR="00514583">
        <w:rPr>
          <w:szCs w:val="22"/>
        </w:rPr>
        <w:t>IS DENIED.</w:t>
      </w:r>
    </w:p>
    <w:p w:rsidR="005916F1" w:rsidRPr="00D45654" w:rsidRDefault="00CA735F">
      <w:pPr>
        <w:pStyle w:val="ParaNum"/>
        <w:numPr>
          <w:ilvl w:val="0"/>
          <w:numId w:val="5"/>
        </w:numPr>
        <w:tabs>
          <w:tab w:val="clear" w:pos="1080"/>
          <w:tab w:val="num" w:pos="1440"/>
        </w:tabs>
        <w:spacing w:after="120"/>
        <w:jc w:val="left"/>
      </w:pPr>
      <w:r>
        <w:br w:type="page"/>
      </w:r>
      <w:r w:rsidR="00514583" w:rsidRPr="00071DEA">
        <w:lastRenderedPageBreak/>
        <w:t>IT IS FURTHER ORDERED that, pursuant to section 1.102(b)(1) of the Commission’s rules, 47 C.F.R. § 1.102(b)(1), this Order SHALL BE EFFECTIVE upon release.</w:t>
      </w:r>
      <w:r w:rsidR="005916F1" w:rsidRPr="00D45654">
        <w:rPr>
          <w:szCs w:val="22"/>
        </w:rPr>
        <w:t xml:space="preserve"> </w:t>
      </w:r>
    </w:p>
    <w:p w:rsidR="005916F1" w:rsidRPr="00C10A2B" w:rsidRDefault="005916F1">
      <w:pPr>
        <w:rPr>
          <w:color w:val="FF0000"/>
          <w:szCs w:val="22"/>
        </w:rPr>
      </w:pPr>
    </w:p>
    <w:p w:rsidR="005916F1" w:rsidRPr="00C10A2B" w:rsidRDefault="005916F1">
      <w:pPr>
        <w:ind w:left="3600" w:firstLine="720"/>
        <w:rPr>
          <w:szCs w:val="22"/>
        </w:rPr>
      </w:pPr>
      <w:r w:rsidRPr="00C10A2B">
        <w:rPr>
          <w:szCs w:val="22"/>
        </w:rPr>
        <w:t>FEDERAL COMMUNICATIONS COMMISSION</w:t>
      </w:r>
    </w:p>
    <w:p w:rsidR="005916F1" w:rsidRPr="00C10A2B" w:rsidRDefault="00030ECA">
      <w:pPr>
        <w:rPr>
          <w:szCs w:val="22"/>
        </w:rPr>
      </w:pPr>
      <w:r>
        <w:rPr>
          <w:szCs w:val="22"/>
        </w:rPr>
        <w:tab/>
      </w:r>
      <w:r>
        <w:rPr>
          <w:szCs w:val="22"/>
        </w:rPr>
        <w:tab/>
      </w:r>
      <w:r>
        <w:rPr>
          <w:szCs w:val="22"/>
        </w:rPr>
        <w:tab/>
      </w:r>
      <w:r>
        <w:rPr>
          <w:szCs w:val="22"/>
        </w:rPr>
        <w:tab/>
      </w:r>
      <w:r>
        <w:rPr>
          <w:szCs w:val="22"/>
        </w:rPr>
        <w:tab/>
      </w:r>
      <w:r>
        <w:rPr>
          <w:szCs w:val="22"/>
        </w:rPr>
        <w:tab/>
      </w:r>
    </w:p>
    <w:p w:rsidR="005916F1" w:rsidRDefault="00030ECA">
      <w:pPr>
        <w:rPr>
          <w:szCs w:val="22"/>
        </w:rPr>
      </w:pPr>
      <w:r>
        <w:rPr>
          <w:szCs w:val="22"/>
        </w:rPr>
        <w:tab/>
      </w:r>
      <w:r>
        <w:rPr>
          <w:szCs w:val="22"/>
        </w:rPr>
        <w:tab/>
      </w:r>
      <w:r>
        <w:rPr>
          <w:szCs w:val="22"/>
        </w:rPr>
        <w:tab/>
      </w:r>
      <w:r>
        <w:rPr>
          <w:szCs w:val="22"/>
        </w:rPr>
        <w:tab/>
      </w:r>
      <w:r>
        <w:rPr>
          <w:szCs w:val="22"/>
        </w:rPr>
        <w:tab/>
      </w:r>
      <w:r>
        <w:rPr>
          <w:szCs w:val="22"/>
        </w:rPr>
        <w:tab/>
      </w:r>
    </w:p>
    <w:p w:rsidR="00514583" w:rsidRDefault="00030ECA">
      <w:pPr>
        <w:rPr>
          <w:szCs w:val="22"/>
        </w:rPr>
      </w:pPr>
      <w:r>
        <w:rPr>
          <w:szCs w:val="22"/>
        </w:rPr>
        <w:tab/>
      </w:r>
      <w:r>
        <w:rPr>
          <w:szCs w:val="22"/>
        </w:rPr>
        <w:tab/>
      </w:r>
      <w:r>
        <w:rPr>
          <w:szCs w:val="22"/>
        </w:rPr>
        <w:tab/>
      </w:r>
      <w:r>
        <w:rPr>
          <w:szCs w:val="22"/>
        </w:rPr>
        <w:tab/>
      </w:r>
      <w:r>
        <w:rPr>
          <w:szCs w:val="22"/>
        </w:rPr>
        <w:tab/>
      </w:r>
      <w:r>
        <w:rPr>
          <w:szCs w:val="22"/>
        </w:rPr>
        <w:tab/>
      </w:r>
    </w:p>
    <w:p w:rsidR="00030ECA" w:rsidRPr="00C10A2B" w:rsidRDefault="00030ECA">
      <w:pPr>
        <w:rPr>
          <w:szCs w:val="22"/>
        </w:rPr>
      </w:pPr>
      <w:r>
        <w:rPr>
          <w:szCs w:val="22"/>
        </w:rPr>
        <w:tab/>
      </w:r>
      <w:r>
        <w:rPr>
          <w:szCs w:val="22"/>
        </w:rPr>
        <w:tab/>
      </w:r>
      <w:r>
        <w:rPr>
          <w:szCs w:val="22"/>
        </w:rPr>
        <w:tab/>
      </w:r>
      <w:r>
        <w:rPr>
          <w:szCs w:val="22"/>
        </w:rPr>
        <w:tab/>
      </w:r>
    </w:p>
    <w:p w:rsidR="005916F1" w:rsidRPr="00C10A2B" w:rsidRDefault="004D5EAC">
      <w:pPr>
        <w:ind w:left="3600" w:firstLine="720"/>
        <w:rPr>
          <w:szCs w:val="22"/>
        </w:rPr>
      </w:pPr>
      <w:r>
        <w:rPr>
          <w:szCs w:val="22"/>
        </w:rPr>
        <w:t>Matthew S. DelNero</w:t>
      </w:r>
    </w:p>
    <w:p w:rsidR="005916F1" w:rsidRPr="00C10A2B" w:rsidRDefault="004D5EAC">
      <w:pPr>
        <w:ind w:left="3600" w:firstLine="720"/>
        <w:rPr>
          <w:szCs w:val="22"/>
        </w:rPr>
      </w:pPr>
      <w:r>
        <w:rPr>
          <w:szCs w:val="22"/>
        </w:rPr>
        <w:t>Chief</w:t>
      </w:r>
    </w:p>
    <w:p w:rsidR="005916F1" w:rsidRPr="00C10A2B" w:rsidRDefault="00C10A2B">
      <w:pPr>
        <w:ind w:left="3600" w:firstLine="720"/>
        <w:rPr>
          <w:szCs w:val="22"/>
        </w:rPr>
      </w:pPr>
      <w:r w:rsidRPr="00C10A2B">
        <w:rPr>
          <w:szCs w:val="22"/>
        </w:rPr>
        <w:t>Wireline Competition</w:t>
      </w:r>
      <w:r w:rsidR="005916F1" w:rsidRPr="00C10A2B">
        <w:rPr>
          <w:szCs w:val="22"/>
        </w:rPr>
        <w:t xml:space="preserve"> Bureau</w:t>
      </w:r>
    </w:p>
    <w:sectPr w:rsidR="005916F1" w:rsidRPr="00C10A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DE" w:rsidRDefault="008029DE">
      <w:r>
        <w:separator/>
      </w:r>
    </w:p>
  </w:endnote>
  <w:endnote w:type="continuationSeparator" w:id="0">
    <w:p w:rsidR="008029DE" w:rsidRDefault="0080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4" w:rsidRDefault="00863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F1" w:rsidRDefault="005916F1">
    <w:pPr>
      <w:pStyle w:val="Footer"/>
      <w:jc w:val="center"/>
    </w:pPr>
    <w:r>
      <w:rPr>
        <w:rStyle w:val="PageNumber"/>
      </w:rPr>
      <w:fldChar w:fldCharType="begin"/>
    </w:r>
    <w:r>
      <w:rPr>
        <w:rStyle w:val="PageNumber"/>
      </w:rPr>
      <w:instrText xml:space="preserve"> PAGE </w:instrText>
    </w:r>
    <w:r>
      <w:rPr>
        <w:rStyle w:val="PageNumber"/>
      </w:rPr>
      <w:fldChar w:fldCharType="separate"/>
    </w:r>
    <w:r w:rsidR="005916D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4" w:rsidRDefault="0086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DE" w:rsidRDefault="008029DE">
      <w:pPr>
        <w:rPr>
          <w:sz w:val="20"/>
        </w:rPr>
      </w:pPr>
      <w:r>
        <w:rPr>
          <w:sz w:val="20"/>
        </w:rPr>
        <w:separator/>
      </w:r>
    </w:p>
  </w:footnote>
  <w:footnote w:type="continuationSeparator" w:id="0">
    <w:p w:rsidR="008029DE" w:rsidRDefault="008029DE">
      <w:pPr>
        <w:rPr>
          <w:sz w:val="20"/>
        </w:rPr>
      </w:pPr>
      <w:r>
        <w:rPr>
          <w:sz w:val="20"/>
        </w:rPr>
        <w:separator/>
      </w:r>
    </w:p>
    <w:p w:rsidR="008029DE" w:rsidRDefault="008029DE">
      <w:pPr>
        <w:rPr>
          <w:sz w:val="20"/>
        </w:rPr>
      </w:pPr>
      <w:r>
        <w:rPr>
          <w:sz w:val="20"/>
        </w:rPr>
        <w:t>(...continued from previous page)</w:t>
      </w:r>
    </w:p>
  </w:footnote>
  <w:footnote w:type="continuationNotice" w:id="1">
    <w:p w:rsidR="008029DE" w:rsidRDefault="008029DE">
      <w:pPr>
        <w:jc w:val="right"/>
        <w:rPr>
          <w:sz w:val="20"/>
        </w:rPr>
      </w:pPr>
      <w:r>
        <w:rPr>
          <w:sz w:val="20"/>
        </w:rPr>
        <w:t>(continued....)</w:t>
      </w:r>
    </w:p>
  </w:footnote>
  <w:footnote w:id="2">
    <w:p w:rsidR="00F32D41" w:rsidRPr="003145D7" w:rsidRDefault="00F32D41" w:rsidP="001F1482">
      <w:pPr>
        <w:pStyle w:val="FootnoteText"/>
        <w:jc w:val="left"/>
      </w:pPr>
      <w:r>
        <w:rPr>
          <w:rStyle w:val="FootnoteReference"/>
        </w:rPr>
        <w:footnoteRef/>
      </w:r>
      <w:r>
        <w:t xml:space="preserve"> </w:t>
      </w:r>
      <w:r w:rsidRPr="003145D7">
        <w:t xml:space="preserve">Motion by </w:t>
      </w:r>
      <w:r w:rsidR="003145D7" w:rsidRPr="003145D7">
        <w:rPr>
          <w:rStyle w:val="StyleNumberedparagraphs11ptChar"/>
          <w:sz w:val="20"/>
        </w:rPr>
        <w:t>National Association of State Utility Consumer Advocates, Public Knowledge, the National Consumer Law Center, the Greenlining Institute, California Emerging Technology Fund, the Center for Accessible technology, and Media Alliance and Consumer Action</w:t>
      </w:r>
      <w:r w:rsidRPr="003145D7">
        <w:t xml:space="preserve"> for an Extension of Time to Submit </w:t>
      </w:r>
      <w:r w:rsidR="003145D7">
        <w:t>Reply Comments, WC Docket No. 11-42 et al. (filed Sept. 17, 2015</w:t>
      </w:r>
      <w:r w:rsidRPr="003145D7">
        <w:t>) (</w:t>
      </w:r>
      <w:r w:rsidR="003145D7">
        <w:t>NASUCA</w:t>
      </w:r>
      <w:r w:rsidRPr="003145D7">
        <w:t xml:space="preserve"> Request).</w:t>
      </w:r>
    </w:p>
  </w:footnote>
  <w:footnote w:id="3">
    <w:p w:rsidR="00D40DBF" w:rsidRPr="00D40DBF" w:rsidRDefault="00D40DBF" w:rsidP="001F1482">
      <w:pPr>
        <w:pStyle w:val="FootnoteText"/>
        <w:jc w:val="left"/>
      </w:pPr>
      <w:r>
        <w:rPr>
          <w:rStyle w:val="FootnoteReference"/>
        </w:rPr>
        <w:footnoteRef/>
      </w:r>
      <w:r>
        <w:t xml:space="preserve"> </w:t>
      </w:r>
      <w:r>
        <w:rPr>
          <w:i/>
        </w:rPr>
        <w:t>See</w:t>
      </w:r>
      <w:r>
        <w:t xml:space="preserve"> </w:t>
      </w:r>
      <w:r>
        <w:rPr>
          <w:i/>
        </w:rPr>
        <w:t>Lifeline and Link Up Reform and Modernization</w:t>
      </w:r>
      <w:r w:rsidR="00386E16">
        <w:rPr>
          <w:i/>
        </w:rPr>
        <w:t>,</w:t>
      </w:r>
      <w:r>
        <w:rPr>
          <w:i/>
        </w:rPr>
        <w:t xml:space="preserve"> et al.</w:t>
      </w:r>
      <w:r>
        <w:t>, WC Docket No. 11-42</w:t>
      </w:r>
      <w:r w:rsidR="00386E16">
        <w:t>,</w:t>
      </w:r>
      <w:r>
        <w:t xml:space="preserve"> et al., Second Further Notice of Proposed Rulemaking, Order on Reconsideration, Second Report and Order, and Memorandum Opinion and Order</w:t>
      </w:r>
      <w:r w:rsidR="00C94E60">
        <w:t xml:space="preserve">, </w:t>
      </w:r>
      <w:r w:rsidR="003D4F77">
        <w:t>30 FCC Rcd 7818</w:t>
      </w:r>
      <w:r>
        <w:t xml:space="preserve"> (2015)</w:t>
      </w:r>
      <w:r w:rsidR="00A60DB7">
        <w:t xml:space="preserve"> (</w:t>
      </w:r>
      <w:r w:rsidR="00C529A7">
        <w:rPr>
          <w:i/>
        </w:rPr>
        <w:t xml:space="preserve">Lifeline Reform and Modernization </w:t>
      </w:r>
      <w:r w:rsidR="00A60DB7" w:rsidRPr="00C529A7">
        <w:rPr>
          <w:i/>
        </w:rPr>
        <w:t>Second FNPRM</w:t>
      </w:r>
      <w:r w:rsidR="00A60DB7">
        <w:t>)</w:t>
      </w:r>
      <w:r>
        <w:t>.</w:t>
      </w:r>
    </w:p>
  </w:footnote>
  <w:footnote w:id="4">
    <w:p w:rsidR="00386E16" w:rsidRPr="00386E16" w:rsidRDefault="00386E16" w:rsidP="001F1482">
      <w:pPr>
        <w:pStyle w:val="FootnoteText"/>
        <w:jc w:val="left"/>
        <w:rPr>
          <w:i/>
        </w:rPr>
      </w:pPr>
      <w:r>
        <w:rPr>
          <w:rStyle w:val="FootnoteReference"/>
        </w:rPr>
        <w:footnoteRef/>
      </w:r>
      <w:r>
        <w:t xml:space="preserve"> </w:t>
      </w:r>
      <w:r>
        <w:rPr>
          <w:i/>
        </w:rPr>
        <w:t>Id.</w:t>
      </w:r>
    </w:p>
  </w:footnote>
  <w:footnote w:id="5">
    <w:p w:rsidR="00386E16" w:rsidRPr="00386E16" w:rsidRDefault="00386E16" w:rsidP="001F1482">
      <w:pPr>
        <w:pStyle w:val="FootnoteText"/>
        <w:jc w:val="left"/>
      </w:pPr>
      <w:r>
        <w:rPr>
          <w:rStyle w:val="FootnoteReference"/>
        </w:rPr>
        <w:footnoteRef/>
      </w:r>
      <w:r>
        <w:t xml:space="preserve"> Lifeline and Link Up Reform and Modernization, Telecommunications Carriers Eligible for Universal Service Support, Connect America Fund, 80 Fed. Reg. 42670 (July 17, 2015); </w:t>
      </w:r>
      <w:r w:rsidR="003D4F77">
        <w:rPr>
          <w:i/>
        </w:rPr>
        <w:t>Wireline Competition Bureau Announces Comment Deadlines for Lifeline Reform Second Further Notice of Proposed Rulemaking</w:t>
      </w:r>
      <w:r>
        <w:t>, WC Docket No. 11-42, et al., Public Not</w:t>
      </w:r>
      <w:r w:rsidR="00C529A7">
        <w:t xml:space="preserve">ice, </w:t>
      </w:r>
      <w:r w:rsidR="003D4F77">
        <w:t xml:space="preserve">30 FCC Rcd 7341 (Wireline Comp. Bur. </w:t>
      </w:r>
      <w:r w:rsidR="00C529A7">
        <w:t>2015)</w:t>
      </w:r>
      <w:r>
        <w:t>.</w:t>
      </w:r>
    </w:p>
  </w:footnote>
  <w:footnote w:id="6">
    <w:p w:rsidR="003145D7" w:rsidRDefault="003145D7" w:rsidP="001F1482">
      <w:pPr>
        <w:pStyle w:val="FootnoteText"/>
        <w:jc w:val="left"/>
      </w:pPr>
      <w:r>
        <w:rPr>
          <w:rStyle w:val="FootnoteReference"/>
        </w:rPr>
        <w:footnoteRef/>
      </w:r>
      <w:r>
        <w:t xml:space="preserve"> </w:t>
      </w:r>
      <w:r>
        <w:rPr>
          <w:i/>
        </w:rPr>
        <w:t>Lifeline and Link Up Reform and Modernization, et al.</w:t>
      </w:r>
      <w:r>
        <w:t>, WC Docket No. 11-42, et al., Order, DA 15-885 (</w:t>
      </w:r>
      <w:r w:rsidR="003D4F77">
        <w:t xml:space="preserve">Wireline Comp. Bur. rel. </w:t>
      </w:r>
      <w:r>
        <w:t>Aug. 5, 2015)</w:t>
      </w:r>
      <w:r w:rsidR="00C42093">
        <w:t xml:space="preserve"> (August 5th Deadline Extension Order)</w:t>
      </w:r>
      <w:r>
        <w:t>.</w:t>
      </w:r>
    </w:p>
  </w:footnote>
  <w:footnote w:id="7">
    <w:p w:rsidR="00604D29" w:rsidRDefault="00604D29" w:rsidP="001F1482">
      <w:pPr>
        <w:pStyle w:val="FootnoteText"/>
        <w:jc w:val="left"/>
      </w:pPr>
      <w:r>
        <w:rPr>
          <w:rStyle w:val="FootnoteReference"/>
        </w:rPr>
        <w:footnoteRef/>
      </w:r>
      <w:r>
        <w:t xml:space="preserve"> NASUCA Request.</w:t>
      </w:r>
    </w:p>
  </w:footnote>
  <w:footnote w:id="8">
    <w:p w:rsidR="00604D29" w:rsidRPr="00604D29" w:rsidRDefault="00604D29" w:rsidP="001F1482">
      <w:pPr>
        <w:pStyle w:val="FootnoteText"/>
        <w:jc w:val="left"/>
      </w:pPr>
      <w:r>
        <w:rPr>
          <w:rStyle w:val="FootnoteReference"/>
        </w:rPr>
        <w:footnoteRef/>
      </w:r>
      <w:r>
        <w:t xml:space="preserve"> </w:t>
      </w:r>
      <w:r>
        <w:rPr>
          <w:i/>
        </w:rPr>
        <w:t xml:space="preserve">See id. </w:t>
      </w:r>
      <w:r>
        <w:t>at 2.</w:t>
      </w:r>
    </w:p>
  </w:footnote>
  <w:footnote w:id="9">
    <w:p w:rsidR="00604D29" w:rsidRDefault="00604D29" w:rsidP="001F1482">
      <w:pPr>
        <w:pStyle w:val="FootnoteText"/>
        <w:jc w:val="left"/>
      </w:pPr>
      <w:r>
        <w:rPr>
          <w:rStyle w:val="FootnoteReference"/>
        </w:rPr>
        <w:footnoteRef/>
      </w:r>
      <w:r>
        <w:t xml:space="preserve"> </w:t>
      </w:r>
      <w:r w:rsidR="00C42093">
        <w:rPr>
          <w:i/>
        </w:rPr>
        <w:t>See id.</w:t>
      </w:r>
    </w:p>
  </w:footnote>
  <w:footnote w:id="10">
    <w:p w:rsidR="00C42093" w:rsidRDefault="00C42093" w:rsidP="001F1482">
      <w:pPr>
        <w:pStyle w:val="FootnoteText"/>
        <w:jc w:val="left"/>
      </w:pPr>
      <w:r>
        <w:rPr>
          <w:rStyle w:val="FootnoteReference"/>
        </w:rPr>
        <w:footnoteRef/>
      </w:r>
      <w:r>
        <w:t xml:space="preserve"> </w:t>
      </w:r>
      <w:r>
        <w:rPr>
          <w:i/>
        </w:rPr>
        <w:t>See id</w:t>
      </w:r>
    </w:p>
  </w:footnote>
  <w:footnote w:id="11">
    <w:p w:rsidR="00C42093" w:rsidRDefault="00C42093" w:rsidP="001F1482">
      <w:pPr>
        <w:pStyle w:val="FootnoteText"/>
        <w:jc w:val="left"/>
      </w:pPr>
      <w:r>
        <w:rPr>
          <w:rStyle w:val="FootnoteReference"/>
        </w:rPr>
        <w:footnoteRef/>
      </w:r>
      <w:r>
        <w:t xml:space="preserve"> 47 C.F.R. § 1.46.</w:t>
      </w:r>
    </w:p>
  </w:footnote>
  <w:footnote w:id="12">
    <w:p w:rsidR="00C42093" w:rsidRPr="00123109" w:rsidRDefault="00C42093" w:rsidP="001F1482">
      <w:pPr>
        <w:pStyle w:val="FootnoteText"/>
        <w:jc w:val="left"/>
        <w:rPr>
          <w:i/>
        </w:rPr>
      </w:pPr>
      <w:r>
        <w:rPr>
          <w:rStyle w:val="FootnoteReference"/>
        </w:rPr>
        <w:footnoteRef/>
      </w:r>
      <w:r>
        <w:t xml:space="preserve"> </w:t>
      </w:r>
      <w:r>
        <w:rPr>
          <w:i/>
        </w:rPr>
        <w:t>See, e.g.</w:t>
      </w:r>
      <w:r>
        <w:t xml:space="preserve">, </w:t>
      </w:r>
      <w:r>
        <w:rPr>
          <w:i/>
        </w:rPr>
        <w:t>Protecting and Promoting the Open Internet</w:t>
      </w:r>
      <w:r>
        <w:t xml:space="preserve">, GN Docket No. 14-28, Order, </w:t>
      </w:r>
      <w:r w:rsidR="001F5050">
        <w:t>29 FCC Rcd 8305</w:t>
      </w:r>
      <w:r>
        <w:t xml:space="preserve"> (Wireline Comp. Bur. 2014); </w:t>
      </w:r>
      <w:r>
        <w:rPr>
          <w:i/>
        </w:rPr>
        <w:t>Petition of the City of Wilson, North Carolina, Pursuant to Section 706 of the Telecommunications Act of 1996, for Removal of Barriers to Broadband Investment and Competition</w:t>
      </w:r>
      <w:r>
        <w:t xml:space="preserve">, WC Docket No. 14-115, </w:t>
      </w:r>
      <w:r>
        <w:rPr>
          <w:i/>
        </w:rPr>
        <w:t>Petition of the Electric Power Board of Chattanooga, Tennessee, Pursuant to Section 706 of the Telecommunications Act of 1996, for Removal of Barriers to Broadband Investment and Competition</w:t>
      </w:r>
      <w:r>
        <w:t xml:space="preserve">, WC Docket No. 14-116, Order, </w:t>
      </w:r>
      <w:r w:rsidR="001F5050">
        <w:t xml:space="preserve">29 FCC Rcd 10178 (Wireline Comp. Bur. </w:t>
      </w:r>
      <w:r>
        <w:t>2014) (denying requests for extensions of time to file comments and reply comments).</w:t>
      </w:r>
    </w:p>
  </w:footnote>
  <w:footnote w:id="13">
    <w:p w:rsidR="00222D72" w:rsidRPr="00222D72" w:rsidRDefault="00222D72" w:rsidP="001F1482">
      <w:pPr>
        <w:pStyle w:val="FootnoteText"/>
        <w:jc w:val="left"/>
        <w:rPr>
          <w:i/>
        </w:rPr>
      </w:pPr>
      <w:r>
        <w:rPr>
          <w:rStyle w:val="FootnoteReference"/>
        </w:rPr>
        <w:footnoteRef/>
      </w:r>
      <w:r>
        <w:t xml:space="preserve"> </w:t>
      </w:r>
      <w:r>
        <w:rPr>
          <w:i/>
        </w:rPr>
        <w:t xml:space="preserve">See </w:t>
      </w:r>
      <w:r>
        <w:t>August 5th Deadline Extension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14" w:rsidRDefault="00863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F1" w:rsidRDefault="005916F1">
    <w:pPr>
      <w:pStyle w:val="Header"/>
      <w:tabs>
        <w:tab w:val="clear" w:pos="4320"/>
        <w:tab w:val="clear" w:pos="8640"/>
        <w:tab w:val="center" w:pos="4680"/>
        <w:tab w:val="right" w:pos="9360"/>
      </w:tabs>
      <w:rPr>
        <w:b/>
      </w:rPr>
    </w:pPr>
    <w:r>
      <w:rPr>
        <w:b/>
      </w:rPr>
      <w:tab/>
      <w:t>Federal Co</w:t>
    </w:r>
    <w:r w:rsidR="004D5EAC">
      <w:rPr>
        <w:b/>
      </w:rPr>
      <w:t>m</w:t>
    </w:r>
    <w:r w:rsidR="00317A14">
      <w:rPr>
        <w:b/>
      </w:rPr>
      <w:t>munications Commission</w:t>
    </w:r>
    <w:r w:rsidR="00317A14">
      <w:rPr>
        <w:b/>
      </w:rPr>
      <w:tab/>
      <w:t>DA 15-</w:t>
    </w:r>
    <w:r w:rsidR="00030ECA">
      <w:rPr>
        <w:b/>
      </w:rPr>
      <w:t>1068</w:t>
    </w:r>
  </w:p>
  <w:p w:rsidR="005916F1" w:rsidRDefault="00CA735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382B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916F1" w:rsidRDefault="0059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F1" w:rsidRDefault="005916F1">
    <w:pPr>
      <w:pStyle w:val="Header"/>
      <w:tabs>
        <w:tab w:val="clear" w:pos="4320"/>
        <w:tab w:val="clear" w:pos="8640"/>
        <w:tab w:val="center" w:pos="4680"/>
        <w:tab w:val="right" w:pos="9360"/>
      </w:tabs>
      <w:rPr>
        <w:b/>
      </w:rPr>
    </w:pPr>
    <w:r>
      <w:rPr>
        <w:b/>
      </w:rPr>
      <w:tab/>
      <w:t>Federal Co</w:t>
    </w:r>
    <w:r w:rsidR="00D61F77">
      <w:rPr>
        <w:b/>
      </w:rPr>
      <w:t>m</w:t>
    </w:r>
    <w:r w:rsidR="00317A14">
      <w:rPr>
        <w:b/>
      </w:rPr>
      <w:t>munications Commission</w:t>
    </w:r>
    <w:r w:rsidR="00317A14">
      <w:rPr>
        <w:b/>
      </w:rPr>
      <w:tab/>
      <w:t>DA 15-</w:t>
    </w:r>
    <w:r w:rsidR="00030ECA">
      <w:rPr>
        <w:b/>
      </w:rPr>
      <w:t>1068</w:t>
    </w:r>
  </w:p>
  <w:p w:rsidR="005916F1" w:rsidRDefault="00CA735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C8E7A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4A1"/>
    <w:multiLevelType w:val="hybridMultilevel"/>
    <w:tmpl w:val="FAD2F974"/>
    <w:lvl w:ilvl="0" w:tplc="19D69C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2862E2"/>
    <w:multiLevelType w:val="hybridMultilevel"/>
    <w:tmpl w:val="18F259F0"/>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3C4E4A59"/>
    <w:multiLevelType w:val="hybridMultilevel"/>
    <w:tmpl w:val="0D4674E0"/>
    <w:lvl w:ilvl="0" w:tplc="58088F3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F1B3D"/>
    <w:multiLevelType w:val="multilevel"/>
    <w:tmpl w:val="D260579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AA9411B"/>
    <w:multiLevelType w:val="hybridMultilevel"/>
    <w:tmpl w:val="41FCAB0C"/>
    <w:lvl w:ilvl="0" w:tplc="404653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82925"/>
    <w:multiLevelType w:val="singleLevel"/>
    <w:tmpl w:val="D180CED0"/>
    <w:lvl w:ilvl="0">
      <w:start w:val="1"/>
      <w:numFmt w:val="decimal"/>
      <w:pStyle w:val="ParaNumChar1"/>
      <w:lvlText w:val="%1."/>
      <w:lvlJc w:val="left"/>
      <w:pPr>
        <w:tabs>
          <w:tab w:val="num" w:pos="1080"/>
        </w:tabs>
        <w:ind w:left="0" w:firstLine="720"/>
      </w:pPr>
    </w:lvl>
  </w:abstractNum>
  <w:num w:numId="1">
    <w:abstractNumId w:val="5"/>
  </w:num>
  <w:num w:numId="2">
    <w:abstractNumId w:val="6"/>
  </w:num>
  <w:num w:numId="3">
    <w:abstractNumId w:val="3"/>
  </w:num>
  <w:num w:numId="4">
    <w:abstractNumId w:val="4"/>
  </w:num>
  <w:num w:numId="5">
    <w:abstractNumId w:val="8"/>
  </w:num>
  <w:num w:numId="6">
    <w:abstractNumId w:val="1"/>
  </w:num>
  <w:num w:numId="7">
    <w:abstractNumId w:val="3"/>
  </w:num>
  <w:num w:numId="8">
    <w:abstractNumId w:val="3"/>
  </w:num>
  <w:num w:numId="9">
    <w:abstractNumId w:val="3"/>
  </w:num>
  <w:num w:numId="10">
    <w:abstractNumId w:val="3"/>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2"/>
  </w:num>
  <w:num w:numId="21">
    <w:abstractNumId w:val="0"/>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77"/>
    <w:rsid w:val="00000ADC"/>
    <w:rsid w:val="00030E74"/>
    <w:rsid w:val="00030ECA"/>
    <w:rsid w:val="0008064A"/>
    <w:rsid w:val="00111D8D"/>
    <w:rsid w:val="00166907"/>
    <w:rsid w:val="001A3BAF"/>
    <w:rsid w:val="001F1482"/>
    <w:rsid w:val="001F5050"/>
    <w:rsid w:val="00222D72"/>
    <w:rsid w:val="00237CF3"/>
    <w:rsid w:val="003145D7"/>
    <w:rsid w:val="00317A14"/>
    <w:rsid w:val="0034026E"/>
    <w:rsid w:val="003625D3"/>
    <w:rsid w:val="00386E16"/>
    <w:rsid w:val="003D4F77"/>
    <w:rsid w:val="004323C0"/>
    <w:rsid w:val="004D5EAC"/>
    <w:rsid w:val="00510C8D"/>
    <w:rsid w:val="00514583"/>
    <w:rsid w:val="005916DD"/>
    <w:rsid w:val="005916F1"/>
    <w:rsid w:val="00604D29"/>
    <w:rsid w:val="00694AC1"/>
    <w:rsid w:val="006E3DB8"/>
    <w:rsid w:val="007F1CED"/>
    <w:rsid w:val="008029DE"/>
    <w:rsid w:val="00863214"/>
    <w:rsid w:val="008F3859"/>
    <w:rsid w:val="009211D4"/>
    <w:rsid w:val="00970E31"/>
    <w:rsid w:val="009B5BE0"/>
    <w:rsid w:val="00A60DB7"/>
    <w:rsid w:val="00AA6E31"/>
    <w:rsid w:val="00AD5DAD"/>
    <w:rsid w:val="00AE5BFF"/>
    <w:rsid w:val="00B44AAF"/>
    <w:rsid w:val="00BC0DB2"/>
    <w:rsid w:val="00C10A2B"/>
    <w:rsid w:val="00C42093"/>
    <w:rsid w:val="00C529A7"/>
    <w:rsid w:val="00C708D3"/>
    <w:rsid w:val="00C94E60"/>
    <w:rsid w:val="00CA735F"/>
    <w:rsid w:val="00D0169B"/>
    <w:rsid w:val="00D04C66"/>
    <w:rsid w:val="00D40DBF"/>
    <w:rsid w:val="00D45654"/>
    <w:rsid w:val="00D61F77"/>
    <w:rsid w:val="00DB41C6"/>
    <w:rsid w:val="00DC7793"/>
    <w:rsid w:val="00E11759"/>
    <w:rsid w:val="00E178D4"/>
    <w:rsid w:val="00EE6B56"/>
    <w:rsid w:val="00F16819"/>
    <w:rsid w:val="00F32D41"/>
    <w:rsid w:val="00F70C0C"/>
    <w:rsid w:val="00F765AA"/>
    <w:rsid w:val="00F90019"/>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 w:type="character" w:styleId="CommentReference">
    <w:name w:val="annotation reference"/>
    <w:rsid w:val="001A3BAF"/>
    <w:rPr>
      <w:sz w:val="16"/>
      <w:szCs w:val="16"/>
    </w:rPr>
  </w:style>
  <w:style w:type="paragraph" w:styleId="CommentText">
    <w:name w:val="annotation text"/>
    <w:basedOn w:val="Normal"/>
    <w:link w:val="CommentTextChar"/>
    <w:rsid w:val="001A3BAF"/>
    <w:rPr>
      <w:sz w:val="20"/>
    </w:rPr>
  </w:style>
  <w:style w:type="character" w:customStyle="1" w:styleId="CommentTextChar">
    <w:name w:val="Comment Text Char"/>
    <w:basedOn w:val="DefaultParagraphFont"/>
    <w:link w:val="CommentText"/>
    <w:rsid w:val="001A3BAF"/>
  </w:style>
  <w:style w:type="paragraph" w:styleId="CommentSubject">
    <w:name w:val="annotation subject"/>
    <w:basedOn w:val="CommentText"/>
    <w:next w:val="CommentText"/>
    <w:link w:val="CommentSubjectChar"/>
    <w:rsid w:val="001A3BAF"/>
    <w:rPr>
      <w:b/>
      <w:bCs/>
    </w:rPr>
  </w:style>
  <w:style w:type="character" w:customStyle="1" w:styleId="CommentSubjectChar">
    <w:name w:val="Comment Subject Char"/>
    <w:link w:val="CommentSubject"/>
    <w:rsid w:val="001A3BAF"/>
    <w:rPr>
      <w:b/>
      <w:bCs/>
    </w:rPr>
  </w:style>
  <w:style w:type="character" w:customStyle="1" w:styleId="StyleNumberedparagraphs11ptChar">
    <w:name w:val="Style Numbered paragraphs + 11 pt Char"/>
    <w:rsid w:val="00F32D41"/>
    <w:rPr>
      <w:noProof w:val="0"/>
      <w:sz w:val="22"/>
      <w:lang w:val="en-US" w:eastAsia="en-US" w:bidi="ar-SA"/>
    </w:rPr>
  </w:style>
  <w:style w:type="character" w:customStyle="1" w:styleId="FootnoteTextCharCharCharChar">
    <w:name w:val="Footnote Text Char Char Char Char"/>
    <w:aliases w:val="Footnote Text Char2 Char Char Char Char,Footnote Text Char1 Char Char Char Char Char,Footnote Text Char Char Char Char Char Char Char,fn Char1"/>
    <w:rsid w:val="00F32D41"/>
  </w:style>
  <w:style w:type="character" w:customStyle="1" w:styleId="ParaNumCharChar1">
    <w:name w:val="ParaNum Char Char1"/>
    <w:link w:val="ParaNum"/>
    <w:rsid w:val="00C4209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f"/>
    <w:basedOn w:val="Normal"/>
    <w:link w:val="FootnoteTextChar3"/>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 w:type="character" w:styleId="CommentReference">
    <w:name w:val="annotation reference"/>
    <w:rsid w:val="001A3BAF"/>
    <w:rPr>
      <w:sz w:val="16"/>
      <w:szCs w:val="16"/>
    </w:rPr>
  </w:style>
  <w:style w:type="paragraph" w:styleId="CommentText">
    <w:name w:val="annotation text"/>
    <w:basedOn w:val="Normal"/>
    <w:link w:val="CommentTextChar"/>
    <w:rsid w:val="001A3BAF"/>
    <w:rPr>
      <w:sz w:val="20"/>
    </w:rPr>
  </w:style>
  <w:style w:type="character" w:customStyle="1" w:styleId="CommentTextChar">
    <w:name w:val="Comment Text Char"/>
    <w:basedOn w:val="DefaultParagraphFont"/>
    <w:link w:val="CommentText"/>
    <w:rsid w:val="001A3BAF"/>
  </w:style>
  <w:style w:type="paragraph" w:styleId="CommentSubject">
    <w:name w:val="annotation subject"/>
    <w:basedOn w:val="CommentText"/>
    <w:next w:val="CommentText"/>
    <w:link w:val="CommentSubjectChar"/>
    <w:rsid w:val="001A3BAF"/>
    <w:rPr>
      <w:b/>
      <w:bCs/>
    </w:rPr>
  </w:style>
  <w:style w:type="character" w:customStyle="1" w:styleId="CommentSubjectChar">
    <w:name w:val="Comment Subject Char"/>
    <w:link w:val="CommentSubject"/>
    <w:rsid w:val="001A3BAF"/>
    <w:rPr>
      <w:b/>
      <w:bCs/>
    </w:rPr>
  </w:style>
  <w:style w:type="character" w:customStyle="1" w:styleId="StyleNumberedparagraphs11ptChar">
    <w:name w:val="Style Numbered paragraphs + 11 pt Char"/>
    <w:rsid w:val="00F32D41"/>
    <w:rPr>
      <w:noProof w:val="0"/>
      <w:sz w:val="22"/>
      <w:lang w:val="en-US" w:eastAsia="en-US" w:bidi="ar-SA"/>
    </w:rPr>
  </w:style>
  <w:style w:type="character" w:customStyle="1" w:styleId="FootnoteTextCharCharCharChar">
    <w:name w:val="Footnote Text Char Char Char Char"/>
    <w:aliases w:val="Footnote Text Char2 Char Char Char Char,Footnote Text Char1 Char Char Char Char Char,Footnote Text Char Char Char Char Char Char Char,fn Char1"/>
    <w:rsid w:val="00F32D41"/>
  </w:style>
  <w:style w:type="character" w:customStyle="1" w:styleId="ParaNumCharChar1">
    <w:name w:val="ParaNum Char Char1"/>
    <w:link w:val="ParaNum"/>
    <w:rsid w:val="00C420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1094">
      <w:bodyDiv w:val="1"/>
      <w:marLeft w:val="0"/>
      <w:marRight w:val="0"/>
      <w:marTop w:val="0"/>
      <w:marBottom w:val="0"/>
      <w:divBdr>
        <w:top w:val="none" w:sz="0" w:space="0" w:color="auto"/>
        <w:left w:val="none" w:sz="0" w:space="0" w:color="auto"/>
        <w:bottom w:val="none" w:sz="0" w:space="0" w:color="auto"/>
        <w:right w:val="none" w:sz="0" w:space="0" w:color="auto"/>
      </w:divBdr>
      <w:divsChild>
        <w:div w:id="114131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3</Pages>
  <Words>656</Words>
  <Characters>3605</Characters>
  <Application>Microsoft Office Word</Application>
  <DocSecurity>0</DocSecurity>
  <Lines>94</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2012-12-19T19:13:00Z</cp:lastPrinted>
  <dcterms:created xsi:type="dcterms:W3CDTF">2015-09-23T19:19:00Z</dcterms:created>
  <dcterms:modified xsi:type="dcterms:W3CDTF">2015-09-23T19:19:00Z</dcterms:modified>
  <cp:category> </cp:category>
  <cp:contentStatus> </cp:contentStatus>
</cp:coreProperties>
</file>