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A0D" w:rsidRPr="00866921" w:rsidRDefault="00524A0D" w:rsidP="00524A0D">
      <w:pPr>
        <w:jc w:val="right"/>
        <w:rPr>
          <w:b/>
          <w:szCs w:val="22"/>
        </w:rPr>
      </w:pPr>
      <w:bookmarkStart w:id="0" w:name="_GoBack"/>
      <w:bookmarkEnd w:id="0"/>
      <w:r w:rsidRPr="00866921">
        <w:rPr>
          <w:b/>
          <w:szCs w:val="22"/>
        </w:rPr>
        <w:t>DA 15-1037</w:t>
      </w:r>
    </w:p>
    <w:p w:rsidR="00524A0D" w:rsidRPr="00866921" w:rsidRDefault="00524A0D" w:rsidP="00524A0D">
      <w:pPr>
        <w:spacing w:before="60"/>
        <w:jc w:val="right"/>
        <w:rPr>
          <w:b/>
          <w:szCs w:val="22"/>
        </w:rPr>
      </w:pPr>
      <w:r w:rsidRPr="00866921">
        <w:rPr>
          <w:b/>
          <w:szCs w:val="22"/>
        </w:rPr>
        <w:t>Released:  September 17, 2015</w:t>
      </w:r>
    </w:p>
    <w:p w:rsidR="00524A0D" w:rsidRPr="00866921" w:rsidRDefault="00524A0D" w:rsidP="00524A0D">
      <w:pPr>
        <w:jc w:val="right"/>
        <w:rPr>
          <w:szCs w:val="22"/>
        </w:rPr>
      </w:pPr>
    </w:p>
    <w:p w:rsidR="00524A0D" w:rsidRPr="00135412" w:rsidRDefault="00524A0D" w:rsidP="00524A0D">
      <w:pPr>
        <w:spacing w:after="240"/>
        <w:jc w:val="center"/>
        <w:rPr>
          <w:b/>
          <w:szCs w:val="22"/>
        </w:rPr>
      </w:pPr>
      <w:r w:rsidRPr="00135412">
        <w:rPr>
          <w:b/>
          <w:szCs w:val="22"/>
        </w:rPr>
        <w:t>WIRELINE COMPETITION BUREAU FURTHER EXTENDS COMMENT DEADLINES IN SPECIAL ACCESS PROCEEDING</w:t>
      </w:r>
    </w:p>
    <w:p w:rsidR="00524A0D" w:rsidRPr="00135412" w:rsidRDefault="00524A0D" w:rsidP="00524A0D">
      <w:pPr>
        <w:jc w:val="center"/>
        <w:rPr>
          <w:b/>
          <w:szCs w:val="22"/>
        </w:rPr>
      </w:pPr>
      <w:r w:rsidRPr="00135412">
        <w:rPr>
          <w:b/>
          <w:szCs w:val="22"/>
        </w:rPr>
        <w:t>WC Docket No. 05-25; RM-10593</w:t>
      </w:r>
    </w:p>
    <w:p w:rsidR="00524A0D" w:rsidRPr="00866921" w:rsidRDefault="00524A0D" w:rsidP="00524A0D">
      <w:pPr>
        <w:jc w:val="center"/>
        <w:rPr>
          <w:szCs w:val="22"/>
        </w:rPr>
      </w:pPr>
    </w:p>
    <w:p w:rsidR="00524A0D" w:rsidRPr="00037EFE" w:rsidRDefault="00524A0D" w:rsidP="00524A0D">
      <w:pPr>
        <w:widowControl/>
        <w:rPr>
          <w:b/>
          <w:snapToGrid/>
          <w:kern w:val="0"/>
          <w:szCs w:val="22"/>
        </w:rPr>
      </w:pPr>
      <w:r w:rsidRPr="00037EFE">
        <w:rPr>
          <w:b/>
          <w:snapToGrid/>
          <w:kern w:val="0"/>
          <w:szCs w:val="22"/>
        </w:rPr>
        <w:t xml:space="preserve">New Comment Date:  </w:t>
      </w:r>
      <w:r>
        <w:rPr>
          <w:b/>
          <w:snapToGrid/>
          <w:kern w:val="0"/>
          <w:szCs w:val="22"/>
        </w:rPr>
        <w:t>November 20</w:t>
      </w:r>
      <w:r w:rsidRPr="00037EFE">
        <w:rPr>
          <w:b/>
          <w:snapToGrid/>
          <w:kern w:val="0"/>
          <w:szCs w:val="22"/>
        </w:rPr>
        <w:t>, 2015</w:t>
      </w:r>
    </w:p>
    <w:p w:rsidR="00524A0D" w:rsidRPr="00037EFE" w:rsidRDefault="00524A0D" w:rsidP="00524A0D">
      <w:pPr>
        <w:widowControl/>
        <w:rPr>
          <w:b/>
          <w:snapToGrid/>
          <w:kern w:val="0"/>
          <w:szCs w:val="22"/>
        </w:rPr>
      </w:pPr>
      <w:r w:rsidRPr="00037EFE">
        <w:rPr>
          <w:b/>
          <w:snapToGrid/>
          <w:kern w:val="0"/>
          <w:szCs w:val="22"/>
        </w:rPr>
        <w:t xml:space="preserve">New Reply Comment Date: </w:t>
      </w:r>
      <w:r>
        <w:rPr>
          <w:b/>
          <w:snapToGrid/>
          <w:kern w:val="0"/>
          <w:szCs w:val="22"/>
        </w:rPr>
        <w:t>December 11</w:t>
      </w:r>
      <w:r w:rsidRPr="00037EFE">
        <w:rPr>
          <w:b/>
          <w:snapToGrid/>
          <w:kern w:val="0"/>
          <w:szCs w:val="22"/>
        </w:rPr>
        <w:t>, 2015</w:t>
      </w:r>
    </w:p>
    <w:p w:rsidR="00524A0D" w:rsidRPr="00037EFE" w:rsidRDefault="00524A0D" w:rsidP="00524A0D">
      <w:pPr>
        <w:widowControl/>
        <w:rPr>
          <w:snapToGrid/>
          <w:kern w:val="0"/>
          <w:szCs w:val="22"/>
        </w:rPr>
      </w:pPr>
      <w:r w:rsidRPr="00037EFE">
        <w:rPr>
          <w:snapToGrid/>
          <w:kern w:val="0"/>
          <w:szCs w:val="22"/>
        </w:rPr>
        <w:tab/>
      </w:r>
    </w:p>
    <w:p w:rsidR="00524A0D" w:rsidRPr="00037EFE" w:rsidRDefault="00524A0D" w:rsidP="00524A0D">
      <w:pPr>
        <w:widowControl/>
        <w:spacing w:after="120"/>
        <w:ind w:firstLine="720"/>
        <w:outlineLvl w:val="0"/>
        <w:rPr>
          <w:snapToGrid/>
          <w:kern w:val="0"/>
          <w:szCs w:val="22"/>
        </w:rPr>
      </w:pPr>
      <w:r w:rsidRPr="00037EFE">
        <w:rPr>
          <w:snapToGrid/>
          <w:kern w:val="0"/>
          <w:szCs w:val="22"/>
        </w:rPr>
        <w:t>The Wireline Competition Bureau (Bureau) further extends the deadlines for interested parties to file comments and reply comments in response to Section IV.B of the Further Notice of Proposed Rulemaking (FNPRM) in the Commission’s special access rulemaking proceeding.</w:t>
      </w:r>
      <w:r w:rsidRPr="00037EFE">
        <w:rPr>
          <w:snapToGrid/>
          <w:kern w:val="0"/>
          <w:szCs w:val="22"/>
          <w:vertAlign w:val="superscript"/>
        </w:rPr>
        <w:footnoteReference w:id="2"/>
      </w:r>
      <w:r w:rsidRPr="00037EFE">
        <w:rPr>
          <w:snapToGrid/>
          <w:kern w:val="0"/>
          <w:szCs w:val="22"/>
        </w:rPr>
        <w:t xml:space="preserve">  Comments are now due by </w:t>
      </w:r>
      <w:r>
        <w:rPr>
          <w:snapToGrid/>
          <w:kern w:val="0"/>
          <w:szCs w:val="22"/>
        </w:rPr>
        <w:t>November 20, 2015</w:t>
      </w:r>
      <w:r w:rsidRPr="00037EFE">
        <w:rPr>
          <w:snapToGrid/>
          <w:kern w:val="0"/>
          <w:szCs w:val="22"/>
        </w:rPr>
        <w:t xml:space="preserve">; reply comments are now due by </w:t>
      </w:r>
      <w:r>
        <w:rPr>
          <w:snapToGrid/>
          <w:kern w:val="0"/>
          <w:szCs w:val="22"/>
        </w:rPr>
        <w:t>December 11</w:t>
      </w:r>
      <w:r w:rsidRPr="00037EFE">
        <w:rPr>
          <w:snapToGrid/>
          <w:kern w:val="0"/>
          <w:szCs w:val="22"/>
        </w:rPr>
        <w:t>, 2015.</w:t>
      </w:r>
    </w:p>
    <w:p w:rsidR="00524A0D" w:rsidRPr="00037EFE" w:rsidRDefault="00524A0D" w:rsidP="00524A0D">
      <w:pPr>
        <w:widowControl/>
        <w:spacing w:after="120"/>
        <w:ind w:firstLine="720"/>
        <w:outlineLvl w:val="0"/>
        <w:rPr>
          <w:snapToGrid/>
          <w:kern w:val="0"/>
        </w:rPr>
      </w:pPr>
      <w:r w:rsidRPr="00037EFE">
        <w:rPr>
          <w:snapToGrid/>
          <w:kern w:val="0"/>
          <w:szCs w:val="22"/>
        </w:rPr>
        <w:t>On December 11, 2012, the Commission adopted an order requiring providers and purchasers of</w:t>
      </w:r>
      <w:r w:rsidRPr="00037EFE">
        <w:rPr>
          <w:snapToGrid/>
          <w:kern w:val="0"/>
        </w:rPr>
        <w:t xml:space="preserve"> special access service and certain entities providing “best efforts” service to submit data and information for a comprehensive evaluation of the special access market.</w:t>
      </w:r>
      <w:r w:rsidRPr="00037EFE">
        <w:rPr>
          <w:snapToGrid/>
          <w:kern w:val="0"/>
          <w:vertAlign w:val="superscript"/>
        </w:rPr>
        <w:footnoteReference w:id="3"/>
      </w:r>
      <w:r w:rsidRPr="00037EFE">
        <w:rPr>
          <w:snapToGrid/>
          <w:kern w:val="0"/>
        </w:rPr>
        <w:t xml:space="preserve">  In Section IV.B of the FNPRM</w:t>
      </w:r>
      <w:r w:rsidRPr="00037EFE">
        <w:rPr>
          <w:i/>
          <w:snapToGrid/>
          <w:kern w:val="0"/>
        </w:rPr>
        <w:t xml:space="preserve"> </w:t>
      </w:r>
      <w:r w:rsidRPr="00037EFE">
        <w:rPr>
          <w:snapToGrid/>
          <w:kern w:val="0"/>
        </w:rPr>
        <w:t>accompanying that order, the Commission sought comment on possible changes to its rules for the special access services provided by incumbent local exchange carriers in price cap areas.</w:t>
      </w:r>
      <w:r w:rsidRPr="00037EFE">
        <w:rPr>
          <w:snapToGrid/>
          <w:kern w:val="0"/>
          <w:vertAlign w:val="superscript"/>
        </w:rPr>
        <w:footnoteReference w:id="4"/>
      </w:r>
      <w:r w:rsidRPr="00037EFE">
        <w:rPr>
          <w:snapToGrid/>
          <w:kern w:val="0"/>
        </w:rPr>
        <w:t xml:space="preserve">  The Commission set the comment deadlines on this portion of the FNPRM several months after its release, in order to give interested parties an opportunity to review the information collected before filing comments.</w:t>
      </w:r>
      <w:r w:rsidRPr="00037EFE">
        <w:rPr>
          <w:snapToGrid/>
          <w:kern w:val="0"/>
          <w:vertAlign w:val="superscript"/>
        </w:rPr>
        <w:footnoteReference w:id="5"/>
      </w:r>
      <w:r w:rsidRPr="00037EFE">
        <w:rPr>
          <w:snapToGrid/>
          <w:kern w:val="0"/>
        </w:rPr>
        <w:t xml:space="preserve">  The Bureau subsequently extended the comment deadlines since the data </w:t>
      </w:r>
      <w:r>
        <w:rPr>
          <w:snapToGrid/>
          <w:kern w:val="0"/>
        </w:rPr>
        <w:t xml:space="preserve">was not yet </w:t>
      </w:r>
      <w:r w:rsidRPr="00037EFE">
        <w:rPr>
          <w:snapToGrid/>
          <w:kern w:val="0"/>
        </w:rPr>
        <w:t>available.</w:t>
      </w:r>
      <w:r w:rsidRPr="00037EFE">
        <w:rPr>
          <w:snapToGrid/>
          <w:kern w:val="0"/>
          <w:vertAlign w:val="superscript"/>
        </w:rPr>
        <w:footnoteReference w:id="6"/>
      </w:r>
      <w:r w:rsidRPr="00037EFE">
        <w:rPr>
          <w:snapToGrid/>
          <w:kern w:val="0"/>
        </w:rPr>
        <w:t xml:space="preserve">  For similar reasons, the Bureau hereby further extends the comment and reply deadlines. </w:t>
      </w:r>
    </w:p>
    <w:p w:rsidR="00524A0D" w:rsidRPr="00C21A6D" w:rsidRDefault="00524A0D" w:rsidP="00524A0D">
      <w:pPr>
        <w:widowControl/>
        <w:spacing w:after="120"/>
        <w:ind w:firstLine="720"/>
        <w:outlineLvl w:val="0"/>
        <w:rPr>
          <w:szCs w:val="22"/>
        </w:rPr>
      </w:pPr>
      <w:r>
        <w:rPr>
          <w:szCs w:val="22"/>
        </w:rPr>
        <w:t>T</w:t>
      </w:r>
      <w:r w:rsidRPr="00037EFE">
        <w:rPr>
          <w:szCs w:val="22"/>
        </w:rPr>
        <w:t xml:space="preserve">he Bureau </w:t>
      </w:r>
      <w:r w:rsidR="002B773E">
        <w:rPr>
          <w:szCs w:val="22"/>
        </w:rPr>
        <w:t>is initiating</w:t>
      </w:r>
      <w:r w:rsidRPr="00037EFE">
        <w:rPr>
          <w:szCs w:val="22"/>
        </w:rPr>
        <w:t xml:space="preserve"> the process of allowing access to the data collected </w:t>
      </w:r>
      <w:r>
        <w:rPr>
          <w:szCs w:val="22"/>
        </w:rPr>
        <w:t xml:space="preserve">to authorized parties pursuant to the </w:t>
      </w:r>
      <w:r w:rsidR="002B773E">
        <w:rPr>
          <w:szCs w:val="22"/>
        </w:rPr>
        <w:t>protective order in this proceeding</w:t>
      </w:r>
      <w:r>
        <w:rPr>
          <w:szCs w:val="22"/>
        </w:rPr>
        <w:t xml:space="preserve"> via the NORC Data Enclave®</w:t>
      </w:r>
      <w:r w:rsidRPr="00037EFE">
        <w:rPr>
          <w:szCs w:val="22"/>
        </w:rPr>
        <w:t>.</w:t>
      </w:r>
      <w:r>
        <w:rPr>
          <w:rStyle w:val="FootnoteReference"/>
          <w:szCs w:val="22"/>
        </w:rPr>
        <w:footnoteReference w:id="7"/>
      </w:r>
      <w:r>
        <w:rPr>
          <w:szCs w:val="22"/>
        </w:rPr>
        <w:t xml:space="preserve"> </w:t>
      </w:r>
      <w:r w:rsidRPr="00037EFE">
        <w:rPr>
          <w:szCs w:val="22"/>
        </w:rPr>
        <w:t xml:space="preserve"> </w:t>
      </w:r>
      <w:r>
        <w:rPr>
          <w:snapToGrid/>
          <w:kern w:val="0"/>
        </w:rPr>
        <w:t>I</w:t>
      </w:r>
      <w:r w:rsidRPr="00037EFE">
        <w:rPr>
          <w:snapToGrid/>
          <w:kern w:val="0"/>
        </w:rPr>
        <w:t>nterested parties will not</w:t>
      </w:r>
      <w:r>
        <w:rPr>
          <w:snapToGrid/>
          <w:kern w:val="0"/>
        </w:rPr>
        <w:t>, however,</w:t>
      </w:r>
      <w:r w:rsidRPr="00037EFE">
        <w:rPr>
          <w:snapToGrid/>
          <w:kern w:val="0"/>
        </w:rPr>
        <w:t xml:space="preserve"> have adequate time to access and review the information collected prior to the current </w:t>
      </w:r>
      <w:r>
        <w:rPr>
          <w:snapToGrid/>
          <w:kern w:val="0"/>
        </w:rPr>
        <w:lastRenderedPageBreak/>
        <w:t>September 25</w:t>
      </w:r>
      <w:r w:rsidRPr="00037EFE">
        <w:rPr>
          <w:snapToGrid/>
          <w:kern w:val="0"/>
        </w:rPr>
        <w:t xml:space="preserve"> and </w:t>
      </w:r>
      <w:r>
        <w:rPr>
          <w:snapToGrid/>
          <w:kern w:val="0"/>
        </w:rPr>
        <w:t>October 16</w:t>
      </w:r>
      <w:r w:rsidRPr="00037EFE">
        <w:rPr>
          <w:snapToGrid/>
          <w:kern w:val="0"/>
        </w:rPr>
        <w:t>, 2015 comment and reply comment deadlines.</w:t>
      </w:r>
      <w:r w:rsidRPr="00037EFE">
        <w:rPr>
          <w:snapToGrid/>
          <w:kern w:val="0"/>
          <w:vertAlign w:val="superscript"/>
        </w:rPr>
        <w:footnoteReference w:id="8"/>
      </w:r>
      <w:r w:rsidRPr="00037EFE">
        <w:rPr>
          <w:snapToGrid/>
          <w:kern w:val="0"/>
        </w:rPr>
        <w:t xml:space="preserve">  Accordingly, the Bureau hereby extends the deadline for filing comments to </w:t>
      </w:r>
      <w:r>
        <w:rPr>
          <w:snapToGrid/>
          <w:kern w:val="0"/>
        </w:rPr>
        <w:t>November 20</w:t>
      </w:r>
      <w:r w:rsidRPr="00037EFE">
        <w:rPr>
          <w:snapToGrid/>
          <w:kern w:val="0"/>
        </w:rPr>
        <w:t xml:space="preserve">, 2015, and reply comments to </w:t>
      </w:r>
      <w:r>
        <w:rPr>
          <w:snapToGrid/>
          <w:kern w:val="0"/>
        </w:rPr>
        <w:t>December 11</w:t>
      </w:r>
      <w:r w:rsidRPr="00037EFE">
        <w:rPr>
          <w:snapToGrid/>
          <w:kern w:val="0"/>
        </w:rPr>
        <w:t>, 2015.</w:t>
      </w:r>
    </w:p>
    <w:p w:rsidR="00524A0D" w:rsidRPr="00037EFE" w:rsidRDefault="00524A0D" w:rsidP="00524A0D">
      <w:pPr>
        <w:widowControl/>
        <w:ind w:firstLine="720"/>
        <w:outlineLvl w:val="0"/>
        <w:rPr>
          <w:snapToGrid/>
          <w:kern w:val="0"/>
          <w:szCs w:val="22"/>
        </w:rPr>
      </w:pPr>
      <w:r w:rsidRPr="00037EFE">
        <w:rPr>
          <w:snapToGrid/>
          <w:kern w:val="0"/>
          <w:szCs w:val="22"/>
        </w:rPr>
        <w:t xml:space="preserve">For further information regarding this proceeding, please contact Christopher Koves of the Pricing Policy Division, Wireline Competition Bureau, at (202) 418-8209 or at Christopher.Koves@fcc.gov. </w:t>
      </w:r>
    </w:p>
    <w:p w:rsidR="00524A0D" w:rsidRPr="00037EFE" w:rsidRDefault="00524A0D" w:rsidP="00524A0D">
      <w:pPr>
        <w:widowControl/>
        <w:ind w:firstLine="720"/>
        <w:outlineLvl w:val="0"/>
        <w:rPr>
          <w:snapToGrid/>
          <w:kern w:val="0"/>
        </w:rPr>
      </w:pPr>
    </w:p>
    <w:p w:rsidR="00524A0D" w:rsidRPr="00037EFE" w:rsidRDefault="00524A0D" w:rsidP="00524A0D">
      <w:pPr>
        <w:widowControl/>
        <w:autoSpaceDE w:val="0"/>
        <w:autoSpaceDN w:val="0"/>
        <w:adjustRightInd w:val="0"/>
        <w:spacing w:after="240"/>
        <w:jc w:val="center"/>
        <w:rPr>
          <w:b/>
          <w:snapToGrid/>
          <w:kern w:val="0"/>
          <w:sz w:val="24"/>
          <w:szCs w:val="24"/>
        </w:rPr>
      </w:pPr>
      <w:r w:rsidRPr="00037EFE">
        <w:rPr>
          <w:b/>
          <w:snapToGrid/>
          <w:kern w:val="0"/>
          <w:sz w:val="24"/>
          <w:szCs w:val="24"/>
        </w:rPr>
        <w:t>- FCC -</w:t>
      </w:r>
    </w:p>
    <w:p w:rsidR="00524A0D" w:rsidRPr="00B20363" w:rsidRDefault="00524A0D" w:rsidP="00524A0D">
      <w:pPr>
        <w:spacing w:after="240"/>
        <w:jc w:val="center"/>
        <w:rPr>
          <w:rFonts w:ascii="Times New Roman Bold" w:hAnsi="Times New Roman Bold"/>
          <w:b/>
          <w:caps/>
          <w:sz w:val="24"/>
        </w:rPr>
      </w:pPr>
    </w:p>
    <w:p w:rsidR="00524A0D" w:rsidRDefault="00524A0D" w:rsidP="00524A0D">
      <w:pPr>
        <w:jc w:val="center"/>
        <w:rPr>
          <w:sz w:val="24"/>
        </w:rPr>
      </w:pPr>
    </w:p>
    <w:p w:rsidR="00524A0D" w:rsidRDefault="00524A0D" w:rsidP="00524A0D">
      <w:pPr>
        <w:spacing w:before="120" w:after="240"/>
        <w:rPr>
          <w:sz w:val="24"/>
        </w:rPr>
      </w:pPr>
    </w:p>
    <w:p w:rsidR="006A1F49" w:rsidRPr="00524A0D" w:rsidRDefault="006A1F49" w:rsidP="00524A0D"/>
    <w:sectPr w:rsidR="006A1F49" w:rsidRPr="00524A0D" w:rsidSect="00DF081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FF1" w:rsidRDefault="00D67FF1">
      <w:pPr>
        <w:spacing w:line="20" w:lineRule="exact"/>
      </w:pPr>
    </w:p>
  </w:endnote>
  <w:endnote w:type="continuationSeparator" w:id="0">
    <w:p w:rsidR="00D67FF1" w:rsidRDefault="00D67FF1">
      <w:r>
        <w:t xml:space="preserve"> </w:t>
      </w:r>
    </w:p>
  </w:endnote>
  <w:endnote w:type="continuationNotice" w:id="1">
    <w:p w:rsidR="00D67FF1" w:rsidRDefault="00D67FF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7749E3">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FF1" w:rsidRDefault="00D67FF1">
      <w:r>
        <w:separator/>
      </w:r>
    </w:p>
  </w:footnote>
  <w:footnote w:type="continuationSeparator" w:id="0">
    <w:p w:rsidR="00D67FF1" w:rsidRDefault="00D67FF1" w:rsidP="00C721AC">
      <w:pPr>
        <w:spacing w:before="120"/>
        <w:rPr>
          <w:sz w:val="20"/>
        </w:rPr>
      </w:pPr>
      <w:r>
        <w:rPr>
          <w:sz w:val="20"/>
        </w:rPr>
        <w:t xml:space="preserve">(Continued from previous page)  </w:t>
      </w:r>
      <w:r>
        <w:rPr>
          <w:sz w:val="20"/>
        </w:rPr>
        <w:separator/>
      </w:r>
    </w:p>
  </w:footnote>
  <w:footnote w:type="continuationNotice" w:id="1">
    <w:p w:rsidR="00D67FF1" w:rsidRDefault="00D67FF1" w:rsidP="00C721AC">
      <w:pPr>
        <w:jc w:val="right"/>
        <w:rPr>
          <w:sz w:val="20"/>
        </w:rPr>
      </w:pPr>
      <w:r>
        <w:rPr>
          <w:sz w:val="20"/>
        </w:rPr>
        <w:t>(continued…)</w:t>
      </w:r>
    </w:p>
  </w:footnote>
  <w:footnote w:id="2">
    <w:p w:rsidR="00524A0D" w:rsidRPr="000760E6" w:rsidRDefault="00524A0D" w:rsidP="00524A0D">
      <w:pPr>
        <w:pStyle w:val="FootnoteText"/>
      </w:pPr>
      <w:r w:rsidRPr="000760E6">
        <w:rPr>
          <w:rStyle w:val="FootnoteReference"/>
        </w:rPr>
        <w:footnoteRef/>
      </w:r>
      <w:r w:rsidRPr="000760E6">
        <w:t xml:space="preserve"> </w:t>
      </w:r>
      <w:r w:rsidRPr="00335C26">
        <w:rPr>
          <w:i/>
        </w:rPr>
        <w:t>See Special Access for Price Cap Local Exchange Carriers; AT&amp;T Corporation Petition for Rulemaking to Reform Regulation of Incumbent Local Exchange Carrier Rates for Interstate Special Access Services</w:t>
      </w:r>
      <w:r w:rsidRPr="00335C26">
        <w:t>, WC Docket No. 05- 25, RM-10593, Order and Further Noti</w:t>
      </w:r>
      <w:r w:rsidRPr="000760E6">
        <w:t>ce of Proposed Rulemaking, 27 FCC Rcd 16318 (2012) (</w:t>
      </w:r>
      <w:r w:rsidRPr="000760E6">
        <w:rPr>
          <w:i/>
        </w:rPr>
        <w:t>Data Collection Order</w:t>
      </w:r>
      <w:r>
        <w:rPr>
          <w:i/>
        </w:rPr>
        <w:t xml:space="preserve"> and FNPRM</w:t>
      </w:r>
      <w:r w:rsidRPr="004D0041">
        <w:t>)</w:t>
      </w:r>
      <w:r w:rsidRPr="000760E6">
        <w:t>; Report and Order, 28 FCC Rcd 13189 (Wireline Comp. Bur. 2013); Order on Reconsideration, 29 FCC Rcd 10899 (Wireline Comp. Bur. 2014).</w:t>
      </w:r>
    </w:p>
  </w:footnote>
  <w:footnote w:id="3">
    <w:p w:rsidR="00524A0D" w:rsidRPr="000760E6" w:rsidRDefault="00524A0D" w:rsidP="00524A0D">
      <w:pPr>
        <w:pStyle w:val="FootnoteText"/>
      </w:pPr>
      <w:r w:rsidRPr="000760E6">
        <w:rPr>
          <w:rStyle w:val="FootnoteReference"/>
        </w:rPr>
        <w:footnoteRef/>
      </w:r>
      <w:r w:rsidRPr="000760E6">
        <w:t xml:space="preserve"> </w:t>
      </w:r>
      <w:r w:rsidRPr="00335C26">
        <w:rPr>
          <w:i/>
        </w:rPr>
        <w:t>See Data Collection Order</w:t>
      </w:r>
      <w:r>
        <w:rPr>
          <w:i/>
        </w:rPr>
        <w:t xml:space="preserve"> and FNPRM</w:t>
      </w:r>
      <w:r w:rsidRPr="00335C26">
        <w:rPr>
          <w:i/>
        </w:rPr>
        <w:t>,</w:t>
      </w:r>
      <w:r w:rsidRPr="00335C26" w:rsidDel="00D87F42">
        <w:rPr>
          <w:i/>
        </w:rPr>
        <w:t xml:space="preserve"> </w:t>
      </w:r>
      <w:r w:rsidRPr="00335C26">
        <w:t>27 FCC Rcd at 16340, para. 52.</w:t>
      </w:r>
    </w:p>
  </w:footnote>
  <w:footnote w:id="4">
    <w:p w:rsidR="00524A0D" w:rsidRPr="000760E6" w:rsidRDefault="00524A0D" w:rsidP="00524A0D">
      <w:pPr>
        <w:pStyle w:val="FootnoteText"/>
      </w:pPr>
      <w:r w:rsidRPr="000760E6">
        <w:rPr>
          <w:rStyle w:val="FootnoteReference"/>
        </w:rPr>
        <w:footnoteRef/>
      </w:r>
      <w:r w:rsidRPr="000760E6">
        <w:t xml:space="preserve"> </w:t>
      </w:r>
      <w:r w:rsidRPr="00335C26">
        <w:rPr>
          <w:i/>
        </w:rPr>
        <w:t>Id.</w:t>
      </w:r>
      <w:r w:rsidRPr="00335C26">
        <w:t xml:space="preserve"> at 16352-54, paras. 80-90.</w:t>
      </w:r>
    </w:p>
  </w:footnote>
  <w:footnote w:id="5">
    <w:p w:rsidR="00524A0D" w:rsidRPr="000760E6" w:rsidRDefault="00524A0D" w:rsidP="00524A0D">
      <w:pPr>
        <w:pStyle w:val="FootnoteText"/>
      </w:pPr>
      <w:r w:rsidRPr="000760E6">
        <w:rPr>
          <w:rStyle w:val="FootnoteReference"/>
        </w:rPr>
        <w:footnoteRef/>
      </w:r>
      <w:r w:rsidRPr="000760E6">
        <w:t xml:space="preserve"> </w:t>
      </w:r>
      <w:r w:rsidRPr="000760E6">
        <w:rPr>
          <w:i/>
        </w:rPr>
        <w:t>Id</w:t>
      </w:r>
      <w:r w:rsidRPr="000760E6">
        <w:t>. at 16359, para. 104</w:t>
      </w:r>
      <w:r>
        <w:t>.</w:t>
      </w:r>
    </w:p>
  </w:footnote>
  <w:footnote w:id="6">
    <w:p w:rsidR="00524A0D" w:rsidRPr="000760E6" w:rsidRDefault="00524A0D" w:rsidP="00524A0D">
      <w:pPr>
        <w:pStyle w:val="FootnoteText"/>
      </w:pPr>
      <w:r w:rsidRPr="000760E6">
        <w:rPr>
          <w:rStyle w:val="FootnoteReference"/>
        </w:rPr>
        <w:footnoteRef/>
      </w:r>
      <w:r w:rsidRPr="000760E6">
        <w:t xml:space="preserve"> </w:t>
      </w:r>
      <w:r w:rsidRPr="00335C26">
        <w:rPr>
          <w:i/>
        </w:rPr>
        <w:t>See</w:t>
      </w:r>
      <w:r w:rsidR="002B773E">
        <w:rPr>
          <w:i/>
        </w:rPr>
        <w:t>, e.g.,</w:t>
      </w:r>
      <w:r w:rsidRPr="00335C26">
        <w:rPr>
          <w:i/>
        </w:rPr>
        <w:t xml:space="preserve"> </w:t>
      </w:r>
      <w:r>
        <w:rPr>
          <w:i/>
        </w:rPr>
        <w:t>Wireline Competition Bureau Further Extends Comment Deadlines in Special Access Proceeding</w:t>
      </w:r>
      <w:r w:rsidRPr="00875AE3">
        <w:t xml:space="preserve">, </w:t>
      </w:r>
      <w:r>
        <w:t xml:space="preserve">WC Docket No. 05-25, RM-10953, Public Notice, </w:t>
      </w:r>
      <w:r w:rsidRPr="00875AE3">
        <w:t>30 FCC Rcd 6424</w:t>
      </w:r>
      <w:r w:rsidRPr="00F632F2">
        <w:t xml:space="preserve"> (Wireline Comp. Bur. 2015)</w:t>
      </w:r>
      <w:r>
        <w:t xml:space="preserve"> (</w:t>
      </w:r>
      <w:r w:rsidRPr="00875AE3">
        <w:rPr>
          <w:i/>
        </w:rPr>
        <w:t>Public Notice</w:t>
      </w:r>
      <w:r>
        <w:t xml:space="preserve">). </w:t>
      </w:r>
    </w:p>
  </w:footnote>
  <w:footnote w:id="7">
    <w:p w:rsidR="00524A0D" w:rsidRDefault="00524A0D" w:rsidP="00524A0D">
      <w:pPr>
        <w:pStyle w:val="FootnoteText"/>
      </w:pPr>
      <w:r w:rsidRPr="00203006">
        <w:rPr>
          <w:rStyle w:val="FootnoteReference"/>
        </w:rPr>
        <w:footnoteRef/>
      </w:r>
      <w:r w:rsidRPr="00203006">
        <w:t xml:space="preserve"> </w:t>
      </w:r>
      <w:r w:rsidRPr="00203006">
        <w:rPr>
          <w:i/>
        </w:rPr>
        <w:t>See</w:t>
      </w:r>
      <w:r w:rsidRPr="00203006">
        <w:t xml:space="preserve"> Press Release, FCC, </w:t>
      </w:r>
      <w:r>
        <w:t>FCC</w:t>
      </w:r>
      <w:r w:rsidRPr="00203006">
        <w:t xml:space="preserve"> Takes Major Step in Review of Competition in $40 Billion Special Access Market (Sept. 17, 2015), https://apps.fcc.gov/edocs_public/attachmatch/DOC-335352A1.docx.</w:t>
      </w:r>
      <w:r>
        <w:t xml:space="preserve"> </w:t>
      </w:r>
    </w:p>
  </w:footnote>
  <w:footnote w:id="8">
    <w:p w:rsidR="00524A0D" w:rsidRPr="000760E6" w:rsidRDefault="00524A0D" w:rsidP="00524A0D">
      <w:pPr>
        <w:pStyle w:val="FootnoteText"/>
      </w:pPr>
      <w:r w:rsidRPr="000760E6">
        <w:rPr>
          <w:rStyle w:val="FootnoteReference"/>
        </w:rPr>
        <w:footnoteRef/>
      </w:r>
      <w:r w:rsidRPr="000760E6">
        <w:t xml:space="preserve"> </w:t>
      </w:r>
      <w:r w:rsidRPr="00A86F00">
        <w:rPr>
          <w:i/>
        </w:rPr>
        <w:t>Public Notice</w:t>
      </w:r>
      <w:r>
        <w:t>, 30 FCC Rcd at 6424.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98" w:rsidRDefault="00032C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2C98" w:rsidRDefault="00032C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D47505" w:rsidRDefault="003C0873" w:rsidP="003C0873">
    <w:pPr>
      <w:pStyle w:val="Header"/>
      <w:ind w:firstLine="0"/>
    </w:pPr>
    <w:r>
      <w:rPr>
        <w:noProof/>
      </w:rPr>
      <w:drawing>
        <wp:inline distT="0" distB="0" distL="0" distR="0" wp14:anchorId="07628A77" wp14:editId="6A66A097">
          <wp:extent cx="530225" cy="530225"/>
          <wp:effectExtent l="0" t="0" r="3175"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inline>
      </w:drawing>
    </w:r>
    <w:r>
      <w:t xml:space="preserve"> </w:t>
    </w:r>
    <w:r w:rsidR="00D47505" w:rsidRPr="00D47505">
      <w:t>PUBLIC NOTICE</w:t>
    </w:r>
  </w:p>
  <w:p w:rsidR="00D47505" w:rsidRDefault="008108FD" w:rsidP="00D47505">
    <w:pPr>
      <w:pStyle w:val="Header"/>
      <w:rPr>
        <w:sz w:val="28"/>
      </w:rPr>
    </w:pPr>
    <w:r>
      <w:rPr>
        <w:noProof/>
        <w:snapToGrid/>
      </w:rPr>
      <mc:AlternateContent>
        <mc:Choice Requires="wps">
          <w:drawing>
            <wp:anchor distT="0" distB="0" distL="114300" distR="114300" simplePos="0" relativeHeight="251658240" behindDoc="0" locked="0" layoutInCell="0" allowOverlap="1" wp14:anchorId="7E2BA4E2" wp14:editId="6B615EBF">
              <wp:simplePos x="0" y="0"/>
              <wp:positionH relativeFrom="column">
                <wp:posOffset>3343275</wp:posOffset>
              </wp:positionH>
              <wp:positionV relativeFrom="paragraph">
                <wp:posOffset>22225</wp:posOffset>
              </wp:positionV>
              <wp:extent cx="2640965" cy="548640"/>
              <wp:effectExtent l="0" t="3175" r="0" b="63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2BA4E2" id="_x0000_t202" coordsize="21600,21600" o:spt="202" path="m,l,21600r21600,l21600,xe">
              <v:stroke joinstyle="miter"/>
              <v:path gradientshapeok="t" o:connecttype="rect"/>
            </v:shapetype>
            <v:shape id="Text Box 5" o:spid="_x0000_s1026" type="#_x0000_t202" style="position:absolute;left:0;text-align:left;margin-left:263.25pt;margin-top:1.7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47505" w:rsidRDefault="00D47505" w:rsidP="00D47505">
                    <w:pPr>
                      <w:jc w:val="right"/>
                      <w:rPr>
                        <w:rFonts w:ascii="Arial" w:hAnsi="Arial"/>
                        <w:b/>
                        <w:sz w:val="16"/>
                      </w:rPr>
                    </w:pPr>
                    <w:r>
                      <w:rPr>
                        <w:rFonts w:ascii="Arial" w:hAnsi="Arial"/>
                        <w:b/>
                        <w:sz w:val="16"/>
                      </w:rPr>
                      <w:t>TTY: 1-888-835-5322</w:t>
                    </w:r>
                  </w:p>
                  <w:p w:rsidR="00D47505" w:rsidRDefault="00D47505" w:rsidP="00D47505">
                    <w:pPr>
                      <w:jc w:val="right"/>
                    </w:pPr>
                  </w:p>
                </w:txbxContent>
              </v:textbox>
            </v:shape>
          </w:pict>
        </mc:Fallback>
      </mc:AlternateContent>
    </w:r>
    <w:r>
      <w:rPr>
        <w:noProof/>
        <w:snapToGrid/>
      </w:rPr>
      <mc:AlternateContent>
        <mc:Choice Requires="wps">
          <w:drawing>
            <wp:anchor distT="0" distB="0" distL="114300" distR="114300" simplePos="0" relativeHeight="251656192" behindDoc="0" locked="0" layoutInCell="0" allowOverlap="1" wp14:anchorId="117CADEA" wp14:editId="7728AC77">
              <wp:simplePos x="0" y="0"/>
              <wp:positionH relativeFrom="column">
                <wp:posOffset>24765</wp:posOffset>
              </wp:positionH>
              <wp:positionV relativeFrom="paragraph">
                <wp:posOffset>5080</wp:posOffset>
              </wp:positionV>
              <wp:extent cx="3108960" cy="64008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17CADEA" id="Text Box 3" o:spid="_x0000_s1027" type="#_x0000_t202" style="position:absolute;left:0;text-align:left;margin-left:1.95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dx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v:shape>
          </w:pict>
        </mc:Fallback>
      </mc:AlternateContent>
    </w:r>
  </w:p>
  <w:p w:rsidR="00D47505" w:rsidRDefault="008108FD" w:rsidP="00D47505">
    <w:pPr>
      <w:pStyle w:val="Header"/>
    </w:pPr>
    <w:r>
      <w:rPr>
        <w:noProof/>
        <w:snapToGrid/>
      </w:rPr>
      <mc:AlternateContent>
        <mc:Choice Requires="wps">
          <w:drawing>
            <wp:anchor distT="0" distB="0" distL="114300" distR="114300" simplePos="0" relativeHeight="251657216" behindDoc="0" locked="0" layoutInCell="0" allowOverlap="1" wp14:anchorId="6E6D55DA" wp14:editId="73837983">
              <wp:simplePos x="0" y="0"/>
              <wp:positionH relativeFrom="column">
                <wp:posOffset>78105</wp:posOffset>
              </wp:positionH>
              <wp:positionV relativeFrom="paragraph">
                <wp:posOffset>467995</wp:posOffset>
              </wp:positionV>
              <wp:extent cx="5886450" cy="2540"/>
              <wp:effectExtent l="11430" t="10795" r="7620" b="571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B2D41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36.85pt" to="469.6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x/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0"/>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8FD"/>
    <w:rsid w:val="00032C98"/>
    <w:rsid w:val="00034003"/>
    <w:rsid w:val="00036039"/>
    <w:rsid w:val="0003654A"/>
    <w:rsid w:val="00037F90"/>
    <w:rsid w:val="00050DC4"/>
    <w:rsid w:val="000606CA"/>
    <w:rsid w:val="0007407F"/>
    <w:rsid w:val="0008746A"/>
    <w:rsid w:val="000875BF"/>
    <w:rsid w:val="00090CC0"/>
    <w:rsid w:val="00090E4E"/>
    <w:rsid w:val="0009158C"/>
    <w:rsid w:val="0009477C"/>
    <w:rsid w:val="00096D8C"/>
    <w:rsid w:val="000C05C4"/>
    <w:rsid w:val="000C0B65"/>
    <w:rsid w:val="000E05FE"/>
    <w:rsid w:val="000E3D42"/>
    <w:rsid w:val="000E4B97"/>
    <w:rsid w:val="00110B84"/>
    <w:rsid w:val="001120A9"/>
    <w:rsid w:val="00122BD5"/>
    <w:rsid w:val="00133F79"/>
    <w:rsid w:val="00141C45"/>
    <w:rsid w:val="00144D16"/>
    <w:rsid w:val="00175002"/>
    <w:rsid w:val="00184180"/>
    <w:rsid w:val="00194A66"/>
    <w:rsid w:val="001A3847"/>
    <w:rsid w:val="001A4AA1"/>
    <w:rsid w:val="001B4828"/>
    <w:rsid w:val="001B5308"/>
    <w:rsid w:val="001B624D"/>
    <w:rsid w:val="001B7C66"/>
    <w:rsid w:val="001C1836"/>
    <w:rsid w:val="001D6BCF"/>
    <w:rsid w:val="001E01CA"/>
    <w:rsid w:val="001F2071"/>
    <w:rsid w:val="001F4D3C"/>
    <w:rsid w:val="00241CD3"/>
    <w:rsid w:val="002540BB"/>
    <w:rsid w:val="0026120C"/>
    <w:rsid w:val="00275CF5"/>
    <w:rsid w:val="00277970"/>
    <w:rsid w:val="00277EE8"/>
    <w:rsid w:val="0028301F"/>
    <w:rsid w:val="00285017"/>
    <w:rsid w:val="00285383"/>
    <w:rsid w:val="00291093"/>
    <w:rsid w:val="002A1B19"/>
    <w:rsid w:val="002A2D2E"/>
    <w:rsid w:val="002B773E"/>
    <w:rsid w:val="002C00E8"/>
    <w:rsid w:val="002C6B4A"/>
    <w:rsid w:val="002D0243"/>
    <w:rsid w:val="002D2568"/>
    <w:rsid w:val="002E2573"/>
    <w:rsid w:val="002E3348"/>
    <w:rsid w:val="002F1E5B"/>
    <w:rsid w:val="002F46D2"/>
    <w:rsid w:val="003008D2"/>
    <w:rsid w:val="00315C89"/>
    <w:rsid w:val="003250BE"/>
    <w:rsid w:val="00331847"/>
    <w:rsid w:val="00343749"/>
    <w:rsid w:val="003660ED"/>
    <w:rsid w:val="003B0550"/>
    <w:rsid w:val="003B694F"/>
    <w:rsid w:val="003C0873"/>
    <w:rsid w:val="003C125C"/>
    <w:rsid w:val="003C6C94"/>
    <w:rsid w:val="003F171C"/>
    <w:rsid w:val="00412FC5"/>
    <w:rsid w:val="00415A33"/>
    <w:rsid w:val="00422276"/>
    <w:rsid w:val="004242F1"/>
    <w:rsid w:val="00445A00"/>
    <w:rsid w:val="00451241"/>
    <w:rsid w:val="00451B0F"/>
    <w:rsid w:val="00454072"/>
    <w:rsid w:val="004608AD"/>
    <w:rsid w:val="00465D4E"/>
    <w:rsid w:val="00475252"/>
    <w:rsid w:val="00476E97"/>
    <w:rsid w:val="004C2EE3"/>
    <w:rsid w:val="004E4A22"/>
    <w:rsid w:val="005051C0"/>
    <w:rsid w:val="00511968"/>
    <w:rsid w:val="005177C5"/>
    <w:rsid w:val="0052021E"/>
    <w:rsid w:val="00520CD3"/>
    <w:rsid w:val="00522C33"/>
    <w:rsid w:val="00524A0D"/>
    <w:rsid w:val="00543F74"/>
    <w:rsid w:val="00544FEC"/>
    <w:rsid w:val="0055614C"/>
    <w:rsid w:val="005963B0"/>
    <w:rsid w:val="005C4149"/>
    <w:rsid w:val="005C4783"/>
    <w:rsid w:val="005D32A6"/>
    <w:rsid w:val="005D4C20"/>
    <w:rsid w:val="005D55C0"/>
    <w:rsid w:val="005E14C2"/>
    <w:rsid w:val="005E6B46"/>
    <w:rsid w:val="00607BA5"/>
    <w:rsid w:val="0061180A"/>
    <w:rsid w:val="006261BE"/>
    <w:rsid w:val="00626EB6"/>
    <w:rsid w:val="00631188"/>
    <w:rsid w:val="0063788E"/>
    <w:rsid w:val="00646028"/>
    <w:rsid w:val="00646941"/>
    <w:rsid w:val="00655D03"/>
    <w:rsid w:val="00670123"/>
    <w:rsid w:val="00683388"/>
    <w:rsid w:val="00683F84"/>
    <w:rsid w:val="00695A9B"/>
    <w:rsid w:val="006A1F49"/>
    <w:rsid w:val="006A4EBF"/>
    <w:rsid w:val="006A6A81"/>
    <w:rsid w:val="006B03F5"/>
    <w:rsid w:val="006B61B0"/>
    <w:rsid w:val="006C4813"/>
    <w:rsid w:val="006C67BD"/>
    <w:rsid w:val="006E146C"/>
    <w:rsid w:val="006E3B00"/>
    <w:rsid w:val="006F0E77"/>
    <w:rsid w:val="006F6B48"/>
    <w:rsid w:val="006F7393"/>
    <w:rsid w:val="006F74F7"/>
    <w:rsid w:val="00700F8B"/>
    <w:rsid w:val="0070133F"/>
    <w:rsid w:val="0070224F"/>
    <w:rsid w:val="007115D8"/>
    <w:rsid w:val="007115F7"/>
    <w:rsid w:val="00713C97"/>
    <w:rsid w:val="00715F28"/>
    <w:rsid w:val="00753070"/>
    <w:rsid w:val="0077123A"/>
    <w:rsid w:val="007749E3"/>
    <w:rsid w:val="00783216"/>
    <w:rsid w:val="00784A6B"/>
    <w:rsid w:val="00785689"/>
    <w:rsid w:val="00793BD5"/>
    <w:rsid w:val="0079754B"/>
    <w:rsid w:val="007A1E6D"/>
    <w:rsid w:val="007B0EB2"/>
    <w:rsid w:val="007B1A87"/>
    <w:rsid w:val="007C2010"/>
    <w:rsid w:val="007E2C7A"/>
    <w:rsid w:val="007E6373"/>
    <w:rsid w:val="007F1BB9"/>
    <w:rsid w:val="00801F64"/>
    <w:rsid w:val="008108FD"/>
    <w:rsid w:val="00810B6F"/>
    <w:rsid w:val="00811FAA"/>
    <w:rsid w:val="00822CE0"/>
    <w:rsid w:val="0083462E"/>
    <w:rsid w:val="0083617B"/>
    <w:rsid w:val="00840AC4"/>
    <w:rsid w:val="00841AB1"/>
    <w:rsid w:val="00867246"/>
    <w:rsid w:val="00895134"/>
    <w:rsid w:val="008A31E6"/>
    <w:rsid w:val="008B0E74"/>
    <w:rsid w:val="008B31A6"/>
    <w:rsid w:val="008C3EC5"/>
    <w:rsid w:val="008C68F1"/>
    <w:rsid w:val="00921803"/>
    <w:rsid w:val="00926503"/>
    <w:rsid w:val="00937338"/>
    <w:rsid w:val="009413D0"/>
    <w:rsid w:val="00947EC7"/>
    <w:rsid w:val="009550BA"/>
    <w:rsid w:val="00957027"/>
    <w:rsid w:val="0096624C"/>
    <w:rsid w:val="009726D8"/>
    <w:rsid w:val="00996EBD"/>
    <w:rsid w:val="00997839"/>
    <w:rsid w:val="009A514E"/>
    <w:rsid w:val="009B5275"/>
    <w:rsid w:val="009B5E80"/>
    <w:rsid w:val="009F76DB"/>
    <w:rsid w:val="00A077A9"/>
    <w:rsid w:val="00A32C3B"/>
    <w:rsid w:val="00A3351E"/>
    <w:rsid w:val="00A34B29"/>
    <w:rsid w:val="00A416C3"/>
    <w:rsid w:val="00A4450D"/>
    <w:rsid w:val="00A45F4F"/>
    <w:rsid w:val="00A515F9"/>
    <w:rsid w:val="00A57381"/>
    <w:rsid w:val="00A600A9"/>
    <w:rsid w:val="00A63620"/>
    <w:rsid w:val="00A6428E"/>
    <w:rsid w:val="00A71F9D"/>
    <w:rsid w:val="00A87788"/>
    <w:rsid w:val="00A97D83"/>
    <w:rsid w:val="00AA3E57"/>
    <w:rsid w:val="00AA55B7"/>
    <w:rsid w:val="00AA5B9E"/>
    <w:rsid w:val="00AB033E"/>
    <w:rsid w:val="00AB2407"/>
    <w:rsid w:val="00AB2CD3"/>
    <w:rsid w:val="00AB53DF"/>
    <w:rsid w:val="00AD404A"/>
    <w:rsid w:val="00B07E5C"/>
    <w:rsid w:val="00B47F08"/>
    <w:rsid w:val="00B5294C"/>
    <w:rsid w:val="00B535F4"/>
    <w:rsid w:val="00B56B0B"/>
    <w:rsid w:val="00B64BA9"/>
    <w:rsid w:val="00B679AB"/>
    <w:rsid w:val="00B67AD4"/>
    <w:rsid w:val="00B712DA"/>
    <w:rsid w:val="00B76DB8"/>
    <w:rsid w:val="00B811F7"/>
    <w:rsid w:val="00B8356F"/>
    <w:rsid w:val="00BA2E04"/>
    <w:rsid w:val="00BA5DC6"/>
    <w:rsid w:val="00BA6196"/>
    <w:rsid w:val="00BC3EEB"/>
    <w:rsid w:val="00BC53C5"/>
    <w:rsid w:val="00BC6D8C"/>
    <w:rsid w:val="00BC737F"/>
    <w:rsid w:val="00BF6EB7"/>
    <w:rsid w:val="00C34006"/>
    <w:rsid w:val="00C34EE6"/>
    <w:rsid w:val="00C426B1"/>
    <w:rsid w:val="00C66160"/>
    <w:rsid w:val="00C721AC"/>
    <w:rsid w:val="00C90D6A"/>
    <w:rsid w:val="00CA247E"/>
    <w:rsid w:val="00CC72B6"/>
    <w:rsid w:val="00CE308E"/>
    <w:rsid w:val="00CE39B2"/>
    <w:rsid w:val="00CE6681"/>
    <w:rsid w:val="00CE67B6"/>
    <w:rsid w:val="00D00C98"/>
    <w:rsid w:val="00D00FF2"/>
    <w:rsid w:val="00D0218D"/>
    <w:rsid w:val="00D02DC7"/>
    <w:rsid w:val="00D04430"/>
    <w:rsid w:val="00D20217"/>
    <w:rsid w:val="00D20A0B"/>
    <w:rsid w:val="00D24C63"/>
    <w:rsid w:val="00D25FB5"/>
    <w:rsid w:val="00D44223"/>
    <w:rsid w:val="00D47505"/>
    <w:rsid w:val="00D67FF1"/>
    <w:rsid w:val="00D76E31"/>
    <w:rsid w:val="00D77EE2"/>
    <w:rsid w:val="00DA2529"/>
    <w:rsid w:val="00DB130A"/>
    <w:rsid w:val="00DB2EBB"/>
    <w:rsid w:val="00DB5B85"/>
    <w:rsid w:val="00DC10A1"/>
    <w:rsid w:val="00DC242B"/>
    <w:rsid w:val="00DC33AB"/>
    <w:rsid w:val="00DC655F"/>
    <w:rsid w:val="00DD0B59"/>
    <w:rsid w:val="00DD2E29"/>
    <w:rsid w:val="00DD7EBD"/>
    <w:rsid w:val="00DE19D7"/>
    <w:rsid w:val="00DE35C7"/>
    <w:rsid w:val="00DE4C8D"/>
    <w:rsid w:val="00DF0810"/>
    <w:rsid w:val="00DF364C"/>
    <w:rsid w:val="00DF5E27"/>
    <w:rsid w:val="00DF62B6"/>
    <w:rsid w:val="00E07225"/>
    <w:rsid w:val="00E33F03"/>
    <w:rsid w:val="00E5409F"/>
    <w:rsid w:val="00E61397"/>
    <w:rsid w:val="00E61D20"/>
    <w:rsid w:val="00E7245B"/>
    <w:rsid w:val="00E74904"/>
    <w:rsid w:val="00EB4ACC"/>
    <w:rsid w:val="00EB6C7D"/>
    <w:rsid w:val="00ED2437"/>
    <w:rsid w:val="00ED4227"/>
    <w:rsid w:val="00EE6488"/>
    <w:rsid w:val="00F021FA"/>
    <w:rsid w:val="00F2073C"/>
    <w:rsid w:val="00F21460"/>
    <w:rsid w:val="00F2731D"/>
    <w:rsid w:val="00F475B5"/>
    <w:rsid w:val="00F50615"/>
    <w:rsid w:val="00F55511"/>
    <w:rsid w:val="00F559EA"/>
    <w:rsid w:val="00F56324"/>
    <w:rsid w:val="00F62E97"/>
    <w:rsid w:val="00F63E07"/>
    <w:rsid w:val="00F64209"/>
    <w:rsid w:val="00F73298"/>
    <w:rsid w:val="00F8591E"/>
    <w:rsid w:val="00F93BF5"/>
    <w:rsid w:val="00F95F8A"/>
    <w:rsid w:val="00FA7C6B"/>
    <w:rsid w:val="00FD3C9A"/>
    <w:rsid w:val="00FE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D04430"/>
    <w:rPr>
      <w:rFonts w:ascii="Tahoma" w:hAnsi="Tahoma" w:cs="Tahoma"/>
      <w:sz w:val="16"/>
      <w:szCs w:val="16"/>
    </w:rPr>
  </w:style>
  <w:style w:type="character" w:customStyle="1" w:styleId="BalloonTextChar">
    <w:name w:val="Balloon Text Char"/>
    <w:basedOn w:val="DefaultParagraphFont"/>
    <w:link w:val="BalloonText"/>
    <w:rsid w:val="00D04430"/>
    <w:rPr>
      <w:rFonts w:ascii="Tahoma" w:hAnsi="Tahoma" w:cs="Tahoma"/>
      <w:snapToGrid w:val="0"/>
      <w:kern w:val="28"/>
      <w:sz w:val="16"/>
      <w:szCs w:val="16"/>
    </w:rPr>
  </w:style>
  <w:style w:type="character" w:styleId="CommentReference">
    <w:name w:val="annotation reference"/>
    <w:basedOn w:val="DefaultParagraphFont"/>
    <w:rsid w:val="00522C33"/>
    <w:rPr>
      <w:sz w:val="16"/>
      <w:szCs w:val="16"/>
    </w:rPr>
  </w:style>
  <w:style w:type="paragraph" w:styleId="CommentText">
    <w:name w:val="annotation text"/>
    <w:basedOn w:val="Normal"/>
    <w:link w:val="CommentTextChar"/>
    <w:rsid w:val="00522C33"/>
    <w:rPr>
      <w:sz w:val="20"/>
    </w:rPr>
  </w:style>
  <w:style w:type="character" w:customStyle="1" w:styleId="CommentTextChar">
    <w:name w:val="Comment Text Char"/>
    <w:basedOn w:val="DefaultParagraphFont"/>
    <w:link w:val="CommentText"/>
    <w:rsid w:val="00522C33"/>
    <w:rPr>
      <w:snapToGrid w:val="0"/>
      <w:kern w:val="28"/>
    </w:rPr>
  </w:style>
  <w:style w:type="paragraph" w:styleId="CommentSubject">
    <w:name w:val="annotation subject"/>
    <w:basedOn w:val="CommentText"/>
    <w:next w:val="CommentText"/>
    <w:link w:val="CommentSubjectChar"/>
    <w:rsid w:val="00522C33"/>
    <w:rPr>
      <w:b/>
      <w:bCs/>
    </w:rPr>
  </w:style>
  <w:style w:type="character" w:customStyle="1" w:styleId="CommentSubjectChar">
    <w:name w:val="Comment Subject Char"/>
    <w:basedOn w:val="CommentTextChar"/>
    <w:link w:val="CommentSubject"/>
    <w:rsid w:val="00522C33"/>
    <w:rPr>
      <w:b/>
      <w:bCs/>
      <w:snapToGrid w:val="0"/>
      <w:kern w:val="28"/>
    </w:rPr>
  </w:style>
  <w:style w:type="character" w:styleId="FollowedHyperlink">
    <w:name w:val="FollowedHyperlink"/>
    <w:basedOn w:val="DefaultParagraphFont"/>
    <w:rsid w:val="00CE6681"/>
    <w:rPr>
      <w:color w:val="800080" w:themeColor="followedHyperlink"/>
      <w:u w:val="single"/>
    </w:rPr>
  </w:style>
  <w:style w:type="character" w:customStyle="1" w:styleId="FootnoteTextChar">
    <w:name w:val="Footnote Text Char"/>
    <w:link w:val="FootnoteText"/>
    <w:rsid w:val="00524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D47505"/>
    <w:pPr>
      <w:tabs>
        <w:tab w:val="center" w:pos="4680"/>
        <w:tab w:val="right" w:pos="9360"/>
      </w:tabs>
      <w:spacing w:before="40"/>
      <w:ind w:firstLine="1080"/>
    </w:pPr>
    <w:rPr>
      <w:rFonts w:ascii="News Gothic MT" w:hAnsi="News Gothic MT"/>
      <w:b/>
      <w:sz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D04430"/>
    <w:rPr>
      <w:rFonts w:ascii="Tahoma" w:hAnsi="Tahoma" w:cs="Tahoma"/>
      <w:sz w:val="16"/>
      <w:szCs w:val="16"/>
    </w:rPr>
  </w:style>
  <w:style w:type="character" w:customStyle="1" w:styleId="BalloonTextChar">
    <w:name w:val="Balloon Text Char"/>
    <w:basedOn w:val="DefaultParagraphFont"/>
    <w:link w:val="BalloonText"/>
    <w:rsid w:val="00D04430"/>
    <w:rPr>
      <w:rFonts w:ascii="Tahoma" w:hAnsi="Tahoma" w:cs="Tahoma"/>
      <w:snapToGrid w:val="0"/>
      <w:kern w:val="28"/>
      <w:sz w:val="16"/>
      <w:szCs w:val="16"/>
    </w:rPr>
  </w:style>
  <w:style w:type="character" w:styleId="CommentReference">
    <w:name w:val="annotation reference"/>
    <w:basedOn w:val="DefaultParagraphFont"/>
    <w:rsid w:val="00522C33"/>
    <w:rPr>
      <w:sz w:val="16"/>
      <w:szCs w:val="16"/>
    </w:rPr>
  </w:style>
  <w:style w:type="paragraph" w:styleId="CommentText">
    <w:name w:val="annotation text"/>
    <w:basedOn w:val="Normal"/>
    <w:link w:val="CommentTextChar"/>
    <w:rsid w:val="00522C33"/>
    <w:rPr>
      <w:sz w:val="20"/>
    </w:rPr>
  </w:style>
  <w:style w:type="character" w:customStyle="1" w:styleId="CommentTextChar">
    <w:name w:val="Comment Text Char"/>
    <w:basedOn w:val="DefaultParagraphFont"/>
    <w:link w:val="CommentText"/>
    <w:rsid w:val="00522C33"/>
    <w:rPr>
      <w:snapToGrid w:val="0"/>
      <w:kern w:val="28"/>
    </w:rPr>
  </w:style>
  <w:style w:type="paragraph" w:styleId="CommentSubject">
    <w:name w:val="annotation subject"/>
    <w:basedOn w:val="CommentText"/>
    <w:next w:val="CommentText"/>
    <w:link w:val="CommentSubjectChar"/>
    <w:rsid w:val="00522C33"/>
    <w:rPr>
      <w:b/>
      <w:bCs/>
    </w:rPr>
  </w:style>
  <w:style w:type="character" w:customStyle="1" w:styleId="CommentSubjectChar">
    <w:name w:val="Comment Subject Char"/>
    <w:basedOn w:val="CommentTextChar"/>
    <w:link w:val="CommentSubject"/>
    <w:rsid w:val="00522C33"/>
    <w:rPr>
      <w:b/>
      <w:bCs/>
      <w:snapToGrid w:val="0"/>
      <w:kern w:val="28"/>
    </w:rPr>
  </w:style>
  <w:style w:type="character" w:styleId="FollowedHyperlink">
    <w:name w:val="FollowedHyperlink"/>
    <w:basedOn w:val="DefaultParagraphFont"/>
    <w:rsid w:val="00CE6681"/>
    <w:rPr>
      <w:color w:val="800080" w:themeColor="followedHyperlink"/>
      <w:u w:val="single"/>
    </w:rPr>
  </w:style>
  <w:style w:type="character" w:customStyle="1" w:styleId="FootnoteTextChar">
    <w:name w:val="Footnote Text Char"/>
    <w:link w:val="FootnoteText"/>
    <w:rsid w:val="0052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1865</Characters>
  <Application>Microsoft Office Word</Application>
  <DocSecurity>0</DocSecurity>
  <Lines>37</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2015-03-04T21:29:00Z</cp:lastPrinted>
  <dcterms:created xsi:type="dcterms:W3CDTF">2015-09-17T20:42:00Z</dcterms:created>
  <dcterms:modified xsi:type="dcterms:W3CDTF">2015-09-17T20:42:00Z</dcterms:modified>
  <cp:category> </cp:category>
  <cp:contentStatus> </cp:contentStatus>
</cp:coreProperties>
</file>