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4D6764" w:rsidP="007115F7">
            <w:pPr>
              <w:tabs>
                <w:tab w:val="center" w:pos="4680"/>
              </w:tabs>
              <w:suppressAutoHyphens/>
              <w:rPr>
                <w:spacing w:val="-2"/>
              </w:rPr>
            </w:pPr>
            <w:r>
              <w:rPr>
                <w:spacing w:val="-2"/>
              </w:rPr>
              <w:t>Great Plains Television Network, LLC</w:t>
            </w:r>
          </w:p>
          <w:p w:rsidR="004D6764" w:rsidRDefault="004D6764" w:rsidP="007115F7">
            <w:pPr>
              <w:tabs>
                <w:tab w:val="center" w:pos="4680"/>
              </w:tabs>
              <w:suppressAutoHyphens/>
              <w:rPr>
                <w:spacing w:val="-2"/>
              </w:rPr>
            </w:pPr>
            <w:r>
              <w:rPr>
                <w:spacing w:val="-2"/>
              </w:rPr>
              <w:t>Licensee of Station KGPT-CD</w:t>
            </w:r>
          </w:p>
          <w:p w:rsidR="004D6764" w:rsidRPr="007115F7" w:rsidRDefault="004D6764" w:rsidP="007115F7">
            <w:pPr>
              <w:tabs>
                <w:tab w:val="center" w:pos="4680"/>
              </w:tabs>
              <w:suppressAutoHyphens/>
              <w:rPr>
                <w:spacing w:val="-2"/>
              </w:rPr>
            </w:pPr>
            <w:r>
              <w:rPr>
                <w:spacing w:val="-2"/>
              </w:rPr>
              <w:t>Wichita, Kansas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4D6764"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D6764">
            <w:pPr>
              <w:tabs>
                <w:tab w:val="center" w:pos="4680"/>
              </w:tabs>
              <w:suppressAutoHyphens/>
              <w:rPr>
                <w:spacing w:val="-2"/>
              </w:rPr>
            </w:pPr>
            <w:r>
              <w:rPr>
                <w:spacing w:val="-2"/>
              </w:rPr>
              <w:t>Facility ID No. 190120</w:t>
            </w:r>
          </w:p>
          <w:p w:rsidR="004D6764" w:rsidRDefault="004D6764">
            <w:pPr>
              <w:tabs>
                <w:tab w:val="center" w:pos="4680"/>
              </w:tabs>
              <w:suppressAutoHyphens/>
              <w:rPr>
                <w:spacing w:val="-2"/>
              </w:rPr>
            </w:pPr>
            <w:r>
              <w:rPr>
                <w:spacing w:val="-2"/>
              </w:rPr>
              <w:t>NAL/Acct. No.:  201441420030</w:t>
            </w:r>
          </w:p>
          <w:p w:rsidR="004D6764" w:rsidRDefault="004D6764">
            <w:pPr>
              <w:tabs>
                <w:tab w:val="center" w:pos="4680"/>
              </w:tabs>
              <w:suppressAutoHyphens/>
              <w:rPr>
                <w:spacing w:val="-2"/>
              </w:rPr>
            </w:pPr>
            <w:r>
              <w:rPr>
                <w:spacing w:val="-2"/>
              </w:rPr>
              <w:t>FRN:  0015843998</w:t>
            </w:r>
          </w:p>
        </w:tc>
      </w:tr>
    </w:tbl>
    <w:p w:rsidR="004C2EE3" w:rsidRDefault="004C2EE3" w:rsidP="0070224F"/>
    <w:p w:rsidR="00841AB1" w:rsidRDefault="004D6764" w:rsidP="00F021FA">
      <w:pPr>
        <w:pStyle w:val="StyleBoldCentered"/>
      </w:pPr>
      <w:r>
        <w:t>forfeiture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BF5551">
        <w:rPr>
          <w:b/>
          <w:spacing w:val="-2"/>
        </w:rPr>
        <w:t>September 15</w:t>
      </w:r>
      <w:r w:rsidR="004D6764">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F5551">
        <w:rPr>
          <w:b/>
          <w:spacing w:val="-2"/>
        </w:rPr>
        <w:t>September</w:t>
      </w:r>
      <w:r w:rsidR="004D6764">
        <w:rPr>
          <w:b/>
          <w:spacing w:val="-2"/>
        </w:rPr>
        <w:t xml:space="preserve"> </w:t>
      </w:r>
      <w:r w:rsidR="00BF5551">
        <w:rPr>
          <w:b/>
          <w:spacing w:val="-2"/>
        </w:rPr>
        <w:t>15</w:t>
      </w:r>
      <w:r w:rsidR="004D6764">
        <w:rPr>
          <w:b/>
          <w:spacing w:val="-2"/>
        </w:rPr>
        <w:t>, 2015</w:t>
      </w:r>
    </w:p>
    <w:p w:rsidR="00822CE0" w:rsidRDefault="00822CE0"/>
    <w:p w:rsidR="004C2EE3" w:rsidRDefault="004C2EE3">
      <w:pPr>
        <w:rPr>
          <w:spacing w:val="-2"/>
        </w:rPr>
      </w:pPr>
      <w:r>
        <w:t xml:space="preserve">By </w:t>
      </w:r>
      <w:r w:rsidR="004E4A22">
        <w:t>the</w:t>
      </w:r>
      <w:r w:rsidR="002A2D2E">
        <w:t xml:space="preserve"> </w:t>
      </w:r>
      <w:r w:rsidR="004D6764">
        <w:rPr>
          <w:spacing w:val="-2"/>
        </w:rPr>
        <w:t>Chief, Video Division, Media Bureau</w:t>
      </w:r>
      <w:r>
        <w:rPr>
          <w:spacing w:val="-2"/>
        </w:rPr>
        <w:t>:</w:t>
      </w:r>
    </w:p>
    <w:p w:rsidR="00822CE0" w:rsidRDefault="00822CE0">
      <w:pPr>
        <w:rPr>
          <w:spacing w:val="-2"/>
        </w:rPr>
      </w:pPr>
    </w:p>
    <w:p w:rsidR="00412FC5" w:rsidRDefault="00412FC5" w:rsidP="00412FC5"/>
    <w:p w:rsidR="004D6764" w:rsidRPr="004D6764" w:rsidRDefault="004D6764" w:rsidP="004D6764">
      <w:pPr>
        <w:keepNext/>
        <w:widowControl/>
        <w:numPr>
          <w:ilvl w:val="0"/>
          <w:numId w:val="8"/>
        </w:numPr>
        <w:tabs>
          <w:tab w:val="left" w:pos="0"/>
          <w:tab w:val="left" w:pos="1080"/>
          <w:tab w:val="left" w:pos="5760"/>
        </w:tabs>
        <w:suppressAutoHyphens/>
        <w:outlineLvl w:val="1"/>
        <w:rPr>
          <w:b/>
          <w:snapToGrid/>
          <w:spacing w:val="-2"/>
          <w:kern w:val="0"/>
          <w:szCs w:val="22"/>
        </w:rPr>
      </w:pPr>
      <w:r w:rsidRPr="004D6764">
        <w:rPr>
          <w:b/>
          <w:snapToGrid/>
          <w:spacing w:val="-2"/>
          <w:kern w:val="0"/>
          <w:szCs w:val="22"/>
        </w:rPr>
        <w:t>INTRODUCTION</w:t>
      </w:r>
    </w:p>
    <w:p w:rsidR="004D6764" w:rsidRPr="004D6764" w:rsidRDefault="004D6764" w:rsidP="004D6764">
      <w:pPr>
        <w:widowControl/>
        <w:tabs>
          <w:tab w:val="left" w:pos="0"/>
          <w:tab w:val="left" w:pos="720"/>
          <w:tab w:val="left" w:pos="5760"/>
        </w:tabs>
        <w:suppressAutoHyphens/>
        <w:jc w:val="both"/>
        <w:rPr>
          <w:snapToGrid/>
          <w:spacing w:val="-2"/>
          <w:kern w:val="0"/>
          <w:szCs w:val="22"/>
        </w:rPr>
      </w:pPr>
    </w:p>
    <w:p w:rsidR="004D6764" w:rsidRPr="004D6764" w:rsidRDefault="004D6764" w:rsidP="004D6764">
      <w:pPr>
        <w:widowControl/>
        <w:numPr>
          <w:ilvl w:val="0"/>
          <w:numId w:val="2"/>
        </w:numPr>
        <w:tabs>
          <w:tab w:val="clear" w:pos="1080"/>
          <w:tab w:val="num" w:pos="1260"/>
          <w:tab w:val="num" w:pos="1440"/>
        </w:tabs>
        <w:spacing w:after="220"/>
        <w:ind w:left="180"/>
        <w:rPr>
          <w:snapToGrid/>
          <w:kern w:val="0"/>
          <w:szCs w:val="22"/>
        </w:rPr>
      </w:pPr>
      <w:r w:rsidRPr="004D6764">
        <w:rPr>
          <w:snapToGrid/>
          <w:spacing w:val="-2"/>
          <w:kern w:val="0"/>
          <w:szCs w:val="22"/>
        </w:rPr>
        <w:t xml:space="preserve">In this </w:t>
      </w:r>
      <w:r w:rsidRPr="004D6764">
        <w:rPr>
          <w:i/>
          <w:snapToGrid/>
          <w:spacing w:val="-2"/>
          <w:kern w:val="0"/>
          <w:szCs w:val="22"/>
        </w:rPr>
        <w:t>Forfeiture Order</w:t>
      </w:r>
      <w:r w:rsidRPr="004D6764">
        <w:rPr>
          <w:snapToGrid/>
          <w:spacing w:val="-2"/>
          <w:kern w:val="0"/>
          <w:szCs w:val="22"/>
        </w:rPr>
        <w:t>, issued pursuant to Sections 0.61(f)(1) and 1.80(a)(1) and (2) of the Commission’s rules (“Rules”),</w:t>
      </w:r>
      <w:r w:rsidRPr="004D6764">
        <w:rPr>
          <w:snapToGrid/>
          <w:spacing w:val="-2"/>
          <w:kern w:val="0"/>
          <w:szCs w:val="22"/>
          <w:vertAlign w:val="superscript"/>
        </w:rPr>
        <w:footnoteReference w:id="2"/>
      </w:r>
      <w:r w:rsidRPr="004D6764">
        <w:rPr>
          <w:snapToGrid/>
          <w:spacing w:val="-2"/>
          <w:kern w:val="0"/>
          <w:szCs w:val="22"/>
        </w:rPr>
        <w:t xml:space="preserve"> </w:t>
      </w:r>
      <w:r w:rsidRPr="004D6764">
        <w:rPr>
          <w:snapToGrid/>
          <w:kern w:val="0"/>
          <w:szCs w:val="22"/>
        </w:rPr>
        <w:t>we find that Great Plains Television Network, LLC is wil</w:t>
      </w:r>
      <w:r w:rsidR="001C79E1">
        <w:rPr>
          <w:snapToGrid/>
          <w:kern w:val="0"/>
          <w:szCs w:val="22"/>
        </w:rPr>
        <w:t xml:space="preserve">lfully and/or repeatedly violating </w:t>
      </w:r>
      <w:r w:rsidRPr="004D6764">
        <w:rPr>
          <w:snapToGrid/>
          <w:kern w:val="0"/>
          <w:szCs w:val="22"/>
        </w:rPr>
        <w:t xml:space="preserve">Section 73.3539(a) of the Rules by failing to file in a timely manner its application for license renewal (Form 303-S).  Based on our review of the facts and circumstances, we find the Licensee liable for a forfeiture of </w:t>
      </w:r>
      <w:r w:rsidR="005E2FFF">
        <w:rPr>
          <w:snapToGrid/>
          <w:kern w:val="0"/>
          <w:szCs w:val="22"/>
        </w:rPr>
        <w:t>one</w:t>
      </w:r>
      <w:r w:rsidR="001C79E1">
        <w:rPr>
          <w:snapToGrid/>
          <w:kern w:val="0"/>
          <w:szCs w:val="22"/>
        </w:rPr>
        <w:t xml:space="preserve"> thousand</w:t>
      </w:r>
      <w:r w:rsidR="005E2FFF">
        <w:rPr>
          <w:snapToGrid/>
          <w:kern w:val="0"/>
          <w:szCs w:val="22"/>
        </w:rPr>
        <w:t>, five hundred</w:t>
      </w:r>
      <w:r w:rsidR="001C79E1">
        <w:rPr>
          <w:snapToGrid/>
          <w:kern w:val="0"/>
          <w:szCs w:val="22"/>
        </w:rPr>
        <w:t xml:space="preserve"> dollars</w:t>
      </w:r>
      <w:r w:rsidRPr="004D6764">
        <w:rPr>
          <w:snapToGrid/>
          <w:kern w:val="0"/>
          <w:szCs w:val="22"/>
        </w:rPr>
        <w:t xml:space="preserve"> ($</w:t>
      </w:r>
      <w:r w:rsidR="005E2FFF">
        <w:rPr>
          <w:snapToGrid/>
          <w:kern w:val="0"/>
          <w:szCs w:val="22"/>
        </w:rPr>
        <w:t>1</w:t>
      </w:r>
      <w:r w:rsidRPr="004D6764">
        <w:rPr>
          <w:snapToGrid/>
          <w:kern w:val="0"/>
          <w:szCs w:val="22"/>
        </w:rPr>
        <w:t>,</w:t>
      </w:r>
      <w:r w:rsidR="005E2FFF">
        <w:rPr>
          <w:snapToGrid/>
          <w:kern w:val="0"/>
          <w:szCs w:val="22"/>
        </w:rPr>
        <w:t>5</w:t>
      </w:r>
      <w:r w:rsidRPr="004D6764">
        <w:rPr>
          <w:snapToGrid/>
          <w:kern w:val="0"/>
          <w:szCs w:val="22"/>
        </w:rPr>
        <w:t xml:space="preserve">00.00). </w:t>
      </w:r>
    </w:p>
    <w:p w:rsidR="004D6764" w:rsidRPr="004D6764" w:rsidRDefault="004D6764" w:rsidP="004D6764">
      <w:pPr>
        <w:keepNext/>
        <w:widowControl/>
        <w:numPr>
          <w:ilvl w:val="0"/>
          <w:numId w:val="8"/>
        </w:numPr>
        <w:tabs>
          <w:tab w:val="left" w:pos="1080"/>
        </w:tabs>
        <w:suppressAutoHyphens/>
        <w:autoSpaceDE w:val="0"/>
        <w:autoSpaceDN w:val="0"/>
        <w:adjustRightInd w:val="0"/>
        <w:spacing w:line="240" w:lineRule="atLeast"/>
        <w:outlineLvl w:val="1"/>
        <w:rPr>
          <w:b/>
          <w:snapToGrid/>
          <w:kern w:val="0"/>
          <w:szCs w:val="22"/>
        </w:rPr>
      </w:pPr>
      <w:r w:rsidRPr="004D6764">
        <w:rPr>
          <w:b/>
          <w:snapToGrid/>
          <w:kern w:val="0"/>
          <w:szCs w:val="22"/>
        </w:rPr>
        <w:t>BACKGROUND</w:t>
      </w:r>
    </w:p>
    <w:p w:rsidR="004D6764" w:rsidRPr="004D6764" w:rsidRDefault="004D6764" w:rsidP="004D6764">
      <w:pPr>
        <w:widowControl/>
        <w:numPr>
          <w:ilvl w:val="0"/>
          <w:numId w:val="7"/>
        </w:numPr>
        <w:rPr>
          <w:snapToGrid/>
          <w:kern w:val="0"/>
          <w:szCs w:val="22"/>
        </w:rPr>
      </w:pPr>
    </w:p>
    <w:p w:rsidR="004D6764" w:rsidRPr="004D6764" w:rsidRDefault="004D6764" w:rsidP="004D6764">
      <w:pPr>
        <w:widowControl/>
        <w:numPr>
          <w:ilvl w:val="0"/>
          <w:numId w:val="2"/>
        </w:numPr>
        <w:tabs>
          <w:tab w:val="clear" w:pos="1080"/>
          <w:tab w:val="num" w:pos="1260"/>
          <w:tab w:val="num" w:pos="1440"/>
        </w:tabs>
        <w:spacing w:after="220"/>
        <w:ind w:left="180"/>
        <w:rPr>
          <w:snapToGrid/>
          <w:spacing w:val="-2"/>
          <w:kern w:val="0"/>
          <w:szCs w:val="22"/>
        </w:rPr>
      </w:pPr>
      <w:r w:rsidRPr="004D6764">
        <w:rPr>
          <w:snapToGrid/>
          <w:kern w:val="0"/>
        </w:rPr>
        <w:t>On September 23, 2013, the Video Division (“Division”) issued a Notice of Apparent Liability for Forfeiture (“</w:t>
      </w:r>
      <w:r w:rsidRPr="004D6764">
        <w:rPr>
          <w:i/>
          <w:snapToGrid/>
          <w:kern w:val="0"/>
        </w:rPr>
        <w:t>NAL</w:t>
      </w:r>
      <w:r w:rsidRPr="004D6764">
        <w:rPr>
          <w:snapToGrid/>
          <w:kern w:val="0"/>
        </w:rPr>
        <w:t>”)</w:t>
      </w:r>
      <w:r w:rsidR="00446E31" w:rsidRPr="00446E31">
        <w:rPr>
          <w:snapToGrid/>
          <w:kern w:val="0"/>
          <w:vertAlign w:val="superscript"/>
        </w:rPr>
        <w:t xml:space="preserve"> </w:t>
      </w:r>
      <w:r w:rsidR="00446E31" w:rsidRPr="004D6764">
        <w:rPr>
          <w:snapToGrid/>
          <w:kern w:val="0"/>
          <w:vertAlign w:val="superscript"/>
        </w:rPr>
        <w:footnoteReference w:id="3"/>
      </w:r>
      <w:r w:rsidRPr="004D6764">
        <w:rPr>
          <w:snapToGrid/>
          <w:kern w:val="0"/>
        </w:rPr>
        <w:t xml:space="preserve"> to the Licensee for its apparent willful and/or repeated violations of</w:t>
      </w:r>
      <w:r w:rsidR="001C79E1">
        <w:rPr>
          <w:snapToGrid/>
          <w:kern w:val="0"/>
        </w:rPr>
        <w:t xml:space="preserve"> </w:t>
      </w:r>
      <w:r w:rsidRPr="004D6764">
        <w:rPr>
          <w:snapToGrid/>
          <w:kern w:val="0"/>
        </w:rPr>
        <w:t xml:space="preserve"> </w:t>
      </w:r>
      <w:r w:rsidRPr="004D6764">
        <w:rPr>
          <w:snapToGrid/>
          <w:kern w:val="0"/>
          <w:szCs w:val="22"/>
        </w:rPr>
        <w:t>(1) Section 73.3526(e)(11)(i) for failing to file electronically the Station’s quarterly TV issues/programs lists in a timely manner;</w:t>
      </w:r>
      <w:r w:rsidRPr="004D6764">
        <w:rPr>
          <w:snapToGrid/>
          <w:kern w:val="0"/>
          <w:szCs w:val="22"/>
          <w:vertAlign w:val="superscript"/>
        </w:rPr>
        <w:footnoteReference w:id="4"/>
      </w:r>
      <w:r w:rsidRPr="004D6764">
        <w:rPr>
          <w:snapToGrid/>
          <w:kern w:val="0"/>
          <w:szCs w:val="22"/>
        </w:rPr>
        <w:t xml:space="preserve"> (2) Section 73.3526(e)(11)(iii) for failing to file timely with the Commission the Station’s Children’s Television Programming Reports (FCC Form 398);</w:t>
      </w:r>
      <w:r w:rsidRPr="004D6764">
        <w:rPr>
          <w:snapToGrid/>
          <w:kern w:val="0"/>
          <w:szCs w:val="22"/>
          <w:vertAlign w:val="superscript"/>
        </w:rPr>
        <w:footnoteReference w:id="5"/>
      </w:r>
      <w:r w:rsidRPr="004D6764">
        <w:rPr>
          <w:snapToGrid/>
          <w:kern w:val="0"/>
          <w:szCs w:val="22"/>
        </w:rPr>
        <w:t xml:space="preserve"> (3) </w:t>
      </w:r>
      <w:r w:rsidRPr="004D6764">
        <w:rPr>
          <w:snapToGrid/>
          <w:kern w:val="0"/>
        </w:rPr>
        <w:t xml:space="preserve">Section 73.3539(a) for </w:t>
      </w:r>
      <w:r w:rsidRPr="004D6764">
        <w:rPr>
          <w:snapToGrid/>
          <w:kern w:val="0"/>
          <w:szCs w:val="22"/>
        </w:rPr>
        <w:t>failing to file timely the Station’s license renewal application;</w:t>
      </w:r>
      <w:r w:rsidRPr="004D6764">
        <w:rPr>
          <w:snapToGrid/>
          <w:kern w:val="0"/>
          <w:szCs w:val="22"/>
          <w:vertAlign w:val="superscript"/>
        </w:rPr>
        <w:footnoteReference w:id="6"/>
      </w:r>
      <w:r w:rsidRPr="004D6764">
        <w:rPr>
          <w:snapToGrid/>
          <w:kern w:val="0"/>
          <w:szCs w:val="22"/>
        </w:rPr>
        <w:t xml:space="preserve"> and (4) Section 73.3514(a) for failing to report certain violations in its license renewal application.</w:t>
      </w:r>
      <w:r w:rsidRPr="004D6764">
        <w:rPr>
          <w:snapToGrid/>
          <w:kern w:val="0"/>
          <w:szCs w:val="22"/>
          <w:vertAlign w:val="superscript"/>
        </w:rPr>
        <w:footnoteReference w:id="7"/>
      </w:r>
      <w:r w:rsidRPr="004D6764">
        <w:rPr>
          <w:snapToGrid/>
          <w:kern w:val="0"/>
          <w:szCs w:val="22"/>
        </w:rPr>
        <w:t xml:space="preserve">  The Division proposed a monetary forfeiture in the amount of $19,000.  In a timely Response filed October 10, 2014,</w:t>
      </w:r>
      <w:r w:rsidRPr="004D6764">
        <w:rPr>
          <w:snapToGrid/>
          <w:kern w:val="0"/>
          <w:szCs w:val="22"/>
          <w:vertAlign w:val="superscript"/>
        </w:rPr>
        <w:footnoteReference w:id="8"/>
      </w:r>
      <w:r w:rsidRPr="004D6764">
        <w:rPr>
          <w:snapToGrid/>
          <w:kern w:val="0"/>
          <w:szCs w:val="22"/>
        </w:rPr>
        <w:t xml:space="preserve"> the Licensee states that all documents, with the exception of its license renewal application, were filed with the Commission and/or placed in the Station’s electronic public file in a timely manner.  </w:t>
      </w:r>
    </w:p>
    <w:p w:rsidR="004D6764" w:rsidRPr="004D6764" w:rsidRDefault="004D6764" w:rsidP="004D6764">
      <w:pPr>
        <w:keepNext/>
        <w:widowControl/>
        <w:numPr>
          <w:ilvl w:val="0"/>
          <w:numId w:val="8"/>
        </w:numPr>
        <w:tabs>
          <w:tab w:val="left" w:pos="1080"/>
        </w:tabs>
        <w:spacing w:after="220"/>
        <w:rPr>
          <w:snapToGrid/>
          <w:spacing w:val="-2"/>
          <w:kern w:val="0"/>
          <w:szCs w:val="22"/>
        </w:rPr>
      </w:pPr>
      <w:r w:rsidRPr="004D6764">
        <w:rPr>
          <w:b/>
          <w:snapToGrid/>
          <w:kern w:val="0"/>
          <w:szCs w:val="22"/>
        </w:rPr>
        <w:lastRenderedPageBreak/>
        <w:t>DISCUSSION</w:t>
      </w:r>
    </w:p>
    <w:p w:rsidR="004D6764" w:rsidRPr="004D6764" w:rsidRDefault="004D6764" w:rsidP="004D6764">
      <w:pPr>
        <w:widowControl/>
        <w:numPr>
          <w:ilvl w:val="0"/>
          <w:numId w:val="2"/>
        </w:numPr>
        <w:tabs>
          <w:tab w:val="clear" w:pos="1080"/>
          <w:tab w:val="num" w:pos="1260"/>
          <w:tab w:val="num" w:pos="1440"/>
        </w:tabs>
        <w:spacing w:after="240"/>
        <w:ind w:left="180"/>
        <w:rPr>
          <w:snapToGrid/>
          <w:spacing w:val="-2"/>
          <w:kern w:val="0"/>
          <w:szCs w:val="22"/>
        </w:rPr>
      </w:pPr>
      <w:r w:rsidRPr="004D6764">
        <w:rPr>
          <w:snapToGrid/>
          <w:kern w:val="0"/>
          <w:szCs w:val="22"/>
        </w:rPr>
        <w:t>The Commission is authorized to license radio and television broadcast stations and is responsible for enforcing the Commission’s rules and applicable statutory provisions concerning the operation of those stations.  Under section 503(b)(1) of the Communications Act of 1934, as amended, any person who is determined by the Commission to have willfully or repeatedly failed to comply with any provision of the Act or any rule, regulation, or order issued by the Commission shall be liable to the United States for a forfeiture penalty.</w:t>
      </w:r>
      <w:r w:rsidRPr="004D6764">
        <w:rPr>
          <w:snapToGrid/>
          <w:color w:val="000000"/>
          <w:kern w:val="0"/>
          <w:szCs w:val="22"/>
          <w:vertAlign w:val="superscript"/>
        </w:rPr>
        <w:footnoteReference w:id="9"/>
      </w:r>
      <w:r w:rsidRPr="004D6764">
        <w:rPr>
          <w:snapToGrid/>
          <w:kern w:val="0"/>
          <w:szCs w:val="22"/>
        </w:rPr>
        <w:t xml:space="preserve">  In order to impose a forfeiture penalty, the Commission must issue a notice of apparent liability, the notice must be received, and the person against whom the notice has been issued must have an opportunity to show, in writing, why no such penalty should be imposed.</w:t>
      </w:r>
      <w:r w:rsidRPr="004D6764">
        <w:rPr>
          <w:snapToGrid/>
          <w:kern w:val="0"/>
          <w:szCs w:val="22"/>
          <w:vertAlign w:val="superscript"/>
        </w:rPr>
        <w:footnoteReference w:id="10"/>
      </w:r>
      <w:r w:rsidRPr="004D6764">
        <w:rPr>
          <w:snapToGrid/>
          <w:kern w:val="0"/>
          <w:szCs w:val="22"/>
        </w:rPr>
        <w:t xml:space="preserve"> The Commission will then issue a forfeiture order if it finds by a preponderance of the evidence that the person has violated the Act or a Commission rule.</w:t>
      </w:r>
      <w:r w:rsidRPr="004D6764">
        <w:rPr>
          <w:snapToGrid/>
          <w:kern w:val="0"/>
          <w:szCs w:val="22"/>
          <w:vertAlign w:val="superscript"/>
        </w:rPr>
        <w:t xml:space="preserve"> </w:t>
      </w:r>
      <w:r w:rsidRPr="004D6764">
        <w:rPr>
          <w:snapToGrid/>
          <w:kern w:val="0"/>
          <w:szCs w:val="22"/>
          <w:vertAlign w:val="superscript"/>
        </w:rPr>
        <w:footnoteReference w:id="11"/>
      </w:r>
      <w:r w:rsidRPr="004D6764">
        <w:rPr>
          <w:snapToGrid/>
          <w:kern w:val="0"/>
          <w:szCs w:val="22"/>
        </w:rPr>
        <w:t xml:space="preserve">  </w:t>
      </w:r>
    </w:p>
    <w:p w:rsidR="004D6764" w:rsidRPr="00433443" w:rsidRDefault="004D6764" w:rsidP="00433443">
      <w:pPr>
        <w:widowControl/>
        <w:numPr>
          <w:ilvl w:val="0"/>
          <w:numId w:val="2"/>
        </w:numPr>
        <w:tabs>
          <w:tab w:val="clear" w:pos="1080"/>
          <w:tab w:val="num" w:pos="1260"/>
          <w:tab w:val="num" w:pos="1440"/>
        </w:tabs>
        <w:spacing w:after="240"/>
        <w:ind w:left="180"/>
        <w:rPr>
          <w:snapToGrid/>
          <w:spacing w:val="-2"/>
          <w:kern w:val="0"/>
          <w:szCs w:val="22"/>
        </w:rPr>
      </w:pPr>
      <w:r w:rsidRPr="004D6764">
        <w:rPr>
          <w:snapToGrid/>
          <w:kern w:val="0"/>
        </w:rPr>
        <w:t xml:space="preserve">In the </w:t>
      </w:r>
      <w:r w:rsidRPr="004D6764">
        <w:rPr>
          <w:i/>
          <w:snapToGrid/>
          <w:kern w:val="0"/>
        </w:rPr>
        <w:t>NAL</w:t>
      </w:r>
      <w:r w:rsidRPr="004D6764">
        <w:rPr>
          <w:snapToGrid/>
          <w:kern w:val="0"/>
        </w:rPr>
        <w:t xml:space="preserve">, the Division proposed a total forfeiture in the amount of $19,000, which included $10,000 for the Licensee’s </w:t>
      </w:r>
      <w:r w:rsidRPr="004D6764">
        <w:rPr>
          <w:snapToGrid/>
          <w:kern w:val="0"/>
          <w:szCs w:val="22"/>
        </w:rPr>
        <w:t>failure to upload to the Station’s electronic public file copies of its quarterly TV issue</w:t>
      </w:r>
      <w:r w:rsidR="005E2FFF">
        <w:rPr>
          <w:snapToGrid/>
          <w:kern w:val="0"/>
          <w:szCs w:val="22"/>
        </w:rPr>
        <w:t>s/programs lists for 26 quarters</w:t>
      </w:r>
      <w:r w:rsidRPr="004D6764">
        <w:rPr>
          <w:snapToGrid/>
          <w:kern w:val="0"/>
          <w:szCs w:val="22"/>
        </w:rPr>
        <w:t xml:space="preserve">. </w:t>
      </w:r>
      <w:r w:rsidRPr="004D6764">
        <w:rPr>
          <w:snapToGrid/>
          <w:kern w:val="0"/>
        </w:rPr>
        <w:t xml:space="preserve"> In its Response, the Licensee contends </w:t>
      </w:r>
      <w:r w:rsidR="005E2FFF" w:rsidRPr="004D6764">
        <w:rPr>
          <w:snapToGrid/>
          <w:kern w:val="0"/>
        </w:rPr>
        <w:t xml:space="preserve">that </w:t>
      </w:r>
      <w:r w:rsidR="005E2FFF">
        <w:rPr>
          <w:snapToGrid/>
          <w:kern w:val="0"/>
        </w:rPr>
        <w:t xml:space="preserve">documents in the </w:t>
      </w:r>
      <w:r w:rsidRPr="004D6764">
        <w:rPr>
          <w:snapToGrid/>
          <w:kern w:val="0"/>
        </w:rPr>
        <w:t>Station’s electric public file “disappeared” when the Station converted from analog to digital operations.  According to the Licensee this may have been ca</w:t>
      </w:r>
      <w:r w:rsidR="00F84AD4">
        <w:rPr>
          <w:snapToGrid/>
          <w:kern w:val="0"/>
        </w:rPr>
        <w:t xml:space="preserve">used by the change </w:t>
      </w:r>
      <w:r w:rsidR="005E2FFF">
        <w:rPr>
          <w:snapToGrid/>
          <w:kern w:val="0"/>
        </w:rPr>
        <w:t>in the</w:t>
      </w:r>
      <w:r w:rsidRPr="004D6764">
        <w:rPr>
          <w:snapToGrid/>
          <w:kern w:val="0"/>
        </w:rPr>
        <w:t xml:space="preserve"> Station’s facility identification number (</w:t>
      </w:r>
      <w:r w:rsidR="00912310" w:rsidRPr="004D6764">
        <w:rPr>
          <w:snapToGrid/>
          <w:kern w:val="0"/>
        </w:rPr>
        <w:t xml:space="preserve">from </w:t>
      </w:r>
      <w:r w:rsidR="00912310">
        <w:rPr>
          <w:snapToGrid/>
          <w:kern w:val="0"/>
        </w:rPr>
        <w:t>Facility</w:t>
      </w:r>
      <w:r w:rsidR="00F84AD4">
        <w:rPr>
          <w:snapToGrid/>
          <w:kern w:val="0"/>
        </w:rPr>
        <w:t xml:space="preserve"> ID No. </w:t>
      </w:r>
      <w:r w:rsidRPr="004D6764">
        <w:rPr>
          <w:snapToGrid/>
          <w:kern w:val="0"/>
        </w:rPr>
        <w:t>35255 to 190120).</w:t>
      </w:r>
      <w:r w:rsidRPr="004D6764">
        <w:rPr>
          <w:snapToGrid/>
          <w:kern w:val="0"/>
          <w:vertAlign w:val="superscript"/>
        </w:rPr>
        <w:footnoteReference w:id="12"/>
      </w:r>
      <w:r w:rsidRPr="004D6764">
        <w:rPr>
          <w:snapToGrid/>
          <w:kern w:val="0"/>
        </w:rPr>
        <w:t xml:space="preserve">   The Division has confirmed that as the result of a technical glitch the Station’s documents were inadvertently deleted (or unlinked) from its electronic public file as the Licensee claims. </w:t>
      </w:r>
      <w:r w:rsidR="00433443">
        <w:rPr>
          <w:snapToGrid/>
          <w:kern w:val="0"/>
        </w:rPr>
        <w:t xml:space="preserve"> </w:t>
      </w:r>
      <w:r w:rsidR="00433443" w:rsidRPr="004D6764">
        <w:rPr>
          <w:snapToGrid/>
          <w:kern w:val="0"/>
        </w:rPr>
        <w:t xml:space="preserve">Therefore, we find that the Licensee did not violate </w:t>
      </w:r>
      <w:r w:rsidR="00433443">
        <w:rPr>
          <w:snapToGrid/>
          <w:kern w:val="0"/>
          <w:szCs w:val="22"/>
        </w:rPr>
        <w:t>Section 73.3526(e)(11)(i) of the Rules.</w:t>
      </w:r>
      <w:r w:rsidR="00433443">
        <w:rPr>
          <w:rStyle w:val="FootnoteReference"/>
          <w:snapToGrid/>
          <w:kern w:val="0"/>
          <w:szCs w:val="22"/>
        </w:rPr>
        <w:footnoteReference w:id="13"/>
      </w:r>
      <w:r w:rsidR="00433443">
        <w:rPr>
          <w:snapToGrid/>
          <w:kern w:val="0"/>
          <w:szCs w:val="22"/>
        </w:rPr>
        <w:t xml:space="preserve">  </w:t>
      </w:r>
      <w:r w:rsidRPr="004D6764">
        <w:rPr>
          <w:snapToGrid/>
          <w:kern w:val="0"/>
        </w:rPr>
        <w:t xml:space="preserve"> </w:t>
      </w:r>
      <w:r w:rsidR="005E2FFF" w:rsidRPr="00433443">
        <w:rPr>
          <w:snapToGrid/>
          <w:kern w:val="0"/>
        </w:rPr>
        <w:t>In addition, upon review of the Station’s electronic public file we find that it only filed one Children’s Television Programming Report late, which we consider to be</w:t>
      </w:r>
      <w:r w:rsidR="00433443" w:rsidRPr="00433443">
        <w:rPr>
          <w:snapToGrid/>
          <w:kern w:val="0"/>
        </w:rPr>
        <w:t xml:space="preserve"> a</w:t>
      </w:r>
      <w:r w:rsidR="005E2FFF" w:rsidRPr="00433443">
        <w:rPr>
          <w:snapToGrid/>
          <w:kern w:val="0"/>
        </w:rPr>
        <w:t xml:space="preserve"> </w:t>
      </w:r>
      <w:r w:rsidR="005E2FFF" w:rsidRPr="00433443">
        <w:rPr>
          <w:i/>
          <w:snapToGrid/>
          <w:kern w:val="0"/>
        </w:rPr>
        <w:t>de minimis</w:t>
      </w:r>
      <w:r w:rsidR="00433443" w:rsidRPr="00433443">
        <w:rPr>
          <w:i/>
          <w:snapToGrid/>
          <w:kern w:val="0"/>
        </w:rPr>
        <w:t xml:space="preserve"> </w:t>
      </w:r>
      <w:r w:rsidR="00433443">
        <w:rPr>
          <w:snapToGrid/>
          <w:kern w:val="0"/>
        </w:rPr>
        <w:t>violation of Section 73.3526(e)(11)(iii),</w:t>
      </w:r>
      <w:r w:rsidR="00433443">
        <w:rPr>
          <w:rStyle w:val="FootnoteReference"/>
          <w:snapToGrid/>
          <w:kern w:val="0"/>
        </w:rPr>
        <w:footnoteReference w:id="14"/>
      </w:r>
      <w:r w:rsidR="00433443">
        <w:rPr>
          <w:snapToGrid/>
          <w:kern w:val="0"/>
        </w:rPr>
        <w:t xml:space="preserve"> which does not warrant forfeiture</w:t>
      </w:r>
      <w:r w:rsidR="005E2FFF" w:rsidRPr="00433443">
        <w:rPr>
          <w:snapToGrid/>
          <w:kern w:val="0"/>
        </w:rPr>
        <w:t>.</w:t>
      </w:r>
      <w:r w:rsidR="005E2FFF">
        <w:rPr>
          <w:rStyle w:val="FootnoteReference"/>
          <w:snapToGrid/>
          <w:kern w:val="0"/>
        </w:rPr>
        <w:footnoteReference w:id="15"/>
      </w:r>
      <w:r w:rsidR="005E2FFF" w:rsidRPr="00433443">
        <w:rPr>
          <w:snapToGrid/>
          <w:kern w:val="0"/>
        </w:rPr>
        <w:t xml:space="preserve">  </w:t>
      </w:r>
      <w:r w:rsidR="000858D1">
        <w:rPr>
          <w:snapToGrid/>
          <w:kern w:val="0"/>
          <w:szCs w:val="22"/>
        </w:rPr>
        <w:t xml:space="preserve">In light of these findings, we also find that the License should not be liable for any violation of </w:t>
      </w:r>
      <w:r w:rsidR="00446E31" w:rsidRPr="00433443">
        <w:rPr>
          <w:snapToGrid/>
          <w:kern w:val="0"/>
          <w:szCs w:val="22"/>
        </w:rPr>
        <w:t xml:space="preserve">Section </w:t>
      </w:r>
      <w:r w:rsidRPr="00433443">
        <w:rPr>
          <w:snapToGrid/>
          <w:kern w:val="0"/>
          <w:szCs w:val="22"/>
        </w:rPr>
        <w:t>73.3514(a) of the Rules</w:t>
      </w:r>
      <w:r w:rsidR="000858D1">
        <w:rPr>
          <w:snapToGrid/>
          <w:kern w:val="0"/>
          <w:szCs w:val="22"/>
        </w:rPr>
        <w:t xml:space="preserve"> for failing to report a single late filed Children’s Television Programming Report</w:t>
      </w:r>
      <w:r w:rsidRPr="00433443">
        <w:rPr>
          <w:snapToGrid/>
          <w:kern w:val="0"/>
          <w:szCs w:val="22"/>
        </w:rPr>
        <w:t>.</w:t>
      </w:r>
      <w:r w:rsidRPr="004D6764">
        <w:rPr>
          <w:snapToGrid/>
          <w:kern w:val="0"/>
          <w:szCs w:val="22"/>
          <w:vertAlign w:val="superscript"/>
        </w:rPr>
        <w:footnoteReference w:id="16"/>
      </w:r>
    </w:p>
    <w:p w:rsidR="004D6764" w:rsidRPr="004D6764" w:rsidRDefault="004D6764" w:rsidP="004D6764">
      <w:pPr>
        <w:widowControl/>
        <w:numPr>
          <w:ilvl w:val="0"/>
          <w:numId w:val="2"/>
        </w:numPr>
        <w:tabs>
          <w:tab w:val="clear" w:pos="1080"/>
          <w:tab w:val="num" w:pos="1260"/>
          <w:tab w:val="num" w:pos="1440"/>
        </w:tabs>
        <w:spacing w:after="240"/>
        <w:ind w:left="180"/>
        <w:rPr>
          <w:snapToGrid/>
          <w:spacing w:val="-2"/>
          <w:kern w:val="0"/>
          <w:szCs w:val="22"/>
        </w:rPr>
      </w:pPr>
      <w:r w:rsidRPr="00F84AD4">
        <w:rPr>
          <w:snapToGrid/>
          <w:kern w:val="0"/>
          <w:szCs w:val="22"/>
        </w:rPr>
        <w:t>In its Response, the Licensee admits that it failed to file the Station’s license renewal application in a timely manner.</w:t>
      </w:r>
      <w:r w:rsidRPr="00F84AD4">
        <w:rPr>
          <w:snapToGrid/>
          <w:kern w:val="0"/>
          <w:szCs w:val="22"/>
          <w:vertAlign w:val="superscript"/>
        </w:rPr>
        <w:footnoteReference w:id="17"/>
      </w:r>
      <w:r w:rsidRPr="00F84AD4">
        <w:rPr>
          <w:snapToGrid/>
          <w:kern w:val="0"/>
          <w:szCs w:val="22"/>
        </w:rPr>
        <w:t xml:space="preserve">  </w:t>
      </w:r>
      <w:bookmarkStart w:id="1" w:name="a0e2h1g6c9_ref"/>
      <w:bookmarkStart w:id="2" w:name="a0e2h1g6c9_reffirst_footref"/>
      <w:bookmarkEnd w:id="1"/>
      <w:bookmarkEnd w:id="2"/>
      <w:r w:rsidR="00F84AD4">
        <w:rPr>
          <w:szCs w:val="22"/>
        </w:rPr>
        <w:t>T</w:t>
      </w:r>
      <w:r w:rsidR="002E1ABA" w:rsidRPr="00F84AD4">
        <w:rPr>
          <w:szCs w:val="22"/>
        </w:rPr>
        <w:t xml:space="preserve">he </w:t>
      </w:r>
      <w:r w:rsidR="00F84AD4">
        <w:rPr>
          <w:szCs w:val="22"/>
        </w:rPr>
        <w:t>Station’s</w:t>
      </w:r>
      <w:r w:rsidR="002E1ABA" w:rsidRPr="00F84AD4">
        <w:rPr>
          <w:szCs w:val="22"/>
        </w:rPr>
        <w:t xml:space="preserve"> </w:t>
      </w:r>
      <w:r w:rsidR="00F84AD4" w:rsidRPr="00F84AD4">
        <w:rPr>
          <w:szCs w:val="22"/>
        </w:rPr>
        <w:t xml:space="preserve">license </w:t>
      </w:r>
      <w:r w:rsidR="002E1ABA" w:rsidRPr="00F84AD4">
        <w:rPr>
          <w:szCs w:val="22"/>
        </w:rPr>
        <w:t xml:space="preserve">was scheduled to expire on </w:t>
      </w:r>
      <w:r w:rsidR="00F84AD4" w:rsidRPr="00F84AD4">
        <w:rPr>
          <w:szCs w:val="22"/>
        </w:rPr>
        <w:t>June</w:t>
      </w:r>
      <w:r w:rsidR="002E1ABA" w:rsidRPr="00F84AD4">
        <w:rPr>
          <w:szCs w:val="22"/>
        </w:rPr>
        <w:t xml:space="preserve"> 1, 201</w:t>
      </w:r>
      <w:r w:rsidR="00F84AD4" w:rsidRPr="00F84AD4">
        <w:rPr>
          <w:szCs w:val="22"/>
        </w:rPr>
        <w:t xml:space="preserve">4, and </w:t>
      </w:r>
      <w:r w:rsidR="00F84AD4">
        <w:rPr>
          <w:szCs w:val="22"/>
        </w:rPr>
        <w:lastRenderedPageBreak/>
        <w:t>the Licensee</w:t>
      </w:r>
      <w:r w:rsidR="002E1ABA" w:rsidRPr="00F84AD4">
        <w:rPr>
          <w:szCs w:val="22"/>
        </w:rPr>
        <w:t xml:space="preserve"> required to file its </w:t>
      </w:r>
      <w:r w:rsidR="00F84AD4">
        <w:rPr>
          <w:szCs w:val="22"/>
        </w:rPr>
        <w:t xml:space="preserve">license renewal application </w:t>
      </w:r>
      <w:r w:rsidR="002E1ABA" w:rsidRPr="00F84AD4">
        <w:rPr>
          <w:szCs w:val="22"/>
        </w:rPr>
        <w:t xml:space="preserve">on or before </w:t>
      </w:r>
      <w:r w:rsidR="00F84AD4" w:rsidRPr="00F84AD4">
        <w:rPr>
          <w:szCs w:val="22"/>
        </w:rPr>
        <w:t>February 1, 2014</w:t>
      </w:r>
      <w:r w:rsidR="00F84AD4">
        <w:rPr>
          <w:szCs w:val="22"/>
        </w:rPr>
        <w:t>.</w:t>
      </w:r>
      <w:r w:rsidR="00F84AD4">
        <w:rPr>
          <w:rStyle w:val="FootnoteReference"/>
          <w:szCs w:val="22"/>
        </w:rPr>
        <w:footnoteReference w:id="18"/>
      </w:r>
      <w:r w:rsidR="00F84AD4">
        <w:rPr>
          <w:szCs w:val="22"/>
        </w:rPr>
        <w:t xml:space="preserve">  </w:t>
      </w:r>
      <w:r w:rsidRPr="00F84AD4">
        <w:rPr>
          <w:snapToGrid/>
          <w:kern w:val="0"/>
          <w:szCs w:val="22"/>
        </w:rPr>
        <w:t xml:space="preserve">The </w:t>
      </w:r>
      <w:r w:rsidR="00672C6E" w:rsidRPr="00F84AD4">
        <w:rPr>
          <w:snapToGrid/>
          <w:kern w:val="0"/>
          <w:szCs w:val="22"/>
        </w:rPr>
        <w:t>license renewal application was not filed with the Commission until March 19, 2014—45 days late.</w:t>
      </w:r>
      <w:r w:rsidR="00672C6E" w:rsidRPr="00F84AD4">
        <w:rPr>
          <w:rStyle w:val="FootnoteReference"/>
          <w:snapToGrid/>
          <w:kern w:val="0"/>
          <w:sz w:val="22"/>
          <w:szCs w:val="22"/>
        </w:rPr>
        <w:footnoteReference w:id="19"/>
      </w:r>
      <w:r w:rsidR="00672C6E" w:rsidRPr="00F84AD4">
        <w:rPr>
          <w:snapToGrid/>
          <w:kern w:val="0"/>
          <w:szCs w:val="22"/>
        </w:rPr>
        <w:t xml:space="preserve"> </w:t>
      </w:r>
      <w:r w:rsidR="002E1ABA" w:rsidRPr="00F84AD4">
        <w:rPr>
          <w:snapToGrid/>
          <w:kern w:val="0"/>
          <w:szCs w:val="22"/>
        </w:rPr>
        <w:t xml:space="preserve">  The </w:t>
      </w:r>
      <w:r w:rsidRPr="00F84AD4">
        <w:rPr>
          <w:snapToGrid/>
          <w:kern w:val="0"/>
          <w:szCs w:val="22"/>
        </w:rPr>
        <w:t>Division proposed a forfeiture in the amount of $3,000 for this apparent violation of the Rules.</w:t>
      </w:r>
      <w:r w:rsidR="00F84AD4">
        <w:rPr>
          <w:rStyle w:val="FootnoteReference"/>
          <w:snapToGrid/>
          <w:kern w:val="0"/>
          <w:szCs w:val="22"/>
        </w:rPr>
        <w:footnoteReference w:id="20"/>
      </w:r>
      <w:r w:rsidRPr="00F84AD4">
        <w:rPr>
          <w:snapToGrid/>
          <w:kern w:val="0"/>
          <w:szCs w:val="22"/>
        </w:rPr>
        <w:t xml:space="preserve">   </w:t>
      </w:r>
      <w:r w:rsidR="00F84AD4" w:rsidRPr="00F84AD4">
        <w:rPr>
          <w:snapToGrid/>
          <w:kern w:val="0"/>
          <w:szCs w:val="22"/>
        </w:rPr>
        <w:t>The</w:t>
      </w:r>
      <w:r w:rsidR="00F84AD4" w:rsidRPr="00F84AD4">
        <w:rPr>
          <w:i/>
          <w:snapToGrid/>
          <w:kern w:val="0"/>
          <w:szCs w:val="22"/>
        </w:rPr>
        <w:t xml:space="preserve"> </w:t>
      </w:r>
      <w:r w:rsidR="00F84AD4" w:rsidRPr="00F84AD4">
        <w:rPr>
          <w:snapToGrid/>
          <w:kern w:val="0"/>
          <w:szCs w:val="22"/>
        </w:rPr>
        <w:t>Commission’s</w:t>
      </w:r>
      <w:r w:rsidR="00F84AD4" w:rsidRPr="00F84AD4">
        <w:rPr>
          <w:i/>
          <w:snapToGrid/>
          <w:kern w:val="0"/>
          <w:szCs w:val="22"/>
        </w:rPr>
        <w:t xml:space="preserve"> Forfeiture Policy Statement</w:t>
      </w:r>
      <w:r w:rsidR="00F84AD4" w:rsidRPr="00F84AD4">
        <w:rPr>
          <w:snapToGrid/>
          <w:kern w:val="0"/>
          <w:szCs w:val="22"/>
        </w:rPr>
        <w:t xml:space="preserve"> and the note to Section 1.80(b)(8) of the Rules establish a base forfeiture amount of $3,000 for failure to file a required form or information.</w:t>
      </w:r>
      <w:r w:rsidR="00F84AD4">
        <w:rPr>
          <w:szCs w:val="22"/>
        </w:rPr>
        <w:t xml:space="preserve">  </w:t>
      </w:r>
      <w:r w:rsidR="00F84AD4" w:rsidRPr="00F84AD4">
        <w:rPr>
          <w:snapToGrid/>
          <w:kern w:val="0"/>
          <w:szCs w:val="22"/>
        </w:rPr>
        <w:t xml:space="preserve">In determining the appropriate forfeiture amount, we may adjust the base amount upward or downward by considering the factors enumerated in </w:t>
      </w:r>
      <w:r w:rsidR="00F84AD4" w:rsidRPr="004D6764">
        <w:rPr>
          <w:snapToGrid/>
          <w:kern w:val="0"/>
          <w:szCs w:val="22"/>
        </w:rPr>
        <w:t>Section 503(b)(2)(D) of the Act, including “the nature, circumstances, extent, and gravity of the violation and, with respect to the violator, the degree of culpability, any history of prior offenses, ability to pay, and such other matters as justice may require.”</w:t>
      </w:r>
      <w:r w:rsidR="00F84AD4">
        <w:rPr>
          <w:rStyle w:val="FootnoteReference"/>
          <w:snapToGrid/>
          <w:kern w:val="0"/>
          <w:szCs w:val="22"/>
        </w:rPr>
        <w:footnoteReference w:id="21"/>
      </w:r>
      <w:r w:rsidR="00F84AD4">
        <w:rPr>
          <w:szCs w:val="22"/>
        </w:rPr>
        <w:t xml:space="preserve"> </w:t>
      </w:r>
      <w:r w:rsidRPr="004D6764">
        <w:rPr>
          <w:snapToGrid/>
          <w:kern w:val="0"/>
        </w:rPr>
        <w:t>In light of the fact and circumstances before us,</w:t>
      </w:r>
      <w:r w:rsidR="00672C6E">
        <w:rPr>
          <w:snapToGrid/>
          <w:kern w:val="0"/>
        </w:rPr>
        <w:t xml:space="preserve"> </w:t>
      </w:r>
      <w:r w:rsidR="00F84AD4">
        <w:rPr>
          <w:snapToGrid/>
          <w:kern w:val="0"/>
        </w:rPr>
        <w:t xml:space="preserve">including the nature of the violation coupled with the Licensee’s history of compliance, </w:t>
      </w:r>
      <w:r w:rsidR="00672C6E">
        <w:rPr>
          <w:snapToGrid/>
          <w:kern w:val="0"/>
        </w:rPr>
        <w:t>we find that</w:t>
      </w:r>
      <w:r w:rsidRPr="004D6764">
        <w:rPr>
          <w:snapToGrid/>
          <w:kern w:val="0"/>
        </w:rPr>
        <w:t xml:space="preserve"> reduction of </w:t>
      </w:r>
      <w:r w:rsidR="00672C6E" w:rsidRPr="004D6764">
        <w:rPr>
          <w:snapToGrid/>
          <w:kern w:val="0"/>
        </w:rPr>
        <w:t>the base</w:t>
      </w:r>
      <w:r w:rsidRPr="004D6764">
        <w:rPr>
          <w:snapToGrid/>
          <w:kern w:val="0"/>
        </w:rPr>
        <w:t xml:space="preserve"> forfeiture amount is appropriate.  Accordingly, the Licensee is liable for a forfeiture in the amount of $</w:t>
      </w:r>
      <w:r w:rsidR="00672C6E">
        <w:rPr>
          <w:snapToGrid/>
          <w:kern w:val="0"/>
        </w:rPr>
        <w:t>1</w:t>
      </w:r>
      <w:r w:rsidRPr="004D6764">
        <w:rPr>
          <w:snapToGrid/>
          <w:kern w:val="0"/>
        </w:rPr>
        <w:t>,</w:t>
      </w:r>
      <w:r w:rsidR="00672C6E">
        <w:rPr>
          <w:snapToGrid/>
          <w:kern w:val="0"/>
        </w:rPr>
        <w:t>5</w:t>
      </w:r>
      <w:r w:rsidRPr="004D6764">
        <w:rPr>
          <w:snapToGrid/>
          <w:kern w:val="0"/>
        </w:rPr>
        <w:t>00 for its violation of Section 73.3539(a) of the Rules.</w:t>
      </w:r>
      <w:r w:rsidRPr="004D6764">
        <w:rPr>
          <w:snapToGrid/>
          <w:kern w:val="0"/>
          <w:vertAlign w:val="superscript"/>
        </w:rPr>
        <w:footnoteReference w:id="22"/>
      </w:r>
    </w:p>
    <w:p w:rsidR="004D6764" w:rsidRPr="004D6764" w:rsidRDefault="004D6764" w:rsidP="004D6764">
      <w:pPr>
        <w:widowControl/>
        <w:numPr>
          <w:ilvl w:val="0"/>
          <w:numId w:val="8"/>
        </w:numPr>
        <w:tabs>
          <w:tab w:val="left" w:pos="1080"/>
        </w:tabs>
        <w:spacing w:after="220"/>
        <w:rPr>
          <w:snapToGrid/>
          <w:spacing w:val="-2"/>
          <w:kern w:val="0"/>
        </w:rPr>
      </w:pPr>
      <w:r w:rsidRPr="004D6764">
        <w:rPr>
          <w:b/>
          <w:snapToGrid/>
          <w:kern w:val="0"/>
          <w:szCs w:val="22"/>
        </w:rPr>
        <w:t>ORDERING CLAUSES</w:t>
      </w:r>
    </w:p>
    <w:p w:rsidR="004D6764" w:rsidRPr="004D6764" w:rsidRDefault="004D6764" w:rsidP="004D6764">
      <w:pPr>
        <w:widowControl/>
        <w:numPr>
          <w:ilvl w:val="0"/>
          <w:numId w:val="2"/>
        </w:numPr>
        <w:tabs>
          <w:tab w:val="clear" w:pos="1080"/>
          <w:tab w:val="num" w:pos="1260"/>
          <w:tab w:val="left" w:pos="1440"/>
        </w:tabs>
        <w:spacing w:after="240"/>
        <w:ind w:left="180"/>
        <w:rPr>
          <w:snapToGrid/>
          <w:kern w:val="0"/>
          <w:szCs w:val="22"/>
        </w:rPr>
      </w:pPr>
      <w:r w:rsidRPr="004D6764">
        <w:rPr>
          <w:b/>
          <w:snapToGrid/>
          <w:kern w:val="0"/>
          <w:szCs w:val="22"/>
        </w:rPr>
        <w:t>ACCORDINGLY, IT IS ORDERED THAT</w:t>
      </w:r>
      <w:r w:rsidRPr="004D6764">
        <w:rPr>
          <w:snapToGrid/>
          <w:kern w:val="0"/>
          <w:szCs w:val="22"/>
        </w:rPr>
        <w:t>, pursuant to section 503(b) of the Communications Act of 1934, as amended</w:t>
      </w:r>
      <w:r w:rsidR="00A34FC9">
        <w:rPr>
          <w:snapToGrid/>
          <w:kern w:val="0"/>
          <w:szCs w:val="22"/>
        </w:rPr>
        <w:t xml:space="preserve">, </w:t>
      </w:r>
      <w:r w:rsidRPr="004D6764">
        <w:rPr>
          <w:snapToGrid/>
          <w:kern w:val="0"/>
          <w:szCs w:val="22"/>
        </w:rPr>
        <w:t>and Sec</w:t>
      </w:r>
      <w:r w:rsidR="00A34FC9">
        <w:rPr>
          <w:snapToGrid/>
          <w:kern w:val="0"/>
          <w:szCs w:val="22"/>
        </w:rPr>
        <w:t>tions 0.61(f)(1) and 1.80(a)(1),</w:t>
      </w:r>
      <w:r w:rsidRPr="004D6764">
        <w:rPr>
          <w:snapToGrid/>
          <w:kern w:val="0"/>
          <w:szCs w:val="22"/>
        </w:rPr>
        <w:t>(2) of the Commission’s rules</w:t>
      </w:r>
      <w:r w:rsidRPr="004D6764">
        <w:rPr>
          <w:snapToGrid/>
          <w:spacing w:val="-2"/>
          <w:kern w:val="0"/>
          <w:szCs w:val="22"/>
        </w:rPr>
        <w:t>,</w:t>
      </w:r>
      <w:r w:rsidRPr="004D6764">
        <w:rPr>
          <w:snapToGrid/>
          <w:spacing w:val="-2"/>
          <w:kern w:val="0"/>
          <w:szCs w:val="22"/>
          <w:vertAlign w:val="superscript"/>
        </w:rPr>
        <w:footnoteReference w:id="23"/>
      </w:r>
      <w:r w:rsidR="00A34FC9">
        <w:rPr>
          <w:snapToGrid/>
          <w:kern w:val="0"/>
          <w:szCs w:val="22"/>
        </w:rPr>
        <w:t xml:space="preserve"> </w:t>
      </w:r>
      <w:r w:rsidRPr="004D6764">
        <w:rPr>
          <w:snapToGrid/>
          <w:kern w:val="0"/>
          <w:szCs w:val="22"/>
        </w:rPr>
        <w:t>Great Plains Television Network, LLC, SHALL FORFEIT to the United States the sum of One Thousand, Five Hundred Dollars ($1,500) for its apparent willful and/or repeated violation of Section 73.3539(a) of the Commission’s Rules</w:t>
      </w:r>
      <w:r w:rsidR="00446E31">
        <w:rPr>
          <w:snapToGrid/>
          <w:kern w:val="0"/>
          <w:szCs w:val="22"/>
        </w:rPr>
        <w:t>.</w:t>
      </w:r>
      <w:r w:rsidR="00A34FC9">
        <w:rPr>
          <w:rStyle w:val="FootnoteReference"/>
          <w:snapToGrid/>
          <w:kern w:val="0"/>
          <w:szCs w:val="22"/>
        </w:rPr>
        <w:footnoteReference w:id="24"/>
      </w:r>
    </w:p>
    <w:p w:rsidR="00A34FC9" w:rsidRDefault="004D6764" w:rsidP="004D6764">
      <w:pPr>
        <w:widowControl/>
        <w:numPr>
          <w:ilvl w:val="0"/>
          <w:numId w:val="2"/>
        </w:numPr>
        <w:tabs>
          <w:tab w:val="clear" w:pos="1080"/>
          <w:tab w:val="num" w:pos="1260"/>
          <w:tab w:val="left" w:pos="1440"/>
        </w:tabs>
        <w:spacing w:after="240"/>
        <w:ind w:left="180"/>
        <w:rPr>
          <w:snapToGrid/>
          <w:kern w:val="0"/>
          <w:szCs w:val="22"/>
        </w:rPr>
      </w:pPr>
      <w:r w:rsidRPr="004D6764">
        <w:rPr>
          <w:snapToGrid/>
          <w:kern w:val="0"/>
          <w:szCs w:val="22"/>
        </w:rPr>
        <w:t>Payment of the forfeiture shall be made in the manner provided for in Section 1.80(h) of the Commission’s rules within thirty (30) calendar days after the release date of this Forfeiture Order.  If the forfeiture is not paid within the period specified, the case may be referred to the U.S. Department of Justice for enforcement of the forfeiture pursuant to Section 504(a) of the Communications Act of 1934, as amended.</w:t>
      </w:r>
      <w:r w:rsidR="00A34FC9">
        <w:rPr>
          <w:rStyle w:val="FootnoteReference"/>
          <w:snapToGrid/>
          <w:kern w:val="0"/>
          <w:szCs w:val="22"/>
        </w:rPr>
        <w:footnoteReference w:id="25"/>
      </w:r>
    </w:p>
    <w:p w:rsidR="004D6764" w:rsidRPr="004D6764" w:rsidRDefault="004D6764" w:rsidP="004D6764">
      <w:pPr>
        <w:widowControl/>
        <w:numPr>
          <w:ilvl w:val="0"/>
          <w:numId w:val="2"/>
        </w:numPr>
        <w:tabs>
          <w:tab w:val="clear" w:pos="1080"/>
          <w:tab w:val="num" w:pos="1260"/>
          <w:tab w:val="left" w:pos="1440"/>
        </w:tabs>
        <w:spacing w:after="240"/>
        <w:ind w:left="180"/>
        <w:rPr>
          <w:snapToGrid/>
          <w:kern w:val="0"/>
          <w:szCs w:val="22"/>
        </w:rPr>
      </w:pPr>
      <w:r w:rsidRPr="004D6764">
        <w:t xml:space="preserve">Payments of the forfeiture must be made by check or similar instrument, wire transfer, or credit card, and must include the FRN referenced above.  Electronic notification of payments should also be sent to Alison </w:t>
      </w:r>
      <w:r w:rsidR="00446E31">
        <w:t xml:space="preserve">Nemeth at </w:t>
      </w:r>
      <w:hyperlink r:id="rId8" w:history="1">
        <w:r w:rsidR="00446E31" w:rsidRPr="0016413C">
          <w:rPr>
            <w:rStyle w:val="Hyperlink"/>
          </w:rPr>
          <w:t>Alison.Nemeth@fcc.gov</w:t>
        </w:r>
      </w:hyperlink>
      <w:r w:rsidR="00446E31">
        <w:t xml:space="preserve"> </w:t>
      </w:r>
      <w:r w:rsidRPr="004D6764">
        <w:t xml:space="preserve">on the date payments are made.  Regardless </w:t>
      </w:r>
      <w:r w:rsidRPr="004D6764">
        <w:lastRenderedPageBreak/>
        <w:t>of the form of payment, a completed FCC Form 159 (Remittance Advice) must be submitted.</w:t>
      </w:r>
      <w:r w:rsidRPr="004D6764">
        <w:rPr>
          <w:kern w:val="0"/>
          <w:sz w:val="20"/>
          <w:szCs w:val="22"/>
          <w:vertAlign w:val="superscript"/>
        </w:rPr>
        <w:footnoteReference w:id="26"/>
      </w:r>
      <w:r w:rsidRPr="004D6764">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r w:rsidRPr="004D6764">
        <w:rPr>
          <w:kern w:val="0"/>
          <w:sz w:val="20"/>
          <w:szCs w:val="22"/>
          <w:vertAlign w:val="superscript"/>
        </w:rPr>
        <w:footnoteReference w:id="27"/>
      </w:r>
      <w:r w:rsidRPr="004D6764">
        <w:t xml:space="preserve"> </w:t>
      </w:r>
    </w:p>
    <w:p w:rsidR="004D6764" w:rsidRPr="004D6764" w:rsidRDefault="004D6764" w:rsidP="004D6764">
      <w:pPr>
        <w:widowControl/>
        <w:numPr>
          <w:ilvl w:val="0"/>
          <w:numId w:val="9"/>
        </w:numPr>
        <w:spacing w:after="120"/>
        <w:rPr>
          <w:spacing w:val="-2"/>
          <w:szCs w:val="22"/>
        </w:rPr>
      </w:pPr>
      <w:r w:rsidRPr="004D6764">
        <w:rPr>
          <w:spacing w:val="-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4D6764" w:rsidRPr="004D6764" w:rsidRDefault="004D6764" w:rsidP="004D6764">
      <w:pPr>
        <w:widowControl/>
        <w:numPr>
          <w:ilvl w:val="0"/>
          <w:numId w:val="9"/>
        </w:numPr>
        <w:spacing w:after="120"/>
        <w:rPr>
          <w:spacing w:val="-2"/>
          <w:szCs w:val="22"/>
        </w:rPr>
      </w:pPr>
      <w:r w:rsidRPr="004D6764">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4D6764" w:rsidRPr="004D6764" w:rsidRDefault="004D6764" w:rsidP="004D6764">
      <w:pPr>
        <w:widowControl/>
        <w:numPr>
          <w:ilvl w:val="0"/>
          <w:numId w:val="9"/>
        </w:numPr>
        <w:spacing w:after="120"/>
        <w:rPr>
          <w:spacing w:val="-2"/>
          <w:szCs w:val="22"/>
        </w:rPr>
      </w:pPr>
      <w:r w:rsidRPr="004D6764">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4D6764" w:rsidRPr="004D6764" w:rsidRDefault="004D6764" w:rsidP="004D6764">
      <w:pPr>
        <w:widowControl/>
        <w:numPr>
          <w:ilvl w:val="0"/>
          <w:numId w:val="2"/>
        </w:numPr>
        <w:tabs>
          <w:tab w:val="clear" w:pos="1080"/>
          <w:tab w:val="num" w:pos="1260"/>
          <w:tab w:val="left" w:pos="1440"/>
        </w:tabs>
        <w:spacing w:after="240"/>
        <w:ind w:left="180"/>
        <w:rPr>
          <w:snapToGrid/>
          <w:kern w:val="0"/>
          <w:szCs w:val="22"/>
        </w:rPr>
      </w:pPr>
      <w:r w:rsidRPr="004D6764">
        <w:rPr>
          <w:b/>
          <w:snapToGrid/>
          <w:kern w:val="0"/>
        </w:rPr>
        <w:t>IT IS FURTHER ORDERED</w:t>
      </w:r>
      <w:r w:rsidRPr="004D6764">
        <w:rPr>
          <w:snapToGrid/>
          <w:kern w:val="0"/>
        </w:rPr>
        <w:t xml:space="preserve"> that copies of this </w:t>
      </w:r>
      <w:r w:rsidRPr="004D6764">
        <w:rPr>
          <w:i/>
          <w:snapToGrid/>
          <w:kern w:val="0"/>
        </w:rPr>
        <w:t>NAL</w:t>
      </w:r>
      <w:r w:rsidRPr="004D6764">
        <w:rPr>
          <w:snapToGrid/>
          <w:kern w:val="0"/>
        </w:rPr>
        <w:t xml:space="preserve"> shall be sent, by First Class and Certified Mail, Return Receipt Requested, to Great Plains Television Network, LLC, 100 South Main, Suite 300, Wichita, Kansas, 190120, and to its counsel, Richard C. Goetz, R&amp;L Media Systems, Inc., 135 N Country Club Drive, Hendersonville, Tennessee, 37075.</w:t>
      </w:r>
    </w:p>
    <w:p w:rsidR="004D6764" w:rsidRPr="004D6764" w:rsidRDefault="004D6764" w:rsidP="004D6764">
      <w:pPr>
        <w:widowControl/>
        <w:ind w:left="3600"/>
        <w:rPr>
          <w:snapToGrid/>
          <w:kern w:val="0"/>
          <w:szCs w:val="22"/>
        </w:rPr>
      </w:pPr>
    </w:p>
    <w:p w:rsidR="004D6764" w:rsidRPr="004D6764" w:rsidRDefault="004D6764" w:rsidP="002C5E5E">
      <w:pPr>
        <w:widowControl/>
        <w:ind w:left="3600" w:firstLine="720"/>
        <w:rPr>
          <w:snapToGrid/>
          <w:kern w:val="0"/>
          <w:szCs w:val="22"/>
        </w:rPr>
      </w:pPr>
      <w:r w:rsidRPr="004D6764">
        <w:rPr>
          <w:snapToGrid/>
          <w:kern w:val="0"/>
          <w:szCs w:val="22"/>
        </w:rPr>
        <w:t>FEDERAL COMMUNICATIONS COMMISSION</w:t>
      </w:r>
    </w:p>
    <w:p w:rsidR="004D6764" w:rsidRPr="004D6764" w:rsidRDefault="004D6764" w:rsidP="004D6764">
      <w:pPr>
        <w:widowControl/>
        <w:rPr>
          <w:snapToGrid/>
          <w:kern w:val="0"/>
          <w:szCs w:val="22"/>
        </w:rPr>
      </w:pPr>
      <w:r w:rsidRPr="004D6764">
        <w:rPr>
          <w:snapToGrid/>
          <w:kern w:val="0"/>
          <w:szCs w:val="22"/>
        </w:rPr>
        <w:tab/>
      </w:r>
      <w:r w:rsidRPr="004D6764">
        <w:rPr>
          <w:snapToGrid/>
          <w:kern w:val="0"/>
          <w:szCs w:val="22"/>
        </w:rPr>
        <w:tab/>
      </w:r>
      <w:r w:rsidRPr="004D6764">
        <w:rPr>
          <w:snapToGrid/>
          <w:kern w:val="0"/>
          <w:szCs w:val="22"/>
        </w:rPr>
        <w:tab/>
      </w:r>
      <w:r w:rsidRPr="004D6764">
        <w:rPr>
          <w:snapToGrid/>
          <w:kern w:val="0"/>
          <w:szCs w:val="22"/>
        </w:rPr>
        <w:tab/>
      </w:r>
    </w:p>
    <w:p w:rsidR="004D6764" w:rsidRPr="004D6764" w:rsidRDefault="004D6764" w:rsidP="004D6764">
      <w:pPr>
        <w:widowControl/>
        <w:rPr>
          <w:snapToGrid/>
          <w:kern w:val="0"/>
          <w:szCs w:val="22"/>
        </w:rPr>
      </w:pPr>
    </w:p>
    <w:p w:rsidR="004D6764" w:rsidRPr="004D6764" w:rsidRDefault="004D6764" w:rsidP="004D6764">
      <w:pPr>
        <w:widowControl/>
        <w:rPr>
          <w:snapToGrid/>
          <w:kern w:val="0"/>
          <w:szCs w:val="22"/>
        </w:rPr>
      </w:pPr>
      <w:r w:rsidRPr="004D6764">
        <w:rPr>
          <w:snapToGrid/>
          <w:kern w:val="0"/>
          <w:szCs w:val="22"/>
        </w:rPr>
        <w:tab/>
      </w:r>
    </w:p>
    <w:p w:rsidR="004D6764" w:rsidRPr="004D6764" w:rsidRDefault="004D6764" w:rsidP="004D6764">
      <w:pPr>
        <w:widowControl/>
        <w:rPr>
          <w:snapToGrid/>
          <w:kern w:val="0"/>
          <w:szCs w:val="22"/>
        </w:rPr>
      </w:pPr>
      <w:r w:rsidRPr="004D6764">
        <w:rPr>
          <w:snapToGrid/>
          <w:kern w:val="0"/>
          <w:szCs w:val="22"/>
        </w:rPr>
        <w:tab/>
      </w:r>
      <w:r w:rsidRPr="004D6764">
        <w:rPr>
          <w:snapToGrid/>
          <w:kern w:val="0"/>
          <w:szCs w:val="22"/>
        </w:rPr>
        <w:tab/>
      </w:r>
      <w:r w:rsidRPr="004D6764">
        <w:rPr>
          <w:snapToGrid/>
          <w:kern w:val="0"/>
          <w:szCs w:val="22"/>
        </w:rPr>
        <w:tab/>
      </w:r>
      <w:r w:rsidRPr="004D6764">
        <w:rPr>
          <w:snapToGrid/>
          <w:kern w:val="0"/>
          <w:szCs w:val="22"/>
        </w:rPr>
        <w:tab/>
      </w:r>
      <w:r w:rsidRPr="004D6764">
        <w:rPr>
          <w:snapToGrid/>
          <w:kern w:val="0"/>
          <w:szCs w:val="22"/>
        </w:rPr>
        <w:tab/>
      </w:r>
      <w:r w:rsidR="002C5E5E">
        <w:rPr>
          <w:snapToGrid/>
          <w:kern w:val="0"/>
          <w:szCs w:val="22"/>
        </w:rPr>
        <w:tab/>
      </w:r>
      <w:r w:rsidRPr="004D6764">
        <w:rPr>
          <w:snapToGrid/>
          <w:kern w:val="0"/>
          <w:szCs w:val="22"/>
        </w:rPr>
        <w:t>Barbara A. Kreisman</w:t>
      </w:r>
    </w:p>
    <w:p w:rsidR="004D6764" w:rsidRPr="004D6764" w:rsidRDefault="004D6764" w:rsidP="004D6764">
      <w:pPr>
        <w:widowControl/>
        <w:rPr>
          <w:snapToGrid/>
          <w:kern w:val="0"/>
          <w:szCs w:val="22"/>
        </w:rPr>
      </w:pPr>
      <w:r w:rsidRPr="004D6764">
        <w:rPr>
          <w:snapToGrid/>
          <w:kern w:val="0"/>
          <w:szCs w:val="22"/>
        </w:rPr>
        <w:tab/>
      </w:r>
      <w:r w:rsidRPr="004D6764">
        <w:rPr>
          <w:snapToGrid/>
          <w:kern w:val="0"/>
          <w:szCs w:val="22"/>
        </w:rPr>
        <w:tab/>
      </w:r>
      <w:r w:rsidRPr="004D6764">
        <w:rPr>
          <w:snapToGrid/>
          <w:kern w:val="0"/>
          <w:szCs w:val="22"/>
        </w:rPr>
        <w:tab/>
      </w:r>
      <w:r w:rsidRPr="004D6764">
        <w:rPr>
          <w:snapToGrid/>
          <w:kern w:val="0"/>
          <w:szCs w:val="22"/>
        </w:rPr>
        <w:tab/>
      </w:r>
      <w:r w:rsidRPr="004D6764">
        <w:rPr>
          <w:snapToGrid/>
          <w:kern w:val="0"/>
          <w:szCs w:val="22"/>
        </w:rPr>
        <w:tab/>
      </w:r>
      <w:r w:rsidR="002C5E5E">
        <w:rPr>
          <w:snapToGrid/>
          <w:kern w:val="0"/>
          <w:szCs w:val="22"/>
        </w:rPr>
        <w:tab/>
      </w:r>
      <w:r w:rsidRPr="004D6764">
        <w:rPr>
          <w:snapToGrid/>
          <w:kern w:val="0"/>
          <w:szCs w:val="22"/>
        </w:rPr>
        <w:t xml:space="preserve">Chief, Video Division </w:t>
      </w:r>
    </w:p>
    <w:p w:rsidR="002C00E8" w:rsidRPr="004D6764" w:rsidRDefault="004D6764" w:rsidP="002C5E5E">
      <w:pPr>
        <w:widowControl/>
        <w:ind w:left="3600" w:firstLine="720"/>
        <w:rPr>
          <w:snapToGrid/>
          <w:kern w:val="0"/>
          <w:szCs w:val="22"/>
        </w:rPr>
      </w:pPr>
      <w:r>
        <w:rPr>
          <w:snapToGrid/>
          <w:kern w:val="0"/>
          <w:szCs w:val="22"/>
        </w:rPr>
        <w:t xml:space="preserve">Media </w:t>
      </w:r>
      <w:r w:rsidR="002C5E5E">
        <w:rPr>
          <w:snapToGrid/>
          <w:kern w:val="0"/>
          <w:szCs w:val="22"/>
        </w:rPr>
        <w:t>Bureau</w:t>
      </w:r>
    </w:p>
    <w:sectPr w:rsidR="002C00E8" w:rsidRPr="004D6764"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64" w:rsidRDefault="004D6764">
      <w:pPr>
        <w:spacing w:line="20" w:lineRule="exact"/>
      </w:pPr>
    </w:p>
  </w:endnote>
  <w:endnote w:type="continuationSeparator" w:id="0">
    <w:p w:rsidR="004D6764" w:rsidRDefault="004D6764">
      <w:r>
        <w:t xml:space="preserve"> </w:t>
      </w:r>
    </w:p>
  </w:endnote>
  <w:endnote w:type="continuationNotice" w:id="1">
    <w:p w:rsidR="004D6764" w:rsidRDefault="004D676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F22C7">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64" w:rsidRDefault="004D6764">
      <w:r>
        <w:separator/>
      </w:r>
    </w:p>
  </w:footnote>
  <w:footnote w:type="continuationSeparator" w:id="0">
    <w:p w:rsidR="004D6764" w:rsidRDefault="004D6764" w:rsidP="00C721AC">
      <w:pPr>
        <w:spacing w:before="120"/>
        <w:rPr>
          <w:sz w:val="20"/>
        </w:rPr>
      </w:pPr>
      <w:r>
        <w:rPr>
          <w:sz w:val="20"/>
        </w:rPr>
        <w:t xml:space="preserve">(Continued from previous page)  </w:t>
      </w:r>
      <w:r>
        <w:rPr>
          <w:sz w:val="20"/>
        </w:rPr>
        <w:separator/>
      </w:r>
    </w:p>
  </w:footnote>
  <w:footnote w:type="continuationNotice" w:id="1">
    <w:p w:rsidR="004D6764" w:rsidRDefault="004D6764" w:rsidP="00C721AC">
      <w:pPr>
        <w:jc w:val="right"/>
        <w:rPr>
          <w:sz w:val="20"/>
        </w:rPr>
      </w:pPr>
      <w:r>
        <w:rPr>
          <w:sz w:val="20"/>
        </w:rPr>
        <w:t>(continued….)</w:t>
      </w:r>
    </w:p>
  </w:footnote>
  <w:footnote w:id="2">
    <w:p w:rsidR="004D6764" w:rsidRPr="00F008F4" w:rsidRDefault="004D6764" w:rsidP="002C5E5E">
      <w:pPr>
        <w:pStyle w:val="FootnoteText"/>
      </w:pPr>
      <w:r w:rsidRPr="00F008F4">
        <w:rPr>
          <w:rStyle w:val="FootnoteReference"/>
        </w:rPr>
        <w:footnoteRef/>
      </w:r>
      <w:r w:rsidRPr="00F008F4">
        <w:t xml:space="preserve">  47 C.F.R. §§ 0.61(f)(1), 1.80(a)(1),(2).</w:t>
      </w:r>
    </w:p>
  </w:footnote>
  <w:footnote w:id="3">
    <w:p w:rsidR="00446E31" w:rsidRPr="00F008F4" w:rsidRDefault="00446E31" w:rsidP="00446E31">
      <w:pPr>
        <w:spacing w:after="120"/>
        <w:rPr>
          <w:sz w:val="20"/>
        </w:rPr>
      </w:pPr>
      <w:r w:rsidRPr="00F008F4">
        <w:rPr>
          <w:rStyle w:val="FootnoteReference"/>
        </w:rPr>
        <w:footnoteRef/>
      </w:r>
      <w:r w:rsidRPr="00F008F4">
        <w:rPr>
          <w:sz w:val="20"/>
        </w:rPr>
        <w:t xml:space="preserve"> </w:t>
      </w:r>
      <w:r>
        <w:rPr>
          <w:i/>
          <w:sz w:val="20"/>
        </w:rPr>
        <w:t>Great Plain Television Network, LLC</w:t>
      </w:r>
      <w:r w:rsidRPr="00F008F4">
        <w:rPr>
          <w:sz w:val="20"/>
        </w:rPr>
        <w:t xml:space="preserve">, Notice of Apparent Liability for Forfeiture, 29 FCC Rcd </w:t>
      </w:r>
      <w:r>
        <w:rPr>
          <w:sz w:val="20"/>
        </w:rPr>
        <w:t>10559</w:t>
      </w:r>
      <w:r w:rsidRPr="00F008F4">
        <w:rPr>
          <w:sz w:val="20"/>
        </w:rPr>
        <w:t xml:space="preserve"> (Vid. Div. 2014).</w:t>
      </w:r>
    </w:p>
  </w:footnote>
  <w:footnote w:id="4">
    <w:p w:rsidR="004D6764" w:rsidRPr="00F008F4" w:rsidRDefault="004D6764" w:rsidP="002C5E5E">
      <w:pPr>
        <w:pStyle w:val="FootnoteText"/>
      </w:pPr>
      <w:r w:rsidRPr="00F008F4">
        <w:rPr>
          <w:rStyle w:val="FootnoteReference"/>
        </w:rPr>
        <w:footnoteRef/>
      </w:r>
      <w:r w:rsidRPr="00F008F4">
        <w:t xml:space="preserve"> 47 C.F.R. § 73.3526(e)(11)(i).</w:t>
      </w:r>
    </w:p>
  </w:footnote>
  <w:footnote w:id="5">
    <w:p w:rsidR="004D6764" w:rsidRPr="00F008F4" w:rsidRDefault="004D6764" w:rsidP="002C5E5E">
      <w:pPr>
        <w:pStyle w:val="FootnoteText"/>
      </w:pPr>
      <w:r w:rsidRPr="00F008F4">
        <w:rPr>
          <w:rStyle w:val="FootnoteReference"/>
        </w:rPr>
        <w:footnoteRef/>
      </w:r>
      <w:r w:rsidRPr="00F008F4">
        <w:t xml:space="preserve"> 47 C.F.R. § 73.3526(e)(11)(iii).  </w:t>
      </w:r>
    </w:p>
  </w:footnote>
  <w:footnote w:id="6">
    <w:p w:rsidR="004D6764" w:rsidRPr="00F008F4" w:rsidRDefault="004D6764" w:rsidP="002C5E5E">
      <w:pPr>
        <w:pStyle w:val="FootnoteText"/>
      </w:pPr>
      <w:r w:rsidRPr="00F008F4">
        <w:rPr>
          <w:rStyle w:val="FootnoteReference"/>
        </w:rPr>
        <w:footnoteRef/>
      </w:r>
      <w:r w:rsidRPr="00F008F4">
        <w:t xml:space="preserve"> 47 C.F.R. § 73.3539(a).  </w:t>
      </w:r>
    </w:p>
  </w:footnote>
  <w:footnote w:id="7">
    <w:p w:rsidR="004D6764" w:rsidRPr="00F008F4" w:rsidRDefault="004D6764" w:rsidP="002C5E5E">
      <w:pPr>
        <w:pStyle w:val="FootnoteText"/>
      </w:pPr>
      <w:r w:rsidRPr="00F008F4">
        <w:rPr>
          <w:rStyle w:val="FootnoteReference"/>
        </w:rPr>
        <w:footnoteRef/>
      </w:r>
      <w:r w:rsidRPr="00F008F4">
        <w:t xml:space="preserve"> 47 C.F.R. § 73.3514(a).</w:t>
      </w:r>
    </w:p>
  </w:footnote>
  <w:footnote w:id="8">
    <w:p w:rsidR="004D6764" w:rsidRPr="00F008F4" w:rsidRDefault="004D6764" w:rsidP="002C5E5E">
      <w:pPr>
        <w:pStyle w:val="FootnoteText"/>
      </w:pPr>
      <w:r w:rsidRPr="00F008F4">
        <w:rPr>
          <w:rStyle w:val="FootnoteReference"/>
        </w:rPr>
        <w:footnoteRef/>
      </w:r>
      <w:r>
        <w:rPr>
          <w:i/>
        </w:rPr>
        <w:t xml:space="preserve"> </w:t>
      </w:r>
      <w:r>
        <w:t>Great Plain Television Network, LLC</w:t>
      </w:r>
      <w:r w:rsidRPr="00F008F4">
        <w:t>, Response to Notice of Apparent Liability</w:t>
      </w:r>
      <w:r>
        <w:t xml:space="preserve"> for Forfeiture</w:t>
      </w:r>
      <w:r w:rsidRPr="00F008F4">
        <w:t xml:space="preserve"> (</w:t>
      </w:r>
      <w:r>
        <w:t>filed Oct. 10, 2014</w:t>
      </w:r>
      <w:r w:rsidRPr="00F008F4">
        <w:t>)(“</w:t>
      </w:r>
      <w:r w:rsidRPr="00F008F4">
        <w:rPr>
          <w:i/>
        </w:rPr>
        <w:t>Response</w:t>
      </w:r>
      <w:r w:rsidRPr="00F008F4">
        <w:t>”).</w:t>
      </w:r>
    </w:p>
  </w:footnote>
  <w:footnote w:id="9">
    <w:p w:rsidR="004D6764" w:rsidRPr="00F008F4" w:rsidRDefault="004D6764" w:rsidP="002C5E5E">
      <w:pPr>
        <w:pStyle w:val="FootnoteText"/>
      </w:pPr>
      <w:r w:rsidRPr="00F008F4">
        <w:rPr>
          <w:rStyle w:val="FootnoteReference"/>
        </w:rPr>
        <w:footnoteRef/>
      </w:r>
      <w:r>
        <w:t xml:space="preserve"> 47 U.S.C. § 503(b)(1)</w:t>
      </w:r>
      <w:r w:rsidRPr="00F008F4">
        <w:t>(A)</w:t>
      </w:r>
      <w:r>
        <w:t>,</w:t>
      </w:r>
      <w:r w:rsidRPr="00F008F4">
        <w:t>(B); 47 C.F.R. § 1.80(a)(1)</w:t>
      </w:r>
      <w:r>
        <w:t>,</w:t>
      </w:r>
      <w:r w:rsidRPr="00F008F4">
        <w:t>(2).</w:t>
      </w:r>
    </w:p>
  </w:footnote>
  <w:footnote w:id="10">
    <w:p w:rsidR="004D6764" w:rsidRDefault="004D6764" w:rsidP="002C5E5E">
      <w:pPr>
        <w:pStyle w:val="FootnoteText"/>
      </w:pPr>
      <w:r>
        <w:rPr>
          <w:rStyle w:val="FootnoteReference"/>
        </w:rPr>
        <w:footnoteRef/>
      </w:r>
      <w:r>
        <w:t xml:space="preserve"> </w:t>
      </w:r>
      <w:r w:rsidRPr="00594509">
        <w:t>47 U.S.C</w:t>
      </w:r>
      <w:r>
        <w:t>. § 503(b); 47 C.F.R. § 1.80(f).</w:t>
      </w:r>
    </w:p>
  </w:footnote>
  <w:footnote w:id="11">
    <w:p w:rsidR="004D6764" w:rsidRPr="00F008F4" w:rsidRDefault="004D6764" w:rsidP="002C5E5E">
      <w:pPr>
        <w:pStyle w:val="FootnoteText"/>
      </w:pPr>
      <w:r w:rsidRPr="00F008F4">
        <w:rPr>
          <w:rStyle w:val="FootnoteReference"/>
        </w:rPr>
        <w:footnoteRef/>
      </w:r>
      <w:r w:rsidRPr="00F008F4">
        <w:t xml:space="preserve"> </w:t>
      </w:r>
      <w:r w:rsidRPr="00F008F4">
        <w:rPr>
          <w:i/>
        </w:rPr>
        <w:t>See, e.g., SBC Communications, Inc.</w:t>
      </w:r>
      <w:r w:rsidRPr="00F008F4">
        <w:t>, Forfeiture Order, 17 FCC Rcd 7589, 7591 (2002).</w:t>
      </w:r>
    </w:p>
  </w:footnote>
  <w:footnote w:id="12">
    <w:p w:rsidR="004D6764" w:rsidRDefault="004D6764" w:rsidP="002C5E5E">
      <w:pPr>
        <w:pStyle w:val="FootnoteText"/>
      </w:pPr>
      <w:r>
        <w:rPr>
          <w:rStyle w:val="FootnoteReference"/>
        </w:rPr>
        <w:footnoteRef/>
      </w:r>
      <w:r>
        <w:t xml:space="preserve"> Response at p. 1.</w:t>
      </w:r>
    </w:p>
  </w:footnote>
  <w:footnote w:id="13">
    <w:p w:rsidR="00433443" w:rsidRDefault="00433443" w:rsidP="00433443">
      <w:pPr>
        <w:pStyle w:val="FootnoteText"/>
      </w:pPr>
      <w:r>
        <w:rPr>
          <w:rStyle w:val="FootnoteReference"/>
        </w:rPr>
        <w:footnoteRef/>
      </w:r>
      <w:r>
        <w:t xml:space="preserve"> 47 C.F.R. § 73.3526(e)(11)(i).</w:t>
      </w:r>
    </w:p>
  </w:footnote>
  <w:footnote w:id="14">
    <w:p w:rsidR="00433443" w:rsidRDefault="00433443">
      <w:pPr>
        <w:pStyle w:val="FootnoteText"/>
      </w:pPr>
      <w:r>
        <w:rPr>
          <w:rStyle w:val="FootnoteReference"/>
        </w:rPr>
        <w:footnoteRef/>
      </w:r>
      <w:r>
        <w:t xml:space="preserve"> 47 C.F.R. § 73.3526(e)(11)(iii),</w:t>
      </w:r>
    </w:p>
  </w:footnote>
  <w:footnote w:id="15">
    <w:p w:rsidR="005E2FFF" w:rsidRDefault="005E2FFF">
      <w:pPr>
        <w:pStyle w:val="FootnoteText"/>
      </w:pPr>
      <w:r>
        <w:rPr>
          <w:rStyle w:val="FootnoteReference"/>
        </w:rPr>
        <w:footnoteRef/>
      </w:r>
      <w:r>
        <w:t xml:space="preserve"> </w:t>
      </w:r>
      <w:r w:rsidR="00912310">
        <w:t xml:space="preserve">Upon initial review staff </w:t>
      </w:r>
      <w:r w:rsidR="00A34FC9">
        <w:t>found</w:t>
      </w:r>
      <w:r w:rsidR="00912310">
        <w:t xml:space="preserve"> that four </w:t>
      </w:r>
      <w:r>
        <w:t>Children’s Television Programming Reports</w:t>
      </w:r>
      <w:r w:rsidR="00912310">
        <w:t xml:space="preserve"> had been filed late:  first quarter 2009, third quarter 2010, first quarter 2011 and third quarter 2013.  Upon reexamination</w:t>
      </w:r>
      <w:r w:rsidR="000858D1">
        <w:t>, which included additional information provided by the Licensee,</w:t>
      </w:r>
      <w:r w:rsidR="00912310">
        <w:t xml:space="preserve"> we </w:t>
      </w:r>
      <w:r w:rsidR="00A34FC9">
        <w:t xml:space="preserve">have </w:t>
      </w:r>
      <w:r w:rsidR="000858D1">
        <w:t>found</w:t>
      </w:r>
      <w:r w:rsidR="00912310">
        <w:t xml:space="preserve"> that the report</w:t>
      </w:r>
      <w:r w:rsidR="00A34FC9">
        <w:t>s</w:t>
      </w:r>
      <w:r w:rsidR="00912310">
        <w:t xml:space="preserve"> for both first quarter 2009 and first quarter 2011 </w:t>
      </w:r>
      <w:r w:rsidR="00A34FC9">
        <w:t>were</w:t>
      </w:r>
      <w:r w:rsidR="00912310">
        <w:t xml:space="preserve"> in fact initially filed on-time, but inadvertently overwritten by subsequently filed reports.  In addition, although the report for third quarter 2010 was filed on October 11,</w:t>
      </w:r>
      <w:r w:rsidR="00446E31">
        <w:t xml:space="preserve"> 2010,</w:t>
      </w:r>
      <w:r w:rsidR="00912310">
        <w:t xml:space="preserve"> it was filed on-time because the 10</w:t>
      </w:r>
      <w:r w:rsidR="00912310" w:rsidRPr="00912310">
        <w:rPr>
          <w:vertAlign w:val="superscript"/>
        </w:rPr>
        <w:t>th</w:t>
      </w:r>
      <w:r w:rsidR="00912310">
        <w:t xml:space="preserve"> of the month fell on a weekend. </w:t>
      </w:r>
      <w:r w:rsidR="00446E31">
        <w:t xml:space="preserve">  Accordingly, the filing was due on the next business day following the filing date.  </w:t>
      </w:r>
      <w:r w:rsidR="00912310" w:rsidRPr="00912310">
        <w:rPr>
          <w:i/>
        </w:rPr>
        <w:t>See</w:t>
      </w:r>
      <w:r w:rsidR="00912310">
        <w:t xml:space="preserve"> 47 C.F.R. § 1.4 (computation of time).  The</w:t>
      </w:r>
      <w:r w:rsidR="000858D1">
        <w:t>refore, the</w:t>
      </w:r>
      <w:r>
        <w:t xml:space="preserve"> only </w:t>
      </w:r>
      <w:r w:rsidR="00912310">
        <w:t>Children’s Television Programming Report that was filed late was third quarter 2013, which was filed over two months late</w:t>
      </w:r>
      <w:r w:rsidR="000858D1">
        <w:t xml:space="preserve"> – </w:t>
      </w:r>
      <w:r w:rsidR="00912310">
        <w:t>taking into account the extension provided to licensees following the federal government shutdown.</w:t>
      </w:r>
      <w:r w:rsidR="00A34FC9">
        <w:t xml:space="preserve">  </w:t>
      </w:r>
      <w:r w:rsidR="00A34FC9" w:rsidRPr="00446E31">
        <w:rPr>
          <w:i/>
        </w:rPr>
        <w:t>Revised Filing Deadlines Following Resumption of Normal Commission Operations</w:t>
      </w:r>
      <w:r w:rsidR="00A34FC9">
        <w:t>, Public Notice, 28 FCC Rcd 14091 (2013)</w:t>
      </w:r>
      <w:r w:rsidR="00912310">
        <w:t xml:space="preserve"> </w:t>
      </w:r>
      <w:r w:rsidR="00A34FC9">
        <w:t>(requiring filings that were originally due between October 7 and October 16 to be filed within 16 days after the original filing date).</w:t>
      </w:r>
      <w:r w:rsidR="00446E31">
        <w:t xml:space="preserve">  </w:t>
      </w:r>
    </w:p>
  </w:footnote>
  <w:footnote w:id="16">
    <w:p w:rsidR="004D6764" w:rsidRDefault="004D6764" w:rsidP="002C5E5E">
      <w:pPr>
        <w:pStyle w:val="FootnoteText"/>
      </w:pPr>
      <w:r>
        <w:rPr>
          <w:rStyle w:val="FootnoteReference"/>
        </w:rPr>
        <w:footnoteRef/>
      </w:r>
      <w:r w:rsidR="00446E31">
        <w:t xml:space="preserve"> 47 C.F.R. §</w:t>
      </w:r>
      <w:r>
        <w:t xml:space="preserve"> 73.3514(a).</w:t>
      </w:r>
    </w:p>
  </w:footnote>
  <w:footnote w:id="17">
    <w:p w:rsidR="004D6764" w:rsidRDefault="004D6764" w:rsidP="002C5E5E">
      <w:pPr>
        <w:pStyle w:val="FootnoteText"/>
      </w:pPr>
      <w:r>
        <w:rPr>
          <w:rStyle w:val="FootnoteReference"/>
        </w:rPr>
        <w:footnoteRef/>
      </w:r>
      <w:r>
        <w:t xml:space="preserve"> </w:t>
      </w:r>
      <w:r w:rsidRPr="006866ED">
        <w:t>Response</w:t>
      </w:r>
      <w:r>
        <w:rPr>
          <w:i/>
        </w:rPr>
        <w:t xml:space="preserve"> </w:t>
      </w:r>
      <w:r>
        <w:t>at p. 2.</w:t>
      </w:r>
      <w:r w:rsidR="002E1ABA">
        <w:t xml:space="preserve">  </w:t>
      </w:r>
    </w:p>
  </w:footnote>
  <w:footnote w:id="18">
    <w:p w:rsidR="00F84AD4" w:rsidRDefault="00F84AD4" w:rsidP="002C5E5E">
      <w:pPr>
        <w:pStyle w:val="FootnoteText"/>
      </w:pPr>
      <w:r>
        <w:rPr>
          <w:rStyle w:val="FootnoteReference"/>
        </w:rPr>
        <w:footnoteRef/>
      </w:r>
      <w:r>
        <w:t xml:space="preserve"> </w:t>
      </w:r>
      <w:r w:rsidRPr="00F84AD4">
        <w:t>Section</w:t>
      </w:r>
      <w:r>
        <w:t xml:space="preserve"> </w:t>
      </w:r>
      <w:r w:rsidRPr="00F84AD4">
        <w:t xml:space="preserve">73.3539(a) of the Rules requires a broadcast television license renewal application to be filed “not later than the first day of the fourth full calendar month prior to the expiration date of the license sought to be renewed....”  47 C.F.R. § 73.3539(a).  </w:t>
      </w:r>
    </w:p>
  </w:footnote>
  <w:footnote w:id="19">
    <w:p w:rsidR="00672C6E" w:rsidRDefault="00672C6E" w:rsidP="002C5E5E">
      <w:pPr>
        <w:pStyle w:val="FootnoteText"/>
      </w:pPr>
      <w:r>
        <w:rPr>
          <w:rStyle w:val="FootnoteReference"/>
        </w:rPr>
        <w:footnoteRef/>
      </w:r>
      <w:r>
        <w:t xml:space="preserve"> The application was due on February 1, 2014, however, because that fell on the weekend the application was not due until</w:t>
      </w:r>
      <w:r w:rsidR="002E1ABA">
        <w:t xml:space="preserve"> the next business day,</w:t>
      </w:r>
      <w:r>
        <w:t xml:space="preserve"> Monday, February 3.  </w:t>
      </w:r>
      <w:r w:rsidRPr="002E1ABA">
        <w:rPr>
          <w:i/>
        </w:rPr>
        <w:t>See</w:t>
      </w:r>
      <w:r>
        <w:t xml:space="preserve"> 47 C.F.R. </w:t>
      </w:r>
      <w:r w:rsidR="002E1ABA">
        <w:t>§ 1.4 (computation of time).</w:t>
      </w:r>
    </w:p>
  </w:footnote>
  <w:footnote w:id="20">
    <w:p w:rsidR="00F84AD4" w:rsidRDefault="00F84AD4" w:rsidP="002C5E5E">
      <w:pPr>
        <w:pStyle w:val="FootnoteText"/>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Report and Order, 12</w:t>
      </w:r>
      <w:r w:rsidR="000858D1">
        <w:t xml:space="preserve"> FCC Rcd 17087, 17113-15 (1997)</w:t>
      </w:r>
      <w:r w:rsidRPr="000858D1">
        <w:t>(</w:t>
      </w:r>
      <w:r>
        <w:rPr>
          <w:i/>
        </w:rPr>
        <w:t>“Forfeiture Policy Statement”</w:t>
      </w:r>
      <w:r w:rsidRPr="000858D1">
        <w:t xml:space="preserve">), </w:t>
      </w:r>
      <w:r>
        <w:rPr>
          <w:i/>
        </w:rPr>
        <w:t>recon. denied</w:t>
      </w:r>
      <w:r>
        <w:t>, 15 FCC Rcd. 303 (1999); 47 C.F.R. § 1.80(b)(8), note to paragraph (b)(8), Section I.</w:t>
      </w:r>
    </w:p>
  </w:footnote>
  <w:footnote w:id="21">
    <w:p w:rsidR="00F84AD4" w:rsidRDefault="00F84AD4" w:rsidP="002C5E5E">
      <w:pPr>
        <w:pStyle w:val="FootnoteText"/>
      </w:pPr>
      <w:r>
        <w:rPr>
          <w:rStyle w:val="FootnoteReference"/>
        </w:rPr>
        <w:footnoteRef/>
      </w:r>
      <w:r>
        <w:t xml:space="preserve"> </w:t>
      </w:r>
      <w:r w:rsidRPr="00F84AD4">
        <w:t>47 U.S.C. § 503(b)(2)(D); see also Forfeiture Policy Statement, 12 FCC Rcd at 17100-01; 47 C.F.R. § 1.80(b)(8), note to paragraph (b)(8), Section II.</w:t>
      </w:r>
    </w:p>
  </w:footnote>
  <w:footnote w:id="22">
    <w:p w:rsidR="004D6764" w:rsidRDefault="004D6764" w:rsidP="002C5E5E">
      <w:pPr>
        <w:pStyle w:val="FootnoteText"/>
      </w:pPr>
      <w:r>
        <w:rPr>
          <w:rStyle w:val="FootnoteReference"/>
        </w:rPr>
        <w:footnoteRef/>
      </w:r>
      <w:r>
        <w:t xml:space="preserve"> </w:t>
      </w:r>
      <w:r>
        <w:rPr>
          <w:szCs w:val="22"/>
        </w:rPr>
        <w:t>47 C.F.R. § 73.3539(a)</w:t>
      </w:r>
      <w:r w:rsidR="00F84AD4">
        <w:rPr>
          <w:szCs w:val="22"/>
        </w:rPr>
        <w:t xml:space="preserve">; </w:t>
      </w:r>
      <w:r w:rsidR="00F84AD4" w:rsidRPr="00F84AD4">
        <w:rPr>
          <w:i/>
          <w:szCs w:val="22"/>
        </w:rPr>
        <w:t>See e.g.,</w:t>
      </w:r>
      <w:r w:rsidR="00F84AD4">
        <w:rPr>
          <w:szCs w:val="22"/>
        </w:rPr>
        <w:t xml:space="preserve"> WDKA Acquisition Corp., Notice of Apparent Liability for Forfeiture, 28 FCC Rcd 13731 (Vid. Div. 2013)(proposing a forfeiture in the amount of $1,500 for filing a license renewal application just over one month late).</w:t>
      </w:r>
    </w:p>
  </w:footnote>
  <w:footnote w:id="23">
    <w:p w:rsidR="004D6764" w:rsidRPr="00F008F4" w:rsidRDefault="004D6764" w:rsidP="002C5E5E">
      <w:pPr>
        <w:pStyle w:val="FootnoteText"/>
      </w:pPr>
      <w:r w:rsidRPr="00F008F4">
        <w:rPr>
          <w:rStyle w:val="FootnoteReference"/>
        </w:rPr>
        <w:footnoteRef/>
      </w:r>
      <w:r w:rsidRPr="00F008F4">
        <w:t xml:space="preserve"> 47 U.S.C. § 503(b); 47 C.F.R. §§ 0.61(f)(1) &amp;</w:t>
      </w:r>
      <w:r>
        <w:t xml:space="preserve"> 1.80(a)(1),</w:t>
      </w:r>
      <w:r w:rsidRPr="00F008F4">
        <w:t>(2).</w:t>
      </w:r>
    </w:p>
  </w:footnote>
  <w:footnote w:id="24">
    <w:p w:rsidR="00A34FC9" w:rsidRDefault="00A34FC9">
      <w:pPr>
        <w:pStyle w:val="FootnoteText"/>
      </w:pPr>
      <w:r>
        <w:rPr>
          <w:rStyle w:val="FootnoteReference"/>
        </w:rPr>
        <w:footnoteRef/>
      </w:r>
      <w:r>
        <w:t xml:space="preserve"> </w:t>
      </w:r>
      <w:r w:rsidRPr="00A34FC9">
        <w:t>47 C.F.R. § 73.3539(a).</w:t>
      </w:r>
    </w:p>
  </w:footnote>
  <w:footnote w:id="25">
    <w:p w:rsidR="00A34FC9" w:rsidRDefault="00A34FC9">
      <w:pPr>
        <w:pStyle w:val="FootnoteText"/>
      </w:pPr>
      <w:r>
        <w:rPr>
          <w:rStyle w:val="FootnoteReference"/>
        </w:rPr>
        <w:footnoteRef/>
      </w:r>
      <w:r>
        <w:t xml:space="preserve"> </w:t>
      </w:r>
      <w:r>
        <w:rPr>
          <w:szCs w:val="22"/>
        </w:rPr>
        <w:t>47 U.S.C. § 504(a)</w:t>
      </w:r>
    </w:p>
  </w:footnote>
  <w:footnote w:id="26">
    <w:p w:rsidR="004D6764" w:rsidRPr="00F008F4" w:rsidRDefault="004D6764" w:rsidP="00446E31">
      <w:pPr>
        <w:pStyle w:val="FootnoteText"/>
        <w:keepNext/>
        <w:keepLines/>
        <w:widowControl w:val="0"/>
      </w:pPr>
      <w:r w:rsidRPr="00F008F4">
        <w:rPr>
          <w:rStyle w:val="FootnoteReference"/>
        </w:rPr>
        <w:footnoteRef/>
      </w:r>
      <w:r w:rsidRPr="00F008F4">
        <w:t xml:space="preserve"> </w:t>
      </w:r>
      <w:r w:rsidRPr="00F008F4">
        <w:rPr>
          <w:rFonts w:eastAsia="MS Mincho" w:cs="Arial"/>
        </w:rPr>
        <w:t xml:space="preserve">An FCC Form 159 and detailed instructions for completing the form may be obtained at </w:t>
      </w:r>
      <w:hyperlink r:id="rId1" w:history="1">
        <w:r w:rsidRPr="00533BF5">
          <w:rPr>
            <w:rStyle w:val="Hyperlink"/>
            <w:rFonts w:eastAsia="MS Mincho" w:cs="Arial"/>
          </w:rPr>
          <w:t>http://www.fcc.gov/Forms/Form159/159.pdf</w:t>
        </w:r>
      </w:hyperlink>
      <w:r w:rsidRPr="00F008F4">
        <w:rPr>
          <w:rFonts w:eastAsia="MS Mincho" w:cs="Arial"/>
        </w:rPr>
        <w:t>.</w:t>
      </w:r>
      <w:r>
        <w:rPr>
          <w:rFonts w:eastAsia="MS Mincho" w:cs="Arial"/>
        </w:rPr>
        <w:t xml:space="preserve"> </w:t>
      </w:r>
    </w:p>
  </w:footnote>
  <w:footnote w:id="27">
    <w:p w:rsidR="004D6764" w:rsidRDefault="004D6764" w:rsidP="002C5E5E">
      <w:pPr>
        <w:pStyle w:val="FootnoteText"/>
        <w:widowControl w:val="0"/>
      </w:pPr>
      <w:r w:rsidRPr="00F008F4">
        <w:rPr>
          <w:rStyle w:val="FootnoteReference"/>
        </w:rPr>
        <w:footnoteRef/>
      </w:r>
      <w:r w:rsidRPr="00F008F4">
        <w:t xml:space="preserve"> Questions regarding payment procedures, it should contact the Financial Operations Group Help Desk by phone at 1-877-480-3201, or by e mail at ARINQUIRIES@fcc.gov.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56" w:rsidRDefault="00131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F5551">
      <w:t>DA 15-1021</w:t>
    </w:r>
  </w:p>
  <w:p w:rsidR="00D25FB5" w:rsidRDefault="004D676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827DD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D6764"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8FB63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15-</w:t>
    </w:r>
    <w:r w:rsidR="00BF5551">
      <w:rPr>
        <w:spacing w:val="-2"/>
      </w:rPr>
      <w:t>1021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5700E9"/>
    <w:multiLevelType w:val="singleLevel"/>
    <w:tmpl w:val="22A45240"/>
    <w:lvl w:ilvl="0">
      <w:start w:val="2"/>
      <w:numFmt w:val="upperRoman"/>
      <w:lvlText w:val=""/>
      <w:lvlJc w:val="left"/>
      <w:pPr>
        <w:ind w:left="720" w:hanging="360"/>
      </w:pPr>
      <w:rPr>
        <w:rFonts w:hint="default"/>
        <w:b/>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2793DD4"/>
    <w:multiLevelType w:val="hybridMultilevel"/>
    <w:tmpl w:val="AD88E74C"/>
    <w:lvl w:ilvl="0" w:tplc="CEA656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64"/>
    <w:rsid w:val="00036039"/>
    <w:rsid w:val="00037F90"/>
    <w:rsid w:val="000858D1"/>
    <w:rsid w:val="000875BF"/>
    <w:rsid w:val="00096D8C"/>
    <w:rsid w:val="000C0B65"/>
    <w:rsid w:val="000E05FE"/>
    <w:rsid w:val="000E3D42"/>
    <w:rsid w:val="00122BD5"/>
    <w:rsid w:val="00131856"/>
    <w:rsid w:val="00133F79"/>
    <w:rsid w:val="00194A66"/>
    <w:rsid w:val="001C79E1"/>
    <w:rsid w:val="001D6BCF"/>
    <w:rsid w:val="001E01CA"/>
    <w:rsid w:val="00275CF5"/>
    <w:rsid w:val="0028301F"/>
    <w:rsid w:val="00285017"/>
    <w:rsid w:val="002A2D2E"/>
    <w:rsid w:val="002C00E8"/>
    <w:rsid w:val="002C5E5E"/>
    <w:rsid w:val="002E1ABA"/>
    <w:rsid w:val="002F22C7"/>
    <w:rsid w:val="00343749"/>
    <w:rsid w:val="00345DFE"/>
    <w:rsid w:val="003660ED"/>
    <w:rsid w:val="003B0550"/>
    <w:rsid w:val="003B694F"/>
    <w:rsid w:val="003F171C"/>
    <w:rsid w:val="00412FC5"/>
    <w:rsid w:val="00422276"/>
    <w:rsid w:val="004242F1"/>
    <w:rsid w:val="00433443"/>
    <w:rsid w:val="00445A00"/>
    <w:rsid w:val="00446E31"/>
    <w:rsid w:val="00451B0F"/>
    <w:rsid w:val="00452FED"/>
    <w:rsid w:val="004C2EE3"/>
    <w:rsid w:val="004D6764"/>
    <w:rsid w:val="004E4A22"/>
    <w:rsid w:val="00511968"/>
    <w:rsid w:val="0055614C"/>
    <w:rsid w:val="005E14C2"/>
    <w:rsid w:val="005E2FFF"/>
    <w:rsid w:val="00607BA5"/>
    <w:rsid w:val="0061180A"/>
    <w:rsid w:val="00626EB6"/>
    <w:rsid w:val="00655D03"/>
    <w:rsid w:val="00672C6E"/>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12310"/>
    <w:rsid w:val="00921803"/>
    <w:rsid w:val="00926503"/>
    <w:rsid w:val="009726D8"/>
    <w:rsid w:val="009F76DB"/>
    <w:rsid w:val="00A32C3B"/>
    <w:rsid w:val="00A34FC9"/>
    <w:rsid w:val="00A45F4F"/>
    <w:rsid w:val="00A600A9"/>
    <w:rsid w:val="00AA55B7"/>
    <w:rsid w:val="00AA5B9E"/>
    <w:rsid w:val="00AB2407"/>
    <w:rsid w:val="00AB53DF"/>
    <w:rsid w:val="00B07E5C"/>
    <w:rsid w:val="00B811F7"/>
    <w:rsid w:val="00BA5DC6"/>
    <w:rsid w:val="00BA6196"/>
    <w:rsid w:val="00BC6D8C"/>
    <w:rsid w:val="00BF5551"/>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4AD4"/>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styleId="PlaceholderText">
    <w:name w:val="Placeholder Text"/>
    <w:basedOn w:val="DefaultParagraphFont"/>
    <w:uiPriority w:val="99"/>
    <w:semiHidden/>
    <w:rsid w:val="00672C6E"/>
    <w:rPr>
      <w:color w:val="808080"/>
    </w:rPr>
  </w:style>
  <w:style w:type="paragraph" w:styleId="BalloonText">
    <w:name w:val="Balloon Text"/>
    <w:basedOn w:val="Normal"/>
    <w:link w:val="BalloonTextChar"/>
    <w:rsid w:val="00672C6E"/>
    <w:rPr>
      <w:rFonts w:ascii="Tahoma" w:hAnsi="Tahoma" w:cs="Tahoma"/>
      <w:sz w:val="16"/>
      <w:szCs w:val="16"/>
    </w:rPr>
  </w:style>
  <w:style w:type="character" w:customStyle="1" w:styleId="BalloonTextChar">
    <w:name w:val="Balloon Text Char"/>
    <w:basedOn w:val="DefaultParagraphFont"/>
    <w:link w:val="BalloonText"/>
    <w:rsid w:val="00672C6E"/>
    <w:rPr>
      <w:rFonts w:ascii="Tahoma" w:hAnsi="Tahoma" w:cs="Tahoma"/>
      <w:snapToGrid w:val="0"/>
      <w:kern w:val="28"/>
      <w:sz w:val="16"/>
      <w:szCs w:val="16"/>
    </w:rPr>
  </w:style>
  <w:style w:type="character" w:customStyle="1" w:styleId="displayhltext1">
    <w:name w:val="display_hl_text1"/>
    <w:basedOn w:val="DefaultParagraphFont"/>
    <w:rsid w:val="002E1ABA"/>
    <w:rPr>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styleId="PlaceholderText">
    <w:name w:val="Placeholder Text"/>
    <w:basedOn w:val="DefaultParagraphFont"/>
    <w:uiPriority w:val="99"/>
    <w:semiHidden/>
    <w:rsid w:val="00672C6E"/>
    <w:rPr>
      <w:color w:val="808080"/>
    </w:rPr>
  </w:style>
  <w:style w:type="paragraph" w:styleId="BalloonText">
    <w:name w:val="Balloon Text"/>
    <w:basedOn w:val="Normal"/>
    <w:link w:val="BalloonTextChar"/>
    <w:rsid w:val="00672C6E"/>
    <w:rPr>
      <w:rFonts w:ascii="Tahoma" w:hAnsi="Tahoma" w:cs="Tahoma"/>
      <w:sz w:val="16"/>
      <w:szCs w:val="16"/>
    </w:rPr>
  </w:style>
  <w:style w:type="character" w:customStyle="1" w:styleId="BalloonTextChar">
    <w:name w:val="Balloon Text Char"/>
    <w:basedOn w:val="DefaultParagraphFont"/>
    <w:link w:val="BalloonText"/>
    <w:rsid w:val="00672C6E"/>
    <w:rPr>
      <w:rFonts w:ascii="Tahoma" w:hAnsi="Tahoma" w:cs="Tahoma"/>
      <w:snapToGrid w:val="0"/>
      <w:kern w:val="28"/>
      <w:sz w:val="16"/>
      <w:szCs w:val="16"/>
    </w:rPr>
  </w:style>
  <w:style w:type="character" w:customStyle="1" w:styleId="displayhltext1">
    <w:name w:val="display_hl_text1"/>
    <w:basedOn w:val="DefaultParagraphFont"/>
    <w:rsid w:val="002E1ABA"/>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Nemeth@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1362</Words>
  <Characters>7310</Characters>
  <Application>Microsoft Office Word</Application>
  <DocSecurity>0</DocSecurity>
  <Lines>131</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2015-09-14T20:33:00Z</dcterms:created>
  <dcterms:modified xsi:type="dcterms:W3CDTF">2015-09-14T20:33:00Z</dcterms:modified>
  <cp:category> </cp:category>
  <cp:contentStatus> </cp:contentStatus>
</cp:coreProperties>
</file>