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4BDD1" w14:textId="77777777" w:rsidR="00624552" w:rsidRDefault="00624552">
      <w:pPr>
        <w:widowControl/>
        <w:tabs>
          <w:tab w:val="center" w:pos="4680"/>
          <w:tab w:val="right" w:pos="9360"/>
        </w:tabs>
        <w:rPr>
          <w:b/>
          <w:szCs w:val="22"/>
        </w:rPr>
      </w:pPr>
      <w:bookmarkStart w:id="0" w:name="_GoBack"/>
      <w:bookmarkEnd w:id="0"/>
      <w:r>
        <w:rPr>
          <w:rFonts w:ascii="Times New Roman Bold" w:hAnsi="Times New Roman Bold"/>
          <w:b/>
          <w:kern w:val="0"/>
          <w:szCs w:val="22"/>
        </w:rPr>
        <w:tab/>
        <w:t>Before</w:t>
      </w:r>
      <w:r>
        <w:rPr>
          <w:b/>
          <w:szCs w:val="22"/>
        </w:rPr>
        <w:t xml:space="preserve"> the</w:t>
      </w:r>
      <w:r>
        <w:rPr>
          <w:b/>
          <w:szCs w:val="22"/>
        </w:rPr>
        <w:tab/>
      </w:r>
    </w:p>
    <w:p w14:paraId="1652DCDC" w14:textId="77777777" w:rsidR="00624552" w:rsidRDefault="00624552">
      <w:pPr>
        <w:pStyle w:val="StyleBoldCentered"/>
        <w:widowControl/>
      </w:pPr>
      <w:r>
        <w:t>F</w:t>
      </w:r>
      <w:r>
        <w:rPr>
          <w:caps w:val="0"/>
        </w:rPr>
        <w:t>ederal Communications Commission</w:t>
      </w:r>
    </w:p>
    <w:p w14:paraId="03EFA6E9" w14:textId="77777777" w:rsidR="00624552" w:rsidRDefault="00624552">
      <w:pPr>
        <w:pStyle w:val="StyleBoldCentered"/>
        <w:widowControl/>
      </w:pPr>
      <w:r>
        <w:t>W</w:t>
      </w:r>
      <w:r>
        <w:rPr>
          <w:caps w:val="0"/>
        </w:rPr>
        <w:t>ashington</w:t>
      </w:r>
      <w:r>
        <w:t>, D.C. 20554</w:t>
      </w:r>
    </w:p>
    <w:p w14:paraId="1BE2FAF5" w14:textId="77777777" w:rsidR="00624552" w:rsidRDefault="00624552">
      <w:pPr>
        <w:pStyle w:val="StyleBoldCentered"/>
        <w:widowControl/>
        <w:rPr>
          <w:i/>
        </w:rPr>
      </w:pPr>
    </w:p>
    <w:p w14:paraId="6DC25953" w14:textId="77777777" w:rsidR="00624552" w:rsidRDefault="00624552">
      <w:pPr>
        <w:widowControl/>
        <w:rPr>
          <w:szCs w:val="22"/>
        </w:rPr>
      </w:pPr>
    </w:p>
    <w:p w14:paraId="53E9BA90" w14:textId="77777777" w:rsidR="00624552" w:rsidRDefault="00624552">
      <w:pPr>
        <w:widowControl/>
        <w:rPr>
          <w:szCs w:val="22"/>
        </w:rPr>
      </w:pPr>
    </w:p>
    <w:tbl>
      <w:tblPr>
        <w:tblW w:w="0" w:type="auto"/>
        <w:tblLayout w:type="fixed"/>
        <w:tblLook w:val="0000" w:firstRow="0" w:lastRow="0" w:firstColumn="0" w:lastColumn="0" w:noHBand="0" w:noVBand="0"/>
      </w:tblPr>
      <w:tblGrid>
        <w:gridCol w:w="4698"/>
        <w:gridCol w:w="630"/>
        <w:gridCol w:w="4248"/>
      </w:tblGrid>
      <w:tr w:rsidR="00624552" w14:paraId="7C1A1527" w14:textId="77777777">
        <w:tc>
          <w:tcPr>
            <w:tcW w:w="4698" w:type="dxa"/>
          </w:tcPr>
          <w:p w14:paraId="48A7186E" w14:textId="77777777" w:rsidR="00624552" w:rsidRDefault="00624552">
            <w:pPr>
              <w:widowControl/>
              <w:tabs>
                <w:tab w:val="center" w:pos="4680"/>
              </w:tabs>
              <w:suppressAutoHyphens/>
              <w:rPr>
                <w:spacing w:val="-2"/>
                <w:szCs w:val="22"/>
              </w:rPr>
            </w:pPr>
            <w:r>
              <w:rPr>
                <w:spacing w:val="-2"/>
                <w:szCs w:val="22"/>
              </w:rPr>
              <w:t>In the Matter of</w:t>
            </w:r>
          </w:p>
          <w:p w14:paraId="4D60FFF0" w14:textId="77777777" w:rsidR="00624552" w:rsidRDefault="00624552">
            <w:pPr>
              <w:widowControl/>
              <w:tabs>
                <w:tab w:val="center" w:pos="4680"/>
              </w:tabs>
              <w:suppressAutoHyphens/>
              <w:rPr>
                <w:spacing w:val="-2"/>
                <w:szCs w:val="22"/>
              </w:rPr>
            </w:pPr>
          </w:p>
          <w:p w14:paraId="1D477B12" w14:textId="77777777" w:rsidR="00DE1778" w:rsidRDefault="00DE1778">
            <w:pPr>
              <w:widowControl/>
              <w:tabs>
                <w:tab w:val="center" w:pos="4680"/>
              </w:tabs>
              <w:suppressAutoHyphens/>
              <w:rPr>
                <w:snapToGrid w:val="0"/>
                <w:szCs w:val="22"/>
              </w:rPr>
            </w:pPr>
            <w:r>
              <w:rPr>
                <w:snapToGrid w:val="0"/>
                <w:szCs w:val="22"/>
              </w:rPr>
              <w:t>Modernizing the E-rate Program for</w:t>
            </w:r>
          </w:p>
          <w:p w14:paraId="5A49360F" w14:textId="77777777" w:rsidR="00DE1778" w:rsidRDefault="00DE1778">
            <w:pPr>
              <w:widowControl/>
              <w:tabs>
                <w:tab w:val="center" w:pos="4680"/>
              </w:tabs>
              <w:suppressAutoHyphens/>
              <w:rPr>
                <w:spacing w:val="-2"/>
                <w:szCs w:val="22"/>
              </w:rPr>
            </w:pPr>
            <w:r>
              <w:rPr>
                <w:snapToGrid w:val="0"/>
                <w:szCs w:val="22"/>
              </w:rPr>
              <w:t>Schools and Libraries</w:t>
            </w:r>
          </w:p>
        </w:tc>
        <w:tc>
          <w:tcPr>
            <w:tcW w:w="630" w:type="dxa"/>
          </w:tcPr>
          <w:p w14:paraId="45ABB318" w14:textId="77777777" w:rsidR="00624552" w:rsidRDefault="00624552">
            <w:pPr>
              <w:widowControl/>
              <w:tabs>
                <w:tab w:val="center" w:pos="4680"/>
              </w:tabs>
              <w:suppressAutoHyphens/>
              <w:rPr>
                <w:b/>
                <w:spacing w:val="-2"/>
                <w:szCs w:val="22"/>
              </w:rPr>
            </w:pPr>
            <w:r>
              <w:rPr>
                <w:b/>
                <w:spacing w:val="-2"/>
                <w:szCs w:val="22"/>
              </w:rPr>
              <w:t>)</w:t>
            </w:r>
          </w:p>
          <w:p w14:paraId="67026ACB" w14:textId="77777777" w:rsidR="00624552" w:rsidRDefault="00624552">
            <w:pPr>
              <w:widowControl/>
              <w:tabs>
                <w:tab w:val="center" w:pos="4680"/>
              </w:tabs>
              <w:suppressAutoHyphens/>
              <w:rPr>
                <w:b/>
                <w:spacing w:val="-2"/>
                <w:szCs w:val="22"/>
              </w:rPr>
            </w:pPr>
            <w:r>
              <w:rPr>
                <w:b/>
                <w:spacing w:val="-2"/>
                <w:szCs w:val="22"/>
              </w:rPr>
              <w:t>)</w:t>
            </w:r>
          </w:p>
          <w:p w14:paraId="62C7EE19" w14:textId="77777777" w:rsidR="00624552" w:rsidRDefault="00624552">
            <w:pPr>
              <w:widowControl/>
              <w:tabs>
                <w:tab w:val="center" w:pos="4680"/>
              </w:tabs>
              <w:suppressAutoHyphens/>
              <w:rPr>
                <w:b/>
                <w:spacing w:val="-2"/>
                <w:szCs w:val="22"/>
              </w:rPr>
            </w:pPr>
            <w:r>
              <w:rPr>
                <w:b/>
                <w:spacing w:val="-2"/>
                <w:szCs w:val="22"/>
              </w:rPr>
              <w:t>)</w:t>
            </w:r>
          </w:p>
          <w:p w14:paraId="2B0614B1" w14:textId="77777777" w:rsidR="00DE1778" w:rsidRDefault="00624552">
            <w:pPr>
              <w:widowControl/>
              <w:tabs>
                <w:tab w:val="center" w:pos="4680"/>
              </w:tabs>
              <w:suppressAutoHyphens/>
              <w:rPr>
                <w:b/>
                <w:spacing w:val="-2"/>
                <w:szCs w:val="22"/>
              </w:rPr>
            </w:pPr>
            <w:r>
              <w:rPr>
                <w:b/>
                <w:spacing w:val="-2"/>
                <w:szCs w:val="22"/>
              </w:rPr>
              <w:t>)</w:t>
            </w:r>
          </w:p>
          <w:p w14:paraId="23549B73" w14:textId="77777777" w:rsidR="00DE1778" w:rsidRDefault="00DE1778">
            <w:pPr>
              <w:widowControl/>
              <w:tabs>
                <w:tab w:val="center" w:pos="4680"/>
              </w:tabs>
              <w:suppressAutoHyphens/>
              <w:rPr>
                <w:b/>
                <w:spacing w:val="-2"/>
                <w:szCs w:val="22"/>
              </w:rPr>
            </w:pPr>
          </w:p>
        </w:tc>
        <w:tc>
          <w:tcPr>
            <w:tcW w:w="4248" w:type="dxa"/>
          </w:tcPr>
          <w:p w14:paraId="7FDC59C0" w14:textId="77777777" w:rsidR="00624552" w:rsidRDefault="00624552">
            <w:pPr>
              <w:widowControl/>
              <w:tabs>
                <w:tab w:val="center" w:pos="4680"/>
              </w:tabs>
              <w:suppressAutoHyphens/>
              <w:rPr>
                <w:spacing w:val="-2"/>
                <w:szCs w:val="22"/>
                <w:lang w:val="sv-SE"/>
              </w:rPr>
            </w:pPr>
          </w:p>
          <w:p w14:paraId="436C05D3" w14:textId="77777777" w:rsidR="00624552" w:rsidRDefault="00624552">
            <w:pPr>
              <w:pStyle w:val="TOAHeading"/>
              <w:widowControl/>
              <w:tabs>
                <w:tab w:val="clear" w:pos="9360"/>
                <w:tab w:val="center" w:pos="4680"/>
              </w:tabs>
              <w:rPr>
                <w:spacing w:val="-2"/>
                <w:szCs w:val="22"/>
                <w:lang w:val="sv-SE"/>
              </w:rPr>
            </w:pPr>
          </w:p>
          <w:p w14:paraId="222838DC" w14:textId="77777777" w:rsidR="00DE1778" w:rsidRPr="00DE1778" w:rsidRDefault="00DE1778">
            <w:pPr>
              <w:widowControl/>
              <w:tabs>
                <w:tab w:val="center" w:pos="4680"/>
              </w:tabs>
              <w:suppressAutoHyphens/>
              <w:rPr>
                <w:spacing w:val="-2"/>
                <w:szCs w:val="22"/>
                <w:lang w:val="sv-SE"/>
              </w:rPr>
            </w:pPr>
            <w:r w:rsidRPr="00DE1778">
              <w:rPr>
                <w:spacing w:val="-2"/>
                <w:szCs w:val="22"/>
                <w:lang w:val="sv-SE"/>
              </w:rPr>
              <w:t>WC Docket No. 13-184</w:t>
            </w:r>
          </w:p>
        </w:tc>
      </w:tr>
    </w:tbl>
    <w:p w14:paraId="0FAA7314" w14:textId="77777777" w:rsidR="00624552" w:rsidRDefault="00624552">
      <w:pPr>
        <w:widowControl/>
        <w:rPr>
          <w:szCs w:val="22"/>
          <w:lang w:val="sv-SE"/>
        </w:rPr>
      </w:pPr>
    </w:p>
    <w:p w14:paraId="190D8E20" w14:textId="77777777" w:rsidR="00624552" w:rsidRDefault="00624552">
      <w:pPr>
        <w:pStyle w:val="StyleBoldCentered"/>
        <w:widowControl/>
        <w:rPr>
          <w:rFonts w:ascii="Times New Roman" w:hAnsi="Times New Roman"/>
        </w:rPr>
      </w:pPr>
      <w:r>
        <w:rPr>
          <w:rFonts w:ascii="Times New Roman" w:hAnsi="Times New Roman"/>
        </w:rPr>
        <w:t>ORDER</w:t>
      </w:r>
    </w:p>
    <w:p w14:paraId="38121C85" w14:textId="77777777" w:rsidR="00624552" w:rsidRDefault="00624552">
      <w:pPr>
        <w:widowControl/>
        <w:tabs>
          <w:tab w:val="left" w:pos="-720"/>
        </w:tabs>
        <w:suppressAutoHyphens/>
        <w:spacing w:line="227" w:lineRule="auto"/>
        <w:rPr>
          <w:spacing w:val="-2"/>
          <w:szCs w:val="22"/>
        </w:rPr>
      </w:pPr>
    </w:p>
    <w:p w14:paraId="29DCEB51" w14:textId="4371B67B" w:rsidR="00624552" w:rsidRDefault="00624552">
      <w:pPr>
        <w:widowControl/>
        <w:tabs>
          <w:tab w:val="left" w:pos="720"/>
          <w:tab w:val="left" w:pos="5760"/>
        </w:tabs>
        <w:suppressAutoHyphens/>
        <w:spacing w:line="227" w:lineRule="auto"/>
        <w:rPr>
          <w:spacing w:val="-2"/>
          <w:szCs w:val="22"/>
        </w:rPr>
      </w:pPr>
      <w:r>
        <w:rPr>
          <w:b/>
          <w:spacing w:val="-2"/>
          <w:szCs w:val="22"/>
        </w:rPr>
        <w:t xml:space="preserve">Adopted:  </w:t>
      </w:r>
      <w:r w:rsidR="005247B9">
        <w:rPr>
          <w:b/>
          <w:spacing w:val="-2"/>
          <w:szCs w:val="22"/>
        </w:rPr>
        <w:t>September</w:t>
      </w:r>
      <w:r w:rsidR="007D4C66">
        <w:rPr>
          <w:b/>
          <w:spacing w:val="-2"/>
          <w:szCs w:val="22"/>
        </w:rPr>
        <w:t xml:space="preserve"> </w:t>
      </w:r>
      <w:r w:rsidR="008F57AB">
        <w:rPr>
          <w:b/>
          <w:spacing w:val="-2"/>
          <w:szCs w:val="22"/>
        </w:rPr>
        <w:t>11</w:t>
      </w:r>
      <w:r w:rsidR="00DC6E94">
        <w:rPr>
          <w:b/>
          <w:spacing w:val="-2"/>
          <w:szCs w:val="22"/>
        </w:rPr>
        <w:t>, 201</w:t>
      </w:r>
      <w:r w:rsidR="00D34437">
        <w:rPr>
          <w:b/>
          <w:spacing w:val="-2"/>
          <w:szCs w:val="22"/>
        </w:rPr>
        <w:t>5</w:t>
      </w:r>
      <w:r>
        <w:rPr>
          <w:b/>
          <w:spacing w:val="-2"/>
          <w:szCs w:val="22"/>
        </w:rPr>
        <w:tab/>
        <w:t xml:space="preserve">               Released:  </w:t>
      </w:r>
      <w:r w:rsidR="005247B9">
        <w:rPr>
          <w:b/>
          <w:spacing w:val="-2"/>
          <w:szCs w:val="22"/>
        </w:rPr>
        <w:t>September</w:t>
      </w:r>
      <w:r w:rsidR="007D4C66">
        <w:rPr>
          <w:b/>
          <w:spacing w:val="-2"/>
          <w:szCs w:val="22"/>
        </w:rPr>
        <w:t xml:space="preserve"> </w:t>
      </w:r>
      <w:r w:rsidR="008F57AB">
        <w:rPr>
          <w:b/>
          <w:spacing w:val="-2"/>
          <w:szCs w:val="22"/>
        </w:rPr>
        <w:t>11</w:t>
      </w:r>
      <w:r>
        <w:rPr>
          <w:b/>
          <w:spacing w:val="-2"/>
          <w:szCs w:val="22"/>
        </w:rPr>
        <w:t>, 201</w:t>
      </w:r>
      <w:r w:rsidR="00D34437">
        <w:rPr>
          <w:b/>
          <w:spacing w:val="-2"/>
          <w:szCs w:val="22"/>
        </w:rPr>
        <w:t>5</w:t>
      </w:r>
    </w:p>
    <w:p w14:paraId="1B3C4377" w14:textId="77777777" w:rsidR="00624552" w:rsidRDefault="00624552">
      <w:pPr>
        <w:widowControl/>
        <w:rPr>
          <w:szCs w:val="22"/>
        </w:rPr>
      </w:pPr>
    </w:p>
    <w:p w14:paraId="71F4F92E" w14:textId="77777777" w:rsidR="00624552" w:rsidRDefault="00624552">
      <w:pPr>
        <w:widowControl/>
        <w:tabs>
          <w:tab w:val="left" w:pos="5760"/>
        </w:tabs>
      </w:pPr>
      <w:r>
        <w:t xml:space="preserve">By the Chief, Wireline Competition Bureau:  </w:t>
      </w:r>
      <w:bookmarkStart w:id="1" w:name="_Toc258503736"/>
      <w:bookmarkStart w:id="2" w:name="_Toc258510337"/>
      <w:bookmarkStart w:id="3" w:name="_Toc258510668"/>
      <w:bookmarkStart w:id="4" w:name="_Toc259193814"/>
      <w:bookmarkStart w:id="5" w:name="_Toc259450980"/>
      <w:bookmarkStart w:id="6" w:name="_Toc259617240"/>
      <w:bookmarkStart w:id="7" w:name="_Toc259800175"/>
      <w:bookmarkStart w:id="8" w:name="_Toc260063408"/>
      <w:bookmarkStart w:id="9" w:name="_Toc268620727"/>
    </w:p>
    <w:p w14:paraId="5E084874" w14:textId="77777777" w:rsidR="00624552" w:rsidRDefault="00624552">
      <w:pPr>
        <w:widowControl/>
        <w:tabs>
          <w:tab w:val="left" w:pos="5760"/>
        </w:tabs>
        <w:rPr>
          <w:color w:val="010101"/>
          <w:kern w:val="0"/>
        </w:rPr>
      </w:pPr>
    </w:p>
    <w:p w14:paraId="7ED075F5" w14:textId="77777777" w:rsidR="00624552" w:rsidRDefault="00624552">
      <w:pPr>
        <w:pStyle w:val="Heading1"/>
        <w:widowControl/>
        <w:rPr>
          <w:rFonts w:ascii="Times New Roman" w:hAnsi="Times New Roman"/>
          <w:szCs w:val="22"/>
        </w:rPr>
      </w:pPr>
      <w:bookmarkStart w:id="10" w:name="_Toc270432556"/>
      <w:bookmarkStart w:id="11" w:name="_Toc270433453"/>
      <w:bookmarkStart w:id="12" w:name="_Toc270953007"/>
      <w:bookmarkStart w:id="13" w:name="_Toc271115898"/>
      <w:bookmarkStart w:id="14" w:name="_Toc271118046"/>
      <w:bookmarkStart w:id="15" w:name="_Toc271123816"/>
      <w:bookmarkStart w:id="16" w:name="_Toc271183899"/>
      <w:bookmarkStart w:id="17" w:name="_Toc271183974"/>
      <w:bookmarkStart w:id="18" w:name="_Toc271184019"/>
      <w:bookmarkStart w:id="19" w:name="_Toc271215489"/>
      <w:bookmarkStart w:id="20" w:name="_Toc271729299"/>
      <w:bookmarkStart w:id="21" w:name="_Toc273001272"/>
      <w:bookmarkStart w:id="22" w:name="_Toc273001353"/>
      <w:bookmarkStart w:id="23" w:name="_Toc273028920"/>
      <w:bookmarkStart w:id="24" w:name="_Toc273363534"/>
      <w:bookmarkStart w:id="25" w:name="_Toc269222968"/>
      <w:bookmarkStart w:id="26" w:name="_Toc270336076"/>
      <w:r>
        <w:rPr>
          <w:rFonts w:ascii="Times New Roman" w:hAnsi="Times New Roman"/>
          <w:szCs w:val="22"/>
        </w:rPr>
        <w:t>INTRODUCTION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bookmarkEnd w:id="1"/>
    <w:bookmarkEnd w:id="2"/>
    <w:bookmarkEnd w:id="3"/>
    <w:bookmarkEnd w:id="4"/>
    <w:bookmarkEnd w:id="5"/>
    <w:bookmarkEnd w:id="6"/>
    <w:bookmarkEnd w:id="7"/>
    <w:bookmarkEnd w:id="8"/>
    <w:bookmarkEnd w:id="9"/>
    <w:bookmarkEnd w:id="25"/>
    <w:bookmarkEnd w:id="26"/>
    <w:p w14:paraId="34B0A985" w14:textId="4FAAE28E" w:rsidR="003B4C30" w:rsidRPr="003B4C30" w:rsidRDefault="00624552" w:rsidP="003B4C30">
      <w:pPr>
        <w:pStyle w:val="ParaNum"/>
        <w:numPr>
          <w:ilvl w:val="0"/>
          <w:numId w:val="13"/>
        </w:numPr>
        <w:rPr>
          <w:szCs w:val="22"/>
        </w:rPr>
      </w:pPr>
      <w:r>
        <w:t xml:space="preserve">In this Order, the Wireline Competition Bureau (Bureau) releases the eligible services </w:t>
      </w:r>
      <w:r w:rsidR="00547727">
        <w:t>list</w:t>
      </w:r>
      <w:r w:rsidR="00DC6E94">
        <w:t xml:space="preserve"> </w:t>
      </w:r>
      <w:r w:rsidR="00B00E1C">
        <w:t xml:space="preserve">(ESL) </w:t>
      </w:r>
      <w:r w:rsidR="00DC6E94">
        <w:t>for funding year 201</w:t>
      </w:r>
      <w:r w:rsidR="00D34437">
        <w:t>6</w:t>
      </w:r>
      <w:r w:rsidR="0056428F">
        <w:t xml:space="preserve"> </w:t>
      </w:r>
      <w:r>
        <w:t>for the schools and libraries universal service support program (more commonly referred to as the E-rate program)</w:t>
      </w:r>
      <w:r>
        <w:rPr>
          <w:rStyle w:val="FootnoteReference"/>
          <w:szCs w:val="22"/>
        </w:rPr>
        <w:footnoteReference w:id="2"/>
      </w:r>
      <w:r>
        <w:t xml:space="preserve"> and authorizes the Universal Service Administrative Company (USAC) to open the annual application filing window no earlier than </w:t>
      </w:r>
      <w:r w:rsidR="0091410C">
        <w:t>60 days after release</w:t>
      </w:r>
      <w:r>
        <w:t>.</w:t>
      </w:r>
      <w:r>
        <w:rPr>
          <w:rStyle w:val="FootnoteReference"/>
        </w:rPr>
        <w:footnoteReference w:id="3"/>
      </w:r>
      <w:r>
        <w:t xml:space="preserve"> </w:t>
      </w:r>
    </w:p>
    <w:p w14:paraId="1E4A46D2" w14:textId="427F2E97" w:rsidR="00624552" w:rsidRPr="003B4C30" w:rsidRDefault="00032230" w:rsidP="003B4C30">
      <w:pPr>
        <w:pStyle w:val="ParaNum"/>
        <w:numPr>
          <w:ilvl w:val="0"/>
          <w:numId w:val="13"/>
        </w:numPr>
        <w:rPr>
          <w:szCs w:val="22"/>
        </w:rPr>
      </w:pPr>
      <w:r>
        <w:t>Last year, the Commission adopted two orders modernizing the E-rate program.</w:t>
      </w:r>
      <w:r w:rsidR="00797C8D">
        <w:rPr>
          <w:rStyle w:val="FootnoteReference"/>
        </w:rPr>
        <w:footnoteReference w:id="4"/>
      </w:r>
      <w:r>
        <w:t xml:space="preserve">  </w:t>
      </w:r>
      <w:r w:rsidR="005247B9">
        <w:t xml:space="preserve">In response to the first of the </w:t>
      </w:r>
      <w:r w:rsidR="005247B9" w:rsidRPr="001A4960">
        <w:rPr>
          <w:i/>
        </w:rPr>
        <w:t>E-rate Modernization Orders</w:t>
      </w:r>
      <w:r w:rsidR="005247B9">
        <w:t>, we</w:t>
      </w:r>
      <w:r w:rsidR="003B4C30">
        <w:t xml:space="preserve"> shortened and simplified </w:t>
      </w:r>
      <w:r w:rsidR="005247B9">
        <w:t xml:space="preserve">last year’s </w:t>
      </w:r>
      <w:r w:rsidR="003B4C30">
        <w:t xml:space="preserve">ESL, while including in that ESL </w:t>
      </w:r>
      <w:r>
        <w:t xml:space="preserve">the changes </w:t>
      </w:r>
      <w:r w:rsidR="005247B9">
        <w:t>the Commission made to the program for funding year 2015.</w:t>
      </w:r>
      <w:r w:rsidR="009921A9">
        <w:rPr>
          <w:rStyle w:val="FootnoteReference"/>
        </w:rPr>
        <w:footnoteReference w:id="5"/>
      </w:r>
      <w:r>
        <w:t xml:space="preserve">  In the </w:t>
      </w:r>
      <w:r w:rsidR="00624552" w:rsidRPr="003B4C30">
        <w:rPr>
          <w:i/>
        </w:rPr>
        <w:t>ESL Public Notice</w:t>
      </w:r>
      <w:r w:rsidR="003B4C30">
        <w:t xml:space="preserve"> for this coming funding year,</w:t>
      </w:r>
      <w:r w:rsidR="00624552">
        <w:t xml:space="preserve"> </w:t>
      </w:r>
      <w:r>
        <w:t xml:space="preserve">we proposed </w:t>
      </w:r>
      <w:r w:rsidR="009921A9">
        <w:t xml:space="preserve">keeping </w:t>
      </w:r>
      <w:r w:rsidR="003B4C30">
        <w:t>the basic structure of the ESL</w:t>
      </w:r>
      <w:r w:rsidR="005247B9">
        <w:t xml:space="preserve"> while modifying </w:t>
      </w:r>
      <w:r w:rsidR="003B4C30">
        <w:t xml:space="preserve">the ESL to </w:t>
      </w:r>
      <w:r>
        <w:t xml:space="preserve">reflect the changes the Commission made to the </w:t>
      </w:r>
      <w:r w:rsidR="003B4C30">
        <w:t xml:space="preserve">E-rate </w:t>
      </w:r>
      <w:r>
        <w:t xml:space="preserve">program for funding year 2016 in the </w:t>
      </w:r>
      <w:r w:rsidRPr="000152A0">
        <w:rPr>
          <w:i/>
        </w:rPr>
        <w:t>Second E-rate Modernization Order</w:t>
      </w:r>
      <w:r>
        <w:t xml:space="preserve">, </w:t>
      </w:r>
      <w:r w:rsidR="003B4C30">
        <w:t xml:space="preserve">and </w:t>
      </w:r>
      <w:r w:rsidR="005247B9">
        <w:t xml:space="preserve">to provide </w:t>
      </w:r>
      <w:r>
        <w:t>some minor clarifications.</w:t>
      </w:r>
      <w:r w:rsidR="005247B9">
        <w:rPr>
          <w:rStyle w:val="FootnoteReference"/>
        </w:rPr>
        <w:footnoteReference w:id="6"/>
      </w:r>
      <w:r>
        <w:t xml:space="preserve">  Based on our review of the record, we now adopt those proposed changes</w:t>
      </w:r>
      <w:r w:rsidR="003B4C30">
        <w:t xml:space="preserve"> to the ESL</w:t>
      </w:r>
      <w:r>
        <w:t xml:space="preserve">, </w:t>
      </w:r>
      <w:r w:rsidR="00624552">
        <w:t>with modifications as described herein.</w:t>
      </w:r>
      <w:r w:rsidR="00280F29">
        <w:t xml:space="preserve">  </w:t>
      </w:r>
    </w:p>
    <w:p w14:paraId="228BA1DC" w14:textId="77777777" w:rsidR="00624552" w:rsidRDefault="00624552">
      <w:pPr>
        <w:pStyle w:val="Heading1"/>
        <w:widowControl/>
        <w:rPr>
          <w:szCs w:val="22"/>
        </w:rPr>
      </w:pPr>
      <w:bookmarkStart w:id="27" w:name="_Toc270336078"/>
      <w:bookmarkStart w:id="28" w:name="_Toc258510351"/>
      <w:bookmarkStart w:id="29" w:name="_Toc258510682"/>
      <w:bookmarkStart w:id="30" w:name="_Toc259193826"/>
      <w:bookmarkStart w:id="31" w:name="_Toc259450991"/>
      <w:bookmarkStart w:id="32" w:name="_Toc259617251"/>
      <w:bookmarkStart w:id="33" w:name="_Toc259800176"/>
      <w:bookmarkStart w:id="34" w:name="_Toc260063409"/>
      <w:bookmarkStart w:id="35" w:name="_Toc268620728"/>
      <w:bookmarkStart w:id="36" w:name="_Toc269222969"/>
      <w:r>
        <w:t>BACKGround</w:t>
      </w:r>
      <w:bookmarkEnd w:id="27"/>
    </w:p>
    <w:p w14:paraId="61CD37E8" w14:textId="2630FC7F" w:rsidR="00624552" w:rsidRDefault="00586F28">
      <w:pPr>
        <w:pStyle w:val="ParaNum"/>
        <w:widowControl/>
        <w:numPr>
          <w:ilvl w:val="0"/>
          <w:numId w:val="13"/>
        </w:numPr>
      </w:pPr>
      <w:bookmarkStart w:id="37" w:name="_Toc259193822"/>
      <w:bookmarkStart w:id="38" w:name="_Ref259617056"/>
      <w:bookmarkEnd w:id="28"/>
      <w:bookmarkEnd w:id="29"/>
      <w:bookmarkEnd w:id="30"/>
      <w:bookmarkEnd w:id="31"/>
      <w:bookmarkEnd w:id="32"/>
      <w:bookmarkEnd w:id="33"/>
      <w:bookmarkEnd w:id="34"/>
      <w:bookmarkEnd w:id="35"/>
      <w:bookmarkEnd w:id="36"/>
      <w:bookmarkEnd w:id="37"/>
      <w:r>
        <w:t>S</w:t>
      </w:r>
      <w:r w:rsidRPr="00870474">
        <w:t>ections 254</w:t>
      </w:r>
      <w:r w:rsidRPr="00436913">
        <w:t>(c)(1)</w:t>
      </w:r>
      <w:r w:rsidRPr="006E3AC9">
        <w:t>,</w:t>
      </w:r>
      <w:r w:rsidRPr="00870474">
        <w:t xml:space="preserve"> (c)(3), (h)(1)(B), and (h)(2) of the </w:t>
      </w:r>
      <w:r>
        <w:t xml:space="preserve">Communications </w:t>
      </w:r>
      <w:r w:rsidRPr="00870474">
        <w:t>Act</w:t>
      </w:r>
      <w:r>
        <w:t xml:space="preserve"> collectively grant the Commission authority to </w:t>
      </w:r>
      <w:r w:rsidR="000C2E63">
        <w:t xml:space="preserve">specify the </w:t>
      </w:r>
      <w:r>
        <w:t>services that will be supported for eligible schools and libraries</w:t>
      </w:r>
      <w:r w:rsidR="000C2E63">
        <w:t xml:space="preserve"> </w:t>
      </w:r>
      <w:r w:rsidR="000C2E63">
        <w:lastRenderedPageBreak/>
        <w:t xml:space="preserve">and </w:t>
      </w:r>
      <w:r>
        <w:t>to design the specific mechanisms of support.</w:t>
      </w:r>
      <w:r>
        <w:rPr>
          <w:rStyle w:val="FootnoteReference"/>
        </w:rPr>
        <w:footnoteReference w:id="7"/>
      </w:r>
      <w:r w:rsidR="009A28EA">
        <w:t xml:space="preserve">  Pursuant to</w:t>
      </w:r>
      <w:r>
        <w:t xml:space="preserve"> this authority, i</w:t>
      </w:r>
      <w:r w:rsidRPr="00586F28">
        <w:rPr>
          <w:kern w:val="0"/>
          <w:szCs w:val="22"/>
        </w:rPr>
        <w:t xml:space="preserve">n the </w:t>
      </w:r>
      <w:r w:rsidR="00293039">
        <w:rPr>
          <w:i/>
          <w:kern w:val="0"/>
          <w:szCs w:val="22"/>
        </w:rPr>
        <w:t xml:space="preserve">Second </w:t>
      </w:r>
      <w:r w:rsidRPr="00586F28">
        <w:rPr>
          <w:i/>
          <w:kern w:val="0"/>
          <w:szCs w:val="22"/>
        </w:rPr>
        <w:t>E-rate Modernization Order</w:t>
      </w:r>
      <w:r w:rsidRPr="00586F28">
        <w:rPr>
          <w:kern w:val="0"/>
          <w:szCs w:val="22"/>
        </w:rPr>
        <w:t>, the Commission</w:t>
      </w:r>
      <w:r w:rsidR="00AC6235">
        <w:rPr>
          <w:kern w:val="0"/>
          <w:szCs w:val="22"/>
        </w:rPr>
        <w:t xml:space="preserve">, among other things, </w:t>
      </w:r>
      <w:r>
        <w:rPr>
          <w:kern w:val="0"/>
          <w:szCs w:val="22"/>
        </w:rPr>
        <w:t>made the following changes</w:t>
      </w:r>
      <w:r w:rsidR="00EB3090">
        <w:rPr>
          <w:kern w:val="0"/>
          <w:szCs w:val="22"/>
        </w:rPr>
        <w:t xml:space="preserve"> and clarifications</w:t>
      </w:r>
      <w:r>
        <w:rPr>
          <w:kern w:val="0"/>
          <w:szCs w:val="22"/>
        </w:rPr>
        <w:t xml:space="preserve"> to the eligible services framework </w:t>
      </w:r>
      <w:r w:rsidR="000C2E63">
        <w:rPr>
          <w:kern w:val="0"/>
          <w:szCs w:val="22"/>
        </w:rPr>
        <w:t>of</w:t>
      </w:r>
      <w:r>
        <w:rPr>
          <w:kern w:val="0"/>
          <w:szCs w:val="22"/>
        </w:rPr>
        <w:t xml:space="preserve"> the E-rate program: </w:t>
      </w:r>
      <w:r w:rsidR="000C2E63">
        <w:rPr>
          <w:kern w:val="0"/>
          <w:szCs w:val="22"/>
        </w:rPr>
        <w:t xml:space="preserve"> </w:t>
      </w:r>
      <w:r>
        <w:rPr>
          <w:kern w:val="0"/>
          <w:szCs w:val="22"/>
        </w:rPr>
        <w:t>(1</w:t>
      </w:r>
      <w:r w:rsidR="002E053C">
        <w:rPr>
          <w:kern w:val="0"/>
          <w:szCs w:val="22"/>
        </w:rPr>
        <w:t>) equaliz</w:t>
      </w:r>
      <w:r w:rsidR="00EB3090">
        <w:rPr>
          <w:kern w:val="0"/>
          <w:szCs w:val="22"/>
        </w:rPr>
        <w:t>ed</w:t>
      </w:r>
      <w:r w:rsidR="002E053C">
        <w:rPr>
          <w:kern w:val="0"/>
          <w:szCs w:val="22"/>
        </w:rPr>
        <w:t xml:space="preserve"> the </w:t>
      </w:r>
      <w:r w:rsidR="00EB3090">
        <w:rPr>
          <w:kern w:val="0"/>
          <w:szCs w:val="22"/>
        </w:rPr>
        <w:t>E-rate program’s treatment of lit and dark fiber; (2) allowed</w:t>
      </w:r>
      <w:r w:rsidR="002E053C">
        <w:rPr>
          <w:kern w:val="0"/>
          <w:szCs w:val="22"/>
        </w:rPr>
        <w:t xml:space="preserve"> applicants to self-provision high-speed broadband networks if the applicant is able to demonstrate that self-provisioning is the most cost-effective option and is able to satisfy certain other conditions</w:t>
      </w:r>
      <w:r w:rsidR="00EB3090">
        <w:rPr>
          <w:kern w:val="0"/>
          <w:szCs w:val="22"/>
        </w:rPr>
        <w:t xml:space="preserve">; </w:t>
      </w:r>
      <w:r w:rsidR="005247B9">
        <w:rPr>
          <w:kern w:val="0"/>
          <w:szCs w:val="22"/>
        </w:rPr>
        <w:t xml:space="preserve">and </w:t>
      </w:r>
      <w:r w:rsidR="00EB3090">
        <w:rPr>
          <w:kern w:val="0"/>
          <w:szCs w:val="22"/>
        </w:rPr>
        <w:t>(3) clarified the cost allocation requirements for circuits carrying both voice and data services</w:t>
      </w:r>
      <w:r w:rsidR="009A28EA">
        <w:rPr>
          <w:snapToGrid w:val="0"/>
        </w:rPr>
        <w:t>.</w:t>
      </w:r>
      <w:r w:rsidR="009A28EA" w:rsidRPr="00586F28">
        <w:rPr>
          <w:kern w:val="0"/>
          <w:szCs w:val="22"/>
          <w:vertAlign w:val="superscript"/>
        </w:rPr>
        <w:footnoteReference w:id="8"/>
      </w:r>
    </w:p>
    <w:p w14:paraId="18E6A7F5" w14:textId="7871CC51" w:rsidR="00624552" w:rsidRDefault="000C2E63" w:rsidP="00C71067">
      <w:pPr>
        <w:pStyle w:val="ParaNum"/>
        <w:widowControl/>
        <w:numPr>
          <w:ilvl w:val="0"/>
          <w:numId w:val="13"/>
        </w:numPr>
      </w:pPr>
      <w:r>
        <w:t xml:space="preserve">In </w:t>
      </w:r>
      <w:r w:rsidR="00624552">
        <w:t xml:space="preserve">the </w:t>
      </w:r>
      <w:r w:rsidR="00C71067">
        <w:rPr>
          <w:i/>
        </w:rPr>
        <w:t xml:space="preserve">ESL </w:t>
      </w:r>
      <w:r w:rsidR="00624552">
        <w:rPr>
          <w:i/>
        </w:rPr>
        <w:t>Public Notice</w:t>
      </w:r>
      <w:r>
        <w:t>,</w:t>
      </w:r>
      <w:r w:rsidR="00624552">
        <w:t xml:space="preserve"> </w:t>
      </w:r>
      <w:r>
        <w:t xml:space="preserve">we sought comment on </w:t>
      </w:r>
      <w:r w:rsidR="005C0F78">
        <w:t xml:space="preserve">proposed </w:t>
      </w:r>
      <w:r w:rsidR="00F61307">
        <w:t xml:space="preserve">revisions to </w:t>
      </w:r>
      <w:r w:rsidR="00F93B4E">
        <w:t xml:space="preserve">the </w:t>
      </w:r>
      <w:r w:rsidR="00DE212B">
        <w:t>ESL</w:t>
      </w:r>
      <w:r>
        <w:t xml:space="preserve"> </w:t>
      </w:r>
      <w:r w:rsidR="007400ED">
        <w:t xml:space="preserve">for funding year 2016 </w:t>
      </w:r>
      <w:r w:rsidR="00E01D7E">
        <w:t xml:space="preserve">reflecting </w:t>
      </w:r>
      <w:r w:rsidR="00647716">
        <w:t xml:space="preserve">the </w:t>
      </w:r>
      <w:r w:rsidR="006E02DF">
        <w:t>expanded options for purchasing affordable high-speed connectivity adopted</w:t>
      </w:r>
      <w:r w:rsidR="00647716">
        <w:t xml:space="preserve"> by the Commission in the </w:t>
      </w:r>
      <w:r w:rsidR="00C12FFA">
        <w:rPr>
          <w:i/>
        </w:rPr>
        <w:t xml:space="preserve">Second </w:t>
      </w:r>
      <w:r w:rsidR="00647716" w:rsidRPr="00C71067">
        <w:rPr>
          <w:i/>
          <w:kern w:val="0"/>
          <w:szCs w:val="22"/>
        </w:rPr>
        <w:t>E-rate Modernization Order</w:t>
      </w:r>
      <w:r w:rsidR="00647716">
        <w:t>.</w:t>
      </w:r>
      <w:r w:rsidR="00647716">
        <w:rPr>
          <w:rStyle w:val="FootnoteReference"/>
        </w:rPr>
        <w:footnoteReference w:id="9"/>
      </w:r>
      <w:r w:rsidR="00647716">
        <w:t xml:space="preserve">  </w:t>
      </w:r>
      <w:r w:rsidR="00BD52AB">
        <w:t xml:space="preserve">The </w:t>
      </w:r>
      <w:r w:rsidR="005C0F78">
        <w:t xml:space="preserve">proposed </w:t>
      </w:r>
      <w:r w:rsidR="00BD52AB">
        <w:t>revisions include</w:t>
      </w:r>
      <w:r w:rsidR="005C0F78">
        <w:t>d</w:t>
      </w:r>
      <w:r w:rsidR="00BD52AB">
        <w:t xml:space="preserve"> equalizing the treatment of</w:t>
      </w:r>
      <w:r w:rsidR="00490B27">
        <w:t xml:space="preserve"> leased</w:t>
      </w:r>
      <w:r w:rsidR="00BD52AB">
        <w:t xml:space="preserve"> lit and dark fiber</w:t>
      </w:r>
      <w:r w:rsidR="005C0F78">
        <w:t xml:space="preserve">; allowing support for </w:t>
      </w:r>
      <w:r w:rsidR="00BD52AB">
        <w:t xml:space="preserve">self-provisioned networks </w:t>
      </w:r>
      <w:r w:rsidR="005C0F78">
        <w:t>under certain circumstances</w:t>
      </w:r>
      <w:r w:rsidR="00BD52AB">
        <w:t xml:space="preserve">, clarifying that all equipment and services necessary to operate and maintain fiber networks must be competitively bid, and adding descriptions of eligible </w:t>
      </w:r>
      <w:r w:rsidR="00E01D7E">
        <w:t xml:space="preserve">special </w:t>
      </w:r>
      <w:r w:rsidR="00BD52AB">
        <w:t>construction</w:t>
      </w:r>
      <w:r w:rsidR="006A0DF8">
        <w:t xml:space="preserve"> </w:t>
      </w:r>
      <w:r w:rsidR="00BD52AB">
        <w:t>charges.</w:t>
      </w:r>
      <w:r w:rsidR="00BD52AB">
        <w:rPr>
          <w:rStyle w:val="FootnoteReference"/>
        </w:rPr>
        <w:footnoteReference w:id="10"/>
      </w:r>
      <w:r w:rsidR="00BD52AB">
        <w:t xml:space="preserve">  </w:t>
      </w:r>
      <w:r w:rsidR="00647716">
        <w:t>We also sought comment</w:t>
      </w:r>
      <w:r w:rsidR="006E02DF">
        <w:t xml:space="preserve"> on the addition of Integrated Services Digital Network (ISDN) circuits to the list of eligible voice services</w:t>
      </w:r>
      <w:r w:rsidR="00BD52AB">
        <w:t xml:space="preserve"> and clarifications regarding the eligibility of firewall services and components</w:t>
      </w:r>
      <w:r w:rsidR="00647716">
        <w:t>.</w:t>
      </w:r>
      <w:r w:rsidR="00647716">
        <w:rPr>
          <w:rStyle w:val="FootnoteReference"/>
        </w:rPr>
        <w:footnoteReference w:id="11"/>
      </w:r>
      <w:r w:rsidR="00624552">
        <w:t xml:space="preserve">  </w:t>
      </w:r>
      <w:r w:rsidR="00C71067">
        <w:t xml:space="preserve">The comment cycle closed on </w:t>
      </w:r>
      <w:r w:rsidR="00BD52AB">
        <w:t>July 6, 2015</w:t>
      </w:r>
      <w:r w:rsidR="00C71067">
        <w:t>.</w:t>
      </w:r>
      <w:r w:rsidR="00C71067">
        <w:rPr>
          <w:rStyle w:val="FootnoteReference"/>
        </w:rPr>
        <w:footnoteReference w:id="12"/>
      </w:r>
    </w:p>
    <w:p w14:paraId="63C63253" w14:textId="77777777" w:rsidR="00624552" w:rsidRDefault="00624552">
      <w:pPr>
        <w:pStyle w:val="Heading1"/>
        <w:widowControl/>
        <w:rPr>
          <w:szCs w:val="22"/>
        </w:rPr>
      </w:pPr>
      <w:bookmarkStart w:id="39" w:name="_Toc269222984"/>
      <w:bookmarkEnd w:id="38"/>
      <w:r>
        <w:t>DISCUSSION</w:t>
      </w:r>
      <w:bookmarkEnd w:id="39"/>
    </w:p>
    <w:p w14:paraId="45858F91" w14:textId="05705CB7" w:rsidR="00CE3299" w:rsidRDefault="00BD52AB" w:rsidP="00CE3299">
      <w:pPr>
        <w:pStyle w:val="ParaNum"/>
        <w:widowControl/>
        <w:numPr>
          <w:ilvl w:val="0"/>
          <w:numId w:val="13"/>
        </w:numPr>
        <w:rPr>
          <w:szCs w:val="22"/>
        </w:rPr>
      </w:pPr>
      <w:r>
        <w:rPr>
          <w:szCs w:val="22"/>
        </w:rPr>
        <w:t>Having</w:t>
      </w:r>
      <w:r w:rsidR="00C71067">
        <w:rPr>
          <w:szCs w:val="22"/>
        </w:rPr>
        <w:t xml:space="preserve"> consider</w:t>
      </w:r>
      <w:r>
        <w:rPr>
          <w:szCs w:val="22"/>
        </w:rPr>
        <w:t xml:space="preserve">ed </w:t>
      </w:r>
      <w:r w:rsidR="00DE212B">
        <w:rPr>
          <w:szCs w:val="22"/>
        </w:rPr>
        <w:t xml:space="preserve">the record, we update the </w:t>
      </w:r>
      <w:r w:rsidR="00403FE5">
        <w:rPr>
          <w:szCs w:val="22"/>
        </w:rPr>
        <w:t>ESL for funding year 2016</w:t>
      </w:r>
      <w:r w:rsidR="00983B3A">
        <w:rPr>
          <w:szCs w:val="22"/>
        </w:rPr>
        <w:t xml:space="preserve"> as described herein.  We adopt several of</w:t>
      </w:r>
      <w:r w:rsidR="00624552">
        <w:rPr>
          <w:szCs w:val="22"/>
        </w:rPr>
        <w:t xml:space="preserve"> the </w:t>
      </w:r>
      <w:r>
        <w:rPr>
          <w:szCs w:val="22"/>
        </w:rPr>
        <w:t>c</w:t>
      </w:r>
      <w:r w:rsidR="0071240A">
        <w:rPr>
          <w:szCs w:val="22"/>
        </w:rPr>
        <w:t xml:space="preserve">hanges proposed in </w:t>
      </w:r>
      <w:r w:rsidR="00020AD5">
        <w:rPr>
          <w:szCs w:val="22"/>
        </w:rPr>
        <w:t xml:space="preserve">the </w:t>
      </w:r>
      <w:r w:rsidR="00624552">
        <w:rPr>
          <w:i/>
          <w:szCs w:val="22"/>
        </w:rPr>
        <w:t xml:space="preserve">ESL Public </w:t>
      </w:r>
      <w:r w:rsidR="00624552" w:rsidRPr="00107B74">
        <w:rPr>
          <w:i/>
          <w:szCs w:val="22"/>
        </w:rPr>
        <w:t>Notice</w:t>
      </w:r>
      <w:r w:rsidR="00490B27">
        <w:rPr>
          <w:szCs w:val="22"/>
        </w:rPr>
        <w:t xml:space="preserve"> </w:t>
      </w:r>
      <w:r w:rsidR="00983B3A">
        <w:rPr>
          <w:szCs w:val="22"/>
        </w:rPr>
        <w:t xml:space="preserve">and provide additional clarifications to address comments </w:t>
      </w:r>
      <w:r w:rsidR="005C0F78">
        <w:rPr>
          <w:szCs w:val="22"/>
        </w:rPr>
        <w:t xml:space="preserve">and reply comments </w:t>
      </w:r>
      <w:r w:rsidR="00983B3A">
        <w:rPr>
          <w:szCs w:val="22"/>
        </w:rPr>
        <w:t xml:space="preserve">received in response to the </w:t>
      </w:r>
      <w:r w:rsidR="00983B3A">
        <w:rPr>
          <w:i/>
          <w:szCs w:val="22"/>
        </w:rPr>
        <w:t>ESL Public Notice</w:t>
      </w:r>
      <w:r w:rsidR="00624552">
        <w:rPr>
          <w:szCs w:val="22"/>
        </w:rPr>
        <w:t xml:space="preserve">.  </w:t>
      </w:r>
      <w:r w:rsidR="00032230">
        <w:rPr>
          <w:szCs w:val="22"/>
        </w:rPr>
        <w:t xml:space="preserve">The changes that we make to the section of the ESL dealing with Category One </w:t>
      </w:r>
      <w:r w:rsidR="00E37A0C">
        <w:rPr>
          <w:szCs w:val="22"/>
        </w:rPr>
        <w:t>s</w:t>
      </w:r>
      <w:r w:rsidR="00032230">
        <w:rPr>
          <w:szCs w:val="22"/>
        </w:rPr>
        <w:t xml:space="preserve">ervices </w:t>
      </w:r>
      <w:r w:rsidR="004040C4">
        <w:rPr>
          <w:szCs w:val="22"/>
        </w:rPr>
        <w:t xml:space="preserve">reflect </w:t>
      </w:r>
      <w:r w:rsidR="00032230">
        <w:rPr>
          <w:szCs w:val="22"/>
        </w:rPr>
        <w:t>the additional options the Commission provided applicants for purchasing high</w:t>
      </w:r>
      <w:r w:rsidR="00C32391">
        <w:rPr>
          <w:szCs w:val="22"/>
        </w:rPr>
        <w:t>-</w:t>
      </w:r>
      <w:r w:rsidR="00032230">
        <w:rPr>
          <w:szCs w:val="22"/>
        </w:rPr>
        <w:t xml:space="preserve">speed connectivity to </w:t>
      </w:r>
      <w:r w:rsidR="004040C4">
        <w:rPr>
          <w:szCs w:val="22"/>
        </w:rPr>
        <w:t xml:space="preserve">eligible </w:t>
      </w:r>
      <w:r w:rsidR="00032230">
        <w:rPr>
          <w:szCs w:val="22"/>
        </w:rPr>
        <w:t>schools and libraries</w:t>
      </w:r>
      <w:r w:rsidR="003800CD">
        <w:rPr>
          <w:szCs w:val="22"/>
        </w:rPr>
        <w:t xml:space="preserve"> </w:t>
      </w:r>
      <w:r w:rsidR="003800CD" w:rsidRPr="001A4960">
        <w:rPr>
          <w:i/>
          <w:szCs w:val="22"/>
        </w:rPr>
        <w:t>in the Second E-rate Modernization Order</w:t>
      </w:r>
      <w:r w:rsidR="00032230">
        <w:rPr>
          <w:szCs w:val="22"/>
        </w:rPr>
        <w:t>.</w:t>
      </w:r>
      <w:r w:rsidR="003800CD">
        <w:rPr>
          <w:rStyle w:val="FootnoteReference"/>
          <w:szCs w:val="22"/>
        </w:rPr>
        <w:footnoteReference w:id="13"/>
      </w:r>
      <w:r w:rsidR="00032230">
        <w:rPr>
          <w:szCs w:val="22"/>
        </w:rPr>
        <w:t xml:space="preserve">  </w:t>
      </w:r>
      <w:r w:rsidR="008F47B1">
        <w:rPr>
          <w:szCs w:val="22"/>
        </w:rPr>
        <w:t>W</w:t>
      </w:r>
      <w:r w:rsidR="00577875">
        <w:rPr>
          <w:szCs w:val="22"/>
        </w:rPr>
        <w:t xml:space="preserve">ith regard to Category Two of the </w:t>
      </w:r>
      <w:r w:rsidR="00F3321C">
        <w:rPr>
          <w:szCs w:val="22"/>
        </w:rPr>
        <w:t>ESL</w:t>
      </w:r>
      <w:r w:rsidR="00577875">
        <w:rPr>
          <w:szCs w:val="22"/>
        </w:rPr>
        <w:t>, we</w:t>
      </w:r>
      <w:r w:rsidR="008F47B1">
        <w:rPr>
          <w:szCs w:val="22"/>
        </w:rPr>
        <w:t xml:space="preserve"> </w:t>
      </w:r>
      <w:r w:rsidR="00E27CC7">
        <w:rPr>
          <w:szCs w:val="22"/>
        </w:rPr>
        <w:t>adopt changes to the description of eligible fire</w:t>
      </w:r>
      <w:r w:rsidR="00577875">
        <w:rPr>
          <w:szCs w:val="22"/>
        </w:rPr>
        <w:t>wall services</w:t>
      </w:r>
      <w:r w:rsidR="000E2D1E">
        <w:rPr>
          <w:szCs w:val="22"/>
        </w:rPr>
        <w:t>, pr</w:t>
      </w:r>
      <w:r w:rsidR="00FD727F">
        <w:rPr>
          <w:szCs w:val="22"/>
        </w:rPr>
        <w:t xml:space="preserve">ovide clarifications </w:t>
      </w:r>
      <w:r w:rsidR="00E27CC7">
        <w:rPr>
          <w:szCs w:val="22"/>
        </w:rPr>
        <w:t>in response to comments and reply comments</w:t>
      </w:r>
      <w:r w:rsidR="00B94A7C">
        <w:rPr>
          <w:szCs w:val="22"/>
        </w:rPr>
        <w:t xml:space="preserve">, and decline </w:t>
      </w:r>
      <w:r w:rsidR="00FE399C">
        <w:rPr>
          <w:szCs w:val="22"/>
        </w:rPr>
        <w:t xml:space="preserve">commenters’ requests that we </w:t>
      </w:r>
      <w:r w:rsidR="00B94A7C">
        <w:rPr>
          <w:szCs w:val="22"/>
        </w:rPr>
        <w:t xml:space="preserve">add certain services and equipment </w:t>
      </w:r>
      <w:r w:rsidR="00FE399C">
        <w:rPr>
          <w:szCs w:val="22"/>
        </w:rPr>
        <w:t xml:space="preserve">to the </w:t>
      </w:r>
      <w:r w:rsidR="00F3321C">
        <w:rPr>
          <w:szCs w:val="22"/>
        </w:rPr>
        <w:t>ESL</w:t>
      </w:r>
      <w:r w:rsidR="00FE399C">
        <w:rPr>
          <w:szCs w:val="22"/>
        </w:rPr>
        <w:t xml:space="preserve"> </w:t>
      </w:r>
      <w:r w:rsidR="00B94A7C">
        <w:rPr>
          <w:szCs w:val="22"/>
        </w:rPr>
        <w:t xml:space="preserve">and revise </w:t>
      </w:r>
      <w:r w:rsidR="00FE399C">
        <w:rPr>
          <w:szCs w:val="22"/>
        </w:rPr>
        <w:t xml:space="preserve">certain descriptions of eligible Category Two services. </w:t>
      </w:r>
      <w:r w:rsidR="00624552">
        <w:rPr>
          <w:i/>
          <w:szCs w:val="22"/>
        </w:rPr>
        <w:t xml:space="preserve"> </w:t>
      </w:r>
      <w:r w:rsidR="003800CD">
        <w:rPr>
          <w:szCs w:val="22"/>
        </w:rPr>
        <w:t xml:space="preserve">We make these changes to the ESL to clarify for all stakeholders what services are eligible for E-rate support and certain conditions for eligibility, and to guide USAC in implementing the </w:t>
      </w:r>
      <w:r w:rsidR="003800CD">
        <w:rPr>
          <w:i/>
          <w:szCs w:val="22"/>
        </w:rPr>
        <w:t>E-rate Modernization Orders.</w:t>
      </w:r>
      <w:r w:rsidR="003800CD" w:rsidRPr="002C7DFF">
        <w:rPr>
          <w:szCs w:val="22"/>
        </w:rPr>
        <w:t xml:space="preserve"> </w:t>
      </w:r>
      <w:r w:rsidR="003800CD">
        <w:rPr>
          <w:szCs w:val="22"/>
        </w:rPr>
        <w:t xml:space="preserve"> </w:t>
      </w:r>
    </w:p>
    <w:p w14:paraId="2FE1795B" w14:textId="7871467D" w:rsidR="00CE3299" w:rsidRPr="00CE3299" w:rsidRDefault="004040C4" w:rsidP="00CE3299">
      <w:pPr>
        <w:pStyle w:val="Heading2"/>
      </w:pPr>
      <w:r>
        <w:t>Modifications to the ESL Description of Eligible Category One Services</w:t>
      </w:r>
    </w:p>
    <w:p w14:paraId="77F95D11" w14:textId="370FA811" w:rsidR="00CE3299" w:rsidRDefault="00CE3299" w:rsidP="00BC2BA1">
      <w:pPr>
        <w:pStyle w:val="ParaNum"/>
        <w:widowControl/>
        <w:numPr>
          <w:ilvl w:val="0"/>
          <w:numId w:val="13"/>
        </w:numPr>
        <w:rPr>
          <w:szCs w:val="22"/>
        </w:rPr>
      </w:pPr>
      <w:r>
        <w:rPr>
          <w:szCs w:val="22"/>
        </w:rPr>
        <w:t>Consistent with the Commission</w:t>
      </w:r>
      <w:r w:rsidR="00983B3A">
        <w:rPr>
          <w:szCs w:val="22"/>
        </w:rPr>
        <w:t>’s</w:t>
      </w:r>
      <w:r>
        <w:rPr>
          <w:szCs w:val="22"/>
        </w:rPr>
        <w:t xml:space="preserve"> decision in the </w:t>
      </w:r>
      <w:r>
        <w:rPr>
          <w:i/>
          <w:szCs w:val="22"/>
        </w:rPr>
        <w:t xml:space="preserve">Second E-rate Modernization Order </w:t>
      </w:r>
      <w:r>
        <w:rPr>
          <w:szCs w:val="22"/>
        </w:rPr>
        <w:t>to expand applicants’ options for purchasing affordab</w:t>
      </w:r>
      <w:r w:rsidR="00403FE5">
        <w:rPr>
          <w:szCs w:val="22"/>
        </w:rPr>
        <w:t>le high-speed connectivity, we</w:t>
      </w:r>
      <w:r>
        <w:rPr>
          <w:szCs w:val="22"/>
        </w:rPr>
        <w:t xml:space="preserve"> adopt several revisions and clarifications </w:t>
      </w:r>
      <w:r w:rsidR="0056428F">
        <w:rPr>
          <w:szCs w:val="22"/>
        </w:rPr>
        <w:t xml:space="preserve">to the list of eligible </w:t>
      </w:r>
      <w:r w:rsidR="008B6938">
        <w:rPr>
          <w:szCs w:val="22"/>
        </w:rPr>
        <w:t xml:space="preserve">Category One </w:t>
      </w:r>
      <w:r w:rsidR="00AF4E8B">
        <w:rPr>
          <w:szCs w:val="22"/>
        </w:rPr>
        <w:t>Data</w:t>
      </w:r>
      <w:r w:rsidR="0056428F">
        <w:rPr>
          <w:szCs w:val="22"/>
        </w:rPr>
        <w:t xml:space="preserve"> </w:t>
      </w:r>
      <w:r w:rsidR="00DE212B">
        <w:rPr>
          <w:szCs w:val="22"/>
        </w:rPr>
        <w:t>T</w:t>
      </w:r>
      <w:r w:rsidR="0056428F">
        <w:rPr>
          <w:szCs w:val="22"/>
        </w:rPr>
        <w:t xml:space="preserve">ransmission </w:t>
      </w:r>
      <w:r w:rsidR="00DE212B">
        <w:rPr>
          <w:szCs w:val="22"/>
        </w:rPr>
        <w:t>S</w:t>
      </w:r>
      <w:r w:rsidR="008B6938">
        <w:rPr>
          <w:szCs w:val="22"/>
        </w:rPr>
        <w:t xml:space="preserve">ervices </w:t>
      </w:r>
      <w:r w:rsidR="0056428F">
        <w:rPr>
          <w:szCs w:val="22"/>
        </w:rPr>
        <w:t xml:space="preserve">and Internet </w:t>
      </w:r>
      <w:r w:rsidR="00DE212B">
        <w:rPr>
          <w:szCs w:val="22"/>
        </w:rPr>
        <w:t>A</w:t>
      </w:r>
      <w:r w:rsidR="0056428F">
        <w:rPr>
          <w:szCs w:val="22"/>
        </w:rPr>
        <w:t>c</w:t>
      </w:r>
      <w:r w:rsidR="008B6938">
        <w:rPr>
          <w:szCs w:val="22"/>
        </w:rPr>
        <w:t>cess</w:t>
      </w:r>
      <w:r w:rsidR="00DE212B">
        <w:rPr>
          <w:szCs w:val="22"/>
        </w:rPr>
        <w:t>,</w:t>
      </w:r>
      <w:r w:rsidR="00AF4E8B">
        <w:rPr>
          <w:rStyle w:val="FootnoteReference"/>
          <w:szCs w:val="22"/>
        </w:rPr>
        <w:footnoteReference w:id="14"/>
      </w:r>
      <w:r w:rsidR="00DE212B">
        <w:rPr>
          <w:szCs w:val="22"/>
        </w:rPr>
        <w:t xml:space="preserve"> Voice S</w:t>
      </w:r>
      <w:r w:rsidR="008B6938">
        <w:rPr>
          <w:szCs w:val="22"/>
        </w:rPr>
        <w:t>ervices, and</w:t>
      </w:r>
      <w:r w:rsidR="005C0F78">
        <w:rPr>
          <w:szCs w:val="22"/>
        </w:rPr>
        <w:t xml:space="preserve"> to the</w:t>
      </w:r>
      <w:r w:rsidR="008B6938">
        <w:rPr>
          <w:szCs w:val="22"/>
        </w:rPr>
        <w:t xml:space="preserve"> accompanying explanations</w:t>
      </w:r>
      <w:r w:rsidR="0056428F">
        <w:rPr>
          <w:szCs w:val="22"/>
        </w:rPr>
        <w:t xml:space="preserve">. </w:t>
      </w:r>
      <w:r w:rsidR="004040C4">
        <w:rPr>
          <w:szCs w:val="22"/>
        </w:rPr>
        <w:t xml:space="preserve"> We a</w:t>
      </w:r>
      <w:r w:rsidR="003B4C30">
        <w:rPr>
          <w:szCs w:val="22"/>
        </w:rPr>
        <w:t>lso</w:t>
      </w:r>
      <w:r w:rsidR="006727E2">
        <w:rPr>
          <w:szCs w:val="22"/>
        </w:rPr>
        <w:t xml:space="preserve"> adopt the proposed addition of </w:t>
      </w:r>
      <w:r w:rsidR="003736D1">
        <w:rPr>
          <w:szCs w:val="22"/>
        </w:rPr>
        <w:t>ISDN</w:t>
      </w:r>
      <w:r w:rsidR="006727E2">
        <w:rPr>
          <w:szCs w:val="22"/>
        </w:rPr>
        <w:t xml:space="preserve"> to the list of eligible voice services</w:t>
      </w:r>
      <w:r w:rsidR="004040C4">
        <w:rPr>
          <w:szCs w:val="22"/>
        </w:rPr>
        <w:t>.</w:t>
      </w:r>
    </w:p>
    <w:p w14:paraId="34743A2E" w14:textId="77777777" w:rsidR="00CE3299" w:rsidRDefault="00381535" w:rsidP="00CE3299">
      <w:pPr>
        <w:pStyle w:val="Heading3"/>
      </w:pPr>
      <w:r>
        <w:lastRenderedPageBreak/>
        <w:t xml:space="preserve">Eligible </w:t>
      </w:r>
      <w:r w:rsidR="00AF4E8B">
        <w:t>Data</w:t>
      </w:r>
      <w:r>
        <w:t xml:space="preserve"> Transmission Service and Internet Access </w:t>
      </w:r>
    </w:p>
    <w:p w14:paraId="69E8CADA" w14:textId="488EDE2E" w:rsidR="00A17B4A" w:rsidRDefault="00392FE1" w:rsidP="00280E3C">
      <w:pPr>
        <w:pStyle w:val="ParaNum"/>
        <w:widowControl/>
        <w:numPr>
          <w:ilvl w:val="0"/>
          <w:numId w:val="13"/>
        </w:numPr>
        <w:rPr>
          <w:szCs w:val="22"/>
        </w:rPr>
      </w:pPr>
      <w:r>
        <w:rPr>
          <w:szCs w:val="22"/>
        </w:rPr>
        <w:t xml:space="preserve">We adopt </w:t>
      </w:r>
      <w:r w:rsidR="008822C7">
        <w:rPr>
          <w:szCs w:val="22"/>
        </w:rPr>
        <w:t xml:space="preserve">the </w:t>
      </w:r>
      <w:r>
        <w:rPr>
          <w:szCs w:val="22"/>
        </w:rPr>
        <w:t xml:space="preserve">proposal in the </w:t>
      </w:r>
      <w:r w:rsidR="000C25F3" w:rsidRPr="000C25F3">
        <w:rPr>
          <w:i/>
          <w:szCs w:val="22"/>
        </w:rPr>
        <w:t>ESL Public Notice</w:t>
      </w:r>
      <w:r>
        <w:rPr>
          <w:szCs w:val="22"/>
        </w:rPr>
        <w:t xml:space="preserve"> to </w:t>
      </w:r>
      <w:r w:rsidR="000C25F3" w:rsidRPr="000C25F3">
        <w:rPr>
          <w:szCs w:val="22"/>
        </w:rPr>
        <w:t xml:space="preserve">separately </w:t>
      </w:r>
      <w:r w:rsidR="00EC5F54" w:rsidRPr="000C25F3">
        <w:rPr>
          <w:szCs w:val="22"/>
        </w:rPr>
        <w:t>list</w:t>
      </w:r>
      <w:r w:rsidR="000C25F3" w:rsidRPr="000C25F3">
        <w:rPr>
          <w:szCs w:val="22"/>
        </w:rPr>
        <w:t xml:space="preserve"> Leased Lit Fiber, Dark Fiber, and Self-Provisioned Broadband Networks as eligible services</w:t>
      </w:r>
      <w:r>
        <w:rPr>
          <w:szCs w:val="22"/>
        </w:rPr>
        <w:t xml:space="preserve"> under</w:t>
      </w:r>
      <w:r w:rsidR="00FA36AD">
        <w:rPr>
          <w:szCs w:val="22"/>
        </w:rPr>
        <w:t xml:space="preserve"> </w:t>
      </w:r>
      <w:r w:rsidRPr="000C25F3">
        <w:rPr>
          <w:szCs w:val="22"/>
        </w:rPr>
        <w:t xml:space="preserve">the </w:t>
      </w:r>
      <w:r>
        <w:rPr>
          <w:szCs w:val="22"/>
        </w:rPr>
        <w:t xml:space="preserve">list of eligible Data Transmission Services and Internet Access </w:t>
      </w:r>
      <w:r w:rsidR="000C25F3" w:rsidRPr="000C25F3">
        <w:rPr>
          <w:szCs w:val="22"/>
        </w:rPr>
        <w:t>and delete the explanation of differing eligible costs for leased lit and dark fiber</w:t>
      </w:r>
      <w:r w:rsidR="008822C7">
        <w:rPr>
          <w:szCs w:val="22"/>
        </w:rPr>
        <w:t>.</w:t>
      </w:r>
      <w:r w:rsidR="000C25F3" w:rsidRPr="000C25F3">
        <w:rPr>
          <w:szCs w:val="22"/>
        </w:rPr>
        <w:t xml:space="preserve"> </w:t>
      </w:r>
      <w:r w:rsidR="008822C7">
        <w:rPr>
          <w:szCs w:val="22"/>
        </w:rPr>
        <w:t xml:space="preserve"> </w:t>
      </w:r>
      <w:r w:rsidR="00431273">
        <w:rPr>
          <w:szCs w:val="22"/>
        </w:rPr>
        <w:t>I</w:t>
      </w:r>
      <w:r w:rsidR="00EE7C91">
        <w:rPr>
          <w:szCs w:val="22"/>
        </w:rPr>
        <w:t xml:space="preserve">n the </w:t>
      </w:r>
      <w:r w:rsidR="00EE7C91" w:rsidRPr="000C25F3">
        <w:rPr>
          <w:i/>
          <w:szCs w:val="22"/>
        </w:rPr>
        <w:t>Second E-rate Modernization Order</w:t>
      </w:r>
      <w:r w:rsidR="00431273">
        <w:rPr>
          <w:szCs w:val="22"/>
        </w:rPr>
        <w:t xml:space="preserve">, the Commission decided </w:t>
      </w:r>
      <w:r w:rsidR="00EE7C91">
        <w:rPr>
          <w:szCs w:val="22"/>
        </w:rPr>
        <w:t xml:space="preserve">to </w:t>
      </w:r>
      <w:r w:rsidR="008B6938" w:rsidRPr="000C25F3">
        <w:rPr>
          <w:szCs w:val="22"/>
        </w:rPr>
        <w:t>equaliz</w:t>
      </w:r>
      <w:r w:rsidR="00EE7C91">
        <w:rPr>
          <w:szCs w:val="22"/>
        </w:rPr>
        <w:t>e</w:t>
      </w:r>
      <w:r w:rsidR="008B6938" w:rsidRPr="000C25F3">
        <w:rPr>
          <w:szCs w:val="22"/>
        </w:rPr>
        <w:t xml:space="preserve"> </w:t>
      </w:r>
      <w:r w:rsidR="00EE7C91">
        <w:rPr>
          <w:szCs w:val="22"/>
        </w:rPr>
        <w:t xml:space="preserve">the treatment </w:t>
      </w:r>
      <w:r w:rsidR="008B6938" w:rsidRPr="000C25F3">
        <w:rPr>
          <w:szCs w:val="22"/>
        </w:rPr>
        <w:t>of lit and dark fiber</w:t>
      </w:r>
      <w:r w:rsidR="00EE7C91">
        <w:rPr>
          <w:szCs w:val="22"/>
        </w:rPr>
        <w:t xml:space="preserve"> by </w:t>
      </w:r>
      <w:r w:rsidR="00FB7B9A">
        <w:rPr>
          <w:szCs w:val="22"/>
        </w:rPr>
        <w:t xml:space="preserve">providing Category One support for the modulating electronics necessary to light dark fiber </w:t>
      </w:r>
      <w:r w:rsidR="00873C6D">
        <w:rPr>
          <w:szCs w:val="22"/>
        </w:rPr>
        <w:t>and for special construction charges for dark fiber beyond the school or library’s property line.</w:t>
      </w:r>
      <w:r w:rsidR="00873C6D">
        <w:rPr>
          <w:rStyle w:val="FootnoteReference"/>
          <w:szCs w:val="22"/>
        </w:rPr>
        <w:footnoteReference w:id="15"/>
      </w:r>
      <w:r w:rsidR="008B6938" w:rsidRPr="000C25F3">
        <w:rPr>
          <w:szCs w:val="22"/>
        </w:rPr>
        <w:t xml:space="preserve"> </w:t>
      </w:r>
      <w:r w:rsidR="00431273">
        <w:rPr>
          <w:szCs w:val="22"/>
        </w:rPr>
        <w:t xml:space="preserve"> The Commission also determined that schools and libraries can self-provision networks </w:t>
      </w:r>
      <w:r w:rsidR="00FC7AA6" w:rsidRPr="0051750C">
        <w:t>under certain circumstances</w:t>
      </w:r>
      <w:r w:rsidR="00D512F1">
        <w:t xml:space="preserve"> </w:t>
      </w:r>
      <w:r w:rsidR="00FC7AA6">
        <w:t>and adopted several safeguards</w:t>
      </w:r>
      <w:r w:rsidR="00D512F1">
        <w:t xml:space="preserve"> </w:t>
      </w:r>
      <w:r w:rsidR="00862153">
        <w:t xml:space="preserve">to ensure </w:t>
      </w:r>
      <w:r w:rsidR="00D512F1">
        <w:t>cost</w:t>
      </w:r>
      <w:r w:rsidR="00B96ED3">
        <w:t>-</w:t>
      </w:r>
      <w:r w:rsidR="00862153">
        <w:t>effective purchasing</w:t>
      </w:r>
      <w:r w:rsidR="004828B7">
        <w:t xml:space="preserve"> for self-provisioned networks</w:t>
      </w:r>
      <w:r w:rsidR="00431273">
        <w:rPr>
          <w:szCs w:val="22"/>
        </w:rPr>
        <w:t>.</w:t>
      </w:r>
      <w:r w:rsidR="00431273">
        <w:rPr>
          <w:rStyle w:val="FootnoteReference"/>
          <w:szCs w:val="22"/>
        </w:rPr>
        <w:footnoteReference w:id="16"/>
      </w:r>
      <w:r w:rsidR="00431273">
        <w:rPr>
          <w:szCs w:val="22"/>
        </w:rPr>
        <w:t xml:space="preserve"> </w:t>
      </w:r>
      <w:r w:rsidR="00FC7AA6">
        <w:rPr>
          <w:szCs w:val="22"/>
        </w:rPr>
        <w:t xml:space="preserve"> </w:t>
      </w:r>
      <w:r w:rsidR="00431273">
        <w:rPr>
          <w:szCs w:val="22"/>
        </w:rPr>
        <w:t xml:space="preserve">Therefore, we adopt these substantive </w:t>
      </w:r>
      <w:r w:rsidR="00862153">
        <w:rPr>
          <w:szCs w:val="22"/>
        </w:rPr>
        <w:t xml:space="preserve">ESL </w:t>
      </w:r>
      <w:r w:rsidR="00431273">
        <w:rPr>
          <w:szCs w:val="22"/>
        </w:rPr>
        <w:t xml:space="preserve">changes </w:t>
      </w:r>
      <w:r w:rsidR="00862153">
        <w:rPr>
          <w:szCs w:val="22"/>
        </w:rPr>
        <w:t>to implement</w:t>
      </w:r>
      <w:r w:rsidR="00431273">
        <w:rPr>
          <w:szCs w:val="22"/>
        </w:rPr>
        <w:t xml:space="preserve"> </w:t>
      </w:r>
      <w:r w:rsidR="008B6938" w:rsidRPr="000C25F3">
        <w:rPr>
          <w:szCs w:val="22"/>
        </w:rPr>
        <w:t xml:space="preserve">the </w:t>
      </w:r>
      <w:r w:rsidR="008B6938" w:rsidRPr="000C25F3">
        <w:rPr>
          <w:i/>
          <w:szCs w:val="22"/>
        </w:rPr>
        <w:t>Second E-rate Modernization Order</w:t>
      </w:r>
      <w:r w:rsidR="000C25F3" w:rsidRPr="000C25F3">
        <w:rPr>
          <w:szCs w:val="22"/>
        </w:rPr>
        <w:t>.</w:t>
      </w:r>
      <w:r w:rsidR="000C25F3">
        <w:rPr>
          <w:szCs w:val="22"/>
        </w:rPr>
        <w:t xml:space="preserve">  </w:t>
      </w:r>
    </w:p>
    <w:p w14:paraId="22BB0CBA" w14:textId="6C2F8CD6" w:rsidR="000C25F3" w:rsidRPr="000C25F3" w:rsidRDefault="000C25F3" w:rsidP="00280E3C">
      <w:pPr>
        <w:pStyle w:val="ParaNum"/>
        <w:widowControl/>
        <w:numPr>
          <w:ilvl w:val="0"/>
          <w:numId w:val="13"/>
        </w:numPr>
        <w:rPr>
          <w:szCs w:val="22"/>
        </w:rPr>
      </w:pPr>
      <w:r>
        <w:rPr>
          <w:szCs w:val="22"/>
        </w:rPr>
        <w:t xml:space="preserve">In response to comments, </w:t>
      </w:r>
      <w:r w:rsidR="003800CD">
        <w:rPr>
          <w:szCs w:val="22"/>
        </w:rPr>
        <w:t xml:space="preserve">and consistent with the </w:t>
      </w:r>
      <w:r w:rsidR="003800CD">
        <w:rPr>
          <w:i/>
          <w:szCs w:val="22"/>
        </w:rPr>
        <w:t xml:space="preserve">Second E-rate Modernization </w:t>
      </w:r>
      <w:r w:rsidR="003800CD" w:rsidRPr="003800CD">
        <w:rPr>
          <w:i/>
          <w:szCs w:val="22"/>
        </w:rPr>
        <w:t>Order</w:t>
      </w:r>
      <w:r w:rsidR="003800CD">
        <w:rPr>
          <w:szCs w:val="22"/>
        </w:rPr>
        <w:t xml:space="preserve">, </w:t>
      </w:r>
      <w:r w:rsidRPr="003800CD">
        <w:rPr>
          <w:szCs w:val="22"/>
        </w:rPr>
        <w:t>we</w:t>
      </w:r>
      <w:r>
        <w:rPr>
          <w:szCs w:val="22"/>
        </w:rPr>
        <w:t xml:space="preserve"> </w:t>
      </w:r>
      <w:r w:rsidR="00D512F1">
        <w:rPr>
          <w:szCs w:val="22"/>
        </w:rPr>
        <w:t xml:space="preserve">also </w:t>
      </w:r>
      <w:r>
        <w:rPr>
          <w:szCs w:val="22"/>
        </w:rPr>
        <w:t>add a</w:t>
      </w:r>
      <w:r w:rsidR="00126651">
        <w:rPr>
          <w:szCs w:val="22"/>
        </w:rPr>
        <w:t xml:space="preserve"> new</w:t>
      </w:r>
      <w:r>
        <w:rPr>
          <w:szCs w:val="22"/>
        </w:rPr>
        <w:t xml:space="preserve"> </w:t>
      </w:r>
      <w:r w:rsidR="00126651">
        <w:rPr>
          <w:szCs w:val="22"/>
        </w:rPr>
        <w:t>N</w:t>
      </w:r>
      <w:r>
        <w:rPr>
          <w:szCs w:val="22"/>
        </w:rPr>
        <w:t>ote</w:t>
      </w:r>
      <w:r w:rsidR="00126651">
        <w:rPr>
          <w:szCs w:val="22"/>
        </w:rPr>
        <w:t xml:space="preserve"> (2)</w:t>
      </w:r>
      <w:r w:rsidR="00EE22BF">
        <w:rPr>
          <w:szCs w:val="22"/>
        </w:rPr>
        <w:t xml:space="preserve"> under</w:t>
      </w:r>
      <w:r>
        <w:rPr>
          <w:szCs w:val="22"/>
        </w:rPr>
        <w:t xml:space="preserve"> the list of el</w:t>
      </w:r>
      <w:r w:rsidR="0043616F">
        <w:rPr>
          <w:szCs w:val="22"/>
        </w:rPr>
        <w:t xml:space="preserve">igible </w:t>
      </w:r>
      <w:r w:rsidR="008D651E">
        <w:rPr>
          <w:szCs w:val="22"/>
        </w:rPr>
        <w:t>Data</w:t>
      </w:r>
      <w:r w:rsidR="0043616F">
        <w:rPr>
          <w:szCs w:val="22"/>
        </w:rPr>
        <w:t xml:space="preserve"> Transmission Services and Internet Access </w:t>
      </w:r>
      <w:r>
        <w:rPr>
          <w:szCs w:val="22"/>
        </w:rPr>
        <w:t xml:space="preserve">to remind applicants that </w:t>
      </w:r>
      <w:r w:rsidR="00DD6355">
        <w:rPr>
          <w:szCs w:val="22"/>
        </w:rPr>
        <w:t xml:space="preserve">they must seek bids for lit fiber service </w:t>
      </w:r>
      <w:r w:rsidR="00563BB6">
        <w:rPr>
          <w:szCs w:val="22"/>
        </w:rPr>
        <w:t xml:space="preserve">and fully consider all responsive bids </w:t>
      </w:r>
      <w:r w:rsidR="00DD6355">
        <w:rPr>
          <w:szCs w:val="22"/>
        </w:rPr>
        <w:t xml:space="preserve">before selecting and requesting support for a </w:t>
      </w:r>
      <w:r>
        <w:rPr>
          <w:szCs w:val="22"/>
        </w:rPr>
        <w:t>dark fiber or</w:t>
      </w:r>
      <w:r w:rsidR="00D76A60">
        <w:rPr>
          <w:szCs w:val="22"/>
        </w:rPr>
        <w:t xml:space="preserve"> a</w:t>
      </w:r>
      <w:r>
        <w:rPr>
          <w:szCs w:val="22"/>
        </w:rPr>
        <w:t xml:space="preserve"> self-provisioned broadband network</w:t>
      </w:r>
      <w:r w:rsidR="00DC41A3">
        <w:rPr>
          <w:szCs w:val="22"/>
        </w:rPr>
        <w:t>.</w:t>
      </w:r>
      <w:r w:rsidR="00DC41A3">
        <w:rPr>
          <w:rStyle w:val="FootnoteReference"/>
          <w:szCs w:val="22"/>
        </w:rPr>
        <w:footnoteReference w:id="17"/>
      </w:r>
      <w:r w:rsidR="00DC41A3">
        <w:rPr>
          <w:szCs w:val="22"/>
        </w:rPr>
        <w:t xml:space="preserve">  </w:t>
      </w:r>
      <w:r w:rsidR="00912F50">
        <w:rPr>
          <w:szCs w:val="22"/>
        </w:rPr>
        <w:t xml:space="preserve">We decline to adopt </w:t>
      </w:r>
      <w:r w:rsidR="00790E25">
        <w:rPr>
          <w:szCs w:val="22"/>
        </w:rPr>
        <w:t xml:space="preserve">the recommendation by Unite Private Networks and USTelecom that </w:t>
      </w:r>
      <w:r w:rsidR="002D1C02">
        <w:rPr>
          <w:szCs w:val="22"/>
        </w:rPr>
        <w:t>the ESL characterize a self-provisioned network as an option of last resort.</w:t>
      </w:r>
      <w:r w:rsidR="00EE22BF">
        <w:rPr>
          <w:rStyle w:val="FootnoteReference"/>
          <w:szCs w:val="22"/>
        </w:rPr>
        <w:footnoteReference w:id="18"/>
      </w:r>
      <w:r w:rsidR="00DC41A3">
        <w:rPr>
          <w:szCs w:val="22"/>
        </w:rPr>
        <w:t xml:space="preserve">  </w:t>
      </w:r>
      <w:r w:rsidR="002D1C02">
        <w:rPr>
          <w:szCs w:val="22"/>
        </w:rPr>
        <w:t>As currently drafted, the ESL accurately reflects t</w:t>
      </w:r>
      <w:r w:rsidR="00DC41A3">
        <w:rPr>
          <w:szCs w:val="22"/>
        </w:rPr>
        <w:t>he Commission</w:t>
      </w:r>
      <w:r w:rsidR="002D1C02">
        <w:rPr>
          <w:szCs w:val="22"/>
        </w:rPr>
        <w:t>’s</w:t>
      </w:r>
      <w:r w:rsidR="00F3321C">
        <w:rPr>
          <w:szCs w:val="22"/>
        </w:rPr>
        <w:t xml:space="preserve"> </w:t>
      </w:r>
      <w:r w:rsidR="007656B0">
        <w:rPr>
          <w:szCs w:val="22"/>
        </w:rPr>
        <w:t>determin</w:t>
      </w:r>
      <w:r w:rsidR="00816609">
        <w:rPr>
          <w:szCs w:val="22"/>
        </w:rPr>
        <w:t>ation</w:t>
      </w:r>
      <w:r w:rsidR="007656B0">
        <w:rPr>
          <w:szCs w:val="22"/>
        </w:rPr>
        <w:t xml:space="preserve"> </w:t>
      </w:r>
      <w:r w:rsidR="00DC41A3">
        <w:rPr>
          <w:szCs w:val="22"/>
        </w:rPr>
        <w:t>that</w:t>
      </w:r>
      <w:r w:rsidR="003800CD">
        <w:rPr>
          <w:szCs w:val="22"/>
        </w:rPr>
        <w:t xml:space="preserve"> beginning in funding year 2016</w:t>
      </w:r>
      <w:r w:rsidR="001B3E3A">
        <w:rPr>
          <w:szCs w:val="22"/>
        </w:rPr>
        <w:t>, subject to certain additional safeguards,</w:t>
      </w:r>
      <w:r w:rsidR="00DC41A3">
        <w:rPr>
          <w:szCs w:val="22"/>
        </w:rPr>
        <w:t xml:space="preserve"> self</w:t>
      </w:r>
      <w:r w:rsidR="001A219F">
        <w:rPr>
          <w:szCs w:val="22"/>
        </w:rPr>
        <w:t xml:space="preserve">-provisioning </w:t>
      </w:r>
      <w:r w:rsidR="003800CD">
        <w:rPr>
          <w:szCs w:val="22"/>
        </w:rPr>
        <w:t xml:space="preserve">will </w:t>
      </w:r>
      <w:r w:rsidR="001A219F">
        <w:rPr>
          <w:szCs w:val="22"/>
        </w:rPr>
        <w:t>be eligible</w:t>
      </w:r>
      <w:r w:rsidR="00DC41A3">
        <w:rPr>
          <w:szCs w:val="22"/>
        </w:rPr>
        <w:t xml:space="preserve"> </w:t>
      </w:r>
      <w:r w:rsidR="007656B0">
        <w:rPr>
          <w:szCs w:val="22"/>
        </w:rPr>
        <w:t xml:space="preserve">for E-rate support when </w:t>
      </w:r>
      <w:r w:rsidR="00816609">
        <w:rPr>
          <w:szCs w:val="22"/>
        </w:rPr>
        <w:t>it</w:t>
      </w:r>
      <w:r w:rsidR="007656B0">
        <w:rPr>
          <w:szCs w:val="22"/>
        </w:rPr>
        <w:t xml:space="preserve"> is the most cost-effective option</w:t>
      </w:r>
      <w:r w:rsidR="00DC41A3">
        <w:rPr>
          <w:szCs w:val="22"/>
        </w:rPr>
        <w:t>.</w:t>
      </w:r>
      <w:r w:rsidR="00DC41A3">
        <w:rPr>
          <w:rStyle w:val="FootnoteReference"/>
          <w:szCs w:val="22"/>
        </w:rPr>
        <w:footnoteReference w:id="19"/>
      </w:r>
    </w:p>
    <w:p w14:paraId="7CE3F4E3" w14:textId="730122B7" w:rsidR="00CE3299" w:rsidRDefault="004040C4" w:rsidP="00CE3299">
      <w:pPr>
        <w:pStyle w:val="Heading3"/>
      </w:pPr>
      <w:r>
        <w:t>Special Construction</w:t>
      </w:r>
    </w:p>
    <w:p w14:paraId="7186B6A6" w14:textId="60D5FCF9" w:rsidR="00AC710A" w:rsidRDefault="00C54A89" w:rsidP="00AC710A">
      <w:pPr>
        <w:pStyle w:val="ParaNum"/>
        <w:numPr>
          <w:ilvl w:val="0"/>
          <w:numId w:val="13"/>
        </w:numPr>
      </w:pPr>
      <w:r>
        <w:t xml:space="preserve">We </w:t>
      </w:r>
      <w:r w:rsidR="00AC6235">
        <w:t>adopt</w:t>
      </w:r>
      <w:r w:rsidR="00D874C7">
        <w:t>, as proposed Note (3)</w:t>
      </w:r>
      <w:r w:rsidR="00AE0E08">
        <w:t xml:space="preserve"> and with slight modifications</w:t>
      </w:r>
      <w:r w:rsidR="00D874C7">
        <w:t xml:space="preserve">, what we had proposed as </w:t>
      </w:r>
      <w:r w:rsidR="00D92031">
        <w:t>N</w:t>
      </w:r>
      <w:r w:rsidR="005021B8">
        <w:t>ote</w:t>
      </w:r>
      <w:r w:rsidR="001640CF">
        <w:t xml:space="preserve"> (</w:t>
      </w:r>
      <w:r w:rsidR="00205C3C">
        <w:t>2</w:t>
      </w:r>
      <w:r w:rsidR="00DF79FF">
        <w:t>)</w:t>
      </w:r>
      <w:r w:rsidR="004318C2">
        <w:t xml:space="preserve"> in the </w:t>
      </w:r>
      <w:r w:rsidR="004318C2">
        <w:rPr>
          <w:i/>
        </w:rPr>
        <w:t>ESL Public Notice</w:t>
      </w:r>
      <w:r w:rsidR="00767DFA" w:rsidRPr="00767DFA">
        <w:t xml:space="preserve"> </w:t>
      </w:r>
      <w:r w:rsidR="00767DFA">
        <w:t>under the list of eligible Data Transmission Services and Internet Access</w:t>
      </w:r>
      <w:r w:rsidR="00D874C7">
        <w:t>.  Note (3)</w:t>
      </w:r>
      <w:r w:rsidR="00767DFA">
        <w:t xml:space="preserve"> explain</w:t>
      </w:r>
      <w:r w:rsidR="00D874C7">
        <w:t>s</w:t>
      </w:r>
      <w:r w:rsidR="00767DFA">
        <w:t xml:space="preserve"> that the</w:t>
      </w:r>
      <w:r w:rsidR="006C23C7">
        <w:t>re are three</w:t>
      </w:r>
      <w:r w:rsidR="00767DFA">
        <w:t xml:space="preserve"> components of special construction</w:t>
      </w:r>
      <w:r w:rsidR="006C23C7">
        <w:t>:</w:t>
      </w:r>
      <w:r w:rsidR="00767DFA">
        <w:t xml:space="preserve"> </w:t>
      </w:r>
      <w:r w:rsidR="006C23C7">
        <w:t xml:space="preserve">construction of network facilities, </w:t>
      </w:r>
      <w:r w:rsidR="00767DFA">
        <w:t xml:space="preserve">design and engineering, </w:t>
      </w:r>
      <w:r w:rsidR="00EA1EAA">
        <w:t xml:space="preserve">and </w:t>
      </w:r>
      <w:r w:rsidR="00767DFA">
        <w:t>project management.</w:t>
      </w:r>
      <w:r w:rsidR="005021B8">
        <w:t xml:space="preserve"> </w:t>
      </w:r>
      <w:r w:rsidR="003861BF">
        <w:t xml:space="preserve"> </w:t>
      </w:r>
      <w:r w:rsidR="00AC6235">
        <w:t xml:space="preserve">The </w:t>
      </w:r>
      <w:r w:rsidR="00AC6235">
        <w:rPr>
          <w:i/>
        </w:rPr>
        <w:t xml:space="preserve">Second E-rate Modernization Order </w:t>
      </w:r>
      <w:r w:rsidR="00AC6235">
        <w:t xml:space="preserve">made several changes regarding the eligibility of special construction charges and </w:t>
      </w:r>
      <w:r w:rsidR="003D4821">
        <w:t>this note</w:t>
      </w:r>
      <w:r w:rsidR="00AC6235">
        <w:t xml:space="preserve"> is necessary to</w:t>
      </w:r>
      <w:r>
        <w:t xml:space="preserve"> </w:t>
      </w:r>
      <w:r w:rsidR="00A23870">
        <w:t xml:space="preserve">provide guidance to applicants on the eligible </w:t>
      </w:r>
      <w:r w:rsidR="00DD6355">
        <w:t xml:space="preserve">components </w:t>
      </w:r>
      <w:r w:rsidR="00AC6235">
        <w:t xml:space="preserve">of </w:t>
      </w:r>
      <w:r w:rsidR="00A23870">
        <w:t>special construction</w:t>
      </w:r>
      <w:r>
        <w:t>.</w:t>
      </w:r>
      <w:r>
        <w:rPr>
          <w:rStyle w:val="FootnoteReference"/>
        </w:rPr>
        <w:footnoteReference w:id="20"/>
      </w:r>
      <w:r>
        <w:t xml:space="preserve">  </w:t>
      </w:r>
      <w:r w:rsidR="00AC710A">
        <w:t xml:space="preserve">  </w:t>
      </w:r>
    </w:p>
    <w:p w14:paraId="66A39DA7" w14:textId="2EB34D54" w:rsidR="00AE0E08" w:rsidRDefault="00EA2819" w:rsidP="00C23351">
      <w:pPr>
        <w:pStyle w:val="ParaNum"/>
        <w:widowControl/>
        <w:numPr>
          <w:ilvl w:val="0"/>
          <w:numId w:val="13"/>
        </w:numPr>
      </w:pPr>
      <w:r w:rsidRPr="00EA2819">
        <w:t xml:space="preserve"> </w:t>
      </w:r>
      <w:r w:rsidR="00BE3929">
        <w:t xml:space="preserve">The Commission previously </w:t>
      </w:r>
      <w:r w:rsidR="00391584">
        <w:t xml:space="preserve">identified </w:t>
      </w:r>
      <w:r w:rsidR="00BE3929">
        <w:t xml:space="preserve">special construction charges in the </w:t>
      </w:r>
      <w:r w:rsidR="00BE3929" w:rsidRPr="003D7B79">
        <w:rPr>
          <w:i/>
        </w:rPr>
        <w:t xml:space="preserve">Sixth Report and Order </w:t>
      </w:r>
      <w:r w:rsidR="00BE3929">
        <w:t xml:space="preserve">as </w:t>
      </w:r>
      <w:r w:rsidR="000109A7">
        <w:t>“</w:t>
      </w:r>
      <w:r w:rsidR="00BE3929">
        <w:t>includ</w:t>
      </w:r>
      <w:r w:rsidR="000109A7">
        <w:t>[</w:t>
      </w:r>
      <w:r w:rsidR="00BE3929">
        <w:t>ing</w:t>
      </w:r>
      <w:r w:rsidR="000109A7">
        <w:t>]</w:t>
      </w:r>
      <w:r w:rsidR="00BE3929">
        <w:t xml:space="preserve"> design and engineering, project management, digging trenches, and laying fiber.”</w:t>
      </w:r>
      <w:r w:rsidR="00BE3929">
        <w:rPr>
          <w:rStyle w:val="FootnoteReference"/>
        </w:rPr>
        <w:footnoteReference w:id="21"/>
      </w:r>
      <w:r w:rsidR="00BE3929">
        <w:t xml:space="preserve">  </w:t>
      </w:r>
      <w:r w:rsidR="00C54A89">
        <w:t>T</w:t>
      </w:r>
      <w:r w:rsidR="00144C8F">
        <w:t xml:space="preserve">he </w:t>
      </w:r>
      <w:r w:rsidR="00144C8F" w:rsidRPr="003D7B79">
        <w:rPr>
          <w:i/>
        </w:rPr>
        <w:t>ESL Public Notice</w:t>
      </w:r>
      <w:r w:rsidR="00EA5C4C">
        <w:t xml:space="preserve"> </w:t>
      </w:r>
      <w:r w:rsidR="00A90F7E">
        <w:t>p</w:t>
      </w:r>
      <w:r w:rsidR="009E58CD">
        <w:t xml:space="preserve">roposed a </w:t>
      </w:r>
      <w:r w:rsidR="00677115">
        <w:t>description of eligible special construction costs</w:t>
      </w:r>
      <w:r w:rsidR="00154C16">
        <w:t xml:space="preserve"> as “upfront, non-recurring costs of deployment or new or upgraded </w:t>
      </w:r>
      <w:r w:rsidR="00F7584A">
        <w:t xml:space="preserve">facilities, </w:t>
      </w:r>
      <w:r w:rsidR="00EA5C4C">
        <w:t xml:space="preserve">including design and engineering, project management, and </w:t>
      </w:r>
      <w:r w:rsidR="00893908">
        <w:t>construction of network facilities</w:t>
      </w:r>
      <w:r w:rsidR="00372216">
        <w:t>.</w:t>
      </w:r>
      <w:r w:rsidR="00144C8F">
        <w:t>”</w:t>
      </w:r>
      <w:r w:rsidR="00144C8F">
        <w:rPr>
          <w:rStyle w:val="FootnoteReference"/>
        </w:rPr>
        <w:footnoteReference w:id="22"/>
      </w:r>
      <w:r w:rsidR="00144C8F">
        <w:t xml:space="preserve"> </w:t>
      </w:r>
      <w:r w:rsidR="00144C8F" w:rsidRPr="00144C8F">
        <w:t xml:space="preserve"> </w:t>
      </w:r>
      <w:r w:rsidR="00E86F8C">
        <w:t>In response to commenters, we</w:t>
      </w:r>
      <w:r w:rsidR="00BA3629">
        <w:t xml:space="preserve"> </w:t>
      </w:r>
      <w:r w:rsidR="0056581E">
        <w:t>further clarif</w:t>
      </w:r>
      <w:r w:rsidR="00694B64">
        <w:t>y</w:t>
      </w:r>
      <w:r w:rsidR="00575563">
        <w:t xml:space="preserve"> </w:t>
      </w:r>
      <w:r w:rsidR="00B766C0">
        <w:t>that eligible special construction costs</w:t>
      </w:r>
      <w:r w:rsidR="001564AC">
        <w:t xml:space="preserve"> are limited to these three components</w:t>
      </w:r>
      <w:r w:rsidR="00AE0E08">
        <w:t xml:space="preserve"> by deleting the word “including” in that note</w:t>
      </w:r>
      <w:r w:rsidR="00B766C0">
        <w:t>.</w:t>
      </w:r>
      <w:r w:rsidR="00B766C0">
        <w:rPr>
          <w:rStyle w:val="FootnoteReference"/>
        </w:rPr>
        <w:footnoteReference w:id="23"/>
      </w:r>
      <w:r w:rsidR="0056581E">
        <w:t xml:space="preserve"> </w:t>
      </w:r>
      <w:r w:rsidR="00B766C0">
        <w:t xml:space="preserve"> </w:t>
      </w:r>
      <w:r w:rsidR="00694B64">
        <w:t>We decline to adopt the request made by some commenters that we classify all eligible upfront non-recurring costs,</w:t>
      </w:r>
      <w:r w:rsidR="00694B64" w:rsidRPr="003D7B79">
        <w:rPr>
          <w:i/>
        </w:rPr>
        <w:t xml:space="preserve"> </w:t>
      </w:r>
      <w:r w:rsidR="00694B64">
        <w:t xml:space="preserve">such as modulating electronics and other </w:t>
      </w:r>
      <w:r w:rsidR="00694B64" w:rsidRPr="003D7B79">
        <w:rPr>
          <w:bCs/>
          <w:szCs w:val="22"/>
        </w:rPr>
        <w:t xml:space="preserve">equipment necessary to make a </w:t>
      </w:r>
      <w:r w:rsidR="00694B64" w:rsidRPr="00FA5312">
        <w:rPr>
          <w:bCs/>
          <w:szCs w:val="22"/>
        </w:rPr>
        <w:t>Category One broadband service functional</w:t>
      </w:r>
      <w:r w:rsidR="00694B64" w:rsidRPr="00073F14">
        <w:rPr>
          <w:bCs/>
          <w:szCs w:val="22"/>
        </w:rPr>
        <w:t xml:space="preserve"> (collectively, “Network Equipment”)</w:t>
      </w:r>
      <w:r w:rsidR="00694B64">
        <w:rPr>
          <w:rStyle w:val="FootnoteReference"/>
          <w:bCs/>
          <w:szCs w:val="22"/>
        </w:rPr>
        <w:footnoteReference w:id="24"/>
      </w:r>
      <w:r w:rsidR="00694B64">
        <w:t xml:space="preserve"> and upfront payments for dark fiber indefeasible rights of use (IRUs),</w:t>
      </w:r>
      <w:r w:rsidR="00694B64">
        <w:rPr>
          <w:rStyle w:val="FootnoteReference"/>
        </w:rPr>
        <w:footnoteReference w:id="25"/>
      </w:r>
      <w:r w:rsidR="00694B64">
        <w:t xml:space="preserve"> as special construction.</w:t>
      </w:r>
      <w:r w:rsidR="00694B64">
        <w:rPr>
          <w:rStyle w:val="FootnoteReference"/>
        </w:rPr>
        <w:footnoteReference w:id="26"/>
      </w:r>
      <w:r w:rsidR="00694B64">
        <w:t xml:space="preserve">  We find that classifying all eligible upfront costs as special construction would be unduly broad</w:t>
      </w:r>
      <w:r w:rsidR="00932FC3">
        <w:t xml:space="preserve"> and</w:t>
      </w:r>
      <w:r w:rsidR="00AE0E08">
        <w:t xml:space="preserve"> inconsistent with Commission precedent.</w:t>
      </w:r>
      <w:r w:rsidR="00AE0E08">
        <w:rPr>
          <w:rStyle w:val="FootnoteReference"/>
        </w:rPr>
        <w:footnoteReference w:id="27"/>
      </w:r>
      <w:r w:rsidR="00AE0E08" w:rsidRPr="00AE0E08">
        <w:t xml:space="preserve"> </w:t>
      </w:r>
      <w:r w:rsidR="00AE0E08">
        <w:t xml:space="preserve"> </w:t>
      </w:r>
      <w:r w:rsidR="00932FC3">
        <w:t xml:space="preserve">We instead </w:t>
      </w:r>
      <w:r w:rsidR="00DE0D64">
        <w:t xml:space="preserve">limit </w:t>
      </w:r>
      <w:r w:rsidR="00932FC3">
        <w:t>special construction support to the one-time costs of physically deploying new or upgraded network facilities and the services required to complete that deployment, i.e., construction of network facilities, design and engineering, and project management</w:t>
      </w:r>
      <w:r w:rsidR="00341785">
        <w:t xml:space="preserve">.  </w:t>
      </w:r>
      <w:r w:rsidR="00AE0E08">
        <w:t xml:space="preserve">Other eligible large upfront or non-recurring costs will be considered as separate Category One costs.  </w:t>
      </w:r>
      <w:r w:rsidR="00943CFE">
        <w:t>Limiting special construction costs to the three components identified in</w:t>
      </w:r>
      <w:r w:rsidR="00C54A89">
        <w:t xml:space="preserve"> </w:t>
      </w:r>
      <w:r w:rsidR="00AE0E08">
        <w:t xml:space="preserve">Note (3) will </w:t>
      </w:r>
      <w:r w:rsidR="00C54A89">
        <w:t xml:space="preserve">ensure that applicants </w:t>
      </w:r>
      <w:r w:rsidR="00391584">
        <w:t xml:space="preserve">will </w:t>
      </w:r>
      <w:r w:rsidR="00C54A89">
        <w:t xml:space="preserve">receive support for </w:t>
      </w:r>
      <w:r w:rsidR="002206F5">
        <w:t xml:space="preserve">the </w:t>
      </w:r>
      <w:r w:rsidR="00C54A89">
        <w:t xml:space="preserve">costs necessary to construct </w:t>
      </w:r>
      <w:r w:rsidR="002206F5">
        <w:t xml:space="preserve">the network facilities </w:t>
      </w:r>
      <w:r w:rsidR="002D2BBA">
        <w:t>required</w:t>
      </w:r>
      <w:r w:rsidR="002206F5">
        <w:t xml:space="preserve"> to meet the Commission’s connectivity targets adopted in the </w:t>
      </w:r>
      <w:r w:rsidR="002206F5" w:rsidRPr="003D7B79">
        <w:rPr>
          <w:i/>
        </w:rPr>
        <w:t>E-rate Modernization Order</w:t>
      </w:r>
      <w:r w:rsidR="002D2BBA" w:rsidRPr="00DC4C4F">
        <w:rPr>
          <w:rStyle w:val="FootnoteReference"/>
        </w:rPr>
        <w:footnoteReference w:id="28"/>
      </w:r>
      <w:r w:rsidR="00C54A89">
        <w:t xml:space="preserve"> and </w:t>
      </w:r>
      <w:r w:rsidR="00214EFD">
        <w:t>will further the Commission’s goal of</w:t>
      </w:r>
      <w:r w:rsidR="002D2BBA">
        <w:t xml:space="preserve"> clos</w:t>
      </w:r>
      <w:r w:rsidR="00214EFD">
        <w:t>ing</w:t>
      </w:r>
      <w:r w:rsidR="002D2BBA">
        <w:t xml:space="preserve"> the rural connectivity gap as described in the </w:t>
      </w:r>
      <w:r w:rsidR="002D2BBA" w:rsidRPr="003D7B79">
        <w:rPr>
          <w:i/>
        </w:rPr>
        <w:t>Second E-rate Modernization Order</w:t>
      </w:r>
      <w:r w:rsidR="002D2BBA">
        <w:t>.</w:t>
      </w:r>
      <w:r w:rsidR="00C54A89">
        <w:rPr>
          <w:rStyle w:val="FootnoteReference"/>
        </w:rPr>
        <w:footnoteReference w:id="29"/>
      </w:r>
      <w:r w:rsidR="00FC20E0">
        <w:t xml:space="preserve">  </w:t>
      </w:r>
      <w:r w:rsidR="008E1D35">
        <w:t xml:space="preserve">  </w:t>
      </w:r>
    </w:p>
    <w:p w14:paraId="51E08C56" w14:textId="1243CE99" w:rsidR="00E613CC" w:rsidRPr="00144C8F" w:rsidRDefault="00E613CC" w:rsidP="005F092C">
      <w:pPr>
        <w:pStyle w:val="Heading3"/>
      </w:pPr>
      <w:r w:rsidRPr="00144C8F">
        <w:t>Category One Equipment and Maintenance and Operation Services</w:t>
      </w:r>
    </w:p>
    <w:p w14:paraId="2E749749" w14:textId="6F57DC87" w:rsidR="005E7011" w:rsidRPr="00DC4C4F" w:rsidRDefault="00610A7E" w:rsidP="00407514">
      <w:pPr>
        <w:pStyle w:val="ParaNum"/>
        <w:numPr>
          <w:ilvl w:val="0"/>
          <w:numId w:val="13"/>
        </w:numPr>
      </w:pPr>
      <w:r>
        <w:t>We adopt</w:t>
      </w:r>
      <w:r w:rsidR="0062250A">
        <w:t>, with minor revisions</w:t>
      </w:r>
      <w:r w:rsidR="00587E00">
        <w:t>,</w:t>
      </w:r>
      <w:r w:rsidR="0062250A">
        <w:t xml:space="preserve"> </w:t>
      </w:r>
      <w:r w:rsidR="005C4AFE">
        <w:t xml:space="preserve">the </w:t>
      </w:r>
      <w:r w:rsidR="009E58CD">
        <w:t xml:space="preserve">proposed </w:t>
      </w:r>
      <w:r w:rsidR="00632D82">
        <w:t>expla</w:t>
      </w:r>
      <w:r>
        <w:t>nation</w:t>
      </w:r>
      <w:r w:rsidR="009E58CD">
        <w:t xml:space="preserve"> at Note </w:t>
      </w:r>
      <w:r w:rsidR="00772588">
        <w:t>(</w:t>
      </w:r>
      <w:r w:rsidR="009E58CD">
        <w:t>1</w:t>
      </w:r>
      <w:r w:rsidR="00772588">
        <w:t>)</w:t>
      </w:r>
      <w:r w:rsidR="00632D82">
        <w:t xml:space="preserve"> </w:t>
      </w:r>
      <w:r w:rsidR="00A16B4E">
        <w:t xml:space="preserve">in the </w:t>
      </w:r>
      <w:r w:rsidR="00A16B4E">
        <w:rPr>
          <w:i/>
        </w:rPr>
        <w:t>ESL Public Notice</w:t>
      </w:r>
      <w:r w:rsidR="00A16B4E">
        <w:t xml:space="preserve"> </w:t>
      </w:r>
      <w:r w:rsidR="00632D82">
        <w:t xml:space="preserve">that </w:t>
      </w:r>
      <w:r>
        <w:t xml:space="preserve">the </w:t>
      </w:r>
      <w:r w:rsidR="00632D82">
        <w:t xml:space="preserve">eligible costs for </w:t>
      </w:r>
      <w:r w:rsidR="007777BC">
        <w:t xml:space="preserve">lit </w:t>
      </w:r>
      <w:r w:rsidR="00632D82">
        <w:t>fiber</w:t>
      </w:r>
      <w:r w:rsidR="007777BC">
        <w:t>, dark fiber, and self-provisioned broadband network</w:t>
      </w:r>
      <w:r w:rsidR="007277A6">
        <w:t>s</w:t>
      </w:r>
      <w:r w:rsidR="00632D82">
        <w:t xml:space="preserve"> </w:t>
      </w:r>
      <w:r w:rsidR="007777BC">
        <w:t>include</w:t>
      </w:r>
      <w:r>
        <w:t xml:space="preserve"> the </w:t>
      </w:r>
      <w:r w:rsidR="00632D82">
        <w:t>monthly charges, special construction,</w:t>
      </w:r>
      <w:r w:rsidR="004C3090">
        <w:t xml:space="preserve"> installation and activation,</w:t>
      </w:r>
      <w:r w:rsidR="00632D82">
        <w:t xml:space="preserve"> </w:t>
      </w:r>
      <w:r w:rsidR="000958DE">
        <w:t>Network Equipment</w:t>
      </w:r>
      <w:r w:rsidR="00587502">
        <w:t>,</w:t>
      </w:r>
      <w:r w:rsidR="00FF4F74">
        <w:rPr>
          <w:rStyle w:val="FootnoteReference"/>
        </w:rPr>
        <w:footnoteReference w:id="30"/>
      </w:r>
      <w:r w:rsidR="00587502">
        <w:t xml:space="preserve"> and maintenance and operation charges</w:t>
      </w:r>
      <w:r w:rsidR="00632D82">
        <w:t>.</w:t>
      </w:r>
      <w:r w:rsidR="00632D82">
        <w:rPr>
          <w:rStyle w:val="FootnoteReference"/>
        </w:rPr>
        <w:footnoteReference w:id="31"/>
      </w:r>
      <w:r w:rsidR="00632D82">
        <w:t xml:space="preserve">  </w:t>
      </w:r>
      <w:r w:rsidR="004350CA" w:rsidRPr="005C4AFE">
        <w:t>T</w:t>
      </w:r>
      <w:r w:rsidR="004B2C5E">
        <w:t>his description of eligible costs r</w:t>
      </w:r>
      <w:r w:rsidR="00FF4F74">
        <w:t>ecognizes</w:t>
      </w:r>
      <w:r w:rsidR="004B2C5E">
        <w:t xml:space="preserve"> that </w:t>
      </w:r>
      <w:r w:rsidR="004C73F9">
        <w:t>self-</w:t>
      </w:r>
      <w:r w:rsidR="00A46E18">
        <w:t>provisioned broadband networks</w:t>
      </w:r>
      <w:r w:rsidR="00F515EB">
        <w:t xml:space="preserve"> and dark fiber</w:t>
      </w:r>
      <w:r w:rsidR="003E0F51">
        <w:t xml:space="preserve"> services</w:t>
      </w:r>
      <w:r w:rsidR="00D33A6E">
        <w:rPr>
          <w:i/>
        </w:rPr>
        <w:t xml:space="preserve"> </w:t>
      </w:r>
      <w:r w:rsidR="0065260E">
        <w:t>require</w:t>
      </w:r>
      <w:r w:rsidR="00D33A6E">
        <w:t xml:space="preserve"> </w:t>
      </w:r>
      <w:r w:rsidR="003E0F51">
        <w:t xml:space="preserve">certain </w:t>
      </w:r>
      <w:r w:rsidR="006F559D">
        <w:t>equipment and services that are typically included as part of the cost of a leased</w:t>
      </w:r>
      <w:r w:rsidR="0003675D">
        <w:t xml:space="preserve"> lit fiber service</w:t>
      </w:r>
      <w:r w:rsidR="003E0F51">
        <w:t>.</w:t>
      </w:r>
      <w:r w:rsidR="00A462BA">
        <w:rPr>
          <w:rStyle w:val="FootnoteReference"/>
        </w:rPr>
        <w:footnoteReference w:id="32"/>
      </w:r>
      <w:r w:rsidR="003E0F51">
        <w:t xml:space="preserve">  </w:t>
      </w:r>
      <w:r w:rsidR="003E0F51" w:rsidRPr="002879F5">
        <w:t xml:space="preserve">Therefore, </w:t>
      </w:r>
      <w:r w:rsidR="00FF4F74">
        <w:t>beginning in funding year 2016 such</w:t>
      </w:r>
      <w:r w:rsidR="003E0F51" w:rsidRPr="002879F5">
        <w:t xml:space="preserve"> services and equipment</w:t>
      </w:r>
      <w:r w:rsidR="006A50EC" w:rsidRPr="002879F5">
        <w:t xml:space="preserve"> </w:t>
      </w:r>
      <w:r w:rsidR="00FF4F74">
        <w:t>will</w:t>
      </w:r>
      <w:r w:rsidR="00F97A6F" w:rsidRPr="002879F5">
        <w:t xml:space="preserve"> </w:t>
      </w:r>
      <w:r w:rsidR="000D4139" w:rsidRPr="002879F5">
        <w:t xml:space="preserve">be </w:t>
      </w:r>
      <w:r w:rsidR="000D4139" w:rsidRPr="00DC4C4F">
        <w:t xml:space="preserve">eligible for Category One </w:t>
      </w:r>
      <w:r w:rsidR="006A50EC" w:rsidRPr="00DC4C4F">
        <w:t>support</w:t>
      </w:r>
      <w:r w:rsidR="00474516" w:rsidRPr="00DC4C4F">
        <w:t xml:space="preserve"> when </w:t>
      </w:r>
      <w:r w:rsidR="0016657F" w:rsidRPr="00DC4C4F">
        <w:t>pu</w:t>
      </w:r>
      <w:r w:rsidR="0003675D" w:rsidRPr="00DC4C4F">
        <w:t xml:space="preserve">rchased by an E-rate applicant that owns a network or </w:t>
      </w:r>
      <w:r w:rsidR="00B07B85" w:rsidRPr="00DC4C4F">
        <w:t>lights dark fiber</w:t>
      </w:r>
      <w:r w:rsidR="006A50EC" w:rsidRPr="00DC4C4F">
        <w:t>.</w:t>
      </w:r>
      <w:r w:rsidR="00D64F46" w:rsidRPr="00DC4C4F">
        <w:rPr>
          <w:rStyle w:val="FootnoteReference"/>
        </w:rPr>
        <w:footnoteReference w:id="33"/>
      </w:r>
    </w:p>
    <w:p w14:paraId="49DC8F67" w14:textId="7497EE31" w:rsidR="000A3DD7" w:rsidRDefault="009E58CD" w:rsidP="00407514">
      <w:pPr>
        <w:pStyle w:val="ParaNum"/>
        <w:numPr>
          <w:ilvl w:val="0"/>
          <w:numId w:val="13"/>
        </w:numPr>
      </w:pPr>
      <w:r>
        <w:t>In response to request</w:t>
      </w:r>
      <w:r w:rsidR="00E40ADB">
        <w:t>s</w:t>
      </w:r>
      <w:r>
        <w:t xml:space="preserve"> from commenters, we add a sentence to Note </w:t>
      </w:r>
      <w:r w:rsidR="00772588" w:rsidRPr="14B7B4AE">
        <w:t>(</w:t>
      </w:r>
      <w:r>
        <w:t>1</w:t>
      </w:r>
      <w:r w:rsidR="00772588" w:rsidRPr="14B7B4AE">
        <w:t>)</w:t>
      </w:r>
      <w:r>
        <w:t xml:space="preserve"> to</w:t>
      </w:r>
      <w:r w:rsidR="00772588">
        <w:t xml:space="preserve"> clarify</w:t>
      </w:r>
      <w:r w:rsidRPr="14B7B4AE">
        <w:t xml:space="preserve"> </w:t>
      </w:r>
      <w:r w:rsidR="002419FB">
        <w:t xml:space="preserve">that </w:t>
      </w:r>
      <w:r w:rsidR="00F135F8">
        <w:t>Network E</w:t>
      </w:r>
      <w:r w:rsidR="002419FB">
        <w:t>quipment</w:t>
      </w:r>
      <w:r w:rsidR="007277A6">
        <w:t xml:space="preserve"> and</w:t>
      </w:r>
      <w:r w:rsidR="002419FB">
        <w:t xml:space="preserve"> maintenance and operation</w:t>
      </w:r>
      <w:r w:rsidR="00A22639" w:rsidRPr="14B7B4AE">
        <w:t xml:space="preserve"> </w:t>
      </w:r>
      <w:r w:rsidR="002419FB">
        <w:t xml:space="preserve">are </w:t>
      </w:r>
      <w:r w:rsidR="00123C74">
        <w:t xml:space="preserve">eligible </w:t>
      </w:r>
      <w:r w:rsidR="003E0F51">
        <w:t xml:space="preserve">under Category One </w:t>
      </w:r>
      <w:r w:rsidR="008C2408">
        <w:t>when purchased for existing</w:t>
      </w:r>
      <w:r w:rsidR="003E0F51">
        <w:t xml:space="preserve"> self-provisioned networks and </w:t>
      </w:r>
      <w:r w:rsidR="00123C74">
        <w:t xml:space="preserve">existing </w:t>
      </w:r>
      <w:r w:rsidR="00F97A6F">
        <w:t xml:space="preserve">leased </w:t>
      </w:r>
      <w:r w:rsidR="00123C74">
        <w:t xml:space="preserve">dark fiber </w:t>
      </w:r>
      <w:r w:rsidR="00F97A6F">
        <w:t>that is lit by an E-rate applicant</w:t>
      </w:r>
      <w:r w:rsidR="002F0ABD" w:rsidRPr="14B7B4AE">
        <w:t>.</w:t>
      </w:r>
      <w:r w:rsidR="00A47A01">
        <w:rPr>
          <w:rStyle w:val="FootnoteReference"/>
        </w:rPr>
        <w:footnoteReference w:id="34"/>
      </w:r>
      <w:r w:rsidR="002C0F25" w:rsidRPr="14B7B4AE">
        <w:t xml:space="preserve">  </w:t>
      </w:r>
      <w:r w:rsidR="00CA00E7">
        <w:t xml:space="preserve">This clarification reflects the intent of the Commission to </w:t>
      </w:r>
      <w:r w:rsidR="00581167">
        <w:t>expand the fiber options available to applicants and encourage increased competition by fully equalizing</w:t>
      </w:r>
      <w:r w:rsidR="00681B76">
        <w:t xml:space="preserve"> the E-rate program’s treatment of lit</w:t>
      </w:r>
      <w:r w:rsidR="00280E3C" w:rsidRPr="14B7B4AE">
        <w:t xml:space="preserve"> </w:t>
      </w:r>
      <w:r w:rsidR="003628C0">
        <w:t xml:space="preserve">and </w:t>
      </w:r>
      <w:r w:rsidR="00681B76">
        <w:t>dark</w:t>
      </w:r>
      <w:r w:rsidR="00982194">
        <w:t xml:space="preserve"> fiber</w:t>
      </w:r>
      <w:r w:rsidR="00681B76">
        <w:t xml:space="preserve"> and </w:t>
      </w:r>
      <w:r w:rsidR="003628C0">
        <w:t xml:space="preserve">by supporting </w:t>
      </w:r>
      <w:r w:rsidR="00681B76">
        <w:t xml:space="preserve">self-provisioned </w:t>
      </w:r>
      <w:r w:rsidR="00280E3C">
        <w:t xml:space="preserve">broadband </w:t>
      </w:r>
      <w:r w:rsidR="00681B76">
        <w:t>networks</w:t>
      </w:r>
      <w:r w:rsidR="00581167" w:rsidRPr="14B7B4AE">
        <w:t>.</w:t>
      </w:r>
      <w:r w:rsidR="00582E72">
        <w:rPr>
          <w:rStyle w:val="FootnoteReference"/>
        </w:rPr>
        <w:footnoteReference w:id="35"/>
      </w:r>
      <w:r w:rsidR="75D5FB09" w:rsidRPr="14B7B4AE">
        <w:t xml:space="preserve"> </w:t>
      </w:r>
      <w:r w:rsidR="00581167" w:rsidRPr="14B7B4AE">
        <w:t xml:space="preserve"> </w:t>
      </w:r>
      <w:r w:rsidR="00E95CA8">
        <w:t>Ap</w:t>
      </w:r>
      <w:r w:rsidR="0071313F">
        <w:t xml:space="preserve">plicants </w:t>
      </w:r>
      <w:r w:rsidR="004705A5">
        <w:t xml:space="preserve">that currently own a self-provisioned broadband network or lease dark fiber may </w:t>
      </w:r>
      <w:r w:rsidR="00DE6343">
        <w:t>apply for</w:t>
      </w:r>
      <w:r w:rsidR="004705A5">
        <w:t xml:space="preserve"> Category One support for new modulating electronics and other equipment </w:t>
      </w:r>
      <w:r w:rsidR="006014B9">
        <w:t>necessary to make the broadband service functional</w:t>
      </w:r>
      <w:r w:rsidR="00B2708C">
        <w:t xml:space="preserve"> as well as for maintenance and operatin</w:t>
      </w:r>
      <w:r w:rsidR="003D7B79">
        <w:t>g</w:t>
      </w:r>
      <w:r w:rsidR="00B2708C">
        <w:t xml:space="preserve"> costs of those existing n</w:t>
      </w:r>
      <w:r w:rsidR="00C221E3">
        <w:t>etworks</w:t>
      </w:r>
      <w:r w:rsidR="00157394" w:rsidRPr="14B7B4AE">
        <w:t xml:space="preserve">. </w:t>
      </w:r>
      <w:r w:rsidR="001768EE" w:rsidRPr="14B7B4AE">
        <w:t xml:space="preserve"> </w:t>
      </w:r>
      <w:r w:rsidR="0066391A">
        <w:t>For existing dark fiber or self-provisioned networks, a</w:t>
      </w:r>
      <w:r w:rsidR="00157394">
        <w:t xml:space="preserve">pplicants will not be required to </w:t>
      </w:r>
      <w:r w:rsidR="003D7B79">
        <w:t>seek new bids</w:t>
      </w:r>
      <w:r w:rsidR="00157394" w:rsidRPr="14B7B4AE">
        <w:t xml:space="preserve"> </w:t>
      </w:r>
      <w:r w:rsidR="0066391A">
        <w:t xml:space="preserve">for a lit fiber service </w:t>
      </w:r>
      <w:r w:rsidR="001D078B">
        <w:t xml:space="preserve">in order to receive funding </w:t>
      </w:r>
      <w:r w:rsidR="0066391A">
        <w:t>to upgrade or refresh their Network Equipment</w:t>
      </w:r>
      <w:r w:rsidR="00681B76">
        <w:t xml:space="preserve"> or </w:t>
      </w:r>
      <w:r w:rsidR="0066391A">
        <w:t xml:space="preserve">to re-contract for </w:t>
      </w:r>
      <w:r w:rsidR="00EB6BF0">
        <w:t>maintenance and operation contracts.</w:t>
      </w:r>
      <w:r w:rsidR="000E2387" w:rsidRPr="14B7B4AE">
        <w:t xml:space="preserve">  </w:t>
      </w:r>
      <w:r w:rsidR="0066391A">
        <w:t xml:space="preserve">In addition, we clarify that </w:t>
      </w:r>
      <w:r w:rsidR="005144EE">
        <w:t xml:space="preserve">one-time </w:t>
      </w:r>
      <w:r w:rsidR="003E0F51">
        <w:t>c</w:t>
      </w:r>
      <w:r w:rsidR="000E2387">
        <w:t>osts that are part of special construction, specifically design and engineering and project management</w:t>
      </w:r>
      <w:r w:rsidR="00741104">
        <w:t xml:space="preserve">, are only E-rate eligible </w:t>
      </w:r>
      <w:r w:rsidR="0010449F">
        <w:t xml:space="preserve">as part of </w:t>
      </w:r>
      <w:r w:rsidR="00DE0D64">
        <w:t xml:space="preserve">a </w:t>
      </w:r>
      <w:r w:rsidR="0010449F">
        <w:t>special construction funding</w:t>
      </w:r>
      <w:r w:rsidR="0066391A">
        <w:t xml:space="preserve"> request that includes the costs of constructing network facilities</w:t>
      </w:r>
      <w:r w:rsidR="0010449F" w:rsidRPr="14B7B4AE">
        <w:t>.</w:t>
      </w:r>
      <w:r w:rsidR="007277A6">
        <w:rPr>
          <w:rStyle w:val="FootnoteReference"/>
        </w:rPr>
        <w:footnoteReference w:id="36"/>
      </w:r>
      <w:r w:rsidR="00EB6BF0" w:rsidRPr="14B7B4AE">
        <w:t xml:space="preserve">  </w:t>
      </w:r>
    </w:p>
    <w:p w14:paraId="2D7651FD" w14:textId="61C09DBB" w:rsidR="00A1782B" w:rsidRPr="00A1782B" w:rsidRDefault="00772588" w:rsidP="00A1782B">
      <w:pPr>
        <w:pStyle w:val="ParaNum"/>
        <w:numPr>
          <w:ilvl w:val="0"/>
          <w:numId w:val="13"/>
        </w:numPr>
      </w:pPr>
      <w:r>
        <w:t>We d</w:t>
      </w:r>
      <w:r w:rsidR="00B07324">
        <w:t>e</w:t>
      </w:r>
      <w:r>
        <w:t>cline the request made by s</w:t>
      </w:r>
      <w:r w:rsidR="00186092" w:rsidRPr="00A1782B">
        <w:t>ome commenters that</w:t>
      </w:r>
      <w:r w:rsidR="001768EE">
        <w:t xml:space="preserve"> the ESL </w:t>
      </w:r>
      <w:r w:rsidR="00DD5941">
        <w:t>identify specific</w:t>
      </w:r>
      <w:r w:rsidR="005653B9" w:rsidRPr="00A1782B">
        <w:t xml:space="preserve"> </w:t>
      </w:r>
      <w:r w:rsidR="004C275D">
        <w:t>Network E</w:t>
      </w:r>
      <w:r w:rsidR="00781B66">
        <w:t>quipment</w:t>
      </w:r>
      <w:r w:rsidR="001768EE">
        <w:t xml:space="preserve"> </w:t>
      </w:r>
      <w:r w:rsidR="00781B66">
        <w:t xml:space="preserve">and Category One </w:t>
      </w:r>
      <w:r w:rsidR="005653B9" w:rsidRPr="00A1782B">
        <w:t>maintenance an</w:t>
      </w:r>
      <w:r w:rsidR="002A09DB" w:rsidRPr="00A1782B">
        <w:t>d operation services</w:t>
      </w:r>
      <w:r w:rsidR="001768EE">
        <w:t xml:space="preserve"> eligible for E-rate support</w:t>
      </w:r>
      <w:r w:rsidR="00326579">
        <w:t>.</w:t>
      </w:r>
      <w:r w:rsidR="00B06A94" w:rsidRPr="00A1782B">
        <w:rPr>
          <w:rStyle w:val="FootnoteReference"/>
        </w:rPr>
        <w:footnoteReference w:id="37"/>
      </w:r>
      <w:r w:rsidR="00B456E4" w:rsidRPr="00A1782B">
        <w:t xml:space="preserve"> </w:t>
      </w:r>
      <w:r w:rsidR="00326579">
        <w:t xml:space="preserve"> </w:t>
      </w:r>
      <w:r w:rsidR="00AA1EB8">
        <w:t>C</w:t>
      </w:r>
      <w:r w:rsidR="00CD7530" w:rsidRPr="00A1782B">
        <w:t>ommenter</w:t>
      </w:r>
      <w:r w:rsidR="00AA1EB8">
        <w:t>s</w:t>
      </w:r>
      <w:r w:rsidR="00CD7530" w:rsidRPr="00A1782B">
        <w:t xml:space="preserve"> </w:t>
      </w:r>
      <w:r w:rsidR="004016B2">
        <w:t xml:space="preserve">provide </w:t>
      </w:r>
      <w:r w:rsidR="00AA1EB8">
        <w:t xml:space="preserve">several examples of </w:t>
      </w:r>
      <w:r w:rsidR="008A14A4">
        <w:t>N</w:t>
      </w:r>
      <w:r w:rsidR="00AA1EB8">
        <w:t xml:space="preserve">etwork </w:t>
      </w:r>
      <w:r w:rsidR="008A14A4">
        <w:t>E</w:t>
      </w:r>
      <w:r w:rsidR="00AA1EB8">
        <w:t xml:space="preserve">quipment </w:t>
      </w:r>
      <w:r w:rsidR="00AA528D">
        <w:t xml:space="preserve">including fiber optic transceivers, network switches, network routers, and other modulating and routing electronics </w:t>
      </w:r>
      <w:r w:rsidR="00797C8D">
        <w:t>that</w:t>
      </w:r>
      <w:r w:rsidR="00AA1EB8">
        <w:t xml:space="preserve"> </w:t>
      </w:r>
      <w:r w:rsidR="00AA528D">
        <w:t>are all examples of “</w:t>
      </w:r>
      <w:r w:rsidR="00AA528D" w:rsidRPr="00582E72">
        <w:t>equipment necessary to make a Category One broadband service functional</w:t>
      </w:r>
      <w:r w:rsidR="00F5717B" w:rsidRPr="00582E72">
        <w:t>.</w:t>
      </w:r>
      <w:r w:rsidR="00AA528D">
        <w:t>”</w:t>
      </w:r>
      <w:r w:rsidR="001768EE">
        <w:rPr>
          <w:rStyle w:val="FootnoteReference"/>
        </w:rPr>
        <w:footnoteReference w:id="38"/>
      </w:r>
      <w:r w:rsidR="00906596" w:rsidDel="00906596">
        <w:rPr>
          <w:rStyle w:val="FootnoteReference"/>
        </w:rPr>
        <w:t xml:space="preserve"> </w:t>
      </w:r>
      <w:r w:rsidR="008C74B8">
        <w:t xml:space="preserve"> </w:t>
      </w:r>
      <w:r w:rsidR="00797C8D">
        <w:t>Likewise, we agree that m</w:t>
      </w:r>
      <w:r w:rsidR="008C74B8">
        <w:t>aintenance</w:t>
      </w:r>
      <w:r w:rsidR="008B2655">
        <w:t xml:space="preserve"> and operations services identified by commenters, including </w:t>
      </w:r>
      <w:r w:rsidR="00E95D3A">
        <w:t xml:space="preserve">scheduled and routine </w:t>
      </w:r>
      <w:r w:rsidR="00E95D3A" w:rsidRPr="00D22837">
        <w:t xml:space="preserve">maintenance, emergency repairs, </w:t>
      </w:r>
      <w:r w:rsidR="009F5783" w:rsidRPr="00D22837">
        <w:t xml:space="preserve">relocates, </w:t>
      </w:r>
      <w:r w:rsidR="00E95D3A" w:rsidRPr="00D22837">
        <w:t xml:space="preserve">and </w:t>
      </w:r>
      <w:r w:rsidR="009F5783" w:rsidRPr="00D22837">
        <w:t>operation of network services</w:t>
      </w:r>
      <w:r w:rsidR="008B2655" w:rsidRPr="00D22837">
        <w:t xml:space="preserve">, are also examples of </w:t>
      </w:r>
      <w:r w:rsidR="008974A1" w:rsidRPr="00D22837">
        <w:t>eligible costs.</w:t>
      </w:r>
      <w:r w:rsidR="00326579" w:rsidRPr="00D22837">
        <w:rPr>
          <w:rStyle w:val="FootnoteReference"/>
        </w:rPr>
        <w:footnoteReference w:id="39"/>
      </w:r>
      <w:r w:rsidR="00C65878" w:rsidRPr="00D22837">
        <w:t xml:space="preserve">  However,</w:t>
      </w:r>
      <w:r w:rsidR="00797C8D">
        <w:t xml:space="preserve"> </w:t>
      </w:r>
      <w:r w:rsidR="00C65878" w:rsidRPr="00D22837">
        <w:t>these</w:t>
      </w:r>
      <w:r w:rsidR="00797C8D">
        <w:t xml:space="preserve"> lists are not exhaustive, and we decline at this time to offer a list that could be unnecessarily limiting</w:t>
      </w:r>
      <w:r>
        <w:t>.</w:t>
      </w:r>
      <w:r w:rsidR="0059323C" w:rsidRPr="00D22837">
        <w:t xml:space="preserve">  Applicants that self-provision broadband networks or lease dark fiber should apply for E-rate funding for the Network Equipment and maintenance and operation services necessary to provide high-speed broadband capabilities.</w:t>
      </w:r>
      <w:r w:rsidR="0059323C">
        <w:t xml:space="preserve">  </w:t>
      </w:r>
    </w:p>
    <w:p w14:paraId="2F341C25" w14:textId="6C0C2054" w:rsidR="00E613CC" w:rsidRDefault="00145BC9" w:rsidP="00407514">
      <w:pPr>
        <w:pStyle w:val="ParaNum"/>
        <w:numPr>
          <w:ilvl w:val="0"/>
          <w:numId w:val="13"/>
        </w:numPr>
      </w:pPr>
      <w:r>
        <w:t xml:space="preserve">We remind all applicants that </w:t>
      </w:r>
      <w:r w:rsidR="00954D12">
        <w:t>a</w:t>
      </w:r>
      <w:r w:rsidR="00AC49A4">
        <w:t>ll E-rate eligible services and equipment must be competitively bid and applicants are required to choose the most cost</w:t>
      </w:r>
      <w:r w:rsidR="001844B9">
        <w:t>-</w:t>
      </w:r>
      <w:r w:rsidR="00AC49A4">
        <w:t>effective option, using price as the primary factor.</w:t>
      </w:r>
      <w:r w:rsidR="00862CBF">
        <w:rPr>
          <w:rStyle w:val="FootnoteReference"/>
        </w:rPr>
        <w:footnoteReference w:id="40"/>
      </w:r>
      <w:r w:rsidR="00AC49A4">
        <w:t xml:space="preserve">  </w:t>
      </w:r>
      <w:r w:rsidR="004472E3">
        <w:t>Though we d</w:t>
      </w:r>
      <w:r w:rsidR="001844B9">
        <w:t>o</w:t>
      </w:r>
      <w:r w:rsidR="004472E3">
        <w:t xml:space="preserve"> not </w:t>
      </w:r>
      <w:r w:rsidR="001768EE">
        <w:t>include a comprehensive</w:t>
      </w:r>
      <w:r w:rsidR="000577C9">
        <w:t xml:space="preserve"> </w:t>
      </w:r>
      <w:r w:rsidR="004472E3">
        <w:t xml:space="preserve">list </w:t>
      </w:r>
      <w:r w:rsidR="000577C9">
        <w:t xml:space="preserve">of </w:t>
      </w:r>
      <w:r w:rsidR="004472E3">
        <w:t xml:space="preserve">specific </w:t>
      </w:r>
      <w:r w:rsidR="000577C9">
        <w:t xml:space="preserve">eligible </w:t>
      </w:r>
      <w:r w:rsidR="004472E3">
        <w:t xml:space="preserve">services and equipment </w:t>
      </w:r>
      <w:r w:rsidR="000577C9">
        <w:t>to the ESL for FY2016</w:t>
      </w:r>
      <w:r w:rsidR="00C746F8">
        <w:t>, we</w:t>
      </w:r>
      <w:r w:rsidR="00562230">
        <w:t xml:space="preserve"> will continue to assess the services and equipment sought by applicants</w:t>
      </w:r>
      <w:r w:rsidR="00571528">
        <w:t xml:space="preserve"> and</w:t>
      </w:r>
      <w:r w:rsidR="00C746F8">
        <w:t xml:space="preserve"> may revisit this issue </w:t>
      </w:r>
      <w:r w:rsidR="00D34AE9">
        <w:t xml:space="preserve">for </w:t>
      </w:r>
      <w:r w:rsidR="00C87950">
        <w:t>future</w:t>
      </w:r>
      <w:r w:rsidR="00D34AE9">
        <w:t xml:space="preserve"> funding</w:t>
      </w:r>
      <w:r w:rsidR="00C87950">
        <w:t xml:space="preserve"> years</w:t>
      </w:r>
      <w:r w:rsidR="00571528">
        <w:t>.</w:t>
      </w:r>
      <w:r w:rsidR="0043616A">
        <w:t xml:space="preserve">    </w:t>
      </w:r>
      <w:r w:rsidR="00C87950">
        <w:t xml:space="preserve"> </w:t>
      </w:r>
    </w:p>
    <w:p w14:paraId="7D288AFC" w14:textId="77777777" w:rsidR="008E23C0" w:rsidRDefault="006013D4" w:rsidP="008E23C0">
      <w:pPr>
        <w:pStyle w:val="Heading3"/>
      </w:pPr>
      <w:r>
        <w:t>Other Category One Modifications</w:t>
      </w:r>
    </w:p>
    <w:p w14:paraId="1768D3B2" w14:textId="17E4586E" w:rsidR="006013D4" w:rsidRDefault="00001FB1" w:rsidP="00407514">
      <w:pPr>
        <w:pStyle w:val="ParaNum"/>
        <w:numPr>
          <w:ilvl w:val="0"/>
          <w:numId w:val="13"/>
        </w:numPr>
      </w:pPr>
      <w:r>
        <w:t>W</w:t>
      </w:r>
      <w:r w:rsidR="00980819">
        <w:t>e adopt the proposed addition of ISDN to the list of eligible voice services.</w:t>
      </w:r>
      <w:r w:rsidR="00301882">
        <w:t xml:space="preserve">  No commenters opposed this addition.</w:t>
      </w:r>
      <w:r w:rsidR="00882E25">
        <w:rPr>
          <w:rStyle w:val="FootnoteReference"/>
        </w:rPr>
        <w:footnoteReference w:id="41"/>
      </w:r>
      <w:r>
        <w:t xml:space="preserve">  </w:t>
      </w:r>
      <w:r w:rsidR="00007201">
        <w:t xml:space="preserve">As explained in the </w:t>
      </w:r>
      <w:r w:rsidR="00007201" w:rsidRPr="00582E72">
        <w:rPr>
          <w:i/>
          <w:iCs/>
        </w:rPr>
        <w:t>ESL Public Notice</w:t>
      </w:r>
      <w:r w:rsidR="00007201">
        <w:t xml:space="preserve">, </w:t>
      </w:r>
      <w:r w:rsidR="00D74EBD">
        <w:t xml:space="preserve">ISDN is typically a voice-only service that has been treated as synonymous with </w:t>
      </w:r>
      <w:r w:rsidR="00114389">
        <w:t>primary rate interface (PRI</w:t>
      </w:r>
      <w:r w:rsidR="00D74EBD">
        <w:t>)</w:t>
      </w:r>
      <w:r w:rsidR="00114389">
        <w:t xml:space="preserve"> voice service</w:t>
      </w:r>
      <w:r w:rsidR="00D74EBD">
        <w:t xml:space="preserve"> in previous ESLs.</w:t>
      </w:r>
      <w:r w:rsidR="00D74EBD">
        <w:rPr>
          <w:rStyle w:val="FootnoteReference"/>
        </w:rPr>
        <w:footnoteReference w:id="42"/>
      </w:r>
      <w:r w:rsidR="00FF165F">
        <w:t xml:space="preserve">  </w:t>
      </w:r>
      <w:r w:rsidR="008B310C">
        <w:t>We add</w:t>
      </w:r>
      <w:r w:rsidR="00114389">
        <w:t xml:space="preserve"> ISDN to</w:t>
      </w:r>
      <w:r w:rsidR="00D10388">
        <w:t xml:space="preserve"> the list of eligible v</w:t>
      </w:r>
      <w:r w:rsidR="008B310C">
        <w:t>oice services because we expect</w:t>
      </w:r>
      <w:r w:rsidR="00D3778A">
        <w:t xml:space="preserve"> that applicants will continue to </w:t>
      </w:r>
      <w:r w:rsidR="00A55C95">
        <w:t>utilize ISDN as</w:t>
      </w:r>
      <w:r w:rsidR="00114389">
        <w:t xml:space="preserve"> a voice-onl</w:t>
      </w:r>
      <w:r w:rsidR="008B310C">
        <w:t>y service.  However,</w:t>
      </w:r>
      <w:r w:rsidR="00AB7C99">
        <w:t xml:space="preserve"> </w:t>
      </w:r>
      <w:r w:rsidR="005B79F0">
        <w:t xml:space="preserve">as explained in the </w:t>
      </w:r>
      <w:r w:rsidR="005B79F0" w:rsidRPr="00582E72">
        <w:rPr>
          <w:i/>
          <w:iCs/>
        </w:rPr>
        <w:t>ESL Public Notice</w:t>
      </w:r>
      <w:r w:rsidR="005B79F0">
        <w:t xml:space="preserve">, </w:t>
      </w:r>
      <w:r w:rsidR="00AB7C99">
        <w:t xml:space="preserve">ISDN </w:t>
      </w:r>
      <w:r w:rsidR="002451DB">
        <w:t xml:space="preserve">may be purchase </w:t>
      </w:r>
      <w:r w:rsidR="00AB7C99">
        <w:t>as a bundled voice and data service</w:t>
      </w:r>
      <w:r w:rsidR="002451DB">
        <w:t>.</w:t>
      </w:r>
      <w:r w:rsidR="002451DB">
        <w:rPr>
          <w:rStyle w:val="FootnoteReference"/>
        </w:rPr>
        <w:footnoteReference w:id="43"/>
      </w:r>
      <w:r w:rsidR="00AB7C99">
        <w:t xml:space="preserve"> </w:t>
      </w:r>
      <w:r w:rsidR="002451DB">
        <w:t xml:space="preserve"> </w:t>
      </w:r>
      <w:r w:rsidR="00E42845">
        <w:t xml:space="preserve">ISDN will </w:t>
      </w:r>
      <w:r w:rsidR="002451DB">
        <w:t xml:space="preserve">therefore </w:t>
      </w:r>
      <w:r w:rsidR="00A55C95">
        <w:t xml:space="preserve">remain on the list of eligible </w:t>
      </w:r>
      <w:r w:rsidR="009E2328">
        <w:t>Data</w:t>
      </w:r>
      <w:r w:rsidR="00A55C95">
        <w:t xml:space="preserve"> Transmission Services and Internet Access </w:t>
      </w:r>
      <w:r w:rsidR="00E42845">
        <w:t xml:space="preserve">so that an applicant that purchases bundled ISDN can cost allocate the voice and data portions of the service as described in the </w:t>
      </w:r>
      <w:r w:rsidR="00E42845" w:rsidRPr="00582E72">
        <w:rPr>
          <w:i/>
          <w:iCs/>
        </w:rPr>
        <w:t>Second E-rate Modernization Order</w:t>
      </w:r>
      <w:r w:rsidR="00E42845">
        <w:t>.</w:t>
      </w:r>
      <w:r w:rsidR="00E42845">
        <w:rPr>
          <w:rStyle w:val="FootnoteReference"/>
        </w:rPr>
        <w:footnoteReference w:id="44"/>
      </w:r>
      <w:r w:rsidR="008B310C">
        <w:t xml:space="preserve"> </w:t>
      </w:r>
      <w:r w:rsidR="00114389">
        <w:t xml:space="preserve"> </w:t>
      </w:r>
    </w:p>
    <w:p w14:paraId="2B8E07BE" w14:textId="60BA306A" w:rsidR="00980819" w:rsidRPr="006013D4" w:rsidRDefault="00980819" w:rsidP="00017A4C">
      <w:pPr>
        <w:pStyle w:val="ParaNum"/>
        <w:widowControl/>
        <w:numPr>
          <w:ilvl w:val="0"/>
          <w:numId w:val="13"/>
        </w:numPr>
      </w:pPr>
      <w:r>
        <w:t xml:space="preserve">To implement the clarification of the </w:t>
      </w:r>
      <w:r w:rsidR="004E43B2">
        <w:t>required</w:t>
      </w:r>
      <w:r>
        <w:t xml:space="preserve"> cost effectiveness analysis for data plans and air cards for mobile devices in the </w:t>
      </w:r>
      <w:r w:rsidR="00113627" w:rsidRPr="00582E72">
        <w:rPr>
          <w:i/>
          <w:iCs/>
        </w:rPr>
        <w:t xml:space="preserve">Second E-rate Modernization </w:t>
      </w:r>
      <w:r w:rsidRPr="00582E72">
        <w:rPr>
          <w:i/>
          <w:iCs/>
        </w:rPr>
        <w:t>Order</w:t>
      </w:r>
      <w:r>
        <w:t>,</w:t>
      </w:r>
      <w:r w:rsidR="005345CA">
        <w:rPr>
          <w:rStyle w:val="FootnoteReference"/>
        </w:rPr>
        <w:footnoteReference w:id="45"/>
      </w:r>
      <w:r>
        <w:t xml:space="preserve"> we adopt the proposal in the </w:t>
      </w:r>
      <w:r w:rsidR="00285012" w:rsidRPr="00582E72">
        <w:rPr>
          <w:i/>
          <w:iCs/>
        </w:rPr>
        <w:t>ESL Public Notice</w:t>
      </w:r>
      <w:r>
        <w:t xml:space="preserve"> to expand the </w:t>
      </w:r>
      <w:r w:rsidR="007D6473">
        <w:t xml:space="preserve">eligibility </w:t>
      </w:r>
      <w:r>
        <w:t xml:space="preserve">explanation </w:t>
      </w:r>
      <w:r w:rsidR="007D6473">
        <w:t xml:space="preserve">for </w:t>
      </w:r>
      <w:r>
        <w:t xml:space="preserve">data </w:t>
      </w:r>
      <w:r w:rsidR="00795775">
        <w:t xml:space="preserve">plans and air cards and move it to the </w:t>
      </w:r>
      <w:r w:rsidR="00113627">
        <w:t>Eligibility E</w:t>
      </w:r>
      <w:r w:rsidR="00795775">
        <w:t>xplanations</w:t>
      </w:r>
      <w:r w:rsidR="00113627">
        <w:t xml:space="preserve"> fo</w:t>
      </w:r>
      <w:r w:rsidR="00285012">
        <w:t>r Certain Category One S</w:t>
      </w:r>
      <w:r w:rsidR="00113627">
        <w:t>ervices</w:t>
      </w:r>
      <w:r w:rsidR="00795775">
        <w:t>.</w:t>
      </w:r>
      <w:r w:rsidR="004819A5">
        <w:rPr>
          <w:rStyle w:val="FootnoteReference"/>
        </w:rPr>
        <w:footnoteReference w:id="46"/>
      </w:r>
      <w:r w:rsidR="004E42BC">
        <w:t xml:space="preserve">  </w:t>
      </w:r>
    </w:p>
    <w:p w14:paraId="3272DC36" w14:textId="10EE9F2E" w:rsidR="006B16A0" w:rsidRDefault="0032684A" w:rsidP="008A1B16">
      <w:pPr>
        <w:pStyle w:val="Heading2"/>
      </w:pPr>
      <w:r>
        <w:t>Modifications to Eligible Category Two Services</w:t>
      </w:r>
    </w:p>
    <w:p w14:paraId="2D5D5771" w14:textId="35BCE8EC" w:rsidR="008A1B16" w:rsidRPr="00DF4E68" w:rsidRDefault="008A1B16" w:rsidP="00DF4E68">
      <w:pPr>
        <w:pStyle w:val="ParaNum"/>
        <w:numPr>
          <w:ilvl w:val="0"/>
          <w:numId w:val="13"/>
        </w:numPr>
      </w:pPr>
      <w:r>
        <w:t xml:space="preserve">We adopt </w:t>
      </w:r>
      <w:r w:rsidR="00C259FD">
        <w:t xml:space="preserve">the proposed </w:t>
      </w:r>
      <w:r w:rsidR="00A543B1">
        <w:t xml:space="preserve">clarification of the description of firewall services eligible under </w:t>
      </w:r>
      <w:r w:rsidR="00C259FD">
        <w:t xml:space="preserve">Category Two of the ESL and provide </w:t>
      </w:r>
      <w:r w:rsidR="00A543B1">
        <w:t xml:space="preserve">other clarifications in response to questions </w:t>
      </w:r>
      <w:r w:rsidR="008B64A8">
        <w:t xml:space="preserve">about Category Two equipment and services in the existing ESL.  We also decline </w:t>
      </w:r>
      <w:r w:rsidR="00DF4E68">
        <w:t>requests from some commenters that we</w:t>
      </w:r>
      <w:r w:rsidR="001A2D76">
        <w:t xml:space="preserve"> expand the list of eligible Category Two equipment and services</w:t>
      </w:r>
      <w:r w:rsidR="00E03F75">
        <w:t xml:space="preserve"> or revise </w:t>
      </w:r>
      <w:r w:rsidR="001768EE">
        <w:t xml:space="preserve">other </w:t>
      </w:r>
      <w:r w:rsidR="00E03F75">
        <w:t>descriptions in Category Two.</w:t>
      </w:r>
    </w:p>
    <w:p w14:paraId="5DAD0B43" w14:textId="77777777" w:rsidR="00335625" w:rsidRDefault="00335625" w:rsidP="00335625">
      <w:pPr>
        <w:pStyle w:val="Heading3"/>
      </w:pPr>
      <w:r>
        <w:t>Firewall</w:t>
      </w:r>
    </w:p>
    <w:p w14:paraId="529600ED" w14:textId="4A6E7075" w:rsidR="00A72533" w:rsidRDefault="001768EE" w:rsidP="001A383D">
      <w:pPr>
        <w:pStyle w:val="ParaNum"/>
        <w:numPr>
          <w:ilvl w:val="0"/>
          <w:numId w:val="13"/>
        </w:numPr>
      </w:pPr>
      <w:r>
        <w:t>Consistent with the Commission</w:t>
      </w:r>
      <w:r w:rsidR="00CA3964">
        <w:t>’s</w:t>
      </w:r>
      <w:r>
        <w:t xml:space="preserve"> direction in the </w:t>
      </w:r>
      <w:r w:rsidR="00CB5576" w:rsidRPr="00582E72">
        <w:rPr>
          <w:i/>
          <w:iCs/>
        </w:rPr>
        <w:t>Sixth Report and Order</w:t>
      </w:r>
      <w:r w:rsidR="00CB5576">
        <w:t xml:space="preserve"> and the </w:t>
      </w:r>
      <w:r w:rsidRPr="00582E72">
        <w:rPr>
          <w:i/>
          <w:iCs/>
        </w:rPr>
        <w:t>E-rate Modernization Order</w:t>
      </w:r>
      <w:r>
        <w:t xml:space="preserve"> </w:t>
      </w:r>
      <w:r w:rsidR="00CB5576">
        <w:t xml:space="preserve">that only basic firewall protection provided as part of Internet access is eligible as a Category One service and that other firewall services are eligible as Category Two services, </w:t>
      </w:r>
      <w:r>
        <w:t>w</w:t>
      </w:r>
      <w:r w:rsidR="009E2328">
        <w:t xml:space="preserve">e adopt the clarification proposed </w:t>
      </w:r>
      <w:r w:rsidR="00392FE1">
        <w:t xml:space="preserve">in the </w:t>
      </w:r>
      <w:r w:rsidR="009E2328" w:rsidRPr="00582E72">
        <w:rPr>
          <w:i/>
          <w:iCs/>
        </w:rPr>
        <w:t xml:space="preserve">ESL Public Notice </w:t>
      </w:r>
      <w:r w:rsidR="009E2328">
        <w:t xml:space="preserve">that </w:t>
      </w:r>
      <w:r w:rsidR="00EA1E94" w:rsidRPr="00582E72">
        <w:rPr>
          <w:color w:val="010101"/>
        </w:rPr>
        <w:t>firewall protection that is provided by a vendor other than the Internet access provider or priced out separately will be considered a Category Two internal connections component.</w:t>
      </w:r>
      <w:r w:rsidR="00A106B7" w:rsidRPr="00582E72">
        <w:rPr>
          <w:rStyle w:val="FootnoteReference"/>
        </w:rPr>
        <w:footnoteReference w:id="47"/>
      </w:r>
      <w:r w:rsidR="00EA1E94" w:rsidRPr="00582E72">
        <w:rPr>
          <w:color w:val="010101"/>
        </w:rPr>
        <w:t xml:space="preserve"> </w:t>
      </w:r>
      <w:r w:rsidR="00C063F4" w:rsidRPr="00582E72">
        <w:rPr>
          <w:color w:val="010101"/>
        </w:rPr>
        <w:t xml:space="preserve"> Notwithstanding the Commission’s direction, c</w:t>
      </w:r>
      <w:r w:rsidR="0005726D">
        <w:t xml:space="preserve">ommenters request </w:t>
      </w:r>
      <w:r w:rsidR="00C93E18">
        <w:t xml:space="preserve">that we </w:t>
      </w:r>
      <w:r w:rsidR="00FB5F99">
        <w:t>clarify the eligibility of firewall services</w:t>
      </w:r>
      <w:r w:rsidR="00FB5F99">
        <w:rPr>
          <w:rStyle w:val="FootnoteReference"/>
        </w:rPr>
        <w:footnoteReference w:id="48"/>
      </w:r>
      <w:r w:rsidR="00FB5F99">
        <w:t xml:space="preserve"> </w:t>
      </w:r>
      <w:r w:rsidR="00A72533">
        <w:t xml:space="preserve">and </w:t>
      </w:r>
      <w:r w:rsidR="007A04F3">
        <w:t>designate all firewall services as part of Category One Internet access.</w:t>
      </w:r>
      <w:r w:rsidR="007A04F3">
        <w:rPr>
          <w:rStyle w:val="FootnoteReference"/>
        </w:rPr>
        <w:footnoteReference w:id="49"/>
      </w:r>
      <w:r w:rsidR="003D74CB">
        <w:t xml:space="preserve"> </w:t>
      </w:r>
      <w:r w:rsidR="009E2328">
        <w:t xml:space="preserve"> </w:t>
      </w:r>
      <w:r w:rsidR="001A383D">
        <w:t>Commenters also request that we expand eligibility to include other network security services.</w:t>
      </w:r>
      <w:r w:rsidR="001A383D">
        <w:rPr>
          <w:rStyle w:val="FootnoteReference"/>
        </w:rPr>
        <w:footnoteReference w:id="50"/>
      </w:r>
      <w:r w:rsidR="001A383D">
        <w:t xml:space="preserve">  However, in the </w:t>
      </w:r>
      <w:r w:rsidR="001A383D" w:rsidRPr="00582E72">
        <w:rPr>
          <w:i/>
          <w:iCs/>
        </w:rPr>
        <w:t>E-rate Modernization Order</w:t>
      </w:r>
      <w:r w:rsidR="001A383D">
        <w:t>, the Commission expressly declined to further expand eligibility to additional network security services in order to focus Category Two funding on other necessary wireless local area network (WLAN) equipment and services.</w:t>
      </w:r>
      <w:r w:rsidR="001A383D">
        <w:rPr>
          <w:rStyle w:val="FootnoteReference"/>
        </w:rPr>
        <w:footnoteReference w:id="51"/>
      </w:r>
      <w:r w:rsidR="001A383D">
        <w:t xml:space="preserve">  In light of previous Commission direction, w</w:t>
      </w:r>
      <w:r w:rsidR="00CB5576">
        <w:t>e remind commenters that firewall services other than those offered as a standard part of eligible Internet access are eligible under Category Two</w:t>
      </w:r>
      <w:r w:rsidR="00DE0D64">
        <w:t>,</w:t>
      </w:r>
      <w:r w:rsidR="00CB5576">
        <w:t xml:space="preserve"> and </w:t>
      </w:r>
      <w:r w:rsidR="00DE0D64">
        <w:t xml:space="preserve">we </w:t>
      </w:r>
      <w:r w:rsidR="00CB5576">
        <w:t>deny the request</w:t>
      </w:r>
      <w:r w:rsidR="001A383D">
        <w:t>s</w:t>
      </w:r>
      <w:r w:rsidR="00CB5576">
        <w:t xml:space="preserve"> to designate all firewall services as Category One</w:t>
      </w:r>
      <w:r w:rsidR="001A383D">
        <w:t xml:space="preserve"> and to </w:t>
      </w:r>
      <w:r w:rsidR="00C063F4">
        <w:t xml:space="preserve">add additional network security services to the ESL. </w:t>
      </w:r>
    </w:p>
    <w:p w14:paraId="423390E2" w14:textId="77777777" w:rsidR="00335625" w:rsidRDefault="00335625" w:rsidP="00335625">
      <w:pPr>
        <w:pStyle w:val="Heading3"/>
      </w:pPr>
      <w:r>
        <w:t>Virtualized and Cloud-Based Functionalities</w:t>
      </w:r>
    </w:p>
    <w:p w14:paraId="63CC74FE" w14:textId="7B9336C6" w:rsidR="00DE2DFA" w:rsidRPr="0076411E" w:rsidRDefault="00632352">
      <w:pPr>
        <w:pStyle w:val="ParaNum"/>
        <w:widowControl/>
        <w:numPr>
          <w:ilvl w:val="0"/>
          <w:numId w:val="13"/>
        </w:numPr>
      </w:pPr>
      <w:r w:rsidRPr="00582E72">
        <w:t xml:space="preserve">We </w:t>
      </w:r>
      <w:r w:rsidR="00073605" w:rsidRPr="00582E72">
        <w:t>decline request</w:t>
      </w:r>
      <w:r w:rsidR="00B626F0" w:rsidRPr="00582E72">
        <w:t xml:space="preserve">s </w:t>
      </w:r>
      <w:r w:rsidR="00FA5312" w:rsidRPr="00582E72">
        <w:t>by commenters for additions to</w:t>
      </w:r>
      <w:r w:rsidRPr="00582E72">
        <w:t xml:space="preserve"> </w:t>
      </w:r>
      <w:r w:rsidR="003A2173" w:rsidRPr="00582E72">
        <w:t>Note (1) under El</w:t>
      </w:r>
      <w:r w:rsidR="00444CCF" w:rsidRPr="00582E72">
        <w:t>igible Broadband Internal Connections</w:t>
      </w:r>
      <w:r w:rsidR="00FA5312" w:rsidRPr="00582E72">
        <w:t>.</w:t>
      </w:r>
      <w:r w:rsidR="00FA5312" w:rsidRPr="00582E72">
        <w:rPr>
          <w:rStyle w:val="FootnoteReference"/>
        </w:rPr>
        <w:footnoteReference w:id="52"/>
      </w:r>
      <w:r w:rsidR="00FA5312" w:rsidRPr="00582E72">
        <w:t xml:space="preserve">  Note (1)</w:t>
      </w:r>
      <w:r w:rsidRPr="00582E72">
        <w:t xml:space="preserve"> explains that </w:t>
      </w:r>
      <w:r w:rsidR="0039264F" w:rsidRPr="00582E72">
        <w:t>hardware and software solutions</w:t>
      </w:r>
      <w:r w:rsidR="00A208A8" w:rsidRPr="00582E72">
        <w:t xml:space="preserve"> </w:t>
      </w:r>
      <w:r w:rsidR="0039264F" w:rsidRPr="00582E72">
        <w:t xml:space="preserve">that virtualize the </w:t>
      </w:r>
      <w:r w:rsidR="001656EA" w:rsidRPr="00582E72">
        <w:t xml:space="preserve">functionalities of the eligible </w:t>
      </w:r>
      <w:r w:rsidR="00AF31E9" w:rsidRPr="00582E72">
        <w:t>internal connections equipment listed in that section</w:t>
      </w:r>
      <w:r w:rsidRPr="00582E72">
        <w:t xml:space="preserve"> are eligible for E-rate support</w:t>
      </w:r>
      <w:r w:rsidR="00444CCF" w:rsidRPr="00582E72">
        <w:t xml:space="preserve">.  </w:t>
      </w:r>
      <w:r w:rsidR="00E049D2" w:rsidRPr="00582E72">
        <w:t xml:space="preserve">The Commission made broadband distribution services and equipment that can be virtualized into the cloud, such as wireless controllers, eligible for Category Two internal connections support in the </w:t>
      </w:r>
      <w:r w:rsidR="00E049D2" w:rsidRPr="00582E72">
        <w:rPr>
          <w:i/>
          <w:iCs/>
        </w:rPr>
        <w:t>E-rate Modernization Order</w:t>
      </w:r>
      <w:r w:rsidR="00E049D2" w:rsidRPr="00582E72">
        <w:t>.</w:t>
      </w:r>
      <w:r w:rsidR="00E049D2" w:rsidRPr="00582E72">
        <w:rPr>
          <w:rStyle w:val="FootnoteReference"/>
        </w:rPr>
        <w:footnoteReference w:id="53"/>
      </w:r>
      <w:r w:rsidR="00E049D2" w:rsidRPr="00582E72">
        <w:t xml:space="preserve">  </w:t>
      </w:r>
      <w:r w:rsidRPr="00582E72">
        <w:t xml:space="preserve">We </w:t>
      </w:r>
      <w:r w:rsidR="00E049D2" w:rsidRPr="00582E72">
        <w:t>added Note (1) under Eligible Broadband Internal Connections in the ESL for funding year 2015 to implement that Commission decision.</w:t>
      </w:r>
      <w:r w:rsidR="00E049D2" w:rsidRPr="00582E72">
        <w:rPr>
          <w:rStyle w:val="FootnoteReference"/>
        </w:rPr>
        <w:footnoteReference w:id="54"/>
      </w:r>
      <w:r w:rsidR="00E049D2" w:rsidRPr="00582E72">
        <w:t xml:space="preserve">  </w:t>
      </w:r>
      <w:r w:rsidR="0055155E" w:rsidRPr="00582E72">
        <w:t xml:space="preserve">We agree with commenters that </w:t>
      </w:r>
      <w:r w:rsidR="003D37B6" w:rsidRPr="00582E72">
        <w:t>virtualized products, including hardware and software, that perform the same functions as eligible internal connections equipment are eligible.</w:t>
      </w:r>
      <w:r w:rsidR="003D37B6" w:rsidRPr="00582E72">
        <w:rPr>
          <w:rStyle w:val="FootnoteReference"/>
        </w:rPr>
        <w:footnoteReference w:id="55"/>
      </w:r>
      <w:r w:rsidR="003D37B6" w:rsidRPr="00582E72">
        <w:t xml:space="preserve">  </w:t>
      </w:r>
      <w:r w:rsidR="00136764" w:rsidRPr="00582E72">
        <w:t xml:space="preserve">We also agree that </w:t>
      </w:r>
      <w:r w:rsidR="0055155E" w:rsidRPr="00582E72">
        <w:t>virtualized functionalities such as Software Defined Networking (SDN) and Network Function Virtualization (NFV)</w:t>
      </w:r>
      <w:r w:rsidR="00582E72">
        <w:t xml:space="preserve"> – solution </w:t>
      </w:r>
      <w:r w:rsidR="00030A31" w:rsidRPr="00582E72">
        <w:t>that virtualize eligible routing, switching, controller, and firewall functionalities</w:t>
      </w:r>
      <w:r w:rsidR="00582E72">
        <w:t xml:space="preserve"> – are</w:t>
      </w:r>
      <w:r w:rsidR="00030A31" w:rsidRPr="00582E72">
        <w:t xml:space="preserve"> eligible and may</w:t>
      </w:r>
      <w:r w:rsidR="00803E58" w:rsidRPr="00582E72">
        <w:t xml:space="preserve"> be a more cost effective solution than traditional wireless local area network components.</w:t>
      </w:r>
      <w:r w:rsidR="00803E58" w:rsidRPr="00582E72">
        <w:rPr>
          <w:rStyle w:val="FootnoteReference"/>
        </w:rPr>
        <w:footnoteReference w:id="56"/>
      </w:r>
      <w:r w:rsidR="00803E58" w:rsidRPr="00582E72">
        <w:t xml:space="preserve">  </w:t>
      </w:r>
      <w:r w:rsidR="00BC59BE" w:rsidRPr="00582E72">
        <w:t>We emphasize</w:t>
      </w:r>
      <w:r w:rsidR="00DE0D64" w:rsidRPr="00582E72">
        <w:t>, however,</w:t>
      </w:r>
      <w:r w:rsidR="00BC59BE" w:rsidRPr="00582E72">
        <w:t xml:space="preserve"> that </w:t>
      </w:r>
      <w:r w:rsidR="00A22508" w:rsidRPr="00582E72">
        <w:t xml:space="preserve">only </w:t>
      </w:r>
      <w:r w:rsidR="00BC59BE" w:rsidRPr="00582E72">
        <w:t xml:space="preserve">virtualized </w:t>
      </w:r>
      <w:r w:rsidR="006E3050" w:rsidRPr="00582E72">
        <w:t>solutions</w:t>
      </w:r>
      <w:r w:rsidR="00BC59BE" w:rsidRPr="00582E72">
        <w:t xml:space="preserve"> </w:t>
      </w:r>
      <w:r w:rsidR="00A22508" w:rsidRPr="00582E72">
        <w:t>that perform the function</w:t>
      </w:r>
      <w:r w:rsidR="006E3050" w:rsidRPr="00582E72">
        <w:t>s</w:t>
      </w:r>
      <w:r w:rsidR="00A22508" w:rsidRPr="00582E72">
        <w:t xml:space="preserve"> of eligible broadband inter</w:t>
      </w:r>
      <w:r w:rsidR="006E3050" w:rsidRPr="00582E72">
        <w:t xml:space="preserve">nal connections </w:t>
      </w:r>
      <w:r w:rsidR="00A22508" w:rsidRPr="00582E72">
        <w:t>are</w:t>
      </w:r>
      <w:r w:rsidR="00BC59BE" w:rsidRPr="00582E72">
        <w:t xml:space="preserve"> eligible</w:t>
      </w:r>
      <w:r w:rsidR="00A22508" w:rsidRPr="00582E72">
        <w:t xml:space="preserve">.  </w:t>
      </w:r>
      <w:r w:rsidR="006E3050" w:rsidRPr="00582E72">
        <w:t xml:space="preserve">We therefore decline requests from commenters that </w:t>
      </w:r>
      <w:r w:rsidR="00DE0D64" w:rsidRPr="00582E72">
        <w:t xml:space="preserve">we make eligible </w:t>
      </w:r>
      <w:r w:rsidR="006E3050" w:rsidRPr="00582E72">
        <w:t xml:space="preserve">cloud-based applications </w:t>
      </w:r>
      <w:r w:rsidR="001D3D25" w:rsidRPr="00582E72">
        <w:t>that replace equipment that is not E-rate eligible, such as servers.</w:t>
      </w:r>
      <w:r w:rsidR="00101073" w:rsidRPr="00582E72">
        <w:rPr>
          <w:rStyle w:val="FootnoteReference"/>
        </w:rPr>
        <w:footnoteReference w:id="57"/>
      </w:r>
      <w:r w:rsidR="001D3D25" w:rsidRPr="00582E72">
        <w:t xml:space="preserve">  </w:t>
      </w:r>
      <w:r w:rsidR="00BF407A" w:rsidRPr="00582E72">
        <w:t xml:space="preserve">Applicants </w:t>
      </w:r>
      <w:r w:rsidR="008719DA" w:rsidRPr="00582E72">
        <w:t xml:space="preserve">must </w:t>
      </w:r>
      <w:r w:rsidR="00BF407A" w:rsidRPr="00582E72">
        <w:t xml:space="preserve">continue to competitively bid the broadband internal connections equipment and functionalities that </w:t>
      </w:r>
      <w:r w:rsidR="002C02F4" w:rsidRPr="00582E72">
        <w:t>meet their needs and select the most cost effective solution.</w:t>
      </w:r>
    </w:p>
    <w:p w14:paraId="35B116BB" w14:textId="77777777" w:rsidR="00A236F1" w:rsidRDefault="00A236F1" w:rsidP="00A236F1">
      <w:pPr>
        <w:pStyle w:val="Heading3"/>
      </w:pPr>
      <w:r>
        <w:t>Other Category Two Modifications</w:t>
      </w:r>
    </w:p>
    <w:p w14:paraId="65C1D155" w14:textId="39518DC7" w:rsidR="00A236F1" w:rsidRDefault="00503FC8" w:rsidP="00407514">
      <w:pPr>
        <w:pStyle w:val="ParaNum"/>
        <w:numPr>
          <w:ilvl w:val="0"/>
          <w:numId w:val="13"/>
        </w:numPr>
      </w:pPr>
      <w:r>
        <w:t xml:space="preserve">At the request of </w:t>
      </w:r>
      <w:r w:rsidR="00760BF7">
        <w:t>the New York City Department of Education (NYC DOE)</w:t>
      </w:r>
      <w:r>
        <w:t>, w</w:t>
      </w:r>
      <w:r w:rsidR="00F23435">
        <w:t xml:space="preserve">e also clarify that </w:t>
      </w:r>
      <w:r w:rsidR="00632352">
        <w:t>applicants need not demonstrate that actual work was performed i</w:t>
      </w:r>
      <w:r>
        <w:t>n order to receive E-rate support for bug fixes, security patches, and online and telephone-based technical assistance as part of Basic Maintenance of Internal Connections (BMIC)</w:t>
      </w:r>
      <w:r w:rsidR="00F23435">
        <w:t>.</w:t>
      </w:r>
      <w:r>
        <w:rPr>
          <w:rStyle w:val="FootnoteReference"/>
        </w:rPr>
        <w:footnoteReference w:id="58"/>
      </w:r>
      <w:r w:rsidR="00F23435">
        <w:t xml:space="preserve">  </w:t>
      </w:r>
      <w:r>
        <w:t xml:space="preserve">As </w:t>
      </w:r>
      <w:r w:rsidR="000608CA">
        <w:t xml:space="preserve">NYC DOE </w:t>
      </w:r>
      <w:r>
        <w:t xml:space="preserve">points out, </w:t>
      </w:r>
      <w:r w:rsidR="00CA31C9">
        <w:t xml:space="preserve">the </w:t>
      </w:r>
      <w:r w:rsidR="00C61D47" w:rsidRPr="00582E72">
        <w:rPr>
          <w:i/>
          <w:iCs/>
        </w:rPr>
        <w:t xml:space="preserve">2010 </w:t>
      </w:r>
      <w:r w:rsidR="00F23435" w:rsidRPr="00582E72">
        <w:rPr>
          <w:i/>
          <w:iCs/>
        </w:rPr>
        <w:t xml:space="preserve">Clarification </w:t>
      </w:r>
      <w:r w:rsidR="00C61D47" w:rsidRPr="00582E72">
        <w:rPr>
          <w:i/>
          <w:iCs/>
        </w:rPr>
        <w:t>Order</w:t>
      </w:r>
      <w:r w:rsidR="00C61D47">
        <w:t xml:space="preserve"> </w:t>
      </w:r>
      <w:r>
        <w:t>explained</w:t>
      </w:r>
      <w:r w:rsidR="00F23435">
        <w:t xml:space="preserve"> that </w:t>
      </w:r>
      <w:r>
        <w:t xml:space="preserve">although </w:t>
      </w:r>
      <w:r w:rsidR="00C61D47">
        <w:t>fixed price BMIC contracts are eligible for funding</w:t>
      </w:r>
      <w:r w:rsidR="00C81765">
        <w:t xml:space="preserve"> only for work that is actually performed</w:t>
      </w:r>
      <w:r w:rsidR="00F23435">
        <w:t xml:space="preserve">, </w:t>
      </w:r>
      <w:r w:rsidR="00461DE3">
        <w:t>there i</w:t>
      </w:r>
      <w:r w:rsidR="00955950">
        <w:t>s a limited exception for bug fixes, security patches, and online and telephone-based technical assistance.</w:t>
      </w:r>
      <w:r w:rsidR="00955950">
        <w:rPr>
          <w:rStyle w:val="FootnoteReference"/>
        </w:rPr>
        <w:footnoteReference w:id="59"/>
      </w:r>
      <w:r w:rsidR="000D48F0">
        <w:t xml:space="preserve">  </w:t>
      </w:r>
      <w:r w:rsidR="00F23435">
        <w:t>Although the ESL already indicates that bug fixes, security patches</w:t>
      </w:r>
      <w:r w:rsidR="005669AB">
        <w:t>,</w:t>
      </w:r>
      <w:r w:rsidR="00F23435">
        <w:t xml:space="preserve"> and online and telephone-based technical assistance</w:t>
      </w:r>
      <w:r w:rsidR="00F23435" w:rsidDel="00F23435">
        <w:t xml:space="preserve"> </w:t>
      </w:r>
      <w:r w:rsidR="00F23435">
        <w:t>are eligible BMIC, w</w:t>
      </w:r>
      <w:r w:rsidR="000D48F0">
        <w:t xml:space="preserve">e </w:t>
      </w:r>
      <w:r w:rsidR="004C0E97">
        <w:t xml:space="preserve">add a sentence </w:t>
      </w:r>
      <w:r w:rsidR="00297CA2">
        <w:t xml:space="preserve">to the Eligibility Limitations for Basic Maintenance </w:t>
      </w:r>
      <w:r w:rsidR="004C0E97">
        <w:t>on page 7 of the</w:t>
      </w:r>
      <w:r w:rsidR="00297CA2">
        <w:t xml:space="preserve"> FY2016 ESL to more closely match the </w:t>
      </w:r>
      <w:r w:rsidR="00297CA2" w:rsidRPr="00582E72">
        <w:rPr>
          <w:i/>
          <w:iCs/>
        </w:rPr>
        <w:t>2010 Clarification Order</w:t>
      </w:r>
      <w:r w:rsidR="00297CA2">
        <w:t>.</w:t>
      </w:r>
      <w:r w:rsidR="004C0E97">
        <w:t xml:space="preserve"> </w:t>
      </w:r>
    </w:p>
    <w:p w14:paraId="57889C12" w14:textId="0ECC0C24" w:rsidR="006C7F7D" w:rsidRDefault="006C7F7D" w:rsidP="00407514">
      <w:pPr>
        <w:pStyle w:val="ParaNum"/>
        <w:numPr>
          <w:ilvl w:val="0"/>
          <w:numId w:val="13"/>
        </w:numPr>
      </w:pPr>
      <w:r>
        <w:t xml:space="preserve">Funds for Learning and SECA </w:t>
      </w:r>
      <w:r w:rsidR="005616E2">
        <w:t>request</w:t>
      </w:r>
      <w:r w:rsidR="00F80352">
        <w:t xml:space="preserve"> that </w:t>
      </w:r>
      <w:r w:rsidR="00503FC8">
        <w:t xml:space="preserve">self-provisioned </w:t>
      </w:r>
      <w:r w:rsidR="00F80352">
        <w:t xml:space="preserve">network </w:t>
      </w:r>
      <w:r>
        <w:t>monitoring and management functionality</w:t>
      </w:r>
      <w:r w:rsidR="000755C4">
        <w:t xml:space="preserve"> </w:t>
      </w:r>
      <w:r w:rsidR="009929FD">
        <w:t xml:space="preserve">for internal connections </w:t>
      </w:r>
      <w:r w:rsidR="005616E2">
        <w:t xml:space="preserve">be </w:t>
      </w:r>
      <w:r w:rsidR="00A90F7E">
        <w:t>identified on the ESL as</w:t>
      </w:r>
      <w:r w:rsidR="005616E2">
        <w:t xml:space="preserve"> </w:t>
      </w:r>
      <w:r w:rsidR="000755C4">
        <w:t>eligible</w:t>
      </w:r>
      <w:r w:rsidR="00A90F7E">
        <w:t xml:space="preserve"> services.</w:t>
      </w:r>
      <w:r w:rsidR="006B3DD5">
        <w:rPr>
          <w:rStyle w:val="FootnoteReference"/>
        </w:rPr>
        <w:footnoteReference w:id="60"/>
      </w:r>
      <w:r w:rsidR="00A90F7E">
        <w:t xml:space="preserve">  </w:t>
      </w:r>
      <w:r w:rsidR="00130AC4">
        <w:t xml:space="preserve">In the </w:t>
      </w:r>
      <w:r w:rsidR="00130AC4" w:rsidRPr="00582E72">
        <w:rPr>
          <w:i/>
          <w:iCs/>
        </w:rPr>
        <w:t>E-rate Modernization Order</w:t>
      </w:r>
      <w:r w:rsidR="00130AC4">
        <w:t>, the Commission</w:t>
      </w:r>
      <w:r w:rsidR="00EB53CB">
        <w:t xml:space="preserve"> made managed internal broadband services </w:t>
      </w:r>
      <w:r w:rsidR="004C360F">
        <w:t xml:space="preserve">(MIBS) </w:t>
      </w:r>
      <w:r w:rsidR="00EB53CB">
        <w:t>eligible for internal connections support.</w:t>
      </w:r>
      <w:r w:rsidR="00EB53CB">
        <w:rPr>
          <w:rStyle w:val="FootnoteReference"/>
        </w:rPr>
        <w:footnoteReference w:id="61"/>
      </w:r>
      <w:r w:rsidR="00EB53CB">
        <w:t xml:space="preserve"> </w:t>
      </w:r>
      <w:r w:rsidR="00F6089C">
        <w:t xml:space="preserve"> The Commission</w:t>
      </w:r>
      <w:r w:rsidR="00130AC4">
        <w:t xml:space="preserve"> </w:t>
      </w:r>
      <w:r w:rsidR="003D773B">
        <w:t xml:space="preserve">determined that </w:t>
      </w:r>
      <w:r w:rsidR="004C360F">
        <w:t xml:space="preserve">network management and operation </w:t>
      </w:r>
      <w:r w:rsidR="00136B88">
        <w:t xml:space="preserve">services </w:t>
      </w:r>
      <w:r w:rsidR="003D773B">
        <w:t xml:space="preserve">are only E-rate eligible when provided by a third party </w:t>
      </w:r>
      <w:r w:rsidR="004C360F">
        <w:t xml:space="preserve">as </w:t>
      </w:r>
      <w:r w:rsidR="003D773B">
        <w:t xml:space="preserve">part of </w:t>
      </w:r>
      <w:r w:rsidR="004C360F">
        <w:t>eligible MIB</w:t>
      </w:r>
      <w:r w:rsidR="0009380E">
        <w:t>S</w:t>
      </w:r>
      <w:r w:rsidR="00A90F7E">
        <w:t>.</w:t>
      </w:r>
      <w:r w:rsidR="004C360F">
        <w:rPr>
          <w:rStyle w:val="FootnoteReference"/>
        </w:rPr>
        <w:footnoteReference w:id="62"/>
      </w:r>
      <w:r w:rsidR="003D773B">
        <w:t xml:space="preserve">  The Commission did not otherwise change the </w:t>
      </w:r>
      <w:r w:rsidR="0076411E">
        <w:t>ineligible status of network monitoring and management equipment and software.</w:t>
      </w:r>
      <w:r w:rsidR="0076411E">
        <w:rPr>
          <w:rStyle w:val="FootnoteReference"/>
        </w:rPr>
        <w:footnoteReference w:id="63"/>
      </w:r>
      <w:r w:rsidR="00A90F7E">
        <w:t xml:space="preserve"> Applicants seeking support for such services can therefore seek support for such services as MIBS</w:t>
      </w:r>
      <w:r w:rsidR="00503FC8">
        <w:t>, but cannot seek otherwise seek support for such functionality</w:t>
      </w:r>
      <w:r w:rsidR="00A90F7E">
        <w:t xml:space="preserve">. </w:t>
      </w:r>
    </w:p>
    <w:p w14:paraId="596D67FC" w14:textId="55B279DD" w:rsidR="00DB4738" w:rsidRPr="00DB4738" w:rsidRDefault="00052404" w:rsidP="00407514">
      <w:pPr>
        <w:pStyle w:val="ParaNum"/>
        <w:numPr>
          <w:ilvl w:val="0"/>
          <w:numId w:val="13"/>
        </w:numPr>
      </w:pPr>
      <w:r w:rsidRPr="00582E72">
        <w:t xml:space="preserve">We also adopt other </w:t>
      </w:r>
      <w:r w:rsidR="00336775" w:rsidRPr="00582E72">
        <w:t xml:space="preserve">minor </w:t>
      </w:r>
      <w:r w:rsidRPr="00582E72">
        <w:t xml:space="preserve">clarifications and edits proposed in the </w:t>
      </w:r>
      <w:r w:rsidRPr="00582E72">
        <w:rPr>
          <w:i/>
          <w:iCs/>
        </w:rPr>
        <w:t>ESL Public Notice</w:t>
      </w:r>
      <w:r w:rsidRPr="00582E72">
        <w:t>.</w:t>
      </w:r>
      <w:r w:rsidR="00DB4738" w:rsidRPr="00582E72">
        <w:t xml:space="preserve">  For example, we change references to “Internet access services” to “Internet access” throughout the ESL and we delete the explanation of 800 service.</w:t>
      </w:r>
      <w:r w:rsidRPr="00BF1E5E">
        <w:rPr>
          <w:rStyle w:val="FootnoteReference"/>
        </w:rPr>
        <w:footnoteReference w:id="64"/>
      </w:r>
      <w:r w:rsidR="00F91D91" w:rsidRPr="00BF1E5E">
        <w:t xml:space="preserve">  </w:t>
      </w:r>
    </w:p>
    <w:p w14:paraId="36EF3ECF" w14:textId="6FDCB0FF" w:rsidR="00052404" w:rsidRDefault="00F91D91" w:rsidP="00975785">
      <w:pPr>
        <w:pStyle w:val="ParaNum"/>
        <w:widowControl/>
        <w:numPr>
          <w:ilvl w:val="0"/>
          <w:numId w:val="13"/>
        </w:numPr>
      </w:pPr>
      <w:r w:rsidRPr="00582E72">
        <w:t>We make no other changes to the ESL for funding year 2016</w:t>
      </w:r>
      <w:r w:rsidR="00DB4738" w:rsidRPr="00582E72">
        <w:t>, and w</w:t>
      </w:r>
      <w:r w:rsidR="000B0F67" w:rsidRPr="00582E72">
        <w:t xml:space="preserve">e </w:t>
      </w:r>
      <w:r w:rsidR="00DB4738" w:rsidRPr="00582E72">
        <w:t xml:space="preserve">specifically </w:t>
      </w:r>
      <w:r w:rsidR="000B0F67" w:rsidRPr="00582E72">
        <w:t>decline to address or consider certain comments requesting that we add services to the list or provide additional clarifications.</w:t>
      </w:r>
      <w:r w:rsidR="000B0F67" w:rsidRPr="00582E72">
        <w:rPr>
          <w:rStyle w:val="FootnoteReference"/>
        </w:rPr>
        <w:footnoteReference w:id="65"/>
      </w:r>
      <w:r w:rsidR="00906148" w:rsidRPr="00582E72">
        <w:t xml:space="preserve">  </w:t>
      </w:r>
      <w:r w:rsidR="00052404">
        <w:t>S</w:t>
      </w:r>
      <w:r w:rsidR="00CF1FAC">
        <w:t xml:space="preserve">everal commenters raise E-rate eligibility issues that </w:t>
      </w:r>
      <w:r w:rsidR="00503FC8">
        <w:t xml:space="preserve">are beyond the scope of the </w:t>
      </w:r>
      <w:r w:rsidR="00CF1FAC" w:rsidRPr="00582E72">
        <w:rPr>
          <w:i/>
          <w:iCs/>
        </w:rPr>
        <w:t>ESL Public Notice</w:t>
      </w:r>
      <w:r w:rsidR="00835D98">
        <w:t xml:space="preserve">, </w:t>
      </w:r>
      <w:r w:rsidR="003D0A44">
        <w:t xml:space="preserve">were resolved by the Commission in the </w:t>
      </w:r>
      <w:r w:rsidR="003D0A44" w:rsidRPr="00582E72">
        <w:rPr>
          <w:i/>
          <w:iCs/>
        </w:rPr>
        <w:t xml:space="preserve">E-rate Modernization Order </w:t>
      </w:r>
      <w:r w:rsidR="003D0A44">
        <w:t xml:space="preserve">and </w:t>
      </w:r>
      <w:r w:rsidR="003D0A44" w:rsidRPr="00582E72">
        <w:rPr>
          <w:i/>
          <w:iCs/>
        </w:rPr>
        <w:t>Second E-rate Modernization Order</w:t>
      </w:r>
      <w:r w:rsidR="00906148">
        <w:t xml:space="preserve"> and are therefore outside the scope of this proceeding</w:t>
      </w:r>
      <w:r w:rsidR="003D0A44">
        <w:t>,</w:t>
      </w:r>
      <w:r w:rsidR="00BD42DE">
        <w:rPr>
          <w:rStyle w:val="FootnoteReference"/>
        </w:rPr>
        <w:footnoteReference w:id="66"/>
      </w:r>
      <w:r w:rsidR="00C45BF2" w:rsidRPr="00582E72">
        <w:rPr>
          <w:i/>
          <w:iCs/>
        </w:rPr>
        <w:t xml:space="preserve"> </w:t>
      </w:r>
      <w:r w:rsidR="00C45BF2">
        <w:t>or are beyond the scope of the Bureau’s authority to annually revise the ESL</w:t>
      </w:r>
      <w:r w:rsidR="002263C6">
        <w:t>.</w:t>
      </w:r>
      <w:r w:rsidR="002263C6">
        <w:rPr>
          <w:rStyle w:val="FootnoteReference"/>
        </w:rPr>
        <w:footnoteReference w:id="67"/>
      </w:r>
      <w:r w:rsidR="002263C6">
        <w:t xml:space="preserve">  Due to the complexity of these issues and the limited scope of the ESL proceeding, we do not address these requests at this time.</w:t>
      </w:r>
    </w:p>
    <w:p w14:paraId="13496019" w14:textId="77777777" w:rsidR="00624552" w:rsidRDefault="00624552">
      <w:pPr>
        <w:pStyle w:val="Heading1"/>
        <w:widowControl/>
        <w:rPr>
          <w:szCs w:val="22"/>
        </w:rPr>
      </w:pPr>
      <w:r>
        <w:t>ORDERING CLAUSE</w:t>
      </w:r>
      <w:bookmarkStart w:id="40" w:name="_Toc535910027"/>
      <w:bookmarkStart w:id="41" w:name="_Toc502988441"/>
    </w:p>
    <w:p w14:paraId="00F84AD8" w14:textId="77777777" w:rsidR="00624552" w:rsidRDefault="00624552" w:rsidP="00407514">
      <w:pPr>
        <w:pStyle w:val="ParaNum"/>
        <w:keepNext/>
        <w:widowControl/>
        <w:numPr>
          <w:ilvl w:val="0"/>
          <w:numId w:val="13"/>
        </w:numPr>
        <w:tabs>
          <w:tab w:val="left" w:pos="1440"/>
        </w:tabs>
      </w:pPr>
      <w:r>
        <w:rPr>
          <w:kern w:val="0"/>
        </w:rPr>
        <w:t>ACCORDINGLY, IT IS ORDERED, that pursuant to the authority contained in sections 1 through 4, 254, 303(r), and 403 of the Communications Act of 1934, as amended, 47 U.S.C. §§ 151-154, 254, 303(r), and 403,</w:t>
      </w:r>
      <w:r>
        <w:rPr>
          <w:rStyle w:val="StyleNumberedparagraphs11ptChar"/>
        </w:rPr>
        <w:t xml:space="preserve"> and sections </w:t>
      </w:r>
      <w:r w:rsidR="00D85A79">
        <w:rPr>
          <w:rStyle w:val="StyleNumberedparagraphs11ptChar"/>
          <w:szCs w:val="22"/>
        </w:rPr>
        <w:t>0.91 and 54.502</w:t>
      </w:r>
      <w:r>
        <w:rPr>
          <w:rStyle w:val="StyleNumberedparagraphs11ptChar"/>
          <w:szCs w:val="22"/>
        </w:rPr>
        <w:t xml:space="preserve"> of the Commission’s rules,</w:t>
      </w:r>
      <w:r w:rsidR="00D85A79">
        <w:rPr>
          <w:rStyle w:val="StyleNumberedparagraphs11ptChar"/>
          <w:szCs w:val="22"/>
        </w:rPr>
        <w:t xml:space="preserve"> 47 C.F.R. §§ 0.91 and 54.502</w:t>
      </w:r>
      <w:r>
        <w:rPr>
          <w:rStyle w:val="StyleNumberedparagraphs11ptChar"/>
          <w:szCs w:val="22"/>
        </w:rPr>
        <w:t>,</w:t>
      </w:r>
      <w:r>
        <w:rPr>
          <w:kern w:val="0"/>
        </w:rPr>
        <w:t xml:space="preserve"> this Order IS ADOPTED.</w:t>
      </w:r>
      <w:bookmarkEnd w:id="40"/>
      <w:bookmarkEnd w:id="41"/>
    </w:p>
    <w:p w14:paraId="505BF6F1" w14:textId="77777777" w:rsidR="00624552" w:rsidRDefault="00624552">
      <w:pPr>
        <w:pStyle w:val="ParaNum"/>
        <w:keepNext/>
        <w:widowControl/>
        <w:tabs>
          <w:tab w:val="left" w:pos="1440"/>
        </w:tabs>
        <w:ind w:left="360"/>
        <w:rPr>
          <w:rStyle w:val="StyleNumberedparagraphs11ptChar"/>
        </w:rPr>
      </w:pPr>
    </w:p>
    <w:p w14:paraId="731D5769" w14:textId="77777777" w:rsidR="00624552" w:rsidRDefault="00624552">
      <w:pPr>
        <w:pStyle w:val="ParaNum"/>
        <w:keepNext/>
        <w:widowControl/>
        <w:ind w:firstLine="720"/>
        <w:rPr>
          <w:szCs w:val="22"/>
        </w:rPr>
      </w:pPr>
      <w:r>
        <w:rPr>
          <w:szCs w:val="22"/>
        </w:rPr>
        <w:tab/>
      </w:r>
      <w:r>
        <w:rPr>
          <w:szCs w:val="22"/>
        </w:rPr>
        <w:tab/>
      </w:r>
      <w:r>
        <w:rPr>
          <w:szCs w:val="22"/>
        </w:rPr>
        <w:tab/>
      </w:r>
      <w:r>
        <w:rPr>
          <w:szCs w:val="22"/>
        </w:rPr>
        <w:tab/>
      </w:r>
      <w:r>
        <w:rPr>
          <w:szCs w:val="22"/>
        </w:rPr>
        <w:tab/>
        <w:t>FEDERAL COMMUNICATIONS COMMISSION</w:t>
      </w:r>
    </w:p>
    <w:p w14:paraId="47AF56F9" w14:textId="77777777" w:rsidR="00624552" w:rsidRDefault="00624552">
      <w:pPr>
        <w:pStyle w:val="ParaNum"/>
        <w:keepNext/>
        <w:widowControl/>
        <w:rPr>
          <w:szCs w:val="22"/>
        </w:rPr>
      </w:pPr>
    </w:p>
    <w:p w14:paraId="2CA863CD" w14:textId="77777777" w:rsidR="00624552" w:rsidRDefault="00624552">
      <w:pPr>
        <w:pStyle w:val="ParaNum"/>
        <w:keepNext/>
        <w:widowControl/>
        <w:rPr>
          <w:szCs w:val="22"/>
        </w:rPr>
      </w:pPr>
    </w:p>
    <w:p w14:paraId="5309850A" w14:textId="356785FD" w:rsidR="00624552" w:rsidRDefault="00624552">
      <w:pPr>
        <w:pStyle w:val="ParaNum"/>
        <w:widowControl/>
        <w:spacing w:after="0"/>
        <w:ind w:firstLine="720"/>
        <w:rPr>
          <w:szCs w:val="22"/>
        </w:rPr>
      </w:pPr>
      <w:r>
        <w:rPr>
          <w:szCs w:val="22"/>
        </w:rPr>
        <w:tab/>
      </w:r>
      <w:r>
        <w:rPr>
          <w:szCs w:val="22"/>
        </w:rPr>
        <w:tab/>
      </w:r>
      <w:r>
        <w:rPr>
          <w:szCs w:val="22"/>
        </w:rPr>
        <w:tab/>
      </w:r>
      <w:r>
        <w:rPr>
          <w:szCs w:val="22"/>
        </w:rPr>
        <w:tab/>
      </w:r>
      <w:r>
        <w:rPr>
          <w:szCs w:val="22"/>
        </w:rPr>
        <w:tab/>
      </w:r>
      <w:r w:rsidR="00E62C14">
        <w:rPr>
          <w:szCs w:val="22"/>
        </w:rPr>
        <w:t xml:space="preserve">Matthew </w:t>
      </w:r>
      <w:r w:rsidR="00DB4738">
        <w:rPr>
          <w:szCs w:val="22"/>
        </w:rPr>
        <w:t xml:space="preserve">S. </w:t>
      </w:r>
      <w:r w:rsidR="00E62C14">
        <w:rPr>
          <w:szCs w:val="22"/>
        </w:rPr>
        <w:t>DelNero</w:t>
      </w:r>
    </w:p>
    <w:p w14:paraId="2F41BB1B" w14:textId="77777777" w:rsidR="00624552" w:rsidRDefault="00624552">
      <w:pPr>
        <w:widowControl/>
      </w:pPr>
      <w:r>
        <w:tab/>
      </w:r>
      <w:r>
        <w:tab/>
      </w:r>
      <w:r>
        <w:tab/>
      </w:r>
      <w:r>
        <w:tab/>
      </w:r>
      <w:r>
        <w:tab/>
      </w:r>
      <w:r>
        <w:tab/>
        <w:t>Chief</w:t>
      </w:r>
    </w:p>
    <w:p w14:paraId="07B3D8EC" w14:textId="77777777" w:rsidR="00624552" w:rsidRDefault="00624552" w:rsidP="005D277F">
      <w:pPr>
        <w:widowControl/>
      </w:pPr>
      <w:r>
        <w:tab/>
      </w:r>
      <w:r>
        <w:tab/>
      </w:r>
      <w:r>
        <w:tab/>
      </w:r>
      <w:r>
        <w:tab/>
      </w:r>
      <w:r>
        <w:tab/>
      </w:r>
      <w:r>
        <w:tab/>
        <w:t>Wireline Competition Bureau</w:t>
      </w:r>
      <w:r>
        <w:tab/>
      </w:r>
    </w:p>
    <w:p w14:paraId="19958E9C" w14:textId="77777777" w:rsidR="00666D78" w:rsidRDefault="00666D78">
      <w:pPr>
        <w:widowControl/>
      </w:pPr>
      <w:r>
        <w:br w:type="page"/>
      </w:r>
    </w:p>
    <w:p w14:paraId="198CA4FB" w14:textId="77777777" w:rsidR="00666D78" w:rsidRDefault="00666D78" w:rsidP="00666D78">
      <w:pPr>
        <w:widowControl/>
        <w:jc w:val="center"/>
        <w:rPr>
          <w:b/>
          <w:szCs w:val="22"/>
        </w:rPr>
      </w:pPr>
      <w:r>
        <w:rPr>
          <w:b/>
          <w:szCs w:val="22"/>
        </w:rPr>
        <w:t>APPENDIX A</w:t>
      </w:r>
    </w:p>
    <w:p w14:paraId="43A1EE66" w14:textId="77777777" w:rsidR="00666D78" w:rsidRDefault="00666D78" w:rsidP="00666D78">
      <w:pPr>
        <w:widowControl/>
        <w:jc w:val="center"/>
        <w:rPr>
          <w:b/>
          <w:szCs w:val="22"/>
        </w:rPr>
      </w:pPr>
    </w:p>
    <w:p w14:paraId="3643A841" w14:textId="77777777" w:rsidR="00666D78" w:rsidRDefault="00666D78" w:rsidP="00666D78">
      <w:pPr>
        <w:widowControl/>
        <w:jc w:val="center"/>
        <w:rPr>
          <w:b/>
          <w:szCs w:val="22"/>
        </w:rPr>
      </w:pPr>
      <w:r>
        <w:rPr>
          <w:b/>
          <w:szCs w:val="22"/>
        </w:rPr>
        <w:t>List of Commenters</w:t>
      </w:r>
    </w:p>
    <w:p w14:paraId="5C9AA05A" w14:textId="77777777" w:rsidR="00666D78" w:rsidRDefault="00666D78" w:rsidP="00666D78">
      <w:pPr>
        <w:widowControl/>
        <w:jc w:val="center"/>
        <w:rPr>
          <w:b/>
          <w:szCs w:val="22"/>
        </w:rPr>
      </w:pPr>
    </w:p>
    <w:p w14:paraId="071E3318" w14:textId="77777777" w:rsidR="00FD4AE1" w:rsidRDefault="00666D78" w:rsidP="00666D78">
      <w:pPr>
        <w:widowControl/>
        <w:jc w:val="center"/>
        <w:rPr>
          <w:b/>
          <w:szCs w:val="22"/>
        </w:rPr>
      </w:pPr>
      <w:r>
        <w:rPr>
          <w:b/>
          <w:szCs w:val="22"/>
        </w:rPr>
        <w:t xml:space="preserve">Comments and Reply Comments in Response to the </w:t>
      </w:r>
    </w:p>
    <w:p w14:paraId="33067543" w14:textId="2C9ADFA2" w:rsidR="00666D78" w:rsidRDefault="00666D78" w:rsidP="00666D78">
      <w:pPr>
        <w:widowControl/>
        <w:jc w:val="center"/>
        <w:rPr>
          <w:b/>
          <w:i/>
          <w:szCs w:val="22"/>
        </w:rPr>
      </w:pPr>
      <w:r>
        <w:rPr>
          <w:b/>
          <w:i/>
          <w:szCs w:val="22"/>
        </w:rPr>
        <w:t>ESL Public Notice</w:t>
      </w:r>
    </w:p>
    <w:p w14:paraId="4C82215E" w14:textId="77777777" w:rsidR="00FD4AE1" w:rsidRDefault="00FD4AE1" w:rsidP="00666D78">
      <w:pPr>
        <w:widowControl/>
        <w:jc w:val="center"/>
        <w:rPr>
          <w:b/>
          <w:szCs w:val="22"/>
        </w:rPr>
      </w:pPr>
    </w:p>
    <w:p w14:paraId="19CD59A4" w14:textId="77777777" w:rsidR="00666D78" w:rsidRDefault="00666D78" w:rsidP="00666D78">
      <w:pPr>
        <w:widowControl/>
        <w:jc w:val="center"/>
        <w:rPr>
          <w:b/>
          <w:szCs w:val="22"/>
        </w:rPr>
      </w:pPr>
      <w:r>
        <w:rPr>
          <w:b/>
          <w:szCs w:val="22"/>
        </w:rPr>
        <w:t>WC Docket No. 13-184</w:t>
      </w:r>
    </w:p>
    <w:p w14:paraId="75F4BB4C" w14:textId="77777777" w:rsidR="00666D78" w:rsidRDefault="00666D78" w:rsidP="00666D78">
      <w:pPr>
        <w:widowControl/>
        <w:jc w:val="center"/>
        <w:rPr>
          <w:b/>
          <w:szCs w:val="22"/>
        </w:rPr>
      </w:pPr>
    </w:p>
    <w:p w14:paraId="48C240D4" w14:textId="77777777" w:rsidR="00666D78" w:rsidRDefault="00666D78" w:rsidP="00666D78">
      <w:pPr>
        <w:widowControl/>
        <w:rPr>
          <w:b/>
          <w:szCs w:val="22"/>
          <w:u w:val="single"/>
        </w:rPr>
      </w:pPr>
      <w:r>
        <w:rPr>
          <w:b/>
          <w:szCs w:val="22"/>
          <w:u w:val="single"/>
        </w:rPr>
        <w:t>Commenters</w:t>
      </w:r>
    </w:p>
    <w:p w14:paraId="5F3DE659" w14:textId="77777777" w:rsidR="00666D78" w:rsidRDefault="00666D78" w:rsidP="00666D78">
      <w:pPr>
        <w:widowControl/>
        <w:rPr>
          <w:b/>
          <w:szCs w:val="22"/>
          <w:u w:val="single"/>
        </w:rPr>
      </w:pPr>
    </w:p>
    <w:p w14:paraId="64BABC4C" w14:textId="77777777" w:rsidR="00666D78" w:rsidRDefault="00EF3D33" w:rsidP="00EF3D33">
      <w:pPr>
        <w:pStyle w:val="NoSpacing"/>
        <w:numPr>
          <w:ilvl w:val="0"/>
          <w:numId w:val="21"/>
        </w:numPr>
      </w:pPr>
      <w:r>
        <w:t>ADS Advanced Data Services, Inc.</w:t>
      </w:r>
    </w:p>
    <w:p w14:paraId="6AD692E3" w14:textId="77777777" w:rsidR="00EF3D33" w:rsidRDefault="00EF3D33" w:rsidP="00EF3D33">
      <w:pPr>
        <w:pStyle w:val="NoSpacing"/>
        <w:numPr>
          <w:ilvl w:val="0"/>
          <w:numId w:val="21"/>
        </w:numPr>
      </w:pPr>
      <w:r>
        <w:t>AdTec</w:t>
      </w:r>
    </w:p>
    <w:p w14:paraId="44CE0227" w14:textId="77777777" w:rsidR="00EF3D33" w:rsidRDefault="00EF3D33" w:rsidP="00EF3D33">
      <w:pPr>
        <w:pStyle w:val="NoSpacing"/>
        <w:numPr>
          <w:ilvl w:val="0"/>
          <w:numId w:val="21"/>
        </w:numPr>
      </w:pPr>
      <w:r>
        <w:t>CRW Consulting</w:t>
      </w:r>
    </w:p>
    <w:p w14:paraId="2E357D64" w14:textId="77777777" w:rsidR="00EF3D33" w:rsidRDefault="00EF3D33" w:rsidP="00EF3D33">
      <w:pPr>
        <w:pStyle w:val="NoSpacing"/>
        <w:numPr>
          <w:ilvl w:val="0"/>
          <w:numId w:val="21"/>
        </w:numPr>
      </w:pPr>
      <w:r>
        <w:t>EducationSuperHighway</w:t>
      </w:r>
      <w:r w:rsidR="00C84BDE">
        <w:t xml:space="preserve"> (ESH)</w:t>
      </w:r>
    </w:p>
    <w:p w14:paraId="55183C65" w14:textId="77777777" w:rsidR="00EF3D33" w:rsidRDefault="00EF3D33" w:rsidP="00EF3D33">
      <w:pPr>
        <w:pStyle w:val="NoSpacing"/>
        <w:numPr>
          <w:ilvl w:val="0"/>
          <w:numId w:val="21"/>
        </w:numPr>
      </w:pPr>
      <w:r>
        <w:t>Education Partner Solutions, Inc.</w:t>
      </w:r>
    </w:p>
    <w:p w14:paraId="1DD1CB15" w14:textId="77777777" w:rsidR="00EF3D33" w:rsidRDefault="00EF3D33" w:rsidP="00EF3D33">
      <w:pPr>
        <w:pStyle w:val="NoSpacing"/>
        <w:numPr>
          <w:ilvl w:val="0"/>
          <w:numId w:val="21"/>
        </w:numPr>
      </w:pPr>
      <w:r>
        <w:t>E-Rate Provider Servcies, LLC.</w:t>
      </w:r>
    </w:p>
    <w:p w14:paraId="146896AF" w14:textId="77777777" w:rsidR="00EF3D33" w:rsidRDefault="00C84BDE" w:rsidP="00EF3D33">
      <w:pPr>
        <w:pStyle w:val="NoSpacing"/>
        <w:numPr>
          <w:ilvl w:val="0"/>
          <w:numId w:val="21"/>
        </w:numPr>
      </w:pPr>
      <w:r>
        <w:t>Funds for Learning, LLC (FFL)</w:t>
      </w:r>
    </w:p>
    <w:p w14:paraId="0B6977F1" w14:textId="77777777" w:rsidR="00C84BDE" w:rsidRDefault="00C84BDE" w:rsidP="00EF3D33">
      <w:pPr>
        <w:pStyle w:val="NoSpacing"/>
        <w:numPr>
          <w:ilvl w:val="0"/>
          <w:numId w:val="21"/>
        </w:numPr>
      </w:pPr>
      <w:r>
        <w:t>Hewlett-Packard Company (HP)</w:t>
      </w:r>
    </w:p>
    <w:p w14:paraId="682B0D26" w14:textId="77777777" w:rsidR="00C84BDE" w:rsidRDefault="00C84BDE" w:rsidP="00EF3D33">
      <w:pPr>
        <w:pStyle w:val="NoSpacing"/>
        <w:numPr>
          <w:ilvl w:val="0"/>
          <w:numId w:val="21"/>
        </w:numPr>
      </w:pPr>
      <w:r>
        <w:t>Illinois Department of Central Management Services (Illinois)</w:t>
      </w:r>
    </w:p>
    <w:p w14:paraId="56A45846" w14:textId="77777777" w:rsidR="00C84BDE" w:rsidRDefault="00DA51A0" w:rsidP="00EF3D33">
      <w:pPr>
        <w:pStyle w:val="NoSpacing"/>
        <w:numPr>
          <w:ilvl w:val="0"/>
          <w:numId w:val="21"/>
        </w:numPr>
      </w:pPr>
      <w:r>
        <w:t>New York City Department of Education (NYC DOE)</w:t>
      </w:r>
    </w:p>
    <w:p w14:paraId="79DB5DBA" w14:textId="77777777" w:rsidR="00DA51A0" w:rsidRDefault="00DA51A0" w:rsidP="00EF3D33">
      <w:pPr>
        <w:pStyle w:val="NoSpacing"/>
        <w:numPr>
          <w:ilvl w:val="0"/>
          <w:numId w:val="21"/>
        </w:numPr>
      </w:pPr>
      <w:r>
        <w:t>T-Mobile USA, Inc. (T-Mobile)</w:t>
      </w:r>
    </w:p>
    <w:p w14:paraId="6FA7A2C7" w14:textId="77777777" w:rsidR="00DA51A0" w:rsidRDefault="00DA51A0" w:rsidP="00EF3D33">
      <w:pPr>
        <w:pStyle w:val="NoSpacing"/>
        <w:numPr>
          <w:ilvl w:val="0"/>
          <w:numId w:val="21"/>
        </w:numPr>
      </w:pPr>
      <w:r>
        <w:t>Unite Private Networks</w:t>
      </w:r>
    </w:p>
    <w:p w14:paraId="0D1C9007" w14:textId="77777777" w:rsidR="00DA51A0" w:rsidRDefault="00DA51A0" w:rsidP="00DA51A0">
      <w:pPr>
        <w:pStyle w:val="NoSpacing"/>
      </w:pPr>
    </w:p>
    <w:p w14:paraId="1BCE0708" w14:textId="77777777" w:rsidR="00DA51A0" w:rsidRDefault="00DA51A0" w:rsidP="00DA51A0">
      <w:pPr>
        <w:pStyle w:val="NoSpacing"/>
        <w:rPr>
          <w:b/>
          <w:u w:val="single"/>
        </w:rPr>
      </w:pPr>
      <w:r>
        <w:rPr>
          <w:b/>
          <w:u w:val="single"/>
        </w:rPr>
        <w:t>Reply Commenters</w:t>
      </w:r>
    </w:p>
    <w:p w14:paraId="49F07102" w14:textId="77777777" w:rsidR="00DA51A0" w:rsidRDefault="00DA51A0" w:rsidP="00DA51A0">
      <w:pPr>
        <w:pStyle w:val="NoSpacing"/>
        <w:rPr>
          <w:b/>
          <w:u w:val="single"/>
        </w:rPr>
      </w:pPr>
    </w:p>
    <w:p w14:paraId="282C2EEC" w14:textId="77777777" w:rsidR="00DA51A0" w:rsidRDefault="00DA51A0" w:rsidP="00DA51A0">
      <w:pPr>
        <w:pStyle w:val="NoSpacing"/>
        <w:numPr>
          <w:ilvl w:val="0"/>
          <w:numId w:val="22"/>
        </w:numPr>
      </w:pPr>
      <w:r>
        <w:t>ADS Advanced Data Services, Inc.</w:t>
      </w:r>
    </w:p>
    <w:p w14:paraId="4210DB5E" w14:textId="77777777" w:rsidR="00DA51A0" w:rsidRDefault="00DA5FA5" w:rsidP="00DA51A0">
      <w:pPr>
        <w:pStyle w:val="NoSpacing"/>
        <w:numPr>
          <w:ilvl w:val="0"/>
          <w:numId w:val="22"/>
        </w:numPr>
      </w:pPr>
      <w:r>
        <w:t>ESH</w:t>
      </w:r>
    </w:p>
    <w:p w14:paraId="1BBC7181" w14:textId="77777777" w:rsidR="00DA5FA5" w:rsidRDefault="00DA5FA5" w:rsidP="00DA51A0">
      <w:pPr>
        <w:pStyle w:val="NoSpacing"/>
        <w:numPr>
          <w:ilvl w:val="0"/>
          <w:numId w:val="22"/>
        </w:numPr>
      </w:pPr>
      <w:r>
        <w:t>E-Rate Central</w:t>
      </w:r>
    </w:p>
    <w:p w14:paraId="275B18DD" w14:textId="77777777" w:rsidR="00DA5FA5" w:rsidRDefault="00DA5FA5" w:rsidP="00DA51A0">
      <w:pPr>
        <w:pStyle w:val="NoSpacing"/>
        <w:numPr>
          <w:ilvl w:val="0"/>
          <w:numId w:val="22"/>
        </w:numPr>
      </w:pPr>
      <w:r>
        <w:t>Exebridge, Inc.</w:t>
      </w:r>
    </w:p>
    <w:p w14:paraId="6CD59632" w14:textId="77777777" w:rsidR="00DA5FA5" w:rsidRDefault="00DA5FA5" w:rsidP="00DA51A0">
      <w:pPr>
        <w:pStyle w:val="NoSpacing"/>
        <w:numPr>
          <w:ilvl w:val="0"/>
          <w:numId w:val="22"/>
        </w:numPr>
      </w:pPr>
      <w:r>
        <w:t>Friday Institute for Educational Innovation, North Carolina State University (Friday Institute)</w:t>
      </w:r>
    </w:p>
    <w:p w14:paraId="58EFFA0B" w14:textId="77777777" w:rsidR="00DA5FA5" w:rsidRDefault="00077A5A" w:rsidP="00DA51A0">
      <w:pPr>
        <w:pStyle w:val="NoSpacing"/>
        <w:numPr>
          <w:ilvl w:val="0"/>
          <w:numId w:val="22"/>
        </w:numPr>
      </w:pPr>
      <w:r>
        <w:t>Hazel Reyes</w:t>
      </w:r>
    </w:p>
    <w:p w14:paraId="095857D5" w14:textId="77777777" w:rsidR="00077A5A" w:rsidRDefault="00077A5A" w:rsidP="00DA51A0">
      <w:pPr>
        <w:pStyle w:val="NoSpacing"/>
        <w:numPr>
          <w:ilvl w:val="0"/>
          <w:numId w:val="22"/>
        </w:numPr>
      </w:pPr>
      <w:r>
        <w:t>North Carolina Department of Public Instruction (NC DPI)</w:t>
      </w:r>
    </w:p>
    <w:p w14:paraId="1D2E4612" w14:textId="77777777" w:rsidR="00077A5A" w:rsidRDefault="00077A5A" w:rsidP="00DA51A0">
      <w:pPr>
        <w:pStyle w:val="NoSpacing"/>
        <w:numPr>
          <w:ilvl w:val="0"/>
          <w:numId w:val="22"/>
        </w:numPr>
      </w:pPr>
      <w:r>
        <w:t>Schools, Health &amp; Libraries Broadband Coalition (SHLB)</w:t>
      </w:r>
    </w:p>
    <w:p w14:paraId="1342E327" w14:textId="77777777" w:rsidR="00077A5A" w:rsidRDefault="00077A5A" w:rsidP="00DA51A0">
      <w:pPr>
        <w:pStyle w:val="NoSpacing"/>
        <w:numPr>
          <w:ilvl w:val="0"/>
          <w:numId w:val="22"/>
        </w:numPr>
      </w:pPr>
      <w:r>
        <w:t>State E-rate Coordinators’ Alliance (SECA)</w:t>
      </w:r>
    </w:p>
    <w:p w14:paraId="08111501" w14:textId="77777777" w:rsidR="00077A5A" w:rsidRDefault="00077A5A" w:rsidP="00DA51A0">
      <w:pPr>
        <w:pStyle w:val="NoSpacing"/>
        <w:numPr>
          <w:ilvl w:val="0"/>
          <w:numId w:val="22"/>
        </w:numPr>
      </w:pPr>
      <w:r>
        <w:t>United States Telecom Association (USTelecom)</w:t>
      </w:r>
    </w:p>
    <w:p w14:paraId="125F85EE" w14:textId="77777777" w:rsidR="00077A5A" w:rsidRDefault="00077A5A" w:rsidP="00DA51A0">
      <w:pPr>
        <w:pStyle w:val="NoSpacing"/>
        <w:numPr>
          <w:ilvl w:val="0"/>
          <w:numId w:val="22"/>
        </w:numPr>
      </w:pPr>
      <w:r>
        <w:t>VMWare, Inc.</w:t>
      </w:r>
    </w:p>
    <w:p w14:paraId="75A1C8A2" w14:textId="77777777" w:rsidR="007712A7" w:rsidRDefault="007712A7">
      <w:pPr>
        <w:widowControl/>
      </w:pPr>
      <w:r>
        <w:br w:type="page"/>
      </w:r>
    </w:p>
    <w:p w14:paraId="5A9AF280" w14:textId="77777777" w:rsidR="007712A7" w:rsidRDefault="007712A7" w:rsidP="007712A7">
      <w:pPr>
        <w:pStyle w:val="NoSpacing"/>
        <w:ind w:left="360"/>
        <w:jc w:val="center"/>
        <w:rPr>
          <w:b/>
        </w:rPr>
      </w:pPr>
      <w:r>
        <w:rPr>
          <w:b/>
        </w:rPr>
        <w:t>APPENDIX B</w:t>
      </w:r>
    </w:p>
    <w:p w14:paraId="0555F7E3" w14:textId="77777777" w:rsidR="007712A7" w:rsidRDefault="007712A7" w:rsidP="007712A7">
      <w:pPr>
        <w:pStyle w:val="NoSpacing"/>
        <w:ind w:left="360"/>
        <w:jc w:val="center"/>
        <w:rPr>
          <w:b/>
        </w:rPr>
      </w:pPr>
    </w:p>
    <w:p w14:paraId="4E137BB5" w14:textId="77777777" w:rsidR="007712A7" w:rsidRDefault="007712A7" w:rsidP="007712A7">
      <w:pPr>
        <w:pStyle w:val="NoSpacing"/>
        <w:ind w:left="360"/>
        <w:jc w:val="center"/>
        <w:rPr>
          <w:b/>
        </w:rPr>
      </w:pPr>
      <w:r>
        <w:rPr>
          <w:b/>
        </w:rPr>
        <w:t>Eligible Services List for Funding Year 2016</w:t>
      </w:r>
    </w:p>
    <w:p w14:paraId="73070FD8" w14:textId="77777777" w:rsidR="00FD4AE1" w:rsidRDefault="007712A7">
      <w:pPr>
        <w:widowControl/>
        <w:rPr>
          <w:b/>
        </w:rPr>
        <w:sectPr w:rsidR="00FD4AE1" w:rsidSect="00582E7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720" w:left="1440" w:header="720" w:footer="720" w:gutter="0"/>
          <w:pgNumType w:start="1"/>
          <w:cols w:space="720"/>
          <w:noEndnote/>
          <w:titlePg/>
        </w:sectPr>
      </w:pPr>
      <w:r>
        <w:rPr>
          <w:b/>
        </w:rPr>
        <w:br w:type="page"/>
      </w:r>
    </w:p>
    <w:p w14:paraId="5BF31E4D" w14:textId="77777777" w:rsidR="00974AC8" w:rsidRDefault="00974AC8" w:rsidP="00974AC8">
      <w:pPr>
        <w:jc w:val="center"/>
        <w:rPr>
          <w:b/>
          <w:sz w:val="24"/>
          <w:szCs w:val="24"/>
        </w:rPr>
      </w:pPr>
      <w:r w:rsidRPr="006E3382">
        <w:rPr>
          <w:b/>
          <w:sz w:val="24"/>
          <w:szCs w:val="24"/>
        </w:rPr>
        <w:t>Schools and Libraries Universal Service Support Mechanism – Eligible Services List</w:t>
      </w:r>
    </w:p>
    <w:p w14:paraId="18DE6A09" w14:textId="77777777" w:rsidR="00974AC8" w:rsidRPr="006E3382" w:rsidRDefault="00974AC8" w:rsidP="00974AC8">
      <w:pPr>
        <w:jc w:val="center"/>
        <w:rPr>
          <w:szCs w:val="22"/>
          <w:u w:val="single"/>
        </w:rPr>
      </w:pPr>
    </w:p>
    <w:p w14:paraId="27968AA0" w14:textId="77777777" w:rsidR="00974AC8" w:rsidRPr="006E3382" w:rsidRDefault="00974AC8" w:rsidP="00974AC8">
      <w:pPr>
        <w:jc w:val="center"/>
        <w:rPr>
          <w:bCs/>
          <w:szCs w:val="22"/>
        </w:rPr>
      </w:pPr>
      <w:r>
        <w:rPr>
          <w:bCs/>
          <w:szCs w:val="22"/>
        </w:rPr>
        <w:t>(W</w:t>
      </w:r>
      <w:r w:rsidRPr="006E3382">
        <w:rPr>
          <w:bCs/>
          <w:szCs w:val="22"/>
        </w:rPr>
        <w:t xml:space="preserve">C Docket No. </w:t>
      </w:r>
      <w:r>
        <w:rPr>
          <w:bCs/>
          <w:szCs w:val="22"/>
        </w:rPr>
        <w:t>13-184</w:t>
      </w:r>
      <w:r w:rsidRPr="006E3382">
        <w:rPr>
          <w:bCs/>
          <w:szCs w:val="22"/>
        </w:rPr>
        <w:t>)</w:t>
      </w:r>
    </w:p>
    <w:p w14:paraId="5550EE2C" w14:textId="77777777" w:rsidR="00974AC8" w:rsidRPr="006E3382" w:rsidRDefault="00974AC8" w:rsidP="00974AC8">
      <w:pPr>
        <w:jc w:val="both"/>
        <w:rPr>
          <w:bCs/>
          <w:szCs w:val="22"/>
        </w:rPr>
      </w:pPr>
    </w:p>
    <w:p w14:paraId="1CCDE3DB" w14:textId="77777777" w:rsidR="00974AC8" w:rsidRPr="006E3382" w:rsidRDefault="00974AC8" w:rsidP="00974AC8">
      <w:pPr>
        <w:rPr>
          <w:szCs w:val="22"/>
        </w:rPr>
      </w:pPr>
      <w:r w:rsidRPr="006E3382">
        <w:rPr>
          <w:szCs w:val="22"/>
        </w:rPr>
        <w:t xml:space="preserve">The Federal Communications Commission’s (FCC’s) rules provide that all services that are eligible to receive discounts under the Schools and Libraries Universal Service Support Mechanism (otherwise known as the E-rate program or “E-rate”) are listed in this Eligible Services List (ESL).  The E-rate program is administered by the Universal Service Administrative Company (USAC). </w:t>
      </w:r>
      <w:r>
        <w:rPr>
          <w:szCs w:val="22"/>
        </w:rPr>
        <w:t xml:space="preserve"> E</w:t>
      </w:r>
      <w:r w:rsidRPr="006E3382">
        <w:rPr>
          <w:szCs w:val="22"/>
        </w:rPr>
        <w:t>ligible schools and libraries may seek E-rate support for eligible Category One telecommunications services, telecommunications, and Internet access and Category Two internal connections, basic maintenance, and managed internal broadband services</w:t>
      </w:r>
      <w:r>
        <w:rPr>
          <w:szCs w:val="22"/>
        </w:rPr>
        <w:t xml:space="preserve"> as identified herein</w:t>
      </w:r>
      <w:r w:rsidRPr="006E3382" w:rsidDel="00907FA5">
        <w:rPr>
          <w:snapToGrid w:val="0"/>
          <w:szCs w:val="22"/>
        </w:rPr>
        <w:t xml:space="preserve">.  </w:t>
      </w:r>
      <w:r w:rsidRPr="006E3382">
        <w:rPr>
          <w:snapToGrid w:val="0"/>
          <w:szCs w:val="22"/>
        </w:rPr>
        <w:t>47 C.F.R. §§ 54.5, 54.500, and 54.502(a).</w:t>
      </w:r>
      <w:r w:rsidRPr="006E3382">
        <w:rPr>
          <w:szCs w:val="22"/>
        </w:rPr>
        <w:t xml:space="preserve">  </w:t>
      </w:r>
    </w:p>
    <w:p w14:paraId="21AB022E" w14:textId="77777777" w:rsidR="00974AC8" w:rsidRPr="006E3382" w:rsidRDefault="00974AC8" w:rsidP="00974AC8">
      <w:pPr>
        <w:tabs>
          <w:tab w:val="left" w:pos="5943"/>
        </w:tabs>
        <w:rPr>
          <w:szCs w:val="22"/>
        </w:rPr>
      </w:pPr>
      <w:r>
        <w:rPr>
          <w:szCs w:val="22"/>
        </w:rPr>
        <w:tab/>
      </w:r>
    </w:p>
    <w:p w14:paraId="387F6C56" w14:textId="77777777" w:rsidR="00974AC8" w:rsidRDefault="00974AC8" w:rsidP="00974AC8">
      <w:pPr>
        <w:rPr>
          <w:szCs w:val="22"/>
        </w:rPr>
      </w:pPr>
      <w:r w:rsidRPr="006E3382">
        <w:rPr>
          <w:szCs w:val="22"/>
        </w:rPr>
        <w:t xml:space="preserve">Additional guidance from USAC about the E-rate application process and about eligible services, including a glossary of terms, is available at USAC’s website at </w:t>
      </w:r>
      <w:r w:rsidRPr="006E3382">
        <w:rPr>
          <w:color w:val="0000FF"/>
          <w:szCs w:val="22"/>
          <w:u w:val="single"/>
        </w:rPr>
        <w:t>http://www.usac.org/sl/</w:t>
      </w:r>
      <w:r w:rsidRPr="006E3382">
        <w:rPr>
          <w:szCs w:val="22"/>
        </w:rPr>
        <w:t>.  Th</w:t>
      </w:r>
      <w:r>
        <w:rPr>
          <w:szCs w:val="22"/>
        </w:rPr>
        <w:t>e</w:t>
      </w:r>
      <w:r w:rsidRPr="006E3382">
        <w:rPr>
          <w:szCs w:val="22"/>
        </w:rPr>
        <w:t xml:space="preserve"> documents on USAC’s website are not incorporated by reference into the ESL and do not bind the Commission.  Thus, they will not be used to determine whether a service or product is eligible.  Applicants and service providers are free to refer to those documents, but just for informal guidance.  This ESL, dated</w:t>
      </w:r>
      <w:r>
        <w:rPr>
          <w:szCs w:val="22"/>
        </w:rPr>
        <w:t xml:space="preserve"> [[Month XX, 2015]],</w:t>
      </w:r>
      <w:r w:rsidRPr="006E3382">
        <w:rPr>
          <w:szCs w:val="22"/>
        </w:rPr>
        <w:t xml:space="preserve"> implements changes adopted in the </w:t>
      </w:r>
      <w:r w:rsidRPr="006E3382">
        <w:rPr>
          <w:i/>
          <w:szCs w:val="22"/>
        </w:rPr>
        <w:t xml:space="preserve">E-rate Modernization Order </w:t>
      </w:r>
      <w:r w:rsidRPr="006E3382">
        <w:rPr>
          <w:szCs w:val="22"/>
        </w:rPr>
        <w:t>(FCC 14-99)</w:t>
      </w:r>
      <w:r>
        <w:rPr>
          <w:szCs w:val="22"/>
        </w:rPr>
        <w:t xml:space="preserve"> and in the </w:t>
      </w:r>
      <w:r>
        <w:rPr>
          <w:i/>
          <w:szCs w:val="22"/>
        </w:rPr>
        <w:t>S</w:t>
      </w:r>
      <w:r w:rsidRPr="001F0C66">
        <w:rPr>
          <w:i/>
          <w:szCs w:val="22"/>
        </w:rPr>
        <w:t xml:space="preserve">econd </w:t>
      </w:r>
      <w:r>
        <w:rPr>
          <w:i/>
          <w:szCs w:val="22"/>
        </w:rPr>
        <w:t xml:space="preserve">E-rate </w:t>
      </w:r>
      <w:r w:rsidRPr="001F0C66">
        <w:rPr>
          <w:i/>
          <w:szCs w:val="22"/>
        </w:rPr>
        <w:t>Modernization Order</w:t>
      </w:r>
      <w:r>
        <w:rPr>
          <w:szCs w:val="22"/>
        </w:rPr>
        <w:t xml:space="preserve"> (FCC 14-189)</w:t>
      </w:r>
      <w:r w:rsidRPr="006E3382">
        <w:rPr>
          <w:szCs w:val="22"/>
        </w:rPr>
        <w:t>, and therefore represents a change from prior funding years.  This ESL applies to funding requests for Funding Year 201</w:t>
      </w:r>
      <w:r>
        <w:rPr>
          <w:szCs w:val="22"/>
        </w:rPr>
        <w:t>6</w:t>
      </w:r>
      <w:r w:rsidRPr="006E3382">
        <w:rPr>
          <w:szCs w:val="22"/>
        </w:rPr>
        <w:t>.</w:t>
      </w:r>
    </w:p>
    <w:p w14:paraId="0B6BFFFA" w14:textId="77777777" w:rsidR="00974AC8" w:rsidRDefault="00974AC8" w:rsidP="00974AC8">
      <w:pPr>
        <w:rPr>
          <w:szCs w:val="22"/>
        </w:rPr>
      </w:pPr>
      <w:r>
        <w:rPr>
          <w:szCs w:val="22"/>
        </w:rPr>
        <w:br w:type="page"/>
      </w:r>
    </w:p>
    <w:p w14:paraId="4947E067" w14:textId="77777777" w:rsidR="00974AC8" w:rsidRPr="00DF4B1F" w:rsidRDefault="00974AC8" w:rsidP="00974AC8">
      <w:pPr>
        <w:spacing w:after="120"/>
        <w:rPr>
          <w:b/>
          <w:szCs w:val="22"/>
          <w:u w:val="single"/>
        </w:rPr>
      </w:pPr>
      <w:r w:rsidRPr="006E3382">
        <w:rPr>
          <w:b/>
          <w:u w:val="single"/>
        </w:rPr>
        <w:t>Category One</w:t>
      </w:r>
    </w:p>
    <w:p w14:paraId="6578AD4D" w14:textId="31E9B480" w:rsidR="00974AC8" w:rsidRPr="006E3382" w:rsidRDefault="00974AC8" w:rsidP="00974AC8">
      <w:pPr>
        <w:rPr>
          <w:bCs/>
        </w:rPr>
      </w:pPr>
      <w:r w:rsidRPr="006E3382">
        <w:rPr>
          <w:szCs w:val="22"/>
        </w:rPr>
        <w:t xml:space="preserve">The first category of supported services, Category One, includes the services needed to support broadband connectivity to schools and libraries.  </w:t>
      </w:r>
      <w:r w:rsidRPr="006E3382">
        <w:t xml:space="preserve">Eligible Category One services are listed in the entries for </w:t>
      </w:r>
      <w:r>
        <w:t>data</w:t>
      </w:r>
      <w:r w:rsidRPr="006E3382">
        <w:t xml:space="preserve"> transmission services and Internet access and voice services</w:t>
      </w:r>
      <w:r w:rsidRPr="006E3382">
        <w:rPr>
          <w:bCs/>
        </w:rPr>
        <w:t xml:space="preserve">.  This category consists of the services that provide broadband to eligible locations including data links that connect multiple points, services used to </w:t>
      </w:r>
      <w:r w:rsidRPr="006E3382">
        <w:t xml:space="preserve">connect eligible locations to the Internet, and services that provide basic conduit access to the Internet.  </w:t>
      </w:r>
      <w:r w:rsidRPr="007942D6">
        <w:t>With the exception of dark fiber and self-provisioned broadband networks, m</w:t>
      </w:r>
      <w:r w:rsidRPr="007942D6">
        <w:rPr>
          <w:bCs/>
        </w:rPr>
        <w:t>aintenance and technical support appropriate to maintain reliable operation are only eligible for support when provided as a component of these services</w:t>
      </w:r>
      <w:r w:rsidRPr="006E3382">
        <w:rPr>
          <w:bCs/>
        </w:rPr>
        <w:t xml:space="preserve">.  Voice services, as described below, </w:t>
      </w:r>
      <w:r w:rsidRPr="006E3382">
        <w:t xml:space="preserve">are subject to a phase down of support beginning in </w:t>
      </w:r>
      <w:r>
        <w:t>F</w:t>
      </w:r>
      <w:r w:rsidRPr="006E3382">
        <w:t xml:space="preserve">unding </w:t>
      </w:r>
      <w:r>
        <w:t>Y</w:t>
      </w:r>
      <w:r w:rsidRPr="006E3382">
        <w:t xml:space="preserve">ear </w:t>
      </w:r>
      <w:r>
        <w:t xml:space="preserve">(FY) </w:t>
      </w:r>
      <w:r w:rsidRPr="006E3382">
        <w:t xml:space="preserve">2015.  </w:t>
      </w:r>
    </w:p>
    <w:p w14:paraId="619D53AA" w14:textId="77777777" w:rsidR="00974AC8" w:rsidRPr="006E3382" w:rsidRDefault="00974AC8" w:rsidP="00974AC8">
      <w:pPr>
        <w:jc w:val="both"/>
        <w:rPr>
          <w:bCs/>
        </w:rPr>
      </w:pPr>
      <w:r w:rsidRPr="006E3382">
        <w:rPr>
          <w:bCs/>
        </w:rPr>
        <w:tab/>
      </w:r>
    </w:p>
    <w:tbl>
      <w:tblPr>
        <w:tblStyle w:val="TableGrid1"/>
        <w:tblW w:w="0" w:type="auto"/>
        <w:jc w:val="center"/>
        <w:tblLook w:val="04A0" w:firstRow="1" w:lastRow="0" w:firstColumn="1" w:lastColumn="0" w:noHBand="0" w:noVBand="1"/>
      </w:tblPr>
      <w:tblGrid>
        <w:gridCol w:w="9175"/>
      </w:tblGrid>
      <w:tr w:rsidR="00974AC8" w:rsidRPr="006E3382" w14:paraId="16FD06AE" w14:textId="77777777" w:rsidTr="00FA48E6">
        <w:trPr>
          <w:jc w:val="center"/>
        </w:trPr>
        <w:tc>
          <w:tcPr>
            <w:tcW w:w="9175" w:type="dxa"/>
          </w:tcPr>
          <w:p w14:paraId="6B9F81CA" w14:textId="77777777" w:rsidR="00974AC8" w:rsidRDefault="00974AC8" w:rsidP="006E7F77">
            <w:pPr>
              <w:jc w:val="center"/>
              <w:rPr>
                <w:b/>
                <w:szCs w:val="22"/>
              </w:rPr>
            </w:pPr>
            <w:r>
              <w:rPr>
                <w:b/>
                <w:szCs w:val="22"/>
              </w:rPr>
              <w:t>Data</w:t>
            </w:r>
            <w:r w:rsidRPr="006E3382">
              <w:rPr>
                <w:b/>
                <w:szCs w:val="22"/>
              </w:rPr>
              <w:t xml:space="preserve"> transmission services and Internet access</w:t>
            </w:r>
          </w:p>
          <w:p w14:paraId="614304D6" w14:textId="77777777" w:rsidR="00974AC8" w:rsidRPr="006E3382" w:rsidRDefault="00974AC8" w:rsidP="006E7F77">
            <w:pPr>
              <w:jc w:val="center"/>
              <w:rPr>
                <w:b/>
                <w:szCs w:val="22"/>
              </w:rPr>
            </w:pPr>
          </w:p>
          <w:p w14:paraId="631D79A8" w14:textId="77777777" w:rsidR="00974AC8" w:rsidRPr="006E3382" w:rsidRDefault="00974AC8" w:rsidP="006E7F77">
            <w:pPr>
              <w:jc w:val="both"/>
              <w:rPr>
                <w:szCs w:val="22"/>
              </w:rPr>
            </w:pPr>
            <w:r w:rsidRPr="006E3382">
              <w:rPr>
                <w:szCs w:val="22"/>
              </w:rPr>
              <w:t>D</w:t>
            </w:r>
            <w:r>
              <w:rPr>
                <w:szCs w:val="22"/>
              </w:rPr>
              <w:t>igital</w:t>
            </w:r>
            <w:r w:rsidRPr="006E3382">
              <w:rPr>
                <w:szCs w:val="22"/>
              </w:rPr>
              <w:t xml:space="preserve"> transmission services and Internet access are eligible in Category One.  These services include:</w:t>
            </w:r>
          </w:p>
          <w:p w14:paraId="7CD0FBCB" w14:textId="77777777" w:rsidR="00974AC8" w:rsidRPr="006E3382" w:rsidRDefault="00974AC8" w:rsidP="00974AC8">
            <w:pPr>
              <w:widowControl/>
              <w:numPr>
                <w:ilvl w:val="0"/>
                <w:numId w:val="25"/>
              </w:numPr>
              <w:contextualSpacing/>
              <w:jc w:val="both"/>
              <w:rPr>
                <w:szCs w:val="22"/>
              </w:rPr>
            </w:pPr>
            <w:r w:rsidRPr="006E3382">
              <w:rPr>
                <w:szCs w:val="22"/>
              </w:rPr>
              <w:t xml:space="preserve">Asynchronous Transfer Mode (ATM) </w:t>
            </w:r>
          </w:p>
          <w:p w14:paraId="78588BCF" w14:textId="77777777" w:rsidR="00974AC8" w:rsidRPr="006E3382" w:rsidRDefault="00974AC8" w:rsidP="00974AC8">
            <w:pPr>
              <w:widowControl/>
              <w:numPr>
                <w:ilvl w:val="0"/>
                <w:numId w:val="25"/>
              </w:numPr>
              <w:contextualSpacing/>
              <w:jc w:val="both"/>
              <w:rPr>
                <w:szCs w:val="22"/>
              </w:rPr>
            </w:pPr>
            <w:r w:rsidRPr="006E3382">
              <w:rPr>
                <w:szCs w:val="22"/>
              </w:rPr>
              <w:t xml:space="preserve">Broadband over Power Lines </w:t>
            </w:r>
          </w:p>
          <w:p w14:paraId="77F88825" w14:textId="77777777" w:rsidR="00974AC8" w:rsidRPr="006E3382" w:rsidRDefault="00974AC8" w:rsidP="00974AC8">
            <w:pPr>
              <w:widowControl/>
              <w:numPr>
                <w:ilvl w:val="0"/>
                <w:numId w:val="25"/>
              </w:numPr>
              <w:contextualSpacing/>
              <w:jc w:val="both"/>
              <w:rPr>
                <w:szCs w:val="22"/>
              </w:rPr>
            </w:pPr>
            <w:r w:rsidRPr="006E3382">
              <w:rPr>
                <w:szCs w:val="22"/>
              </w:rPr>
              <w:t>Cable Modem</w:t>
            </w:r>
          </w:p>
          <w:p w14:paraId="148BEEB4" w14:textId="77777777" w:rsidR="00974AC8" w:rsidRPr="006E3382" w:rsidRDefault="00974AC8" w:rsidP="00974AC8">
            <w:pPr>
              <w:widowControl/>
              <w:numPr>
                <w:ilvl w:val="0"/>
                <w:numId w:val="25"/>
              </w:numPr>
              <w:contextualSpacing/>
              <w:jc w:val="both"/>
              <w:rPr>
                <w:szCs w:val="22"/>
              </w:rPr>
            </w:pPr>
            <w:r w:rsidRPr="006E3382">
              <w:rPr>
                <w:szCs w:val="22"/>
              </w:rPr>
              <w:t>Digital Subscriber Line (DSL)</w:t>
            </w:r>
          </w:p>
          <w:p w14:paraId="57511B39" w14:textId="77777777" w:rsidR="00974AC8" w:rsidRPr="006E3382" w:rsidRDefault="00974AC8" w:rsidP="00974AC8">
            <w:pPr>
              <w:widowControl/>
              <w:numPr>
                <w:ilvl w:val="0"/>
                <w:numId w:val="25"/>
              </w:numPr>
              <w:contextualSpacing/>
              <w:jc w:val="both"/>
              <w:rPr>
                <w:szCs w:val="22"/>
              </w:rPr>
            </w:pPr>
            <w:r w:rsidRPr="006E3382">
              <w:rPr>
                <w:szCs w:val="22"/>
              </w:rPr>
              <w:t>DS-1 (T-1), DS-3 (T-3), and Fractional T-1 or T-3</w:t>
            </w:r>
          </w:p>
          <w:p w14:paraId="5D8E3D83" w14:textId="77777777" w:rsidR="00974AC8" w:rsidRPr="006E3382" w:rsidRDefault="00974AC8" w:rsidP="00974AC8">
            <w:pPr>
              <w:widowControl/>
              <w:numPr>
                <w:ilvl w:val="0"/>
                <w:numId w:val="25"/>
              </w:numPr>
              <w:contextualSpacing/>
              <w:jc w:val="both"/>
              <w:rPr>
                <w:szCs w:val="22"/>
              </w:rPr>
            </w:pPr>
            <w:r w:rsidRPr="006E3382">
              <w:rPr>
                <w:szCs w:val="22"/>
              </w:rPr>
              <w:t xml:space="preserve">Ethernet </w:t>
            </w:r>
          </w:p>
          <w:p w14:paraId="34DAA255" w14:textId="77777777" w:rsidR="00974AC8" w:rsidRDefault="00974AC8" w:rsidP="00974AC8">
            <w:pPr>
              <w:widowControl/>
              <w:numPr>
                <w:ilvl w:val="0"/>
                <w:numId w:val="25"/>
              </w:numPr>
              <w:contextualSpacing/>
              <w:jc w:val="both"/>
              <w:rPr>
                <w:szCs w:val="22"/>
              </w:rPr>
            </w:pPr>
            <w:r w:rsidRPr="006E3382">
              <w:rPr>
                <w:szCs w:val="22"/>
              </w:rPr>
              <w:t>Integrated Services Digital Network</w:t>
            </w:r>
            <w:r>
              <w:rPr>
                <w:szCs w:val="22"/>
              </w:rPr>
              <w:t xml:space="preserve"> (ISDN)</w:t>
            </w:r>
          </w:p>
          <w:p w14:paraId="42926541" w14:textId="77777777" w:rsidR="00974AC8" w:rsidRDefault="00974AC8" w:rsidP="00974AC8">
            <w:pPr>
              <w:widowControl/>
              <w:numPr>
                <w:ilvl w:val="0"/>
                <w:numId w:val="25"/>
              </w:numPr>
              <w:contextualSpacing/>
              <w:jc w:val="both"/>
              <w:rPr>
                <w:szCs w:val="22"/>
              </w:rPr>
            </w:pPr>
            <w:r>
              <w:rPr>
                <w:szCs w:val="22"/>
              </w:rPr>
              <w:t>Leased Lit Fiber</w:t>
            </w:r>
          </w:p>
          <w:p w14:paraId="0543484E" w14:textId="77777777" w:rsidR="00974AC8" w:rsidRDefault="00974AC8" w:rsidP="00974AC8">
            <w:pPr>
              <w:widowControl/>
              <w:numPr>
                <w:ilvl w:val="0"/>
                <w:numId w:val="25"/>
              </w:numPr>
              <w:contextualSpacing/>
              <w:jc w:val="both"/>
              <w:rPr>
                <w:szCs w:val="22"/>
              </w:rPr>
            </w:pPr>
            <w:r>
              <w:rPr>
                <w:szCs w:val="22"/>
              </w:rPr>
              <w:t>Dark Fiber</w:t>
            </w:r>
          </w:p>
          <w:p w14:paraId="01399C13" w14:textId="77777777" w:rsidR="00974AC8" w:rsidRPr="006E3382" w:rsidRDefault="00974AC8" w:rsidP="00974AC8">
            <w:pPr>
              <w:widowControl/>
              <w:numPr>
                <w:ilvl w:val="0"/>
                <w:numId w:val="25"/>
              </w:numPr>
              <w:contextualSpacing/>
              <w:jc w:val="both"/>
              <w:rPr>
                <w:szCs w:val="22"/>
              </w:rPr>
            </w:pPr>
            <w:r>
              <w:rPr>
                <w:szCs w:val="22"/>
              </w:rPr>
              <w:t>Self-Provisioned Broadband Networks</w:t>
            </w:r>
          </w:p>
          <w:p w14:paraId="1A25402C" w14:textId="77777777" w:rsidR="00974AC8" w:rsidRPr="006E3382" w:rsidRDefault="00974AC8" w:rsidP="00974AC8">
            <w:pPr>
              <w:widowControl/>
              <w:numPr>
                <w:ilvl w:val="0"/>
                <w:numId w:val="25"/>
              </w:numPr>
              <w:contextualSpacing/>
              <w:jc w:val="both"/>
              <w:rPr>
                <w:szCs w:val="22"/>
              </w:rPr>
            </w:pPr>
            <w:r w:rsidRPr="006E3382">
              <w:rPr>
                <w:szCs w:val="22"/>
              </w:rPr>
              <w:t xml:space="preserve">Frame Relay </w:t>
            </w:r>
          </w:p>
          <w:p w14:paraId="221BA577" w14:textId="77777777" w:rsidR="00974AC8" w:rsidRPr="006E3382" w:rsidRDefault="00974AC8" w:rsidP="00974AC8">
            <w:pPr>
              <w:widowControl/>
              <w:numPr>
                <w:ilvl w:val="0"/>
                <w:numId w:val="25"/>
              </w:numPr>
              <w:contextualSpacing/>
              <w:jc w:val="both"/>
              <w:rPr>
                <w:szCs w:val="22"/>
              </w:rPr>
            </w:pPr>
            <w:r w:rsidRPr="006E3382">
              <w:rPr>
                <w:szCs w:val="22"/>
              </w:rPr>
              <w:t xml:space="preserve">Multi-Protocol Label Switching (MPLS) </w:t>
            </w:r>
          </w:p>
          <w:p w14:paraId="19A77E2B" w14:textId="77777777" w:rsidR="00974AC8" w:rsidRPr="006E3382" w:rsidRDefault="00974AC8" w:rsidP="00974AC8">
            <w:pPr>
              <w:widowControl/>
              <w:numPr>
                <w:ilvl w:val="0"/>
                <w:numId w:val="25"/>
              </w:numPr>
              <w:contextualSpacing/>
              <w:jc w:val="both"/>
              <w:rPr>
                <w:szCs w:val="22"/>
              </w:rPr>
            </w:pPr>
            <w:r w:rsidRPr="006E3382">
              <w:rPr>
                <w:szCs w:val="22"/>
              </w:rPr>
              <w:t xml:space="preserve">OC-1, OC-3, OC-12, OC-n </w:t>
            </w:r>
          </w:p>
          <w:p w14:paraId="499FEEBB" w14:textId="77777777" w:rsidR="00974AC8" w:rsidRPr="006E3382" w:rsidRDefault="00974AC8" w:rsidP="00974AC8">
            <w:pPr>
              <w:widowControl/>
              <w:numPr>
                <w:ilvl w:val="0"/>
                <w:numId w:val="25"/>
              </w:numPr>
              <w:contextualSpacing/>
              <w:jc w:val="both"/>
              <w:rPr>
                <w:szCs w:val="22"/>
              </w:rPr>
            </w:pPr>
            <w:r w:rsidRPr="006E3382">
              <w:rPr>
                <w:szCs w:val="22"/>
              </w:rPr>
              <w:t xml:space="preserve">Satellite Service </w:t>
            </w:r>
          </w:p>
          <w:p w14:paraId="1796597C" w14:textId="77777777" w:rsidR="00974AC8" w:rsidRPr="006E3382" w:rsidRDefault="00974AC8" w:rsidP="00974AC8">
            <w:pPr>
              <w:widowControl/>
              <w:numPr>
                <w:ilvl w:val="0"/>
                <w:numId w:val="25"/>
              </w:numPr>
              <w:contextualSpacing/>
              <w:jc w:val="both"/>
              <w:rPr>
                <w:szCs w:val="22"/>
              </w:rPr>
            </w:pPr>
            <w:r w:rsidRPr="006E3382">
              <w:rPr>
                <w:szCs w:val="22"/>
              </w:rPr>
              <w:t xml:space="preserve">Switched Multimegabit Data Service </w:t>
            </w:r>
          </w:p>
          <w:p w14:paraId="7DF3A83C" w14:textId="77777777" w:rsidR="00974AC8" w:rsidRPr="006E3382" w:rsidRDefault="00974AC8" w:rsidP="00974AC8">
            <w:pPr>
              <w:widowControl/>
              <w:numPr>
                <w:ilvl w:val="0"/>
                <w:numId w:val="25"/>
              </w:numPr>
              <w:contextualSpacing/>
              <w:jc w:val="both"/>
              <w:rPr>
                <w:szCs w:val="22"/>
              </w:rPr>
            </w:pPr>
            <w:r w:rsidRPr="006E3382">
              <w:rPr>
                <w:szCs w:val="22"/>
              </w:rPr>
              <w:t>Telephone dial-up</w:t>
            </w:r>
          </w:p>
          <w:p w14:paraId="0789FCDD" w14:textId="77777777" w:rsidR="00974AC8" w:rsidRDefault="00974AC8" w:rsidP="00974AC8">
            <w:pPr>
              <w:widowControl/>
              <w:numPr>
                <w:ilvl w:val="0"/>
                <w:numId w:val="25"/>
              </w:numPr>
              <w:spacing w:after="120"/>
              <w:contextualSpacing/>
              <w:jc w:val="both"/>
              <w:rPr>
                <w:szCs w:val="22"/>
              </w:rPr>
            </w:pPr>
            <w:r w:rsidRPr="006E3382">
              <w:rPr>
                <w:szCs w:val="22"/>
              </w:rPr>
              <w:t>Wireless services (e.g., microwave)</w:t>
            </w:r>
          </w:p>
          <w:p w14:paraId="53B64F86" w14:textId="77777777" w:rsidR="00974AC8" w:rsidRPr="00DF4B1F" w:rsidRDefault="00974AC8" w:rsidP="006E7F77">
            <w:pPr>
              <w:spacing w:after="120"/>
              <w:ind w:left="360"/>
              <w:contextualSpacing/>
              <w:jc w:val="both"/>
              <w:rPr>
                <w:sz w:val="12"/>
                <w:szCs w:val="12"/>
              </w:rPr>
            </w:pPr>
          </w:p>
          <w:p w14:paraId="1415AC16" w14:textId="77777777" w:rsidR="00974AC8" w:rsidRDefault="00974AC8" w:rsidP="006E7F77">
            <w:pPr>
              <w:contextualSpacing/>
              <w:jc w:val="both"/>
              <w:rPr>
                <w:bCs/>
                <w:szCs w:val="22"/>
              </w:rPr>
            </w:pPr>
            <w:r w:rsidRPr="00054440">
              <w:rPr>
                <w:bCs/>
                <w:i/>
                <w:szCs w:val="22"/>
              </w:rPr>
              <w:t>Notes</w:t>
            </w:r>
            <w:r>
              <w:rPr>
                <w:bCs/>
                <w:szCs w:val="22"/>
              </w:rPr>
              <w:t xml:space="preserve">: (1) </w:t>
            </w:r>
            <w:r w:rsidRPr="004015EF">
              <w:rPr>
                <w:bCs/>
                <w:szCs w:val="22"/>
              </w:rPr>
              <w:t xml:space="preserve">E-rate support is available for leased lit fiber, dark fiber, and self-provisioned </w:t>
            </w:r>
            <w:r>
              <w:rPr>
                <w:bCs/>
                <w:szCs w:val="22"/>
              </w:rPr>
              <w:t>broadband networks</w:t>
            </w:r>
            <w:r w:rsidRPr="004015EF">
              <w:rPr>
                <w:bCs/>
                <w:szCs w:val="22"/>
              </w:rPr>
              <w:t xml:space="preserve"> as described in the </w:t>
            </w:r>
            <w:r w:rsidRPr="00450E71">
              <w:rPr>
                <w:bCs/>
                <w:i/>
                <w:szCs w:val="22"/>
              </w:rPr>
              <w:t>Second E-rate Modernization Order</w:t>
            </w:r>
            <w:r w:rsidRPr="004015EF">
              <w:rPr>
                <w:bCs/>
                <w:szCs w:val="22"/>
              </w:rPr>
              <w:t xml:space="preserve"> (FCC 14-189).  Eligible </w:t>
            </w:r>
            <w:r>
              <w:rPr>
                <w:bCs/>
                <w:szCs w:val="22"/>
              </w:rPr>
              <w:t>costs</w:t>
            </w:r>
            <w:r w:rsidRPr="004015EF">
              <w:rPr>
                <w:bCs/>
                <w:szCs w:val="22"/>
              </w:rPr>
              <w:t xml:space="preserve"> include</w:t>
            </w:r>
            <w:r>
              <w:rPr>
                <w:bCs/>
                <w:szCs w:val="22"/>
              </w:rPr>
              <w:t xml:space="preserve"> </w:t>
            </w:r>
            <w:r w:rsidRPr="004015EF">
              <w:rPr>
                <w:bCs/>
                <w:szCs w:val="22"/>
              </w:rPr>
              <w:t xml:space="preserve">monthly charges, special construction, </w:t>
            </w:r>
            <w:r>
              <w:rPr>
                <w:bCs/>
                <w:szCs w:val="22"/>
              </w:rPr>
              <w:t xml:space="preserve">installation and activation charges, </w:t>
            </w:r>
            <w:r w:rsidRPr="004015EF">
              <w:rPr>
                <w:bCs/>
                <w:szCs w:val="22"/>
              </w:rPr>
              <w:t>modulating electronics</w:t>
            </w:r>
            <w:r w:rsidR="00F853DF">
              <w:rPr>
                <w:bCs/>
                <w:szCs w:val="22"/>
              </w:rPr>
              <w:t xml:space="preserve"> and other</w:t>
            </w:r>
            <w:r w:rsidRPr="004015EF">
              <w:rPr>
                <w:bCs/>
                <w:szCs w:val="22"/>
              </w:rPr>
              <w:t xml:space="preserve"> equipment necessary to make a </w:t>
            </w:r>
            <w:r w:rsidR="00F370A3">
              <w:rPr>
                <w:bCs/>
                <w:szCs w:val="22"/>
              </w:rPr>
              <w:t>Category One</w:t>
            </w:r>
            <w:r w:rsidR="00F20878">
              <w:rPr>
                <w:bCs/>
                <w:szCs w:val="22"/>
              </w:rPr>
              <w:t xml:space="preserve"> </w:t>
            </w:r>
            <w:r w:rsidRPr="004015EF">
              <w:rPr>
                <w:bCs/>
                <w:szCs w:val="22"/>
              </w:rPr>
              <w:t>broadband service functional</w:t>
            </w:r>
            <w:r w:rsidR="007777BC">
              <w:rPr>
                <w:bCs/>
                <w:szCs w:val="22"/>
              </w:rPr>
              <w:t xml:space="preserve"> (</w:t>
            </w:r>
            <w:r w:rsidR="00F20878">
              <w:rPr>
                <w:bCs/>
                <w:szCs w:val="22"/>
              </w:rPr>
              <w:t>“Network Equipment”)</w:t>
            </w:r>
            <w:r w:rsidRPr="004015EF">
              <w:rPr>
                <w:bCs/>
                <w:szCs w:val="22"/>
              </w:rPr>
              <w:t xml:space="preserve">, and maintenance and operation charges.  </w:t>
            </w:r>
            <w:r w:rsidR="00F20878">
              <w:rPr>
                <w:bCs/>
                <w:szCs w:val="22"/>
              </w:rPr>
              <w:t xml:space="preserve">Network </w:t>
            </w:r>
            <w:r w:rsidR="006E7F77">
              <w:rPr>
                <w:bCs/>
                <w:szCs w:val="22"/>
              </w:rPr>
              <w:t>E</w:t>
            </w:r>
            <w:r>
              <w:rPr>
                <w:bCs/>
                <w:szCs w:val="22"/>
              </w:rPr>
              <w:t xml:space="preserve">quipment and maintenance and operation </w:t>
            </w:r>
            <w:r w:rsidR="006E7F77">
              <w:rPr>
                <w:bCs/>
                <w:szCs w:val="22"/>
              </w:rPr>
              <w:t xml:space="preserve">costs </w:t>
            </w:r>
            <w:r>
              <w:rPr>
                <w:bCs/>
                <w:szCs w:val="22"/>
              </w:rPr>
              <w:t xml:space="preserve">for existing networks are eligible.  </w:t>
            </w:r>
            <w:r w:rsidRPr="004015EF">
              <w:rPr>
                <w:bCs/>
                <w:szCs w:val="22"/>
              </w:rPr>
              <w:t xml:space="preserve">All equipment and services, including maintenance and operation, must be competitively bid.  </w:t>
            </w:r>
          </w:p>
          <w:p w14:paraId="1E778AC1" w14:textId="77777777" w:rsidR="00974AC8" w:rsidRDefault="00974AC8" w:rsidP="006E7F77">
            <w:pPr>
              <w:contextualSpacing/>
              <w:jc w:val="both"/>
              <w:rPr>
                <w:bCs/>
                <w:szCs w:val="22"/>
              </w:rPr>
            </w:pPr>
          </w:p>
          <w:p w14:paraId="6B12E1E1" w14:textId="33D5C389" w:rsidR="00974AC8" w:rsidRDefault="00974AC8" w:rsidP="006E7F77">
            <w:pPr>
              <w:contextualSpacing/>
              <w:jc w:val="both"/>
              <w:rPr>
                <w:bCs/>
                <w:szCs w:val="22"/>
              </w:rPr>
            </w:pPr>
            <w:r>
              <w:rPr>
                <w:bCs/>
                <w:szCs w:val="22"/>
              </w:rPr>
              <w:t>(2) Applicants that seek bids for special construction of dark fiber or self-provisioned broadband networks must also seek bids for lit fiber service</w:t>
            </w:r>
            <w:r w:rsidR="00912F50">
              <w:rPr>
                <w:bCs/>
                <w:szCs w:val="22"/>
              </w:rPr>
              <w:t xml:space="preserve"> and fully consider all responsive bids</w:t>
            </w:r>
            <w:r>
              <w:rPr>
                <w:bCs/>
                <w:szCs w:val="22"/>
              </w:rPr>
              <w:t>.</w:t>
            </w:r>
          </w:p>
          <w:p w14:paraId="4E7077CA" w14:textId="77777777" w:rsidR="00974AC8" w:rsidRPr="00DF4B1F" w:rsidRDefault="00974AC8" w:rsidP="006E7F77">
            <w:pPr>
              <w:contextualSpacing/>
              <w:jc w:val="both"/>
              <w:rPr>
                <w:bCs/>
                <w:sz w:val="12"/>
                <w:szCs w:val="12"/>
              </w:rPr>
            </w:pPr>
          </w:p>
          <w:p w14:paraId="4BB04E62" w14:textId="77777777" w:rsidR="00974AC8" w:rsidRDefault="00974AC8" w:rsidP="006E7F77">
            <w:pPr>
              <w:contextualSpacing/>
              <w:jc w:val="both"/>
              <w:rPr>
                <w:bCs/>
                <w:szCs w:val="22"/>
              </w:rPr>
            </w:pPr>
            <w:r>
              <w:rPr>
                <w:bCs/>
                <w:szCs w:val="22"/>
              </w:rPr>
              <w:t>(3) Applicants may seek s</w:t>
            </w:r>
            <w:r w:rsidRPr="00054440">
              <w:rPr>
                <w:bCs/>
                <w:szCs w:val="22"/>
              </w:rPr>
              <w:t>pecial</w:t>
            </w:r>
            <w:r>
              <w:rPr>
                <w:bCs/>
                <w:szCs w:val="22"/>
              </w:rPr>
              <w:t xml:space="preserve"> construction funding for the upfront, non-recurring costs </w:t>
            </w:r>
            <w:r w:rsidR="006C69CA">
              <w:rPr>
                <w:bCs/>
                <w:szCs w:val="22"/>
              </w:rPr>
              <w:t xml:space="preserve">for the </w:t>
            </w:r>
            <w:r>
              <w:rPr>
                <w:bCs/>
                <w:szCs w:val="22"/>
              </w:rPr>
              <w:t xml:space="preserve">deployment of new or upgraded facilities.  </w:t>
            </w:r>
            <w:r>
              <w:t xml:space="preserve">The eligible components of special construction are </w:t>
            </w:r>
            <w:r>
              <w:rPr>
                <w:bCs/>
                <w:szCs w:val="22"/>
              </w:rPr>
              <w:t>construction of network facilities, design and engineering, and project management.</w:t>
            </w:r>
          </w:p>
          <w:p w14:paraId="45BBE2D0" w14:textId="77777777" w:rsidR="00974AC8" w:rsidRPr="00DF4B1F" w:rsidRDefault="00974AC8" w:rsidP="006E7F77">
            <w:pPr>
              <w:contextualSpacing/>
              <w:jc w:val="both"/>
              <w:rPr>
                <w:bCs/>
                <w:sz w:val="12"/>
                <w:szCs w:val="12"/>
              </w:rPr>
            </w:pPr>
          </w:p>
          <w:p w14:paraId="53F91DE7" w14:textId="77777777" w:rsidR="00974AC8" w:rsidRPr="00DF4B1F" w:rsidRDefault="00974AC8" w:rsidP="006E7F77">
            <w:pPr>
              <w:contextualSpacing/>
              <w:jc w:val="both"/>
              <w:rPr>
                <w:bCs/>
                <w:szCs w:val="22"/>
              </w:rPr>
            </w:pPr>
            <w:r>
              <w:rPr>
                <w:bCs/>
                <w:szCs w:val="22"/>
              </w:rPr>
              <w:t xml:space="preserve">(4) </w:t>
            </w:r>
            <w:r w:rsidRPr="004015EF">
              <w:rPr>
                <w:bCs/>
                <w:szCs w:val="22"/>
              </w:rPr>
              <w:t xml:space="preserve">Staff salaries and labor costs for personnel </w:t>
            </w:r>
            <w:r>
              <w:rPr>
                <w:bCs/>
                <w:szCs w:val="22"/>
              </w:rPr>
              <w:t xml:space="preserve">of the applicant or underlying beneficiary </w:t>
            </w:r>
            <w:r w:rsidRPr="004015EF">
              <w:rPr>
                <w:bCs/>
                <w:szCs w:val="22"/>
              </w:rPr>
              <w:t>are not E-rate eligible</w:t>
            </w:r>
            <w:r>
              <w:rPr>
                <w:bCs/>
                <w:szCs w:val="22"/>
              </w:rPr>
              <w:t>.</w:t>
            </w:r>
          </w:p>
        </w:tc>
      </w:tr>
    </w:tbl>
    <w:p w14:paraId="03F5F9F0" w14:textId="77777777" w:rsidR="00974AC8" w:rsidRPr="006E3382" w:rsidRDefault="00974AC8" w:rsidP="00974AC8">
      <w:pPr>
        <w:spacing w:after="200" w:line="276" w:lineRule="auto"/>
        <w:rPr>
          <w:bCs/>
          <w:szCs w:val="22"/>
          <w:u w:val="single"/>
        </w:rPr>
      </w:pPr>
    </w:p>
    <w:tbl>
      <w:tblPr>
        <w:tblStyle w:val="TableGrid1"/>
        <w:tblW w:w="0" w:type="auto"/>
        <w:jc w:val="center"/>
        <w:tblLook w:val="04A0" w:firstRow="1" w:lastRow="0" w:firstColumn="1" w:lastColumn="0" w:noHBand="0" w:noVBand="1"/>
      </w:tblPr>
      <w:tblGrid>
        <w:gridCol w:w="5868"/>
      </w:tblGrid>
      <w:tr w:rsidR="00974AC8" w:rsidRPr="006E3382" w14:paraId="4F04BE03" w14:textId="77777777" w:rsidTr="006E7F77">
        <w:trPr>
          <w:jc w:val="center"/>
        </w:trPr>
        <w:tc>
          <w:tcPr>
            <w:tcW w:w="5868" w:type="dxa"/>
          </w:tcPr>
          <w:p w14:paraId="0E820C8F" w14:textId="77777777" w:rsidR="00974AC8" w:rsidRPr="006E3382" w:rsidRDefault="00974AC8" w:rsidP="006E7F77">
            <w:pPr>
              <w:jc w:val="center"/>
              <w:rPr>
                <w:b/>
                <w:szCs w:val="22"/>
              </w:rPr>
            </w:pPr>
            <w:r w:rsidRPr="006E3382">
              <w:rPr>
                <w:bCs/>
                <w:sz w:val="20"/>
              </w:rPr>
              <w:br w:type="page"/>
            </w:r>
            <w:r w:rsidRPr="006E3382">
              <w:rPr>
                <w:b/>
                <w:szCs w:val="22"/>
              </w:rPr>
              <w:t>Eligible voice services.</w:t>
            </w:r>
          </w:p>
          <w:p w14:paraId="2E288F69" w14:textId="77777777" w:rsidR="00974AC8" w:rsidRPr="00DF4B1F" w:rsidRDefault="00974AC8" w:rsidP="006E7F77">
            <w:pPr>
              <w:jc w:val="both"/>
              <w:rPr>
                <w:b/>
                <w:szCs w:val="22"/>
              </w:rPr>
            </w:pPr>
          </w:p>
          <w:p w14:paraId="6512713B" w14:textId="77777777" w:rsidR="00974AC8" w:rsidRPr="006E3382" w:rsidRDefault="00974AC8" w:rsidP="006E7F77">
            <w:pPr>
              <w:jc w:val="both"/>
              <w:rPr>
                <w:szCs w:val="22"/>
              </w:rPr>
            </w:pPr>
            <w:r w:rsidRPr="006E3382">
              <w:rPr>
                <w:szCs w:val="22"/>
              </w:rPr>
              <w:t xml:space="preserve">Eligible voice services are subject to an annual 20 percentage point phase down of E-rate support beginning in </w:t>
            </w:r>
            <w:r>
              <w:rPr>
                <w:szCs w:val="22"/>
              </w:rPr>
              <w:t>FY</w:t>
            </w:r>
            <w:r w:rsidRPr="006E3382">
              <w:rPr>
                <w:szCs w:val="22"/>
              </w:rPr>
              <w:t xml:space="preserve"> 2015, as described in the </w:t>
            </w:r>
            <w:r w:rsidRPr="006E3382">
              <w:rPr>
                <w:i/>
                <w:szCs w:val="22"/>
              </w:rPr>
              <w:t>E-rate Modernization Order</w:t>
            </w:r>
            <w:r w:rsidRPr="006E3382">
              <w:rPr>
                <w:szCs w:val="22"/>
              </w:rPr>
              <w:t xml:space="preserve">.  </w:t>
            </w:r>
            <w:r>
              <w:rPr>
                <w:szCs w:val="22"/>
              </w:rPr>
              <w:t xml:space="preserve">For FY 2016, the effective reduced discount rate will be 40 percentage points.  </w:t>
            </w:r>
            <w:r w:rsidRPr="006E3382">
              <w:rPr>
                <w:szCs w:val="22"/>
              </w:rPr>
              <w:t>The reduced discount rate for voice services will apply to all applicants and all costs for the provision of telephone services and circuit capacity dedicated to providing voice services including:</w:t>
            </w:r>
          </w:p>
          <w:p w14:paraId="0F8EC638" w14:textId="77777777" w:rsidR="00974AC8" w:rsidRPr="00DF4B1F" w:rsidRDefault="00974AC8" w:rsidP="006E7F77">
            <w:pPr>
              <w:jc w:val="both"/>
              <w:rPr>
                <w:szCs w:val="22"/>
              </w:rPr>
            </w:pPr>
          </w:p>
          <w:p w14:paraId="73570764" w14:textId="77777777" w:rsidR="00974AC8" w:rsidRPr="006E3382" w:rsidRDefault="00974AC8" w:rsidP="00974AC8">
            <w:pPr>
              <w:widowControl/>
              <w:numPr>
                <w:ilvl w:val="0"/>
                <w:numId w:val="26"/>
              </w:numPr>
              <w:contextualSpacing/>
              <w:jc w:val="both"/>
              <w:rPr>
                <w:szCs w:val="22"/>
              </w:rPr>
            </w:pPr>
            <w:r w:rsidRPr="006E3382">
              <w:rPr>
                <w:szCs w:val="22"/>
              </w:rPr>
              <w:t>Centrex</w:t>
            </w:r>
          </w:p>
          <w:p w14:paraId="6CC3783E" w14:textId="77777777" w:rsidR="00974AC8" w:rsidRPr="006E3382" w:rsidRDefault="00974AC8" w:rsidP="00974AC8">
            <w:pPr>
              <w:widowControl/>
              <w:numPr>
                <w:ilvl w:val="0"/>
                <w:numId w:val="26"/>
              </w:numPr>
              <w:contextualSpacing/>
              <w:jc w:val="both"/>
              <w:rPr>
                <w:szCs w:val="22"/>
              </w:rPr>
            </w:pPr>
            <w:r w:rsidRPr="006E3382">
              <w:rPr>
                <w:szCs w:val="22"/>
              </w:rPr>
              <w:t>Integrated Services Digital Network</w:t>
            </w:r>
            <w:r>
              <w:rPr>
                <w:szCs w:val="22"/>
              </w:rPr>
              <w:t xml:space="preserve"> (ISDN)</w:t>
            </w:r>
          </w:p>
          <w:p w14:paraId="21E8D88A" w14:textId="77777777" w:rsidR="00974AC8" w:rsidRPr="006E3382" w:rsidRDefault="00974AC8" w:rsidP="00974AC8">
            <w:pPr>
              <w:widowControl/>
              <w:numPr>
                <w:ilvl w:val="0"/>
                <w:numId w:val="26"/>
              </w:numPr>
              <w:contextualSpacing/>
              <w:jc w:val="both"/>
              <w:rPr>
                <w:szCs w:val="22"/>
              </w:rPr>
            </w:pPr>
            <w:r w:rsidRPr="006E3382">
              <w:rPr>
                <w:szCs w:val="22"/>
              </w:rPr>
              <w:t>Interconnected voice over Internet protocol (VoIP)</w:t>
            </w:r>
          </w:p>
          <w:p w14:paraId="7CC7DCE7" w14:textId="77777777" w:rsidR="00974AC8" w:rsidRPr="006E3382" w:rsidRDefault="00974AC8" w:rsidP="00974AC8">
            <w:pPr>
              <w:widowControl/>
              <w:numPr>
                <w:ilvl w:val="0"/>
                <w:numId w:val="26"/>
              </w:numPr>
              <w:contextualSpacing/>
              <w:jc w:val="both"/>
              <w:rPr>
                <w:szCs w:val="22"/>
              </w:rPr>
            </w:pPr>
            <w:r w:rsidRPr="006E3382">
              <w:rPr>
                <w:szCs w:val="22"/>
              </w:rPr>
              <w:t>Local, long distance, and 800</w:t>
            </w:r>
            <w:r>
              <w:rPr>
                <w:szCs w:val="22"/>
              </w:rPr>
              <w:t xml:space="preserve"> (toll-free)</w:t>
            </w:r>
            <w:r w:rsidRPr="006E3382">
              <w:rPr>
                <w:szCs w:val="22"/>
              </w:rPr>
              <w:t xml:space="preserve"> service</w:t>
            </w:r>
          </w:p>
          <w:p w14:paraId="1A7281A8" w14:textId="77777777" w:rsidR="00974AC8" w:rsidRPr="006E3382" w:rsidRDefault="00974AC8" w:rsidP="00974AC8">
            <w:pPr>
              <w:widowControl/>
              <w:numPr>
                <w:ilvl w:val="0"/>
                <w:numId w:val="26"/>
              </w:numPr>
              <w:contextualSpacing/>
              <w:jc w:val="both"/>
              <w:rPr>
                <w:szCs w:val="22"/>
              </w:rPr>
            </w:pPr>
            <w:r w:rsidRPr="006E3382">
              <w:rPr>
                <w:szCs w:val="22"/>
              </w:rPr>
              <w:t>Plain old telephone service (POTS)</w:t>
            </w:r>
          </w:p>
          <w:p w14:paraId="35E4C7B3" w14:textId="77777777" w:rsidR="00974AC8" w:rsidRPr="006E3382" w:rsidRDefault="00974AC8" w:rsidP="00974AC8">
            <w:pPr>
              <w:widowControl/>
              <w:numPr>
                <w:ilvl w:val="0"/>
                <w:numId w:val="26"/>
              </w:numPr>
              <w:contextualSpacing/>
              <w:jc w:val="both"/>
              <w:rPr>
                <w:szCs w:val="22"/>
              </w:rPr>
            </w:pPr>
            <w:r w:rsidRPr="006E3382">
              <w:rPr>
                <w:szCs w:val="22"/>
              </w:rPr>
              <w:t>Radio loop</w:t>
            </w:r>
          </w:p>
          <w:p w14:paraId="24CDE450" w14:textId="77777777" w:rsidR="00974AC8" w:rsidRPr="006E3382" w:rsidRDefault="00974AC8" w:rsidP="00974AC8">
            <w:pPr>
              <w:widowControl/>
              <w:numPr>
                <w:ilvl w:val="0"/>
                <w:numId w:val="26"/>
              </w:numPr>
              <w:contextualSpacing/>
              <w:jc w:val="both"/>
              <w:rPr>
                <w:szCs w:val="22"/>
              </w:rPr>
            </w:pPr>
            <w:r w:rsidRPr="006E3382">
              <w:rPr>
                <w:szCs w:val="22"/>
              </w:rPr>
              <w:t xml:space="preserve">Satellite telephone service </w:t>
            </w:r>
          </w:p>
          <w:p w14:paraId="09BC9314" w14:textId="77777777" w:rsidR="00974AC8" w:rsidRPr="006E3382" w:rsidRDefault="00974AC8" w:rsidP="00974AC8">
            <w:pPr>
              <w:widowControl/>
              <w:numPr>
                <w:ilvl w:val="0"/>
                <w:numId w:val="26"/>
              </w:numPr>
              <w:contextualSpacing/>
              <w:jc w:val="both"/>
              <w:rPr>
                <w:szCs w:val="22"/>
              </w:rPr>
            </w:pPr>
            <w:r w:rsidRPr="006E3382">
              <w:rPr>
                <w:szCs w:val="22"/>
              </w:rPr>
              <w:t>Shared telephone service (only the portion of the shared services relating to the eligible use and location may receive discounts)</w:t>
            </w:r>
          </w:p>
          <w:p w14:paraId="22631AB8" w14:textId="77777777" w:rsidR="00974AC8" w:rsidRPr="006E3382" w:rsidRDefault="00974AC8" w:rsidP="00974AC8">
            <w:pPr>
              <w:widowControl/>
              <w:numPr>
                <w:ilvl w:val="0"/>
                <w:numId w:val="26"/>
              </w:numPr>
              <w:contextualSpacing/>
              <w:jc w:val="both"/>
              <w:rPr>
                <w:sz w:val="20"/>
              </w:rPr>
            </w:pPr>
            <w:r w:rsidRPr="006E3382">
              <w:rPr>
                <w:szCs w:val="22"/>
              </w:rPr>
              <w:t>Wireless telephone service including cellular voice and excluding data and text messaging</w:t>
            </w:r>
          </w:p>
        </w:tc>
      </w:tr>
    </w:tbl>
    <w:p w14:paraId="03FA69A3" w14:textId="77777777" w:rsidR="00974AC8" w:rsidRPr="006E3382" w:rsidRDefault="00974AC8" w:rsidP="00974AC8">
      <w:pPr>
        <w:jc w:val="both"/>
        <w:rPr>
          <w:bCs/>
          <w:szCs w:val="22"/>
          <w:u w:val="single"/>
        </w:rPr>
      </w:pPr>
    </w:p>
    <w:p w14:paraId="38B33EF3" w14:textId="77777777" w:rsidR="00974AC8" w:rsidRPr="006E3382" w:rsidRDefault="00974AC8" w:rsidP="00974AC8">
      <w:pPr>
        <w:jc w:val="both"/>
        <w:rPr>
          <w:szCs w:val="22"/>
        </w:rPr>
      </w:pPr>
      <w:r w:rsidRPr="006E3382" w:rsidDel="00CE5FC4">
        <w:rPr>
          <w:szCs w:val="22"/>
        </w:rPr>
        <w:t xml:space="preserve"> </w:t>
      </w:r>
    </w:p>
    <w:p w14:paraId="4F82B49C" w14:textId="77777777" w:rsidR="00974AC8" w:rsidRPr="006E3382" w:rsidRDefault="00974AC8" w:rsidP="00974AC8">
      <w:pPr>
        <w:spacing w:after="200" w:line="276" w:lineRule="auto"/>
        <w:rPr>
          <w:szCs w:val="22"/>
        </w:rPr>
      </w:pPr>
      <w:r w:rsidRPr="006E3382">
        <w:rPr>
          <w:szCs w:val="22"/>
        </w:rPr>
        <w:br w:type="page"/>
      </w:r>
    </w:p>
    <w:p w14:paraId="6457B7AF" w14:textId="77777777" w:rsidR="00974AC8" w:rsidRPr="006E3382" w:rsidRDefault="00974AC8" w:rsidP="00974AC8">
      <w:pPr>
        <w:jc w:val="center"/>
        <w:rPr>
          <w:b/>
          <w:bCs/>
          <w:szCs w:val="22"/>
        </w:rPr>
      </w:pPr>
      <w:r w:rsidRPr="006E3382">
        <w:rPr>
          <w:b/>
          <w:bCs/>
          <w:szCs w:val="22"/>
        </w:rPr>
        <w:t xml:space="preserve">Eligibility </w:t>
      </w:r>
      <w:r>
        <w:rPr>
          <w:b/>
          <w:bCs/>
          <w:szCs w:val="22"/>
        </w:rPr>
        <w:t>explanations</w:t>
      </w:r>
      <w:r w:rsidRPr="006E3382">
        <w:rPr>
          <w:b/>
          <w:bCs/>
          <w:szCs w:val="22"/>
        </w:rPr>
        <w:t xml:space="preserve"> for certain Category One services:</w:t>
      </w:r>
    </w:p>
    <w:p w14:paraId="142EADD0" w14:textId="77777777" w:rsidR="00974AC8" w:rsidRPr="006E3382" w:rsidRDefault="00974AC8" w:rsidP="00974AC8">
      <w:pPr>
        <w:jc w:val="both"/>
        <w:rPr>
          <w:b/>
        </w:rPr>
      </w:pPr>
    </w:p>
    <w:tbl>
      <w:tblPr>
        <w:tblStyle w:val="TableGrid1"/>
        <w:tblW w:w="0" w:type="auto"/>
        <w:tblInd w:w="720" w:type="dxa"/>
        <w:tblLook w:val="04A0" w:firstRow="1" w:lastRow="0" w:firstColumn="1" w:lastColumn="0" w:noHBand="0" w:noVBand="1"/>
      </w:tblPr>
      <w:tblGrid>
        <w:gridCol w:w="8856"/>
      </w:tblGrid>
      <w:tr w:rsidR="00974AC8" w:rsidRPr="006E3382" w14:paraId="599E18A1" w14:textId="77777777" w:rsidTr="006E7F77">
        <w:tc>
          <w:tcPr>
            <w:tcW w:w="8856" w:type="dxa"/>
          </w:tcPr>
          <w:p w14:paraId="5DCEB3FE" w14:textId="77777777" w:rsidR="00974AC8" w:rsidRDefault="00974AC8" w:rsidP="006E7F77">
            <w:pPr>
              <w:contextualSpacing/>
              <w:jc w:val="both"/>
              <w:rPr>
                <w:szCs w:val="22"/>
              </w:rPr>
            </w:pPr>
            <w:r w:rsidRPr="006E3382">
              <w:rPr>
                <w:b/>
                <w:szCs w:val="22"/>
              </w:rPr>
              <w:t>Internet access</w:t>
            </w:r>
            <w:r w:rsidRPr="006E3382">
              <w:rPr>
                <w:szCs w:val="22"/>
              </w:rPr>
              <w:t xml:space="preserve"> – Eligible Internet access may include features such as basic firewall protection, domain name service, and dynamic host configuration when these features are provided as a standard component of a vendor’s Internet access</w:t>
            </w:r>
            <w:r>
              <w:rPr>
                <w:szCs w:val="22"/>
              </w:rPr>
              <w:t xml:space="preserve"> service</w:t>
            </w:r>
            <w:r w:rsidRPr="006E3382">
              <w:rPr>
                <w:szCs w:val="22"/>
              </w:rPr>
              <w:t xml:space="preserve">.  </w:t>
            </w:r>
            <w:r w:rsidRPr="006E3382">
              <w:rPr>
                <w:color w:val="010101"/>
                <w:szCs w:val="22"/>
              </w:rPr>
              <w:t xml:space="preserve">Firewall protection </w:t>
            </w:r>
            <w:r>
              <w:rPr>
                <w:color w:val="010101"/>
                <w:szCs w:val="22"/>
              </w:rPr>
              <w:t>that is</w:t>
            </w:r>
            <w:r w:rsidRPr="006E3382">
              <w:rPr>
                <w:color w:val="010101"/>
                <w:szCs w:val="22"/>
              </w:rPr>
              <w:t xml:space="preserve"> provided by a vendor other than the Internet access provider </w:t>
            </w:r>
            <w:r>
              <w:rPr>
                <w:color w:val="010101"/>
                <w:szCs w:val="22"/>
              </w:rPr>
              <w:t>or</w:t>
            </w:r>
            <w:r w:rsidRPr="006E3382">
              <w:rPr>
                <w:color w:val="010101"/>
                <w:szCs w:val="22"/>
              </w:rPr>
              <w:t xml:space="preserve"> priced out separately</w:t>
            </w:r>
            <w:r>
              <w:rPr>
                <w:color w:val="010101"/>
                <w:szCs w:val="22"/>
              </w:rPr>
              <w:t xml:space="preserve"> will be considered a Category Two internal connections component</w:t>
            </w:r>
            <w:r w:rsidRPr="006E3382">
              <w:rPr>
                <w:color w:val="010101"/>
                <w:szCs w:val="22"/>
              </w:rPr>
              <w:t xml:space="preserve">. </w:t>
            </w:r>
            <w:r w:rsidRPr="006E3382">
              <w:rPr>
                <w:b/>
                <w:color w:val="010101"/>
                <w:szCs w:val="22"/>
              </w:rPr>
              <w:t xml:space="preserve"> </w:t>
            </w:r>
            <w:r w:rsidRPr="006E3382">
              <w:rPr>
                <w:szCs w:val="22"/>
              </w:rPr>
              <w:t xml:space="preserve">Examples of items that are ineligible components of Internet access include applications, content, e-mail, and </w:t>
            </w:r>
            <w:r>
              <w:rPr>
                <w:szCs w:val="22"/>
              </w:rPr>
              <w:t xml:space="preserve">end-user devices and </w:t>
            </w:r>
            <w:r w:rsidRPr="006E3382">
              <w:rPr>
                <w:szCs w:val="22"/>
              </w:rPr>
              <w:t xml:space="preserve">equipment such as computers, laptops, </w:t>
            </w:r>
            <w:r w:rsidR="006C69CA">
              <w:rPr>
                <w:szCs w:val="22"/>
              </w:rPr>
              <w:t xml:space="preserve">and </w:t>
            </w:r>
            <w:r w:rsidRPr="006E3382">
              <w:rPr>
                <w:szCs w:val="22"/>
              </w:rPr>
              <w:t>tablets.</w:t>
            </w:r>
          </w:p>
          <w:p w14:paraId="5DDBF049" w14:textId="77777777" w:rsidR="00974AC8" w:rsidRPr="006E3382" w:rsidRDefault="00974AC8" w:rsidP="006E7F77">
            <w:pPr>
              <w:contextualSpacing/>
              <w:jc w:val="both"/>
              <w:rPr>
                <w:bCs/>
                <w:szCs w:val="22"/>
                <w:u w:val="single"/>
              </w:rPr>
            </w:pPr>
          </w:p>
        </w:tc>
      </w:tr>
      <w:tr w:rsidR="00974AC8" w:rsidRPr="006E3382" w14:paraId="52E4FFE3" w14:textId="77777777" w:rsidTr="006E7F77">
        <w:tc>
          <w:tcPr>
            <w:tcW w:w="8856" w:type="dxa"/>
          </w:tcPr>
          <w:p w14:paraId="2123B8D9" w14:textId="77777777" w:rsidR="00974AC8" w:rsidRPr="006E3382" w:rsidRDefault="00974AC8" w:rsidP="006E7F77">
            <w:pPr>
              <w:jc w:val="both"/>
              <w:rPr>
                <w:szCs w:val="22"/>
              </w:rPr>
            </w:pPr>
            <w:r w:rsidRPr="006E3382">
              <w:rPr>
                <w:b/>
                <w:szCs w:val="22"/>
              </w:rPr>
              <w:t>Wireless services</w:t>
            </w:r>
            <w:r w:rsidRPr="006E3382">
              <w:rPr>
                <w:szCs w:val="22"/>
              </w:rPr>
              <w:t xml:space="preserve"> </w:t>
            </w:r>
            <w:r w:rsidRPr="006E3382">
              <w:rPr>
                <w:b/>
                <w:szCs w:val="22"/>
              </w:rPr>
              <w:t>and wireless Internet access</w:t>
            </w:r>
            <w:r>
              <w:rPr>
                <w:b/>
                <w:szCs w:val="22"/>
              </w:rPr>
              <w:t xml:space="preserve"> </w:t>
            </w:r>
            <w:r w:rsidRPr="006E3382">
              <w:rPr>
                <w:szCs w:val="22"/>
              </w:rPr>
              <w:t>–</w:t>
            </w:r>
            <w:r>
              <w:rPr>
                <w:szCs w:val="22"/>
              </w:rPr>
              <w:t xml:space="preserve"> As clarified in the </w:t>
            </w:r>
            <w:r w:rsidRPr="003A47F5">
              <w:rPr>
                <w:i/>
                <w:szCs w:val="22"/>
              </w:rPr>
              <w:t>Second E-rate Modernization Order</w:t>
            </w:r>
            <w:r>
              <w:rPr>
                <w:szCs w:val="22"/>
              </w:rPr>
              <w:t>, d</w:t>
            </w:r>
            <w:r w:rsidRPr="006E3382">
              <w:rPr>
                <w:szCs w:val="22"/>
              </w:rPr>
              <w:t xml:space="preserve">ata plans and air cards for mobile devices are </w:t>
            </w:r>
            <w:r w:rsidRPr="006E3382" w:rsidDel="008839FB">
              <w:rPr>
                <w:szCs w:val="22"/>
              </w:rPr>
              <w:t xml:space="preserve">eligible </w:t>
            </w:r>
            <w:r w:rsidRPr="006E3382">
              <w:rPr>
                <w:szCs w:val="22"/>
              </w:rPr>
              <w:t xml:space="preserve">only in instances when the school or library seeking support demonstrates that the individual data plans are the most </w:t>
            </w:r>
            <w:r w:rsidRPr="006E3382" w:rsidDel="008839FB">
              <w:rPr>
                <w:szCs w:val="22"/>
              </w:rPr>
              <w:t>cost</w:t>
            </w:r>
            <w:r w:rsidRPr="006E3382">
              <w:rPr>
                <w:szCs w:val="22"/>
              </w:rPr>
              <w:t>-</w:t>
            </w:r>
            <w:r w:rsidRPr="006E3382" w:rsidDel="008839FB">
              <w:rPr>
                <w:szCs w:val="22"/>
              </w:rPr>
              <w:t xml:space="preserve">effective </w:t>
            </w:r>
            <w:r w:rsidRPr="006E3382">
              <w:rPr>
                <w:szCs w:val="22"/>
              </w:rPr>
              <w:t>option for providing internal broadband access for mobile devices</w:t>
            </w:r>
            <w:r>
              <w:rPr>
                <w:szCs w:val="22"/>
              </w:rPr>
              <w:t xml:space="preserve"> at schools and libraries</w:t>
            </w:r>
            <w:r w:rsidRPr="006E3382" w:rsidDel="008839FB">
              <w:rPr>
                <w:szCs w:val="22"/>
              </w:rPr>
              <w:t xml:space="preserve">. </w:t>
            </w:r>
            <w:r w:rsidRPr="006E3382">
              <w:rPr>
                <w:szCs w:val="22"/>
              </w:rPr>
              <w:t xml:space="preserve"> </w:t>
            </w:r>
            <w:r>
              <w:rPr>
                <w:szCs w:val="22"/>
              </w:rPr>
              <w:t xml:space="preserve">Applicants should compare the cost of data plans or air cards for mobile devices to the total cost of all components necessary to deliver connectivity to the end user device, including the cost of Internet access and </w:t>
            </w:r>
            <w:r w:rsidR="006C69CA">
              <w:rPr>
                <w:szCs w:val="22"/>
              </w:rPr>
              <w:t xml:space="preserve">data </w:t>
            </w:r>
            <w:r>
              <w:rPr>
                <w:szCs w:val="22"/>
              </w:rPr>
              <w:t>transmission service to the school or library.  Seeking support for data plans or air cards for mobile devices for use in a school or library with an existing broadband connection and wireless local area network implicates the E-rate program’s prohibition on request</w:t>
            </w:r>
            <w:r w:rsidR="006C69CA">
              <w:rPr>
                <w:szCs w:val="22"/>
              </w:rPr>
              <w:t>s</w:t>
            </w:r>
            <w:r>
              <w:rPr>
                <w:szCs w:val="22"/>
              </w:rPr>
              <w:t xml:space="preserve"> for duplicative services.</w:t>
            </w:r>
          </w:p>
          <w:p w14:paraId="727726EF" w14:textId="77777777" w:rsidR="00974AC8" w:rsidRPr="006E3382" w:rsidRDefault="00974AC8" w:rsidP="006E7F77">
            <w:pPr>
              <w:jc w:val="both"/>
              <w:rPr>
                <w:szCs w:val="22"/>
              </w:rPr>
            </w:pPr>
          </w:p>
          <w:p w14:paraId="601D9150" w14:textId="77777777" w:rsidR="00974AC8" w:rsidRDefault="00974AC8" w:rsidP="006E7F77">
            <w:pPr>
              <w:contextualSpacing/>
              <w:jc w:val="both"/>
              <w:rPr>
                <w:szCs w:val="22"/>
              </w:rPr>
            </w:pPr>
            <w:r w:rsidRPr="006E3382" w:rsidDel="008839FB">
              <w:rPr>
                <w:szCs w:val="22"/>
              </w:rPr>
              <w:t>Off-campus use</w:t>
            </w:r>
            <w:r w:rsidRPr="006E3382">
              <w:rPr>
                <w:szCs w:val="22"/>
              </w:rPr>
              <w:t xml:space="preserve">, even if used for an educational purpose, is ineligible for support and </w:t>
            </w:r>
            <w:r w:rsidRPr="006E3382" w:rsidDel="008839FB">
              <w:rPr>
                <w:szCs w:val="22"/>
              </w:rPr>
              <w:t>must be cost allocated</w:t>
            </w:r>
            <w:r w:rsidRPr="006E3382">
              <w:rPr>
                <w:szCs w:val="22"/>
              </w:rPr>
              <w:t xml:space="preserve"> out of any funding request</w:t>
            </w:r>
            <w:r w:rsidRPr="006E3382" w:rsidDel="008839FB">
              <w:rPr>
                <w:szCs w:val="22"/>
              </w:rPr>
              <w:t>.</w:t>
            </w:r>
          </w:p>
          <w:p w14:paraId="695C98E1" w14:textId="77777777" w:rsidR="00974AC8" w:rsidRDefault="00974AC8" w:rsidP="006E7F77">
            <w:pPr>
              <w:contextualSpacing/>
              <w:jc w:val="both"/>
              <w:rPr>
                <w:szCs w:val="22"/>
              </w:rPr>
            </w:pPr>
          </w:p>
          <w:p w14:paraId="2061E261" w14:textId="77777777" w:rsidR="00974AC8" w:rsidRDefault="00974AC8" w:rsidP="006E7F77">
            <w:pPr>
              <w:contextualSpacing/>
              <w:jc w:val="both"/>
              <w:rPr>
                <w:szCs w:val="22"/>
              </w:rPr>
            </w:pPr>
            <w:r w:rsidRPr="006E3382">
              <w:rPr>
                <w:szCs w:val="22"/>
              </w:rPr>
              <w:t>Managed internal broadband services, such as managed Wi-Fi, are eligible only for Category Two support.</w:t>
            </w:r>
          </w:p>
          <w:p w14:paraId="663679A1" w14:textId="77777777" w:rsidR="00974AC8" w:rsidRPr="006E3382" w:rsidRDefault="00974AC8" w:rsidP="006E7F77">
            <w:pPr>
              <w:contextualSpacing/>
              <w:jc w:val="both"/>
              <w:rPr>
                <w:b/>
                <w:szCs w:val="22"/>
              </w:rPr>
            </w:pPr>
          </w:p>
        </w:tc>
      </w:tr>
    </w:tbl>
    <w:p w14:paraId="36397E9B" w14:textId="77777777" w:rsidR="00974AC8" w:rsidRPr="006E3382" w:rsidRDefault="00974AC8" w:rsidP="00974AC8">
      <w:pPr>
        <w:ind w:left="720"/>
        <w:contextualSpacing/>
        <w:jc w:val="both"/>
        <w:rPr>
          <w:bCs/>
          <w:szCs w:val="22"/>
          <w:u w:val="single"/>
        </w:rPr>
      </w:pPr>
    </w:p>
    <w:p w14:paraId="56BAE3AA" w14:textId="77777777" w:rsidR="00974AC8" w:rsidRPr="006E3382" w:rsidRDefault="00974AC8" w:rsidP="00974AC8">
      <w:pPr>
        <w:jc w:val="both"/>
      </w:pPr>
    </w:p>
    <w:p w14:paraId="5ABCC50D" w14:textId="77777777" w:rsidR="00974AC8" w:rsidRDefault="00974AC8" w:rsidP="00974AC8">
      <w:pPr>
        <w:jc w:val="both"/>
      </w:pPr>
      <w:r w:rsidRPr="006E3382">
        <w:br w:type="page"/>
      </w:r>
    </w:p>
    <w:p w14:paraId="16E06AD4" w14:textId="77777777" w:rsidR="00974AC8" w:rsidRPr="006E3382" w:rsidRDefault="00974AC8" w:rsidP="00974AC8">
      <w:pPr>
        <w:contextualSpacing/>
        <w:rPr>
          <w:b/>
        </w:rPr>
      </w:pPr>
      <w:r w:rsidRPr="006E3382">
        <w:rPr>
          <w:b/>
          <w:u w:val="single"/>
        </w:rPr>
        <w:t>Category Two</w:t>
      </w:r>
    </w:p>
    <w:p w14:paraId="3A6EF818" w14:textId="77777777" w:rsidR="00974AC8" w:rsidRPr="006E3382" w:rsidRDefault="00974AC8" w:rsidP="00974AC8">
      <w:pPr>
        <w:ind w:left="1080"/>
        <w:contextualSpacing/>
        <w:jc w:val="both"/>
      </w:pPr>
    </w:p>
    <w:p w14:paraId="4E308995" w14:textId="77777777" w:rsidR="00974AC8" w:rsidRPr="006E3382" w:rsidRDefault="00974AC8" w:rsidP="00974AC8">
      <w:pPr>
        <w:rPr>
          <w:rFonts w:ascii="Verdana" w:hAnsi="Verdana"/>
          <w:bCs/>
          <w:szCs w:val="22"/>
        </w:rPr>
      </w:pPr>
      <w:r w:rsidRPr="006E3382">
        <w:t xml:space="preserve">The second category of equipment and services eligible for E-rate support, Category Two, includes </w:t>
      </w:r>
      <w:r w:rsidRPr="006E3382" w:rsidDel="00907FA5">
        <w:rPr>
          <w:szCs w:val="22"/>
        </w:rPr>
        <w:t>the internal connections needed for broadband connectivity within schools and libraries</w:t>
      </w:r>
      <w:r w:rsidRPr="006E3382">
        <w:t xml:space="preserve">.  Support is limited to the </w:t>
      </w:r>
      <w:r w:rsidRPr="006E3382">
        <w:rPr>
          <w:bCs/>
        </w:rPr>
        <w:t xml:space="preserve">internal </w:t>
      </w:r>
      <w:r w:rsidRPr="006E3382">
        <w:rPr>
          <w:snapToGrid w:val="0"/>
        </w:rPr>
        <w:t xml:space="preserve">connections </w:t>
      </w:r>
      <w:r w:rsidRPr="006E3382">
        <w:t xml:space="preserve">necessary to </w:t>
      </w:r>
      <w:r w:rsidRPr="006E3382">
        <w:rPr>
          <w:snapToGrid w:val="0"/>
        </w:rPr>
        <w:t>bring broadband into, and provide it throughout, schools and libraries</w:t>
      </w:r>
      <w:r w:rsidRPr="006E3382">
        <w:t>.  These are broadband connections used for educational purposes within, between, or among instructional buildings that comprise a school campus or library branch, and basic maintenance of these connections, as well as s</w:t>
      </w:r>
      <w:r w:rsidRPr="006E3382">
        <w:rPr>
          <w:snapToGrid w:val="0"/>
        </w:rPr>
        <w:t>ervices that manage and operate owned or leased broadband internal connections (e.g.,</w:t>
      </w:r>
      <w:r w:rsidRPr="006E3382">
        <w:rPr>
          <w:i/>
          <w:snapToGrid w:val="0"/>
        </w:rPr>
        <w:t xml:space="preserve"> </w:t>
      </w:r>
      <w:r w:rsidRPr="006E3382">
        <w:rPr>
          <w:snapToGrid w:val="0"/>
        </w:rPr>
        <w:t xml:space="preserve">managed internal broadband services or managed Wi-Fi).  </w:t>
      </w:r>
      <w:r>
        <w:rPr>
          <w:szCs w:val="22"/>
        </w:rPr>
        <w:t>C</w:t>
      </w:r>
      <w:r w:rsidRPr="006E3382">
        <w:rPr>
          <w:szCs w:val="22"/>
        </w:rPr>
        <w:t xml:space="preserve">ategory </w:t>
      </w:r>
      <w:r>
        <w:rPr>
          <w:szCs w:val="22"/>
        </w:rPr>
        <w:t xml:space="preserve">Two support is subject to per-school or per-library </w:t>
      </w:r>
      <w:r w:rsidRPr="006E3382">
        <w:rPr>
          <w:szCs w:val="22"/>
        </w:rPr>
        <w:t>budget</w:t>
      </w:r>
      <w:r>
        <w:rPr>
          <w:szCs w:val="22"/>
        </w:rPr>
        <w:t>s as</w:t>
      </w:r>
      <w:r w:rsidRPr="006E3382">
        <w:rPr>
          <w:szCs w:val="22"/>
        </w:rPr>
        <w:t xml:space="preserve"> set forth in the </w:t>
      </w:r>
      <w:r w:rsidRPr="006E3382">
        <w:rPr>
          <w:i/>
          <w:szCs w:val="22"/>
        </w:rPr>
        <w:t>E-rate Modernization Order</w:t>
      </w:r>
      <w:r>
        <w:rPr>
          <w:szCs w:val="22"/>
        </w:rPr>
        <w:t xml:space="preserve"> and </w:t>
      </w:r>
      <w:r>
        <w:rPr>
          <w:i/>
          <w:szCs w:val="22"/>
        </w:rPr>
        <w:t>Second E-rate Modernization Order</w:t>
      </w:r>
      <w:r w:rsidRPr="006E3382">
        <w:rPr>
          <w:szCs w:val="22"/>
        </w:rPr>
        <w:t>.</w:t>
      </w:r>
      <w:r w:rsidRPr="006E3382">
        <w:rPr>
          <w:rFonts w:ascii="Verdana" w:hAnsi="Verdana"/>
          <w:bCs/>
          <w:szCs w:val="22"/>
        </w:rPr>
        <w:t xml:space="preserve">  </w:t>
      </w:r>
      <w:r w:rsidRPr="006E3382">
        <w:rPr>
          <w:szCs w:val="22"/>
        </w:rPr>
        <w:t>The eligible components and services in Category Two are:</w:t>
      </w:r>
    </w:p>
    <w:p w14:paraId="371B034E" w14:textId="77777777" w:rsidR="00974AC8" w:rsidRPr="006E3382" w:rsidRDefault="00974AC8" w:rsidP="00974AC8">
      <w:pPr>
        <w:ind w:left="720"/>
        <w:jc w:val="both"/>
        <w:rPr>
          <w:szCs w:val="22"/>
        </w:rPr>
      </w:pPr>
    </w:p>
    <w:tbl>
      <w:tblPr>
        <w:tblStyle w:val="TableGrid1"/>
        <w:tblW w:w="0" w:type="auto"/>
        <w:jc w:val="center"/>
        <w:tblLook w:val="04A0" w:firstRow="1" w:lastRow="0" w:firstColumn="1" w:lastColumn="0" w:noHBand="0" w:noVBand="1"/>
      </w:tblPr>
      <w:tblGrid>
        <w:gridCol w:w="5868"/>
      </w:tblGrid>
      <w:tr w:rsidR="00974AC8" w:rsidRPr="006E3382" w14:paraId="770A00F9" w14:textId="77777777" w:rsidTr="006E7F77">
        <w:trPr>
          <w:jc w:val="center"/>
        </w:trPr>
        <w:tc>
          <w:tcPr>
            <w:tcW w:w="5868" w:type="dxa"/>
          </w:tcPr>
          <w:p w14:paraId="225A8993" w14:textId="77777777" w:rsidR="00974AC8" w:rsidRDefault="00974AC8" w:rsidP="006E7F77">
            <w:pPr>
              <w:jc w:val="center"/>
              <w:rPr>
                <w:b/>
                <w:szCs w:val="22"/>
              </w:rPr>
            </w:pPr>
            <w:r w:rsidRPr="006E3382">
              <w:rPr>
                <w:b/>
                <w:szCs w:val="22"/>
              </w:rPr>
              <w:t>Eligible Broadband Internal Connections</w:t>
            </w:r>
          </w:p>
          <w:p w14:paraId="065C95C3" w14:textId="77777777" w:rsidR="00974AC8" w:rsidRPr="006E3382" w:rsidRDefault="00974AC8" w:rsidP="006E7F77">
            <w:pPr>
              <w:jc w:val="center"/>
              <w:rPr>
                <w:szCs w:val="22"/>
              </w:rPr>
            </w:pPr>
          </w:p>
          <w:p w14:paraId="28EA06A6" w14:textId="77777777" w:rsidR="00974AC8" w:rsidRPr="006E3382" w:rsidRDefault="00974AC8" w:rsidP="00974AC8">
            <w:pPr>
              <w:widowControl/>
              <w:numPr>
                <w:ilvl w:val="0"/>
                <w:numId w:val="23"/>
              </w:numPr>
              <w:contextualSpacing/>
              <w:jc w:val="both"/>
              <w:rPr>
                <w:rFonts w:ascii="Verdana" w:hAnsi="Verdana"/>
                <w:bCs/>
                <w:szCs w:val="22"/>
              </w:rPr>
            </w:pPr>
            <w:r w:rsidRPr="006E3382">
              <w:rPr>
                <w:szCs w:val="22"/>
              </w:rPr>
              <w:t xml:space="preserve">Access points used in a local area network (LAN) or wireless local area network (WLAN) environment (such as wireless access points) </w:t>
            </w:r>
          </w:p>
          <w:p w14:paraId="350DD99C" w14:textId="77777777" w:rsidR="00974AC8" w:rsidRPr="006E3382" w:rsidRDefault="00974AC8" w:rsidP="00974AC8">
            <w:pPr>
              <w:widowControl/>
              <w:numPr>
                <w:ilvl w:val="0"/>
                <w:numId w:val="23"/>
              </w:numPr>
              <w:contextualSpacing/>
              <w:jc w:val="both"/>
              <w:rPr>
                <w:szCs w:val="22"/>
              </w:rPr>
            </w:pPr>
            <w:r w:rsidRPr="006E3382">
              <w:rPr>
                <w:szCs w:val="22"/>
              </w:rPr>
              <w:t xml:space="preserve">Antennas, cabling, connectors, and related components used for internal broadband connections </w:t>
            </w:r>
          </w:p>
          <w:p w14:paraId="6F61FE33" w14:textId="77777777" w:rsidR="00974AC8" w:rsidRPr="006E3382" w:rsidRDefault="00974AC8" w:rsidP="00974AC8">
            <w:pPr>
              <w:widowControl/>
              <w:numPr>
                <w:ilvl w:val="0"/>
                <w:numId w:val="23"/>
              </w:numPr>
              <w:contextualSpacing/>
              <w:jc w:val="both"/>
              <w:rPr>
                <w:rFonts w:ascii="Verdana" w:hAnsi="Verdana"/>
                <w:bCs/>
                <w:szCs w:val="22"/>
              </w:rPr>
            </w:pPr>
            <w:r w:rsidRPr="006E3382">
              <w:rPr>
                <w:szCs w:val="22"/>
              </w:rPr>
              <w:t xml:space="preserve">Caching </w:t>
            </w:r>
          </w:p>
          <w:p w14:paraId="1D61E423" w14:textId="77777777" w:rsidR="00974AC8" w:rsidRPr="006E3382" w:rsidRDefault="00974AC8" w:rsidP="00974AC8">
            <w:pPr>
              <w:widowControl/>
              <w:numPr>
                <w:ilvl w:val="0"/>
                <w:numId w:val="23"/>
              </w:numPr>
              <w:contextualSpacing/>
              <w:jc w:val="both"/>
              <w:rPr>
                <w:rFonts w:ascii="Verdana" w:hAnsi="Verdana"/>
                <w:bCs/>
                <w:szCs w:val="22"/>
              </w:rPr>
            </w:pPr>
            <w:r w:rsidRPr="006E3382">
              <w:rPr>
                <w:szCs w:val="22"/>
              </w:rPr>
              <w:t>Firewall services and components</w:t>
            </w:r>
            <w:r>
              <w:rPr>
                <w:szCs w:val="22"/>
              </w:rPr>
              <w:t xml:space="preserve"> separate from basic firewall protection provided as a standard component of a vendor’s Internet access service.</w:t>
            </w:r>
          </w:p>
          <w:p w14:paraId="4F79E50F" w14:textId="77777777" w:rsidR="00974AC8" w:rsidRPr="006E3382" w:rsidRDefault="00974AC8" w:rsidP="00974AC8">
            <w:pPr>
              <w:widowControl/>
              <w:numPr>
                <w:ilvl w:val="0"/>
                <w:numId w:val="23"/>
              </w:numPr>
              <w:contextualSpacing/>
              <w:jc w:val="both"/>
              <w:rPr>
                <w:rFonts w:ascii="Verdana" w:hAnsi="Verdana"/>
                <w:bCs/>
                <w:szCs w:val="22"/>
              </w:rPr>
            </w:pPr>
            <w:r w:rsidRPr="006E3382">
              <w:rPr>
                <w:szCs w:val="22"/>
              </w:rPr>
              <w:t xml:space="preserve">Switches </w:t>
            </w:r>
          </w:p>
          <w:p w14:paraId="12556232" w14:textId="77777777" w:rsidR="00974AC8" w:rsidRPr="006E3382" w:rsidRDefault="00974AC8" w:rsidP="00974AC8">
            <w:pPr>
              <w:widowControl/>
              <w:numPr>
                <w:ilvl w:val="0"/>
                <w:numId w:val="23"/>
              </w:numPr>
              <w:contextualSpacing/>
              <w:jc w:val="both"/>
              <w:rPr>
                <w:rFonts w:ascii="Verdana" w:hAnsi="Verdana"/>
                <w:bCs/>
                <w:szCs w:val="22"/>
              </w:rPr>
            </w:pPr>
            <w:r w:rsidRPr="006E3382">
              <w:rPr>
                <w:szCs w:val="22"/>
              </w:rPr>
              <w:t xml:space="preserve">Routers </w:t>
            </w:r>
          </w:p>
          <w:p w14:paraId="70A4C14C" w14:textId="77777777" w:rsidR="00974AC8" w:rsidRPr="006E3382" w:rsidRDefault="00974AC8" w:rsidP="00974AC8">
            <w:pPr>
              <w:widowControl/>
              <w:numPr>
                <w:ilvl w:val="0"/>
                <w:numId w:val="23"/>
              </w:numPr>
              <w:contextualSpacing/>
              <w:jc w:val="both"/>
              <w:rPr>
                <w:rFonts w:ascii="Verdana" w:hAnsi="Verdana"/>
                <w:bCs/>
                <w:szCs w:val="22"/>
              </w:rPr>
            </w:pPr>
            <w:r w:rsidRPr="006E3382">
              <w:rPr>
                <w:szCs w:val="22"/>
              </w:rPr>
              <w:t xml:space="preserve">Racks </w:t>
            </w:r>
          </w:p>
          <w:p w14:paraId="7B987618" w14:textId="77777777" w:rsidR="00974AC8" w:rsidRPr="006E3382" w:rsidRDefault="00974AC8" w:rsidP="00974AC8">
            <w:pPr>
              <w:widowControl/>
              <w:numPr>
                <w:ilvl w:val="0"/>
                <w:numId w:val="23"/>
              </w:numPr>
              <w:contextualSpacing/>
              <w:jc w:val="both"/>
              <w:rPr>
                <w:rFonts w:ascii="Verdana" w:hAnsi="Verdana"/>
                <w:bCs/>
                <w:szCs w:val="22"/>
              </w:rPr>
            </w:pPr>
            <w:r w:rsidRPr="006E3382">
              <w:rPr>
                <w:szCs w:val="22"/>
              </w:rPr>
              <w:t xml:space="preserve">Uninterruptible Power Supply (UPS)/Battery Backup </w:t>
            </w:r>
          </w:p>
          <w:p w14:paraId="22F76FBB" w14:textId="77777777" w:rsidR="00974AC8" w:rsidRPr="006E3382" w:rsidRDefault="00974AC8" w:rsidP="00974AC8">
            <w:pPr>
              <w:widowControl/>
              <w:numPr>
                <w:ilvl w:val="0"/>
                <w:numId w:val="23"/>
              </w:numPr>
              <w:contextualSpacing/>
              <w:jc w:val="both"/>
              <w:rPr>
                <w:rFonts w:ascii="Verdana" w:hAnsi="Verdana"/>
                <w:bCs/>
                <w:szCs w:val="22"/>
              </w:rPr>
            </w:pPr>
            <w:r w:rsidRPr="006E3382">
              <w:rPr>
                <w:szCs w:val="22"/>
              </w:rPr>
              <w:t xml:space="preserve">Wireless controller systems </w:t>
            </w:r>
          </w:p>
          <w:p w14:paraId="098619E6" w14:textId="77777777" w:rsidR="00974AC8" w:rsidRPr="006E3382" w:rsidRDefault="00974AC8" w:rsidP="00974AC8">
            <w:pPr>
              <w:widowControl/>
              <w:numPr>
                <w:ilvl w:val="0"/>
                <w:numId w:val="23"/>
              </w:numPr>
              <w:contextualSpacing/>
              <w:jc w:val="both"/>
              <w:rPr>
                <w:rFonts w:ascii="Verdana" w:hAnsi="Verdana"/>
                <w:bCs/>
                <w:szCs w:val="22"/>
              </w:rPr>
            </w:pPr>
            <w:r w:rsidRPr="006E3382">
              <w:rPr>
                <w:szCs w:val="22"/>
              </w:rPr>
              <w:t xml:space="preserve">Software supporting the components on this list used to distribute high-speed broadband throughout school buildings and libraries </w:t>
            </w:r>
          </w:p>
          <w:p w14:paraId="789C5289" w14:textId="77777777" w:rsidR="00974AC8" w:rsidRPr="006E3382" w:rsidRDefault="00974AC8" w:rsidP="006E7F77">
            <w:pPr>
              <w:jc w:val="both"/>
              <w:rPr>
                <w:bCs/>
                <w:szCs w:val="22"/>
              </w:rPr>
            </w:pPr>
          </w:p>
          <w:p w14:paraId="201744A3" w14:textId="77777777" w:rsidR="00974AC8" w:rsidRDefault="00974AC8" w:rsidP="006E7F77">
            <w:pPr>
              <w:jc w:val="both"/>
              <w:rPr>
                <w:szCs w:val="22"/>
              </w:rPr>
            </w:pPr>
            <w:r w:rsidRPr="006E3382">
              <w:rPr>
                <w:i/>
                <w:szCs w:val="22"/>
              </w:rPr>
              <w:t>Notes</w:t>
            </w:r>
            <w:r w:rsidRPr="006E3382">
              <w:rPr>
                <w:szCs w:val="22"/>
              </w:rPr>
              <w:t xml:space="preserve">: </w:t>
            </w:r>
            <w:r w:rsidRPr="006E3382">
              <w:rPr>
                <w:szCs w:val="22"/>
              </w:rPr>
              <w:tab/>
              <w:t>(1) Functionalities listed above that can be virtualized in the cloud, and equipment that combines eligible functionalities, like routing and switching, are also eligible.</w:t>
            </w:r>
          </w:p>
          <w:p w14:paraId="37B0E63A" w14:textId="77777777" w:rsidR="00974AC8" w:rsidRPr="006E3382" w:rsidRDefault="00974AC8" w:rsidP="006E7F77">
            <w:pPr>
              <w:jc w:val="both"/>
              <w:rPr>
                <w:szCs w:val="22"/>
              </w:rPr>
            </w:pPr>
          </w:p>
          <w:p w14:paraId="187CFDB7" w14:textId="77777777" w:rsidR="00974AC8" w:rsidRDefault="00974AC8" w:rsidP="006E7F77">
            <w:pPr>
              <w:jc w:val="both"/>
              <w:rPr>
                <w:szCs w:val="22"/>
              </w:rPr>
            </w:pPr>
            <w:r w:rsidRPr="006E3382">
              <w:rPr>
                <w:szCs w:val="22"/>
              </w:rPr>
              <w:t xml:space="preserve">(2) </w:t>
            </w:r>
            <w:r w:rsidRPr="006E3382">
              <w:rPr>
                <w:bCs/>
                <w:szCs w:val="22"/>
              </w:rPr>
              <w:t>A manufacturer’s multi-year warranty for a period up to three years that is provided as an integral part of an eligible component, without a separately identifiable cost, may be incl</w:t>
            </w:r>
            <w:r w:rsidRPr="006E3382">
              <w:rPr>
                <w:szCs w:val="22"/>
              </w:rPr>
              <w:t>uded in the cost of the component.</w:t>
            </w:r>
          </w:p>
          <w:p w14:paraId="0E1E0344" w14:textId="77777777" w:rsidR="00974AC8" w:rsidRPr="006E3382" w:rsidRDefault="00974AC8" w:rsidP="006E7F77">
            <w:pPr>
              <w:jc w:val="both"/>
              <w:rPr>
                <w:szCs w:val="22"/>
              </w:rPr>
            </w:pPr>
          </w:p>
          <w:p w14:paraId="306FFA81" w14:textId="77777777" w:rsidR="00974AC8" w:rsidRDefault="00974AC8" w:rsidP="006E7F77">
            <w:pPr>
              <w:jc w:val="both"/>
              <w:rPr>
                <w:szCs w:val="22"/>
              </w:rPr>
            </w:pPr>
            <w:r w:rsidRPr="006E3382">
              <w:rPr>
                <w:szCs w:val="22"/>
              </w:rPr>
              <w:t xml:space="preserve">(3) </w:t>
            </w:r>
            <w:r>
              <w:rPr>
                <w:szCs w:val="22"/>
              </w:rPr>
              <w:t>C</w:t>
            </w:r>
            <w:r w:rsidRPr="006E3382">
              <w:rPr>
                <w:szCs w:val="22"/>
              </w:rPr>
              <w:t>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p w14:paraId="52EA068C" w14:textId="77777777" w:rsidR="00974AC8" w:rsidRPr="0030236F" w:rsidRDefault="00974AC8" w:rsidP="006E7F77">
            <w:pPr>
              <w:jc w:val="both"/>
              <w:rPr>
                <w:szCs w:val="22"/>
              </w:rPr>
            </w:pPr>
          </w:p>
        </w:tc>
      </w:tr>
    </w:tbl>
    <w:p w14:paraId="55D441AC" w14:textId="77777777" w:rsidR="00974AC8" w:rsidRPr="006E3382" w:rsidRDefault="00974AC8" w:rsidP="00974AC8">
      <w:pPr>
        <w:jc w:val="both"/>
        <w:rPr>
          <w:szCs w:val="22"/>
        </w:rPr>
      </w:pPr>
    </w:p>
    <w:p w14:paraId="4AE84F02" w14:textId="77777777" w:rsidR="00974AC8" w:rsidRPr="006E3382" w:rsidRDefault="00974AC8" w:rsidP="00974AC8">
      <w:pPr>
        <w:ind w:left="360"/>
        <w:jc w:val="both"/>
        <w:rPr>
          <w:rFonts w:eastAsia="Calibri"/>
          <w:szCs w:val="22"/>
        </w:rPr>
      </w:pPr>
      <w:r w:rsidRPr="006E3382">
        <w:rPr>
          <w:rFonts w:eastAsia="Calibri"/>
          <w:szCs w:val="22"/>
        </w:rPr>
        <w:br w:type="page"/>
      </w:r>
    </w:p>
    <w:tbl>
      <w:tblPr>
        <w:tblStyle w:val="TableGrid1"/>
        <w:tblW w:w="0" w:type="auto"/>
        <w:jc w:val="center"/>
        <w:tblLook w:val="04A0" w:firstRow="1" w:lastRow="0" w:firstColumn="1" w:lastColumn="0" w:noHBand="0" w:noVBand="1"/>
      </w:tblPr>
      <w:tblGrid>
        <w:gridCol w:w="5958"/>
      </w:tblGrid>
      <w:tr w:rsidR="00974AC8" w:rsidRPr="006E3382" w14:paraId="50E2FBCF" w14:textId="77777777" w:rsidTr="006E7F77">
        <w:trPr>
          <w:jc w:val="center"/>
        </w:trPr>
        <w:tc>
          <w:tcPr>
            <w:tcW w:w="5958" w:type="dxa"/>
          </w:tcPr>
          <w:p w14:paraId="4D2BCC4E" w14:textId="77777777" w:rsidR="00974AC8" w:rsidRDefault="00974AC8" w:rsidP="006E7F77">
            <w:pPr>
              <w:keepNext/>
              <w:keepLines/>
              <w:jc w:val="center"/>
              <w:rPr>
                <w:b/>
                <w:snapToGrid w:val="0"/>
                <w:szCs w:val="22"/>
              </w:rPr>
            </w:pPr>
            <w:r w:rsidRPr="006E3382">
              <w:rPr>
                <w:b/>
                <w:snapToGrid w:val="0"/>
                <w:szCs w:val="22"/>
              </w:rPr>
              <w:t>Eligible Managed Internal Broadband Services</w:t>
            </w:r>
          </w:p>
          <w:p w14:paraId="2449983E" w14:textId="77777777" w:rsidR="00974AC8" w:rsidRPr="006E3382" w:rsidRDefault="00974AC8" w:rsidP="006E7F77">
            <w:pPr>
              <w:keepNext/>
              <w:keepLines/>
              <w:jc w:val="both"/>
              <w:rPr>
                <w:szCs w:val="22"/>
              </w:rPr>
            </w:pPr>
          </w:p>
          <w:p w14:paraId="36623613" w14:textId="77777777" w:rsidR="00974AC8" w:rsidRPr="006E3382" w:rsidRDefault="00974AC8" w:rsidP="00974AC8">
            <w:pPr>
              <w:keepNext/>
              <w:keepLines/>
              <w:widowControl/>
              <w:numPr>
                <w:ilvl w:val="0"/>
                <w:numId w:val="30"/>
              </w:numPr>
              <w:contextualSpacing/>
              <w:jc w:val="both"/>
              <w:rPr>
                <w:snapToGrid w:val="0"/>
                <w:szCs w:val="22"/>
              </w:rPr>
            </w:pPr>
            <w:r w:rsidRPr="006E3382">
              <w:rPr>
                <w:snapToGrid w:val="0"/>
                <w:szCs w:val="22"/>
              </w:rPr>
              <w:t>Services provided by a third party for the operation, management, and monitoring of eligible broadband internal connections are eligible managed internal broadband services (e.g., managed Wi-Fi).</w:t>
            </w:r>
          </w:p>
          <w:p w14:paraId="70C14F8A" w14:textId="77777777" w:rsidR="00974AC8" w:rsidRPr="006E3382" w:rsidRDefault="00974AC8" w:rsidP="00974AC8">
            <w:pPr>
              <w:keepLines/>
              <w:widowControl/>
              <w:numPr>
                <w:ilvl w:val="0"/>
                <w:numId w:val="30"/>
              </w:numPr>
              <w:contextualSpacing/>
              <w:jc w:val="both"/>
              <w:rPr>
                <w:szCs w:val="22"/>
              </w:rPr>
            </w:pPr>
            <w:r w:rsidRPr="006E3382">
              <w:rPr>
                <w:snapToGrid w:val="0"/>
                <w:szCs w:val="22"/>
              </w:rPr>
              <w:t>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w:t>
            </w:r>
            <w:r w:rsidRPr="006E3382">
              <w:rPr>
                <w:snapToGrid w:val="0"/>
                <w:sz w:val="20"/>
                <w:szCs w:val="22"/>
              </w:rPr>
              <w:t xml:space="preserve"> </w:t>
            </w:r>
            <w:r w:rsidRPr="006E3382">
              <w:rPr>
                <w:sz w:val="20"/>
                <w:szCs w:val="22"/>
              </w:rPr>
              <w:t xml:space="preserve">  </w:t>
            </w:r>
          </w:p>
          <w:p w14:paraId="43155CC4" w14:textId="77777777" w:rsidR="00974AC8" w:rsidRPr="0030236F" w:rsidRDefault="00974AC8" w:rsidP="00974AC8">
            <w:pPr>
              <w:keepLines/>
              <w:widowControl/>
              <w:numPr>
                <w:ilvl w:val="0"/>
                <w:numId w:val="30"/>
              </w:numPr>
              <w:contextualSpacing/>
              <w:jc w:val="both"/>
              <w:rPr>
                <w:snapToGrid w:val="0"/>
                <w:sz w:val="20"/>
              </w:rPr>
            </w:pPr>
            <w:r w:rsidRPr="006E3382">
              <w:rPr>
                <w:snapToGrid w:val="0"/>
                <w:szCs w:val="22"/>
              </w:rPr>
              <w:t xml:space="preserve">In some </w:t>
            </w:r>
            <w:r>
              <w:rPr>
                <w:snapToGrid w:val="0"/>
                <w:szCs w:val="22"/>
              </w:rPr>
              <w:t xml:space="preserve">eligible </w:t>
            </w:r>
            <w:r w:rsidRPr="006E3382">
              <w:rPr>
                <w:snapToGrid w:val="0"/>
                <w:szCs w:val="22"/>
              </w:rPr>
              <w:t xml:space="preserve">managed services models, the third party manager owns and installs the equipment and school and library applicants lease the equipment as part of the managed services contract.  </w:t>
            </w:r>
            <w:r w:rsidRPr="006E3382">
              <w:rPr>
                <w:szCs w:val="22"/>
              </w:rPr>
              <w:t>In other cases, the school or library may own the equipment, but have a third party manage it for them</w:t>
            </w:r>
            <w:r w:rsidRPr="006E3382">
              <w:rPr>
                <w:sz w:val="20"/>
                <w:szCs w:val="22"/>
              </w:rPr>
              <w:t xml:space="preserve">.   </w:t>
            </w:r>
          </w:p>
          <w:p w14:paraId="259499F4" w14:textId="77777777" w:rsidR="00974AC8" w:rsidRPr="006E3382" w:rsidRDefault="00974AC8" w:rsidP="006E7F77">
            <w:pPr>
              <w:keepLines/>
              <w:ind w:left="720"/>
              <w:contextualSpacing/>
              <w:jc w:val="both"/>
              <w:rPr>
                <w:snapToGrid w:val="0"/>
                <w:sz w:val="20"/>
              </w:rPr>
            </w:pPr>
            <w:r w:rsidRPr="006E3382">
              <w:rPr>
                <w:sz w:val="20"/>
                <w:szCs w:val="22"/>
              </w:rPr>
              <w:t xml:space="preserve"> </w:t>
            </w:r>
          </w:p>
        </w:tc>
      </w:tr>
    </w:tbl>
    <w:p w14:paraId="2EE309B2" w14:textId="77777777" w:rsidR="00974AC8" w:rsidRPr="006E3382" w:rsidRDefault="00974AC8" w:rsidP="00974AC8">
      <w:pPr>
        <w:contextualSpacing/>
        <w:jc w:val="both"/>
        <w:rPr>
          <w:b/>
          <w:bCs/>
          <w:szCs w:val="22"/>
        </w:rPr>
      </w:pPr>
    </w:p>
    <w:p w14:paraId="56F7AECE" w14:textId="77777777" w:rsidR="00974AC8" w:rsidRPr="006E3382" w:rsidRDefault="00974AC8" w:rsidP="00974AC8">
      <w:pPr>
        <w:jc w:val="both"/>
        <w:rPr>
          <w:szCs w:val="22"/>
        </w:rPr>
      </w:pPr>
    </w:p>
    <w:tbl>
      <w:tblPr>
        <w:tblStyle w:val="TableGrid1"/>
        <w:tblW w:w="0" w:type="auto"/>
        <w:jc w:val="center"/>
        <w:tblLook w:val="04A0" w:firstRow="1" w:lastRow="0" w:firstColumn="1" w:lastColumn="0" w:noHBand="0" w:noVBand="1"/>
      </w:tblPr>
      <w:tblGrid>
        <w:gridCol w:w="5868"/>
      </w:tblGrid>
      <w:tr w:rsidR="00974AC8" w:rsidRPr="006E3382" w14:paraId="5E909E5F" w14:textId="77777777" w:rsidTr="006E7F77">
        <w:trPr>
          <w:jc w:val="center"/>
        </w:trPr>
        <w:tc>
          <w:tcPr>
            <w:tcW w:w="5868" w:type="dxa"/>
          </w:tcPr>
          <w:p w14:paraId="76F9F710" w14:textId="77777777" w:rsidR="00974AC8" w:rsidRPr="006E3382" w:rsidRDefault="00974AC8" w:rsidP="006E7F77">
            <w:pPr>
              <w:jc w:val="center"/>
              <w:rPr>
                <w:szCs w:val="22"/>
              </w:rPr>
            </w:pPr>
            <w:r w:rsidRPr="006E3382">
              <w:rPr>
                <w:b/>
                <w:szCs w:val="22"/>
              </w:rPr>
              <w:t>Basic Maintenance of Eligible Broadband Internal Connections</w:t>
            </w:r>
          </w:p>
          <w:p w14:paraId="6E882608" w14:textId="77777777" w:rsidR="00974AC8" w:rsidRPr="006E3382" w:rsidRDefault="00974AC8" w:rsidP="006E7F77">
            <w:pPr>
              <w:jc w:val="both"/>
              <w:rPr>
                <w:b/>
                <w:szCs w:val="22"/>
              </w:rPr>
            </w:pPr>
          </w:p>
          <w:p w14:paraId="7827FF9B" w14:textId="77777777" w:rsidR="00974AC8" w:rsidRPr="006E3382" w:rsidRDefault="00974AC8" w:rsidP="006E7F77">
            <w:pPr>
              <w:jc w:val="both"/>
              <w:rPr>
                <w:bCs/>
                <w:szCs w:val="22"/>
              </w:rPr>
            </w:pPr>
            <w:r w:rsidRPr="006E3382">
              <w:rPr>
                <w:szCs w:val="22"/>
              </w:rPr>
              <w:t>E-rate support is available for basic m</w:t>
            </w:r>
            <w:r w:rsidRPr="006E3382">
              <w:rPr>
                <w:bCs/>
                <w:szCs w:val="22"/>
              </w:rPr>
              <w:t xml:space="preserve">aintenance and technical support appropriate to maintain reliable operation when provided for eligible broadband internal connections.  </w:t>
            </w:r>
          </w:p>
          <w:p w14:paraId="3185E382" w14:textId="77777777" w:rsidR="00974AC8" w:rsidRPr="006E3382" w:rsidRDefault="00974AC8" w:rsidP="006E7F77">
            <w:pPr>
              <w:jc w:val="both"/>
              <w:rPr>
                <w:bCs/>
                <w:szCs w:val="22"/>
              </w:rPr>
            </w:pPr>
          </w:p>
          <w:p w14:paraId="7875B1FD" w14:textId="77777777" w:rsidR="00974AC8" w:rsidRPr="006E3382" w:rsidRDefault="00974AC8" w:rsidP="006E7F77">
            <w:pPr>
              <w:jc w:val="both"/>
              <w:rPr>
                <w:bCs/>
                <w:szCs w:val="22"/>
              </w:rPr>
            </w:pPr>
            <w:r w:rsidRPr="006E3382">
              <w:rPr>
                <w:bCs/>
                <w:szCs w:val="22"/>
              </w:rPr>
              <w:t>The following basic maintenance services are eligible:</w:t>
            </w:r>
          </w:p>
          <w:p w14:paraId="563A26DA" w14:textId="77777777" w:rsidR="00974AC8" w:rsidRPr="006E3382" w:rsidRDefault="00974AC8" w:rsidP="00974AC8">
            <w:pPr>
              <w:widowControl/>
              <w:numPr>
                <w:ilvl w:val="0"/>
                <w:numId w:val="29"/>
              </w:numPr>
              <w:contextualSpacing/>
              <w:jc w:val="both"/>
              <w:rPr>
                <w:szCs w:val="22"/>
              </w:rPr>
            </w:pPr>
            <w:r w:rsidRPr="006E3382">
              <w:rPr>
                <w:szCs w:val="22"/>
              </w:rPr>
              <w:t>Repair and upkeep of eligible hardware</w:t>
            </w:r>
          </w:p>
          <w:p w14:paraId="0FF1616C" w14:textId="77777777" w:rsidR="00974AC8" w:rsidRPr="006E3382" w:rsidRDefault="00974AC8" w:rsidP="00974AC8">
            <w:pPr>
              <w:widowControl/>
              <w:numPr>
                <w:ilvl w:val="0"/>
                <w:numId w:val="29"/>
              </w:numPr>
              <w:contextualSpacing/>
              <w:jc w:val="both"/>
              <w:rPr>
                <w:szCs w:val="22"/>
              </w:rPr>
            </w:pPr>
            <w:r w:rsidRPr="006E3382">
              <w:rPr>
                <w:szCs w:val="22"/>
              </w:rPr>
              <w:t>Wire and cable maintenance</w:t>
            </w:r>
          </w:p>
          <w:p w14:paraId="3A33391D" w14:textId="77777777" w:rsidR="00974AC8" w:rsidRPr="006E3382" w:rsidRDefault="00974AC8" w:rsidP="00974AC8">
            <w:pPr>
              <w:widowControl/>
              <w:numPr>
                <w:ilvl w:val="0"/>
                <w:numId w:val="29"/>
              </w:numPr>
              <w:contextualSpacing/>
              <w:jc w:val="both"/>
              <w:rPr>
                <w:szCs w:val="22"/>
              </w:rPr>
            </w:pPr>
            <w:r w:rsidRPr="006E3382">
              <w:rPr>
                <w:szCs w:val="22"/>
              </w:rPr>
              <w:t xml:space="preserve">Configuration changes </w:t>
            </w:r>
          </w:p>
          <w:p w14:paraId="5A22CEF2" w14:textId="77777777" w:rsidR="00974AC8" w:rsidRPr="006E3382" w:rsidRDefault="00974AC8" w:rsidP="00974AC8">
            <w:pPr>
              <w:widowControl/>
              <w:numPr>
                <w:ilvl w:val="0"/>
                <w:numId w:val="29"/>
              </w:numPr>
              <w:contextualSpacing/>
              <w:jc w:val="both"/>
              <w:rPr>
                <w:szCs w:val="22"/>
              </w:rPr>
            </w:pPr>
            <w:r w:rsidRPr="006E3382">
              <w:rPr>
                <w:szCs w:val="22"/>
              </w:rPr>
              <w:t xml:space="preserve">Basic technical support including online and telephone based technical support </w:t>
            </w:r>
          </w:p>
          <w:p w14:paraId="046A09B6" w14:textId="77777777" w:rsidR="00974AC8" w:rsidRPr="0030236F" w:rsidRDefault="00974AC8" w:rsidP="00974AC8">
            <w:pPr>
              <w:widowControl/>
              <w:numPr>
                <w:ilvl w:val="0"/>
                <w:numId w:val="29"/>
              </w:numPr>
              <w:contextualSpacing/>
              <w:jc w:val="both"/>
              <w:rPr>
                <w:b/>
                <w:sz w:val="20"/>
                <w:szCs w:val="22"/>
              </w:rPr>
            </w:pPr>
            <w:r w:rsidRPr="006E3382">
              <w:rPr>
                <w:rFonts w:eastAsia="Calibri"/>
                <w:szCs w:val="22"/>
              </w:rPr>
              <w:t>Software upgrades and patches</w:t>
            </w:r>
            <w:r w:rsidRPr="006E3382">
              <w:rPr>
                <w:szCs w:val="22"/>
              </w:rPr>
              <w:t xml:space="preserve"> including b</w:t>
            </w:r>
            <w:r w:rsidRPr="006E3382">
              <w:rPr>
                <w:rFonts w:eastAsia="Calibri"/>
                <w:szCs w:val="22"/>
              </w:rPr>
              <w:t>ug fixes and security patches</w:t>
            </w:r>
          </w:p>
          <w:p w14:paraId="73033EE4" w14:textId="77777777" w:rsidR="00974AC8" w:rsidRPr="006E3382" w:rsidRDefault="00974AC8" w:rsidP="006E7F77">
            <w:pPr>
              <w:ind w:left="720"/>
              <w:contextualSpacing/>
              <w:jc w:val="both"/>
              <w:rPr>
                <w:b/>
                <w:sz w:val="20"/>
                <w:szCs w:val="22"/>
              </w:rPr>
            </w:pPr>
          </w:p>
        </w:tc>
      </w:tr>
    </w:tbl>
    <w:p w14:paraId="6D1891ED" w14:textId="77777777" w:rsidR="00974AC8" w:rsidRPr="006E3382" w:rsidRDefault="00974AC8" w:rsidP="00974AC8">
      <w:pPr>
        <w:jc w:val="both"/>
        <w:rPr>
          <w:szCs w:val="22"/>
          <w:u w:val="single"/>
        </w:rPr>
      </w:pPr>
    </w:p>
    <w:p w14:paraId="62A3351F" w14:textId="77777777" w:rsidR="00974AC8" w:rsidRPr="006E3382" w:rsidRDefault="00974AC8" w:rsidP="00974AC8">
      <w:pPr>
        <w:spacing w:after="200" w:line="276" w:lineRule="auto"/>
        <w:rPr>
          <w:b/>
          <w:bCs/>
          <w:szCs w:val="22"/>
        </w:rPr>
      </w:pPr>
      <w:r w:rsidRPr="006E3382">
        <w:rPr>
          <w:b/>
          <w:bCs/>
          <w:szCs w:val="22"/>
        </w:rPr>
        <w:br w:type="page"/>
      </w:r>
    </w:p>
    <w:p w14:paraId="2A39C233" w14:textId="77777777" w:rsidR="00974AC8" w:rsidRPr="006E3382" w:rsidRDefault="00974AC8" w:rsidP="00974AC8">
      <w:pPr>
        <w:contextualSpacing/>
        <w:jc w:val="center"/>
        <w:rPr>
          <w:b/>
          <w:bCs/>
          <w:szCs w:val="22"/>
        </w:rPr>
      </w:pPr>
      <w:r w:rsidRPr="006E3382">
        <w:rPr>
          <w:b/>
          <w:bCs/>
          <w:szCs w:val="22"/>
        </w:rPr>
        <w:t>Eligibility limitations for Category Two:</w:t>
      </w:r>
    </w:p>
    <w:p w14:paraId="04DBF380" w14:textId="77777777" w:rsidR="00974AC8" w:rsidRPr="006E3382" w:rsidRDefault="00974AC8" w:rsidP="00974AC8">
      <w:pPr>
        <w:contextualSpacing/>
        <w:jc w:val="both"/>
        <w:rPr>
          <w:b/>
          <w:bCs/>
          <w:szCs w:val="22"/>
        </w:rPr>
      </w:pPr>
    </w:p>
    <w:tbl>
      <w:tblPr>
        <w:tblStyle w:val="TableGrid1"/>
        <w:tblW w:w="0" w:type="auto"/>
        <w:tblLook w:val="04A0" w:firstRow="1" w:lastRow="0" w:firstColumn="1" w:lastColumn="0" w:noHBand="0" w:noVBand="1"/>
      </w:tblPr>
      <w:tblGrid>
        <w:gridCol w:w="9576"/>
      </w:tblGrid>
      <w:tr w:rsidR="00974AC8" w:rsidRPr="006E3382" w14:paraId="0F9C2842" w14:textId="77777777" w:rsidTr="006E7F77">
        <w:tc>
          <w:tcPr>
            <w:tcW w:w="9576" w:type="dxa"/>
          </w:tcPr>
          <w:p w14:paraId="0519283B" w14:textId="77777777" w:rsidR="00974AC8" w:rsidRDefault="00974AC8" w:rsidP="006E7F77">
            <w:pPr>
              <w:contextualSpacing/>
              <w:jc w:val="both"/>
              <w:rPr>
                <w:szCs w:val="22"/>
              </w:rPr>
            </w:pPr>
            <w:r w:rsidRPr="006E3382">
              <w:rPr>
                <w:b/>
                <w:bCs/>
                <w:szCs w:val="22"/>
              </w:rPr>
              <w:t>Eligibility limitations for managed internal broadband services</w:t>
            </w:r>
            <w:r w:rsidRPr="006E3382">
              <w:rPr>
                <w:bCs/>
                <w:szCs w:val="22"/>
              </w:rPr>
              <w:t xml:space="preserve"> - </w:t>
            </w:r>
            <w:r w:rsidRPr="006E3382">
              <w:rPr>
                <w:snapToGrid w:val="0"/>
                <w:szCs w:val="22"/>
              </w:rPr>
              <w:t>The equipment eligible for support as part of a managed internal broadband service may include only equipment listed as a broadband internal connections component above.</w:t>
            </w:r>
            <w:r w:rsidRPr="006E3382">
              <w:rPr>
                <w:szCs w:val="22"/>
              </w:rPr>
              <w:t xml:space="preserve">  Upfront charges that are part of a managed service contract are eligible for E-rate support except to the extent that the upfront charges are for any ineligible internal connections (e.g.</w:t>
            </w:r>
            <w:r w:rsidRPr="006E3382">
              <w:rPr>
                <w:i/>
                <w:szCs w:val="22"/>
              </w:rPr>
              <w:t>,</w:t>
            </w:r>
            <w:r w:rsidRPr="006E3382">
              <w:rPr>
                <w:szCs w:val="22"/>
              </w:rPr>
              <w:t xml:space="preserve"> servers other than those that are necessary to provide caching) which, if included in the contract, must be cost allocated out of any funding request.</w:t>
            </w:r>
          </w:p>
          <w:p w14:paraId="312911C9" w14:textId="77777777" w:rsidR="00974AC8" w:rsidRPr="006E3382" w:rsidRDefault="00974AC8" w:rsidP="006E7F77">
            <w:pPr>
              <w:contextualSpacing/>
              <w:jc w:val="both"/>
              <w:rPr>
                <w:b/>
                <w:bCs/>
                <w:szCs w:val="22"/>
              </w:rPr>
            </w:pPr>
            <w:r w:rsidRPr="006E3382">
              <w:rPr>
                <w:szCs w:val="22"/>
              </w:rPr>
              <w:t xml:space="preserve"> </w:t>
            </w:r>
          </w:p>
        </w:tc>
      </w:tr>
      <w:tr w:rsidR="00974AC8" w:rsidRPr="006E3382" w14:paraId="7BDCA055" w14:textId="77777777" w:rsidTr="006E7F77">
        <w:tc>
          <w:tcPr>
            <w:tcW w:w="9576" w:type="dxa"/>
          </w:tcPr>
          <w:p w14:paraId="74C13674" w14:textId="77777777" w:rsidR="00974AC8" w:rsidRPr="006E3382" w:rsidRDefault="00974AC8" w:rsidP="006E7F77">
            <w:pPr>
              <w:contextualSpacing/>
              <w:jc w:val="both"/>
              <w:rPr>
                <w:rFonts w:ascii="Verdana" w:hAnsi="Verdana"/>
                <w:bCs/>
                <w:szCs w:val="22"/>
              </w:rPr>
            </w:pPr>
            <w:r w:rsidRPr="006E3382">
              <w:rPr>
                <w:b/>
                <w:szCs w:val="22"/>
              </w:rPr>
              <w:t>Eligibility limitations for basic maintenance</w:t>
            </w:r>
            <w:r w:rsidRPr="006E3382">
              <w:rPr>
                <w:szCs w:val="22"/>
              </w:rPr>
              <w:t xml:space="preserve"> – Basic maintenance is eligible for support only if it is a component of a maintenance agreement or contract for eligible broadband internal connections.  The agreement or contract must specifically identify the eligible </w:t>
            </w:r>
            <w:r>
              <w:rPr>
                <w:szCs w:val="22"/>
              </w:rPr>
              <w:t xml:space="preserve">internal connections </w:t>
            </w:r>
            <w:r w:rsidRPr="006E3382">
              <w:rPr>
                <w:szCs w:val="22"/>
              </w:rPr>
              <w:t>covered, including product name, model number, and location.  Support for basic maintenance will be paid for the actual work performed under the agreement or contract</w:t>
            </w:r>
            <w:r>
              <w:rPr>
                <w:szCs w:val="22"/>
              </w:rPr>
              <w:t xml:space="preserve">.  </w:t>
            </w:r>
            <w:r w:rsidRPr="001D3AE1">
              <w:rPr>
                <w:szCs w:val="22"/>
              </w:rPr>
              <w:t>Support for bug fixes, security patches, and technical support is not subject to this limitation.</w:t>
            </w:r>
            <w:r w:rsidRPr="006E3382">
              <w:rPr>
                <w:szCs w:val="22"/>
              </w:rPr>
              <w:t xml:space="preserve">  Basic maintenance does not include:</w:t>
            </w:r>
          </w:p>
          <w:p w14:paraId="3352EF1C" w14:textId="77777777" w:rsidR="00974AC8" w:rsidRPr="006E3382" w:rsidRDefault="00974AC8" w:rsidP="00974AC8">
            <w:pPr>
              <w:widowControl/>
              <w:numPr>
                <w:ilvl w:val="0"/>
                <w:numId w:val="24"/>
              </w:numPr>
              <w:contextualSpacing/>
              <w:jc w:val="both"/>
              <w:rPr>
                <w:rFonts w:ascii="Verdana" w:hAnsi="Verdana"/>
                <w:bCs/>
                <w:szCs w:val="22"/>
              </w:rPr>
            </w:pPr>
            <w:r w:rsidRPr="006E3382">
              <w:rPr>
                <w:szCs w:val="22"/>
              </w:rPr>
              <w:t>Services that maintain ineligible equipment</w:t>
            </w:r>
          </w:p>
          <w:p w14:paraId="0FABDF77" w14:textId="77777777" w:rsidR="00974AC8" w:rsidRPr="006E3382" w:rsidRDefault="00974AC8" w:rsidP="00974AC8">
            <w:pPr>
              <w:widowControl/>
              <w:numPr>
                <w:ilvl w:val="0"/>
                <w:numId w:val="24"/>
              </w:numPr>
              <w:contextualSpacing/>
              <w:jc w:val="both"/>
              <w:rPr>
                <w:rFonts w:ascii="Verdana" w:hAnsi="Verdana"/>
                <w:bCs/>
                <w:szCs w:val="22"/>
              </w:rPr>
            </w:pPr>
            <w:r w:rsidRPr="006E3382">
              <w:rPr>
                <w:szCs w:val="22"/>
              </w:rPr>
              <w:t xml:space="preserve">Upfront estimates that cover the full cost of every piece of eligible equipment  </w:t>
            </w:r>
          </w:p>
          <w:p w14:paraId="4FA886FC" w14:textId="77777777" w:rsidR="00974AC8" w:rsidRPr="006E3382" w:rsidRDefault="00974AC8" w:rsidP="00974AC8">
            <w:pPr>
              <w:widowControl/>
              <w:numPr>
                <w:ilvl w:val="0"/>
                <w:numId w:val="24"/>
              </w:numPr>
              <w:contextualSpacing/>
              <w:jc w:val="both"/>
              <w:rPr>
                <w:rFonts w:ascii="Verdana" w:hAnsi="Verdana"/>
                <w:bCs/>
                <w:szCs w:val="22"/>
              </w:rPr>
            </w:pPr>
            <w:r w:rsidRPr="006E3382">
              <w:rPr>
                <w:szCs w:val="22"/>
              </w:rPr>
              <w:t>Services that enhance the utility of equipment beyond the transport of information, or diagnostic services in excess of those necessary to maintain the equipment’s ability to transport information</w:t>
            </w:r>
          </w:p>
          <w:p w14:paraId="0F4F5894" w14:textId="77777777" w:rsidR="00974AC8" w:rsidRPr="006E3382" w:rsidRDefault="00974AC8" w:rsidP="00974AC8">
            <w:pPr>
              <w:widowControl/>
              <w:numPr>
                <w:ilvl w:val="0"/>
                <w:numId w:val="24"/>
              </w:numPr>
              <w:contextualSpacing/>
              <w:jc w:val="both"/>
              <w:rPr>
                <w:rFonts w:ascii="Verdana" w:hAnsi="Verdana"/>
                <w:bCs/>
                <w:szCs w:val="22"/>
              </w:rPr>
            </w:pPr>
            <w:r w:rsidRPr="006E3382">
              <w:rPr>
                <w:szCs w:val="22"/>
              </w:rPr>
              <w:t>Network management services, including 24-hour network monitoring</w:t>
            </w:r>
          </w:p>
          <w:p w14:paraId="7205CFDF" w14:textId="77777777" w:rsidR="00974AC8" w:rsidRPr="006E3382" w:rsidRDefault="00974AC8" w:rsidP="00974AC8">
            <w:pPr>
              <w:widowControl/>
              <w:numPr>
                <w:ilvl w:val="0"/>
                <w:numId w:val="24"/>
              </w:numPr>
              <w:contextualSpacing/>
              <w:jc w:val="both"/>
              <w:rPr>
                <w:rFonts w:ascii="Verdana" w:hAnsi="Verdana"/>
                <w:bCs/>
                <w:szCs w:val="22"/>
              </w:rPr>
            </w:pPr>
            <w:r w:rsidRPr="006E3382">
              <w:rPr>
                <w:bCs/>
                <w:szCs w:val="22"/>
              </w:rPr>
              <w:t>On</w:t>
            </w:r>
            <w:r w:rsidRPr="006E3382">
              <w:rPr>
                <w:szCs w:val="22"/>
              </w:rPr>
              <w:t>-site technical support (i.e., contractor duty station at the applicant site) unless applicants present sufficient evidence of cost-effectiveness</w:t>
            </w:r>
          </w:p>
          <w:p w14:paraId="6404A15C" w14:textId="77777777" w:rsidR="00974AC8" w:rsidRPr="0030236F" w:rsidRDefault="00974AC8" w:rsidP="00974AC8">
            <w:pPr>
              <w:widowControl/>
              <w:numPr>
                <w:ilvl w:val="0"/>
                <w:numId w:val="24"/>
              </w:numPr>
              <w:contextualSpacing/>
              <w:jc w:val="both"/>
              <w:rPr>
                <w:b/>
                <w:bCs/>
                <w:sz w:val="20"/>
                <w:szCs w:val="22"/>
              </w:rPr>
            </w:pPr>
            <w:r w:rsidRPr="006E3382">
              <w:rPr>
                <w:szCs w:val="22"/>
              </w:rPr>
              <w:t>Unbundled warranties</w:t>
            </w:r>
          </w:p>
          <w:p w14:paraId="20AF304C" w14:textId="77777777" w:rsidR="00974AC8" w:rsidRPr="006E3382" w:rsidRDefault="00974AC8" w:rsidP="006E7F77">
            <w:pPr>
              <w:ind w:left="360"/>
              <w:contextualSpacing/>
              <w:jc w:val="both"/>
              <w:rPr>
                <w:b/>
                <w:bCs/>
                <w:sz w:val="20"/>
                <w:szCs w:val="22"/>
              </w:rPr>
            </w:pPr>
          </w:p>
        </w:tc>
      </w:tr>
    </w:tbl>
    <w:p w14:paraId="59FFDD14" w14:textId="77777777" w:rsidR="00974AC8" w:rsidRPr="006E3382" w:rsidRDefault="00974AC8" w:rsidP="00974AC8">
      <w:pPr>
        <w:contextualSpacing/>
        <w:jc w:val="both"/>
        <w:rPr>
          <w:b/>
          <w:bCs/>
          <w:szCs w:val="22"/>
        </w:rPr>
      </w:pPr>
    </w:p>
    <w:p w14:paraId="47D14060" w14:textId="77777777" w:rsidR="00974AC8" w:rsidRPr="006E3382" w:rsidRDefault="00974AC8" w:rsidP="00974AC8">
      <w:pPr>
        <w:jc w:val="both"/>
        <w:rPr>
          <w:szCs w:val="22"/>
        </w:rPr>
      </w:pPr>
    </w:p>
    <w:p w14:paraId="419F833C" w14:textId="77777777" w:rsidR="00974AC8" w:rsidRPr="006E3382" w:rsidRDefault="00974AC8" w:rsidP="00974AC8">
      <w:pPr>
        <w:spacing w:after="200" w:line="276" w:lineRule="auto"/>
        <w:jc w:val="both"/>
        <w:rPr>
          <w:szCs w:val="22"/>
        </w:rPr>
      </w:pPr>
      <w:r w:rsidRPr="006E3382">
        <w:rPr>
          <w:szCs w:val="22"/>
        </w:rPr>
        <w:br w:type="page"/>
      </w:r>
    </w:p>
    <w:p w14:paraId="1F7A5EE7" w14:textId="77777777" w:rsidR="00974AC8" w:rsidRPr="006E3382" w:rsidRDefault="00974AC8" w:rsidP="00974AC8">
      <w:pPr>
        <w:jc w:val="center"/>
        <w:rPr>
          <w:b/>
          <w:bCs/>
          <w:szCs w:val="22"/>
          <w:u w:val="single"/>
        </w:rPr>
      </w:pPr>
      <w:r w:rsidRPr="006E3382">
        <w:rPr>
          <w:b/>
          <w:bCs/>
          <w:szCs w:val="22"/>
          <w:u w:val="single"/>
        </w:rPr>
        <w:t>Miscellaneous</w:t>
      </w:r>
    </w:p>
    <w:p w14:paraId="3497900C" w14:textId="77777777" w:rsidR="00974AC8" w:rsidRPr="006E3382" w:rsidRDefault="00974AC8" w:rsidP="00974AC8">
      <w:pPr>
        <w:ind w:left="360"/>
        <w:jc w:val="both"/>
        <w:rPr>
          <w:bCs/>
          <w:szCs w:val="22"/>
          <w:u w:val="single"/>
        </w:rPr>
      </w:pPr>
    </w:p>
    <w:p w14:paraId="357DE4D1" w14:textId="77777777" w:rsidR="00974AC8" w:rsidRPr="006E3382" w:rsidRDefault="00974AC8" w:rsidP="00974AC8">
      <w:pPr>
        <w:jc w:val="both"/>
      </w:pPr>
      <w:r w:rsidRPr="006E3382">
        <w:t xml:space="preserve">As described below, various miscellaneous services associated with </w:t>
      </w:r>
      <w:r>
        <w:t>Category One or</w:t>
      </w:r>
      <w:r w:rsidRPr="006E3382">
        <w:t xml:space="preserve"> </w:t>
      </w:r>
      <w:r>
        <w:t xml:space="preserve">Category Two </w:t>
      </w:r>
      <w:r w:rsidRPr="006E3382">
        <w:t xml:space="preserve">are eligible for support.  Applicants should request </w:t>
      </w:r>
      <w:r>
        <w:t xml:space="preserve">eligible </w:t>
      </w:r>
      <w:r w:rsidRPr="006E3382">
        <w:t>miscellaneous services in the same category as the associated service being obtained or installed.</w:t>
      </w:r>
    </w:p>
    <w:p w14:paraId="39BFF234" w14:textId="77777777" w:rsidR="00974AC8" w:rsidRPr="006E3382" w:rsidRDefault="00974AC8" w:rsidP="00974AC8">
      <w:pPr>
        <w:jc w:val="both"/>
        <w:rPr>
          <w:bCs/>
        </w:rPr>
      </w:pPr>
      <w:r w:rsidRPr="006E3382">
        <w:rPr>
          <w:bCs/>
        </w:rPr>
        <w:tab/>
      </w:r>
    </w:p>
    <w:tbl>
      <w:tblPr>
        <w:tblStyle w:val="TableGrid1"/>
        <w:tblW w:w="0" w:type="auto"/>
        <w:jc w:val="center"/>
        <w:tblLook w:val="04A0" w:firstRow="1" w:lastRow="0" w:firstColumn="1" w:lastColumn="0" w:noHBand="0" w:noVBand="1"/>
      </w:tblPr>
      <w:tblGrid>
        <w:gridCol w:w="5868"/>
      </w:tblGrid>
      <w:tr w:rsidR="00974AC8" w:rsidRPr="006E3382" w14:paraId="1C7888C9" w14:textId="77777777" w:rsidTr="006E7F77">
        <w:trPr>
          <w:jc w:val="center"/>
        </w:trPr>
        <w:tc>
          <w:tcPr>
            <w:tcW w:w="5868" w:type="dxa"/>
          </w:tcPr>
          <w:p w14:paraId="13BB8B49" w14:textId="77777777" w:rsidR="00974AC8" w:rsidRPr="006E3382" w:rsidRDefault="00974AC8" w:rsidP="006E7F77">
            <w:pPr>
              <w:jc w:val="center"/>
              <w:rPr>
                <w:b/>
                <w:szCs w:val="22"/>
              </w:rPr>
            </w:pPr>
            <w:r w:rsidRPr="006E3382">
              <w:rPr>
                <w:b/>
                <w:szCs w:val="22"/>
              </w:rPr>
              <w:t>Fees</w:t>
            </w:r>
          </w:p>
          <w:p w14:paraId="1CDB338F" w14:textId="77777777" w:rsidR="00974AC8" w:rsidRDefault="00974AC8" w:rsidP="006E7F77">
            <w:pPr>
              <w:jc w:val="both"/>
              <w:rPr>
                <w:bCs/>
                <w:szCs w:val="22"/>
              </w:rPr>
            </w:pPr>
          </w:p>
          <w:p w14:paraId="2055A5BB" w14:textId="77777777" w:rsidR="00974AC8" w:rsidRPr="006E3382" w:rsidRDefault="00974AC8" w:rsidP="006E7F77">
            <w:pPr>
              <w:jc w:val="both"/>
              <w:rPr>
                <w:rFonts w:eastAsiaTheme="minorHAnsi"/>
                <w:bCs/>
                <w:szCs w:val="22"/>
              </w:rPr>
            </w:pPr>
            <w:r w:rsidRPr="006E3382">
              <w:rPr>
                <w:bCs/>
                <w:szCs w:val="22"/>
              </w:rPr>
              <w:t>Fees and charges that are a necessary component of an eligible product or service are eligible including:</w:t>
            </w:r>
          </w:p>
          <w:p w14:paraId="10C3B3EE" w14:textId="77777777" w:rsidR="00974AC8" w:rsidRPr="006E3382" w:rsidRDefault="00974AC8" w:rsidP="00974AC8">
            <w:pPr>
              <w:widowControl/>
              <w:numPr>
                <w:ilvl w:val="0"/>
                <w:numId w:val="27"/>
              </w:numPr>
              <w:contextualSpacing/>
              <w:jc w:val="both"/>
              <w:rPr>
                <w:rFonts w:eastAsiaTheme="minorHAnsi"/>
                <w:bCs/>
                <w:szCs w:val="22"/>
              </w:rPr>
            </w:pPr>
            <w:r w:rsidRPr="006E3382">
              <w:rPr>
                <w:rFonts w:eastAsiaTheme="minorHAnsi"/>
                <w:bCs/>
                <w:szCs w:val="22"/>
              </w:rPr>
              <w:t>Change fees</w:t>
            </w:r>
          </w:p>
          <w:p w14:paraId="3EDA5F64" w14:textId="77777777" w:rsidR="00974AC8" w:rsidRPr="006E3382" w:rsidRDefault="00974AC8" w:rsidP="00974AC8">
            <w:pPr>
              <w:widowControl/>
              <w:numPr>
                <w:ilvl w:val="0"/>
                <w:numId w:val="27"/>
              </w:numPr>
              <w:contextualSpacing/>
              <w:jc w:val="both"/>
              <w:rPr>
                <w:rFonts w:eastAsiaTheme="minorHAnsi"/>
                <w:bCs/>
                <w:szCs w:val="22"/>
              </w:rPr>
            </w:pPr>
            <w:r w:rsidRPr="006E3382">
              <w:rPr>
                <w:rFonts w:eastAsiaTheme="minorHAnsi"/>
                <w:bCs/>
                <w:szCs w:val="22"/>
              </w:rPr>
              <w:t>Contingency fees are eligible if they are reasonable and a regular business practice of the service provider.  Contingency fees will be reimbursed only if the work is performed.</w:t>
            </w:r>
          </w:p>
          <w:p w14:paraId="5A8A666E" w14:textId="77777777" w:rsidR="00974AC8" w:rsidRPr="006E3382" w:rsidRDefault="00974AC8" w:rsidP="00974AC8">
            <w:pPr>
              <w:widowControl/>
              <w:numPr>
                <w:ilvl w:val="0"/>
                <w:numId w:val="27"/>
              </w:numPr>
              <w:contextualSpacing/>
              <w:jc w:val="both"/>
              <w:rPr>
                <w:rFonts w:eastAsiaTheme="minorHAnsi"/>
                <w:bCs/>
                <w:szCs w:val="22"/>
              </w:rPr>
            </w:pPr>
            <w:r w:rsidRPr="006E3382">
              <w:rPr>
                <w:rFonts w:eastAsiaTheme="minorHAnsi"/>
                <w:bCs/>
                <w:szCs w:val="22"/>
              </w:rPr>
              <w:t>Freight assurance fees</w:t>
            </w:r>
          </w:p>
          <w:p w14:paraId="0A886168" w14:textId="77777777" w:rsidR="00974AC8" w:rsidRPr="006E3382" w:rsidRDefault="00974AC8" w:rsidP="00974AC8">
            <w:pPr>
              <w:widowControl/>
              <w:numPr>
                <w:ilvl w:val="0"/>
                <w:numId w:val="27"/>
              </w:numPr>
              <w:contextualSpacing/>
              <w:jc w:val="both"/>
              <w:rPr>
                <w:rFonts w:eastAsiaTheme="minorHAnsi"/>
                <w:bCs/>
                <w:szCs w:val="22"/>
              </w:rPr>
            </w:pPr>
            <w:r w:rsidRPr="006E3382">
              <w:rPr>
                <w:rFonts w:eastAsiaTheme="minorHAnsi"/>
                <w:bCs/>
                <w:szCs w:val="22"/>
              </w:rPr>
              <w:t xml:space="preserve">Lease </w:t>
            </w:r>
            <w:r>
              <w:rPr>
                <w:rFonts w:eastAsiaTheme="minorHAnsi"/>
                <w:bCs/>
                <w:szCs w:val="22"/>
              </w:rPr>
              <w:t xml:space="preserve">or </w:t>
            </w:r>
            <w:r w:rsidRPr="006E3382">
              <w:rPr>
                <w:rFonts w:eastAsiaTheme="minorHAnsi"/>
                <w:bCs/>
                <w:szCs w:val="22"/>
              </w:rPr>
              <w:t>rent</w:t>
            </w:r>
            <w:r>
              <w:rPr>
                <w:rFonts w:eastAsiaTheme="minorHAnsi"/>
                <w:bCs/>
                <w:szCs w:val="22"/>
              </w:rPr>
              <w:t>al</w:t>
            </w:r>
            <w:r w:rsidRPr="006E3382">
              <w:rPr>
                <w:rFonts w:eastAsiaTheme="minorHAnsi"/>
                <w:bCs/>
                <w:szCs w:val="22"/>
              </w:rPr>
              <w:t xml:space="preserve"> </w:t>
            </w:r>
            <w:r>
              <w:rPr>
                <w:rFonts w:eastAsiaTheme="minorHAnsi"/>
                <w:bCs/>
                <w:szCs w:val="22"/>
              </w:rPr>
              <w:t xml:space="preserve">fees </w:t>
            </w:r>
            <w:r w:rsidRPr="006E3382">
              <w:rPr>
                <w:rFonts w:eastAsiaTheme="minorHAnsi"/>
                <w:bCs/>
                <w:szCs w:val="22"/>
              </w:rPr>
              <w:t>o</w:t>
            </w:r>
            <w:r>
              <w:rPr>
                <w:rFonts w:eastAsiaTheme="minorHAnsi"/>
                <w:bCs/>
                <w:szCs w:val="22"/>
              </w:rPr>
              <w:t>n</w:t>
            </w:r>
            <w:r w:rsidRPr="006E3382">
              <w:rPr>
                <w:rFonts w:eastAsiaTheme="minorHAnsi"/>
                <w:bCs/>
                <w:szCs w:val="22"/>
              </w:rPr>
              <w:t xml:space="preserve"> eligible </w:t>
            </w:r>
            <w:r>
              <w:rPr>
                <w:rFonts w:eastAsiaTheme="minorHAnsi"/>
                <w:bCs/>
                <w:szCs w:val="22"/>
              </w:rPr>
              <w:t>equipment</w:t>
            </w:r>
            <w:r w:rsidRPr="006E3382">
              <w:rPr>
                <w:rFonts w:eastAsiaTheme="minorHAnsi"/>
                <w:bCs/>
                <w:szCs w:val="22"/>
              </w:rPr>
              <w:t xml:space="preserve"> </w:t>
            </w:r>
          </w:p>
          <w:p w14:paraId="2D0D8549" w14:textId="77777777" w:rsidR="00974AC8" w:rsidRPr="006E3382" w:rsidRDefault="00974AC8" w:rsidP="00974AC8">
            <w:pPr>
              <w:widowControl/>
              <w:numPr>
                <w:ilvl w:val="0"/>
                <w:numId w:val="27"/>
              </w:numPr>
              <w:contextualSpacing/>
              <w:jc w:val="both"/>
              <w:rPr>
                <w:rFonts w:eastAsiaTheme="minorHAnsi"/>
                <w:bCs/>
                <w:szCs w:val="22"/>
              </w:rPr>
            </w:pPr>
            <w:r w:rsidRPr="006E3382">
              <w:rPr>
                <w:rFonts w:eastAsiaTheme="minorHAnsi"/>
                <w:bCs/>
                <w:szCs w:val="22"/>
              </w:rPr>
              <w:t>Per diem and/or travel time costs are eligible only if a contract with a vendor for the eligible product or services specifically provides for these costs</w:t>
            </w:r>
          </w:p>
          <w:p w14:paraId="7ABF0554" w14:textId="77777777" w:rsidR="00974AC8" w:rsidRPr="006E3382" w:rsidRDefault="00974AC8" w:rsidP="00974AC8">
            <w:pPr>
              <w:widowControl/>
              <w:numPr>
                <w:ilvl w:val="0"/>
                <w:numId w:val="27"/>
              </w:numPr>
              <w:contextualSpacing/>
              <w:jc w:val="both"/>
              <w:rPr>
                <w:rFonts w:eastAsiaTheme="minorHAnsi"/>
                <w:bCs/>
                <w:szCs w:val="22"/>
              </w:rPr>
            </w:pPr>
            <w:r w:rsidRPr="006E3382">
              <w:rPr>
                <w:rFonts w:eastAsiaTheme="minorHAnsi"/>
                <w:bCs/>
                <w:szCs w:val="22"/>
              </w:rPr>
              <w:t>Shipping charges</w:t>
            </w:r>
          </w:p>
          <w:p w14:paraId="0D3C501E" w14:textId="77777777" w:rsidR="00974AC8" w:rsidRPr="0030236F" w:rsidRDefault="00974AC8" w:rsidP="00974AC8">
            <w:pPr>
              <w:widowControl/>
              <w:numPr>
                <w:ilvl w:val="0"/>
                <w:numId w:val="27"/>
              </w:numPr>
              <w:contextualSpacing/>
              <w:jc w:val="both"/>
              <w:rPr>
                <w:b/>
                <w:bCs/>
                <w:sz w:val="20"/>
                <w:szCs w:val="22"/>
              </w:rPr>
            </w:pPr>
            <w:r w:rsidRPr="006E3382">
              <w:rPr>
                <w:rFonts w:eastAsiaTheme="minorHAnsi"/>
                <w:bCs/>
                <w:szCs w:val="22"/>
              </w:rPr>
              <w:t>Taxes, surcharges, and other similar, reasonable charges incurred in obtaining an eligible product or service are eligible.  This includes customer charges for universal service fees, but does not include additional charges for universal service administration.</w:t>
            </w:r>
          </w:p>
          <w:p w14:paraId="5DDA5840" w14:textId="77777777" w:rsidR="00974AC8" w:rsidRPr="006E3382" w:rsidRDefault="00974AC8" w:rsidP="006E7F77">
            <w:pPr>
              <w:ind w:left="360"/>
              <w:contextualSpacing/>
              <w:jc w:val="both"/>
              <w:rPr>
                <w:b/>
                <w:bCs/>
                <w:sz w:val="20"/>
                <w:szCs w:val="22"/>
              </w:rPr>
            </w:pPr>
          </w:p>
        </w:tc>
      </w:tr>
      <w:tr w:rsidR="00974AC8" w:rsidRPr="006E3382" w14:paraId="01EEF860" w14:textId="77777777" w:rsidTr="006E7F77">
        <w:trPr>
          <w:trHeight w:val="3554"/>
          <w:jc w:val="center"/>
        </w:trPr>
        <w:tc>
          <w:tcPr>
            <w:tcW w:w="5868" w:type="dxa"/>
          </w:tcPr>
          <w:p w14:paraId="57245252" w14:textId="77777777" w:rsidR="00974AC8" w:rsidRPr="006E3382" w:rsidRDefault="00974AC8" w:rsidP="006E7F77">
            <w:pPr>
              <w:jc w:val="center"/>
              <w:rPr>
                <w:b/>
                <w:bCs/>
                <w:szCs w:val="22"/>
              </w:rPr>
            </w:pPr>
            <w:r w:rsidRPr="006E3382">
              <w:rPr>
                <w:b/>
                <w:bCs/>
                <w:szCs w:val="22"/>
              </w:rPr>
              <w:t>Installation, activation, and initial configuration</w:t>
            </w:r>
          </w:p>
          <w:p w14:paraId="277702AF" w14:textId="77777777" w:rsidR="00974AC8" w:rsidRDefault="00974AC8" w:rsidP="006E7F77">
            <w:pPr>
              <w:jc w:val="both"/>
              <w:rPr>
                <w:bCs/>
                <w:szCs w:val="22"/>
              </w:rPr>
            </w:pPr>
          </w:p>
          <w:p w14:paraId="1BAEC6D2" w14:textId="77777777" w:rsidR="00974AC8" w:rsidRPr="006E3382" w:rsidRDefault="00974AC8" w:rsidP="006E7F77">
            <w:pPr>
              <w:jc w:val="both"/>
              <w:rPr>
                <w:bCs/>
                <w:szCs w:val="22"/>
              </w:rPr>
            </w:pPr>
            <w:r w:rsidRPr="006E3382">
              <w:rPr>
                <w:bCs/>
                <w:szCs w:val="22"/>
              </w:rPr>
              <w:t>Installation, activation, and initial configuration of eligible components are eligible.  These services may include:</w:t>
            </w:r>
          </w:p>
          <w:p w14:paraId="1B0E3890" w14:textId="77777777" w:rsidR="00974AC8" w:rsidRPr="006E3382" w:rsidRDefault="00974AC8" w:rsidP="00974AC8">
            <w:pPr>
              <w:widowControl/>
              <w:numPr>
                <w:ilvl w:val="0"/>
                <w:numId w:val="28"/>
              </w:numPr>
              <w:contextualSpacing/>
              <w:jc w:val="both"/>
              <w:rPr>
                <w:bCs/>
                <w:szCs w:val="22"/>
              </w:rPr>
            </w:pPr>
            <w:r>
              <w:rPr>
                <w:bCs/>
                <w:szCs w:val="22"/>
              </w:rPr>
              <w:t>D</w:t>
            </w:r>
            <w:r w:rsidRPr="006E3382">
              <w:rPr>
                <w:bCs/>
                <w:szCs w:val="22"/>
              </w:rPr>
              <w:t>esign and engineering costs if these services are provided as an integral component of the installation of the relevant services</w:t>
            </w:r>
          </w:p>
          <w:p w14:paraId="0B9CB0BA" w14:textId="77777777" w:rsidR="00974AC8" w:rsidRDefault="00974AC8" w:rsidP="00974AC8">
            <w:pPr>
              <w:widowControl/>
              <w:numPr>
                <w:ilvl w:val="0"/>
                <w:numId w:val="28"/>
              </w:numPr>
              <w:contextualSpacing/>
              <w:jc w:val="both"/>
              <w:rPr>
                <w:bCs/>
                <w:szCs w:val="22"/>
              </w:rPr>
            </w:pPr>
            <w:r>
              <w:rPr>
                <w:bCs/>
                <w:szCs w:val="22"/>
              </w:rPr>
              <w:t>P</w:t>
            </w:r>
            <w:r w:rsidRPr="006E3382">
              <w:rPr>
                <w:bCs/>
                <w:szCs w:val="22"/>
              </w:rPr>
              <w:t>roject management costs if these services are provided as an integral component of the installation of the relevant services</w:t>
            </w:r>
          </w:p>
          <w:p w14:paraId="15347CD4" w14:textId="77777777" w:rsidR="00974AC8" w:rsidRPr="0030236F" w:rsidRDefault="00974AC8" w:rsidP="00974AC8">
            <w:pPr>
              <w:widowControl/>
              <w:numPr>
                <w:ilvl w:val="0"/>
                <w:numId w:val="28"/>
              </w:numPr>
              <w:contextualSpacing/>
              <w:jc w:val="both"/>
              <w:rPr>
                <w:bCs/>
                <w:sz w:val="20"/>
                <w:szCs w:val="22"/>
              </w:rPr>
            </w:pPr>
            <w:r w:rsidRPr="006E3382">
              <w:rPr>
                <w:bCs/>
                <w:szCs w:val="22"/>
              </w:rPr>
              <w:t>On-site training is eligible as a part of installation services</w:t>
            </w:r>
            <w:r w:rsidRPr="006E3382">
              <w:rPr>
                <w:szCs w:val="22"/>
              </w:rPr>
              <w:t xml:space="preserve"> but only if it is basic instruction on the use of eligible equipment, directly associated with equipment installation, and is part of the contract or agreement for the equipment.</w:t>
            </w:r>
            <w:r w:rsidRPr="006E3382">
              <w:rPr>
                <w:bCs/>
                <w:szCs w:val="22"/>
              </w:rPr>
              <w:t xml:space="preserve">  Training must occur coincidently or </w:t>
            </w:r>
            <w:r w:rsidRPr="006E3382">
              <w:rPr>
                <w:szCs w:val="22"/>
              </w:rPr>
              <w:t>within a reasonable time after installation.</w:t>
            </w:r>
          </w:p>
          <w:p w14:paraId="19A59FC5" w14:textId="77777777" w:rsidR="00974AC8" w:rsidRPr="006E3382" w:rsidRDefault="00974AC8" w:rsidP="006E7F77">
            <w:pPr>
              <w:ind w:left="720"/>
              <w:contextualSpacing/>
              <w:jc w:val="both"/>
              <w:rPr>
                <w:bCs/>
                <w:sz w:val="20"/>
                <w:szCs w:val="22"/>
              </w:rPr>
            </w:pPr>
          </w:p>
        </w:tc>
      </w:tr>
    </w:tbl>
    <w:p w14:paraId="47BB2A01" w14:textId="77777777" w:rsidR="00974AC8" w:rsidRDefault="00974AC8" w:rsidP="00974AC8">
      <w:pPr>
        <w:jc w:val="center"/>
        <w:rPr>
          <w:bCs/>
          <w:szCs w:val="22"/>
        </w:rPr>
      </w:pPr>
    </w:p>
    <w:p w14:paraId="72474BDE" w14:textId="77777777" w:rsidR="007712A7" w:rsidRPr="007712A7" w:rsidRDefault="007712A7" w:rsidP="007712A7">
      <w:pPr>
        <w:pStyle w:val="NoSpacing"/>
        <w:ind w:left="360"/>
        <w:jc w:val="center"/>
        <w:rPr>
          <w:b/>
        </w:rPr>
      </w:pPr>
    </w:p>
    <w:sectPr w:rsidR="007712A7" w:rsidRPr="007712A7" w:rsidSect="00FD4AE1">
      <w:footerReference w:type="first" r:id="rId14"/>
      <w:endnotePr>
        <w:numFmt w:val="decimal"/>
      </w:endnotePr>
      <w:pgSz w:w="12240" w:h="15840" w:code="1"/>
      <w:pgMar w:top="144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CC4E4" w14:textId="77777777" w:rsidR="005C4DDC" w:rsidRDefault="005C4DDC">
      <w:r>
        <w:separator/>
      </w:r>
    </w:p>
  </w:endnote>
  <w:endnote w:type="continuationSeparator" w:id="0">
    <w:p w14:paraId="7721C0AF" w14:textId="77777777" w:rsidR="005C4DDC" w:rsidRDefault="005C4DDC">
      <w:r>
        <w:continuationSeparator/>
      </w:r>
    </w:p>
  </w:endnote>
  <w:endnote w:type="continuationNotice" w:id="1">
    <w:p w14:paraId="7F9BB38D" w14:textId="77777777" w:rsidR="005C4DDC" w:rsidRDefault="005C4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Garamond LightCondensed">
    <w:altName w:val="Garamond LightCondense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CA5CE" w14:textId="77777777" w:rsidR="006B0F86" w:rsidRDefault="006B0F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19A8A" w14:textId="77777777" w:rsidR="006B0F86" w:rsidRDefault="006B0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F0CA" w14:textId="77777777" w:rsidR="006B0F86" w:rsidRDefault="006B0F86">
    <w:pPr>
      <w:pStyle w:val="Footer"/>
      <w:framePr w:w="361" w:wrap="around"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rsidR="00FF6AAD">
      <w:rPr>
        <w:rStyle w:val="PageNumber"/>
        <w:noProof/>
      </w:rPr>
      <w:t>2</w:t>
    </w:r>
    <w:r>
      <w:rPr>
        <w:rStyle w:val="PageNumber"/>
      </w:rPr>
      <w:fldChar w:fldCharType="end"/>
    </w:r>
  </w:p>
  <w:p w14:paraId="64B46B05" w14:textId="77777777" w:rsidR="006B0F86" w:rsidRDefault="006B0F86">
    <w:pPr>
      <w:suppressAutoHyphens/>
      <w:spacing w:line="227" w:lineRule="auto"/>
      <w:jc w:val="center"/>
    </w:pPr>
  </w:p>
  <w:p w14:paraId="787A7F8C" w14:textId="77777777" w:rsidR="006B0F86" w:rsidRDefault="006B0F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1B456" w14:textId="1884071D" w:rsidR="006B0F86" w:rsidRDefault="006B0F8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1BE1E" w14:textId="77777777" w:rsidR="00FD4AE1" w:rsidRDefault="00FD4A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70930" w14:textId="77777777" w:rsidR="005C4DDC" w:rsidRDefault="005C4DDC">
      <w:r>
        <w:separator/>
      </w:r>
    </w:p>
  </w:footnote>
  <w:footnote w:type="continuationSeparator" w:id="0">
    <w:p w14:paraId="6346644D" w14:textId="77777777" w:rsidR="005C4DDC" w:rsidRDefault="005C4DDC">
      <w:pPr>
        <w:pStyle w:val="Footer"/>
      </w:pPr>
      <w:r>
        <w:rPr>
          <w:sz w:val="20"/>
        </w:rPr>
        <w:t xml:space="preserve">(Continued from previous page)  </w:t>
      </w:r>
      <w:r>
        <w:rPr>
          <w:sz w:val="20"/>
        </w:rPr>
        <w:separator/>
      </w:r>
    </w:p>
  </w:footnote>
  <w:footnote w:type="continuationNotice" w:id="1">
    <w:p w14:paraId="17F216D1" w14:textId="77777777" w:rsidR="005C4DDC" w:rsidRDefault="005C4DDC">
      <w:pPr>
        <w:rPr>
          <w:sz w:val="20"/>
        </w:rPr>
      </w:pPr>
      <w:r>
        <w:rPr>
          <w:sz w:val="20"/>
        </w:rPr>
        <w:t>(continued….)</w:t>
      </w:r>
    </w:p>
  </w:footnote>
  <w:footnote w:id="2">
    <w:p w14:paraId="0AD27BCB" w14:textId="64FE0F88" w:rsidR="006B0F86" w:rsidRDefault="006B0F86">
      <w:pPr>
        <w:pStyle w:val="FootnoteText"/>
      </w:pPr>
      <w:r>
        <w:rPr>
          <w:rStyle w:val="FootnoteReference"/>
        </w:rPr>
        <w:footnoteRef/>
      </w:r>
      <w:r>
        <w:t xml:space="preserve"> </w:t>
      </w:r>
      <w:r>
        <w:rPr>
          <w:i/>
        </w:rPr>
        <w:t xml:space="preserve">See Schools and Libraries Universal Service Support Mechanism, </w:t>
      </w:r>
      <w:r>
        <w:rPr>
          <w:i/>
          <w:color w:val="000000"/>
        </w:rPr>
        <w:t>Eligible Services List for Funding Year 2016</w:t>
      </w:r>
      <w:r>
        <w:rPr>
          <w:color w:val="000000"/>
        </w:rPr>
        <w:t xml:space="preserve"> (rel. September x, 2015) (Appendix B) (FY</w:t>
      </w:r>
      <w:r w:rsidRPr="00BB6CE6">
        <w:rPr>
          <w:color w:val="000000"/>
        </w:rPr>
        <w:t>2016 ESL</w:t>
      </w:r>
      <w:r>
        <w:rPr>
          <w:color w:val="000000"/>
        </w:rPr>
        <w:t xml:space="preserve">).  </w:t>
      </w:r>
      <w:r>
        <w:t>T</w:t>
      </w:r>
      <w:r>
        <w:rPr>
          <w:szCs w:val="22"/>
        </w:rPr>
        <w:t>he ESL specifies the services and products that are eligible for E-rate discounts.</w:t>
      </w:r>
    </w:p>
  </w:footnote>
  <w:footnote w:id="3">
    <w:p w14:paraId="47E3D44A" w14:textId="77777777" w:rsidR="006B0F86" w:rsidRDefault="006B0F86">
      <w:pPr>
        <w:pStyle w:val="FootnoteText"/>
      </w:pPr>
      <w:r>
        <w:rPr>
          <w:rStyle w:val="FootnoteReference"/>
        </w:rPr>
        <w:footnoteRef/>
      </w:r>
      <w:r>
        <w:t xml:space="preserve"> 47 C.F.R. § 54.502(d) (requiring the final ESL to be released at least 60 days prior to the opening of the application filing window).</w:t>
      </w:r>
    </w:p>
  </w:footnote>
  <w:footnote w:id="4">
    <w:p w14:paraId="1E84D443" w14:textId="022A17A9" w:rsidR="006B0F86" w:rsidRPr="00420CFC" w:rsidRDefault="006B0F86">
      <w:pPr>
        <w:pStyle w:val="FootnoteText"/>
      </w:pPr>
      <w:r>
        <w:rPr>
          <w:rStyle w:val="FootnoteReference"/>
        </w:rPr>
        <w:footnoteRef/>
      </w:r>
      <w:r>
        <w:t xml:space="preserve"> </w:t>
      </w:r>
      <w:r>
        <w:rPr>
          <w:i/>
        </w:rPr>
        <w:t>Modernizing the E-rate Program for Schools and Libraries</w:t>
      </w:r>
      <w:r>
        <w:t>, WC Docket No. 13-184, Order, 29 FCC Rcd 8870 (2014) (</w:t>
      </w:r>
      <w:r>
        <w:rPr>
          <w:i/>
        </w:rPr>
        <w:t>E-rate Modernization Order</w:t>
      </w:r>
      <w:r w:rsidR="00C23351">
        <w:t>);</w:t>
      </w:r>
      <w:r>
        <w:rPr>
          <w:i/>
        </w:rPr>
        <w:t xml:space="preserve"> Modernizing the E-rate Program for Schools and Libraries, Connect America Fund</w:t>
      </w:r>
      <w:r w:rsidR="00C23351">
        <w:t>, WC Docket Nos. 13-184 and</w:t>
      </w:r>
      <w:r>
        <w:t xml:space="preserve"> 10-90, Second Report and Order and Order on Reconsideration, 29 FCC Rcd 15538 (2014) (</w:t>
      </w:r>
      <w:r>
        <w:rPr>
          <w:i/>
        </w:rPr>
        <w:t>Second E-rate Modernization Order</w:t>
      </w:r>
      <w:r>
        <w:t xml:space="preserve">) (together, </w:t>
      </w:r>
      <w:r>
        <w:rPr>
          <w:i/>
        </w:rPr>
        <w:t>E-rate Modernization Orders</w:t>
      </w:r>
      <w:r>
        <w:t>).</w:t>
      </w:r>
    </w:p>
  </w:footnote>
  <w:footnote w:id="5">
    <w:p w14:paraId="59A15A5B" w14:textId="6FA5B889" w:rsidR="006B0F86" w:rsidRPr="00C04978" w:rsidRDefault="006B0F86">
      <w:pPr>
        <w:pStyle w:val="FootnoteText"/>
      </w:pPr>
      <w:r>
        <w:rPr>
          <w:rStyle w:val="FootnoteReference"/>
        </w:rPr>
        <w:footnoteRef/>
      </w:r>
      <w:r>
        <w:t xml:space="preserve"> </w:t>
      </w:r>
      <w:r>
        <w:rPr>
          <w:i/>
        </w:rPr>
        <w:t>See Schools and Libraries Universal Service Support Mechanism et al.</w:t>
      </w:r>
      <w:r>
        <w:t>, CC Docket No. 02-6 et al., Order, 29 FCC Rcd 13404 (2014) (</w:t>
      </w:r>
      <w:r>
        <w:rPr>
          <w:i/>
        </w:rPr>
        <w:t>2015 ESL and Order</w:t>
      </w:r>
      <w:r>
        <w:t>).</w:t>
      </w:r>
    </w:p>
  </w:footnote>
  <w:footnote w:id="6">
    <w:p w14:paraId="4CBFEF14" w14:textId="77BE7BC6" w:rsidR="006B0F86" w:rsidRPr="006E02DF" w:rsidRDefault="006B0F86" w:rsidP="005247B9">
      <w:pPr>
        <w:pStyle w:val="FootnoteText"/>
      </w:pPr>
      <w:r>
        <w:rPr>
          <w:rStyle w:val="FootnoteReference"/>
        </w:rPr>
        <w:footnoteRef/>
      </w:r>
      <w:r>
        <w:t xml:space="preserve"> </w:t>
      </w:r>
      <w:r>
        <w:rPr>
          <w:i/>
        </w:rPr>
        <w:t>Wireline Competition Bureau Seeks Comment on Proposed Eligible Services List for the E-rate Program</w:t>
      </w:r>
      <w:r>
        <w:t>, WC Docket No. 13-184, Public Notice, 30 FCC Rcd 4905 (2015) (</w:t>
      </w:r>
      <w:r>
        <w:rPr>
          <w:i/>
        </w:rPr>
        <w:t>ESL Public Notice</w:t>
      </w:r>
      <w:r>
        <w:t>).</w:t>
      </w:r>
    </w:p>
  </w:footnote>
  <w:footnote w:id="7">
    <w:p w14:paraId="54C00DC5" w14:textId="77777777" w:rsidR="006B0F86" w:rsidRPr="00586F28" w:rsidRDefault="006B0F86" w:rsidP="00586F28">
      <w:pPr>
        <w:pStyle w:val="FootnoteText"/>
        <w:rPr>
          <w:i/>
        </w:rPr>
      </w:pPr>
      <w:r w:rsidRPr="002D0D29">
        <w:rPr>
          <w:rStyle w:val="FootnoteReference"/>
        </w:rPr>
        <w:footnoteRef/>
      </w:r>
      <w:r w:rsidRPr="002D0D29">
        <w:t xml:space="preserve"> 47 U.S.C. §§ 254(c)(1), 254(c)(3), 254(h)(1)(B), 254(h)(2).</w:t>
      </w:r>
      <w:r>
        <w:t xml:space="preserve">  </w:t>
      </w:r>
    </w:p>
  </w:footnote>
  <w:footnote w:id="8">
    <w:p w14:paraId="66DD2B23" w14:textId="001123F0" w:rsidR="006B0F86" w:rsidRPr="0054746E" w:rsidRDefault="006B0F86" w:rsidP="009A28EA">
      <w:pPr>
        <w:pStyle w:val="FootnoteText"/>
      </w:pPr>
      <w:r w:rsidRPr="0054746E">
        <w:rPr>
          <w:rStyle w:val="FootnoteReference"/>
        </w:rPr>
        <w:footnoteRef/>
      </w:r>
      <w:r>
        <w:rPr>
          <w:i/>
        </w:rPr>
        <w:t xml:space="preserve"> Second E-rate Modernization Order</w:t>
      </w:r>
      <w:r>
        <w:t>, 29 FCC Rcd at 15549, 15555, 15602, paras</w:t>
      </w:r>
      <w:r w:rsidR="00315A3C">
        <w:t>.</w:t>
      </w:r>
      <w:r>
        <w:t xml:space="preserve"> 30, 43, 162</w:t>
      </w:r>
      <w:r w:rsidRPr="0054746E">
        <w:t>.</w:t>
      </w:r>
    </w:p>
  </w:footnote>
  <w:footnote w:id="9">
    <w:p w14:paraId="4DCCBF1F" w14:textId="08CD674C" w:rsidR="006B0F86" w:rsidRPr="006E02DF" w:rsidRDefault="006B0F86">
      <w:pPr>
        <w:pStyle w:val="FootnoteText"/>
      </w:pPr>
      <w:r>
        <w:rPr>
          <w:rStyle w:val="FootnoteReference"/>
        </w:rPr>
        <w:footnoteRef/>
      </w:r>
      <w:r>
        <w:t xml:space="preserve"> </w:t>
      </w:r>
      <w:r>
        <w:rPr>
          <w:i/>
        </w:rPr>
        <w:t>ESL Public Notice</w:t>
      </w:r>
      <w:r>
        <w:t>, 30 FCC Rcd at 4905-06.</w:t>
      </w:r>
    </w:p>
  </w:footnote>
  <w:footnote w:id="10">
    <w:p w14:paraId="42CCE732" w14:textId="77777777" w:rsidR="006B0F86" w:rsidRPr="00BD52AB" w:rsidRDefault="006B0F86">
      <w:pPr>
        <w:pStyle w:val="FootnoteText"/>
      </w:pPr>
      <w:r>
        <w:rPr>
          <w:rStyle w:val="FootnoteReference"/>
        </w:rPr>
        <w:footnoteRef/>
      </w:r>
      <w:r>
        <w:t xml:space="preserve"> </w:t>
      </w:r>
      <w:r>
        <w:rPr>
          <w:i/>
        </w:rPr>
        <w:t>Id</w:t>
      </w:r>
      <w:r>
        <w:t>.</w:t>
      </w:r>
    </w:p>
  </w:footnote>
  <w:footnote w:id="11">
    <w:p w14:paraId="49CE4853" w14:textId="1DE89F27" w:rsidR="006B0F86" w:rsidRDefault="006B0F86">
      <w:pPr>
        <w:pStyle w:val="FootnoteText"/>
      </w:pPr>
      <w:r>
        <w:rPr>
          <w:rStyle w:val="FootnoteReference"/>
        </w:rPr>
        <w:footnoteRef/>
      </w:r>
      <w:r>
        <w:t xml:space="preserve"> </w:t>
      </w:r>
      <w:r>
        <w:rPr>
          <w:i/>
        </w:rPr>
        <w:t>Id.</w:t>
      </w:r>
      <w:r w:rsidR="00C23351">
        <w:t xml:space="preserve"> at </w:t>
      </w:r>
      <w:r>
        <w:t>4906.</w:t>
      </w:r>
    </w:p>
  </w:footnote>
  <w:footnote w:id="12">
    <w:p w14:paraId="09B965DB" w14:textId="673C520C" w:rsidR="006B0F86" w:rsidRDefault="006B0F86" w:rsidP="00C71067">
      <w:pPr>
        <w:pStyle w:val="FootnoteText"/>
        <w:rPr>
          <w:i/>
        </w:rPr>
      </w:pPr>
      <w:r>
        <w:rPr>
          <w:rStyle w:val="FootnoteReference"/>
        </w:rPr>
        <w:footnoteRef/>
      </w:r>
      <w:r>
        <w:t xml:space="preserve"> </w:t>
      </w:r>
      <w:r>
        <w:rPr>
          <w:i/>
          <w:color w:val="000000"/>
        </w:rPr>
        <w:t>Id</w:t>
      </w:r>
      <w:r>
        <w:rPr>
          <w:color w:val="000000"/>
        </w:rPr>
        <w:t>. at 4905</w:t>
      </w:r>
      <w:r>
        <w:rPr>
          <w:i/>
          <w:color w:val="000000"/>
        </w:rPr>
        <w:t>.</w:t>
      </w:r>
    </w:p>
  </w:footnote>
  <w:footnote w:id="13">
    <w:p w14:paraId="4BDE9659" w14:textId="7F0DBCF2" w:rsidR="006B0F86" w:rsidRDefault="006B0F86">
      <w:pPr>
        <w:pStyle w:val="FootnoteText"/>
      </w:pPr>
      <w:r>
        <w:rPr>
          <w:rStyle w:val="FootnoteReference"/>
        </w:rPr>
        <w:footnoteRef/>
      </w:r>
      <w:r>
        <w:t xml:space="preserve"> </w:t>
      </w:r>
      <w:r>
        <w:rPr>
          <w:i/>
        </w:rPr>
        <w:t>S</w:t>
      </w:r>
      <w:r w:rsidR="00E37A0C">
        <w:rPr>
          <w:i/>
        </w:rPr>
        <w:t>ee S</w:t>
      </w:r>
      <w:r>
        <w:rPr>
          <w:i/>
        </w:rPr>
        <w:t>econd E-rate Modernization Order</w:t>
      </w:r>
      <w:r>
        <w:t>, 29 FCC Rcd at 15549, 15555, 15602, paras 30, 43, 162</w:t>
      </w:r>
      <w:r w:rsidRPr="0054746E">
        <w:t>.</w:t>
      </w:r>
    </w:p>
  </w:footnote>
  <w:footnote w:id="14">
    <w:p w14:paraId="1B8A9105" w14:textId="10A1AD1B" w:rsidR="006B0F86" w:rsidRPr="009445E4" w:rsidRDefault="006B0F86">
      <w:pPr>
        <w:pStyle w:val="FootnoteText"/>
      </w:pPr>
      <w:r>
        <w:rPr>
          <w:rStyle w:val="FootnoteReference"/>
        </w:rPr>
        <w:footnoteRef/>
      </w:r>
      <w:r>
        <w:t xml:space="preserve"> To provide clarity for applicants, we change the title of the list of eligible Category One broadband services to “Data Transmission Services and Internet Access” to more accurately reflect how these services are described by applicants and service providers.  </w:t>
      </w:r>
      <w:r>
        <w:rPr>
          <w:i/>
        </w:rPr>
        <w:t xml:space="preserve">See </w:t>
      </w:r>
      <w:r>
        <w:t>ESH Reply Comments at 1.</w:t>
      </w:r>
    </w:p>
  </w:footnote>
  <w:footnote w:id="15">
    <w:p w14:paraId="2DEA24B7" w14:textId="77777777" w:rsidR="006B0F86" w:rsidRPr="00873C6D" w:rsidRDefault="006B0F86">
      <w:pPr>
        <w:pStyle w:val="FootnoteText"/>
      </w:pPr>
      <w:r>
        <w:rPr>
          <w:rStyle w:val="FootnoteReference"/>
        </w:rPr>
        <w:footnoteRef/>
      </w:r>
      <w:r>
        <w:t xml:space="preserve"> </w:t>
      </w:r>
      <w:r>
        <w:rPr>
          <w:i/>
        </w:rPr>
        <w:t>See Second E-rate Modernization Order</w:t>
      </w:r>
      <w:r>
        <w:t>, 29 FCC Rcd at 15550, para. 31.</w:t>
      </w:r>
    </w:p>
  </w:footnote>
  <w:footnote w:id="16">
    <w:p w14:paraId="0A8F474B" w14:textId="71153E0B" w:rsidR="006B0F86" w:rsidRDefault="006B0F86">
      <w:pPr>
        <w:pStyle w:val="FootnoteText"/>
      </w:pPr>
      <w:r>
        <w:rPr>
          <w:rStyle w:val="FootnoteReference"/>
        </w:rPr>
        <w:footnoteRef/>
      </w:r>
      <w:r>
        <w:t xml:space="preserve"> </w:t>
      </w:r>
      <w:r>
        <w:rPr>
          <w:i/>
        </w:rPr>
        <w:t xml:space="preserve">See </w:t>
      </w:r>
      <w:r w:rsidR="00AB2B98">
        <w:rPr>
          <w:i/>
        </w:rPr>
        <w:t>Id.</w:t>
      </w:r>
      <w:r>
        <w:t xml:space="preserve"> at 15557-58, paras. 48-50.</w:t>
      </w:r>
      <w:r>
        <w:rPr>
          <w:i/>
        </w:rPr>
        <w:t xml:space="preserve"> </w:t>
      </w:r>
    </w:p>
  </w:footnote>
  <w:footnote w:id="17">
    <w:p w14:paraId="0961F108" w14:textId="0D19ED22" w:rsidR="006B0F86" w:rsidRPr="00DC41A3" w:rsidRDefault="006B0F86">
      <w:pPr>
        <w:pStyle w:val="FootnoteText"/>
      </w:pPr>
      <w:r>
        <w:rPr>
          <w:rStyle w:val="FootnoteReference"/>
        </w:rPr>
        <w:footnoteRef/>
      </w:r>
      <w:r>
        <w:t xml:space="preserve"> </w:t>
      </w:r>
      <w:r w:rsidRPr="003800CD">
        <w:rPr>
          <w:i/>
        </w:rPr>
        <w:t xml:space="preserve"> </w:t>
      </w:r>
      <w:r>
        <w:rPr>
          <w:i/>
        </w:rPr>
        <w:t xml:space="preserve">See </w:t>
      </w:r>
      <w:r>
        <w:t xml:space="preserve">Unite Private Network Comments at 2; USTelecom Reply Comments at 2.  </w:t>
      </w:r>
      <w:r w:rsidR="00FE691E">
        <w:rPr>
          <w:i/>
        </w:rPr>
        <w:t xml:space="preserve">See also </w:t>
      </w:r>
      <w:r w:rsidRPr="007731EC">
        <w:rPr>
          <w:i/>
        </w:rPr>
        <w:t>S</w:t>
      </w:r>
      <w:r>
        <w:t>e</w:t>
      </w:r>
      <w:r>
        <w:rPr>
          <w:i/>
        </w:rPr>
        <w:t>cond E-rate Modernization Order</w:t>
      </w:r>
      <w:r>
        <w:t>, 29 FCC Rcd at 15553, 15557, paras. 39, 48.</w:t>
      </w:r>
    </w:p>
  </w:footnote>
  <w:footnote w:id="18">
    <w:p w14:paraId="0D687BB4" w14:textId="77777777" w:rsidR="006B0F86" w:rsidRDefault="006B0F86">
      <w:pPr>
        <w:pStyle w:val="FootnoteText"/>
      </w:pPr>
      <w:r>
        <w:rPr>
          <w:rStyle w:val="FootnoteReference"/>
        </w:rPr>
        <w:footnoteRef/>
      </w:r>
      <w:r>
        <w:t xml:space="preserve"> </w:t>
      </w:r>
      <w:r>
        <w:rPr>
          <w:i/>
        </w:rPr>
        <w:t xml:space="preserve">See </w:t>
      </w:r>
      <w:r>
        <w:t>Unite Private Networks Comments at 2; USTelecom Reply Comments at 2.</w:t>
      </w:r>
    </w:p>
  </w:footnote>
  <w:footnote w:id="19">
    <w:p w14:paraId="7C5E59EA" w14:textId="77777777" w:rsidR="006B0F86" w:rsidRPr="000B626A" w:rsidRDefault="006B0F86">
      <w:pPr>
        <w:pStyle w:val="FootnoteText"/>
      </w:pPr>
      <w:r>
        <w:rPr>
          <w:rStyle w:val="FootnoteReference"/>
        </w:rPr>
        <w:footnoteRef/>
      </w:r>
      <w:r>
        <w:t xml:space="preserve"> </w:t>
      </w:r>
      <w:r>
        <w:rPr>
          <w:i/>
        </w:rPr>
        <w:t xml:space="preserve">See Second E-rate Modernization </w:t>
      </w:r>
      <w:r w:rsidRPr="000B626A">
        <w:rPr>
          <w:i/>
        </w:rPr>
        <w:t>Order</w:t>
      </w:r>
      <w:r>
        <w:t>, 29 FCC Rcd at 15557-58, p</w:t>
      </w:r>
      <w:r w:rsidRPr="000B626A">
        <w:t>ara</w:t>
      </w:r>
      <w:r>
        <w:t xml:space="preserve">s. 47-50 (requiring that the applicant demonstrate that a self-provisioned network is the most cost effective option, limiting funding of self-construction to networks built and used within the same funding year, and requiring applicants to secure all resources necessary to make effective use of the services they purchase); </w:t>
      </w:r>
      <w:r>
        <w:rPr>
          <w:i/>
        </w:rPr>
        <w:t xml:space="preserve">see also </w:t>
      </w:r>
      <w:r>
        <w:t>47 C.F.R. §54.511.</w:t>
      </w:r>
    </w:p>
  </w:footnote>
  <w:footnote w:id="20">
    <w:p w14:paraId="460451AA" w14:textId="77777777" w:rsidR="006B0F86" w:rsidRDefault="006B0F86">
      <w:pPr>
        <w:pStyle w:val="FootnoteText"/>
      </w:pPr>
      <w:r>
        <w:rPr>
          <w:rStyle w:val="FootnoteReference"/>
        </w:rPr>
        <w:footnoteRef/>
      </w:r>
      <w:r>
        <w:t xml:space="preserve"> In order to alleviate the upfront cost barrier to high-speed broadband deployment, the Commission directed USAC to suspend its amortization requirement for large Category One non-recurring charges, permitted applicants to pay the non-discounted portion of special construction costs in installments up to four years, and made special construction costs for dark fiber and self-provisioned broadband networks eligible.  </w:t>
      </w:r>
      <w:r>
        <w:rPr>
          <w:i/>
        </w:rPr>
        <w:t>See generally Second E-rate Modernization Order</w:t>
      </w:r>
      <w:r>
        <w:t>, 29 FCC Rcd at 15545-62, paras. 16-59.</w:t>
      </w:r>
    </w:p>
  </w:footnote>
  <w:footnote w:id="21">
    <w:p w14:paraId="40AF3DF6" w14:textId="5DF47AF7" w:rsidR="006B0F86" w:rsidRPr="00652F63" w:rsidRDefault="006B0F86" w:rsidP="00BE3929">
      <w:pPr>
        <w:pStyle w:val="FootnoteText"/>
      </w:pPr>
      <w:r>
        <w:rPr>
          <w:rStyle w:val="FootnoteReference"/>
        </w:rPr>
        <w:footnoteRef/>
      </w:r>
      <w:r>
        <w:t xml:space="preserve"> </w:t>
      </w:r>
      <w:r>
        <w:rPr>
          <w:i/>
        </w:rPr>
        <w:t>Schools and Libraries Universal Service Support Mechanism, A National Broadband Plan for our Future</w:t>
      </w:r>
      <w:r>
        <w:t>, CC Docket No. 02-6, GN Docket Not. 09-51, Order, 25 FCC Rcd 18762, 18773, par</w:t>
      </w:r>
      <w:r w:rsidR="00FD4AE1">
        <w:t>a. 19, n.54</w:t>
      </w:r>
      <w:r>
        <w:rPr>
          <w:i/>
        </w:rPr>
        <w:t xml:space="preserve"> </w:t>
      </w:r>
      <w:r>
        <w:t>(</w:t>
      </w:r>
      <w:r>
        <w:rPr>
          <w:i/>
        </w:rPr>
        <w:t>Sixth Report and Order</w:t>
      </w:r>
      <w:r>
        <w:t>).</w:t>
      </w:r>
    </w:p>
  </w:footnote>
  <w:footnote w:id="22">
    <w:p w14:paraId="1DE8DCE9" w14:textId="55B1EA53" w:rsidR="006B0F86" w:rsidRPr="00D94BE7" w:rsidRDefault="006B0F86" w:rsidP="00144C8F">
      <w:pPr>
        <w:pStyle w:val="FootnoteText"/>
      </w:pPr>
      <w:r>
        <w:rPr>
          <w:rStyle w:val="FootnoteReference"/>
        </w:rPr>
        <w:footnoteRef/>
      </w:r>
      <w:r>
        <w:t xml:space="preserve"> </w:t>
      </w:r>
      <w:r>
        <w:rPr>
          <w:i/>
        </w:rPr>
        <w:t>ESL Public Notice</w:t>
      </w:r>
      <w:r>
        <w:t>, 30 FCC Rcd at 4910.</w:t>
      </w:r>
    </w:p>
  </w:footnote>
  <w:footnote w:id="23">
    <w:p w14:paraId="096FA89F" w14:textId="6AD47C68" w:rsidR="006B0F86" w:rsidRDefault="006B0F86">
      <w:pPr>
        <w:pStyle w:val="FootnoteText"/>
      </w:pPr>
      <w:r>
        <w:rPr>
          <w:rStyle w:val="FootnoteReference"/>
        </w:rPr>
        <w:footnoteRef/>
      </w:r>
      <w:r>
        <w:t xml:space="preserve"> </w:t>
      </w:r>
      <w:r>
        <w:rPr>
          <w:i/>
        </w:rPr>
        <w:t xml:space="preserve">See </w:t>
      </w:r>
      <w:r>
        <w:t>Illinois Comments at 4 (requesting clarification of the costs included in special construction); SECA Reply Comments at 7-9 (citing the questions raised by Illinois and requesting additional clarifications).</w:t>
      </w:r>
    </w:p>
  </w:footnote>
  <w:footnote w:id="24">
    <w:p w14:paraId="14A2B159" w14:textId="77777777" w:rsidR="006B0F86" w:rsidRPr="0034620B" w:rsidRDefault="006B0F86" w:rsidP="00694B64">
      <w:pPr>
        <w:pStyle w:val="FootnoteText"/>
      </w:pPr>
      <w:r>
        <w:rPr>
          <w:rStyle w:val="FootnoteReference"/>
        </w:rPr>
        <w:footnoteRef/>
      </w:r>
      <w:r>
        <w:t xml:space="preserve"> </w:t>
      </w:r>
      <w:r>
        <w:rPr>
          <w:i/>
        </w:rPr>
        <w:t xml:space="preserve">See </w:t>
      </w:r>
      <w:r>
        <w:t>FY2016 ESL at 2.</w:t>
      </w:r>
    </w:p>
  </w:footnote>
  <w:footnote w:id="25">
    <w:p w14:paraId="407A72FB" w14:textId="77777777" w:rsidR="006B0F86" w:rsidRPr="00F9346A" w:rsidRDefault="006B0F86" w:rsidP="00694B64">
      <w:pPr>
        <w:pStyle w:val="FootnoteText"/>
      </w:pPr>
      <w:r>
        <w:rPr>
          <w:rStyle w:val="FootnoteReference"/>
        </w:rPr>
        <w:footnoteRef/>
      </w:r>
      <w:r>
        <w:t xml:space="preserve"> The suspension of the amortization requirement in the </w:t>
      </w:r>
      <w:r>
        <w:rPr>
          <w:i/>
        </w:rPr>
        <w:t>Second E-rate Modernization Order</w:t>
      </w:r>
      <w:r>
        <w:t xml:space="preserve"> is for all large Category One non-recurring costs, including dark fiber IRU contracts that include upfront payments in excess of $500,000 and purchases of eligible Network Equipment in excess of $500,000.  </w:t>
      </w:r>
      <w:r w:rsidRPr="002F7C56">
        <w:rPr>
          <w:i/>
        </w:rPr>
        <w:t>See Second E-rate Modernization Order</w:t>
      </w:r>
      <w:r>
        <w:t xml:space="preserve">, 29 FCC Rcd at 15546, para. 17.  </w:t>
      </w:r>
      <w:r>
        <w:rPr>
          <w:i/>
        </w:rPr>
        <w:t xml:space="preserve">See </w:t>
      </w:r>
      <w:r>
        <w:t>Illinois Comments at 6 (requesting clarification that one-time dark fiber IRU payments are eligible);</w:t>
      </w:r>
      <w:r w:rsidRPr="008C17AC">
        <w:t xml:space="preserve"> SECA Reply Comments at 8 (</w:t>
      </w:r>
      <w:r>
        <w:t xml:space="preserve">requesting that the </w:t>
      </w:r>
      <w:r w:rsidRPr="008C17AC">
        <w:t>relief from the amortization requirement should apply to dark fiber IRUs</w:t>
      </w:r>
      <w:r>
        <w:t xml:space="preserve">).    </w:t>
      </w:r>
    </w:p>
  </w:footnote>
  <w:footnote w:id="26">
    <w:p w14:paraId="3499E43F" w14:textId="77777777" w:rsidR="006B0F86" w:rsidRDefault="006B0F86" w:rsidP="00694B64">
      <w:pPr>
        <w:pStyle w:val="FootnoteText"/>
      </w:pPr>
      <w:r>
        <w:rPr>
          <w:rStyle w:val="FootnoteReference"/>
        </w:rPr>
        <w:footnoteRef/>
      </w:r>
      <w:r>
        <w:t xml:space="preserve"> Illinois Comments at 4, SECA Reply Comments at 8.</w:t>
      </w:r>
    </w:p>
  </w:footnote>
  <w:footnote w:id="27">
    <w:p w14:paraId="4FCCD84D" w14:textId="56FA247B" w:rsidR="006B0F86" w:rsidRPr="00702C00" w:rsidRDefault="006B0F86" w:rsidP="00AE0E08">
      <w:pPr>
        <w:pStyle w:val="FootnoteText"/>
      </w:pPr>
      <w:r>
        <w:rPr>
          <w:rStyle w:val="FootnoteReference"/>
        </w:rPr>
        <w:footnoteRef/>
      </w:r>
      <w:r>
        <w:t xml:space="preserve"> </w:t>
      </w:r>
      <w:r>
        <w:rPr>
          <w:i/>
        </w:rPr>
        <w:t>See Sixth Report and Order</w:t>
      </w:r>
      <w:r>
        <w:t xml:space="preserve">, 25 FCC Rcd at 18773, n.54; </w:t>
      </w:r>
      <w:r>
        <w:rPr>
          <w:i/>
        </w:rPr>
        <w:t>see also Schools and Libraries Universal Service Support Mechanism</w:t>
      </w:r>
      <w:r>
        <w:t xml:space="preserve">, </w:t>
      </w:r>
      <w:r>
        <w:rPr>
          <w:i/>
        </w:rPr>
        <w:t>A National Broadband Plan for Our Future</w:t>
      </w:r>
      <w:r>
        <w:t>, CC Docket No. 02-6, GN Docket No. 09-51, Order, 28 FCC Rcd 14534, 14540 (Wireline Comp. Bur. 2013) (</w:t>
      </w:r>
      <w:r>
        <w:rPr>
          <w:i/>
        </w:rPr>
        <w:t>2014 ESL and Order</w:t>
      </w:r>
      <w:r>
        <w:t>) (stating that “special construction charges include design and engineering costs, project management costs, and digging trenches and laying fiber</w:t>
      </w:r>
      <w:r w:rsidR="00AB2B98">
        <w:t>.</w:t>
      </w:r>
      <w:r>
        <w:t xml:space="preserve">”). </w:t>
      </w:r>
    </w:p>
  </w:footnote>
  <w:footnote w:id="28">
    <w:p w14:paraId="1BA4844D" w14:textId="6D9097B4" w:rsidR="006B0F86" w:rsidRDefault="006B0F86">
      <w:pPr>
        <w:pStyle w:val="FootnoteText"/>
      </w:pPr>
      <w:r>
        <w:rPr>
          <w:rStyle w:val="FootnoteReference"/>
        </w:rPr>
        <w:footnoteRef/>
      </w:r>
      <w:r>
        <w:t xml:space="preserve"> </w:t>
      </w:r>
      <w:r>
        <w:rPr>
          <w:i/>
        </w:rPr>
        <w:t>See E-rate Modernization Order</w:t>
      </w:r>
      <w:r>
        <w:t>, 29 FCC Rcd at 8885-88, paras. 34-43 (establishing Internet access targets of at least 100 Mbps per 1,000 users short term and 1 Gbps per 1,000 users long term for schools and at least 100 Mbps for libraries that service fewer than 50,000 people and 1 Gbps for libraries that serve 50,000 people or more; establishing wide area network targets of 10 Gbps-capable connections for schools).</w:t>
      </w:r>
    </w:p>
  </w:footnote>
  <w:footnote w:id="29">
    <w:p w14:paraId="11743BB7" w14:textId="77777777" w:rsidR="006B0F86" w:rsidRPr="00730620" w:rsidRDefault="006B0F86" w:rsidP="00C54A89">
      <w:pPr>
        <w:pStyle w:val="FootnoteText"/>
      </w:pPr>
      <w:r>
        <w:rPr>
          <w:rStyle w:val="FootnoteReference"/>
        </w:rPr>
        <w:footnoteRef/>
      </w:r>
      <w:r>
        <w:t xml:space="preserve"> </w:t>
      </w:r>
      <w:r>
        <w:rPr>
          <w:i/>
        </w:rPr>
        <w:t>See Second E-rate Modernization Order</w:t>
      </w:r>
      <w:r>
        <w:t>, 29 FCC Rcd at 15543, para. 12.</w:t>
      </w:r>
    </w:p>
  </w:footnote>
  <w:footnote w:id="30">
    <w:p w14:paraId="6556BB4F" w14:textId="77777777" w:rsidR="006B0F86" w:rsidRDefault="006B0F86" w:rsidP="00FF4F74">
      <w:pPr>
        <w:pStyle w:val="FootnoteText"/>
      </w:pPr>
      <w:r>
        <w:rPr>
          <w:rStyle w:val="FootnoteReference"/>
        </w:rPr>
        <w:footnoteRef/>
      </w:r>
      <w:r>
        <w:t xml:space="preserve"> The final FY2016 ESL clarifies that Network Equipment eligible under Category One is limited to “modulating electronics and other </w:t>
      </w:r>
      <w:r w:rsidRPr="004015EF">
        <w:rPr>
          <w:bCs/>
          <w:szCs w:val="22"/>
        </w:rPr>
        <w:t xml:space="preserve">equipment necessary to make a </w:t>
      </w:r>
      <w:r>
        <w:rPr>
          <w:bCs/>
          <w:szCs w:val="22"/>
        </w:rPr>
        <w:t xml:space="preserve">Category One </w:t>
      </w:r>
      <w:r w:rsidRPr="004015EF">
        <w:rPr>
          <w:bCs/>
          <w:szCs w:val="22"/>
        </w:rPr>
        <w:t>broadband service functional</w:t>
      </w:r>
      <w:r>
        <w:rPr>
          <w:bCs/>
          <w:szCs w:val="22"/>
        </w:rPr>
        <w:t xml:space="preserve">.”  </w:t>
      </w:r>
      <w:r>
        <w:rPr>
          <w:bCs/>
          <w:i/>
          <w:szCs w:val="22"/>
        </w:rPr>
        <w:t xml:space="preserve">See </w:t>
      </w:r>
      <w:r>
        <w:rPr>
          <w:bCs/>
          <w:szCs w:val="22"/>
        </w:rPr>
        <w:t>FY2016 ESL at 2.</w:t>
      </w:r>
    </w:p>
  </w:footnote>
  <w:footnote w:id="31">
    <w:p w14:paraId="6824DE85" w14:textId="74B5946B" w:rsidR="006B0F86" w:rsidRPr="000E417E" w:rsidRDefault="006B0F86">
      <w:pPr>
        <w:pStyle w:val="FootnoteText"/>
      </w:pPr>
      <w:r>
        <w:rPr>
          <w:rStyle w:val="FootnoteReference"/>
        </w:rPr>
        <w:footnoteRef/>
      </w:r>
      <w:r>
        <w:t xml:space="preserve"> </w:t>
      </w:r>
      <w:r>
        <w:rPr>
          <w:i/>
        </w:rPr>
        <w:t>ESL Public Notice</w:t>
      </w:r>
      <w:r>
        <w:t>, 30 FCC Rcd at 4910.</w:t>
      </w:r>
    </w:p>
  </w:footnote>
  <w:footnote w:id="32">
    <w:p w14:paraId="69798B86" w14:textId="116D3881" w:rsidR="006B0F86" w:rsidRPr="00803DFA" w:rsidRDefault="006B0F86">
      <w:pPr>
        <w:pStyle w:val="FootnoteText"/>
      </w:pPr>
      <w:r>
        <w:rPr>
          <w:rStyle w:val="FootnoteReference"/>
        </w:rPr>
        <w:footnoteRef/>
      </w:r>
      <w:r>
        <w:t xml:space="preserve"> </w:t>
      </w:r>
      <w:r>
        <w:rPr>
          <w:i/>
        </w:rPr>
        <w:t>See Rural Health Care Support Mechanism</w:t>
      </w:r>
      <w:r>
        <w:t xml:space="preserve">, WC Docket No. 02-60, Report and Order, 27 FCC Rcd 16678, 16736, para. 125 (2012) (identifying maintenance and equipment costs as elements of dark fiber service); </w:t>
      </w:r>
      <w:r>
        <w:rPr>
          <w:i/>
        </w:rPr>
        <w:t>Second E-rate Modernization Order</w:t>
      </w:r>
      <w:r>
        <w:t xml:space="preserve">, 29 FCC Rcd at 15550, para. 31 (modulating electronics are necessary to light fiber). </w:t>
      </w:r>
    </w:p>
  </w:footnote>
  <w:footnote w:id="33">
    <w:p w14:paraId="76EA9381" w14:textId="1BDA904D" w:rsidR="006B0F86" w:rsidRPr="00686F19" w:rsidRDefault="006B0F86">
      <w:pPr>
        <w:pStyle w:val="FootnoteText"/>
      </w:pPr>
      <w:r>
        <w:rPr>
          <w:rStyle w:val="FootnoteReference"/>
        </w:rPr>
        <w:footnoteRef/>
      </w:r>
      <w:r>
        <w:t xml:space="preserve"> </w:t>
      </w:r>
      <w:r>
        <w:rPr>
          <w:i/>
        </w:rPr>
        <w:t>See Second E-rate Modernization Order</w:t>
      </w:r>
      <w:r>
        <w:t xml:space="preserve">, 29 FCC Rcd at 15552, para. 36 (concluding that modulating electronics necessary to light leased dark fiber are E-rate eligible).  Maintenance costs for dark fiber were previously eligible.  </w:t>
      </w:r>
      <w:r>
        <w:rPr>
          <w:i/>
        </w:rPr>
        <w:t>See Sixth Report and Order</w:t>
      </w:r>
      <w:r>
        <w:t xml:space="preserve">, 25 FCC Rcd at 18773, para. 19.  Modulating electronics and maintenance and operation costs were previously eligible as part of an eligible lit fiber service.  </w:t>
      </w:r>
      <w:r>
        <w:rPr>
          <w:i/>
        </w:rPr>
        <w:t>See 2015 ESL and Order</w:t>
      </w:r>
      <w:r>
        <w:t xml:space="preserve">, 29 FCC Rcd at 13420 (clarifying that maintenance charges and modulating electronics can be part of an eligible lit fiber service).  </w:t>
      </w:r>
    </w:p>
  </w:footnote>
  <w:footnote w:id="34">
    <w:p w14:paraId="2029B76C" w14:textId="750BC9C6" w:rsidR="006B0F86" w:rsidRDefault="006B0F86">
      <w:pPr>
        <w:pStyle w:val="FootnoteText"/>
      </w:pPr>
      <w:r>
        <w:rPr>
          <w:rStyle w:val="FootnoteReference"/>
        </w:rPr>
        <w:footnoteRef/>
      </w:r>
      <w:r>
        <w:t xml:space="preserve"> </w:t>
      </w:r>
      <w:r w:rsidRPr="00CD779A">
        <w:rPr>
          <w:i/>
        </w:rPr>
        <w:t>See, e.g.</w:t>
      </w:r>
      <w:r>
        <w:t>, ESH Comments at 1 (explaining that additional guidance is needed on the eligibility of design, maintenance, and operation costs through the whole life cycle of a self-provisioned network); Illinois Comments at 2-4 (seeking clarification that eligible costs are available for dark fiber and self-provisioned networks purchased or constructed before FY2016).</w:t>
      </w:r>
    </w:p>
  </w:footnote>
  <w:footnote w:id="35">
    <w:p w14:paraId="37539CD6" w14:textId="05C09765" w:rsidR="00582E72" w:rsidRPr="00582E72" w:rsidRDefault="00582E72">
      <w:pPr>
        <w:pStyle w:val="FootnoteText"/>
      </w:pPr>
      <w:r>
        <w:rPr>
          <w:rStyle w:val="FootnoteReference"/>
        </w:rPr>
        <w:footnoteRef/>
      </w:r>
      <w:r>
        <w:t xml:space="preserve"> </w:t>
      </w:r>
      <w:r>
        <w:rPr>
          <w:i/>
        </w:rPr>
        <w:t>See Second E-rate Modernization Order</w:t>
      </w:r>
      <w:r>
        <w:t xml:space="preserve">, 29 FCC Rcd </w:t>
      </w:r>
      <w:r w:rsidR="009F3F2D">
        <w:t>at 15549, para. 29.</w:t>
      </w:r>
    </w:p>
  </w:footnote>
  <w:footnote w:id="36">
    <w:p w14:paraId="7B6E71F0" w14:textId="77777777" w:rsidR="006B0F86" w:rsidRPr="00B61A83" w:rsidRDefault="006B0F86">
      <w:pPr>
        <w:pStyle w:val="FootnoteText"/>
      </w:pPr>
      <w:r>
        <w:rPr>
          <w:rStyle w:val="FootnoteReference"/>
        </w:rPr>
        <w:footnoteRef/>
      </w:r>
      <w:r>
        <w:t xml:space="preserve"> ESH includes design with maintenance and operation costs.  </w:t>
      </w:r>
      <w:r>
        <w:rPr>
          <w:i/>
        </w:rPr>
        <w:t xml:space="preserve">See </w:t>
      </w:r>
      <w:r>
        <w:t>ESH Comments at 1.  Design and engineering costs are limited to special construction and are not available for the whole life cycle of the network.</w:t>
      </w:r>
    </w:p>
  </w:footnote>
  <w:footnote w:id="37">
    <w:p w14:paraId="01B92D41" w14:textId="097A276A" w:rsidR="006B0F86" w:rsidRPr="00B06A94" w:rsidRDefault="006B0F86">
      <w:pPr>
        <w:pStyle w:val="FootnoteText"/>
      </w:pPr>
      <w:r>
        <w:rPr>
          <w:rStyle w:val="FootnoteReference"/>
        </w:rPr>
        <w:footnoteRef/>
      </w:r>
      <w:r>
        <w:t xml:space="preserve"> </w:t>
      </w:r>
      <w:r>
        <w:rPr>
          <w:i/>
        </w:rPr>
        <w:t xml:space="preserve">See e.g. </w:t>
      </w:r>
      <w:r>
        <w:t xml:space="preserve">NYC DOE Comments at 3-4 (requesting clarification of the eligibility of network switches at the access, distribution, and core layers, device management servers, network performance reporting servers, firewalls, and application delivery servers); Unite Private Networks Comments at 2-3 (requesting an FAQ or fact sheet identifying specific categories of maintenance and operation to be included in an applicant’s total cost of ownership evaluation); US Telecom Reply Comments at 2 (requesting that specific categories of maintenance and operation should be identified in a FAQ or Fact Sheet and posted on USAC’s website, with a link provided in the ESL). </w:t>
      </w:r>
    </w:p>
  </w:footnote>
  <w:footnote w:id="38">
    <w:p w14:paraId="0BF851A4" w14:textId="2E46B359" w:rsidR="006B0F86" w:rsidRDefault="006B0F86">
      <w:pPr>
        <w:pStyle w:val="FootnoteText"/>
      </w:pPr>
      <w:r>
        <w:rPr>
          <w:rStyle w:val="FootnoteReference"/>
        </w:rPr>
        <w:footnoteRef/>
      </w:r>
      <w:r>
        <w:t xml:space="preserve"> </w:t>
      </w:r>
      <w:r>
        <w:rPr>
          <w:i/>
        </w:rPr>
        <w:t xml:space="preserve">See </w:t>
      </w:r>
      <w:r>
        <w:t>E-rate Provider Services Comments at 4 (proposing that fiber optic and other mixed media transceivers, appliance-based form-factor CPE routers, and chassis-based form-factor CPE routers be included in the ESL); SECA Reply Comments at 6 (agreeing with the list of eligible Category One equipment proposed in the E-rate Provider Services Comments).</w:t>
      </w:r>
    </w:p>
  </w:footnote>
  <w:footnote w:id="39">
    <w:p w14:paraId="3809D6E7" w14:textId="66E42346" w:rsidR="006B0F86" w:rsidRPr="00326579" w:rsidRDefault="006B0F86">
      <w:pPr>
        <w:pStyle w:val="FootnoteText"/>
      </w:pPr>
      <w:r>
        <w:rPr>
          <w:rStyle w:val="FootnoteReference"/>
        </w:rPr>
        <w:footnoteRef/>
      </w:r>
      <w:r>
        <w:t xml:space="preserve"> </w:t>
      </w:r>
      <w:r>
        <w:rPr>
          <w:i/>
        </w:rPr>
        <w:t xml:space="preserve">See </w:t>
      </w:r>
      <w:r>
        <w:t>Illinois Comments at 7 (seeking clarification that maintenance includes patrol of fiber network, correcting potential hazards or deficiencies, emergency repair and restoration, “call before you dig,” and relocates); SECA Reply Comments at 10 (requesting that eligible maintenance cover scheduled and routine maintenance including network monitoring, ongoing operation, emergency repairs, “call before you dig,” and relocates).</w:t>
      </w:r>
    </w:p>
  </w:footnote>
  <w:footnote w:id="40">
    <w:p w14:paraId="6C862FEA" w14:textId="77777777" w:rsidR="006B0F86" w:rsidRPr="0037120E" w:rsidRDefault="006B0F86">
      <w:pPr>
        <w:pStyle w:val="FootnoteText"/>
      </w:pPr>
      <w:r>
        <w:rPr>
          <w:rStyle w:val="FootnoteReference"/>
        </w:rPr>
        <w:footnoteRef/>
      </w:r>
      <w:r>
        <w:t xml:space="preserve"> </w:t>
      </w:r>
      <w:r>
        <w:rPr>
          <w:i/>
        </w:rPr>
        <w:t xml:space="preserve">See </w:t>
      </w:r>
      <w:r>
        <w:t>47 C.F.R. §§ 54.503, 54.511.</w:t>
      </w:r>
    </w:p>
  </w:footnote>
  <w:footnote w:id="41">
    <w:p w14:paraId="72E9063C" w14:textId="36FF2549" w:rsidR="006B0F86" w:rsidRPr="00EC42A7" w:rsidRDefault="006B0F86">
      <w:pPr>
        <w:pStyle w:val="FootnoteText"/>
      </w:pPr>
      <w:r>
        <w:rPr>
          <w:rStyle w:val="FootnoteReference"/>
        </w:rPr>
        <w:footnoteRef/>
      </w:r>
      <w:r>
        <w:t xml:space="preserve"> USTelecom requested that we require the applicant, as opposed to the service provider, to determine the appropriate cost allocation for ISDN.  We note that E-rate program rules already require the applicant to determine the cost allocation for mixed eligibility services.  </w:t>
      </w:r>
      <w:r>
        <w:rPr>
          <w:i/>
        </w:rPr>
        <w:t xml:space="preserve">See </w:t>
      </w:r>
      <w:r>
        <w:t>47 C.F.R. 54.504(e).</w:t>
      </w:r>
    </w:p>
  </w:footnote>
  <w:footnote w:id="42">
    <w:p w14:paraId="70A13117" w14:textId="16EAE309" w:rsidR="006B0F86" w:rsidRPr="00B27248" w:rsidRDefault="006B0F86">
      <w:pPr>
        <w:pStyle w:val="FootnoteText"/>
      </w:pPr>
      <w:r>
        <w:rPr>
          <w:rStyle w:val="FootnoteReference"/>
        </w:rPr>
        <w:footnoteRef/>
      </w:r>
      <w:r>
        <w:t xml:space="preserve"> </w:t>
      </w:r>
      <w:r>
        <w:rPr>
          <w:i/>
        </w:rPr>
        <w:t>ESL Public Notice</w:t>
      </w:r>
      <w:r w:rsidR="00AE647C">
        <w:t>,</w:t>
      </w:r>
      <w:r>
        <w:t xml:space="preserve"> 30 FCC Rcd at 4906.</w:t>
      </w:r>
    </w:p>
  </w:footnote>
  <w:footnote w:id="43">
    <w:p w14:paraId="2DF14210" w14:textId="17A1F77A" w:rsidR="006B0F86" w:rsidRPr="002451DB" w:rsidRDefault="006B0F86">
      <w:pPr>
        <w:pStyle w:val="FootnoteText"/>
      </w:pPr>
      <w:r>
        <w:rPr>
          <w:rStyle w:val="FootnoteReference"/>
        </w:rPr>
        <w:footnoteRef/>
      </w:r>
      <w:r>
        <w:t xml:space="preserve"> </w:t>
      </w:r>
      <w:r>
        <w:rPr>
          <w:i/>
        </w:rPr>
        <w:t>Id</w:t>
      </w:r>
      <w:r>
        <w:t xml:space="preserve">. </w:t>
      </w:r>
    </w:p>
  </w:footnote>
  <w:footnote w:id="44">
    <w:p w14:paraId="72E544F3" w14:textId="77777777" w:rsidR="006B0F86" w:rsidRDefault="006B0F86">
      <w:pPr>
        <w:pStyle w:val="FootnoteText"/>
      </w:pPr>
      <w:r>
        <w:rPr>
          <w:rStyle w:val="FootnoteReference"/>
        </w:rPr>
        <w:footnoteRef/>
      </w:r>
      <w:r>
        <w:t xml:space="preserve"> </w:t>
      </w:r>
      <w:r>
        <w:rPr>
          <w:i/>
        </w:rPr>
        <w:t xml:space="preserve">See Second E-rate Modernization </w:t>
      </w:r>
      <w:r w:rsidRPr="00A23716">
        <w:rPr>
          <w:i/>
        </w:rPr>
        <w:t>Order</w:t>
      </w:r>
      <w:r>
        <w:t>, 29 FCC Rcd at 15602, p</w:t>
      </w:r>
      <w:r w:rsidRPr="00A23716">
        <w:t>ara</w:t>
      </w:r>
      <w:r>
        <w:t>. 162.</w:t>
      </w:r>
    </w:p>
  </w:footnote>
  <w:footnote w:id="45">
    <w:p w14:paraId="60931962" w14:textId="55565F85" w:rsidR="006B0F86" w:rsidRDefault="006B0F86">
      <w:pPr>
        <w:pStyle w:val="FootnoteText"/>
      </w:pPr>
      <w:r>
        <w:rPr>
          <w:rStyle w:val="FootnoteReference"/>
        </w:rPr>
        <w:footnoteRef/>
      </w:r>
      <w:r>
        <w:t xml:space="preserve"> </w:t>
      </w:r>
      <w:r>
        <w:rPr>
          <w:i/>
        </w:rPr>
        <w:t>Id.</w:t>
      </w:r>
      <w:r>
        <w:t xml:space="preserve"> at 15600, p</w:t>
      </w:r>
      <w:r w:rsidRPr="00A23716">
        <w:t>ara</w:t>
      </w:r>
      <w:r>
        <w:t>. 156.</w:t>
      </w:r>
    </w:p>
  </w:footnote>
  <w:footnote w:id="46">
    <w:p w14:paraId="0641AF3A" w14:textId="1676A0FC" w:rsidR="006B0F86" w:rsidRPr="007A1541" w:rsidRDefault="006B0F86">
      <w:pPr>
        <w:pStyle w:val="FootnoteText"/>
      </w:pPr>
      <w:r>
        <w:rPr>
          <w:rStyle w:val="FootnoteReference"/>
        </w:rPr>
        <w:footnoteRef/>
      </w:r>
      <w:r>
        <w:t xml:space="preserve"> We decline T-Mobile’s request that we add a sentence to the ESL stating that an applicant that does not receive any bids for a fixed broadband connections and Wi-Fi network has satisfied the cost effectiveness test for the purchase of data plans and air cards.  T-Mobile Comments at 4.  We agree with ESH that, in this unlikely circumstance, the lack of bids does not necessarily establish cost effectiveness.  </w:t>
      </w:r>
      <w:r>
        <w:rPr>
          <w:i/>
        </w:rPr>
        <w:t xml:space="preserve">See </w:t>
      </w:r>
      <w:r>
        <w:t>ESH Reply Comments at 2.</w:t>
      </w:r>
    </w:p>
  </w:footnote>
  <w:footnote w:id="47">
    <w:p w14:paraId="20EC09C1" w14:textId="3B76F0CC" w:rsidR="006B0F86" w:rsidRPr="00A106B7" w:rsidRDefault="006B0F86">
      <w:pPr>
        <w:pStyle w:val="FootnoteText"/>
      </w:pPr>
      <w:r>
        <w:rPr>
          <w:rStyle w:val="FootnoteReference"/>
        </w:rPr>
        <w:footnoteRef/>
      </w:r>
      <w:r>
        <w:t xml:space="preserve"> </w:t>
      </w:r>
      <w:r w:rsidRPr="001A4960">
        <w:rPr>
          <w:i/>
        </w:rPr>
        <w:t>See S</w:t>
      </w:r>
      <w:r w:rsidRPr="00CB5576">
        <w:rPr>
          <w:i/>
        </w:rPr>
        <w:t>ixth</w:t>
      </w:r>
      <w:r>
        <w:rPr>
          <w:i/>
        </w:rPr>
        <w:t xml:space="preserve"> Report and Order</w:t>
      </w:r>
      <w:r>
        <w:t>, 25 FCC Rcd at 19808, para. 105;</w:t>
      </w:r>
      <w:r w:rsidRPr="00CB5576">
        <w:rPr>
          <w:i/>
        </w:rPr>
        <w:t xml:space="preserve"> </w:t>
      </w:r>
      <w:r>
        <w:rPr>
          <w:i/>
        </w:rPr>
        <w:t>E-rate Modernization Order</w:t>
      </w:r>
      <w:r>
        <w:t xml:space="preserve">, 29 FCC Rcd at 8917, para. 119 (“limit[ing] internal connections support to those broadband distribution services and equipment needed to deliver broadband to students and library patrons: routers, switches, wireless access points, internal cabling, racks, wireless controller systems, firewall services, uninterruptable power supply, and the software supporting each of these components used to distribute high-speed broadband throughout school buildings and libraries”); </w:t>
      </w:r>
      <w:r>
        <w:rPr>
          <w:i/>
        </w:rPr>
        <w:t>see also 2015 ESL and Order</w:t>
      </w:r>
      <w:r>
        <w:t>, 29 FCC Rcd at 13409, para. 14.</w:t>
      </w:r>
    </w:p>
  </w:footnote>
  <w:footnote w:id="48">
    <w:p w14:paraId="1A3F081C" w14:textId="77777777" w:rsidR="006B0F86" w:rsidRDefault="006B0F86">
      <w:pPr>
        <w:pStyle w:val="FootnoteText"/>
      </w:pPr>
      <w:r>
        <w:rPr>
          <w:rStyle w:val="FootnoteReference"/>
        </w:rPr>
        <w:footnoteRef/>
      </w:r>
      <w:r>
        <w:t xml:space="preserve"> ESH Comments at 2 (requesting clarification that firewall services hosted by the service provider are eligible), FFL Comments at 3 (requesting clarification of eligible firewall functionalities), SECA Reply Comments at 14 (asserting that next generation firewall should be eligible), USTelecom Reply Comments at 9-10 (requesting clarification of the treatment of firewall services).</w:t>
      </w:r>
    </w:p>
  </w:footnote>
  <w:footnote w:id="49">
    <w:p w14:paraId="7F26C939" w14:textId="77777777" w:rsidR="006B0F86" w:rsidRDefault="006B0F86" w:rsidP="007A04F3">
      <w:pPr>
        <w:pStyle w:val="FootnoteText"/>
      </w:pPr>
      <w:r>
        <w:rPr>
          <w:rStyle w:val="FootnoteReference"/>
        </w:rPr>
        <w:footnoteRef/>
      </w:r>
      <w:r>
        <w:t xml:space="preserve"> Friday Institute Reply Comments at 3 (urging that content filtering and firewall services be made eligible as Category One).</w:t>
      </w:r>
    </w:p>
  </w:footnote>
  <w:footnote w:id="50">
    <w:p w14:paraId="6711E104" w14:textId="5D008DB6" w:rsidR="006B0F86" w:rsidRDefault="006B0F86" w:rsidP="001A383D">
      <w:pPr>
        <w:pStyle w:val="FootnoteText"/>
      </w:pPr>
      <w:r>
        <w:rPr>
          <w:rStyle w:val="FootnoteReference"/>
        </w:rPr>
        <w:footnoteRef/>
      </w:r>
      <w:r>
        <w:t xml:space="preserve"> </w:t>
      </w:r>
      <w:r w:rsidR="004A6FE8">
        <w:rPr>
          <w:i/>
        </w:rPr>
        <w:t>Id.</w:t>
      </w:r>
      <w:r>
        <w:t xml:space="preserve"> at 2 (seeking clarification that content filtering is a form of firewall service); HP Comments at 3 (requesting the addition of enhanced network security features such as Policy Management Systems and Intrusion Prevention Systems to the ESL). </w:t>
      </w:r>
    </w:p>
  </w:footnote>
  <w:footnote w:id="51">
    <w:p w14:paraId="33F23A69" w14:textId="77777777" w:rsidR="006B0F86" w:rsidRPr="00D544EE" w:rsidRDefault="006B0F86" w:rsidP="001A383D">
      <w:pPr>
        <w:pStyle w:val="FootnoteText"/>
      </w:pPr>
      <w:r>
        <w:rPr>
          <w:rStyle w:val="FootnoteReference"/>
        </w:rPr>
        <w:footnoteRef/>
      </w:r>
      <w:r>
        <w:t xml:space="preserve"> </w:t>
      </w:r>
      <w:r>
        <w:rPr>
          <w:i/>
        </w:rPr>
        <w:t>See E-rate Modernization Order</w:t>
      </w:r>
      <w:r>
        <w:t xml:space="preserve">, 29 FCC Rcd at 8918, para. 121 &amp; n.275 (declining to designate services suggested by commenters, including intrusion protection and detection, malware protection, application control, content filters, DDoS mitigation, and cybersecurity services, as eligible). </w:t>
      </w:r>
    </w:p>
  </w:footnote>
  <w:footnote w:id="52">
    <w:p w14:paraId="741BEFE6" w14:textId="47EAEB35" w:rsidR="00FA5312" w:rsidRDefault="00FA5312">
      <w:pPr>
        <w:pStyle w:val="FootnoteText"/>
      </w:pPr>
      <w:r>
        <w:rPr>
          <w:rStyle w:val="FootnoteReference"/>
        </w:rPr>
        <w:footnoteRef/>
      </w:r>
      <w:r>
        <w:t xml:space="preserve"> </w:t>
      </w:r>
      <w:r w:rsidR="001E1A2E">
        <w:rPr>
          <w:i/>
        </w:rPr>
        <w:t xml:space="preserve">See e.g. </w:t>
      </w:r>
      <w:r w:rsidR="00AC7760">
        <w:t>Education Partners Solutions Comments at 2-3 (requesting clarification that equipment and software that provides virtualized network functions is eligible);</w:t>
      </w:r>
      <w:r w:rsidR="001E1A2E">
        <w:t xml:space="preserve"> FFL Comments at 5 (urging the Commission to clarify that operating system software and virtual networking software that provide functionality equivalent to eligible components are eligible</w:t>
      </w:r>
      <w:r w:rsidR="00DB4738">
        <w:t>)</w:t>
      </w:r>
      <w:r w:rsidR="002F2A05">
        <w:t xml:space="preserve">; </w:t>
      </w:r>
      <w:r w:rsidR="001E1A2E">
        <w:t>VMWare Reply Comments at 1 (software and hardware that support SDN or NFV should be eligible).</w:t>
      </w:r>
    </w:p>
  </w:footnote>
  <w:footnote w:id="53">
    <w:p w14:paraId="54F152F7" w14:textId="77777777" w:rsidR="006B0F86" w:rsidRDefault="006B0F86" w:rsidP="00E049D2">
      <w:pPr>
        <w:pStyle w:val="FootnoteText"/>
      </w:pPr>
      <w:r>
        <w:rPr>
          <w:rStyle w:val="FootnoteReference"/>
        </w:rPr>
        <w:footnoteRef/>
      </w:r>
      <w:r>
        <w:t xml:space="preserve"> </w:t>
      </w:r>
      <w:r>
        <w:rPr>
          <w:i/>
        </w:rPr>
        <w:t xml:space="preserve">E-rate Modernization </w:t>
      </w:r>
      <w:r w:rsidRPr="00F831A1">
        <w:rPr>
          <w:i/>
        </w:rPr>
        <w:t>Order</w:t>
      </w:r>
      <w:r>
        <w:t>, 29 FCC Rcd at 8917, p</w:t>
      </w:r>
      <w:r w:rsidRPr="00F831A1">
        <w:t>ara</w:t>
      </w:r>
      <w:r>
        <w:t>. 119.</w:t>
      </w:r>
    </w:p>
  </w:footnote>
  <w:footnote w:id="54">
    <w:p w14:paraId="4908AA1E" w14:textId="77777777" w:rsidR="006B0F86" w:rsidRDefault="006B0F86" w:rsidP="00E049D2">
      <w:pPr>
        <w:pStyle w:val="FootnoteText"/>
      </w:pPr>
      <w:r>
        <w:rPr>
          <w:rStyle w:val="FootnoteReference"/>
        </w:rPr>
        <w:footnoteRef/>
      </w:r>
      <w:r>
        <w:t xml:space="preserve"> </w:t>
      </w:r>
      <w:r>
        <w:rPr>
          <w:i/>
        </w:rPr>
        <w:t>See 2015 ESL and Order</w:t>
      </w:r>
      <w:r>
        <w:t>, 29 FCC Rcd at 13418.</w:t>
      </w:r>
    </w:p>
  </w:footnote>
  <w:footnote w:id="55">
    <w:p w14:paraId="2477F18B" w14:textId="79ECABB5" w:rsidR="006B0F86" w:rsidRDefault="006B0F86">
      <w:pPr>
        <w:pStyle w:val="FootnoteText"/>
      </w:pPr>
      <w:r>
        <w:rPr>
          <w:rStyle w:val="FootnoteReference"/>
        </w:rPr>
        <w:footnoteRef/>
      </w:r>
      <w:r>
        <w:t xml:space="preserve"> </w:t>
      </w:r>
      <w:r>
        <w:rPr>
          <w:i/>
        </w:rPr>
        <w:t xml:space="preserve">See </w:t>
      </w:r>
      <w:r w:rsidR="002F2A05">
        <w:t xml:space="preserve">HP Comments at 2-3 (requesting clarification that SDN applications that replace network hardware are eligible); </w:t>
      </w:r>
      <w:r>
        <w:t xml:space="preserve">SECA Reply Comments at 14 (requesting eligibility of SDN and other virtualized options).  </w:t>
      </w:r>
      <w:r>
        <w:rPr>
          <w:i/>
        </w:rPr>
        <w:t>See E-rate Modernization Order</w:t>
      </w:r>
      <w:r>
        <w:t xml:space="preserve">, 29 FCC Rcd at 8971, para. 119.  Eligibility is limited to the virtualized functionalities of eligible broadband internal connection services and equipment. </w:t>
      </w:r>
      <w:r w:rsidR="00AB2B98">
        <w:t xml:space="preserve"> </w:t>
      </w:r>
      <w:r>
        <w:rPr>
          <w:i/>
        </w:rPr>
        <w:t>Id</w:t>
      </w:r>
      <w:r>
        <w:t>. (“limit[ing] internal connections support to those broadband distribution services and equipment needed to deliver broadband to students and library patrons: routers, switches, wireless access points, internal cabling, racks, wireless controller systems, firewall services, uninterruptable power supply, and the software supporting each of these components used to distribute high-speed broadband throughout school buildings and libraries</w:t>
      </w:r>
      <w:r w:rsidR="00AB2B98">
        <w:t>.</w:t>
      </w:r>
      <w:r>
        <w:t xml:space="preserve">”).  </w:t>
      </w:r>
    </w:p>
  </w:footnote>
  <w:footnote w:id="56">
    <w:p w14:paraId="265EAE78" w14:textId="2FD27D7E" w:rsidR="006B0F86" w:rsidRDefault="006B0F86">
      <w:pPr>
        <w:pStyle w:val="FootnoteText"/>
      </w:pPr>
      <w:r>
        <w:rPr>
          <w:rStyle w:val="FootnoteReference"/>
        </w:rPr>
        <w:footnoteRef/>
      </w:r>
      <w:r>
        <w:t xml:space="preserve"> </w:t>
      </w:r>
      <w:r>
        <w:rPr>
          <w:i/>
        </w:rPr>
        <w:t xml:space="preserve">See </w:t>
      </w:r>
      <w:r>
        <w:t>HP Comments at 2-3 (explaining that SDN will allow E-rate to fund more applicants at a lower cost); Education Partners Comments at 2 (explaining that SDN and NFV may be the most cost effective, scalable solution for applicants); VMWare Comments at 1 (requesting eligibility for SDN and NFV to allow the most appropriate, scalable, cost effective solutions).</w:t>
      </w:r>
    </w:p>
  </w:footnote>
  <w:footnote w:id="57">
    <w:p w14:paraId="6509F53D" w14:textId="0EBF722C" w:rsidR="006B0F86" w:rsidRPr="00101073" w:rsidRDefault="006B0F86">
      <w:pPr>
        <w:pStyle w:val="FootnoteText"/>
      </w:pPr>
      <w:r>
        <w:rPr>
          <w:rStyle w:val="FootnoteReference"/>
        </w:rPr>
        <w:footnoteRef/>
      </w:r>
      <w:r>
        <w:t xml:space="preserve"> </w:t>
      </w:r>
      <w:r>
        <w:rPr>
          <w:i/>
        </w:rPr>
        <w:t xml:space="preserve">See </w:t>
      </w:r>
      <w:r>
        <w:t>Education Partners Solutions Comments at 2 (requesting that cloud-based servers be made eligible).</w:t>
      </w:r>
    </w:p>
  </w:footnote>
  <w:footnote w:id="58">
    <w:p w14:paraId="1F34598A" w14:textId="4DFD8AA3" w:rsidR="006B0F86" w:rsidRPr="00E63E92" w:rsidRDefault="006B0F86">
      <w:pPr>
        <w:pStyle w:val="FootnoteText"/>
      </w:pPr>
      <w:r>
        <w:rPr>
          <w:rStyle w:val="FootnoteReference"/>
        </w:rPr>
        <w:footnoteRef/>
      </w:r>
      <w:r>
        <w:t xml:space="preserve"> </w:t>
      </w:r>
      <w:r>
        <w:rPr>
          <w:i/>
        </w:rPr>
        <w:t xml:space="preserve">See </w:t>
      </w:r>
      <w:r>
        <w:t>NYC DOE Comments at 3.</w:t>
      </w:r>
    </w:p>
  </w:footnote>
  <w:footnote w:id="59">
    <w:p w14:paraId="29E72375" w14:textId="12BC65D6" w:rsidR="006B0F86" w:rsidRPr="000D48F0" w:rsidRDefault="006B0F86">
      <w:pPr>
        <w:pStyle w:val="FootnoteText"/>
      </w:pPr>
      <w:r>
        <w:rPr>
          <w:rStyle w:val="FootnoteReference"/>
        </w:rPr>
        <w:footnoteRef/>
      </w:r>
      <w:r>
        <w:t xml:space="preserve"> </w:t>
      </w:r>
      <w:r>
        <w:rPr>
          <w:i/>
        </w:rPr>
        <w:t>Id.</w:t>
      </w:r>
      <w:r>
        <w:t xml:space="preserve">; </w:t>
      </w:r>
      <w:r>
        <w:rPr>
          <w:i/>
        </w:rPr>
        <w:t>Schools and Libraries Universal Service Support Mechanism</w:t>
      </w:r>
      <w:r>
        <w:t xml:space="preserve">, </w:t>
      </w:r>
      <w:r>
        <w:rPr>
          <w:i/>
        </w:rPr>
        <w:t>A National Broadband Plan for Our Future</w:t>
      </w:r>
      <w:r>
        <w:t>, CC Docket No. 02-6, GN Docket No. 09-51, Order, 25 FCC Rcd 17324, 17235-17326, paras. 5-6 (2010) (</w:t>
      </w:r>
      <w:r>
        <w:rPr>
          <w:i/>
        </w:rPr>
        <w:t xml:space="preserve">2010 Clarification </w:t>
      </w:r>
      <w:r w:rsidRPr="00AB2B98">
        <w:rPr>
          <w:i/>
        </w:rPr>
        <w:t>Order</w:t>
      </w:r>
      <w:r>
        <w:t>).</w:t>
      </w:r>
    </w:p>
  </w:footnote>
  <w:footnote w:id="60">
    <w:p w14:paraId="3E60A027" w14:textId="5BFC1672" w:rsidR="006B0F86" w:rsidRPr="006B3DD5" w:rsidRDefault="006B0F86">
      <w:pPr>
        <w:pStyle w:val="FootnoteText"/>
      </w:pPr>
      <w:r>
        <w:rPr>
          <w:rStyle w:val="FootnoteReference"/>
        </w:rPr>
        <w:footnoteRef/>
      </w:r>
      <w:r>
        <w:t xml:space="preserve"> </w:t>
      </w:r>
      <w:r>
        <w:rPr>
          <w:i/>
        </w:rPr>
        <w:t xml:space="preserve">See </w:t>
      </w:r>
      <w:r>
        <w:t>FFL Comments at 3-4; SECA Reply Comments at 13.</w:t>
      </w:r>
    </w:p>
  </w:footnote>
  <w:footnote w:id="61">
    <w:p w14:paraId="1BEDA597" w14:textId="77777777" w:rsidR="006B0F86" w:rsidRPr="00EB53CB" w:rsidRDefault="006B0F86">
      <w:pPr>
        <w:pStyle w:val="FootnoteText"/>
      </w:pPr>
      <w:r>
        <w:rPr>
          <w:rStyle w:val="FootnoteReference"/>
        </w:rPr>
        <w:footnoteRef/>
      </w:r>
      <w:r>
        <w:t xml:space="preserve"> </w:t>
      </w:r>
      <w:r>
        <w:rPr>
          <w:i/>
        </w:rPr>
        <w:t>E-rate Modernization Order</w:t>
      </w:r>
      <w:r>
        <w:t>, 29 FCC Rcd at 8918-19, para. 123.</w:t>
      </w:r>
    </w:p>
  </w:footnote>
  <w:footnote w:id="62">
    <w:p w14:paraId="06F644A9" w14:textId="77777777" w:rsidR="006B0F86" w:rsidRPr="004C360F" w:rsidRDefault="006B0F86">
      <w:pPr>
        <w:pStyle w:val="FootnoteText"/>
      </w:pPr>
      <w:r>
        <w:rPr>
          <w:rStyle w:val="FootnoteReference"/>
        </w:rPr>
        <w:footnoteRef/>
      </w:r>
      <w:r>
        <w:t xml:space="preserve"> </w:t>
      </w:r>
      <w:r>
        <w:rPr>
          <w:i/>
        </w:rPr>
        <w:t>Id</w:t>
      </w:r>
      <w:r>
        <w:t>. at 8920, para. 128.</w:t>
      </w:r>
    </w:p>
  </w:footnote>
  <w:footnote w:id="63">
    <w:p w14:paraId="7A75C9D9" w14:textId="088C1D73" w:rsidR="006B0F86" w:rsidRPr="000152A0" w:rsidRDefault="006B0F86">
      <w:pPr>
        <w:pStyle w:val="FootnoteText"/>
        <w:rPr>
          <w:i/>
        </w:rPr>
      </w:pPr>
      <w:r>
        <w:rPr>
          <w:rStyle w:val="FootnoteReference"/>
        </w:rPr>
        <w:footnoteRef/>
      </w:r>
      <w:r>
        <w:t xml:space="preserve"> </w:t>
      </w:r>
      <w:r>
        <w:rPr>
          <w:i/>
        </w:rPr>
        <w:t>See 2014 ESL and Order</w:t>
      </w:r>
      <w:r>
        <w:t xml:space="preserve">, 28 FCC Rcd at 14550, 14555 (network management software, service and equipment are ineligible); </w:t>
      </w:r>
      <w:r>
        <w:rPr>
          <w:i/>
        </w:rPr>
        <w:t>2015 ESL and Order</w:t>
      </w:r>
      <w:r>
        <w:t>, 29 FCC Rcd at 13432 (basic maintenance of internal connections does not include network management services, including 24 hour network monitoring).</w:t>
      </w:r>
      <w:r>
        <w:rPr>
          <w:i/>
        </w:rPr>
        <w:t xml:space="preserve"> </w:t>
      </w:r>
    </w:p>
  </w:footnote>
  <w:footnote w:id="64">
    <w:p w14:paraId="21520499" w14:textId="10CD7EB5" w:rsidR="006B0F86" w:rsidRPr="00F81DF0" w:rsidRDefault="006B0F86" w:rsidP="00052404">
      <w:pPr>
        <w:pStyle w:val="FootnoteText"/>
      </w:pPr>
      <w:r>
        <w:rPr>
          <w:rStyle w:val="FootnoteReference"/>
        </w:rPr>
        <w:footnoteRef/>
      </w:r>
      <w:r>
        <w:t xml:space="preserve"> </w:t>
      </w:r>
      <w:r w:rsidRPr="00536E4E">
        <w:rPr>
          <w:i/>
        </w:rPr>
        <w:t>See</w:t>
      </w:r>
      <w:r>
        <w:t xml:space="preserve">, </w:t>
      </w:r>
      <w:r>
        <w:rPr>
          <w:i/>
        </w:rPr>
        <w:t>e.g. ESL Public Notice</w:t>
      </w:r>
      <w:r>
        <w:t xml:space="preserve">, 30 FCC Rcd at 4910. </w:t>
      </w:r>
      <w:r>
        <w:rPr>
          <w:i/>
        </w:rPr>
        <w:t xml:space="preserve"> </w:t>
      </w:r>
      <w:r w:rsidRPr="00536E4E">
        <w:t>No</w:t>
      </w:r>
      <w:r>
        <w:t xml:space="preserve"> comments were filed on these proposed edits.  </w:t>
      </w:r>
    </w:p>
  </w:footnote>
  <w:footnote w:id="65">
    <w:p w14:paraId="62872C6F" w14:textId="0252799B" w:rsidR="006B0F86" w:rsidRPr="00472953" w:rsidRDefault="006B0F86" w:rsidP="000B0F67">
      <w:pPr>
        <w:pStyle w:val="FootnoteText"/>
      </w:pPr>
      <w:r>
        <w:rPr>
          <w:rStyle w:val="FootnoteReference"/>
        </w:rPr>
        <w:footnoteRef/>
      </w:r>
      <w:r>
        <w:t xml:space="preserve"> </w:t>
      </w:r>
      <w:r>
        <w:rPr>
          <w:i/>
        </w:rPr>
        <w:t>See</w:t>
      </w:r>
      <w:r>
        <w:t xml:space="preserve">, </w:t>
      </w:r>
      <w:r>
        <w:rPr>
          <w:i/>
        </w:rPr>
        <w:t>e.g.</w:t>
      </w:r>
      <w:r>
        <w:t>, Education Partners Solutions Comments at 3 (requesting that support for DNS and DHCP services be reinstated); ESH Comments at 1 (recommending removal of certain services and additional clarifications to the list of eligible digital transmission services); SHLB Reply Comments at 2 (urging the Commission to not rule out previously eligible services at this time); ESH Comments at 2 (asking the Commission to require applicants that request support for Internet access service of less than 25 Mbps to establish that no faster service is available).</w:t>
      </w:r>
    </w:p>
  </w:footnote>
  <w:footnote w:id="66">
    <w:p w14:paraId="76C089C5" w14:textId="07844268" w:rsidR="006B0F86" w:rsidRDefault="006B0F86">
      <w:pPr>
        <w:pStyle w:val="FootnoteText"/>
      </w:pPr>
      <w:r>
        <w:rPr>
          <w:rStyle w:val="FootnoteReference"/>
        </w:rPr>
        <w:footnoteRef/>
      </w:r>
      <w:r>
        <w:t xml:space="preserve"> Some commenters sought to revisit the Commission’s determinations regarding data plans and air cards.  </w:t>
      </w:r>
      <w:r>
        <w:rPr>
          <w:i/>
        </w:rPr>
        <w:t xml:space="preserve">See </w:t>
      </w:r>
      <w:r>
        <w:t xml:space="preserve">AdTec Comments at 1 (reiterating opposition to any limitations on purchases of data plans and air cards for mobile devices); T-Mobile Comments at 3 (seeking to require applicants to include maintenance and security costs when comparing fixed WLAN solutions to data plans and air cards for mobile devices).  The Commission has previously stated that applicants must consider the total cost of all components of delivering service.  </w:t>
      </w:r>
      <w:r>
        <w:rPr>
          <w:i/>
        </w:rPr>
        <w:t>See Second E-rate Modernization Order</w:t>
      </w:r>
      <w:r>
        <w:t xml:space="preserve">, 29 FCC Rcd at 15601, para. 158.  One commenter requested that applicants should be able to consider the likelihood of receiving Category Two support when determining if mobile broadband services are cost effective.  T-Mobile Comments at 6.  The Commission previously rejected this argument. </w:t>
      </w:r>
      <w:r w:rsidR="00AB2B98">
        <w:t xml:space="preserve"> </w:t>
      </w:r>
      <w:r>
        <w:rPr>
          <w:i/>
        </w:rPr>
        <w:t>Second E-rate Modernization Order</w:t>
      </w:r>
      <w:r>
        <w:t>, 29 FCC Rcd at 15601, para. 159.</w:t>
      </w:r>
    </w:p>
  </w:footnote>
  <w:footnote w:id="67">
    <w:p w14:paraId="5372368A" w14:textId="36829B41" w:rsidR="006B0F86" w:rsidRDefault="006B0F86">
      <w:pPr>
        <w:pStyle w:val="FootnoteText"/>
      </w:pPr>
      <w:r>
        <w:rPr>
          <w:rStyle w:val="FootnoteReference"/>
        </w:rPr>
        <w:footnoteRef/>
      </w:r>
      <w:r>
        <w:t xml:space="preserve"> </w:t>
      </w:r>
      <w:r>
        <w:rPr>
          <w:i/>
        </w:rPr>
        <w:t xml:space="preserve">See </w:t>
      </w:r>
      <w:r w:rsidRPr="00D02748">
        <w:t>ESH</w:t>
      </w:r>
      <w:r>
        <w:t xml:space="preserve"> Comments at 2 (requesting that funding of Internet access of less than 25 Mbps should require the applicant to establish that no faster service is available); CRW Consulting Comments at 3, E-rate Central Reply Comments at 1-3, SECA Reply Comments at 2-4 (all requesting that the Commission revisit its prohibition on duplicative services); Education Partner Solutions Comments at 3-4 (requesting that self-provisioned networks should be required to charge a Universal Service Fund (USF) contributions fee, or USF contributions should be waived for Category One services from telecommunications providers).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F3C2" w14:textId="77777777" w:rsidR="00E66C74" w:rsidRDefault="00E66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437C9" w14:textId="0DCF5770" w:rsidR="006B0F86" w:rsidRDefault="006B0F86" w:rsidP="00017A4C">
    <w:pPr>
      <w:pStyle w:val="FirstPageHeader"/>
      <w:pBdr>
        <w:bottom w:val="single" w:sz="12" w:space="1" w:color="auto"/>
      </w:pBdr>
      <w:tabs>
        <w:tab w:val="clear" w:pos="4320"/>
        <w:tab w:val="clear" w:pos="8640"/>
        <w:tab w:val="center" w:pos="4680"/>
        <w:tab w:val="right" w:pos="9360"/>
      </w:tabs>
    </w:pPr>
    <w:r>
      <w:tab/>
      <w:t>Federal Communications Commission</w:t>
    </w:r>
    <w:r>
      <w:tab/>
      <w:t>DA 15-</w:t>
    </w:r>
    <w:r w:rsidR="00017A4C">
      <w:t>1012</w:t>
    </w:r>
    <w:r>
      <w:fldChar w:fldCharType="begin"/>
    </w:r>
    <w:r>
      <w:instrText xml:space="preserve"> AUTOTEXTLIST  \* MERGEFORMAT </w:instrText>
    </w:r>
    <w:r>
      <w:fldChar w:fldCharType="end"/>
    </w:r>
    <w:r>
      <w:fldChar w:fldCharType="begin"/>
    </w:r>
    <w:r>
      <w:instrText xml:space="preserve"> AUTOTEXTLIST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6947" w14:textId="1EA0D506" w:rsidR="006B0F86" w:rsidRDefault="006B0F86" w:rsidP="00017A4C">
    <w:pPr>
      <w:pStyle w:val="FirstPageHeader"/>
      <w:pBdr>
        <w:bottom w:val="single" w:sz="12" w:space="1" w:color="auto"/>
      </w:pBdr>
      <w:tabs>
        <w:tab w:val="clear" w:pos="4320"/>
        <w:tab w:val="clear" w:pos="8640"/>
        <w:tab w:val="center" w:pos="4680"/>
        <w:tab w:val="right" w:pos="9360"/>
      </w:tabs>
    </w:pPr>
    <w:r>
      <w:tab/>
      <w:t>Federal Communications Commission</w:t>
    </w:r>
    <w:r>
      <w:tab/>
      <w:t>DA 15-</w:t>
    </w:r>
    <w:r w:rsidR="00017A4C">
      <w:t>1012</w:t>
    </w:r>
    <w:r>
      <w:fldChar w:fldCharType="begin"/>
    </w:r>
    <w:r>
      <w:instrText xml:space="preserve"> AUTOTEXTLIST  \* MERGEFORMAT </w:instrText>
    </w:r>
    <w:r>
      <w:fldChar w:fldCharType="end"/>
    </w:r>
    <w:r>
      <w:fldChar w:fldCharType="begin"/>
    </w:r>
    <w:r>
      <w:instrText xml:space="preserve"> AUTOTEXTLIST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2AB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F3A42"/>
    <w:multiLevelType w:val="hybridMultilevel"/>
    <w:tmpl w:val="62A27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196BA3"/>
    <w:multiLevelType w:val="hybridMultilevel"/>
    <w:tmpl w:val="20C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A3736"/>
    <w:multiLevelType w:val="multilevel"/>
    <w:tmpl w:val="099846E6"/>
    <w:lvl w:ilvl="0">
      <w:start w:val="1"/>
      <w:numFmt w:val="decimal"/>
      <w:lvlText w:val="%1."/>
      <w:lvlJc w:val="left"/>
      <w:pPr>
        <w:tabs>
          <w:tab w:val="num" w:pos="720"/>
        </w:tabs>
        <w:ind w:left="720" w:hanging="720"/>
      </w:pPr>
      <w:rPr>
        <w:b w:val="0"/>
      </w:rPr>
    </w:lvl>
    <w:lvl w:ilvl="1">
      <w:start w:val="1"/>
      <w:numFmt w:val="upperLetter"/>
      <w:lvlText w:val="%2."/>
      <w:lvlJc w:val="left"/>
      <w:pPr>
        <w:tabs>
          <w:tab w:val="num" w:pos="1440"/>
        </w:tabs>
        <w:ind w:left="1440" w:hanging="720"/>
      </w:pPr>
      <w:rPr>
        <w:rFonts w:cs="Times New Roman"/>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cs="Times New Roman"/>
        <w:i w:val="0"/>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09B23161"/>
    <w:multiLevelType w:val="hybridMultilevel"/>
    <w:tmpl w:val="2E22588A"/>
    <w:lvl w:ilvl="0" w:tplc="F4CE0268">
      <w:start w:val="1"/>
      <w:numFmt w:val="bullet"/>
      <w:lvlText w:val=""/>
      <w:lvlJc w:val="left"/>
      <w:pPr>
        <w:tabs>
          <w:tab w:val="num" w:pos="7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F0623"/>
    <w:multiLevelType w:val="hybridMultilevel"/>
    <w:tmpl w:val="5096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56823"/>
    <w:multiLevelType w:val="multilevel"/>
    <w:tmpl w:val="B73E4746"/>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cs="Times New Roman"/>
        <w:i w:val="0"/>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0F671235"/>
    <w:multiLevelType w:val="hybridMultilevel"/>
    <w:tmpl w:val="6BFC2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D302DC"/>
    <w:multiLevelType w:val="hybridMultilevel"/>
    <w:tmpl w:val="9C0641D0"/>
    <w:lvl w:ilvl="0" w:tplc="F4CE0268">
      <w:start w:val="1"/>
      <w:numFmt w:val="bullet"/>
      <w:lvlText w:val=""/>
      <w:lvlJc w:val="left"/>
      <w:pPr>
        <w:tabs>
          <w:tab w:val="num" w:pos="7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220C0F"/>
    <w:multiLevelType w:val="multilevel"/>
    <w:tmpl w:val="D338B390"/>
    <w:lvl w:ilvl="0">
      <w:start w:val="1"/>
      <w:numFmt w:val="decimal"/>
      <w:lvlText w:val="%1."/>
      <w:lvlJc w:val="left"/>
      <w:pPr>
        <w:tabs>
          <w:tab w:val="num" w:pos="432"/>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B44DDD"/>
    <w:multiLevelType w:val="hybridMultilevel"/>
    <w:tmpl w:val="9A38ED5C"/>
    <w:lvl w:ilvl="0" w:tplc="F4CE0268">
      <w:start w:val="1"/>
      <w:numFmt w:val="bullet"/>
      <w:lvlText w:val=""/>
      <w:lvlJc w:val="left"/>
      <w:pPr>
        <w:tabs>
          <w:tab w:val="num" w:pos="7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D95EED"/>
    <w:multiLevelType w:val="hybridMultilevel"/>
    <w:tmpl w:val="D338B390"/>
    <w:lvl w:ilvl="0" w:tplc="D11CBDEA">
      <w:start w:val="1"/>
      <w:numFmt w:val="decimal"/>
      <w:lvlText w:val="%1."/>
      <w:lvlJc w:val="left"/>
      <w:pPr>
        <w:tabs>
          <w:tab w:val="num" w:pos="432"/>
        </w:tabs>
        <w:ind w:left="0" w:firstLine="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7742C4"/>
    <w:multiLevelType w:val="hybridMultilevel"/>
    <w:tmpl w:val="B9C8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06CBB"/>
    <w:multiLevelType w:val="multilevel"/>
    <w:tmpl w:val="98E89F6A"/>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i w:val="0"/>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i w:val="0"/>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4">
    <w:nsid w:val="2B8D6F75"/>
    <w:multiLevelType w:val="hybridMultilevel"/>
    <w:tmpl w:val="D1B6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5642D9"/>
    <w:multiLevelType w:val="hybridMultilevel"/>
    <w:tmpl w:val="EF72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C2EC0"/>
    <w:multiLevelType w:val="hybridMultilevel"/>
    <w:tmpl w:val="78F491B8"/>
    <w:lvl w:ilvl="0" w:tplc="728CD5CE">
      <w:start w:val="3"/>
      <w:numFmt w:val="decimal"/>
      <w:lvlText w:val="%1."/>
      <w:lvlJc w:val="left"/>
      <w:pPr>
        <w:tabs>
          <w:tab w:val="num" w:pos="1440"/>
        </w:tabs>
        <w:ind w:left="108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A231833"/>
    <w:multiLevelType w:val="multilevel"/>
    <w:tmpl w:val="78F491B8"/>
    <w:lvl w:ilvl="0">
      <w:start w:val="3"/>
      <w:numFmt w:val="decimal"/>
      <w:lvlText w:val="%1."/>
      <w:lvlJc w:val="left"/>
      <w:pPr>
        <w:tabs>
          <w:tab w:val="num" w:pos="1440"/>
        </w:tabs>
        <w:ind w:left="1080" w:firstLine="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3AD12788"/>
    <w:multiLevelType w:val="hybridMultilevel"/>
    <w:tmpl w:val="8A4E37E2"/>
    <w:lvl w:ilvl="0" w:tplc="04090007">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6C83870"/>
    <w:multiLevelType w:val="hybridMultilevel"/>
    <w:tmpl w:val="CDE8C702"/>
    <w:lvl w:ilvl="0" w:tplc="67F81BD4">
      <w:start w:val="1"/>
      <w:numFmt w:val="decimal"/>
      <w:lvlText w:val="%1."/>
      <w:lvlJc w:val="left"/>
      <w:pPr>
        <w:tabs>
          <w:tab w:val="num" w:pos="936"/>
        </w:tabs>
        <w:ind w:left="0" w:firstLine="360"/>
      </w:pPr>
      <w:rPr>
        <w:rFonts w:hint="default"/>
        <w:i w:val="0"/>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5E2714"/>
    <w:multiLevelType w:val="hybridMultilevel"/>
    <w:tmpl w:val="D76280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4874EEE"/>
    <w:multiLevelType w:val="hybridMultilevel"/>
    <w:tmpl w:val="ABD2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1E5006"/>
    <w:multiLevelType w:val="multilevel"/>
    <w:tmpl w:val="2034C24C"/>
    <w:lvl w:ilvl="0">
      <w:start w:val="9"/>
      <w:numFmt w:val="upperRoman"/>
      <w:lvlText w:val="%1."/>
      <w:lvlJc w:val="left"/>
      <w:pPr>
        <w:tabs>
          <w:tab w:val="num" w:pos="720"/>
        </w:tabs>
        <w:ind w:left="720" w:hanging="720"/>
      </w:pPr>
      <w:rPr>
        <w:rFonts w:hint="default"/>
        <w:b w:val="0"/>
        <w:i w:val="0"/>
        <w:sz w:val="22"/>
        <w:szCs w:val="22"/>
        <w:u w:val="no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71A9407B"/>
    <w:multiLevelType w:val="hybridMultilevel"/>
    <w:tmpl w:val="0590C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8F490E"/>
    <w:multiLevelType w:val="hybridMultilevel"/>
    <w:tmpl w:val="C488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945B5D"/>
    <w:multiLevelType w:val="hybridMultilevel"/>
    <w:tmpl w:val="2172991E"/>
    <w:lvl w:ilvl="0" w:tplc="BD1C72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815D2B"/>
    <w:multiLevelType w:val="hybridMultilevel"/>
    <w:tmpl w:val="EF5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F565C"/>
    <w:multiLevelType w:val="hybridMultilevel"/>
    <w:tmpl w:val="33B64B92"/>
    <w:lvl w:ilvl="0" w:tplc="3FFAB72A">
      <w:start w:val="2"/>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7CE12A23"/>
    <w:multiLevelType w:val="hybridMultilevel"/>
    <w:tmpl w:val="874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BC4946"/>
    <w:multiLevelType w:val="hybridMultilevel"/>
    <w:tmpl w:val="7EE2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7"/>
  </w:num>
  <w:num w:numId="4">
    <w:abstractNumId w:val="20"/>
  </w:num>
  <w:num w:numId="5">
    <w:abstractNumId w:val="18"/>
  </w:num>
  <w:num w:numId="6">
    <w:abstractNumId w:val="4"/>
  </w:num>
  <w:num w:numId="7">
    <w:abstractNumId w:val="10"/>
  </w:num>
  <w:num w:numId="8">
    <w:abstractNumId w:val="8"/>
  </w:num>
  <w:num w:numId="9">
    <w:abstractNumId w:val="16"/>
  </w:num>
  <w:num w:numId="10">
    <w:abstractNumId w:val="17"/>
  </w:num>
  <w:num w:numId="11">
    <w:abstractNumId w:val="11"/>
  </w:num>
  <w:num w:numId="12">
    <w:abstractNumId w:val="9"/>
  </w:num>
  <w:num w:numId="13">
    <w:abstractNumId w:val="19"/>
  </w:num>
  <w:num w:numId="14">
    <w:abstractNumId w:val="0"/>
  </w:num>
  <w:num w:numId="15">
    <w:abstractNumId w:val="15"/>
  </w:num>
  <w:num w:numId="16">
    <w:abstractNumId w:val="27"/>
  </w:num>
  <w:num w:numId="17">
    <w:abstractNumId w:val="25"/>
  </w:num>
  <w:num w:numId="18">
    <w:abstractNumId w:val="6"/>
  </w:num>
  <w:num w:numId="19">
    <w:abstractNumId w:val="3"/>
  </w:num>
  <w:num w:numId="20">
    <w:abstractNumId w:val="5"/>
  </w:num>
  <w:num w:numId="21">
    <w:abstractNumId w:val="23"/>
  </w:num>
  <w:num w:numId="22">
    <w:abstractNumId w:val="1"/>
  </w:num>
  <w:num w:numId="23">
    <w:abstractNumId w:val="14"/>
  </w:num>
  <w:num w:numId="24">
    <w:abstractNumId w:val="24"/>
  </w:num>
  <w:num w:numId="25">
    <w:abstractNumId w:val="29"/>
  </w:num>
  <w:num w:numId="26">
    <w:abstractNumId w:val="2"/>
  </w:num>
  <w:num w:numId="27">
    <w:abstractNumId w:val="26"/>
  </w:num>
  <w:num w:numId="28">
    <w:abstractNumId w:val="28"/>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A0"/>
    <w:rsid w:val="000006EB"/>
    <w:rsid w:val="00000746"/>
    <w:rsid w:val="00000FA7"/>
    <w:rsid w:val="00001FB1"/>
    <w:rsid w:val="00003478"/>
    <w:rsid w:val="00006E1D"/>
    <w:rsid w:val="00006F2B"/>
    <w:rsid w:val="00007201"/>
    <w:rsid w:val="000109A7"/>
    <w:rsid w:val="00010F0C"/>
    <w:rsid w:val="0001158F"/>
    <w:rsid w:val="00012CC1"/>
    <w:rsid w:val="000152A0"/>
    <w:rsid w:val="00017A4C"/>
    <w:rsid w:val="00020AD5"/>
    <w:rsid w:val="00026E96"/>
    <w:rsid w:val="00027CDC"/>
    <w:rsid w:val="0003045F"/>
    <w:rsid w:val="00030A31"/>
    <w:rsid w:val="00030AC9"/>
    <w:rsid w:val="00032230"/>
    <w:rsid w:val="00034AB6"/>
    <w:rsid w:val="000361B7"/>
    <w:rsid w:val="0003675D"/>
    <w:rsid w:val="00036AFA"/>
    <w:rsid w:val="00036C4D"/>
    <w:rsid w:val="00036F35"/>
    <w:rsid w:val="00037708"/>
    <w:rsid w:val="0003790D"/>
    <w:rsid w:val="00045893"/>
    <w:rsid w:val="00051113"/>
    <w:rsid w:val="00052404"/>
    <w:rsid w:val="00054829"/>
    <w:rsid w:val="0005537A"/>
    <w:rsid w:val="00056A6F"/>
    <w:rsid w:val="0005726D"/>
    <w:rsid w:val="000577C9"/>
    <w:rsid w:val="000608CA"/>
    <w:rsid w:val="00061414"/>
    <w:rsid w:val="00063813"/>
    <w:rsid w:val="0006458C"/>
    <w:rsid w:val="00064A1A"/>
    <w:rsid w:val="000656B5"/>
    <w:rsid w:val="00066C80"/>
    <w:rsid w:val="00067AAF"/>
    <w:rsid w:val="00073605"/>
    <w:rsid w:val="00073F14"/>
    <w:rsid w:val="000751A0"/>
    <w:rsid w:val="000755C4"/>
    <w:rsid w:val="0007641E"/>
    <w:rsid w:val="00077A5A"/>
    <w:rsid w:val="000853CB"/>
    <w:rsid w:val="00085805"/>
    <w:rsid w:val="00090E08"/>
    <w:rsid w:val="0009380E"/>
    <w:rsid w:val="000949BC"/>
    <w:rsid w:val="000958DE"/>
    <w:rsid w:val="00096435"/>
    <w:rsid w:val="000975D4"/>
    <w:rsid w:val="000977BB"/>
    <w:rsid w:val="000A2A52"/>
    <w:rsid w:val="000A3DD7"/>
    <w:rsid w:val="000A6729"/>
    <w:rsid w:val="000B0978"/>
    <w:rsid w:val="000B0F67"/>
    <w:rsid w:val="000B1980"/>
    <w:rsid w:val="000B21AA"/>
    <w:rsid w:val="000B3F17"/>
    <w:rsid w:val="000B496F"/>
    <w:rsid w:val="000B626A"/>
    <w:rsid w:val="000B74EA"/>
    <w:rsid w:val="000C08B7"/>
    <w:rsid w:val="000C1B96"/>
    <w:rsid w:val="000C25F3"/>
    <w:rsid w:val="000C28F9"/>
    <w:rsid w:val="000C2E63"/>
    <w:rsid w:val="000D2652"/>
    <w:rsid w:val="000D4139"/>
    <w:rsid w:val="000D45BC"/>
    <w:rsid w:val="000D48F0"/>
    <w:rsid w:val="000E2387"/>
    <w:rsid w:val="000E26B9"/>
    <w:rsid w:val="000E2C5D"/>
    <w:rsid w:val="000E2D1E"/>
    <w:rsid w:val="000E417E"/>
    <w:rsid w:val="000E44AD"/>
    <w:rsid w:val="000E65AF"/>
    <w:rsid w:val="000F4CB1"/>
    <w:rsid w:val="000F519B"/>
    <w:rsid w:val="000F6D66"/>
    <w:rsid w:val="00101073"/>
    <w:rsid w:val="001015E4"/>
    <w:rsid w:val="0010449F"/>
    <w:rsid w:val="00105C37"/>
    <w:rsid w:val="001077F6"/>
    <w:rsid w:val="00107B74"/>
    <w:rsid w:val="00110815"/>
    <w:rsid w:val="00111644"/>
    <w:rsid w:val="00113627"/>
    <w:rsid w:val="001141C9"/>
    <w:rsid w:val="00114389"/>
    <w:rsid w:val="00116E0F"/>
    <w:rsid w:val="00120722"/>
    <w:rsid w:val="00122788"/>
    <w:rsid w:val="00123C74"/>
    <w:rsid w:val="00125423"/>
    <w:rsid w:val="001259A6"/>
    <w:rsid w:val="00126651"/>
    <w:rsid w:val="0013041E"/>
    <w:rsid w:val="00130AC4"/>
    <w:rsid w:val="001332CC"/>
    <w:rsid w:val="00133710"/>
    <w:rsid w:val="001338D2"/>
    <w:rsid w:val="00133C6C"/>
    <w:rsid w:val="001350DA"/>
    <w:rsid w:val="00135AB1"/>
    <w:rsid w:val="00136079"/>
    <w:rsid w:val="0013634C"/>
    <w:rsid w:val="00136764"/>
    <w:rsid w:val="00136B88"/>
    <w:rsid w:val="00142A97"/>
    <w:rsid w:val="0014366C"/>
    <w:rsid w:val="00144C8F"/>
    <w:rsid w:val="00145BC9"/>
    <w:rsid w:val="001467CC"/>
    <w:rsid w:val="001519D8"/>
    <w:rsid w:val="00152DF3"/>
    <w:rsid w:val="00152E51"/>
    <w:rsid w:val="00154C16"/>
    <w:rsid w:val="001564AC"/>
    <w:rsid w:val="00157394"/>
    <w:rsid w:val="001629ED"/>
    <w:rsid w:val="00162C16"/>
    <w:rsid w:val="001640CF"/>
    <w:rsid w:val="001643A6"/>
    <w:rsid w:val="001656EA"/>
    <w:rsid w:val="0016657F"/>
    <w:rsid w:val="00167214"/>
    <w:rsid w:val="001676BA"/>
    <w:rsid w:val="00167ED0"/>
    <w:rsid w:val="00170D97"/>
    <w:rsid w:val="00175099"/>
    <w:rsid w:val="0017581E"/>
    <w:rsid w:val="001768EE"/>
    <w:rsid w:val="00182CA1"/>
    <w:rsid w:val="001836D3"/>
    <w:rsid w:val="00183A69"/>
    <w:rsid w:val="00183EA5"/>
    <w:rsid w:val="001844B9"/>
    <w:rsid w:val="00186092"/>
    <w:rsid w:val="001865AF"/>
    <w:rsid w:val="00186691"/>
    <w:rsid w:val="00187781"/>
    <w:rsid w:val="001911FF"/>
    <w:rsid w:val="001956B5"/>
    <w:rsid w:val="001A120D"/>
    <w:rsid w:val="001A17A4"/>
    <w:rsid w:val="001A1F7E"/>
    <w:rsid w:val="001A219F"/>
    <w:rsid w:val="001A2D76"/>
    <w:rsid w:val="001A383D"/>
    <w:rsid w:val="001A4960"/>
    <w:rsid w:val="001A5ACE"/>
    <w:rsid w:val="001A5F3D"/>
    <w:rsid w:val="001B0BFD"/>
    <w:rsid w:val="001B1575"/>
    <w:rsid w:val="001B2291"/>
    <w:rsid w:val="001B3489"/>
    <w:rsid w:val="001B3E3A"/>
    <w:rsid w:val="001B5266"/>
    <w:rsid w:val="001C2E53"/>
    <w:rsid w:val="001C4DB6"/>
    <w:rsid w:val="001D034D"/>
    <w:rsid w:val="001D078B"/>
    <w:rsid w:val="001D3308"/>
    <w:rsid w:val="001D33EA"/>
    <w:rsid w:val="001D3D25"/>
    <w:rsid w:val="001D49B5"/>
    <w:rsid w:val="001D4BA9"/>
    <w:rsid w:val="001D65C9"/>
    <w:rsid w:val="001D687E"/>
    <w:rsid w:val="001E14CB"/>
    <w:rsid w:val="001E1A2E"/>
    <w:rsid w:val="001E4285"/>
    <w:rsid w:val="001E6051"/>
    <w:rsid w:val="001E7C12"/>
    <w:rsid w:val="001F2BA1"/>
    <w:rsid w:val="001F580D"/>
    <w:rsid w:val="0020034A"/>
    <w:rsid w:val="00201935"/>
    <w:rsid w:val="00205C3C"/>
    <w:rsid w:val="00206517"/>
    <w:rsid w:val="002075DB"/>
    <w:rsid w:val="00207E8A"/>
    <w:rsid w:val="00211A73"/>
    <w:rsid w:val="00213428"/>
    <w:rsid w:val="00214EFD"/>
    <w:rsid w:val="002163CB"/>
    <w:rsid w:val="002206F5"/>
    <w:rsid w:val="0022202C"/>
    <w:rsid w:val="00224012"/>
    <w:rsid w:val="00225BAE"/>
    <w:rsid w:val="002263C6"/>
    <w:rsid w:val="0022684E"/>
    <w:rsid w:val="00226B5D"/>
    <w:rsid w:val="002419FB"/>
    <w:rsid w:val="00244496"/>
    <w:rsid w:val="00244B12"/>
    <w:rsid w:val="002451DB"/>
    <w:rsid w:val="00254832"/>
    <w:rsid w:val="00254DE3"/>
    <w:rsid w:val="00255B46"/>
    <w:rsid w:val="002575ED"/>
    <w:rsid w:val="002647CD"/>
    <w:rsid w:val="002648F4"/>
    <w:rsid w:val="0026582A"/>
    <w:rsid w:val="00274586"/>
    <w:rsid w:val="00280600"/>
    <w:rsid w:val="00280E3C"/>
    <w:rsid w:val="00280F29"/>
    <w:rsid w:val="0028290F"/>
    <w:rsid w:val="00285012"/>
    <w:rsid w:val="00285439"/>
    <w:rsid w:val="00285CF7"/>
    <w:rsid w:val="002879F5"/>
    <w:rsid w:val="00293039"/>
    <w:rsid w:val="00293E85"/>
    <w:rsid w:val="00295F82"/>
    <w:rsid w:val="002971AD"/>
    <w:rsid w:val="002972AE"/>
    <w:rsid w:val="00297CA2"/>
    <w:rsid w:val="002A09DB"/>
    <w:rsid w:val="002A0B15"/>
    <w:rsid w:val="002A60A4"/>
    <w:rsid w:val="002A6836"/>
    <w:rsid w:val="002A6FA9"/>
    <w:rsid w:val="002A722B"/>
    <w:rsid w:val="002B0219"/>
    <w:rsid w:val="002B2316"/>
    <w:rsid w:val="002B57AE"/>
    <w:rsid w:val="002C02F4"/>
    <w:rsid w:val="002C0F25"/>
    <w:rsid w:val="002C37F8"/>
    <w:rsid w:val="002C42AD"/>
    <w:rsid w:val="002C5FAC"/>
    <w:rsid w:val="002C7DFF"/>
    <w:rsid w:val="002D1430"/>
    <w:rsid w:val="002D1C02"/>
    <w:rsid w:val="002D2BBA"/>
    <w:rsid w:val="002D4929"/>
    <w:rsid w:val="002D59F0"/>
    <w:rsid w:val="002E053C"/>
    <w:rsid w:val="002E5E58"/>
    <w:rsid w:val="002F006D"/>
    <w:rsid w:val="002F05BE"/>
    <w:rsid w:val="002F0ABD"/>
    <w:rsid w:val="002F2A05"/>
    <w:rsid w:val="002F3709"/>
    <w:rsid w:val="002F4794"/>
    <w:rsid w:val="002F4A57"/>
    <w:rsid w:val="002F512F"/>
    <w:rsid w:val="002F62DC"/>
    <w:rsid w:val="002F7C56"/>
    <w:rsid w:val="003000C1"/>
    <w:rsid w:val="00301882"/>
    <w:rsid w:val="00302D5B"/>
    <w:rsid w:val="0030671A"/>
    <w:rsid w:val="00306D00"/>
    <w:rsid w:val="00311F6F"/>
    <w:rsid w:val="00312DFE"/>
    <w:rsid w:val="00313424"/>
    <w:rsid w:val="00313CED"/>
    <w:rsid w:val="0031521A"/>
    <w:rsid w:val="00315A3C"/>
    <w:rsid w:val="00320A54"/>
    <w:rsid w:val="0032117A"/>
    <w:rsid w:val="003235A9"/>
    <w:rsid w:val="003249EA"/>
    <w:rsid w:val="00326579"/>
    <w:rsid w:val="0032684A"/>
    <w:rsid w:val="0033005B"/>
    <w:rsid w:val="00331BD6"/>
    <w:rsid w:val="00333976"/>
    <w:rsid w:val="00335625"/>
    <w:rsid w:val="00336775"/>
    <w:rsid w:val="00341785"/>
    <w:rsid w:val="00345AF5"/>
    <w:rsid w:val="0034620B"/>
    <w:rsid w:val="00347A1A"/>
    <w:rsid w:val="0035137C"/>
    <w:rsid w:val="00354FC7"/>
    <w:rsid w:val="00355C78"/>
    <w:rsid w:val="003576B4"/>
    <w:rsid w:val="00360EC1"/>
    <w:rsid w:val="003628C0"/>
    <w:rsid w:val="0036347D"/>
    <w:rsid w:val="00367766"/>
    <w:rsid w:val="00367DA6"/>
    <w:rsid w:val="0037019C"/>
    <w:rsid w:val="0037120E"/>
    <w:rsid w:val="00371DD5"/>
    <w:rsid w:val="00372216"/>
    <w:rsid w:val="0037303E"/>
    <w:rsid w:val="003736D1"/>
    <w:rsid w:val="00374F74"/>
    <w:rsid w:val="00375557"/>
    <w:rsid w:val="00375DC6"/>
    <w:rsid w:val="003764AE"/>
    <w:rsid w:val="00376C6E"/>
    <w:rsid w:val="003800CD"/>
    <w:rsid w:val="00381535"/>
    <w:rsid w:val="003836F1"/>
    <w:rsid w:val="003861BF"/>
    <w:rsid w:val="00391584"/>
    <w:rsid w:val="0039218B"/>
    <w:rsid w:val="0039264F"/>
    <w:rsid w:val="00392FE1"/>
    <w:rsid w:val="003934F6"/>
    <w:rsid w:val="00395ED9"/>
    <w:rsid w:val="003A2173"/>
    <w:rsid w:val="003A3212"/>
    <w:rsid w:val="003A5859"/>
    <w:rsid w:val="003B346B"/>
    <w:rsid w:val="003B4C30"/>
    <w:rsid w:val="003B5EDF"/>
    <w:rsid w:val="003C0468"/>
    <w:rsid w:val="003C06C9"/>
    <w:rsid w:val="003C0757"/>
    <w:rsid w:val="003C2766"/>
    <w:rsid w:val="003C37A8"/>
    <w:rsid w:val="003C5E23"/>
    <w:rsid w:val="003D0A44"/>
    <w:rsid w:val="003D26F1"/>
    <w:rsid w:val="003D374C"/>
    <w:rsid w:val="003D37B6"/>
    <w:rsid w:val="003D4821"/>
    <w:rsid w:val="003D74CB"/>
    <w:rsid w:val="003D773B"/>
    <w:rsid w:val="003D7B79"/>
    <w:rsid w:val="003E0CC4"/>
    <w:rsid w:val="003E0F51"/>
    <w:rsid w:val="003E27AB"/>
    <w:rsid w:val="003E4844"/>
    <w:rsid w:val="003E5027"/>
    <w:rsid w:val="003F0F05"/>
    <w:rsid w:val="003F3F96"/>
    <w:rsid w:val="003F432B"/>
    <w:rsid w:val="003F6DBB"/>
    <w:rsid w:val="0040052D"/>
    <w:rsid w:val="00401691"/>
    <w:rsid w:val="004016B2"/>
    <w:rsid w:val="00403FE5"/>
    <w:rsid w:val="004040C4"/>
    <w:rsid w:val="00405B93"/>
    <w:rsid w:val="00407514"/>
    <w:rsid w:val="00407B4C"/>
    <w:rsid w:val="00412CCD"/>
    <w:rsid w:val="00414DFA"/>
    <w:rsid w:val="00420CFC"/>
    <w:rsid w:val="00422509"/>
    <w:rsid w:val="00422F69"/>
    <w:rsid w:val="0042330F"/>
    <w:rsid w:val="00423B3D"/>
    <w:rsid w:val="00423B52"/>
    <w:rsid w:val="00431273"/>
    <w:rsid w:val="004318C2"/>
    <w:rsid w:val="0043202E"/>
    <w:rsid w:val="00432FF9"/>
    <w:rsid w:val="004350CA"/>
    <w:rsid w:val="00435133"/>
    <w:rsid w:val="0043616A"/>
    <w:rsid w:val="0043616F"/>
    <w:rsid w:val="0044213A"/>
    <w:rsid w:val="00444344"/>
    <w:rsid w:val="00444493"/>
    <w:rsid w:val="00444CCF"/>
    <w:rsid w:val="0044555C"/>
    <w:rsid w:val="00445FD4"/>
    <w:rsid w:val="004472E3"/>
    <w:rsid w:val="00452D22"/>
    <w:rsid w:val="00452F58"/>
    <w:rsid w:val="004530C9"/>
    <w:rsid w:val="0045359F"/>
    <w:rsid w:val="00455845"/>
    <w:rsid w:val="004558BD"/>
    <w:rsid w:val="004574AB"/>
    <w:rsid w:val="00461DE3"/>
    <w:rsid w:val="00464B7F"/>
    <w:rsid w:val="004676EC"/>
    <w:rsid w:val="0046795B"/>
    <w:rsid w:val="004705A5"/>
    <w:rsid w:val="00470F1D"/>
    <w:rsid w:val="00471E69"/>
    <w:rsid w:val="00472953"/>
    <w:rsid w:val="004730FC"/>
    <w:rsid w:val="00474516"/>
    <w:rsid w:val="00474D0D"/>
    <w:rsid w:val="00474E20"/>
    <w:rsid w:val="00480F8E"/>
    <w:rsid w:val="004819A5"/>
    <w:rsid w:val="004828B7"/>
    <w:rsid w:val="00482EA7"/>
    <w:rsid w:val="00483533"/>
    <w:rsid w:val="00484989"/>
    <w:rsid w:val="00484B6A"/>
    <w:rsid w:val="00485DF1"/>
    <w:rsid w:val="00486591"/>
    <w:rsid w:val="004907C4"/>
    <w:rsid w:val="00490B27"/>
    <w:rsid w:val="004916DD"/>
    <w:rsid w:val="00492385"/>
    <w:rsid w:val="004924E9"/>
    <w:rsid w:val="004930AE"/>
    <w:rsid w:val="00497473"/>
    <w:rsid w:val="00497A68"/>
    <w:rsid w:val="004A07A8"/>
    <w:rsid w:val="004A23DF"/>
    <w:rsid w:val="004A28F9"/>
    <w:rsid w:val="004A5C4E"/>
    <w:rsid w:val="004A6CEE"/>
    <w:rsid w:val="004A6FE8"/>
    <w:rsid w:val="004A73CA"/>
    <w:rsid w:val="004B2C5E"/>
    <w:rsid w:val="004B5D28"/>
    <w:rsid w:val="004B70F5"/>
    <w:rsid w:val="004B7AAE"/>
    <w:rsid w:val="004C0E97"/>
    <w:rsid w:val="004C275D"/>
    <w:rsid w:val="004C3090"/>
    <w:rsid w:val="004C360F"/>
    <w:rsid w:val="004C605E"/>
    <w:rsid w:val="004C6AA1"/>
    <w:rsid w:val="004C73F9"/>
    <w:rsid w:val="004D1D57"/>
    <w:rsid w:val="004D2498"/>
    <w:rsid w:val="004D3429"/>
    <w:rsid w:val="004D386B"/>
    <w:rsid w:val="004D3FA5"/>
    <w:rsid w:val="004D4686"/>
    <w:rsid w:val="004D46CF"/>
    <w:rsid w:val="004D5A94"/>
    <w:rsid w:val="004D613C"/>
    <w:rsid w:val="004E3167"/>
    <w:rsid w:val="004E3BEC"/>
    <w:rsid w:val="004E42BC"/>
    <w:rsid w:val="004E43B2"/>
    <w:rsid w:val="004E5CBA"/>
    <w:rsid w:val="004F36D3"/>
    <w:rsid w:val="004F5555"/>
    <w:rsid w:val="004F6918"/>
    <w:rsid w:val="005021B8"/>
    <w:rsid w:val="00502732"/>
    <w:rsid w:val="005032CD"/>
    <w:rsid w:val="00503FC8"/>
    <w:rsid w:val="00505943"/>
    <w:rsid w:val="005067DE"/>
    <w:rsid w:val="00506CDC"/>
    <w:rsid w:val="0051002D"/>
    <w:rsid w:val="0051263D"/>
    <w:rsid w:val="005144EE"/>
    <w:rsid w:val="0051585E"/>
    <w:rsid w:val="005176D9"/>
    <w:rsid w:val="00521DCE"/>
    <w:rsid w:val="00522A25"/>
    <w:rsid w:val="005247B9"/>
    <w:rsid w:val="005255A0"/>
    <w:rsid w:val="00525AB3"/>
    <w:rsid w:val="005345CA"/>
    <w:rsid w:val="00536E4E"/>
    <w:rsid w:val="00540CF7"/>
    <w:rsid w:val="00541509"/>
    <w:rsid w:val="005416D2"/>
    <w:rsid w:val="00542D16"/>
    <w:rsid w:val="00544B66"/>
    <w:rsid w:val="00547727"/>
    <w:rsid w:val="00547A06"/>
    <w:rsid w:val="0055155E"/>
    <w:rsid w:val="00551BAE"/>
    <w:rsid w:val="0055720E"/>
    <w:rsid w:val="005616E2"/>
    <w:rsid w:val="00562230"/>
    <w:rsid w:val="00562565"/>
    <w:rsid w:val="00562D5E"/>
    <w:rsid w:val="00563BB6"/>
    <w:rsid w:val="0056428F"/>
    <w:rsid w:val="005653B9"/>
    <w:rsid w:val="0056581E"/>
    <w:rsid w:val="00566562"/>
    <w:rsid w:val="005669AB"/>
    <w:rsid w:val="005700E9"/>
    <w:rsid w:val="0057091B"/>
    <w:rsid w:val="00571528"/>
    <w:rsid w:val="00572BD6"/>
    <w:rsid w:val="00575300"/>
    <w:rsid w:val="00575563"/>
    <w:rsid w:val="00576A26"/>
    <w:rsid w:val="00577875"/>
    <w:rsid w:val="005809AF"/>
    <w:rsid w:val="00581167"/>
    <w:rsid w:val="00582E72"/>
    <w:rsid w:val="005860C4"/>
    <w:rsid w:val="0058627F"/>
    <w:rsid w:val="00586E7F"/>
    <w:rsid w:val="00586F28"/>
    <w:rsid w:val="00587502"/>
    <w:rsid w:val="00587E00"/>
    <w:rsid w:val="0059323C"/>
    <w:rsid w:val="005948A0"/>
    <w:rsid w:val="00594E74"/>
    <w:rsid w:val="00595A51"/>
    <w:rsid w:val="005A01BA"/>
    <w:rsid w:val="005A406C"/>
    <w:rsid w:val="005A4ADD"/>
    <w:rsid w:val="005A55B7"/>
    <w:rsid w:val="005B03DB"/>
    <w:rsid w:val="005B1087"/>
    <w:rsid w:val="005B3065"/>
    <w:rsid w:val="005B33BB"/>
    <w:rsid w:val="005B3E40"/>
    <w:rsid w:val="005B50C4"/>
    <w:rsid w:val="005B79F0"/>
    <w:rsid w:val="005C0487"/>
    <w:rsid w:val="005C0F78"/>
    <w:rsid w:val="005C4799"/>
    <w:rsid w:val="005C4AFE"/>
    <w:rsid w:val="005C4DDC"/>
    <w:rsid w:val="005D03C2"/>
    <w:rsid w:val="005D09A9"/>
    <w:rsid w:val="005D277F"/>
    <w:rsid w:val="005D7F6F"/>
    <w:rsid w:val="005E262E"/>
    <w:rsid w:val="005E2D86"/>
    <w:rsid w:val="005E3822"/>
    <w:rsid w:val="005E61C6"/>
    <w:rsid w:val="005E7011"/>
    <w:rsid w:val="005F092C"/>
    <w:rsid w:val="005F298B"/>
    <w:rsid w:val="005F2D0A"/>
    <w:rsid w:val="005F6EC0"/>
    <w:rsid w:val="005F7B2E"/>
    <w:rsid w:val="006013D4"/>
    <w:rsid w:val="006014B9"/>
    <w:rsid w:val="00605F50"/>
    <w:rsid w:val="00610370"/>
    <w:rsid w:val="00610A7E"/>
    <w:rsid w:val="00611339"/>
    <w:rsid w:val="006137DD"/>
    <w:rsid w:val="00616C7E"/>
    <w:rsid w:val="00616DA3"/>
    <w:rsid w:val="00617341"/>
    <w:rsid w:val="00617C72"/>
    <w:rsid w:val="00621734"/>
    <w:rsid w:val="0062250A"/>
    <w:rsid w:val="00624552"/>
    <w:rsid w:val="00627CB8"/>
    <w:rsid w:val="00630461"/>
    <w:rsid w:val="00632352"/>
    <w:rsid w:val="00632D82"/>
    <w:rsid w:val="006341A4"/>
    <w:rsid w:val="00636540"/>
    <w:rsid w:val="00636C34"/>
    <w:rsid w:val="00645658"/>
    <w:rsid w:val="00647716"/>
    <w:rsid w:val="00647720"/>
    <w:rsid w:val="00650D23"/>
    <w:rsid w:val="00651F68"/>
    <w:rsid w:val="0065260E"/>
    <w:rsid w:val="00652F63"/>
    <w:rsid w:val="00655F8F"/>
    <w:rsid w:val="00660604"/>
    <w:rsid w:val="00660CD5"/>
    <w:rsid w:val="0066391A"/>
    <w:rsid w:val="00663C90"/>
    <w:rsid w:val="00666BF1"/>
    <w:rsid w:val="00666D78"/>
    <w:rsid w:val="00670154"/>
    <w:rsid w:val="00670A9D"/>
    <w:rsid w:val="006727E2"/>
    <w:rsid w:val="00673A6A"/>
    <w:rsid w:val="006743AC"/>
    <w:rsid w:val="00676B2C"/>
    <w:rsid w:val="00676E39"/>
    <w:rsid w:val="00677115"/>
    <w:rsid w:val="00677C80"/>
    <w:rsid w:val="00681B76"/>
    <w:rsid w:val="00681E1A"/>
    <w:rsid w:val="00682FB3"/>
    <w:rsid w:val="00684375"/>
    <w:rsid w:val="006846FD"/>
    <w:rsid w:val="006852B8"/>
    <w:rsid w:val="00686F19"/>
    <w:rsid w:val="00694B64"/>
    <w:rsid w:val="00695899"/>
    <w:rsid w:val="006A0DF8"/>
    <w:rsid w:val="006A3111"/>
    <w:rsid w:val="006A3560"/>
    <w:rsid w:val="006A4B0F"/>
    <w:rsid w:val="006A50EC"/>
    <w:rsid w:val="006A7B69"/>
    <w:rsid w:val="006B0328"/>
    <w:rsid w:val="006B0F86"/>
    <w:rsid w:val="006B16A0"/>
    <w:rsid w:val="006B215D"/>
    <w:rsid w:val="006B31BB"/>
    <w:rsid w:val="006B3DD5"/>
    <w:rsid w:val="006B49D1"/>
    <w:rsid w:val="006B59E2"/>
    <w:rsid w:val="006B5B70"/>
    <w:rsid w:val="006C1F49"/>
    <w:rsid w:val="006C23C7"/>
    <w:rsid w:val="006C5666"/>
    <w:rsid w:val="006C69CA"/>
    <w:rsid w:val="006C7276"/>
    <w:rsid w:val="006C7F7D"/>
    <w:rsid w:val="006D2997"/>
    <w:rsid w:val="006D7283"/>
    <w:rsid w:val="006E02DF"/>
    <w:rsid w:val="006E2338"/>
    <w:rsid w:val="006E3050"/>
    <w:rsid w:val="006E3454"/>
    <w:rsid w:val="006E6AE2"/>
    <w:rsid w:val="006E7F77"/>
    <w:rsid w:val="006F0B82"/>
    <w:rsid w:val="006F0BA9"/>
    <w:rsid w:val="006F29A6"/>
    <w:rsid w:val="006F559D"/>
    <w:rsid w:val="006F6475"/>
    <w:rsid w:val="006F76D5"/>
    <w:rsid w:val="006F7E35"/>
    <w:rsid w:val="00700016"/>
    <w:rsid w:val="007005EC"/>
    <w:rsid w:val="007010AA"/>
    <w:rsid w:val="007017C7"/>
    <w:rsid w:val="0070214A"/>
    <w:rsid w:val="007023A5"/>
    <w:rsid w:val="00702C00"/>
    <w:rsid w:val="00703896"/>
    <w:rsid w:val="00710914"/>
    <w:rsid w:val="0071240A"/>
    <w:rsid w:val="0071251F"/>
    <w:rsid w:val="0071313F"/>
    <w:rsid w:val="00715B69"/>
    <w:rsid w:val="0071788D"/>
    <w:rsid w:val="00717CB5"/>
    <w:rsid w:val="00717FA9"/>
    <w:rsid w:val="007229FF"/>
    <w:rsid w:val="00725C5C"/>
    <w:rsid w:val="0072669A"/>
    <w:rsid w:val="007277A6"/>
    <w:rsid w:val="00727A26"/>
    <w:rsid w:val="00727D23"/>
    <w:rsid w:val="00730620"/>
    <w:rsid w:val="007313F4"/>
    <w:rsid w:val="00731CEB"/>
    <w:rsid w:val="007321DB"/>
    <w:rsid w:val="0073269E"/>
    <w:rsid w:val="007328FE"/>
    <w:rsid w:val="00733518"/>
    <w:rsid w:val="007336B7"/>
    <w:rsid w:val="007342D7"/>
    <w:rsid w:val="00735A42"/>
    <w:rsid w:val="007400ED"/>
    <w:rsid w:val="00741104"/>
    <w:rsid w:val="0074149E"/>
    <w:rsid w:val="0074209A"/>
    <w:rsid w:val="007433CE"/>
    <w:rsid w:val="00743785"/>
    <w:rsid w:val="00743FB2"/>
    <w:rsid w:val="007459C8"/>
    <w:rsid w:val="00746064"/>
    <w:rsid w:val="00746587"/>
    <w:rsid w:val="0074699D"/>
    <w:rsid w:val="00750C8D"/>
    <w:rsid w:val="00750F9E"/>
    <w:rsid w:val="007524FE"/>
    <w:rsid w:val="007601BE"/>
    <w:rsid w:val="00760BF7"/>
    <w:rsid w:val="00761F98"/>
    <w:rsid w:val="0076411E"/>
    <w:rsid w:val="007656B0"/>
    <w:rsid w:val="00767166"/>
    <w:rsid w:val="00767D43"/>
    <w:rsid w:val="00767DFA"/>
    <w:rsid w:val="00770364"/>
    <w:rsid w:val="007708C8"/>
    <w:rsid w:val="007712A7"/>
    <w:rsid w:val="00772588"/>
    <w:rsid w:val="007731EC"/>
    <w:rsid w:val="007749F3"/>
    <w:rsid w:val="00775236"/>
    <w:rsid w:val="007777BC"/>
    <w:rsid w:val="00781177"/>
    <w:rsid w:val="007812A3"/>
    <w:rsid w:val="00781B66"/>
    <w:rsid w:val="00781DDA"/>
    <w:rsid w:val="007846A7"/>
    <w:rsid w:val="00784992"/>
    <w:rsid w:val="0078624D"/>
    <w:rsid w:val="007863C0"/>
    <w:rsid w:val="00790012"/>
    <w:rsid w:val="00790E25"/>
    <w:rsid w:val="007917AA"/>
    <w:rsid w:val="007942D6"/>
    <w:rsid w:val="00794B71"/>
    <w:rsid w:val="00795775"/>
    <w:rsid w:val="00795E20"/>
    <w:rsid w:val="00797C8D"/>
    <w:rsid w:val="00797D88"/>
    <w:rsid w:val="007A04F3"/>
    <w:rsid w:val="007A0AFE"/>
    <w:rsid w:val="007A1541"/>
    <w:rsid w:val="007A25CD"/>
    <w:rsid w:val="007A2BE4"/>
    <w:rsid w:val="007A2BE8"/>
    <w:rsid w:val="007A588F"/>
    <w:rsid w:val="007B0638"/>
    <w:rsid w:val="007B20B9"/>
    <w:rsid w:val="007B3A2F"/>
    <w:rsid w:val="007C25FB"/>
    <w:rsid w:val="007C37BA"/>
    <w:rsid w:val="007C5ACC"/>
    <w:rsid w:val="007C63BA"/>
    <w:rsid w:val="007D4596"/>
    <w:rsid w:val="007D4C66"/>
    <w:rsid w:val="007D6473"/>
    <w:rsid w:val="007D7C7F"/>
    <w:rsid w:val="007E17DD"/>
    <w:rsid w:val="007E3C31"/>
    <w:rsid w:val="007E535E"/>
    <w:rsid w:val="007F02CA"/>
    <w:rsid w:val="007F4A38"/>
    <w:rsid w:val="007F7C15"/>
    <w:rsid w:val="00803B2B"/>
    <w:rsid w:val="00803DFA"/>
    <w:rsid w:val="00803E58"/>
    <w:rsid w:val="00803FCF"/>
    <w:rsid w:val="00805D7E"/>
    <w:rsid w:val="00806F71"/>
    <w:rsid w:val="00807599"/>
    <w:rsid w:val="00812540"/>
    <w:rsid w:val="0081452A"/>
    <w:rsid w:val="00816609"/>
    <w:rsid w:val="00821C9E"/>
    <w:rsid w:val="008237B3"/>
    <w:rsid w:val="00824869"/>
    <w:rsid w:val="00826ABD"/>
    <w:rsid w:val="00830AC8"/>
    <w:rsid w:val="00832880"/>
    <w:rsid w:val="0083333C"/>
    <w:rsid w:val="00835D98"/>
    <w:rsid w:val="008378FA"/>
    <w:rsid w:val="00843186"/>
    <w:rsid w:val="00844A09"/>
    <w:rsid w:val="00844D27"/>
    <w:rsid w:val="00845D53"/>
    <w:rsid w:val="00845F0E"/>
    <w:rsid w:val="0084681F"/>
    <w:rsid w:val="00847EEC"/>
    <w:rsid w:val="00850508"/>
    <w:rsid w:val="0085089F"/>
    <w:rsid w:val="0085166F"/>
    <w:rsid w:val="00854EED"/>
    <w:rsid w:val="008553E4"/>
    <w:rsid w:val="008570F7"/>
    <w:rsid w:val="00860164"/>
    <w:rsid w:val="00862153"/>
    <w:rsid w:val="00862388"/>
    <w:rsid w:val="00862CBF"/>
    <w:rsid w:val="008643B7"/>
    <w:rsid w:val="00864C25"/>
    <w:rsid w:val="008719DA"/>
    <w:rsid w:val="00873753"/>
    <w:rsid w:val="00873C6D"/>
    <w:rsid w:val="0087456D"/>
    <w:rsid w:val="008748BE"/>
    <w:rsid w:val="008752F2"/>
    <w:rsid w:val="008759B6"/>
    <w:rsid w:val="0087637A"/>
    <w:rsid w:val="00880393"/>
    <w:rsid w:val="0088084C"/>
    <w:rsid w:val="008822C7"/>
    <w:rsid w:val="00882E25"/>
    <w:rsid w:val="00884274"/>
    <w:rsid w:val="00885FC1"/>
    <w:rsid w:val="00886CAE"/>
    <w:rsid w:val="00890FFB"/>
    <w:rsid w:val="00893908"/>
    <w:rsid w:val="00894110"/>
    <w:rsid w:val="00895669"/>
    <w:rsid w:val="008974A1"/>
    <w:rsid w:val="008A14A4"/>
    <w:rsid w:val="008A1B16"/>
    <w:rsid w:val="008A2F86"/>
    <w:rsid w:val="008A4346"/>
    <w:rsid w:val="008A4394"/>
    <w:rsid w:val="008A71E9"/>
    <w:rsid w:val="008B2655"/>
    <w:rsid w:val="008B310C"/>
    <w:rsid w:val="008B34F9"/>
    <w:rsid w:val="008B4197"/>
    <w:rsid w:val="008B64A8"/>
    <w:rsid w:val="008B6938"/>
    <w:rsid w:val="008B6CEE"/>
    <w:rsid w:val="008B7206"/>
    <w:rsid w:val="008C179C"/>
    <w:rsid w:val="008C17AC"/>
    <w:rsid w:val="008C1B71"/>
    <w:rsid w:val="008C1E63"/>
    <w:rsid w:val="008C2408"/>
    <w:rsid w:val="008C5445"/>
    <w:rsid w:val="008C5BD7"/>
    <w:rsid w:val="008C74B8"/>
    <w:rsid w:val="008D0876"/>
    <w:rsid w:val="008D138A"/>
    <w:rsid w:val="008D2292"/>
    <w:rsid w:val="008D3142"/>
    <w:rsid w:val="008D3727"/>
    <w:rsid w:val="008D651E"/>
    <w:rsid w:val="008E1D35"/>
    <w:rsid w:val="008E2094"/>
    <w:rsid w:val="008E23C0"/>
    <w:rsid w:val="008E3280"/>
    <w:rsid w:val="008E56B6"/>
    <w:rsid w:val="008E69A7"/>
    <w:rsid w:val="008F16C6"/>
    <w:rsid w:val="008F47B1"/>
    <w:rsid w:val="008F566F"/>
    <w:rsid w:val="008F57AB"/>
    <w:rsid w:val="008F7A47"/>
    <w:rsid w:val="00901195"/>
    <w:rsid w:val="00905566"/>
    <w:rsid w:val="00906148"/>
    <w:rsid w:val="00906596"/>
    <w:rsid w:val="009065D6"/>
    <w:rsid w:val="0091231E"/>
    <w:rsid w:val="00912F50"/>
    <w:rsid w:val="0091410C"/>
    <w:rsid w:val="00915595"/>
    <w:rsid w:val="00916196"/>
    <w:rsid w:val="009170F9"/>
    <w:rsid w:val="00923095"/>
    <w:rsid w:val="00925390"/>
    <w:rsid w:val="00927B22"/>
    <w:rsid w:val="00932FC3"/>
    <w:rsid w:val="009366F2"/>
    <w:rsid w:val="00936809"/>
    <w:rsid w:val="009409CC"/>
    <w:rsid w:val="00942210"/>
    <w:rsid w:val="00943509"/>
    <w:rsid w:val="00943CFE"/>
    <w:rsid w:val="009445E4"/>
    <w:rsid w:val="00951778"/>
    <w:rsid w:val="00953F91"/>
    <w:rsid w:val="00954D12"/>
    <w:rsid w:val="00955950"/>
    <w:rsid w:val="00955BCB"/>
    <w:rsid w:val="009577D9"/>
    <w:rsid w:val="00957F43"/>
    <w:rsid w:val="0096050A"/>
    <w:rsid w:val="00960D2C"/>
    <w:rsid w:val="009618D6"/>
    <w:rsid w:val="0096267C"/>
    <w:rsid w:val="00964A08"/>
    <w:rsid w:val="00970416"/>
    <w:rsid w:val="00971373"/>
    <w:rsid w:val="009714C4"/>
    <w:rsid w:val="009736B2"/>
    <w:rsid w:val="009739A1"/>
    <w:rsid w:val="00973AB4"/>
    <w:rsid w:val="00974AC8"/>
    <w:rsid w:val="00975785"/>
    <w:rsid w:val="009803B0"/>
    <w:rsid w:val="00980726"/>
    <w:rsid w:val="00980819"/>
    <w:rsid w:val="00981997"/>
    <w:rsid w:val="00982194"/>
    <w:rsid w:val="00983B3A"/>
    <w:rsid w:val="00985210"/>
    <w:rsid w:val="00987EDB"/>
    <w:rsid w:val="009921A9"/>
    <w:rsid w:val="009929FD"/>
    <w:rsid w:val="00994111"/>
    <w:rsid w:val="009A0B21"/>
    <w:rsid w:val="009A0EC2"/>
    <w:rsid w:val="009A28EA"/>
    <w:rsid w:val="009A40EB"/>
    <w:rsid w:val="009A6BFA"/>
    <w:rsid w:val="009A70B4"/>
    <w:rsid w:val="009A7243"/>
    <w:rsid w:val="009A7C0E"/>
    <w:rsid w:val="009B1683"/>
    <w:rsid w:val="009B3239"/>
    <w:rsid w:val="009B4555"/>
    <w:rsid w:val="009B4761"/>
    <w:rsid w:val="009B68B8"/>
    <w:rsid w:val="009B6A6A"/>
    <w:rsid w:val="009B75F3"/>
    <w:rsid w:val="009C1633"/>
    <w:rsid w:val="009C7CD9"/>
    <w:rsid w:val="009D062C"/>
    <w:rsid w:val="009D064C"/>
    <w:rsid w:val="009D0F6D"/>
    <w:rsid w:val="009D304E"/>
    <w:rsid w:val="009D512D"/>
    <w:rsid w:val="009D5B9C"/>
    <w:rsid w:val="009D78E9"/>
    <w:rsid w:val="009E1219"/>
    <w:rsid w:val="009E2328"/>
    <w:rsid w:val="009E58CD"/>
    <w:rsid w:val="009E79F9"/>
    <w:rsid w:val="009F2628"/>
    <w:rsid w:val="009F3A8E"/>
    <w:rsid w:val="009F3F2D"/>
    <w:rsid w:val="009F5783"/>
    <w:rsid w:val="009F5960"/>
    <w:rsid w:val="009F73C4"/>
    <w:rsid w:val="00A0213D"/>
    <w:rsid w:val="00A02811"/>
    <w:rsid w:val="00A02EB2"/>
    <w:rsid w:val="00A0397A"/>
    <w:rsid w:val="00A03AC4"/>
    <w:rsid w:val="00A053DA"/>
    <w:rsid w:val="00A05553"/>
    <w:rsid w:val="00A07EA2"/>
    <w:rsid w:val="00A106B7"/>
    <w:rsid w:val="00A10BCC"/>
    <w:rsid w:val="00A147B0"/>
    <w:rsid w:val="00A16B4E"/>
    <w:rsid w:val="00A1782B"/>
    <w:rsid w:val="00A17B4A"/>
    <w:rsid w:val="00A208A8"/>
    <w:rsid w:val="00A21B53"/>
    <w:rsid w:val="00A22508"/>
    <w:rsid w:val="00A22639"/>
    <w:rsid w:val="00A2324F"/>
    <w:rsid w:val="00A236F1"/>
    <w:rsid w:val="00A23716"/>
    <w:rsid w:val="00A23870"/>
    <w:rsid w:val="00A238AC"/>
    <w:rsid w:val="00A23ECF"/>
    <w:rsid w:val="00A2449E"/>
    <w:rsid w:val="00A30B16"/>
    <w:rsid w:val="00A31A5D"/>
    <w:rsid w:val="00A31BCF"/>
    <w:rsid w:val="00A3300C"/>
    <w:rsid w:val="00A338DA"/>
    <w:rsid w:val="00A33E57"/>
    <w:rsid w:val="00A3733B"/>
    <w:rsid w:val="00A436B9"/>
    <w:rsid w:val="00A462BA"/>
    <w:rsid w:val="00A462CF"/>
    <w:rsid w:val="00A46E18"/>
    <w:rsid w:val="00A47A01"/>
    <w:rsid w:val="00A52ACA"/>
    <w:rsid w:val="00A543B1"/>
    <w:rsid w:val="00A55C95"/>
    <w:rsid w:val="00A56F88"/>
    <w:rsid w:val="00A5765F"/>
    <w:rsid w:val="00A60AE6"/>
    <w:rsid w:val="00A60DAD"/>
    <w:rsid w:val="00A613A2"/>
    <w:rsid w:val="00A61626"/>
    <w:rsid w:val="00A67AAE"/>
    <w:rsid w:val="00A70313"/>
    <w:rsid w:val="00A71DBC"/>
    <w:rsid w:val="00A72533"/>
    <w:rsid w:val="00A73079"/>
    <w:rsid w:val="00A75EFA"/>
    <w:rsid w:val="00A762AE"/>
    <w:rsid w:val="00A76DE8"/>
    <w:rsid w:val="00A76F10"/>
    <w:rsid w:val="00A80590"/>
    <w:rsid w:val="00A864D4"/>
    <w:rsid w:val="00A87545"/>
    <w:rsid w:val="00A87AD8"/>
    <w:rsid w:val="00A90F7E"/>
    <w:rsid w:val="00A92DBC"/>
    <w:rsid w:val="00A97359"/>
    <w:rsid w:val="00A97B3D"/>
    <w:rsid w:val="00AA1EB8"/>
    <w:rsid w:val="00AA39D3"/>
    <w:rsid w:val="00AA3CC2"/>
    <w:rsid w:val="00AA528D"/>
    <w:rsid w:val="00AA5299"/>
    <w:rsid w:val="00AB2B98"/>
    <w:rsid w:val="00AB3B10"/>
    <w:rsid w:val="00AB42E0"/>
    <w:rsid w:val="00AB4B2D"/>
    <w:rsid w:val="00AB7C99"/>
    <w:rsid w:val="00AC10BB"/>
    <w:rsid w:val="00AC49A4"/>
    <w:rsid w:val="00AC4D38"/>
    <w:rsid w:val="00AC5061"/>
    <w:rsid w:val="00AC6235"/>
    <w:rsid w:val="00AC6DF4"/>
    <w:rsid w:val="00AC6F6B"/>
    <w:rsid w:val="00AC710A"/>
    <w:rsid w:val="00AC7760"/>
    <w:rsid w:val="00AC7CB2"/>
    <w:rsid w:val="00AD072B"/>
    <w:rsid w:val="00AD2D48"/>
    <w:rsid w:val="00AD4B86"/>
    <w:rsid w:val="00AD6791"/>
    <w:rsid w:val="00AE0E08"/>
    <w:rsid w:val="00AE2A2D"/>
    <w:rsid w:val="00AE4301"/>
    <w:rsid w:val="00AE5940"/>
    <w:rsid w:val="00AE647C"/>
    <w:rsid w:val="00AE6922"/>
    <w:rsid w:val="00AE73AD"/>
    <w:rsid w:val="00AE7BC9"/>
    <w:rsid w:val="00AF0FB5"/>
    <w:rsid w:val="00AF10DB"/>
    <w:rsid w:val="00AF1F63"/>
    <w:rsid w:val="00AF31E9"/>
    <w:rsid w:val="00AF437F"/>
    <w:rsid w:val="00AF4E8B"/>
    <w:rsid w:val="00B00D6C"/>
    <w:rsid w:val="00B00E1C"/>
    <w:rsid w:val="00B0498B"/>
    <w:rsid w:val="00B04F49"/>
    <w:rsid w:val="00B04FC0"/>
    <w:rsid w:val="00B06A94"/>
    <w:rsid w:val="00B07324"/>
    <w:rsid w:val="00B07B85"/>
    <w:rsid w:val="00B11321"/>
    <w:rsid w:val="00B13B0E"/>
    <w:rsid w:val="00B1656B"/>
    <w:rsid w:val="00B17B9D"/>
    <w:rsid w:val="00B20E04"/>
    <w:rsid w:val="00B2708C"/>
    <w:rsid w:val="00B27248"/>
    <w:rsid w:val="00B3180C"/>
    <w:rsid w:val="00B32348"/>
    <w:rsid w:val="00B339D5"/>
    <w:rsid w:val="00B40ED4"/>
    <w:rsid w:val="00B428FF"/>
    <w:rsid w:val="00B43D01"/>
    <w:rsid w:val="00B45085"/>
    <w:rsid w:val="00B456E4"/>
    <w:rsid w:val="00B47DA2"/>
    <w:rsid w:val="00B578E2"/>
    <w:rsid w:val="00B57A2B"/>
    <w:rsid w:val="00B57E2D"/>
    <w:rsid w:val="00B615AD"/>
    <w:rsid w:val="00B61A83"/>
    <w:rsid w:val="00B626F0"/>
    <w:rsid w:val="00B70265"/>
    <w:rsid w:val="00B70895"/>
    <w:rsid w:val="00B743D2"/>
    <w:rsid w:val="00B75933"/>
    <w:rsid w:val="00B75DE1"/>
    <w:rsid w:val="00B766C0"/>
    <w:rsid w:val="00B812CF"/>
    <w:rsid w:val="00B83698"/>
    <w:rsid w:val="00B83741"/>
    <w:rsid w:val="00B84001"/>
    <w:rsid w:val="00B90E96"/>
    <w:rsid w:val="00B910EB"/>
    <w:rsid w:val="00B91CA1"/>
    <w:rsid w:val="00B93940"/>
    <w:rsid w:val="00B94662"/>
    <w:rsid w:val="00B94A7C"/>
    <w:rsid w:val="00B96ED3"/>
    <w:rsid w:val="00BA0DEA"/>
    <w:rsid w:val="00BA3629"/>
    <w:rsid w:val="00BB188B"/>
    <w:rsid w:val="00BB31A6"/>
    <w:rsid w:val="00BB3DBF"/>
    <w:rsid w:val="00BB6CE6"/>
    <w:rsid w:val="00BC0310"/>
    <w:rsid w:val="00BC0549"/>
    <w:rsid w:val="00BC1632"/>
    <w:rsid w:val="00BC2BA1"/>
    <w:rsid w:val="00BC2C51"/>
    <w:rsid w:val="00BC4728"/>
    <w:rsid w:val="00BC59BE"/>
    <w:rsid w:val="00BC7F5F"/>
    <w:rsid w:val="00BD42DE"/>
    <w:rsid w:val="00BD52AB"/>
    <w:rsid w:val="00BD7E01"/>
    <w:rsid w:val="00BE06A1"/>
    <w:rsid w:val="00BE097F"/>
    <w:rsid w:val="00BE31DE"/>
    <w:rsid w:val="00BE3929"/>
    <w:rsid w:val="00BE4EE0"/>
    <w:rsid w:val="00BE5EB4"/>
    <w:rsid w:val="00BE6628"/>
    <w:rsid w:val="00BE6DBB"/>
    <w:rsid w:val="00BF0843"/>
    <w:rsid w:val="00BF1E5E"/>
    <w:rsid w:val="00BF3D38"/>
    <w:rsid w:val="00BF407A"/>
    <w:rsid w:val="00BF4EC1"/>
    <w:rsid w:val="00BF6E0A"/>
    <w:rsid w:val="00C01423"/>
    <w:rsid w:val="00C01E18"/>
    <w:rsid w:val="00C02346"/>
    <w:rsid w:val="00C02812"/>
    <w:rsid w:val="00C031C2"/>
    <w:rsid w:val="00C03A6D"/>
    <w:rsid w:val="00C04978"/>
    <w:rsid w:val="00C063F4"/>
    <w:rsid w:val="00C10DAD"/>
    <w:rsid w:val="00C12FFA"/>
    <w:rsid w:val="00C15B3C"/>
    <w:rsid w:val="00C16E7C"/>
    <w:rsid w:val="00C221E3"/>
    <w:rsid w:val="00C23339"/>
    <w:rsid w:val="00C23351"/>
    <w:rsid w:val="00C259FD"/>
    <w:rsid w:val="00C262EA"/>
    <w:rsid w:val="00C27B46"/>
    <w:rsid w:val="00C31D52"/>
    <w:rsid w:val="00C32391"/>
    <w:rsid w:val="00C3258B"/>
    <w:rsid w:val="00C35194"/>
    <w:rsid w:val="00C351A0"/>
    <w:rsid w:val="00C3589D"/>
    <w:rsid w:val="00C3711B"/>
    <w:rsid w:val="00C40299"/>
    <w:rsid w:val="00C40A2E"/>
    <w:rsid w:val="00C45BF2"/>
    <w:rsid w:val="00C53EBF"/>
    <w:rsid w:val="00C54A89"/>
    <w:rsid w:val="00C61D47"/>
    <w:rsid w:val="00C63AC2"/>
    <w:rsid w:val="00C63BE0"/>
    <w:rsid w:val="00C65115"/>
    <w:rsid w:val="00C65878"/>
    <w:rsid w:val="00C71067"/>
    <w:rsid w:val="00C746F8"/>
    <w:rsid w:val="00C749D5"/>
    <w:rsid w:val="00C74C23"/>
    <w:rsid w:val="00C77CF6"/>
    <w:rsid w:val="00C80843"/>
    <w:rsid w:val="00C80CDE"/>
    <w:rsid w:val="00C81765"/>
    <w:rsid w:val="00C8344B"/>
    <w:rsid w:val="00C8405B"/>
    <w:rsid w:val="00C84BDE"/>
    <w:rsid w:val="00C87950"/>
    <w:rsid w:val="00C912C4"/>
    <w:rsid w:val="00C93E18"/>
    <w:rsid w:val="00C97542"/>
    <w:rsid w:val="00C9799E"/>
    <w:rsid w:val="00CA00E7"/>
    <w:rsid w:val="00CA0B7B"/>
    <w:rsid w:val="00CA31C9"/>
    <w:rsid w:val="00CA3964"/>
    <w:rsid w:val="00CA53A4"/>
    <w:rsid w:val="00CA7A12"/>
    <w:rsid w:val="00CB3D6D"/>
    <w:rsid w:val="00CB5576"/>
    <w:rsid w:val="00CB7916"/>
    <w:rsid w:val="00CC5A35"/>
    <w:rsid w:val="00CC7F97"/>
    <w:rsid w:val="00CD3B6C"/>
    <w:rsid w:val="00CD4AAB"/>
    <w:rsid w:val="00CD677B"/>
    <w:rsid w:val="00CD6C81"/>
    <w:rsid w:val="00CD7530"/>
    <w:rsid w:val="00CD779A"/>
    <w:rsid w:val="00CE031F"/>
    <w:rsid w:val="00CE2A9B"/>
    <w:rsid w:val="00CE3299"/>
    <w:rsid w:val="00CE34EA"/>
    <w:rsid w:val="00CE7990"/>
    <w:rsid w:val="00CF1126"/>
    <w:rsid w:val="00CF1FAC"/>
    <w:rsid w:val="00CF2A3B"/>
    <w:rsid w:val="00CF2BE7"/>
    <w:rsid w:val="00CF3E14"/>
    <w:rsid w:val="00CF4688"/>
    <w:rsid w:val="00CF6D0B"/>
    <w:rsid w:val="00D021FD"/>
    <w:rsid w:val="00D02748"/>
    <w:rsid w:val="00D02F5B"/>
    <w:rsid w:val="00D03B8C"/>
    <w:rsid w:val="00D10388"/>
    <w:rsid w:val="00D1040C"/>
    <w:rsid w:val="00D11578"/>
    <w:rsid w:val="00D127F4"/>
    <w:rsid w:val="00D16B1C"/>
    <w:rsid w:val="00D17593"/>
    <w:rsid w:val="00D22837"/>
    <w:rsid w:val="00D2434D"/>
    <w:rsid w:val="00D25184"/>
    <w:rsid w:val="00D26385"/>
    <w:rsid w:val="00D308FC"/>
    <w:rsid w:val="00D33A6E"/>
    <w:rsid w:val="00D34437"/>
    <w:rsid w:val="00D344C3"/>
    <w:rsid w:val="00D34AE9"/>
    <w:rsid w:val="00D34BFB"/>
    <w:rsid w:val="00D35BCF"/>
    <w:rsid w:val="00D3714F"/>
    <w:rsid w:val="00D3778A"/>
    <w:rsid w:val="00D410AB"/>
    <w:rsid w:val="00D46487"/>
    <w:rsid w:val="00D474DD"/>
    <w:rsid w:val="00D47ED0"/>
    <w:rsid w:val="00D512F1"/>
    <w:rsid w:val="00D52ACD"/>
    <w:rsid w:val="00D53CB2"/>
    <w:rsid w:val="00D544EE"/>
    <w:rsid w:val="00D5565C"/>
    <w:rsid w:val="00D63B6E"/>
    <w:rsid w:val="00D64F46"/>
    <w:rsid w:val="00D72C7F"/>
    <w:rsid w:val="00D732E9"/>
    <w:rsid w:val="00D74EBD"/>
    <w:rsid w:val="00D76A60"/>
    <w:rsid w:val="00D773C9"/>
    <w:rsid w:val="00D80916"/>
    <w:rsid w:val="00D83C8A"/>
    <w:rsid w:val="00D85A79"/>
    <w:rsid w:val="00D874C7"/>
    <w:rsid w:val="00D905FD"/>
    <w:rsid w:val="00D92031"/>
    <w:rsid w:val="00D93740"/>
    <w:rsid w:val="00D944C5"/>
    <w:rsid w:val="00D94BE7"/>
    <w:rsid w:val="00D94FEB"/>
    <w:rsid w:val="00DA14D6"/>
    <w:rsid w:val="00DA3BE7"/>
    <w:rsid w:val="00DA40AA"/>
    <w:rsid w:val="00DA51A0"/>
    <w:rsid w:val="00DA5FA5"/>
    <w:rsid w:val="00DA776C"/>
    <w:rsid w:val="00DB1280"/>
    <w:rsid w:val="00DB23F1"/>
    <w:rsid w:val="00DB42C0"/>
    <w:rsid w:val="00DB4738"/>
    <w:rsid w:val="00DB4B4F"/>
    <w:rsid w:val="00DB5077"/>
    <w:rsid w:val="00DC140E"/>
    <w:rsid w:val="00DC3284"/>
    <w:rsid w:val="00DC41A3"/>
    <w:rsid w:val="00DC4C2D"/>
    <w:rsid w:val="00DC4C4F"/>
    <w:rsid w:val="00DC5154"/>
    <w:rsid w:val="00DC5FB6"/>
    <w:rsid w:val="00DC6E94"/>
    <w:rsid w:val="00DD002D"/>
    <w:rsid w:val="00DD1222"/>
    <w:rsid w:val="00DD1C7A"/>
    <w:rsid w:val="00DD1F66"/>
    <w:rsid w:val="00DD26A1"/>
    <w:rsid w:val="00DD3843"/>
    <w:rsid w:val="00DD3859"/>
    <w:rsid w:val="00DD5941"/>
    <w:rsid w:val="00DD6355"/>
    <w:rsid w:val="00DE0D64"/>
    <w:rsid w:val="00DE173C"/>
    <w:rsid w:val="00DE1778"/>
    <w:rsid w:val="00DE212B"/>
    <w:rsid w:val="00DE2CC8"/>
    <w:rsid w:val="00DE2DFA"/>
    <w:rsid w:val="00DE41A7"/>
    <w:rsid w:val="00DE488C"/>
    <w:rsid w:val="00DE5919"/>
    <w:rsid w:val="00DE6343"/>
    <w:rsid w:val="00DE6D2B"/>
    <w:rsid w:val="00DE734A"/>
    <w:rsid w:val="00DF1FB6"/>
    <w:rsid w:val="00DF2E84"/>
    <w:rsid w:val="00DF4E68"/>
    <w:rsid w:val="00DF79FF"/>
    <w:rsid w:val="00E019D1"/>
    <w:rsid w:val="00E01D7E"/>
    <w:rsid w:val="00E03F75"/>
    <w:rsid w:val="00E049D2"/>
    <w:rsid w:val="00E05168"/>
    <w:rsid w:val="00E0574E"/>
    <w:rsid w:val="00E10AC7"/>
    <w:rsid w:val="00E134A9"/>
    <w:rsid w:val="00E14B3C"/>
    <w:rsid w:val="00E14C44"/>
    <w:rsid w:val="00E17627"/>
    <w:rsid w:val="00E17DA2"/>
    <w:rsid w:val="00E20921"/>
    <w:rsid w:val="00E21891"/>
    <w:rsid w:val="00E21F3F"/>
    <w:rsid w:val="00E25317"/>
    <w:rsid w:val="00E260A2"/>
    <w:rsid w:val="00E27CC7"/>
    <w:rsid w:val="00E302AC"/>
    <w:rsid w:val="00E30FCE"/>
    <w:rsid w:val="00E3188E"/>
    <w:rsid w:val="00E31E8E"/>
    <w:rsid w:val="00E344F5"/>
    <w:rsid w:val="00E345C7"/>
    <w:rsid w:val="00E37A0C"/>
    <w:rsid w:val="00E40267"/>
    <w:rsid w:val="00E40ADB"/>
    <w:rsid w:val="00E40B5D"/>
    <w:rsid w:val="00E41FA3"/>
    <w:rsid w:val="00E42845"/>
    <w:rsid w:val="00E507B6"/>
    <w:rsid w:val="00E5282E"/>
    <w:rsid w:val="00E55E23"/>
    <w:rsid w:val="00E56154"/>
    <w:rsid w:val="00E57C51"/>
    <w:rsid w:val="00E613CC"/>
    <w:rsid w:val="00E62C14"/>
    <w:rsid w:val="00E63E92"/>
    <w:rsid w:val="00E654E5"/>
    <w:rsid w:val="00E66C74"/>
    <w:rsid w:val="00E70B69"/>
    <w:rsid w:val="00E71F7F"/>
    <w:rsid w:val="00E7461C"/>
    <w:rsid w:val="00E759B1"/>
    <w:rsid w:val="00E762C1"/>
    <w:rsid w:val="00E8076D"/>
    <w:rsid w:val="00E8097A"/>
    <w:rsid w:val="00E822CF"/>
    <w:rsid w:val="00E83272"/>
    <w:rsid w:val="00E838FC"/>
    <w:rsid w:val="00E84F40"/>
    <w:rsid w:val="00E8555D"/>
    <w:rsid w:val="00E86F8C"/>
    <w:rsid w:val="00E87AEB"/>
    <w:rsid w:val="00E905A4"/>
    <w:rsid w:val="00E937B4"/>
    <w:rsid w:val="00E94AB5"/>
    <w:rsid w:val="00E95B1F"/>
    <w:rsid w:val="00E95CA8"/>
    <w:rsid w:val="00E95D3A"/>
    <w:rsid w:val="00E97020"/>
    <w:rsid w:val="00EA1E94"/>
    <w:rsid w:val="00EA1EAA"/>
    <w:rsid w:val="00EA1F82"/>
    <w:rsid w:val="00EA2819"/>
    <w:rsid w:val="00EA2E04"/>
    <w:rsid w:val="00EA379B"/>
    <w:rsid w:val="00EA454D"/>
    <w:rsid w:val="00EA4CF0"/>
    <w:rsid w:val="00EA5C4C"/>
    <w:rsid w:val="00EA66D9"/>
    <w:rsid w:val="00EB3090"/>
    <w:rsid w:val="00EB53CB"/>
    <w:rsid w:val="00EB6BF0"/>
    <w:rsid w:val="00EC2AC8"/>
    <w:rsid w:val="00EC40DB"/>
    <w:rsid w:val="00EC42A7"/>
    <w:rsid w:val="00EC4688"/>
    <w:rsid w:val="00EC5F54"/>
    <w:rsid w:val="00ED0B93"/>
    <w:rsid w:val="00ED1DDE"/>
    <w:rsid w:val="00ED2BF7"/>
    <w:rsid w:val="00ED4D85"/>
    <w:rsid w:val="00ED64FF"/>
    <w:rsid w:val="00ED7AA3"/>
    <w:rsid w:val="00EE01EC"/>
    <w:rsid w:val="00EE0B50"/>
    <w:rsid w:val="00EE1471"/>
    <w:rsid w:val="00EE22BF"/>
    <w:rsid w:val="00EE3CBF"/>
    <w:rsid w:val="00EE4109"/>
    <w:rsid w:val="00EE5C97"/>
    <w:rsid w:val="00EE7C91"/>
    <w:rsid w:val="00EF3D33"/>
    <w:rsid w:val="00EF42F6"/>
    <w:rsid w:val="00F012DE"/>
    <w:rsid w:val="00F050F7"/>
    <w:rsid w:val="00F0651A"/>
    <w:rsid w:val="00F072CF"/>
    <w:rsid w:val="00F118E9"/>
    <w:rsid w:val="00F12A10"/>
    <w:rsid w:val="00F135F8"/>
    <w:rsid w:val="00F13BDE"/>
    <w:rsid w:val="00F13E66"/>
    <w:rsid w:val="00F145DA"/>
    <w:rsid w:val="00F20878"/>
    <w:rsid w:val="00F21D8C"/>
    <w:rsid w:val="00F23435"/>
    <w:rsid w:val="00F2520C"/>
    <w:rsid w:val="00F25808"/>
    <w:rsid w:val="00F32373"/>
    <w:rsid w:val="00F3321C"/>
    <w:rsid w:val="00F3480A"/>
    <w:rsid w:val="00F36023"/>
    <w:rsid w:val="00F370A3"/>
    <w:rsid w:val="00F44648"/>
    <w:rsid w:val="00F459FC"/>
    <w:rsid w:val="00F51353"/>
    <w:rsid w:val="00F515EB"/>
    <w:rsid w:val="00F53E7C"/>
    <w:rsid w:val="00F5717B"/>
    <w:rsid w:val="00F57808"/>
    <w:rsid w:val="00F6089C"/>
    <w:rsid w:val="00F61307"/>
    <w:rsid w:val="00F62827"/>
    <w:rsid w:val="00F634AD"/>
    <w:rsid w:val="00F7342A"/>
    <w:rsid w:val="00F7584A"/>
    <w:rsid w:val="00F7604B"/>
    <w:rsid w:val="00F77C3B"/>
    <w:rsid w:val="00F80352"/>
    <w:rsid w:val="00F8110E"/>
    <w:rsid w:val="00F81DF0"/>
    <w:rsid w:val="00F831A1"/>
    <w:rsid w:val="00F853DF"/>
    <w:rsid w:val="00F85D53"/>
    <w:rsid w:val="00F91BD7"/>
    <w:rsid w:val="00F91D91"/>
    <w:rsid w:val="00F92D28"/>
    <w:rsid w:val="00F9346A"/>
    <w:rsid w:val="00F93B4E"/>
    <w:rsid w:val="00F95823"/>
    <w:rsid w:val="00F96CA4"/>
    <w:rsid w:val="00F97A6F"/>
    <w:rsid w:val="00FA1519"/>
    <w:rsid w:val="00FA36AD"/>
    <w:rsid w:val="00FA48E6"/>
    <w:rsid w:val="00FA4A68"/>
    <w:rsid w:val="00FA5312"/>
    <w:rsid w:val="00FB4435"/>
    <w:rsid w:val="00FB5F99"/>
    <w:rsid w:val="00FB6201"/>
    <w:rsid w:val="00FB7B9A"/>
    <w:rsid w:val="00FC07BB"/>
    <w:rsid w:val="00FC201A"/>
    <w:rsid w:val="00FC20BD"/>
    <w:rsid w:val="00FC20E0"/>
    <w:rsid w:val="00FC2950"/>
    <w:rsid w:val="00FC4EF6"/>
    <w:rsid w:val="00FC51D2"/>
    <w:rsid w:val="00FC6421"/>
    <w:rsid w:val="00FC7AA6"/>
    <w:rsid w:val="00FD4AE1"/>
    <w:rsid w:val="00FD6CD3"/>
    <w:rsid w:val="00FD727F"/>
    <w:rsid w:val="00FE0ECE"/>
    <w:rsid w:val="00FE1FAE"/>
    <w:rsid w:val="00FE399C"/>
    <w:rsid w:val="00FE691E"/>
    <w:rsid w:val="00FF165F"/>
    <w:rsid w:val="00FF4F74"/>
    <w:rsid w:val="00FF67E8"/>
    <w:rsid w:val="00FF6AAD"/>
    <w:rsid w:val="14B7B4AE"/>
    <w:rsid w:val="75D5F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D1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aliases w:val="Heading 2 Char"/>
    <w:basedOn w:val="Normal"/>
    <w:next w:val="ParaNum"/>
    <w:autoRedefine/>
    <w:qFormat/>
    <w:rsid w:val="00BB31A6"/>
    <w:pPr>
      <w:keepNext/>
      <w:numPr>
        <w:ilvl w:val="1"/>
        <w:numId w:val="2"/>
      </w:numPr>
      <w:spacing w:after="120"/>
      <w:outlineLvl w:val="1"/>
    </w:pPr>
    <w:rPr>
      <w:b/>
    </w:rPr>
  </w:style>
  <w:style w:type="paragraph" w:styleId="Heading3">
    <w:name w:val="heading 3"/>
    <w:basedOn w:val="Normal"/>
    <w:next w:val="ParaNum"/>
    <w:link w:val="Heading3Char"/>
    <w:qFormat/>
    <w:pPr>
      <w:keepNext/>
      <w:numPr>
        <w:ilvl w:val="2"/>
        <w:numId w:val="2"/>
      </w:numPr>
      <w:spacing w:after="120"/>
      <w:outlineLvl w:val="2"/>
    </w:pPr>
    <w:rPr>
      <w:b/>
    </w:rPr>
  </w:style>
  <w:style w:type="paragraph" w:styleId="Heading4">
    <w:name w:val="heading 4"/>
    <w:basedOn w:val="Normal"/>
    <w:next w:val="ParaNum"/>
    <w:qFormat/>
    <w:pPr>
      <w:keepNext/>
      <w:numPr>
        <w:ilvl w:val="3"/>
        <w:numId w:val="2"/>
      </w:numPr>
      <w:spacing w:after="120"/>
      <w:outlineLvl w:val="3"/>
    </w:pPr>
    <w:rPr>
      <w:b/>
    </w:rPr>
  </w:style>
  <w:style w:type="paragraph" w:styleId="Heading5">
    <w:name w:val="heading 5"/>
    <w:basedOn w:val="Normal"/>
    <w:next w:val="ParaNum"/>
    <w:qFormat/>
    <w:pPr>
      <w:keepNext/>
      <w:numPr>
        <w:ilvl w:val="4"/>
        <w:numId w:val="2"/>
      </w:numPr>
      <w:suppressAutoHyphens/>
      <w:spacing w:after="120"/>
      <w:outlineLvl w:val="4"/>
    </w:pPr>
    <w:rPr>
      <w:b/>
    </w:rPr>
  </w:style>
  <w:style w:type="paragraph" w:styleId="Heading6">
    <w:name w:val="heading 6"/>
    <w:basedOn w:val="Normal"/>
    <w:next w:val="ParaNum"/>
    <w:qFormat/>
    <w:pPr>
      <w:numPr>
        <w:ilvl w:val="5"/>
        <w:numId w:val="2"/>
      </w:numPr>
      <w:spacing w:after="120"/>
      <w:outlineLvl w:val="5"/>
    </w:pPr>
    <w:rPr>
      <w:b/>
    </w:rPr>
  </w:style>
  <w:style w:type="paragraph" w:styleId="Heading7">
    <w:name w:val="heading 7"/>
    <w:basedOn w:val="Normal"/>
    <w:next w:val="ParaNum"/>
    <w:qFormat/>
    <w:pPr>
      <w:numPr>
        <w:ilvl w:val="6"/>
        <w:numId w:val="2"/>
      </w:numPr>
      <w:spacing w:after="120"/>
      <w:outlineLvl w:val="6"/>
    </w:pPr>
    <w:rPr>
      <w:b/>
    </w:rPr>
  </w:style>
  <w:style w:type="paragraph" w:styleId="Heading8">
    <w:name w:val="heading 8"/>
    <w:basedOn w:val="Normal"/>
    <w:next w:val="ParaNum"/>
    <w:qFormat/>
    <w:pPr>
      <w:numPr>
        <w:ilvl w:val="7"/>
        <w:numId w:val="2"/>
      </w:numPr>
      <w:tabs>
        <w:tab w:val="left" w:pos="5760"/>
      </w:tabs>
      <w:spacing w:after="120"/>
      <w:outlineLvl w:val="7"/>
    </w:pPr>
    <w:rPr>
      <w:b/>
    </w:rPr>
  </w:style>
  <w:style w:type="paragraph" w:styleId="Heading9">
    <w:name w:val="heading 9"/>
    <w:basedOn w:val="Normal"/>
    <w:next w:val="ParaNum"/>
    <w:qFormat/>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120"/>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widowControl/>
      <w:spacing w:after="120"/>
    </w:pPr>
    <w:rPr>
      <w:kern w:val="0"/>
      <w:sz w:val="20"/>
    </w:rPr>
  </w:style>
  <w:style w:type="character" w:styleId="FootnoteReference">
    <w:name w:val="footnote reference"/>
    <w:aliases w:val="Style 12,(NECG) Footnote Reference,Style 13,Appel note de bas de p,Style 124,fr,o,Style 3,FR,Style 6,Style 17,Footnote Reference/,Style 7,Footnote Reference1"/>
    <w:rPr>
      <w:rFonts w:ascii="Times New Roman" w:hAnsi="Times New Roman" w:cs="Times New Roman"/>
      <w:color w:val="auto"/>
      <w:sz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autoRedefine/>
    <w:rsid w:val="00DC6E94"/>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rFonts w:cs="Times New Roman"/>
      <w:color w:val="0000FF"/>
      <w:u w:val="single"/>
    </w:rPr>
  </w:style>
  <w:style w:type="character" w:customStyle="1" w:styleId="Heading1Char">
    <w:name w:val="Heading 1 Char"/>
    <w:link w:val="Heading1"/>
    <w:locked/>
    <w:rPr>
      <w:rFonts w:ascii="Times New Roman Bold" w:hAnsi="Times New Roman Bold"/>
      <w:b/>
      <w:caps/>
      <w:kern w:val="28"/>
      <w:sz w:val="22"/>
      <w:lang w:val="en-US" w:eastAsia="en-US" w:bidi="ar-SA"/>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Pr>
      <w:lang w:val="en-US" w:eastAsia="en-US" w:bidi="ar-SA"/>
    </w:rPr>
  </w:style>
  <w:style w:type="character" w:customStyle="1" w:styleId="StyleNumberedparagraphs11ptChar">
    <w:name w:val="Style Numbered paragraphs + 11 pt Char"/>
    <w:rPr>
      <w:rFonts w:cs="Times New Roman"/>
      <w:sz w:val="22"/>
      <w:lang w:val="en-US" w:eastAsia="en-US" w:bidi="ar-SA"/>
    </w:rPr>
  </w:style>
  <w:style w:type="character" w:customStyle="1" w:styleId="ParaNumChar">
    <w:name w:val="ParaNum Char"/>
    <w:link w:val="ParaNum"/>
    <w:locked/>
    <w:rPr>
      <w:kern w:val="28"/>
      <w:sz w:val="22"/>
      <w:lang w:val="en-US" w:eastAsia="en-US" w:bidi="ar-SA"/>
    </w:rPr>
  </w:style>
  <w:style w:type="character" w:customStyle="1" w:styleId="documentbody">
    <w:name w:val="documentbody"/>
    <w:rPr>
      <w:rFonts w:cs="Times New Roman"/>
    </w:rPr>
  </w:style>
  <w:style w:type="character" w:customStyle="1" w:styleId="searchterm">
    <w:name w:val="searchterm"/>
    <w:rPr>
      <w:rFonts w:cs="Times New Roman"/>
    </w:rPr>
  </w:style>
  <w:style w:type="character" w:customStyle="1" w:styleId="italics1">
    <w:name w:val="italics1"/>
    <w:rPr>
      <w:rFonts w:cs="Times New Roman"/>
      <w:i/>
      <w:iCs/>
    </w:rPr>
  </w:style>
  <w:style w:type="character" w:styleId="Emphasis">
    <w:name w:val="Emphasis"/>
    <w:qFormat/>
    <w:rPr>
      <w:rFonts w:cs="Times New Roman"/>
      <w:i/>
      <w:iCs/>
    </w:rPr>
  </w:style>
  <w:style w:type="character" w:customStyle="1" w:styleId="A3">
    <w:name w:val="A3"/>
    <w:rPr>
      <w:rFonts w:cs="Garamond LightCondensed"/>
      <w:color w:val="000000"/>
      <w:sz w:val="64"/>
      <w:szCs w:val="64"/>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Pr>
      <w:kern w:val="28"/>
      <w:sz w:val="22"/>
    </w:rPr>
  </w:style>
  <w:style w:type="character" w:customStyle="1" w:styleId="Heading3Char">
    <w:name w:val="Heading 3 Char"/>
    <w:link w:val="Heading3"/>
    <w:rPr>
      <w:b/>
      <w:kern w:val="28"/>
      <w:sz w:val="22"/>
      <w:lang w:val="en-US" w:eastAsia="en-US" w:bidi="ar-SA"/>
    </w:rPr>
  </w:style>
  <w:style w:type="paragraph" w:customStyle="1" w:styleId="FirstPageHeader">
    <w:name w:val="First Page Header"/>
    <w:basedOn w:val="Normal"/>
    <w:pPr>
      <w:tabs>
        <w:tab w:val="center" w:pos="4320"/>
        <w:tab w:val="right" w:pos="8640"/>
      </w:tabs>
    </w:pPr>
    <w:rPr>
      <w:b/>
    </w:rPr>
  </w:style>
  <w:style w:type="paragraph" w:customStyle="1" w:styleId="Titleinfo">
    <w:name w:val="Title info"/>
    <w:basedOn w:val="Header"/>
  </w:style>
  <w:style w:type="character" w:customStyle="1" w:styleId="fChar">
    <w:name w:val="f Char"/>
    <w:semiHidden/>
    <w:locked/>
    <w:rPr>
      <w:rFonts w:cs="Times New Roman"/>
      <w:lang w:val="en-US" w:eastAsia="en-US" w:bidi="ar-SA"/>
    </w:rPr>
  </w:style>
  <w:style w:type="character" w:customStyle="1" w:styleId="documentbody1">
    <w:name w:val="documentbody1"/>
    <w:rPr>
      <w:rFonts w:ascii="Verdana" w:hAnsi="Verdana" w:cs="Times New Roman"/>
      <w:sz w:val="19"/>
      <w:szCs w:val="19"/>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970416"/>
    <w:rPr>
      <w:kern w:val="28"/>
      <w:sz w:val="22"/>
    </w:rPr>
  </w:style>
  <w:style w:type="table" w:styleId="TableGrid">
    <w:name w:val="Table Grid"/>
    <w:basedOn w:val="TableNormal"/>
    <w:uiPriority w:val="59"/>
    <w:rsid w:val="008763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1F7F"/>
    <w:pPr>
      <w:widowControl w:val="0"/>
    </w:pPr>
    <w:rPr>
      <w:kern w:val="28"/>
      <w:sz w:val="22"/>
    </w:rPr>
  </w:style>
  <w:style w:type="table" w:customStyle="1" w:styleId="TableGrid1">
    <w:name w:val="Table Grid1"/>
    <w:basedOn w:val="TableNormal"/>
    <w:next w:val="TableGrid"/>
    <w:uiPriority w:val="59"/>
    <w:rsid w:val="00974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aliases w:val="Heading 2 Char"/>
    <w:basedOn w:val="Normal"/>
    <w:next w:val="ParaNum"/>
    <w:autoRedefine/>
    <w:qFormat/>
    <w:rsid w:val="00BB31A6"/>
    <w:pPr>
      <w:keepNext/>
      <w:numPr>
        <w:ilvl w:val="1"/>
        <w:numId w:val="2"/>
      </w:numPr>
      <w:spacing w:after="120"/>
      <w:outlineLvl w:val="1"/>
    </w:pPr>
    <w:rPr>
      <w:b/>
    </w:rPr>
  </w:style>
  <w:style w:type="paragraph" w:styleId="Heading3">
    <w:name w:val="heading 3"/>
    <w:basedOn w:val="Normal"/>
    <w:next w:val="ParaNum"/>
    <w:link w:val="Heading3Char"/>
    <w:qFormat/>
    <w:pPr>
      <w:keepNext/>
      <w:numPr>
        <w:ilvl w:val="2"/>
        <w:numId w:val="2"/>
      </w:numPr>
      <w:spacing w:after="120"/>
      <w:outlineLvl w:val="2"/>
    </w:pPr>
    <w:rPr>
      <w:b/>
    </w:rPr>
  </w:style>
  <w:style w:type="paragraph" w:styleId="Heading4">
    <w:name w:val="heading 4"/>
    <w:basedOn w:val="Normal"/>
    <w:next w:val="ParaNum"/>
    <w:qFormat/>
    <w:pPr>
      <w:keepNext/>
      <w:numPr>
        <w:ilvl w:val="3"/>
        <w:numId w:val="2"/>
      </w:numPr>
      <w:spacing w:after="120"/>
      <w:outlineLvl w:val="3"/>
    </w:pPr>
    <w:rPr>
      <w:b/>
    </w:rPr>
  </w:style>
  <w:style w:type="paragraph" w:styleId="Heading5">
    <w:name w:val="heading 5"/>
    <w:basedOn w:val="Normal"/>
    <w:next w:val="ParaNum"/>
    <w:qFormat/>
    <w:pPr>
      <w:keepNext/>
      <w:numPr>
        <w:ilvl w:val="4"/>
        <w:numId w:val="2"/>
      </w:numPr>
      <w:suppressAutoHyphens/>
      <w:spacing w:after="120"/>
      <w:outlineLvl w:val="4"/>
    </w:pPr>
    <w:rPr>
      <w:b/>
    </w:rPr>
  </w:style>
  <w:style w:type="paragraph" w:styleId="Heading6">
    <w:name w:val="heading 6"/>
    <w:basedOn w:val="Normal"/>
    <w:next w:val="ParaNum"/>
    <w:qFormat/>
    <w:pPr>
      <w:numPr>
        <w:ilvl w:val="5"/>
        <w:numId w:val="2"/>
      </w:numPr>
      <w:spacing w:after="120"/>
      <w:outlineLvl w:val="5"/>
    </w:pPr>
    <w:rPr>
      <w:b/>
    </w:rPr>
  </w:style>
  <w:style w:type="paragraph" w:styleId="Heading7">
    <w:name w:val="heading 7"/>
    <w:basedOn w:val="Normal"/>
    <w:next w:val="ParaNum"/>
    <w:qFormat/>
    <w:pPr>
      <w:numPr>
        <w:ilvl w:val="6"/>
        <w:numId w:val="2"/>
      </w:numPr>
      <w:spacing w:after="120"/>
      <w:outlineLvl w:val="6"/>
    </w:pPr>
    <w:rPr>
      <w:b/>
    </w:rPr>
  </w:style>
  <w:style w:type="paragraph" w:styleId="Heading8">
    <w:name w:val="heading 8"/>
    <w:basedOn w:val="Normal"/>
    <w:next w:val="ParaNum"/>
    <w:qFormat/>
    <w:pPr>
      <w:numPr>
        <w:ilvl w:val="7"/>
        <w:numId w:val="2"/>
      </w:numPr>
      <w:tabs>
        <w:tab w:val="left" w:pos="5760"/>
      </w:tabs>
      <w:spacing w:after="120"/>
      <w:outlineLvl w:val="7"/>
    </w:pPr>
    <w:rPr>
      <w:b/>
    </w:rPr>
  </w:style>
  <w:style w:type="paragraph" w:styleId="Heading9">
    <w:name w:val="heading 9"/>
    <w:basedOn w:val="Normal"/>
    <w:next w:val="ParaNum"/>
    <w:qFormat/>
    <w:pPr>
      <w:numPr>
        <w:ilvl w:val="8"/>
        <w:numId w:val="2"/>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120"/>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widowControl/>
      <w:spacing w:after="120"/>
    </w:pPr>
    <w:rPr>
      <w:kern w:val="0"/>
      <w:sz w:val="20"/>
    </w:rPr>
  </w:style>
  <w:style w:type="character" w:styleId="FootnoteReference">
    <w:name w:val="footnote reference"/>
    <w:aliases w:val="Style 12,(NECG) Footnote Reference,Style 13,Appel note de bas de p,Style 124,fr,o,Style 3,FR,Style 6,Style 17,Footnote Reference/,Style 7,Footnote Reference1"/>
    <w:rPr>
      <w:rFonts w:ascii="Times New Roman" w:hAnsi="Times New Roman" w:cs="Times New Roman"/>
      <w:color w:val="auto"/>
      <w:sz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autoRedefine/>
    <w:rsid w:val="00DC6E94"/>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rFonts w:cs="Times New Roman"/>
      <w:color w:val="0000FF"/>
      <w:u w:val="single"/>
    </w:rPr>
  </w:style>
  <w:style w:type="character" w:customStyle="1" w:styleId="Heading1Char">
    <w:name w:val="Heading 1 Char"/>
    <w:link w:val="Heading1"/>
    <w:locked/>
    <w:rPr>
      <w:rFonts w:ascii="Times New Roman Bold" w:hAnsi="Times New Roman Bold"/>
      <w:b/>
      <w:caps/>
      <w:kern w:val="28"/>
      <w:sz w:val="22"/>
      <w:lang w:val="en-US" w:eastAsia="en-US" w:bidi="ar-SA"/>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link w:val="FootnoteText"/>
    <w:locked/>
    <w:rPr>
      <w:lang w:val="en-US" w:eastAsia="en-US" w:bidi="ar-SA"/>
    </w:rPr>
  </w:style>
  <w:style w:type="character" w:customStyle="1" w:styleId="StyleNumberedparagraphs11ptChar">
    <w:name w:val="Style Numbered paragraphs + 11 pt Char"/>
    <w:rPr>
      <w:rFonts w:cs="Times New Roman"/>
      <w:sz w:val="22"/>
      <w:lang w:val="en-US" w:eastAsia="en-US" w:bidi="ar-SA"/>
    </w:rPr>
  </w:style>
  <w:style w:type="character" w:customStyle="1" w:styleId="ParaNumChar">
    <w:name w:val="ParaNum Char"/>
    <w:link w:val="ParaNum"/>
    <w:locked/>
    <w:rPr>
      <w:kern w:val="28"/>
      <w:sz w:val="22"/>
      <w:lang w:val="en-US" w:eastAsia="en-US" w:bidi="ar-SA"/>
    </w:rPr>
  </w:style>
  <w:style w:type="character" w:customStyle="1" w:styleId="documentbody">
    <w:name w:val="documentbody"/>
    <w:rPr>
      <w:rFonts w:cs="Times New Roman"/>
    </w:rPr>
  </w:style>
  <w:style w:type="character" w:customStyle="1" w:styleId="searchterm">
    <w:name w:val="searchterm"/>
    <w:rPr>
      <w:rFonts w:cs="Times New Roman"/>
    </w:rPr>
  </w:style>
  <w:style w:type="character" w:customStyle="1" w:styleId="italics1">
    <w:name w:val="italics1"/>
    <w:rPr>
      <w:rFonts w:cs="Times New Roman"/>
      <w:i/>
      <w:iCs/>
    </w:rPr>
  </w:style>
  <w:style w:type="character" w:styleId="Emphasis">
    <w:name w:val="Emphasis"/>
    <w:qFormat/>
    <w:rPr>
      <w:rFonts w:cs="Times New Roman"/>
      <w:i/>
      <w:iCs/>
    </w:rPr>
  </w:style>
  <w:style w:type="character" w:customStyle="1" w:styleId="A3">
    <w:name w:val="A3"/>
    <w:rPr>
      <w:rFonts w:cs="Garamond LightCondensed"/>
      <w:color w:val="000000"/>
      <w:sz w:val="64"/>
      <w:szCs w:val="64"/>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Pr>
      <w:kern w:val="28"/>
      <w:sz w:val="22"/>
    </w:rPr>
  </w:style>
  <w:style w:type="character" w:customStyle="1" w:styleId="Heading3Char">
    <w:name w:val="Heading 3 Char"/>
    <w:link w:val="Heading3"/>
    <w:rPr>
      <w:b/>
      <w:kern w:val="28"/>
      <w:sz w:val="22"/>
      <w:lang w:val="en-US" w:eastAsia="en-US" w:bidi="ar-SA"/>
    </w:rPr>
  </w:style>
  <w:style w:type="paragraph" w:customStyle="1" w:styleId="FirstPageHeader">
    <w:name w:val="First Page Header"/>
    <w:basedOn w:val="Normal"/>
    <w:pPr>
      <w:tabs>
        <w:tab w:val="center" w:pos="4320"/>
        <w:tab w:val="right" w:pos="8640"/>
      </w:tabs>
    </w:pPr>
    <w:rPr>
      <w:b/>
    </w:rPr>
  </w:style>
  <w:style w:type="paragraph" w:customStyle="1" w:styleId="Titleinfo">
    <w:name w:val="Title info"/>
    <w:basedOn w:val="Header"/>
  </w:style>
  <w:style w:type="character" w:customStyle="1" w:styleId="fChar">
    <w:name w:val="f Char"/>
    <w:semiHidden/>
    <w:locked/>
    <w:rPr>
      <w:rFonts w:cs="Times New Roman"/>
      <w:lang w:val="en-US" w:eastAsia="en-US" w:bidi="ar-SA"/>
    </w:rPr>
  </w:style>
  <w:style w:type="character" w:customStyle="1" w:styleId="documentbody1">
    <w:name w:val="documentbody1"/>
    <w:rPr>
      <w:rFonts w:ascii="Verdana" w:hAnsi="Verdana" w:cs="Times New Roman"/>
      <w:sz w:val="19"/>
      <w:szCs w:val="19"/>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970416"/>
    <w:rPr>
      <w:kern w:val="28"/>
      <w:sz w:val="22"/>
    </w:rPr>
  </w:style>
  <w:style w:type="table" w:styleId="TableGrid">
    <w:name w:val="Table Grid"/>
    <w:basedOn w:val="TableNormal"/>
    <w:uiPriority w:val="59"/>
    <w:rsid w:val="008763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71F7F"/>
    <w:pPr>
      <w:widowControl w:val="0"/>
    </w:pPr>
    <w:rPr>
      <w:kern w:val="28"/>
      <w:sz w:val="22"/>
    </w:rPr>
  </w:style>
  <w:style w:type="table" w:customStyle="1" w:styleId="TableGrid1">
    <w:name w:val="Table Grid1"/>
    <w:basedOn w:val="TableNormal"/>
    <w:next w:val="TableGrid"/>
    <w:uiPriority w:val="59"/>
    <w:rsid w:val="00974A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622">
      <w:bodyDiv w:val="1"/>
      <w:marLeft w:val="0"/>
      <w:marRight w:val="0"/>
      <w:marTop w:val="0"/>
      <w:marBottom w:val="0"/>
      <w:divBdr>
        <w:top w:val="none" w:sz="0" w:space="0" w:color="auto"/>
        <w:left w:val="none" w:sz="0" w:space="0" w:color="auto"/>
        <w:bottom w:val="none" w:sz="0" w:space="0" w:color="auto"/>
        <w:right w:val="none" w:sz="0" w:space="0" w:color="auto"/>
      </w:divBdr>
    </w:div>
    <w:div w:id="2002848479">
      <w:bodyDiv w:val="1"/>
      <w:marLeft w:val="0"/>
      <w:marRight w:val="0"/>
      <w:marTop w:val="0"/>
      <w:marBottom w:val="0"/>
      <w:divBdr>
        <w:top w:val="none" w:sz="0" w:space="0" w:color="auto"/>
        <w:left w:val="none" w:sz="0" w:space="0" w:color="auto"/>
        <w:bottom w:val="none" w:sz="0" w:space="0" w:color="auto"/>
        <w:right w:val="none" w:sz="0" w:space="0" w:color="auto"/>
      </w:divBdr>
    </w:div>
    <w:div w:id="21431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5274</Words>
  <Characters>30862</Characters>
  <Application>Microsoft Office Word</Application>
  <DocSecurity>0</DocSecurity>
  <Lines>586</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2015-09-02T15:08:00Z</cp:lastPrinted>
  <dcterms:created xsi:type="dcterms:W3CDTF">2015-09-11T19:50:00Z</dcterms:created>
  <dcterms:modified xsi:type="dcterms:W3CDTF">2015-09-11T19:50:00Z</dcterms:modified>
  <cp:category> </cp:category>
  <cp:contentStatus> </cp:contentStatus>
</cp:coreProperties>
</file>