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9648" w:type="dxa"/>
        <w:tblLayout w:type="fixed"/>
        <w:tblLook w:val="0000" w:firstRow="0" w:lastRow="0" w:firstColumn="0" w:lastColumn="0" w:noHBand="0" w:noVBand="0"/>
      </w:tblPr>
      <w:tblGrid>
        <w:gridCol w:w="4698"/>
        <w:gridCol w:w="630"/>
        <w:gridCol w:w="90"/>
        <w:gridCol w:w="4158"/>
        <w:gridCol w:w="72"/>
      </w:tblGrid>
      <w:tr w:rsidR="004C2EE3" w:rsidTr="0016282A">
        <w:trPr>
          <w:gridAfter w:val="1"/>
          <w:wAfter w:w="72" w:type="dxa"/>
        </w:trPr>
        <w:tc>
          <w:tcPr>
            <w:tcW w:w="4698" w:type="dxa"/>
          </w:tcPr>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spacing w:val="-2"/>
              </w:rPr>
            </w:pPr>
          </w:p>
        </w:tc>
        <w:tc>
          <w:tcPr>
            <w:tcW w:w="4248" w:type="dxa"/>
            <w:gridSpan w:val="2"/>
          </w:tcPr>
          <w:p w:rsidR="004C2EE3" w:rsidRDefault="004C2EE3">
            <w:pPr>
              <w:tabs>
                <w:tab w:val="center" w:pos="4680"/>
              </w:tabs>
              <w:suppressAutoHyphens/>
              <w:rPr>
                <w:spacing w:val="-2"/>
              </w:rPr>
            </w:pPr>
          </w:p>
        </w:tc>
      </w:tr>
      <w:tr w:rsidR="0016282A" w:rsidTr="0016282A">
        <w:tc>
          <w:tcPr>
            <w:tcW w:w="4698" w:type="dxa"/>
          </w:tcPr>
          <w:p w:rsidR="0016282A" w:rsidRDefault="0016282A" w:rsidP="00FE3C37">
            <w:pPr>
              <w:ind w:right="-18"/>
            </w:pPr>
            <w:r>
              <w:t>In the Matter of</w:t>
            </w:r>
          </w:p>
          <w:p w:rsidR="0016282A" w:rsidRDefault="0016282A" w:rsidP="00FE3C37">
            <w:pPr>
              <w:ind w:right="-18"/>
            </w:pPr>
          </w:p>
          <w:p w:rsidR="0016282A" w:rsidRDefault="0016282A" w:rsidP="00FE3C37">
            <w:pPr>
              <w:ind w:right="-18"/>
            </w:pPr>
            <w:r>
              <w:t>Patrick Keane</w:t>
            </w:r>
          </w:p>
          <w:p w:rsidR="0016282A" w:rsidRDefault="0016282A" w:rsidP="00FE3C37">
            <w:pPr>
              <w:ind w:right="-18"/>
            </w:pPr>
            <w:r>
              <w:t xml:space="preserve">a/k/a The Street Map Co., Accurate Map Co., </w:t>
            </w:r>
          </w:p>
          <w:p w:rsidR="0016282A" w:rsidRDefault="0016282A" w:rsidP="00FE3C37">
            <w:pPr>
              <w:ind w:right="-18"/>
            </w:pPr>
            <w:r>
              <w:t xml:space="preserve">Data World, Map World, Map. Co. </w:t>
            </w:r>
          </w:p>
        </w:tc>
        <w:tc>
          <w:tcPr>
            <w:tcW w:w="720" w:type="dxa"/>
            <w:gridSpan w:val="2"/>
          </w:tcPr>
          <w:p w:rsidR="0016282A" w:rsidRDefault="0016282A" w:rsidP="00FE3C37">
            <w:pPr>
              <w:rPr>
                <w:b/>
              </w:rPr>
            </w:pPr>
            <w:r>
              <w:rPr>
                <w:b/>
              </w:rPr>
              <w:t>)</w:t>
            </w:r>
          </w:p>
          <w:p w:rsidR="0016282A" w:rsidRDefault="0016282A" w:rsidP="00FE3C37">
            <w:pPr>
              <w:rPr>
                <w:b/>
              </w:rPr>
            </w:pPr>
            <w:r>
              <w:rPr>
                <w:b/>
              </w:rPr>
              <w:t>)</w:t>
            </w:r>
          </w:p>
          <w:p w:rsidR="0016282A" w:rsidRDefault="0016282A" w:rsidP="00FE3C37">
            <w:pPr>
              <w:rPr>
                <w:b/>
              </w:rPr>
            </w:pPr>
            <w:r>
              <w:rPr>
                <w:b/>
              </w:rPr>
              <w:t>)</w:t>
            </w:r>
          </w:p>
          <w:p w:rsidR="0016282A" w:rsidRDefault="0016282A" w:rsidP="00FE3C37">
            <w:pPr>
              <w:rPr>
                <w:b/>
              </w:rPr>
            </w:pPr>
            <w:r>
              <w:rPr>
                <w:b/>
              </w:rPr>
              <w:t>)</w:t>
            </w:r>
          </w:p>
          <w:p w:rsidR="0016282A" w:rsidRDefault="0016282A" w:rsidP="00FE3C37">
            <w:pPr>
              <w:rPr>
                <w:b/>
              </w:rPr>
            </w:pPr>
            <w:r>
              <w:rPr>
                <w:b/>
              </w:rPr>
              <w:t>)</w:t>
            </w:r>
          </w:p>
          <w:p w:rsidR="0016282A" w:rsidRDefault="0016282A" w:rsidP="00FE3C37">
            <w:pPr>
              <w:rPr>
                <w:b/>
              </w:rPr>
            </w:pPr>
            <w:r>
              <w:rPr>
                <w:b/>
              </w:rPr>
              <w:t>)</w:t>
            </w:r>
          </w:p>
          <w:p w:rsidR="0016282A" w:rsidRDefault="0016282A" w:rsidP="00FE3C37">
            <w:pPr>
              <w:rPr>
                <w:b/>
              </w:rPr>
            </w:pPr>
            <w:r>
              <w:rPr>
                <w:b/>
              </w:rPr>
              <w:t>)</w:t>
            </w:r>
          </w:p>
          <w:p w:rsidR="0016282A" w:rsidRDefault="0016282A" w:rsidP="00FE3C37">
            <w:pPr>
              <w:rPr>
                <w:b/>
              </w:rPr>
            </w:pPr>
            <w:r>
              <w:rPr>
                <w:b/>
              </w:rPr>
              <w:t>)</w:t>
            </w:r>
          </w:p>
          <w:p w:rsidR="0016282A" w:rsidRDefault="0016282A" w:rsidP="00FE3C37">
            <w:pPr>
              <w:rPr>
                <w:b/>
              </w:rPr>
            </w:pPr>
            <w:r>
              <w:rPr>
                <w:b/>
              </w:rPr>
              <w:t>)</w:t>
            </w:r>
          </w:p>
          <w:p w:rsidR="0016282A" w:rsidRDefault="0016282A" w:rsidP="00FE3C37">
            <w:pPr>
              <w:rPr>
                <w:b/>
              </w:rPr>
            </w:pPr>
            <w:r>
              <w:rPr>
                <w:b/>
              </w:rPr>
              <w:t>)</w:t>
            </w:r>
          </w:p>
          <w:p w:rsidR="0016282A" w:rsidRDefault="0016282A" w:rsidP="00FE3C37">
            <w:pPr>
              <w:rPr>
                <w:b/>
              </w:rPr>
            </w:pPr>
            <w:r>
              <w:rPr>
                <w:b/>
              </w:rPr>
              <w:t>)</w:t>
            </w:r>
          </w:p>
          <w:p w:rsidR="0016282A" w:rsidRDefault="0016282A" w:rsidP="00FE3C37">
            <w:pPr>
              <w:rPr>
                <w:b/>
              </w:rPr>
            </w:pPr>
            <w:r>
              <w:rPr>
                <w:b/>
              </w:rPr>
              <w:t>)</w:t>
            </w:r>
          </w:p>
          <w:p w:rsidR="0016282A" w:rsidRDefault="0016282A" w:rsidP="00FE3C37">
            <w:pPr>
              <w:rPr>
                <w:b/>
              </w:rPr>
            </w:pPr>
            <w:r>
              <w:rPr>
                <w:b/>
              </w:rPr>
              <w:t>)</w:t>
            </w:r>
          </w:p>
          <w:p w:rsidR="0016282A" w:rsidRDefault="0016282A" w:rsidP="00FE3C37">
            <w:pPr>
              <w:rPr>
                <w:b/>
              </w:rPr>
            </w:pPr>
            <w:r>
              <w:rPr>
                <w:b/>
              </w:rPr>
              <w:t>)</w:t>
            </w:r>
          </w:p>
        </w:tc>
        <w:tc>
          <w:tcPr>
            <w:tcW w:w="4230" w:type="dxa"/>
            <w:gridSpan w:val="2"/>
          </w:tcPr>
          <w:p w:rsidR="0016282A" w:rsidRDefault="0016282A" w:rsidP="00FE3C37">
            <w:pPr>
              <w:rPr>
                <w:spacing w:val="-2"/>
              </w:rPr>
            </w:pPr>
          </w:p>
          <w:p w:rsidR="0016282A" w:rsidRDefault="0016282A" w:rsidP="00FE3C37">
            <w:pPr>
              <w:rPr>
                <w:spacing w:val="-2"/>
              </w:rPr>
            </w:pPr>
          </w:p>
          <w:p w:rsidR="0016282A" w:rsidRDefault="0016282A" w:rsidP="00FE3C37">
            <w:pPr>
              <w:rPr>
                <w:spacing w:val="-2"/>
              </w:rPr>
            </w:pPr>
            <w:r>
              <w:rPr>
                <w:spacing w:val="-2"/>
              </w:rPr>
              <w:t>File No.: EB-08-TC-998</w:t>
            </w:r>
          </w:p>
          <w:p w:rsidR="0016282A" w:rsidRDefault="0016282A" w:rsidP="00FE3C37">
            <w:pPr>
              <w:rPr>
                <w:spacing w:val="-2"/>
                <w:szCs w:val="22"/>
              </w:rPr>
            </w:pPr>
            <w:r>
              <w:rPr>
                <w:spacing w:val="-2"/>
              </w:rPr>
              <w:t>NAL/Acct. No</w:t>
            </w:r>
            <w:r>
              <w:rPr>
                <w:spacing w:val="-2"/>
                <w:szCs w:val="22"/>
              </w:rPr>
              <w:t>.: 201132170002</w:t>
            </w:r>
          </w:p>
          <w:p w:rsidR="0016282A" w:rsidRDefault="0016282A" w:rsidP="00FE3C37">
            <w:pPr>
              <w:rPr>
                <w:spacing w:val="-2"/>
                <w:lang w:val="es-ES"/>
              </w:rPr>
            </w:pPr>
            <w:r>
              <w:rPr>
                <w:spacing w:val="-2"/>
                <w:szCs w:val="22"/>
              </w:rPr>
              <w:t xml:space="preserve">FRN: </w:t>
            </w:r>
            <w:r>
              <w:rPr>
                <w:spacing w:val="-2"/>
              </w:rPr>
              <w:t>0020318242</w:t>
            </w:r>
          </w:p>
          <w:p w:rsidR="0016282A" w:rsidRDefault="0016282A" w:rsidP="00FE3C37">
            <w:pPr>
              <w:rPr>
                <w:spacing w:val="-2"/>
                <w:lang w:val="es-ES"/>
              </w:rPr>
            </w:pPr>
          </w:p>
          <w:p w:rsidR="0016282A" w:rsidRDefault="0016282A" w:rsidP="00FE3C37">
            <w:pPr>
              <w:rPr>
                <w:spacing w:val="-2"/>
                <w:lang w:val="es-ES"/>
              </w:rPr>
            </w:pPr>
            <w:r>
              <w:rPr>
                <w:spacing w:val="-2"/>
                <w:lang w:val="es-ES"/>
              </w:rPr>
              <w:t>File Nos. : EB-08-TC-998</w:t>
            </w:r>
          </w:p>
          <w:p w:rsidR="0016282A" w:rsidRDefault="0016282A" w:rsidP="00FE3C37">
            <w:pPr>
              <w:rPr>
                <w:spacing w:val="-2"/>
                <w:lang w:val="es-ES"/>
              </w:rPr>
            </w:pPr>
            <w:r>
              <w:rPr>
                <w:spacing w:val="-2"/>
                <w:lang w:val="es-ES"/>
              </w:rPr>
              <w:t xml:space="preserve">                  EB-07-TC-5233</w:t>
            </w:r>
          </w:p>
          <w:p w:rsidR="0016282A" w:rsidRDefault="0016282A" w:rsidP="00FE3C37">
            <w:pPr>
              <w:rPr>
                <w:spacing w:val="-2"/>
                <w:szCs w:val="22"/>
              </w:rPr>
            </w:pPr>
            <w:r>
              <w:rPr>
                <w:spacing w:val="-2"/>
              </w:rPr>
              <w:t>NAL/Acct. No</w:t>
            </w:r>
            <w:r>
              <w:rPr>
                <w:spacing w:val="-2"/>
                <w:szCs w:val="22"/>
              </w:rPr>
              <w:t>.:  201132170002</w:t>
            </w:r>
          </w:p>
          <w:p w:rsidR="0016282A" w:rsidRDefault="0016282A" w:rsidP="00FE3C37">
            <w:pPr>
              <w:rPr>
                <w:spacing w:val="-2"/>
                <w:szCs w:val="22"/>
              </w:rPr>
            </w:pPr>
            <w:r>
              <w:rPr>
                <w:spacing w:val="-2"/>
                <w:szCs w:val="22"/>
              </w:rPr>
              <w:t>FRN:  0020318242</w:t>
            </w:r>
          </w:p>
          <w:p w:rsidR="0016282A" w:rsidRDefault="0016282A" w:rsidP="00FE3C37">
            <w:pPr>
              <w:rPr>
                <w:spacing w:val="-2"/>
                <w:lang w:val="es-ES"/>
              </w:rPr>
            </w:pPr>
          </w:p>
          <w:p w:rsidR="0016282A" w:rsidRDefault="0016282A" w:rsidP="00FE3C37">
            <w:pPr>
              <w:rPr>
                <w:spacing w:val="-2"/>
                <w:lang w:val="es-ES"/>
              </w:rPr>
            </w:pPr>
            <w:r>
              <w:rPr>
                <w:spacing w:val="-2"/>
                <w:lang w:val="es-ES"/>
              </w:rPr>
              <w:t xml:space="preserve">File No.:  EB-12-TCD-00000305                </w:t>
            </w:r>
          </w:p>
          <w:p w:rsidR="0016282A" w:rsidRDefault="0016282A" w:rsidP="00FE3C37">
            <w:pPr>
              <w:rPr>
                <w:spacing w:val="-2"/>
                <w:szCs w:val="22"/>
              </w:rPr>
            </w:pPr>
            <w:r>
              <w:rPr>
                <w:spacing w:val="-2"/>
              </w:rPr>
              <w:t>NAL/Acct. No</w:t>
            </w:r>
            <w:r>
              <w:rPr>
                <w:spacing w:val="-2"/>
                <w:szCs w:val="22"/>
              </w:rPr>
              <w:t>.:  201332170001</w:t>
            </w:r>
          </w:p>
          <w:p w:rsidR="0016282A" w:rsidRDefault="0016282A" w:rsidP="00FE3C37">
            <w:pPr>
              <w:rPr>
                <w:spacing w:val="-2"/>
                <w:szCs w:val="22"/>
              </w:rPr>
            </w:pPr>
            <w:r>
              <w:rPr>
                <w:spacing w:val="-2"/>
                <w:szCs w:val="22"/>
              </w:rPr>
              <w:t>FRN:  0020318242</w:t>
            </w:r>
          </w:p>
          <w:p w:rsidR="0016282A" w:rsidRDefault="0016282A" w:rsidP="00FE3C37"/>
        </w:tc>
      </w:tr>
    </w:tbl>
    <w:p w:rsidR="00841AB1" w:rsidRDefault="0016282A" w:rsidP="00F021FA">
      <w:pPr>
        <w:pStyle w:val="StyleBoldCentered"/>
      </w:pPr>
      <w:r>
        <w:t>ORDER ON RECONSIDERATION</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4A3EA5">
        <w:rPr>
          <w:b/>
          <w:spacing w:val="-2"/>
        </w:rPr>
        <w:t>July 2,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A3EA5">
        <w:rPr>
          <w:b/>
          <w:spacing w:val="-2"/>
        </w:rPr>
        <w:t>July 2, 2014</w:t>
      </w:r>
    </w:p>
    <w:p w:rsidR="00822CE0" w:rsidRDefault="00822CE0"/>
    <w:p w:rsidR="004C2EE3" w:rsidRDefault="004C2EE3">
      <w:pPr>
        <w:rPr>
          <w:spacing w:val="-2"/>
        </w:rPr>
      </w:pPr>
      <w:r>
        <w:t xml:space="preserve">By </w:t>
      </w:r>
      <w:r w:rsidR="004E4A22">
        <w:t>the</w:t>
      </w:r>
      <w:r w:rsidR="0016282A">
        <w:t xml:space="preserve"> </w:t>
      </w:r>
      <w:r w:rsidR="00917CBE">
        <w:t xml:space="preserve">Acting </w:t>
      </w:r>
      <w:r w:rsidR="00E73A42">
        <w:t>Chief, Enforcement Bureau</w:t>
      </w:r>
      <w:r>
        <w:rPr>
          <w:spacing w:val="-2"/>
        </w:rPr>
        <w:t>:</w:t>
      </w:r>
    </w:p>
    <w:p w:rsidR="00822CE0" w:rsidRDefault="00822CE0">
      <w:pPr>
        <w:rPr>
          <w:spacing w:val="-2"/>
        </w:rPr>
      </w:pPr>
    </w:p>
    <w:p w:rsidR="00412FC5" w:rsidRDefault="00BD4D9C" w:rsidP="00412FC5">
      <w:pPr>
        <w:pStyle w:val="Heading1"/>
      </w:pPr>
      <w:r>
        <w:t>INTRODUCTION</w:t>
      </w:r>
    </w:p>
    <w:p w:rsidR="00857759" w:rsidRDefault="002E4945" w:rsidP="005108F1">
      <w:pPr>
        <w:pStyle w:val="ParaNum"/>
      </w:pPr>
      <w:r>
        <w:t xml:space="preserve">We deny </w:t>
      </w:r>
      <w:r w:rsidR="004D2DED">
        <w:t>Patr</w:t>
      </w:r>
      <w:r w:rsidR="005108F1">
        <w:t>ick Keane</w:t>
      </w:r>
      <w:r w:rsidR="004F4B7C">
        <w:t>’</w:t>
      </w:r>
      <w:r w:rsidR="005108F1">
        <w:t>s</w:t>
      </w:r>
      <w:r w:rsidR="004D2DED">
        <w:t xml:space="preserve"> request that the Commission </w:t>
      </w:r>
      <w:r>
        <w:t>reduce</w:t>
      </w:r>
      <w:r w:rsidR="004D2DED">
        <w:t xml:space="preserve"> a </w:t>
      </w:r>
      <w:r>
        <w:t xml:space="preserve">nearly $1,000,000 </w:t>
      </w:r>
      <w:r w:rsidR="000347EB">
        <w:t>penalty</w:t>
      </w:r>
      <w:r w:rsidR="004D2DED">
        <w:t xml:space="preserve"> </w:t>
      </w:r>
      <w:r>
        <w:t xml:space="preserve">it issued against him for having sent </w:t>
      </w:r>
      <w:r w:rsidR="00857759">
        <w:t>at least 100</w:t>
      </w:r>
      <w:r w:rsidR="00FE3C37">
        <w:t xml:space="preserve"> unsolicited</w:t>
      </w:r>
      <w:r w:rsidR="00857759">
        <w:t xml:space="preserve"> </w:t>
      </w:r>
      <w:r>
        <w:t>“junk</w:t>
      </w:r>
      <w:r w:rsidR="00FE3C37">
        <w:t>”</w:t>
      </w:r>
      <w:r>
        <w:t xml:space="preserve"> fax </w:t>
      </w:r>
      <w:r w:rsidR="00FE3C37">
        <w:t xml:space="preserve">advertisements </w:t>
      </w:r>
      <w:r>
        <w:t>to consumers</w:t>
      </w:r>
      <w:r w:rsidR="004D2DED">
        <w:t xml:space="preserve">. </w:t>
      </w:r>
      <w:r w:rsidR="00FE3C37">
        <w:t xml:space="preserve"> Junk faxes are a network nuisance.  They impose unwanted burdens on the called party, including costs of paper and ink, while making fax machines unavailable for legitimate messages.  It is unlawful for any person within the United States to use any telephone facsimile machine, computer, or other device to send an unsolicited advertisement to a fax machine. </w:t>
      </w:r>
      <w:r w:rsidR="004D2DED">
        <w:t xml:space="preserve"> </w:t>
      </w:r>
      <w:r w:rsidR="00857759">
        <w:t>The Commission warned Mr. Keane as long</w:t>
      </w:r>
      <w:r w:rsidR="00731754">
        <w:t xml:space="preserve"> ago as 2008 that his </w:t>
      </w:r>
      <w:r w:rsidR="00D34B02">
        <w:t xml:space="preserve">business </w:t>
      </w:r>
      <w:r w:rsidR="00731754">
        <w:t>marketing practice of faxing unsolicited</w:t>
      </w:r>
      <w:r w:rsidR="00857759">
        <w:t xml:space="preserve"> advertisements</w:t>
      </w:r>
      <w:r w:rsidR="00731754">
        <w:t xml:space="preserve"> violated federal law, but he persisted</w:t>
      </w:r>
      <w:r w:rsidR="00D34B02">
        <w:t xml:space="preserve"> in the practice</w:t>
      </w:r>
      <w:r w:rsidR="00857759">
        <w:t xml:space="preserve">, prompting the Commission </w:t>
      </w:r>
      <w:r w:rsidR="000347EB">
        <w:t xml:space="preserve">to issue three </w:t>
      </w:r>
      <w:r w:rsidR="002F60B7">
        <w:t xml:space="preserve">separate </w:t>
      </w:r>
      <w:r w:rsidR="00D34B02">
        <w:t>enforcement actions that collectively</w:t>
      </w:r>
      <w:r w:rsidR="002F60B7">
        <w:t xml:space="preserve"> </w:t>
      </w:r>
      <w:r w:rsidR="00FE3C37">
        <w:t>fined him nearly $1,000,000</w:t>
      </w:r>
      <w:r w:rsidR="005108F1">
        <w:t xml:space="preserve">.  </w:t>
      </w:r>
      <w:r w:rsidR="004F4B7C">
        <w:t xml:space="preserve">Although the </w:t>
      </w:r>
      <w:r w:rsidR="00D34B02">
        <w:t xml:space="preserve">Commission invited Mr. Keane </w:t>
      </w:r>
      <w:r w:rsidR="00BA3D41">
        <w:t xml:space="preserve">to respond </w:t>
      </w:r>
      <w:r w:rsidR="00D34B02">
        <w:t xml:space="preserve">in each of the actions, and </w:t>
      </w:r>
      <w:r w:rsidR="004F4B7C">
        <w:t xml:space="preserve">expressly stated that </w:t>
      </w:r>
      <w:r w:rsidR="00D34B02">
        <w:t>it w</w:t>
      </w:r>
      <w:r w:rsidR="004F4B7C">
        <w:t xml:space="preserve">ould not consider </w:t>
      </w:r>
      <w:r w:rsidR="005108F1">
        <w:t xml:space="preserve">any claim </w:t>
      </w:r>
      <w:r w:rsidR="004F4B7C">
        <w:t xml:space="preserve">of inability to pay without documentation such as financial statements or tax returns, Mr. Keane did not respond to any of the </w:t>
      </w:r>
      <w:r w:rsidR="00D61E27">
        <w:t>proposed penalties</w:t>
      </w:r>
      <w:r w:rsidR="00D34B02">
        <w:t>.  I</w:t>
      </w:r>
      <w:r w:rsidR="005108F1">
        <w:t>nstead</w:t>
      </w:r>
      <w:r w:rsidR="00D34B02">
        <w:t>, he</w:t>
      </w:r>
      <w:r w:rsidR="005108F1">
        <w:t xml:space="preserve"> wait</w:t>
      </w:r>
      <w:r w:rsidR="00D34B02">
        <w:t>ed</w:t>
      </w:r>
      <w:r w:rsidR="005108F1">
        <w:t xml:space="preserve"> </w:t>
      </w:r>
      <w:r w:rsidR="004F4B7C">
        <w:t xml:space="preserve">until the </w:t>
      </w:r>
      <w:r w:rsidR="00FE3C37">
        <w:t xml:space="preserve">completion </w:t>
      </w:r>
      <w:r w:rsidR="004F4B7C">
        <w:t xml:space="preserve">of the Commission’s administrative enforcement process </w:t>
      </w:r>
      <w:r w:rsidR="005108F1">
        <w:t xml:space="preserve">to claim that he could not pay the </w:t>
      </w:r>
      <w:r w:rsidR="00FE3C37">
        <w:t>assessed fine</w:t>
      </w:r>
      <w:r w:rsidR="00D61E27">
        <w:t>s</w:t>
      </w:r>
      <w:r w:rsidR="003061E1">
        <w:t xml:space="preserve">, and then </w:t>
      </w:r>
      <w:r w:rsidR="00731754">
        <w:t>offered</w:t>
      </w:r>
      <w:r w:rsidR="00331E8D">
        <w:t xml:space="preserve"> </w:t>
      </w:r>
      <w:r w:rsidR="00D34B02">
        <w:t>only scant support</w:t>
      </w:r>
      <w:r w:rsidR="00917CBE">
        <w:t xml:space="preserve"> of this claim</w:t>
      </w:r>
      <w:r w:rsidR="004F4B7C">
        <w:t xml:space="preserve">.  </w:t>
      </w:r>
      <w:r w:rsidR="00FE3C37">
        <w:t xml:space="preserve"> Because</w:t>
      </w:r>
      <w:r w:rsidR="00D61E27">
        <w:t xml:space="preserve"> Mr. Keane’s untimely request is also insufficiently supported, we decline</w:t>
      </w:r>
      <w:r w:rsidR="00D34B02">
        <w:t xml:space="preserve"> to reduce the forfeiture</w:t>
      </w:r>
      <w:r w:rsidR="004F4B7C">
        <w:t>.</w:t>
      </w:r>
      <w:r w:rsidR="00D61E27">
        <w:t xml:space="preserve">  </w:t>
      </w:r>
      <w:r w:rsidR="001E1DB2">
        <w:t xml:space="preserve">We therefore deny </w:t>
      </w:r>
      <w:r w:rsidR="00D61E27">
        <w:t xml:space="preserve">Mr. Keane’s petition for reconsideration. </w:t>
      </w:r>
      <w:r w:rsidR="004F4B7C">
        <w:t xml:space="preserve">  </w:t>
      </w:r>
      <w:r w:rsidR="005108F1">
        <w:t xml:space="preserve">    </w:t>
      </w:r>
    </w:p>
    <w:p w:rsidR="009726D8" w:rsidRDefault="00600DC2" w:rsidP="00664F7E">
      <w:pPr>
        <w:pStyle w:val="Heading1"/>
      </w:pPr>
      <w:r>
        <w:t>background</w:t>
      </w:r>
    </w:p>
    <w:p w:rsidR="008F23BA" w:rsidRDefault="009C1ED2" w:rsidP="008F23BA">
      <w:pPr>
        <w:pStyle w:val="ParaNum"/>
      </w:pPr>
      <w:r>
        <w:t xml:space="preserve">Between 2010 and 2012, the Commission issued three Notices of Apparent Liability for Forfeiture </w:t>
      </w:r>
      <w:r w:rsidR="00232A69">
        <w:t xml:space="preserve">(NAL) </w:t>
      </w:r>
      <w:r>
        <w:t>to Mr. Keane</w:t>
      </w:r>
      <w:r w:rsidR="00917CBE">
        <w:t>,</w:t>
      </w:r>
      <w:r>
        <w:t xml:space="preserve"> operating as The Street Map Company, </w:t>
      </w:r>
      <w:r>
        <w:rPr>
          <w:i/>
        </w:rPr>
        <w:t xml:space="preserve">et </w:t>
      </w:r>
      <w:r w:rsidR="005A2192">
        <w:rPr>
          <w:i/>
        </w:rPr>
        <w:t xml:space="preserve">al., </w:t>
      </w:r>
      <w:r w:rsidR="005A2192">
        <w:t>for unsolicited faxes, which advertised laminated maps.</w:t>
      </w:r>
      <w:r w:rsidR="005A2192">
        <w:rPr>
          <w:rStyle w:val="FootnoteReference"/>
        </w:rPr>
        <w:footnoteReference w:id="2"/>
      </w:r>
      <w:r w:rsidR="005A2192">
        <w:t xml:space="preserve">  </w:t>
      </w:r>
      <w:r w:rsidR="004A51B3">
        <w:t xml:space="preserve">Each of the </w:t>
      </w:r>
      <w:r w:rsidR="004A51B3" w:rsidRPr="006147F1">
        <w:rPr>
          <w:i/>
        </w:rPr>
        <w:t xml:space="preserve">NALs </w:t>
      </w:r>
      <w:r w:rsidR="008F23BA">
        <w:t>gave</w:t>
      </w:r>
      <w:r w:rsidR="00A8434A">
        <w:t xml:space="preserve"> </w:t>
      </w:r>
      <w:r w:rsidR="004A51B3">
        <w:t xml:space="preserve">Mr. Keane </w:t>
      </w:r>
      <w:r w:rsidR="008F23BA">
        <w:t xml:space="preserve">30 days to pay each proposed </w:t>
      </w:r>
      <w:r w:rsidR="008F23BA">
        <w:lastRenderedPageBreak/>
        <w:t>forfeiture or file a written statement</w:t>
      </w:r>
      <w:r w:rsidR="00A8434A">
        <w:t xml:space="preserve"> seek</w:t>
      </w:r>
      <w:r w:rsidR="008F23BA">
        <w:t>ing</w:t>
      </w:r>
      <w:r w:rsidR="00A8434A">
        <w:t xml:space="preserve"> a reduction or cancellation</w:t>
      </w:r>
      <w:r w:rsidR="008F23BA">
        <w:t>.</w:t>
      </w:r>
      <w:r w:rsidR="00A8434A">
        <w:t xml:space="preserve"> </w:t>
      </w:r>
      <w:r w:rsidR="008F23BA">
        <w:t xml:space="preserve"> </w:t>
      </w:r>
      <w:r w:rsidR="0089473E">
        <w:t>T</w:t>
      </w:r>
      <w:r w:rsidR="008F23BA">
        <w:t xml:space="preserve">he </w:t>
      </w:r>
      <w:r w:rsidR="008F23BA" w:rsidRPr="00767CD4">
        <w:t>NALs</w:t>
      </w:r>
      <w:r w:rsidR="008F23BA">
        <w:t xml:space="preserve"> were explicit with respect to Mr. Keane’s responsibilit</w:t>
      </w:r>
      <w:r w:rsidR="00232A69">
        <w:t>ies</w:t>
      </w:r>
      <w:r w:rsidR="008F23BA">
        <w:t xml:space="preserve"> if he wished to assert a claim of inability to pay.</w:t>
      </w:r>
      <w:r w:rsidR="00232A69">
        <w:t xml:space="preserve">  Specifically, the </w:t>
      </w:r>
      <w:r w:rsidR="00232A69">
        <w:rPr>
          <w:i/>
        </w:rPr>
        <w:t>NALs</w:t>
      </w:r>
      <w:r w:rsidR="00232A69">
        <w:t xml:space="preserve"> stated:</w:t>
      </w:r>
    </w:p>
    <w:p w:rsidR="008F23BA" w:rsidRDefault="008F23BA" w:rsidP="00767CD4">
      <w:pPr>
        <w:pStyle w:val="ParaNum"/>
        <w:numPr>
          <w:ilvl w:val="0"/>
          <w:numId w:val="0"/>
        </w:numPr>
        <w:ind w:left="1440" w:right="720"/>
      </w:pPr>
      <w:r w:rsidRPr="008F23BA">
        <w:t>The Commission will not c</w:t>
      </w:r>
      <w:r w:rsidR="0089473E">
        <w:t>onsider reducing or canceling a</w:t>
      </w:r>
      <w:r w:rsidR="0063721B">
        <w:t xml:space="preserve"> </w:t>
      </w:r>
      <w:r w:rsidRPr="008F23BA">
        <w:t xml:space="preserve">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w:t>
      </w:r>
      <w:r w:rsidR="00BA3D41">
        <w:t xml:space="preserve"> </w:t>
      </w:r>
      <w:r w:rsidRPr="008F23BA">
        <w:t>Any claim of inability to pay must specifically identify the basis for the claim by reference to the financial documentation submitted.</w:t>
      </w:r>
      <w:r>
        <w:rPr>
          <w:rStyle w:val="FootnoteReference"/>
        </w:rPr>
        <w:footnoteReference w:id="3"/>
      </w:r>
    </w:p>
    <w:p w:rsidR="00DA3AC6" w:rsidRDefault="004A51B3" w:rsidP="00DA3AC6">
      <w:pPr>
        <w:pStyle w:val="ParaNum"/>
      </w:pPr>
      <w:r>
        <w:t>Mr. Keane did not</w:t>
      </w:r>
      <w:r w:rsidR="0089473E">
        <w:t xml:space="preserve"> pay the forfeiture amount or</w:t>
      </w:r>
      <w:r>
        <w:t xml:space="preserve"> respond to any of these </w:t>
      </w:r>
      <w:r w:rsidR="00202B08" w:rsidRPr="00341435">
        <w:rPr>
          <w:i/>
        </w:rPr>
        <w:t>NALs</w:t>
      </w:r>
      <w:r w:rsidR="0089473E">
        <w:t xml:space="preserve"> seeking a reduction or cancellation.  T</w:t>
      </w:r>
      <w:r w:rsidR="00202B08">
        <w:t xml:space="preserve">he Commission accordingly issued </w:t>
      </w:r>
      <w:r w:rsidR="0089473E">
        <w:t>a</w:t>
      </w:r>
      <w:r w:rsidR="00202B08">
        <w:t xml:space="preserve"> </w:t>
      </w:r>
      <w:r w:rsidR="00202B08" w:rsidRPr="00341435">
        <w:rPr>
          <w:i/>
        </w:rPr>
        <w:t>Forfeiture Order</w:t>
      </w:r>
      <w:r w:rsidR="00202B08" w:rsidRPr="00202B08">
        <w:t xml:space="preserve"> </w:t>
      </w:r>
      <w:r w:rsidR="00202B08">
        <w:t xml:space="preserve">for the full amount proposed in the </w:t>
      </w:r>
      <w:r w:rsidR="00123205" w:rsidRPr="00341435">
        <w:rPr>
          <w:i/>
        </w:rPr>
        <w:t>NALs</w:t>
      </w:r>
      <w:r w:rsidR="00CB75AC">
        <w:t>.</w:t>
      </w:r>
      <w:r w:rsidR="0089473E">
        <w:rPr>
          <w:rStyle w:val="FootnoteReference"/>
        </w:rPr>
        <w:footnoteReference w:id="4"/>
      </w:r>
      <w:r w:rsidR="00CB75AC">
        <w:t xml:space="preserve">  </w:t>
      </w:r>
    </w:p>
    <w:p w:rsidR="007028C0" w:rsidRDefault="00A63128" w:rsidP="00DA3AC6">
      <w:pPr>
        <w:pStyle w:val="ParaNum"/>
      </w:pPr>
      <w:r>
        <w:t xml:space="preserve">On June 4, 2013, </w:t>
      </w:r>
      <w:r w:rsidR="00341435">
        <w:t>Mr. Keane respond</w:t>
      </w:r>
      <w:r w:rsidR="0089473E">
        <w:t>ed</w:t>
      </w:r>
      <w:r w:rsidR="00341435">
        <w:t xml:space="preserve"> to the </w:t>
      </w:r>
      <w:r w:rsidR="00600DC2" w:rsidRPr="00DA3AC6">
        <w:rPr>
          <w:i/>
        </w:rPr>
        <w:t>Forfeiture Order</w:t>
      </w:r>
      <w:r>
        <w:t xml:space="preserve"> with a</w:t>
      </w:r>
      <w:r w:rsidRPr="00733225">
        <w:t xml:space="preserve"> one</w:t>
      </w:r>
      <w:r w:rsidR="00BA3D41">
        <w:t>-</w:t>
      </w:r>
      <w:r w:rsidRPr="00733225">
        <w:t>page letter</w:t>
      </w:r>
      <w:r>
        <w:t xml:space="preserve"> </w:t>
      </w:r>
      <w:r w:rsidRPr="00733225">
        <w:t xml:space="preserve">handwritten on </w:t>
      </w:r>
      <w:r>
        <w:t xml:space="preserve">an </w:t>
      </w:r>
      <w:r w:rsidRPr="00733225">
        <w:t xml:space="preserve">invoice for </w:t>
      </w:r>
      <w:r>
        <w:t>one of his companies, First State Map and Globe Company.</w:t>
      </w:r>
      <w:r w:rsidR="004B0591">
        <w:rPr>
          <w:rStyle w:val="FootnoteReference"/>
        </w:rPr>
        <w:footnoteReference w:id="5"/>
      </w:r>
      <w:r>
        <w:t xml:space="preserve">  </w:t>
      </w:r>
      <w:r w:rsidR="001920D6">
        <w:t xml:space="preserve">Mr. Keane </w:t>
      </w:r>
      <w:r w:rsidR="00341435">
        <w:t>stat</w:t>
      </w:r>
      <w:r w:rsidR="00232F47">
        <w:t>ed</w:t>
      </w:r>
      <w:r w:rsidR="00341435">
        <w:t xml:space="preserve"> that</w:t>
      </w:r>
      <w:r w:rsidR="00600DC2">
        <w:t xml:space="preserve"> </w:t>
      </w:r>
      <w:r w:rsidR="004300B7">
        <w:t xml:space="preserve">he </w:t>
      </w:r>
      <w:r w:rsidR="00232F47">
        <w:t>was</w:t>
      </w:r>
      <w:r w:rsidR="004300B7">
        <w:t xml:space="preserve"> </w:t>
      </w:r>
      <w:r w:rsidR="00600DC2" w:rsidRPr="00733225">
        <w:t xml:space="preserve">“formally requesting a petition of re-consideration based on </w:t>
      </w:r>
      <w:r w:rsidR="00232A69">
        <w:t>[his]</w:t>
      </w:r>
      <w:r w:rsidR="00232A69" w:rsidRPr="00733225">
        <w:t xml:space="preserve"> </w:t>
      </w:r>
      <w:r w:rsidR="00600DC2" w:rsidRPr="00733225">
        <w:t>inability to pay.”</w:t>
      </w:r>
      <w:r w:rsidR="00992468">
        <w:rPr>
          <w:rStyle w:val="FootnoteReference"/>
        </w:rPr>
        <w:footnoteReference w:id="6"/>
      </w:r>
      <w:r w:rsidR="00D65D63">
        <w:t xml:space="preserve">  </w:t>
      </w:r>
      <w:r w:rsidR="000D3BD0">
        <w:t xml:space="preserve">Mr. Keane </w:t>
      </w:r>
      <w:r w:rsidR="004230F1">
        <w:t>d</w:t>
      </w:r>
      <w:r w:rsidR="00CB75AC">
        <w:t xml:space="preserve">oes </w:t>
      </w:r>
      <w:r w:rsidR="004230F1">
        <w:t xml:space="preserve">not deny sending the unlawful faxes, but </w:t>
      </w:r>
      <w:r w:rsidR="00A524C3">
        <w:t>claim</w:t>
      </w:r>
      <w:r w:rsidR="00CB75AC">
        <w:t>s</w:t>
      </w:r>
      <w:r w:rsidR="00600DC2">
        <w:t xml:space="preserve"> that </w:t>
      </w:r>
      <w:r w:rsidR="00EE146E">
        <w:t xml:space="preserve">he </w:t>
      </w:r>
      <w:r w:rsidR="00600DC2" w:rsidRPr="00733225">
        <w:t>stopped faxing “some time ago</w:t>
      </w:r>
      <w:r w:rsidR="004230F1">
        <w:t>.</w:t>
      </w:r>
      <w:r w:rsidR="00600DC2" w:rsidRPr="00733225">
        <w:t>”</w:t>
      </w:r>
      <w:r w:rsidR="004230F1">
        <w:t xml:space="preserve">  He also sa</w:t>
      </w:r>
      <w:r w:rsidR="00CB75AC">
        <w:t xml:space="preserve">ys </w:t>
      </w:r>
      <w:r w:rsidR="004230F1">
        <w:t>he ha</w:t>
      </w:r>
      <w:r w:rsidR="00CB75AC">
        <w:t>s</w:t>
      </w:r>
      <w:r w:rsidR="004230F1">
        <w:t xml:space="preserve"> </w:t>
      </w:r>
      <w:r w:rsidR="00600DC2" w:rsidRPr="00733225">
        <w:t xml:space="preserve">“redirected </w:t>
      </w:r>
      <w:r w:rsidR="00232F47">
        <w:t>[his]</w:t>
      </w:r>
      <w:r w:rsidR="00600DC2" w:rsidRPr="00733225">
        <w:t xml:space="preserve"> energies from inexpensive wall maps to school emergency guides</w:t>
      </w:r>
      <w:r w:rsidR="00604AA3">
        <w:t>,</w:t>
      </w:r>
      <w:r w:rsidR="00600DC2" w:rsidRPr="00733225">
        <w:t>”</w:t>
      </w:r>
      <w:r w:rsidR="00604AA3">
        <w:t xml:space="preserve"> and </w:t>
      </w:r>
      <w:r w:rsidR="008129A6">
        <w:t>ha</w:t>
      </w:r>
      <w:r w:rsidR="00CB75AC">
        <w:t>s</w:t>
      </w:r>
      <w:r w:rsidR="008129A6">
        <w:t xml:space="preserve"> </w:t>
      </w:r>
      <w:r w:rsidR="00604AA3">
        <w:t>“struggled</w:t>
      </w:r>
      <w:r w:rsidR="004230F1">
        <w:t xml:space="preserve"> financially for many months.”</w:t>
      </w:r>
      <w:r w:rsidR="001D655F">
        <w:rPr>
          <w:rStyle w:val="FootnoteReference"/>
        </w:rPr>
        <w:footnoteReference w:id="7"/>
      </w:r>
      <w:r w:rsidR="004230F1">
        <w:t xml:space="preserve">  </w:t>
      </w:r>
      <w:r w:rsidR="00600DC2" w:rsidRPr="00733225">
        <w:t xml:space="preserve">The letter </w:t>
      </w:r>
      <w:r w:rsidR="00CB75AC">
        <w:t>is</w:t>
      </w:r>
      <w:r w:rsidR="004300B7">
        <w:t xml:space="preserve"> </w:t>
      </w:r>
      <w:r w:rsidR="00600DC2">
        <w:t>accompanied by two</w:t>
      </w:r>
      <w:r w:rsidR="00013801">
        <w:t xml:space="preserve"> exhibits</w:t>
      </w:r>
      <w:r w:rsidR="00CD5E78">
        <w:t xml:space="preserve">: </w:t>
      </w:r>
      <w:r w:rsidR="00600DC2">
        <w:t>a</w:t>
      </w:r>
      <w:r w:rsidR="00600DC2" w:rsidRPr="00733225">
        <w:t xml:space="preserve"> flip chart</w:t>
      </w:r>
      <w:r w:rsidR="00600DC2">
        <w:t xml:space="preserve"> illustrating his current business product and </w:t>
      </w:r>
      <w:r w:rsidR="00600DC2" w:rsidRPr="00733225">
        <w:t xml:space="preserve">a </w:t>
      </w:r>
      <w:r w:rsidR="00600DC2">
        <w:t xml:space="preserve">bank </w:t>
      </w:r>
      <w:r w:rsidR="00600DC2" w:rsidRPr="00733225">
        <w:t>letter threatening foreclosure on his home mortgage</w:t>
      </w:r>
      <w:r w:rsidR="00215F73">
        <w:t>,</w:t>
      </w:r>
      <w:r w:rsidR="002007D5">
        <w:t xml:space="preserve"> </w:t>
      </w:r>
      <w:r w:rsidR="00BA3D41">
        <w:t xml:space="preserve">supposedly </w:t>
      </w:r>
      <w:r w:rsidR="00600DC2" w:rsidRPr="00733225">
        <w:t>illustrati</w:t>
      </w:r>
      <w:r w:rsidR="002007D5">
        <w:t>ng</w:t>
      </w:r>
      <w:r w:rsidR="00B17150">
        <w:t xml:space="preserve"> his financial struggles.  The foreclosure letter is dated April 20, 2013, and it states that Mr. Keane made no payments on his home mortgage from March 2012 through February 2013.</w:t>
      </w:r>
      <w:r w:rsidR="00B17150">
        <w:rPr>
          <w:rStyle w:val="FootnoteReference"/>
        </w:rPr>
        <w:footnoteReference w:id="8"/>
      </w:r>
    </w:p>
    <w:p w:rsidR="00600DC2" w:rsidRDefault="00600DC2" w:rsidP="00600DC2">
      <w:pPr>
        <w:pStyle w:val="Heading1"/>
      </w:pPr>
      <w:r>
        <w:t>discussion</w:t>
      </w:r>
    </w:p>
    <w:p w:rsidR="007028C0" w:rsidRDefault="00331E8D" w:rsidP="00767CD4">
      <w:pPr>
        <w:pStyle w:val="ParaNum"/>
      </w:pPr>
      <w:r>
        <w:t>The Commission’s rules state that</w:t>
      </w:r>
      <w:r w:rsidR="002431D0">
        <w:t xml:space="preserve"> a petition for reconsideration, such as Mr. Keane’s, that relies on “facts or arguments not previously presented to the Commission” may be granted only if:  (a) such facts or arguments “relate to events which have occurred or circumstances which have changed since the last opportunity to present such matters to the Commission”; (b) such facts or arguments were “unknown to petitioner until after his last opportunity to present them to the Commission, and he could not through the exercise of ordinary diligence have learned of the facts or arguments in question prior to such opportunity”; or (c) the Commission determines that “consideration of the facts or arguments relied on is required in the public interest.”</w:t>
      </w:r>
      <w:r w:rsidR="002431D0">
        <w:rPr>
          <w:rStyle w:val="FootnoteReference"/>
        </w:rPr>
        <w:footnoteReference w:id="9"/>
      </w:r>
      <w:r w:rsidR="002431D0">
        <w:t xml:space="preserve">  </w:t>
      </w:r>
    </w:p>
    <w:p w:rsidR="00A75AFE" w:rsidRDefault="007028C0" w:rsidP="00B05778">
      <w:pPr>
        <w:pStyle w:val="ParaNum"/>
      </w:pPr>
      <w:r>
        <w:t>The facts</w:t>
      </w:r>
      <w:r w:rsidR="00DA0542">
        <w:t xml:space="preserve"> and arguments</w:t>
      </w:r>
      <w:r>
        <w:t xml:space="preserve"> offered by Mr. Keane do not </w:t>
      </w:r>
      <w:r w:rsidR="00DA0542">
        <w:t>justify reconsideration of the forfeiture</w:t>
      </w:r>
      <w:r>
        <w:t xml:space="preserve">.  </w:t>
      </w:r>
      <w:r w:rsidR="00CB2131">
        <w:t xml:space="preserve">Mr. Keane’s last opportunity to present facts and arguments to the Commission about the magnitude of the penalty </w:t>
      </w:r>
      <w:r w:rsidR="00DA0542">
        <w:t>at issue</w:t>
      </w:r>
      <w:r w:rsidR="00CB2131">
        <w:t xml:space="preserve"> was in November 2012, in response to the last NAL.  As indicated, he did not file </w:t>
      </w:r>
      <w:r w:rsidR="00AF2A3F">
        <w:t>a response of any kind</w:t>
      </w:r>
      <w:r w:rsidR="00CB2131">
        <w:t xml:space="preserve"> to the </w:t>
      </w:r>
      <w:r w:rsidR="00BA3D41">
        <w:t xml:space="preserve">third </w:t>
      </w:r>
      <w:r w:rsidR="00CB2131">
        <w:t xml:space="preserve">NAL, just as he had not filed </w:t>
      </w:r>
      <w:r w:rsidR="00AF2A3F">
        <w:t xml:space="preserve">a </w:t>
      </w:r>
      <w:r w:rsidR="00CB2131">
        <w:t xml:space="preserve">response </w:t>
      </w:r>
      <w:r w:rsidR="00AF2A3F">
        <w:t xml:space="preserve">of any kind </w:t>
      </w:r>
      <w:r w:rsidR="00CB2131">
        <w:t xml:space="preserve">to the two prior NALs.  </w:t>
      </w:r>
      <w:r w:rsidR="00AF2A3F">
        <w:t>His claim in his June 2013 petition that he is unable to pay the forfeiture is not based on any circumstances that changed since November 2012, or on anything unknown to him at that time, because he states in his petition that he has “struggled financially for many months.”</w:t>
      </w:r>
      <w:r w:rsidR="00B05778">
        <w:t xml:space="preserve">  </w:t>
      </w:r>
      <w:r w:rsidR="00AF2A3F">
        <w:t xml:space="preserve">While the bank foreclosure letter </w:t>
      </w:r>
      <w:r w:rsidR="002E179C">
        <w:t>Mr. Keane</w:t>
      </w:r>
      <w:r w:rsidR="00AF2A3F">
        <w:t xml:space="preserve"> offers is dated April 2013, </w:t>
      </w:r>
      <w:r w:rsidR="00B05778">
        <w:t>it shows that Mr. Keane ha</w:t>
      </w:r>
      <w:r w:rsidR="00DA0542">
        <w:t>d</w:t>
      </w:r>
      <w:r w:rsidR="00B05778">
        <w:t xml:space="preserve"> been in default on his home since March 2012;</w:t>
      </w:r>
      <w:r w:rsidR="00815E60">
        <w:t xml:space="preserve"> thus, </w:t>
      </w:r>
      <w:r w:rsidR="00DA0542">
        <w:t xml:space="preserve">to the extent the fact of default </w:t>
      </w:r>
      <w:r w:rsidR="00BA3D41">
        <w:t xml:space="preserve">might </w:t>
      </w:r>
      <w:r w:rsidR="00DA0542">
        <w:t>support his claim that he cannot pay the forfeiture, the letter shows that the fact existed at the time his response to the last NAL was due</w:t>
      </w:r>
      <w:r w:rsidR="00815E60">
        <w:t xml:space="preserve">.  </w:t>
      </w:r>
      <w:r w:rsidR="002E179C">
        <w:t xml:space="preserve">    </w:t>
      </w:r>
      <w:r w:rsidR="00B05778">
        <w:t xml:space="preserve">  </w:t>
      </w:r>
      <w:r w:rsidR="00DD1408">
        <w:t xml:space="preserve">  </w:t>
      </w:r>
      <w:r w:rsidR="00E41259">
        <w:t xml:space="preserve">    </w:t>
      </w:r>
      <w:r w:rsidR="00116FC2">
        <w:t xml:space="preserve">  </w:t>
      </w:r>
    </w:p>
    <w:p w:rsidR="00CE762A" w:rsidRDefault="00815E60" w:rsidP="00D669DC">
      <w:pPr>
        <w:pStyle w:val="ParaNum"/>
      </w:pPr>
      <w:r>
        <w:t xml:space="preserve">There is otherwise no public interest reason to consider Mr. Keane’s late-filed claim. </w:t>
      </w:r>
      <w:r w:rsidR="00D669DC">
        <w:t>Due to his</w:t>
      </w:r>
      <w:r>
        <w:t xml:space="preserve"> </w:t>
      </w:r>
      <w:r w:rsidRPr="00815E60">
        <w:rPr>
          <w:i/>
        </w:rPr>
        <w:t>pro se</w:t>
      </w:r>
      <w:r>
        <w:t xml:space="preserve"> status, </w:t>
      </w:r>
      <w:r w:rsidR="00D669DC">
        <w:t xml:space="preserve">Enforcement </w:t>
      </w:r>
      <w:r>
        <w:t>Bureau staff advised Mr. Keane, after he filed his petition, that the bank foreclosure letter, standing alone, was insufficient to support his claim</w:t>
      </w:r>
      <w:r w:rsidR="00BA3D41">
        <w:t>;</w:t>
      </w:r>
      <w:r w:rsidR="00D669DC">
        <w:t xml:space="preserve"> </w:t>
      </w:r>
      <w:r w:rsidR="00BA3D41">
        <w:t xml:space="preserve">staff also </w:t>
      </w:r>
      <w:r w:rsidR="00D669DC">
        <w:t xml:space="preserve">described the additional documentation required for the Bureau to consider his claim further and offered Mr. Keane an additional 30 days to </w:t>
      </w:r>
      <w:r w:rsidR="00A17979">
        <w:t xml:space="preserve">file </w:t>
      </w:r>
      <w:r w:rsidR="00D669DC">
        <w:t xml:space="preserve">this information.  Again, Mr. Keane never responded.  </w:t>
      </w:r>
    </w:p>
    <w:p w:rsidR="007028C0" w:rsidRDefault="00D669DC" w:rsidP="00904F54">
      <w:pPr>
        <w:pStyle w:val="ParaNum"/>
      </w:pPr>
      <w:r w:rsidRPr="00D669DC">
        <w:t>Ordinarily, the full Commi</w:t>
      </w:r>
      <w:r>
        <w:t>ssion, as opposed to one of its bureaus</w:t>
      </w:r>
      <w:r w:rsidRPr="00D669DC">
        <w:t xml:space="preserve">, must act on petitions for reconsideration of final actions taken by the full Commission, </w:t>
      </w:r>
      <w:r>
        <w:t xml:space="preserve">such as the forfeiture order at issue here.  The agency’s rules, however, state that </w:t>
      </w:r>
      <w:r w:rsidRPr="00D669DC">
        <w:t>“</w:t>
      </w:r>
      <w:r>
        <w:t xml:space="preserve">[p]etitions for reconsideration </w:t>
      </w:r>
      <w:r w:rsidRPr="00D669DC">
        <w:t>that plainly do not warrant consideration by the Commission may be dismissed or denied by the relevant bureau(s) or office(s).”</w:t>
      </w:r>
      <w:r w:rsidR="00904F54">
        <w:rPr>
          <w:rStyle w:val="FootnoteReference"/>
        </w:rPr>
        <w:footnoteReference w:id="10"/>
      </w:r>
      <w:r>
        <w:t xml:space="preserve">  Examples of such petitions include</w:t>
      </w:r>
      <w:r w:rsidR="00904F54">
        <w:t>, among others,</w:t>
      </w:r>
      <w:r>
        <w:t xml:space="preserve"> those that “[f]ail to identify any material error, omission, or reason warranting reconsideration</w:t>
      </w:r>
      <w:r w:rsidR="00904F54">
        <w:t>,” as well as</w:t>
      </w:r>
      <w:r>
        <w:t xml:space="preserve"> those that “[r]ely on facts or arguments which have not previously been presented to the Commission and whic</w:t>
      </w:r>
      <w:r w:rsidR="00904F54">
        <w:t>h do not meet the requirements”</w:t>
      </w:r>
      <w:r w:rsidR="00DA0542">
        <w:t xml:space="preserve"> for presenting such information (referenced above).</w:t>
      </w:r>
      <w:r w:rsidR="00904F54">
        <w:rPr>
          <w:rStyle w:val="FootnoteReference"/>
        </w:rPr>
        <w:footnoteReference w:id="11"/>
      </w:r>
      <w:r w:rsidR="00904F54">
        <w:t xml:space="preserve">  Mr. Keane’s petition </w:t>
      </w:r>
      <w:r w:rsidR="00DA0542">
        <w:t xml:space="preserve">therefore </w:t>
      </w:r>
      <w:r w:rsidR="00904F54">
        <w:t>“plainly does not warrant consideration by the Commission,” and the Enforcement Bureau denies it.</w:t>
      </w:r>
      <w:r w:rsidR="00DA3113">
        <w:rPr>
          <w:rStyle w:val="FootnoteReference"/>
        </w:rPr>
        <w:footnoteReference w:id="12"/>
      </w:r>
    </w:p>
    <w:p w:rsidR="00DA0542" w:rsidRDefault="00DA0542">
      <w:pPr>
        <w:widowControl/>
      </w:pPr>
      <w:r>
        <w:br w:type="page"/>
      </w:r>
    </w:p>
    <w:p w:rsidR="00E26B64" w:rsidRDefault="00E26B64">
      <w:pPr>
        <w:widowControl/>
      </w:pPr>
    </w:p>
    <w:p w:rsidR="003C7D7F" w:rsidRDefault="003C7D7F" w:rsidP="003C7D7F">
      <w:pPr>
        <w:pStyle w:val="Heading1"/>
      </w:pPr>
      <w:r>
        <w:t>ordering clauses</w:t>
      </w:r>
    </w:p>
    <w:p w:rsidR="003C7D7F" w:rsidRDefault="003C7D7F" w:rsidP="003C7D7F">
      <w:pPr>
        <w:pStyle w:val="ParaNum"/>
      </w:pPr>
      <w:r>
        <w:t xml:space="preserve">Accordingly, </w:t>
      </w:r>
      <w:r w:rsidRPr="00767CD4">
        <w:rPr>
          <w:b/>
        </w:rPr>
        <w:t>IT IS ORDERED</w:t>
      </w:r>
      <w:r>
        <w:t>, pursuant to</w:t>
      </w:r>
      <w:r w:rsidR="00215F73">
        <w:t xml:space="preserve"> S</w:t>
      </w:r>
      <w:r>
        <w:t>ections 4(i), 4(j), and 405 of the Communications Act of 1934, as amended, 47 U.S</w:t>
      </w:r>
      <w:r w:rsidR="00DA0542">
        <w:t xml:space="preserve">.C. §§ 154(i), 154(j), </w:t>
      </w:r>
      <w:r>
        <w:t xml:space="preserve">and </w:t>
      </w:r>
      <w:r w:rsidR="00DA0542">
        <w:t xml:space="preserve">405, and </w:t>
      </w:r>
      <w:r w:rsidR="00215F73">
        <w:t>S</w:t>
      </w:r>
      <w:r>
        <w:t xml:space="preserve">ections 1.80 and 1.106(p) of the Commission’s </w:t>
      </w:r>
      <w:r w:rsidR="00BE2E34">
        <w:t>r</w:t>
      </w:r>
      <w:r>
        <w:t>ules, 47 C.F.R. §</w:t>
      </w:r>
      <w:r w:rsidR="00C7290A">
        <w:t xml:space="preserve">§ 1.80 and 1.106(p), that the Petition </w:t>
      </w:r>
      <w:r w:rsidR="00C7290A" w:rsidRPr="00767CD4">
        <w:rPr>
          <w:b/>
        </w:rPr>
        <w:t xml:space="preserve">IS </w:t>
      </w:r>
      <w:r w:rsidR="00DA0542" w:rsidRPr="00767CD4">
        <w:rPr>
          <w:b/>
        </w:rPr>
        <w:t>DENIED</w:t>
      </w:r>
      <w:r w:rsidR="00C7290A">
        <w:t xml:space="preserve">. </w:t>
      </w:r>
    </w:p>
    <w:p w:rsidR="00917CBE" w:rsidRDefault="00917CBE" w:rsidP="00436196">
      <w:pPr>
        <w:pStyle w:val="ParaNum"/>
        <w:numPr>
          <w:ilvl w:val="0"/>
          <w:numId w:val="0"/>
        </w:numPr>
        <w:ind w:left="2160" w:firstLine="720"/>
      </w:pPr>
    </w:p>
    <w:p w:rsidR="00436196" w:rsidRDefault="00436196" w:rsidP="00436196">
      <w:pPr>
        <w:pStyle w:val="ParaNum"/>
        <w:numPr>
          <w:ilvl w:val="0"/>
          <w:numId w:val="0"/>
        </w:numPr>
        <w:ind w:left="2160" w:firstLine="720"/>
      </w:pPr>
      <w:r>
        <w:t>FEDERAL COMMUNICATIONS COMMISSION</w:t>
      </w:r>
    </w:p>
    <w:p w:rsidR="00116FC2" w:rsidRDefault="00116FC2" w:rsidP="00436196">
      <w:pPr>
        <w:pStyle w:val="ParaNum"/>
        <w:numPr>
          <w:ilvl w:val="0"/>
          <w:numId w:val="0"/>
        </w:numPr>
        <w:ind w:left="2160" w:firstLine="720"/>
      </w:pPr>
    </w:p>
    <w:p w:rsidR="00116FC2" w:rsidRDefault="00116FC2" w:rsidP="00436196">
      <w:pPr>
        <w:pStyle w:val="ParaNum"/>
        <w:numPr>
          <w:ilvl w:val="0"/>
          <w:numId w:val="0"/>
        </w:numPr>
        <w:ind w:left="2160" w:firstLine="720"/>
      </w:pPr>
    </w:p>
    <w:p w:rsidR="00116FC2" w:rsidRDefault="00116FC2" w:rsidP="00436196">
      <w:pPr>
        <w:pStyle w:val="ParaNum"/>
        <w:numPr>
          <w:ilvl w:val="0"/>
          <w:numId w:val="0"/>
        </w:numPr>
        <w:ind w:left="2160" w:firstLine="720"/>
      </w:pPr>
    </w:p>
    <w:p w:rsidR="00116FC2" w:rsidRDefault="00116FC2" w:rsidP="00436196">
      <w:pPr>
        <w:pStyle w:val="ParaNum"/>
        <w:numPr>
          <w:ilvl w:val="0"/>
          <w:numId w:val="0"/>
        </w:numPr>
        <w:ind w:left="2160" w:firstLine="720"/>
      </w:pPr>
    </w:p>
    <w:p w:rsidR="00A44D5C" w:rsidRDefault="00A44D5C" w:rsidP="00A44D5C">
      <w:pPr>
        <w:pStyle w:val="ParaNum"/>
        <w:numPr>
          <w:ilvl w:val="0"/>
          <w:numId w:val="0"/>
        </w:numPr>
        <w:spacing w:after="0"/>
        <w:ind w:left="2160" w:firstLine="720"/>
      </w:pPr>
      <w:r>
        <w:t>Travis LeBlanc</w:t>
      </w:r>
    </w:p>
    <w:p w:rsidR="00A44D5C" w:rsidRDefault="00A44D5C" w:rsidP="00A44D5C">
      <w:pPr>
        <w:pStyle w:val="ParaNum"/>
        <w:numPr>
          <w:ilvl w:val="0"/>
          <w:numId w:val="0"/>
        </w:numPr>
        <w:spacing w:after="0"/>
        <w:ind w:left="2160" w:firstLine="720"/>
      </w:pPr>
      <w:r>
        <w:t>Acting Chief</w:t>
      </w:r>
    </w:p>
    <w:p w:rsidR="00436196" w:rsidRDefault="00436196" w:rsidP="00A44D5C">
      <w:pPr>
        <w:pStyle w:val="ParaNum"/>
        <w:numPr>
          <w:ilvl w:val="0"/>
          <w:numId w:val="0"/>
        </w:numPr>
        <w:spacing w:after="0"/>
        <w:ind w:left="2160" w:firstLine="720"/>
      </w:pPr>
      <w:r>
        <w:t>Enforcement Bureau</w:t>
      </w:r>
    </w:p>
    <w:p w:rsidR="00600DC2" w:rsidRPr="00436196" w:rsidRDefault="00600DC2" w:rsidP="00436196">
      <w:pPr>
        <w:rPr>
          <w:rStyle w:val="Emphasis"/>
          <w:b/>
          <w:i w:val="0"/>
        </w:rPr>
      </w:pPr>
    </w:p>
    <w:p w:rsidR="00600DC2" w:rsidRDefault="00600DC2" w:rsidP="00600DC2">
      <w:pPr>
        <w:pStyle w:val="ParaNum"/>
        <w:numPr>
          <w:ilvl w:val="0"/>
          <w:numId w:val="0"/>
        </w:numPr>
        <w:ind w:firstLine="720"/>
      </w:pPr>
    </w:p>
    <w:p w:rsidR="00600DC2" w:rsidRPr="00600DC2" w:rsidRDefault="00600DC2" w:rsidP="00600DC2">
      <w:pPr>
        <w:pStyle w:val="ParaNum"/>
        <w:numPr>
          <w:ilvl w:val="0"/>
          <w:numId w:val="0"/>
        </w:numPr>
        <w:ind w:firstLine="720"/>
      </w:pPr>
    </w:p>
    <w:p w:rsidR="00664F7E" w:rsidRPr="00664F7E" w:rsidRDefault="00664F7E" w:rsidP="00664F7E">
      <w:pPr>
        <w:pStyle w:val="ParaNum"/>
        <w:numPr>
          <w:ilvl w:val="0"/>
          <w:numId w:val="0"/>
        </w:numPr>
        <w:ind w:firstLine="720"/>
      </w:pPr>
    </w:p>
    <w:p w:rsidR="00BD4D9C" w:rsidRDefault="00BD4D9C" w:rsidP="00BD4D9C">
      <w:pPr>
        <w:jc w:val="right"/>
        <w:rPr>
          <w:sz w:val="24"/>
          <w:szCs w:val="24"/>
        </w:rPr>
      </w:pPr>
    </w:p>
    <w:sectPr w:rsidR="00BD4D9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07" w:rsidRDefault="005E7E07">
      <w:pPr>
        <w:spacing w:line="20" w:lineRule="exact"/>
      </w:pPr>
    </w:p>
  </w:endnote>
  <w:endnote w:type="continuationSeparator" w:id="0">
    <w:p w:rsidR="005E7E07" w:rsidRDefault="005E7E07">
      <w:r>
        <w:t xml:space="preserve"> </w:t>
      </w:r>
    </w:p>
  </w:endnote>
  <w:endnote w:type="continuationNotice" w:id="1">
    <w:p w:rsidR="005E7E07" w:rsidRDefault="005E7E0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37" w:rsidRDefault="00FE3C37" w:rsidP="0055614C">
    <w:pPr>
      <w:pStyle w:val="Footer"/>
      <w:framePr w:wrap="around" w:vAnchor="text" w:hAnchor="margin" w:xAlign="center" w:y="1"/>
    </w:pPr>
    <w:r>
      <w:fldChar w:fldCharType="begin"/>
    </w:r>
    <w:r>
      <w:instrText xml:space="preserve">PAGE  </w:instrText>
    </w:r>
    <w:r>
      <w:fldChar w:fldCharType="end"/>
    </w:r>
  </w:p>
  <w:p w:rsidR="00FE3C37" w:rsidRDefault="00FE3C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37" w:rsidRDefault="00FE3C37" w:rsidP="0055614C">
    <w:pPr>
      <w:pStyle w:val="Footer"/>
      <w:framePr w:wrap="around" w:vAnchor="text" w:hAnchor="margin" w:xAlign="center" w:y="1"/>
    </w:pPr>
    <w:r>
      <w:fldChar w:fldCharType="begin"/>
    </w:r>
    <w:r>
      <w:instrText xml:space="preserve">PAGE  </w:instrText>
    </w:r>
    <w:r>
      <w:fldChar w:fldCharType="separate"/>
    </w:r>
    <w:r w:rsidR="0067395A">
      <w:rPr>
        <w:noProof/>
      </w:rPr>
      <w:t>2</w:t>
    </w:r>
    <w:r>
      <w:fldChar w:fldCharType="end"/>
    </w:r>
  </w:p>
  <w:p w:rsidR="00FE3C37" w:rsidRDefault="00FE3C37">
    <w:pPr>
      <w:spacing w:before="140" w:line="100" w:lineRule="exact"/>
      <w:rPr>
        <w:sz w:val="10"/>
      </w:rPr>
    </w:pPr>
  </w:p>
  <w:p w:rsidR="00FE3C37" w:rsidRDefault="00FE3C37">
    <w:pPr>
      <w:suppressAutoHyphens/>
      <w:spacing w:line="227" w:lineRule="auto"/>
    </w:pPr>
  </w:p>
  <w:p w:rsidR="00FE3C37" w:rsidRDefault="00FE3C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37" w:rsidRDefault="00FE3C3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07" w:rsidRDefault="005E7E07">
      <w:r>
        <w:separator/>
      </w:r>
    </w:p>
  </w:footnote>
  <w:footnote w:type="continuationSeparator" w:id="0">
    <w:p w:rsidR="005E7E07" w:rsidRDefault="005E7E07">
      <w:pPr>
        <w:rPr>
          <w:sz w:val="20"/>
        </w:rPr>
      </w:pPr>
      <w:r>
        <w:rPr>
          <w:sz w:val="20"/>
        </w:rPr>
        <w:t xml:space="preserve">(Continued from previous page)  </w:t>
      </w:r>
      <w:r>
        <w:rPr>
          <w:sz w:val="20"/>
        </w:rPr>
        <w:separator/>
      </w:r>
    </w:p>
  </w:footnote>
  <w:footnote w:type="continuationNotice" w:id="1">
    <w:p w:rsidR="005E7E07" w:rsidRDefault="005E7E07">
      <w:pPr>
        <w:rPr>
          <w:sz w:val="20"/>
        </w:rPr>
      </w:pPr>
      <w:r>
        <w:rPr>
          <w:sz w:val="20"/>
        </w:rPr>
        <w:t>(continued….)</w:t>
      </w:r>
    </w:p>
  </w:footnote>
  <w:footnote w:id="2">
    <w:p w:rsidR="00FE3C37" w:rsidRDefault="00FE3C37">
      <w:pPr>
        <w:pStyle w:val="FootnoteText"/>
      </w:pPr>
      <w:r>
        <w:rPr>
          <w:rStyle w:val="FootnoteReference"/>
        </w:rPr>
        <w:footnoteRef/>
      </w:r>
      <w:r>
        <w:t xml:space="preserve"> </w:t>
      </w:r>
      <w:r>
        <w:rPr>
          <w:i/>
        </w:rPr>
        <w:t>The Street Map Company</w:t>
      </w:r>
      <w:r>
        <w:t>, Notice of Apparent Liability for Forfeiture, 25 FCC Rcd 16371 (2010) (</w:t>
      </w:r>
      <w:r w:rsidRPr="00F51F23">
        <w:rPr>
          <w:i/>
        </w:rPr>
        <w:t>NAL 1</w:t>
      </w:r>
      <w:r>
        <w:t xml:space="preserve">); </w:t>
      </w:r>
      <w:r>
        <w:rPr>
          <w:i/>
        </w:rPr>
        <w:t>The Street Map Company</w:t>
      </w:r>
      <w:r>
        <w:t>, Notice of Apparent Liability for Forfeiture, 26 FCC Rcd 8318 (2011) (</w:t>
      </w:r>
      <w:r w:rsidRPr="00F51F23">
        <w:rPr>
          <w:i/>
        </w:rPr>
        <w:t>NAL 2</w:t>
      </w:r>
      <w:r>
        <w:t xml:space="preserve">); </w:t>
      </w:r>
      <w:r w:rsidRPr="00F504E3">
        <w:rPr>
          <w:i/>
        </w:rPr>
        <w:t>Patrick Keane a</w:t>
      </w:r>
      <w:r>
        <w:rPr>
          <w:i/>
        </w:rPr>
        <w:t>/</w:t>
      </w:r>
      <w:r w:rsidRPr="00F504E3">
        <w:rPr>
          <w:i/>
        </w:rPr>
        <w:t>k</w:t>
      </w:r>
      <w:r>
        <w:rPr>
          <w:i/>
        </w:rPr>
        <w:t>/a Street Map et</w:t>
      </w:r>
      <w:r w:rsidRPr="00F504E3">
        <w:rPr>
          <w:i/>
        </w:rPr>
        <w:t xml:space="preserve"> </w:t>
      </w:r>
      <w:r w:rsidRPr="003E2615">
        <w:rPr>
          <w:i/>
        </w:rPr>
        <w:t>a</w:t>
      </w:r>
      <w:r w:rsidRPr="00B30F4D">
        <w:rPr>
          <w:i/>
        </w:rPr>
        <w:t>l</w:t>
      </w:r>
      <w:r>
        <w:t>., Notice of Apparent Liability for Forfeiture, 27 FCC Rcd 13757 (2012) (</w:t>
      </w:r>
      <w:r>
        <w:rPr>
          <w:i/>
        </w:rPr>
        <w:t>NAL 3</w:t>
      </w:r>
      <w:r w:rsidRPr="00A40743">
        <w:t xml:space="preserve">) </w:t>
      </w:r>
      <w:r>
        <w:t xml:space="preserve">(collectively </w:t>
      </w:r>
      <w:r w:rsidRPr="00604AA3">
        <w:rPr>
          <w:i/>
        </w:rPr>
        <w:t>NALs</w:t>
      </w:r>
      <w:r w:rsidRPr="00A40743">
        <w:t>)</w:t>
      </w:r>
      <w:r>
        <w:t>.  Pursuant to Section 503(b)(5) of the Communications Act, the Enforcement Bureau had previously issued a citation to the Street Map Company and Mr. Keane in response to consumer complaints alleging that Street Map had faxed unsolicited advertisements.  Citation from K</w:t>
      </w:r>
      <w:r w:rsidRPr="00797ADC">
        <w:t xml:space="preserve">urt A. Schroeder, Deputy Chief, Telecommunications Consumers Division, </w:t>
      </w:r>
      <w:r>
        <w:t xml:space="preserve">FCC </w:t>
      </w:r>
      <w:r w:rsidRPr="00797ADC">
        <w:t>Enforcement Bureau,</w:t>
      </w:r>
      <w:r>
        <w:t xml:space="preserve"> to The Street Map Company (Feb. 5, 2008) (on file in </w:t>
      </w:r>
      <w:r w:rsidRPr="00953876">
        <w:rPr>
          <w:spacing w:val="-2"/>
        </w:rPr>
        <w:t>EB-12-TCD-00000305</w:t>
      </w:r>
      <w:r>
        <w:t xml:space="preserve">).     </w:t>
      </w:r>
    </w:p>
  </w:footnote>
  <w:footnote w:id="3">
    <w:p w:rsidR="00FE3C37" w:rsidRPr="00927894" w:rsidRDefault="00FE3C37">
      <w:pPr>
        <w:pStyle w:val="FootnoteText"/>
        <w:rPr>
          <w:i/>
        </w:rPr>
      </w:pPr>
      <w:r>
        <w:rPr>
          <w:rStyle w:val="FootnoteReference"/>
        </w:rPr>
        <w:footnoteRef/>
      </w:r>
      <w:r>
        <w:t xml:space="preserve"> </w:t>
      </w:r>
      <w:r>
        <w:rPr>
          <w:i/>
        </w:rPr>
        <w:t>NAL 1,</w:t>
      </w:r>
      <w:r>
        <w:t xml:space="preserve"> 25 FCC Rcd at 16374, para. 12; </w:t>
      </w:r>
      <w:r>
        <w:rPr>
          <w:i/>
        </w:rPr>
        <w:t>NAL 2</w:t>
      </w:r>
      <w:r>
        <w:t xml:space="preserve">, 26 FCC Rcd at 8323, para. 17; </w:t>
      </w:r>
      <w:r>
        <w:rPr>
          <w:i/>
        </w:rPr>
        <w:t>NAL 3</w:t>
      </w:r>
      <w:r>
        <w:t>, 27 FCC Rcd at 13764, para. 20.</w:t>
      </w:r>
    </w:p>
  </w:footnote>
  <w:footnote w:id="4">
    <w:p w:rsidR="00FE3C37" w:rsidRPr="0089473E" w:rsidRDefault="00FE3C37">
      <w:pPr>
        <w:pStyle w:val="FootnoteText"/>
      </w:pPr>
      <w:r>
        <w:rPr>
          <w:rStyle w:val="FootnoteReference"/>
        </w:rPr>
        <w:footnoteRef/>
      </w:r>
      <w:r>
        <w:t xml:space="preserve"> The </w:t>
      </w:r>
      <w:r>
        <w:rPr>
          <w:i/>
        </w:rPr>
        <w:t>NALs</w:t>
      </w:r>
      <w:r>
        <w:t xml:space="preserve"> were served on Street Map to the attention of Mr. Keane or directly to Mr. Keane.  </w:t>
      </w:r>
      <w:r w:rsidRPr="00F504E3">
        <w:rPr>
          <w:i/>
        </w:rPr>
        <w:t>Patrick Keane a</w:t>
      </w:r>
      <w:r>
        <w:rPr>
          <w:i/>
        </w:rPr>
        <w:t>/</w:t>
      </w:r>
      <w:r w:rsidRPr="00F504E3">
        <w:rPr>
          <w:i/>
        </w:rPr>
        <w:t>k</w:t>
      </w:r>
      <w:r>
        <w:rPr>
          <w:i/>
        </w:rPr>
        <w:t>/a Street Map et</w:t>
      </w:r>
      <w:r w:rsidRPr="00F504E3">
        <w:rPr>
          <w:i/>
        </w:rPr>
        <w:t xml:space="preserve"> </w:t>
      </w:r>
      <w:r w:rsidRPr="003E2615">
        <w:rPr>
          <w:i/>
        </w:rPr>
        <w:t>a</w:t>
      </w:r>
      <w:r w:rsidRPr="00B30F4D">
        <w:rPr>
          <w:i/>
        </w:rPr>
        <w:t>l</w:t>
      </w:r>
      <w:r>
        <w:t xml:space="preserve">., Forfeiture Order, 28 FCC Rcd 6688, 6689, para. 4 (2013) </w:t>
      </w:r>
      <w:r w:rsidRPr="00604AA3">
        <w:t>(</w:t>
      </w:r>
      <w:r w:rsidRPr="0098096B">
        <w:rPr>
          <w:i/>
        </w:rPr>
        <w:t>Forfeiture Order</w:t>
      </w:r>
      <w:r>
        <w:t xml:space="preserve">).  To further ensure that Mr. Keane had clear notice of the </w:t>
      </w:r>
      <w:r>
        <w:rPr>
          <w:i/>
        </w:rPr>
        <w:t>NALs</w:t>
      </w:r>
      <w:r>
        <w:t xml:space="preserve">, the Enforcement Bureau sent copies of </w:t>
      </w:r>
      <w:r>
        <w:rPr>
          <w:i/>
        </w:rPr>
        <w:t xml:space="preserve">NAL 1 </w:t>
      </w:r>
      <w:r>
        <w:t xml:space="preserve">and </w:t>
      </w:r>
      <w:r>
        <w:rPr>
          <w:i/>
        </w:rPr>
        <w:t xml:space="preserve">NAL 2 </w:t>
      </w:r>
      <w:r>
        <w:t xml:space="preserve">to Mr. Keane a second time, and sent copies of </w:t>
      </w:r>
      <w:r>
        <w:rPr>
          <w:i/>
        </w:rPr>
        <w:t xml:space="preserve">NAL 3 </w:t>
      </w:r>
      <w:r>
        <w:t xml:space="preserve">to four separate addresses associated with Mr. Keane.  </w:t>
      </w:r>
      <w:r>
        <w:rPr>
          <w:i/>
        </w:rPr>
        <w:t xml:space="preserve">Id. </w:t>
      </w:r>
      <w:r>
        <w:t xml:space="preserve">at 6689 n.10. </w:t>
      </w:r>
    </w:p>
  </w:footnote>
  <w:footnote w:id="5">
    <w:p w:rsidR="00FE3C37" w:rsidRPr="00E56458" w:rsidRDefault="00FE3C37">
      <w:pPr>
        <w:pStyle w:val="FootnoteText"/>
      </w:pPr>
      <w:r>
        <w:rPr>
          <w:rStyle w:val="FootnoteReference"/>
        </w:rPr>
        <w:footnoteRef/>
      </w:r>
      <w:r>
        <w:t xml:space="preserve"> Each of the </w:t>
      </w:r>
      <w:r>
        <w:rPr>
          <w:i/>
        </w:rPr>
        <w:t xml:space="preserve">NALs </w:t>
      </w:r>
      <w:r>
        <w:t xml:space="preserve">identified First State Map &amp; Globe Co. as one of the business names used by Mr. Keane.  </w:t>
      </w:r>
      <w:r>
        <w:rPr>
          <w:i/>
        </w:rPr>
        <w:t>See NAL 1</w:t>
      </w:r>
      <w:r>
        <w:t xml:space="preserve">, 25 FCC Rcd at 16371 n.1; </w:t>
      </w:r>
      <w:r>
        <w:rPr>
          <w:i/>
        </w:rPr>
        <w:t>NAL 2</w:t>
      </w:r>
      <w:r>
        <w:t xml:space="preserve">, 26 FCC Rcd at 8318 n.1; and </w:t>
      </w:r>
      <w:r>
        <w:rPr>
          <w:i/>
        </w:rPr>
        <w:t>NAL 3</w:t>
      </w:r>
      <w:r>
        <w:t>, 27 FCC Rcd at 13758 n.8.</w:t>
      </w:r>
    </w:p>
  </w:footnote>
  <w:footnote w:id="6">
    <w:p w:rsidR="00FE3C37" w:rsidRDefault="00FE3C37">
      <w:pPr>
        <w:pStyle w:val="FootnoteText"/>
      </w:pPr>
      <w:r>
        <w:rPr>
          <w:rStyle w:val="FootnoteReference"/>
        </w:rPr>
        <w:footnoteRef/>
      </w:r>
      <w:r>
        <w:t xml:space="preserve"> Letter from Patrick Keane, First State Map &amp; Globe Company, to Richard Hindman, Chief, Telecommunications Consumers Division, FCC Enforcement Bureau at 1 (filed June 6, 2013, in EB-12-TCD-00000305). </w:t>
      </w:r>
    </w:p>
  </w:footnote>
  <w:footnote w:id="7">
    <w:p w:rsidR="00FE3C37" w:rsidRPr="001D655F" w:rsidRDefault="00FE3C37">
      <w:pPr>
        <w:pStyle w:val="FootnoteText"/>
        <w:rPr>
          <w:i/>
        </w:rPr>
      </w:pPr>
      <w:r>
        <w:rPr>
          <w:rStyle w:val="FootnoteReference"/>
        </w:rPr>
        <w:footnoteRef/>
      </w:r>
      <w:r>
        <w:t xml:space="preserve"> </w:t>
      </w:r>
      <w:r>
        <w:rPr>
          <w:i/>
        </w:rPr>
        <w:t xml:space="preserve">Id. </w:t>
      </w:r>
    </w:p>
  </w:footnote>
  <w:footnote w:id="8">
    <w:p w:rsidR="00FE3C37" w:rsidRDefault="00FE3C37">
      <w:pPr>
        <w:pStyle w:val="FootnoteText"/>
      </w:pPr>
      <w:r>
        <w:rPr>
          <w:rStyle w:val="FootnoteReference"/>
        </w:rPr>
        <w:footnoteRef/>
      </w:r>
      <w:r>
        <w:t xml:space="preserve"> Letter from Bank of America Mortgage to Patrick Keane at 2 (filed June 6, 2013, in EB-12-TCD-00000305) (Mortgage Letter).</w:t>
      </w:r>
    </w:p>
  </w:footnote>
  <w:footnote w:id="9">
    <w:p w:rsidR="00FE3C37" w:rsidRDefault="00FE3C37">
      <w:pPr>
        <w:pStyle w:val="FootnoteText"/>
      </w:pPr>
      <w:r>
        <w:rPr>
          <w:rStyle w:val="FootnoteReference"/>
        </w:rPr>
        <w:footnoteRef/>
      </w:r>
      <w:r>
        <w:t xml:space="preserve"> 47 C.F.R. § 1.106(b)(2), 1.106(c).  </w:t>
      </w:r>
    </w:p>
  </w:footnote>
  <w:footnote w:id="10">
    <w:p w:rsidR="00FE3C37" w:rsidRDefault="00FE3C37" w:rsidP="00904F54">
      <w:pPr>
        <w:pStyle w:val="FootnoteText"/>
      </w:pPr>
      <w:r>
        <w:rPr>
          <w:rStyle w:val="FootnoteReference"/>
        </w:rPr>
        <w:footnoteRef/>
      </w:r>
      <w:r>
        <w:t xml:space="preserve"> 47 C.F.R. § 1.106(p).  </w:t>
      </w:r>
    </w:p>
  </w:footnote>
  <w:footnote w:id="11">
    <w:p w:rsidR="00FE3C37" w:rsidRDefault="00FE3C37">
      <w:pPr>
        <w:pStyle w:val="FootnoteText"/>
      </w:pPr>
      <w:r>
        <w:rPr>
          <w:rStyle w:val="FootnoteReference"/>
        </w:rPr>
        <w:footnoteRef/>
      </w:r>
      <w:r>
        <w:t xml:space="preserve"> </w:t>
      </w:r>
      <w:r w:rsidRPr="00904F54">
        <w:rPr>
          <w:i/>
        </w:rPr>
        <w:t>Id</w:t>
      </w:r>
      <w:r>
        <w:t>. § 1.106(p)(1)–(2).</w:t>
      </w:r>
    </w:p>
  </w:footnote>
  <w:footnote w:id="12">
    <w:p w:rsidR="00FE3C37" w:rsidRDefault="00FE3C37">
      <w:pPr>
        <w:pStyle w:val="FootnoteText"/>
      </w:pPr>
      <w:r>
        <w:rPr>
          <w:rStyle w:val="FootnoteReference"/>
        </w:rPr>
        <w:footnoteRef/>
      </w:r>
      <w:r>
        <w:t xml:space="preserve"> Numerous other technical defects with Mr. Keane’s petition for reconsideration could serve as a further basis for denying his petition.  Under the Commission’s rules, p</w:t>
      </w:r>
      <w:r w:rsidRPr="00DA3113">
        <w:t xml:space="preserve">etitions for reconsideration in paper form must be typewritten or printed, conform to specific </w:t>
      </w:r>
      <w:r>
        <w:t xml:space="preserve">typeface </w:t>
      </w:r>
      <w:r w:rsidRPr="00DA3113">
        <w:t>size</w:t>
      </w:r>
      <w:r>
        <w:t>s</w:t>
      </w:r>
      <w:r w:rsidRPr="00DA3113">
        <w:t xml:space="preserve"> and m</w:t>
      </w:r>
      <w:r>
        <w:t xml:space="preserve">argins, </w:t>
      </w:r>
      <w:r w:rsidRPr="00DA3113">
        <w:t xml:space="preserve">and </w:t>
      </w:r>
      <w:r>
        <w:t xml:space="preserve">be </w:t>
      </w:r>
      <w:r w:rsidRPr="00DA3113">
        <w:t>filed with the Secretary</w:t>
      </w:r>
      <w:r>
        <w:t xml:space="preserve">.  47 C.F.R. § 1.106(i).  </w:t>
      </w:r>
      <w:r w:rsidRPr="00DA3113">
        <w:t>Mr. Keane’s handwritten letter, sent to an Enforcement Bureau division chief but not to the Secretary, complies</w:t>
      </w:r>
      <w:r>
        <w:t xml:space="preserve"> </w:t>
      </w:r>
      <w:r w:rsidRPr="00DA3113">
        <w:t>with none of these requirements.</w:t>
      </w:r>
      <w:r>
        <w:t xml:space="preserve">  The Bureau is nevertheless considering the petition on the merits.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D0E" w:rsidRDefault="003C1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37" w:rsidRDefault="00FE3C37" w:rsidP="00810B6F">
    <w:pPr>
      <w:pStyle w:val="Header"/>
      <w:rPr>
        <w:b w:val="0"/>
      </w:rPr>
    </w:pPr>
    <w:r>
      <w:tab/>
      <w:t>Federal Communications Commission</w:t>
    </w:r>
    <w:r>
      <w:tab/>
      <w:t>DA 14-</w:t>
    </w:r>
    <w:r w:rsidR="004A3EA5">
      <w:t>953</w:t>
    </w:r>
  </w:p>
  <w:p w:rsidR="00FE3C37" w:rsidRDefault="00FE3C3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6B1F3B2" wp14:editId="13DEBB6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FE3C37" w:rsidRDefault="00FE3C3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C37" w:rsidRDefault="00FE3C37"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14-</w:t>
    </w:r>
    <w:r w:rsidR="004A3EA5">
      <w:rPr>
        <w:spacing w:val="-2"/>
      </w:rPr>
      <w:t>953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8F"/>
    <w:rsid w:val="00013801"/>
    <w:rsid w:val="00016961"/>
    <w:rsid w:val="00023D41"/>
    <w:rsid w:val="000347EB"/>
    <w:rsid w:val="00036039"/>
    <w:rsid w:val="00037F90"/>
    <w:rsid w:val="000441EF"/>
    <w:rsid w:val="00060006"/>
    <w:rsid w:val="000632B3"/>
    <w:rsid w:val="00073152"/>
    <w:rsid w:val="000810E8"/>
    <w:rsid w:val="000875BF"/>
    <w:rsid w:val="0009329E"/>
    <w:rsid w:val="00095074"/>
    <w:rsid w:val="00096D8C"/>
    <w:rsid w:val="000974D4"/>
    <w:rsid w:val="000A48FE"/>
    <w:rsid w:val="000B1D78"/>
    <w:rsid w:val="000C0B65"/>
    <w:rsid w:val="000C4332"/>
    <w:rsid w:val="000D3BD0"/>
    <w:rsid w:val="000D404A"/>
    <w:rsid w:val="000E3D42"/>
    <w:rsid w:val="000F194F"/>
    <w:rsid w:val="00104904"/>
    <w:rsid w:val="00116FC2"/>
    <w:rsid w:val="00117720"/>
    <w:rsid w:val="00120B41"/>
    <w:rsid w:val="00122BD5"/>
    <w:rsid w:val="00123205"/>
    <w:rsid w:val="00133810"/>
    <w:rsid w:val="00133F79"/>
    <w:rsid w:val="0015513D"/>
    <w:rsid w:val="001614A3"/>
    <w:rsid w:val="0016282A"/>
    <w:rsid w:val="00166D6A"/>
    <w:rsid w:val="00171D3D"/>
    <w:rsid w:val="00182CEB"/>
    <w:rsid w:val="00184BEB"/>
    <w:rsid w:val="00186596"/>
    <w:rsid w:val="001920D6"/>
    <w:rsid w:val="001B5622"/>
    <w:rsid w:val="001C45BB"/>
    <w:rsid w:val="001C5CD5"/>
    <w:rsid w:val="001C6C9E"/>
    <w:rsid w:val="001D3E4F"/>
    <w:rsid w:val="001D655F"/>
    <w:rsid w:val="001D6BCF"/>
    <w:rsid w:val="001E01CA"/>
    <w:rsid w:val="001E1DB2"/>
    <w:rsid w:val="001E7299"/>
    <w:rsid w:val="001F1E0B"/>
    <w:rsid w:val="001F7F8A"/>
    <w:rsid w:val="002007D5"/>
    <w:rsid w:val="00201605"/>
    <w:rsid w:val="00202B08"/>
    <w:rsid w:val="002061FC"/>
    <w:rsid w:val="00207206"/>
    <w:rsid w:val="00210DE3"/>
    <w:rsid w:val="00215F73"/>
    <w:rsid w:val="00216A53"/>
    <w:rsid w:val="00232A69"/>
    <w:rsid w:val="00232F47"/>
    <w:rsid w:val="00232FC8"/>
    <w:rsid w:val="002376D8"/>
    <w:rsid w:val="00241E04"/>
    <w:rsid w:val="00243055"/>
    <w:rsid w:val="002431D0"/>
    <w:rsid w:val="00243452"/>
    <w:rsid w:val="00260AD0"/>
    <w:rsid w:val="00275CF5"/>
    <w:rsid w:val="00281356"/>
    <w:rsid w:val="0028301F"/>
    <w:rsid w:val="00285017"/>
    <w:rsid w:val="00294683"/>
    <w:rsid w:val="002A2D2E"/>
    <w:rsid w:val="002E09C4"/>
    <w:rsid w:val="002E134A"/>
    <w:rsid w:val="002E179C"/>
    <w:rsid w:val="002E4945"/>
    <w:rsid w:val="002F22CE"/>
    <w:rsid w:val="002F2D23"/>
    <w:rsid w:val="002F60B7"/>
    <w:rsid w:val="002F7AC4"/>
    <w:rsid w:val="003061E1"/>
    <w:rsid w:val="00315C30"/>
    <w:rsid w:val="00316E7B"/>
    <w:rsid w:val="003214C2"/>
    <w:rsid w:val="00326BB9"/>
    <w:rsid w:val="00331E8D"/>
    <w:rsid w:val="00341435"/>
    <w:rsid w:val="00343749"/>
    <w:rsid w:val="003477D7"/>
    <w:rsid w:val="00347C0B"/>
    <w:rsid w:val="00351C00"/>
    <w:rsid w:val="00352C90"/>
    <w:rsid w:val="0036158E"/>
    <w:rsid w:val="0036522C"/>
    <w:rsid w:val="00365CF8"/>
    <w:rsid w:val="003660ED"/>
    <w:rsid w:val="00381DB3"/>
    <w:rsid w:val="0039070F"/>
    <w:rsid w:val="003A064B"/>
    <w:rsid w:val="003A368F"/>
    <w:rsid w:val="003B0550"/>
    <w:rsid w:val="003B694F"/>
    <w:rsid w:val="003C1D0E"/>
    <w:rsid w:val="003C6D96"/>
    <w:rsid w:val="003C7D7F"/>
    <w:rsid w:val="003F171C"/>
    <w:rsid w:val="003F2EB3"/>
    <w:rsid w:val="003F544C"/>
    <w:rsid w:val="003F6926"/>
    <w:rsid w:val="003F786A"/>
    <w:rsid w:val="00404023"/>
    <w:rsid w:val="00412FC5"/>
    <w:rsid w:val="00422276"/>
    <w:rsid w:val="004230F1"/>
    <w:rsid w:val="004242F1"/>
    <w:rsid w:val="004300B7"/>
    <w:rsid w:val="00436196"/>
    <w:rsid w:val="00445A00"/>
    <w:rsid w:val="00445BB8"/>
    <w:rsid w:val="00450AC6"/>
    <w:rsid w:val="00451B0F"/>
    <w:rsid w:val="00453FB3"/>
    <w:rsid w:val="00463E44"/>
    <w:rsid w:val="00465CA9"/>
    <w:rsid w:val="00466E34"/>
    <w:rsid w:val="00490263"/>
    <w:rsid w:val="004A3EA5"/>
    <w:rsid w:val="004A51B3"/>
    <w:rsid w:val="004B0591"/>
    <w:rsid w:val="004B3983"/>
    <w:rsid w:val="004B43B9"/>
    <w:rsid w:val="004C2EE3"/>
    <w:rsid w:val="004D2DED"/>
    <w:rsid w:val="004E2E45"/>
    <w:rsid w:val="004E4A22"/>
    <w:rsid w:val="004E6775"/>
    <w:rsid w:val="004F4B7C"/>
    <w:rsid w:val="00504819"/>
    <w:rsid w:val="00506682"/>
    <w:rsid w:val="005108F1"/>
    <w:rsid w:val="00511968"/>
    <w:rsid w:val="0051214C"/>
    <w:rsid w:val="00532A68"/>
    <w:rsid w:val="00535ADD"/>
    <w:rsid w:val="00543A90"/>
    <w:rsid w:val="0055614C"/>
    <w:rsid w:val="00556316"/>
    <w:rsid w:val="005A2192"/>
    <w:rsid w:val="005A34F7"/>
    <w:rsid w:val="005E7BDF"/>
    <w:rsid w:val="005E7E07"/>
    <w:rsid w:val="005E7F55"/>
    <w:rsid w:val="005F274A"/>
    <w:rsid w:val="00600DC2"/>
    <w:rsid w:val="00604AA3"/>
    <w:rsid w:val="00604F40"/>
    <w:rsid w:val="00607BA5"/>
    <w:rsid w:val="0061446C"/>
    <w:rsid w:val="006147F1"/>
    <w:rsid w:val="00623C2B"/>
    <w:rsid w:val="006244F6"/>
    <w:rsid w:val="00626EB6"/>
    <w:rsid w:val="00627850"/>
    <w:rsid w:val="0063721B"/>
    <w:rsid w:val="006456C2"/>
    <w:rsid w:val="0065238C"/>
    <w:rsid w:val="00654501"/>
    <w:rsid w:val="00655D03"/>
    <w:rsid w:val="00657340"/>
    <w:rsid w:val="00664F7E"/>
    <w:rsid w:val="0067395A"/>
    <w:rsid w:val="006773F7"/>
    <w:rsid w:val="006802DA"/>
    <w:rsid w:val="006806EE"/>
    <w:rsid w:val="00683F84"/>
    <w:rsid w:val="006847AA"/>
    <w:rsid w:val="00696A86"/>
    <w:rsid w:val="00697644"/>
    <w:rsid w:val="006A6A81"/>
    <w:rsid w:val="006B2CF7"/>
    <w:rsid w:val="006D0E99"/>
    <w:rsid w:val="006E334E"/>
    <w:rsid w:val="006F1318"/>
    <w:rsid w:val="006F7393"/>
    <w:rsid w:val="0070224F"/>
    <w:rsid w:val="007028C0"/>
    <w:rsid w:val="007115F7"/>
    <w:rsid w:val="00715F01"/>
    <w:rsid w:val="00731754"/>
    <w:rsid w:val="007321B9"/>
    <w:rsid w:val="0073586F"/>
    <w:rsid w:val="00737A84"/>
    <w:rsid w:val="00754A64"/>
    <w:rsid w:val="00760089"/>
    <w:rsid w:val="00760435"/>
    <w:rsid w:val="00767CD4"/>
    <w:rsid w:val="007813C0"/>
    <w:rsid w:val="00785689"/>
    <w:rsid w:val="00791D88"/>
    <w:rsid w:val="0079754B"/>
    <w:rsid w:val="007A1E6D"/>
    <w:rsid w:val="007A552D"/>
    <w:rsid w:val="007B0EB2"/>
    <w:rsid w:val="007B58FB"/>
    <w:rsid w:val="007B7B33"/>
    <w:rsid w:val="007C13A8"/>
    <w:rsid w:val="007D5886"/>
    <w:rsid w:val="007D6284"/>
    <w:rsid w:val="007E5897"/>
    <w:rsid w:val="007F6526"/>
    <w:rsid w:val="00810B6F"/>
    <w:rsid w:val="00811472"/>
    <w:rsid w:val="008129A6"/>
    <w:rsid w:val="00815E60"/>
    <w:rsid w:val="00822CE0"/>
    <w:rsid w:val="00836232"/>
    <w:rsid w:val="00841AB1"/>
    <w:rsid w:val="008440F3"/>
    <w:rsid w:val="00853ADC"/>
    <w:rsid w:val="00857759"/>
    <w:rsid w:val="00863EEC"/>
    <w:rsid w:val="00885D7C"/>
    <w:rsid w:val="00893183"/>
    <w:rsid w:val="0089473E"/>
    <w:rsid w:val="008B19D2"/>
    <w:rsid w:val="008C68F1"/>
    <w:rsid w:val="008D0EDF"/>
    <w:rsid w:val="008E2FD3"/>
    <w:rsid w:val="008F23BA"/>
    <w:rsid w:val="0090221B"/>
    <w:rsid w:val="00904F54"/>
    <w:rsid w:val="00912BFD"/>
    <w:rsid w:val="0091495E"/>
    <w:rsid w:val="00917CBE"/>
    <w:rsid w:val="009211BC"/>
    <w:rsid w:val="00921763"/>
    <w:rsid w:val="00921803"/>
    <w:rsid w:val="009264BC"/>
    <w:rsid w:val="00926503"/>
    <w:rsid w:val="00927894"/>
    <w:rsid w:val="009337C7"/>
    <w:rsid w:val="00935EFD"/>
    <w:rsid w:val="009440D2"/>
    <w:rsid w:val="00960CF0"/>
    <w:rsid w:val="009726D8"/>
    <w:rsid w:val="0098096B"/>
    <w:rsid w:val="00992468"/>
    <w:rsid w:val="009B32FD"/>
    <w:rsid w:val="009B5FA7"/>
    <w:rsid w:val="009C1ED2"/>
    <w:rsid w:val="00A07631"/>
    <w:rsid w:val="00A15D4A"/>
    <w:rsid w:val="00A17979"/>
    <w:rsid w:val="00A32C3B"/>
    <w:rsid w:val="00A4004F"/>
    <w:rsid w:val="00A44D5C"/>
    <w:rsid w:val="00A45F4F"/>
    <w:rsid w:val="00A518D5"/>
    <w:rsid w:val="00A524C3"/>
    <w:rsid w:val="00A600A9"/>
    <w:rsid w:val="00A63128"/>
    <w:rsid w:val="00A75066"/>
    <w:rsid w:val="00A75AFE"/>
    <w:rsid w:val="00A81244"/>
    <w:rsid w:val="00A8434A"/>
    <w:rsid w:val="00AA4FC6"/>
    <w:rsid w:val="00AA55B7"/>
    <w:rsid w:val="00AA5B9E"/>
    <w:rsid w:val="00AB2407"/>
    <w:rsid w:val="00AB37BF"/>
    <w:rsid w:val="00AB53DF"/>
    <w:rsid w:val="00AC526F"/>
    <w:rsid w:val="00AD54AC"/>
    <w:rsid w:val="00AF2A3F"/>
    <w:rsid w:val="00B05778"/>
    <w:rsid w:val="00B07E5C"/>
    <w:rsid w:val="00B17150"/>
    <w:rsid w:val="00B22D6F"/>
    <w:rsid w:val="00B449FB"/>
    <w:rsid w:val="00B44CCA"/>
    <w:rsid w:val="00B474E8"/>
    <w:rsid w:val="00B53C26"/>
    <w:rsid w:val="00B63376"/>
    <w:rsid w:val="00B70C9F"/>
    <w:rsid w:val="00B811F7"/>
    <w:rsid w:val="00BA3D41"/>
    <w:rsid w:val="00BA5DC6"/>
    <w:rsid w:val="00BA6196"/>
    <w:rsid w:val="00BB2A69"/>
    <w:rsid w:val="00BC6D8C"/>
    <w:rsid w:val="00BD185E"/>
    <w:rsid w:val="00BD49A0"/>
    <w:rsid w:val="00BD4D9C"/>
    <w:rsid w:val="00BE2E34"/>
    <w:rsid w:val="00BE603E"/>
    <w:rsid w:val="00BF5EC9"/>
    <w:rsid w:val="00C14AAC"/>
    <w:rsid w:val="00C25502"/>
    <w:rsid w:val="00C3142E"/>
    <w:rsid w:val="00C34006"/>
    <w:rsid w:val="00C426B1"/>
    <w:rsid w:val="00C55185"/>
    <w:rsid w:val="00C7290A"/>
    <w:rsid w:val="00C80DB1"/>
    <w:rsid w:val="00C81DCB"/>
    <w:rsid w:val="00C87DD2"/>
    <w:rsid w:val="00C90D6A"/>
    <w:rsid w:val="00C9356E"/>
    <w:rsid w:val="00CA247E"/>
    <w:rsid w:val="00CA45A7"/>
    <w:rsid w:val="00CB2131"/>
    <w:rsid w:val="00CB75AC"/>
    <w:rsid w:val="00CC2ED7"/>
    <w:rsid w:val="00CC72B6"/>
    <w:rsid w:val="00CD5E78"/>
    <w:rsid w:val="00CE2C57"/>
    <w:rsid w:val="00CE762A"/>
    <w:rsid w:val="00CF7731"/>
    <w:rsid w:val="00D0218D"/>
    <w:rsid w:val="00D1577B"/>
    <w:rsid w:val="00D25FB5"/>
    <w:rsid w:val="00D34555"/>
    <w:rsid w:val="00D34B02"/>
    <w:rsid w:val="00D40D0F"/>
    <w:rsid w:val="00D44223"/>
    <w:rsid w:val="00D61E27"/>
    <w:rsid w:val="00D62E92"/>
    <w:rsid w:val="00D65D63"/>
    <w:rsid w:val="00D669DC"/>
    <w:rsid w:val="00D82B0F"/>
    <w:rsid w:val="00DA0542"/>
    <w:rsid w:val="00DA2529"/>
    <w:rsid w:val="00DA3113"/>
    <w:rsid w:val="00DA3AC6"/>
    <w:rsid w:val="00DB130A"/>
    <w:rsid w:val="00DB2EBB"/>
    <w:rsid w:val="00DC10A1"/>
    <w:rsid w:val="00DC655F"/>
    <w:rsid w:val="00DC6F68"/>
    <w:rsid w:val="00DD0B59"/>
    <w:rsid w:val="00DD1408"/>
    <w:rsid w:val="00DD570C"/>
    <w:rsid w:val="00DD7EBD"/>
    <w:rsid w:val="00DF082A"/>
    <w:rsid w:val="00DF62B6"/>
    <w:rsid w:val="00E06987"/>
    <w:rsid w:val="00E07225"/>
    <w:rsid w:val="00E16242"/>
    <w:rsid w:val="00E16E1C"/>
    <w:rsid w:val="00E26B64"/>
    <w:rsid w:val="00E33BE7"/>
    <w:rsid w:val="00E41259"/>
    <w:rsid w:val="00E437B4"/>
    <w:rsid w:val="00E5409F"/>
    <w:rsid w:val="00E56458"/>
    <w:rsid w:val="00E600CD"/>
    <w:rsid w:val="00E64ABF"/>
    <w:rsid w:val="00E73A42"/>
    <w:rsid w:val="00E942D9"/>
    <w:rsid w:val="00E95A17"/>
    <w:rsid w:val="00ED3D74"/>
    <w:rsid w:val="00EE146E"/>
    <w:rsid w:val="00EE6488"/>
    <w:rsid w:val="00F0116C"/>
    <w:rsid w:val="00F021FA"/>
    <w:rsid w:val="00F1751C"/>
    <w:rsid w:val="00F2284F"/>
    <w:rsid w:val="00F30694"/>
    <w:rsid w:val="00F3584D"/>
    <w:rsid w:val="00F424C1"/>
    <w:rsid w:val="00F6172F"/>
    <w:rsid w:val="00F61F97"/>
    <w:rsid w:val="00F62E97"/>
    <w:rsid w:val="00F64209"/>
    <w:rsid w:val="00F70127"/>
    <w:rsid w:val="00F748B3"/>
    <w:rsid w:val="00F93BF5"/>
    <w:rsid w:val="00FA54C5"/>
    <w:rsid w:val="00FB75D3"/>
    <w:rsid w:val="00FE3C37"/>
    <w:rsid w:val="00FE7664"/>
    <w:rsid w:val="00FF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fn Char,ALTS FOOTNOTE,fn,rrfootnote,f"/>
    <w:link w:val="FootnoteTextChar1"/>
    <w:rsid w:val="000E3D42"/>
    <w:pPr>
      <w:spacing w:after="120"/>
    </w:pPr>
  </w:style>
  <w:style w:type="character" w:styleId="FootnoteReference">
    <w:name w:val="footnote reference"/>
    <w:aliases w:val="Style 4,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2 Char Char,Footnote Text Char Char Char Char,Footnote Text Char1 Char Char1 Char Char,Footnote Text Char Char1 Char Char Char Char,Footnote Text Char3 Char Char Char Char Char Char,fn Char1"/>
    <w:link w:val="FootnoteText"/>
    <w:rsid w:val="00D1577B"/>
  </w:style>
  <w:style w:type="character" w:styleId="Emphasis">
    <w:name w:val="Emphasis"/>
    <w:basedOn w:val="DefaultParagraphFont"/>
    <w:qFormat/>
    <w:rsid w:val="00436196"/>
    <w:rPr>
      <w:i/>
      <w:iCs/>
    </w:rPr>
  </w:style>
  <w:style w:type="paragraph" w:styleId="BalloonText">
    <w:name w:val="Balloon Text"/>
    <w:basedOn w:val="Normal"/>
    <w:link w:val="BalloonTextChar"/>
    <w:rsid w:val="00E06987"/>
    <w:rPr>
      <w:rFonts w:ascii="Tahoma" w:hAnsi="Tahoma" w:cs="Tahoma"/>
      <w:sz w:val="16"/>
      <w:szCs w:val="16"/>
    </w:rPr>
  </w:style>
  <w:style w:type="character" w:customStyle="1" w:styleId="BalloonTextChar">
    <w:name w:val="Balloon Text Char"/>
    <w:basedOn w:val="DefaultParagraphFont"/>
    <w:link w:val="BalloonText"/>
    <w:rsid w:val="00E06987"/>
    <w:rPr>
      <w:rFonts w:ascii="Tahoma" w:hAnsi="Tahoma" w:cs="Tahoma"/>
      <w:snapToGrid w:val="0"/>
      <w:kern w:val="28"/>
      <w:sz w:val="16"/>
      <w:szCs w:val="16"/>
    </w:rPr>
  </w:style>
  <w:style w:type="character" w:styleId="CommentReference">
    <w:name w:val="annotation reference"/>
    <w:basedOn w:val="DefaultParagraphFont"/>
    <w:rsid w:val="006773F7"/>
    <w:rPr>
      <w:sz w:val="16"/>
      <w:szCs w:val="16"/>
    </w:rPr>
  </w:style>
  <w:style w:type="paragraph" w:styleId="CommentText">
    <w:name w:val="annotation text"/>
    <w:basedOn w:val="Normal"/>
    <w:link w:val="CommentTextChar"/>
    <w:rsid w:val="006773F7"/>
    <w:rPr>
      <w:sz w:val="20"/>
    </w:rPr>
  </w:style>
  <w:style w:type="character" w:customStyle="1" w:styleId="CommentTextChar">
    <w:name w:val="Comment Text Char"/>
    <w:basedOn w:val="DefaultParagraphFont"/>
    <w:link w:val="CommentText"/>
    <w:rsid w:val="006773F7"/>
    <w:rPr>
      <w:snapToGrid w:val="0"/>
      <w:kern w:val="28"/>
    </w:rPr>
  </w:style>
  <w:style w:type="paragraph" w:styleId="CommentSubject">
    <w:name w:val="annotation subject"/>
    <w:basedOn w:val="CommentText"/>
    <w:next w:val="CommentText"/>
    <w:link w:val="CommentSubjectChar"/>
    <w:rsid w:val="006773F7"/>
    <w:rPr>
      <w:b/>
      <w:bCs/>
    </w:rPr>
  </w:style>
  <w:style w:type="character" w:customStyle="1" w:styleId="CommentSubjectChar">
    <w:name w:val="Comment Subject Char"/>
    <w:basedOn w:val="CommentTextChar"/>
    <w:link w:val="CommentSubject"/>
    <w:rsid w:val="006773F7"/>
    <w:rPr>
      <w:b/>
      <w:bCs/>
      <w:snapToGrid w:val="0"/>
      <w:kern w:val="28"/>
    </w:rPr>
  </w:style>
  <w:style w:type="character" w:customStyle="1" w:styleId="ParaNumChar1">
    <w:name w:val="ParaNum Char1"/>
    <w:link w:val="ParaNum"/>
    <w:locked/>
    <w:rsid w:val="00DD570C"/>
    <w:rPr>
      <w:snapToGrid w:val="0"/>
      <w:kern w:val="28"/>
      <w:sz w:val="22"/>
    </w:rPr>
  </w:style>
  <w:style w:type="character" w:styleId="PlaceholderText">
    <w:name w:val="Placeholder Text"/>
    <w:basedOn w:val="DefaultParagraphFont"/>
    <w:uiPriority w:val="99"/>
    <w:semiHidden/>
    <w:rsid w:val="00904F5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fn Char,ALTS FOOTNOTE,fn,rrfootnote,f"/>
    <w:link w:val="FootnoteTextChar1"/>
    <w:rsid w:val="000E3D42"/>
    <w:pPr>
      <w:spacing w:after="120"/>
    </w:pPr>
  </w:style>
  <w:style w:type="character" w:styleId="FootnoteReference">
    <w:name w:val="footnote reference"/>
    <w:aliases w:val="Style 4,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2 Char Char,Footnote Text Char Char Char Char,Footnote Text Char1 Char Char1 Char Char,Footnote Text Char Char1 Char Char Char Char,Footnote Text Char3 Char Char Char Char Char Char,fn Char1"/>
    <w:link w:val="FootnoteText"/>
    <w:rsid w:val="00D1577B"/>
  </w:style>
  <w:style w:type="character" w:styleId="Emphasis">
    <w:name w:val="Emphasis"/>
    <w:basedOn w:val="DefaultParagraphFont"/>
    <w:qFormat/>
    <w:rsid w:val="00436196"/>
    <w:rPr>
      <w:i/>
      <w:iCs/>
    </w:rPr>
  </w:style>
  <w:style w:type="paragraph" w:styleId="BalloonText">
    <w:name w:val="Balloon Text"/>
    <w:basedOn w:val="Normal"/>
    <w:link w:val="BalloonTextChar"/>
    <w:rsid w:val="00E06987"/>
    <w:rPr>
      <w:rFonts w:ascii="Tahoma" w:hAnsi="Tahoma" w:cs="Tahoma"/>
      <w:sz w:val="16"/>
      <w:szCs w:val="16"/>
    </w:rPr>
  </w:style>
  <w:style w:type="character" w:customStyle="1" w:styleId="BalloonTextChar">
    <w:name w:val="Balloon Text Char"/>
    <w:basedOn w:val="DefaultParagraphFont"/>
    <w:link w:val="BalloonText"/>
    <w:rsid w:val="00E06987"/>
    <w:rPr>
      <w:rFonts w:ascii="Tahoma" w:hAnsi="Tahoma" w:cs="Tahoma"/>
      <w:snapToGrid w:val="0"/>
      <w:kern w:val="28"/>
      <w:sz w:val="16"/>
      <w:szCs w:val="16"/>
    </w:rPr>
  </w:style>
  <w:style w:type="character" w:styleId="CommentReference">
    <w:name w:val="annotation reference"/>
    <w:basedOn w:val="DefaultParagraphFont"/>
    <w:rsid w:val="006773F7"/>
    <w:rPr>
      <w:sz w:val="16"/>
      <w:szCs w:val="16"/>
    </w:rPr>
  </w:style>
  <w:style w:type="paragraph" w:styleId="CommentText">
    <w:name w:val="annotation text"/>
    <w:basedOn w:val="Normal"/>
    <w:link w:val="CommentTextChar"/>
    <w:rsid w:val="006773F7"/>
    <w:rPr>
      <w:sz w:val="20"/>
    </w:rPr>
  </w:style>
  <w:style w:type="character" w:customStyle="1" w:styleId="CommentTextChar">
    <w:name w:val="Comment Text Char"/>
    <w:basedOn w:val="DefaultParagraphFont"/>
    <w:link w:val="CommentText"/>
    <w:rsid w:val="006773F7"/>
    <w:rPr>
      <w:snapToGrid w:val="0"/>
      <w:kern w:val="28"/>
    </w:rPr>
  </w:style>
  <w:style w:type="paragraph" w:styleId="CommentSubject">
    <w:name w:val="annotation subject"/>
    <w:basedOn w:val="CommentText"/>
    <w:next w:val="CommentText"/>
    <w:link w:val="CommentSubjectChar"/>
    <w:rsid w:val="006773F7"/>
    <w:rPr>
      <w:b/>
      <w:bCs/>
    </w:rPr>
  </w:style>
  <w:style w:type="character" w:customStyle="1" w:styleId="CommentSubjectChar">
    <w:name w:val="Comment Subject Char"/>
    <w:basedOn w:val="CommentTextChar"/>
    <w:link w:val="CommentSubject"/>
    <w:rsid w:val="006773F7"/>
    <w:rPr>
      <w:b/>
      <w:bCs/>
      <w:snapToGrid w:val="0"/>
      <w:kern w:val="28"/>
    </w:rPr>
  </w:style>
  <w:style w:type="character" w:customStyle="1" w:styleId="ParaNumChar1">
    <w:name w:val="ParaNum Char1"/>
    <w:link w:val="ParaNum"/>
    <w:locked/>
    <w:rsid w:val="00DD570C"/>
    <w:rPr>
      <w:snapToGrid w:val="0"/>
      <w:kern w:val="28"/>
      <w:sz w:val="22"/>
    </w:rPr>
  </w:style>
  <w:style w:type="character" w:styleId="PlaceholderText">
    <w:name w:val="Placeholder Text"/>
    <w:basedOn w:val="DefaultParagraphFont"/>
    <w:uiPriority w:val="99"/>
    <w:semiHidden/>
    <w:rsid w:val="00904F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1246</Words>
  <Characters>6552</Characters>
  <Application>Microsoft Office Word</Application>
  <DocSecurity>0</DocSecurity>
  <Lines>141</Lines>
  <Paragraphs>52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7847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2014-05-02T16:35:00Z</cp:lastPrinted>
  <dcterms:created xsi:type="dcterms:W3CDTF">2014-07-02T15:14:00Z</dcterms:created>
  <dcterms:modified xsi:type="dcterms:W3CDTF">2014-07-02T15:14:00Z</dcterms:modified>
  <cp:category> </cp:category>
  <cp:contentStatus> </cp:contentStatus>
</cp:coreProperties>
</file>