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4D" w:rsidRPr="00720071" w:rsidRDefault="00DA414D" w:rsidP="006D5616">
      <w:pPr>
        <w:spacing w:after="120"/>
        <w:jc w:val="right"/>
        <w:rPr>
          <w:b/>
          <w:sz w:val="22"/>
          <w:szCs w:val="22"/>
        </w:rPr>
      </w:pPr>
      <w:bookmarkStart w:id="0" w:name="_GoBack"/>
      <w:bookmarkEnd w:id="0"/>
      <w:r w:rsidRPr="00720071">
        <w:rPr>
          <w:b/>
          <w:sz w:val="22"/>
          <w:szCs w:val="22"/>
        </w:rPr>
        <w:t xml:space="preserve">DA </w:t>
      </w:r>
      <w:r w:rsidR="00C5775B" w:rsidRPr="00C5775B">
        <w:rPr>
          <w:b/>
          <w:sz w:val="22"/>
          <w:szCs w:val="22"/>
        </w:rPr>
        <w:t>14-874</w:t>
      </w:r>
      <w:r w:rsidR="0089510A">
        <w:rPr>
          <w:b/>
          <w:sz w:val="22"/>
          <w:szCs w:val="22"/>
        </w:rPr>
        <w:t xml:space="preserve">     </w:t>
      </w:r>
      <w:r w:rsidR="00A95FD4">
        <w:rPr>
          <w:b/>
          <w:sz w:val="22"/>
          <w:szCs w:val="22"/>
        </w:rPr>
        <w:t xml:space="preserve"> </w:t>
      </w:r>
    </w:p>
    <w:p w:rsidR="00DA414D" w:rsidRPr="00720071" w:rsidRDefault="00DA414D" w:rsidP="00D26D4B">
      <w:pPr>
        <w:jc w:val="right"/>
        <w:rPr>
          <w:b/>
          <w:sz w:val="22"/>
          <w:szCs w:val="22"/>
        </w:rPr>
      </w:pPr>
      <w:r w:rsidRPr="00720071">
        <w:rPr>
          <w:b/>
          <w:sz w:val="22"/>
          <w:szCs w:val="22"/>
        </w:rPr>
        <w:t xml:space="preserve">Released: </w:t>
      </w:r>
      <w:r w:rsidR="0089510A">
        <w:rPr>
          <w:b/>
          <w:sz w:val="22"/>
          <w:szCs w:val="22"/>
        </w:rPr>
        <w:t>June</w:t>
      </w:r>
      <w:r w:rsidR="006B4D54">
        <w:rPr>
          <w:b/>
          <w:sz w:val="22"/>
          <w:szCs w:val="22"/>
        </w:rPr>
        <w:t xml:space="preserve"> </w:t>
      </w:r>
      <w:r w:rsidR="00232B47">
        <w:rPr>
          <w:b/>
          <w:sz w:val="22"/>
          <w:szCs w:val="22"/>
        </w:rPr>
        <w:t>23</w:t>
      </w:r>
      <w:r w:rsidR="0089510A">
        <w:rPr>
          <w:b/>
          <w:sz w:val="22"/>
          <w:szCs w:val="22"/>
        </w:rPr>
        <w:t xml:space="preserve">, 2014 </w:t>
      </w:r>
    </w:p>
    <w:p w:rsidR="00DA414D" w:rsidRPr="00720071" w:rsidRDefault="00DA414D" w:rsidP="00D26D4B">
      <w:pPr>
        <w:jc w:val="right"/>
        <w:rPr>
          <w:sz w:val="22"/>
          <w:szCs w:val="22"/>
        </w:rPr>
      </w:pPr>
    </w:p>
    <w:p w:rsidR="00A95FD4" w:rsidRDefault="00A95FD4" w:rsidP="00D26D4B">
      <w:pPr>
        <w:tabs>
          <w:tab w:val="num" w:pos="1440"/>
        </w:tabs>
        <w:rPr>
          <w:kern w:val="28"/>
          <w:sz w:val="22"/>
          <w:szCs w:val="22"/>
          <w:u w:val="single"/>
        </w:rPr>
      </w:pPr>
    </w:p>
    <w:p w:rsidR="00A95FD4" w:rsidRPr="00A95FD4" w:rsidRDefault="00A95FD4" w:rsidP="00A95FD4">
      <w:pPr>
        <w:jc w:val="center"/>
        <w:rPr>
          <w:b/>
          <w:sz w:val="22"/>
          <w:szCs w:val="22"/>
        </w:rPr>
      </w:pPr>
      <w:r w:rsidRPr="00A95FD4">
        <w:rPr>
          <w:b/>
          <w:sz w:val="22"/>
          <w:szCs w:val="22"/>
        </w:rPr>
        <w:t>NOTICE OF REQUEST FOR ACCESS TO FORM 477 BROADBAND DATA</w:t>
      </w:r>
    </w:p>
    <w:p w:rsidR="00A95FD4" w:rsidRPr="00A95FD4" w:rsidRDefault="00F343F7" w:rsidP="00A95FD4">
      <w:pPr>
        <w:jc w:val="center"/>
        <w:rPr>
          <w:b/>
          <w:sz w:val="22"/>
          <w:szCs w:val="22"/>
        </w:rPr>
      </w:pPr>
      <w:r>
        <w:rPr>
          <w:b/>
          <w:sz w:val="22"/>
          <w:szCs w:val="22"/>
        </w:rPr>
        <w:t>COMMENT PERIOD</w:t>
      </w:r>
      <w:r w:rsidRPr="00A95FD4">
        <w:rPr>
          <w:b/>
          <w:sz w:val="22"/>
          <w:szCs w:val="22"/>
        </w:rPr>
        <w:t xml:space="preserve"> </w:t>
      </w:r>
      <w:r w:rsidR="00A95FD4" w:rsidRPr="00A95FD4">
        <w:rPr>
          <w:b/>
          <w:sz w:val="22"/>
          <w:szCs w:val="22"/>
        </w:rPr>
        <w:t>ESTABLISHED</w:t>
      </w:r>
    </w:p>
    <w:p w:rsidR="00A95FD4" w:rsidRPr="00A95FD4" w:rsidRDefault="00A95FD4" w:rsidP="00A95FD4">
      <w:pPr>
        <w:jc w:val="center"/>
        <w:rPr>
          <w:b/>
          <w:sz w:val="22"/>
          <w:szCs w:val="22"/>
        </w:rPr>
      </w:pPr>
    </w:p>
    <w:p w:rsidR="00A95FD4" w:rsidRPr="00A95FD4" w:rsidRDefault="00A95FD4" w:rsidP="00A95FD4">
      <w:pPr>
        <w:jc w:val="center"/>
        <w:rPr>
          <w:sz w:val="22"/>
          <w:szCs w:val="22"/>
        </w:rPr>
      </w:pPr>
      <w:r w:rsidRPr="006B4D54">
        <w:rPr>
          <w:b/>
          <w:sz w:val="22"/>
          <w:szCs w:val="22"/>
        </w:rPr>
        <w:t>WC</w:t>
      </w:r>
      <w:r w:rsidRPr="00A95FD4">
        <w:rPr>
          <w:b/>
          <w:sz w:val="22"/>
          <w:szCs w:val="22"/>
        </w:rPr>
        <w:t xml:space="preserve"> Docket No. </w:t>
      </w:r>
      <w:r w:rsidR="00F36286">
        <w:rPr>
          <w:b/>
          <w:sz w:val="22"/>
          <w:szCs w:val="22"/>
        </w:rPr>
        <w:t>11-10</w:t>
      </w:r>
    </w:p>
    <w:p w:rsidR="00A95FD4" w:rsidRPr="00A95FD4" w:rsidRDefault="00A95FD4" w:rsidP="00A95FD4">
      <w:pPr>
        <w:tabs>
          <w:tab w:val="left" w:pos="-720"/>
        </w:tabs>
        <w:suppressAutoHyphens/>
        <w:rPr>
          <w:b/>
          <w:sz w:val="22"/>
          <w:szCs w:val="22"/>
        </w:rPr>
      </w:pPr>
    </w:p>
    <w:p w:rsidR="00A95FD4" w:rsidRPr="00A95FD4" w:rsidRDefault="00A95FD4" w:rsidP="00A95FD4">
      <w:pPr>
        <w:rPr>
          <w:b/>
          <w:sz w:val="22"/>
          <w:szCs w:val="22"/>
        </w:rPr>
      </w:pPr>
      <w:r w:rsidRPr="00A95FD4">
        <w:rPr>
          <w:b/>
          <w:sz w:val="22"/>
          <w:szCs w:val="22"/>
        </w:rPr>
        <w:t>Comment Date:  Ju</w:t>
      </w:r>
      <w:r w:rsidR="00232B47">
        <w:rPr>
          <w:b/>
          <w:sz w:val="22"/>
          <w:szCs w:val="22"/>
        </w:rPr>
        <w:t>ly</w:t>
      </w:r>
      <w:r w:rsidRPr="00A95FD4">
        <w:rPr>
          <w:b/>
          <w:sz w:val="22"/>
          <w:szCs w:val="22"/>
        </w:rPr>
        <w:t xml:space="preserve"> </w:t>
      </w:r>
      <w:r w:rsidR="006B4D54">
        <w:rPr>
          <w:b/>
          <w:sz w:val="22"/>
          <w:szCs w:val="22"/>
        </w:rPr>
        <w:t>3</w:t>
      </w:r>
      <w:r w:rsidRPr="00A95FD4">
        <w:rPr>
          <w:b/>
          <w:sz w:val="22"/>
          <w:szCs w:val="22"/>
        </w:rPr>
        <w:t xml:space="preserve">, 2014 </w:t>
      </w:r>
    </w:p>
    <w:p w:rsidR="00A95FD4" w:rsidRPr="00A95FD4" w:rsidRDefault="00A95FD4" w:rsidP="00A95FD4">
      <w:pPr>
        <w:rPr>
          <w:b/>
          <w:sz w:val="22"/>
          <w:szCs w:val="22"/>
        </w:rPr>
      </w:pPr>
    </w:p>
    <w:p w:rsidR="00A95FD4" w:rsidRPr="00A95FD4" w:rsidRDefault="00A95FD4" w:rsidP="00A95FD4">
      <w:pPr>
        <w:ind w:firstLine="720"/>
        <w:rPr>
          <w:sz w:val="22"/>
          <w:szCs w:val="22"/>
        </w:rPr>
      </w:pPr>
      <w:r w:rsidRPr="00A95FD4">
        <w:rPr>
          <w:sz w:val="22"/>
          <w:szCs w:val="22"/>
        </w:rPr>
        <w:t>In connection with its investigation of the proposed acquisition of Time Warner Cable by Comcast Corp., the Antitrust Division of the United States Department of Justice (the Department) has requested access to data collected on the Commission’s Form 477.</w:t>
      </w:r>
      <w:r w:rsidRPr="00A95FD4">
        <w:rPr>
          <w:rStyle w:val="FootnoteReference"/>
          <w:sz w:val="22"/>
          <w:szCs w:val="22"/>
        </w:rPr>
        <w:footnoteReference w:id="1"/>
      </w:r>
      <w:r w:rsidRPr="00A95FD4">
        <w:rPr>
          <w:sz w:val="22"/>
          <w:szCs w:val="22"/>
        </w:rPr>
        <w:t xml:space="preserve">  Specifically, the Department is seeking access to “disaggregated broadband subscriber data collected through FCC Form 477 (and any updates that become available during the pendency of the investigation), by carrier and census tract, from June 2009 forward.”</w:t>
      </w:r>
      <w:r w:rsidRPr="00A95FD4">
        <w:rPr>
          <w:rStyle w:val="FootnoteReference"/>
          <w:sz w:val="22"/>
          <w:szCs w:val="22"/>
        </w:rPr>
        <w:footnoteReference w:id="2"/>
      </w:r>
      <w:r w:rsidRPr="00A95FD4">
        <w:rPr>
          <w:sz w:val="22"/>
          <w:szCs w:val="22"/>
        </w:rPr>
        <w:t xml:space="preserve">  Pursuant to section 0.442 of the Commission’s rules, this Notice initiates a pleading cycle that allows any affected provider to oppose such disclosure of Form 477 data.</w:t>
      </w:r>
      <w:r w:rsidRPr="00A95FD4">
        <w:rPr>
          <w:rStyle w:val="FootnoteReference"/>
          <w:sz w:val="22"/>
          <w:szCs w:val="22"/>
        </w:rPr>
        <w:footnoteReference w:id="3"/>
      </w:r>
    </w:p>
    <w:p w:rsidR="00A95FD4" w:rsidRPr="00A95FD4" w:rsidRDefault="00A95FD4" w:rsidP="00A95FD4">
      <w:pPr>
        <w:ind w:firstLine="720"/>
        <w:rPr>
          <w:sz w:val="22"/>
          <w:szCs w:val="22"/>
        </w:rPr>
      </w:pPr>
    </w:p>
    <w:p w:rsidR="00A95FD4" w:rsidRPr="00A95FD4" w:rsidRDefault="00A95FD4" w:rsidP="00A95FD4">
      <w:pPr>
        <w:ind w:firstLine="720"/>
        <w:rPr>
          <w:sz w:val="22"/>
          <w:szCs w:val="22"/>
        </w:rPr>
      </w:pPr>
      <w:r w:rsidRPr="00A95FD4">
        <w:rPr>
          <w:sz w:val="22"/>
          <w:szCs w:val="22"/>
        </w:rPr>
        <w:t>The Commission collects information about Internet access connections to end user locations, wired and wireless local telephone services, and interconnected Voice over Internet Protocol (VoIP) services in individual states on FCC Form 477.</w:t>
      </w:r>
      <w:r w:rsidRPr="00A95FD4">
        <w:rPr>
          <w:rStyle w:val="FootnoteReference"/>
          <w:sz w:val="22"/>
          <w:szCs w:val="22"/>
        </w:rPr>
        <w:footnoteReference w:id="4"/>
      </w:r>
      <w:r w:rsidRPr="00A95FD4">
        <w:rPr>
          <w:sz w:val="22"/>
          <w:szCs w:val="22"/>
        </w:rPr>
        <w:t xml:space="preserve">  The Commission allows filers to request confidential treatment for competitively sensitive information in a particular Form 477 submission by making the appropriate selection on the cover page of Form 477.</w:t>
      </w:r>
      <w:r w:rsidRPr="00A95FD4">
        <w:rPr>
          <w:rStyle w:val="FootnoteReference"/>
          <w:sz w:val="22"/>
          <w:szCs w:val="22"/>
        </w:rPr>
        <w:footnoteReference w:id="5"/>
      </w:r>
      <w:r w:rsidRPr="00A95FD4">
        <w:rPr>
          <w:sz w:val="22"/>
          <w:szCs w:val="22"/>
        </w:rPr>
        <w:t xml:space="preserve">  </w:t>
      </w:r>
    </w:p>
    <w:p w:rsidR="00A95FD4" w:rsidRPr="00A95FD4" w:rsidRDefault="00A95FD4" w:rsidP="00A95FD4">
      <w:pPr>
        <w:rPr>
          <w:sz w:val="22"/>
          <w:szCs w:val="22"/>
        </w:rPr>
      </w:pPr>
    </w:p>
    <w:p w:rsidR="00A95FD4" w:rsidRPr="00A95FD4" w:rsidRDefault="00A95FD4" w:rsidP="00A95FD4">
      <w:pPr>
        <w:ind w:firstLine="720"/>
        <w:rPr>
          <w:sz w:val="22"/>
          <w:szCs w:val="22"/>
        </w:rPr>
      </w:pPr>
      <w:r w:rsidRPr="00A95FD4">
        <w:rPr>
          <w:sz w:val="22"/>
          <w:szCs w:val="22"/>
        </w:rPr>
        <w:t>While the Commission’s regulations provide that proprietary and commercially sensitive information will be withheld from public disclosure, subject to the public’s right to seek disclosure under the FOIA and implementing regulations,</w:t>
      </w:r>
      <w:r w:rsidRPr="00A95FD4">
        <w:rPr>
          <w:rStyle w:val="FootnoteReference"/>
          <w:sz w:val="22"/>
          <w:szCs w:val="22"/>
        </w:rPr>
        <w:footnoteReference w:id="6"/>
      </w:r>
      <w:r w:rsidRPr="00A95FD4">
        <w:rPr>
          <w:sz w:val="22"/>
          <w:szCs w:val="22"/>
        </w:rPr>
        <w:t xml:space="preserve"> the Commission is authorized to share information it has </w:t>
      </w:r>
      <w:r w:rsidRPr="00A95FD4">
        <w:rPr>
          <w:sz w:val="22"/>
          <w:szCs w:val="22"/>
        </w:rPr>
        <w:lastRenderedPageBreak/>
        <w:t>collected with another federal agency if such disclosure is not inconsistent with applicable law.</w:t>
      </w:r>
      <w:r w:rsidRPr="00A95FD4">
        <w:rPr>
          <w:rStyle w:val="FootnoteReference"/>
          <w:sz w:val="22"/>
          <w:szCs w:val="22"/>
        </w:rPr>
        <w:footnoteReference w:id="7"/>
      </w:r>
      <w:r w:rsidRPr="00A95FD4">
        <w:rPr>
          <w:sz w:val="22"/>
          <w:szCs w:val="22"/>
        </w:rPr>
        <w:t xml:space="preserve">  The Commission’s rules provide for interagency disclosure of information that has been submitted to the Commission in confidence if certain conditions are met.</w:t>
      </w:r>
      <w:r w:rsidRPr="00A95FD4">
        <w:rPr>
          <w:rStyle w:val="FootnoteReference"/>
          <w:sz w:val="22"/>
          <w:szCs w:val="22"/>
        </w:rPr>
        <w:footnoteReference w:id="8"/>
      </w:r>
      <w:r w:rsidRPr="00A95FD4">
        <w:rPr>
          <w:sz w:val="22"/>
          <w:szCs w:val="22"/>
        </w:rPr>
        <w:t xml:space="preserve">  Specifically, the Commission may engage in sharing with other agencies, subject to notice and an opportunity for submitting parties to object, and provided that:  (1) specific assurances against such disclosure have not been given; (2) the receiving agency has established a legitimate need for the information; (3) disclosure is made subject to 44 U.S.C. 3510(b); and (4) disclosure is not prohibited by the Privacy Act or other provisions of law.</w:t>
      </w:r>
      <w:r w:rsidRPr="00A95FD4">
        <w:rPr>
          <w:rStyle w:val="FootnoteReference"/>
          <w:sz w:val="22"/>
          <w:szCs w:val="22"/>
        </w:rPr>
        <w:footnoteReference w:id="9"/>
      </w:r>
      <w:r w:rsidRPr="00A95FD4">
        <w:rPr>
          <w:sz w:val="22"/>
          <w:szCs w:val="22"/>
        </w:rPr>
        <w:t xml:space="preserve">  Under 44 U.S.C. § 3510(b), the officers and employees of an agency receiving information from another agency are subject to the same provisions of law, including penalties, relating to unlawful disclosure of the information as the officers and employees of the agency originally collecting it.</w:t>
      </w:r>
      <w:r w:rsidRPr="00A95FD4">
        <w:rPr>
          <w:rStyle w:val="FootnoteReference"/>
          <w:sz w:val="22"/>
          <w:szCs w:val="22"/>
        </w:rPr>
        <w:footnoteReference w:id="10"/>
      </w:r>
      <w:r w:rsidRPr="00A95FD4">
        <w:rPr>
          <w:sz w:val="22"/>
          <w:szCs w:val="22"/>
        </w:rPr>
        <w:t xml:space="preserve">   </w:t>
      </w:r>
    </w:p>
    <w:p w:rsidR="00A95FD4" w:rsidRPr="00A95FD4" w:rsidRDefault="00A95FD4" w:rsidP="00A95FD4">
      <w:pPr>
        <w:rPr>
          <w:sz w:val="22"/>
          <w:szCs w:val="22"/>
        </w:rPr>
      </w:pPr>
    </w:p>
    <w:p w:rsidR="00A95FD4" w:rsidRPr="00A95FD4" w:rsidRDefault="00A95FD4" w:rsidP="00A95FD4">
      <w:pPr>
        <w:ind w:firstLine="720"/>
        <w:rPr>
          <w:kern w:val="28"/>
          <w:sz w:val="22"/>
          <w:szCs w:val="22"/>
          <w:u w:val="single"/>
        </w:rPr>
      </w:pPr>
      <w:r w:rsidRPr="00A95FD4">
        <w:rPr>
          <w:sz w:val="22"/>
          <w:szCs w:val="22"/>
        </w:rPr>
        <w:t xml:space="preserve">Pursuant to the Commission’s regulations, affected parties have until </w:t>
      </w:r>
      <w:r w:rsidRPr="006B4D54">
        <w:rPr>
          <w:sz w:val="22"/>
          <w:szCs w:val="22"/>
        </w:rPr>
        <w:t>Ju</w:t>
      </w:r>
      <w:r w:rsidR="00F37447">
        <w:rPr>
          <w:sz w:val="22"/>
          <w:szCs w:val="22"/>
        </w:rPr>
        <w:t>ly</w:t>
      </w:r>
      <w:r w:rsidRPr="006B4D54">
        <w:rPr>
          <w:sz w:val="22"/>
          <w:szCs w:val="22"/>
        </w:rPr>
        <w:t xml:space="preserve"> </w:t>
      </w:r>
      <w:r w:rsidR="00F37447">
        <w:rPr>
          <w:sz w:val="22"/>
          <w:szCs w:val="22"/>
        </w:rPr>
        <w:t>3</w:t>
      </w:r>
      <w:r w:rsidRPr="006B4D54">
        <w:rPr>
          <w:sz w:val="22"/>
          <w:szCs w:val="22"/>
        </w:rPr>
        <w:t>, 2014</w:t>
      </w:r>
      <w:r w:rsidRPr="00A95FD4">
        <w:rPr>
          <w:sz w:val="22"/>
          <w:szCs w:val="22"/>
        </w:rPr>
        <w:t xml:space="preserve"> to oppose disclosure to the Department of the Form 477 data that the Commission collects from broadband service providers.</w:t>
      </w:r>
      <w:r w:rsidRPr="00A95FD4">
        <w:rPr>
          <w:rStyle w:val="StyleFootnoteReferenceStyle1311pt"/>
          <w:sz w:val="22"/>
          <w:szCs w:val="22"/>
        </w:rPr>
        <w:footnoteReference w:id="11"/>
      </w:r>
      <w:r w:rsidRPr="00A95FD4">
        <w:rPr>
          <w:sz w:val="22"/>
          <w:szCs w:val="22"/>
        </w:rPr>
        <w:t xml:space="preserve">  If the Commission receives no opposition from affected parties by that date, the Commission will disclose the information requested above to the Department.  If disclosure is opposed, the procedures set forth in 47 C.F.R. § 0.442 shall apply.  All pleadings should refer </w:t>
      </w:r>
      <w:r w:rsidRPr="006B4D54">
        <w:rPr>
          <w:sz w:val="22"/>
          <w:szCs w:val="22"/>
        </w:rPr>
        <w:t xml:space="preserve">to WC Docket No. </w:t>
      </w:r>
      <w:r w:rsidR="00F36286" w:rsidRPr="006B4D54">
        <w:rPr>
          <w:sz w:val="22"/>
          <w:szCs w:val="22"/>
        </w:rPr>
        <w:t>11-10</w:t>
      </w:r>
      <w:r w:rsidR="00877FA8" w:rsidRPr="006B4D54">
        <w:rPr>
          <w:b/>
          <w:sz w:val="22"/>
          <w:szCs w:val="22"/>
        </w:rPr>
        <w:t xml:space="preserve">.  </w:t>
      </w:r>
      <w:r w:rsidR="00F36286" w:rsidRPr="006B4D54">
        <w:rPr>
          <w:sz w:val="22"/>
          <w:szCs w:val="22"/>
        </w:rPr>
        <w:t>The scope of this Public Notice is limited to t</w:t>
      </w:r>
      <w:r w:rsidR="00877FA8" w:rsidRPr="006B4D54">
        <w:rPr>
          <w:sz w:val="22"/>
          <w:szCs w:val="22"/>
        </w:rPr>
        <w:t xml:space="preserve">he Department’s request for Form 477 data; this Public Notice does not seek comment on broader </w:t>
      </w:r>
      <w:r w:rsidR="00F36286" w:rsidRPr="006B4D54">
        <w:rPr>
          <w:sz w:val="22"/>
          <w:szCs w:val="22"/>
        </w:rPr>
        <w:t xml:space="preserve">disclosure </w:t>
      </w:r>
      <w:r w:rsidR="00877FA8" w:rsidRPr="006B4D54">
        <w:rPr>
          <w:sz w:val="22"/>
          <w:szCs w:val="22"/>
        </w:rPr>
        <w:t xml:space="preserve">issues </w:t>
      </w:r>
      <w:r w:rsidR="00F36286" w:rsidRPr="006B4D54">
        <w:rPr>
          <w:sz w:val="22"/>
          <w:szCs w:val="22"/>
        </w:rPr>
        <w:t>raised in WC Docket No. 11-10, except as needed to address the Department’s request.</w:t>
      </w:r>
    </w:p>
    <w:p w:rsidR="00A95FD4" w:rsidRPr="00A95FD4" w:rsidRDefault="00A95FD4" w:rsidP="00D26D4B">
      <w:pPr>
        <w:tabs>
          <w:tab w:val="num" w:pos="1440"/>
        </w:tabs>
        <w:rPr>
          <w:kern w:val="28"/>
          <w:sz w:val="22"/>
          <w:szCs w:val="22"/>
          <w:u w:val="single"/>
        </w:rPr>
      </w:pPr>
    </w:p>
    <w:p w:rsidR="00FB7826" w:rsidRPr="00A95FD4" w:rsidRDefault="00FB7826" w:rsidP="00D26D4B">
      <w:pPr>
        <w:tabs>
          <w:tab w:val="num" w:pos="1440"/>
        </w:tabs>
        <w:rPr>
          <w:snapToGrid w:val="0"/>
          <w:kern w:val="28"/>
          <w:sz w:val="22"/>
          <w:szCs w:val="22"/>
        </w:rPr>
      </w:pPr>
      <w:r w:rsidRPr="00A95FD4">
        <w:rPr>
          <w:kern w:val="28"/>
          <w:sz w:val="22"/>
          <w:szCs w:val="22"/>
          <w:u w:val="single"/>
        </w:rPr>
        <w:t>Filing Instructions</w:t>
      </w:r>
      <w:r w:rsidRPr="00A95FD4">
        <w:rPr>
          <w:kern w:val="28"/>
          <w:sz w:val="22"/>
          <w:szCs w:val="22"/>
        </w:rPr>
        <w:t xml:space="preserve">.  </w:t>
      </w:r>
      <w:bookmarkStart w:id="1" w:name="_Ref378878508"/>
      <w:r w:rsidRPr="00A95FD4">
        <w:rPr>
          <w:snapToGrid w:val="0"/>
          <w:kern w:val="28"/>
          <w:sz w:val="22"/>
          <w:szCs w:val="22"/>
        </w:rPr>
        <w:t>Pursuant to sections 1.415 and 1.419 of the Commission’s rules,</w:t>
      </w:r>
      <w:r w:rsidR="00CD479E" w:rsidRPr="00A95FD4">
        <w:rPr>
          <w:rStyle w:val="FootnoteReference"/>
          <w:snapToGrid w:val="0"/>
          <w:kern w:val="28"/>
          <w:sz w:val="22"/>
          <w:szCs w:val="22"/>
        </w:rPr>
        <w:footnoteReference w:id="12"/>
      </w:r>
      <w:r w:rsidRPr="00A95FD4">
        <w:rPr>
          <w:snapToGrid w:val="0"/>
          <w:kern w:val="28"/>
          <w:sz w:val="22"/>
          <w:szCs w:val="22"/>
        </w:rPr>
        <w:t xml:space="preserve"> interested parties may file </w:t>
      </w:r>
      <w:r w:rsidR="00A95FD4" w:rsidRPr="00A95FD4">
        <w:rPr>
          <w:snapToGrid w:val="0"/>
          <w:kern w:val="28"/>
          <w:sz w:val="22"/>
          <w:szCs w:val="22"/>
        </w:rPr>
        <w:t>objections to the planned disclosure</w:t>
      </w:r>
      <w:r w:rsidRPr="00A95FD4">
        <w:rPr>
          <w:snapToGrid w:val="0"/>
          <w:kern w:val="28"/>
          <w:sz w:val="22"/>
          <w:szCs w:val="22"/>
        </w:rPr>
        <w:t xml:space="preserve"> on or before the date indicated above.  Comments may be filed using the Commission’s Electronic Comment Filing System (ECFS)</w:t>
      </w:r>
      <w:r w:rsidR="00CD479E" w:rsidRPr="00A95FD4">
        <w:rPr>
          <w:snapToGrid w:val="0"/>
          <w:kern w:val="28"/>
          <w:sz w:val="22"/>
          <w:szCs w:val="22"/>
        </w:rPr>
        <w:t>, or by filing paper copies</w:t>
      </w:r>
      <w:r w:rsidRPr="00A95FD4">
        <w:rPr>
          <w:snapToGrid w:val="0"/>
          <w:kern w:val="28"/>
          <w:sz w:val="22"/>
          <w:szCs w:val="22"/>
        </w:rPr>
        <w:t>.</w:t>
      </w:r>
      <w:r w:rsidR="00CD479E" w:rsidRPr="00A95FD4">
        <w:rPr>
          <w:rStyle w:val="FootnoteReference"/>
          <w:snapToGrid w:val="0"/>
          <w:kern w:val="28"/>
          <w:sz w:val="22"/>
          <w:szCs w:val="22"/>
        </w:rPr>
        <w:footnoteReference w:id="13"/>
      </w:r>
      <w:r w:rsidRPr="00A95FD4">
        <w:rPr>
          <w:snapToGrid w:val="0"/>
          <w:kern w:val="28"/>
          <w:sz w:val="22"/>
          <w:szCs w:val="22"/>
        </w:rPr>
        <w:t xml:space="preserve">  </w:t>
      </w:r>
      <w:bookmarkEnd w:id="1"/>
    </w:p>
    <w:p w:rsidR="00FB7826" w:rsidRPr="00A95FD4" w:rsidRDefault="00FB7826" w:rsidP="00D26D4B">
      <w:pPr>
        <w:tabs>
          <w:tab w:val="num" w:pos="1440"/>
        </w:tabs>
        <w:ind w:firstLine="720"/>
        <w:rPr>
          <w:snapToGrid w:val="0"/>
          <w:kern w:val="28"/>
          <w:sz w:val="22"/>
          <w:szCs w:val="22"/>
        </w:rPr>
      </w:pPr>
    </w:p>
    <w:p w:rsidR="00FB7826" w:rsidRPr="00A95FD4" w:rsidRDefault="00FB7826" w:rsidP="00D26D4B">
      <w:pPr>
        <w:numPr>
          <w:ilvl w:val="0"/>
          <w:numId w:val="18"/>
        </w:numPr>
        <w:rPr>
          <w:snapToGrid w:val="0"/>
          <w:kern w:val="28"/>
          <w:sz w:val="22"/>
          <w:szCs w:val="22"/>
        </w:rPr>
      </w:pPr>
      <w:r w:rsidRPr="00A95FD4">
        <w:rPr>
          <w:snapToGrid w:val="0"/>
          <w:kern w:val="28"/>
          <w:sz w:val="22"/>
          <w:szCs w:val="22"/>
        </w:rPr>
        <w:t xml:space="preserve">Electronic Filers:  Comments may be filed electronically using the Internet by accessing the ECFS:  </w:t>
      </w:r>
      <w:hyperlink r:id="rId8" w:history="1">
        <w:r w:rsidRPr="00A95FD4">
          <w:rPr>
            <w:snapToGrid w:val="0"/>
            <w:color w:val="0000FF"/>
            <w:kern w:val="28"/>
            <w:sz w:val="22"/>
            <w:szCs w:val="22"/>
            <w:u w:val="single"/>
          </w:rPr>
          <w:t>http://fjallfoss.fcc.gov/ecfs2/</w:t>
        </w:r>
      </w:hyperlink>
      <w:r w:rsidRPr="00A95FD4">
        <w:rPr>
          <w:snapToGrid w:val="0"/>
          <w:kern w:val="28"/>
          <w:sz w:val="22"/>
          <w:szCs w:val="22"/>
        </w:rPr>
        <w:t xml:space="preserve">.  </w:t>
      </w:r>
    </w:p>
    <w:p w:rsidR="00FB7826" w:rsidRPr="00A95FD4" w:rsidRDefault="00FB7826" w:rsidP="00D26D4B">
      <w:pPr>
        <w:rPr>
          <w:snapToGrid w:val="0"/>
          <w:kern w:val="28"/>
          <w:sz w:val="22"/>
          <w:szCs w:val="22"/>
        </w:rPr>
      </w:pPr>
    </w:p>
    <w:p w:rsidR="00FB7826" w:rsidRPr="00A95FD4" w:rsidRDefault="00FB7826" w:rsidP="00D26D4B">
      <w:pPr>
        <w:numPr>
          <w:ilvl w:val="0"/>
          <w:numId w:val="16"/>
        </w:numPr>
        <w:tabs>
          <w:tab w:val="num" w:pos="720"/>
        </w:tabs>
        <w:ind w:left="720"/>
        <w:rPr>
          <w:snapToGrid w:val="0"/>
          <w:kern w:val="28"/>
          <w:sz w:val="22"/>
          <w:szCs w:val="22"/>
        </w:rPr>
      </w:pPr>
      <w:r w:rsidRPr="00A95FD4">
        <w:rPr>
          <w:snapToGrid w:val="0"/>
          <w:kern w:val="28"/>
          <w:sz w:val="22"/>
          <w:szCs w:val="22"/>
        </w:rPr>
        <w:t xml:space="preserve">Paper Filers:  Parties who choose to file by paper </w:t>
      </w:r>
      <w:r w:rsidR="003F1005" w:rsidRPr="00A95FD4">
        <w:rPr>
          <w:snapToGrid w:val="0"/>
          <w:kern w:val="28"/>
          <w:sz w:val="22"/>
          <w:szCs w:val="22"/>
        </w:rPr>
        <w:t xml:space="preserve">must file an original and </w:t>
      </w:r>
      <w:r w:rsidRPr="00A95FD4">
        <w:rPr>
          <w:snapToGrid w:val="0"/>
          <w:kern w:val="28"/>
          <w:sz w:val="22"/>
          <w:szCs w:val="22"/>
        </w:rPr>
        <w:t>one copy of each filing.  If more than one docket or rulemaking number appears in the caption of this proceeding, filers must submit two additional copies for each additional docket or rulemaking number.</w:t>
      </w:r>
    </w:p>
    <w:p w:rsidR="00FB7826" w:rsidRPr="00A95FD4" w:rsidRDefault="00FB7826" w:rsidP="00D26D4B">
      <w:pPr>
        <w:rPr>
          <w:snapToGrid w:val="0"/>
          <w:kern w:val="28"/>
          <w:sz w:val="22"/>
          <w:szCs w:val="22"/>
        </w:rPr>
      </w:pPr>
    </w:p>
    <w:p w:rsidR="00FB7826" w:rsidRPr="00A95FD4" w:rsidRDefault="00FB7826" w:rsidP="00D26D4B">
      <w:pPr>
        <w:ind w:left="720"/>
        <w:rPr>
          <w:snapToGrid w:val="0"/>
          <w:kern w:val="28"/>
          <w:sz w:val="22"/>
          <w:szCs w:val="22"/>
        </w:rPr>
      </w:pPr>
      <w:r w:rsidRPr="00A95FD4">
        <w:rPr>
          <w:snapToGrid w:val="0"/>
          <w:kern w:val="28"/>
          <w:sz w:val="22"/>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B7826" w:rsidRPr="00A95FD4" w:rsidRDefault="00FB7826" w:rsidP="00D26D4B">
      <w:pPr>
        <w:rPr>
          <w:snapToGrid w:val="0"/>
          <w:kern w:val="28"/>
          <w:sz w:val="22"/>
          <w:szCs w:val="22"/>
        </w:rPr>
      </w:pPr>
    </w:p>
    <w:p w:rsidR="00FB7826" w:rsidRPr="00A95FD4" w:rsidRDefault="00FB7826" w:rsidP="00D26D4B">
      <w:pPr>
        <w:numPr>
          <w:ilvl w:val="0"/>
          <w:numId w:val="17"/>
        </w:numPr>
        <w:tabs>
          <w:tab w:val="num" w:pos="1440"/>
        </w:tabs>
        <w:ind w:left="1440"/>
        <w:rPr>
          <w:snapToGrid w:val="0"/>
          <w:kern w:val="28"/>
          <w:sz w:val="22"/>
          <w:szCs w:val="22"/>
        </w:rPr>
      </w:pPr>
      <w:r w:rsidRPr="00A95FD4">
        <w:rPr>
          <w:snapToGrid w:val="0"/>
          <w:kern w:val="28"/>
          <w:sz w:val="22"/>
          <w:szCs w:val="22"/>
        </w:rPr>
        <w:t>All hand-delivered or messenger-delivered paper filings for the Commission’s Secretary must be delivered to FCC Headquarters at 445 12</w:t>
      </w:r>
      <w:r w:rsidRPr="00A95FD4">
        <w:rPr>
          <w:snapToGrid w:val="0"/>
          <w:kern w:val="28"/>
          <w:sz w:val="22"/>
          <w:szCs w:val="22"/>
          <w:vertAlign w:val="superscript"/>
        </w:rPr>
        <w:t>th</w:t>
      </w:r>
      <w:r w:rsidRPr="00A95FD4">
        <w:rPr>
          <w:snapToGrid w:val="0"/>
          <w:kern w:val="28"/>
          <w:sz w:val="22"/>
          <w:szCs w:val="22"/>
        </w:rPr>
        <w:t xml:space="preserve"> St., SW, Room TW-A325, Washington, DC 20554.  The filing hours are 8:00 a.m. to 7:00 p.m.   All hand deliveries </w:t>
      </w:r>
      <w:r w:rsidRPr="00A95FD4">
        <w:rPr>
          <w:snapToGrid w:val="0"/>
          <w:kern w:val="28"/>
          <w:sz w:val="22"/>
          <w:szCs w:val="22"/>
        </w:rPr>
        <w:lastRenderedPageBreak/>
        <w:t xml:space="preserve">must be held together with rubber bands or fasteners.  Any envelopes and boxes must be disposed of </w:t>
      </w:r>
      <w:r w:rsidRPr="00A95FD4">
        <w:rPr>
          <w:snapToGrid w:val="0"/>
          <w:kern w:val="28"/>
          <w:sz w:val="22"/>
          <w:szCs w:val="22"/>
          <w:u w:val="single"/>
        </w:rPr>
        <w:t>before</w:t>
      </w:r>
      <w:r w:rsidRPr="00A95FD4">
        <w:rPr>
          <w:snapToGrid w:val="0"/>
          <w:kern w:val="28"/>
          <w:sz w:val="22"/>
          <w:szCs w:val="22"/>
        </w:rPr>
        <w:t xml:space="preserve"> entering the building.  </w:t>
      </w:r>
    </w:p>
    <w:p w:rsidR="00FB7826" w:rsidRPr="00A95FD4" w:rsidRDefault="00FB7826" w:rsidP="00D26D4B">
      <w:pPr>
        <w:ind w:left="1080"/>
        <w:rPr>
          <w:snapToGrid w:val="0"/>
          <w:kern w:val="28"/>
          <w:sz w:val="22"/>
          <w:szCs w:val="22"/>
        </w:rPr>
      </w:pPr>
    </w:p>
    <w:p w:rsidR="00FB7826" w:rsidRPr="00A95FD4" w:rsidRDefault="00FB7826" w:rsidP="00D26D4B">
      <w:pPr>
        <w:numPr>
          <w:ilvl w:val="0"/>
          <w:numId w:val="17"/>
        </w:numPr>
        <w:tabs>
          <w:tab w:val="num" w:pos="1440"/>
        </w:tabs>
        <w:ind w:left="1440"/>
        <w:rPr>
          <w:snapToGrid w:val="0"/>
          <w:kern w:val="28"/>
          <w:sz w:val="22"/>
          <w:szCs w:val="22"/>
        </w:rPr>
      </w:pPr>
      <w:r w:rsidRPr="00A95FD4">
        <w:rPr>
          <w:snapToGrid w:val="0"/>
          <w:kern w:val="28"/>
          <w:sz w:val="22"/>
          <w:szCs w:val="22"/>
        </w:rPr>
        <w:t>Commercial overnight mail (other than U.S. Postal Service Express Mail and Priority Mail) must be sent to 9300 East Hampton Drive, Capitol Heights, MD  20743.</w:t>
      </w:r>
    </w:p>
    <w:p w:rsidR="00FB7826" w:rsidRPr="00A95FD4" w:rsidRDefault="00FB7826" w:rsidP="00D26D4B">
      <w:pPr>
        <w:rPr>
          <w:snapToGrid w:val="0"/>
          <w:kern w:val="28"/>
          <w:sz w:val="22"/>
          <w:szCs w:val="22"/>
        </w:rPr>
      </w:pPr>
    </w:p>
    <w:p w:rsidR="00FB7826" w:rsidRPr="00A95FD4" w:rsidRDefault="00FB7826" w:rsidP="00D26D4B">
      <w:pPr>
        <w:numPr>
          <w:ilvl w:val="0"/>
          <w:numId w:val="17"/>
        </w:numPr>
        <w:tabs>
          <w:tab w:val="num" w:pos="1440"/>
        </w:tabs>
        <w:ind w:left="1440"/>
        <w:rPr>
          <w:snapToGrid w:val="0"/>
          <w:kern w:val="28"/>
          <w:sz w:val="22"/>
          <w:szCs w:val="22"/>
        </w:rPr>
      </w:pPr>
      <w:r w:rsidRPr="00A95FD4">
        <w:rPr>
          <w:snapToGrid w:val="0"/>
          <w:kern w:val="28"/>
          <w:sz w:val="22"/>
          <w:szCs w:val="22"/>
        </w:rPr>
        <w:t>U.S. Postal Service first-class, Express, and Priority mail must be addressed to 445 12</w:t>
      </w:r>
      <w:r w:rsidRPr="00A95FD4">
        <w:rPr>
          <w:snapToGrid w:val="0"/>
          <w:kern w:val="28"/>
          <w:sz w:val="22"/>
          <w:szCs w:val="22"/>
          <w:vertAlign w:val="superscript"/>
        </w:rPr>
        <w:t>th</w:t>
      </w:r>
      <w:r w:rsidRPr="00A95FD4">
        <w:rPr>
          <w:snapToGrid w:val="0"/>
          <w:kern w:val="28"/>
          <w:sz w:val="22"/>
          <w:szCs w:val="22"/>
        </w:rPr>
        <w:t xml:space="preserve"> Street, SW, Washington DC  20554.</w:t>
      </w:r>
    </w:p>
    <w:p w:rsidR="00FB7826" w:rsidRPr="00A95FD4" w:rsidRDefault="00FB7826" w:rsidP="00D26D4B">
      <w:pPr>
        <w:rPr>
          <w:snapToGrid w:val="0"/>
          <w:kern w:val="28"/>
          <w:sz w:val="22"/>
          <w:szCs w:val="22"/>
        </w:rPr>
      </w:pPr>
    </w:p>
    <w:p w:rsidR="00FB7826" w:rsidRPr="00A95FD4" w:rsidRDefault="00FB7826" w:rsidP="00D26D4B">
      <w:pPr>
        <w:ind w:firstLine="720"/>
        <w:rPr>
          <w:snapToGrid w:val="0"/>
          <w:kern w:val="28"/>
          <w:sz w:val="22"/>
          <w:szCs w:val="22"/>
        </w:rPr>
      </w:pPr>
      <w:r w:rsidRPr="00A95FD4">
        <w:rPr>
          <w:snapToGrid w:val="0"/>
          <w:kern w:val="28"/>
          <w:sz w:val="22"/>
          <w:szCs w:val="22"/>
        </w:rPr>
        <w:t xml:space="preserve">People with Disabilities:  To request materials in accessible formats for people with disabilities (braille, large print, electronic files, audio format), send an e-mail to </w:t>
      </w:r>
      <w:r w:rsidRPr="00A95FD4">
        <w:rPr>
          <w:snapToGrid w:val="0"/>
          <w:color w:val="0000FF"/>
          <w:kern w:val="28"/>
          <w:sz w:val="22"/>
          <w:szCs w:val="22"/>
          <w:u w:val="single"/>
        </w:rPr>
        <w:t>fcc504@fcc.gov</w:t>
      </w:r>
      <w:r w:rsidRPr="00A95FD4">
        <w:rPr>
          <w:snapToGrid w:val="0"/>
          <w:kern w:val="28"/>
          <w:sz w:val="22"/>
          <w:szCs w:val="22"/>
        </w:rPr>
        <w:t xml:space="preserve"> or call the Consumer &amp; Governmental Affairs Bureau at 202-418-0530 (voice), 202-418-0432 (tty).</w:t>
      </w:r>
    </w:p>
    <w:p w:rsidR="00FB7826" w:rsidRPr="00A95FD4" w:rsidRDefault="00FB7826" w:rsidP="00D26D4B">
      <w:pPr>
        <w:rPr>
          <w:snapToGrid w:val="0"/>
          <w:kern w:val="28"/>
          <w:sz w:val="22"/>
          <w:szCs w:val="22"/>
        </w:rPr>
      </w:pPr>
    </w:p>
    <w:p w:rsidR="00FB7826" w:rsidRPr="00A95FD4" w:rsidRDefault="00963086" w:rsidP="00D26D4B">
      <w:pPr>
        <w:tabs>
          <w:tab w:val="num" w:pos="720"/>
        </w:tabs>
        <w:rPr>
          <w:rFonts w:eastAsiaTheme="majorEastAsia" w:cstheme="majorBidi"/>
          <w:sz w:val="22"/>
          <w:szCs w:val="22"/>
        </w:rPr>
      </w:pPr>
      <w:r w:rsidRPr="00A95FD4">
        <w:rPr>
          <w:rFonts w:eastAsiaTheme="majorEastAsia" w:cstheme="majorBidi"/>
          <w:i/>
          <w:sz w:val="22"/>
          <w:szCs w:val="22"/>
        </w:rPr>
        <w:tab/>
      </w:r>
      <w:r w:rsidR="00FB7826" w:rsidRPr="00A95FD4">
        <w:rPr>
          <w:rFonts w:eastAsiaTheme="majorEastAsia" w:cstheme="majorBidi"/>
          <w:i/>
          <w:sz w:val="22"/>
          <w:szCs w:val="22"/>
          <w:u w:val="single"/>
        </w:rPr>
        <w:t>Ex Parte</w:t>
      </w:r>
      <w:r w:rsidR="00FB7826" w:rsidRPr="00A95FD4">
        <w:rPr>
          <w:rFonts w:eastAsiaTheme="majorEastAsia" w:cstheme="majorBidi"/>
          <w:sz w:val="22"/>
          <w:szCs w:val="22"/>
          <w:u w:val="single"/>
        </w:rPr>
        <w:t xml:space="preserve"> Presentations</w:t>
      </w:r>
      <w:r w:rsidR="00FB7826" w:rsidRPr="00A95FD4">
        <w:rPr>
          <w:rFonts w:eastAsiaTheme="majorEastAsia" w:cstheme="majorBidi"/>
          <w:sz w:val="22"/>
          <w:szCs w:val="22"/>
        </w:rPr>
        <w:t xml:space="preserve">.  </w:t>
      </w:r>
      <w:r w:rsidR="000163F1" w:rsidRPr="00A95FD4">
        <w:rPr>
          <w:color w:val="000000"/>
          <w:sz w:val="22"/>
          <w:szCs w:val="22"/>
        </w:rPr>
        <w:t>T</w:t>
      </w:r>
      <w:bookmarkStart w:id="2" w:name="_Ref378852213"/>
      <w:r w:rsidR="00FB7826" w:rsidRPr="00A95FD4">
        <w:rPr>
          <w:rFonts w:eastAsiaTheme="majorEastAsia" w:cstheme="majorBidi"/>
          <w:sz w:val="22"/>
          <w:szCs w:val="22"/>
        </w:rPr>
        <w:t xml:space="preserve">his proceeding shall be treated as a “permit-but-disclose” proceeding in accordance with the Commission’s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rules.</w:t>
      </w:r>
      <w:r w:rsidR="00FB7826" w:rsidRPr="00A95FD4">
        <w:rPr>
          <w:rFonts w:eastAsiaTheme="majorEastAsia" w:cstheme="majorBidi"/>
          <w:sz w:val="22"/>
          <w:szCs w:val="22"/>
          <w:vertAlign w:val="superscript"/>
        </w:rPr>
        <w:footnoteReference w:id="14"/>
      </w:r>
      <w:r w:rsidR="00FB7826" w:rsidRPr="00A95FD4">
        <w:rPr>
          <w:rFonts w:eastAsiaTheme="majorEastAsia" w:cstheme="majorBidi"/>
          <w:sz w:val="22"/>
          <w:szCs w:val="22"/>
        </w:rPr>
        <w:t xml:space="preserve">  Persons making </w:t>
      </w:r>
      <w:r w:rsidR="00FB7826" w:rsidRPr="00A95FD4">
        <w:rPr>
          <w:rFonts w:eastAsiaTheme="majorEastAsia" w:cstheme="majorBidi"/>
          <w:i/>
          <w:sz w:val="22"/>
          <w:szCs w:val="22"/>
        </w:rPr>
        <w:t xml:space="preserve">ex parte </w:t>
      </w:r>
      <w:r w:rsidR="00FB7826" w:rsidRPr="00A95FD4">
        <w:rPr>
          <w:rFonts w:eastAsiaTheme="majorEastAsia" w:cstheme="majorBidi"/>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 xml:space="preserve">presentations are reminded that memoranda summarizing the presentation must (1) list all persons attending or otherwise participating in the meeting at which the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 xml:space="preserve">meetings are deemed to be written </w:t>
      </w:r>
      <w:r w:rsidR="00FB7826" w:rsidRPr="00A95FD4">
        <w:rPr>
          <w:rFonts w:eastAsiaTheme="majorEastAsia" w:cstheme="majorBidi"/>
          <w:i/>
          <w:iCs/>
          <w:sz w:val="22"/>
          <w:szCs w:val="22"/>
        </w:rPr>
        <w:t>ex parte</w:t>
      </w:r>
      <w:r w:rsidR="00FB7826" w:rsidRPr="00A95FD4">
        <w:rPr>
          <w:rFonts w:eastAsiaTheme="majorEastAsia" w:cstheme="majorBidi"/>
          <w:sz w:val="22"/>
          <w:szCs w:val="22"/>
        </w:rPr>
        <w:t xml:space="preserve"> presentations and must be filed consistent with rule 1.1206(b).  In proceedings governed by rule 1.49(f) or for which the Commission has made available a method of electronic filing, written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 xml:space="preserve">presentations and memoranda summarizing oral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presentations, and all attachments thereto, must be filed through the electronic comment filing system available for that proceeding, and must be filed in their native format (</w:t>
      </w:r>
      <w:r w:rsidR="00FB7826" w:rsidRPr="00A95FD4">
        <w:rPr>
          <w:rFonts w:eastAsiaTheme="majorEastAsia" w:cstheme="majorBidi"/>
          <w:iCs/>
          <w:sz w:val="22"/>
          <w:szCs w:val="22"/>
        </w:rPr>
        <w:t>e.g.</w:t>
      </w:r>
      <w:r w:rsidR="00FB7826" w:rsidRPr="00A95FD4">
        <w:rPr>
          <w:rFonts w:eastAsiaTheme="majorEastAsia" w:cstheme="majorBidi"/>
          <w:sz w:val="22"/>
          <w:szCs w:val="22"/>
        </w:rPr>
        <w:t xml:space="preserve">, .doc, .xml, .ppt, searchable .pdf).  Participants in this proceeding should familiarize themselves with the Commission’s </w:t>
      </w:r>
      <w:r w:rsidR="00FB7826" w:rsidRPr="00A95FD4">
        <w:rPr>
          <w:rFonts w:eastAsiaTheme="majorEastAsia" w:cstheme="majorBidi"/>
          <w:i/>
          <w:iCs/>
          <w:sz w:val="22"/>
          <w:szCs w:val="22"/>
        </w:rPr>
        <w:t xml:space="preserve">ex parte </w:t>
      </w:r>
      <w:r w:rsidR="00FB7826" w:rsidRPr="00A95FD4">
        <w:rPr>
          <w:rFonts w:eastAsiaTheme="majorEastAsia" w:cstheme="majorBidi"/>
          <w:sz w:val="22"/>
          <w:szCs w:val="22"/>
        </w:rPr>
        <w:t>rules.</w:t>
      </w:r>
      <w:bookmarkEnd w:id="2"/>
    </w:p>
    <w:p w:rsidR="00FB7826" w:rsidRPr="00A95FD4" w:rsidRDefault="00FB7826" w:rsidP="00D26D4B">
      <w:pPr>
        <w:ind w:firstLine="720"/>
        <w:rPr>
          <w:rFonts w:eastAsiaTheme="majorEastAsia" w:cstheme="majorBidi"/>
          <w:sz w:val="22"/>
          <w:szCs w:val="22"/>
        </w:rPr>
      </w:pPr>
    </w:p>
    <w:p w:rsidR="00DA414D" w:rsidRPr="00A95FD4" w:rsidRDefault="00DA414D" w:rsidP="00D26D4B">
      <w:pPr>
        <w:ind w:firstLine="720"/>
        <w:rPr>
          <w:sz w:val="22"/>
          <w:szCs w:val="22"/>
        </w:rPr>
      </w:pPr>
      <w:r w:rsidRPr="00A95FD4">
        <w:rPr>
          <w:sz w:val="22"/>
          <w:szCs w:val="22"/>
        </w:rPr>
        <w:t>For further information, contact</w:t>
      </w:r>
      <w:r w:rsidR="00A95FD4" w:rsidRPr="00A95FD4">
        <w:rPr>
          <w:sz w:val="22"/>
          <w:szCs w:val="22"/>
        </w:rPr>
        <w:t xml:space="preserve"> </w:t>
      </w:r>
      <w:r w:rsidR="0069357E">
        <w:rPr>
          <w:sz w:val="22"/>
          <w:szCs w:val="22"/>
        </w:rPr>
        <w:t>Kirk Burgee</w:t>
      </w:r>
      <w:r w:rsidR="00595FBA" w:rsidRPr="00A95FD4">
        <w:rPr>
          <w:sz w:val="22"/>
          <w:szCs w:val="22"/>
        </w:rPr>
        <w:t xml:space="preserve">, </w:t>
      </w:r>
      <w:r w:rsidR="0069357E">
        <w:rPr>
          <w:sz w:val="22"/>
          <w:szCs w:val="22"/>
        </w:rPr>
        <w:t xml:space="preserve">Chief of Staff, </w:t>
      </w:r>
      <w:r w:rsidR="00595FBA" w:rsidRPr="00A95FD4">
        <w:rPr>
          <w:sz w:val="22"/>
          <w:szCs w:val="22"/>
        </w:rPr>
        <w:t>Wireline</w:t>
      </w:r>
      <w:r w:rsidR="00105673" w:rsidRPr="00A95FD4">
        <w:rPr>
          <w:sz w:val="22"/>
          <w:szCs w:val="22"/>
        </w:rPr>
        <w:t xml:space="preserve"> Competit</w:t>
      </w:r>
      <w:r w:rsidR="00E6463C" w:rsidRPr="00A95FD4">
        <w:rPr>
          <w:sz w:val="22"/>
          <w:szCs w:val="22"/>
        </w:rPr>
        <w:t>ion Bureau</w:t>
      </w:r>
      <w:r w:rsidR="00372B74">
        <w:rPr>
          <w:sz w:val="22"/>
          <w:szCs w:val="22"/>
        </w:rPr>
        <w:t xml:space="preserve">, </w:t>
      </w:r>
      <w:r w:rsidR="00E6463C" w:rsidRPr="00A95FD4">
        <w:rPr>
          <w:sz w:val="22"/>
          <w:szCs w:val="22"/>
        </w:rPr>
        <w:t>at (202) 418-</w:t>
      </w:r>
      <w:r w:rsidR="0069357E">
        <w:rPr>
          <w:sz w:val="22"/>
          <w:szCs w:val="22"/>
        </w:rPr>
        <w:t>1599</w:t>
      </w:r>
      <w:r w:rsidR="00372B74">
        <w:rPr>
          <w:sz w:val="22"/>
          <w:szCs w:val="22"/>
        </w:rPr>
        <w:t xml:space="preserve"> or</w:t>
      </w:r>
      <w:r w:rsidR="0069357E">
        <w:rPr>
          <w:sz w:val="22"/>
          <w:szCs w:val="22"/>
        </w:rPr>
        <w:t xml:space="preserve"> </w:t>
      </w:r>
      <w:hyperlink r:id="rId9" w:history="1">
        <w:r w:rsidR="0069357E" w:rsidRPr="00046690">
          <w:rPr>
            <w:rStyle w:val="Hyperlink"/>
            <w:sz w:val="22"/>
            <w:szCs w:val="22"/>
          </w:rPr>
          <w:t>kirk.burgee@fcc.gov</w:t>
        </w:r>
      </w:hyperlink>
      <w:r w:rsidR="00372B74">
        <w:rPr>
          <w:sz w:val="22"/>
          <w:szCs w:val="22"/>
        </w:rPr>
        <w:t>.</w:t>
      </w:r>
      <w:r w:rsidR="00555345">
        <w:rPr>
          <w:sz w:val="22"/>
          <w:szCs w:val="22"/>
        </w:rPr>
        <w:t xml:space="preserve"> </w:t>
      </w:r>
    </w:p>
    <w:p w:rsidR="00DA414D" w:rsidRPr="00A95FD4" w:rsidRDefault="00DA414D" w:rsidP="00D26D4B">
      <w:pPr>
        <w:ind w:firstLine="720"/>
        <w:rPr>
          <w:sz w:val="22"/>
          <w:szCs w:val="22"/>
        </w:rPr>
      </w:pPr>
    </w:p>
    <w:p w:rsidR="00735A29" w:rsidRDefault="00DA414D" w:rsidP="00D26D4B">
      <w:pPr>
        <w:rPr>
          <w:b/>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b/>
          <w:sz w:val="22"/>
          <w:szCs w:val="22"/>
        </w:rPr>
        <w:t>-</w:t>
      </w:r>
      <w:r w:rsidR="00615D4B" w:rsidRPr="00A95FD4">
        <w:rPr>
          <w:b/>
          <w:sz w:val="22"/>
          <w:szCs w:val="22"/>
        </w:rPr>
        <w:t xml:space="preserve"> </w:t>
      </w:r>
      <w:r w:rsidRPr="00A95FD4">
        <w:rPr>
          <w:b/>
          <w:sz w:val="22"/>
          <w:szCs w:val="22"/>
        </w:rPr>
        <w:t>FCC</w:t>
      </w:r>
      <w:r w:rsidR="00232B47">
        <w:rPr>
          <w:b/>
          <w:sz w:val="22"/>
          <w:szCs w:val="22"/>
        </w:rPr>
        <w:t xml:space="preserve"> - </w:t>
      </w:r>
    </w:p>
    <w:p w:rsidR="00735A29" w:rsidRDefault="00735A29" w:rsidP="00F343F7">
      <w:pPr>
        <w:jc w:val="center"/>
        <w:rPr>
          <w:sz w:val="22"/>
          <w:szCs w:val="22"/>
        </w:rPr>
      </w:pPr>
    </w:p>
    <w:p w:rsidR="00735A29" w:rsidRPr="00F343F7" w:rsidRDefault="00735A29" w:rsidP="00F343F7">
      <w:pPr>
        <w:jc w:val="center"/>
        <w:rPr>
          <w:sz w:val="22"/>
          <w:szCs w:val="22"/>
        </w:rPr>
      </w:pPr>
    </w:p>
    <w:sectPr w:rsidR="00735A29" w:rsidRPr="00F343F7" w:rsidSect="005170E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FA" w:rsidRDefault="001C48FA">
      <w:r>
        <w:separator/>
      </w:r>
    </w:p>
  </w:endnote>
  <w:endnote w:type="continuationSeparator" w:id="0">
    <w:p w:rsidR="001C48FA" w:rsidRDefault="001C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0D" w:rsidRDefault="00A6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9E" w:rsidRDefault="00CD479E">
    <w:pPr>
      <w:pStyle w:val="Footer"/>
      <w:jc w:val="center"/>
    </w:pPr>
    <w:r>
      <w:fldChar w:fldCharType="begin"/>
    </w:r>
    <w:r>
      <w:instrText xml:space="preserve"> PAGE   \* MERGEFORMAT </w:instrText>
    </w:r>
    <w:r>
      <w:fldChar w:fldCharType="separate"/>
    </w:r>
    <w:r w:rsidR="00C8486D">
      <w:rPr>
        <w:noProof/>
      </w:rPr>
      <w:t>3</w:t>
    </w:r>
    <w:r>
      <w:fldChar w:fldCharType="end"/>
    </w:r>
  </w:p>
  <w:p w:rsidR="00CD479E" w:rsidRDefault="00CD4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0D" w:rsidRDefault="00A63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FA" w:rsidRDefault="001C48FA">
      <w:r>
        <w:separator/>
      </w:r>
    </w:p>
  </w:footnote>
  <w:footnote w:type="continuationSeparator" w:id="0">
    <w:p w:rsidR="001C48FA" w:rsidRDefault="001C48FA">
      <w:r>
        <w:continuationSeparator/>
      </w:r>
    </w:p>
  </w:footnote>
  <w:footnote w:id="1">
    <w:p w:rsidR="00A95FD4" w:rsidRDefault="00A95FD4" w:rsidP="00F343F7">
      <w:pPr>
        <w:pStyle w:val="FootnoteText"/>
        <w:spacing w:after="120"/>
      </w:pPr>
      <w:r>
        <w:rPr>
          <w:rStyle w:val="FootnoteReference"/>
        </w:rPr>
        <w:footnoteRef/>
      </w:r>
      <w:r>
        <w:t xml:space="preserve"> </w:t>
      </w:r>
      <w:r w:rsidRPr="00BD6F28">
        <w:rPr>
          <w:i/>
        </w:rPr>
        <w:t>See</w:t>
      </w:r>
      <w:r w:rsidR="00232B47">
        <w:rPr>
          <w:i/>
          <w:lang w:val="en-US"/>
        </w:rPr>
        <w:t xml:space="preserve"> infra </w:t>
      </w:r>
      <w:r w:rsidR="00232B47">
        <w:rPr>
          <w:lang w:val="en-US"/>
        </w:rPr>
        <w:t>Attachment,</w:t>
      </w:r>
      <w:r>
        <w:t xml:space="preserve"> </w:t>
      </w:r>
      <w:r w:rsidR="00232B47">
        <w:rPr>
          <w:lang w:val="en-US"/>
        </w:rPr>
        <w:t>Letter</w:t>
      </w:r>
      <w:r>
        <w:t xml:space="preserve"> from Scott Scheele, Chief, Telecommunications &amp; Media Enforcement Section, Antitrust Division, U.S. Department of Justice, to Julie Veach, Chief, Wireline Competition Bureau, Federal Communications Commission </w:t>
      </w:r>
      <w:r w:rsidR="00232B47">
        <w:rPr>
          <w:lang w:val="en-US"/>
        </w:rPr>
        <w:t xml:space="preserve">(dated June 5, 2014) </w:t>
      </w:r>
      <w:r>
        <w:t>(DOJ Request</w:t>
      </w:r>
      <w:r w:rsidRPr="00F343F7">
        <w:t>)</w:t>
      </w:r>
      <w:r w:rsidRPr="00232B47">
        <w:t>.</w:t>
      </w:r>
    </w:p>
  </w:footnote>
  <w:footnote w:id="2">
    <w:p w:rsidR="00A95FD4" w:rsidRPr="00BD6F28" w:rsidRDefault="00A95FD4" w:rsidP="00F343F7">
      <w:pPr>
        <w:pStyle w:val="FootnoteText"/>
        <w:spacing w:after="120"/>
        <w:rPr>
          <w:i/>
        </w:rPr>
      </w:pPr>
      <w:r>
        <w:rPr>
          <w:rStyle w:val="FootnoteReference"/>
        </w:rPr>
        <w:footnoteRef/>
      </w:r>
      <w:r>
        <w:t xml:space="preserve"> </w:t>
      </w:r>
      <w:r>
        <w:rPr>
          <w:i/>
        </w:rPr>
        <w:t>Id.</w:t>
      </w:r>
    </w:p>
  </w:footnote>
  <w:footnote w:id="3">
    <w:p w:rsidR="00A95FD4" w:rsidRDefault="00A95FD4" w:rsidP="00F343F7">
      <w:pPr>
        <w:pStyle w:val="FootnoteText"/>
        <w:spacing w:after="120"/>
      </w:pPr>
      <w:r>
        <w:rPr>
          <w:rStyle w:val="FootnoteReference"/>
        </w:rPr>
        <w:footnoteRef/>
      </w:r>
      <w:r>
        <w:t xml:space="preserve"> </w:t>
      </w:r>
      <w:r>
        <w:rPr>
          <w:i/>
        </w:rPr>
        <w:t xml:space="preserve">See </w:t>
      </w:r>
      <w:r>
        <w:t>47 C.F.R. § 0.442(d)(1).</w:t>
      </w:r>
    </w:p>
  </w:footnote>
  <w:footnote w:id="4">
    <w:p w:rsidR="00A95FD4" w:rsidRDefault="00A95FD4" w:rsidP="00F343F7">
      <w:pPr>
        <w:pStyle w:val="FootnoteText"/>
        <w:spacing w:after="120"/>
      </w:pPr>
      <w:r>
        <w:rPr>
          <w:rStyle w:val="FootnoteReference"/>
        </w:rPr>
        <w:footnoteRef/>
      </w:r>
      <w:r>
        <w:t xml:space="preserve"> </w:t>
      </w:r>
      <w:r>
        <w:rPr>
          <w:i/>
        </w:rPr>
        <w:t xml:space="preserve">See </w:t>
      </w:r>
      <w:r>
        <w:t>Instructions for Local Telephone Competition and Broadband Reporting Form (FCC Form 477)</w:t>
      </w:r>
      <w:r>
        <w:rPr>
          <w:bCs/>
        </w:rPr>
        <w:t xml:space="preserve">, </w:t>
      </w:r>
      <w:r w:rsidR="00555345" w:rsidRPr="00A95FD4">
        <w:rPr>
          <w:bCs/>
        </w:rPr>
        <w:t>at 1 (201</w:t>
      </w:r>
      <w:r w:rsidR="00555345" w:rsidRPr="00A95FD4">
        <w:rPr>
          <w:bCs/>
          <w:lang w:val="en-US"/>
        </w:rPr>
        <w:t>4</w:t>
      </w:r>
      <w:r w:rsidR="00555345" w:rsidRPr="00A95FD4">
        <w:rPr>
          <w:bCs/>
        </w:rPr>
        <w:t>)</w:t>
      </w:r>
      <w:r w:rsidR="00555345">
        <w:rPr>
          <w:bCs/>
          <w:lang w:val="en-US"/>
        </w:rPr>
        <w:t>,</w:t>
      </w:r>
      <w:r w:rsidR="00555345" w:rsidRPr="00A95FD4">
        <w:rPr>
          <w:bCs/>
        </w:rPr>
        <w:t xml:space="preserve"> </w:t>
      </w:r>
      <w:r w:rsidRPr="00A95FD4">
        <w:rPr>
          <w:bCs/>
        </w:rPr>
        <w:t>http://www.fcc.gov/Forms/Form477/477inst.pdf (</w:t>
      </w:r>
      <w:r w:rsidRPr="00A95FD4">
        <w:rPr>
          <w:bCs/>
          <w:i/>
        </w:rPr>
        <w:t>Form 477 Instructions</w:t>
      </w:r>
      <w:r w:rsidRPr="00A95FD4">
        <w:rPr>
          <w:bCs/>
        </w:rPr>
        <w:t>).</w:t>
      </w:r>
    </w:p>
  </w:footnote>
  <w:footnote w:id="5">
    <w:p w:rsidR="00A95FD4" w:rsidRDefault="00A95FD4" w:rsidP="00F343F7">
      <w:pPr>
        <w:pStyle w:val="FootnoteText"/>
        <w:spacing w:after="120"/>
      </w:pPr>
      <w:r>
        <w:rPr>
          <w:rStyle w:val="FootnoteReference"/>
        </w:rPr>
        <w:footnoteRef/>
      </w:r>
      <w:r>
        <w:t xml:space="preserve">  </w:t>
      </w:r>
      <w:r>
        <w:rPr>
          <w:i/>
        </w:rPr>
        <w:t xml:space="preserve">See </w:t>
      </w:r>
      <w:r w:rsidRPr="00A87354">
        <w:rPr>
          <w:i/>
        </w:rPr>
        <w:t xml:space="preserve">Local Competition and Broadband Reporting, </w:t>
      </w:r>
      <w:r w:rsidRPr="00A87354">
        <w:t>CC Docket No. 99-301, Report and Order, 15 FCC Rcd 7717</w:t>
      </w:r>
      <w:r>
        <w:t>, 7759, at para. 90</w:t>
      </w:r>
      <w:r w:rsidRPr="00A87354">
        <w:t xml:space="preserve"> (2000) (</w:t>
      </w:r>
      <w:r w:rsidRPr="00A87354">
        <w:rPr>
          <w:i/>
        </w:rPr>
        <w:t>2000 Data Gathering Order</w:t>
      </w:r>
      <w:r w:rsidRPr="00A87354">
        <w:t>)</w:t>
      </w:r>
      <w:r>
        <w:t>;</w:t>
      </w:r>
      <w:r w:rsidRPr="00C41CBE">
        <w:t xml:space="preserve"> </w:t>
      </w:r>
      <w:r>
        <w:rPr>
          <w:i/>
        </w:rPr>
        <w:t>Local Telephone Competition and Broadband Reporting</w:t>
      </w:r>
      <w:r>
        <w:t xml:space="preserve">, WC Docket No. 04-141, </w:t>
      </w:r>
      <w:r w:rsidR="00555345">
        <w:t xml:space="preserve">Report and Order, </w:t>
      </w:r>
      <w:r>
        <w:t xml:space="preserve">19 FCC Rcd 22340, 22352, at para. 24 n.56 (2004); </w:t>
      </w:r>
      <w:r>
        <w:rPr>
          <w:bCs/>
          <w:i/>
        </w:rPr>
        <w:t>Form 477 Instructions</w:t>
      </w:r>
      <w:r>
        <w:rPr>
          <w:bCs/>
        </w:rPr>
        <w:t xml:space="preserve"> at </w:t>
      </w:r>
      <w:r w:rsidRPr="00A95FD4">
        <w:rPr>
          <w:bCs/>
        </w:rPr>
        <w:t>19</w:t>
      </w:r>
      <w:r w:rsidRPr="00A95FD4">
        <w:t>.</w:t>
      </w:r>
    </w:p>
  </w:footnote>
  <w:footnote w:id="6">
    <w:p w:rsidR="00A95FD4" w:rsidRDefault="00A95FD4" w:rsidP="00F343F7">
      <w:pPr>
        <w:pStyle w:val="FootnoteText"/>
        <w:spacing w:after="120"/>
      </w:pPr>
      <w:r>
        <w:rPr>
          <w:rStyle w:val="FootnoteReference"/>
        </w:rPr>
        <w:footnoteRef/>
      </w:r>
      <w:r>
        <w:t xml:space="preserve"> </w:t>
      </w:r>
      <w:r w:rsidRPr="00B57124">
        <w:rPr>
          <w:i/>
        </w:rPr>
        <w:t>See</w:t>
      </w:r>
      <w:r>
        <w:t xml:space="preserve"> 47 C.F.R. § 0.457(d), 0.459(d); 5 U.S.C. § 552.</w:t>
      </w:r>
    </w:p>
  </w:footnote>
  <w:footnote w:id="7">
    <w:p w:rsidR="00A95FD4" w:rsidRDefault="00A95FD4" w:rsidP="00F343F7">
      <w:pPr>
        <w:pStyle w:val="FootnoteText"/>
        <w:spacing w:after="120"/>
      </w:pPr>
      <w:r>
        <w:rPr>
          <w:rStyle w:val="FootnoteReference"/>
        </w:rPr>
        <w:footnoteRef/>
      </w:r>
      <w:r>
        <w:t xml:space="preserve"> 44 U.S.C. § 3510.  </w:t>
      </w:r>
    </w:p>
  </w:footnote>
  <w:footnote w:id="8">
    <w:p w:rsidR="00A95FD4" w:rsidRDefault="00A95FD4" w:rsidP="00F343F7">
      <w:pPr>
        <w:pStyle w:val="FootnoteText"/>
        <w:spacing w:after="120"/>
      </w:pPr>
      <w:r>
        <w:rPr>
          <w:rStyle w:val="FootnoteReference"/>
        </w:rPr>
        <w:footnoteRef/>
      </w:r>
      <w:r>
        <w:t xml:space="preserve"> </w:t>
      </w:r>
      <w:r>
        <w:rPr>
          <w:i/>
        </w:rPr>
        <w:t xml:space="preserve">See generally </w:t>
      </w:r>
      <w:r>
        <w:t>47 C.F.R. § 0.442.</w:t>
      </w:r>
    </w:p>
  </w:footnote>
  <w:footnote w:id="9">
    <w:p w:rsidR="00A95FD4" w:rsidRDefault="00A95FD4" w:rsidP="00F343F7">
      <w:pPr>
        <w:pStyle w:val="FootnoteText"/>
        <w:spacing w:after="120"/>
      </w:pPr>
      <w:r>
        <w:rPr>
          <w:rStyle w:val="FootnoteReference"/>
        </w:rPr>
        <w:footnoteRef/>
      </w:r>
      <w:r>
        <w:t xml:space="preserve"> 47 C.F.R. § 0.442(b).  </w:t>
      </w:r>
      <w:r>
        <w:rPr>
          <w:i/>
        </w:rPr>
        <w:t>See also</w:t>
      </w:r>
      <w:r>
        <w:t xml:space="preserve"> 47 C.F.R. § 0.442(a) (“The acceptance [by the Commission] of materials in confidence under § 0.457 or § 0.459, or any other statute, rule or Commission order, does not preclude their disclosure to other agencies.”).  The Privacy Act is codified at 5 U.S.C. § 552a.</w:t>
      </w:r>
    </w:p>
  </w:footnote>
  <w:footnote w:id="10">
    <w:p w:rsidR="00A95FD4" w:rsidRDefault="00A95FD4" w:rsidP="00F343F7">
      <w:pPr>
        <w:pStyle w:val="FootnoteText"/>
        <w:spacing w:after="120"/>
      </w:pPr>
      <w:r>
        <w:rPr>
          <w:rStyle w:val="FootnoteReference"/>
        </w:rPr>
        <w:footnoteRef/>
      </w:r>
      <w:r>
        <w:t xml:space="preserve"> 44 U.S.C. § 3510(b).</w:t>
      </w:r>
    </w:p>
  </w:footnote>
  <w:footnote w:id="11">
    <w:p w:rsidR="00A95FD4" w:rsidRDefault="00A95FD4" w:rsidP="00F343F7">
      <w:pPr>
        <w:pStyle w:val="FootnoteText"/>
        <w:spacing w:after="120"/>
      </w:pPr>
      <w:r>
        <w:rPr>
          <w:rStyle w:val="FootnoteReference"/>
        </w:rPr>
        <w:footnoteRef/>
      </w:r>
      <w:r>
        <w:t xml:space="preserve"> </w:t>
      </w:r>
      <w:r>
        <w:rPr>
          <w:i/>
        </w:rPr>
        <w:t xml:space="preserve">See </w:t>
      </w:r>
      <w:r>
        <w:t xml:space="preserve">47 C.F.R. §§ 0.442(d)(1).  </w:t>
      </w:r>
    </w:p>
  </w:footnote>
  <w:footnote w:id="12">
    <w:p w:rsidR="00CD479E" w:rsidRPr="00CD479E" w:rsidRDefault="00CD479E" w:rsidP="00232B47">
      <w:pPr>
        <w:pStyle w:val="FootnoteText"/>
        <w:spacing w:after="120"/>
        <w:rPr>
          <w:lang w:val="en-US"/>
        </w:rPr>
      </w:pPr>
      <w:r w:rsidRPr="00CD479E">
        <w:rPr>
          <w:rStyle w:val="FootnoteReference"/>
        </w:rPr>
        <w:footnoteRef/>
      </w:r>
      <w:r w:rsidRPr="00CD479E">
        <w:t xml:space="preserve"> </w:t>
      </w:r>
      <w:r w:rsidRPr="00CD479E">
        <w:rPr>
          <w:snapToGrid w:val="0"/>
          <w:kern w:val="28"/>
        </w:rPr>
        <w:t>47 C</w:t>
      </w:r>
      <w:r w:rsidRPr="00CD479E">
        <w:rPr>
          <w:snapToGrid w:val="0"/>
          <w:kern w:val="28"/>
          <w:lang w:val="en-US"/>
        </w:rPr>
        <w:t>.</w:t>
      </w:r>
      <w:r w:rsidRPr="00CD479E">
        <w:rPr>
          <w:snapToGrid w:val="0"/>
          <w:kern w:val="28"/>
        </w:rPr>
        <w:t>F</w:t>
      </w:r>
      <w:r w:rsidRPr="00CD479E">
        <w:rPr>
          <w:snapToGrid w:val="0"/>
          <w:kern w:val="28"/>
          <w:lang w:val="en-US"/>
        </w:rPr>
        <w:t>.</w:t>
      </w:r>
      <w:r w:rsidRPr="00CD479E">
        <w:rPr>
          <w:snapToGrid w:val="0"/>
          <w:kern w:val="28"/>
        </w:rPr>
        <w:t>R</w:t>
      </w:r>
      <w:r w:rsidRPr="00CD479E">
        <w:rPr>
          <w:snapToGrid w:val="0"/>
          <w:kern w:val="28"/>
          <w:lang w:val="en-US"/>
        </w:rPr>
        <w:t>.</w:t>
      </w:r>
      <w:r w:rsidRPr="00CD479E">
        <w:rPr>
          <w:snapToGrid w:val="0"/>
          <w:kern w:val="28"/>
        </w:rPr>
        <w:t xml:space="preserve"> §§ 1.415, 1.419</w:t>
      </w:r>
      <w:r w:rsidRPr="00CD479E">
        <w:rPr>
          <w:snapToGrid w:val="0"/>
          <w:kern w:val="28"/>
          <w:lang w:val="en-US"/>
        </w:rPr>
        <w:t>.</w:t>
      </w:r>
    </w:p>
  </w:footnote>
  <w:footnote w:id="13">
    <w:p w:rsidR="00CD479E" w:rsidRPr="00CD479E" w:rsidRDefault="00CD479E" w:rsidP="00735A29">
      <w:pPr>
        <w:pStyle w:val="FootnoteText"/>
        <w:spacing w:after="120"/>
        <w:rPr>
          <w:lang w:val="en-US"/>
        </w:rPr>
      </w:pPr>
      <w:r w:rsidRPr="00CD479E">
        <w:rPr>
          <w:rStyle w:val="FootnoteReference"/>
        </w:rPr>
        <w:footnoteRef/>
      </w:r>
      <w:r w:rsidRPr="00CD479E">
        <w:t xml:space="preserve"> </w:t>
      </w:r>
      <w:r w:rsidRPr="00CD479E">
        <w:rPr>
          <w:i/>
          <w:snapToGrid w:val="0"/>
          <w:kern w:val="28"/>
        </w:rPr>
        <w:t>See Electronic Filing of Documents in Rulemaking Proceedings</w:t>
      </w:r>
      <w:r w:rsidRPr="00CD479E">
        <w:rPr>
          <w:snapToGrid w:val="0"/>
          <w:kern w:val="28"/>
        </w:rPr>
        <w:t>, 63 FR 24121 (1998).</w:t>
      </w:r>
    </w:p>
  </w:footnote>
  <w:footnote w:id="14">
    <w:p w:rsidR="00CD479E" w:rsidRPr="00E169D5" w:rsidRDefault="00CD479E" w:rsidP="00735A29">
      <w:pPr>
        <w:pStyle w:val="FootnoteText"/>
        <w:spacing w:after="120"/>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0D" w:rsidRDefault="00A63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F0D" w:rsidRDefault="00A63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79E" w:rsidRPr="002075A8" w:rsidRDefault="00CD479E">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mc:AlternateContent>
        <mc:Choice Requires="wps">
          <w:drawing>
            <wp:anchor distT="0" distB="0" distL="114300" distR="114300" simplePos="0" relativeHeight="251656192" behindDoc="0" locked="0" layoutInCell="1" allowOverlap="1" wp14:anchorId="05601927" wp14:editId="52B1A07E">
              <wp:simplePos x="0" y="0"/>
              <wp:positionH relativeFrom="column">
                <wp:posOffset>51435</wp:posOffset>
              </wp:positionH>
              <wp:positionV relativeFrom="paragraph">
                <wp:posOffset>688340</wp:posOffset>
              </wp:positionV>
              <wp:extent cx="32232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9E" w:rsidRDefault="00CD479E">
                          <w:pPr>
                            <w:rPr>
                              <w:rFonts w:ascii="Arial" w:hAnsi="Arial"/>
                              <w:b/>
                            </w:rPr>
                          </w:pPr>
                          <w:r>
                            <w:rPr>
                              <w:rFonts w:ascii="Arial" w:hAnsi="Arial"/>
                              <w:b/>
                            </w:rPr>
                            <w:t>Federal Communications Commission</w:t>
                          </w:r>
                        </w:p>
                        <w:p w:rsidR="00CD479E" w:rsidRDefault="00CD479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479E" w:rsidRDefault="00CD479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53.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i/hA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" stroked="f">
              <v:textbox>
                <w:txbxContent>
                  <w:p w:rsidR="00CD479E" w:rsidRDefault="00CD479E">
                    <w:pPr>
                      <w:rPr>
                        <w:rFonts w:ascii="Arial" w:hAnsi="Arial"/>
                        <w:b/>
                      </w:rPr>
                    </w:pPr>
                    <w:r>
                      <w:rPr>
                        <w:rFonts w:ascii="Arial" w:hAnsi="Arial"/>
                        <w:b/>
                      </w:rPr>
                      <w:t>Federal Communications Commission</w:t>
                    </w:r>
                  </w:p>
                  <w:p w:rsidR="00CD479E" w:rsidRDefault="00CD479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479E" w:rsidRDefault="00CD479E">
                    <w:pPr>
                      <w:rPr>
                        <w:rFonts w:ascii="Arial" w:hAnsi="Arial"/>
                        <w:sz w:val="24"/>
                      </w:rPr>
                    </w:pPr>
                    <w:r>
                      <w:rPr>
                        <w:rFonts w:ascii="Arial" w:hAnsi="Arial"/>
                        <w:b/>
                      </w:rPr>
                      <w:t>Washington, D.C. 20554</w:t>
                    </w:r>
                  </w:p>
                </w:txbxContent>
              </v:textbox>
            </v:shape>
          </w:pict>
        </mc:Fallback>
      </mc:AlternateContent>
    </w:r>
    <w:r w:rsidRPr="002075A8">
      <w:rPr>
        <w:rFonts w:ascii="Arial" w:hAnsi="Arial" w:cs="Arial"/>
        <w:b/>
        <w:noProof/>
        <w:sz w:val="24"/>
      </w:rPr>
      <w:drawing>
        <wp:anchor distT="0" distB="0" distL="114300" distR="114300" simplePos="0" relativeHeight="251659264" behindDoc="0" locked="0" layoutInCell="0" allowOverlap="1" wp14:anchorId="0366EBE0" wp14:editId="1E73ABA5">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2075A8">
      <w:rPr>
        <w:rFonts w:ascii="Arial" w:hAnsi="Arial" w:cs="Arial"/>
        <w:b/>
        <w:kern w:val="28"/>
        <w:sz w:val="96"/>
      </w:rPr>
      <w:t>PUBLIC NOTICE</w:t>
    </w:r>
  </w:p>
  <w:p w:rsidR="00CD479E" w:rsidRDefault="00864037">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58240" behindDoc="0" locked="0" layoutInCell="1" allowOverlap="1" wp14:anchorId="72D500FA" wp14:editId="709372AD">
              <wp:simplePos x="0" y="0"/>
              <wp:positionH relativeFrom="column">
                <wp:posOffset>3622040</wp:posOffset>
              </wp:positionH>
              <wp:positionV relativeFrom="paragraph">
                <wp:posOffset>33020</wp:posOffset>
              </wp:positionV>
              <wp:extent cx="225298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79E" w:rsidRDefault="00CD479E">
                          <w:pPr>
                            <w:spacing w:before="40"/>
                            <w:jc w:val="right"/>
                            <w:rPr>
                              <w:rFonts w:ascii="Arial" w:hAnsi="Arial"/>
                              <w:b/>
                              <w:sz w:val="16"/>
                            </w:rPr>
                          </w:pPr>
                          <w:r>
                            <w:rPr>
                              <w:rFonts w:ascii="Arial" w:hAnsi="Arial"/>
                              <w:b/>
                              <w:sz w:val="16"/>
                            </w:rPr>
                            <w:t>News Media Information 202 / 418-0500</w:t>
                          </w:r>
                        </w:p>
                        <w:p w:rsidR="00CD479E" w:rsidRDefault="00CD479E">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CD479E" w:rsidRDefault="00CD479E">
                          <w:pPr>
                            <w:jc w:val="right"/>
                            <w:rPr>
                              <w:rFonts w:ascii="Arial" w:hAnsi="Arial"/>
                              <w:b/>
                              <w:sz w:val="16"/>
                            </w:rPr>
                          </w:pPr>
                          <w:r>
                            <w:rPr>
                              <w:rFonts w:ascii="Arial" w:hAnsi="Arial"/>
                              <w:b/>
                              <w:sz w:val="16"/>
                            </w:rPr>
                            <w:t>TTY: 1-888-835-5322</w:t>
                          </w:r>
                        </w:p>
                        <w:p w:rsidR="00CD479E" w:rsidRDefault="00CD479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5.2pt;margin-top:2.6pt;width:177.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" stroked="f">
              <v:textbox inset=",0,,0">
                <w:txbxContent>
                  <w:p w:rsidR="00CD479E" w:rsidRDefault="00CD479E">
                    <w:pPr>
                      <w:spacing w:before="40"/>
                      <w:jc w:val="right"/>
                      <w:rPr>
                        <w:rFonts w:ascii="Arial" w:hAnsi="Arial"/>
                        <w:b/>
                        <w:sz w:val="16"/>
                      </w:rPr>
                    </w:pPr>
                    <w:r>
                      <w:rPr>
                        <w:rFonts w:ascii="Arial" w:hAnsi="Arial"/>
                        <w:b/>
                        <w:sz w:val="16"/>
                      </w:rPr>
                      <w:t>News Media Information 202 / 418-0500</w:t>
                    </w:r>
                  </w:p>
                  <w:p w:rsidR="00CD479E" w:rsidRDefault="00CD479E">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D479E" w:rsidRDefault="00CD479E">
                    <w:pPr>
                      <w:jc w:val="right"/>
                      <w:rPr>
                        <w:rFonts w:ascii="Arial" w:hAnsi="Arial"/>
                        <w:b/>
                        <w:sz w:val="16"/>
                      </w:rPr>
                    </w:pPr>
                    <w:r>
                      <w:rPr>
                        <w:rFonts w:ascii="Arial" w:hAnsi="Arial"/>
                        <w:b/>
                        <w:sz w:val="16"/>
                      </w:rPr>
                      <w:t>TTY: 1-888-835-5322</w:t>
                    </w:r>
                  </w:p>
                  <w:p w:rsidR="00CD479E" w:rsidRDefault="00CD479E">
                    <w:pPr>
                      <w:jc w:val="right"/>
                    </w:pPr>
                  </w:p>
                </w:txbxContent>
              </v:textbox>
            </v:shape>
          </w:pict>
        </mc:Fallback>
      </mc:AlternateContent>
    </w:r>
    <w:r w:rsidR="00CD479E">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699135</wp:posOffset>
              </wp:positionV>
              <wp:extent cx="5926455" cy="2540"/>
              <wp:effectExtent l="0" t="0" r="1714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05pt" to="466.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" o:allowincell="f"/>
          </w:pict>
        </mc:Fallback>
      </mc:AlternateContent>
    </w:r>
  </w:p>
  <w:p w:rsidR="00CD479E" w:rsidRDefault="00CD479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2520"/>
        </w:tabs>
        <w:ind w:left="2520" w:hanging="360"/>
      </w:pPr>
      <w:rPr>
        <w:rFonts w:ascii="Wingdings" w:hAnsi="Wingdings"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26DD29A8"/>
    <w:multiLevelType w:val="hybridMultilevel"/>
    <w:tmpl w:val="8BF4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1C24A7"/>
    <w:multiLevelType w:val="multilevel"/>
    <w:tmpl w:val="A280762E"/>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2520"/>
        </w:tabs>
        <w:ind w:left="2520" w:hanging="360"/>
      </w:pPr>
      <w:rPr>
        <w:rFonts w:ascii="Wingdings" w:hAnsi="Wingdings" w:hint="default"/>
      </w:rPr>
    </w:lvl>
    <w:lvl w:ilvl="1" w:tplc="2F8C687A">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1BF295AE">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7"/>
  </w:num>
  <w:num w:numId="3">
    <w:abstractNumId w:val="9"/>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3"/>
  </w:num>
  <w:num w:numId="14">
    <w:abstractNumId w:val="10"/>
  </w:num>
  <w:num w:numId="15">
    <w:abstractNumId w:val="1"/>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06"/>
    <w:rsid w:val="0000249E"/>
    <w:rsid w:val="00002D42"/>
    <w:rsid w:val="00003600"/>
    <w:rsid w:val="00012043"/>
    <w:rsid w:val="000158A9"/>
    <w:rsid w:val="0001631A"/>
    <w:rsid w:val="000163F1"/>
    <w:rsid w:val="000210A1"/>
    <w:rsid w:val="00022447"/>
    <w:rsid w:val="00030139"/>
    <w:rsid w:val="000441DE"/>
    <w:rsid w:val="0004604B"/>
    <w:rsid w:val="000502DF"/>
    <w:rsid w:val="0005156E"/>
    <w:rsid w:val="00052D92"/>
    <w:rsid w:val="000661FA"/>
    <w:rsid w:val="00072D99"/>
    <w:rsid w:val="000809DB"/>
    <w:rsid w:val="00084E2F"/>
    <w:rsid w:val="0009032F"/>
    <w:rsid w:val="00091885"/>
    <w:rsid w:val="00096E4B"/>
    <w:rsid w:val="000A22C1"/>
    <w:rsid w:val="000A37C5"/>
    <w:rsid w:val="000A5FAB"/>
    <w:rsid w:val="000C5E7A"/>
    <w:rsid w:val="000C5ECB"/>
    <w:rsid w:val="000D4C4A"/>
    <w:rsid w:val="000E3B5F"/>
    <w:rsid w:val="000E4E04"/>
    <w:rsid w:val="000F0308"/>
    <w:rsid w:val="000F129D"/>
    <w:rsid w:val="001039AA"/>
    <w:rsid w:val="00103FE2"/>
    <w:rsid w:val="00105673"/>
    <w:rsid w:val="001139B8"/>
    <w:rsid w:val="00115BCA"/>
    <w:rsid w:val="001269BA"/>
    <w:rsid w:val="00126F1F"/>
    <w:rsid w:val="0013718D"/>
    <w:rsid w:val="001447D7"/>
    <w:rsid w:val="00151530"/>
    <w:rsid w:val="00151FEC"/>
    <w:rsid w:val="001546E3"/>
    <w:rsid w:val="00161046"/>
    <w:rsid w:val="00166F0C"/>
    <w:rsid w:val="001767BE"/>
    <w:rsid w:val="001803B4"/>
    <w:rsid w:val="00182463"/>
    <w:rsid w:val="00187A8D"/>
    <w:rsid w:val="00192F99"/>
    <w:rsid w:val="00193740"/>
    <w:rsid w:val="001B65CB"/>
    <w:rsid w:val="001C40FE"/>
    <w:rsid w:val="001C48FA"/>
    <w:rsid w:val="001C5455"/>
    <w:rsid w:val="001D0CE2"/>
    <w:rsid w:val="001D6368"/>
    <w:rsid w:val="001D65CD"/>
    <w:rsid w:val="001F0D41"/>
    <w:rsid w:val="00201344"/>
    <w:rsid w:val="002026BC"/>
    <w:rsid w:val="002075A8"/>
    <w:rsid w:val="002119A3"/>
    <w:rsid w:val="002272E5"/>
    <w:rsid w:val="00231180"/>
    <w:rsid w:val="00232B47"/>
    <w:rsid w:val="00243985"/>
    <w:rsid w:val="00251319"/>
    <w:rsid w:val="00262D9F"/>
    <w:rsid w:val="00263FD7"/>
    <w:rsid w:val="00264C60"/>
    <w:rsid w:val="00292B54"/>
    <w:rsid w:val="002A1638"/>
    <w:rsid w:val="002A2CDC"/>
    <w:rsid w:val="002A59EA"/>
    <w:rsid w:val="002B0D54"/>
    <w:rsid w:val="002E07A0"/>
    <w:rsid w:val="002E3FFE"/>
    <w:rsid w:val="002F5B3A"/>
    <w:rsid w:val="00305A89"/>
    <w:rsid w:val="00306B1A"/>
    <w:rsid w:val="0031093E"/>
    <w:rsid w:val="0031208A"/>
    <w:rsid w:val="00321064"/>
    <w:rsid w:val="0034061F"/>
    <w:rsid w:val="0034151B"/>
    <w:rsid w:val="00350D73"/>
    <w:rsid w:val="00351607"/>
    <w:rsid w:val="00352569"/>
    <w:rsid w:val="00371211"/>
    <w:rsid w:val="00372B74"/>
    <w:rsid w:val="00375328"/>
    <w:rsid w:val="00393D75"/>
    <w:rsid w:val="003A358A"/>
    <w:rsid w:val="003B0454"/>
    <w:rsid w:val="003B25B4"/>
    <w:rsid w:val="003B56CC"/>
    <w:rsid w:val="003D1648"/>
    <w:rsid w:val="003E254B"/>
    <w:rsid w:val="003E266A"/>
    <w:rsid w:val="003E5E98"/>
    <w:rsid w:val="003E6A06"/>
    <w:rsid w:val="003F1005"/>
    <w:rsid w:val="003F6858"/>
    <w:rsid w:val="004057F7"/>
    <w:rsid w:val="004157F7"/>
    <w:rsid w:val="00421363"/>
    <w:rsid w:val="0048455E"/>
    <w:rsid w:val="00490915"/>
    <w:rsid w:val="00490AF7"/>
    <w:rsid w:val="004933D5"/>
    <w:rsid w:val="004B5743"/>
    <w:rsid w:val="004B729D"/>
    <w:rsid w:val="004D616B"/>
    <w:rsid w:val="004E5688"/>
    <w:rsid w:val="004E59CF"/>
    <w:rsid w:val="004F37E8"/>
    <w:rsid w:val="004F3EDD"/>
    <w:rsid w:val="00500184"/>
    <w:rsid w:val="00511CBB"/>
    <w:rsid w:val="005170E3"/>
    <w:rsid w:val="005213D9"/>
    <w:rsid w:val="00526372"/>
    <w:rsid w:val="005437CB"/>
    <w:rsid w:val="00555345"/>
    <w:rsid w:val="005659AE"/>
    <w:rsid w:val="005745E5"/>
    <w:rsid w:val="00591B3D"/>
    <w:rsid w:val="00595FBA"/>
    <w:rsid w:val="005A03E1"/>
    <w:rsid w:val="005C225F"/>
    <w:rsid w:val="005C76F1"/>
    <w:rsid w:val="005E4211"/>
    <w:rsid w:val="005E4B46"/>
    <w:rsid w:val="005E60B7"/>
    <w:rsid w:val="005F56E2"/>
    <w:rsid w:val="005F5FC4"/>
    <w:rsid w:val="005F6973"/>
    <w:rsid w:val="006128BC"/>
    <w:rsid w:val="00612D4D"/>
    <w:rsid w:val="00613E65"/>
    <w:rsid w:val="00615D4B"/>
    <w:rsid w:val="00635A80"/>
    <w:rsid w:val="00636946"/>
    <w:rsid w:val="00641BD8"/>
    <w:rsid w:val="00645F18"/>
    <w:rsid w:val="0065091C"/>
    <w:rsid w:val="00660381"/>
    <w:rsid w:val="006613D7"/>
    <w:rsid w:val="0069357E"/>
    <w:rsid w:val="0069365C"/>
    <w:rsid w:val="006B216D"/>
    <w:rsid w:val="006B482B"/>
    <w:rsid w:val="006B4D54"/>
    <w:rsid w:val="006C1F62"/>
    <w:rsid w:val="006C620F"/>
    <w:rsid w:val="006D5616"/>
    <w:rsid w:val="006D5E3E"/>
    <w:rsid w:val="006D71FC"/>
    <w:rsid w:val="006E6C85"/>
    <w:rsid w:val="006E753A"/>
    <w:rsid w:val="006E75EE"/>
    <w:rsid w:val="006F3E40"/>
    <w:rsid w:val="00704FCD"/>
    <w:rsid w:val="007141D2"/>
    <w:rsid w:val="00716AB0"/>
    <w:rsid w:val="00720071"/>
    <w:rsid w:val="00735A29"/>
    <w:rsid w:val="00760B3A"/>
    <w:rsid w:val="007822E8"/>
    <w:rsid w:val="007879EA"/>
    <w:rsid w:val="0079167F"/>
    <w:rsid w:val="00793B6A"/>
    <w:rsid w:val="00796864"/>
    <w:rsid w:val="007A13C8"/>
    <w:rsid w:val="007A4048"/>
    <w:rsid w:val="007C216A"/>
    <w:rsid w:val="007C22F1"/>
    <w:rsid w:val="007C387C"/>
    <w:rsid w:val="007E6D52"/>
    <w:rsid w:val="00806FFF"/>
    <w:rsid w:val="00836E42"/>
    <w:rsid w:val="00847D7C"/>
    <w:rsid w:val="00861D98"/>
    <w:rsid w:val="00863111"/>
    <w:rsid w:val="00864037"/>
    <w:rsid w:val="00864CCD"/>
    <w:rsid w:val="008760EC"/>
    <w:rsid w:val="00877FA8"/>
    <w:rsid w:val="00882FE5"/>
    <w:rsid w:val="00886AE5"/>
    <w:rsid w:val="0089510A"/>
    <w:rsid w:val="008957FE"/>
    <w:rsid w:val="008C02B0"/>
    <w:rsid w:val="008C1998"/>
    <w:rsid w:val="008E7FFE"/>
    <w:rsid w:val="008F1928"/>
    <w:rsid w:val="008F3567"/>
    <w:rsid w:val="008F5913"/>
    <w:rsid w:val="00903E36"/>
    <w:rsid w:val="00933F38"/>
    <w:rsid w:val="00945C45"/>
    <w:rsid w:val="009479B1"/>
    <w:rsid w:val="00963086"/>
    <w:rsid w:val="0096399B"/>
    <w:rsid w:val="00963CA4"/>
    <w:rsid w:val="00970292"/>
    <w:rsid w:val="00984404"/>
    <w:rsid w:val="0099124D"/>
    <w:rsid w:val="009947C7"/>
    <w:rsid w:val="009D03AD"/>
    <w:rsid w:val="009D0E36"/>
    <w:rsid w:val="009D1DF5"/>
    <w:rsid w:val="009D53A4"/>
    <w:rsid w:val="009D541E"/>
    <w:rsid w:val="009D58CD"/>
    <w:rsid w:val="009E04D1"/>
    <w:rsid w:val="009F2E70"/>
    <w:rsid w:val="00A04FFC"/>
    <w:rsid w:val="00A12035"/>
    <w:rsid w:val="00A17848"/>
    <w:rsid w:val="00A26110"/>
    <w:rsid w:val="00A261FE"/>
    <w:rsid w:val="00A44EDB"/>
    <w:rsid w:val="00A50A90"/>
    <w:rsid w:val="00A52671"/>
    <w:rsid w:val="00A53863"/>
    <w:rsid w:val="00A63F0D"/>
    <w:rsid w:val="00A71787"/>
    <w:rsid w:val="00A95FD4"/>
    <w:rsid w:val="00AA137D"/>
    <w:rsid w:val="00AA243A"/>
    <w:rsid w:val="00AA4DED"/>
    <w:rsid w:val="00AA7D52"/>
    <w:rsid w:val="00AB02CF"/>
    <w:rsid w:val="00AC3027"/>
    <w:rsid w:val="00AC63FC"/>
    <w:rsid w:val="00AF3D88"/>
    <w:rsid w:val="00AF6193"/>
    <w:rsid w:val="00AF6BAD"/>
    <w:rsid w:val="00B0625C"/>
    <w:rsid w:val="00B172AF"/>
    <w:rsid w:val="00B26FD6"/>
    <w:rsid w:val="00B461C8"/>
    <w:rsid w:val="00B46346"/>
    <w:rsid w:val="00B632B9"/>
    <w:rsid w:val="00B63BD6"/>
    <w:rsid w:val="00B65AEC"/>
    <w:rsid w:val="00B676AE"/>
    <w:rsid w:val="00B8210A"/>
    <w:rsid w:val="00B8287A"/>
    <w:rsid w:val="00B846AC"/>
    <w:rsid w:val="00B86119"/>
    <w:rsid w:val="00B87A14"/>
    <w:rsid w:val="00B9518D"/>
    <w:rsid w:val="00B970CE"/>
    <w:rsid w:val="00BB43C0"/>
    <w:rsid w:val="00BD4A65"/>
    <w:rsid w:val="00BF2E54"/>
    <w:rsid w:val="00BF6C9A"/>
    <w:rsid w:val="00C07A48"/>
    <w:rsid w:val="00C2671A"/>
    <w:rsid w:val="00C26B4A"/>
    <w:rsid w:val="00C55287"/>
    <w:rsid w:val="00C5775B"/>
    <w:rsid w:val="00C6045A"/>
    <w:rsid w:val="00C63BFE"/>
    <w:rsid w:val="00C8486D"/>
    <w:rsid w:val="00C85354"/>
    <w:rsid w:val="00C90463"/>
    <w:rsid w:val="00C970B2"/>
    <w:rsid w:val="00CA5C96"/>
    <w:rsid w:val="00CA72BE"/>
    <w:rsid w:val="00CB078D"/>
    <w:rsid w:val="00CB1D87"/>
    <w:rsid w:val="00CB7189"/>
    <w:rsid w:val="00CC1ED1"/>
    <w:rsid w:val="00CC476E"/>
    <w:rsid w:val="00CC48A4"/>
    <w:rsid w:val="00CC64BF"/>
    <w:rsid w:val="00CD479E"/>
    <w:rsid w:val="00CD61B5"/>
    <w:rsid w:val="00CE58B4"/>
    <w:rsid w:val="00D02163"/>
    <w:rsid w:val="00D03A68"/>
    <w:rsid w:val="00D050A6"/>
    <w:rsid w:val="00D12CD6"/>
    <w:rsid w:val="00D1689A"/>
    <w:rsid w:val="00D228EF"/>
    <w:rsid w:val="00D26D4B"/>
    <w:rsid w:val="00D30479"/>
    <w:rsid w:val="00D33F19"/>
    <w:rsid w:val="00D3756D"/>
    <w:rsid w:val="00D42E2E"/>
    <w:rsid w:val="00D47768"/>
    <w:rsid w:val="00D528AF"/>
    <w:rsid w:val="00D619E0"/>
    <w:rsid w:val="00D85520"/>
    <w:rsid w:val="00D97F69"/>
    <w:rsid w:val="00DA414D"/>
    <w:rsid w:val="00DA4F5A"/>
    <w:rsid w:val="00DC1B0A"/>
    <w:rsid w:val="00DC6790"/>
    <w:rsid w:val="00DD0FC9"/>
    <w:rsid w:val="00DF4506"/>
    <w:rsid w:val="00E01667"/>
    <w:rsid w:val="00E020F6"/>
    <w:rsid w:val="00E1291A"/>
    <w:rsid w:val="00E14A4F"/>
    <w:rsid w:val="00E20360"/>
    <w:rsid w:val="00E22BCB"/>
    <w:rsid w:val="00E27BAA"/>
    <w:rsid w:val="00E30B19"/>
    <w:rsid w:val="00E62E28"/>
    <w:rsid w:val="00E6463C"/>
    <w:rsid w:val="00E704F7"/>
    <w:rsid w:val="00E70692"/>
    <w:rsid w:val="00E7218A"/>
    <w:rsid w:val="00E7391B"/>
    <w:rsid w:val="00E73E0A"/>
    <w:rsid w:val="00E73EED"/>
    <w:rsid w:val="00E84324"/>
    <w:rsid w:val="00E924EB"/>
    <w:rsid w:val="00E94886"/>
    <w:rsid w:val="00EA0A56"/>
    <w:rsid w:val="00EB1FE2"/>
    <w:rsid w:val="00EB285F"/>
    <w:rsid w:val="00EB5D19"/>
    <w:rsid w:val="00EB7FF8"/>
    <w:rsid w:val="00EE7D7C"/>
    <w:rsid w:val="00EF689E"/>
    <w:rsid w:val="00F03722"/>
    <w:rsid w:val="00F23097"/>
    <w:rsid w:val="00F31208"/>
    <w:rsid w:val="00F343F7"/>
    <w:rsid w:val="00F350E0"/>
    <w:rsid w:val="00F36286"/>
    <w:rsid w:val="00F37447"/>
    <w:rsid w:val="00F52306"/>
    <w:rsid w:val="00F548F7"/>
    <w:rsid w:val="00F82625"/>
    <w:rsid w:val="00FA06B6"/>
    <w:rsid w:val="00FA5535"/>
    <w:rsid w:val="00FB6FB8"/>
    <w:rsid w:val="00FB7826"/>
    <w:rsid w:val="00FC1B3B"/>
    <w:rsid w:val="00FD283D"/>
    <w:rsid w:val="00FD30DD"/>
    <w:rsid w:val="00FD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86D"/>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C848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86D"/>
  </w:style>
  <w:style w:type="paragraph" w:styleId="Header">
    <w:name w:val="header"/>
    <w:basedOn w:val="Normal"/>
    <w:rsid w:val="00C8486D"/>
    <w:pPr>
      <w:tabs>
        <w:tab w:val="center" w:pos="4320"/>
        <w:tab w:val="right" w:pos="8640"/>
      </w:tabs>
    </w:pPr>
  </w:style>
  <w:style w:type="paragraph" w:styleId="Footer">
    <w:name w:val="footer"/>
    <w:basedOn w:val="Normal"/>
    <w:link w:val="FooterChar"/>
    <w:rsid w:val="00C8486D"/>
    <w:pPr>
      <w:tabs>
        <w:tab w:val="center" w:pos="4320"/>
        <w:tab w:val="right" w:pos="8640"/>
      </w:tabs>
    </w:pPr>
  </w:style>
  <w:style w:type="character" w:styleId="Hyperlink">
    <w:name w:val="Hyperlink"/>
    <w:rsid w:val="00C8486D"/>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Style 17"/>
    <w:uiPriority w:val="99"/>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uiPriority w:val="99"/>
    <w:rsid w:val="0034061F"/>
    <w:rPr>
      <w:sz w:val="16"/>
      <w:szCs w:val="16"/>
    </w:rPr>
  </w:style>
  <w:style w:type="paragraph" w:styleId="CommentText">
    <w:name w:val="annotation text"/>
    <w:basedOn w:val="Normal"/>
    <w:link w:val="CommentTextChar"/>
    <w:uiPriority w:val="99"/>
    <w:rsid w:val="0034061F"/>
  </w:style>
  <w:style w:type="character" w:customStyle="1" w:styleId="CommentTextChar">
    <w:name w:val="Comment Text Char"/>
    <w:basedOn w:val="DefaultParagraphFont"/>
    <w:link w:val="CommentText"/>
    <w:uiPriority w:val="99"/>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character" w:customStyle="1" w:styleId="StyleFootnoteReferenceStyle1311pt">
    <w:name w:val="Style Footnote ReferenceStyle 13 + 11 pt"/>
    <w:basedOn w:val="FootnoteReference"/>
    <w:uiPriority w:val="99"/>
    <w:rsid w:val="00A95FD4"/>
    <w:rPr>
      <w:rFonts w:ascii="Times New Roman" w:hAnsi="Times New Roman" w:cs="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86D"/>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semiHidden/>
    <w:rsid w:val="00C848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86D"/>
  </w:style>
  <w:style w:type="paragraph" w:styleId="Header">
    <w:name w:val="header"/>
    <w:basedOn w:val="Normal"/>
    <w:rsid w:val="00C8486D"/>
    <w:pPr>
      <w:tabs>
        <w:tab w:val="center" w:pos="4320"/>
        <w:tab w:val="right" w:pos="8640"/>
      </w:tabs>
    </w:pPr>
  </w:style>
  <w:style w:type="paragraph" w:styleId="Footer">
    <w:name w:val="footer"/>
    <w:basedOn w:val="Normal"/>
    <w:link w:val="FooterChar"/>
    <w:rsid w:val="00C8486D"/>
    <w:pPr>
      <w:tabs>
        <w:tab w:val="center" w:pos="4320"/>
        <w:tab w:val="right" w:pos="8640"/>
      </w:tabs>
    </w:pPr>
  </w:style>
  <w:style w:type="character" w:styleId="Hyperlink">
    <w:name w:val="Hyperlink"/>
    <w:rsid w:val="00C8486D"/>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o,fr,Style 3,Style 13,FR,Style 17"/>
    <w:uiPriority w:val="99"/>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uiPriority w:val="99"/>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1">
    <w:name w:val="Style1"/>
    <w:basedOn w:val="Normal"/>
    <w:pPr>
      <w:spacing w:before="120"/>
      <w:ind w:firstLine="720"/>
    </w:pPr>
    <w:rPr>
      <w:sz w:val="24"/>
    </w:rPr>
  </w:style>
  <w:style w:type="character" w:customStyle="1" w:styleId="Style1Char">
    <w:name w:val="Style1 Char"/>
    <w:rPr>
      <w:sz w:val="24"/>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uiPriority w:val="99"/>
    <w:rsid w:val="0001631A"/>
    <w:rPr>
      <w:sz w:val="22"/>
    </w:rPr>
  </w:style>
  <w:style w:type="paragraph" w:customStyle="1" w:styleId="ParaNum0">
    <w:name w:val="ParaNum"/>
    <w:basedOn w:val="Normal"/>
    <w:link w:val="ParaNumChar4"/>
    <w:rsid w:val="00B46346"/>
    <w:pPr>
      <w:widowControl w:val="0"/>
      <w:numPr>
        <w:numId w:val="14"/>
      </w:numPr>
      <w:tabs>
        <w:tab w:val="clear" w:pos="1080"/>
        <w:tab w:val="num" w:pos="1440"/>
      </w:tabs>
      <w:spacing w:after="120"/>
    </w:pPr>
    <w:rPr>
      <w:snapToGrid w:val="0"/>
      <w:kern w:val="28"/>
    </w:rPr>
  </w:style>
  <w:style w:type="character" w:customStyle="1" w:styleId="ParaNumChar4">
    <w:name w:val="ParaNum Char4"/>
    <w:basedOn w:val="DefaultParagraphFont"/>
    <w:link w:val="ParaNum0"/>
    <w:rsid w:val="00B46346"/>
    <w:rPr>
      <w:snapToGrid w:val="0"/>
      <w:kern w:val="28"/>
      <w:sz w:val="22"/>
    </w:rPr>
  </w:style>
  <w:style w:type="character" w:styleId="CommentReference">
    <w:name w:val="annotation reference"/>
    <w:basedOn w:val="DefaultParagraphFont"/>
    <w:uiPriority w:val="99"/>
    <w:rsid w:val="0034061F"/>
    <w:rPr>
      <w:sz w:val="16"/>
      <w:szCs w:val="16"/>
    </w:rPr>
  </w:style>
  <w:style w:type="paragraph" w:styleId="CommentText">
    <w:name w:val="annotation text"/>
    <w:basedOn w:val="Normal"/>
    <w:link w:val="CommentTextChar"/>
    <w:uiPriority w:val="99"/>
    <w:rsid w:val="0034061F"/>
  </w:style>
  <w:style w:type="character" w:customStyle="1" w:styleId="CommentTextChar">
    <w:name w:val="Comment Text Char"/>
    <w:basedOn w:val="DefaultParagraphFont"/>
    <w:link w:val="CommentText"/>
    <w:uiPriority w:val="99"/>
    <w:rsid w:val="0034061F"/>
  </w:style>
  <w:style w:type="paragraph" w:styleId="CommentSubject">
    <w:name w:val="annotation subject"/>
    <w:basedOn w:val="CommentText"/>
    <w:next w:val="CommentText"/>
    <w:link w:val="CommentSubjectChar"/>
    <w:rsid w:val="0034061F"/>
    <w:rPr>
      <w:b/>
      <w:bCs/>
    </w:rPr>
  </w:style>
  <w:style w:type="character" w:customStyle="1" w:styleId="CommentSubjectChar">
    <w:name w:val="Comment Subject Char"/>
    <w:basedOn w:val="CommentTextChar"/>
    <w:link w:val="CommentSubject"/>
    <w:rsid w:val="0034061F"/>
    <w:rPr>
      <w:b/>
      <w:bCs/>
    </w:rPr>
  </w:style>
  <w:style w:type="paragraph" w:styleId="Revision">
    <w:name w:val="Revision"/>
    <w:hidden/>
    <w:uiPriority w:val="99"/>
    <w:semiHidden/>
    <w:rsid w:val="00716AB0"/>
  </w:style>
  <w:style w:type="paragraph" w:styleId="ListParagraph">
    <w:name w:val="List Paragraph"/>
    <w:basedOn w:val="Normal"/>
    <w:uiPriority w:val="34"/>
    <w:qFormat/>
    <w:rsid w:val="00615D4B"/>
    <w:pPr>
      <w:ind w:left="720"/>
      <w:contextualSpacing/>
    </w:pPr>
  </w:style>
  <w:style w:type="character" w:customStyle="1" w:styleId="apple-converted-space">
    <w:name w:val="apple-converted-space"/>
    <w:basedOn w:val="DefaultParagraphFont"/>
    <w:rsid w:val="00FA5535"/>
  </w:style>
  <w:style w:type="character" w:styleId="Strong">
    <w:name w:val="Strong"/>
    <w:basedOn w:val="DefaultParagraphFont"/>
    <w:uiPriority w:val="22"/>
    <w:qFormat/>
    <w:rsid w:val="00863111"/>
    <w:rPr>
      <w:b/>
      <w:bCs/>
    </w:rPr>
  </w:style>
  <w:style w:type="paragraph" w:styleId="NormalWeb">
    <w:name w:val="Normal (Web)"/>
    <w:basedOn w:val="Normal"/>
    <w:uiPriority w:val="99"/>
    <w:unhideWhenUsed/>
    <w:rsid w:val="00863111"/>
    <w:pPr>
      <w:spacing w:before="100" w:beforeAutospacing="1" w:after="100" w:afterAutospacing="1"/>
    </w:pPr>
    <w:rPr>
      <w:rFonts w:ascii="Arial" w:hAnsi="Arial" w:cs="Arial"/>
      <w:color w:val="737373"/>
      <w:sz w:val="18"/>
      <w:szCs w:val="18"/>
    </w:rPr>
  </w:style>
  <w:style w:type="paragraph" w:customStyle="1" w:styleId="assocfirm">
    <w:name w:val="assocfirm"/>
    <w:basedOn w:val="Normal"/>
    <w:rsid w:val="00863111"/>
    <w:pPr>
      <w:spacing w:before="100" w:beforeAutospacing="1" w:after="100" w:afterAutospacing="1"/>
    </w:pPr>
    <w:rPr>
      <w:rFonts w:ascii="Arial" w:hAnsi="Arial" w:cs="Arial"/>
      <w:color w:val="737373"/>
      <w:sz w:val="18"/>
      <w:szCs w:val="18"/>
    </w:rPr>
  </w:style>
  <w:style w:type="character" w:customStyle="1" w:styleId="StyleFootnoteReferenceStyle1311pt">
    <w:name w:val="Style Footnote ReferenceStyle 13 + 11 pt"/>
    <w:basedOn w:val="FootnoteReference"/>
    <w:uiPriority w:val="99"/>
    <w:rsid w:val="00A95FD4"/>
    <w:rPr>
      <w:rFonts w:ascii="Times New Roman" w:hAnsi="Times New Roman"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0399">
      <w:bodyDiv w:val="1"/>
      <w:marLeft w:val="0"/>
      <w:marRight w:val="0"/>
      <w:marTop w:val="0"/>
      <w:marBottom w:val="0"/>
      <w:divBdr>
        <w:top w:val="none" w:sz="0" w:space="0" w:color="auto"/>
        <w:left w:val="none" w:sz="0" w:space="0" w:color="auto"/>
        <w:bottom w:val="none" w:sz="0" w:space="0" w:color="auto"/>
        <w:right w:val="none" w:sz="0" w:space="0" w:color="auto"/>
      </w:divBdr>
    </w:div>
    <w:div w:id="1924990355">
      <w:bodyDiv w:val="1"/>
      <w:marLeft w:val="0"/>
      <w:marRight w:val="0"/>
      <w:marTop w:val="0"/>
      <w:marBottom w:val="0"/>
      <w:divBdr>
        <w:top w:val="none" w:sz="0" w:space="0" w:color="auto"/>
        <w:left w:val="none" w:sz="0" w:space="0" w:color="auto"/>
        <w:bottom w:val="none" w:sz="0" w:space="0" w:color="auto"/>
        <w:right w:val="none" w:sz="0" w:space="0" w:color="auto"/>
      </w:divBdr>
      <w:divsChild>
        <w:div w:id="2015455402">
          <w:marLeft w:val="0"/>
          <w:marRight w:val="0"/>
          <w:marTop w:val="0"/>
          <w:marBottom w:val="0"/>
          <w:divBdr>
            <w:top w:val="none" w:sz="0" w:space="0" w:color="auto"/>
            <w:left w:val="none" w:sz="0" w:space="0" w:color="auto"/>
            <w:bottom w:val="none" w:sz="0" w:space="0" w:color="auto"/>
            <w:right w:val="none" w:sz="0" w:space="0" w:color="auto"/>
          </w:divBdr>
          <w:divsChild>
            <w:div w:id="759833545">
              <w:marLeft w:val="0"/>
              <w:marRight w:val="0"/>
              <w:marTop w:val="0"/>
              <w:marBottom w:val="0"/>
              <w:divBdr>
                <w:top w:val="none" w:sz="0" w:space="0" w:color="auto"/>
                <w:left w:val="none" w:sz="0" w:space="0" w:color="auto"/>
                <w:bottom w:val="none" w:sz="0" w:space="0" w:color="auto"/>
                <w:right w:val="none" w:sz="0" w:space="0" w:color="auto"/>
              </w:divBdr>
              <w:divsChild>
                <w:div w:id="557742747">
                  <w:marLeft w:val="0"/>
                  <w:marRight w:val="0"/>
                  <w:marTop w:val="0"/>
                  <w:marBottom w:val="0"/>
                  <w:divBdr>
                    <w:top w:val="none" w:sz="0" w:space="0" w:color="auto"/>
                    <w:left w:val="none" w:sz="0" w:space="0" w:color="auto"/>
                    <w:bottom w:val="none" w:sz="0" w:space="0" w:color="auto"/>
                    <w:right w:val="none" w:sz="0" w:space="0" w:color="auto"/>
                  </w:divBdr>
                  <w:divsChild>
                    <w:div w:id="581723427">
                      <w:marLeft w:val="0"/>
                      <w:marRight w:val="0"/>
                      <w:marTop w:val="0"/>
                      <w:marBottom w:val="0"/>
                      <w:divBdr>
                        <w:top w:val="none" w:sz="0" w:space="0" w:color="auto"/>
                        <w:left w:val="none" w:sz="0" w:space="0" w:color="auto"/>
                        <w:bottom w:val="none" w:sz="0" w:space="0" w:color="auto"/>
                        <w:right w:val="none" w:sz="0" w:space="0" w:color="auto"/>
                      </w:divBdr>
                      <w:divsChild>
                        <w:div w:id="1538155194">
                          <w:marLeft w:val="0"/>
                          <w:marRight w:val="0"/>
                          <w:marTop w:val="0"/>
                          <w:marBottom w:val="0"/>
                          <w:divBdr>
                            <w:top w:val="none" w:sz="0" w:space="0" w:color="auto"/>
                            <w:left w:val="none" w:sz="0" w:space="0" w:color="auto"/>
                            <w:bottom w:val="none" w:sz="0" w:space="0" w:color="auto"/>
                            <w:right w:val="none" w:sz="0" w:space="0" w:color="auto"/>
                          </w:divBdr>
                          <w:divsChild>
                            <w:div w:id="20599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k.burgee@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3</Pages>
  <Words>1092</Words>
  <Characters>6151</Characters>
  <Application>Microsoft Office Word</Application>
  <DocSecurity>0</DocSecurity>
  <Lines>104</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2011-05-16T22:02:00Z</cp:lastPrinted>
  <dcterms:created xsi:type="dcterms:W3CDTF">2014-06-25T21:43:00Z</dcterms:created>
  <dcterms:modified xsi:type="dcterms:W3CDTF">2014-06-25T21:43:00Z</dcterms:modified>
  <cp:category> </cp:category>
  <cp:contentStatus> </cp:contentStatus>
</cp:coreProperties>
</file>