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F97856" w:rsidRDefault="002F62C3">
      <w:pPr>
        <w:pStyle w:val="Header"/>
        <w:tabs>
          <w:tab w:val="clear" w:pos="4320"/>
          <w:tab w:val="clear" w:pos="8640"/>
        </w:tabs>
        <w:rPr>
          <w:szCs w:val="22"/>
        </w:rPr>
        <w:sectPr w:rsidR="002F62C3" w:rsidRPr="00F9785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F62C3" w:rsidRPr="00F97856" w:rsidRDefault="002F62C3">
      <w:pPr>
        <w:jc w:val="right"/>
        <w:rPr>
          <w:b/>
          <w:szCs w:val="22"/>
        </w:rPr>
      </w:pPr>
      <w:r w:rsidRPr="00F97856">
        <w:rPr>
          <w:b/>
          <w:szCs w:val="22"/>
        </w:rPr>
        <w:lastRenderedPageBreak/>
        <w:t xml:space="preserve">DA </w:t>
      </w:r>
      <w:r w:rsidR="00D302A8">
        <w:rPr>
          <w:b/>
          <w:szCs w:val="22"/>
        </w:rPr>
        <w:t>14-823</w:t>
      </w:r>
    </w:p>
    <w:p w:rsidR="002F62C3" w:rsidRPr="00F97856" w:rsidRDefault="002F62C3">
      <w:pPr>
        <w:spacing w:before="60"/>
        <w:jc w:val="right"/>
        <w:rPr>
          <w:b/>
          <w:szCs w:val="22"/>
        </w:rPr>
      </w:pPr>
      <w:r w:rsidRPr="00F97856">
        <w:rPr>
          <w:b/>
          <w:szCs w:val="22"/>
        </w:rPr>
        <w:t xml:space="preserve">Released:  </w:t>
      </w:r>
      <w:r w:rsidR="00DE2912" w:rsidRPr="00F97856">
        <w:rPr>
          <w:b/>
          <w:szCs w:val="22"/>
        </w:rPr>
        <w:t>June 17</w:t>
      </w:r>
      <w:r w:rsidR="00DF41C5" w:rsidRPr="00F97856">
        <w:rPr>
          <w:b/>
          <w:szCs w:val="22"/>
        </w:rPr>
        <w:t>,</w:t>
      </w:r>
      <w:r w:rsidRPr="00F97856">
        <w:rPr>
          <w:b/>
          <w:szCs w:val="22"/>
        </w:rPr>
        <w:t xml:space="preserve"> 2014  </w:t>
      </w:r>
    </w:p>
    <w:p w:rsidR="002F62C3" w:rsidRPr="00F97856" w:rsidRDefault="002F62C3">
      <w:pPr>
        <w:jc w:val="right"/>
        <w:rPr>
          <w:szCs w:val="22"/>
        </w:rPr>
      </w:pPr>
    </w:p>
    <w:p w:rsidR="002F62C3" w:rsidRPr="00F97856" w:rsidRDefault="002F62C3" w:rsidP="002F62C3">
      <w:pPr>
        <w:jc w:val="center"/>
        <w:rPr>
          <w:b/>
          <w:szCs w:val="22"/>
        </w:rPr>
      </w:pPr>
      <w:r w:rsidRPr="00F97856">
        <w:rPr>
          <w:b/>
          <w:szCs w:val="22"/>
        </w:rPr>
        <w:t>NOTICE OF DISMISSALS OF CLOSED CAPTIONING EXEMPTION PETITIONS AND OBLIGATION TO BEGIN PROVIDING CLOSED CAPTIONING</w:t>
      </w:r>
    </w:p>
    <w:p w:rsidR="002F62C3" w:rsidRPr="00F97856" w:rsidRDefault="002F62C3" w:rsidP="002F62C3">
      <w:pPr>
        <w:jc w:val="center"/>
        <w:rPr>
          <w:b/>
          <w:szCs w:val="22"/>
        </w:rPr>
      </w:pPr>
    </w:p>
    <w:p w:rsidR="002F62C3" w:rsidRPr="00F97856" w:rsidRDefault="00B90AA7" w:rsidP="002F62C3">
      <w:pPr>
        <w:jc w:val="center"/>
        <w:rPr>
          <w:b/>
          <w:szCs w:val="22"/>
        </w:rPr>
      </w:pPr>
      <w:r w:rsidRPr="00F97856">
        <w:rPr>
          <w:b/>
          <w:szCs w:val="22"/>
        </w:rPr>
        <w:t xml:space="preserve">CG </w:t>
      </w:r>
      <w:r w:rsidR="002F62C3" w:rsidRPr="00F97856">
        <w:rPr>
          <w:b/>
          <w:szCs w:val="22"/>
        </w:rPr>
        <w:t>Docket No. 06-181</w:t>
      </w:r>
    </w:p>
    <w:p w:rsidR="002F62C3" w:rsidRPr="00F97856" w:rsidRDefault="002F62C3" w:rsidP="002F62C3">
      <w:pPr>
        <w:autoSpaceDE w:val="0"/>
        <w:autoSpaceDN w:val="0"/>
        <w:adjustRightInd w:val="0"/>
        <w:rPr>
          <w:szCs w:val="22"/>
        </w:rPr>
      </w:pPr>
    </w:p>
    <w:p w:rsidR="002F62C3" w:rsidRPr="00F97856" w:rsidRDefault="002F62C3" w:rsidP="002F62C3">
      <w:pPr>
        <w:autoSpaceDE w:val="0"/>
        <w:autoSpaceDN w:val="0"/>
        <w:adjustRightInd w:val="0"/>
        <w:ind w:firstLine="720"/>
        <w:rPr>
          <w:szCs w:val="22"/>
        </w:rPr>
      </w:pPr>
      <w:r w:rsidRPr="00F97856">
        <w:rPr>
          <w:szCs w:val="22"/>
        </w:rPr>
        <w:t xml:space="preserve">By this </w:t>
      </w:r>
      <w:r w:rsidRPr="00F97856">
        <w:rPr>
          <w:i/>
          <w:szCs w:val="22"/>
        </w:rPr>
        <w:t>Notice,</w:t>
      </w:r>
      <w:r w:rsidRPr="00F97856">
        <w:rPr>
          <w:szCs w:val="22"/>
        </w:rPr>
        <w:t xml:space="preserve"> the Federal Communications Commission’s (FCC’s or Commission’s) Consumer and Governmental Affairs Bureau (Bureau) announces the dismissal of the petitions for exemption from the Commission’s closed captioning requirements listed herein.</w:t>
      </w:r>
      <w:r w:rsidRPr="00F97856">
        <w:rPr>
          <w:rStyle w:val="FootnoteReference"/>
          <w:szCs w:val="22"/>
        </w:rPr>
        <w:footnoteReference w:id="1"/>
      </w:r>
      <w:r w:rsidRPr="00F97856">
        <w:rPr>
          <w:szCs w:val="22"/>
        </w:rPr>
        <w:t xml:space="preserve">  </w:t>
      </w:r>
    </w:p>
    <w:p w:rsidR="002F62C3" w:rsidRPr="00F97856" w:rsidRDefault="002F62C3" w:rsidP="002F62C3">
      <w:pPr>
        <w:autoSpaceDE w:val="0"/>
        <w:autoSpaceDN w:val="0"/>
        <w:adjustRightInd w:val="0"/>
        <w:ind w:firstLine="720"/>
        <w:rPr>
          <w:szCs w:val="22"/>
        </w:rPr>
      </w:pPr>
    </w:p>
    <w:p w:rsidR="002F62C3" w:rsidRPr="00F97856" w:rsidRDefault="002F62C3" w:rsidP="002F62C3">
      <w:pPr>
        <w:autoSpaceDE w:val="0"/>
        <w:autoSpaceDN w:val="0"/>
        <w:adjustRightInd w:val="0"/>
        <w:ind w:firstLine="720"/>
        <w:rPr>
          <w:szCs w:val="22"/>
        </w:rPr>
      </w:pPr>
      <w:r w:rsidRPr="00F97856">
        <w:rPr>
          <w:szCs w:val="22"/>
        </w:rPr>
        <w:t xml:space="preserve">The Commission’s closed captioning rules allow video programming providers, producers, or owners to obtain an exemption from the closed captioning requirements if they demonstrate that providing captions </w:t>
      </w:r>
      <w:r w:rsidR="008C310A" w:rsidRPr="00F97856">
        <w:rPr>
          <w:szCs w:val="22"/>
        </w:rPr>
        <w:t xml:space="preserve">on their programming </w:t>
      </w:r>
      <w:r w:rsidRPr="00F97856">
        <w:rPr>
          <w:szCs w:val="22"/>
        </w:rPr>
        <w:t>would be “economically burdensome.”</w:t>
      </w:r>
      <w:r w:rsidRPr="00F97856">
        <w:rPr>
          <w:rStyle w:val="FootnoteReference"/>
          <w:szCs w:val="22"/>
        </w:rPr>
        <w:footnoteReference w:id="2"/>
      </w:r>
      <w:r w:rsidRPr="00F97856">
        <w:rPr>
          <w:szCs w:val="22"/>
        </w:rPr>
        <w:t xml:space="preserve">  </w:t>
      </w:r>
      <w:r w:rsidR="001656BE" w:rsidRPr="00F97856">
        <w:rPr>
          <w:szCs w:val="22"/>
        </w:rPr>
        <w:t xml:space="preserve">On various dates, the petitioners listed in the Appendix filed petitions for closed captioning exemptions under these rules.  </w:t>
      </w:r>
      <w:r w:rsidRPr="00F97856">
        <w:rPr>
          <w:szCs w:val="22"/>
        </w:rPr>
        <w:t>The Bureau</w:t>
      </w:r>
      <w:r w:rsidR="001656BE" w:rsidRPr="00F97856">
        <w:rPr>
          <w:szCs w:val="22"/>
        </w:rPr>
        <w:t xml:space="preserve"> then</w:t>
      </w:r>
      <w:r w:rsidRPr="00F97856">
        <w:rPr>
          <w:szCs w:val="22"/>
        </w:rPr>
        <w:t xml:space="preserve"> placed </w:t>
      </w:r>
      <w:r w:rsidR="001656BE" w:rsidRPr="00F97856">
        <w:rPr>
          <w:szCs w:val="22"/>
        </w:rPr>
        <w:t xml:space="preserve">each of </w:t>
      </w:r>
      <w:r w:rsidRPr="00F97856">
        <w:rPr>
          <w:szCs w:val="22"/>
        </w:rPr>
        <w:t>the</w:t>
      </w:r>
      <w:r w:rsidR="001656BE" w:rsidRPr="00F97856">
        <w:rPr>
          <w:szCs w:val="22"/>
        </w:rPr>
        <w:t>se</w:t>
      </w:r>
      <w:r w:rsidRPr="00F97856">
        <w:rPr>
          <w:szCs w:val="22"/>
        </w:rPr>
        <w:t xml:space="preserve"> petitions on public notice.  After reviewing the comments received in response to these petitions, the Bureau determined that it required additional and updated information to evaluate whether the program</w:t>
      </w:r>
      <w:r w:rsidR="008C310A" w:rsidRPr="00F97856">
        <w:rPr>
          <w:szCs w:val="22"/>
        </w:rPr>
        <w:t>ming</w:t>
      </w:r>
      <w:r w:rsidRPr="00F97856">
        <w:rPr>
          <w:szCs w:val="22"/>
        </w:rPr>
        <w:t xml:space="preserve"> </w:t>
      </w:r>
      <w:r w:rsidR="008C310A" w:rsidRPr="00F97856">
        <w:rPr>
          <w:szCs w:val="22"/>
        </w:rPr>
        <w:t xml:space="preserve">at issue </w:t>
      </w:r>
      <w:r w:rsidRPr="00F97856">
        <w:rPr>
          <w:szCs w:val="22"/>
        </w:rPr>
        <w:t xml:space="preserve">should be exempted from the FCC’s closed captioning requirements because captioning such programming would impose an economic burden on the petitioners.  The Bureau sent </w:t>
      </w:r>
      <w:r w:rsidR="00B90AA7" w:rsidRPr="00F97856">
        <w:rPr>
          <w:szCs w:val="22"/>
        </w:rPr>
        <w:t>letters</w:t>
      </w:r>
      <w:r w:rsidRPr="00F97856">
        <w:rPr>
          <w:szCs w:val="22"/>
        </w:rPr>
        <w:t xml:space="preserve"> to these petitioners requesting this supplemental information within 30 days of the date of each letter. </w:t>
      </w:r>
      <w:r w:rsidR="00B5713A" w:rsidRPr="00F97856">
        <w:rPr>
          <w:szCs w:val="22"/>
        </w:rPr>
        <w:t xml:space="preserve"> In these letters, t</w:t>
      </w:r>
      <w:r w:rsidRPr="00F97856">
        <w:rPr>
          <w:szCs w:val="22"/>
        </w:rPr>
        <w:t xml:space="preserve">he Bureau advised these petitioners that failure to respond would result in dismissal of their petitions for failure to support their exemption requests with adequate explanation and evidence.  The Bureau further advised petitioners that, in the event of such dismissal, petitioners would be required to begin providing closed captioning </w:t>
      </w:r>
      <w:r w:rsidR="008C310A" w:rsidRPr="00F97856">
        <w:rPr>
          <w:szCs w:val="22"/>
        </w:rPr>
        <w:t xml:space="preserve">on the programming at issue </w:t>
      </w:r>
      <w:r w:rsidRPr="00F97856">
        <w:rPr>
          <w:szCs w:val="22"/>
        </w:rPr>
        <w:t>within 90 days of the date of the Bureau’s notification of dismissal.</w:t>
      </w:r>
    </w:p>
    <w:p w:rsidR="002F62C3" w:rsidRPr="00F97856" w:rsidRDefault="002F62C3" w:rsidP="002F62C3">
      <w:pPr>
        <w:autoSpaceDE w:val="0"/>
        <w:autoSpaceDN w:val="0"/>
        <w:adjustRightInd w:val="0"/>
        <w:ind w:firstLine="720"/>
        <w:rPr>
          <w:szCs w:val="22"/>
        </w:rPr>
      </w:pPr>
    </w:p>
    <w:p w:rsidR="00D70105" w:rsidRPr="00F97856" w:rsidRDefault="002F62C3" w:rsidP="00D70105">
      <w:pPr>
        <w:autoSpaceDE w:val="0"/>
        <w:autoSpaceDN w:val="0"/>
        <w:adjustRightInd w:val="0"/>
        <w:ind w:firstLine="720"/>
        <w:rPr>
          <w:szCs w:val="22"/>
        </w:rPr>
      </w:pPr>
      <w:r w:rsidRPr="00F97856">
        <w:rPr>
          <w:szCs w:val="22"/>
        </w:rPr>
        <w:t xml:space="preserve">The petitioners listed in the Appendix </w:t>
      </w:r>
      <w:r w:rsidR="00431F4E" w:rsidRPr="00F97856">
        <w:rPr>
          <w:szCs w:val="22"/>
        </w:rPr>
        <w:t xml:space="preserve">to this </w:t>
      </w:r>
      <w:r w:rsidR="00431F4E" w:rsidRPr="00F97856">
        <w:rPr>
          <w:i/>
          <w:szCs w:val="22"/>
        </w:rPr>
        <w:t xml:space="preserve">Notice </w:t>
      </w:r>
      <w:r w:rsidR="00114916" w:rsidRPr="00F97856">
        <w:rPr>
          <w:szCs w:val="22"/>
        </w:rPr>
        <w:t>requested and were granted extended time to respond to the Bureau’s letter,</w:t>
      </w:r>
      <w:r w:rsidR="00A53BC9" w:rsidRPr="00F97856">
        <w:rPr>
          <w:rStyle w:val="FootnoteReference"/>
          <w:szCs w:val="22"/>
        </w:rPr>
        <w:footnoteReference w:id="3"/>
      </w:r>
      <w:r w:rsidR="00114916" w:rsidRPr="00F97856">
        <w:rPr>
          <w:szCs w:val="22"/>
        </w:rPr>
        <w:t xml:space="preserve"> but ultimately </w:t>
      </w:r>
      <w:r w:rsidRPr="00F97856">
        <w:rPr>
          <w:szCs w:val="22"/>
        </w:rPr>
        <w:t xml:space="preserve">failed to </w:t>
      </w:r>
      <w:r w:rsidR="00A53BC9" w:rsidRPr="00F97856">
        <w:rPr>
          <w:szCs w:val="22"/>
        </w:rPr>
        <w:t xml:space="preserve">provide the requested </w:t>
      </w:r>
      <w:r w:rsidR="00B5713A" w:rsidRPr="00F97856">
        <w:rPr>
          <w:szCs w:val="22"/>
        </w:rPr>
        <w:t>supplemental information</w:t>
      </w:r>
      <w:r w:rsidRPr="00F97856">
        <w:rPr>
          <w:szCs w:val="22"/>
        </w:rPr>
        <w:t>.</w:t>
      </w:r>
      <w:r w:rsidR="00DF41C5" w:rsidRPr="00F97856">
        <w:rPr>
          <w:szCs w:val="22"/>
        </w:rPr>
        <w:t xml:space="preserve"> </w:t>
      </w:r>
      <w:r w:rsidRPr="00F97856">
        <w:rPr>
          <w:szCs w:val="22"/>
        </w:rPr>
        <w:t xml:space="preserve"> Accordingly, their petitions are di</w:t>
      </w:r>
      <w:r w:rsidR="00DE2912" w:rsidRPr="00F97856">
        <w:rPr>
          <w:szCs w:val="22"/>
        </w:rPr>
        <w:t xml:space="preserve">smissed without prejudice as of June 17, </w:t>
      </w:r>
      <w:r w:rsidR="00375BE4" w:rsidRPr="00F97856">
        <w:rPr>
          <w:szCs w:val="22"/>
        </w:rPr>
        <w:t>2014</w:t>
      </w:r>
      <w:r w:rsidRPr="00F97856">
        <w:rPr>
          <w:szCs w:val="22"/>
        </w:rPr>
        <w:t xml:space="preserve">, the release date of this </w:t>
      </w:r>
      <w:r w:rsidRPr="00F97856">
        <w:rPr>
          <w:i/>
          <w:szCs w:val="22"/>
        </w:rPr>
        <w:t>Notice</w:t>
      </w:r>
      <w:r w:rsidRPr="00F97856">
        <w:rPr>
          <w:szCs w:val="22"/>
        </w:rPr>
        <w:t>.</w:t>
      </w:r>
      <w:r w:rsidRPr="00F97856">
        <w:rPr>
          <w:rStyle w:val="FootnoteReference"/>
          <w:szCs w:val="22"/>
        </w:rPr>
        <w:footnoteReference w:id="4"/>
      </w:r>
      <w:r w:rsidRPr="00F97856">
        <w:rPr>
          <w:szCs w:val="22"/>
        </w:rPr>
        <w:t xml:space="preserve">  </w:t>
      </w:r>
      <w:r w:rsidR="00D70105" w:rsidRPr="00F97856">
        <w:rPr>
          <w:szCs w:val="22"/>
        </w:rPr>
        <w:t xml:space="preserve">This </w:t>
      </w:r>
      <w:r w:rsidR="00D70105" w:rsidRPr="00F97856">
        <w:rPr>
          <w:i/>
          <w:szCs w:val="22"/>
        </w:rPr>
        <w:t xml:space="preserve">Notice </w:t>
      </w:r>
      <w:r w:rsidR="00D70105" w:rsidRPr="00F97856">
        <w:rPr>
          <w:szCs w:val="22"/>
        </w:rPr>
        <w:t xml:space="preserve">also reminds these petitioners of their obligations to comply with the FCC’s closed captioning requirements contained in Part 79 of the Commission’s rules with regard to the programming </w:t>
      </w:r>
      <w:r w:rsidR="00D70105" w:rsidRPr="00F97856">
        <w:rPr>
          <w:szCs w:val="22"/>
        </w:rPr>
        <w:lastRenderedPageBreak/>
        <w:t xml:space="preserve">that was the subject of their petitions by </w:t>
      </w:r>
      <w:r w:rsidR="00DE2912" w:rsidRPr="00F97856">
        <w:rPr>
          <w:szCs w:val="22"/>
        </w:rPr>
        <w:t>September 15</w:t>
      </w:r>
      <w:r w:rsidR="007C7817" w:rsidRPr="00F97856">
        <w:rPr>
          <w:szCs w:val="22"/>
        </w:rPr>
        <w:t>,</w:t>
      </w:r>
      <w:r w:rsidR="00D70105" w:rsidRPr="00F97856">
        <w:rPr>
          <w:szCs w:val="22"/>
        </w:rPr>
        <w:t xml:space="preserve"> 2014, which is 90 days after the release of this </w:t>
      </w:r>
      <w:r w:rsidR="00D70105" w:rsidRPr="00F97856">
        <w:rPr>
          <w:i/>
          <w:szCs w:val="22"/>
        </w:rPr>
        <w:t>Notice</w:t>
      </w:r>
      <w:r w:rsidR="00D70105" w:rsidRPr="00F97856">
        <w:rPr>
          <w:szCs w:val="22"/>
        </w:rPr>
        <w:t xml:space="preserve"> of dismissal. </w:t>
      </w:r>
    </w:p>
    <w:p w:rsidR="00431F4E" w:rsidRPr="00F97856" w:rsidRDefault="00431F4E" w:rsidP="002F62C3">
      <w:pPr>
        <w:autoSpaceDE w:val="0"/>
        <w:autoSpaceDN w:val="0"/>
        <w:adjustRightInd w:val="0"/>
        <w:ind w:firstLine="720"/>
        <w:rPr>
          <w:szCs w:val="22"/>
        </w:rPr>
      </w:pPr>
    </w:p>
    <w:p w:rsidR="002F62C3" w:rsidRPr="00F97856" w:rsidRDefault="002F62C3" w:rsidP="002F62C3">
      <w:pPr>
        <w:autoSpaceDE w:val="0"/>
        <w:autoSpaceDN w:val="0"/>
        <w:adjustRightInd w:val="0"/>
        <w:ind w:firstLine="720"/>
        <w:rPr>
          <w:szCs w:val="22"/>
        </w:rPr>
      </w:pPr>
      <w:r w:rsidRPr="00F97856">
        <w:rPr>
          <w:szCs w:val="22"/>
        </w:rPr>
        <w:t>To request materials in accessible formats for people with disabilities (</w:t>
      </w:r>
      <w:r w:rsidR="00A24DA7" w:rsidRPr="00F97856">
        <w:rPr>
          <w:szCs w:val="22"/>
        </w:rPr>
        <w:t>B</w:t>
      </w:r>
      <w:r w:rsidRPr="00F97856">
        <w:rPr>
          <w:szCs w:val="22"/>
        </w:rPr>
        <w:t xml:space="preserve">raille, large print, electronic files, audio format), send an e-mail to </w:t>
      </w:r>
      <w:hyperlink r:id="rId14" w:history="1">
        <w:r w:rsidRPr="00F97856">
          <w:rPr>
            <w:rStyle w:val="Hyperlink"/>
            <w:szCs w:val="22"/>
          </w:rPr>
          <w:t>fcc504@fcc.gov</w:t>
        </w:r>
      </w:hyperlink>
      <w:r w:rsidRPr="00F97856">
        <w:rPr>
          <w:szCs w:val="22"/>
        </w:rPr>
        <w:t xml:space="preserve"> or call the Consumer and Governmental Affairs Bureau at 202-418-0530 (voice) or 202-418-0432 (TTY).  This </w:t>
      </w:r>
      <w:r w:rsidRPr="00F97856">
        <w:rPr>
          <w:i/>
          <w:szCs w:val="22"/>
        </w:rPr>
        <w:t>Public Notice</w:t>
      </w:r>
      <w:r w:rsidRPr="00F97856">
        <w:rPr>
          <w:szCs w:val="22"/>
        </w:rPr>
        <w:t xml:space="preserve"> can also be down</w:t>
      </w:r>
      <w:r w:rsidRPr="00F97856">
        <w:rPr>
          <w:szCs w:val="22"/>
        </w:rPr>
        <w:softHyphen/>
        <w:t>loaded in Word and Portable Document Format at</w:t>
      </w:r>
      <w:r w:rsidR="003C34E1" w:rsidRPr="00F97856">
        <w:rPr>
          <w:szCs w:val="22"/>
        </w:rPr>
        <w:t xml:space="preserve"> </w:t>
      </w:r>
      <w:hyperlink r:id="rId15" w:history="1">
        <w:r w:rsidR="004C4CC1" w:rsidRPr="00F97856">
          <w:rPr>
            <w:rStyle w:val="Hyperlink"/>
            <w:szCs w:val="22"/>
          </w:rPr>
          <w:t>http://www.fcc.gov/encyclopedia/economically-burdensome-exemption-closed-captioning-requirements</w:t>
        </w:r>
      </w:hyperlink>
      <w:r w:rsidRPr="00F97856">
        <w:rPr>
          <w:szCs w:val="22"/>
        </w:rPr>
        <w:t xml:space="preserve">. </w:t>
      </w:r>
    </w:p>
    <w:p w:rsidR="002F62C3" w:rsidRPr="00F97856" w:rsidRDefault="002F62C3" w:rsidP="002F62C3">
      <w:pPr>
        <w:autoSpaceDE w:val="0"/>
        <w:autoSpaceDN w:val="0"/>
        <w:adjustRightInd w:val="0"/>
        <w:ind w:firstLine="720"/>
        <w:rPr>
          <w:szCs w:val="22"/>
        </w:rPr>
      </w:pPr>
    </w:p>
    <w:p w:rsidR="002F62C3" w:rsidRPr="00F97856" w:rsidRDefault="002F62C3" w:rsidP="002F62C3">
      <w:pPr>
        <w:autoSpaceDE w:val="0"/>
        <w:autoSpaceDN w:val="0"/>
        <w:adjustRightInd w:val="0"/>
        <w:ind w:firstLine="720"/>
        <w:rPr>
          <w:szCs w:val="22"/>
        </w:rPr>
      </w:pPr>
      <w:r w:rsidRPr="00F97856">
        <w:rPr>
          <w:szCs w:val="22"/>
        </w:rPr>
        <w:t xml:space="preserve">Consumer and Governmental Affairs Bureau Contacts:  Caitlin Vogus, (202) 418-1264, </w:t>
      </w:r>
      <w:hyperlink r:id="rId16" w:history="1">
        <w:r w:rsidRPr="00F97856">
          <w:rPr>
            <w:rStyle w:val="Hyperlink"/>
            <w:szCs w:val="22"/>
          </w:rPr>
          <w:t>Caitlin.Vogus@fcc.gov</w:t>
        </w:r>
      </w:hyperlink>
      <w:r w:rsidRPr="00F97856">
        <w:rPr>
          <w:szCs w:val="22"/>
        </w:rPr>
        <w:t xml:space="preserve">; or Suzy Rosen Singleton, (202) 510-9446, </w:t>
      </w:r>
      <w:hyperlink r:id="rId17" w:history="1">
        <w:r w:rsidRPr="00F97856">
          <w:rPr>
            <w:rStyle w:val="Hyperlink"/>
            <w:szCs w:val="22"/>
          </w:rPr>
          <w:t>Suzy.Singleton@fcc.gov</w:t>
        </w:r>
      </w:hyperlink>
      <w:r w:rsidRPr="00F97856">
        <w:rPr>
          <w:szCs w:val="22"/>
        </w:rPr>
        <w:t>.</w:t>
      </w:r>
    </w:p>
    <w:p w:rsidR="002F62C3" w:rsidRPr="00F97856" w:rsidRDefault="002F62C3" w:rsidP="002F62C3">
      <w:pPr>
        <w:autoSpaceDE w:val="0"/>
        <w:autoSpaceDN w:val="0"/>
        <w:adjustRightInd w:val="0"/>
        <w:ind w:firstLine="720"/>
        <w:rPr>
          <w:szCs w:val="22"/>
        </w:rPr>
      </w:pPr>
    </w:p>
    <w:p w:rsidR="002F62C3" w:rsidRPr="00F97856" w:rsidRDefault="002F62C3" w:rsidP="002F62C3">
      <w:pPr>
        <w:autoSpaceDE w:val="0"/>
        <w:autoSpaceDN w:val="0"/>
        <w:adjustRightInd w:val="0"/>
        <w:rPr>
          <w:szCs w:val="22"/>
        </w:rPr>
      </w:pPr>
    </w:p>
    <w:p w:rsidR="002F62C3" w:rsidRPr="00F97856" w:rsidRDefault="002F62C3">
      <w:pPr>
        <w:rPr>
          <w:b/>
          <w:szCs w:val="22"/>
        </w:rPr>
      </w:pPr>
      <w:r w:rsidRPr="00F97856">
        <w:rPr>
          <w:b/>
          <w:szCs w:val="22"/>
        </w:rPr>
        <w:br w:type="page"/>
      </w:r>
    </w:p>
    <w:p w:rsidR="002F62C3" w:rsidRPr="00F97856" w:rsidRDefault="002F62C3" w:rsidP="002F62C3">
      <w:pPr>
        <w:jc w:val="center"/>
        <w:rPr>
          <w:b/>
          <w:szCs w:val="22"/>
        </w:rPr>
      </w:pPr>
      <w:r w:rsidRPr="00F97856">
        <w:rPr>
          <w:b/>
          <w:szCs w:val="22"/>
        </w:rPr>
        <w:lastRenderedPageBreak/>
        <w:t xml:space="preserve">APPENDIX </w:t>
      </w:r>
    </w:p>
    <w:p w:rsidR="002F62C3" w:rsidRPr="00F97856" w:rsidRDefault="002F62C3" w:rsidP="002F62C3">
      <w:pPr>
        <w:jc w:val="center"/>
        <w:rPr>
          <w:b/>
          <w:szCs w:val="22"/>
        </w:rPr>
      </w:pPr>
    </w:p>
    <w:p w:rsidR="002F62C3" w:rsidRPr="00F97856" w:rsidRDefault="002F62C3" w:rsidP="002F62C3">
      <w:pPr>
        <w:jc w:val="center"/>
        <w:rPr>
          <w:szCs w:val="22"/>
        </w:rPr>
      </w:pPr>
      <w:r w:rsidRPr="00F97856">
        <w:rPr>
          <w:szCs w:val="22"/>
        </w:rPr>
        <w:t xml:space="preserve">Petitions for Closed Captioning Exemptions Dismissed </w:t>
      </w:r>
    </w:p>
    <w:p w:rsidR="002F62C3" w:rsidRPr="00F97856" w:rsidRDefault="00144408" w:rsidP="002F62C3">
      <w:pPr>
        <w:jc w:val="center"/>
        <w:rPr>
          <w:szCs w:val="22"/>
        </w:rPr>
      </w:pPr>
      <w:r w:rsidRPr="00F97856">
        <w:rPr>
          <w:szCs w:val="22"/>
        </w:rPr>
        <w:t>June 17</w:t>
      </w:r>
      <w:r w:rsidR="005272FD" w:rsidRPr="00F97856">
        <w:rPr>
          <w:szCs w:val="22"/>
        </w:rPr>
        <w:t>, 2014</w:t>
      </w:r>
    </w:p>
    <w:p w:rsidR="002F62C3" w:rsidRPr="00F97856" w:rsidRDefault="002F62C3" w:rsidP="002F62C3">
      <w:pPr>
        <w:rPr>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80"/>
        <w:gridCol w:w="2250"/>
        <w:gridCol w:w="3780"/>
      </w:tblGrid>
      <w:tr w:rsidR="002F62C3" w:rsidRPr="00F97856">
        <w:tc>
          <w:tcPr>
            <w:tcW w:w="1620" w:type="dxa"/>
            <w:shd w:val="clear" w:color="auto" w:fill="auto"/>
          </w:tcPr>
          <w:p w:rsidR="002F62C3" w:rsidRPr="00F97856" w:rsidRDefault="002F62C3" w:rsidP="002F62C3">
            <w:pPr>
              <w:rPr>
                <w:b/>
                <w:szCs w:val="22"/>
              </w:rPr>
            </w:pPr>
            <w:r w:rsidRPr="00F97856">
              <w:rPr>
                <w:b/>
                <w:szCs w:val="22"/>
              </w:rPr>
              <w:t>Case Identifier</w:t>
            </w:r>
          </w:p>
          <w:p w:rsidR="002F62C3" w:rsidRPr="00F97856" w:rsidRDefault="002F62C3" w:rsidP="002F62C3">
            <w:pPr>
              <w:rPr>
                <w:b/>
                <w:szCs w:val="22"/>
              </w:rPr>
            </w:pPr>
          </w:p>
        </w:tc>
        <w:tc>
          <w:tcPr>
            <w:tcW w:w="1980" w:type="dxa"/>
          </w:tcPr>
          <w:p w:rsidR="002F62C3" w:rsidRPr="00F97856" w:rsidRDefault="002F62C3" w:rsidP="002F62C3">
            <w:pPr>
              <w:rPr>
                <w:b/>
                <w:szCs w:val="22"/>
              </w:rPr>
            </w:pPr>
            <w:r w:rsidRPr="00F97856">
              <w:rPr>
                <w:b/>
                <w:szCs w:val="22"/>
              </w:rPr>
              <w:t>Petitioner</w:t>
            </w:r>
          </w:p>
        </w:tc>
        <w:tc>
          <w:tcPr>
            <w:tcW w:w="2250" w:type="dxa"/>
          </w:tcPr>
          <w:p w:rsidR="002F62C3" w:rsidRPr="00F97856" w:rsidRDefault="002F62C3" w:rsidP="002F62C3">
            <w:pPr>
              <w:rPr>
                <w:b/>
                <w:szCs w:val="22"/>
              </w:rPr>
            </w:pPr>
            <w:r w:rsidRPr="00F97856">
              <w:rPr>
                <w:b/>
                <w:szCs w:val="22"/>
              </w:rPr>
              <w:t>Program Name</w:t>
            </w:r>
          </w:p>
        </w:tc>
        <w:tc>
          <w:tcPr>
            <w:tcW w:w="3780" w:type="dxa"/>
          </w:tcPr>
          <w:p w:rsidR="002F62C3" w:rsidRPr="00F97856" w:rsidRDefault="002F62C3" w:rsidP="002F62C3">
            <w:pPr>
              <w:rPr>
                <w:b/>
                <w:szCs w:val="22"/>
              </w:rPr>
            </w:pPr>
            <w:r w:rsidRPr="00F97856">
              <w:rPr>
                <w:b/>
                <w:szCs w:val="22"/>
              </w:rPr>
              <w:t>Mailing Address</w:t>
            </w:r>
          </w:p>
        </w:tc>
      </w:tr>
      <w:tr w:rsidR="002F62C3" w:rsidRPr="00F97856">
        <w:trPr>
          <w:trHeight w:val="449"/>
        </w:trPr>
        <w:tc>
          <w:tcPr>
            <w:tcW w:w="1620" w:type="dxa"/>
            <w:shd w:val="clear" w:color="auto" w:fill="auto"/>
          </w:tcPr>
          <w:p w:rsidR="002F62C3" w:rsidRPr="00F97856" w:rsidRDefault="001A4E70" w:rsidP="002F62C3">
            <w:pPr>
              <w:rPr>
                <w:szCs w:val="22"/>
              </w:rPr>
            </w:pPr>
            <w:r w:rsidRPr="00F97856">
              <w:rPr>
                <w:szCs w:val="22"/>
              </w:rPr>
              <w:t>CGB-CC-</w:t>
            </w:r>
            <w:r w:rsidR="005272FD" w:rsidRPr="00F97856">
              <w:rPr>
                <w:szCs w:val="22"/>
              </w:rPr>
              <w:t>0</w:t>
            </w:r>
            <w:r w:rsidR="00DE2912" w:rsidRPr="00F97856">
              <w:rPr>
                <w:szCs w:val="22"/>
              </w:rPr>
              <w:t>142</w:t>
            </w:r>
          </w:p>
        </w:tc>
        <w:tc>
          <w:tcPr>
            <w:tcW w:w="1980" w:type="dxa"/>
          </w:tcPr>
          <w:p w:rsidR="002F62C3" w:rsidRPr="00F97856" w:rsidDel="00DA51B1" w:rsidRDefault="00DE2912" w:rsidP="002F62C3">
            <w:pPr>
              <w:rPr>
                <w:noProof/>
                <w:szCs w:val="22"/>
              </w:rPr>
            </w:pPr>
            <w:r w:rsidRPr="00F97856">
              <w:rPr>
                <w:noProof/>
                <w:szCs w:val="22"/>
              </w:rPr>
              <w:t>Wildfire Global Church</w:t>
            </w:r>
          </w:p>
        </w:tc>
        <w:tc>
          <w:tcPr>
            <w:tcW w:w="2250" w:type="dxa"/>
          </w:tcPr>
          <w:p w:rsidR="002F62C3" w:rsidRPr="00F97856" w:rsidDel="00DA51B1" w:rsidRDefault="00DE2912" w:rsidP="002F62C3">
            <w:pPr>
              <w:rPr>
                <w:szCs w:val="22"/>
              </w:rPr>
            </w:pPr>
            <w:r w:rsidRPr="00F97856">
              <w:rPr>
                <w:szCs w:val="22"/>
              </w:rPr>
              <w:t>“Wildfire Ministries”</w:t>
            </w:r>
          </w:p>
        </w:tc>
        <w:tc>
          <w:tcPr>
            <w:tcW w:w="3780" w:type="dxa"/>
          </w:tcPr>
          <w:p w:rsidR="002F62C3" w:rsidRPr="00F97856" w:rsidRDefault="00DE2912" w:rsidP="0045556D">
            <w:pPr>
              <w:rPr>
                <w:noProof/>
                <w:szCs w:val="22"/>
              </w:rPr>
            </w:pPr>
            <w:r w:rsidRPr="00F97856">
              <w:rPr>
                <w:noProof/>
                <w:szCs w:val="22"/>
              </w:rPr>
              <w:t>Henry Flint</w:t>
            </w:r>
          </w:p>
          <w:p w:rsidR="00DE2912" w:rsidRPr="00F97856" w:rsidRDefault="00DE2912" w:rsidP="0045556D">
            <w:pPr>
              <w:rPr>
                <w:noProof/>
                <w:szCs w:val="22"/>
              </w:rPr>
            </w:pPr>
            <w:r w:rsidRPr="00F97856">
              <w:rPr>
                <w:noProof/>
                <w:szCs w:val="22"/>
              </w:rPr>
              <w:t>Wildfire Global Church</w:t>
            </w:r>
          </w:p>
          <w:p w:rsidR="00DE2912" w:rsidRPr="00F97856" w:rsidRDefault="00DE2912" w:rsidP="0045556D">
            <w:pPr>
              <w:rPr>
                <w:noProof/>
                <w:szCs w:val="22"/>
              </w:rPr>
            </w:pPr>
            <w:r w:rsidRPr="00F97856">
              <w:rPr>
                <w:noProof/>
                <w:szCs w:val="22"/>
              </w:rPr>
              <w:t>3032 Primrose</w:t>
            </w:r>
            <w:r w:rsidR="00B70678">
              <w:rPr>
                <w:noProof/>
                <w:szCs w:val="22"/>
              </w:rPr>
              <w:t xml:space="preserve"> </w:t>
            </w:r>
            <w:r w:rsidR="008A1C79" w:rsidRPr="00F97856">
              <w:rPr>
                <w:noProof/>
                <w:szCs w:val="22"/>
              </w:rPr>
              <w:t>Circle</w:t>
            </w:r>
          </w:p>
          <w:p w:rsidR="00DE2912" w:rsidRPr="00F97856" w:rsidRDefault="00DE2912" w:rsidP="0045556D">
            <w:pPr>
              <w:rPr>
                <w:noProof/>
                <w:szCs w:val="22"/>
              </w:rPr>
            </w:pPr>
            <w:r w:rsidRPr="00F97856">
              <w:rPr>
                <w:noProof/>
                <w:szCs w:val="22"/>
              </w:rPr>
              <w:t>Abilene, TX  79606</w:t>
            </w:r>
          </w:p>
        </w:tc>
      </w:tr>
      <w:tr w:rsidR="002F62C3" w:rsidRPr="00F97856">
        <w:trPr>
          <w:trHeight w:val="539"/>
        </w:trPr>
        <w:tc>
          <w:tcPr>
            <w:tcW w:w="1620" w:type="dxa"/>
            <w:shd w:val="clear" w:color="auto" w:fill="auto"/>
          </w:tcPr>
          <w:p w:rsidR="002F62C3" w:rsidRPr="00F97856" w:rsidRDefault="001A4E70" w:rsidP="00DE2912">
            <w:pPr>
              <w:rPr>
                <w:szCs w:val="22"/>
              </w:rPr>
            </w:pPr>
            <w:r w:rsidRPr="00F97856">
              <w:rPr>
                <w:szCs w:val="22"/>
              </w:rPr>
              <w:t>CGB-CC-</w:t>
            </w:r>
            <w:r w:rsidR="00DE2912" w:rsidRPr="00F97856">
              <w:rPr>
                <w:szCs w:val="22"/>
              </w:rPr>
              <w:t>1170</w:t>
            </w:r>
          </w:p>
        </w:tc>
        <w:tc>
          <w:tcPr>
            <w:tcW w:w="1980" w:type="dxa"/>
          </w:tcPr>
          <w:p w:rsidR="002F62C3" w:rsidRPr="00F97856" w:rsidDel="00DA51B1" w:rsidRDefault="00DE2912" w:rsidP="002F62C3">
            <w:pPr>
              <w:rPr>
                <w:noProof/>
                <w:szCs w:val="22"/>
              </w:rPr>
            </w:pPr>
            <w:r w:rsidRPr="00F97856">
              <w:rPr>
                <w:noProof/>
                <w:szCs w:val="22"/>
              </w:rPr>
              <w:t>Sheffield Entertainment Television</w:t>
            </w:r>
          </w:p>
        </w:tc>
        <w:tc>
          <w:tcPr>
            <w:tcW w:w="2250" w:type="dxa"/>
          </w:tcPr>
          <w:p w:rsidR="002F62C3" w:rsidRPr="00F97856" w:rsidDel="00DA51B1" w:rsidRDefault="0045556D" w:rsidP="00DE2912">
            <w:pPr>
              <w:rPr>
                <w:szCs w:val="22"/>
              </w:rPr>
            </w:pPr>
            <w:r w:rsidRPr="00F97856">
              <w:rPr>
                <w:szCs w:val="22"/>
              </w:rPr>
              <w:t>“</w:t>
            </w:r>
            <w:r w:rsidR="00DE2912" w:rsidRPr="00F97856">
              <w:rPr>
                <w:szCs w:val="22"/>
              </w:rPr>
              <w:t>Gracie’s Friends</w:t>
            </w:r>
            <w:r w:rsidRPr="00F97856">
              <w:rPr>
                <w:szCs w:val="22"/>
              </w:rPr>
              <w:t>”</w:t>
            </w:r>
          </w:p>
        </w:tc>
        <w:tc>
          <w:tcPr>
            <w:tcW w:w="3780" w:type="dxa"/>
          </w:tcPr>
          <w:p w:rsidR="00DE2912" w:rsidRPr="00F97856" w:rsidRDefault="00DE2912" w:rsidP="0045556D">
            <w:pPr>
              <w:rPr>
                <w:noProof/>
                <w:szCs w:val="22"/>
              </w:rPr>
            </w:pPr>
            <w:r w:rsidRPr="00F97856">
              <w:rPr>
                <w:noProof/>
                <w:szCs w:val="22"/>
              </w:rPr>
              <w:t>Bud Dowdey, President</w:t>
            </w:r>
          </w:p>
          <w:p w:rsidR="00DE2912" w:rsidRPr="00F97856" w:rsidRDefault="00DE2912" w:rsidP="0045556D">
            <w:pPr>
              <w:rPr>
                <w:noProof/>
                <w:szCs w:val="22"/>
              </w:rPr>
            </w:pPr>
            <w:r w:rsidRPr="00F97856">
              <w:rPr>
                <w:noProof/>
                <w:szCs w:val="22"/>
              </w:rPr>
              <w:t>Sheffield Entertainment Television</w:t>
            </w:r>
          </w:p>
          <w:p w:rsidR="00DE2912" w:rsidRPr="00F97856" w:rsidRDefault="00DE2912" w:rsidP="0045556D">
            <w:pPr>
              <w:rPr>
                <w:noProof/>
                <w:szCs w:val="22"/>
              </w:rPr>
            </w:pPr>
            <w:r w:rsidRPr="00F97856">
              <w:rPr>
                <w:noProof/>
                <w:szCs w:val="22"/>
              </w:rPr>
              <w:t>1800 Eastwood Road #130</w:t>
            </w:r>
          </w:p>
          <w:p w:rsidR="002F62C3" w:rsidRPr="00F97856" w:rsidRDefault="00DE2912" w:rsidP="0045556D">
            <w:pPr>
              <w:rPr>
                <w:noProof/>
                <w:szCs w:val="22"/>
              </w:rPr>
            </w:pPr>
            <w:r w:rsidRPr="00F97856">
              <w:rPr>
                <w:noProof/>
                <w:szCs w:val="22"/>
              </w:rPr>
              <w:t>Wilmington, NC  28403</w:t>
            </w:r>
            <w:r w:rsidR="0045556D" w:rsidRPr="00F97856">
              <w:rPr>
                <w:noProof/>
                <w:szCs w:val="22"/>
              </w:rPr>
              <w:t xml:space="preserve"> </w:t>
            </w:r>
          </w:p>
        </w:tc>
      </w:tr>
      <w:tr w:rsidR="00144408" w:rsidRPr="00F97856">
        <w:trPr>
          <w:trHeight w:val="539"/>
        </w:trPr>
        <w:tc>
          <w:tcPr>
            <w:tcW w:w="1620" w:type="dxa"/>
            <w:shd w:val="clear" w:color="auto" w:fill="auto"/>
          </w:tcPr>
          <w:p w:rsidR="00144408" w:rsidRPr="00F97856" w:rsidRDefault="00144408" w:rsidP="00DE2912">
            <w:pPr>
              <w:rPr>
                <w:szCs w:val="22"/>
              </w:rPr>
            </w:pPr>
            <w:r w:rsidRPr="00F97856">
              <w:rPr>
                <w:szCs w:val="22"/>
              </w:rPr>
              <w:t>CGB-CC-1188</w:t>
            </w:r>
          </w:p>
        </w:tc>
        <w:tc>
          <w:tcPr>
            <w:tcW w:w="1980" w:type="dxa"/>
          </w:tcPr>
          <w:p w:rsidR="00144408" w:rsidRPr="00F97856" w:rsidRDefault="00144408" w:rsidP="002F62C3">
            <w:pPr>
              <w:rPr>
                <w:noProof/>
                <w:szCs w:val="22"/>
              </w:rPr>
            </w:pPr>
            <w:r w:rsidRPr="00F97856">
              <w:rPr>
                <w:noProof/>
                <w:szCs w:val="22"/>
              </w:rPr>
              <w:t>Greenville Church of Christ</w:t>
            </w:r>
          </w:p>
        </w:tc>
        <w:tc>
          <w:tcPr>
            <w:tcW w:w="2250" w:type="dxa"/>
          </w:tcPr>
          <w:p w:rsidR="00144408" w:rsidRPr="00F97856" w:rsidRDefault="00144408" w:rsidP="00DE2912">
            <w:pPr>
              <w:rPr>
                <w:szCs w:val="22"/>
              </w:rPr>
            </w:pPr>
            <w:r w:rsidRPr="00F97856">
              <w:rPr>
                <w:szCs w:val="22"/>
              </w:rPr>
              <w:t>“TV Sunday School”</w:t>
            </w:r>
          </w:p>
        </w:tc>
        <w:tc>
          <w:tcPr>
            <w:tcW w:w="3780" w:type="dxa"/>
          </w:tcPr>
          <w:p w:rsidR="00144408" w:rsidRPr="00F97856" w:rsidRDefault="00144408" w:rsidP="0045556D">
            <w:pPr>
              <w:rPr>
                <w:noProof/>
                <w:szCs w:val="22"/>
              </w:rPr>
            </w:pPr>
            <w:r w:rsidRPr="00F97856">
              <w:rPr>
                <w:noProof/>
                <w:szCs w:val="22"/>
              </w:rPr>
              <w:t>David Weems, Treasurer</w:t>
            </w:r>
          </w:p>
          <w:p w:rsidR="008A1C79" w:rsidRPr="00F97856" w:rsidRDefault="008A1C79" w:rsidP="0045556D">
            <w:pPr>
              <w:rPr>
                <w:noProof/>
                <w:szCs w:val="22"/>
              </w:rPr>
            </w:pPr>
            <w:r w:rsidRPr="00F97856">
              <w:rPr>
                <w:noProof/>
                <w:szCs w:val="22"/>
              </w:rPr>
              <w:t>Greenville Church of Christ</w:t>
            </w:r>
          </w:p>
          <w:p w:rsidR="00144408" w:rsidRPr="00F97856" w:rsidRDefault="00144408" w:rsidP="0045556D">
            <w:pPr>
              <w:rPr>
                <w:noProof/>
                <w:szCs w:val="22"/>
              </w:rPr>
            </w:pPr>
            <w:r w:rsidRPr="00F97856">
              <w:rPr>
                <w:noProof/>
                <w:szCs w:val="22"/>
              </w:rPr>
              <w:t>1133 Tusculum Boulevard</w:t>
            </w:r>
          </w:p>
          <w:p w:rsidR="00144408" w:rsidRPr="00F97856" w:rsidRDefault="00144408" w:rsidP="0045556D">
            <w:pPr>
              <w:rPr>
                <w:noProof/>
                <w:szCs w:val="22"/>
              </w:rPr>
            </w:pPr>
            <w:r w:rsidRPr="00F97856">
              <w:rPr>
                <w:noProof/>
                <w:szCs w:val="22"/>
              </w:rPr>
              <w:t>Greenville, TN  37745</w:t>
            </w:r>
          </w:p>
        </w:tc>
      </w:tr>
      <w:tr w:rsidR="00144408" w:rsidRPr="00F97856">
        <w:trPr>
          <w:trHeight w:val="539"/>
        </w:trPr>
        <w:tc>
          <w:tcPr>
            <w:tcW w:w="1620" w:type="dxa"/>
            <w:shd w:val="clear" w:color="auto" w:fill="auto"/>
          </w:tcPr>
          <w:p w:rsidR="00144408" w:rsidRPr="00F97856" w:rsidRDefault="00144408" w:rsidP="00DE2912">
            <w:pPr>
              <w:rPr>
                <w:szCs w:val="22"/>
              </w:rPr>
            </w:pPr>
            <w:r w:rsidRPr="00F97856">
              <w:rPr>
                <w:szCs w:val="22"/>
              </w:rPr>
              <w:t>CGB-CC-1245</w:t>
            </w:r>
          </w:p>
        </w:tc>
        <w:tc>
          <w:tcPr>
            <w:tcW w:w="1980" w:type="dxa"/>
          </w:tcPr>
          <w:p w:rsidR="00144408" w:rsidRPr="00F97856" w:rsidRDefault="00144408" w:rsidP="002F62C3">
            <w:pPr>
              <w:rPr>
                <w:noProof/>
                <w:szCs w:val="22"/>
              </w:rPr>
            </w:pPr>
            <w:r w:rsidRPr="00F97856">
              <w:rPr>
                <w:noProof/>
                <w:szCs w:val="22"/>
              </w:rPr>
              <w:t>Hannah Hopkins TV Ministries</w:t>
            </w:r>
          </w:p>
        </w:tc>
        <w:tc>
          <w:tcPr>
            <w:tcW w:w="2250" w:type="dxa"/>
          </w:tcPr>
          <w:p w:rsidR="00144408" w:rsidRPr="00F97856" w:rsidRDefault="00144408" w:rsidP="00DE2912">
            <w:pPr>
              <w:rPr>
                <w:szCs w:val="22"/>
              </w:rPr>
            </w:pPr>
            <w:r w:rsidRPr="00F97856">
              <w:rPr>
                <w:szCs w:val="22"/>
              </w:rPr>
              <w:t>“Lifting You Higher Ministries”</w:t>
            </w:r>
          </w:p>
        </w:tc>
        <w:tc>
          <w:tcPr>
            <w:tcW w:w="3780" w:type="dxa"/>
          </w:tcPr>
          <w:p w:rsidR="00144408" w:rsidRPr="00F97856" w:rsidRDefault="00144408" w:rsidP="0045556D">
            <w:pPr>
              <w:rPr>
                <w:noProof/>
                <w:szCs w:val="22"/>
              </w:rPr>
            </w:pPr>
            <w:r w:rsidRPr="00F97856">
              <w:rPr>
                <w:noProof/>
                <w:szCs w:val="22"/>
              </w:rPr>
              <w:t>Hannah Hopkins</w:t>
            </w:r>
          </w:p>
          <w:p w:rsidR="00144408" w:rsidRPr="00F97856" w:rsidRDefault="00144408" w:rsidP="0045556D">
            <w:pPr>
              <w:rPr>
                <w:noProof/>
                <w:szCs w:val="22"/>
              </w:rPr>
            </w:pPr>
            <w:r w:rsidRPr="00F97856">
              <w:rPr>
                <w:noProof/>
                <w:szCs w:val="22"/>
              </w:rPr>
              <w:t>Hannah Hopkins TV Ministries</w:t>
            </w:r>
          </w:p>
          <w:p w:rsidR="00144408" w:rsidRPr="00F97856" w:rsidRDefault="00144408" w:rsidP="0045556D">
            <w:pPr>
              <w:rPr>
                <w:noProof/>
                <w:szCs w:val="22"/>
              </w:rPr>
            </w:pPr>
            <w:r w:rsidRPr="00F97856">
              <w:rPr>
                <w:noProof/>
                <w:szCs w:val="22"/>
              </w:rPr>
              <w:t>P.O. Box 17405</w:t>
            </w:r>
          </w:p>
          <w:p w:rsidR="00144408" w:rsidRPr="00F97856" w:rsidRDefault="00144408" w:rsidP="0045556D">
            <w:pPr>
              <w:rPr>
                <w:noProof/>
                <w:szCs w:val="22"/>
              </w:rPr>
            </w:pPr>
            <w:r w:rsidRPr="00F97856">
              <w:rPr>
                <w:noProof/>
                <w:szCs w:val="22"/>
              </w:rPr>
              <w:t>Hattiesburg, MS  39404</w:t>
            </w:r>
          </w:p>
        </w:tc>
      </w:tr>
    </w:tbl>
    <w:p w:rsidR="002F62C3" w:rsidRPr="00F97856" w:rsidRDefault="002F62C3" w:rsidP="002F62C3">
      <w:pPr>
        <w:widowControl w:val="0"/>
        <w:suppressAutoHyphens/>
        <w:spacing w:before="180"/>
        <w:ind w:right="-86"/>
        <w:rPr>
          <w:snapToGrid w:val="0"/>
          <w:kern w:val="28"/>
          <w:szCs w:val="22"/>
        </w:rPr>
      </w:pPr>
    </w:p>
    <w:p w:rsidR="002F62C3" w:rsidRPr="00F97856" w:rsidRDefault="002F62C3" w:rsidP="002F62C3">
      <w:pPr>
        <w:jc w:val="center"/>
        <w:rPr>
          <w:b/>
          <w:szCs w:val="22"/>
        </w:rPr>
      </w:pPr>
    </w:p>
    <w:p w:rsidR="002F62C3" w:rsidRPr="00F97856" w:rsidRDefault="002F62C3" w:rsidP="002F62C3">
      <w:pPr>
        <w:jc w:val="center"/>
        <w:rPr>
          <w:b/>
          <w:szCs w:val="22"/>
        </w:rPr>
      </w:pPr>
      <w:r w:rsidRPr="00F97856">
        <w:rPr>
          <w:b/>
          <w:szCs w:val="22"/>
        </w:rPr>
        <w:t>-FCC-</w:t>
      </w:r>
    </w:p>
    <w:p w:rsidR="002F62C3" w:rsidRPr="00F97856" w:rsidRDefault="002F62C3" w:rsidP="002F62C3">
      <w:pPr>
        <w:spacing w:before="120" w:after="240"/>
        <w:rPr>
          <w:szCs w:val="22"/>
        </w:rPr>
      </w:pPr>
      <w:r w:rsidRPr="00F97856">
        <w:rPr>
          <w:szCs w:val="22"/>
        </w:rPr>
        <w:t>.</w:t>
      </w:r>
    </w:p>
    <w:p w:rsidR="002F62C3" w:rsidRPr="00F97856" w:rsidRDefault="002F62C3">
      <w:pPr>
        <w:spacing w:before="120" w:after="240"/>
        <w:rPr>
          <w:szCs w:val="22"/>
        </w:rPr>
      </w:pPr>
    </w:p>
    <w:sectPr w:rsidR="002F62C3" w:rsidRPr="00F97856" w:rsidSect="002F62C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5C" w:rsidRDefault="00D1435C">
      <w:r>
        <w:separator/>
      </w:r>
    </w:p>
  </w:endnote>
  <w:endnote w:type="continuationSeparator" w:id="0">
    <w:p w:rsidR="00D1435C" w:rsidRDefault="00D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CE" w:rsidRDefault="009F1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CE" w:rsidRDefault="009F1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CE" w:rsidRDefault="009F1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5C" w:rsidRDefault="00D1435C">
      <w:r>
        <w:separator/>
      </w:r>
    </w:p>
  </w:footnote>
  <w:footnote w:type="continuationSeparator" w:id="0">
    <w:p w:rsidR="00D1435C" w:rsidRDefault="00D1435C">
      <w:r>
        <w:continuationSeparator/>
      </w:r>
    </w:p>
  </w:footnote>
  <w:footnote w:id="1">
    <w:p w:rsidR="008B584F" w:rsidRPr="007C7817" w:rsidRDefault="008B584F" w:rsidP="008A1C79">
      <w:pPr>
        <w:pStyle w:val="FootnoteText"/>
        <w:spacing w:after="120"/>
        <w:rPr>
          <w:sz w:val="20"/>
        </w:rPr>
      </w:pPr>
      <w:r w:rsidRPr="00D16836">
        <w:rPr>
          <w:rStyle w:val="FootnoteReference"/>
          <w:sz w:val="20"/>
        </w:rPr>
        <w:footnoteRef/>
      </w:r>
      <w:r w:rsidRPr="00D16836">
        <w:rPr>
          <w:sz w:val="20"/>
        </w:rPr>
        <w:t xml:space="preserve"> </w:t>
      </w:r>
      <w:r w:rsidRPr="007C7817">
        <w:rPr>
          <w:sz w:val="20"/>
        </w:rPr>
        <w:t xml:space="preserve">47 C.F.R. § 79.1.  The names of the petitioners are set forth in the Appendix to this </w:t>
      </w:r>
      <w:r w:rsidRPr="007C7817">
        <w:rPr>
          <w:i/>
          <w:sz w:val="20"/>
        </w:rPr>
        <w:t>Notice</w:t>
      </w:r>
      <w:r w:rsidRPr="007C7817">
        <w:rPr>
          <w:sz w:val="20"/>
        </w:rPr>
        <w:t xml:space="preserve">.  </w:t>
      </w:r>
    </w:p>
  </w:footnote>
  <w:footnote w:id="2">
    <w:p w:rsidR="008B584F" w:rsidRPr="007C7817" w:rsidRDefault="008B584F" w:rsidP="008A1C79">
      <w:pPr>
        <w:pStyle w:val="FootnoteText"/>
        <w:spacing w:after="120"/>
        <w:rPr>
          <w:sz w:val="20"/>
        </w:rPr>
      </w:pPr>
      <w:r w:rsidRPr="007C7817">
        <w:rPr>
          <w:rStyle w:val="FootnoteReference"/>
          <w:sz w:val="20"/>
        </w:rPr>
        <w:footnoteRef/>
      </w:r>
      <w:r w:rsidRPr="007C7817">
        <w:rPr>
          <w:sz w:val="20"/>
        </w:rPr>
        <w:t xml:space="preserve"> 47 C.F.R. § 79.1(f).</w:t>
      </w:r>
    </w:p>
  </w:footnote>
  <w:footnote w:id="3">
    <w:p w:rsidR="00A53BC9" w:rsidRPr="007C7817" w:rsidRDefault="00A53BC9" w:rsidP="00CA1C7D">
      <w:pPr>
        <w:pStyle w:val="FootnoteText"/>
        <w:spacing w:after="120"/>
        <w:rPr>
          <w:sz w:val="20"/>
          <w:lang w:val="en-US"/>
        </w:rPr>
      </w:pPr>
      <w:r w:rsidRPr="007C7817">
        <w:rPr>
          <w:rStyle w:val="FootnoteReference"/>
          <w:sz w:val="20"/>
        </w:rPr>
        <w:footnoteRef/>
      </w:r>
      <w:r w:rsidRPr="007C7817">
        <w:rPr>
          <w:sz w:val="20"/>
        </w:rPr>
        <w:t xml:space="preserve"> </w:t>
      </w:r>
      <w:r w:rsidRPr="007C7817">
        <w:rPr>
          <w:sz w:val="20"/>
          <w:lang w:val="en-US"/>
        </w:rPr>
        <w:t>The following ex</w:t>
      </w:r>
      <w:r w:rsidR="00DE2912">
        <w:rPr>
          <w:sz w:val="20"/>
          <w:lang w:val="en-US"/>
        </w:rPr>
        <w:t>tensions were granted:  CGB-CC-0142 to May 5, 2014; CGB-CC-1170 to May 2, 2014</w:t>
      </w:r>
      <w:r w:rsidR="008A1C79">
        <w:rPr>
          <w:sz w:val="20"/>
          <w:lang w:val="en-US"/>
        </w:rPr>
        <w:t>;</w:t>
      </w:r>
      <w:r w:rsidR="00DE2912">
        <w:rPr>
          <w:sz w:val="20"/>
          <w:lang w:val="en-US"/>
        </w:rPr>
        <w:t xml:space="preserve"> CGB-CC-1188 to March 31, 2014; and CGB-CC-1245 to April 2, 2014.  </w:t>
      </w:r>
    </w:p>
  </w:footnote>
  <w:footnote w:id="4">
    <w:p w:rsidR="008B584F" w:rsidRPr="00D16836" w:rsidRDefault="008B584F" w:rsidP="008A1C79">
      <w:pPr>
        <w:pStyle w:val="FootnoteText"/>
        <w:spacing w:after="120"/>
        <w:rPr>
          <w:sz w:val="20"/>
        </w:rPr>
      </w:pPr>
      <w:r w:rsidRPr="007C7817">
        <w:rPr>
          <w:rStyle w:val="FootnoteReference"/>
          <w:sz w:val="20"/>
        </w:rPr>
        <w:footnoteRef/>
      </w:r>
      <w:r w:rsidRPr="007C7817">
        <w:rPr>
          <w:sz w:val="20"/>
        </w:rPr>
        <w:t xml:space="preserve"> The release of this </w:t>
      </w:r>
      <w:r w:rsidRPr="007C7817">
        <w:rPr>
          <w:i/>
          <w:sz w:val="20"/>
        </w:rPr>
        <w:t>Notice</w:t>
      </w:r>
      <w:r w:rsidRPr="007C7817">
        <w:rPr>
          <w:sz w:val="20"/>
        </w:rPr>
        <w:t xml:space="preserve"> serves as the Bureau’s notification of dismissal to these petitioners.  The Bureau will also mail a copy of this </w:t>
      </w:r>
      <w:r w:rsidRPr="007C7817">
        <w:rPr>
          <w:i/>
          <w:sz w:val="20"/>
        </w:rPr>
        <w:t>Notice</w:t>
      </w:r>
      <w:r w:rsidRPr="007C7817">
        <w:rPr>
          <w:sz w:val="20"/>
        </w:rPr>
        <w:t xml:space="preserve"> to each of the petitioners listed 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CE" w:rsidRDefault="009F1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CE" w:rsidRDefault="009F1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14:anchorId="67EF0D5F" wp14:editId="58E0D199">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3D5BD7D" wp14:editId="79D3354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6AEFE71" wp14:editId="72640A6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2EF9A43" wp14:editId="3CFDC09A">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14B87"/>
    <w:rsid w:val="000B38F3"/>
    <w:rsid w:val="000E3026"/>
    <w:rsid w:val="001110B4"/>
    <w:rsid w:val="00114916"/>
    <w:rsid w:val="00132762"/>
    <w:rsid w:val="00144408"/>
    <w:rsid w:val="001656BE"/>
    <w:rsid w:val="001A4E70"/>
    <w:rsid w:val="002A3D71"/>
    <w:rsid w:val="002F2AA4"/>
    <w:rsid w:val="002F62C3"/>
    <w:rsid w:val="00311230"/>
    <w:rsid w:val="00340904"/>
    <w:rsid w:val="00357B23"/>
    <w:rsid w:val="00372B8A"/>
    <w:rsid w:val="00375BE4"/>
    <w:rsid w:val="003B4AA6"/>
    <w:rsid w:val="003C34E1"/>
    <w:rsid w:val="003F1B71"/>
    <w:rsid w:val="00401CBC"/>
    <w:rsid w:val="00431F4E"/>
    <w:rsid w:val="0045556D"/>
    <w:rsid w:val="00472A58"/>
    <w:rsid w:val="0049746B"/>
    <w:rsid w:val="004C4CC1"/>
    <w:rsid w:val="004D2A82"/>
    <w:rsid w:val="005272FD"/>
    <w:rsid w:val="005472B6"/>
    <w:rsid w:val="00560885"/>
    <w:rsid w:val="00660CA4"/>
    <w:rsid w:val="007700FC"/>
    <w:rsid w:val="007C7383"/>
    <w:rsid w:val="007C7817"/>
    <w:rsid w:val="00844023"/>
    <w:rsid w:val="00876E6A"/>
    <w:rsid w:val="008A1C79"/>
    <w:rsid w:val="008B584F"/>
    <w:rsid w:val="008C310A"/>
    <w:rsid w:val="008E3405"/>
    <w:rsid w:val="008E53AF"/>
    <w:rsid w:val="009B0904"/>
    <w:rsid w:val="009B17C1"/>
    <w:rsid w:val="009B4AF2"/>
    <w:rsid w:val="009B4D45"/>
    <w:rsid w:val="009C1CB6"/>
    <w:rsid w:val="009D6603"/>
    <w:rsid w:val="009F16CE"/>
    <w:rsid w:val="00A05F11"/>
    <w:rsid w:val="00A15C05"/>
    <w:rsid w:val="00A22D37"/>
    <w:rsid w:val="00A24DA7"/>
    <w:rsid w:val="00A40283"/>
    <w:rsid w:val="00A4203E"/>
    <w:rsid w:val="00A4369F"/>
    <w:rsid w:val="00A53BC9"/>
    <w:rsid w:val="00AE39EE"/>
    <w:rsid w:val="00AE3AD5"/>
    <w:rsid w:val="00B05A66"/>
    <w:rsid w:val="00B43086"/>
    <w:rsid w:val="00B5713A"/>
    <w:rsid w:val="00B70678"/>
    <w:rsid w:val="00B90AA7"/>
    <w:rsid w:val="00BB4751"/>
    <w:rsid w:val="00BE6D5D"/>
    <w:rsid w:val="00C910D5"/>
    <w:rsid w:val="00CA1C7D"/>
    <w:rsid w:val="00CA4EEF"/>
    <w:rsid w:val="00CB1C5F"/>
    <w:rsid w:val="00D1435C"/>
    <w:rsid w:val="00D2451C"/>
    <w:rsid w:val="00D302A8"/>
    <w:rsid w:val="00D70105"/>
    <w:rsid w:val="00DE2912"/>
    <w:rsid w:val="00DF41C5"/>
    <w:rsid w:val="00E30DDE"/>
    <w:rsid w:val="00EB25FD"/>
    <w:rsid w:val="00EC1385"/>
    <w:rsid w:val="00EE09FB"/>
    <w:rsid w:val="00EE5E37"/>
    <w:rsid w:val="00F148CC"/>
    <w:rsid w:val="00F22886"/>
    <w:rsid w:val="00F309C1"/>
    <w:rsid w:val="00F97856"/>
    <w:rsid w:val="00FB6172"/>
    <w:rsid w:val="00FC1B7B"/>
    <w:rsid w:val="00FC2E39"/>
    <w:rsid w:val="00FC69FF"/>
    <w:rsid w:val="00FC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y.Singleton@fcc.gov" TargetMode="External"/><Relationship Id="rId2" Type="http://schemas.openxmlformats.org/officeDocument/2006/relationships/styles" Target="styles.xml"/><Relationship Id="rId16" Type="http://schemas.openxmlformats.org/officeDocument/2006/relationships/hyperlink" Target="mailto:Caitlin.Vogu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3</Pages>
  <Words>524</Words>
  <Characters>3281</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3782</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2014-06-17T13:28:00Z</dcterms:created>
  <dcterms:modified xsi:type="dcterms:W3CDTF">2014-06-17T13:28:00Z</dcterms:modified>
  <cp:category> </cp:category>
  <cp:contentStatus> </cp:contentStatus>
</cp:coreProperties>
</file>