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4A33" w:rsidRDefault="00FC65E2">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A33" w:rsidRDefault="00D34A33">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D34A33" w:rsidRDefault="00D34A33">
                      <w:pPr>
                        <w:tabs>
                          <w:tab w:val="left" w:pos="1440"/>
                          <w:tab w:val="left" w:pos="5040"/>
                        </w:tabs>
                        <w:suppressAutoHyphens/>
                        <w:jc w:val="both"/>
                        <w:rPr>
                          <w:sz w:val="2"/>
                        </w:rPr>
                      </w:pPr>
                    </w:p>
                  </w:txbxContent>
                </v:textbox>
                <w10:wrap anchorx="margin" anchory="page"/>
              </v:rect>
            </w:pict>
          </mc:Fallback>
        </mc:AlternateContent>
      </w:r>
      <w:r w:rsidR="00D34A33">
        <w:rPr>
          <w:spacing w:val="-10"/>
          <w:sz w:val="86"/>
        </w:rPr>
        <w:t>PUBLIC NOTICE</w:t>
      </w:r>
    </w:p>
    <w:p w:rsidR="00D34A33" w:rsidRDefault="00D34A33">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D34A33" w:rsidRDefault="00D34A33">
      <w:pPr>
        <w:tabs>
          <w:tab w:val="left" w:pos="1440"/>
          <w:tab w:val="left" w:pos="5040"/>
        </w:tabs>
        <w:suppressAutoHyphens/>
        <w:spacing w:line="227" w:lineRule="auto"/>
        <w:jc w:val="both"/>
        <w:rPr>
          <w:spacing w:val="-2"/>
          <w:sz w:val="22"/>
        </w:rPr>
      </w:pPr>
      <w:r>
        <w:rPr>
          <w:spacing w:val="-2"/>
          <w:sz w:val="22"/>
        </w:rPr>
        <w:t>445 TWELFTH STREET, S.W.</w:t>
      </w:r>
    </w:p>
    <w:p w:rsidR="00D34A33" w:rsidRDefault="00D34A33">
      <w:pPr>
        <w:tabs>
          <w:tab w:val="right" w:pos="9360"/>
        </w:tabs>
        <w:suppressAutoHyphens/>
        <w:spacing w:line="227" w:lineRule="auto"/>
        <w:jc w:val="both"/>
        <w:rPr>
          <w:b/>
          <w:spacing w:val="-2"/>
          <w:sz w:val="22"/>
        </w:rPr>
      </w:pPr>
      <w:r>
        <w:rPr>
          <w:spacing w:val="-2"/>
          <w:sz w:val="22"/>
        </w:rPr>
        <w:t>WASHINGTON, D.C. 20554</w:t>
      </w:r>
      <w:r>
        <w:rPr>
          <w:b/>
          <w:spacing w:val="-2"/>
          <w:sz w:val="22"/>
        </w:rPr>
        <w:tab/>
        <w:t>DA 14-</w:t>
      </w:r>
      <w:r w:rsidR="00670878">
        <w:rPr>
          <w:b/>
          <w:spacing w:val="-2"/>
          <w:sz w:val="22"/>
        </w:rPr>
        <w:t>803</w:t>
      </w:r>
    </w:p>
    <w:p w:rsidR="00D34A33" w:rsidRDefault="00FC65E2">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D34A33" w:rsidRDefault="00D34A33">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34A33" w:rsidRDefault="00D34A33">
      <w:pPr>
        <w:tabs>
          <w:tab w:val="left" w:pos="-1440"/>
          <w:tab w:val="left" w:pos="-720"/>
        </w:tabs>
        <w:suppressAutoHyphens/>
        <w:spacing w:line="227" w:lineRule="auto"/>
        <w:jc w:val="both"/>
        <w:rPr>
          <w:spacing w:val="-2"/>
          <w:sz w:val="22"/>
          <w:szCs w:val="22"/>
        </w:rPr>
      </w:pPr>
    </w:p>
    <w:p w:rsidR="00D34A33" w:rsidRDefault="00D34A33" w:rsidP="001309C0">
      <w:pPr>
        <w:widowControl/>
        <w:tabs>
          <w:tab w:val="right" w:pos="9360"/>
        </w:tabs>
        <w:suppressAutoHyphens/>
        <w:spacing w:line="225" w:lineRule="auto"/>
        <w:rPr>
          <w:b/>
          <w:spacing w:val="-2"/>
          <w:sz w:val="22"/>
          <w:szCs w:val="22"/>
        </w:rPr>
      </w:pPr>
    </w:p>
    <w:p w:rsidR="00F6212B" w:rsidRPr="00F6212B" w:rsidRDefault="00F6212B" w:rsidP="00F6212B">
      <w:pPr>
        <w:widowControl/>
        <w:spacing w:before="120"/>
        <w:jc w:val="right"/>
        <w:rPr>
          <w:b/>
          <w:snapToGrid/>
          <w:sz w:val="22"/>
          <w:szCs w:val="22"/>
        </w:rPr>
      </w:pPr>
      <w:r w:rsidRPr="00F6212B">
        <w:rPr>
          <w:b/>
          <w:snapToGrid/>
          <w:sz w:val="22"/>
          <w:szCs w:val="22"/>
        </w:rPr>
        <w:t>Released</w:t>
      </w:r>
      <w:r w:rsidRPr="00F15EBE">
        <w:rPr>
          <w:b/>
          <w:snapToGrid/>
          <w:sz w:val="22"/>
          <w:szCs w:val="22"/>
        </w:rPr>
        <w:t xml:space="preserve">: </w:t>
      </w:r>
      <w:r w:rsidR="00670878">
        <w:rPr>
          <w:b/>
          <w:snapToGrid/>
          <w:sz w:val="22"/>
          <w:szCs w:val="22"/>
        </w:rPr>
        <w:t xml:space="preserve"> </w:t>
      </w:r>
      <w:r w:rsidRPr="00F15EBE">
        <w:rPr>
          <w:b/>
          <w:snapToGrid/>
          <w:sz w:val="22"/>
          <w:szCs w:val="22"/>
        </w:rPr>
        <w:t>June 11, 2014</w:t>
      </w:r>
    </w:p>
    <w:p w:rsidR="00F6212B" w:rsidRPr="00F6212B" w:rsidRDefault="00F6212B" w:rsidP="00F6212B">
      <w:pPr>
        <w:widowControl/>
        <w:spacing w:before="120"/>
        <w:jc w:val="center"/>
        <w:rPr>
          <w:b/>
          <w:snapToGrid/>
          <w:sz w:val="22"/>
          <w:szCs w:val="22"/>
        </w:rPr>
      </w:pPr>
    </w:p>
    <w:p w:rsidR="00F6212B" w:rsidRPr="00337DC1" w:rsidRDefault="00F6212B" w:rsidP="00F6212B">
      <w:pPr>
        <w:widowControl/>
        <w:jc w:val="center"/>
        <w:rPr>
          <w:b/>
          <w:snapToGrid/>
          <w:sz w:val="24"/>
          <w:szCs w:val="24"/>
        </w:rPr>
      </w:pPr>
      <w:r w:rsidRPr="00337DC1">
        <w:rPr>
          <w:b/>
          <w:snapToGrid/>
          <w:sz w:val="24"/>
          <w:szCs w:val="24"/>
        </w:rPr>
        <w:t xml:space="preserve">COMMISSION OPENS DOCKET FOR PROPOSED TRANSFER OF CONTROL </w:t>
      </w:r>
    </w:p>
    <w:p w:rsidR="00F6212B" w:rsidRPr="00337DC1" w:rsidRDefault="00F6212B" w:rsidP="00F6212B">
      <w:pPr>
        <w:widowControl/>
        <w:jc w:val="center"/>
        <w:rPr>
          <w:b/>
          <w:snapToGrid/>
          <w:sz w:val="24"/>
          <w:szCs w:val="24"/>
        </w:rPr>
      </w:pPr>
      <w:r w:rsidRPr="00337DC1">
        <w:rPr>
          <w:b/>
          <w:snapToGrid/>
          <w:sz w:val="24"/>
          <w:szCs w:val="24"/>
        </w:rPr>
        <w:t xml:space="preserve">OF DIRECTV TO AT&amp;T INC. </w:t>
      </w:r>
    </w:p>
    <w:p w:rsidR="00F6212B" w:rsidRPr="00337DC1" w:rsidRDefault="00F6212B" w:rsidP="00F6212B">
      <w:pPr>
        <w:widowControl/>
        <w:spacing w:before="120"/>
        <w:jc w:val="center"/>
        <w:rPr>
          <w:b/>
          <w:snapToGrid/>
          <w:sz w:val="24"/>
          <w:szCs w:val="24"/>
        </w:rPr>
      </w:pPr>
      <w:r w:rsidRPr="00337DC1">
        <w:rPr>
          <w:b/>
          <w:snapToGrid/>
          <w:sz w:val="24"/>
          <w:szCs w:val="24"/>
        </w:rPr>
        <w:t xml:space="preserve">MB Docket No. </w:t>
      </w:r>
      <w:r w:rsidRPr="00670878">
        <w:rPr>
          <w:b/>
          <w:snapToGrid/>
          <w:sz w:val="24"/>
          <w:szCs w:val="24"/>
        </w:rPr>
        <w:t>14-</w:t>
      </w:r>
      <w:r w:rsidR="00670878" w:rsidRPr="00670878">
        <w:rPr>
          <w:b/>
          <w:snapToGrid/>
          <w:sz w:val="24"/>
          <w:szCs w:val="24"/>
        </w:rPr>
        <w:t>90</w:t>
      </w:r>
    </w:p>
    <w:p w:rsidR="00F6212B" w:rsidRPr="00F6212B" w:rsidRDefault="00F6212B" w:rsidP="00F6212B">
      <w:pPr>
        <w:widowControl/>
        <w:spacing w:before="120"/>
        <w:jc w:val="center"/>
        <w:rPr>
          <w:b/>
          <w:snapToGrid/>
          <w:sz w:val="22"/>
          <w:szCs w:val="22"/>
        </w:rPr>
      </w:pPr>
    </w:p>
    <w:p w:rsidR="00F6212B" w:rsidRPr="00F6212B" w:rsidRDefault="00F6212B" w:rsidP="00F6212B">
      <w:pPr>
        <w:widowControl/>
        <w:rPr>
          <w:snapToGrid/>
          <w:sz w:val="22"/>
          <w:szCs w:val="22"/>
        </w:rPr>
      </w:pPr>
      <w:r w:rsidRPr="00F6212B">
        <w:rPr>
          <w:snapToGrid/>
          <w:sz w:val="22"/>
          <w:szCs w:val="22"/>
        </w:rPr>
        <w:tab/>
        <w:t xml:space="preserve">On May 18, 2014, AT&amp;T Inc. (“AT&amp;T”) and </w:t>
      </w:r>
      <w:r w:rsidRPr="00F6212B">
        <w:rPr>
          <w:snapToGrid/>
          <w:sz w:val="22"/>
        </w:rPr>
        <w:t xml:space="preserve">DIRECTV announced an agreement </w:t>
      </w:r>
      <w:r w:rsidR="00F15EBE">
        <w:rPr>
          <w:snapToGrid/>
          <w:sz w:val="22"/>
        </w:rPr>
        <w:t>pursuant to</w:t>
      </w:r>
      <w:r w:rsidRPr="00F6212B">
        <w:rPr>
          <w:snapToGrid/>
          <w:sz w:val="22"/>
        </w:rPr>
        <w:t xml:space="preserve"> which </w:t>
      </w:r>
      <w:r w:rsidRPr="00F6212B">
        <w:rPr>
          <w:snapToGrid/>
          <w:sz w:val="22"/>
          <w:szCs w:val="22"/>
        </w:rPr>
        <w:t xml:space="preserve">AT&amp;T </w:t>
      </w:r>
      <w:r w:rsidR="00F15EBE">
        <w:rPr>
          <w:snapToGrid/>
          <w:sz w:val="22"/>
          <w:szCs w:val="22"/>
        </w:rPr>
        <w:t>seeks to</w:t>
      </w:r>
      <w:r w:rsidRPr="00F6212B">
        <w:rPr>
          <w:snapToGrid/>
          <w:sz w:val="22"/>
          <w:szCs w:val="22"/>
        </w:rPr>
        <w:t xml:space="preserve"> acquire </w:t>
      </w:r>
      <w:r w:rsidRPr="00F6212B">
        <w:rPr>
          <w:snapToGrid/>
          <w:sz w:val="22"/>
        </w:rPr>
        <w:t>DIRECTV in a stock-and-cash transaction.</w:t>
      </w:r>
      <w:r w:rsidRPr="00F6212B">
        <w:rPr>
          <w:snapToGrid/>
          <w:sz w:val="22"/>
          <w:szCs w:val="22"/>
        </w:rPr>
        <w:t xml:space="preserve">  As part of the transaction, AT&amp;T also plans to divest its interest in América Móvil, a telecommunications company headquartered in Mexico.  Applications seeking Commission consent to the assignment or transfer of control of the licenses and authorizations held by DIRECTV are expected.  The purpose of this public notice is to announce the open</w:t>
      </w:r>
      <w:r w:rsidR="00AE7A96">
        <w:rPr>
          <w:snapToGrid/>
          <w:sz w:val="22"/>
          <w:szCs w:val="22"/>
        </w:rPr>
        <w:t xml:space="preserve">ing of a docket, MB Docket No. </w:t>
      </w:r>
      <w:r w:rsidRPr="00AE7A96">
        <w:rPr>
          <w:snapToGrid/>
          <w:sz w:val="22"/>
          <w:szCs w:val="22"/>
        </w:rPr>
        <w:t>14-</w:t>
      </w:r>
      <w:r w:rsidR="00AE7A96" w:rsidRPr="00AE7A96">
        <w:rPr>
          <w:snapToGrid/>
          <w:sz w:val="22"/>
          <w:szCs w:val="22"/>
        </w:rPr>
        <w:t>90</w:t>
      </w:r>
      <w:r w:rsidRPr="00F6212B">
        <w:rPr>
          <w:snapToGrid/>
          <w:sz w:val="22"/>
          <w:szCs w:val="22"/>
        </w:rPr>
        <w:t xml:space="preserve">, and </w:t>
      </w:r>
      <w:r w:rsidR="00FE552F">
        <w:rPr>
          <w:snapToGrid/>
          <w:sz w:val="22"/>
          <w:szCs w:val="22"/>
        </w:rPr>
        <w:t xml:space="preserve">to </w:t>
      </w:r>
      <w:r w:rsidRPr="00F6212B">
        <w:rPr>
          <w:snapToGrid/>
          <w:sz w:val="22"/>
          <w:szCs w:val="22"/>
        </w:rPr>
        <w:t xml:space="preserve">establish the </w:t>
      </w:r>
      <w:r w:rsidRPr="00F6212B">
        <w:rPr>
          <w:i/>
          <w:snapToGrid/>
          <w:sz w:val="22"/>
          <w:szCs w:val="22"/>
        </w:rPr>
        <w:t>ex parte</w:t>
      </w:r>
      <w:r w:rsidRPr="00F6212B">
        <w:rPr>
          <w:snapToGrid/>
          <w:sz w:val="22"/>
          <w:szCs w:val="22"/>
        </w:rPr>
        <w:t xml:space="preserve"> status of discussions related to the proposed transaction.  When the applications have been accepted for filing, we will issue a separate public notice announcing that fact and setting forth a pleading schedule. </w:t>
      </w:r>
    </w:p>
    <w:p w:rsidR="00F6212B" w:rsidRPr="00F6212B" w:rsidRDefault="00F6212B" w:rsidP="00F6212B">
      <w:pPr>
        <w:widowControl/>
        <w:rPr>
          <w:b/>
          <w:snapToGrid/>
          <w:sz w:val="24"/>
          <w:szCs w:val="22"/>
          <w:u w:val="single"/>
        </w:rPr>
      </w:pPr>
      <w:r w:rsidRPr="00F6212B">
        <w:rPr>
          <w:snapToGrid/>
          <w:sz w:val="22"/>
          <w:szCs w:val="22"/>
        </w:rPr>
        <w:tab/>
      </w:r>
    </w:p>
    <w:p w:rsidR="00F6212B" w:rsidRPr="00F6212B" w:rsidRDefault="00F6212B" w:rsidP="00F6212B">
      <w:pPr>
        <w:widowControl/>
        <w:tabs>
          <w:tab w:val="left" w:pos="-720"/>
        </w:tabs>
        <w:suppressAutoHyphens/>
        <w:spacing w:after="240"/>
        <w:ind w:firstLine="720"/>
        <w:rPr>
          <w:b/>
          <w:snapToGrid/>
          <w:sz w:val="22"/>
          <w:szCs w:val="22"/>
        </w:rPr>
      </w:pPr>
      <w:r w:rsidRPr="00F6212B">
        <w:rPr>
          <w:snapToGrid/>
          <w:sz w:val="22"/>
          <w:szCs w:val="22"/>
        </w:rPr>
        <w:t>Pursuant to section 1.1200(a) of the Commission’s rules,</w:t>
      </w:r>
      <w:r w:rsidRPr="00F6212B">
        <w:rPr>
          <w:snapToGrid/>
          <w:sz w:val="22"/>
          <w:szCs w:val="22"/>
          <w:vertAlign w:val="superscript"/>
        </w:rPr>
        <w:footnoteReference w:id="1"/>
      </w:r>
      <w:r w:rsidRPr="00F6212B">
        <w:rPr>
          <w:snapToGrid/>
          <w:sz w:val="22"/>
          <w:szCs w:val="22"/>
        </w:rPr>
        <w:t xml:space="preserve"> the Commission may in its discretion modify the </w:t>
      </w:r>
      <w:r w:rsidRPr="00F6212B">
        <w:rPr>
          <w:i/>
          <w:snapToGrid/>
          <w:sz w:val="22"/>
          <w:szCs w:val="22"/>
        </w:rPr>
        <w:t>ex parte</w:t>
      </w:r>
      <w:r w:rsidRPr="00F6212B">
        <w:rPr>
          <w:snapToGrid/>
          <w:sz w:val="22"/>
          <w:szCs w:val="22"/>
        </w:rPr>
        <w:t xml:space="preserve"> procedures in particular proceedings if the public interest so requires.  We announce that this proceeding will be governed by the permit-but-disclose </w:t>
      </w:r>
      <w:r w:rsidRPr="00F6212B">
        <w:rPr>
          <w:i/>
          <w:snapToGrid/>
          <w:sz w:val="22"/>
          <w:szCs w:val="22"/>
        </w:rPr>
        <w:t>ex parte</w:t>
      </w:r>
      <w:r w:rsidRPr="00F6212B">
        <w:rPr>
          <w:snapToGrid/>
          <w:sz w:val="22"/>
          <w:szCs w:val="22"/>
        </w:rPr>
        <w:t xml:space="preserve"> procedures that are applicable to non-restricted proceedings under section 1.1206 of the Commission’s rules.</w:t>
      </w:r>
      <w:r w:rsidRPr="00F6212B">
        <w:rPr>
          <w:snapToGrid/>
          <w:sz w:val="22"/>
          <w:szCs w:val="22"/>
          <w:vertAlign w:val="superscript"/>
        </w:rPr>
        <w:footnoteReference w:id="2"/>
      </w:r>
      <w:r w:rsidRPr="00F6212B">
        <w:rPr>
          <w:snapToGrid/>
          <w:sz w:val="22"/>
          <w:szCs w:val="22"/>
        </w:rPr>
        <w:t xml:space="preserve">  </w:t>
      </w:r>
      <w:r w:rsidRPr="00F6212B">
        <w:rPr>
          <w:snapToGrid/>
          <w:spacing w:val="-2"/>
          <w:sz w:val="22"/>
          <w:szCs w:val="22"/>
        </w:rPr>
        <w:t xml:space="preserve">Parties making oral </w:t>
      </w:r>
      <w:r w:rsidRPr="00F6212B">
        <w:rPr>
          <w:i/>
          <w:snapToGrid/>
          <w:spacing w:val="-2"/>
          <w:sz w:val="22"/>
          <w:szCs w:val="22"/>
        </w:rPr>
        <w:t>ex parte</w:t>
      </w:r>
      <w:r w:rsidRPr="00F6212B">
        <w:rPr>
          <w:snapToGrid/>
          <w:spacing w:val="-2"/>
          <w:sz w:val="22"/>
          <w:szCs w:val="22"/>
        </w:rPr>
        <w:t xml:space="preserve"> presentations are reminded that they must file notices of the presentations that contain, with regard to material already in the written record, either a succinct summary of the matters discussed or a citation to the page or paragraph number in the party’s written submission(s) where the matters discussed can be found, and with regard to any new information, a summary of the new data and arguments presented.  Memoranda must contain a summary of the substance of the </w:t>
      </w:r>
      <w:r w:rsidRPr="00F6212B">
        <w:rPr>
          <w:i/>
          <w:snapToGrid/>
          <w:spacing w:val="-2"/>
          <w:sz w:val="22"/>
          <w:szCs w:val="22"/>
        </w:rPr>
        <w:t>ex parte</w:t>
      </w:r>
      <w:r w:rsidRPr="00F6212B">
        <w:rPr>
          <w:snapToGrid/>
          <w:spacing w:val="-2"/>
          <w:sz w:val="22"/>
          <w:szCs w:val="22"/>
        </w:rPr>
        <w:t xml:space="preserve"> presentation and not merely a listing of the subjects discussed.  More than a one or two sentence description of the views and arguments presented is generally required.  All of the disclosure requirements pertaining to oral and written </w:t>
      </w:r>
      <w:r w:rsidRPr="00F6212B">
        <w:rPr>
          <w:i/>
          <w:snapToGrid/>
          <w:spacing w:val="-2"/>
          <w:sz w:val="22"/>
          <w:szCs w:val="22"/>
        </w:rPr>
        <w:t xml:space="preserve">ex parte </w:t>
      </w:r>
      <w:r w:rsidRPr="00F6212B">
        <w:rPr>
          <w:snapToGrid/>
          <w:spacing w:val="-2"/>
          <w:sz w:val="22"/>
          <w:szCs w:val="22"/>
        </w:rPr>
        <w:t>presentations are set forth in section 1.1206(b).</w:t>
      </w:r>
      <w:r w:rsidRPr="00F6212B">
        <w:rPr>
          <w:snapToGrid/>
          <w:spacing w:val="-2"/>
          <w:sz w:val="22"/>
          <w:szCs w:val="22"/>
          <w:vertAlign w:val="superscript"/>
        </w:rPr>
        <w:footnoteReference w:id="3"/>
      </w:r>
      <w:r w:rsidRPr="00F6212B">
        <w:rPr>
          <w:snapToGrid/>
          <w:spacing w:val="-2"/>
          <w:sz w:val="22"/>
          <w:szCs w:val="22"/>
        </w:rPr>
        <w:t xml:space="preserve">  </w:t>
      </w:r>
    </w:p>
    <w:p w:rsidR="00F6212B" w:rsidRPr="00F6212B" w:rsidRDefault="00F6212B" w:rsidP="00FE552F">
      <w:pPr>
        <w:widowControl/>
        <w:ind w:firstLine="720"/>
        <w:rPr>
          <w:snapToGrid/>
          <w:spacing w:val="-2"/>
          <w:sz w:val="22"/>
          <w:szCs w:val="22"/>
        </w:rPr>
      </w:pPr>
      <w:r w:rsidRPr="00F6212B">
        <w:rPr>
          <w:snapToGrid/>
          <w:sz w:val="22"/>
          <w:szCs w:val="22"/>
        </w:rPr>
        <w:t xml:space="preserve">Notices of </w:t>
      </w:r>
      <w:r w:rsidRPr="00F6212B">
        <w:rPr>
          <w:i/>
          <w:snapToGrid/>
          <w:sz w:val="22"/>
          <w:szCs w:val="22"/>
        </w:rPr>
        <w:t>ex parte</w:t>
      </w:r>
      <w:r w:rsidRPr="00F6212B">
        <w:rPr>
          <w:snapToGrid/>
          <w:sz w:val="22"/>
          <w:szCs w:val="22"/>
        </w:rPr>
        <w:t xml:space="preserve"> presentations, which must includ</w:t>
      </w:r>
      <w:r w:rsidR="00AE7A96">
        <w:rPr>
          <w:snapToGrid/>
          <w:sz w:val="22"/>
          <w:szCs w:val="22"/>
        </w:rPr>
        <w:t xml:space="preserve">e a reference to MB Docket No. </w:t>
      </w:r>
      <w:r w:rsidRPr="00AE7A96">
        <w:rPr>
          <w:snapToGrid/>
          <w:sz w:val="22"/>
          <w:szCs w:val="22"/>
        </w:rPr>
        <w:t>14-</w:t>
      </w:r>
      <w:r w:rsidR="00AE7A96" w:rsidRPr="00AE7A96">
        <w:rPr>
          <w:snapToGrid/>
          <w:sz w:val="22"/>
          <w:szCs w:val="22"/>
        </w:rPr>
        <w:t>90</w:t>
      </w:r>
      <w:r w:rsidRPr="00F6212B">
        <w:rPr>
          <w:snapToGrid/>
          <w:sz w:val="22"/>
          <w:szCs w:val="22"/>
        </w:rPr>
        <w:t xml:space="preserve">, shall be filed electronically in machine-readable format via the Commission’s Electronic Comment Filing System (ECFS).  </w:t>
      </w:r>
      <w:r w:rsidRPr="00F6212B">
        <w:rPr>
          <w:i/>
          <w:snapToGrid/>
          <w:sz w:val="22"/>
          <w:szCs w:val="22"/>
        </w:rPr>
        <w:t>See Electronic Filing of Documents in Rulemaking Proceedings</w:t>
      </w:r>
      <w:r w:rsidRPr="00F6212B">
        <w:rPr>
          <w:snapToGrid/>
          <w:sz w:val="22"/>
          <w:szCs w:val="22"/>
        </w:rPr>
        <w:t xml:space="preserve">, 63 FR 24121 (1998).  Also, one copy of each </w:t>
      </w:r>
      <w:r w:rsidRPr="002803B8">
        <w:rPr>
          <w:i/>
          <w:snapToGrid/>
          <w:sz w:val="22"/>
          <w:szCs w:val="22"/>
        </w:rPr>
        <w:t>ex parte</w:t>
      </w:r>
      <w:r w:rsidRPr="00F6212B">
        <w:rPr>
          <w:snapToGrid/>
          <w:sz w:val="22"/>
          <w:szCs w:val="22"/>
        </w:rPr>
        <w:t xml:space="preserve"> notice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F6212B">
        <w:rPr>
          <w:snapToGrid/>
          <w:spacing w:val="-2"/>
          <w:sz w:val="22"/>
          <w:szCs w:val="22"/>
        </w:rPr>
        <w:t>1) t</w:t>
      </w:r>
      <w:r w:rsidRPr="00F6212B">
        <w:rPr>
          <w:snapToGrid/>
          <w:color w:val="000000"/>
          <w:sz w:val="22"/>
          <w:szCs w:val="22"/>
        </w:rPr>
        <w:t xml:space="preserve">he Commission’s duplicating contractor, Best Copy and Printing, Inc., at fcc@bcpiweb.com, or </w:t>
      </w:r>
      <w:r w:rsidRPr="00F6212B">
        <w:rPr>
          <w:snapToGrid/>
          <w:color w:val="000000"/>
          <w:sz w:val="22"/>
          <w:szCs w:val="22"/>
        </w:rPr>
        <w:lastRenderedPageBreak/>
        <w:t>(202) 488-5563 (facsimile); (2) Vanessa Lemmé, Industry Analysis Division, Media Bureau, at Vanessa.Lemme@fcc.gov, or (202) 418-2053</w:t>
      </w:r>
      <w:r w:rsidR="00275827">
        <w:rPr>
          <w:snapToGrid/>
          <w:color w:val="000000"/>
          <w:sz w:val="22"/>
          <w:szCs w:val="22"/>
        </w:rPr>
        <w:t xml:space="preserve"> </w:t>
      </w:r>
      <w:r w:rsidRPr="00F6212B">
        <w:rPr>
          <w:snapToGrid/>
          <w:color w:val="000000"/>
          <w:sz w:val="22"/>
          <w:szCs w:val="22"/>
        </w:rPr>
        <w:t xml:space="preserve">(facsimile); (3) Brendan Holland, Industry Analysis Division, </w:t>
      </w:r>
      <w:r w:rsidRPr="00F6212B">
        <w:rPr>
          <w:snapToGrid/>
          <w:sz w:val="22"/>
          <w:szCs w:val="22"/>
        </w:rPr>
        <w:t xml:space="preserve">Media Bureau, at Brendan.Holland@fcc.gov, or (202) 418-2053 </w:t>
      </w:r>
      <w:r w:rsidRPr="00F6212B">
        <w:rPr>
          <w:snapToGrid/>
          <w:color w:val="000000"/>
          <w:sz w:val="22"/>
          <w:szCs w:val="22"/>
        </w:rPr>
        <w:t>(facsimile)</w:t>
      </w:r>
      <w:r w:rsidRPr="00F6212B">
        <w:rPr>
          <w:snapToGrid/>
          <w:sz w:val="22"/>
          <w:szCs w:val="22"/>
        </w:rPr>
        <w:t>;</w:t>
      </w:r>
      <w:r w:rsidRPr="00F6212B">
        <w:rPr>
          <w:snapToGrid/>
          <w:spacing w:val="-2"/>
          <w:sz w:val="22"/>
          <w:szCs w:val="22"/>
        </w:rPr>
        <w:t xml:space="preserve"> </w:t>
      </w:r>
      <w:r w:rsidRPr="00F12462">
        <w:rPr>
          <w:snapToGrid/>
          <w:spacing w:val="-2"/>
          <w:sz w:val="22"/>
          <w:szCs w:val="22"/>
        </w:rPr>
        <w:t xml:space="preserve">(4) </w:t>
      </w:r>
      <w:r w:rsidR="00F12462" w:rsidRPr="00F12462">
        <w:rPr>
          <w:snapToGrid/>
          <w:spacing w:val="-2"/>
          <w:sz w:val="22"/>
          <w:szCs w:val="22"/>
        </w:rPr>
        <w:t xml:space="preserve">Christopher Sova, Competition Policy Division, Wireline Competition Bureau, at </w:t>
      </w:r>
      <w:hyperlink r:id="rId8" w:history="1">
        <w:r w:rsidR="00F12462" w:rsidRPr="00F12462">
          <w:rPr>
            <w:rStyle w:val="Hyperlink"/>
            <w:snapToGrid/>
            <w:spacing w:val="-2"/>
            <w:sz w:val="22"/>
            <w:szCs w:val="22"/>
          </w:rPr>
          <w:t>Christoper.Sova@fcc.gov</w:t>
        </w:r>
      </w:hyperlink>
      <w:r w:rsidR="00F12462" w:rsidRPr="00F12462">
        <w:rPr>
          <w:snapToGrid/>
          <w:spacing w:val="-2"/>
          <w:sz w:val="22"/>
          <w:szCs w:val="22"/>
        </w:rPr>
        <w:t xml:space="preserve">, or </w:t>
      </w:r>
      <w:r w:rsidR="00F12462" w:rsidRPr="003E2877">
        <w:rPr>
          <w:snapToGrid/>
          <w:spacing w:val="-2"/>
          <w:sz w:val="22"/>
          <w:szCs w:val="22"/>
        </w:rPr>
        <w:t>(202) 418-1413</w:t>
      </w:r>
      <w:r w:rsidR="00275827">
        <w:rPr>
          <w:snapToGrid/>
          <w:spacing w:val="-2"/>
          <w:sz w:val="22"/>
          <w:szCs w:val="22"/>
        </w:rPr>
        <w:t xml:space="preserve"> (facsimile)</w:t>
      </w:r>
      <w:r w:rsidRPr="00E0094D">
        <w:rPr>
          <w:snapToGrid/>
          <w:spacing w:val="-2"/>
          <w:sz w:val="22"/>
          <w:szCs w:val="22"/>
        </w:rPr>
        <w:t xml:space="preserve">; </w:t>
      </w:r>
      <w:r w:rsidRPr="00C9266C">
        <w:rPr>
          <w:snapToGrid/>
          <w:color w:val="000000"/>
          <w:sz w:val="22"/>
          <w:szCs w:val="22"/>
        </w:rPr>
        <w:t>(5)  Jim Bird, Office of General Counsel, at TransactionTeam@fcc.gov, or (202) 418-1234 (facsimile)</w:t>
      </w:r>
      <w:r w:rsidR="00FE552F">
        <w:rPr>
          <w:snapToGrid/>
          <w:color w:val="000000"/>
          <w:sz w:val="22"/>
          <w:szCs w:val="22"/>
        </w:rPr>
        <w:t>;</w:t>
      </w:r>
      <w:r w:rsidR="00FE552F" w:rsidRPr="00FE552F">
        <w:t xml:space="preserve"> </w:t>
      </w:r>
      <w:r w:rsidR="00FE552F" w:rsidRPr="00FE552F">
        <w:rPr>
          <w:snapToGrid/>
          <w:color w:val="000000"/>
          <w:sz w:val="22"/>
          <w:szCs w:val="22"/>
        </w:rPr>
        <w:t>and (</w:t>
      </w:r>
      <w:r w:rsidR="00FE552F">
        <w:rPr>
          <w:snapToGrid/>
          <w:color w:val="000000"/>
          <w:sz w:val="22"/>
          <w:szCs w:val="22"/>
        </w:rPr>
        <w:t>6</w:t>
      </w:r>
      <w:r w:rsidR="00FE552F" w:rsidRPr="00FE552F">
        <w:rPr>
          <w:snapToGrid/>
          <w:color w:val="000000"/>
          <w:sz w:val="22"/>
          <w:szCs w:val="22"/>
        </w:rPr>
        <w:t>) each Commissioner or Commission</w:t>
      </w:r>
      <w:r w:rsidR="00FE552F">
        <w:rPr>
          <w:snapToGrid/>
          <w:color w:val="000000"/>
          <w:sz w:val="22"/>
          <w:szCs w:val="22"/>
        </w:rPr>
        <w:t xml:space="preserve"> </w:t>
      </w:r>
      <w:r w:rsidR="00FE552F" w:rsidRPr="00FE552F">
        <w:rPr>
          <w:snapToGrid/>
          <w:color w:val="000000"/>
          <w:sz w:val="22"/>
          <w:szCs w:val="22"/>
        </w:rPr>
        <w:t xml:space="preserve">employee who attended or otherwise participated in the </w:t>
      </w:r>
      <w:r w:rsidR="00FE552F" w:rsidRPr="00E0094D">
        <w:rPr>
          <w:i/>
          <w:snapToGrid/>
          <w:color w:val="000000"/>
          <w:sz w:val="22"/>
          <w:szCs w:val="22"/>
        </w:rPr>
        <w:t>ex parte</w:t>
      </w:r>
      <w:r w:rsidR="00FE552F" w:rsidRPr="00FE552F">
        <w:rPr>
          <w:snapToGrid/>
          <w:color w:val="000000"/>
          <w:sz w:val="22"/>
          <w:szCs w:val="22"/>
        </w:rPr>
        <w:t xml:space="preserve"> meeting.</w:t>
      </w:r>
    </w:p>
    <w:p w:rsidR="00F6212B" w:rsidRPr="00F6212B" w:rsidRDefault="00F6212B" w:rsidP="00F6212B">
      <w:pPr>
        <w:widowControl/>
        <w:rPr>
          <w:snapToGrid/>
          <w:spacing w:val="-2"/>
          <w:sz w:val="22"/>
          <w:szCs w:val="22"/>
        </w:rPr>
      </w:pPr>
    </w:p>
    <w:p w:rsidR="00F6212B" w:rsidRPr="00F6212B" w:rsidRDefault="00F6212B" w:rsidP="00F6212B">
      <w:pPr>
        <w:widowControl/>
        <w:ind w:firstLine="720"/>
        <w:rPr>
          <w:snapToGrid/>
          <w:spacing w:val="-2"/>
          <w:sz w:val="22"/>
          <w:szCs w:val="22"/>
        </w:rPr>
      </w:pPr>
      <w:r w:rsidRPr="00F6212B">
        <w:rPr>
          <w:snapToGrid/>
          <w:spacing w:val="-2"/>
          <w:sz w:val="22"/>
          <w:szCs w:val="22"/>
        </w:rPr>
        <w:t xml:space="preserve">Any submission that is e-mailed to Best Copy and Printing Inc. and the persons listed above should include in the subject line of the e-mail:  (1) </w:t>
      </w:r>
      <w:r w:rsidRPr="00F6212B">
        <w:rPr>
          <w:snapToGrid/>
          <w:sz w:val="22"/>
          <w:szCs w:val="22"/>
        </w:rPr>
        <w:t>MB Docket No</w:t>
      </w:r>
      <w:r w:rsidRPr="00616AE3">
        <w:rPr>
          <w:snapToGrid/>
          <w:sz w:val="22"/>
          <w:szCs w:val="22"/>
        </w:rPr>
        <w:t>. 14-</w:t>
      </w:r>
      <w:r w:rsidR="00616AE3">
        <w:rPr>
          <w:snapToGrid/>
          <w:sz w:val="22"/>
          <w:szCs w:val="22"/>
        </w:rPr>
        <w:t>90</w:t>
      </w:r>
      <w:r w:rsidRPr="00F6212B">
        <w:rPr>
          <w:snapToGrid/>
          <w:sz w:val="22"/>
          <w:szCs w:val="22"/>
        </w:rPr>
        <w:t>; (2) the name of the submitting party; and (3) a brief description or title identifying the type of document being submitted (</w:t>
      </w:r>
      <w:r w:rsidRPr="00F6212B">
        <w:rPr>
          <w:i/>
          <w:snapToGrid/>
          <w:sz w:val="22"/>
          <w:szCs w:val="22"/>
        </w:rPr>
        <w:t>e.g</w:t>
      </w:r>
      <w:r w:rsidRPr="00F6212B">
        <w:rPr>
          <w:snapToGrid/>
          <w:sz w:val="22"/>
          <w:szCs w:val="22"/>
        </w:rPr>
        <w:t>., MB Docket No.</w:t>
      </w:r>
      <w:r w:rsidR="00857AF5">
        <w:rPr>
          <w:snapToGrid/>
          <w:sz w:val="22"/>
          <w:szCs w:val="22"/>
        </w:rPr>
        <w:t> </w:t>
      </w:r>
      <w:r w:rsidRPr="00616AE3">
        <w:rPr>
          <w:snapToGrid/>
          <w:sz w:val="22"/>
          <w:szCs w:val="22"/>
        </w:rPr>
        <w:t>14-</w:t>
      </w:r>
      <w:r w:rsidR="00616AE3" w:rsidRPr="00616AE3">
        <w:rPr>
          <w:snapToGrid/>
          <w:sz w:val="22"/>
          <w:szCs w:val="22"/>
        </w:rPr>
        <w:t>90</w:t>
      </w:r>
      <w:r w:rsidRPr="00F6212B">
        <w:rPr>
          <w:snapToGrid/>
          <w:sz w:val="22"/>
          <w:szCs w:val="22"/>
        </w:rPr>
        <w:t xml:space="preserve">, AT&amp;T Inc., </w:t>
      </w:r>
      <w:r w:rsidRPr="00F6212B">
        <w:rPr>
          <w:i/>
          <w:snapToGrid/>
          <w:sz w:val="22"/>
          <w:szCs w:val="22"/>
        </w:rPr>
        <w:t xml:space="preserve">Ex Parte </w:t>
      </w:r>
      <w:r w:rsidRPr="00F6212B">
        <w:rPr>
          <w:snapToGrid/>
          <w:sz w:val="22"/>
          <w:szCs w:val="22"/>
        </w:rPr>
        <w:t>Notice).</w:t>
      </w:r>
    </w:p>
    <w:p w:rsidR="00F6212B" w:rsidRPr="00F6212B" w:rsidRDefault="00F6212B" w:rsidP="00F6212B">
      <w:pPr>
        <w:widowControl/>
        <w:ind w:left="720" w:hanging="720"/>
        <w:rPr>
          <w:snapToGrid/>
          <w:spacing w:val="-2"/>
          <w:sz w:val="22"/>
          <w:szCs w:val="22"/>
        </w:rPr>
      </w:pPr>
    </w:p>
    <w:p w:rsidR="00F6212B" w:rsidRPr="00F6212B" w:rsidRDefault="00F6212B" w:rsidP="00F6212B">
      <w:pPr>
        <w:widowControl/>
        <w:spacing w:before="120"/>
        <w:rPr>
          <w:snapToGrid/>
          <w:spacing w:val="-2"/>
          <w:sz w:val="22"/>
          <w:szCs w:val="22"/>
        </w:rPr>
      </w:pPr>
    </w:p>
    <w:p w:rsidR="00F6212B" w:rsidRPr="00F6212B" w:rsidRDefault="00F6212B" w:rsidP="00F6212B">
      <w:pPr>
        <w:widowControl/>
        <w:tabs>
          <w:tab w:val="left" w:pos="-720"/>
        </w:tabs>
        <w:suppressAutoHyphens/>
        <w:spacing w:before="120"/>
        <w:jc w:val="center"/>
        <w:rPr>
          <w:snapToGrid/>
          <w:sz w:val="22"/>
          <w:szCs w:val="22"/>
        </w:rPr>
      </w:pPr>
      <w:r w:rsidRPr="00F6212B">
        <w:rPr>
          <w:snapToGrid/>
          <w:sz w:val="22"/>
          <w:szCs w:val="22"/>
        </w:rPr>
        <w:t>-FCC-</w:t>
      </w:r>
    </w:p>
    <w:p w:rsidR="00D34A33" w:rsidRDefault="00D34A33">
      <w:pPr>
        <w:widowControl/>
        <w:tabs>
          <w:tab w:val="right" w:pos="9360"/>
        </w:tabs>
        <w:suppressAutoHyphens/>
        <w:spacing w:line="225" w:lineRule="auto"/>
        <w:jc w:val="both"/>
        <w:rPr>
          <w:b/>
          <w:spacing w:val="-2"/>
          <w:sz w:val="22"/>
          <w:szCs w:val="22"/>
        </w:rPr>
      </w:pPr>
    </w:p>
    <w:sectPr w:rsidR="00D34A3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04" w:rsidRDefault="00427904">
      <w:r>
        <w:separator/>
      </w:r>
    </w:p>
  </w:endnote>
  <w:endnote w:type="continuationSeparator" w:id="0">
    <w:p w:rsidR="00427904" w:rsidRDefault="0042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8" w:rsidRDefault="00142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ageNo"/>
  <w:p w:rsidR="00D34A33" w:rsidRDefault="00D34A33">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D42749">
      <w:rPr>
        <w:noProof/>
        <w:sz w:val="22"/>
        <w:szCs w:val="22"/>
      </w:rPr>
      <w:t>2</w:t>
    </w:r>
    <w:r>
      <w:rPr>
        <w:sz w:val="22"/>
        <w:szCs w:val="22"/>
      </w:rPr>
      <w:fldChar w:fldCharType="end"/>
    </w:r>
  </w:p>
  <w:bookmarkEnd w:id="1"/>
  <w:p w:rsidR="00D34A33" w:rsidRDefault="00D34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8" w:rsidRDefault="0014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04" w:rsidRDefault="00427904">
      <w:r>
        <w:separator/>
      </w:r>
    </w:p>
  </w:footnote>
  <w:footnote w:type="continuationSeparator" w:id="0">
    <w:p w:rsidR="00427904" w:rsidRDefault="00427904">
      <w:r>
        <w:continuationSeparator/>
      </w:r>
    </w:p>
  </w:footnote>
  <w:footnote w:id="1">
    <w:p w:rsidR="00F6212B" w:rsidRPr="00FB571F" w:rsidRDefault="00F6212B" w:rsidP="00F6212B">
      <w:pPr>
        <w:pStyle w:val="FootnoteText"/>
      </w:pPr>
      <w:r w:rsidRPr="00FB571F">
        <w:rPr>
          <w:rStyle w:val="FootnoteReference"/>
        </w:rPr>
        <w:footnoteRef/>
      </w:r>
      <w:r w:rsidRPr="00FB571F">
        <w:t xml:space="preserve"> 47 C.F.R. § 1.1200(a).</w:t>
      </w:r>
    </w:p>
  </w:footnote>
  <w:footnote w:id="2">
    <w:p w:rsidR="00F6212B" w:rsidRPr="00FB571F" w:rsidRDefault="00F6212B" w:rsidP="00F6212B">
      <w:pPr>
        <w:pStyle w:val="FootnoteText"/>
      </w:pPr>
      <w:r w:rsidRPr="00FB571F">
        <w:rPr>
          <w:rStyle w:val="FootnoteReference"/>
        </w:rPr>
        <w:footnoteRef/>
      </w:r>
      <w:r w:rsidRPr="00FB571F">
        <w:t xml:space="preserve"> </w:t>
      </w:r>
      <w:r w:rsidRPr="00FB571F">
        <w:rPr>
          <w:i/>
        </w:rPr>
        <w:t xml:space="preserve">Id. </w:t>
      </w:r>
      <w:r w:rsidRPr="00FB571F">
        <w:t>§ 1.1206</w:t>
      </w:r>
      <w:r>
        <w:rPr>
          <w:spacing w:val="-2"/>
        </w:rPr>
        <w:t>.</w:t>
      </w:r>
    </w:p>
  </w:footnote>
  <w:footnote w:id="3">
    <w:p w:rsidR="00F6212B" w:rsidRPr="00FB571F" w:rsidRDefault="00F6212B" w:rsidP="00F6212B">
      <w:pPr>
        <w:pStyle w:val="FootnoteText"/>
      </w:pPr>
      <w:r w:rsidRPr="00FB571F">
        <w:rPr>
          <w:rStyle w:val="FootnoteReference"/>
        </w:rPr>
        <w:footnoteRef/>
      </w:r>
      <w:r w:rsidRPr="00FB571F">
        <w:t xml:space="preserve"> </w:t>
      </w:r>
      <w:r w:rsidR="00337DC1" w:rsidRPr="00337DC1">
        <w:rPr>
          <w:i/>
        </w:rPr>
        <w:t>Id.</w:t>
      </w:r>
      <w:r w:rsidRPr="00FB571F">
        <w:t xml:space="preserve"> </w:t>
      </w:r>
      <w:r w:rsidRPr="00FB571F">
        <w:rPr>
          <w:spacing w:val="-2"/>
        </w:rPr>
        <w:t>§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8" w:rsidRDefault="00142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8" w:rsidRDefault="00142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8" w:rsidRDefault="00142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4A7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782F53"/>
    <w:multiLevelType w:val="multilevel"/>
    <w:tmpl w:val="32CC4C34"/>
    <w:name w:val="zzmpOutline2||Outline2|2|1|1|1|0|41||1|0|33||1|0|33||1|0|33||1|0|33||1|0|33||1|0|33||1|0|33||1|0|32||"/>
    <w:lvl w:ilvl="0">
      <w:start w:val="1"/>
      <w:numFmt w:val="upperRoman"/>
      <w:pStyle w:val="Outline2L1"/>
      <w:lvlText w:val="%1."/>
      <w:lvlJc w:val="left"/>
      <w:pPr>
        <w:tabs>
          <w:tab w:val="num" w:pos="720"/>
        </w:tabs>
        <w:ind w:left="720" w:hanging="720"/>
      </w:pPr>
      <w:rPr>
        <w:rFonts w:ascii="Times New Roman" w:hAnsi="Times New Roman" w:cs="Times New Roman"/>
        <w:b/>
        <w:i w:val="0"/>
        <w:caps/>
        <w:smallCaps w:val="0"/>
        <w:sz w:val="22"/>
        <w:szCs w:val="22"/>
        <w:u w:val="none"/>
      </w:rPr>
    </w:lvl>
    <w:lvl w:ilvl="1">
      <w:start w:val="1"/>
      <w:numFmt w:val="upperLetter"/>
      <w:pStyle w:val="Outline2L2"/>
      <w:lvlText w:val="%2."/>
      <w:lvlJc w:val="left"/>
      <w:pPr>
        <w:tabs>
          <w:tab w:val="num" w:pos="1440"/>
        </w:tabs>
        <w:ind w:left="1440" w:hanging="720"/>
      </w:pPr>
      <w:rPr>
        <w:rFonts w:ascii="Times New Roman" w:hAnsi="Times New Roman" w:cs="Times New Roman"/>
        <w:b/>
        <w:i w:val="0"/>
        <w:caps w:val="0"/>
        <w:sz w:val="22"/>
        <w:szCs w:val="22"/>
        <w:u w:val="none"/>
      </w:rPr>
    </w:lvl>
    <w:lvl w:ilvl="2">
      <w:start w:val="1"/>
      <w:numFmt w:val="decimal"/>
      <w:pStyle w:val="Outline2L3"/>
      <w:lvlText w:val="%3."/>
      <w:lvlJc w:val="left"/>
      <w:pPr>
        <w:tabs>
          <w:tab w:val="num" w:pos="2160"/>
        </w:tabs>
        <w:ind w:left="2160" w:hanging="720"/>
      </w:pPr>
      <w:rPr>
        <w:rFonts w:ascii="Times New Roman" w:hAnsi="Times New Roman" w:cs="Times New Roman"/>
        <w:b/>
        <w:i w:val="0"/>
        <w:caps w:val="0"/>
        <w:sz w:val="20"/>
        <w:u w:val="none"/>
      </w:rPr>
    </w:lvl>
    <w:lvl w:ilvl="3">
      <w:start w:val="1"/>
      <w:numFmt w:val="lowerLetter"/>
      <w:pStyle w:val="Outline2L4"/>
      <w:lvlText w:val="%4."/>
      <w:lvlJc w:val="left"/>
      <w:pPr>
        <w:tabs>
          <w:tab w:val="num" w:pos="2880"/>
        </w:tabs>
        <w:ind w:left="2880" w:hanging="720"/>
      </w:pPr>
      <w:rPr>
        <w:rFonts w:ascii="Times New Roman" w:hAnsi="Times New Roman" w:cs="Times New Roman"/>
        <w:b/>
        <w:i w:val="0"/>
        <w:caps w:val="0"/>
        <w:sz w:val="20"/>
        <w:u w:val="none"/>
      </w:rPr>
    </w:lvl>
    <w:lvl w:ilvl="4">
      <w:start w:val="1"/>
      <w:numFmt w:val="lowerRoman"/>
      <w:pStyle w:val="Outline2L5"/>
      <w:lvlText w:val="(%5)"/>
      <w:lvlJc w:val="left"/>
      <w:pPr>
        <w:tabs>
          <w:tab w:val="num" w:pos="3600"/>
        </w:tabs>
        <w:ind w:left="3600" w:hanging="720"/>
      </w:pPr>
      <w:rPr>
        <w:rFonts w:ascii="Times New Roman" w:hAnsi="Times New Roman" w:cs="Times New Roman"/>
        <w:b/>
        <w:i w:val="0"/>
        <w:caps w:val="0"/>
        <w:sz w:val="20"/>
        <w:u w:val="none"/>
      </w:rPr>
    </w:lvl>
    <w:lvl w:ilvl="5">
      <w:start w:val="1"/>
      <w:numFmt w:val="lowerLetter"/>
      <w:pStyle w:val="Outline2L6"/>
      <w:lvlText w:val="(%6)"/>
      <w:lvlJc w:val="left"/>
      <w:pPr>
        <w:tabs>
          <w:tab w:val="num" w:pos="4320"/>
        </w:tabs>
        <w:ind w:left="4320" w:hanging="720"/>
      </w:pPr>
      <w:rPr>
        <w:rFonts w:ascii="Times New Roman" w:hAnsi="Times New Roman" w:cs="Times New Roman"/>
        <w:b/>
        <w:i w:val="0"/>
        <w:caps w:val="0"/>
        <w:sz w:val="20"/>
        <w:u w:val="none"/>
      </w:rPr>
    </w:lvl>
    <w:lvl w:ilvl="6">
      <w:start w:val="1"/>
      <w:numFmt w:val="decimal"/>
      <w:pStyle w:val="Outline2L7"/>
      <w:lvlText w:val="(%7)"/>
      <w:lvlJc w:val="left"/>
      <w:pPr>
        <w:tabs>
          <w:tab w:val="num" w:pos="5040"/>
        </w:tabs>
        <w:ind w:left="5040" w:hanging="720"/>
      </w:pPr>
      <w:rPr>
        <w:rFonts w:ascii="Times New Roman" w:hAnsi="Times New Roman" w:cs="Times New Roman"/>
        <w:b/>
        <w:i w:val="0"/>
        <w:caps w:val="0"/>
        <w:sz w:val="20"/>
        <w:u w:val="none"/>
      </w:rPr>
    </w:lvl>
    <w:lvl w:ilvl="7">
      <w:start w:val="1"/>
      <w:numFmt w:val="lowerRoman"/>
      <w:pStyle w:val="Outline2L8"/>
      <w:lvlText w:val="%8)"/>
      <w:lvlJc w:val="left"/>
      <w:pPr>
        <w:tabs>
          <w:tab w:val="num" w:pos="5760"/>
        </w:tabs>
        <w:ind w:left="5760" w:hanging="720"/>
      </w:pPr>
      <w:rPr>
        <w:rFonts w:ascii="Times New Roman" w:hAnsi="Times New Roman" w:cs="Times New Roman"/>
        <w:b/>
        <w:i w:val="0"/>
        <w:caps w:val="0"/>
        <w:sz w:val="20"/>
        <w:u w:val="none"/>
      </w:rPr>
    </w:lvl>
    <w:lvl w:ilvl="8">
      <w:start w:val="1"/>
      <w:numFmt w:val="decimal"/>
      <w:pStyle w:val="Outline2L9"/>
      <w:lvlText w:val="%9."/>
      <w:lvlJc w:val="left"/>
      <w:pPr>
        <w:tabs>
          <w:tab w:val="num" w:pos="2160"/>
        </w:tabs>
        <w:ind w:left="0" w:firstLine="1440"/>
      </w:pPr>
      <w:rPr>
        <w:rFonts w:ascii="Times New Roman" w:hAnsi="Times New Roman" w:cs="Times New Roman"/>
        <w:b w:val="0"/>
        <w:i w:val="0"/>
        <w:caps w:val="0"/>
        <w:sz w:val="20"/>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7F"/>
    <w:rsid w:val="001309C0"/>
    <w:rsid w:val="00142118"/>
    <w:rsid w:val="00275827"/>
    <w:rsid w:val="002803B8"/>
    <w:rsid w:val="002E3B87"/>
    <w:rsid w:val="00337DC1"/>
    <w:rsid w:val="003E2877"/>
    <w:rsid w:val="00427904"/>
    <w:rsid w:val="00442192"/>
    <w:rsid w:val="0056547F"/>
    <w:rsid w:val="00616AE3"/>
    <w:rsid w:val="006409D9"/>
    <w:rsid w:val="006605C4"/>
    <w:rsid w:val="00670878"/>
    <w:rsid w:val="0073051A"/>
    <w:rsid w:val="00857AF5"/>
    <w:rsid w:val="0087391D"/>
    <w:rsid w:val="00A81AE3"/>
    <w:rsid w:val="00AE7A96"/>
    <w:rsid w:val="00B344B7"/>
    <w:rsid w:val="00BD7F18"/>
    <w:rsid w:val="00C14C22"/>
    <w:rsid w:val="00C9266C"/>
    <w:rsid w:val="00CA092B"/>
    <w:rsid w:val="00D34A33"/>
    <w:rsid w:val="00D42749"/>
    <w:rsid w:val="00D748D0"/>
    <w:rsid w:val="00E0094D"/>
    <w:rsid w:val="00F12462"/>
    <w:rsid w:val="00F15EBE"/>
    <w:rsid w:val="00F6212B"/>
    <w:rsid w:val="00FC65E2"/>
    <w:rsid w:val="00FE552F"/>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Outline2L1">
    <w:name w:val="Outline2_L1"/>
    <w:basedOn w:val="Normal"/>
    <w:next w:val="BodyText"/>
    <w:pPr>
      <w:keepNext/>
      <w:keepLines/>
      <w:widowControl/>
      <w:numPr>
        <w:numId w:val="4"/>
      </w:numPr>
      <w:spacing w:after="240"/>
      <w:outlineLvl w:val="0"/>
    </w:pPr>
    <w:rPr>
      <w:b/>
      <w:caps/>
      <w:snapToGrid/>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Outline2L1">
    <w:name w:val="Outline2_L1"/>
    <w:basedOn w:val="Normal"/>
    <w:next w:val="BodyText"/>
    <w:pPr>
      <w:keepNext/>
      <w:keepLines/>
      <w:widowControl/>
      <w:numPr>
        <w:numId w:val="4"/>
      </w:numPr>
      <w:spacing w:after="240"/>
      <w:outlineLvl w:val="0"/>
    </w:pPr>
    <w:rPr>
      <w:b/>
      <w:caps/>
      <w:snapToGrid/>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53">
      <w:bodyDiv w:val="1"/>
      <w:marLeft w:val="0"/>
      <w:marRight w:val="0"/>
      <w:marTop w:val="0"/>
      <w:marBottom w:val="0"/>
      <w:divBdr>
        <w:top w:val="none" w:sz="0" w:space="0" w:color="auto"/>
        <w:left w:val="none" w:sz="0" w:space="0" w:color="auto"/>
        <w:bottom w:val="none" w:sz="0" w:space="0" w:color="auto"/>
        <w:right w:val="none" w:sz="0" w:space="0" w:color="auto"/>
      </w:divBdr>
    </w:div>
    <w:div w:id="6327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er.Sova@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3379</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3996</CharactersWithSpaces>
  <SharedDoc>false</SharedDoc>
  <HyperlinkBase> </HyperlinkBase>
  <HLinks>
    <vt:vector size="6" baseType="variant">
      <vt:variant>
        <vt:i4>4063322</vt:i4>
      </vt:variant>
      <vt:variant>
        <vt:i4>0</vt:i4>
      </vt:variant>
      <vt:variant>
        <vt:i4>0</vt:i4>
      </vt:variant>
      <vt:variant>
        <vt:i4>5</vt:i4>
      </vt:variant>
      <vt:variant>
        <vt:lpwstr>mailto:Christoper.Sova@fcc.gov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2011-04-21T17:58:00Z</cp:lastPrinted>
  <dcterms:created xsi:type="dcterms:W3CDTF">2014-06-11T16:34:00Z</dcterms:created>
  <dcterms:modified xsi:type="dcterms:W3CDTF">2014-06-11T16:34:00Z</dcterms:modified>
  <cp:category> </cp:category>
  <cp:contentStatus> </cp:contentStatus>
</cp:coreProperties>
</file>