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86" w:rsidRDefault="00D77249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C53486" w:rsidRDefault="00D77249">
      <w:pPr>
        <w:jc w:val="center"/>
        <w:rPr>
          <w:b/>
        </w:rPr>
      </w:pPr>
      <w:r>
        <w:rPr>
          <w:b/>
        </w:rPr>
        <w:t>Federal Communications Commission</w:t>
      </w:r>
    </w:p>
    <w:p w:rsidR="00C53486" w:rsidRDefault="00D77249">
      <w:pPr>
        <w:jc w:val="center"/>
        <w:rPr>
          <w:b/>
        </w:rPr>
      </w:pPr>
      <w:r>
        <w:rPr>
          <w:b/>
        </w:rPr>
        <w:t>Washington, D.C. 20554</w:t>
      </w:r>
    </w:p>
    <w:p w:rsidR="00C53486" w:rsidRDefault="00C53486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C53486" w:rsidRDefault="00C53486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C53486">
        <w:tc>
          <w:tcPr>
            <w:tcW w:w="4698" w:type="dxa"/>
          </w:tcPr>
          <w:p w:rsidR="00C53486" w:rsidRDefault="00D77249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C53486" w:rsidRDefault="00C5348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53486" w:rsidRDefault="00A635B9">
            <w:r>
              <w:t xml:space="preserve">City of </w:t>
            </w:r>
            <w:r w:rsidR="001533D2">
              <w:t>San Diego</w:t>
            </w:r>
            <w:r>
              <w:t xml:space="preserve">, </w:t>
            </w:r>
            <w:r w:rsidR="001533D2">
              <w:t>California</w:t>
            </w:r>
          </w:p>
          <w:p w:rsidR="00A635B9" w:rsidRDefault="001533D2">
            <w:r>
              <w:t>Request for Waiver and Extension of Time</w:t>
            </w:r>
          </w:p>
        </w:tc>
        <w:tc>
          <w:tcPr>
            <w:tcW w:w="630" w:type="dxa"/>
          </w:tcPr>
          <w:p w:rsidR="00C53486" w:rsidRDefault="00D7724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53486" w:rsidRDefault="00D7724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53486" w:rsidRDefault="00D7724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53486" w:rsidRPr="002161AD" w:rsidRDefault="00D77249" w:rsidP="00A635B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C53486" w:rsidRDefault="00C5348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53486" w:rsidRDefault="00C5348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53486" w:rsidRDefault="00A635B9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WT Docket No. 02-55</w:t>
            </w:r>
          </w:p>
        </w:tc>
      </w:tr>
    </w:tbl>
    <w:p w:rsidR="00C53486" w:rsidRDefault="00C53486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C53486" w:rsidRDefault="00C53486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C53486" w:rsidRDefault="00D77249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 \* MERGEFORMAT </w:instrText>
      </w:r>
      <w:r>
        <w:rPr>
          <w:b/>
        </w:rPr>
        <w:fldChar w:fldCharType="separate"/>
      </w:r>
      <w:r w:rsidR="00A635B9" w:rsidRPr="00A635B9">
        <w:rPr>
          <w:b/>
        </w:rPr>
        <w:t>ORDER</w:t>
      </w:r>
      <w:r>
        <w:rPr>
          <w:b/>
        </w:rPr>
        <w:fldChar w:fldCharType="end"/>
      </w:r>
    </w:p>
    <w:p w:rsidR="00C53486" w:rsidRDefault="00C53486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C53486" w:rsidRDefault="00D77249">
      <w:pPr>
        <w:tabs>
          <w:tab w:val="left" w:pos="720"/>
          <w:tab w:val="left" w:pos="57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1533D2">
        <w:rPr>
          <w:spacing w:val="-2"/>
        </w:rPr>
        <w:t xml:space="preserve">June </w:t>
      </w:r>
      <w:r w:rsidR="000A54F5">
        <w:rPr>
          <w:spacing w:val="-2"/>
        </w:rPr>
        <w:t>3</w:t>
      </w:r>
      <w:r w:rsidR="00A635B9">
        <w:rPr>
          <w:spacing w:val="-2"/>
        </w:rPr>
        <w:t>, 2014</w:t>
      </w:r>
      <w:r w:rsidR="00A635B9">
        <w:rPr>
          <w:spacing w:val="-2"/>
        </w:rPr>
        <w:tab/>
        <w:t xml:space="preserve">                 </w:t>
      </w:r>
      <w:r>
        <w:rPr>
          <w:b/>
          <w:spacing w:val="-2"/>
        </w:rPr>
        <w:t xml:space="preserve">Released: </w:t>
      </w:r>
      <w:r w:rsidR="001533D2">
        <w:rPr>
          <w:spacing w:val="-2"/>
        </w:rPr>
        <w:t xml:space="preserve">June </w:t>
      </w:r>
      <w:r w:rsidR="000A54F5">
        <w:rPr>
          <w:spacing w:val="-2"/>
        </w:rPr>
        <w:t>3</w:t>
      </w:r>
      <w:r w:rsidR="00A635B9" w:rsidRPr="00F20A0F">
        <w:rPr>
          <w:spacing w:val="-2"/>
        </w:rPr>
        <w:t>, 2014</w:t>
      </w:r>
    </w:p>
    <w:p w:rsidR="00C53486" w:rsidRDefault="00C53486"/>
    <w:p w:rsidR="00C53486" w:rsidRDefault="00D77249" w:rsidP="00F20A0F">
      <w:pPr>
        <w:jc w:val="left"/>
        <w:rPr>
          <w:spacing w:val="-2"/>
        </w:rPr>
      </w:pPr>
      <w:r>
        <w:t xml:space="preserve">By the </w:t>
      </w:r>
      <w:r w:rsidR="00A635B9">
        <w:rPr>
          <w:spacing w:val="-2"/>
        </w:rPr>
        <w:t>Deputy Chief, Policy and Licensing Division, Public Safe</w:t>
      </w:r>
      <w:r w:rsidR="002161AD">
        <w:rPr>
          <w:spacing w:val="-2"/>
        </w:rPr>
        <w:t>ty and Homeland Security Bureau</w:t>
      </w:r>
      <w:r>
        <w:rPr>
          <w:spacing w:val="-2"/>
        </w:rPr>
        <w:t>:</w:t>
      </w:r>
    </w:p>
    <w:p w:rsidR="00C53486" w:rsidRDefault="00C53486" w:rsidP="00F20A0F">
      <w:pPr>
        <w:jc w:val="left"/>
        <w:rPr>
          <w:spacing w:val="-2"/>
        </w:rPr>
      </w:pPr>
    </w:p>
    <w:p w:rsidR="00C53486" w:rsidRDefault="00A635B9" w:rsidP="00F20A0F">
      <w:pPr>
        <w:pStyle w:val="Heading1"/>
        <w:jc w:val="left"/>
      </w:pPr>
      <w:r>
        <w:t>introduction</w:t>
      </w:r>
      <w:r>
        <w:tab/>
      </w:r>
    </w:p>
    <w:p w:rsidR="00A635B9" w:rsidRDefault="00A635B9" w:rsidP="00F20A0F">
      <w:pPr>
        <w:pStyle w:val="ParaNum"/>
        <w:jc w:val="left"/>
      </w:pPr>
      <w:r>
        <w:t>Under consideration is the May 2</w:t>
      </w:r>
      <w:r w:rsidR="001533D2">
        <w:t>8</w:t>
      </w:r>
      <w:r>
        <w:t xml:space="preserve">, 2014 </w:t>
      </w:r>
      <w:r w:rsidR="001533D2">
        <w:t>Request for Waiver and Extension of Time</w:t>
      </w:r>
      <w:r>
        <w:t xml:space="preserve"> </w:t>
      </w:r>
      <w:r w:rsidR="00987734">
        <w:t xml:space="preserve">(Request) </w:t>
      </w:r>
      <w:r>
        <w:t xml:space="preserve">filed by the City of </w:t>
      </w:r>
      <w:r w:rsidR="001533D2">
        <w:t>San Diego, California (San Diego</w:t>
      </w:r>
      <w:r>
        <w:t xml:space="preserve">).  </w:t>
      </w:r>
      <w:r w:rsidR="001533D2">
        <w:t>San Diego</w:t>
      </w:r>
      <w:r>
        <w:t xml:space="preserve"> seeks an extension of time until </w:t>
      </w:r>
      <w:r w:rsidR="001533D2">
        <w:t>August 15</w:t>
      </w:r>
      <w:r w:rsidR="00987734">
        <w:t xml:space="preserve">, 2014 to submit a cost estimate for reconfiguration of its 800 MHz communications system.  Previously, </w:t>
      </w:r>
      <w:r w:rsidR="001533D2">
        <w:t>San Diego</w:t>
      </w:r>
      <w:r w:rsidR="00987734">
        <w:t xml:space="preserve"> was granted an extension of time, for the same purpose, until </w:t>
      </w:r>
      <w:r w:rsidR="001533D2">
        <w:t>June 1</w:t>
      </w:r>
      <w:r w:rsidR="00987734">
        <w:t>, 2014.</w:t>
      </w:r>
      <w:r w:rsidR="001A60E8">
        <w:rPr>
          <w:rStyle w:val="FootnoteReference"/>
        </w:rPr>
        <w:footnoteReference w:id="2"/>
      </w:r>
      <w:r w:rsidR="00987734">
        <w:t xml:space="preserve">  For the reasons set out below, the Request is </w:t>
      </w:r>
      <w:r w:rsidR="00833E48">
        <w:t>granted</w:t>
      </w:r>
      <w:r w:rsidR="00987734">
        <w:t>.</w:t>
      </w:r>
    </w:p>
    <w:p w:rsidR="00987734" w:rsidRDefault="00AE5019" w:rsidP="00F20A0F">
      <w:pPr>
        <w:pStyle w:val="Heading1"/>
        <w:jc w:val="left"/>
      </w:pPr>
      <w:r>
        <w:t>background</w:t>
      </w:r>
    </w:p>
    <w:p w:rsidR="00987734" w:rsidRDefault="00833E48" w:rsidP="00F20A0F">
      <w:pPr>
        <w:pStyle w:val="ParaNum"/>
        <w:jc w:val="left"/>
      </w:pPr>
      <w:r>
        <w:t>San Diego operates a two-site, twelve channel system, which includes 3</w:t>
      </w:r>
      <w:r w:rsidR="007C2E7D">
        <w:t>,</w:t>
      </w:r>
      <w:r>
        <w:t>400 mobile and 7</w:t>
      </w:r>
      <w:r w:rsidR="007C2E7D">
        <w:t>,</w:t>
      </w:r>
      <w:r>
        <w:t>800 portable units and also interoperates with agencies throughout the region</w:t>
      </w:r>
      <w:r w:rsidR="002744ED">
        <w:t xml:space="preserve"> and County</w:t>
      </w:r>
      <w:r>
        <w:t>.</w:t>
      </w:r>
      <w:r>
        <w:rPr>
          <w:rStyle w:val="FootnoteReference"/>
        </w:rPr>
        <w:footnoteReference w:id="3"/>
      </w:r>
      <w:r>
        <w:t xml:space="preserve">  </w:t>
      </w:r>
      <w:r w:rsidR="001533D2">
        <w:t>San Diego</w:t>
      </w:r>
      <w:r w:rsidR="00987734">
        <w:t xml:space="preserve"> represents that </w:t>
      </w:r>
      <w:r w:rsidR="00AC3766">
        <w:t>preparation of the cost estimate relies on the work of Motorola Solutions</w:t>
      </w:r>
      <w:r w:rsidR="005E0A4B">
        <w:t xml:space="preserve"> (Motorola)</w:t>
      </w:r>
      <w:r w:rsidR="00AC3766">
        <w:t>.</w:t>
      </w:r>
      <w:r>
        <w:rPr>
          <w:rStyle w:val="FootnoteReference"/>
        </w:rPr>
        <w:footnoteReference w:id="4"/>
      </w:r>
      <w:r w:rsidR="00AC3766">
        <w:t xml:space="preserve">  Previously, San Diego advised the Commission that the Motorola </w:t>
      </w:r>
      <w:r w:rsidR="003D6CC1">
        <w:t>Statement of W</w:t>
      </w:r>
      <w:r w:rsidR="00AC3766">
        <w:t xml:space="preserve">ork </w:t>
      </w:r>
      <w:r w:rsidR="003D6CC1">
        <w:t xml:space="preserve">(SOW) was </w:t>
      </w:r>
      <w:r w:rsidR="00AC3766">
        <w:t>scheduled for delivery between May 11 and June 11, 2014.</w:t>
      </w:r>
      <w:r w:rsidR="00AC3766">
        <w:rPr>
          <w:rStyle w:val="FootnoteReference"/>
        </w:rPr>
        <w:footnoteReference w:id="5"/>
      </w:r>
      <w:r w:rsidR="00AC3766">
        <w:t xml:space="preserve">  San Diego states that </w:t>
      </w:r>
      <w:r w:rsidR="005E0A4B">
        <w:t xml:space="preserve">a </w:t>
      </w:r>
      <w:r w:rsidR="00AC3766">
        <w:t>Motorola</w:t>
      </w:r>
      <w:r w:rsidR="005E0A4B">
        <w:t xml:space="preserve"> representative</w:t>
      </w:r>
      <w:r w:rsidR="00AC3766">
        <w:t xml:space="preserve"> recently advised that a July 15, 2014 “delivery of its statement of work was more realistic.”</w:t>
      </w:r>
      <w:r w:rsidR="00AC3766">
        <w:rPr>
          <w:rStyle w:val="FootnoteReference"/>
        </w:rPr>
        <w:footnoteReference w:id="6"/>
      </w:r>
      <w:r w:rsidR="00AC3766">
        <w:t xml:space="preserve">  San Diego states that the Motorola representative “related the challenge that integrating a cutover plan for the City’s system to the new frequencies requires clarifying with a level of precision still needed the City’s wide ranging subscriber base.”</w:t>
      </w:r>
      <w:r w:rsidR="00AC3766">
        <w:rPr>
          <w:rStyle w:val="FootnoteReference"/>
        </w:rPr>
        <w:footnoteReference w:id="7"/>
      </w:r>
      <w:r w:rsidR="00AC3766">
        <w:t xml:space="preserve">  San Diego notes that the planning review process has evolved from an estimated 600 unit replacement count to approximately 3</w:t>
      </w:r>
      <w:r w:rsidR="007C2E7D">
        <w:t>,</w:t>
      </w:r>
      <w:r w:rsidR="00AC3766">
        <w:t>000</w:t>
      </w:r>
      <w:r w:rsidR="003D6CC1">
        <w:t xml:space="preserve"> units</w:t>
      </w:r>
      <w:r w:rsidR="00AC3766">
        <w:t>.</w:t>
      </w:r>
      <w:r w:rsidR="005E0A4B">
        <w:rPr>
          <w:rStyle w:val="FootnoteReference"/>
        </w:rPr>
        <w:footnoteReference w:id="8"/>
      </w:r>
      <w:r w:rsidR="003D6CC1">
        <w:t xml:space="preserve">  San Diego adds that there is also the challenge of designing how best to verify the readiness of the replacement </w:t>
      </w:r>
      <w:r w:rsidR="003D6CC1">
        <w:lastRenderedPageBreak/>
        <w:t>frequencies in the context of users in Mexico clearing these channels, as recommended by the 800 MHz Transition Administrator</w:t>
      </w:r>
      <w:r w:rsidR="005E0A4B">
        <w:t xml:space="preserve"> (TA)</w:t>
      </w:r>
      <w:r w:rsidR="003D6CC1">
        <w:t>.</w:t>
      </w:r>
      <w:r w:rsidR="003D6CC1">
        <w:rPr>
          <w:rStyle w:val="FootnoteReference"/>
        </w:rPr>
        <w:footnoteReference w:id="9"/>
      </w:r>
      <w:r w:rsidR="00AC3766">
        <w:t xml:space="preserve">  </w:t>
      </w:r>
      <w:r w:rsidR="003D6CC1">
        <w:t xml:space="preserve">Assuming Motorola delivers the SOW by July 15, San Diego and its consultant will examine the migration plan for reprogramming, review the replacement frequencies, evaluate </w:t>
      </w:r>
      <w:r>
        <w:t xml:space="preserve">co-channel and adjacent channel </w:t>
      </w:r>
      <w:r w:rsidR="003D6CC1">
        <w:t>interference and testing protocols and prepare a plan to implement San Diego’</w:t>
      </w:r>
      <w:r w:rsidR="005E0A4B">
        <w:t>s responsibilities</w:t>
      </w:r>
      <w:r w:rsidR="003D6CC1">
        <w:t>.</w:t>
      </w:r>
      <w:r w:rsidR="005E0A4B">
        <w:rPr>
          <w:rStyle w:val="FootnoteReference"/>
        </w:rPr>
        <w:footnoteReference w:id="10"/>
      </w:r>
      <w:r w:rsidR="003D6CC1">
        <w:t xml:space="preserve">  </w:t>
      </w:r>
      <w:r w:rsidR="0070518C">
        <w:t xml:space="preserve">Therefore, </w:t>
      </w:r>
      <w:r w:rsidR="001533D2">
        <w:t>San Diego</w:t>
      </w:r>
      <w:r w:rsidR="0070518C">
        <w:t xml:space="preserve"> contends that it has justified an over two-month extension of time within which to submit a cost estimate to Sprint Corporation and the </w:t>
      </w:r>
      <w:r w:rsidR="005E0A4B">
        <w:t>TA</w:t>
      </w:r>
      <w:r w:rsidR="000972E3">
        <w:t>.</w:t>
      </w:r>
    </w:p>
    <w:p w:rsidR="00C53486" w:rsidRDefault="00AE5019" w:rsidP="00F20A0F">
      <w:pPr>
        <w:pStyle w:val="Heading1"/>
        <w:jc w:val="left"/>
      </w:pPr>
      <w:r>
        <w:t>decision</w:t>
      </w:r>
    </w:p>
    <w:p w:rsidR="00F4757C" w:rsidRPr="005E0A4B" w:rsidRDefault="0058469D" w:rsidP="00F20A0F">
      <w:pPr>
        <w:pStyle w:val="ParaNum"/>
        <w:jc w:val="left"/>
        <w:rPr>
          <w:szCs w:val="22"/>
        </w:rPr>
      </w:pPr>
      <w:r w:rsidRPr="0058469D">
        <w:t>Section 1.46(a) of the Commission’s rules states that “[i]t is the policy of the Commission that extensions of time shall not be routinely granted.”</w:t>
      </w:r>
      <w:r w:rsidRPr="0058469D">
        <w:rPr>
          <w:vertAlign w:val="superscript"/>
        </w:rPr>
        <w:footnoteReference w:id="11"/>
      </w:r>
      <w:r w:rsidRPr="0058469D">
        <w:t xml:space="preserve">  The Bureau has emphasized that the “import of that rule is especially relevant to 800 MHz rebanding where delay in rebanding by one licensee can cause a ‘domino effect’ delay in the rebanding efforts of other licensees that have met the Commission’s 800 MHz band reconfiguration deadlines with a consequent delay of the overall program. </w:t>
      </w:r>
      <w:r w:rsidR="007C2E7D">
        <w:t xml:space="preserve"> </w:t>
      </w:r>
      <w:r w:rsidRPr="0058469D">
        <w:t xml:space="preserve">We therefore afford a high degree of scrutiny to the reasons licensees </w:t>
      </w:r>
      <w:r w:rsidRPr="005E0A4B">
        <w:rPr>
          <w:szCs w:val="22"/>
        </w:rPr>
        <w:t>advance for extensions of time.”</w:t>
      </w:r>
      <w:r w:rsidRPr="005E0A4B">
        <w:rPr>
          <w:szCs w:val="22"/>
          <w:vertAlign w:val="superscript"/>
        </w:rPr>
        <w:footnoteReference w:id="12"/>
      </w:r>
      <w:r w:rsidRPr="005E0A4B">
        <w:rPr>
          <w:szCs w:val="22"/>
        </w:rPr>
        <w:t xml:space="preserve">  </w:t>
      </w:r>
    </w:p>
    <w:p w:rsidR="00AC208E" w:rsidRDefault="005E0A4B" w:rsidP="000A54F5">
      <w:pPr>
        <w:pStyle w:val="ParaNum"/>
        <w:jc w:val="left"/>
      </w:pPr>
      <w:r w:rsidRPr="005E0A4B">
        <w:t>We have applied the requisite</w:t>
      </w:r>
      <w:r>
        <w:t xml:space="preserve"> high degree of scrutiny to San Diego’</w:t>
      </w:r>
      <w:r w:rsidRPr="005E0A4B">
        <w:t xml:space="preserve">s Request and find that </w:t>
      </w:r>
      <w:r w:rsidR="00833E48">
        <w:t>San Diego</w:t>
      </w:r>
      <w:r w:rsidRPr="005E0A4B">
        <w:t xml:space="preserve"> has exercised diligence </w:t>
      </w:r>
      <w:r w:rsidR="0003394B">
        <w:t>but has been prevented from preparing its cost estimate for submission to Sprint Corporation and the 800 MHz Transition Administrator by the la</w:t>
      </w:r>
      <w:r w:rsidR="00B02E53">
        <w:t xml:space="preserve">ck of a timely </w:t>
      </w:r>
      <w:r w:rsidR="0003394B">
        <w:t>SOW and cost proposal from Motorola.</w:t>
      </w:r>
      <w:r w:rsidR="00591640">
        <w:rPr>
          <w:rStyle w:val="FootnoteReference"/>
          <w:szCs w:val="22"/>
        </w:rPr>
        <w:footnoteReference w:id="13"/>
      </w:r>
      <w:r w:rsidR="00AC208E">
        <w:t xml:space="preserve">  Motorola’s delay in providing its S</w:t>
      </w:r>
      <w:r w:rsidR="00B02E53">
        <w:t xml:space="preserve">OW </w:t>
      </w:r>
      <w:r w:rsidR="00AC208E">
        <w:t xml:space="preserve">and cost proposal is a matter apparently outside San Diego’s control.  We remain concerned that Motorola, the vendor for many Mexico border area U.S. licensees, </w:t>
      </w:r>
      <w:r w:rsidR="00F543C9">
        <w:t>is</w:t>
      </w:r>
      <w:r w:rsidR="00C13304">
        <w:t xml:space="preserve"> the source of delay underlying</w:t>
      </w:r>
      <w:r w:rsidR="00F543C9">
        <w:t xml:space="preserve"> several requests for extension of time by rebanding licensees.</w:t>
      </w:r>
    </w:p>
    <w:p w:rsidR="005E0A4B" w:rsidRPr="005E0A4B" w:rsidRDefault="005E0A4B" w:rsidP="000A54F5">
      <w:pPr>
        <w:pStyle w:val="ParaNum"/>
        <w:jc w:val="left"/>
      </w:pPr>
      <w:r w:rsidRPr="005E0A4B">
        <w:t xml:space="preserve">  </w:t>
      </w:r>
      <w:r w:rsidR="0003394B">
        <w:t xml:space="preserve">It is </w:t>
      </w:r>
      <w:r w:rsidRPr="005E0A4B">
        <w:t xml:space="preserve">problematic whether </w:t>
      </w:r>
      <w:r w:rsidR="00833E48">
        <w:t xml:space="preserve">San Diego actually requires one month to </w:t>
      </w:r>
      <w:r w:rsidRPr="005E0A4B">
        <w:t xml:space="preserve">review, revise if necessary, and accept the </w:t>
      </w:r>
      <w:r w:rsidR="00833E48">
        <w:t>Motorola SOW</w:t>
      </w:r>
      <w:r w:rsidR="0003394B">
        <w:t>.  Some of the effort that San Diego describes would appear to be capable of being done in advance of the Motorola SOW</w:t>
      </w:r>
      <w:r w:rsidRPr="005E0A4B">
        <w:t xml:space="preserve">, </w:t>
      </w:r>
      <w:r w:rsidR="0003394B" w:rsidRPr="000A54F5">
        <w:rPr>
          <w:i/>
          <w:color w:val="010101"/>
        </w:rPr>
        <w:t>e.g.,</w:t>
      </w:r>
      <w:r w:rsidR="000A54F5">
        <w:rPr>
          <w:i/>
          <w:color w:val="010101"/>
        </w:rPr>
        <w:t xml:space="preserve"> </w:t>
      </w:r>
      <w:r w:rsidR="00AC208E">
        <w:rPr>
          <w:color w:val="010101"/>
        </w:rPr>
        <w:t>the review of replacement frequencies, the evaluation of interference and the establish</w:t>
      </w:r>
      <w:r w:rsidR="00F543C9">
        <w:rPr>
          <w:color w:val="010101"/>
        </w:rPr>
        <w:t>ment</w:t>
      </w:r>
      <w:r w:rsidR="00AC208E">
        <w:rPr>
          <w:color w:val="010101"/>
        </w:rPr>
        <w:t xml:space="preserve"> of testing protocols</w:t>
      </w:r>
      <w:r w:rsidRPr="005E0A4B">
        <w:t>.</w:t>
      </w:r>
      <w:r w:rsidR="00AC208E">
        <w:t xml:space="preserve">  Nonetheless, we recognize that the size of San Diego’s system and its interoperability with other systems make </w:t>
      </w:r>
      <w:r w:rsidR="00F543C9">
        <w:t xml:space="preserve">its </w:t>
      </w:r>
      <w:r w:rsidR="00AC208E">
        <w:t>reconfiguration complex</w:t>
      </w:r>
      <w:r w:rsidR="00F543C9">
        <w:t>.  Therefore, we are granting its Request with the understanding that we do not contemplate further extensions of time for this licensee absent compelling and unforeseeable reasons.</w:t>
      </w:r>
    </w:p>
    <w:p w:rsidR="00C53486" w:rsidRDefault="0058469D" w:rsidP="00F20A0F">
      <w:pPr>
        <w:pStyle w:val="Heading1"/>
        <w:jc w:val="left"/>
      </w:pPr>
      <w:r>
        <w:t>ordering clauses</w:t>
      </w:r>
    </w:p>
    <w:p w:rsidR="0058469D" w:rsidRDefault="0058469D" w:rsidP="00F20A0F">
      <w:pPr>
        <w:pStyle w:val="ParaNum"/>
        <w:jc w:val="left"/>
      </w:pPr>
      <w:r>
        <w:t xml:space="preserve">Accordingly IT IS ORDERED, that the </w:t>
      </w:r>
      <w:r w:rsidR="00EA1496" w:rsidRPr="00EA1496">
        <w:t>Further Request for Extension of Time to Submit Cost Estimate for Frequency Reconfiguration</w:t>
      </w:r>
      <w:r w:rsidR="00EA1496">
        <w:t>, submitted May 2</w:t>
      </w:r>
      <w:r w:rsidR="005E0A4B">
        <w:t>8</w:t>
      </w:r>
      <w:r w:rsidR="00EA1496">
        <w:t xml:space="preserve">, 2014 by the City of </w:t>
      </w:r>
      <w:r w:rsidR="001533D2">
        <w:t>San Diego</w:t>
      </w:r>
      <w:r w:rsidR="00EA1496">
        <w:t xml:space="preserve">, </w:t>
      </w:r>
      <w:r w:rsidR="005E0A4B">
        <w:t>California</w:t>
      </w:r>
      <w:r w:rsidR="00EA1496">
        <w:t xml:space="preserve">, IS </w:t>
      </w:r>
      <w:r w:rsidR="00F543C9">
        <w:t>GRANTED</w:t>
      </w:r>
      <w:r w:rsidR="00EA1496">
        <w:t>.</w:t>
      </w:r>
    </w:p>
    <w:p w:rsidR="00EA1496" w:rsidRDefault="00EA1496" w:rsidP="00F20A0F">
      <w:pPr>
        <w:pStyle w:val="ParaNum"/>
        <w:jc w:val="left"/>
      </w:pPr>
      <w:r>
        <w:t xml:space="preserve">IT IS FURTHER ORDERED, that the City of </w:t>
      </w:r>
      <w:r w:rsidR="001533D2">
        <w:t>San Diego</w:t>
      </w:r>
      <w:r>
        <w:t xml:space="preserve">, </w:t>
      </w:r>
      <w:r w:rsidR="005E0A4B">
        <w:t>California</w:t>
      </w:r>
      <w:r>
        <w:t xml:space="preserve"> shall file a cost estimate with Sprint Corporation and the 800 MHz Transition</w:t>
      </w:r>
      <w:r w:rsidR="005E0A4B">
        <w:t xml:space="preserve"> Administrator on or before August</w:t>
      </w:r>
      <w:r>
        <w:t xml:space="preserve"> </w:t>
      </w:r>
      <w:r w:rsidR="005E0A4B">
        <w:t>15</w:t>
      </w:r>
      <w:r>
        <w:t>, 2014.</w:t>
      </w:r>
    </w:p>
    <w:p w:rsidR="00443221" w:rsidRDefault="00EA1496" w:rsidP="00591640">
      <w:pPr>
        <w:pStyle w:val="ParaNum"/>
        <w:jc w:val="left"/>
      </w:pPr>
      <w:r>
        <w:t xml:space="preserve">IT IS FURTHER ORDERED that, if the City of </w:t>
      </w:r>
      <w:r w:rsidR="001533D2">
        <w:t>San Diego</w:t>
      </w:r>
      <w:r w:rsidR="008C7E6C">
        <w:t>, California</w:t>
      </w:r>
      <w:r>
        <w:t xml:space="preserve"> fails to file a cost estimate with Sprint Corporation and the 800 MHz Transition Administrator by </w:t>
      </w:r>
      <w:r w:rsidR="005E0A4B">
        <w:t>August 15</w:t>
      </w:r>
      <w:r>
        <w:t xml:space="preserve">, 2014, it shall file a further request for extension of time within which to do so, in which the City of </w:t>
      </w:r>
      <w:r w:rsidR="001533D2">
        <w:t>San Diego</w:t>
      </w:r>
      <w:r>
        <w:t xml:space="preserve">, </w:t>
      </w:r>
      <w:r w:rsidR="005E0A4B">
        <w:t>California</w:t>
      </w:r>
      <w:r>
        <w:t xml:space="preserve">, sets forth its efforts to comply with the instant </w:t>
      </w:r>
      <w:r w:rsidRPr="00EA1496">
        <w:rPr>
          <w:i/>
        </w:rPr>
        <w:t>Order</w:t>
      </w:r>
      <w:r>
        <w:rPr>
          <w:i/>
        </w:rPr>
        <w:t xml:space="preserve">, </w:t>
      </w:r>
      <w:r>
        <w:t>being specific as to dates and descriptions of those efforts.</w:t>
      </w:r>
    </w:p>
    <w:p w:rsidR="00F20A0F" w:rsidRDefault="00F20A0F" w:rsidP="00591640">
      <w:pPr>
        <w:pStyle w:val="ParaNum"/>
        <w:jc w:val="left"/>
      </w:pPr>
      <w:r w:rsidRPr="00F20A0F">
        <w:t>This action is taken under delegated authority pursuant to Sections 0.191(a) and 0.392 of the Commission's Rules, 47 C.F.R. §§ 0.191(a), 0.392.</w:t>
      </w:r>
    </w:p>
    <w:p w:rsidR="00F20A0F" w:rsidRDefault="00F20A0F" w:rsidP="00F20A0F">
      <w:pPr>
        <w:pStyle w:val="ParaNum"/>
        <w:numPr>
          <w:ilvl w:val="0"/>
          <w:numId w:val="0"/>
        </w:numPr>
        <w:spacing w:after="0"/>
        <w:ind w:left="4320"/>
        <w:jc w:val="left"/>
      </w:pPr>
      <w:r>
        <w:t>FEDERAL COMMUNICATIONS COMMISSION</w:t>
      </w:r>
    </w:p>
    <w:p w:rsidR="00F20A0F" w:rsidRDefault="00F20A0F" w:rsidP="00F20A0F">
      <w:pPr>
        <w:pStyle w:val="ParaNum"/>
        <w:numPr>
          <w:ilvl w:val="0"/>
          <w:numId w:val="0"/>
        </w:numPr>
        <w:spacing w:after="0"/>
        <w:ind w:left="4320"/>
        <w:jc w:val="left"/>
      </w:pPr>
    </w:p>
    <w:p w:rsidR="00F20A0F" w:rsidRDefault="00F20A0F" w:rsidP="00F20A0F">
      <w:pPr>
        <w:pStyle w:val="ParaNum"/>
        <w:numPr>
          <w:ilvl w:val="0"/>
          <w:numId w:val="0"/>
        </w:numPr>
        <w:spacing w:after="0"/>
        <w:ind w:left="4320"/>
        <w:jc w:val="left"/>
      </w:pPr>
    </w:p>
    <w:p w:rsidR="00F20A0F" w:rsidRDefault="00F20A0F" w:rsidP="00F20A0F">
      <w:pPr>
        <w:pStyle w:val="ParaNum"/>
        <w:numPr>
          <w:ilvl w:val="0"/>
          <w:numId w:val="0"/>
        </w:numPr>
        <w:spacing w:after="0"/>
        <w:ind w:left="4320"/>
        <w:jc w:val="left"/>
      </w:pPr>
    </w:p>
    <w:p w:rsidR="00F20A0F" w:rsidRDefault="00F20A0F" w:rsidP="00F20A0F">
      <w:pPr>
        <w:pStyle w:val="ParaNum"/>
        <w:numPr>
          <w:ilvl w:val="0"/>
          <w:numId w:val="0"/>
        </w:numPr>
        <w:spacing w:after="0"/>
        <w:ind w:left="4320"/>
        <w:jc w:val="left"/>
      </w:pPr>
      <w:r>
        <w:t>Michael J. Wilhelm</w:t>
      </w:r>
    </w:p>
    <w:p w:rsidR="00F20A0F" w:rsidRDefault="00F20A0F" w:rsidP="00F20A0F">
      <w:pPr>
        <w:pStyle w:val="ParaNum"/>
        <w:numPr>
          <w:ilvl w:val="0"/>
          <w:numId w:val="0"/>
        </w:numPr>
        <w:spacing w:after="0"/>
        <w:ind w:left="4320"/>
        <w:jc w:val="left"/>
      </w:pPr>
      <w:r>
        <w:t xml:space="preserve">Deputy Chief, Policy and </w:t>
      </w:r>
      <w:r w:rsidR="0030627B">
        <w:t>Licensing</w:t>
      </w:r>
      <w:r>
        <w:t xml:space="preserve"> Division </w:t>
      </w:r>
    </w:p>
    <w:p w:rsidR="00F20A0F" w:rsidRDefault="00F20A0F" w:rsidP="00F20A0F">
      <w:pPr>
        <w:pStyle w:val="ParaNum"/>
        <w:numPr>
          <w:ilvl w:val="0"/>
          <w:numId w:val="0"/>
        </w:numPr>
        <w:spacing w:after="0"/>
        <w:ind w:left="4320"/>
        <w:jc w:val="left"/>
      </w:pPr>
      <w:r>
        <w:t xml:space="preserve">Public Safety and Homeland Security Bureau </w:t>
      </w:r>
    </w:p>
    <w:p w:rsidR="00F20A0F" w:rsidRPr="0058469D" w:rsidRDefault="00F20A0F" w:rsidP="00F20A0F">
      <w:pPr>
        <w:pStyle w:val="ParaNum"/>
        <w:numPr>
          <w:ilvl w:val="0"/>
          <w:numId w:val="0"/>
        </w:numPr>
        <w:ind w:left="720"/>
        <w:jc w:val="left"/>
      </w:pPr>
    </w:p>
    <w:p w:rsidR="00C53486" w:rsidRDefault="00C53486" w:rsidP="00F20A0F">
      <w:pPr>
        <w:jc w:val="left"/>
      </w:pPr>
    </w:p>
    <w:p w:rsidR="00A635B9" w:rsidRDefault="00A635B9"/>
    <w:sectPr w:rsidR="00A6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33" w:rsidRDefault="009D3B33">
      <w:pPr>
        <w:spacing w:line="20" w:lineRule="exact"/>
      </w:pPr>
    </w:p>
  </w:endnote>
  <w:endnote w:type="continuationSeparator" w:id="0">
    <w:p w:rsidR="009D3B33" w:rsidRDefault="009D3B33">
      <w:r>
        <w:t xml:space="preserve"> </w:t>
      </w:r>
    </w:p>
  </w:endnote>
  <w:endnote w:type="continuationNotice" w:id="1">
    <w:p w:rsidR="009D3B33" w:rsidRDefault="009D3B3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86" w:rsidRDefault="00D77249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53486" w:rsidRDefault="00C534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86" w:rsidRDefault="00D77249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436FA">
      <w:rPr>
        <w:noProof/>
      </w:rPr>
      <w:t>1</w:t>
    </w:r>
    <w:r>
      <w:fldChar w:fldCharType="end"/>
    </w:r>
  </w:p>
  <w:p w:rsidR="00C53486" w:rsidRDefault="00C53486">
    <w:pPr>
      <w:spacing w:before="140" w:line="100" w:lineRule="exact"/>
      <w:rPr>
        <w:sz w:val="10"/>
      </w:rPr>
    </w:pPr>
  </w:p>
  <w:p w:rsidR="00C53486" w:rsidRDefault="00C53486">
    <w:pPr>
      <w:suppressAutoHyphens/>
      <w:spacing w:line="227" w:lineRule="auto"/>
    </w:pPr>
  </w:p>
  <w:p w:rsidR="00C53486" w:rsidRDefault="00C534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86" w:rsidRDefault="00C53486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33" w:rsidRDefault="009D3B33">
      <w:r>
        <w:separator/>
      </w:r>
    </w:p>
  </w:footnote>
  <w:footnote w:type="continuationSeparator" w:id="0">
    <w:p w:rsidR="009D3B33" w:rsidRDefault="009D3B33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9D3B33" w:rsidRDefault="009D3B33">
      <w:pPr>
        <w:rPr>
          <w:sz w:val="20"/>
        </w:rPr>
      </w:pPr>
      <w:r>
        <w:rPr>
          <w:sz w:val="20"/>
        </w:rPr>
        <w:t>(continued….)</w:t>
      </w:r>
    </w:p>
  </w:footnote>
  <w:footnote w:id="2">
    <w:p w:rsidR="001A60E8" w:rsidRPr="002161AD" w:rsidRDefault="001A60E8" w:rsidP="002161AD">
      <w:pPr>
        <w:pStyle w:val="Default"/>
        <w:spacing w:after="12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2161AD" w:rsidRPr="00F87902">
        <w:rPr>
          <w:sz w:val="20"/>
          <w:szCs w:val="20"/>
        </w:rPr>
        <w:t xml:space="preserve">Improving Public Safety Communications in the 800 MHz Band, WT Docket No. 02-55, </w:t>
      </w:r>
      <w:r w:rsidR="002161AD" w:rsidRPr="00F87902">
        <w:rPr>
          <w:i/>
          <w:sz w:val="20"/>
          <w:szCs w:val="20"/>
        </w:rPr>
        <w:t xml:space="preserve">Order, </w:t>
      </w:r>
      <w:r w:rsidR="002161AD" w:rsidRPr="00F87902">
        <w:rPr>
          <w:sz w:val="20"/>
          <w:szCs w:val="20"/>
        </w:rPr>
        <w:t xml:space="preserve">29 FCC Rcd 2163, </w:t>
      </w:r>
      <w:r w:rsidR="002161AD" w:rsidRPr="00F836BE">
        <w:rPr>
          <w:sz w:val="20"/>
          <w:szCs w:val="20"/>
        </w:rPr>
        <w:t xml:space="preserve">Appendix </w:t>
      </w:r>
      <w:r w:rsidR="007C2E7D">
        <w:rPr>
          <w:sz w:val="20"/>
          <w:szCs w:val="20"/>
        </w:rPr>
        <w:t>B</w:t>
      </w:r>
      <w:r w:rsidR="002161AD" w:rsidRPr="00F87902">
        <w:rPr>
          <w:sz w:val="20"/>
          <w:szCs w:val="20"/>
        </w:rPr>
        <w:t xml:space="preserve"> (PSHSB 2014).</w:t>
      </w:r>
    </w:p>
  </w:footnote>
  <w:footnote w:id="3">
    <w:p w:rsidR="00833E48" w:rsidRDefault="00833E48">
      <w:pPr>
        <w:pStyle w:val="FootnoteText"/>
      </w:pPr>
      <w:r>
        <w:rPr>
          <w:rStyle w:val="FootnoteReference"/>
        </w:rPr>
        <w:footnoteRef/>
      </w:r>
      <w:r>
        <w:t xml:space="preserve"> Request at 1-2.</w:t>
      </w:r>
    </w:p>
  </w:footnote>
  <w:footnote w:id="4">
    <w:p w:rsidR="00833E48" w:rsidRDefault="00833E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3E48">
        <w:rPr>
          <w:i/>
        </w:rPr>
        <w:t>Id</w:t>
      </w:r>
      <w:r>
        <w:t>. at 2.</w:t>
      </w:r>
    </w:p>
  </w:footnote>
  <w:footnote w:id="5">
    <w:p w:rsidR="00AC3766" w:rsidRDefault="00AC37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C3766">
        <w:rPr>
          <w:i/>
        </w:rPr>
        <w:t>Id</w:t>
      </w:r>
      <w:r>
        <w:t>.</w:t>
      </w:r>
    </w:p>
  </w:footnote>
  <w:footnote w:id="6">
    <w:p w:rsidR="00AC3766" w:rsidRDefault="00AC37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C3766">
        <w:rPr>
          <w:i/>
        </w:rPr>
        <w:t>Id</w:t>
      </w:r>
      <w:r>
        <w:t>.</w:t>
      </w:r>
    </w:p>
  </w:footnote>
  <w:footnote w:id="7">
    <w:p w:rsidR="00AC3766" w:rsidRDefault="00AC37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C3766">
        <w:rPr>
          <w:i/>
        </w:rPr>
        <w:t>Id</w:t>
      </w:r>
      <w:r>
        <w:t>.</w:t>
      </w:r>
    </w:p>
  </w:footnote>
  <w:footnote w:id="8">
    <w:p w:rsidR="005E0A4B" w:rsidRDefault="005E0A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0A4B">
        <w:rPr>
          <w:i/>
        </w:rPr>
        <w:t>Id</w:t>
      </w:r>
      <w:r>
        <w:t>.</w:t>
      </w:r>
    </w:p>
  </w:footnote>
  <w:footnote w:id="9">
    <w:p w:rsidR="003D6CC1" w:rsidRDefault="003D6C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6CC1">
        <w:rPr>
          <w:i/>
        </w:rPr>
        <w:t>Id</w:t>
      </w:r>
      <w:r>
        <w:t>.</w:t>
      </w:r>
    </w:p>
  </w:footnote>
  <w:footnote w:id="10">
    <w:p w:rsidR="005E0A4B" w:rsidRDefault="005E0A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0A4B">
        <w:rPr>
          <w:i/>
        </w:rPr>
        <w:t>Id</w:t>
      </w:r>
      <w:r>
        <w:t>. at 2-3.</w:t>
      </w:r>
    </w:p>
  </w:footnote>
  <w:footnote w:id="11">
    <w:p w:rsidR="0058469D" w:rsidRDefault="0058469D" w:rsidP="0058469D">
      <w:pPr>
        <w:pStyle w:val="FootnoteText"/>
      </w:pPr>
      <w:r>
        <w:rPr>
          <w:rStyle w:val="FootnoteReference"/>
        </w:rPr>
        <w:footnoteRef/>
      </w:r>
      <w:r>
        <w:t xml:space="preserve"> 47 C.F.R. § 1.46(a).</w:t>
      </w:r>
    </w:p>
  </w:footnote>
  <w:footnote w:id="12">
    <w:p w:rsidR="0058469D" w:rsidRPr="00A80C4B" w:rsidRDefault="0058469D" w:rsidP="0058469D">
      <w:pPr>
        <w:pStyle w:val="FootnoteText"/>
      </w:pPr>
      <w:r>
        <w:rPr>
          <w:rStyle w:val="FootnoteReference"/>
        </w:rPr>
        <w:footnoteRef/>
      </w:r>
      <w:r>
        <w:t xml:space="preserve"> Regents of the University of California, </w:t>
      </w:r>
      <w:r w:rsidR="002161AD">
        <w:t xml:space="preserve">WT Docket No. 02-55, </w:t>
      </w:r>
      <w:r w:rsidRPr="00A80C4B">
        <w:rPr>
          <w:i/>
        </w:rPr>
        <w:t>Order</w:t>
      </w:r>
      <w:r>
        <w:rPr>
          <w:i/>
        </w:rPr>
        <w:t xml:space="preserve">, </w:t>
      </w:r>
      <w:r>
        <w:t>28 FCC Rcd 15920, 15921 (PSHSB 2013).</w:t>
      </w:r>
    </w:p>
  </w:footnote>
  <w:footnote w:id="13">
    <w:p w:rsidR="00591640" w:rsidRPr="00443221" w:rsidRDefault="005916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1640">
        <w:rPr>
          <w:i/>
        </w:rPr>
        <w:t>See, e.g.</w:t>
      </w:r>
      <w:r>
        <w:t xml:space="preserve">, </w:t>
      </w:r>
      <w:r w:rsidRPr="00F87902">
        <w:t xml:space="preserve">Improving Public Safety Communications in the 800 MHz Band, WT Docket No. 02-55, </w:t>
      </w:r>
      <w:r w:rsidRPr="00F87902">
        <w:rPr>
          <w:i/>
        </w:rPr>
        <w:t xml:space="preserve">Order, </w:t>
      </w:r>
      <w:r>
        <w:t>DA 14-623 (PSHSB rel. May 9, 2014)</w:t>
      </w:r>
      <w:r w:rsidR="00443221">
        <w:t xml:space="preserve"> </w:t>
      </w:r>
      <w:r w:rsidR="00443221" w:rsidRPr="00443221">
        <w:t>(Grant</w:t>
      </w:r>
      <w:r w:rsidR="00B02E53">
        <w:t>ing Orange County, California</w:t>
      </w:r>
      <w:r w:rsidR="00443221" w:rsidRPr="00443221">
        <w:t xml:space="preserve"> an extension of time to submit a cost estimate for th</w:t>
      </w:r>
      <w:r w:rsidR="00443221">
        <w:t>e reconfiguration of the County’</w:t>
      </w:r>
      <w:r w:rsidR="00443221" w:rsidRPr="00443221">
        <w:t>s 800 MHz communications system).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82" w:rsidRDefault="00E773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86" w:rsidRDefault="00D77249">
    <w:pPr>
      <w:pStyle w:val="Header"/>
      <w:pBdr>
        <w:bottom w:val="single" w:sz="12" w:space="1" w:color="auto"/>
      </w:pBdr>
      <w:rPr>
        <w:b w:val="0"/>
      </w:rPr>
    </w:pPr>
    <w:r>
      <w:tab/>
      <w:t>Federal Communications Commission</w:t>
    </w:r>
    <w:r>
      <w:tab/>
    </w:r>
    <w:r w:rsidR="002161AD">
      <w:t>DA 14-</w:t>
    </w:r>
    <w:r w:rsidR="007F7585">
      <w:t>756</w:t>
    </w:r>
  </w:p>
  <w:p w:rsidR="00C53486" w:rsidRDefault="000972E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6673C6" wp14:editId="4F74329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hm6A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J7SiGboAgAAMgYAAA4AAAAAAAAAAAAA&#10;AAAALgIAAGRycy9lMm9Eb2MueG1sUEsBAi0AFAAGAAgAAAAhACI87tHXAAAAAwEAAA8AAAAAAAAA&#10;AAAAAAAAQgUAAGRycy9kb3ducmV2LnhtbFBLBQYAAAAABAAEAPMAAABGBgAAAAA=&#10;" o:allowincell="f" fillcolor="black" stroked="f" strokeweight=".05pt">
              <w10:wrap anchorx="margin"/>
            </v:rect>
          </w:pict>
        </mc:Fallback>
      </mc:AlternateContent>
    </w:r>
  </w:p>
  <w:p w:rsidR="00C53486" w:rsidRDefault="00C53486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86" w:rsidRDefault="00D77249">
    <w:pPr>
      <w:pStyle w:val="Header"/>
      <w:pBdr>
        <w:bottom w:val="single" w:sz="12" w:space="1" w:color="auto"/>
      </w:pBdr>
      <w:rPr>
        <w:b w:val="0"/>
      </w:rPr>
    </w:pPr>
    <w:r>
      <w:tab/>
      <w:t>Federal Communications Commission</w:t>
    </w:r>
    <w:r>
      <w:tab/>
      <w:t>-</w:t>
    </w:r>
    <w:r>
      <w:fldChar w:fldCharType="begin"/>
    </w:r>
    <w:r>
      <w:instrText xml:space="preserve"> MACROBUTTON NoMacro [Click to enter order number]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B9"/>
    <w:rsid w:val="0003394B"/>
    <w:rsid w:val="000972E3"/>
    <w:rsid w:val="000A54F5"/>
    <w:rsid w:val="001533D2"/>
    <w:rsid w:val="001A60E8"/>
    <w:rsid w:val="002161AD"/>
    <w:rsid w:val="002744ED"/>
    <w:rsid w:val="0030627B"/>
    <w:rsid w:val="003978F5"/>
    <w:rsid w:val="003A3E3C"/>
    <w:rsid w:val="003D6CC1"/>
    <w:rsid w:val="00443221"/>
    <w:rsid w:val="0058469D"/>
    <w:rsid w:val="00591640"/>
    <w:rsid w:val="005E0A4B"/>
    <w:rsid w:val="0070518C"/>
    <w:rsid w:val="007C2E7D"/>
    <w:rsid w:val="007F7585"/>
    <w:rsid w:val="00833E48"/>
    <w:rsid w:val="008436FA"/>
    <w:rsid w:val="008C7E6C"/>
    <w:rsid w:val="00987734"/>
    <w:rsid w:val="009D3B33"/>
    <w:rsid w:val="00A635B9"/>
    <w:rsid w:val="00AC208E"/>
    <w:rsid w:val="00AC3766"/>
    <w:rsid w:val="00AE5019"/>
    <w:rsid w:val="00B02E53"/>
    <w:rsid w:val="00C13304"/>
    <w:rsid w:val="00C414B3"/>
    <w:rsid w:val="00C53486"/>
    <w:rsid w:val="00CD6BD0"/>
    <w:rsid w:val="00D77249"/>
    <w:rsid w:val="00E77382"/>
    <w:rsid w:val="00EA1496"/>
    <w:rsid w:val="00EB415C"/>
    <w:rsid w:val="00EE7BE4"/>
    <w:rsid w:val="00F20A0F"/>
    <w:rsid w:val="00F4757C"/>
    <w:rsid w:val="00F5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clear" w:pos="720"/>
        <w:tab w:val="left" w:pos="360"/>
      </w:tabs>
      <w:suppressAutoHyphens/>
      <w:spacing w:after="220"/>
      <w:ind w:left="360" w:hanging="36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qFormat/>
    <w:pPr>
      <w:keepNext/>
      <w:numPr>
        <w:ilvl w:val="1"/>
        <w:numId w:val="3"/>
      </w:numPr>
      <w:tabs>
        <w:tab w:val="clear" w:pos="1440"/>
        <w:tab w:val="num" w:pos="720"/>
      </w:tabs>
      <w:spacing w:after="220"/>
      <w:ind w:left="720" w:hanging="36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clear" w:pos="2160"/>
        <w:tab w:val="left" w:pos="1080"/>
      </w:tabs>
      <w:spacing w:after="220"/>
      <w:ind w:left="1080" w:hanging="36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clear" w:pos="2880"/>
        <w:tab w:val="left" w:pos="1440"/>
      </w:tabs>
      <w:spacing w:after="220"/>
      <w:ind w:left="1440" w:hanging="36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clear" w:pos="3600"/>
        <w:tab w:val="left" w:pos="1800"/>
      </w:tabs>
      <w:suppressAutoHyphens/>
      <w:spacing w:after="220"/>
      <w:ind w:left="1800" w:hanging="36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clear" w:pos="4320"/>
        <w:tab w:val="left" w:pos="2160"/>
      </w:tabs>
      <w:spacing w:after="220"/>
      <w:ind w:left="2160" w:hanging="36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clear" w:pos="5040"/>
        <w:tab w:val="left" w:pos="2520"/>
      </w:tabs>
      <w:spacing w:after="240"/>
      <w:ind w:left="2520" w:hanging="36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2880"/>
      </w:tabs>
      <w:spacing w:after="240"/>
      <w:ind w:left="2880" w:hanging="36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3240"/>
      </w:tabs>
      <w:spacing w:after="240"/>
      <w:ind w:left="3240" w:hanging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spacing w:after="2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autoRedefine/>
    <w:semiHidden/>
    <w:pPr>
      <w:tabs>
        <w:tab w:val="left" w:pos="720"/>
        <w:tab w:val="left" w:pos="1440"/>
      </w:tabs>
      <w:spacing w:after="120"/>
      <w:ind w:right="144"/>
    </w:pPr>
  </w:style>
  <w:style w:type="character" w:styleId="FootnoteReference">
    <w:name w:val="footnote reference"/>
    <w:basedOn w:val="DefaultParagraphFont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  <w:jc w:val="left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Default">
    <w:name w:val="Default"/>
    <w:rsid w:val="002161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33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94B"/>
    <w:rPr>
      <w:rFonts w:ascii="Tahoma" w:hAnsi="Tahoma" w:cs="Tahoma"/>
      <w:snapToGrid w:val="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clear" w:pos="720"/>
        <w:tab w:val="left" w:pos="360"/>
      </w:tabs>
      <w:suppressAutoHyphens/>
      <w:spacing w:after="220"/>
      <w:ind w:left="360" w:hanging="36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qFormat/>
    <w:pPr>
      <w:keepNext/>
      <w:numPr>
        <w:ilvl w:val="1"/>
        <w:numId w:val="3"/>
      </w:numPr>
      <w:tabs>
        <w:tab w:val="clear" w:pos="1440"/>
        <w:tab w:val="num" w:pos="720"/>
      </w:tabs>
      <w:spacing w:after="220"/>
      <w:ind w:left="720" w:hanging="36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clear" w:pos="2160"/>
        <w:tab w:val="left" w:pos="1080"/>
      </w:tabs>
      <w:spacing w:after="220"/>
      <w:ind w:left="1080" w:hanging="36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clear" w:pos="2880"/>
        <w:tab w:val="left" w:pos="1440"/>
      </w:tabs>
      <w:spacing w:after="220"/>
      <w:ind w:left="1440" w:hanging="36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clear" w:pos="3600"/>
        <w:tab w:val="left" w:pos="1800"/>
      </w:tabs>
      <w:suppressAutoHyphens/>
      <w:spacing w:after="220"/>
      <w:ind w:left="1800" w:hanging="36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clear" w:pos="4320"/>
        <w:tab w:val="left" w:pos="2160"/>
      </w:tabs>
      <w:spacing w:after="220"/>
      <w:ind w:left="2160" w:hanging="36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clear" w:pos="5040"/>
        <w:tab w:val="left" w:pos="2520"/>
      </w:tabs>
      <w:spacing w:after="240"/>
      <w:ind w:left="2520" w:hanging="36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2880"/>
      </w:tabs>
      <w:spacing w:after="240"/>
      <w:ind w:left="2880" w:hanging="36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3240"/>
      </w:tabs>
      <w:spacing w:after="240"/>
      <w:ind w:left="3240" w:hanging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spacing w:after="2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autoRedefine/>
    <w:semiHidden/>
    <w:pPr>
      <w:tabs>
        <w:tab w:val="left" w:pos="720"/>
        <w:tab w:val="left" w:pos="1440"/>
      </w:tabs>
      <w:spacing w:after="120"/>
      <w:ind w:right="144"/>
    </w:pPr>
  </w:style>
  <w:style w:type="character" w:styleId="FootnoteReference">
    <w:name w:val="footnote reference"/>
    <w:basedOn w:val="DefaultParagraphFont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  <w:jc w:val="left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Default">
    <w:name w:val="Default"/>
    <w:rsid w:val="002161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33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94B"/>
    <w:rPr>
      <w:rFonts w:ascii="Tahoma" w:hAnsi="Tahoma" w:cs="Tahoma"/>
      <w:snapToGrid w:val="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Wilhelm\Desktop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883</Words>
  <Characters>4646</Characters>
  <Application>Microsoft Office Word</Application>
  <DocSecurity>0</DocSecurity>
  <Lines>91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errata</vt:lpstr>
    </vt:vector>
  </TitlesOfParts>
  <Manager/>
  <Company/>
  <LinksUpToDate>false</LinksUpToDate>
  <CharactersWithSpaces>5541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1999-03-16T17:50:00Z</cp:lastPrinted>
  <dcterms:created xsi:type="dcterms:W3CDTF">2014-06-02T16:13:00Z</dcterms:created>
  <dcterms:modified xsi:type="dcterms:W3CDTF">2014-06-02T16:13:00Z</dcterms:modified>
  <cp:category> </cp:category>
  <cp:contentStatus> </cp:contentStatus>
</cp:coreProperties>
</file>