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86" w:rsidRDefault="00DE5386">
      <w:pPr>
        <w:tabs>
          <w:tab w:val="center" w:pos="4680"/>
        </w:tabs>
        <w:suppressAutoHyphens/>
        <w:spacing w:line="240" w:lineRule="atLeast"/>
        <w:jc w:val="center"/>
        <w:outlineLvl w:val="0"/>
        <w:rPr>
          <w:b/>
        </w:rPr>
      </w:pPr>
      <w:bookmarkStart w:id="0" w:name="_GoBack"/>
      <w:bookmarkEnd w:id="0"/>
      <w:r>
        <w:rPr>
          <w:b/>
        </w:rPr>
        <w:t>Before the</w:t>
      </w:r>
    </w:p>
    <w:p w:rsidR="00DE5386" w:rsidRDefault="00DE5386">
      <w:pPr>
        <w:tabs>
          <w:tab w:val="center" w:pos="4680"/>
        </w:tabs>
        <w:suppressAutoHyphens/>
        <w:spacing w:line="240" w:lineRule="atLeast"/>
        <w:jc w:val="both"/>
        <w:outlineLvl w:val="0"/>
        <w:rPr>
          <w:b/>
        </w:rPr>
      </w:pPr>
      <w:r>
        <w:rPr>
          <w:b/>
        </w:rPr>
        <w:tab/>
        <w:t>Federal Communications Commission</w:t>
      </w:r>
    </w:p>
    <w:p w:rsidR="00DE5386" w:rsidRDefault="00DE5386">
      <w:pPr>
        <w:tabs>
          <w:tab w:val="center" w:pos="4680"/>
        </w:tabs>
        <w:suppressAutoHyphens/>
        <w:spacing w:line="240" w:lineRule="atLeast"/>
        <w:jc w:val="both"/>
        <w:outlineLvl w:val="0"/>
        <w:rPr>
          <w:b/>
        </w:rPr>
      </w:pPr>
      <w:r>
        <w:rPr>
          <w:b/>
        </w:rPr>
        <w:tab/>
      </w: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DE5386" w:rsidRDefault="00DE5386">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698"/>
        <w:gridCol w:w="360"/>
        <w:gridCol w:w="4374"/>
      </w:tblGrid>
      <w:tr w:rsidR="00DE5386">
        <w:trPr>
          <w:trHeight w:val="1566"/>
        </w:trPr>
        <w:tc>
          <w:tcPr>
            <w:tcW w:w="4698" w:type="dxa"/>
          </w:tcPr>
          <w:p w:rsidR="00DE5386" w:rsidRDefault="00DE5386">
            <w:r>
              <w:rPr>
                <w:spacing w:val="-2"/>
              </w:rPr>
              <w:t>In the Matter of</w:t>
            </w:r>
            <w:r>
              <w:t xml:space="preserve"> </w:t>
            </w:r>
          </w:p>
          <w:p w:rsidR="00DE5386" w:rsidRDefault="00DE5386"/>
          <w:p w:rsidR="00175C9D" w:rsidRPr="00175C9D" w:rsidRDefault="00E256FD" w:rsidP="00175C9D">
            <w:pPr>
              <w:rPr>
                <w:spacing w:val="-2"/>
              </w:rPr>
            </w:pPr>
            <w:r w:rsidRPr="00E256FD">
              <w:rPr>
                <w:spacing w:val="-2"/>
              </w:rPr>
              <w:t>KAGM-FM Joint Venture</w:t>
            </w:r>
          </w:p>
          <w:p w:rsidR="00DE5386" w:rsidRDefault="0052667A">
            <w:r>
              <w:t xml:space="preserve"> </w:t>
            </w:r>
          </w:p>
          <w:p w:rsidR="00E256FD" w:rsidRDefault="00E256FD" w:rsidP="00E256FD">
            <w:r>
              <w:t>Owner of Antenna Structure No. 1231632</w:t>
            </w:r>
          </w:p>
          <w:p w:rsidR="00981395" w:rsidRPr="00FC0257" w:rsidRDefault="00E256FD" w:rsidP="00E256FD">
            <w:r>
              <w:t>Strasburg, CO</w:t>
            </w:r>
            <w:r w:rsidR="00175C9D" w:rsidRPr="00175C9D">
              <w:t xml:space="preserve"> </w:t>
            </w:r>
          </w:p>
          <w:p w:rsidR="00DE5386" w:rsidRDefault="00DE5386">
            <w:pPr>
              <w:rPr>
                <w:spacing w:val="-2"/>
              </w:rPr>
            </w:pPr>
          </w:p>
        </w:tc>
        <w:tc>
          <w:tcPr>
            <w:tcW w:w="360" w:type="dxa"/>
          </w:tcPr>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tc>
        <w:tc>
          <w:tcPr>
            <w:tcW w:w="4374" w:type="dxa"/>
          </w:tcPr>
          <w:p w:rsidR="00DE5386" w:rsidRPr="00981395" w:rsidRDefault="00DE5386">
            <w:pPr>
              <w:rPr>
                <w:spacing w:val="-2"/>
                <w:lang w:val="es-ES"/>
              </w:rPr>
            </w:pPr>
          </w:p>
          <w:p w:rsidR="00DE5386" w:rsidRPr="00981395" w:rsidRDefault="00DE5386">
            <w:pPr>
              <w:ind w:left="702"/>
              <w:rPr>
                <w:spacing w:val="-2"/>
                <w:lang w:val="es-ES"/>
              </w:rPr>
            </w:pPr>
          </w:p>
          <w:p w:rsidR="00E256FD" w:rsidRDefault="00E256FD" w:rsidP="00E256FD">
            <w:pPr>
              <w:ind w:left="522"/>
            </w:pPr>
            <w:r>
              <w:t>File No.:  EB-FIELDWR-12-00001024 NAL/Acct. No.:  201232800008</w:t>
            </w:r>
          </w:p>
          <w:p w:rsidR="00DE5386" w:rsidRDefault="00E256FD" w:rsidP="00E256FD">
            <w:pPr>
              <w:ind w:left="522"/>
            </w:pPr>
            <w:r>
              <w:t xml:space="preserve">FRN:  0008899247  </w:t>
            </w:r>
          </w:p>
          <w:p w:rsidR="00DE5386" w:rsidRDefault="00DE5386">
            <w:pPr>
              <w:ind w:left="522"/>
            </w:pPr>
            <w:r>
              <w:t xml:space="preserve">    </w:t>
            </w:r>
          </w:p>
        </w:tc>
      </w:tr>
    </w:tbl>
    <w:p w:rsidR="00DE5386" w:rsidRDefault="00DE5386"/>
    <w:p w:rsidR="00DE5386" w:rsidRDefault="00DE5386">
      <w:pPr>
        <w:pStyle w:val="Heading2"/>
        <w:rPr>
          <w:sz w:val="22"/>
          <w:szCs w:val="22"/>
        </w:rPr>
      </w:pPr>
      <w:r>
        <w:rPr>
          <w:sz w:val="22"/>
          <w:szCs w:val="22"/>
        </w:rPr>
        <w:t>ORDER</w:t>
      </w:r>
    </w:p>
    <w:p w:rsidR="00DE5386" w:rsidRDefault="00DE5386">
      <w:pPr>
        <w:tabs>
          <w:tab w:val="left" w:pos="0"/>
        </w:tabs>
        <w:suppressAutoHyphens/>
        <w:spacing w:line="240" w:lineRule="atLeast"/>
        <w:jc w:val="center"/>
      </w:pPr>
    </w:p>
    <w:p w:rsidR="00DE5386" w:rsidRDefault="00DE5386" w:rsidP="00627660">
      <w:pPr>
        <w:tabs>
          <w:tab w:val="left" w:pos="0"/>
          <w:tab w:val="left" w:pos="720"/>
          <w:tab w:val="left" w:pos="5760"/>
        </w:tabs>
        <w:suppressAutoHyphens/>
        <w:spacing w:line="240" w:lineRule="atLeast"/>
      </w:pPr>
      <w:r>
        <w:rPr>
          <w:b/>
        </w:rPr>
        <w:t xml:space="preserve">Adopted:  </w:t>
      </w:r>
      <w:r w:rsidR="00E813E6">
        <w:rPr>
          <w:b/>
        </w:rPr>
        <w:t>June 2, 2014</w:t>
      </w:r>
      <w:r>
        <w:rPr>
          <w:b/>
        </w:rPr>
        <w:tab/>
      </w:r>
      <w:r>
        <w:rPr>
          <w:b/>
        </w:rPr>
        <w:tab/>
        <w:t xml:space="preserve">Released: </w:t>
      </w:r>
      <w:r w:rsidR="00E813E6">
        <w:rPr>
          <w:b/>
        </w:rPr>
        <w:t xml:space="preserve"> June 3, 2014</w:t>
      </w:r>
    </w:p>
    <w:p w:rsidR="00DE5386" w:rsidRDefault="00DE5386" w:rsidP="00627660">
      <w:pPr>
        <w:tabs>
          <w:tab w:val="left" w:pos="0"/>
          <w:tab w:val="left" w:pos="720"/>
          <w:tab w:val="left" w:pos="5760"/>
        </w:tabs>
        <w:suppressAutoHyphens/>
        <w:spacing w:line="240" w:lineRule="atLeast"/>
        <w:jc w:val="both"/>
      </w:pPr>
    </w:p>
    <w:p w:rsidR="00DE5386" w:rsidRPr="002A7814" w:rsidRDefault="001F0226" w:rsidP="00627660">
      <w:pPr>
        <w:tabs>
          <w:tab w:val="left" w:pos="0"/>
          <w:tab w:val="left" w:pos="720"/>
          <w:tab w:val="left" w:pos="5760"/>
        </w:tabs>
        <w:suppressAutoHyphens/>
        <w:spacing w:line="240" w:lineRule="atLeast"/>
        <w:jc w:val="both"/>
        <w:rPr>
          <w:color w:val="000000"/>
          <w:spacing w:val="-2"/>
        </w:rPr>
      </w:pPr>
      <w:r w:rsidRPr="002A7814">
        <w:rPr>
          <w:color w:val="000000"/>
          <w:spacing w:val="-2"/>
        </w:rPr>
        <w:t>By the Regional Director, Western</w:t>
      </w:r>
      <w:r w:rsidR="00DE5386" w:rsidRPr="002A7814">
        <w:rPr>
          <w:color w:val="000000"/>
          <w:spacing w:val="-2"/>
        </w:rPr>
        <w:t xml:space="preserve"> Region, Enforcement Bureau:</w:t>
      </w:r>
    </w:p>
    <w:p w:rsidR="00DE5386" w:rsidRPr="002A7814" w:rsidRDefault="00DE5386" w:rsidP="00627660">
      <w:pPr>
        <w:tabs>
          <w:tab w:val="left" w:pos="0"/>
        </w:tabs>
        <w:suppressAutoHyphens/>
        <w:spacing w:line="240" w:lineRule="atLeast"/>
        <w:rPr>
          <w:color w:val="000000"/>
          <w:spacing w:val="-2"/>
        </w:rPr>
      </w:pPr>
    </w:p>
    <w:p w:rsidR="00DE5386" w:rsidRPr="002A7814" w:rsidRDefault="00DE5386" w:rsidP="00627660">
      <w:pPr>
        <w:tabs>
          <w:tab w:val="center" w:pos="720"/>
        </w:tabs>
        <w:suppressAutoHyphens/>
        <w:spacing w:after="120" w:line="240" w:lineRule="atLeast"/>
        <w:rPr>
          <w:b/>
          <w:color w:val="000000"/>
          <w:spacing w:val="-2"/>
        </w:rPr>
      </w:pPr>
      <w:r w:rsidRPr="002A7814">
        <w:rPr>
          <w:b/>
          <w:color w:val="000000"/>
          <w:spacing w:val="-2"/>
        </w:rPr>
        <w:t xml:space="preserve">I.  </w:t>
      </w:r>
      <w:r w:rsidRPr="002A7814">
        <w:rPr>
          <w:b/>
          <w:color w:val="000000"/>
          <w:spacing w:val="-2"/>
        </w:rPr>
        <w:tab/>
        <w:t xml:space="preserve">         INTRODUCTION</w:t>
      </w:r>
    </w:p>
    <w:p w:rsidR="008A2594" w:rsidRDefault="007F7B24" w:rsidP="002D4FDC">
      <w:pPr>
        <w:numPr>
          <w:ilvl w:val="0"/>
          <w:numId w:val="1"/>
        </w:numPr>
        <w:tabs>
          <w:tab w:val="clear" w:pos="1080"/>
          <w:tab w:val="num" w:pos="1440"/>
        </w:tabs>
        <w:rPr>
          <w:color w:val="000000"/>
          <w:spacing w:val="-2"/>
        </w:rPr>
      </w:pPr>
      <w:r>
        <w:t xml:space="preserve">In this Order, </w:t>
      </w:r>
      <w:r w:rsidR="00C91AAB">
        <w:rPr>
          <w:color w:val="000000"/>
          <w:spacing w:val="-2"/>
        </w:rPr>
        <w:t>w</w:t>
      </w:r>
      <w:r w:rsidR="00C91AAB">
        <w:t xml:space="preserve">e </w:t>
      </w:r>
      <w:r w:rsidR="0078783A">
        <w:t xml:space="preserve">find that </w:t>
      </w:r>
      <w:r w:rsidR="00A31667" w:rsidRPr="00A31667">
        <w:rPr>
          <w:color w:val="000000"/>
          <w:spacing w:val="-2"/>
        </w:rPr>
        <w:t>KAGM-FM Joint Venture (KJV)</w:t>
      </w:r>
      <w:r w:rsidR="0078783A">
        <w:rPr>
          <w:color w:val="000000"/>
          <w:spacing w:val="-2"/>
        </w:rPr>
        <w:t xml:space="preserve"> failed to properly monitor and light its </w:t>
      </w:r>
      <w:r w:rsidR="00A31667" w:rsidRPr="00A31667">
        <w:rPr>
          <w:color w:val="000000"/>
          <w:spacing w:val="-2"/>
        </w:rPr>
        <w:t xml:space="preserve">antenna structure located </w:t>
      </w:r>
      <w:r w:rsidR="00C32D38">
        <w:rPr>
          <w:color w:val="000000"/>
          <w:spacing w:val="-2"/>
        </w:rPr>
        <w:t>near</w:t>
      </w:r>
      <w:r w:rsidR="0078783A">
        <w:rPr>
          <w:color w:val="000000"/>
          <w:spacing w:val="-2"/>
        </w:rPr>
        <w:t xml:space="preserve"> </w:t>
      </w:r>
      <w:r w:rsidR="00A31667" w:rsidRPr="00A31667">
        <w:rPr>
          <w:color w:val="000000"/>
          <w:spacing w:val="-2"/>
        </w:rPr>
        <w:t>Strasburg, Colorado</w:t>
      </w:r>
      <w:r w:rsidR="0078783A">
        <w:rPr>
          <w:color w:val="000000"/>
          <w:spacing w:val="-2"/>
        </w:rPr>
        <w:t xml:space="preserve">.  </w:t>
      </w:r>
      <w:r w:rsidR="008A2594">
        <w:rPr>
          <w:color w:val="000000"/>
          <w:spacing w:val="-2"/>
        </w:rPr>
        <w:t xml:space="preserve">In light of KJV’s poor financial condition and history of compliance, however, we do not impose a forfeiture.  </w:t>
      </w:r>
      <w:r w:rsidR="00974DAE">
        <w:rPr>
          <w:color w:val="000000"/>
          <w:spacing w:val="-2"/>
        </w:rPr>
        <w:t>Nevertheless, w</w:t>
      </w:r>
      <w:r w:rsidR="008A2594">
        <w:rPr>
          <w:color w:val="000000"/>
          <w:spacing w:val="-2"/>
        </w:rPr>
        <w:t xml:space="preserve">e warn KJV that future violations may result in substantial forfeitures, regardless of its financial situation.  </w:t>
      </w:r>
    </w:p>
    <w:p w:rsidR="00974DAE" w:rsidRDefault="00974DAE" w:rsidP="00C32D38">
      <w:pPr>
        <w:rPr>
          <w:color w:val="000000"/>
          <w:spacing w:val="-2"/>
        </w:rPr>
      </w:pPr>
    </w:p>
    <w:p w:rsidR="00DE5386" w:rsidRPr="002A7814" w:rsidRDefault="008A2594" w:rsidP="002D4FDC">
      <w:pPr>
        <w:numPr>
          <w:ilvl w:val="0"/>
          <w:numId w:val="1"/>
        </w:numPr>
        <w:tabs>
          <w:tab w:val="clear" w:pos="1080"/>
          <w:tab w:val="num" w:pos="1440"/>
        </w:tabs>
        <w:rPr>
          <w:color w:val="000000"/>
          <w:spacing w:val="-2"/>
        </w:rPr>
      </w:pPr>
      <w:r>
        <w:t xml:space="preserve">Specifically, we find that KJV </w:t>
      </w:r>
      <w:r w:rsidR="00423A0C">
        <w:rPr>
          <w:color w:val="000000"/>
          <w:spacing w:val="-2"/>
        </w:rPr>
        <w:t xml:space="preserve">willfully and repeatedly </w:t>
      </w:r>
      <w:r w:rsidR="00A31667" w:rsidRPr="00A31667">
        <w:rPr>
          <w:color w:val="000000"/>
          <w:spacing w:val="-2"/>
        </w:rPr>
        <w:t>violat</w:t>
      </w:r>
      <w:r w:rsidR="00974DAE">
        <w:rPr>
          <w:color w:val="000000"/>
          <w:spacing w:val="-2"/>
        </w:rPr>
        <w:t>ed</w:t>
      </w:r>
      <w:r w:rsidR="00A31667" w:rsidRPr="00A31667">
        <w:rPr>
          <w:color w:val="000000"/>
          <w:spacing w:val="-2"/>
        </w:rPr>
        <w:t xml:space="preserve"> Section 303(q) of the Communications Act of 1934, as amended (Act)</w:t>
      </w:r>
      <w:r w:rsidR="00107EAD">
        <w:rPr>
          <w:color w:val="000000"/>
          <w:spacing w:val="-2"/>
        </w:rPr>
        <w:t>,</w:t>
      </w:r>
      <w:r w:rsidR="00107EAD" w:rsidRPr="00107EAD">
        <w:rPr>
          <w:color w:val="000000"/>
          <w:spacing w:val="-2"/>
          <w:vertAlign w:val="superscript"/>
        </w:rPr>
        <w:footnoteReference w:id="1"/>
      </w:r>
      <w:r w:rsidR="00107EAD">
        <w:rPr>
          <w:color w:val="000000"/>
          <w:spacing w:val="-2"/>
        </w:rPr>
        <w:t xml:space="preserve"> a</w:t>
      </w:r>
      <w:r w:rsidR="00A31667" w:rsidRPr="00A31667">
        <w:rPr>
          <w:color w:val="000000"/>
          <w:spacing w:val="-2"/>
        </w:rPr>
        <w:t>nd Sections 17.47(a) and 17.51(a) of the Commission’s rules (Rules)</w:t>
      </w:r>
      <w:r>
        <w:rPr>
          <w:color w:val="000000"/>
          <w:spacing w:val="-2"/>
        </w:rPr>
        <w:t xml:space="preserve"> with respect to antenna structure number 1231632</w:t>
      </w:r>
      <w:r w:rsidR="00974DAE">
        <w:rPr>
          <w:color w:val="000000"/>
          <w:spacing w:val="-2"/>
        </w:rPr>
        <w:t xml:space="preserve"> (the Antenna Structure)</w:t>
      </w:r>
      <w:r w:rsidR="00107EAD">
        <w:rPr>
          <w:color w:val="000000"/>
          <w:spacing w:val="-2"/>
        </w:rPr>
        <w:t>.</w:t>
      </w:r>
      <w:r w:rsidR="00107EAD" w:rsidRPr="00175C9D">
        <w:rPr>
          <w:color w:val="000000"/>
          <w:spacing w:val="-2"/>
          <w:vertAlign w:val="superscript"/>
        </w:rPr>
        <w:footnoteReference w:id="2"/>
      </w:r>
      <w:r w:rsidR="00107EAD">
        <w:rPr>
          <w:color w:val="000000"/>
          <w:spacing w:val="-2"/>
        </w:rPr>
        <w:t xml:space="preserve">  The noted violations involved KJV’s</w:t>
      </w:r>
      <w:r w:rsidR="00A31667" w:rsidRPr="00A31667">
        <w:rPr>
          <w:color w:val="000000"/>
          <w:spacing w:val="-2"/>
        </w:rPr>
        <w:t xml:space="preserve"> fail</w:t>
      </w:r>
      <w:r w:rsidR="00107EAD">
        <w:rPr>
          <w:color w:val="000000"/>
          <w:spacing w:val="-2"/>
        </w:rPr>
        <w:t>ure</w:t>
      </w:r>
      <w:r w:rsidR="00A31667" w:rsidRPr="00A31667">
        <w:rPr>
          <w:color w:val="000000"/>
          <w:spacing w:val="-2"/>
        </w:rPr>
        <w:t xml:space="preserve"> to</w:t>
      </w:r>
      <w:r w:rsidR="00AE7E3F">
        <w:rPr>
          <w:color w:val="000000"/>
          <w:spacing w:val="-2"/>
        </w:rPr>
        <w:t xml:space="preserve">: </w:t>
      </w:r>
      <w:r w:rsidR="00A31667" w:rsidRPr="00A31667">
        <w:rPr>
          <w:color w:val="000000"/>
          <w:spacing w:val="-2"/>
        </w:rPr>
        <w:t>(1) monitor the Antenna Structure lighting on a daily basis</w:t>
      </w:r>
      <w:r w:rsidR="00AE7E3F">
        <w:rPr>
          <w:color w:val="000000"/>
          <w:spacing w:val="-2"/>
        </w:rPr>
        <w:t>;</w:t>
      </w:r>
      <w:r w:rsidR="00A31667" w:rsidRPr="00A31667">
        <w:rPr>
          <w:color w:val="000000"/>
          <w:spacing w:val="-2"/>
        </w:rPr>
        <w:t xml:space="preserve"> and (2) exhibit any obstruction lighting on the Antenna Structure after sunset.  </w:t>
      </w:r>
    </w:p>
    <w:p w:rsidR="00DE5386" w:rsidRPr="002A7814" w:rsidRDefault="00DE5386" w:rsidP="00627660">
      <w:pPr>
        <w:tabs>
          <w:tab w:val="left" w:pos="0"/>
        </w:tabs>
        <w:suppressAutoHyphens/>
        <w:autoSpaceDE w:val="0"/>
        <w:autoSpaceDN w:val="0"/>
        <w:adjustRightInd w:val="0"/>
        <w:spacing w:line="240" w:lineRule="atLeast"/>
        <w:rPr>
          <w:color w:val="000000"/>
          <w:spacing w:val="-2"/>
        </w:rPr>
      </w:pPr>
    </w:p>
    <w:p w:rsidR="00DE5386" w:rsidRPr="002A7814" w:rsidRDefault="00DE5386" w:rsidP="00627660">
      <w:pPr>
        <w:pStyle w:val="ParaNum"/>
        <w:numPr>
          <w:ilvl w:val="0"/>
          <w:numId w:val="0"/>
        </w:numPr>
        <w:spacing w:after="120"/>
        <w:rPr>
          <w:b/>
          <w:color w:val="000000"/>
          <w:spacing w:val="-2"/>
        </w:rPr>
      </w:pPr>
      <w:r w:rsidRPr="002A7814">
        <w:rPr>
          <w:b/>
          <w:color w:val="000000"/>
          <w:spacing w:val="-2"/>
        </w:rPr>
        <w:t xml:space="preserve">II.  </w:t>
      </w:r>
      <w:r w:rsidRPr="002A7814">
        <w:rPr>
          <w:b/>
          <w:color w:val="000000"/>
          <w:spacing w:val="-2"/>
        </w:rPr>
        <w:tab/>
        <w:t>BACKGROUND</w:t>
      </w:r>
    </w:p>
    <w:p w:rsidR="00DE5386" w:rsidRPr="002A7814" w:rsidRDefault="00DE5386" w:rsidP="002D4FDC">
      <w:pPr>
        <w:numPr>
          <w:ilvl w:val="0"/>
          <w:numId w:val="1"/>
        </w:numPr>
        <w:tabs>
          <w:tab w:val="clear" w:pos="1080"/>
          <w:tab w:val="left" w:pos="0"/>
          <w:tab w:val="num" w:pos="1440"/>
        </w:tabs>
        <w:suppressAutoHyphens/>
        <w:autoSpaceDE w:val="0"/>
        <w:autoSpaceDN w:val="0"/>
        <w:adjustRightInd w:val="0"/>
        <w:spacing w:line="240" w:lineRule="atLeast"/>
        <w:rPr>
          <w:color w:val="000000"/>
          <w:spacing w:val="-2"/>
        </w:rPr>
      </w:pPr>
      <w:r w:rsidRPr="002A7814">
        <w:rPr>
          <w:color w:val="000000"/>
          <w:spacing w:val="-2"/>
        </w:rPr>
        <w:t xml:space="preserve">  On </w:t>
      </w:r>
      <w:r w:rsidR="00C359FA">
        <w:rPr>
          <w:color w:val="000000"/>
          <w:spacing w:val="-2"/>
        </w:rPr>
        <w:t xml:space="preserve">September 20, </w:t>
      </w:r>
      <w:r w:rsidRPr="002A7814">
        <w:rPr>
          <w:color w:val="000000"/>
          <w:spacing w:val="-2"/>
        </w:rPr>
        <w:t>201</w:t>
      </w:r>
      <w:r w:rsidR="00471764">
        <w:rPr>
          <w:color w:val="000000"/>
          <w:spacing w:val="-2"/>
        </w:rPr>
        <w:t>2</w:t>
      </w:r>
      <w:r w:rsidRPr="002A7814">
        <w:rPr>
          <w:color w:val="000000"/>
          <w:spacing w:val="-2"/>
        </w:rPr>
        <w:t xml:space="preserve">, the Enforcement Bureau’s </w:t>
      </w:r>
      <w:r w:rsidR="00C359FA">
        <w:rPr>
          <w:color w:val="000000"/>
          <w:spacing w:val="-2"/>
        </w:rPr>
        <w:t>Denver Office</w:t>
      </w:r>
      <w:r w:rsidRPr="002A7814">
        <w:rPr>
          <w:color w:val="000000"/>
          <w:spacing w:val="-2"/>
        </w:rPr>
        <w:t xml:space="preserve"> (</w:t>
      </w:r>
      <w:r w:rsidR="00C359FA">
        <w:rPr>
          <w:color w:val="000000"/>
          <w:spacing w:val="-2"/>
        </w:rPr>
        <w:t>Denver</w:t>
      </w:r>
      <w:r w:rsidRPr="002A7814">
        <w:rPr>
          <w:color w:val="000000"/>
          <w:spacing w:val="-2"/>
        </w:rPr>
        <w:t xml:space="preserve"> Office) issued a Notice of Apparent Liability for Forfeiture (</w:t>
      </w:r>
      <w:r w:rsidRPr="00E26178">
        <w:rPr>
          <w:i/>
          <w:color w:val="000000"/>
          <w:spacing w:val="-2"/>
        </w:rPr>
        <w:t>NAL</w:t>
      </w:r>
      <w:r w:rsidRPr="002A7814">
        <w:rPr>
          <w:color w:val="000000"/>
          <w:spacing w:val="-2"/>
        </w:rPr>
        <w:t>)</w:t>
      </w:r>
      <w:r w:rsidR="00981395" w:rsidRPr="002A7814">
        <w:rPr>
          <w:rStyle w:val="FootnoteReference"/>
          <w:color w:val="000000"/>
          <w:spacing w:val="-2"/>
          <w:sz w:val="22"/>
        </w:rPr>
        <w:footnoteReference w:id="3"/>
      </w:r>
      <w:r w:rsidRPr="002A7814">
        <w:rPr>
          <w:rStyle w:val="FootnoteReference"/>
          <w:color w:val="000000"/>
          <w:spacing w:val="-2"/>
          <w:sz w:val="22"/>
        </w:rPr>
        <w:t xml:space="preserve"> </w:t>
      </w:r>
      <w:r w:rsidRPr="002A7814">
        <w:rPr>
          <w:color w:val="000000"/>
          <w:spacing w:val="-2"/>
        </w:rPr>
        <w:t xml:space="preserve">for </w:t>
      </w:r>
      <w:r w:rsidR="00C359FA">
        <w:rPr>
          <w:color w:val="000000"/>
          <w:spacing w:val="-2"/>
        </w:rPr>
        <w:t>fifteen thousand</w:t>
      </w:r>
      <w:r w:rsidRPr="002A7814">
        <w:rPr>
          <w:color w:val="000000"/>
          <w:spacing w:val="-2"/>
        </w:rPr>
        <w:t xml:space="preserve"> dollars ($</w:t>
      </w:r>
      <w:r w:rsidR="0010711A">
        <w:rPr>
          <w:color w:val="000000"/>
          <w:spacing w:val="-2"/>
        </w:rPr>
        <w:t>1</w:t>
      </w:r>
      <w:r w:rsidR="00C359FA">
        <w:rPr>
          <w:color w:val="000000"/>
          <w:spacing w:val="-2"/>
        </w:rPr>
        <w:t>5,000</w:t>
      </w:r>
      <w:r w:rsidRPr="002A7814">
        <w:rPr>
          <w:color w:val="000000"/>
          <w:spacing w:val="-2"/>
        </w:rPr>
        <w:t>) to</w:t>
      </w:r>
      <w:r w:rsidR="00471764">
        <w:rPr>
          <w:color w:val="000000"/>
          <w:spacing w:val="-2"/>
        </w:rPr>
        <w:t xml:space="preserve"> </w:t>
      </w:r>
      <w:r w:rsidR="00C359FA">
        <w:rPr>
          <w:color w:val="000000"/>
          <w:spacing w:val="-2"/>
        </w:rPr>
        <w:t xml:space="preserve">KJV for failing to monitor </w:t>
      </w:r>
      <w:r w:rsidR="00C359FA" w:rsidRPr="00C359FA">
        <w:rPr>
          <w:color w:val="000000"/>
          <w:spacing w:val="-2"/>
        </w:rPr>
        <w:t xml:space="preserve">the Antenna Structure lighting on a daily basis, and </w:t>
      </w:r>
      <w:r w:rsidR="00C359FA">
        <w:rPr>
          <w:color w:val="000000"/>
          <w:spacing w:val="-2"/>
        </w:rPr>
        <w:t xml:space="preserve">for failing to </w:t>
      </w:r>
      <w:r w:rsidR="00C359FA" w:rsidRPr="00C359FA">
        <w:rPr>
          <w:color w:val="000000"/>
          <w:spacing w:val="-2"/>
        </w:rPr>
        <w:t>exhibit any obstruction lighting on the Antenna Structure after sunset</w:t>
      </w:r>
      <w:r w:rsidR="00C359FA">
        <w:rPr>
          <w:color w:val="000000"/>
          <w:spacing w:val="-2"/>
        </w:rPr>
        <w:t xml:space="preserve">. </w:t>
      </w:r>
      <w:r w:rsidR="0017030B">
        <w:rPr>
          <w:color w:val="000000"/>
          <w:spacing w:val="-2"/>
        </w:rPr>
        <w:t xml:space="preserve"> </w:t>
      </w:r>
      <w:r w:rsidR="0010711A">
        <w:rPr>
          <w:color w:val="000000"/>
          <w:spacing w:val="-2"/>
        </w:rPr>
        <w:t xml:space="preserve">In </w:t>
      </w:r>
      <w:r w:rsidRPr="002A7814">
        <w:rPr>
          <w:color w:val="000000"/>
          <w:spacing w:val="-2"/>
        </w:rPr>
        <w:t xml:space="preserve">response to the </w:t>
      </w:r>
      <w:r w:rsidRPr="000538F6">
        <w:rPr>
          <w:i/>
          <w:color w:val="000000"/>
          <w:spacing w:val="-2"/>
        </w:rPr>
        <w:t>NAL</w:t>
      </w:r>
      <w:r w:rsidRPr="002A7814">
        <w:rPr>
          <w:color w:val="000000"/>
          <w:spacing w:val="-2"/>
        </w:rPr>
        <w:t>,</w:t>
      </w:r>
      <w:r w:rsidR="00471764">
        <w:rPr>
          <w:color w:val="000000"/>
          <w:spacing w:val="-2"/>
        </w:rPr>
        <w:t xml:space="preserve"> </w:t>
      </w:r>
      <w:r w:rsidR="00C359FA">
        <w:rPr>
          <w:color w:val="000000"/>
          <w:spacing w:val="-2"/>
        </w:rPr>
        <w:t>KJV</w:t>
      </w:r>
      <w:r w:rsidRPr="002A7814">
        <w:rPr>
          <w:color w:val="000000"/>
          <w:spacing w:val="-2"/>
        </w:rPr>
        <w:t xml:space="preserve"> does not deny the violations, but</w:t>
      </w:r>
      <w:r w:rsidR="0010711A">
        <w:rPr>
          <w:color w:val="000000"/>
          <w:spacing w:val="-2"/>
        </w:rPr>
        <w:t xml:space="preserve"> states </w:t>
      </w:r>
      <w:r w:rsidR="00C359FA">
        <w:rPr>
          <w:color w:val="000000"/>
          <w:spacing w:val="-2"/>
        </w:rPr>
        <w:t xml:space="preserve">that it has a history of compliance with the </w:t>
      </w:r>
      <w:r w:rsidR="0010711A">
        <w:rPr>
          <w:color w:val="000000"/>
          <w:spacing w:val="-2"/>
        </w:rPr>
        <w:t xml:space="preserve">Act and the Rules, and that </w:t>
      </w:r>
      <w:r w:rsidR="00C359FA">
        <w:rPr>
          <w:color w:val="000000"/>
          <w:spacing w:val="-2"/>
        </w:rPr>
        <w:t>it</w:t>
      </w:r>
      <w:r w:rsidR="0010711A">
        <w:rPr>
          <w:color w:val="000000"/>
          <w:spacing w:val="-2"/>
        </w:rPr>
        <w:t xml:space="preserve"> is unable to </w:t>
      </w:r>
      <w:r w:rsidRPr="002A7814">
        <w:rPr>
          <w:color w:val="000000"/>
          <w:spacing w:val="-2"/>
        </w:rPr>
        <w:t>pay</w:t>
      </w:r>
      <w:r w:rsidR="00471764">
        <w:rPr>
          <w:color w:val="000000"/>
          <w:spacing w:val="-2"/>
        </w:rPr>
        <w:t xml:space="preserve"> the forfeiture</w:t>
      </w:r>
      <w:r w:rsidRPr="002A7814">
        <w:rPr>
          <w:color w:val="000000"/>
          <w:spacing w:val="-2"/>
        </w:rPr>
        <w:t>.</w:t>
      </w:r>
      <w:r w:rsidRPr="002A7814">
        <w:rPr>
          <w:rStyle w:val="FootnoteReference"/>
          <w:color w:val="000000"/>
          <w:spacing w:val="-2"/>
          <w:sz w:val="22"/>
        </w:rPr>
        <w:footnoteReference w:id="4"/>
      </w:r>
      <w:r w:rsidRPr="002A7814">
        <w:rPr>
          <w:color w:val="000000"/>
          <w:spacing w:val="-2"/>
        </w:rPr>
        <w:t xml:space="preserve">      </w:t>
      </w:r>
    </w:p>
    <w:p w:rsidR="00DE5386" w:rsidRPr="002A7814" w:rsidRDefault="00DE5386" w:rsidP="00627660">
      <w:pPr>
        <w:tabs>
          <w:tab w:val="left" w:pos="0"/>
        </w:tabs>
        <w:suppressAutoHyphens/>
        <w:autoSpaceDE w:val="0"/>
        <w:autoSpaceDN w:val="0"/>
        <w:adjustRightInd w:val="0"/>
        <w:spacing w:line="240" w:lineRule="atLeast"/>
        <w:rPr>
          <w:color w:val="000000"/>
          <w:spacing w:val="-2"/>
        </w:rPr>
      </w:pPr>
    </w:p>
    <w:p w:rsidR="00DE5386" w:rsidRPr="002A7814" w:rsidRDefault="00DE5386" w:rsidP="00627660">
      <w:pPr>
        <w:numPr>
          <w:ilvl w:val="0"/>
          <w:numId w:val="3"/>
        </w:numPr>
        <w:tabs>
          <w:tab w:val="clear" w:pos="1080"/>
          <w:tab w:val="num" w:pos="450"/>
        </w:tabs>
        <w:suppressAutoHyphens/>
        <w:autoSpaceDE w:val="0"/>
        <w:autoSpaceDN w:val="0"/>
        <w:adjustRightInd w:val="0"/>
        <w:spacing w:after="120" w:line="240" w:lineRule="atLeast"/>
        <w:ind w:left="0" w:firstLine="0"/>
        <w:rPr>
          <w:b/>
          <w:color w:val="000000"/>
          <w:spacing w:val="-2"/>
        </w:rPr>
      </w:pPr>
      <w:r w:rsidRPr="002A7814">
        <w:rPr>
          <w:b/>
          <w:color w:val="000000"/>
          <w:spacing w:val="-2"/>
        </w:rPr>
        <w:tab/>
        <w:t>DISCUSSION</w:t>
      </w:r>
    </w:p>
    <w:p w:rsidR="006B4292" w:rsidRDefault="00DE5386" w:rsidP="006B4292">
      <w:pPr>
        <w:numPr>
          <w:ilvl w:val="0"/>
          <w:numId w:val="1"/>
        </w:numPr>
        <w:tabs>
          <w:tab w:val="clear" w:pos="1080"/>
          <w:tab w:val="num" w:pos="1440"/>
          <w:tab w:val="left" w:pos="4680"/>
          <w:tab w:val="left" w:pos="5760"/>
        </w:tabs>
        <w:autoSpaceDE w:val="0"/>
        <w:autoSpaceDN w:val="0"/>
        <w:adjustRightInd w:val="0"/>
        <w:spacing w:after="120" w:line="226" w:lineRule="auto"/>
        <w:rPr>
          <w:color w:val="000000"/>
          <w:spacing w:val="-2"/>
        </w:rPr>
      </w:pPr>
      <w:r w:rsidRPr="002A7814">
        <w:rPr>
          <w:color w:val="000000"/>
          <w:spacing w:val="-2"/>
        </w:rPr>
        <w:t>The proposed forfeiture amount in this case was assessed in accordance with Section 503(b) of the Act,</w:t>
      </w:r>
      <w:r w:rsidRPr="002A7814">
        <w:rPr>
          <w:rStyle w:val="FootnoteReference"/>
          <w:color w:val="000000"/>
          <w:spacing w:val="-2"/>
          <w:sz w:val="22"/>
        </w:rPr>
        <w:footnoteReference w:id="5"/>
      </w:r>
      <w:r w:rsidRPr="002A7814">
        <w:rPr>
          <w:color w:val="000000"/>
          <w:spacing w:val="-2"/>
        </w:rPr>
        <w:t xml:space="preserve"> Section 1.80 of the Rules,</w:t>
      </w:r>
      <w:r w:rsidRPr="002A7814">
        <w:rPr>
          <w:rStyle w:val="FootnoteReference"/>
          <w:color w:val="000000"/>
          <w:spacing w:val="-2"/>
          <w:sz w:val="22"/>
        </w:rPr>
        <w:footnoteReference w:id="6"/>
      </w:r>
      <w:r w:rsidRPr="002A7814">
        <w:rPr>
          <w:color w:val="000000"/>
          <w:spacing w:val="-2"/>
        </w:rPr>
        <w:t xml:space="preserve"> and the Forfeiture Policy Statement.</w:t>
      </w:r>
      <w:r w:rsidRPr="002A7814">
        <w:rPr>
          <w:rStyle w:val="FootnoteReference"/>
          <w:color w:val="000000"/>
          <w:spacing w:val="-2"/>
          <w:sz w:val="22"/>
        </w:rPr>
        <w:footnoteReference w:id="7"/>
      </w:r>
      <w:r w:rsidRPr="002A7814">
        <w:rPr>
          <w:color w:val="000000"/>
          <w:spacing w:val="-2"/>
        </w:rPr>
        <w:t xml:space="preserve">  In examining</w:t>
      </w:r>
      <w:r w:rsidR="0010711A">
        <w:rPr>
          <w:color w:val="000000"/>
          <w:spacing w:val="-2"/>
        </w:rPr>
        <w:t xml:space="preserve"> </w:t>
      </w:r>
      <w:r w:rsidR="002D4FDC">
        <w:rPr>
          <w:color w:val="000000"/>
          <w:spacing w:val="-2"/>
        </w:rPr>
        <w:t>KJV’s</w:t>
      </w:r>
      <w:r w:rsidRPr="002A7814">
        <w:rPr>
          <w:color w:val="000000"/>
          <w:spacing w:val="-2"/>
        </w:rPr>
        <w:t xml:space="preserve"> </w:t>
      </w:r>
      <w:r w:rsidRPr="002A7814">
        <w:rPr>
          <w:color w:val="000000"/>
          <w:spacing w:val="-2"/>
        </w:rPr>
        <w:lastRenderedPageBreak/>
        <w:t>response, Section 503(b)(2)(E) of the</w:t>
      </w:r>
      <w:r w:rsidR="000538F6">
        <w:rPr>
          <w:color w:val="000000"/>
          <w:spacing w:val="-2"/>
        </w:rPr>
        <w:t xml:space="preserve"> </w:t>
      </w:r>
      <w:r w:rsidRPr="002A7814">
        <w:rPr>
          <w:color w:val="000000"/>
          <w:spacing w:val="-2"/>
        </w:rPr>
        <w:t>Act requires that the Commission take into account the nature, circumstances, extent, and gravity of the violation and, with respect to the violator, the degree of culpability, any history of prior offenses, ability to pay, and other such matters as justice may require.</w:t>
      </w:r>
      <w:r w:rsidRPr="002A7814">
        <w:rPr>
          <w:rStyle w:val="FootnoteReference"/>
          <w:color w:val="000000"/>
          <w:spacing w:val="-2"/>
          <w:sz w:val="22"/>
        </w:rPr>
        <w:footnoteReference w:id="8"/>
      </w:r>
      <w:r w:rsidRPr="002A7814">
        <w:rPr>
          <w:color w:val="000000"/>
          <w:spacing w:val="-2"/>
        </w:rPr>
        <w:t xml:space="preserve">  </w:t>
      </w:r>
    </w:p>
    <w:p w:rsidR="00987646" w:rsidRPr="002D4FDC" w:rsidRDefault="00DE5386" w:rsidP="002D4FDC">
      <w:pPr>
        <w:numPr>
          <w:ilvl w:val="0"/>
          <w:numId w:val="1"/>
        </w:numPr>
        <w:tabs>
          <w:tab w:val="clear" w:pos="1080"/>
          <w:tab w:val="num" w:pos="1440"/>
        </w:tabs>
        <w:spacing w:after="120"/>
        <w:rPr>
          <w:color w:val="000000"/>
          <w:spacing w:val="-2"/>
        </w:rPr>
      </w:pPr>
      <w:r w:rsidRPr="006B4292">
        <w:rPr>
          <w:color w:val="000000"/>
          <w:spacing w:val="-2"/>
        </w:rPr>
        <w:t xml:space="preserve">We affirm the </w:t>
      </w:r>
      <w:r w:rsidRPr="006B4292">
        <w:rPr>
          <w:i/>
          <w:color w:val="000000"/>
          <w:spacing w:val="-2"/>
        </w:rPr>
        <w:t>NAL</w:t>
      </w:r>
      <w:r w:rsidRPr="006B4292">
        <w:rPr>
          <w:color w:val="000000"/>
          <w:spacing w:val="-2"/>
        </w:rPr>
        <w:t xml:space="preserve">’s finding that </w:t>
      </w:r>
      <w:r w:rsidR="002D4FDC">
        <w:rPr>
          <w:color w:val="000000"/>
          <w:spacing w:val="-2"/>
        </w:rPr>
        <w:t>KJV</w:t>
      </w:r>
      <w:r w:rsidR="0010711A" w:rsidRPr="006B4292">
        <w:rPr>
          <w:color w:val="000000"/>
          <w:spacing w:val="-2"/>
        </w:rPr>
        <w:t xml:space="preserve"> </w:t>
      </w:r>
      <w:r w:rsidRPr="006B4292">
        <w:rPr>
          <w:color w:val="000000"/>
          <w:spacing w:val="-2"/>
        </w:rPr>
        <w:t xml:space="preserve">violated </w:t>
      </w:r>
      <w:r w:rsidR="0010711A" w:rsidRPr="006B4292">
        <w:rPr>
          <w:color w:val="000000"/>
          <w:spacing w:val="-2"/>
        </w:rPr>
        <w:t>Section 30</w:t>
      </w:r>
      <w:r w:rsidR="002D4FDC">
        <w:rPr>
          <w:color w:val="000000"/>
          <w:spacing w:val="-2"/>
        </w:rPr>
        <w:t>3(q)</w:t>
      </w:r>
      <w:r w:rsidR="0010711A" w:rsidRPr="006B4292">
        <w:rPr>
          <w:color w:val="000000"/>
          <w:spacing w:val="-2"/>
        </w:rPr>
        <w:t xml:space="preserve"> of the Act and Sections </w:t>
      </w:r>
      <w:r w:rsidR="002D4FDC">
        <w:rPr>
          <w:color w:val="000000"/>
          <w:spacing w:val="-2"/>
        </w:rPr>
        <w:t>17.47(a) and 17.51(a) of</w:t>
      </w:r>
      <w:r w:rsidR="0010711A" w:rsidRPr="006B4292">
        <w:rPr>
          <w:color w:val="000000"/>
          <w:spacing w:val="-2"/>
        </w:rPr>
        <w:t xml:space="preserve"> the </w:t>
      </w:r>
      <w:r w:rsidR="007960CE" w:rsidRPr="00FC0257">
        <w:t>Rules</w:t>
      </w:r>
      <w:r w:rsidRPr="006B4292">
        <w:rPr>
          <w:color w:val="000000"/>
          <w:spacing w:val="-2"/>
        </w:rPr>
        <w:t>.</w:t>
      </w:r>
      <w:r w:rsidRPr="002A7814">
        <w:rPr>
          <w:rStyle w:val="FootnoteReference"/>
          <w:color w:val="000000"/>
          <w:spacing w:val="-2"/>
          <w:sz w:val="22"/>
        </w:rPr>
        <w:footnoteReference w:id="9"/>
      </w:r>
      <w:r w:rsidRPr="006B4292">
        <w:rPr>
          <w:color w:val="000000"/>
          <w:spacing w:val="-2"/>
        </w:rPr>
        <w:t xml:space="preserve">  </w:t>
      </w:r>
      <w:r w:rsidR="002D4FDC" w:rsidRPr="002D4FDC">
        <w:rPr>
          <w:color w:val="000000"/>
          <w:spacing w:val="-2"/>
        </w:rPr>
        <w:t xml:space="preserve">Section 303(q) of the Act states that antenna structure owners shall maintain the painting and lighting of antenna structures as prescribed by the Commission.   Section 17.51(a) of the Rules requires all red obstruction lighting to be exhibited from sunset to sunrise unless otherwise specified.  Section 17.47(a) of the Rules states that owners of antenna structures “(1) shall make an observation of the antenna structure’s lights at least once each 24 hours either visually . . . to insure that all such lights are functioning properly as required; or alternatively (2) shall provide and properly maintain an automatic alarm system designed to detect any failure of such lights and to provide indication of such failure to the owner . . . .”  </w:t>
      </w:r>
    </w:p>
    <w:p w:rsidR="00DE5386" w:rsidRPr="00156EDD" w:rsidRDefault="002D4FDC" w:rsidP="002D4FDC">
      <w:pPr>
        <w:pStyle w:val="ParaNum"/>
        <w:numPr>
          <w:ilvl w:val="0"/>
          <w:numId w:val="1"/>
        </w:numPr>
        <w:tabs>
          <w:tab w:val="clear" w:pos="1080"/>
          <w:tab w:val="left" w:pos="0"/>
          <w:tab w:val="num" w:pos="1440"/>
        </w:tabs>
        <w:suppressAutoHyphens/>
        <w:autoSpaceDE w:val="0"/>
        <w:autoSpaceDN w:val="0"/>
        <w:adjustRightInd w:val="0"/>
        <w:spacing w:after="120" w:line="240" w:lineRule="atLeast"/>
        <w:rPr>
          <w:color w:val="000000"/>
          <w:spacing w:val="-2"/>
        </w:rPr>
      </w:pPr>
      <w:r w:rsidRPr="002D4FDC">
        <w:rPr>
          <w:color w:val="000000"/>
          <w:spacing w:val="-2"/>
        </w:rPr>
        <w:t>The Antenna Structure is 95 meters above ground in overall height and is required to be painted and lit.</w:t>
      </w:r>
      <w:r w:rsidRPr="002D4FDC">
        <w:rPr>
          <w:color w:val="000000"/>
          <w:spacing w:val="-2"/>
          <w:vertAlign w:val="superscript"/>
        </w:rPr>
        <w:footnoteReference w:id="10"/>
      </w:r>
      <w:r w:rsidRPr="002D4FDC">
        <w:rPr>
          <w:color w:val="000000"/>
          <w:spacing w:val="-2"/>
        </w:rPr>
        <w:t xml:space="preserve"> </w:t>
      </w:r>
      <w:r>
        <w:rPr>
          <w:color w:val="000000"/>
          <w:spacing w:val="-2"/>
        </w:rPr>
        <w:t xml:space="preserve"> As reflected in the </w:t>
      </w:r>
      <w:r>
        <w:rPr>
          <w:i/>
          <w:color w:val="000000"/>
          <w:spacing w:val="-2"/>
        </w:rPr>
        <w:t>NAL,</w:t>
      </w:r>
      <w:r>
        <w:rPr>
          <w:color w:val="000000"/>
          <w:spacing w:val="-2"/>
        </w:rPr>
        <w:t xml:space="preserve"> o</w:t>
      </w:r>
      <w:r w:rsidRPr="002D4FDC">
        <w:rPr>
          <w:color w:val="000000"/>
          <w:spacing w:val="-2"/>
        </w:rPr>
        <w:t>n the night of February 27, 2012, an agent from the Denver Office observed that all of the lights on the Antenna Structure were extinguished.  According to KJV, the light outage occurred when the power to the Antenna Structure was disconnected on November 9, 2011, due to non-payment of its electric bills.  KJV also stated that it was not aware of the light outage and consequently did not report the outage to the FAA until after the Denver Office agent notified KJV of the extinguishment on February 27, 2012.</w:t>
      </w:r>
      <w:r w:rsidR="00303E5F">
        <w:rPr>
          <w:rStyle w:val="FootnoteReference"/>
          <w:color w:val="000000"/>
          <w:spacing w:val="-2"/>
        </w:rPr>
        <w:footnoteReference w:id="11"/>
      </w:r>
      <w:r w:rsidR="006B4292" w:rsidRPr="006B4292">
        <w:rPr>
          <w:color w:val="000000"/>
          <w:spacing w:val="-2"/>
        </w:rPr>
        <w:t xml:space="preserve">  </w:t>
      </w:r>
      <w:r w:rsidR="00DE5386" w:rsidRPr="00156EDD">
        <w:rPr>
          <w:rStyle w:val="documentbody1"/>
          <w:rFonts w:ascii="Times New Roman" w:hAnsi="Times New Roman"/>
          <w:color w:val="000000"/>
          <w:spacing w:val="-2"/>
          <w:sz w:val="22"/>
          <w:szCs w:val="22"/>
        </w:rPr>
        <w:t xml:space="preserve">Based on the undisputed evidence, </w:t>
      </w:r>
      <w:r w:rsidR="0061124B" w:rsidRPr="00156EDD">
        <w:rPr>
          <w:color w:val="000000"/>
          <w:spacing w:val="-2"/>
        </w:rPr>
        <w:t xml:space="preserve">we conclude that </w:t>
      </w:r>
      <w:r>
        <w:rPr>
          <w:color w:val="000000"/>
          <w:spacing w:val="-2"/>
        </w:rPr>
        <w:t>KJV</w:t>
      </w:r>
      <w:r w:rsidR="00DE5386" w:rsidRPr="00156EDD">
        <w:rPr>
          <w:color w:val="000000"/>
          <w:spacing w:val="-2"/>
        </w:rPr>
        <w:t xml:space="preserve"> willfully and repeatedly violated </w:t>
      </w:r>
      <w:r w:rsidR="0010711A" w:rsidRPr="006B4292">
        <w:rPr>
          <w:color w:val="000000"/>
          <w:spacing w:val="-2"/>
        </w:rPr>
        <w:t>Section 30</w:t>
      </w:r>
      <w:r>
        <w:rPr>
          <w:color w:val="000000"/>
          <w:spacing w:val="-2"/>
        </w:rPr>
        <w:t xml:space="preserve">3(q) </w:t>
      </w:r>
      <w:r w:rsidR="0010711A" w:rsidRPr="006B4292">
        <w:rPr>
          <w:color w:val="000000"/>
          <w:spacing w:val="-2"/>
        </w:rPr>
        <w:t xml:space="preserve">of the Act, and Sections </w:t>
      </w:r>
      <w:r>
        <w:rPr>
          <w:color w:val="000000"/>
          <w:spacing w:val="-2"/>
        </w:rPr>
        <w:t>17.47(a) and 17.51(a)</w:t>
      </w:r>
      <w:r w:rsidR="0010711A" w:rsidRPr="006B4292">
        <w:rPr>
          <w:color w:val="000000"/>
          <w:spacing w:val="-2"/>
        </w:rPr>
        <w:t xml:space="preserve"> of the </w:t>
      </w:r>
      <w:r w:rsidR="007960CE" w:rsidRPr="006B4292">
        <w:rPr>
          <w:color w:val="000000"/>
          <w:spacing w:val="-2"/>
        </w:rPr>
        <w:t>Rules</w:t>
      </w:r>
      <w:r w:rsidR="006B4292">
        <w:rPr>
          <w:color w:val="000000"/>
          <w:spacing w:val="-2"/>
        </w:rPr>
        <w:t xml:space="preserve"> </w:t>
      </w:r>
      <w:r w:rsidR="00F87F65">
        <w:t xml:space="preserve">by </w:t>
      </w:r>
      <w:r w:rsidR="00AE7E3F" w:rsidRPr="00A31667">
        <w:rPr>
          <w:color w:val="000000"/>
          <w:spacing w:val="-2"/>
        </w:rPr>
        <w:t>fail</w:t>
      </w:r>
      <w:r w:rsidR="00AE7E3F">
        <w:rPr>
          <w:color w:val="000000"/>
          <w:spacing w:val="-2"/>
        </w:rPr>
        <w:t>ing</w:t>
      </w:r>
      <w:r w:rsidR="00AE7E3F" w:rsidRPr="00A31667">
        <w:rPr>
          <w:color w:val="000000"/>
          <w:spacing w:val="-2"/>
        </w:rPr>
        <w:t xml:space="preserve"> to</w:t>
      </w:r>
      <w:r w:rsidR="00AE7E3F">
        <w:rPr>
          <w:color w:val="000000"/>
          <w:spacing w:val="-2"/>
        </w:rPr>
        <w:t xml:space="preserve">: </w:t>
      </w:r>
      <w:r w:rsidR="00AE7E3F" w:rsidRPr="00A31667">
        <w:rPr>
          <w:color w:val="000000"/>
          <w:spacing w:val="-2"/>
        </w:rPr>
        <w:t xml:space="preserve"> (1) monitor the Antenna Structure lighting on a daily basis</w:t>
      </w:r>
      <w:r w:rsidR="00AE7E3F">
        <w:rPr>
          <w:color w:val="000000"/>
          <w:spacing w:val="-2"/>
        </w:rPr>
        <w:t>;</w:t>
      </w:r>
      <w:r w:rsidR="00AE7E3F" w:rsidRPr="00A31667">
        <w:rPr>
          <w:color w:val="000000"/>
          <w:spacing w:val="-2"/>
        </w:rPr>
        <w:t xml:space="preserve"> and (2) exhibit </w:t>
      </w:r>
      <w:r w:rsidR="00AE7E3F">
        <w:rPr>
          <w:color w:val="000000"/>
          <w:spacing w:val="-2"/>
        </w:rPr>
        <w:t>required</w:t>
      </w:r>
      <w:r w:rsidR="00AE7E3F" w:rsidRPr="00A31667">
        <w:rPr>
          <w:color w:val="000000"/>
          <w:spacing w:val="-2"/>
        </w:rPr>
        <w:t xml:space="preserve"> obstruction lighting on the Antenna Structure after sunset.</w:t>
      </w:r>
      <w:r w:rsidR="00F0058F" w:rsidRPr="00F0058F">
        <w:t xml:space="preserve">           </w:t>
      </w:r>
      <w:r w:rsidR="00F87F65" w:rsidRPr="00156EDD">
        <w:rPr>
          <w:color w:val="000000"/>
          <w:spacing w:val="-2"/>
        </w:rPr>
        <w:t xml:space="preserve"> </w:t>
      </w:r>
    </w:p>
    <w:p w:rsidR="00974DAE" w:rsidRPr="00C32D38" w:rsidRDefault="00DE5386" w:rsidP="00C6604E">
      <w:pPr>
        <w:widowControl w:val="0"/>
        <w:numPr>
          <w:ilvl w:val="0"/>
          <w:numId w:val="1"/>
        </w:numPr>
        <w:tabs>
          <w:tab w:val="clear" w:pos="1080"/>
          <w:tab w:val="num" w:pos="1440"/>
          <w:tab w:val="left" w:pos="4680"/>
          <w:tab w:val="left" w:pos="5760"/>
        </w:tabs>
        <w:suppressAutoHyphens/>
        <w:autoSpaceDE w:val="0"/>
        <w:autoSpaceDN w:val="0"/>
        <w:adjustRightInd w:val="0"/>
        <w:spacing w:after="120" w:line="240" w:lineRule="atLeast"/>
        <w:rPr>
          <w:rFonts w:ascii="Verdana" w:hAnsi="Verdana"/>
          <w:sz w:val="19"/>
          <w:szCs w:val="19"/>
        </w:rPr>
      </w:pPr>
      <w:r w:rsidRPr="000A0653">
        <w:rPr>
          <w:color w:val="000000"/>
          <w:spacing w:val="-2"/>
        </w:rPr>
        <w:t xml:space="preserve">In response to the </w:t>
      </w:r>
      <w:r w:rsidRPr="000A0653">
        <w:rPr>
          <w:i/>
          <w:color w:val="000000"/>
          <w:spacing w:val="-2"/>
        </w:rPr>
        <w:t>NAL</w:t>
      </w:r>
      <w:r w:rsidR="00F87F65" w:rsidRPr="000A0653">
        <w:rPr>
          <w:color w:val="000000"/>
          <w:spacing w:val="-2"/>
        </w:rPr>
        <w:t xml:space="preserve">, </w:t>
      </w:r>
      <w:r w:rsidR="000E2347" w:rsidRPr="000A0653">
        <w:rPr>
          <w:color w:val="000000"/>
          <w:spacing w:val="-2"/>
        </w:rPr>
        <w:t xml:space="preserve">KJV </w:t>
      </w:r>
      <w:r w:rsidRPr="000A0653">
        <w:rPr>
          <w:color w:val="000000"/>
          <w:spacing w:val="-2"/>
        </w:rPr>
        <w:t>requests cancellation of the $</w:t>
      </w:r>
      <w:r w:rsidR="00A00D46" w:rsidRPr="000A0653">
        <w:rPr>
          <w:color w:val="000000"/>
          <w:spacing w:val="-2"/>
        </w:rPr>
        <w:t>1</w:t>
      </w:r>
      <w:r w:rsidR="000E2347" w:rsidRPr="000A0653">
        <w:rPr>
          <w:color w:val="000000"/>
          <w:spacing w:val="-2"/>
        </w:rPr>
        <w:t>5</w:t>
      </w:r>
      <w:r w:rsidR="00A00D46" w:rsidRPr="000A0653">
        <w:rPr>
          <w:color w:val="000000"/>
          <w:spacing w:val="-2"/>
        </w:rPr>
        <w:t>,</w:t>
      </w:r>
      <w:r w:rsidR="000E2347" w:rsidRPr="000A0653">
        <w:rPr>
          <w:color w:val="000000"/>
          <w:spacing w:val="-2"/>
        </w:rPr>
        <w:t>0</w:t>
      </w:r>
      <w:r w:rsidRPr="000A0653">
        <w:rPr>
          <w:color w:val="000000"/>
          <w:spacing w:val="-2"/>
        </w:rPr>
        <w:t xml:space="preserve">00 forfeiture, </w:t>
      </w:r>
      <w:r w:rsidR="000E2347" w:rsidRPr="000A0653">
        <w:rPr>
          <w:color w:val="000000"/>
          <w:spacing w:val="-2"/>
        </w:rPr>
        <w:t>noting that it has a history of compliance with the Rules,</w:t>
      </w:r>
      <w:r w:rsidR="000E2347">
        <w:rPr>
          <w:rStyle w:val="FootnoteReference"/>
          <w:color w:val="000000"/>
          <w:spacing w:val="-2"/>
        </w:rPr>
        <w:footnoteReference w:id="12"/>
      </w:r>
      <w:r w:rsidR="000E2347" w:rsidRPr="000A0653">
        <w:rPr>
          <w:color w:val="000000"/>
          <w:spacing w:val="-2"/>
        </w:rPr>
        <w:t xml:space="preserve"> and </w:t>
      </w:r>
      <w:r w:rsidRPr="000A0653">
        <w:rPr>
          <w:color w:val="000000"/>
          <w:spacing w:val="-2"/>
        </w:rPr>
        <w:t xml:space="preserve">asserting </w:t>
      </w:r>
      <w:r w:rsidR="000E2347" w:rsidRPr="000A0653">
        <w:rPr>
          <w:color w:val="000000"/>
          <w:spacing w:val="-2"/>
        </w:rPr>
        <w:t>that it is unable to pay the forfeiture.</w:t>
      </w:r>
      <w:r w:rsidR="000E2347">
        <w:rPr>
          <w:rStyle w:val="FootnoteReference"/>
          <w:color w:val="000000"/>
          <w:spacing w:val="-2"/>
        </w:rPr>
        <w:footnoteReference w:id="13"/>
      </w:r>
      <w:r w:rsidR="000E2347" w:rsidRPr="000A0653">
        <w:rPr>
          <w:color w:val="000000"/>
          <w:spacing w:val="-2"/>
        </w:rPr>
        <w:t xml:space="preserve">  It supports its ina</w:t>
      </w:r>
      <w:r w:rsidR="00423A0C" w:rsidRPr="000A0653">
        <w:rPr>
          <w:color w:val="000000"/>
          <w:spacing w:val="-2"/>
        </w:rPr>
        <w:t>b</w:t>
      </w:r>
      <w:r w:rsidR="000E2347" w:rsidRPr="000A0653">
        <w:rPr>
          <w:color w:val="000000"/>
          <w:spacing w:val="-2"/>
        </w:rPr>
        <w:t xml:space="preserve">ility to pay argument with </w:t>
      </w:r>
      <w:r w:rsidR="00423A0C" w:rsidRPr="000A0653">
        <w:rPr>
          <w:color w:val="000000"/>
          <w:spacing w:val="-2"/>
        </w:rPr>
        <w:t xml:space="preserve">extensive </w:t>
      </w:r>
      <w:r w:rsidR="000E2347" w:rsidRPr="000A0653">
        <w:rPr>
          <w:color w:val="000000"/>
          <w:spacing w:val="-2"/>
        </w:rPr>
        <w:t>finan</w:t>
      </w:r>
      <w:r w:rsidR="00423A0C" w:rsidRPr="000A0653">
        <w:rPr>
          <w:color w:val="000000"/>
          <w:spacing w:val="-2"/>
        </w:rPr>
        <w:t>cial documentation</w:t>
      </w:r>
      <w:r w:rsidR="000E2347" w:rsidRPr="000A0653">
        <w:rPr>
          <w:color w:val="000000"/>
          <w:spacing w:val="-2"/>
        </w:rPr>
        <w:t>, i</w:t>
      </w:r>
      <w:r w:rsidR="00423A0C" w:rsidRPr="000A0653">
        <w:rPr>
          <w:color w:val="000000"/>
          <w:spacing w:val="-2"/>
        </w:rPr>
        <w:t>ncluding</w:t>
      </w:r>
      <w:r w:rsidR="000E2347" w:rsidRPr="000A0653">
        <w:rPr>
          <w:color w:val="000000"/>
          <w:spacing w:val="-2"/>
        </w:rPr>
        <w:t xml:space="preserve"> three years of tax returns from each of the two partners of KJV</w:t>
      </w:r>
      <w:r w:rsidR="007F7FED">
        <w:rPr>
          <w:color w:val="000000"/>
          <w:spacing w:val="-2"/>
        </w:rPr>
        <w:t xml:space="preserve"> as well as letters from two certified public accountants</w:t>
      </w:r>
      <w:r w:rsidR="000E2347" w:rsidRPr="000A0653">
        <w:rPr>
          <w:color w:val="000000"/>
          <w:spacing w:val="-2"/>
        </w:rPr>
        <w:t>.</w:t>
      </w:r>
      <w:r w:rsidR="00423A0C">
        <w:rPr>
          <w:rStyle w:val="FootnoteReference"/>
          <w:color w:val="000000"/>
          <w:spacing w:val="-2"/>
        </w:rPr>
        <w:footnoteReference w:id="14"/>
      </w:r>
      <w:r w:rsidR="000E2347" w:rsidRPr="000A0653">
        <w:rPr>
          <w:color w:val="000000"/>
          <w:spacing w:val="-2"/>
        </w:rPr>
        <w:t xml:space="preserve"> </w:t>
      </w:r>
      <w:r w:rsidR="00AE7E3F">
        <w:rPr>
          <w:color w:val="000000"/>
          <w:spacing w:val="-2"/>
        </w:rPr>
        <w:t xml:space="preserve"> </w:t>
      </w:r>
      <w:r w:rsidR="000E2347" w:rsidRPr="000A0653">
        <w:rPr>
          <w:color w:val="000000"/>
          <w:spacing w:val="-2"/>
        </w:rPr>
        <w:t>We have reviewed our records</w:t>
      </w:r>
      <w:r w:rsidR="00423A0C" w:rsidRPr="000A0653">
        <w:rPr>
          <w:color w:val="000000"/>
          <w:spacing w:val="-2"/>
        </w:rPr>
        <w:t xml:space="preserve"> and agree that KJV has</w:t>
      </w:r>
      <w:r w:rsidR="000E2347" w:rsidRPr="000A0653">
        <w:rPr>
          <w:color w:val="000000"/>
          <w:spacing w:val="-2"/>
        </w:rPr>
        <w:t xml:space="preserve"> </w:t>
      </w:r>
      <w:r w:rsidR="005D7E8B">
        <w:rPr>
          <w:color w:val="000000"/>
          <w:spacing w:val="-2"/>
        </w:rPr>
        <w:t xml:space="preserve">a </w:t>
      </w:r>
      <w:r w:rsidR="000E2347" w:rsidRPr="000A0653">
        <w:rPr>
          <w:color w:val="000000"/>
          <w:spacing w:val="-2"/>
        </w:rPr>
        <w:t>history of compliance with the Rules.  Second, w</w:t>
      </w:r>
      <w:r w:rsidRPr="000A0653">
        <w:rPr>
          <w:color w:val="000000"/>
          <w:spacing w:val="-2"/>
        </w:rPr>
        <w:t>ith regard to an individual’s or entity’s inability to pay claim, the Commission has determined that, in general, gross income or revenues are the best indicator of an ability to pay a forfeiture.</w:t>
      </w:r>
      <w:r w:rsidRPr="002A7814">
        <w:rPr>
          <w:rStyle w:val="FootnoteCharacters"/>
          <w:color w:val="000000"/>
          <w:spacing w:val="-2"/>
          <w:sz w:val="22"/>
        </w:rPr>
        <w:footnoteReference w:id="15"/>
      </w:r>
      <w:r w:rsidRPr="000A0653">
        <w:rPr>
          <w:color w:val="000000"/>
          <w:spacing w:val="-2"/>
        </w:rPr>
        <w:t xml:space="preserve">  </w:t>
      </w:r>
      <w:r w:rsidR="00423A0C" w:rsidRPr="000A0653">
        <w:rPr>
          <w:color w:val="000000"/>
          <w:spacing w:val="-2"/>
        </w:rPr>
        <w:t xml:space="preserve">We have reviewed the documents provide by KJV, specifically focusing on the income of the two partners </w:t>
      </w:r>
      <w:r w:rsidR="001F1F1B">
        <w:rPr>
          <w:color w:val="000000"/>
          <w:spacing w:val="-2"/>
        </w:rPr>
        <w:t xml:space="preserve">of this joint venture, </w:t>
      </w:r>
      <w:r w:rsidR="00423A0C" w:rsidRPr="000A0653">
        <w:rPr>
          <w:color w:val="000000"/>
          <w:spacing w:val="-2"/>
        </w:rPr>
        <w:t xml:space="preserve">as </w:t>
      </w:r>
      <w:r w:rsidR="00423A0C" w:rsidRPr="000A0653">
        <w:rPr>
          <w:color w:val="000000"/>
          <w:spacing w:val="-2"/>
        </w:rPr>
        <w:lastRenderedPageBreak/>
        <w:t>well as the assets available to KJV.</w:t>
      </w:r>
      <w:r w:rsidR="00423A0C">
        <w:rPr>
          <w:rStyle w:val="FootnoteReference"/>
          <w:color w:val="000000"/>
          <w:spacing w:val="-2"/>
        </w:rPr>
        <w:footnoteReference w:id="16"/>
      </w:r>
      <w:r w:rsidR="00423A0C" w:rsidRPr="000A0653">
        <w:rPr>
          <w:color w:val="000000"/>
          <w:spacing w:val="-2"/>
        </w:rPr>
        <w:t xml:space="preserve">  </w:t>
      </w:r>
      <w:r w:rsidR="002F38CA" w:rsidRPr="000A0653">
        <w:rPr>
          <w:color w:val="000000"/>
          <w:spacing w:val="-2"/>
        </w:rPr>
        <w:t xml:space="preserve">Based on </w:t>
      </w:r>
      <w:r w:rsidR="00B14AB6" w:rsidRPr="000A0653">
        <w:rPr>
          <w:color w:val="000000"/>
          <w:spacing w:val="-2"/>
        </w:rPr>
        <w:t>the</w:t>
      </w:r>
      <w:r w:rsidR="002F38CA">
        <w:rPr>
          <w:rStyle w:val="documentbody"/>
        </w:rPr>
        <w:t xml:space="preserve"> financial documents provided by </w:t>
      </w:r>
      <w:r w:rsidR="000A0653">
        <w:rPr>
          <w:rStyle w:val="documentbody"/>
        </w:rPr>
        <w:t>KJV</w:t>
      </w:r>
      <w:r w:rsidR="00B14AB6">
        <w:rPr>
          <w:rStyle w:val="documentbody"/>
        </w:rPr>
        <w:t xml:space="preserve">, we find sufficient basis to </w:t>
      </w:r>
      <w:r w:rsidR="00016763">
        <w:rPr>
          <w:rStyle w:val="documentbody"/>
        </w:rPr>
        <w:t xml:space="preserve">impose no forfeiture penalty </w:t>
      </w:r>
      <w:r w:rsidR="00AE7E3F">
        <w:rPr>
          <w:rStyle w:val="documentbody"/>
        </w:rPr>
        <w:t>due to demonstrated inability to pay</w:t>
      </w:r>
      <w:r w:rsidR="002F38CA">
        <w:t>.</w:t>
      </w:r>
      <w:r w:rsidR="00627660" w:rsidRPr="000A0653">
        <w:rPr>
          <w:color w:val="000000"/>
          <w:spacing w:val="-2"/>
        </w:rPr>
        <w:t xml:space="preserve">  </w:t>
      </w:r>
    </w:p>
    <w:p w:rsidR="0061124B" w:rsidRPr="000A0653" w:rsidRDefault="000A0653" w:rsidP="00C6604E">
      <w:pPr>
        <w:widowControl w:val="0"/>
        <w:numPr>
          <w:ilvl w:val="0"/>
          <w:numId w:val="1"/>
        </w:numPr>
        <w:tabs>
          <w:tab w:val="clear" w:pos="1080"/>
          <w:tab w:val="num" w:pos="1440"/>
          <w:tab w:val="left" w:pos="4680"/>
          <w:tab w:val="left" w:pos="5760"/>
        </w:tabs>
        <w:suppressAutoHyphens/>
        <w:autoSpaceDE w:val="0"/>
        <w:autoSpaceDN w:val="0"/>
        <w:adjustRightInd w:val="0"/>
        <w:spacing w:after="120" w:line="240" w:lineRule="atLeast"/>
        <w:rPr>
          <w:rFonts w:ascii="Verdana" w:hAnsi="Verdana"/>
          <w:sz w:val="19"/>
          <w:szCs w:val="19"/>
        </w:rPr>
      </w:pPr>
      <w:r w:rsidRPr="000A0653">
        <w:rPr>
          <w:color w:val="000000"/>
          <w:spacing w:val="-2"/>
        </w:rPr>
        <w:t>N</w:t>
      </w:r>
      <w:r>
        <w:rPr>
          <w:color w:val="000000"/>
          <w:spacing w:val="-2"/>
        </w:rPr>
        <w:t>e</w:t>
      </w:r>
      <w:r w:rsidRPr="000A0653">
        <w:rPr>
          <w:color w:val="000000"/>
          <w:spacing w:val="-2"/>
        </w:rPr>
        <w:t>vertheless, we find that it is appropriate to admonish KJV for willful and repeated violation of Section 303(q) of the Act and Section 17.47(a) and 17.51(a) of the Rules.</w:t>
      </w:r>
      <w:r w:rsidR="00627660" w:rsidRPr="000A0653">
        <w:rPr>
          <w:color w:val="000000"/>
          <w:spacing w:val="-2"/>
        </w:rPr>
        <w:t xml:space="preserve">  </w:t>
      </w:r>
      <w:r w:rsidR="00947E9F">
        <w:rPr>
          <w:color w:val="000000"/>
          <w:spacing w:val="-2"/>
        </w:rPr>
        <w:t>We also remind KJV of its obligation to continue to comply with the prescribed painting and lighting for the Antenna Structure for as long as it owns the Antenna Structure or until the structure is dismantled.</w:t>
      </w:r>
      <w:r w:rsidR="00947E9F">
        <w:rPr>
          <w:rStyle w:val="FootnoteReference"/>
          <w:color w:val="000000"/>
          <w:spacing w:val="-2"/>
        </w:rPr>
        <w:footnoteReference w:id="17"/>
      </w:r>
      <w:r w:rsidR="00974DAE">
        <w:rPr>
          <w:color w:val="000000"/>
          <w:spacing w:val="-2"/>
        </w:rPr>
        <w:t xml:space="preserve">  Future violations of the Commission’s rules may result in substantial monetary penalties, regardless of KJV’s financial condition.</w:t>
      </w:r>
    </w:p>
    <w:p w:rsidR="00DE5386" w:rsidRPr="002A7814" w:rsidRDefault="00DE5386" w:rsidP="00627660">
      <w:pPr>
        <w:numPr>
          <w:ilvl w:val="0"/>
          <w:numId w:val="3"/>
        </w:numPr>
        <w:tabs>
          <w:tab w:val="clear" w:pos="1080"/>
          <w:tab w:val="num" w:pos="450"/>
        </w:tabs>
        <w:suppressAutoHyphens/>
        <w:autoSpaceDE w:val="0"/>
        <w:autoSpaceDN w:val="0"/>
        <w:adjustRightInd w:val="0"/>
        <w:spacing w:after="120" w:line="240" w:lineRule="atLeast"/>
        <w:ind w:left="0" w:firstLine="0"/>
        <w:rPr>
          <w:b/>
          <w:color w:val="000000"/>
          <w:spacing w:val="-2"/>
        </w:rPr>
      </w:pPr>
      <w:bookmarkStart w:id="1" w:name="_Toc70235218"/>
      <w:r w:rsidRPr="002A7814">
        <w:rPr>
          <w:b/>
          <w:color w:val="000000"/>
          <w:spacing w:val="-2"/>
        </w:rPr>
        <w:tab/>
        <w:t>ORDERING CLAUSES</w:t>
      </w:r>
      <w:bookmarkEnd w:id="1"/>
    </w:p>
    <w:p w:rsidR="000A0653" w:rsidRPr="008B7B38" w:rsidRDefault="00DE5386" w:rsidP="008B7B38">
      <w:pPr>
        <w:numPr>
          <w:ilvl w:val="0"/>
          <w:numId w:val="1"/>
        </w:numPr>
        <w:tabs>
          <w:tab w:val="clear" w:pos="1080"/>
          <w:tab w:val="left" w:pos="0"/>
          <w:tab w:val="num" w:pos="1440"/>
          <w:tab w:val="num" w:pos="1800"/>
        </w:tabs>
        <w:suppressAutoHyphens/>
        <w:autoSpaceDE w:val="0"/>
        <w:autoSpaceDN w:val="0"/>
        <w:adjustRightInd w:val="0"/>
        <w:spacing w:after="120" w:line="240" w:lineRule="atLeast"/>
        <w:rPr>
          <w:color w:val="000000"/>
          <w:spacing w:val="-2"/>
        </w:rPr>
      </w:pPr>
      <w:r w:rsidRPr="008B7B38">
        <w:rPr>
          <w:color w:val="000000"/>
          <w:spacing w:val="-2"/>
        </w:rPr>
        <w:t xml:space="preserve">Accordingly, </w:t>
      </w:r>
      <w:r w:rsidRPr="008B7B38">
        <w:rPr>
          <w:b/>
          <w:color w:val="000000"/>
          <w:spacing w:val="-2"/>
        </w:rPr>
        <w:t>IT IS ORDERED</w:t>
      </w:r>
      <w:r w:rsidRPr="008B7B38">
        <w:rPr>
          <w:color w:val="000000"/>
          <w:spacing w:val="-2"/>
        </w:rPr>
        <w:t xml:space="preserve"> that, pursuant to Section 503(b) of the Communications Act of 1934, as amended, and Sections 0.111, 0.204, 0.311, 0.314, and 1.80(f)(4) of the Commission’s rules, </w:t>
      </w:r>
      <w:r w:rsidR="000A0653" w:rsidRPr="008B7B38">
        <w:rPr>
          <w:color w:val="000000"/>
          <w:spacing w:val="-2"/>
        </w:rPr>
        <w:t>that the proposed for</w:t>
      </w:r>
      <w:r w:rsidR="008B7B38">
        <w:rPr>
          <w:color w:val="000000"/>
          <w:spacing w:val="-2"/>
        </w:rPr>
        <w:t>feiture</w:t>
      </w:r>
      <w:r w:rsidR="000A0653" w:rsidRPr="008B7B38">
        <w:rPr>
          <w:color w:val="000000"/>
          <w:spacing w:val="-2"/>
        </w:rPr>
        <w:t xml:space="preserve"> in the amount of fifteen thousand dollars ($15,000) issued to KAGM-FM Joint Venture </w:t>
      </w:r>
      <w:r w:rsidR="00171DE9">
        <w:rPr>
          <w:b/>
          <w:color w:val="000000"/>
          <w:spacing w:val="-2"/>
        </w:rPr>
        <w:t>WILL NOT BE IMPOSED</w:t>
      </w:r>
      <w:r w:rsidR="00016763">
        <w:rPr>
          <w:color w:val="000000"/>
          <w:spacing w:val="-2"/>
        </w:rPr>
        <w:t xml:space="preserve"> </w:t>
      </w:r>
      <w:r w:rsidR="005D7E8B">
        <w:rPr>
          <w:color w:val="000000"/>
          <w:spacing w:val="-2"/>
        </w:rPr>
        <w:t xml:space="preserve">due to demonstrated inability to pay, and that the finding of </w:t>
      </w:r>
      <w:r w:rsidR="008B7B38" w:rsidRPr="008B7B38">
        <w:rPr>
          <w:color w:val="000000"/>
          <w:spacing w:val="-2"/>
        </w:rPr>
        <w:t xml:space="preserve">willful and repeated </w:t>
      </w:r>
      <w:r w:rsidRPr="008B7B38">
        <w:rPr>
          <w:color w:val="000000"/>
          <w:spacing w:val="-2"/>
        </w:rPr>
        <w:t xml:space="preserve">violations of </w:t>
      </w:r>
      <w:r w:rsidR="00B14AB6" w:rsidRPr="008B7B38">
        <w:rPr>
          <w:color w:val="000000"/>
          <w:spacing w:val="-2"/>
        </w:rPr>
        <w:t>Section 30</w:t>
      </w:r>
      <w:r w:rsidR="000A0653" w:rsidRPr="008B7B38">
        <w:rPr>
          <w:color w:val="000000"/>
          <w:spacing w:val="-2"/>
        </w:rPr>
        <w:t>3(q)</w:t>
      </w:r>
      <w:r w:rsidR="00B14AB6" w:rsidRPr="008B7B38">
        <w:rPr>
          <w:color w:val="000000"/>
          <w:spacing w:val="-2"/>
        </w:rPr>
        <w:t xml:space="preserve"> of the Act, and Sections </w:t>
      </w:r>
      <w:r w:rsidR="000A0653" w:rsidRPr="008B7B38">
        <w:rPr>
          <w:color w:val="000000"/>
          <w:spacing w:val="-2"/>
        </w:rPr>
        <w:t>17.47(a) and 17.51(a)</w:t>
      </w:r>
      <w:r w:rsidR="00B14AB6" w:rsidRPr="008B7B38">
        <w:rPr>
          <w:color w:val="000000"/>
          <w:spacing w:val="-2"/>
        </w:rPr>
        <w:t xml:space="preserve"> of the </w:t>
      </w:r>
      <w:r w:rsidR="00C6604E">
        <w:t>Rules</w:t>
      </w:r>
      <w:r w:rsidR="000A0653">
        <w:t xml:space="preserve"> </w:t>
      </w:r>
      <w:r w:rsidR="000A0653" w:rsidRPr="008B7B38">
        <w:rPr>
          <w:b/>
        </w:rPr>
        <w:t xml:space="preserve">IS </w:t>
      </w:r>
      <w:r w:rsidR="005D7E8B">
        <w:rPr>
          <w:b/>
        </w:rPr>
        <w:t>AFFIRMED</w:t>
      </w:r>
      <w:r w:rsidRPr="008B7B38">
        <w:rPr>
          <w:color w:val="000000"/>
          <w:spacing w:val="-2"/>
        </w:rPr>
        <w:t>.</w:t>
      </w:r>
      <w:r w:rsidRPr="002A7814">
        <w:rPr>
          <w:rStyle w:val="FootnoteReference"/>
          <w:color w:val="000000"/>
          <w:spacing w:val="-2"/>
          <w:sz w:val="22"/>
        </w:rPr>
        <w:footnoteReference w:id="18"/>
      </w:r>
    </w:p>
    <w:p w:rsidR="00DE5386" w:rsidRPr="008B7B38" w:rsidRDefault="00DE5386" w:rsidP="008B7B38">
      <w:pPr>
        <w:numPr>
          <w:ilvl w:val="0"/>
          <w:numId w:val="1"/>
        </w:numPr>
        <w:tabs>
          <w:tab w:val="left" w:pos="0"/>
          <w:tab w:val="left" w:pos="1440"/>
          <w:tab w:val="num" w:pos="1800"/>
        </w:tabs>
        <w:suppressAutoHyphens/>
        <w:autoSpaceDE w:val="0"/>
        <w:autoSpaceDN w:val="0"/>
        <w:adjustRightInd w:val="0"/>
        <w:spacing w:after="120" w:line="240" w:lineRule="atLeast"/>
        <w:rPr>
          <w:color w:val="000000"/>
          <w:spacing w:val="-2"/>
        </w:rPr>
      </w:pPr>
      <w:r w:rsidRPr="008B7B38">
        <w:rPr>
          <w:color w:val="000000"/>
          <w:spacing w:val="-2"/>
        </w:rPr>
        <w:t xml:space="preserve"> </w:t>
      </w:r>
      <w:r w:rsidR="008B7B38">
        <w:rPr>
          <w:color w:val="000000"/>
          <w:spacing w:val="-2"/>
        </w:rPr>
        <w:tab/>
      </w:r>
      <w:r w:rsidR="000A0653" w:rsidRPr="008B7B38">
        <w:rPr>
          <w:b/>
          <w:color w:val="000000"/>
          <w:spacing w:val="-2"/>
        </w:rPr>
        <w:t>IT IS FURTHER ORDERED</w:t>
      </w:r>
      <w:r w:rsidR="000A0653" w:rsidRPr="008B7B38">
        <w:rPr>
          <w:color w:val="000000"/>
          <w:spacing w:val="-2"/>
        </w:rPr>
        <w:t xml:space="preserve"> that KAGM-FM Joint Venture </w:t>
      </w:r>
      <w:r w:rsidR="000A0653" w:rsidRPr="008B7B38">
        <w:rPr>
          <w:b/>
          <w:color w:val="000000"/>
          <w:spacing w:val="-2"/>
        </w:rPr>
        <w:t>IS ADMONISHED</w:t>
      </w:r>
      <w:r w:rsidR="008B7B38" w:rsidRPr="008B7B38">
        <w:rPr>
          <w:b/>
          <w:color w:val="000000"/>
          <w:spacing w:val="-2"/>
        </w:rPr>
        <w:t xml:space="preserve"> </w:t>
      </w:r>
      <w:r w:rsidR="008B7B38" w:rsidRPr="008B7B38">
        <w:rPr>
          <w:color w:val="000000"/>
          <w:spacing w:val="-2"/>
        </w:rPr>
        <w:t>for willful and repeated violations of Section 303(q) of the Act, and Sections 17.47(a) and 17.51(a) of the Rules</w:t>
      </w:r>
      <w:r w:rsidR="008B7B38">
        <w:rPr>
          <w:color w:val="000000"/>
          <w:spacing w:val="-2"/>
        </w:rPr>
        <w:t>.</w:t>
      </w:r>
      <w:r w:rsidR="008B7B38" w:rsidRPr="008B7B38">
        <w:rPr>
          <w:color w:val="000000"/>
          <w:spacing w:val="-2"/>
          <w:vertAlign w:val="superscript"/>
        </w:rPr>
        <w:footnoteReference w:id="19"/>
      </w:r>
    </w:p>
    <w:p w:rsidR="00DE5386" w:rsidRPr="008B7B38" w:rsidRDefault="00E2341F" w:rsidP="00627660">
      <w:pPr>
        <w:numPr>
          <w:ilvl w:val="0"/>
          <w:numId w:val="1"/>
        </w:numPr>
        <w:tabs>
          <w:tab w:val="left" w:pos="0"/>
        </w:tabs>
        <w:suppressAutoHyphens/>
        <w:autoSpaceDE w:val="0"/>
        <w:autoSpaceDN w:val="0"/>
        <w:adjustRightInd w:val="0"/>
        <w:spacing w:after="120" w:line="240" w:lineRule="atLeast"/>
        <w:rPr>
          <w:color w:val="000000"/>
          <w:spacing w:val="-2"/>
        </w:rPr>
      </w:pPr>
      <w:r w:rsidRPr="008B7B38">
        <w:rPr>
          <w:rFonts w:eastAsia="MS Mincho"/>
          <w:b/>
          <w:color w:val="000000"/>
          <w:spacing w:val="-2"/>
        </w:rPr>
        <w:t xml:space="preserve">      </w:t>
      </w:r>
      <w:r w:rsidR="00DE5386" w:rsidRPr="008B7B38">
        <w:rPr>
          <w:b/>
          <w:color w:val="000000"/>
          <w:spacing w:val="-2"/>
        </w:rPr>
        <w:t>IT IS FURTHER ORDERED</w:t>
      </w:r>
      <w:r w:rsidR="00DE5386" w:rsidRPr="008B7B38">
        <w:rPr>
          <w:color w:val="000000"/>
          <w:spacing w:val="-2"/>
        </w:rPr>
        <w:t xml:space="preserve"> that a copy of this Order shall </w:t>
      </w:r>
      <w:r w:rsidRPr="008B7B38">
        <w:rPr>
          <w:color w:val="000000"/>
          <w:spacing w:val="-2"/>
        </w:rPr>
        <w:t xml:space="preserve">be sent by both First Class and </w:t>
      </w:r>
      <w:r w:rsidR="00DE5386" w:rsidRPr="008B7B38">
        <w:rPr>
          <w:color w:val="000000"/>
          <w:spacing w:val="-2"/>
        </w:rPr>
        <w:t>Certified Mail, Return Receipt Requested, to</w:t>
      </w:r>
      <w:r w:rsidR="008B7B38" w:rsidRPr="008B7B38">
        <w:rPr>
          <w:color w:val="000000"/>
          <w:spacing w:val="-2"/>
        </w:rPr>
        <w:t xml:space="preserve"> KAGM-FM Joint Venture, 1644 Omni Blvd., Mount Pleasant, SC 29466.</w:t>
      </w:r>
      <w:r w:rsidR="00B14AB6" w:rsidRPr="008B7B38">
        <w:rPr>
          <w:color w:val="000000"/>
          <w:spacing w:val="-2"/>
        </w:rPr>
        <w:t xml:space="preserve"> </w:t>
      </w:r>
      <w:r w:rsidR="00C6604E" w:rsidRPr="008B7B38">
        <w:rPr>
          <w:b/>
          <w:color w:val="FF00FF"/>
          <w:spacing w:val="-2"/>
        </w:rPr>
        <w:t xml:space="preserve"> </w:t>
      </w:r>
    </w:p>
    <w:p w:rsidR="00DE5386" w:rsidRDefault="00DE5386" w:rsidP="00627660">
      <w:pPr>
        <w:tabs>
          <w:tab w:val="left" w:pos="0"/>
        </w:tabs>
        <w:suppressAutoHyphens/>
        <w:autoSpaceDE w:val="0"/>
        <w:autoSpaceDN w:val="0"/>
        <w:adjustRightInd w:val="0"/>
        <w:spacing w:line="240" w:lineRule="atLeast"/>
        <w:ind w:left="720"/>
        <w:rPr>
          <w:color w:val="000000"/>
          <w:spacing w:val="-2"/>
        </w:rPr>
      </w:pPr>
    </w:p>
    <w:p w:rsidR="00C6604E" w:rsidRPr="002A7814" w:rsidRDefault="00C6604E" w:rsidP="00627660">
      <w:pPr>
        <w:tabs>
          <w:tab w:val="left" w:pos="0"/>
        </w:tabs>
        <w:suppressAutoHyphens/>
        <w:autoSpaceDE w:val="0"/>
        <w:autoSpaceDN w:val="0"/>
        <w:adjustRightInd w:val="0"/>
        <w:spacing w:line="240" w:lineRule="atLeast"/>
        <w:ind w:left="720"/>
        <w:rPr>
          <w:color w:val="000000"/>
          <w:spacing w:val="-2"/>
        </w:rPr>
      </w:pPr>
    </w:p>
    <w:p w:rsidR="00DE5386" w:rsidRPr="002A7814" w:rsidRDefault="00DE5386" w:rsidP="00627660">
      <w:pPr>
        <w:pStyle w:val="ParaNum"/>
        <w:numPr>
          <w:ilvl w:val="0"/>
          <w:numId w:val="0"/>
        </w:numPr>
        <w:spacing w:after="0"/>
        <w:ind w:left="4320"/>
        <w:rPr>
          <w:color w:val="000000"/>
          <w:spacing w:val="-2"/>
        </w:rPr>
      </w:pPr>
      <w:r w:rsidRPr="002A7814">
        <w:rPr>
          <w:color w:val="000000"/>
          <w:spacing w:val="-2"/>
        </w:rPr>
        <w:t>FEDERAL COMMUNICATIONS COMMISSION</w:t>
      </w:r>
    </w:p>
    <w:p w:rsidR="00DE5386" w:rsidRPr="002A7814" w:rsidRDefault="00DE5386" w:rsidP="00627660">
      <w:pPr>
        <w:pStyle w:val="ParaNum"/>
        <w:numPr>
          <w:ilvl w:val="0"/>
          <w:numId w:val="0"/>
        </w:numPr>
        <w:spacing w:after="0"/>
        <w:ind w:left="4320"/>
        <w:rPr>
          <w:color w:val="000000"/>
          <w:spacing w:val="-2"/>
        </w:rPr>
      </w:pPr>
    </w:p>
    <w:p w:rsidR="00DE5386" w:rsidRDefault="00DE5386" w:rsidP="00627660">
      <w:pPr>
        <w:pStyle w:val="ParaNum"/>
        <w:numPr>
          <w:ilvl w:val="0"/>
          <w:numId w:val="0"/>
        </w:numPr>
        <w:spacing w:after="0"/>
        <w:ind w:left="4320"/>
        <w:rPr>
          <w:color w:val="000000"/>
          <w:spacing w:val="-2"/>
        </w:rPr>
      </w:pPr>
    </w:p>
    <w:p w:rsidR="00BC504F" w:rsidRPr="002A7814" w:rsidRDefault="00BC504F" w:rsidP="00627660">
      <w:pPr>
        <w:pStyle w:val="ParaNum"/>
        <w:numPr>
          <w:ilvl w:val="0"/>
          <w:numId w:val="0"/>
        </w:numPr>
        <w:spacing w:after="0"/>
        <w:ind w:left="4320"/>
        <w:rPr>
          <w:color w:val="000000"/>
          <w:spacing w:val="-2"/>
        </w:rPr>
      </w:pPr>
    </w:p>
    <w:p w:rsidR="00DE5386" w:rsidRPr="002A7814" w:rsidRDefault="00DE5386" w:rsidP="00627660">
      <w:pPr>
        <w:pStyle w:val="ParaNum"/>
        <w:numPr>
          <w:ilvl w:val="0"/>
          <w:numId w:val="0"/>
        </w:numPr>
        <w:spacing w:after="0"/>
        <w:ind w:left="4320"/>
        <w:rPr>
          <w:color w:val="000000"/>
          <w:spacing w:val="-2"/>
        </w:rPr>
      </w:pPr>
    </w:p>
    <w:p w:rsidR="00DE5386" w:rsidRPr="002A7814" w:rsidRDefault="00627660" w:rsidP="00627660">
      <w:pPr>
        <w:pStyle w:val="ParaNum"/>
        <w:numPr>
          <w:ilvl w:val="0"/>
          <w:numId w:val="0"/>
        </w:numPr>
        <w:spacing w:after="0"/>
        <w:ind w:left="3600" w:firstLine="720"/>
        <w:rPr>
          <w:color w:val="000000"/>
          <w:spacing w:val="-2"/>
        </w:rPr>
      </w:pPr>
      <w:r w:rsidRPr="002A7814">
        <w:rPr>
          <w:color w:val="000000"/>
          <w:spacing w:val="-2"/>
        </w:rPr>
        <w:t>Rebecca L. Dorch</w:t>
      </w:r>
    </w:p>
    <w:p w:rsidR="00DE5386" w:rsidRPr="002A7814" w:rsidRDefault="00DE5386" w:rsidP="00627660">
      <w:pPr>
        <w:pStyle w:val="ParaNum"/>
        <w:numPr>
          <w:ilvl w:val="0"/>
          <w:numId w:val="0"/>
        </w:numPr>
        <w:spacing w:after="0"/>
        <w:ind w:left="3600" w:firstLine="720"/>
        <w:rPr>
          <w:color w:val="000000"/>
          <w:spacing w:val="-2"/>
        </w:rPr>
      </w:pPr>
      <w:r w:rsidRPr="002A7814">
        <w:rPr>
          <w:color w:val="000000"/>
          <w:spacing w:val="-2"/>
        </w:rPr>
        <w:t xml:space="preserve">Regional Director, </w:t>
      </w:r>
      <w:r w:rsidR="00627660" w:rsidRPr="002A7814">
        <w:rPr>
          <w:color w:val="000000"/>
          <w:spacing w:val="-2"/>
        </w:rPr>
        <w:t>Western</w:t>
      </w:r>
      <w:r w:rsidRPr="002A7814">
        <w:rPr>
          <w:color w:val="000000"/>
          <w:spacing w:val="-2"/>
        </w:rPr>
        <w:t xml:space="preserve"> Region</w:t>
      </w:r>
    </w:p>
    <w:p w:rsidR="00DE5386" w:rsidRPr="002A7814" w:rsidRDefault="00DE5386" w:rsidP="00627660">
      <w:pPr>
        <w:pStyle w:val="ParaNum"/>
        <w:numPr>
          <w:ilvl w:val="0"/>
          <w:numId w:val="0"/>
        </w:numPr>
        <w:spacing w:after="0"/>
        <w:ind w:left="3600" w:firstLine="720"/>
        <w:rPr>
          <w:color w:val="000000"/>
          <w:spacing w:val="-2"/>
        </w:rPr>
      </w:pPr>
      <w:r w:rsidRPr="002A7814">
        <w:rPr>
          <w:color w:val="000000"/>
          <w:spacing w:val="-2"/>
        </w:rPr>
        <w:t>Enforcement Bureau</w:t>
      </w:r>
    </w:p>
    <w:sectPr w:rsidR="00DE5386" w:rsidRPr="002A78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BE" w:rsidRDefault="007E1FBE">
      <w:r>
        <w:separator/>
      </w:r>
    </w:p>
  </w:endnote>
  <w:endnote w:type="continuationSeparator" w:id="0">
    <w:p w:rsidR="007E1FBE" w:rsidRDefault="007E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EF9" w:rsidRDefault="00A80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2B2399">
      <w:rPr>
        <w:rStyle w:val="PageNumber"/>
        <w:noProof/>
        <w:sz w:val="20"/>
        <w:szCs w:val="20"/>
      </w:rPr>
      <w:t>2</w:t>
    </w:r>
    <w:r>
      <w:rPr>
        <w:rStyle w:val="PageNumber"/>
        <w:sz w:val="20"/>
        <w:szCs w:val="20"/>
      </w:rPr>
      <w:fldChar w:fldCharType="end"/>
    </w:r>
  </w:p>
  <w:p w:rsidR="00A80EF9" w:rsidRDefault="00A80EF9" w:rsidP="002A7814">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BC" w:rsidRDefault="00571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BE" w:rsidRDefault="007E1FBE">
      <w:r>
        <w:separator/>
      </w:r>
    </w:p>
  </w:footnote>
  <w:footnote w:type="continuationSeparator" w:id="0">
    <w:p w:rsidR="007E1FBE" w:rsidRDefault="007E1FBE">
      <w:r>
        <w:continuationSeparator/>
      </w:r>
    </w:p>
  </w:footnote>
  <w:footnote w:id="1">
    <w:p w:rsidR="00107EAD" w:rsidRDefault="00107EAD" w:rsidP="00107EAD">
      <w:pPr>
        <w:pStyle w:val="FootnoteText"/>
        <w:ind w:firstLine="0"/>
      </w:pPr>
      <w:r>
        <w:rPr>
          <w:rStyle w:val="FootnoteReference"/>
        </w:rPr>
        <w:footnoteRef/>
      </w:r>
      <w:r>
        <w:t xml:space="preserve"> 47 U.S.C. § 30</w:t>
      </w:r>
      <w:r w:rsidR="00C359FA">
        <w:t>3(q)</w:t>
      </w:r>
      <w:r>
        <w:t xml:space="preserve">.  </w:t>
      </w:r>
    </w:p>
  </w:footnote>
  <w:footnote w:id="2">
    <w:p w:rsidR="00107EAD" w:rsidRDefault="00107EAD" w:rsidP="00107EAD">
      <w:pPr>
        <w:pStyle w:val="FootnoteText"/>
        <w:ind w:firstLine="0"/>
      </w:pPr>
      <w:r>
        <w:rPr>
          <w:rStyle w:val="FootnoteReference"/>
        </w:rPr>
        <w:footnoteRef/>
      </w:r>
      <w:r>
        <w:t xml:space="preserve"> 47 C.F.R. §§ </w:t>
      </w:r>
      <w:r w:rsidR="00C359FA">
        <w:t>17.47</w:t>
      </w:r>
      <w:r>
        <w:t xml:space="preserve">(a), </w:t>
      </w:r>
      <w:r w:rsidR="00C359FA">
        <w:t>17.51(a)</w:t>
      </w:r>
      <w:r>
        <w:t>.</w:t>
      </w:r>
    </w:p>
  </w:footnote>
  <w:footnote w:id="3">
    <w:p w:rsidR="00981395" w:rsidRPr="002A7814" w:rsidRDefault="00981395" w:rsidP="000778D5">
      <w:pPr>
        <w:pStyle w:val="FootnoteText"/>
        <w:widowControl/>
        <w:ind w:firstLine="0"/>
        <w:jc w:val="left"/>
        <w:rPr>
          <w:szCs w:val="20"/>
        </w:rPr>
      </w:pPr>
      <w:r w:rsidRPr="002A7814">
        <w:rPr>
          <w:rStyle w:val="FootnoteReference"/>
        </w:rPr>
        <w:footnoteRef/>
      </w:r>
      <w:r w:rsidRPr="002A7814">
        <w:rPr>
          <w:szCs w:val="20"/>
        </w:rPr>
        <w:t xml:space="preserve"> </w:t>
      </w:r>
      <w:r w:rsidR="00C359FA">
        <w:rPr>
          <w:i/>
          <w:szCs w:val="20"/>
        </w:rPr>
        <w:t>KAGM-FM Joint Venture</w:t>
      </w:r>
      <w:r w:rsidR="00471764">
        <w:rPr>
          <w:i/>
          <w:szCs w:val="20"/>
        </w:rPr>
        <w:t>,</w:t>
      </w:r>
      <w:r w:rsidRPr="002A7814">
        <w:rPr>
          <w:szCs w:val="20"/>
        </w:rPr>
        <w:t xml:space="preserve"> Notice of Appar</w:t>
      </w:r>
      <w:r>
        <w:rPr>
          <w:szCs w:val="20"/>
        </w:rPr>
        <w:t>ent Liability for Forfeiture, 2</w:t>
      </w:r>
      <w:r w:rsidR="00471764">
        <w:rPr>
          <w:szCs w:val="20"/>
        </w:rPr>
        <w:t>7</w:t>
      </w:r>
      <w:r w:rsidRPr="002A7814">
        <w:rPr>
          <w:szCs w:val="20"/>
        </w:rPr>
        <w:t xml:space="preserve"> FCC Rcd </w:t>
      </w:r>
      <w:r w:rsidR="00C359FA">
        <w:rPr>
          <w:szCs w:val="20"/>
        </w:rPr>
        <w:t>11149</w:t>
      </w:r>
      <w:r w:rsidRPr="002A7814">
        <w:rPr>
          <w:szCs w:val="20"/>
        </w:rPr>
        <w:t xml:space="preserve"> (Enf. Bur. 201</w:t>
      </w:r>
      <w:r w:rsidR="00471764">
        <w:rPr>
          <w:szCs w:val="20"/>
        </w:rPr>
        <w:t>2</w:t>
      </w:r>
      <w:r w:rsidRPr="002A7814">
        <w:rPr>
          <w:szCs w:val="20"/>
        </w:rPr>
        <w:t>) (</w:t>
      </w:r>
      <w:r w:rsidRPr="002A7814">
        <w:rPr>
          <w:i/>
          <w:szCs w:val="20"/>
        </w:rPr>
        <w:t>NAL</w:t>
      </w:r>
      <w:r w:rsidRPr="002A7814">
        <w:rPr>
          <w:szCs w:val="20"/>
        </w:rPr>
        <w:t xml:space="preserve">).  A comprehensive recitation of the facts and history of this case can be found in the </w:t>
      </w:r>
      <w:r w:rsidRPr="002A7814">
        <w:rPr>
          <w:i/>
          <w:szCs w:val="20"/>
        </w:rPr>
        <w:t>NAL</w:t>
      </w:r>
      <w:r w:rsidRPr="002A7814">
        <w:rPr>
          <w:szCs w:val="20"/>
        </w:rPr>
        <w:t xml:space="preserve"> and is incorporated herein by reference.</w:t>
      </w:r>
    </w:p>
  </w:footnote>
  <w:footnote w:id="4">
    <w:p w:rsidR="00A80EF9" w:rsidRPr="002A7814" w:rsidRDefault="00A80EF9">
      <w:pPr>
        <w:pStyle w:val="FootnoteText"/>
        <w:ind w:firstLine="0"/>
        <w:jc w:val="left"/>
        <w:rPr>
          <w:szCs w:val="20"/>
        </w:rPr>
      </w:pPr>
      <w:r w:rsidRPr="002A7814">
        <w:rPr>
          <w:rStyle w:val="FootnoteReference"/>
        </w:rPr>
        <w:footnoteRef/>
      </w:r>
      <w:r w:rsidRPr="002A7814">
        <w:rPr>
          <w:szCs w:val="20"/>
        </w:rPr>
        <w:t xml:space="preserve"> </w:t>
      </w:r>
      <w:r w:rsidRPr="002A7814">
        <w:rPr>
          <w:i/>
          <w:szCs w:val="20"/>
        </w:rPr>
        <w:t>See</w:t>
      </w:r>
      <w:r w:rsidRPr="002A7814">
        <w:rPr>
          <w:szCs w:val="20"/>
        </w:rPr>
        <w:t xml:space="preserve"> </w:t>
      </w:r>
      <w:r w:rsidR="00471764">
        <w:rPr>
          <w:szCs w:val="20"/>
        </w:rPr>
        <w:t>Response</w:t>
      </w:r>
      <w:r w:rsidRPr="002A7814">
        <w:rPr>
          <w:szCs w:val="20"/>
        </w:rPr>
        <w:t xml:space="preserve"> from </w:t>
      </w:r>
      <w:r w:rsidR="005C2C3C">
        <w:rPr>
          <w:szCs w:val="20"/>
        </w:rPr>
        <w:t>KAGM-FM Joint Venture</w:t>
      </w:r>
      <w:r w:rsidRPr="002A7814">
        <w:rPr>
          <w:szCs w:val="20"/>
        </w:rPr>
        <w:t xml:space="preserve"> to </w:t>
      </w:r>
      <w:r w:rsidR="005C2C3C">
        <w:rPr>
          <w:szCs w:val="20"/>
        </w:rPr>
        <w:t>Denver Office</w:t>
      </w:r>
      <w:r w:rsidRPr="002A7814">
        <w:rPr>
          <w:szCs w:val="20"/>
        </w:rPr>
        <w:t>, Western Region, Enforcement Bureau (</w:t>
      </w:r>
      <w:r w:rsidR="005C2C3C">
        <w:rPr>
          <w:szCs w:val="20"/>
        </w:rPr>
        <w:t>N</w:t>
      </w:r>
      <w:r w:rsidR="00AE7E3F">
        <w:rPr>
          <w:szCs w:val="20"/>
        </w:rPr>
        <w:t>ov</w:t>
      </w:r>
      <w:r w:rsidR="005C2C3C">
        <w:rPr>
          <w:szCs w:val="20"/>
        </w:rPr>
        <w:t>. 2</w:t>
      </w:r>
      <w:r w:rsidR="00471764">
        <w:rPr>
          <w:szCs w:val="20"/>
        </w:rPr>
        <w:t>, 2012</w:t>
      </w:r>
      <w:r w:rsidRPr="002A7814">
        <w:rPr>
          <w:szCs w:val="20"/>
        </w:rPr>
        <w:t xml:space="preserve">) (on file in </w:t>
      </w:r>
      <w:r w:rsidR="0010711A" w:rsidRPr="0010711A">
        <w:rPr>
          <w:szCs w:val="20"/>
        </w:rPr>
        <w:t>EB-FIELDWR-12-000010</w:t>
      </w:r>
      <w:r w:rsidR="005C2C3C">
        <w:rPr>
          <w:szCs w:val="20"/>
        </w:rPr>
        <w:t>24</w:t>
      </w:r>
      <w:r w:rsidR="0010711A">
        <w:rPr>
          <w:szCs w:val="20"/>
        </w:rPr>
        <w:t>)</w:t>
      </w:r>
      <w:r w:rsidR="000778D5">
        <w:rPr>
          <w:szCs w:val="20"/>
        </w:rPr>
        <w:t xml:space="preserve"> </w:t>
      </w:r>
      <w:r w:rsidRPr="002A7814">
        <w:rPr>
          <w:szCs w:val="20"/>
        </w:rPr>
        <w:t>(</w:t>
      </w:r>
      <w:r w:rsidRPr="002A7814">
        <w:rPr>
          <w:i/>
          <w:szCs w:val="20"/>
        </w:rPr>
        <w:t>NAL Response</w:t>
      </w:r>
      <w:r w:rsidRPr="002A7814">
        <w:rPr>
          <w:szCs w:val="20"/>
        </w:rPr>
        <w:t xml:space="preserve">). </w:t>
      </w:r>
      <w:r w:rsidR="00974DAE">
        <w:rPr>
          <w:szCs w:val="20"/>
        </w:rPr>
        <w:t xml:space="preserve"> In its response to a Letter of Inquiry in this case, KJV affirmed under penalty of perjury that it had fixed the violations.  </w:t>
      </w:r>
      <w:r w:rsidR="00974DAE" w:rsidRPr="00C32D38">
        <w:rPr>
          <w:i/>
          <w:szCs w:val="20"/>
        </w:rPr>
        <w:t>NAL</w:t>
      </w:r>
      <w:r w:rsidR="00974DAE">
        <w:rPr>
          <w:szCs w:val="20"/>
        </w:rPr>
        <w:t>, 27 FCC Rcd at 11150.</w:t>
      </w:r>
    </w:p>
  </w:footnote>
  <w:footnote w:id="5">
    <w:p w:rsidR="00A80EF9" w:rsidRPr="002A7814" w:rsidRDefault="00A80EF9">
      <w:pPr>
        <w:pStyle w:val="FootnoteText"/>
        <w:widowControl/>
        <w:ind w:firstLine="0"/>
        <w:jc w:val="left"/>
        <w:rPr>
          <w:szCs w:val="20"/>
        </w:rPr>
      </w:pPr>
      <w:r w:rsidRPr="002A7814">
        <w:rPr>
          <w:rStyle w:val="FootnoteReference"/>
        </w:rPr>
        <w:footnoteRef/>
      </w:r>
      <w:r w:rsidRPr="002A7814">
        <w:rPr>
          <w:szCs w:val="20"/>
        </w:rPr>
        <w:t xml:space="preserve"> 47 U.S.C. § 503(b).</w:t>
      </w:r>
    </w:p>
  </w:footnote>
  <w:footnote w:id="6">
    <w:p w:rsidR="00A80EF9" w:rsidRPr="002A7814" w:rsidRDefault="00A80EF9">
      <w:pPr>
        <w:pStyle w:val="FootnoteText"/>
        <w:widowControl/>
        <w:ind w:firstLine="0"/>
        <w:jc w:val="left"/>
        <w:rPr>
          <w:szCs w:val="20"/>
        </w:rPr>
      </w:pPr>
      <w:r w:rsidRPr="002A7814">
        <w:rPr>
          <w:rStyle w:val="FootnoteReference"/>
        </w:rPr>
        <w:footnoteRef/>
      </w:r>
      <w:r w:rsidRPr="002A7814">
        <w:rPr>
          <w:szCs w:val="20"/>
        </w:rPr>
        <w:t xml:space="preserve"> 47 C.F.R. § 1.80.</w:t>
      </w:r>
    </w:p>
  </w:footnote>
  <w:footnote w:id="7">
    <w:p w:rsidR="00A80EF9" w:rsidRPr="002A7814" w:rsidRDefault="00A80EF9" w:rsidP="00E26178">
      <w:pPr>
        <w:pStyle w:val="FootnoteText"/>
        <w:widowControl/>
        <w:ind w:firstLine="0"/>
        <w:jc w:val="left"/>
        <w:rPr>
          <w:szCs w:val="20"/>
        </w:rPr>
      </w:pPr>
      <w:r w:rsidRPr="002A7814">
        <w:rPr>
          <w:rStyle w:val="FootnoteReference"/>
        </w:rPr>
        <w:footnoteRef/>
      </w:r>
      <w:r w:rsidRPr="002A7814">
        <w:rPr>
          <w:szCs w:val="20"/>
        </w:rPr>
        <w:t xml:space="preserve"> </w:t>
      </w:r>
      <w:r w:rsidRPr="002A7814">
        <w:rPr>
          <w:i/>
          <w:szCs w:val="20"/>
        </w:rPr>
        <w:t>The Commission’s Forfeiture Policy Statement and Amendment of Section 1.80 of the Rules to Incorporate the Forfeiture Guidelines</w:t>
      </w:r>
      <w:r w:rsidRPr="002A7814">
        <w:rPr>
          <w:szCs w:val="20"/>
        </w:rPr>
        <w:t xml:space="preserve">, Report and Order, 12 FCC Rcd 17087 (1997), </w:t>
      </w:r>
      <w:r w:rsidRPr="002A7814">
        <w:rPr>
          <w:i/>
          <w:szCs w:val="20"/>
        </w:rPr>
        <w:t>recons. denied</w:t>
      </w:r>
      <w:r w:rsidRPr="002A7814">
        <w:rPr>
          <w:szCs w:val="20"/>
        </w:rPr>
        <w:t>, 15 FCC Rcd 303 (1999) (</w:t>
      </w:r>
      <w:r w:rsidRPr="002A7814">
        <w:rPr>
          <w:i/>
          <w:szCs w:val="20"/>
        </w:rPr>
        <w:t>Forfeiture Policy Statement</w:t>
      </w:r>
      <w:r w:rsidRPr="002A7814">
        <w:rPr>
          <w:szCs w:val="20"/>
        </w:rPr>
        <w:t xml:space="preserve">).  </w:t>
      </w:r>
    </w:p>
  </w:footnote>
  <w:footnote w:id="8">
    <w:p w:rsidR="00A80EF9" w:rsidRPr="002A7814" w:rsidRDefault="00A80EF9" w:rsidP="00E26178">
      <w:pPr>
        <w:pStyle w:val="FootnoteText"/>
        <w:widowControl/>
        <w:ind w:firstLine="0"/>
        <w:jc w:val="left"/>
        <w:rPr>
          <w:szCs w:val="20"/>
        </w:rPr>
      </w:pPr>
      <w:r w:rsidRPr="002A7814">
        <w:rPr>
          <w:rStyle w:val="FootnoteReference"/>
        </w:rPr>
        <w:footnoteRef/>
      </w:r>
      <w:r w:rsidRPr="002A7814">
        <w:rPr>
          <w:szCs w:val="20"/>
        </w:rPr>
        <w:t xml:space="preserve"> 47 U.S.C. § 503(b)(2)(E).</w:t>
      </w:r>
    </w:p>
  </w:footnote>
  <w:footnote w:id="9">
    <w:p w:rsidR="00A80EF9" w:rsidRPr="002A7814" w:rsidRDefault="00A80EF9" w:rsidP="00E26178">
      <w:pPr>
        <w:pStyle w:val="FootnoteText"/>
        <w:widowControl/>
        <w:ind w:firstLine="0"/>
        <w:jc w:val="left"/>
        <w:rPr>
          <w:szCs w:val="20"/>
        </w:rPr>
      </w:pPr>
      <w:r w:rsidRPr="002A7814">
        <w:rPr>
          <w:rStyle w:val="FootnoteReference"/>
        </w:rPr>
        <w:footnoteRef/>
      </w:r>
      <w:r w:rsidRPr="002A7814">
        <w:rPr>
          <w:i/>
          <w:szCs w:val="20"/>
        </w:rPr>
        <w:t xml:space="preserve"> See NAL</w:t>
      </w:r>
      <w:r w:rsidRPr="002A7814">
        <w:rPr>
          <w:szCs w:val="20"/>
        </w:rPr>
        <w:t xml:space="preserve">, </w:t>
      </w:r>
      <w:r w:rsidRPr="002A7814">
        <w:rPr>
          <w:i/>
          <w:szCs w:val="20"/>
        </w:rPr>
        <w:t>supra</w:t>
      </w:r>
      <w:r w:rsidRPr="002A7814">
        <w:rPr>
          <w:szCs w:val="20"/>
        </w:rPr>
        <w:t xml:space="preserve"> note </w:t>
      </w:r>
      <w:r w:rsidR="0010711A">
        <w:rPr>
          <w:szCs w:val="20"/>
        </w:rPr>
        <w:t>3</w:t>
      </w:r>
      <w:r w:rsidRPr="002A7814">
        <w:rPr>
          <w:szCs w:val="20"/>
        </w:rPr>
        <w:t xml:space="preserve">. </w:t>
      </w:r>
    </w:p>
  </w:footnote>
  <w:footnote w:id="10">
    <w:p w:rsidR="002D4FDC" w:rsidRPr="007649B4" w:rsidRDefault="002D4FDC" w:rsidP="002D4FDC">
      <w:pPr>
        <w:pStyle w:val="FootnoteText"/>
        <w:ind w:firstLine="0"/>
        <w:jc w:val="left"/>
      </w:pPr>
      <w:r>
        <w:rPr>
          <w:rStyle w:val="FootnoteReference"/>
        </w:rPr>
        <w:footnoteRef/>
      </w:r>
      <w:r>
        <w:t xml:space="preserve"> </w:t>
      </w:r>
      <w:r w:rsidRPr="007649B4">
        <w:rPr>
          <w:i/>
        </w:rPr>
        <w:t>See</w:t>
      </w:r>
      <w:r w:rsidRPr="007649B4">
        <w:t xml:space="preserve"> Antenna Structure Registration</w:t>
      </w:r>
      <w:r>
        <w:t xml:space="preserve"> database for antenna structure number</w:t>
      </w:r>
      <w:r w:rsidRPr="007649B4">
        <w:t xml:space="preserve"> </w:t>
      </w:r>
      <w:r w:rsidRPr="007649B4">
        <w:rPr>
          <w:color w:val="000000"/>
          <w:spacing w:val="-2"/>
        </w:rPr>
        <w:t xml:space="preserve">1231632.  </w:t>
      </w:r>
      <w:r w:rsidRPr="007649B4">
        <w:rPr>
          <w:i/>
          <w:color w:val="000000"/>
          <w:spacing w:val="-2"/>
        </w:rPr>
        <w:t>See also</w:t>
      </w:r>
      <w:r w:rsidRPr="007649B4">
        <w:rPr>
          <w:color w:val="000000"/>
          <w:spacing w:val="-2"/>
        </w:rPr>
        <w:t xml:space="preserve"> </w:t>
      </w:r>
      <w:r>
        <w:rPr>
          <w:color w:val="000000"/>
          <w:spacing w:val="-2"/>
        </w:rPr>
        <w:t xml:space="preserve">47 C.F.R. </w:t>
      </w:r>
      <w:r>
        <w:t xml:space="preserve">§ 17.21 (requiring antenna structures more than 60.96 meters in height to be painted and lighted).  </w:t>
      </w:r>
      <w:r w:rsidRPr="007649B4">
        <w:rPr>
          <w:i/>
          <w:color w:val="000000"/>
          <w:spacing w:val="-2"/>
        </w:rPr>
        <w:t>See also</w:t>
      </w:r>
      <w:r>
        <w:rPr>
          <w:i/>
          <w:color w:val="000000"/>
          <w:spacing w:val="-2"/>
        </w:rPr>
        <w:t xml:space="preserve"> </w:t>
      </w:r>
      <w:r w:rsidRPr="007649B4">
        <w:rPr>
          <w:color w:val="000000"/>
          <w:spacing w:val="-2"/>
        </w:rPr>
        <w:t>FAA Study # 2004-ANM-238-OE.</w:t>
      </w:r>
    </w:p>
  </w:footnote>
  <w:footnote w:id="11">
    <w:p w:rsidR="00303E5F" w:rsidRPr="00303E5F" w:rsidRDefault="00303E5F" w:rsidP="00303E5F">
      <w:pPr>
        <w:pStyle w:val="FootnoteText"/>
        <w:ind w:firstLine="0"/>
        <w:rPr>
          <w:i/>
        </w:rPr>
      </w:pPr>
      <w:r>
        <w:rPr>
          <w:rStyle w:val="FootnoteReference"/>
        </w:rPr>
        <w:footnoteRef/>
      </w:r>
      <w:r>
        <w:t xml:space="preserve"> </w:t>
      </w:r>
      <w:r w:rsidR="002D4FDC" w:rsidRPr="002D4FDC">
        <w:rPr>
          <w:i/>
        </w:rPr>
        <w:t xml:space="preserve">See NAL, </w:t>
      </w:r>
      <w:r w:rsidR="002D4FDC">
        <w:t>27 FCC Rcd at 11151, para. 6.</w:t>
      </w:r>
    </w:p>
  </w:footnote>
  <w:footnote w:id="12">
    <w:p w:rsidR="000E2347" w:rsidRPr="008B7B38" w:rsidRDefault="000E2347" w:rsidP="000E2347">
      <w:pPr>
        <w:pStyle w:val="FootnoteText"/>
        <w:ind w:firstLine="0"/>
      </w:pPr>
      <w:r>
        <w:rPr>
          <w:rStyle w:val="FootnoteReference"/>
        </w:rPr>
        <w:footnoteRef/>
      </w:r>
      <w:r>
        <w:t xml:space="preserve"> </w:t>
      </w:r>
      <w:r w:rsidR="008B7B38">
        <w:rPr>
          <w:i/>
        </w:rPr>
        <w:t xml:space="preserve">See NAL Response </w:t>
      </w:r>
      <w:r w:rsidR="008B7B38">
        <w:t>at 2.</w:t>
      </w:r>
    </w:p>
  </w:footnote>
  <w:footnote w:id="13">
    <w:p w:rsidR="000E2347" w:rsidRDefault="000E2347" w:rsidP="000E2347">
      <w:pPr>
        <w:pStyle w:val="FootnoteText"/>
        <w:ind w:firstLine="0"/>
      </w:pPr>
      <w:r>
        <w:rPr>
          <w:rStyle w:val="FootnoteReference"/>
        </w:rPr>
        <w:footnoteRef/>
      </w:r>
      <w:r>
        <w:t xml:space="preserve"> </w:t>
      </w:r>
      <w:r w:rsidR="008B7B38" w:rsidRPr="008B7B38">
        <w:rPr>
          <w:i/>
        </w:rPr>
        <w:t xml:space="preserve">See NAL Response </w:t>
      </w:r>
      <w:r w:rsidR="008B7B38">
        <w:t>at 1–2.</w:t>
      </w:r>
    </w:p>
  </w:footnote>
  <w:footnote w:id="14">
    <w:p w:rsidR="00423A0C" w:rsidRDefault="00423A0C" w:rsidP="00423A0C">
      <w:pPr>
        <w:pStyle w:val="FootnoteText"/>
        <w:ind w:firstLine="0"/>
      </w:pPr>
      <w:r>
        <w:rPr>
          <w:rStyle w:val="FootnoteReference"/>
        </w:rPr>
        <w:footnoteRef/>
      </w:r>
      <w:r>
        <w:t xml:space="preserve"> </w:t>
      </w:r>
      <w:r w:rsidR="008B7B38" w:rsidRPr="008B7B38">
        <w:rPr>
          <w:i/>
        </w:rPr>
        <w:t xml:space="preserve">See NAL Response </w:t>
      </w:r>
      <w:r w:rsidR="008B7B38" w:rsidRPr="008B7B38">
        <w:t>at</w:t>
      </w:r>
      <w:r w:rsidR="007F7FED">
        <w:t xml:space="preserve"> 1–2, Attachments 1–4.</w:t>
      </w:r>
    </w:p>
  </w:footnote>
  <w:footnote w:id="15">
    <w:p w:rsidR="00A80EF9" w:rsidRPr="00F87F65" w:rsidRDefault="00A80EF9" w:rsidP="00F0058F">
      <w:pPr>
        <w:pStyle w:val="FootnoteText"/>
        <w:widowControl/>
        <w:ind w:firstLine="0"/>
        <w:jc w:val="left"/>
        <w:rPr>
          <w:szCs w:val="20"/>
        </w:rPr>
      </w:pPr>
      <w:r w:rsidRPr="00F87F65">
        <w:rPr>
          <w:rStyle w:val="FootnoteCharacters"/>
          <w:szCs w:val="20"/>
        </w:rPr>
        <w:footnoteRef/>
      </w:r>
      <w:r w:rsidRPr="00F87F65">
        <w:rPr>
          <w:i/>
          <w:szCs w:val="20"/>
        </w:rPr>
        <w:t xml:space="preserve"> See PJB Communications of Virginia, Inc</w:t>
      </w:r>
      <w:r w:rsidRPr="00F87F65">
        <w:rPr>
          <w:szCs w:val="20"/>
        </w:rPr>
        <w:t xml:space="preserve">., </w:t>
      </w:r>
      <w:r w:rsidR="00021284">
        <w:rPr>
          <w:szCs w:val="20"/>
        </w:rPr>
        <w:t>Memorandum Opinion and Order</w:t>
      </w:r>
      <w:r w:rsidRPr="00F87F65">
        <w:rPr>
          <w:szCs w:val="20"/>
        </w:rPr>
        <w:t xml:space="preserve">, 7 FCC Rcd 2088, 2089 (1992) (forfeiture not deemed excessive where it represented approximately 2.02 percent of the violator’s gross revenues); </w:t>
      </w:r>
      <w:r w:rsidRPr="00F87F65">
        <w:rPr>
          <w:i/>
          <w:szCs w:val="20"/>
        </w:rPr>
        <w:t>Hoosier Broadcasting Corporation,</w:t>
      </w:r>
      <w:r w:rsidR="00021284">
        <w:rPr>
          <w:i/>
          <w:szCs w:val="20"/>
        </w:rPr>
        <w:t xml:space="preserve"> </w:t>
      </w:r>
      <w:r w:rsidR="00021284">
        <w:rPr>
          <w:szCs w:val="20"/>
        </w:rPr>
        <w:t>Memorandum Opinion and Order</w:t>
      </w:r>
      <w:r w:rsidRPr="00F87F65">
        <w:rPr>
          <w:szCs w:val="20"/>
        </w:rPr>
        <w:t xml:space="preserve">, 15 FCC Rcd 8640 (2002) (forfeiture not deemed excessive where it represented approximately 7.6 percent of the violator’s gross revenues).  </w:t>
      </w:r>
    </w:p>
  </w:footnote>
  <w:footnote w:id="16">
    <w:p w:rsidR="00423A0C" w:rsidRPr="00423A0C" w:rsidRDefault="00423A0C" w:rsidP="000A0653">
      <w:pPr>
        <w:pStyle w:val="FootnoteText"/>
        <w:ind w:firstLine="0"/>
        <w:jc w:val="left"/>
      </w:pPr>
      <w:r>
        <w:rPr>
          <w:rStyle w:val="FootnoteReference"/>
        </w:rPr>
        <w:footnoteRef/>
      </w:r>
      <w:r>
        <w:t xml:space="preserve"> </w:t>
      </w:r>
      <w:r>
        <w:rPr>
          <w:i/>
        </w:rPr>
        <w:t>See A-O Broadcasting Corporation</w:t>
      </w:r>
      <w:r>
        <w:t xml:space="preserve">, Order, </w:t>
      </w:r>
      <w:r w:rsidR="000A0653">
        <w:t xml:space="preserve">23 FCC Rcd 11296 (Enf. Bur. 2008) (cancellation of a proposed forfeiture is appropriate where entity has no apparent income, assets, or access to lines of credit). </w:t>
      </w:r>
    </w:p>
  </w:footnote>
  <w:footnote w:id="17">
    <w:p w:rsidR="00947E9F" w:rsidRPr="00947E9F" w:rsidRDefault="00947E9F" w:rsidP="00021284">
      <w:pPr>
        <w:pStyle w:val="FootnoteText"/>
        <w:ind w:firstLine="0"/>
        <w:jc w:val="left"/>
      </w:pPr>
      <w:r>
        <w:rPr>
          <w:rStyle w:val="FootnoteReference"/>
        </w:rPr>
        <w:footnoteRef/>
      </w:r>
      <w:r>
        <w:t xml:space="preserve"> </w:t>
      </w:r>
      <w:r>
        <w:rPr>
          <w:i/>
        </w:rPr>
        <w:t xml:space="preserve">See </w:t>
      </w:r>
      <w:r w:rsidRPr="00021284">
        <w:t>47 U.S.</w:t>
      </w:r>
      <w:r>
        <w:t xml:space="preserve">C. </w:t>
      </w:r>
      <w:r w:rsidRPr="00947E9F">
        <w:t>§</w:t>
      </w:r>
      <w:r>
        <w:t xml:space="preserve"> 303(q) (</w:t>
      </w:r>
      <w:r w:rsidR="00021284">
        <w:t>the owner of an antenna structure shall maintain the prescribed painting and/or illumination of such structure until the structure is dismantled).</w:t>
      </w:r>
    </w:p>
  </w:footnote>
  <w:footnote w:id="18">
    <w:p w:rsidR="00A80EF9" w:rsidRPr="00F87F65" w:rsidRDefault="00A80EF9">
      <w:pPr>
        <w:pStyle w:val="FootnoteText"/>
        <w:widowControl/>
        <w:ind w:firstLine="0"/>
        <w:jc w:val="left"/>
        <w:rPr>
          <w:szCs w:val="20"/>
        </w:rPr>
      </w:pPr>
      <w:r w:rsidRPr="00F87F65">
        <w:rPr>
          <w:rStyle w:val="FootnoteReference"/>
        </w:rPr>
        <w:footnoteRef/>
      </w:r>
      <w:r w:rsidR="00CD3A00">
        <w:rPr>
          <w:szCs w:val="20"/>
        </w:rPr>
        <w:t xml:space="preserve"> 47 U.S.C. §</w:t>
      </w:r>
      <w:r w:rsidR="00B14AB6" w:rsidRPr="00B14AB6">
        <w:rPr>
          <w:szCs w:val="20"/>
        </w:rPr>
        <w:t>§</w:t>
      </w:r>
      <w:r w:rsidR="00B14AB6">
        <w:rPr>
          <w:szCs w:val="20"/>
        </w:rPr>
        <w:t xml:space="preserve"> 30</w:t>
      </w:r>
      <w:r w:rsidR="00947E9F">
        <w:rPr>
          <w:szCs w:val="20"/>
        </w:rPr>
        <w:t>3(q)</w:t>
      </w:r>
      <w:r w:rsidR="00B14AB6">
        <w:rPr>
          <w:szCs w:val="20"/>
        </w:rPr>
        <w:t>,</w:t>
      </w:r>
      <w:r w:rsidRPr="00F87F65">
        <w:rPr>
          <w:szCs w:val="20"/>
        </w:rPr>
        <w:t xml:space="preserve"> 503(b); 47 C.F.R. §§ 0.111, </w:t>
      </w:r>
      <w:r w:rsidR="00C6604E">
        <w:rPr>
          <w:szCs w:val="20"/>
        </w:rPr>
        <w:t>0.204, 0.311, 0.314, 1.80(f)(4),</w:t>
      </w:r>
      <w:r w:rsidR="00EB5D47">
        <w:rPr>
          <w:szCs w:val="20"/>
        </w:rPr>
        <w:t xml:space="preserve"> </w:t>
      </w:r>
      <w:r w:rsidR="008B7B38">
        <w:rPr>
          <w:szCs w:val="20"/>
        </w:rPr>
        <w:t>17.47(a)</w:t>
      </w:r>
      <w:r w:rsidR="00B14AB6">
        <w:t>,</w:t>
      </w:r>
      <w:r w:rsidR="008B7B38">
        <w:t xml:space="preserve"> 17.51(a)</w:t>
      </w:r>
      <w:r w:rsidR="00B14AB6" w:rsidRPr="00B14AB6">
        <w:t>.</w:t>
      </w:r>
    </w:p>
  </w:footnote>
  <w:footnote w:id="19">
    <w:p w:rsidR="008B7B38" w:rsidRPr="00F87F65" w:rsidRDefault="008B7B38" w:rsidP="008B7B38">
      <w:pPr>
        <w:pStyle w:val="FootnoteText"/>
        <w:widowControl/>
        <w:ind w:firstLine="0"/>
        <w:jc w:val="left"/>
        <w:rPr>
          <w:szCs w:val="20"/>
        </w:rPr>
      </w:pPr>
      <w:r w:rsidRPr="00F87F65">
        <w:rPr>
          <w:rStyle w:val="FootnoteReference"/>
        </w:rPr>
        <w:footnoteRef/>
      </w:r>
      <w:r>
        <w:rPr>
          <w:szCs w:val="20"/>
        </w:rPr>
        <w:t xml:space="preserve"> 47 U.S.C. § 30</w:t>
      </w:r>
      <w:r w:rsidR="00947E9F">
        <w:rPr>
          <w:szCs w:val="20"/>
        </w:rPr>
        <w:t>3(q)</w:t>
      </w:r>
      <w:r>
        <w:rPr>
          <w:szCs w:val="20"/>
        </w:rPr>
        <w:t>;</w:t>
      </w:r>
      <w:r w:rsidRPr="00F87F65">
        <w:rPr>
          <w:szCs w:val="20"/>
        </w:rPr>
        <w:t xml:space="preserve"> 47 C.F.R. §§</w:t>
      </w:r>
      <w:r>
        <w:rPr>
          <w:szCs w:val="20"/>
        </w:rPr>
        <w:t xml:space="preserve"> 17.47(a), 17.51(a)</w:t>
      </w:r>
      <w:r w:rsidRPr="00B14AB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BC" w:rsidRDefault="00571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tabs>
        <w:tab w:val="center" w:pos="4680"/>
        <w:tab w:val="right" w:pos="9360"/>
      </w:tabs>
      <w:suppressAutoHyphens/>
      <w:spacing w:line="227" w:lineRule="auto"/>
      <w:jc w:val="both"/>
      <w:rPr>
        <w:b/>
      </w:rPr>
    </w:pPr>
    <w:r>
      <w:rPr>
        <w:b/>
      </w:rPr>
      <w:tab/>
      <w:t>Federal Communications Commission</w:t>
    </w:r>
    <w:r>
      <w:rPr>
        <w:b/>
      </w:rPr>
      <w:tab/>
      <w:t>DA 1</w:t>
    </w:r>
    <w:r w:rsidR="00EE30AB">
      <w:rPr>
        <w:b/>
      </w:rPr>
      <w:t>4</w:t>
    </w:r>
    <w:r>
      <w:rPr>
        <w:b/>
      </w:rPr>
      <w:t>-</w:t>
    </w:r>
    <w:r w:rsidR="00E813E6">
      <w:rPr>
        <w:b/>
      </w:rPr>
      <w:t>752</w:t>
    </w:r>
  </w:p>
  <w:p w:rsidR="00A80EF9" w:rsidRDefault="00056C7F">
    <w:pPr>
      <w:pStyle w:val="Header"/>
      <w:jc w:val="both"/>
      <w:rPr>
        <w:b/>
      </w:rPr>
    </w:pPr>
    <w:r>
      <w:rPr>
        <w:b/>
        <w:noProof/>
      </w:rPr>
      <mc:AlternateContent>
        <mc:Choice Requires="wps">
          <w:drawing>
            <wp:anchor distT="0" distB="0" distL="114300" distR="114300" simplePos="0" relativeHeight="251657216" behindDoc="1" locked="0" layoutInCell="0" allowOverlap="1" wp14:anchorId="7AF43F81" wp14:editId="07353CDD">
              <wp:simplePos x="0" y="0"/>
              <wp:positionH relativeFrom="margin">
                <wp:posOffset>0</wp:posOffset>
              </wp:positionH>
              <wp:positionV relativeFrom="paragraph">
                <wp:posOffset>-8890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7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Ue7AIAAD4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" o:allowincell="f" fillcolor="black" stroked="f" strokeweight=".05pt">
              <v:textbox>
                <w:txbxContent>
                  <w:p w:rsidR="00A80EF9" w:rsidRDefault="00A80EF9"/>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tabs>
        <w:tab w:val="center" w:pos="4680"/>
        <w:tab w:val="right" w:pos="9360"/>
      </w:tabs>
      <w:suppressAutoHyphens/>
      <w:spacing w:line="227" w:lineRule="auto"/>
      <w:jc w:val="both"/>
      <w:rPr>
        <w:spacing w:val="-2"/>
      </w:rPr>
    </w:pPr>
    <w:r>
      <w:rPr>
        <w:b/>
        <w:spacing w:val="-2"/>
      </w:rPr>
      <w:tab/>
      <w:t>Federal Communications Commission</w:t>
    </w:r>
    <w:r>
      <w:rPr>
        <w:b/>
        <w:spacing w:val="-2"/>
      </w:rPr>
      <w:tab/>
      <w:t>DA 1</w:t>
    </w:r>
    <w:r w:rsidR="00B85DF6">
      <w:rPr>
        <w:b/>
        <w:spacing w:val="-2"/>
      </w:rPr>
      <w:t>4</w:t>
    </w:r>
    <w:r>
      <w:rPr>
        <w:b/>
        <w:spacing w:val="-2"/>
      </w:rPr>
      <w:t>-</w:t>
    </w:r>
    <w:r w:rsidR="00E813E6">
      <w:rPr>
        <w:b/>
        <w:spacing w:val="-2"/>
      </w:rPr>
      <w:t>752</w:t>
    </w:r>
  </w:p>
  <w:p w:rsidR="00A80EF9" w:rsidRDefault="00056C7F">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a7wIAAEU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BGlKUa7wIAAEUGAAAOAAAA&#10;AAAAAAAAAAAAAC4CAABkcnMvZTJvRG9jLnhtbFBLAQItABQABgAIAAAAIQAiPO7R1wAAAAMBAAAP&#10;AAAAAAAAAAAAAAAAAEkFAABkcnMvZG93bnJldi54bWxQSwUGAAAAAAQABADzAAAATQYAAAAA&#10;" o:allowincell="f" fillcolor="black" stroked="f" strokeweight=".05pt">
              <v:textbox>
                <w:txbxContent>
                  <w:p w:rsidR="00A80EF9" w:rsidRDefault="00A80EF9"/>
                </w:txbxContent>
              </v:textbox>
              <w10:wrap anchorx="margin"/>
            </v:rect>
          </w:pict>
        </mc:Fallback>
      </mc:AlternateContent>
    </w:r>
  </w:p>
  <w:p w:rsidR="00A80EF9" w:rsidRDefault="00A80EF9">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4">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6">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7">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764F11E3"/>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1">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6"/>
  </w:num>
  <w:num w:numId="2">
    <w:abstractNumId w:val="4"/>
  </w:num>
  <w:num w:numId="3">
    <w:abstractNumId w:val="2"/>
  </w:num>
  <w:num w:numId="4">
    <w:abstractNumId w:val="9"/>
  </w:num>
  <w:num w:numId="5">
    <w:abstractNumId w:val="1"/>
  </w:num>
  <w:num w:numId="6">
    <w:abstractNumId w:val="3"/>
  </w:num>
  <w:num w:numId="7">
    <w:abstractNumId w:val="0"/>
  </w:num>
  <w:num w:numId="8">
    <w:abstractNumId w:val="11"/>
  </w:num>
  <w:num w:numId="9">
    <w:abstractNumId w:val="8"/>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86"/>
    <w:rsid w:val="00016763"/>
    <w:rsid w:val="00021284"/>
    <w:rsid w:val="00044DE9"/>
    <w:rsid w:val="000538F6"/>
    <w:rsid w:val="00056C7F"/>
    <w:rsid w:val="000672E6"/>
    <w:rsid w:val="000778D5"/>
    <w:rsid w:val="0008114C"/>
    <w:rsid w:val="00095C2E"/>
    <w:rsid w:val="000A0653"/>
    <w:rsid w:val="000E2347"/>
    <w:rsid w:val="000E4E88"/>
    <w:rsid w:val="0010711A"/>
    <w:rsid w:val="00107EAD"/>
    <w:rsid w:val="001275C3"/>
    <w:rsid w:val="00130247"/>
    <w:rsid w:val="00133AB5"/>
    <w:rsid w:val="00156EDD"/>
    <w:rsid w:val="0016619D"/>
    <w:rsid w:val="0017030B"/>
    <w:rsid w:val="00171DE9"/>
    <w:rsid w:val="00175C9D"/>
    <w:rsid w:val="00193D3D"/>
    <w:rsid w:val="001B0E07"/>
    <w:rsid w:val="001C3864"/>
    <w:rsid w:val="001D477F"/>
    <w:rsid w:val="001D79A7"/>
    <w:rsid w:val="001E1451"/>
    <w:rsid w:val="001F0226"/>
    <w:rsid w:val="001F1F1B"/>
    <w:rsid w:val="001F311A"/>
    <w:rsid w:val="001F5BB2"/>
    <w:rsid w:val="002375F1"/>
    <w:rsid w:val="00253BAB"/>
    <w:rsid w:val="002622B8"/>
    <w:rsid w:val="002650FB"/>
    <w:rsid w:val="0026674C"/>
    <w:rsid w:val="0029546E"/>
    <w:rsid w:val="002A7814"/>
    <w:rsid w:val="002B2399"/>
    <w:rsid w:val="002D04A6"/>
    <w:rsid w:val="002D4FDC"/>
    <w:rsid w:val="002E1C71"/>
    <w:rsid w:val="002F38CA"/>
    <w:rsid w:val="00303E5F"/>
    <w:rsid w:val="00334D47"/>
    <w:rsid w:val="00346D60"/>
    <w:rsid w:val="003B6F6E"/>
    <w:rsid w:val="003C0F28"/>
    <w:rsid w:val="003D05DA"/>
    <w:rsid w:val="004227F0"/>
    <w:rsid w:val="00423A0C"/>
    <w:rsid w:val="00434D8B"/>
    <w:rsid w:val="0044356C"/>
    <w:rsid w:val="004573F0"/>
    <w:rsid w:val="00471764"/>
    <w:rsid w:val="00472343"/>
    <w:rsid w:val="00497AA2"/>
    <w:rsid w:val="004E2B21"/>
    <w:rsid w:val="00501709"/>
    <w:rsid w:val="0051111E"/>
    <w:rsid w:val="0052667A"/>
    <w:rsid w:val="00534EC3"/>
    <w:rsid w:val="005715BC"/>
    <w:rsid w:val="005C2C3C"/>
    <w:rsid w:val="005D7E8B"/>
    <w:rsid w:val="005F6A24"/>
    <w:rsid w:val="006073E0"/>
    <w:rsid w:val="0061124B"/>
    <w:rsid w:val="00627660"/>
    <w:rsid w:val="00673357"/>
    <w:rsid w:val="00676538"/>
    <w:rsid w:val="00696888"/>
    <w:rsid w:val="006A1B11"/>
    <w:rsid w:val="006A5290"/>
    <w:rsid w:val="006B2828"/>
    <w:rsid w:val="006B4292"/>
    <w:rsid w:val="006C3757"/>
    <w:rsid w:val="006D47B6"/>
    <w:rsid w:val="006D5FFD"/>
    <w:rsid w:val="006E0ED7"/>
    <w:rsid w:val="006F37EC"/>
    <w:rsid w:val="00722A7F"/>
    <w:rsid w:val="00780AFC"/>
    <w:rsid w:val="0078783A"/>
    <w:rsid w:val="007960CE"/>
    <w:rsid w:val="007A3010"/>
    <w:rsid w:val="007E1FBE"/>
    <w:rsid w:val="007F25AD"/>
    <w:rsid w:val="007F7B24"/>
    <w:rsid w:val="007F7FED"/>
    <w:rsid w:val="008818E1"/>
    <w:rsid w:val="00895196"/>
    <w:rsid w:val="00895667"/>
    <w:rsid w:val="008A2594"/>
    <w:rsid w:val="008A66A0"/>
    <w:rsid w:val="008B7B38"/>
    <w:rsid w:val="00947E9F"/>
    <w:rsid w:val="0095593B"/>
    <w:rsid w:val="0096677F"/>
    <w:rsid w:val="00974DAE"/>
    <w:rsid w:val="00981395"/>
    <w:rsid w:val="00987646"/>
    <w:rsid w:val="00994BB1"/>
    <w:rsid w:val="009963FA"/>
    <w:rsid w:val="009E0B63"/>
    <w:rsid w:val="009E5245"/>
    <w:rsid w:val="009F2ACE"/>
    <w:rsid w:val="00A00D46"/>
    <w:rsid w:val="00A31667"/>
    <w:rsid w:val="00A316D0"/>
    <w:rsid w:val="00A52750"/>
    <w:rsid w:val="00A63509"/>
    <w:rsid w:val="00A80EF9"/>
    <w:rsid w:val="00AA5E69"/>
    <w:rsid w:val="00AC19CC"/>
    <w:rsid w:val="00AE7E3F"/>
    <w:rsid w:val="00B14072"/>
    <w:rsid w:val="00B14AB6"/>
    <w:rsid w:val="00B47578"/>
    <w:rsid w:val="00B645DD"/>
    <w:rsid w:val="00B739E5"/>
    <w:rsid w:val="00B85DF6"/>
    <w:rsid w:val="00BC504F"/>
    <w:rsid w:val="00BD7535"/>
    <w:rsid w:val="00C32D38"/>
    <w:rsid w:val="00C359FA"/>
    <w:rsid w:val="00C54D13"/>
    <w:rsid w:val="00C6604E"/>
    <w:rsid w:val="00C91AAB"/>
    <w:rsid w:val="00CA4611"/>
    <w:rsid w:val="00CB1863"/>
    <w:rsid w:val="00CD3A00"/>
    <w:rsid w:val="00CF5057"/>
    <w:rsid w:val="00D15795"/>
    <w:rsid w:val="00D4270A"/>
    <w:rsid w:val="00D42E77"/>
    <w:rsid w:val="00D440EE"/>
    <w:rsid w:val="00D54322"/>
    <w:rsid w:val="00D573AB"/>
    <w:rsid w:val="00D62CBE"/>
    <w:rsid w:val="00DA316C"/>
    <w:rsid w:val="00DB4364"/>
    <w:rsid w:val="00DE5386"/>
    <w:rsid w:val="00DE78D0"/>
    <w:rsid w:val="00DF47FC"/>
    <w:rsid w:val="00E22312"/>
    <w:rsid w:val="00E2341F"/>
    <w:rsid w:val="00E256FD"/>
    <w:rsid w:val="00E26178"/>
    <w:rsid w:val="00E7072F"/>
    <w:rsid w:val="00E813E6"/>
    <w:rsid w:val="00EB5D47"/>
    <w:rsid w:val="00EE30AB"/>
    <w:rsid w:val="00EE4D59"/>
    <w:rsid w:val="00F0058F"/>
    <w:rsid w:val="00F65438"/>
    <w:rsid w:val="00F869AF"/>
    <w:rsid w:val="00F87F65"/>
    <w:rsid w:val="00FA623A"/>
    <w:rsid w:val="00FB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paragraph" w:styleId="Revision">
    <w:name w:val="Revision"/>
    <w:hidden/>
    <w:uiPriority w:val="99"/>
    <w:semiHidden/>
    <w:rsid w:val="00974D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paragraph" w:styleId="Revision">
    <w:name w:val="Revision"/>
    <w:hidden/>
    <w:uiPriority w:val="99"/>
    <w:semiHidden/>
    <w:rsid w:val="00974D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747191675">
      <w:bodyDiv w:val="1"/>
      <w:marLeft w:val="0"/>
      <w:marRight w:val="0"/>
      <w:marTop w:val="0"/>
      <w:marBottom w:val="0"/>
      <w:divBdr>
        <w:top w:val="none" w:sz="0" w:space="0" w:color="auto"/>
        <w:left w:val="none" w:sz="0" w:space="0" w:color="auto"/>
        <w:bottom w:val="none" w:sz="0" w:space="0" w:color="auto"/>
        <w:right w:val="none" w:sz="0" w:space="0" w:color="auto"/>
      </w:divBdr>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5618</Characters>
  <Application>Microsoft Office Word</Application>
  <DocSecurity>0</DocSecurity>
  <Lines>112</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2013-08-23T00:54:00Z</cp:lastPrinted>
  <dcterms:created xsi:type="dcterms:W3CDTF">2014-06-03T01:56:00Z</dcterms:created>
  <dcterms:modified xsi:type="dcterms:W3CDTF">2014-06-03T01:56:00Z</dcterms:modified>
  <cp:category> </cp:category>
  <cp:contentStatus> </cp:contentStatus>
</cp:coreProperties>
</file>