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02" w:rsidRDefault="008B5B02">
      <w:pPr>
        <w:jc w:val="center"/>
        <w:rPr>
          <w:b/>
        </w:rPr>
      </w:pPr>
      <w:bookmarkStart w:id="0" w:name="_GoBack"/>
      <w:bookmarkEnd w:id="0"/>
      <w:r>
        <w:rPr>
          <w:b/>
        </w:rPr>
        <w:t>Before the</w:t>
      </w:r>
    </w:p>
    <w:p w:rsidR="008B5B02" w:rsidRDefault="008B5B02">
      <w:pPr>
        <w:jc w:val="center"/>
        <w:rPr>
          <w:b/>
        </w:rPr>
      </w:pPr>
      <w:r>
        <w:rPr>
          <w:b/>
        </w:rPr>
        <w:t>Federal Communications Commission</w:t>
      </w:r>
    </w:p>
    <w:p w:rsidR="008B5B02" w:rsidRDefault="008B5B02">
      <w:pPr>
        <w:jc w:val="center"/>
        <w:rPr>
          <w:b/>
        </w:rPr>
      </w:pPr>
      <w:r>
        <w:rPr>
          <w:b/>
        </w:rPr>
        <w:t>Washington, D.C. 20554</w:t>
      </w:r>
    </w:p>
    <w:p w:rsidR="008B5B02" w:rsidRDefault="008B5B02"/>
    <w:tbl>
      <w:tblPr>
        <w:tblW w:w="0" w:type="auto"/>
        <w:tblLayout w:type="fixed"/>
        <w:tblLook w:val="0000" w:firstRow="0" w:lastRow="0" w:firstColumn="0" w:lastColumn="0" w:noHBand="0" w:noVBand="0"/>
      </w:tblPr>
      <w:tblGrid>
        <w:gridCol w:w="4698"/>
        <w:gridCol w:w="720"/>
        <w:gridCol w:w="4230"/>
      </w:tblGrid>
      <w:tr w:rsidR="008B5B02">
        <w:tc>
          <w:tcPr>
            <w:tcW w:w="4698" w:type="dxa"/>
          </w:tcPr>
          <w:p w:rsidR="008B5B02" w:rsidRDefault="008B5B02">
            <w:pPr>
              <w:ind w:right="-18"/>
            </w:pPr>
            <w:r>
              <w:t>In the Matter of</w:t>
            </w:r>
          </w:p>
          <w:p w:rsidR="008B5B02" w:rsidRDefault="008B5B02">
            <w:pPr>
              <w:ind w:right="-18"/>
            </w:pPr>
          </w:p>
          <w:p w:rsidR="008B5B02" w:rsidRDefault="008B5B02">
            <w:pPr>
              <w:ind w:right="-18"/>
            </w:pPr>
            <w:r>
              <w:t>PAPPAMMAL KURIAN</w:t>
            </w:r>
          </w:p>
          <w:p w:rsidR="008B5B02" w:rsidRDefault="008B5B02">
            <w:pPr>
              <w:ind w:right="-18"/>
            </w:pPr>
          </w:p>
          <w:p w:rsidR="008B5B02" w:rsidRDefault="008B5B02">
            <w:pPr>
              <w:ind w:right="-18"/>
            </w:pPr>
            <w:r>
              <w:t>Request for Reinstatement of Licenses</w:t>
            </w:r>
          </w:p>
          <w:p w:rsidR="008B5B02" w:rsidRDefault="008B5B02">
            <w:pPr>
              <w:ind w:right="-18"/>
            </w:pPr>
          </w:p>
          <w:p w:rsidR="008B5B02" w:rsidRDefault="008B5B02">
            <w:pPr>
              <w:ind w:right="-18"/>
            </w:pPr>
            <w:r>
              <w:t>THOMAS KURIAN</w:t>
            </w:r>
          </w:p>
        </w:tc>
        <w:tc>
          <w:tcPr>
            <w:tcW w:w="720" w:type="dxa"/>
          </w:tcPr>
          <w:p w:rsidR="008B5B02" w:rsidRDefault="008B5B02">
            <w:pPr>
              <w:rPr>
                <w:b/>
              </w:rPr>
            </w:pPr>
            <w:r>
              <w:rPr>
                <w:b/>
              </w:rPr>
              <w:t>)</w:t>
            </w:r>
          </w:p>
          <w:p w:rsidR="008B5B02" w:rsidRDefault="008B5B02">
            <w:pPr>
              <w:rPr>
                <w:b/>
              </w:rPr>
            </w:pPr>
            <w:r>
              <w:rPr>
                <w:b/>
              </w:rPr>
              <w:t>)</w:t>
            </w:r>
          </w:p>
          <w:p w:rsidR="008B5B02" w:rsidRDefault="008B5B02">
            <w:pPr>
              <w:rPr>
                <w:b/>
              </w:rPr>
            </w:pPr>
            <w:r>
              <w:rPr>
                <w:b/>
              </w:rPr>
              <w:t>)</w:t>
            </w:r>
          </w:p>
          <w:p w:rsidR="008B5B02" w:rsidRDefault="008B5B02">
            <w:pPr>
              <w:rPr>
                <w:b/>
              </w:rPr>
            </w:pPr>
            <w:r>
              <w:rPr>
                <w:b/>
              </w:rPr>
              <w:t>)</w:t>
            </w:r>
          </w:p>
          <w:p w:rsidR="008B5B02" w:rsidRDefault="008B5B02">
            <w:pPr>
              <w:rPr>
                <w:b/>
              </w:rPr>
            </w:pPr>
            <w:r>
              <w:rPr>
                <w:b/>
              </w:rPr>
              <w:t>)</w:t>
            </w:r>
          </w:p>
          <w:p w:rsidR="008B5B02" w:rsidRDefault="008B5B02">
            <w:pPr>
              <w:rPr>
                <w:b/>
              </w:rPr>
            </w:pPr>
            <w:r>
              <w:rPr>
                <w:b/>
              </w:rPr>
              <w:t>)</w:t>
            </w:r>
          </w:p>
          <w:p w:rsidR="008B5B02" w:rsidRDefault="008B5B02">
            <w:pPr>
              <w:rPr>
                <w:b/>
              </w:rPr>
            </w:pPr>
            <w:r>
              <w:rPr>
                <w:b/>
              </w:rPr>
              <w:t>)</w:t>
            </w:r>
          </w:p>
        </w:tc>
        <w:tc>
          <w:tcPr>
            <w:tcW w:w="4230" w:type="dxa"/>
          </w:tcPr>
          <w:p w:rsidR="008B5B02" w:rsidRDefault="008B5B02"/>
          <w:p w:rsidR="008B5B02" w:rsidRDefault="008B5B02"/>
          <w:p w:rsidR="008B5B02" w:rsidRDefault="008B5B02">
            <w:r>
              <w:t>Call Signs WNVJ741, WPIQ777, WPTG843, WPXC618, WPXY504, and WQAQ340</w:t>
            </w:r>
          </w:p>
          <w:p w:rsidR="008B5B02" w:rsidRDefault="008B5B02"/>
          <w:p w:rsidR="008B5B02" w:rsidRDefault="008B5B02">
            <w:r>
              <w:t>Call Signs KNNF731 and WQO982</w:t>
            </w:r>
          </w:p>
        </w:tc>
      </w:tr>
    </w:tbl>
    <w:p w:rsidR="008B5B02" w:rsidRDefault="008B5B02"/>
    <w:p w:rsidR="008B5B02" w:rsidRDefault="008B5B02">
      <w:pPr>
        <w:spacing w:before="120"/>
        <w:jc w:val="center"/>
        <w:rPr>
          <w:b/>
        </w:rPr>
      </w:pPr>
      <w:r>
        <w:rPr>
          <w:b/>
          <w:spacing w:val="-2"/>
        </w:rPr>
        <w:t xml:space="preserve">ORDER ON </w:t>
      </w:r>
      <w:r w:rsidR="00A9360D">
        <w:rPr>
          <w:b/>
          <w:spacing w:val="-2"/>
        </w:rPr>
        <w:t xml:space="preserve">FURTHER </w:t>
      </w:r>
      <w:r>
        <w:rPr>
          <w:b/>
          <w:spacing w:val="-2"/>
        </w:rPr>
        <w:t>RECONSIDERATION</w:t>
      </w:r>
    </w:p>
    <w:p w:rsidR="008B5B02" w:rsidRDefault="008B5B02"/>
    <w:p w:rsidR="008B5B02" w:rsidRDefault="008B5B02">
      <w:pPr>
        <w:tabs>
          <w:tab w:val="right" w:pos="9360"/>
        </w:tabs>
        <w:rPr>
          <w:b/>
        </w:rPr>
      </w:pPr>
      <w:r>
        <w:rPr>
          <w:b/>
        </w:rPr>
        <w:t xml:space="preserve">Adopted:  </w:t>
      </w:r>
      <w:r w:rsidR="00AF7206">
        <w:rPr>
          <w:b/>
          <w:spacing w:val="-2"/>
        </w:rPr>
        <w:t>May 22, 2014</w:t>
      </w:r>
      <w:r>
        <w:rPr>
          <w:b/>
        </w:rPr>
        <w:tab/>
        <w:t xml:space="preserve">Released:  </w:t>
      </w:r>
      <w:r w:rsidR="00AF7206">
        <w:rPr>
          <w:b/>
          <w:spacing w:val="-2"/>
        </w:rPr>
        <w:t>May 22, 2014</w:t>
      </w:r>
    </w:p>
    <w:p w:rsidR="008B5B02" w:rsidRDefault="008B5B02">
      <w:pPr>
        <w:tabs>
          <w:tab w:val="left" w:pos="5760"/>
        </w:tabs>
        <w:rPr>
          <w:b/>
        </w:rPr>
      </w:pPr>
    </w:p>
    <w:p w:rsidR="008B5B02" w:rsidRDefault="008B5B02">
      <w:pPr>
        <w:tabs>
          <w:tab w:val="left" w:pos="5760"/>
        </w:tabs>
      </w:pPr>
      <w:r>
        <w:t>By the Deputy Chief, Mobility Division, Wireless Telecommunications Bureau:</w:t>
      </w:r>
    </w:p>
    <w:p w:rsidR="008B5B02" w:rsidRDefault="008B5B02">
      <w:pPr>
        <w:tabs>
          <w:tab w:val="left" w:pos="5760"/>
        </w:tabs>
      </w:pPr>
    </w:p>
    <w:p w:rsidR="008B5B02" w:rsidRDefault="008B5B02" w:rsidP="00665B47">
      <w:pPr>
        <w:pStyle w:val="ParaNum"/>
        <w:tabs>
          <w:tab w:val="clear" w:pos="1080"/>
        </w:tabs>
        <w:jc w:val="left"/>
      </w:pPr>
      <w:r>
        <w:rPr>
          <w:i/>
        </w:rPr>
        <w:t xml:space="preserve">Introduction.  </w:t>
      </w:r>
      <w:r>
        <w:t xml:space="preserve">In this </w:t>
      </w:r>
      <w:r>
        <w:rPr>
          <w:i/>
        </w:rPr>
        <w:t xml:space="preserve">Order on </w:t>
      </w:r>
      <w:r w:rsidR="00A9360D">
        <w:rPr>
          <w:i/>
        </w:rPr>
        <w:t xml:space="preserve">Further </w:t>
      </w:r>
      <w:r>
        <w:rPr>
          <w:i/>
        </w:rPr>
        <w:t>Reconsideration</w:t>
      </w:r>
      <w:r w:rsidR="00665B47">
        <w:t>, we d</w:t>
      </w:r>
      <w:r w:rsidR="00A9360D">
        <w:t>eny a petition</w:t>
      </w:r>
      <w:r w:rsidR="00665B47">
        <w:rPr>
          <w:rStyle w:val="FootnoteReference"/>
        </w:rPr>
        <w:footnoteReference w:id="2"/>
      </w:r>
      <w:r w:rsidR="00A9360D">
        <w:t xml:space="preserve"> filed by </w:t>
      </w:r>
      <w:r w:rsidR="00665B47" w:rsidRPr="00665B47">
        <w:t xml:space="preserve">Warren Havens, Environmentel LLC, Environmentel-2 LLC, Skybridge Spectrum Foundation, Verde Systems LLC, Telesaurus Holdings GB LLC, Intelligent Transportation &amp; Monitoring Wireless LLC, and V2G LLC (collectively, Havens Entities) for further reconsideration of an </w:t>
      </w:r>
      <w:r w:rsidR="00665B47">
        <w:rPr>
          <w:i/>
        </w:rPr>
        <w:t>Order on Reconsideration</w:t>
      </w:r>
      <w:r w:rsidR="00665B47" w:rsidRPr="00665B47">
        <w:rPr>
          <w:rStyle w:val="FootnoteReference"/>
        </w:rPr>
        <w:footnoteReference w:id="3"/>
      </w:r>
      <w:r w:rsidR="00665B47" w:rsidRPr="00665B47">
        <w:rPr>
          <w:i/>
        </w:rPr>
        <w:t xml:space="preserve"> </w:t>
      </w:r>
      <w:r w:rsidR="00665B47" w:rsidRPr="00665B47">
        <w:t>gra</w:t>
      </w:r>
      <w:r w:rsidR="00717097">
        <w:t>n</w:t>
      </w:r>
      <w:r w:rsidR="00665B47">
        <w:t xml:space="preserve">ting reconsideration of an </w:t>
      </w:r>
      <w:r w:rsidR="00665B47">
        <w:rPr>
          <w:i/>
        </w:rPr>
        <w:t xml:space="preserve">Order </w:t>
      </w:r>
      <w:r w:rsidR="00AA70DB">
        <w:rPr>
          <w:i/>
        </w:rPr>
        <w:t>o</w:t>
      </w:r>
      <w:r w:rsidR="00665B47">
        <w:rPr>
          <w:i/>
        </w:rPr>
        <w:t>n Reconsideration</w:t>
      </w:r>
      <w:r w:rsidR="00665B47">
        <w:t xml:space="preserve"> </w:t>
      </w:r>
      <w:r w:rsidRPr="00665B47">
        <w:rPr>
          <w:i/>
        </w:rPr>
        <w:t>and Order of Modification</w:t>
      </w:r>
      <w:r>
        <w:rPr>
          <w:rStyle w:val="FootnoteReference"/>
        </w:rPr>
        <w:footnoteReference w:id="4"/>
      </w:r>
      <w:r>
        <w:t xml:space="preserve"> that modifi</w:t>
      </w:r>
      <w:r w:rsidR="00717097">
        <w:t>ed</w:t>
      </w:r>
      <w:r>
        <w:t xml:space="preserve"> </w:t>
      </w:r>
      <w:r w:rsidR="00717097">
        <w:t xml:space="preserve">the </w:t>
      </w:r>
      <w:r>
        <w:t xml:space="preserve">licenses </w:t>
      </w:r>
      <w:r w:rsidR="00717097">
        <w:t xml:space="preserve">of Thomas Kurian (Mr. Kurian) </w:t>
      </w:r>
      <w:r>
        <w:t xml:space="preserve">for </w:t>
      </w:r>
      <w:r w:rsidR="00A82301">
        <w:t xml:space="preserve">private land mobile radio </w:t>
      </w:r>
      <w:r>
        <w:t xml:space="preserve">Stations KNNF731 and WQO982.  </w:t>
      </w:r>
    </w:p>
    <w:p w:rsidR="008B5B02" w:rsidRDefault="008B5B02" w:rsidP="0013373C">
      <w:pPr>
        <w:pStyle w:val="ParaNum"/>
        <w:tabs>
          <w:tab w:val="clear" w:pos="1080"/>
        </w:tabs>
        <w:jc w:val="left"/>
      </w:pPr>
      <w:r w:rsidRPr="0013373C">
        <w:rPr>
          <w:i/>
        </w:rPr>
        <w:t>Background</w:t>
      </w:r>
      <w:r>
        <w:t>.</w:t>
      </w:r>
      <w:r>
        <w:rPr>
          <w:rStyle w:val="FootnoteReference"/>
        </w:rPr>
        <w:footnoteReference w:id="5"/>
      </w:r>
      <w:r w:rsidRPr="0013373C">
        <w:rPr>
          <w:i/>
        </w:rPr>
        <w:t xml:space="preserve">  </w:t>
      </w:r>
      <w:r w:rsidR="0013373C">
        <w:t xml:space="preserve">While </w:t>
      </w:r>
      <w:r w:rsidR="00893B6E">
        <w:t>litigation</w:t>
      </w:r>
      <w:r w:rsidR="0013373C">
        <w:t xml:space="preserve"> between Pappammal Kurian (Ms. Kurian) and Richard Susainathan over the licenses for</w:t>
      </w:r>
      <w:r w:rsidR="00AA70DB">
        <w:t xml:space="preserve">, </w:t>
      </w:r>
      <w:r w:rsidR="00AA70DB">
        <w:rPr>
          <w:i/>
        </w:rPr>
        <w:t>inter alia</w:t>
      </w:r>
      <w:r w:rsidR="00AA70DB">
        <w:t>,</w:t>
      </w:r>
      <w:r w:rsidR="0013373C">
        <w:t xml:space="preserve"> Stations WNVJ741, WPIQ777, and WQAQ340</w:t>
      </w:r>
      <w:r w:rsidR="00D9097D">
        <w:t xml:space="preserve"> </w:t>
      </w:r>
      <w:r w:rsidR="0013373C">
        <w:t xml:space="preserve">was </w:t>
      </w:r>
      <w:r w:rsidR="00893B6E">
        <w:t>pending</w:t>
      </w:r>
      <w:r w:rsidR="0013373C">
        <w:t xml:space="preserve"> in state court, Mr. Susainathan </w:t>
      </w:r>
      <w:r>
        <w:t>assigned the</w:t>
      </w:r>
      <w:r w:rsidR="009C7284">
        <w:t>m</w:t>
      </w:r>
      <w:r>
        <w:t xml:space="preserve"> to Mr. Kurian</w:t>
      </w:r>
      <w:r w:rsidR="00D30141">
        <w:t>,</w:t>
      </w:r>
      <w:r>
        <w:rPr>
          <w:rStyle w:val="FootnoteReference"/>
        </w:rPr>
        <w:footnoteReference w:id="6"/>
      </w:r>
      <w:r>
        <w:t xml:space="preserve"> </w:t>
      </w:r>
      <w:r w:rsidR="00D30141">
        <w:t>who the</w:t>
      </w:r>
      <w:r>
        <w:t>n modified his license for Station WQO982 to add frequencies assigned to Station WNVJ741</w:t>
      </w:r>
      <w:r>
        <w:rPr>
          <w:rStyle w:val="FootnoteReference"/>
        </w:rPr>
        <w:footnoteReference w:id="7"/>
      </w:r>
      <w:r>
        <w:t xml:space="preserve"> </w:t>
      </w:r>
      <w:r w:rsidR="00D30141">
        <w:t xml:space="preserve">and </w:t>
      </w:r>
      <w:r>
        <w:t>cancelled the license for Station WNVJ741;</w:t>
      </w:r>
      <w:r>
        <w:rPr>
          <w:rStyle w:val="FootnoteReference"/>
        </w:rPr>
        <w:footnoteReference w:id="8"/>
      </w:r>
      <w:r>
        <w:t xml:space="preserve"> and modified his license for Station KNNF731 to add frequencies assigned to Stations WPIQ777 and WQAQ340</w:t>
      </w:r>
      <w:r>
        <w:rPr>
          <w:rStyle w:val="FootnoteReference"/>
        </w:rPr>
        <w:footnoteReference w:id="9"/>
      </w:r>
      <w:r>
        <w:t xml:space="preserve"> </w:t>
      </w:r>
      <w:r w:rsidR="00D30141">
        <w:t>and</w:t>
      </w:r>
      <w:r>
        <w:t xml:space="preserve"> cancelled the licenses for Stations WPIQ777</w:t>
      </w:r>
      <w:r w:rsidR="00D9097D">
        <w:t xml:space="preserve"> an</w:t>
      </w:r>
      <w:r>
        <w:t>d WQAQ340.</w:t>
      </w:r>
      <w:r>
        <w:rPr>
          <w:rStyle w:val="FootnoteReference"/>
        </w:rPr>
        <w:footnoteReference w:id="10"/>
      </w:r>
      <w:r w:rsidR="0088400C">
        <w:t xml:space="preserve">  </w:t>
      </w:r>
    </w:p>
    <w:p w:rsidR="009C271D" w:rsidRDefault="0088400C" w:rsidP="00717097">
      <w:pPr>
        <w:pStyle w:val="ParaNum"/>
        <w:widowControl/>
        <w:tabs>
          <w:tab w:val="clear" w:pos="1080"/>
        </w:tabs>
        <w:jc w:val="left"/>
      </w:pPr>
      <w:r>
        <w:lastRenderedPageBreak/>
        <w:t>A</w:t>
      </w:r>
      <w:r w:rsidR="008B5B02">
        <w:t xml:space="preserve">fter the state court awarded </w:t>
      </w:r>
      <w:r>
        <w:t>the licenses</w:t>
      </w:r>
      <w:r w:rsidR="008B5B02">
        <w:t xml:space="preserve"> to Ms. Kurian,</w:t>
      </w:r>
      <w:r w:rsidR="008B5B02">
        <w:rPr>
          <w:rStyle w:val="FootnoteReference"/>
        </w:rPr>
        <w:footnoteReference w:id="11"/>
      </w:r>
      <w:r w:rsidR="008B5B02">
        <w:t xml:space="preserve"> the </w:t>
      </w:r>
      <w:r>
        <w:t xml:space="preserve">Wireless Telecommunications Bureau’s Mobility </w:t>
      </w:r>
      <w:r w:rsidR="008B5B02">
        <w:t xml:space="preserve">Division </w:t>
      </w:r>
      <w:r>
        <w:t xml:space="preserve">(Division) </w:t>
      </w:r>
      <w:r w:rsidR="008B5B02">
        <w:t xml:space="preserve">reinstated the licenses </w:t>
      </w:r>
      <w:r>
        <w:t>and</w:t>
      </w:r>
      <w:r w:rsidR="00917877">
        <w:t xml:space="preserve"> granted temporary waivers of </w:t>
      </w:r>
      <w:r w:rsidR="00D30141">
        <w:t>the Commission’s Rules</w:t>
      </w:r>
      <w:r>
        <w:rPr>
          <w:rStyle w:val="FootnoteReference"/>
        </w:rPr>
        <w:footnoteReference w:id="12"/>
      </w:r>
      <w:r w:rsidR="00D30141">
        <w:t xml:space="preserve"> </w:t>
      </w:r>
      <w:r w:rsidR="00917877">
        <w:t xml:space="preserve">in order to give her one year </w:t>
      </w:r>
      <w:r w:rsidR="00AA70DB">
        <w:t xml:space="preserve">(until October 28, 2012) </w:t>
      </w:r>
      <w:r w:rsidR="00917877">
        <w:t xml:space="preserve">to bring </w:t>
      </w:r>
      <w:r w:rsidR="00B674F7">
        <w:t>the s</w:t>
      </w:r>
      <w:r w:rsidR="00917877">
        <w:t>tations back into operation.</w:t>
      </w:r>
      <w:r w:rsidR="00917877">
        <w:rPr>
          <w:rStyle w:val="FootnoteReference"/>
        </w:rPr>
        <w:footnoteReference w:id="13"/>
      </w:r>
      <w:r w:rsidR="00917877">
        <w:t xml:space="preserve">  </w:t>
      </w:r>
      <w:r w:rsidR="00665B47">
        <w:t>To</w:t>
      </w:r>
      <w:r w:rsidR="008B5B02">
        <w:t xml:space="preserve"> enable Ms. Kurian to restore interference-free operations, the Division </w:t>
      </w:r>
      <w:r w:rsidR="00665B47">
        <w:t>modified</w:t>
      </w:r>
      <w:r w:rsidR="008B5B02">
        <w:t xml:space="preserve"> Mr. Kurian’s licenses for Stations KNNF731 and WQO982 by deleting the frequencies that he had added from the licenses that he cancelled</w:t>
      </w:r>
      <w:r w:rsidR="00B674F7">
        <w:t>.</w:t>
      </w:r>
      <w:r w:rsidR="00B674F7">
        <w:rPr>
          <w:rStyle w:val="FootnoteReference"/>
        </w:rPr>
        <w:footnoteReference w:id="14"/>
      </w:r>
      <w:r w:rsidR="00717097">
        <w:t xml:space="preserve">  </w:t>
      </w:r>
    </w:p>
    <w:p w:rsidR="00863691" w:rsidRDefault="00B245A6" w:rsidP="00863691">
      <w:pPr>
        <w:pStyle w:val="ParaNum"/>
        <w:widowControl/>
        <w:tabs>
          <w:tab w:val="clear" w:pos="1080"/>
        </w:tabs>
        <w:jc w:val="left"/>
      </w:pPr>
      <w:r>
        <w:t>Instead of bringing the stations back into operation, however</w:t>
      </w:r>
      <w:r w:rsidR="00717097">
        <w:t xml:space="preserve">, Ms. Kurian </w:t>
      </w:r>
      <w:r w:rsidR="00AE487D">
        <w:t>cancel</w:t>
      </w:r>
      <w:r w:rsidR="00717097">
        <w:t>led</w:t>
      </w:r>
      <w:r w:rsidR="00AE487D">
        <w:t xml:space="preserve"> the licenses for Stations WPIQ777 and WNVJ741</w:t>
      </w:r>
      <w:r w:rsidR="00C677BE">
        <w:t>,</w:t>
      </w:r>
      <w:r w:rsidR="00AE487D">
        <w:rPr>
          <w:rStyle w:val="FootnoteReference"/>
        </w:rPr>
        <w:footnoteReference w:id="15"/>
      </w:r>
      <w:r w:rsidR="00717097">
        <w:t xml:space="preserve"> and reported i</w:t>
      </w:r>
      <w:r w:rsidR="00AE487D">
        <w:t>n response to a Division inquiry regarding the construction and operational status of her licensed stations</w:t>
      </w:r>
      <w:r w:rsidR="00EF7893">
        <w:t xml:space="preserve"> that she had not constructed </w:t>
      </w:r>
      <w:r w:rsidR="00717097">
        <w:t>Station WQAQ340</w:t>
      </w:r>
      <w:r w:rsidR="00EF7893">
        <w:t>.</w:t>
      </w:r>
      <w:r w:rsidR="00EF7893">
        <w:rPr>
          <w:rStyle w:val="FootnoteReference"/>
        </w:rPr>
        <w:footnoteReference w:id="16"/>
      </w:r>
      <w:r w:rsidR="00717097">
        <w:t xml:space="preserve">  </w:t>
      </w:r>
      <w:r w:rsidR="009C271D">
        <w:t>Consequently</w:t>
      </w:r>
      <w:r w:rsidR="00717097">
        <w:t xml:space="preserve">, the Division granted Mr. </w:t>
      </w:r>
      <w:r w:rsidR="00665B47">
        <w:t xml:space="preserve">Kurian’s petition </w:t>
      </w:r>
      <w:r w:rsidR="00717097">
        <w:t>for</w:t>
      </w:r>
      <w:r w:rsidR="00665B47">
        <w:t xml:space="preserve"> reconsideration of the</w:t>
      </w:r>
      <w:r w:rsidR="009C271D">
        <w:t xml:space="preserve"> order modifying his licenses</w:t>
      </w:r>
      <w:r w:rsidR="00665B47">
        <w:t xml:space="preserve">, </w:t>
      </w:r>
      <w:r w:rsidR="00717097">
        <w:t xml:space="preserve">concluding </w:t>
      </w:r>
      <w:r w:rsidR="00665B47">
        <w:t>that it</w:t>
      </w:r>
      <w:r w:rsidR="00EF7893">
        <w:t xml:space="preserve"> no longer </w:t>
      </w:r>
      <w:r w:rsidR="00717097">
        <w:t xml:space="preserve">would </w:t>
      </w:r>
      <w:r w:rsidR="00EF7893">
        <w:t>further the public interest to delet</w:t>
      </w:r>
      <w:r w:rsidR="009C271D">
        <w:t>e</w:t>
      </w:r>
      <w:r w:rsidR="00EF7893">
        <w:t xml:space="preserve"> the frequencies that he had added from the licenses that </w:t>
      </w:r>
      <w:r w:rsidR="009C271D">
        <w:t>were once again inactive</w:t>
      </w:r>
      <w:r w:rsidR="00EF7893">
        <w:t>.</w:t>
      </w:r>
      <w:r w:rsidR="00665B47">
        <w:rPr>
          <w:rStyle w:val="FootnoteReference"/>
        </w:rPr>
        <w:footnoteReference w:id="17"/>
      </w:r>
      <w:r w:rsidR="009C271D">
        <w:t xml:space="preserve">  The Division also </w:t>
      </w:r>
      <w:r w:rsidR="00D9097D">
        <w:t>concluded that t</w:t>
      </w:r>
      <w:r w:rsidR="009C271D">
        <w:t>he authorization for</w:t>
      </w:r>
      <w:r w:rsidR="009C271D" w:rsidRPr="00665B47">
        <w:t xml:space="preserve"> Station WQAQ340 </w:t>
      </w:r>
      <w:r w:rsidR="00D9097D">
        <w:t>had cancelled automatically</w:t>
      </w:r>
      <w:r w:rsidR="009C271D">
        <w:t>.</w:t>
      </w:r>
      <w:r w:rsidR="009C271D">
        <w:rPr>
          <w:rStyle w:val="FootnoteReference"/>
        </w:rPr>
        <w:footnoteReference w:id="18"/>
      </w:r>
    </w:p>
    <w:p w:rsidR="0078162F" w:rsidRDefault="00D9097D" w:rsidP="0078162F">
      <w:pPr>
        <w:pStyle w:val="ParaNum"/>
        <w:widowControl/>
        <w:tabs>
          <w:tab w:val="clear" w:pos="1080"/>
        </w:tabs>
        <w:jc w:val="left"/>
      </w:pPr>
      <w:r>
        <w:t>T</w:t>
      </w:r>
      <w:r w:rsidR="00972706">
        <w:t xml:space="preserve">he Havens Entities filed a petition for reconsideration </w:t>
      </w:r>
      <w:r w:rsidR="009C271D">
        <w:t xml:space="preserve">arguing that the Division’s actions should be set aside because one </w:t>
      </w:r>
      <w:r w:rsidR="00972706">
        <w:t xml:space="preserve">of the </w:t>
      </w:r>
      <w:r w:rsidR="00972706" w:rsidRPr="007F5670">
        <w:t xml:space="preserve">Havens Entities obtained a </w:t>
      </w:r>
      <w:r w:rsidR="00972706">
        <w:t xml:space="preserve">monetary </w:t>
      </w:r>
      <w:r w:rsidR="00972706" w:rsidRPr="007F5670">
        <w:t xml:space="preserve">judgment against Ms. Kurian in Nevada state court </w:t>
      </w:r>
      <w:r w:rsidR="00972706">
        <w:t>and plans to proceed with the necessary legal actions to obtain satisfaction of the judgment by forcing a sale of Ms. Kurian’s licenses.</w:t>
      </w:r>
      <w:r w:rsidR="00972706">
        <w:rPr>
          <w:rStyle w:val="FootnoteReference"/>
        </w:rPr>
        <w:footnoteReference w:id="19"/>
      </w:r>
      <w:r w:rsidR="00863691">
        <w:t xml:space="preserve">  </w:t>
      </w:r>
      <w:r w:rsidR="00B245A6">
        <w:t>T</w:t>
      </w:r>
      <w:r w:rsidR="00972706">
        <w:t xml:space="preserve">he Nevada state court </w:t>
      </w:r>
      <w:r w:rsidR="00365C0E">
        <w:t xml:space="preserve">enjoined </w:t>
      </w:r>
      <w:r w:rsidR="00972706">
        <w:t xml:space="preserve">Ms. Kurian from </w:t>
      </w:r>
      <w:r w:rsidR="00365C0E">
        <w:t xml:space="preserve">“transferring, concealing, removing from the jurisdiction, making use of, or otherwise </w:t>
      </w:r>
      <w:r w:rsidR="00972706">
        <w:t>disposing of any assets</w:t>
      </w:r>
      <w:r w:rsidR="00B245A6">
        <w:t>,</w:t>
      </w:r>
      <w:r w:rsidR="00365C0E">
        <w:t>”</w:t>
      </w:r>
      <w:r w:rsidR="00972706">
        <w:rPr>
          <w:rStyle w:val="FootnoteReference"/>
        </w:rPr>
        <w:footnoteReference w:id="20"/>
      </w:r>
      <w:r w:rsidR="00972706">
        <w:t xml:space="preserve"> and appointed a receiver</w:t>
      </w:r>
      <w:r w:rsidR="00972706">
        <w:rPr>
          <w:rStyle w:val="FootnoteReference"/>
        </w:rPr>
        <w:footnoteReference w:id="21"/>
      </w:r>
      <w:r w:rsidR="00972706">
        <w:t xml:space="preserve"> to seek Commissi</w:t>
      </w:r>
      <w:r w:rsidR="00B245A6">
        <w:t xml:space="preserve">on approval to take control of </w:t>
      </w:r>
      <w:r w:rsidR="00972706">
        <w:t>he</w:t>
      </w:r>
      <w:r w:rsidR="00B245A6">
        <w:t>r</w:t>
      </w:r>
      <w:r w:rsidR="00972706">
        <w:t xml:space="preserve"> licenses and sell them and distribute the net proceeds to the plaintiff to satisfy the judgment.</w:t>
      </w:r>
      <w:r w:rsidR="00972706">
        <w:rPr>
          <w:rStyle w:val="FootnoteReference"/>
        </w:rPr>
        <w:footnoteReference w:id="22"/>
      </w:r>
    </w:p>
    <w:p w:rsidR="005670EE" w:rsidRPr="00873DEF" w:rsidRDefault="00863691" w:rsidP="00FA5E62">
      <w:pPr>
        <w:pStyle w:val="ParaNum"/>
        <w:widowControl/>
        <w:tabs>
          <w:tab w:val="clear" w:pos="1080"/>
        </w:tabs>
        <w:jc w:val="left"/>
      </w:pPr>
      <w:r w:rsidRPr="009C7284">
        <w:rPr>
          <w:i/>
        </w:rPr>
        <w:t xml:space="preserve">Discussion.  </w:t>
      </w:r>
      <w:r w:rsidR="00D604F3">
        <w:t xml:space="preserve">The </w:t>
      </w:r>
      <w:r w:rsidR="00221131">
        <w:t xml:space="preserve">Nevada </w:t>
      </w:r>
      <w:r w:rsidR="00893B6E">
        <w:t xml:space="preserve">state court </w:t>
      </w:r>
      <w:r w:rsidR="00D604F3">
        <w:t xml:space="preserve">temporary restraining order and receivership appointment order were issued after </w:t>
      </w:r>
      <w:r w:rsidR="00893B6E">
        <w:t xml:space="preserve">Ms. Kurian </w:t>
      </w:r>
      <w:r w:rsidR="0078162F">
        <w:t>cancell</w:t>
      </w:r>
      <w:r w:rsidR="00893B6E">
        <w:t xml:space="preserve">ed the licenses for Stations WPIQ777 and WNVJ741, and after </w:t>
      </w:r>
      <w:r w:rsidR="00221131">
        <w:t>her</w:t>
      </w:r>
      <w:r w:rsidR="00893B6E">
        <w:t xml:space="preserve"> </w:t>
      </w:r>
      <w:r w:rsidR="00221131">
        <w:t xml:space="preserve">license for </w:t>
      </w:r>
      <w:r w:rsidR="00893B6E">
        <w:t xml:space="preserve">Station WQAQ340 </w:t>
      </w:r>
      <w:r w:rsidR="00221131">
        <w:t xml:space="preserve">automatically terminated upon expiration of the </w:t>
      </w:r>
      <w:r w:rsidR="00221131">
        <w:lastRenderedPageBreak/>
        <w:t>extended construction period.</w:t>
      </w:r>
      <w:r w:rsidR="00893B6E">
        <w:t xml:space="preserve"> </w:t>
      </w:r>
      <w:r w:rsidR="00221131">
        <w:t xml:space="preserve"> W</w:t>
      </w:r>
      <w:r w:rsidR="00D604F3">
        <w:t xml:space="preserve">hile the Commission generally accommodates court decrees that are final unless it is in the public interest to do otherwise, the record in this matter sets forth no court order that then barred </w:t>
      </w:r>
      <w:r w:rsidR="00221131">
        <w:t xml:space="preserve">the termination of </w:t>
      </w:r>
      <w:r w:rsidR="00D604F3">
        <w:t>th</w:t>
      </w:r>
      <w:r w:rsidR="00893B6E">
        <w:t>os</w:t>
      </w:r>
      <w:r w:rsidR="00D604F3">
        <w:t>e licenses.</w:t>
      </w:r>
      <w:r w:rsidR="00893B6E">
        <w:rPr>
          <w:rStyle w:val="FootnoteReference"/>
        </w:rPr>
        <w:footnoteReference w:id="23"/>
      </w:r>
      <w:r w:rsidR="00D604F3" w:rsidRPr="009C7284">
        <w:rPr>
          <w:szCs w:val="22"/>
        </w:rPr>
        <w:t xml:space="preserve">  </w:t>
      </w:r>
      <w:r w:rsidR="00221131">
        <w:rPr>
          <w:szCs w:val="22"/>
        </w:rPr>
        <w:t xml:space="preserve">Granting </w:t>
      </w:r>
      <w:r w:rsidR="00221131">
        <w:t>Mr. Kurian’s petition to restore to his licenses for Stations KNNF731 and WQO982 the frequencies that he had added from the licenses that he cancelled therefore does not conflict with the state court orders.  Consequently, we find no error in the Division’s actions.</w:t>
      </w:r>
    </w:p>
    <w:p w:rsidR="00B245A6" w:rsidRPr="00B245A6" w:rsidRDefault="008B5B02" w:rsidP="00B245A6">
      <w:pPr>
        <w:pStyle w:val="ParaNum"/>
        <w:tabs>
          <w:tab w:val="clear" w:pos="1080"/>
        </w:tabs>
        <w:jc w:val="left"/>
      </w:pPr>
      <w:r w:rsidRPr="00B245A6">
        <w:rPr>
          <w:i/>
        </w:rPr>
        <w:t>Ordering Clauses</w:t>
      </w:r>
      <w:r>
        <w:t xml:space="preserve">.  </w:t>
      </w:r>
      <w:r w:rsidR="00A9360D" w:rsidRPr="00A9360D">
        <w:t xml:space="preserve">Accordingly, IT IS ORDERED that, pursuant to Sections 4(i) and 405 of the Communications Act of 1934, as amended, 47 U.S.C. §§ 154(i), 405, and Section 1.106 of the Commission's Rules, 47 C.F.R. § 1.106, the </w:t>
      </w:r>
      <w:r w:rsidR="00FA5E62" w:rsidRPr="00FA5E62">
        <w:t xml:space="preserve">Petition for Action under Section 1.41 or Reconsideration of DA 13-1660, Order on </w:t>
      </w:r>
      <w:r w:rsidR="00FA5E62">
        <w:t xml:space="preserve">Reconsideration, </w:t>
      </w:r>
      <w:r w:rsidR="0013379F">
        <w:t xml:space="preserve">Rel. July 29, 2013 </w:t>
      </w:r>
      <w:r w:rsidR="00FA5E62">
        <w:t xml:space="preserve">filed by </w:t>
      </w:r>
      <w:r w:rsidR="00FA5E62" w:rsidRPr="00FA5E62">
        <w:t xml:space="preserve">Warren Havens, Environmentel LLC, Environmentel-2 LLC, Skybridge Spectrum Foundation, Verde Systems LLC, Telesaurus Holdings GB LLC, Intelligent Transportation &amp; Monitoring Wireless LLC, and V2G LLC </w:t>
      </w:r>
      <w:r w:rsidR="00FA5E62">
        <w:t xml:space="preserve">on </w:t>
      </w:r>
      <w:r w:rsidR="0013379F">
        <w:t>August</w:t>
      </w:r>
      <w:r w:rsidR="00FA5E62">
        <w:t xml:space="preserve"> 29, 2013 </w:t>
      </w:r>
      <w:r w:rsidR="00A9360D" w:rsidRPr="00A9360D">
        <w:t xml:space="preserve">IS </w:t>
      </w:r>
      <w:r w:rsidR="00FA5E62">
        <w:t>DENIED</w:t>
      </w:r>
      <w:r w:rsidR="00A9360D" w:rsidRPr="00A9360D">
        <w:t>.</w:t>
      </w:r>
    </w:p>
    <w:p w:rsidR="008B5B02" w:rsidRDefault="008B5B02" w:rsidP="00B245A6">
      <w:pPr>
        <w:pStyle w:val="ParaNum"/>
        <w:tabs>
          <w:tab w:val="clear" w:pos="1080"/>
        </w:tabs>
        <w:jc w:val="left"/>
      </w:pPr>
      <w:r>
        <w:t>This action is taken under delegated authority pursuant to Sections 0.131 and 0.331 of the Commission’s Rules, 47 C.F.R. §§ 0131, 0.331.</w:t>
      </w:r>
    </w:p>
    <w:p w:rsidR="008B5B02" w:rsidRDefault="008B5B02">
      <w:pPr>
        <w:ind w:left="4320"/>
      </w:pPr>
      <w:r>
        <w:t>FEDERAL COMMUNICATIONS COMMISSION</w:t>
      </w:r>
    </w:p>
    <w:p w:rsidR="008B5B02" w:rsidRDefault="008B5B02"/>
    <w:p w:rsidR="008B5B02" w:rsidRDefault="008B5B02"/>
    <w:p w:rsidR="008B5B02" w:rsidRDefault="008B5B02"/>
    <w:p w:rsidR="008B5B02" w:rsidRDefault="008B5B02">
      <w:r>
        <w:tab/>
      </w:r>
      <w:r>
        <w:tab/>
      </w:r>
      <w:r>
        <w:tab/>
      </w:r>
      <w:r>
        <w:tab/>
      </w:r>
      <w:r>
        <w:tab/>
      </w:r>
      <w:r>
        <w:tab/>
        <w:t>Scot Stone</w:t>
      </w:r>
    </w:p>
    <w:p w:rsidR="008B5B02" w:rsidRDefault="008B5B02">
      <w:r>
        <w:tab/>
      </w:r>
      <w:r>
        <w:tab/>
      </w:r>
      <w:r>
        <w:tab/>
      </w:r>
      <w:r>
        <w:tab/>
      </w:r>
      <w:r>
        <w:tab/>
      </w:r>
      <w:r>
        <w:tab/>
        <w:t>Deputy Chief, Mobility Division</w:t>
      </w:r>
    </w:p>
    <w:p w:rsidR="008B5B02" w:rsidRDefault="008B5B02">
      <w:r>
        <w:tab/>
      </w:r>
      <w:r>
        <w:tab/>
      </w:r>
      <w:r>
        <w:tab/>
      </w:r>
      <w:r>
        <w:tab/>
      </w:r>
      <w:r>
        <w:tab/>
      </w:r>
      <w:r>
        <w:tab/>
        <w:t>Wireless Telecommunications Bureau</w:t>
      </w:r>
    </w:p>
    <w:sectPr w:rsidR="008B5B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6F" w:rsidRDefault="0084586F">
      <w:r>
        <w:separator/>
      </w:r>
    </w:p>
  </w:endnote>
  <w:endnote w:type="continuationSeparator" w:id="0">
    <w:p w:rsidR="0084586F" w:rsidRDefault="0084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9A" w:rsidRDefault="002A2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91" w:rsidRDefault="00CB4A91">
    <w:pPr>
      <w:pStyle w:val="Footer"/>
      <w:jc w:val="center"/>
    </w:pPr>
    <w:r>
      <w:rPr>
        <w:rStyle w:val="PageNumber"/>
      </w:rPr>
      <w:fldChar w:fldCharType="begin"/>
    </w:r>
    <w:r>
      <w:rPr>
        <w:rStyle w:val="PageNumber"/>
      </w:rPr>
      <w:instrText xml:space="preserve"> PAGE </w:instrText>
    </w:r>
    <w:r>
      <w:rPr>
        <w:rStyle w:val="PageNumber"/>
      </w:rPr>
      <w:fldChar w:fldCharType="separate"/>
    </w:r>
    <w:r w:rsidR="009A0E7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9A" w:rsidRDefault="002A2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6F" w:rsidRDefault="0084586F">
      <w:pPr>
        <w:rPr>
          <w:sz w:val="20"/>
        </w:rPr>
      </w:pPr>
      <w:r>
        <w:rPr>
          <w:sz w:val="20"/>
        </w:rPr>
        <w:separator/>
      </w:r>
    </w:p>
  </w:footnote>
  <w:footnote w:type="continuationSeparator" w:id="0">
    <w:p w:rsidR="0084586F" w:rsidRDefault="0084586F">
      <w:pPr>
        <w:rPr>
          <w:sz w:val="20"/>
        </w:rPr>
      </w:pPr>
      <w:r>
        <w:rPr>
          <w:sz w:val="20"/>
        </w:rPr>
        <w:separator/>
      </w:r>
    </w:p>
    <w:p w:rsidR="0084586F" w:rsidRDefault="0084586F">
      <w:pPr>
        <w:rPr>
          <w:sz w:val="20"/>
        </w:rPr>
      </w:pPr>
      <w:r>
        <w:rPr>
          <w:sz w:val="20"/>
        </w:rPr>
        <w:t>(...continued from previous page)</w:t>
      </w:r>
    </w:p>
  </w:footnote>
  <w:footnote w:type="continuationNotice" w:id="1">
    <w:p w:rsidR="0084586F" w:rsidRDefault="0084586F">
      <w:pPr>
        <w:jc w:val="right"/>
        <w:rPr>
          <w:sz w:val="20"/>
        </w:rPr>
      </w:pPr>
      <w:r>
        <w:rPr>
          <w:sz w:val="20"/>
        </w:rPr>
        <w:t>(continued....)</w:t>
      </w:r>
    </w:p>
  </w:footnote>
  <w:footnote w:id="2">
    <w:p w:rsidR="00665B47" w:rsidRDefault="00665B47" w:rsidP="00665B47">
      <w:pPr>
        <w:pStyle w:val="FootnoteText"/>
        <w:jc w:val="left"/>
      </w:pPr>
      <w:r>
        <w:rPr>
          <w:rStyle w:val="FootnoteReference"/>
        </w:rPr>
        <w:footnoteRef/>
      </w:r>
      <w:r>
        <w:t xml:space="preserve"> Petition for Action under Section 1.41 or Reconsideration of DA 13-1660, Order on Reconsideration, Rel. July 29, 2013 (filed Aug. 29, 2013) (Havens Entities </w:t>
      </w:r>
      <w:r w:rsidR="00972706">
        <w:t>PFFR</w:t>
      </w:r>
      <w:r>
        <w:t>).</w:t>
      </w:r>
    </w:p>
  </w:footnote>
  <w:footnote w:id="3">
    <w:p w:rsidR="00665B47" w:rsidRDefault="00665B47" w:rsidP="00665B47">
      <w:pPr>
        <w:pStyle w:val="FootnoteText"/>
        <w:jc w:val="left"/>
      </w:pPr>
      <w:r>
        <w:rPr>
          <w:rStyle w:val="FootnoteReference"/>
        </w:rPr>
        <w:footnoteRef/>
      </w:r>
      <w:r>
        <w:t xml:space="preserve"> Pappammal Kurian, </w:t>
      </w:r>
      <w:r w:rsidRPr="00A9360D">
        <w:rPr>
          <w:i/>
        </w:rPr>
        <w:t>Order on Reconsideration</w:t>
      </w:r>
      <w:r>
        <w:t xml:space="preserve">, </w:t>
      </w:r>
      <w:r w:rsidRPr="00A9360D">
        <w:t xml:space="preserve">28 </w:t>
      </w:r>
      <w:r>
        <w:t xml:space="preserve">FCC Rcd </w:t>
      </w:r>
      <w:r w:rsidRPr="00A9360D">
        <w:t>11025</w:t>
      </w:r>
      <w:r>
        <w:t xml:space="preserve"> (WTB MD 2013) (</w:t>
      </w:r>
      <w:r>
        <w:rPr>
          <w:i/>
        </w:rPr>
        <w:t>Reconsideration Order</w:t>
      </w:r>
      <w:r>
        <w:t>).</w:t>
      </w:r>
    </w:p>
  </w:footnote>
  <w:footnote w:id="4">
    <w:p w:rsidR="00CB4A91" w:rsidRPr="008B5B02" w:rsidRDefault="00CB4A91">
      <w:pPr>
        <w:pStyle w:val="FootnoteText"/>
      </w:pPr>
      <w:r>
        <w:rPr>
          <w:rStyle w:val="FootnoteReference"/>
        </w:rPr>
        <w:footnoteRef/>
      </w:r>
      <w:r>
        <w:t xml:space="preserve"> Pappammal Kurian, </w:t>
      </w:r>
      <w:r>
        <w:rPr>
          <w:i/>
        </w:rPr>
        <w:t>Order on Reconsideration and Order of Modification</w:t>
      </w:r>
      <w:r>
        <w:t>, 27 FCC Rcd 13516 (WTB MD 2012) (</w:t>
      </w:r>
      <w:r>
        <w:rPr>
          <w:i/>
        </w:rPr>
        <w:t>Modification</w:t>
      </w:r>
      <w:r w:rsidRPr="00EF7893">
        <w:rPr>
          <w:i/>
        </w:rPr>
        <w:t xml:space="preserve"> </w:t>
      </w:r>
      <w:r>
        <w:rPr>
          <w:i/>
        </w:rPr>
        <w:t>Order</w:t>
      </w:r>
      <w:r>
        <w:t>).</w:t>
      </w:r>
    </w:p>
  </w:footnote>
  <w:footnote w:id="5">
    <w:p w:rsidR="00CB4A91" w:rsidRDefault="00CB4A91">
      <w:pPr>
        <w:pStyle w:val="FootnoteText"/>
      </w:pPr>
      <w:r>
        <w:rPr>
          <w:rStyle w:val="FootnoteReference"/>
        </w:rPr>
        <w:footnoteRef/>
      </w:r>
      <w:r>
        <w:t xml:space="preserve"> For more detailed information regarding the background of this matter, see Pappammal Kurian, </w:t>
      </w:r>
      <w:r>
        <w:rPr>
          <w:i/>
        </w:rPr>
        <w:t>Order and Order Proposing Modification</w:t>
      </w:r>
      <w:r>
        <w:t>, 26 FCC Rcd 15177, 15177-79 ¶¶ 2-9 (WTB MD 2011) (</w:t>
      </w:r>
      <w:r>
        <w:rPr>
          <w:i/>
        </w:rPr>
        <w:t>Order</w:t>
      </w:r>
      <w:r>
        <w:t>).</w:t>
      </w:r>
    </w:p>
  </w:footnote>
  <w:footnote w:id="6">
    <w:p w:rsidR="00CB4A91" w:rsidRDefault="00CB4A91">
      <w:pPr>
        <w:pStyle w:val="FootnoteText"/>
        <w:jc w:val="left"/>
      </w:pPr>
      <w:r>
        <w:rPr>
          <w:rStyle w:val="FootnoteReference"/>
        </w:rPr>
        <w:footnoteRef/>
      </w:r>
      <w:r>
        <w:t xml:space="preserve"> </w:t>
      </w:r>
      <w:r>
        <w:rPr>
          <w:i/>
        </w:rPr>
        <w:t>See</w:t>
      </w:r>
      <w:r>
        <w:t xml:space="preserve"> FCC File Nos. 0003915191 (filed July 28, 2009), 0003946875 (filed Aug. 25, 2009), 0003957109 (filed Sept. 4, 2009), 0003993720 (filed Oct. 13, 2009).</w:t>
      </w:r>
    </w:p>
  </w:footnote>
  <w:footnote w:id="7">
    <w:p w:rsidR="00CB4A91" w:rsidRDefault="00CB4A91">
      <w:pPr>
        <w:pStyle w:val="FootnoteText"/>
        <w:jc w:val="left"/>
      </w:pPr>
      <w:r>
        <w:rPr>
          <w:rStyle w:val="FootnoteReference"/>
        </w:rPr>
        <w:footnoteRef/>
      </w:r>
      <w:r>
        <w:t xml:space="preserve"> </w:t>
      </w:r>
      <w:r>
        <w:rPr>
          <w:i/>
        </w:rPr>
        <w:t>See</w:t>
      </w:r>
      <w:r>
        <w:t xml:space="preserve"> FCC File Nos. 0003947529 (Aug. 25, 2009), 0004036432 (filed Nov. 17, 2009).</w:t>
      </w:r>
    </w:p>
  </w:footnote>
  <w:footnote w:id="8">
    <w:p w:rsidR="00CB4A91" w:rsidRDefault="00CB4A91">
      <w:pPr>
        <w:pStyle w:val="FootnoteText"/>
        <w:jc w:val="left"/>
      </w:pPr>
      <w:r>
        <w:rPr>
          <w:rStyle w:val="FootnoteReference"/>
        </w:rPr>
        <w:footnoteRef/>
      </w:r>
      <w:r>
        <w:t xml:space="preserve"> </w:t>
      </w:r>
      <w:r>
        <w:rPr>
          <w:i/>
        </w:rPr>
        <w:t>See</w:t>
      </w:r>
      <w:r>
        <w:t xml:space="preserve"> FCC File No. 0004009277 (filed Oct. 27, 2009).</w:t>
      </w:r>
    </w:p>
  </w:footnote>
  <w:footnote w:id="9">
    <w:p w:rsidR="00CB4A91" w:rsidRDefault="00CB4A91">
      <w:pPr>
        <w:pStyle w:val="FootnoteText"/>
        <w:jc w:val="left"/>
      </w:pPr>
      <w:r>
        <w:rPr>
          <w:rStyle w:val="FootnoteReference"/>
        </w:rPr>
        <w:footnoteRef/>
      </w:r>
      <w:r>
        <w:t xml:space="preserve"> </w:t>
      </w:r>
      <w:r>
        <w:rPr>
          <w:i/>
        </w:rPr>
        <w:t>See</w:t>
      </w:r>
      <w:r>
        <w:t xml:space="preserve"> FCC File No. 0004012350 (filed Oct. 29, 2009).    </w:t>
      </w:r>
    </w:p>
  </w:footnote>
  <w:footnote w:id="10">
    <w:p w:rsidR="00CB4A91" w:rsidRDefault="00CB4A91">
      <w:pPr>
        <w:pStyle w:val="FootnoteText"/>
        <w:jc w:val="left"/>
      </w:pPr>
      <w:r>
        <w:rPr>
          <w:rStyle w:val="FootnoteReference"/>
        </w:rPr>
        <w:footnoteRef/>
      </w:r>
      <w:r>
        <w:t xml:space="preserve"> </w:t>
      </w:r>
      <w:r>
        <w:rPr>
          <w:i/>
        </w:rPr>
        <w:t>See</w:t>
      </w:r>
      <w:r>
        <w:t xml:space="preserve"> FCC File Nos. 0004143990-92 (filed Mar. 3, 2010).</w:t>
      </w:r>
    </w:p>
  </w:footnote>
  <w:footnote w:id="11">
    <w:p w:rsidR="00CB4A91" w:rsidRDefault="00CB4A91">
      <w:pPr>
        <w:pStyle w:val="FootnoteText"/>
        <w:jc w:val="left"/>
      </w:pPr>
      <w:r>
        <w:rPr>
          <w:rStyle w:val="FootnoteReference"/>
        </w:rPr>
        <w:footnoteRef/>
      </w:r>
      <w:r>
        <w:t xml:space="preserve"> </w:t>
      </w:r>
      <w:r>
        <w:rPr>
          <w:i/>
        </w:rPr>
        <w:t>See Susainathan v. Kurian</w:t>
      </w:r>
      <w:r>
        <w:t xml:space="preserve">, Consolidated Case Nos. A505829, A514179, A555891, </w:t>
      </w:r>
      <w:r>
        <w:rPr>
          <w:i/>
        </w:rPr>
        <w:t>Judgment Upon Jury Verdict</w:t>
      </w:r>
      <w:r>
        <w:t xml:space="preserve"> (</w:t>
      </w:r>
      <w:smartTag w:uri="urn:schemas-microsoft-com:office:smarttags" w:element="Street">
        <w:r>
          <w:t>Dist. Ct., Clark County, Nev. Aug.</w:t>
        </w:r>
      </w:smartTag>
      <w:r>
        <w:t xml:space="preserve"> 11, 2010) at ¶ 28.  </w:t>
      </w:r>
    </w:p>
  </w:footnote>
  <w:footnote w:id="12">
    <w:p w:rsidR="0088400C" w:rsidRDefault="0088400C">
      <w:pPr>
        <w:pStyle w:val="FootnoteText"/>
      </w:pPr>
      <w:r>
        <w:rPr>
          <w:rStyle w:val="FootnoteReference"/>
        </w:rPr>
        <w:footnoteRef/>
      </w:r>
      <w:r>
        <w:t xml:space="preserve"> 47 C.F.R. </w:t>
      </w:r>
      <w:r>
        <w:rPr>
          <w:sz w:val="22"/>
        </w:rPr>
        <w:t>§§</w:t>
      </w:r>
      <w:r>
        <w:t xml:space="preserve"> 90.155(a) (generally requiring that private land mobile radio stations be placed in operation within 12 months from the date of authorization), 90.157(a) (providing that a private land mobile radio license cancels automatically upon permanent discontinuance of operations, and that a station that has not operated for one year or more is considered to have been permanently discontinued).</w:t>
      </w:r>
    </w:p>
  </w:footnote>
  <w:footnote w:id="13">
    <w:p w:rsidR="00CB4A91" w:rsidRDefault="00CB4A91">
      <w:pPr>
        <w:pStyle w:val="FootnoteText"/>
      </w:pPr>
      <w:r>
        <w:rPr>
          <w:rStyle w:val="FootnoteReference"/>
        </w:rPr>
        <w:footnoteRef/>
      </w:r>
      <w:r>
        <w:t xml:space="preserve"> </w:t>
      </w:r>
      <w:r>
        <w:rPr>
          <w:i/>
        </w:rPr>
        <w:t>See Order</w:t>
      </w:r>
      <w:r>
        <w:t xml:space="preserve">, 26 FCC Rcd at </w:t>
      </w:r>
      <w:r w:rsidR="0088400C">
        <w:t xml:space="preserve">15180-81 ¶¶ 10-14, </w:t>
      </w:r>
      <w:r>
        <w:t xml:space="preserve">15181-82 ¶¶ 15-16.  </w:t>
      </w:r>
    </w:p>
  </w:footnote>
  <w:footnote w:id="14">
    <w:p w:rsidR="00CB4A91" w:rsidRPr="00B674F7" w:rsidRDefault="00CB4A91">
      <w:pPr>
        <w:pStyle w:val="FootnoteText"/>
      </w:pPr>
      <w:r>
        <w:rPr>
          <w:rStyle w:val="FootnoteReference"/>
        </w:rPr>
        <w:footnoteRef/>
      </w:r>
      <w:r>
        <w:t xml:space="preserve"> </w:t>
      </w:r>
      <w:r>
        <w:rPr>
          <w:i/>
        </w:rPr>
        <w:t>See Modification Order</w:t>
      </w:r>
      <w:r>
        <w:t>, 27 FCC Rcd at 13518 ¶ 7.</w:t>
      </w:r>
    </w:p>
  </w:footnote>
  <w:footnote w:id="15">
    <w:p w:rsidR="00CB4A91" w:rsidRDefault="00CB4A91" w:rsidP="00851C61">
      <w:pPr>
        <w:pStyle w:val="FootnoteText"/>
        <w:jc w:val="left"/>
      </w:pPr>
      <w:r>
        <w:rPr>
          <w:rStyle w:val="FootnoteReference"/>
        </w:rPr>
        <w:footnoteRef/>
      </w:r>
      <w:r>
        <w:t xml:space="preserve"> </w:t>
      </w:r>
      <w:r>
        <w:rPr>
          <w:i/>
        </w:rPr>
        <w:t xml:space="preserve">See </w:t>
      </w:r>
      <w:r>
        <w:t xml:space="preserve">FCC File Nos. 0005366467, 0005366475 (filed Aug. 24, 2012).  </w:t>
      </w:r>
    </w:p>
  </w:footnote>
  <w:footnote w:id="16">
    <w:p w:rsidR="00CB4A91" w:rsidRDefault="00CB4A91" w:rsidP="009A22A6">
      <w:pPr>
        <w:pStyle w:val="FootnoteText"/>
        <w:jc w:val="left"/>
      </w:pPr>
      <w:r>
        <w:rPr>
          <w:rStyle w:val="FootnoteReference"/>
        </w:rPr>
        <w:footnoteRef/>
      </w:r>
      <w:r>
        <w:t xml:space="preserve"> Letter dated June 14, 2013 from Pappammal Kurian to FCC Office of Secretary.  </w:t>
      </w:r>
    </w:p>
  </w:footnote>
  <w:footnote w:id="17">
    <w:p w:rsidR="00665B47" w:rsidRPr="00665B47" w:rsidRDefault="00665B47" w:rsidP="00665B47">
      <w:pPr>
        <w:pStyle w:val="FootnoteText"/>
        <w:jc w:val="left"/>
        <w:rPr>
          <w:i/>
        </w:rPr>
      </w:pPr>
      <w:r>
        <w:rPr>
          <w:rStyle w:val="FootnoteReference"/>
        </w:rPr>
        <w:footnoteRef/>
      </w:r>
      <w:r>
        <w:t xml:space="preserve"> </w:t>
      </w:r>
      <w:r>
        <w:rPr>
          <w:i/>
        </w:rPr>
        <w:t xml:space="preserve">See </w:t>
      </w:r>
      <w:r w:rsidRPr="00A9360D">
        <w:rPr>
          <w:i/>
        </w:rPr>
        <w:t>Order on Reconsideration</w:t>
      </w:r>
      <w:r>
        <w:t xml:space="preserve">, </w:t>
      </w:r>
      <w:r w:rsidRPr="00A9360D">
        <w:t xml:space="preserve">28 </w:t>
      </w:r>
      <w:r>
        <w:t>FCC Rcd at 11027</w:t>
      </w:r>
      <w:r w:rsidR="009C271D">
        <w:t xml:space="preserve"> ¶ 6</w:t>
      </w:r>
      <w:r>
        <w:t xml:space="preserve">.  </w:t>
      </w:r>
    </w:p>
  </w:footnote>
  <w:footnote w:id="18">
    <w:p w:rsidR="009C271D" w:rsidRPr="009C271D" w:rsidRDefault="009C271D">
      <w:pPr>
        <w:pStyle w:val="FootnoteText"/>
        <w:rPr>
          <w:i/>
        </w:rPr>
      </w:pPr>
      <w:r>
        <w:rPr>
          <w:rStyle w:val="FootnoteReference"/>
        </w:rPr>
        <w:footnoteRef/>
      </w:r>
      <w:r>
        <w:t xml:space="preserve"> </w:t>
      </w:r>
      <w:r>
        <w:rPr>
          <w:i/>
        </w:rPr>
        <w:t>See id.</w:t>
      </w:r>
    </w:p>
  </w:footnote>
  <w:footnote w:id="19">
    <w:p w:rsidR="00972706" w:rsidRDefault="00972706" w:rsidP="00972706">
      <w:pPr>
        <w:pStyle w:val="FootnoteText"/>
      </w:pPr>
      <w:r>
        <w:rPr>
          <w:rStyle w:val="FootnoteReference"/>
        </w:rPr>
        <w:footnoteRef/>
      </w:r>
      <w:r>
        <w:t xml:space="preserve"> </w:t>
      </w:r>
      <w:r>
        <w:rPr>
          <w:i/>
        </w:rPr>
        <w:t xml:space="preserve">See </w:t>
      </w:r>
      <w:r>
        <w:t>Havens Entities PFFR at 2.</w:t>
      </w:r>
    </w:p>
  </w:footnote>
  <w:footnote w:id="20">
    <w:p w:rsidR="00972706" w:rsidRPr="005A08EB" w:rsidRDefault="00972706" w:rsidP="00972706">
      <w:pPr>
        <w:pStyle w:val="FootnoteText"/>
        <w:jc w:val="left"/>
      </w:pPr>
      <w:r>
        <w:rPr>
          <w:rStyle w:val="FootnoteReference"/>
        </w:rPr>
        <w:footnoteRef/>
      </w:r>
      <w:r>
        <w:t xml:space="preserve"> </w:t>
      </w:r>
      <w:r w:rsidRPr="005A08EB">
        <w:t>Order Granting Temporary Restraining Order and O</w:t>
      </w:r>
      <w:r>
        <w:t>rder to Show Cause Why a Preliminary Injunction Should Not B</w:t>
      </w:r>
      <w:r w:rsidRPr="005A08EB">
        <w:t>e Issued</w:t>
      </w:r>
      <w:r>
        <w:t>,</w:t>
      </w:r>
      <w:r w:rsidRPr="005A08EB">
        <w:t xml:space="preserve"> Case No. A-12-669776-C </w:t>
      </w:r>
      <w:r w:rsidR="00AA70DB">
        <w:t xml:space="preserve">(Dist. Ct., Clark County, Nev. </w:t>
      </w:r>
      <w:r>
        <w:t>Dec. 6</w:t>
      </w:r>
      <w:r w:rsidRPr="005A08EB">
        <w:t>, 201</w:t>
      </w:r>
      <w:r>
        <w:t>2</w:t>
      </w:r>
      <w:r w:rsidRPr="005A08EB">
        <w:t xml:space="preserve">).  </w:t>
      </w:r>
    </w:p>
  </w:footnote>
  <w:footnote w:id="21">
    <w:p w:rsidR="00972706" w:rsidRDefault="00972706" w:rsidP="00972706">
      <w:pPr>
        <w:pStyle w:val="FootnoteText"/>
        <w:jc w:val="left"/>
      </w:pPr>
      <w:r>
        <w:rPr>
          <w:rStyle w:val="FootnoteReference"/>
        </w:rPr>
        <w:footnoteRef/>
      </w:r>
      <w:r>
        <w:t xml:space="preserve"> </w:t>
      </w:r>
      <w:r>
        <w:rPr>
          <w:i/>
        </w:rPr>
        <w:t xml:space="preserve">See </w:t>
      </w:r>
      <w:r w:rsidRPr="003F643F">
        <w:t xml:space="preserve">Order </w:t>
      </w:r>
      <w:r>
        <w:t>Granting Plaintiff’s Motion to Appoint William Holland as Receiver</w:t>
      </w:r>
      <w:r w:rsidRPr="003F643F">
        <w:t>, Case No. A-12-669776-C</w:t>
      </w:r>
      <w:r w:rsidR="00AA70DB">
        <w:t>, at 2</w:t>
      </w:r>
      <w:r w:rsidRPr="003F643F">
        <w:t xml:space="preserve"> </w:t>
      </w:r>
      <w:r w:rsidR="00AA70DB">
        <w:t>(Dist. Ct., Clark County, Nev.</w:t>
      </w:r>
      <w:r w:rsidRPr="003F643F">
        <w:t xml:space="preserve"> </w:t>
      </w:r>
      <w:r>
        <w:t>Jan. 30, 2014</w:t>
      </w:r>
      <w:r w:rsidR="0013379F">
        <w:t>)</w:t>
      </w:r>
      <w:r w:rsidRPr="003F643F">
        <w:t xml:space="preserve">.  </w:t>
      </w:r>
    </w:p>
  </w:footnote>
  <w:footnote w:id="22">
    <w:p w:rsidR="00972706" w:rsidRPr="00477EFB" w:rsidRDefault="00972706" w:rsidP="00972706">
      <w:pPr>
        <w:pStyle w:val="FootnoteText"/>
        <w:jc w:val="left"/>
      </w:pPr>
      <w:r>
        <w:rPr>
          <w:rStyle w:val="FootnoteReference"/>
        </w:rPr>
        <w:footnoteRef/>
      </w:r>
      <w:r>
        <w:t xml:space="preserve"> Both court orders are</w:t>
      </w:r>
      <w:r w:rsidRPr="001C6E95">
        <w:t xml:space="preserve"> </w:t>
      </w:r>
      <w:r>
        <w:t>viewable</w:t>
      </w:r>
      <w:r w:rsidRPr="001C6E95">
        <w:t xml:space="preserve"> in the Universal Licensing</w:t>
      </w:r>
      <w:r>
        <w:t xml:space="preserve"> System under Call Sign WNXG425.  </w:t>
      </w:r>
      <w:r w:rsidRPr="003F643F">
        <w:rPr>
          <w:i/>
        </w:rPr>
        <w:t xml:space="preserve">See </w:t>
      </w:r>
      <w:r>
        <w:t xml:space="preserve">Further Supplement to Petition to Respect and Take Actions Under Court Restraining Order, Exhibit 3 (filed Dec. 17, 2012); </w:t>
      </w:r>
      <w:r w:rsidRPr="003F643F">
        <w:t xml:space="preserve">Letter </w:t>
      </w:r>
      <w:r>
        <w:t xml:space="preserve">dated Feb. 11, 2014 </w:t>
      </w:r>
      <w:r w:rsidRPr="003F643F">
        <w:t xml:space="preserve">from </w:t>
      </w:r>
      <w:r>
        <w:t>Warren Havens</w:t>
      </w:r>
      <w:r w:rsidRPr="003F643F">
        <w:t>, to Stana Kimball, Attorney-Advisor, Mobility Division, Wireless Telecommunications Bureau</w:t>
      </w:r>
      <w:r w:rsidR="002A3F1A">
        <w:t>, Attachment.</w:t>
      </w:r>
    </w:p>
  </w:footnote>
  <w:footnote w:id="23">
    <w:p w:rsidR="00893B6E" w:rsidRPr="00893B6E" w:rsidRDefault="00893B6E">
      <w:pPr>
        <w:pStyle w:val="FootnoteText"/>
      </w:pPr>
      <w:r>
        <w:rPr>
          <w:rStyle w:val="FootnoteReference"/>
        </w:rPr>
        <w:footnoteRef/>
      </w:r>
      <w:r>
        <w:t xml:space="preserve"> </w:t>
      </w:r>
      <w:r>
        <w:rPr>
          <w:i/>
        </w:rPr>
        <w:t>See</w:t>
      </w:r>
      <w:r>
        <w:t xml:space="preserve"> Pappammal Kurian, </w:t>
      </w:r>
      <w:r>
        <w:rPr>
          <w:i/>
        </w:rPr>
        <w:t>Order and Order on Reconsideration</w:t>
      </w:r>
      <w:r>
        <w:t xml:space="preserve">, DA 14-618, ¶ 6 (WTB MD rel. May 7, 2014) (citing </w:t>
      </w:r>
      <w:r w:rsidRPr="00AE1861">
        <w:t xml:space="preserve">Inforum Communications Inc., </w:t>
      </w:r>
      <w:r w:rsidRPr="00AE1861">
        <w:rPr>
          <w:i/>
          <w:iCs/>
        </w:rPr>
        <w:t>Memorandum Opinion and Order</w:t>
      </w:r>
      <w:r w:rsidRPr="00AE1861">
        <w:t>, 20 FCC Rcd 820, 827 ¶ 12 (2005)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9A" w:rsidRDefault="002A2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91" w:rsidRDefault="00CB4A91">
    <w:pPr>
      <w:pStyle w:val="Header"/>
      <w:tabs>
        <w:tab w:val="clear" w:pos="4320"/>
        <w:tab w:val="clear" w:pos="8640"/>
        <w:tab w:val="center" w:pos="4680"/>
        <w:tab w:val="right" w:pos="9360"/>
      </w:tabs>
      <w:rPr>
        <w:b/>
      </w:rPr>
    </w:pPr>
    <w:r>
      <w:rPr>
        <w:b/>
      </w:rPr>
      <w:tab/>
      <w:t>Federal Communications Commission</w:t>
    </w:r>
    <w:r>
      <w:rPr>
        <w:b/>
      </w:rPr>
      <w:tab/>
    </w:r>
    <w:r w:rsidR="00DF094E">
      <w:rPr>
        <w:b/>
      </w:rPr>
      <w:t xml:space="preserve">DA </w:t>
    </w:r>
    <w:r w:rsidR="00E439FE">
      <w:rPr>
        <w:b/>
      </w:rPr>
      <w:t>14-693</w:t>
    </w:r>
    <w:r>
      <w:rPr>
        <w:b/>
      </w:rPr>
      <w:t xml:space="preserve"> </w:t>
    </w:r>
  </w:p>
  <w:p w:rsidR="00CB4A91" w:rsidRDefault="00CB4A91">
    <w:pPr>
      <w:pStyle w:val="Header"/>
      <w:tabs>
        <w:tab w:val="clear" w:pos="8640"/>
        <w:tab w:val="right" w:pos="9360"/>
      </w:tabs>
    </w:pPr>
    <w:r>
      <w:rPr>
        <w:b/>
        <w:noProof/>
      </w:rPr>
      <mc:AlternateContent>
        <mc:Choice Requires="wps">
          <w:drawing>
            <wp:anchor distT="0" distB="0" distL="114300" distR="114300" simplePos="0" relativeHeight="251658752" behindDoc="0" locked="0" layoutInCell="0" allowOverlap="1" wp14:anchorId="03DEA75F" wp14:editId="0FC7A76E">
              <wp:simplePos x="0" y="0"/>
              <wp:positionH relativeFrom="column">
                <wp:posOffset>0</wp:posOffset>
              </wp:positionH>
              <wp:positionV relativeFrom="paragraph">
                <wp:posOffset>22225</wp:posOffset>
              </wp:positionV>
              <wp:extent cx="59436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0FDE0C"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Y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5vl4moJo9OZLSHFLNNb5z1x3KBgllsA5ApPjxvlAhBS3kHCP0msh&#10;ZRRbKtQD23k6SWOG01Kw4A1xzu53lbToSMK8xC+WBZ7HMKsPikW0lhO2utqeCHmx4XapAh7UAnyu&#10;1mUgfszT+Wq2muWDfDRdDfK0rgef1lU+mK6zp0k9rquqzn4GalletIIxrgK723Bm+d+Jf30ml7G6&#10;j+e9D8l79NgwIHv7R9JRzKDfZRJ2mp239iYyzGMMvr6dMPCPe7AfX/jyF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DLeYmEwIA&#10;ACkEAAAOAAAAAAAAAAAAAAAAAC4CAABkcnMvZTJvRG9jLnhtbFBLAQItABQABgAIAAAAIQDuKSiu&#10;2AAAAAQBAAAPAAAAAAAAAAAAAAAAAG0EAABkcnMvZG93bnJldi54bWxQSwUGAAAAAAQABADzAAAA&#10;cgUAAAAA&#10;" o:allowincell="f" strokeweight="1.5pt"/>
          </w:pict>
        </mc:Fallback>
      </mc:AlternateContent>
    </w:r>
    <w:r>
      <w:rPr>
        <w:noProof/>
      </w:rPr>
      <mc:AlternateContent>
        <mc:Choice Requires="wps">
          <w:drawing>
            <wp:anchor distT="0" distB="0" distL="114300" distR="114300" simplePos="0" relativeHeight="251657728" behindDoc="0" locked="0" layoutInCell="0" allowOverlap="1" wp14:anchorId="796ED81C" wp14:editId="2C65B05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60408F"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91" w:rsidRDefault="00CB4A91">
    <w:pPr>
      <w:pStyle w:val="Header"/>
      <w:tabs>
        <w:tab w:val="clear" w:pos="4320"/>
        <w:tab w:val="clear" w:pos="8640"/>
        <w:tab w:val="center" w:pos="4680"/>
        <w:tab w:val="right" w:pos="9360"/>
      </w:tabs>
      <w:rPr>
        <w:b/>
      </w:rPr>
    </w:pPr>
    <w:r>
      <w:rPr>
        <w:b/>
      </w:rPr>
      <w:tab/>
      <w:t>Federal Communications Commission</w:t>
    </w:r>
    <w:r>
      <w:rPr>
        <w:b/>
      </w:rPr>
      <w:tab/>
    </w:r>
    <w:r w:rsidR="00DF094E">
      <w:rPr>
        <w:b/>
      </w:rPr>
      <w:t xml:space="preserve">DA </w:t>
    </w:r>
    <w:r w:rsidR="00E439FE">
      <w:rPr>
        <w:b/>
      </w:rPr>
      <w:t>14-693</w:t>
    </w:r>
  </w:p>
  <w:p w:rsidR="00CB4A91" w:rsidRDefault="00CB4A91">
    <w:pPr>
      <w:pStyle w:val="Header"/>
      <w:tabs>
        <w:tab w:val="clear" w:pos="8640"/>
        <w:tab w:val="right" w:pos="9360"/>
      </w:tabs>
      <w:rPr>
        <w:b/>
      </w:rPr>
    </w:pPr>
    <w:r>
      <w:rPr>
        <w:b/>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F146F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47"/>
    <w:rsid w:val="00013FF5"/>
    <w:rsid w:val="0009014D"/>
    <w:rsid w:val="0013373C"/>
    <w:rsid w:val="0013379F"/>
    <w:rsid w:val="00161347"/>
    <w:rsid w:val="0016584A"/>
    <w:rsid w:val="00221131"/>
    <w:rsid w:val="00226ABA"/>
    <w:rsid w:val="00263334"/>
    <w:rsid w:val="002A2C9A"/>
    <w:rsid w:val="002A3F1A"/>
    <w:rsid w:val="003319F3"/>
    <w:rsid w:val="00365C0E"/>
    <w:rsid w:val="003D4225"/>
    <w:rsid w:val="00493E04"/>
    <w:rsid w:val="005670EE"/>
    <w:rsid w:val="00570DA8"/>
    <w:rsid w:val="00665B47"/>
    <w:rsid w:val="006D62FC"/>
    <w:rsid w:val="00717097"/>
    <w:rsid w:val="007661EB"/>
    <w:rsid w:val="0078162F"/>
    <w:rsid w:val="0084586F"/>
    <w:rsid w:val="00851C61"/>
    <w:rsid w:val="00863691"/>
    <w:rsid w:val="00873DEF"/>
    <w:rsid w:val="0088400C"/>
    <w:rsid w:val="00893B6E"/>
    <w:rsid w:val="008B5B02"/>
    <w:rsid w:val="008E2B5A"/>
    <w:rsid w:val="008E6513"/>
    <w:rsid w:val="00917877"/>
    <w:rsid w:val="00972706"/>
    <w:rsid w:val="009A0E75"/>
    <w:rsid w:val="009A22A6"/>
    <w:rsid w:val="009B4D5F"/>
    <w:rsid w:val="009C271D"/>
    <w:rsid w:val="009C60E6"/>
    <w:rsid w:val="009C7284"/>
    <w:rsid w:val="00A00158"/>
    <w:rsid w:val="00A21B66"/>
    <w:rsid w:val="00A53457"/>
    <w:rsid w:val="00A72EA1"/>
    <w:rsid w:val="00A82301"/>
    <w:rsid w:val="00A9360D"/>
    <w:rsid w:val="00AA70DB"/>
    <w:rsid w:val="00AE487D"/>
    <w:rsid w:val="00AF7206"/>
    <w:rsid w:val="00B245A6"/>
    <w:rsid w:val="00B674F7"/>
    <w:rsid w:val="00BA1601"/>
    <w:rsid w:val="00C677BE"/>
    <w:rsid w:val="00C73ACB"/>
    <w:rsid w:val="00CB4A91"/>
    <w:rsid w:val="00D30141"/>
    <w:rsid w:val="00D511DF"/>
    <w:rsid w:val="00D604F3"/>
    <w:rsid w:val="00D9097D"/>
    <w:rsid w:val="00DF094E"/>
    <w:rsid w:val="00E05129"/>
    <w:rsid w:val="00E439FE"/>
    <w:rsid w:val="00E65E21"/>
    <w:rsid w:val="00EB7C31"/>
    <w:rsid w:val="00EF7893"/>
    <w:rsid w:val="00F164DF"/>
    <w:rsid w:val="00F2759C"/>
    <w:rsid w:val="00FA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 Char,Footnote Text Char Char Char Char,Footnote Text Char,Footnote Text Char2 Char,Footnote Text Char3 Char Char,Footnote Text Char2 Char Char Char"/>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Style 12,(NECG) Footnote Reference,Style 124,Style 3,Style 17,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character" w:customStyle="1" w:styleId="ParaNumChar">
    <w:name w:val="ParaNum Char"/>
    <w:link w:val="ParaNum"/>
    <w:rPr>
      <w:sz w:val="22"/>
    </w:rPr>
  </w:style>
  <w:style w:type="paragraph" w:styleId="BalloonText">
    <w:name w:val="Balloon Text"/>
    <w:basedOn w:val="Normal"/>
    <w:link w:val="BalloonTextChar"/>
    <w:rsid w:val="00F2759C"/>
    <w:rPr>
      <w:rFonts w:ascii="Tahoma" w:hAnsi="Tahoma" w:cs="Tahoma"/>
      <w:sz w:val="16"/>
      <w:szCs w:val="16"/>
    </w:rPr>
  </w:style>
  <w:style w:type="character" w:customStyle="1" w:styleId="BalloonTextChar">
    <w:name w:val="Balloon Text Char"/>
    <w:link w:val="BalloonText"/>
    <w:rsid w:val="00F2759C"/>
    <w:rPr>
      <w:rFonts w:ascii="Tahoma" w:hAnsi="Tahoma" w:cs="Tahoma"/>
      <w:sz w:val="16"/>
      <w:szCs w:val="16"/>
    </w:rPr>
  </w:style>
  <w:style w:type="character" w:customStyle="1" w:styleId="FootnoteTextChar2">
    <w:name w:val="Footnote Text Char2"/>
    <w:aliases w:val="Footnote Text Char1 Char,Footnote Text Char Char Char,Footnote Text Char1 Char Char Char,Footnote Text Char Char Char Char Char,Footnote Text Char Char1,Footnote Text Char2 Char Char,Footnote Text Char3 Char Char Char"/>
    <w:link w:val="FootnoteText"/>
    <w:semiHidden/>
    <w:rsid w:val="00972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 Char,Footnote Text Char Char Char Char,Footnote Text Char,Footnote Text Char2 Char,Footnote Text Char3 Char Char,Footnote Text Char2 Char Char Char"/>
    <w:basedOn w:val="Normal"/>
    <w:link w:val="FootnoteTextChar2"/>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o,fr,Style 12,(NECG) Footnote Reference,Style 124,Style 3,Style 17,FR"/>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character" w:customStyle="1" w:styleId="ParaNumChar">
    <w:name w:val="ParaNum Char"/>
    <w:link w:val="ParaNum"/>
    <w:rPr>
      <w:sz w:val="22"/>
    </w:rPr>
  </w:style>
  <w:style w:type="paragraph" w:styleId="BalloonText">
    <w:name w:val="Balloon Text"/>
    <w:basedOn w:val="Normal"/>
    <w:link w:val="BalloonTextChar"/>
    <w:rsid w:val="00F2759C"/>
    <w:rPr>
      <w:rFonts w:ascii="Tahoma" w:hAnsi="Tahoma" w:cs="Tahoma"/>
      <w:sz w:val="16"/>
      <w:szCs w:val="16"/>
    </w:rPr>
  </w:style>
  <w:style w:type="character" w:customStyle="1" w:styleId="BalloonTextChar">
    <w:name w:val="Balloon Text Char"/>
    <w:link w:val="BalloonText"/>
    <w:rsid w:val="00F2759C"/>
    <w:rPr>
      <w:rFonts w:ascii="Tahoma" w:hAnsi="Tahoma" w:cs="Tahoma"/>
      <w:sz w:val="16"/>
      <w:szCs w:val="16"/>
    </w:rPr>
  </w:style>
  <w:style w:type="character" w:customStyle="1" w:styleId="FootnoteTextChar2">
    <w:name w:val="Footnote Text Char2"/>
    <w:aliases w:val="Footnote Text Char1 Char,Footnote Text Char Char Char,Footnote Text Char1 Char Char Char,Footnote Text Char Char Char Char Char,Footnote Text Char Char1,Footnote Text Char2 Char Char,Footnote Text Char3 Char Char Char"/>
    <w:link w:val="FootnoteText"/>
    <w:semiHidden/>
    <w:rsid w:val="0097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slava.Kimball\AppData\Local\Microsoft\Windows\Temporary%20Internet%20Files\Content.MSO\267626A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267626A6</Template>
  <TotalTime>0</TotalTime>
  <Pages>3</Pages>
  <Words>762</Words>
  <Characters>4348</Characters>
  <Application>Microsoft Office Word</Application>
  <DocSecurity>0</DocSecurity>
  <Lines>89</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2012-10-18T14:23:00Z</cp:lastPrinted>
  <dcterms:created xsi:type="dcterms:W3CDTF">2014-05-22T14:21:00Z</dcterms:created>
  <dcterms:modified xsi:type="dcterms:W3CDTF">2014-05-22T14:21:00Z</dcterms:modified>
  <cp:category> </cp:category>
  <cp:contentStatus> </cp:contentStatus>
</cp:coreProperties>
</file>