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4B" w:rsidRDefault="00D4354B">
      <w:pPr>
        <w:tabs>
          <w:tab w:val="left" w:pos="0"/>
        </w:tabs>
        <w:suppressAutoHyphens/>
        <w:rPr>
          <w:b/>
          <w:i/>
          <w:sz w:val="16"/>
        </w:rPr>
      </w:pPr>
      <w:bookmarkStart w:id="0" w:name="_GoBack"/>
      <w:bookmarkEnd w:id="0"/>
    </w:p>
    <w:p w:rsidR="003E15C5" w:rsidRDefault="00D4354B">
      <w:pPr>
        <w:tabs>
          <w:tab w:val="left" w:pos="0"/>
        </w:tabs>
        <w:suppressAutoHyphens/>
        <w:rPr>
          <w:b/>
        </w:rPr>
      </w:pP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rPr>
        <w:t xml:space="preserve">DA </w:t>
      </w:r>
      <w:r w:rsidR="003F76BF" w:rsidRPr="003F76BF">
        <w:rPr>
          <w:b/>
        </w:rPr>
        <w:t>14-661</w:t>
      </w:r>
    </w:p>
    <w:p w:rsidR="003E15C5" w:rsidRDefault="003E15C5">
      <w:pPr>
        <w:tabs>
          <w:tab w:val="left" w:pos="0"/>
        </w:tabs>
        <w:suppressAutoHyphens/>
        <w:rPr>
          <w:i/>
        </w:rPr>
      </w:pPr>
      <w:r>
        <w:rPr>
          <w:b/>
        </w:rPr>
        <w:tab/>
      </w:r>
      <w:r>
        <w:rPr>
          <w:b/>
        </w:rPr>
        <w:tab/>
      </w:r>
      <w:r>
        <w:rPr>
          <w:b/>
        </w:rPr>
        <w:tab/>
      </w:r>
      <w:r>
        <w:rPr>
          <w:b/>
        </w:rPr>
        <w:tab/>
      </w:r>
      <w:r>
        <w:rPr>
          <w:b/>
        </w:rPr>
        <w:tab/>
      </w:r>
      <w:r>
        <w:rPr>
          <w:b/>
        </w:rPr>
        <w:tab/>
      </w:r>
      <w:r>
        <w:rPr>
          <w:b/>
        </w:rPr>
        <w:tab/>
      </w:r>
      <w:r>
        <w:rPr>
          <w:b/>
        </w:rPr>
        <w:tab/>
      </w:r>
      <w:r>
        <w:rPr>
          <w:i/>
        </w:rPr>
        <w:t>In Reply Refer To:</w:t>
      </w:r>
    </w:p>
    <w:p w:rsidR="003E15C5" w:rsidRDefault="003E15C5">
      <w:pPr>
        <w:tabs>
          <w:tab w:val="left" w:pos="0"/>
        </w:tabs>
        <w:suppressAutoHyphens/>
      </w:pPr>
      <w:r>
        <w:rPr>
          <w:i/>
        </w:rPr>
        <w:tab/>
      </w:r>
      <w:r>
        <w:rPr>
          <w:i/>
        </w:rPr>
        <w:tab/>
      </w:r>
      <w:r>
        <w:rPr>
          <w:i/>
        </w:rPr>
        <w:tab/>
      </w:r>
      <w:r>
        <w:rPr>
          <w:i/>
        </w:rPr>
        <w:tab/>
      </w:r>
      <w:r>
        <w:rPr>
          <w:i/>
        </w:rPr>
        <w:tab/>
      </w:r>
      <w:r>
        <w:rPr>
          <w:i/>
        </w:rPr>
        <w:tab/>
      </w:r>
      <w:r>
        <w:rPr>
          <w:i/>
        </w:rPr>
        <w:tab/>
      </w:r>
      <w:r>
        <w:rPr>
          <w:i/>
        </w:rPr>
        <w:tab/>
      </w:r>
      <w:r>
        <w:t>1800B3-HS</w:t>
      </w:r>
    </w:p>
    <w:p w:rsidR="00D4354B" w:rsidRDefault="003E15C5">
      <w:pPr>
        <w:tabs>
          <w:tab w:val="left" w:pos="0"/>
        </w:tabs>
        <w:suppressAutoHyphens/>
        <w:rPr>
          <w:b/>
          <w:i/>
          <w:sz w:val="22"/>
          <w:szCs w:val="22"/>
        </w:rPr>
      </w:pPr>
      <w:r>
        <w:tab/>
      </w:r>
      <w:r>
        <w:tab/>
      </w:r>
      <w:r>
        <w:tab/>
      </w:r>
      <w:r>
        <w:tab/>
      </w:r>
      <w:r>
        <w:tab/>
      </w:r>
      <w:r>
        <w:tab/>
      </w:r>
      <w:r>
        <w:tab/>
      </w:r>
      <w:r>
        <w:tab/>
        <w:t xml:space="preserve">Released:  May </w:t>
      </w:r>
      <w:r w:rsidR="00C05353">
        <w:t>1</w:t>
      </w:r>
      <w:r w:rsidR="001B7053">
        <w:t>5</w:t>
      </w:r>
      <w:r>
        <w:t>, 2014</w:t>
      </w:r>
    </w:p>
    <w:p w:rsidR="00D4354B" w:rsidRDefault="00D4354B" w:rsidP="00DA12C9">
      <w:pPr>
        <w:tabs>
          <w:tab w:val="left" w:pos="0"/>
        </w:tabs>
        <w:suppressAutoHyphens/>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rsidR="00D4354B" w:rsidRDefault="00D4354B">
      <w:pPr>
        <w:tabs>
          <w:tab w:val="left" w:pos="0"/>
        </w:tabs>
        <w:suppressAutoHyphens/>
        <w:rPr>
          <w:sz w:val="22"/>
          <w:szCs w:val="22"/>
        </w:rPr>
      </w:pPr>
      <w:r>
        <w:tab/>
      </w:r>
      <w:r>
        <w:tab/>
      </w:r>
      <w:r>
        <w:tab/>
      </w:r>
      <w:r>
        <w:tab/>
      </w:r>
      <w:r>
        <w:tab/>
      </w:r>
      <w:r>
        <w:tab/>
      </w:r>
      <w:r>
        <w:tab/>
      </w:r>
    </w:p>
    <w:p w:rsidR="00D4354B" w:rsidRDefault="00D4354B">
      <w:pPr>
        <w:tabs>
          <w:tab w:val="left" w:pos="0"/>
        </w:tabs>
        <w:suppressAutoHyphens/>
        <w:rPr>
          <w:sz w:val="22"/>
          <w:szCs w:val="22"/>
          <w:lang w:val="fr-FR"/>
        </w:rPr>
      </w:pPr>
      <w:r>
        <w:rPr>
          <w:sz w:val="22"/>
          <w:szCs w:val="22"/>
          <w:lang w:val="fr-FR"/>
        </w:rPr>
        <w:t>Ernest T. Sanchez</w:t>
      </w:r>
      <w:r w:rsidR="003E15C5">
        <w:rPr>
          <w:sz w:val="22"/>
          <w:szCs w:val="22"/>
          <w:lang w:val="fr-FR"/>
        </w:rPr>
        <w:t>, Esq.</w:t>
      </w:r>
    </w:p>
    <w:p w:rsidR="003E15C5" w:rsidRDefault="003E15C5">
      <w:pPr>
        <w:tabs>
          <w:tab w:val="left" w:pos="0"/>
        </w:tabs>
        <w:suppressAutoHyphens/>
        <w:rPr>
          <w:sz w:val="22"/>
          <w:szCs w:val="22"/>
          <w:lang w:val="fr-FR"/>
        </w:rPr>
      </w:pPr>
      <w:r>
        <w:rPr>
          <w:sz w:val="22"/>
          <w:szCs w:val="22"/>
          <w:lang w:val="fr-FR"/>
        </w:rPr>
        <w:t>1155 F Street, N</w:t>
      </w:r>
      <w:r w:rsidR="00C05353">
        <w:rPr>
          <w:sz w:val="22"/>
          <w:szCs w:val="22"/>
          <w:lang w:val="fr-FR"/>
        </w:rPr>
        <w:t>.</w:t>
      </w:r>
      <w:r>
        <w:rPr>
          <w:sz w:val="22"/>
          <w:szCs w:val="22"/>
          <w:lang w:val="fr-FR"/>
        </w:rPr>
        <w:t>W</w:t>
      </w:r>
      <w:r w:rsidR="00C05353">
        <w:rPr>
          <w:sz w:val="22"/>
          <w:szCs w:val="22"/>
          <w:lang w:val="fr-FR"/>
        </w:rPr>
        <w:t>.</w:t>
      </w:r>
    </w:p>
    <w:p w:rsidR="00D4354B" w:rsidRDefault="003E15C5">
      <w:pPr>
        <w:tabs>
          <w:tab w:val="left" w:pos="0"/>
        </w:tabs>
        <w:suppressAutoHyphens/>
        <w:rPr>
          <w:sz w:val="22"/>
          <w:szCs w:val="22"/>
          <w:lang w:val="fr-FR"/>
        </w:rPr>
      </w:pPr>
      <w:r>
        <w:rPr>
          <w:sz w:val="22"/>
          <w:szCs w:val="22"/>
          <w:lang w:val="fr-FR"/>
        </w:rPr>
        <w:t>Suite 1050</w:t>
      </w:r>
    </w:p>
    <w:p w:rsidR="00D4354B" w:rsidRDefault="00D4354B">
      <w:pPr>
        <w:tabs>
          <w:tab w:val="left" w:pos="0"/>
        </w:tabs>
        <w:suppressAutoHyphens/>
        <w:rPr>
          <w:sz w:val="22"/>
          <w:szCs w:val="22"/>
          <w:lang w:val="fr-FR"/>
        </w:rPr>
      </w:pPr>
      <w:r>
        <w:rPr>
          <w:sz w:val="22"/>
          <w:szCs w:val="22"/>
          <w:lang w:val="fr-FR"/>
        </w:rPr>
        <w:t>Washington, DC 200</w:t>
      </w:r>
      <w:r w:rsidR="003E15C5">
        <w:rPr>
          <w:sz w:val="22"/>
          <w:szCs w:val="22"/>
          <w:lang w:val="fr-FR"/>
        </w:rPr>
        <w:t>04</w:t>
      </w:r>
    </w:p>
    <w:p w:rsidR="00D4354B" w:rsidRDefault="00D4354B">
      <w:pPr>
        <w:tabs>
          <w:tab w:val="left" w:pos="0"/>
        </w:tabs>
        <w:suppressAutoHyphens/>
        <w:rPr>
          <w:sz w:val="22"/>
          <w:szCs w:val="22"/>
          <w:lang w:val="fr-FR"/>
        </w:rPr>
      </w:pPr>
    </w:p>
    <w:p w:rsidR="003E15C5" w:rsidRPr="00246810" w:rsidRDefault="00D4354B" w:rsidP="00D4354B">
      <w:pPr>
        <w:tabs>
          <w:tab w:val="left" w:pos="0"/>
        </w:tabs>
        <w:suppressAutoHyphens/>
        <w:ind w:left="1440" w:hanging="1440"/>
        <w:rPr>
          <w:b/>
          <w:sz w:val="22"/>
          <w:szCs w:val="22"/>
        </w:rPr>
      </w:pP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rPr>
        <w:t xml:space="preserve">In re: </w:t>
      </w:r>
      <w:r>
        <w:rPr>
          <w:sz w:val="22"/>
          <w:szCs w:val="22"/>
        </w:rPr>
        <w:tab/>
      </w:r>
      <w:r w:rsidR="003E15C5" w:rsidRPr="00246810">
        <w:rPr>
          <w:b/>
          <w:sz w:val="22"/>
          <w:szCs w:val="22"/>
        </w:rPr>
        <w:t>Maricopa County Community</w:t>
      </w:r>
    </w:p>
    <w:p w:rsidR="003E15C5" w:rsidRPr="00246810" w:rsidRDefault="003E15C5" w:rsidP="00D4354B">
      <w:pPr>
        <w:tabs>
          <w:tab w:val="left" w:pos="0"/>
        </w:tabs>
        <w:suppressAutoHyphens/>
        <w:ind w:left="1440" w:hanging="1440"/>
        <w:rPr>
          <w:b/>
          <w:sz w:val="22"/>
          <w:szCs w:val="22"/>
        </w:rPr>
      </w:pPr>
      <w:r w:rsidRPr="00246810">
        <w:rPr>
          <w:b/>
          <w:sz w:val="22"/>
          <w:szCs w:val="22"/>
        </w:rPr>
        <w:tab/>
      </w:r>
      <w:r w:rsidRPr="00246810">
        <w:rPr>
          <w:b/>
          <w:sz w:val="22"/>
          <w:szCs w:val="22"/>
        </w:rPr>
        <w:tab/>
      </w:r>
      <w:r w:rsidRPr="00246810">
        <w:rPr>
          <w:b/>
          <w:sz w:val="22"/>
          <w:szCs w:val="22"/>
        </w:rPr>
        <w:tab/>
      </w:r>
      <w:r w:rsidRPr="00246810">
        <w:rPr>
          <w:b/>
          <w:sz w:val="22"/>
          <w:szCs w:val="22"/>
        </w:rPr>
        <w:tab/>
      </w:r>
      <w:r w:rsidRPr="00246810">
        <w:rPr>
          <w:b/>
          <w:sz w:val="22"/>
          <w:szCs w:val="22"/>
        </w:rPr>
        <w:tab/>
      </w:r>
      <w:r w:rsidRPr="00246810">
        <w:rPr>
          <w:b/>
          <w:sz w:val="22"/>
          <w:szCs w:val="22"/>
        </w:rPr>
        <w:tab/>
      </w:r>
      <w:r w:rsidRPr="00246810">
        <w:rPr>
          <w:b/>
          <w:sz w:val="22"/>
          <w:szCs w:val="22"/>
        </w:rPr>
        <w:tab/>
        <w:t>College District</w:t>
      </w:r>
    </w:p>
    <w:p w:rsidR="003E15C5" w:rsidRDefault="003E15C5" w:rsidP="00D4354B">
      <w:pPr>
        <w:tabs>
          <w:tab w:val="left" w:pos="0"/>
        </w:tabs>
        <w:suppressAutoHyphens/>
        <w:ind w:left="1440" w:hanging="1440"/>
        <w:rPr>
          <w:sz w:val="22"/>
          <w:szCs w:val="22"/>
        </w:rPr>
      </w:pPr>
    </w:p>
    <w:p w:rsidR="00D4354B" w:rsidRDefault="003E15C5" w:rsidP="00D4354B">
      <w:pPr>
        <w:tabs>
          <w:tab w:val="left" w:pos="0"/>
        </w:tabs>
        <w:suppressAutoHyphens/>
        <w:ind w:left="1440" w:hanging="1440"/>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4354B">
        <w:rPr>
          <w:b/>
          <w:sz w:val="22"/>
          <w:szCs w:val="22"/>
        </w:rPr>
        <w:t>Request for Experimental Authority</w:t>
      </w:r>
    </w:p>
    <w:p w:rsidR="00D4354B" w:rsidRDefault="00D4354B" w:rsidP="00D4354B">
      <w:pPr>
        <w:tabs>
          <w:tab w:val="left" w:pos="0"/>
        </w:tabs>
        <w:suppressAutoHyphens/>
        <w:ind w:left="1440" w:hanging="144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To Relax Standards For Public Radio</w:t>
      </w:r>
    </w:p>
    <w:p w:rsidR="00D4354B" w:rsidRDefault="00D4354B" w:rsidP="00D4354B">
      <w:pPr>
        <w:tabs>
          <w:tab w:val="left" w:pos="0"/>
        </w:tabs>
        <w:suppressAutoHyphens/>
        <w:ind w:left="1440" w:hanging="144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Underwriter Announcements </w:t>
      </w:r>
    </w:p>
    <w:p w:rsidR="00D4354B" w:rsidRDefault="00D4354B">
      <w:pPr>
        <w:tabs>
          <w:tab w:val="left" w:pos="0"/>
        </w:tabs>
        <w:suppressAutoHyphens/>
        <w:rPr>
          <w:b/>
          <w:sz w:val="22"/>
          <w:szCs w:val="22"/>
        </w:rPr>
      </w:pPr>
    </w:p>
    <w:p w:rsidR="00D4354B" w:rsidRDefault="00D4354B">
      <w:pPr>
        <w:tabs>
          <w:tab w:val="left" w:pos="0"/>
        </w:tabs>
        <w:suppressAutoHyphens/>
        <w:rPr>
          <w:sz w:val="22"/>
          <w:szCs w:val="22"/>
        </w:rPr>
      </w:pPr>
      <w:r>
        <w:rPr>
          <w:sz w:val="22"/>
          <w:szCs w:val="22"/>
        </w:rPr>
        <w:t xml:space="preserve">Dear </w:t>
      </w:r>
      <w:r w:rsidR="003E15C5">
        <w:rPr>
          <w:sz w:val="22"/>
          <w:szCs w:val="22"/>
        </w:rPr>
        <w:t>Counsel</w:t>
      </w:r>
      <w:r>
        <w:rPr>
          <w:sz w:val="22"/>
          <w:szCs w:val="22"/>
        </w:rPr>
        <w:t>:</w:t>
      </w:r>
    </w:p>
    <w:p w:rsidR="00D4354B" w:rsidRDefault="00D4354B">
      <w:pPr>
        <w:tabs>
          <w:tab w:val="left" w:pos="0"/>
        </w:tabs>
        <w:suppressAutoHyphens/>
        <w:rPr>
          <w:sz w:val="22"/>
          <w:szCs w:val="22"/>
        </w:rPr>
      </w:pPr>
    </w:p>
    <w:p w:rsidR="00D4354B" w:rsidRDefault="00D4354B" w:rsidP="00D4354B">
      <w:pPr>
        <w:tabs>
          <w:tab w:val="left" w:pos="0"/>
        </w:tabs>
        <w:suppressAutoHyphens/>
        <w:rPr>
          <w:sz w:val="22"/>
          <w:szCs w:val="22"/>
        </w:rPr>
      </w:pPr>
      <w:r>
        <w:rPr>
          <w:sz w:val="22"/>
          <w:szCs w:val="22"/>
        </w:rPr>
        <w:tab/>
        <w:t>We have before us the above-referenced March 18, 2013, “</w:t>
      </w:r>
      <w:r w:rsidRPr="00D4354B">
        <w:rPr>
          <w:sz w:val="22"/>
          <w:szCs w:val="22"/>
        </w:rPr>
        <w:t>Request for Experimental Authority</w:t>
      </w:r>
      <w:r>
        <w:rPr>
          <w:sz w:val="22"/>
          <w:szCs w:val="22"/>
        </w:rPr>
        <w:t xml:space="preserve"> </w:t>
      </w:r>
      <w:r w:rsidRPr="00D4354B">
        <w:rPr>
          <w:sz w:val="22"/>
          <w:szCs w:val="22"/>
        </w:rPr>
        <w:t>To Relax Standards For Public Radio</w:t>
      </w:r>
      <w:r>
        <w:rPr>
          <w:sz w:val="22"/>
          <w:szCs w:val="22"/>
        </w:rPr>
        <w:t xml:space="preserve"> </w:t>
      </w:r>
      <w:r w:rsidRPr="00D4354B">
        <w:rPr>
          <w:sz w:val="22"/>
          <w:szCs w:val="22"/>
        </w:rPr>
        <w:t>Underwriter Announcements</w:t>
      </w:r>
      <w:r>
        <w:rPr>
          <w:sz w:val="22"/>
          <w:szCs w:val="22"/>
        </w:rPr>
        <w:t>”</w:t>
      </w:r>
      <w:r w:rsidRPr="00D4354B">
        <w:rPr>
          <w:sz w:val="22"/>
          <w:szCs w:val="22"/>
        </w:rPr>
        <w:t xml:space="preserve"> </w:t>
      </w:r>
      <w:r>
        <w:rPr>
          <w:sz w:val="22"/>
          <w:szCs w:val="22"/>
        </w:rPr>
        <w:t xml:space="preserve">(“Request”) filed by </w:t>
      </w:r>
      <w:r w:rsidRPr="00D4354B">
        <w:rPr>
          <w:sz w:val="22"/>
          <w:szCs w:val="22"/>
        </w:rPr>
        <w:t>Maricopa County Community College District</w:t>
      </w:r>
      <w:r>
        <w:rPr>
          <w:sz w:val="22"/>
          <w:szCs w:val="22"/>
        </w:rPr>
        <w:t xml:space="preserve"> (“Maricopa”).  Maricopa is the l</w:t>
      </w:r>
      <w:r w:rsidR="008A00C9">
        <w:rPr>
          <w:sz w:val="22"/>
          <w:szCs w:val="22"/>
        </w:rPr>
        <w:t>icensee or</w:t>
      </w:r>
      <w:r w:rsidR="00395BB6">
        <w:rPr>
          <w:sz w:val="22"/>
          <w:szCs w:val="22"/>
        </w:rPr>
        <w:t xml:space="preserve"> joint licensee</w:t>
      </w:r>
      <w:r>
        <w:rPr>
          <w:sz w:val="22"/>
          <w:szCs w:val="22"/>
        </w:rPr>
        <w:t xml:space="preserve"> of two noncommercial educational (“NCE”) stations</w:t>
      </w:r>
      <w:r w:rsidR="008A00C9">
        <w:rPr>
          <w:sz w:val="22"/>
          <w:szCs w:val="22"/>
        </w:rPr>
        <w:t>,</w:t>
      </w:r>
      <w:r w:rsidR="008A00C9">
        <w:rPr>
          <w:rStyle w:val="FootnoteReference"/>
          <w:sz w:val="22"/>
          <w:szCs w:val="22"/>
        </w:rPr>
        <w:footnoteReference w:id="2"/>
      </w:r>
      <w:r w:rsidR="008A00C9">
        <w:rPr>
          <w:sz w:val="22"/>
          <w:szCs w:val="22"/>
        </w:rPr>
        <w:t xml:space="preserve"> and seeks temporary experimental authority to test a “</w:t>
      </w:r>
      <w:r w:rsidR="008A00C9" w:rsidRPr="008A00C9">
        <w:rPr>
          <w:sz w:val="22"/>
          <w:szCs w:val="22"/>
        </w:rPr>
        <w:t>loosening of the Commission’s enhanced underwriting policies</w:t>
      </w:r>
      <w:r w:rsidR="008A00C9">
        <w:rPr>
          <w:sz w:val="22"/>
          <w:szCs w:val="22"/>
        </w:rPr>
        <w:t>,”</w:t>
      </w:r>
      <w:r w:rsidR="008A00C9">
        <w:rPr>
          <w:rStyle w:val="FootnoteReference"/>
          <w:sz w:val="22"/>
          <w:szCs w:val="22"/>
        </w:rPr>
        <w:footnoteReference w:id="3"/>
      </w:r>
      <w:r w:rsidR="008A00C9">
        <w:rPr>
          <w:sz w:val="22"/>
          <w:szCs w:val="22"/>
        </w:rPr>
        <w:t xml:space="preserve"> or alternatively, a waiver of</w:t>
      </w:r>
      <w:r w:rsidR="00411E9F">
        <w:rPr>
          <w:sz w:val="22"/>
          <w:szCs w:val="22"/>
        </w:rPr>
        <w:t xml:space="preserve"> the Commission’s underwriting R</w:t>
      </w:r>
      <w:r w:rsidR="008A00C9">
        <w:rPr>
          <w:sz w:val="22"/>
          <w:szCs w:val="22"/>
        </w:rPr>
        <w:t>ules</w:t>
      </w:r>
      <w:r w:rsidR="00126444">
        <w:rPr>
          <w:sz w:val="22"/>
          <w:szCs w:val="22"/>
        </w:rPr>
        <w:t xml:space="preserve"> and policies</w:t>
      </w:r>
      <w:r>
        <w:rPr>
          <w:sz w:val="22"/>
          <w:szCs w:val="22"/>
        </w:rPr>
        <w:t>.</w:t>
      </w:r>
      <w:r w:rsidR="00126444">
        <w:rPr>
          <w:rStyle w:val="FootnoteReference"/>
          <w:sz w:val="22"/>
          <w:szCs w:val="22"/>
        </w:rPr>
        <w:footnoteReference w:id="4"/>
      </w:r>
    </w:p>
    <w:p w:rsidR="00D4354B" w:rsidRDefault="00D4354B">
      <w:pPr>
        <w:tabs>
          <w:tab w:val="left" w:pos="0"/>
        </w:tabs>
        <w:suppressAutoHyphens/>
        <w:rPr>
          <w:sz w:val="22"/>
          <w:szCs w:val="22"/>
        </w:rPr>
      </w:pPr>
    </w:p>
    <w:p w:rsidR="005C0DBB" w:rsidRDefault="00D4354B">
      <w:pPr>
        <w:tabs>
          <w:tab w:val="left" w:pos="0"/>
        </w:tabs>
        <w:suppressAutoHyphens/>
        <w:rPr>
          <w:sz w:val="22"/>
          <w:szCs w:val="22"/>
        </w:rPr>
      </w:pPr>
      <w:r>
        <w:rPr>
          <w:sz w:val="22"/>
          <w:szCs w:val="22"/>
        </w:rPr>
        <w:tab/>
      </w:r>
      <w:r>
        <w:rPr>
          <w:b/>
          <w:sz w:val="22"/>
          <w:szCs w:val="22"/>
          <w:u w:val="single"/>
        </w:rPr>
        <w:t>Background</w:t>
      </w:r>
      <w:r>
        <w:rPr>
          <w:sz w:val="22"/>
          <w:szCs w:val="22"/>
          <w:u w:val="single"/>
        </w:rPr>
        <w:t>.</w:t>
      </w:r>
      <w:r>
        <w:rPr>
          <w:sz w:val="22"/>
          <w:szCs w:val="22"/>
        </w:rPr>
        <w:t xml:space="preserve">  In the Request, </w:t>
      </w:r>
      <w:r w:rsidR="005C0DBB">
        <w:rPr>
          <w:sz w:val="22"/>
          <w:szCs w:val="22"/>
        </w:rPr>
        <w:t>Maricopa</w:t>
      </w:r>
      <w:r>
        <w:rPr>
          <w:sz w:val="22"/>
          <w:szCs w:val="22"/>
        </w:rPr>
        <w:t xml:space="preserve"> </w:t>
      </w:r>
      <w:r w:rsidR="005C0DBB">
        <w:rPr>
          <w:sz w:val="22"/>
          <w:szCs w:val="22"/>
        </w:rPr>
        <w:t xml:space="preserve">requests that the Stations be allowed conduct a temporary three year experiment that would allow the Stations to enhance their underwriting announcements in the following ways:  (1) provide “[f]actually accurate information concerning interest rates” available at local businesses, including underwriter banks, credit unions, automobile dealerships; (2) notify listeners of underwriter sales or special events; and (3) include qualitative adjectives in underwriting announcements, “particularly where the </w:t>
      </w:r>
      <w:r w:rsidR="00126444">
        <w:rPr>
          <w:sz w:val="22"/>
          <w:szCs w:val="22"/>
        </w:rPr>
        <w:t>adjectives have a logogram quality that is factually based, such as ‘certified,’ ‘accredited,’ ‘award-winning,’ ‘experienced,’ or ‘long-established,’” including publicly-determined rankings.</w:t>
      </w:r>
      <w:r w:rsidR="00126444">
        <w:rPr>
          <w:rStyle w:val="FootnoteReference"/>
          <w:sz w:val="22"/>
          <w:szCs w:val="22"/>
        </w:rPr>
        <w:footnoteReference w:id="5"/>
      </w:r>
      <w:r w:rsidR="00126444">
        <w:rPr>
          <w:sz w:val="22"/>
          <w:szCs w:val="22"/>
        </w:rPr>
        <w:t xml:space="preserve">  Maricopa explains the purpose of this demonstration is to “test the effects, if any, on listener satisfaction, program quality, and station revenue which might result from such a limited relaxation” of the Commission’s underwriting requirements.</w:t>
      </w:r>
      <w:r w:rsidR="00126444">
        <w:rPr>
          <w:rStyle w:val="FootnoteReference"/>
          <w:sz w:val="22"/>
          <w:szCs w:val="22"/>
        </w:rPr>
        <w:footnoteReference w:id="6"/>
      </w:r>
    </w:p>
    <w:p w:rsidR="00D4354B" w:rsidRDefault="00D4354B">
      <w:pPr>
        <w:tabs>
          <w:tab w:val="left" w:pos="0"/>
        </w:tabs>
        <w:suppressAutoHyphens/>
        <w:rPr>
          <w:sz w:val="22"/>
          <w:szCs w:val="22"/>
        </w:rPr>
      </w:pPr>
    </w:p>
    <w:p w:rsidR="00D4354B" w:rsidRDefault="00D4354B">
      <w:pPr>
        <w:ind w:firstLine="576"/>
        <w:rPr>
          <w:sz w:val="22"/>
          <w:szCs w:val="22"/>
        </w:rPr>
      </w:pPr>
      <w:r>
        <w:rPr>
          <w:sz w:val="22"/>
          <w:szCs w:val="22"/>
        </w:rPr>
        <w:lastRenderedPageBreak/>
        <w:tab/>
      </w:r>
      <w:r>
        <w:rPr>
          <w:b/>
          <w:sz w:val="22"/>
          <w:szCs w:val="22"/>
          <w:u w:val="single"/>
        </w:rPr>
        <w:t>Discussion.</w:t>
      </w:r>
      <w:r>
        <w:rPr>
          <w:sz w:val="22"/>
          <w:szCs w:val="22"/>
        </w:rPr>
        <w:t xml:space="preserve">  </w:t>
      </w:r>
      <w:r>
        <w:rPr>
          <w:bCs/>
          <w:color w:val="000000"/>
          <w:spacing w:val="-5"/>
          <w:sz w:val="22"/>
          <w:szCs w:val="22"/>
        </w:rPr>
        <w:t xml:space="preserve">An applicant seeking </w:t>
      </w:r>
      <w:bookmarkStart w:id="1" w:name="SR;716"/>
      <w:bookmarkEnd w:id="1"/>
      <w:r>
        <w:rPr>
          <w:color w:val="000000"/>
          <w:sz w:val="22"/>
          <w:szCs w:val="22"/>
        </w:rPr>
        <w:t>waiver of a Rule has the burden to plead with particularity the facts and circumstances that warrant such action.</w:t>
      </w:r>
      <w:bookmarkStart w:id="2" w:name="FN[FN7]"/>
      <w:bookmarkEnd w:id="2"/>
      <w:r>
        <w:rPr>
          <w:rStyle w:val="FootnoteReference"/>
          <w:sz w:val="22"/>
          <w:szCs w:val="22"/>
        </w:rPr>
        <w:footnoteReference w:id="7"/>
      </w:r>
      <w:r>
        <w:rPr>
          <w:color w:val="000000"/>
          <w:sz w:val="22"/>
          <w:szCs w:val="22"/>
          <w:vertAlign w:val="superscript"/>
        </w:rPr>
        <w:t xml:space="preserve"> </w:t>
      </w:r>
      <w:r>
        <w:rPr>
          <w:color w:val="000000"/>
          <w:sz w:val="22"/>
          <w:szCs w:val="22"/>
        </w:rPr>
        <w:t xml:space="preserve"> Thus, an applicant for </w:t>
      </w:r>
      <w:bookmarkStart w:id="3" w:name="SR;741"/>
      <w:bookmarkEnd w:id="3"/>
      <w:r>
        <w:rPr>
          <w:color w:val="000000"/>
          <w:sz w:val="22"/>
          <w:szCs w:val="22"/>
        </w:rPr>
        <w:t xml:space="preserve">waiver “faces a </w:t>
      </w:r>
      <w:bookmarkStart w:id="4" w:name="SR;744"/>
      <w:bookmarkEnd w:id="4"/>
      <w:r>
        <w:rPr>
          <w:color w:val="000000"/>
          <w:sz w:val="22"/>
          <w:szCs w:val="22"/>
        </w:rPr>
        <w:t xml:space="preserve">high hurdle </w:t>
      </w:r>
      <w:bookmarkStart w:id="5" w:name="SR;745"/>
      <w:bookmarkEnd w:id="5"/>
      <w:r>
        <w:rPr>
          <w:color w:val="000000"/>
          <w:sz w:val="22"/>
          <w:szCs w:val="22"/>
        </w:rPr>
        <w:t>even at the starting gate.”</w:t>
      </w:r>
      <w:bookmarkStart w:id="6" w:name="FN[FN8]"/>
      <w:bookmarkEnd w:id="6"/>
      <w:r>
        <w:rPr>
          <w:rStyle w:val="FootnoteReference"/>
          <w:sz w:val="22"/>
          <w:szCs w:val="22"/>
        </w:rPr>
        <w:footnoteReference w:id="8"/>
      </w:r>
      <w:r>
        <w:rPr>
          <w:color w:val="000000"/>
          <w:sz w:val="22"/>
          <w:szCs w:val="22"/>
        </w:rPr>
        <w:t xml:space="preserve">  Although the Commission must consider carefully all </w:t>
      </w:r>
      <w:bookmarkStart w:id="8" w:name="SR;760"/>
      <w:bookmarkEnd w:id="8"/>
      <w:r>
        <w:rPr>
          <w:color w:val="000000"/>
          <w:sz w:val="22"/>
          <w:szCs w:val="22"/>
        </w:rPr>
        <w:t>waiver requests, such requests must be supported by a compelling showing in order to be granted.</w:t>
      </w:r>
      <w:r>
        <w:rPr>
          <w:rStyle w:val="FootnoteReference"/>
          <w:sz w:val="22"/>
          <w:szCs w:val="22"/>
        </w:rPr>
        <w:footnoteReference w:id="9"/>
      </w:r>
      <w:r>
        <w:rPr>
          <w:color w:val="000000"/>
          <w:sz w:val="22"/>
          <w:szCs w:val="22"/>
        </w:rPr>
        <w:t xml:space="preserve">  </w:t>
      </w:r>
      <w:r w:rsidR="00E152EE" w:rsidRPr="00E152EE">
        <w:rPr>
          <w:sz w:val="22"/>
          <w:szCs w:val="22"/>
        </w:rPr>
        <w:t>Waiver is appropriate only if both (1) special circumstances warrant a deviation from the general rule, and (2) such deviation better serves the public interest</w:t>
      </w:r>
      <w:r w:rsidR="00E152EE">
        <w:rPr>
          <w:sz w:val="22"/>
          <w:szCs w:val="22"/>
        </w:rPr>
        <w:t>.</w:t>
      </w:r>
      <w:r w:rsidR="00E152EE">
        <w:rPr>
          <w:rStyle w:val="FootnoteReference"/>
          <w:sz w:val="22"/>
          <w:szCs w:val="22"/>
        </w:rPr>
        <w:footnoteReference w:id="10"/>
      </w:r>
      <w:r w:rsidR="00E152EE">
        <w:rPr>
          <w:sz w:val="22"/>
          <w:szCs w:val="22"/>
        </w:rPr>
        <w:t xml:space="preserve">  </w:t>
      </w:r>
    </w:p>
    <w:p w:rsidR="00D4354B" w:rsidRDefault="00D4354B">
      <w:pPr>
        <w:ind w:firstLine="576"/>
        <w:rPr>
          <w:sz w:val="22"/>
          <w:szCs w:val="22"/>
        </w:rPr>
      </w:pPr>
    </w:p>
    <w:p w:rsidR="00D4354B" w:rsidRDefault="00D4354B">
      <w:pPr>
        <w:autoSpaceDE w:val="0"/>
        <w:autoSpaceDN w:val="0"/>
        <w:adjustRightInd w:val="0"/>
        <w:rPr>
          <w:sz w:val="22"/>
          <w:szCs w:val="22"/>
        </w:rPr>
      </w:pPr>
      <w:r>
        <w:rPr>
          <w:sz w:val="22"/>
          <w:szCs w:val="22"/>
        </w:rPr>
        <w:tab/>
      </w:r>
      <w:r w:rsidR="003E15C5">
        <w:rPr>
          <w:sz w:val="22"/>
          <w:szCs w:val="22"/>
        </w:rPr>
        <w:t>I</w:t>
      </w:r>
      <w:r>
        <w:rPr>
          <w:sz w:val="22"/>
          <w:szCs w:val="22"/>
        </w:rPr>
        <w:t>n creating a</w:t>
      </w:r>
      <w:r w:rsidR="003E15C5">
        <w:rPr>
          <w:sz w:val="22"/>
          <w:szCs w:val="22"/>
        </w:rPr>
        <w:t xml:space="preserve">n NCE </w:t>
      </w:r>
      <w:r>
        <w:rPr>
          <w:sz w:val="22"/>
          <w:szCs w:val="22"/>
        </w:rPr>
        <w:t>service</w:t>
      </w:r>
      <w:r w:rsidR="003E15C5">
        <w:rPr>
          <w:sz w:val="22"/>
          <w:szCs w:val="22"/>
        </w:rPr>
        <w:t xml:space="preserve"> the Commission</w:t>
      </w:r>
      <w:r>
        <w:rPr>
          <w:sz w:val="22"/>
          <w:szCs w:val="22"/>
        </w:rPr>
        <w:t xml:space="preserve"> has </w:t>
      </w:r>
      <w:r w:rsidR="003E15C5">
        <w:rPr>
          <w:sz w:val="22"/>
          <w:szCs w:val="22"/>
        </w:rPr>
        <w:t>sought</w:t>
      </w:r>
      <w:r>
        <w:rPr>
          <w:sz w:val="22"/>
          <w:szCs w:val="22"/>
        </w:rPr>
        <w:t xml:space="preserve"> to remove the programming decisions of public broadcasters from the “normal kinds of commercial market pressures under which broadcasters in the unreserved spectrum usually operate.”</w:t>
      </w:r>
      <w:r>
        <w:rPr>
          <w:rStyle w:val="FootnoteReference"/>
          <w:sz w:val="22"/>
          <w:szCs w:val="22"/>
        </w:rPr>
        <w:footnoteReference w:id="11"/>
      </w:r>
      <w:r>
        <w:rPr>
          <w:sz w:val="22"/>
          <w:szCs w:val="22"/>
        </w:rPr>
        <w:t xml:space="preserve">  In order to maintain the essential character of the noncommercial service, Section 399B of the Communications Act of 1934, as amended,</w:t>
      </w:r>
      <w:r>
        <w:rPr>
          <w:rStyle w:val="FootnoteReference"/>
          <w:sz w:val="22"/>
          <w:szCs w:val="22"/>
        </w:rPr>
        <w:footnoteReference w:id="12"/>
      </w:r>
      <w:r>
        <w:rPr>
          <w:sz w:val="22"/>
          <w:szCs w:val="22"/>
        </w:rPr>
        <w:t xml:space="preserve"> Sections 73.503(d) and 73.621(e) of the Commission’s Rules</w:t>
      </w:r>
      <w:r w:rsidR="00073920">
        <w:rPr>
          <w:sz w:val="22"/>
          <w:szCs w:val="22"/>
        </w:rPr>
        <w:t>,</w:t>
      </w:r>
      <w:r>
        <w:rPr>
          <w:rStyle w:val="FootnoteReference"/>
          <w:sz w:val="22"/>
          <w:szCs w:val="22"/>
        </w:rPr>
        <w:footnoteReference w:id="13"/>
      </w:r>
      <w:r>
        <w:rPr>
          <w:sz w:val="22"/>
          <w:szCs w:val="22"/>
        </w:rPr>
        <w:t xml:space="preserve"> </w:t>
      </w:r>
      <w:r w:rsidR="00A30EE7">
        <w:rPr>
          <w:sz w:val="22"/>
          <w:szCs w:val="22"/>
        </w:rPr>
        <w:t>and the Commission’s subsequent policies,</w:t>
      </w:r>
      <w:r w:rsidR="00A30EE7">
        <w:rPr>
          <w:rStyle w:val="FootnoteReference"/>
          <w:sz w:val="22"/>
          <w:szCs w:val="22"/>
        </w:rPr>
        <w:footnoteReference w:id="14"/>
      </w:r>
      <w:r w:rsidR="00A30EE7">
        <w:rPr>
          <w:sz w:val="22"/>
          <w:szCs w:val="22"/>
        </w:rPr>
        <w:t xml:space="preserve"> </w:t>
      </w:r>
      <w:r>
        <w:rPr>
          <w:sz w:val="22"/>
          <w:szCs w:val="22"/>
        </w:rPr>
        <w:t>specifically proscribe the broadcast of announcements by public broadcast stations which promote the sale of goods and services of for-profit entities in return for consideration paid to the station</w:t>
      </w:r>
      <w:r w:rsidR="002F474D">
        <w:rPr>
          <w:sz w:val="22"/>
          <w:szCs w:val="22"/>
        </w:rPr>
        <w:t>s</w:t>
      </w:r>
      <w:r>
        <w:rPr>
          <w:sz w:val="22"/>
          <w:szCs w:val="22"/>
        </w:rPr>
        <w:t xml:space="preserve">. </w:t>
      </w:r>
    </w:p>
    <w:p w:rsidR="00D4354B" w:rsidRDefault="00D4354B">
      <w:pPr>
        <w:rPr>
          <w:sz w:val="22"/>
          <w:szCs w:val="22"/>
        </w:rPr>
      </w:pPr>
      <w:r>
        <w:rPr>
          <w:sz w:val="22"/>
          <w:szCs w:val="22"/>
        </w:rPr>
        <w:t xml:space="preserve"> </w:t>
      </w:r>
    </w:p>
    <w:p w:rsidR="00D4354B" w:rsidRDefault="00D4354B">
      <w:pPr>
        <w:autoSpaceDE w:val="0"/>
        <w:autoSpaceDN w:val="0"/>
        <w:adjustRightInd w:val="0"/>
        <w:ind w:firstLine="720"/>
        <w:rPr>
          <w:sz w:val="22"/>
          <w:szCs w:val="22"/>
        </w:rPr>
      </w:pPr>
      <w:r>
        <w:rPr>
          <w:sz w:val="22"/>
          <w:szCs w:val="22"/>
        </w:rPr>
        <w:t xml:space="preserve">We will deny the Request for several reasons.  </w:t>
      </w:r>
      <w:r w:rsidR="0072595D">
        <w:rPr>
          <w:sz w:val="22"/>
          <w:szCs w:val="22"/>
        </w:rPr>
        <w:t xml:space="preserve">First, as Maricopa recognizes, it does not meet the </w:t>
      </w:r>
      <w:r w:rsidR="006A27C7">
        <w:rPr>
          <w:sz w:val="22"/>
          <w:szCs w:val="22"/>
        </w:rPr>
        <w:t xml:space="preserve">basic </w:t>
      </w:r>
      <w:r w:rsidR="0072595D">
        <w:rPr>
          <w:sz w:val="22"/>
          <w:szCs w:val="22"/>
        </w:rPr>
        <w:t xml:space="preserve">qualifications of an experimental authorization, as the waiver does not seek to “conduct technical experimentation directed toward improvement of the technical phases of operation </w:t>
      </w:r>
      <w:r w:rsidR="006A27C7">
        <w:rPr>
          <w:sz w:val="22"/>
          <w:szCs w:val="22"/>
        </w:rPr>
        <w:t xml:space="preserve">and </w:t>
      </w:r>
      <w:r w:rsidR="0072595D">
        <w:rPr>
          <w:sz w:val="22"/>
          <w:szCs w:val="22"/>
        </w:rPr>
        <w:t>service</w:t>
      </w:r>
      <w:r w:rsidR="006A27C7">
        <w:rPr>
          <w:sz w:val="22"/>
          <w:szCs w:val="22"/>
        </w:rPr>
        <w:t>. . . .</w:t>
      </w:r>
      <w:r w:rsidR="0072595D">
        <w:rPr>
          <w:sz w:val="22"/>
          <w:szCs w:val="22"/>
        </w:rPr>
        <w:t>”</w:t>
      </w:r>
      <w:r w:rsidR="0072595D">
        <w:rPr>
          <w:rStyle w:val="FootnoteReference"/>
          <w:sz w:val="22"/>
          <w:szCs w:val="22"/>
        </w:rPr>
        <w:footnoteReference w:id="15"/>
      </w:r>
    </w:p>
    <w:p w:rsidR="00D4354B" w:rsidRDefault="00D4354B">
      <w:pPr>
        <w:autoSpaceDE w:val="0"/>
        <w:autoSpaceDN w:val="0"/>
        <w:adjustRightInd w:val="0"/>
        <w:rPr>
          <w:sz w:val="22"/>
          <w:szCs w:val="22"/>
        </w:rPr>
      </w:pPr>
    </w:p>
    <w:p w:rsidR="00C33426" w:rsidRDefault="00D4354B">
      <w:pPr>
        <w:autoSpaceDE w:val="0"/>
        <w:autoSpaceDN w:val="0"/>
        <w:adjustRightInd w:val="0"/>
        <w:rPr>
          <w:sz w:val="22"/>
          <w:szCs w:val="22"/>
        </w:rPr>
      </w:pPr>
      <w:r>
        <w:rPr>
          <w:sz w:val="22"/>
          <w:szCs w:val="22"/>
        </w:rPr>
        <w:lastRenderedPageBreak/>
        <w:tab/>
        <w:t xml:space="preserve">Second, </w:t>
      </w:r>
      <w:r w:rsidR="00197929">
        <w:rPr>
          <w:sz w:val="22"/>
          <w:szCs w:val="22"/>
        </w:rPr>
        <w:t>we also</w:t>
      </w:r>
      <w:r w:rsidR="00A0671A">
        <w:rPr>
          <w:sz w:val="22"/>
          <w:szCs w:val="22"/>
        </w:rPr>
        <w:t xml:space="preserve"> </w:t>
      </w:r>
      <w:r>
        <w:rPr>
          <w:sz w:val="22"/>
          <w:szCs w:val="22"/>
        </w:rPr>
        <w:t xml:space="preserve">deny </w:t>
      </w:r>
      <w:r w:rsidR="00197929">
        <w:rPr>
          <w:sz w:val="22"/>
          <w:szCs w:val="22"/>
        </w:rPr>
        <w:t>Maricopa’s alternative request that we waive Sections 73.503 and 73.621 of the Commission’s Rules, and the Commission’s underwriting policies</w:t>
      </w:r>
      <w:r>
        <w:rPr>
          <w:sz w:val="22"/>
          <w:szCs w:val="22"/>
        </w:rPr>
        <w:t>.</w:t>
      </w:r>
      <w:r w:rsidR="00197929">
        <w:rPr>
          <w:rStyle w:val="FootnoteReference"/>
          <w:sz w:val="22"/>
          <w:szCs w:val="22"/>
        </w:rPr>
        <w:footnoteReference w:id="16"/>
      </w:r>
      <w:r>
        <w:rPr>
          <w:sz w:val="22"/>
          <w:szCs w:val="22"/>
        </w:rPr>
        <w:t xml:space="preserve">  Permitting </w:t>
      </w:r>
      <w:r w:rsidR="0072595D">
        <w:rPr>
          <w:sz w:val="22"/>
          <w:szCs w:val="22"/>
        </w:rPr>
        <w:t>Maricopa</w:t>
      </w:r>
      <w:r>
        <w:rPr>
          <w:sz w:val="22"/>
          <w:szCs w:val="22"/>
        </w:rPr>
        <w:t xml:space="preserve"> to </w:t>
      </w:r>
      <w:r w:rsidR="00411E9F">
        <w:rPr>
          <w:sz w:val="22"/>
          <w:szCs w:val="22"/>
        </w:rPr>
        <w:t>enhance their underwriting announcements</w:t>
      </w:r>
      <w:r w:rsidR="00197929">
        <w:rPr>
          <w:sz w:val="22"/>
          <w:szCs w:val="22"/>
        </w:rPr>
        <w:t xml:space="preserve"> </w:t>
      </w:r>
      <w:r>
        <w:rPr>
          <w:sz w:val="22"/>
          <w:szCs w:val="22"/>
        </w:rPr>
        <w:t xml:space="preserve">would undermine the statutory and regulatory purposes in authorizing NCE stations – that is, to encourage the development of a public broadcasting system that is free from extraneous influence and control.  </w:t>
      </w:r>
      <w:r w:rsidR="00D973E6">
        <w:rPr>
          <w:sz w:val="22"/>
          <w:szCs w:val="22"/>
        </w:rPr>
        <w:t xml:space="preserve">The manner in which the Commission currently permits donor and underwriter acknowledgements </w:t>
      </w:r>
      <w:r w:rsidR="00885DA6">
        <w:rPr>
          <w:sz w:val="22"/>
          <w:szCs w:val="22"/>
        </w:rPr>
        <w:t xml:space="preserve">was established to </w:t>
      </w:r>
      <w:r w:rsidR="004E757F">
        <w:rPr>
          <w:sz w:val="22"/>
          <w:szCs w:val="22"/>
        </w:rPr>
        <w:t>balance</w:t>
      </w:r>
      <w:r w:rsidR="00CB135C">
        <w:rPr>
          <w:sz w:val="22"/>
          <w:szCs w:val="22"/>
        </w:rPr>
        <w:t xml:space="preserve"> the financial needs of public broadcasting stations and their obligation to provide a noncommercial service.  </w:t>
      </w:r>
      <w:r w:rsidR="00C33426" w:rsidRPr="00C33426">
        <w:rPr>
          <w:sz w:val="22"/>
          <w:szCs w:val="22"/>
        </w:rPr>
        <w:t xml:space="preserve">We believe that the public interest is better served by requiring strict adherence to the underwriting Rules and policies.  </w:t>
      </w:r>
    </w:p>
    <w:p w:rsidR="00C33426" w:rsidRDefault="00C33426">
      <w:pPr>
        <w:autoSpaceDE w:val="0"/>
        <w:autoSpaceDN w:val="0"/>
        <w:adjustRightInd w:val="0"/>
        <w:rPr>
          <w:sz w:val="22"/>
          <w:szCs w:val="22"/>
        </w:rPr>
      </w:pPr>
    </w:p>
    <w:p w:rsidR="00D4354B" w:rsidRDefault="00C33426" w:rsidP="00C05353">
      <w:pPr>
        <w:autoSpaceDE w:val="0"/>
        <w:autoSpaceDN w:val="0"/>
        <w:adjustRightInd w:val="0"/>
        <w:ind w:firstLine="720"/>
        <w:rPr>
          <w:sz w:val="22"/>
          <w:szCs w:val="22"/>
        </w:rPr>
      </w:pPr>
      <w:r>
        <w:rPr>
          <w:sz w:val="22"/>
          <w:szCs w:val="22"/>
        </w:rPr>
        <w:t xml:space="preserve">Further, </w:t>
      </w:r>
      <w:r w:rsidR="009A79F5">
        <w:rPr>
          <w:sz w:val="22"/>
          <w:szCs w:val="22"/>
        </w:rPr>
        <w:t>Maricopa’s stated purposes for the wa</w:t>
      </w:r>
      <w:r w:rsidR="00C05353">
        <w:rPr>
          <w:sz w:val="22"/>
          <w:szCs w:val="22"/>
        </w:rPr>
        <w:t>i</w:t>
      </w:r>
      <w:r w:rsidR="009A79F5">
        <w:rPr>
          <w:sz w:val="22"/>
          <w:szCs w:val="22"/>
        </w:rPr>
        <w:t xml:space="preserve">ver </w:t>
      </w:r>
      <w:r w:rsidR="003E15C5">
        <w:rPr>
          <w:sz w:val="22"/>
          <w:szCs w:val="22"/>
        </w:rPr>
        <w:t>–</w:t>
      </w:r>
      <w:r w:rsidR="009A79F5">
        <w:rPr>
          <w:sz w:val="22"/>
          <w:szCs w:val="22"/>
        </w:rPr>
        <w:t xml:space="preserve"> </w:t>
      </w:r>
      <w:r w:rsidR="003E15C5">
        <w:rPr>
          <w:sz w:val="22"/>
          <w:szCs w:val="22"/>
        </w:rPr>
        <w:t xml:space="preserve">to adopt measures to address the </w:t>
      </w:r>
      <w:r w:rsidR="009A79F5">
        <w:rPr>
          <w:sz w:val="22"/>
          <w:szCs w:val="22"/>
        </w:rPr>
        <w:t>e</w:t>
      </w:r>
      <w:r w:rsidR="00197929">
        <w:rPr>
          <w:sz w:val="22"/>
          <w:szCs w:val="22"/>
        </w:rPr>
        <w:t>conomic challenges due to decreased funding</w:t>
      </w:r>
      <w:r w:rsidR="009A79F5">
        <w:rPr>
          <w:sz w:val="22"/>
          <w:szCs w:val="22"/>
        </w:rPr>
        <w:t xml:space="preserve"> from federal and state sources and the prolonged economic recovery</w:t>
      </w:r>
      <w:r w:rsidR="009A79F5">
        <w:rPr>
          <w:rStyle w:val="FootnoteReference"/>
          <w:sz w:val="22"/>
          <w:szCs w:val="22"/>
        </w:rPr>
        <w:footnoteReference w:id="17"/>
      </w:r>
      <w:r w:rsidR="009A79F5">
        <w:rPr>
          <w:sz w:val="22"/>
          <w:szCs w:val="22"/>
        </w:rPr>
        <w:t xml:space="preserve"> - </w:t>
      </w:r>
      <w:r w:rsidR="00D4354B">
        <w:rPr>
          <w:sz w:val="22"/>
          <w:szCs w:val="22"/>
        </w:rPr>
        <w:t xml:space="preserve">while </w:t>
      </w:r>
      <w:r w:rsidR="00C05353">
        <w:rPr>
          <w:sz w:val="22"/>
          <w:szCs w:val="22"/>
        </w:rPr>
        <w:t>laudatory</w:t>
      </w:r>
      <w:r w:rsidR="00D4354B">
        <w:rPr>
          <w:sz w:val="22"/>
          <w:szCs w:val="22"/>
        </w:rPr>
        <w:t xml:space="preserve">, </w:t>
      </w:r>
      <w:r w:rsidR="003E15C5">
        <w:rPr>
          <w:sz w:val="22"/>
          <w:szCs w:val="22"/>
        </w:rPr>
        <w:t>are</w:t>
      </w:r>
      <w:r w:rsidR="00D4354B">
        <w:rPr>
          <w:sz w:val="22"/>
          <w:szCs w:val="22"/>
        </w:rPr>
        <w:t xml:space="preserve"> not so unique and unusual in itself as to warrant a waiver of the </w:t>
      </w:r>
      <w:r w:rsidR="00411E9F">
        <w:rPr>
          <w:sz w:val="22"/>
          <w:szCs w:val="22"/>
        </w:rPr>
        <w:t>underwriting R</w:t>
      </w:r>
      <w:r w:rsidR="009A79F5">
        <w:rPr>
          <w:sz w:val="22"/>
          <w:szCs w:val="22"/>
        </w:rPr>
        <w:t>ules and policies</w:t>
      </w:r>
      <w:r w:rsidR="00D4354B">
        <w:rPr>
          <w:sz w:val="22"/>
          <w:szCs w:val="22"/>
        </w:rPr>
        <w:t>.  Many NCE license</w:t>
      </w:r>
      <w:r w:rsidR="009A79F5">
        <w:rPr>
          <w:sz w:val="22"/>
          <w:szCs w:val="22"/>
        </w:rPr>
        <w:t>es face similar circumstances and</w:t>
      </w:r>
      <w:r w:rsidR="00D4354B">
        <w:rPr>
          <w:sz w:val="22"/>
          <w:szCs w:val="22"/>
        </w:rPr>
        <w:t xml:space="preserve"> </w:t>
      </w:r>
      <w:r w:rsidR="009A79F5" w:rsidRPr="009A79F5">
        <w:rPr>
          <w:sz w:val="22"/>
          <w:szCs w:val="22"/>
        </w:rPr>
        <w:t xml:space="preserve">Maricopa fails to identify any special circumstances that distinguish it from </w:t>
      </w:r>
      <w:r w:rsidR="009A79F5">
        <w:rPr>
          <w:sz w:val="22"/>
          <w:szCs w:val="22"/>
        </w:rPr>
        <w:t>all other NCE licensees</w:t>
      </w:r>
      <w:r w:rsidR="009A79F5" w:rsidRPr="009A79F5">
        <w:rPr>
          <w:sz w:val="22"/>
          <w:szCs w:val="22"/>
        </w:rPr>
        <w:t>.  If Maricopa wishes to petition for a change in the rule, the appropriate vehicle would be a petition for rulemaking, not a waiver request.</w:t>
      </w:r>
      <w:r w:rsidR="009A79F5" w:rsidRPr="009A79F5">
        <w:rPr>
          <w:sz w:val="22"/>
          <w:szCs w:val="22"/>
          <w:vertAlign w:val="superscript"/>
        </w:rPr>
        <w:t xml:space="preserve"> </w:t>
      </w:r>
      <w:r w:rsidR="009A79F5" w:rsidRPr="009A79F5">
        <w:rPr>
          <w:sz w:val="22"/>
          <w:szCs w:val="22"/>
          <w:vertAlign w:val="superscript"/>
        </w:rPr>
        <w:footnoteReference w:id="18"/>
      </w:r>
      <w:r w:rsidR="009A79F5" w:rsidRPr="009A79F5">
        <w:rPr>
          <w:sz w:val="22"/>
          <w:szCs w:val="22"/>
        </w:rPr>
        <w:t xml:space="preserve"> </w:t>
      </w:r>
      <w:r w:rsidR="009A79F5">
        <w:rPr>
          <w:sz w:val="22"/>
          <w:szCs w:val="22"/>
        </w:rPr>
        <w:t xml:space="preserve"> </w:t>
      </w:r>
    </w:p>
    <w:p w:rsidR="00AE41A2" w:rsidRDefault="00AE41A2">
      <w:pPr>
        <w:autoSpaceDE w:val="0"/>
        <w:autoSpaceDN w:val="0"/>
        <w:adjustRightInd w:val="0"/>
        <w:rPr>
          <w:sz w:val="22"/>
          <w:szCs w:val="22"/>
        </w:rPr>
      </w:pPr>
    </w:p>
    <w:p w:rsidR="00D4354B" w:rsidRDefault="00AE41A2">
      <w:pPr>
        <w:autoSpaceDE w:val="0"/>
        <w:autoSpaceDN w:val="0"/>
        <w:adjustRightInd w:val="0"/>
        <w:rPr>
          <w:color w:val="000000"/>
          <w:sz w:val="22"/>
          <w:szCs w:val="22"/>
        </w:rPr>
      </w:pPr>
      <w:r>
        <w:rPr>
          <w:sz w:val="22"/>
          <w:szCs w:val="22"/>
        </w:rPr>
        <w:tab/>
      </w:r>
      <w:r w:rsidR="00D4354B">
        <w:rPr>
          <w:sz w:val="22"/>
          <w:szCs w:val="22"/>
        </w:rPr>
        <w:t xml:space="preserve">Accordingly, the </w:t>
      </w:r>
      <w:r w:rsidR="009A79F5">
        <w:rPr>
          <w:sz w:val="22"/>
          <w:szCs w:val="22"/>
        </w:rPr>
        <w:t>March 18</w:t>
      </w:r>
      <w:r w:rsidR="00D4354B">
        <w:rPr>
          <w:sz w:val="22"/>
          <w:szCs w:val="22"/>
        </w:rPr>
        <w:t>, 201</w:t>
      </w:r>
      <w:r w:rsidR="009A79F5">
        <w:rPr>
          <w:sz w:val="22"/>
          <w:szCs w:val="22"/>
        </w:rPr>
        <w:t>3</w:t>
      </w:r>
      <w:r w:rsidR="00D4354B">
        <w:rPr>
          <w:sz w:val="22"/>
          <w:szCs w:val="22"/>
        </w:rPr>
        <w:t xml:space="preserve">, </w:t>
      </w:r>
      <w:r w:rsidR="009A79F5" w:rsidRPr="009A79F5">
        <w:rPr>
          <w:sz w:val="22"/>
          <w:szCs w:val="22"/>
        </w:rPr>
        <w:t xml:space="preserve">“Request for Experimental Authority To Relax Standards For Public Radio Underwriter Announcements” </w:t>
      </w:r>
      <w:r w:rsidR="00D4354B">
        <w:rPr>
          <w:sz w:val="22"/>
          <w:szCs w:val="22"/>
        </w:rPr>
        <w:t>filed by</w:t>
      </w:r>
      <w:r w:rsidR="009A79F5" w:rsidRPr="009A79F5">
        <w:rPr>
          <w:sz w:val="22"/>
          <w:szCs w:val="22"/>
        </w:rPr>
        <w:t xml:space="preserve"> Maricopa County Community College District</w:t>
      </w:r>
      <w:r w:rsidR="00D4354B">
        <w:rPr>
          <w:sz w:val="22"/>
          <w:szCs w:val="22"/>
        </w:rPr>
        <w:t xml:space="preserve">, IS </w:t>
      </w:r>
      <w:r w:rsidR="00A0671A">
        <w:rPr>
          <w:sz w:val="22"/>
          <w:szCs w:val="22"/>
        </w:rPr>
        <w:t>DENIED</w:t>
      </w:r>
      <w:r w:rsidR="00D4354B">
        <w:rPr>
          <w:sz w:val="22"/>
          <w:szCs w:val="22"/>
        </w:rPr>
        <w:t>.</w:t>
      </w:r>
    </w:p>
    <w:p w:rsidR="00D4354B" w:rsidRDefault="00D4354B">
      <w:pPr>
        <w:rPr>
          <w:sz w:val="22"/>
          <w:szCs w:val="22"/>
        </w:rPr>
      </w:pPr>
    </w:p>
    <w:p w:rsidR="00D4354B" w:rsidRDefault="00D4354B">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D4354B" w:rsidRDefault="00D4354B">
      <w:pPr>
        <w:tabs>
          <w:tab w:val="left" w:pos="0"/>
        </w:tabs>
        <w:suppressAutoHyphens/>
        <w:rPr>
          <w:sz w:val="22"/>
          <w:szCs w:val="22"/>
        </w:rPr>
      </w:pPr>
    </w:p>
    <w:p w:rsidR="00D4354B" w:rsidRDefault="00D4354B">
      <w:pPr>
        <w:tabs>
          <w:tab w:val="left" w:pos="0"/>
        </w:tabs>
        <w:suppressAutoHyphens/>
        <w:rPr>
          <w:sz w:val="22"/>
          <w:szCs w:val="22"/>
        </w:rPr>
      </w:pPr>
    </w:p>
    <w:p w:rsidR="00D4354B" w:rsidRDefault="00D4354B">
      <w:pPr>
        <w:tabs>
          <w:tab w:val="left" w:pos="0"/>
        </w:tabs>
        <w:suppressAutoHyphens/>
        <w:rPr>
          <w:sz w:val="22"/>
          <w:szCs w:val="22"/>
        </w:rPr>
      </w:pPr>
    </w:p>
    <w:p w:rsidR="00D4354B" w:rsidRDefault="00D4354B">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Peter H. Doyle</w:t>
      </w:r>
    </w:p>
    <w:p w:rsidR="00D4354B" w:rsidRDefault="00D4354B">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Chief, Audio Division</w:t>
      </w:r>
    </w:p>
    <w:p w:rsidR="00D4354B" w:rsidRDefault="00D4354B">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D4354B" w:rsidRDefault="00D4354B">
      <w:pPr>
        <w:tabs>
          <w:tab w:val="left" w:pos="0"/>
        </w:tabs>
        <w:suppressAutoHyphens/>
        <w:rPr>
          <w:sz w:val="22"/>
          <w:szCs w:val="22"/>
        </w:rPr>
      </w:pPr>
    </w:p>
    <w:p w:rsidR="00D4354B" w:rsidRDefault="00D4354B">
      <w:pPr>
        <w:tabs>
          <w:tab w:val="left" w:pos="0"/>
        </w:tabs>
        <w:suppressAutoHyphens/>
        <w:rPr>
          <w:sz w:val="22"/>
          <w:szCs w:val="22"/>
        </w:rPr>
      </w:pPr>
    </w:p>
    <w:p w:rsidR="00D4354B" w:rsidRDefault="00D4354B">
      <w:pPr>
        <w:rPr>
          <w:sz w:val="24"/>
          <w:szCs w:val="24"/>
        </w:rPr>
      </w:pPr>
    </w:p>
    <w:p w:rsidR="00D4354B" w:rsidRDefault="00D4354B">
      <w:pPr>
        <w:tabs>
          <w:tab w:val="left" w:pos="0"/>
        </w:tabs>
        <w:suppressAutoHyphens/>
        <w:rPr>
          <w:sz w:val="22"/>
          <w:szCs w:val="22"/>
        </w:rPr>
      </w:pPr>
    </w:p>
    <w:sectPr w:rsidR="00D435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09" w:rsidRDefault="00C41F09">
      <w:r>
        <w:separator/>
      </w:r>
    </w:p>
  </w:endnote>
  <w:endnote w:type="continuationSeparator" w:id="0">
    <w:p w:rsidR="00C41F09" w:rsidRDefault="00C4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9F" w:rsidRDefault="0041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11E9F" w:rsidRDefault="0041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9F" w:rsidRDefault="0041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E40">
      <w:rPr>
        <w:rStyle w:val="PageNumber"/>
        <w:noProof/>
      </w:rPr>
      <w:t>2</w:t>
    </w:r>
    <w:r>
      <w:rPr>
        <w:rStyle w:val="PageNumber"/>
      </w:rPr>
      <w:fldChar w:fldCharType="end"/>
    </w:r>
  </w:p>
  <w:p w:rsidR="00411E9F" w:rsidRDefault="00411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09" w:rsidRDefault="00C41F09">
      <w:r>
        <w:separator/>
      </w:r>
    </w:p>
  </w:footnote>
  <w:footnote w:type="continuationSeparator" w:id="0">
    <w:p w:rsidR="00C41F09" w:rsidRDefault="00C41F09">
      <w:r>
        <w:continuationSeparator/>
      </w:r>
    </w:p>
  </w:footnote>
  <w:footnote w:type="continuationNotice" w:id="1">
    <w:p w:rsidR="00C41F09" w:rsidRDefault="00C41F09">
      <w:r>
        <w:t>(footnote continued)</w:t>
      </w:r>
    </w:p>
  </w:footnote>
  <w:footnote w:id="2">
    <w:p w:rsidR="00411E9F" w:rsidRDefault="00411E9F" w:rsidP="008A00C9">
      <w:pPr>
        <w:pStyle w:val="FootnoteText"/>
        <w:spacing w:after="120"/>
      </w:pPr>
      <w:r>
        <w:rPr>
          <w:rStyle w:val="FootnoteReference"/>
        </w:rPr>
        <w:footnoteRef/>
      </w:r>
      <w:r>
        <w:t xml:space="preserve"> Maricopa is the licensee of KJZZ</w:t>
      </w:r>
      <w:r w:rsidR="0082256D">
        <w:t>(</w:t>
      </w:r>
      <w:r w:rsidR="0082256D" w:rsidRPr="0082256D">
        <w:t>FM)</w:t>
      </w:r>
      <w:r>
        <w:t>, Phoenix, Arizona and joint licensee of KB</w:t>
      </w:r>
      <w:r w:rsidR="0082256D">
        <w:t>A</w:t>
      </w:r>
      <w:r>
        <w:t>Q</w:t>
      </w:r>
      <w:r w:rsidR="0082256D">
        <w:t>(FM)</w:t>
      </w:r>
      <w:r>
        <w:t>, Phoenix, Arizona (the “Stations”).</w:t>
      </w:r>
    </w:p>
  </w:footnote>
  <w:footnote w:id="3">
    <w:p w:rsidR="00411E9F" w:rsidRDefault="00411E9F" w:rsidP="005C0DBB">
      <w:pPr>
        <w:pStyle w:val="FootnoteText"/>
        <w:spacing w:after="120"/>
      </w:pPr>
      <w:r>
        <w:rPr>
          <w:rStyle w:val="FootnoteReference"/>
        </w:rPr>
        <w:footnoteRef/>
      </w:r>
      <w:r>
        <w:t xml:space="preserve"> Request at 2.</w:t>
      </w:r>
    </w:p>
  </w:footnote>
  <w:footnote w:id="4">
    <w:p w:rsidR="00411E9F" w:rsidRDefault="00411E9F" w:rsidP="00126444">
      <w:pPr>
        <w:pStyle w:val="FootnoteText"/>
        <w:spacing w:after="120"/>
      </w:pPr>
      <w:r>
        <w:rPr>
          <w:rStyle w:val="FootnoteReference"/>
        </w:rPr>
        <w:footnoteRef/>
      </w:r>
      <w:r>
        <w:t xml:space="preserve"> Request at 3. </w:t>
      </w:r>
    </w:p>
  </w:footnote>
  <w:footnote w:id="5">
    <w:p w:rsidR="00411E9F" w:rsidRDefault="00411E9F" w:rsidP="00126444">
      <w:pPr>
        <w:pStyle w:val="FootnoteText"/>
        <w:spacing w:after="120"/>
      </w:pPr>
      <w:r>
        <w:rPr>
          <w:rStyle w:val="FootnoteReference"/>
        </w:rPr>
        <w:footnoteRef/>
      </w:r>
      <w:r>
        <w:t xml:space="preserve"> Request at 2. </w:t>
      </w:r>
    </w:p>
  </w:footnote>
  <w:footnote w:id="6">
    <w:p w:rsidR="00411E9F" w:rsidRDefault="00411E9F" w:rsidP="00126444">
      <w:pPr>
        <w:pStyle w:val="FootnoteText"/>
        <w:spacing w:after="120"/>
      </w:pPr>
      <w:r>
        <w:rPr>
          <w:rStyle w:val="FootnoteReference"/>
        </w:rPr>
        <w:footnoteRef/>
      </w:r>
      <w:r>
        <w:t xml:space="preserve"> </w:t>
      </w:r>
      <w:r>
        <w:rPr>
          <w:i/>
        </w:rPr>
        <w:t>Id.</w:t>
      </w:r>
    </w:p>
  </w:footnote>
  <w:footnote w:id="7">
    <w:p w:rsidR="00411E9F" w:rsidRDefault="00411E9F">
      <w:pPr>
        <w:pStyle w:val="FootnoteText"/>
        <w:spacing w:after="120"/>
      </w:pPr>
      <w:r>
        <w:rPr>
          <w:rStyle w:val="FootnoteReference"/>
        </w:rPr>
        <w:footnoteRef/>
      </w:r>
      <w:r>
        <w:t xml:space="preserve"> </w:t>
      </w:r>
      <w:r>
        <w:rPr>
          <w:i/>
        </w:rPr>
        <w:t xml:space="preserve">See Columbia Communications Corp. v. FCC, </w:t>
      </w:r>
      <w:r>
        <w:t>832.F.2d 189, 192 (D.C. Cir</w:t>
      </w:r>
      <w:r w:rsidR="00C05353">
        <w:t>.</w:t>
      </w:r>
      <w:r>
        <w:t xml:space="preserve"> 1987) (citing </w:t>
      </w:r>
      <w:r>
        <w:rPr>
          <w:i/>
          <w:iCs/>
        </w:rPr>
        <w:t>Rio Grande Family Radio Fellowship, Inc. v. FCC</w:t>
      </w:r>
      <w:r>
        <w:t>, 406 F.2d 644, 666 (D.C. Cir. 1968)).</w:t>
      </w:r>
    </w:p>
  </w:footnote>
  <w:footnote w:id="8">
    <w:p w:rsidR="00411E9F" w:rsidRDefault="00411E9F">
      <w:pPr>
        <w:pStyle w:val="FootnoteText"/>
        <w:spacing w:after="120"/>
      </w:pPr>
      <w:r>
        <w:rPr>
          <w:rStyle w:val="FootnoteReference"/>
        </w:rPr>
        <w:footnoteRef/>
      </w:r>
      <w:r>
        <w:t xml:space="preserve"> </w:t>
      </w:r>
      <w:r>
        <w:rPr>
          <w:i/>
          <w:iCs/>
        </w:rPr>
        <w:t xml:space="preserve">See WAIT Radio v. FCC, </w:t>
      </w:r>
      <w:r>
        <w:rPr>
          <w:iCs/>
        </w:rPr>
        <w:t xml:space="preserve">418 F.2d 1153, 1157 (D.C. Cir. 1969), </w:t>
      </w:r>
      <w:r>
        <w:rPr>
          <w:i/>
          <w:iCs/>
        </w:rPr>
        <w:t>aff'd</w:t>
      </w:r>
      <w:r>
        <w:t xml:space="preserve">, 459 F.2d 1203 (1972), </w:t>
      </w:r>
      <w:r>
        <w:rPr>
          <w:i/>
          <w:iCs/>
        </w:rPr>
        <w:t>cert. denied</w:t>
      </w:r>
      <w:r>
        <w:rPr>
          <w:color w:val="000000"/>
        </w:rPr>
        <w:t>, 93 S.Ct. 461 (1972) (“</w:t>
      </w:r>
      <w:r>
        <w:rPr>
          <w:i/>
          <w:color w:val="000000"/>
        </w:rPr>
        <w:t>WAIT Radio</w:t>
      </w:r>
      <w:r>
        <w:rPr>
          <w:color w:val="000000"/>
        </w:rPr>
        <w:t xml:space="preserve">”) (finding that the Commission may decide in some instances that rule </w:t>
      </w:r>
      <w:bookmarkStart w:id="7" w:name="SR;1350"/>
      <w:bookmarkEnd w:id="7"/>
      <w:r>
        <w:rPr>
          <w:color w:val="000000"/>
        </w:rPr>
        <w:t xml:space="preserve">waiver serves the public interest if an applicant's proposal will not undermine the policy served by the rule).  </w:t>
      </w:r>
      <w:r>
        <w:rPr>
          <w:i/>
          <w:iCs/>
          <w:color w:val="000000"/>
        </w:rPr>
        <w:t>See also Thomas Radio v. FCC,</w:t>
      </w:r>
      <w:r>
        <w:rPr>
          <w:iCs/>
          <w:color w:val="000000"/>
        </w:rPr>
        <w:t xml:space="preserve"> 716 F.2d 921, 924 (D.C. Cir. 1983).</w:t>
      </w:r>
    </w:p>
  </w:footnote>
  <w:footnote w:id="9">
    <w:p w:rsidR="00411E9F" w:rsidRDefault="00411E9F">
      <w:pPr>
        <w:pStyle w:val="FootnoteText"/>
        <w:spacing w:after="120"/>
      </w:pPr>
      <w:r>
        <w:rPr>
          <w:rStyle w:val="FootnoteReference"/>
        </w:rPr>
        <w:footnoteRef/>
      </w:r>
      <w:r>
        <w:t xml:space="preserve"> </w:t>
      </w:r>
      <w:r>
        <w:rPr>
          <w:i/>
          <w:iCs/>
          <w:color w:val="000000"/>
        </w:rPr>
        <w:t>Greater Media Radio Co., Inc.</w:t>
      </w:r>
      <w:r>
        <w:rPr>
          <w:color w:val="000000"/>
        </w:rPr>
        <w:t xml:space="preserve">, Memorandum Opinion and Order, 15 FCC Rcd 7090 (1999) (citing </w:t>
      </w:r>
      <w:r>
        <w:rPr>
          <w:i/>
          <w:color w:val="000000"/>
        </w:rPr>
        <w:t>Stoner Broadcasting System, Inc.</w:t>
      </w:r>
      <w:r>
        <w:rPr>
          <w:color w:val="000000"/>
        </w:rPr>
        <w:t>, Memorandum Opinion and Order, 49 FCC 2d 1011, 1012 (1974)).</w:t>
      </w:r>
    </w:p>
  </w:footnote>
  <w:footnote w:id="10">
    <w:p w:rsidR="00411E9F" w:rsidRDefault="00411E9F" w:rsidP="00E152EE">
      <w:pPr>
        <w:pStyle w:val="FootnoteText"/>
        <w:spacing w:after="120"/>
      </w:pPr>
      <w:r>
        <w:rPr>
          <w:rStyle w:val="FootnoteReference"/>
        </w:rPr>
        <w:footnoteRef/>
      </w:r>
      <w:r>
        <w:t xml:space="preserve"> </w:t>
      </w:r>
      <w:r w:rsidRPr="00E152EE">
        <w:t xml:space="preserve">See </w:t>
      </w:r>
      <w:r w:rsidRPr="00197929">
        <w:rPr>
          <w:i/>
        </w:rPr>
        <w:t>NetworkIP, LLC v. FCC</w:t>
      </w:r>
      <w:r w:rsidRPr="00E152EE">
        <w:t xml:space="preserve">, 548 F.3d 116, 125-128 (D.C. Cir. 2008); </w:t>
      </w:r>
      <w:r w:rsidRPr="00197929">
        <w:rPr>
          <w:i/>
        </w:rPr>
        <w:t>Northeast Cellular Telephone Co. v. FCC</w:t>
      </w:r>
      <w:r w:rsidRPr="00E152EE">
        <w:t xml:space="preserve">, 897 F.2d 1164, 1166 (D.C. Cir. 1990); </w:t>
      </w:r>
      <w:r w:rsidRPr="00197929">
        <w:rPr>
          <w:i/>
        </w:rPr>
        <w:t>WAIT Radio</w:t>
      </w:r>
      <w:r w:rsidRPr="00E152EE">
        <w:t>, 418 F.2d at 1159.</w:t>
      </w:r>
    </w:p>
  </w:footnote>
  <w:footnote w:id="11">
    <w:p w:rsidR="00411E9F" w:rsidRDefault="00411E9F">
      <w:pPr>
        <w:pStyle w:val="FootnoteText"/>
        <w:spacing w:after="120"/>
        <w:rPr>
          <w:i/>
        </w:rPr>
      </w:pPr>
      <w:r>
        <w:rPr>
          <w:rStyle w:val="FootnoteReference"/>
        </w:rPr>
        <w:footnoteRef/>
      </w:r>
      <w:r>
        <w:t xml:space="preserve"> </w:t>
      </w:r>
      <w:r>
        <w:rPr>
          <w:i/>
        </w:rPr>
        <w:t>Commission Policy Concerning the Noncommercial Nature of Educational Broadcasting Stations</w:t>
      </w:r>
      <w:r>
        <w:t>, Second Report and Order, 86 FCC 2d 141, 142 (1981).</w:t>
      </w:r>
    </w:p>
  </w:footnote>
  <w:footnote w:id="12">
    <w:p w:rsidR="00411E9F" w:rsidRDefault="00411E9F">
      <w:pPr>
        <w:pStyle w:val="FootnoteText"/>
        <w:spacing w:after="120"/>
      </w:pPr>
      <w:r>
        <w:rPr>
          <w:rStyle w:val="FootnoteReference"/>
        </w:rPr>
        <w:footnoteRef/>
      </w:r>
      <w:r>
        <w:t xml:space="preserve"> 47 U.S.C. § 399B, which states, in relevant part, that “No public broadcast station may make its facilities available to any person for the broadcasting of any advertisement.”</w:t>
      </w:r>
    </w:p>
  </w:footnote>
  <w:footnote w:id="13">
    <w:p w:rsidR="00411E9F" w:rsidRDefault="00411E9F">
      <w:pPr>
        <w:pStyle w:val="FootnoteText"/>
        <w:spacing w:after="120"/>
      </w:pPr>
      <w:r>
        <w:rPr>
          <w:rStyle w:val="FootnoteReference"/>
        </w:rPr>
        <w:footnoteRef/>
      </w:r>
      <w:r>
        <w:t xml:space="preserve"> 47 C.F.R. §§ 73.503(d); 73.621(e), which state that “No </w:t>
      </w:r>
      <w:r>
        <w:rPr>
          <w:i/>
        </w:rPr>
        <w:t xml:space="preserve">promotional </w:t>
      </w:r>
      <w:r>
        <w:t xml:space="preserve">announcement </w:t>
      </w:r>
      <w:r>
        <w:rPr>
          <w:i/>
        </w:rPr>
        <w:t>on behalf of for</w:t>
      </w:r>
      <w:r w:rsidR="00C05353">
        <w:rPr>
          <w:i/>
        </w:rPr>
        <w:t xml:space="preserve"> </w:t>
      </w:r>
      <w:r>
        <w:rPr>
          <w:i/>
        </w:rPr>
        <w:t>profit entities</w:t>
      </w:r>
      <w:r>
        <w:t xml:space="preserve"> shall be broadcast at any time in exchange for the receipt, in whole or in part, of consideration to the licensee, its principals, or employees” (emphasis in original).</w:t>
      </w:r>
    </w:p>
  </w:footnote>
  <w:footnote w:id="14">
    <w:p w:rsidR="00411E9F" w:rsidRDefault="00411E9F" w:rsidP="00395BB6">
      <w:pPr>
        <w:pStyle w:val="FootnoteText"/>
        <w:spacing w:after="120"/>
      </w:pPr>
      <w:r>
        <w:rPr>
          <w:rStyle w:val="FootnoteReference"/>
        </w:rPr>
        <w:footnoteRef/>
      </w:r>
      <w:r>
        <w:t xml:space="preserve"> </w:t>
      </w:r>
      <w:r>
        <w:rPr>
          <w:i/>
        </w:rPr>
        <w:t xml:space="preserve">See </w:t>
      </w:r>
      <w:r w:rsidRPr="00A30EE7">
        <w:rPr>
          <w:i/>
        </w:rPr>
        <w:t>Commission Policy Concerning the Noncommercial Nature of Educational Broadcasting Stations</w:t>
      </w:r>
      <w:r w:rsidRPr="00A30EE7">
        <w:t>, Publ</w:t>
      </w:r>
      <w:r>
        <w:t xml:space="preserve">ic Notice, 7 FCC Rcd 827 (1992); </w:t>
      </w:r>
      <w:r w:rsidRPr="00395BB6">
        <w:rPr>
          <w:i/>
        </w:rPr>
        <w:t>Commission Policy Concerning the Noncommercial Nature of Educational Broadcast</w:t>
      </w:r>
      <w:r w:rsidR="006B080F">
        <w:rPr>
          <w:i/>
        </w:rPr>
        <w:t>ing</w:t>
      </w:r>
      <w:r>
        <w:rPr>
          <w:i/>
        </w:rPr>
        <w:t xml:space="preserve"> </w:t>
      </w:r>
      <w:r w:rsidRPr="00395BB6">
        <w:rPr>
          <w:i/>
        </w:rPr>
        <w:t>Stations</w:t>
      </w:r>
      <w:r>
        <w:t xml:space="preserve">, </w:t>
      </w:r>
      <w:r w:rsidR="002F474D">
        <w:t xml:space="preserve">Memorandum Opinion and Order, </w:t>
      </w:r>
      <w:r>
        <w:t xml:space="preserve">97 FCC 2d 255 (1984); </w:t>
      </w:r>
      <w:r w:rsidRPr="00395BB6">
        <w:rPr>
          <w:i/>
        </w:rPr>
        <w:t>Commission Policy Regarding the Noncommercial Nature of Educational Broadcast Stations</w:t>
      </w:r>
      <w:r>
        <w:t xml:space="preserve">, </w:t>
      </w:r>
      <w:r w:rsidR="002F474D">
        <w:t xml:space="preserve">Memorandum Opinion and Order, </w:t>
      </w:r>
      <w:r>
        <w:t>90 FCC 2d 895 (1982);</w:t>
      </w:r>
      <w:r w:rsidRPr="00395BB6">
        <w:t xml:space="preserve"> </w:t>
      </w:r>
      <w:r w:rsidRPr="00395BB6">
        <w:rPr>
          <w:i/>
        </w:rPr>
        <w:t>Commission Policy Regarding the Noncommercial Nature of Educational Broadcast Stations</w:t>
      </w:r>
      <w:r w:rsidRPr="00395BB6">
        <w:t xml:space="preserve">, </w:t>
      </w:r>
      <w:r w:rsidR="002F474D">
        <w:t xml:space="preserve">Second Report and Order, </w:t>
      </w:r>
      <w:r w:rsidRPr="00395BB6">
        <w:t xml:space="preserve">86 </w:t>
      </w:r>
      <w:r>
        <w:t>FCC 2d</w:t>
      </w:r>
      <w:r w:rsidRPr="00395BB6">
        <w:t xml:space="preserve"> 141 (1981)</w:t>
      </w:r>
      <w:r>
        <w:t xml:space="preserve">; </w:t>
      </w:r>
      <w:r w:rsidRPr="00395BB6">
        <w:rPr>
          <w:i/>
        </w:rPr>
        <w:t>Commission Policy Concerning the Noncommercial Nature of Educational Broadcast Stations</w:t>
      </w:r>
      <w:r w:rsidRPr="00395BB6">
        <w:t>,</w:t>
      </w:r>
      <w:r w:rsidR="002F474D">
        <w:t xml:space="preserve"> First Report and Notice of Proposed Rulemaking,</w:t>
      </w:r>
      <w:r>
        <w:t xml:space="preserve"> 69 FCC 2d 200 (1978).</w:t>
      </w:r>
    </w:p>
  </w:footnote>
  <w:footnote w:id="15">
    <w:p w:rsidR="00411E9F" w:rsidRDefault="00411E9F" w:rsidP="00197929">
      <w:pPr>
        <w:pStyle w:val="FootnoteText"/>
        <w:spacing w:after="120"/>
      </w:pPr>
      <w:r>
        <w:rPr>
          <w:rStyle w:val="FootnoteReference"/>
        </w:rPr>
        <w:footnoteRef/>
      </w:r>
      <w:r>
        <w:t xml:space="preserve"> 47 C.F.R. </w:t>
      </w:r>
      <w:r w:rsidRPr="006A27C7">
        <w:t xml:space="preserve">§ </w:t>
      </w:r>
      <w:r>
        <w:t xml:space="preserve">5.203, which was codified as 47 C.F.R. § 73.1510 at the time of Maricopa’s filing. </w:t>
      </w:r>
      <w:r w:rsidRPr="006A27C7">
        <w:t xml:space="preserve"> </w:t>
      </w:r>
      <w:r>
        <w:t>We also deny Maricopa’s request that we waive the technical requirements of this provision, finding that such a waiver would eviscerate the purpose of the Rule, unlike the wa</w:t>
      </w:r>
      <w:r w:rsidR="00C05353">
        <w:t>i</w:t>
      </w:r>
      <w:r>
        <w:t xml:space="preserve">ver granted in </w:t>
      </w:r>
      <w:r>
        <w:rPr>
          <w:i/>
        </w:rPr>
        <w:t xml:space="preserve">International Expo Information Broadcast, </w:t>
      </w:r>
      <w:r>
        <w:t>89 FCC 2d 1374 (1982).</w:t>
      </w:r>
      <w:r w:rsidRPr="00411E9F">
        <w:t xml:space="preserve"> </w:t>
      </w:r>
      <w:r w:rsidR="006B080F">
        <w:t xml:space="preserve"> </w:t>
      </w:r>
      <w:r w:rsidRPr="00411E9F">
        <w:rPr>
          <w:i/>
        </w:rPr>
        <w:t>See</w:t>
      </w:r>
      <w:r w:rsidRPr="00411E9F">
        <w:t xml:space="preserve"> Request at 2-3.</w:t>
      </w:r>
    </w:p>
  </w:footnote>
  <w:footnote w:id="16">
    <w:p w:rsidR="00411E9F" w:rsidRDefault="00411E9F" w:rsidP="00197929">
      <w:pPr>
        <w:pStyle w:val="FootnoteText"/>
        <w:spacing w:after="120"/>
      </w:pPr>
      <w:r>
        <w:rPr>
          <w:rStyle w:val="FootnoteReference"/>
        </w:rPr>
        <w:footnoteRef/>
      </w:r>
      <w:r>
        <w:t xml:space="preserve"> 47 C.F.R. §§ 73.503; 73.621; Request at 3.</w:t>
      </w:r>
    </w:p>
  </w:footnote>
  <w:footnote w:id="17">
    <w:p w:rsidR="00411E9F" w:rsidRDefault="00411E9F" w:rsidP="00C33426">
      <w:pPr>
        <w:pStyle w:val="FootnoteText"/>
        <w:spacing w:after="120"/>
      </w:pPr>
      <w:r>
        <w:rPr>
          <w:rStyle w:val="FootnoteReference"/>
        </w:rPr>
        <w:footnoteRef/>
      </w:r>
      <w:r>
        <w:t xml:space="preserve"> Request at 8.</w:t>
      </w:r>
    </w:p>
  </w:footnote>
  <w:footnote w:id="18">
    <w:p w:rsidR="00411E9F" w:rsidRDefault="00411E9F" w:rsidP="00C33426">
      <w:pPr>
        <w:pStyle w:val="FootnoteText"/>
        <w:spacing w:after="120"/>
      </w:pPr>
      <w:r>
        <w:rPr>
          <w:rStyle w:val="FootnoteReference"/>
        </w:rPr>
        <w:footnoteRef/>
      </w:r>
      <w:r w:rsidR="00C05353">
        <w:t xml:space="preserve"> </w:t>
      </w:r>
      <w:r w:rsidRPr="00A0671A">
        <w:t xml:space="preserve">In reaching the merits of </w:t>
      </w:r>
      <w:r>
        <w:t>Maricopa</w:t>
      </w:r>
      <w:r w:rsidRPr="00A0671A">
        <w:t xml:space="preserve">'s waiver request, we do not prejudge the outcome of </w:t>
      </w:r>
      <w:r>
        <w:t>any future pe</w:t>
      </w:r>
      <w:r w:rsidRPr="00A0671A">
        <w:t xml:space="preserve">tition for rulemaking. </w:t>
      </w:r>
      <w:r w:rsidR="00C33426">
        <w:t xml:space="preserve"> </w:t>
      </w:r>
      <w:r>
        <w:t>Any such petition would</w:t>
      </w:r>
      <w:r w:rsidRPr="00A0671A">
        <w:t xml:space="preserve"> be addressed separately, and subject to the outcome of any broader proceeding that the Commission may </w:t>
      </w:r>
      <w:r w:rsidR="00C33426">
        <w:t xml:space="preserve">choose to </w:t>
      </w:r>
      <w:r w:rsidRPr="00A0671A">
        <w:t xml:space="preserve">undertake with respect to </w:t>
      </w:r>
      <w:r>
        <w:t>such a</w:t>
      </w:r>
      <w:r w:rsidRPr="00A0671A">
        <w:t xml:space="preserve"> rulemaking petition.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9F" w:rsidRDefault="001B7053">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719455" cy="82296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71945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11E9F">
      <w:rPr>
        <w:rFonts w:ascii="CG Times (W1)" w:hAnsi="CG Times (W1)"/>
        <w:sz w:val="28"/>
      </w:rPr>
      <w:t>Federal Communications Commission</w:t>
    </w:r>
  </w:p>
  <w:p w:rsidR="00411E9F" w:rsidRDefault="00411E9F">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411E9F" w:rsidRDefault="00411E9F">
    <w:pPr>
      <w:pStyle w:val="Header"/>
      <w:tabs>
        <w:tab w:val="clear" w:pos="4320"/>
      </w:tabs>
      <w:jc w:val="center"/>
      <w:rPr>
        <w:sz w:val="22"/>
      </w:rPr>
    </w:pPr>
  </w:p>
  <w:p w:rsidR="00411E9F" w:rsidRDefault="00411E9F">
    <w:pPr>
      <w:pStyle w:val="Header"/>
      <w:tabs>
        <w:tab w:val="clear" w:pos="4320"/>
      </w:tabs>
      <w:jc w:val="center"/>
      <w:rPr>
        <w:sz w:val="22"/>
      </w:rPr>
    </w:pPr>
    <w:r>
      <w:rPr>
        <w:b/>
      </w:rPr>
      <w:t xml:space="preserve">May </w:t>
    </w:r>
    <w:r w:rsidR="00C05353">
      <w:rPr>
        <w:b/>
      </w:rPr>
      <w:t>1</w:t>
    </w:r>
    <w:r w:rsidR="001B7053">
      <w:rPr>
        <w:b/>
      </w:rPr>
      <w:t>5</w:t>
    </w:r>
    <w:r>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2BA1B03"/>
    <w:multiLevelType w:val="hybridMultilevel"/>
    <w:tmpl w:val="601213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3">
    <w:nsid w:val="4833166A"/>
    <w:multiLevelType w:val="hybridMultilevel"/>
    <w:tmpl w:val="CD1073BE"/>
    <w:lvl w:ilvl="0" w:tplc="04090011">
      <w:start w:val="1"/>
      <w:numFmt w:val="decimal"/>
      <w:lvlText w:val="%1)"/>
      <w:lvlJc w:val="left"/>
      <w:pPr>
        <w:tabs>
          <w:tab w:val="num" w:pos="720"/>
        </w:tabs>
        <w:ind w:left="720" w:hanging="360"/>
      </w:pPr>
      <w:rPr>
        <w:rFonts w:hint="default"/>
      </w:rPr>
    </w:lvl>
    <w:lvl w:ilvl="1" w:tplc="BA6C530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4B"/>
    <w:rsid w:val="000403D3"/>
    <w:rsid w:val="00073920"/>
    <w:rsid w:val="00126444"/>
    <w:rsid w:val="00197929"/>
    <w:rsid w:val="001B1733"/>
    <w:rsid w:val="001B7053"/>
    <w:rsid w:val="00246810"/>
    <w:rsid w:val="0027434C"/>
    <w:rsid w:val="002D0641"/>
    <w:rsid w:val="002F474D"/>
    <w:rsid w:val="0032747E"/>
    <w:rsid w:val="00395BB6"/>
    <w:rsid w:val="003E15C5"/>
    <w:rsid w:val="003F76BF"/>
    <w:rsid w:val="00411E9F"/>
    <w:rsid w:val="004E757F"/>
    <w:rsid w:val="005C0DBB"/>
    <w:rsid w:val="006A27C7"/>
    <w:rsid w:val="006A6546"/>
    <w:rsid w:val="006B080F"/>
    <w:rsid w:val="0072595D"/>
    <w:rsid w:val="00757175"/>
    <w:rsid w:val="007B5E40"/>
    <w:rsid w:val="0082256D"/>
    <w:rsid w:val="00885DA6"/>
    <w:rsid w:val="008A00C9"/>
    <w:rsid w:val="00936679"/>
    <w:rsid w:val="009A79F5"/>
    <w:rsid w:val="00A0671A"/>
    <w:rsid w:val="00A30EE7"/>
    <w:rsid w:val="00AE41A2"/>
    <w:rsid w:val="00B22A0F"/>
    <w:rsid w:val="00B576F6"/>
    <w:rsid w:val="00B84621"/>
    <w:rsid w:val="00B97FAB"/>
    <w:rsid w:val="00BE326F"/>
    <w:rsid w:val="00C05353"/>
    <w:rsid w:val="00C33426"/>
    <w:rsid w:val="00C41F09"/>
    <w:rsid w:val="00C4381A"/>
    <w:rsid w:val="00CB135C"/>
    <w:rsid w:val="00CE1B2B"/>
    <w:rsid w:val="00D4354B"/>
    <w:rsid w:val="00D973E6"/>
    <w:rsid w:val="00DA12C9"/>
    <w:rsid w:val="00DF0C07"/>
    <w:rsid w:val="00E152EE"/>
    <w:rsid w:val="00EF03AF"/>
    <w:rsid w:val="00F40A14"/>
    <w:rsid w:val="00FE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widowControl w:val="0"/>
      <w:numPr>
        <w:ilvl w:val="7"/>
        <w:numId w:val="4"/>
      </w:numPr>
      <w:tabs>
        <w:tab w:val="clear" w:pos="5400"/>
      </w:tabs>
      <w:spacing w:after="220"/>
      <w:ind w:left="5760" w:hanging="720"/>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semiHidden/>
  </w:style>
  <w:style w:type="character" w:styleId="FootnoteReference">
    <w:name w:val="footnote reference"/>
    <w:aliases w:val="Style 12,(NECG) Footnote Reference,Appel note de bas de p,Style 124,Style 13,o,fr,Style 3"/>
    <w:semiHidden/>
    <w:rPr>
      <w:vertAlign w:val="superscript"/>
    </w:rPr>
  </w:style>
  <w:style w:type="paragraph" w:styleId="BodyText">
    <w:name w:val="Body Text"/>
    <w:basedOn w:val="Normal"/>
    <w:pPr>
      <w:widowControl w:val="0"/>
    </w:pPr>
    <w:rPr>
      <w:sz w:val="22"/>
    </w:rPr>
  </w:style>
  <w:style w:type="character" w:styleId="PageNumber">
    <w:name w:val="page number"/>
    <w:basedOn w:val="DefaultParagraphFont"/>
  </w:style>
  <w:style w:type="character" w:styleId="Hyperlink">
    <w:name w:val="Hyperlink"/>
    <w:rPr>
      <w:color w:val="0000FF"/>
      <w:u w:val="single"/>
    </w:rPr>
  </w:style>
  <w:style w:type="paragraph" w:customStyle="1" w:styleId="ParaNum">
    <w:name w:val="ParaNum"/>
    <w:basedOn w:val="Normal"/>
    <w:pPr>
      <w:widowControl w:val="0"/>
      <w:numPr>
        <w:numId w:val="3"/>
      </w:numPr>
      <w:tabs>
        <w:tab w:val="clear" w:pos="1080"/>
        <w:tab w:val="left" w:pos="1440"/>
      </w:tabs>
      <w:spacing w:after="220"/>
      <w:jc w:val="both"/>
    </w:pPr>
    <w:rPr>
      <w:sz w:val="22"/>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rrfootnoteChar">
    <w:name w:val="rrfootnote Char"/>
    <w:aliases w:val="Footnote Text Char Char Char,rrfootnote Char Char Char,Footnote Text Char1 Char Char Char,Footnote Text Char Char Char Char Char,rrfootnote Char Char Char Char Char,rrfootnote Char1 Char Char Char,rrfootnote Char Char Char Char"/>
    <w:rPr>
      <w:lang w:val="en-US" w:eastAsia="en-US" w:bidi="ar-SA"/>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widowControl w:val="0"/>
      <w:numPr>
        <w:ilvl w:val="7"/>
        <w:numId w:val="4"/>
      </w:numPr>
      <w:tabs>
        <w:tab w:val="clear" w:pos="5400"/>
      </w:tabs>
      <w:spacing w:after="220"/>
      <w:ind w:left="5760" w:hanging="720"/>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semiHidden/>
  </w:style>
  <w:style w:type="character" w:styleId="FootnoteReference">
    <w:name w:val="footnote reference"/>
    <w:aliases w:val="Style 12,(NECG) Footnote Reference,Appel note de bas de p,Style 124,Style 13,o,fr,Style 3"/>
    <w:semiHidden/>
    <w:rPr>
      <w:vertAlign w:val="superscript"/>
    </w:rPr>
  </w:style>
  <w:style w:type="paragraph" w:styleId="BodyText">
    <w:name w:val="Body Text"/>
    <w:basedOn w:val="Normal"/>
    <w:pPr>
      <w:widowControl w:val="0"/>
    </w:pPr>
    <w:rPr>
      <w:sz w:val="22"/>
    </w:rPr>
  </w:style>
  <w:style w:type="character" w:styleId="PageNumber">
    <w:name w:val="page number"/>
    <w:basedOn w:val="DefaultParagraphFont"/>
  </w:style>
  <w:style w:type="character" w:styleId="Hyperlink">
    <w:name w:val="Hyperlink"/>
    <w:rPr>
      <w:color w:val="0000FF"/>
      <w:u w:val="single"/>
    </w:rPr>
  </w:style>
  <w:style w:type="paragraph" w:customStyle="1" w:styleId="ParaNum">
    <w:name w:val="ParaNum"/>
    <w:basedOn w:val="Normal"/>
    <w:pPr>
      <w:widowControl w:val="0"/>
      <w:numPr>
        <w:numId w:val="3"/>
      </w:numPr>
      <w:tabs>
        <w:tab w:val="clear" w:pos="1080"/>
        <w:tab w:val="left" w:pos="1440"/>
      </w:tabs>
      <w:spacing w:after="220"/>
      <w:jc w:val="both"/>
    </w:pPr>
    <w:rPr>
      <w:sz w:val="22"/>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rrfootnoteChar">
    <w:name w:val="rrfootnote Char"/>
    <w:aliases w:val="Footnote Text Char Char Char,rrfootnote Char Char Char,Footnote Text Char1 Char Char Char,Footnote Text Char Char Char Char Char,rrfootnote Char Char Char Char Char,rrfootnote Char1 Char Char Char,rrfootnote Char Char Char Char"/>
    <w:rPr>
      <w:lang w:val="en-US" w:eastAsia="en-US" w:bidi="ar-SA"/>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agner\Local%20Settings\Temporary%20Internet%20Files\OLK2E\wotx%20transfer%20P4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wotx transfer P4R</Template>
  <TotalTime>0</TotalTime>
  <Pages>3</Pages>
  <Words>710</Words>
  <Characters>4274</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2011-10-06T19:06:00Z</cp:lastPrinted>
  <dcterms:created xsi:type="dcterms:W3CDTF">2014-05-15T13:23:00Z</dcterms:created>
  <dcterms:modified xsi:type="dcterms:W3CDTF">2014-05-15T13:23:00Z</dcterms:modified>
  <cp:category> </cp:category>
  <cp:contentStatus> </cp:contentStatus>
</cp:coreProperties>
</file>