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4E80" w:rsidRDefault="00E94E80" w:rsidP="00BC06FC">
      <w:pPr>
        <w:pStyle w:val="Title"/>
      </w:pPr>
      <w:bookmarkStart w:id="0" w:name="_GoBack"/>
      <w:bookmarkEnd w:id="0"/>
      <w:r>
        <w:t>Before the</w:t>
      </w:r>
    </w:p>
    <w:p w:rsidR="00E94E80" w:rsidRDefault="00E94E80" w:rsidP="00BC06FC">
      <w:pPr>
        <w:jc w:val="center"/>
        <w:rPr>
          <w:b/>
        </w:rPr>
      </w:pPr>
      <w:r>
        <w:rPr>
          <w:b/>
        </w:rPr>
        <w:t>Federal Communications Commission</w:t>
      </w:r>
    </w:p>
    <w:p w:rsidR="00E94E80" w:rsidRDefault="00E94E80" w:rsidP="00BC06FC">
      <w:pPr>
        <w:jc w:val="center"/>
        <w:rPr>
          <w:b/>
        </w:rPr>
      </w:pPr>
      <w:r>
        <w:rPr>
          <w:b/>
        </w:rPr>
        <w:t>Washington, D.C. 20554</w:t>
      </w:r>
    </w:p>
    <w:p w:rsidR="00E94E80" w:rsidRDefault="00E94E80" w:rsidP="00BC06FC"/>
    <w:p w:rsidR="00E94E80" w:rsidRDefault="00E94E80" w:rsidP="00BC06FC"/>
    <w:tbl>
      <w:tblPr>
        <w:tblW w:w="9630" w:type="dxa"/>
        <w:tblInd w:w="18" w:type="dxa"/>
        <w:tblLayout w:type="fixed"/>
        <w:tblLook w:val="0000" w:firstRow="0" w:lastRow="0" w:firstColumn="0" w:lastColumn="0" w:noHBand="0" w:noVBand="0"/>
      </w:tblPr>
      <w:tblGrid>
        <w:gridCol w:w="4680"/>
        <w:gridCol w:w="720"/>
        <w:gridCol w:w="4230"/>
      </w:tblGrid>
      <w:tr w:rsidR="00E94E80">
        <w:tc>
          <w:tcPr>
            <w:tcW w:w="4680" w:type="dxa"/>
          </w:tcPr>
          <w:p w:rsidR="00E94E80" w:rsidRDefault="00E94E80" w:rsidP="00BC06FC">
            <w:pPr>
              <w:ind w:right="-18"/>
            </w:pPr>
            <w:r>
              <w:t xml:space="preserve">In re Matter of </w:t>
            </w:r>
          </w:p>
          <w:p w:rsidR="00E94E80" w:rsidRDefault="00E94E80" w:rsidP="00BC06FC">
            <w:pPr>
              <w:ind w:right="-18"/>
            </w:pPr>
          </w:p>
          <w:p w:rsidR="00E94E80" w:rsidRDefault="00D04808" w:rsidP="00BC06FC">
            <w:pPr>
              <w:ind w:right="-18"/>
            </w:pPr>
            <w:r>
              <w:t>NUCOM</w:t>
            </w:r>
          </w:p>
          <w:p w:rsidR="00E94E80" w:rsidRDefault="00E94E80" w:rsidP="00BC06FC">
            <w:pPr>
              <w:ind w:right="-18"/>
            </w:pPr>
          </w:p>
          <w:p w:rsidR="00E94E80" w:rsidRDefault="00D04808" w:rsidP="00BC06FC">
            <w:pPr>
              <w:ind w:right="-18"/>
            </w:pPr>
            <w:r>
              <w:t>Petition for Reconsideration of Placement of Local Multipoint Distribution Service Licenses WPOH485, WPOH486, WPOH487, WPOH488, and WPOH489 into Termination Pending Status</w:t>
            </w:r>
          </w:p>
          <w:p w:rsidR="00E94E80" w:rsidRDefault="00E94E80" w:rsidP="00BC06FC">
            <w:pPr>
              <w:ind w:right="-18"/>
            </w:pPr>
          </w:p>
        </w:tc>
        <w:tc>
          <w:tcPr>
            <w:tcW w:w="720" w:type="dxa"/>
          </w:tcPr>
          <w:p w:rsidR="00E94E80" w:rsidRDefault="00E94E80" w:rsidP="00BC06FC">
            <w:pPr>
              <w:rPr>
                <w:b/>
              </w:rPr>
            </w:pPr>
            <w:r>
              <w:rPr>
                <w:b/>
              </w:rPr>
              <w:t>)</w:t>
            </w:r>
          </w:p>
          <w:p w:rsidR="00E94E80" w:rsidRDefault="00E94E80" w:rsidP="00BC06FC">
            <w:pPr>
              <w:rPr>
                <w:b/>
              </w:rPr>
            </w:pPr>
            <w:r>
              <w:rPr>
                <w:b/>
              </w:rPr>
              <w:t>)</w:t>
            </w:r>
          </w:p>
          <w:p w:rsidR="00E94E80" w:rsidRDefault="00E94E80" w:rsidP="00BC06FC">
            <w:pPr>
              <w:rPr>
                <w:b/>
              </w:rPr>
            </w:pPr>
            <w:r>
              <w:rPr>
                <w:b/>
              </w:rPr>
              <w:t>)</w:t>
            </w:r>
          </w:p>
          <w:p w:rsidR="00E94E80" w:rsidRDefault="00E94E80" w:rsidP="00BC06FC">
            <w:pPr>
              <w:rPr>
                <w:b/>
              </w:rPr>
            </w:pPr>
            <w:r>
              <w:rPr>
                <w:b/>
              </w:rPr>
              <w:t>)</w:t>
            </w:r>
          </w:p>
          <w:p w:rsidR="00E94E80" w:rsidRDefault="00E94E80" w:rsidP="00BC06FC">
            <w:pPr>
              <w:rPr>
                <w:b/>
              </w:rPr>
            </w:pPr>
            <w:r>
              <w:rPr>
                <w:b/>
              </w:rPr>
              <w:t>)</w:t>
            </w:r>
          </w:p>
          <w:p w:rsidR="00E94E80" w:rsidRDefault="00E94E80" w:rsidP="00BC06FC">
            <w:pPr>
              <w:rPr>
                <w:b/>
              </w:rPr>
            </w:pPr>
            <w:r>
              <w:rPr>
                <w:b/>
              </w:rPr>
              <w:t>)</w:t>
            </w:r>
          </w:p>
          <w:p w:rsidR="00E94E80" w:rsidRDefault="00E94E80" w:rsidP="00BC06FC">
            <w:pPr>
              <w:rPr>
                <w:b/>
              </w:rPr>
            </w:pPr>
            <w:r>
              <w:rPr>
                <w:b/>
              </w:rPr>
              <w:t>)</w:t>
            </w:r>
          </w:p>
          <w:p w:rsidR="00E94E80" w:rsidRDefault="00E94E80" w:rsidP="00BC06FC">
            <w:pPr>
              <w:rPr>
                <w:b/>
              </w:rPr>
            </w:pPr>
            <w:r>
              <w:rPr>
                <w:b/>
              </w:rPr>
              <w:t>)</w:t>
            </w:r>
          </w:p>
          <w:p w:rsidR="00E94E80" w:rsidRDefault="00E94E80" w:rsidP="00BC06FC">
            <w:pPr>
              <w:rPr>
                <w:b/>
              </w:rPr>
            </w:pPr>
            <w:r>
              <w:rPr>
                <w:b/>
              </w:rPr>
              <w:t>)</w:t>
            </w:r>
          </w:p>
        </w:tc>
        <w:tc>
          <w:tcPr>
            <w:tcW w:w="4230" w:type="dxa"/>
          </w:tcPr>
          <w:p w:rsidR="00E94E80" w:rsidRDefault="00E94E80" w:rsidP="00BC06FC">
            <w:pPr>
              <w:rPr>
                <w:lang w:val="es-ES"/>
              </w:rPr>
            </w:pPr>
          </w:p>
          <w:p w:rsidR="00E94E80" w:rsidRDefault="00E94E80" w:rsidP="00BC06FC">
            <w:pPr>
              <w:rPr>
                <w:lang w:val="es-ES"/>
              </w:rPr>
            </w:pPr>
          </w:p>
          <w:p w:rsidR="00E94E80" w:rsidRDefault="00E94E80" w:rsidP="00D04808"/>
        </w:tc>
      </w:tr>
    </w:tbl>
    <w:p w:rsidR="00E94E80" w:rsidRDefault="00E94E80" w:rsidP="00BC06FC">
      <w:pPr>
        <w:spacing w:before="120"/>
        <w:jc w:val="center"/>
        <w:rPr>
          <w:b/>
          <w:spacing w:val="-2"/>
        </w:rPr>
      </w:pPr>
      <w:r>
        <w:rPr>
          <w:b/>
          <w:spacing w:val="-2"/>
        </w:rPr>
        <w:t>ORDER ON RECONSIDERATION</w:t>
      </w:r>
    </w:p>
    <w:p w:rsidR="00E94E80" w:rsidRDefault="00E94E80" w:rsidP="00BC06FC">
      <w:pPr>
        <w:spacing w:before="120"/>
      </w:pPr>
    </w:p>
    <w:p w:rsidR="00E94E80" w:rsidRDefault="00E94E80" w:rsidP="00BC06FC">
      <w:pPr>
        <w:tabs>
          <w:tab w:val="left" w:pos="5760"/>
        </w:tabs>
        <w:rPr>
          <w:b/>
        </w:rPr>
      </w:pPr>
      <w:r>
        <w:rPr>
          <w:b/>
        </w:rPr>
        <w:t xml:space="preserve">Adopted:  </w:t>
      </w:r>
      <w:r w:rsidR="00C6398B">
        <w:rPr>
          <w:b/>
        </w:rPr>
        <w:t xml:space="preserve">January </w:t>
      </w:r>
      <w:r w:rsidR="00525CF9">
        <w:rPr>
          <w:b/>
        </w:rPr>
        <w:t>15</w:t>
      </w:r>
      <w:r>
        <w:rPr>
          <w:b/>
        </w:rPr>
        <w:t>, 201</w:t>
      </w:r>
      <w:r w:rsidR="00C6398B">
        <w:rPr>
          <w:b/>
        </w:rPr>
        <w:t>4</w:t>
      </w:r>
      <w:r>
        <w:rPr>
          <w:b/>
          <w:spacing w:val="-2"/>
        </w:rPr>
        <w:tab/>
      </w:r>
      <w:r>
        <w:rPr>
          <w:b/>
          <w:spacing w:val="-2"/>
        </w:rPr>
        <w:tab/>
      </w:r>
      <w:r w:rsidR="00B04EA1">
        <w:rPr>
          <w:b/>
          <w:spacing w:val="-2"/>
        </w:rPr>
        <w:t xml:space="preserve">   </w:t>
      </w:r>
      <w:r>
        <w:rPr>
          <w:b/>
        </w:rPr>
        <w:t xml:space="preserve">Released:  </w:t>
      </w:r>
      <w:r w:rsidR="00C6398B">
        <w:rPr>
          <w:b/>
        </w:rPr>
        <w:t xml:space="preserve">January </w:t>
      </w:r>
      <w:r w:rsidR="00525CF9">
        <w:rPr>
          <w:b/>
        </w:rPr>
        <w:t>16</w:t>
      </w:r>
      <w:r>
        <w:rPr>
          <w:b/>
        </w:rPr>
        <w:t>, 201</w:t>
      </w:r>
      <w:r w:rsidR="00C6398B">
        <w:rPr>
          <w:b/>
        </w:rPr>
        <w:t>4</w:t>
      </w:r>
    </w:p>
    <w:p w:rsidR="00E94E80" w:rsidRDefault="00E94E80" w:rsidP="00BC06FC">
      <w:pPr>
        <w:tabs>
          <w:tab w:val="left" w:pos="5760"/>
        </w:tabs>
        <w:rPr>
          <w:b/>
        </w:rPr>
      </w:pPr>
    </w:p>
    <w:p w:rsidR="00E94E80" w:rsidRDefault="00E94E80" w:rsidP="00BC06FC">
      <w:pPr>
        <w:tabs>
          <w:tab w:val="left" w:pos="5760"/>
        </w:tabs>
        <w:rPr>
          <w:spacing w:val="-2"/>
        </w:rPr>
      </w:pPr>
      <w:r>
        <w:t>By the Deputy Chief, Broadband Division, Wireless Telecommunications Bureau</w:t>
      </w:r>
      <w:r>
        <w:rPr>
          <w:spacing w:val="-2"/>
        </w:rPr>
        <w:t>:</w:t>
      </w:r>
    </w:p>
    <w:p w:rsidR="00E94E80" w:rsidRDefault="00E94E80" w:rsidP="00BC06FC">
      <w:pPr>
        <w:tabs>
          <w:tab w:val="left" w:pos="5760"/>
        </w:tabs>
      </w:pPr>
    </w:p>
    <w:p w:rsidR="00E94E80" w:rsidRDefault="00E94E80" w:rsidP="00F932B0">
      <w:pPr>
        <w:pStyle w:val="Heading1"/>
        <w:widowControl/>
        <w:jc w:val="left"/>
      </w:pPr>
      <w:r>
        <w:t xml:space="preserve">INTRODUCTION  </w:t>
      </w:r>
    </w:p>
    <w:p w:rsidR="00E94E80" w:rsidRDefault="00E94E80" w:rsidP="00397634">
      <w:pPr>
        <w:pStyle w:val="ParaNum"/>
      </w:pPr>
      <w:r>
        <w:t xml:space="preserve">In this </w:t>
      </w:r>
      <w:r>
        <w:rPr>
          <w:i/>
        </w:rPr>
        <w:t>Order</w:t>
      </w:r>
      <w:r w:rsidR="009B232E">
        <w:rPr>
          <w:i/>
        </w:rPr>
        <w:t xml:space="preserve"> on Reconsideration</w:t>
      </w:r>
      <w:r>
        <w:t xml:space="preserve">, we deny </w:t>
      </w:r>
      <w:r w:rsidR="009B232E">
        <w:t xml:space="preserve">a request filed by </w:t>
      </w:r>
      <w:r w:rsidR="00D04808">
        <w:t xml:space="preserve">NUCOM </w:t>
      </w:r>
      <w:r w:rsidR="009B232E">
        <w:t xml:space="preserve">seeking reconsideration of our prior action </w:t>
      </w:r>
      <w:r w:rsidR="00D04808">
        <w:t xml:space="preserve">placing NUCOM’s </w:t>
      </w:r>
      <w:r w:rsidR="009B232E">
        <w:rPr>
          <w:szCs w:val="22"/>
        </w:rPr>
        <w:t>Local Multipoint Distribution Service (“LMDS”) licenses</w:t>
      </w:r>
      <w:r w:rsidR="007743D3" w:rsidRPr="007743D3">
        <w:t xml:space="preserve"> </w:t>
      </w:r>
      <w:r w:rsidR="007743D3">
        <w:t>WP</w:t>
      </w:r>
      <w:r w:rsidR="00397634">
        <w:t>OH48</w:t>
      </w:r>
      <w:r w:rsidR="007743D3">
        <w:t>5 (</w:t>
      </w:r>
      <w:r w:rsidR="00397634" w:rsidRPr="00397634">
        <w:t>Oneonta, NY</w:t>
      </w:r>
      <w:r w:rsidR="007743D3">
        <w:t>), WP</w:t>
      </w:r>
      <w:r w:rsidR="00397634">
        <w:t>OH48</w:t>
      </w:r>
      <w:r w:rsidR="007743D3">
        <w:t>6 (</w:t>
      </w:r>
      <w:r w:rsidR="00397634" w:rsidRPr="00397634">
        <w:t>Portsmouth, OH</w:t>
      </w:r>
      <w:r w:rsidR="007743D3">
        <w:t>), WP</w:t>
      </w:r>
      <w:r w:rsidR="00397634">
        <w:t>OH48</w:t>
      </w:r>
      <w:r w:rsidR="007743D3">
        <w:t>7 (</w:t>
      </w:r>
      <w:r w:rsidR="00397634" w:rsidRPr="00397634">
        <w:t>New Castle, PA</w:t>
      </w:r>
      <w:r w:rsidR="007743D3">
        <w:t>), WP</w:t>
      </w:r>
      <w:r w:rsidR="00397634">
        <w:t>OH48</w:t>
      </w:r>
      <w:r w:rsidR="007743D3">
        <w:t>8 (</w:t>
      </w:r>
      <w:r w:rsidR="00397634" w:rsidRPr="00397634">
        <w:t>Burlington, IA</w:t>
      </w:r>
      <w:r w:rsidR="007743D3">
        <w:t>), and WP</w:t>
      </w:r>
      <w:r w:rsidR="00397634">
        <w:t>OH48</w:t>
      </w:r>
      <w:r w:rsidR="007743D3">
        <w:t>9 (</w:t>
      </w:r>
      <w:r w:rsidR="00397634" w:rsidRPr="00397634">
        <w:t>Waycross, GA</w:t>
      </w:r>
      <w:r w:rsidR="007743D3">
        <w:t>) (“Licenses”)</w:t>
      </w:r>
      <w:r w:rsidR="003208BA">
        <w:t xml:space="preserve"> into termination pending status</w:t>
      </w:r>
      <w:r w:rsidR="007743D3">
        <w:t>.</w:t>
      </w:r>
      <w:r>
        <w:rPr>
          <w:szCs w:val="22"/>
        </w:rPr>
        <w:t xml:space="preserve">  </w:t>
      </w:r>
      <w:r w:rsidR="003208BA">
        <w:rPr>
          <w:szCs w:val="22"/>
        </w:rPr>
        <w:t>We also note that the Licenses automatically terminated as of November 1, 2013.</w:t>
      </w:r>
    </w:p>
    <w:p w:rsidR="00E94E80" w:rsidRDefault="00E94E80" w:rsidP="00F932B0">
      <w:pPr>
        <w:pStyle w:val="Heading1"/>
        <w:widowControl/>
        <w:jc w:val="left"/>
      </w:pPr>
      <w:r>
        <w:t>BACKGROUND</w:t>
      </w:r>
    </w:p>
    <w:p w:rsidR="00E94E80" w:rsidRDefault="007743D3" w:rsidP="00F932B0">
      <w:pPr>
        <w:pStyle w:val="ParaNum"/>
        <w:widowControl/>
        <w:tabs>
          <w:tab w:val="clear" w:pos="1080"/>
          <w:tab w:val="num" w:pos="1440"/>
        </w:tabs>
        <w:jc w:val="left"/>
      </w:pPr>
      <w:r>
        <w:t xml:space="preserve">On June </w:t>
      </w:r>
      <w:r w:rsidR="00A07AFC">
        <w:t>24</w:t>
      </w:r>
      <w:r>
        <w:t>, 1998, t</w:t>
      </w:r>
      <w:r w:rsidR="00E94E80">
        <w:t xml:space="preserve">he </w:t>
      </w:r>
      <w:r>
        <w:t>L</w:t>
      </w:r>
      <w:r w:rsidR="00E94E80">
        <w:t xml:space="preserve">icenses were originally issued to </w:t>
      </w:r>
      <w:r w:rsidR="00A07AFC">
        <w:t xml:space="preserve">NUCOM </w:t>
      </w:r>
      <w:r w:rsidR="00E94E80">
        <w:t>as a result of Auction No. 17.</w:t>
      </w:r>
      <w:r w:rsidR="00E94E80">
        <w:rPr>
          <w:rStyle w:val="FootnoteReference"/>
        </w:rPr>
        <w:footnoteReference w:id="2"/>
      </w:r>
      <w:r w:rsidR="00E94E80">
        <w:t xml:space="preserve">  </w:t>
      </w:r>
      <w:r>
        <w:t xml:space="preserve">At the end of </w:t>
      </w:r>
      <w:r w:rsidR="00E11C0B">
        <w:t xml:space="preserve">the initial </w:t>
      </w:r>
      <w:r>
        <w:t>ten-year</w:t>
      </w:r>
      <w:r w:rsidR="00E11C0B">
        <w:t xml:space="preserve"> license</w:t>
      </w:r>
      <w:r>
        <w:t xml:space="preserve"> period, by June </w:t>
      </w:r>
      <w:r w:rsidR="00A07AFC">
        <w:t>24</w:t>
      </w:r>
      <w:r>
        <w:t xml:space="preserve">, 2008, </w:t>
      </w:r>
      <w:r w:rsidR="00A07AFC">
        <w:t xml:space="preserve">NUCOM </w:t>
      </w:r>
      <w:r>
        <w:t>was required to submit an acceptable showing to the Co</w:t>
      </w:r>
      <w:r w:rsidR="00E11C0B">
        <w:t>mmission demonstrating it was</w:t>
      </w:r>
      <w:r>
        <w:t xml:space="preserve"> providing “substantial service” in each licensed area.</w:t>
      </w:r>
      <w:r>
        <w:rPr>
          <w:rStyle w:val="FootnoteReference"/>
          <w:szCs w:val="22"/>
        </w:rPr>
        <w:footnoteReference w:id="3"/>
      </w:r>
      <w:r>
        <w:t xml:space="preserve">  Failure by any licensee to meet the substantial service requirement will result in forfeiture of the license and the licensee will be ineligible to regain it.</w:t>
      </w:r>
      <w:r>
        <w:rPr>
          <w:rStyle w:val="FootnoteReference"/>
        </w:rPr>
        <w:footnoteReference w:id="4"/>
      </w:r>
      <w:r w:rsidR="00E94E80">
        <w:t xml:space="preserve">   </w:t>
      </w:r>
    </w:p>
    <w:p w:rsidR="007743D3" w:rsidRDefault="00E94E80" w:rsidP="00F932B0">
      <w:pPr>
        <w:pStyle w:val="ParaNum"/>
        <w:widowControl/>
        <w:tabs>
          <w:tab w:val="clear" w:pos="1080"/>
        </w:tabs>
        <w:jc w:val="left"/>
      </w:pPr>
      <w:r>
        <w:rPr>
          <w:color w:val="000000"/>
        </w:rPr>
        <w:t xml:space="preserve">On </w:t>
      </w:r>
      <w:r w:rsidR="00A07AFC">
        <w:rPr>
          <w:color w:val="000000"/>
        </w:rPr>
        <w:t>October 10</w:t>
      </w:r>
      <w:r>
        <w:rPr>
          <w:color w:val="000000"/>
        </w:rPr>
        <w:t xml:space="preserve">, 2007, </w:t>
      </w:r>
      <w:r w:rsidR="00A07AFC">
        <w:rPr>
          <w:color w:val="000000"/>
        </w:rPr>
        <w:t xml:space="preserve">NUCOM </w:t>
      </w:r>
      <w:r w:rsidR="00215094">
        <w:rPr>
          <w:color w:val="000000"/>
        </w:rPr>
        <w:t xml:space="preserve">filed applications for </w:t>
      </w:r>
      <w:r>
        <w:rPr>
          <w:color w:val="000000"/>
        </w:rPr>
        <w:t>extension of time to demonstrate substantial service for its LMDS licenses.</w:t>
      </w:r>
      <w:r>
        <w:rPr>
          <w:rStyle w:val="FootnoteReference"/>
          <w:color w:val="000000"/>
        </w:rPr>
        <w:footnoteReference w:id="5"/>
      </w:r>
      <w:r>
        <w:rPr>
          <w:color w:val="000000"/>
        </w:rPr>
        <w:t xml:space="preserve">  On April 11, 2008, </w:t>
      </w:r>
      <w:r>
        <w:t>the Wireless</w:t>
      </w:r>
      <w:r w:rsidR="00932FAA">
        <w:t xml:space="preserve"> Telecommunications Bureau </w:t>
      </w:r>
      <w:r w:rsidR="00932FAA">
        <w:lastRenderedPageBreak/>
        <w:t>(</w:t>
      </w:r>
      <w:r>
        <w:t>“Bureau”)</w:t>
      </w:r>
      <w:r>
        <w:rPr>
          <w:color w:val="000000"/>
          <w:szCs w:val="22"/>
        </w:rPr>
        <w:t xml:space="preserve"> granted the requests for extension of the construction deadlines filed by a large group of LMDS licensees – including </w:t>
      </w:r>
      <w:r w:rsidR="00A07AFC">
        <w:rPr>
          <w:color w:val="000000"/>
          <w:szCs w:val="22"/>
        </w:rPr>
        <w:t>NUCOM</w:t>
      </w:r>
      <w:r>
        <w:rPr>
          <w:color w:val="000000"/>
          <w:szCs w:val="22"/>
        </w:rPr>
        <w:t xml:space="preserve"> –  to extend their deadlines to meet the substantial service requirements to June 1, 2012, resulting in a nearly four-year construction e</w:t>
      </w:r>
      <w:r>
        <w:t>xtension for each of these licensees.</w:t>
      </w:r>
      <w:r>
        <w:rPr>
          <w:rStyle w:val="FootnoteReference"/>
          <w:color w:val="000000"/>
        </w:rPr>
        <w:footnoteReference w:id="6"/>
      </w:r>
    </w:p>
    <w:p w:rsidR="00E94E80" w:rsidRDefault="00E94E80" w:rsidP="00F932B0">
      <w:pPr>
        <w:pStyle w:val="ParaNum"/>
        <w:widowControl/>
        <w:tabs>
          <w:tab w:val="clear" w:pos="1080"/>
        </w:tabs>
        <w:jc w:val="left"/>
      </w:pPr>
      <w:r>
        <w:t>The Bureau found that these LMDS licensees faced factors beyond their control, including difficulties in obtaining viable and affordable equipment, that warranted an extension.</w:t>
      </w:r>
      <w:r>
        <w:rPr>
          <w:rStyle w:val="FootnoteReference"/>
        </w:rPr>
        <w:footnoteReference w:id="7"/>
      </w:r>
      <w:r>
        <w:t xml:space="preserve">  In making this finding, the Bureau noted that the licensees seeking relief from the construction deadlines represented a majority of LMDS licensees for whom buildout requirements were approaching, and that they all faced these same basic obstacles to timely construction.</w:t>
      </w:r>
      <w:r>
        <w:rPr>
          <w:rStyle w:val="FootnoteReference"/>
        </w:rPr>
        <w:footnoteReference w:id="8"/>
      </w:r>
      <w:r>
        <w:t xml:space="preserve">  Thus, these obstacles were not a product of an individual licensee’s short-sightedness or its unfortunate business decisions; rather, the difficulties in procuring the basic equipment necessary for LMDS operations were widespread, stemming from the state of the market.  Based on the record evidence, the Bureau anticipated that various developments in the market – arising in large part from the rollout of new services that could provide opportunities for LMDS operations – would help rectify these difficulties.  Thus, the Bureau found that </w:t>
      </w:r>
      <w:r w:rsidR="00A07AFC">
        <w:t>NUCOM</w:t>
      </w:r>
      <w:r>
        <w:t xml:space="preserve"> and others could potentially use their LMDS licenses to provide wireless backhaul services to licensees in the 700 MHz band, the Advanced Wireless Services-1 (“AWS-1”) band, and other bands suitable for mobile broadband service, all of which at that time had recently been auctioned, licensed, or put into use.</w:t>
      </w:r>
      <w:r>
        <w:rPr>
          <w:rStyle w:val="FootnoteReference"/>
          <w:color w:val="000000"/>
        </w:rPr>
        <w:footnoteReference w:id="9"/>
      </w:r>
      <w:r>
        <w:t xml:space="preserve">   The Bureau anticipated that these bands would develop robustly, along with other mobile and fixed wireless services, and that resulting opportunities for associated LMDS service (such as wireless backhaul) would help spur production of equipment designed for LMDS use and thus facilitate timely construction by </w:t>
      </w:r>
      <w:r w:rsidR="00A07AFC">
        <w:t>NUCOM</w:t>
      </w:r>
      <w:r>
        <w:t xml:space="preserve"> and the other LMDS licensees, under the extended buildout deadline set by the Bureau.</w:t>
      </w:r>
      <w:r>
        <w:rPr>
          <w:rStyle w:val="FootnoteReference"/>
          <w:color w:val="000000"/>
        </w:rPr>
        <w:footnoteReference w:id="10"/>
      </w:r>
    </w:p>
    <w:p w:rsidR="00E94E80" w:rsidRDefault="00E94E80" w:rsidP="00F932B0">
      <w:pPr>
        <w:pStyle w:val="ParaNum"/>
        <w:widowControl/>
        <w:tabs>
          <w:tab w:val="clear" w:pos="1080"/>
          <w:tab w:val="num" w:pos="1440"/>
        </w:tabs>
        <w:jc w:val="left"/>
      </w:pPr>
      <w:r>
        <w:t xml:space="preserve">On </w:t>
      </w:r>
      <w:r w:rsidR="008F541E">
        <w:t>April 2</w:t>
      </w:r>
      <w:r>
        <w:t xml:space="preserve">, 2012, </w:t>
      </w:r>
      <w:r w:rsidR="00A07AFC">
        <w:t>NUCOM</w:t>
      </w:r>
      <w:r>
        <w:t xml:space="preserve"> filed applications pursuant to Section 1.946(e) of the Commission’s Rules seeking a further extension of time until </w:t>
      </w:r>
      <w:r w:rsidR="009E2744">
        <w:t xml:space="preserve">June </w:t>
      </w:r>
      <w:r w:rsidR="00821B83">
        <w:t>7</w:t>
      </w:r>
      <w:r>
        <w:t>, 201</w:t>
      </w:r>
      <w:r w:rsidR="009E2744">
        <w:t>3</w:t>
      </w:r>
      <w:r>
        <w:t>, to construct its five LMDS licenses.</w:t>
      </w:r>
      <w:bookmarkStart w:id="1" w:name="_Ref331500620"/>
      <w:r>
        <w:rPr>
          <w:vertAlign w:val="superscript"/>
        </w:rPr>
        <w:footnoteReference w:id="11"/>
      </w:r>
      <w:bookmarkEnd w:id="1"/>
      <w:r>
        <w:t xml:space="preserve">  </w:t>
      </w:r>
      <w:r w:rsidR="008F541E">
        <w:t>On May 14, 2012, NUCOM amended the 2012 Extension Applications to provide a copy of an equipment order.</w:t>
      </w:r>
      <w:r w:rsidR="008F541E">
        <w:rPr>
          <w:rStyle w:val="FootnoteReference"/>
        </w:rPr>
        <w:footnoteReference w:id="12"/>
      </w:r>
      <w:r w:rsidR="008F541E">
        <w:t xml:space="preserve">  On May 23, 2012, </w:t>
      </w:r>
      <w:r w:rsidR="00A07AFC">
        <w:t>NUCOM</w:t>
      </w:r>
      <w:r>
        <w:t xml:space="preserve"> </w:t>
      </w:r>
      <w:r w:rsidR="008F541E">
        <w:t xml:space="preserve">amended the 2012 Extension Applications to provide </w:t>
      </w:r>
      <w:r w:rsidR="00A86E20">
        <w:t>additional legal argument in support of its request for more time.</w:t>
      </w:r>
      <w:r w:rsidR="00A86E20">
        <w:rPr>
          <w:rStyle w:val="FootnoteReference"/>
        </w:rPr>
        <w:footnoteReference w:id="13"/>
      </w:r>
      <w:r w:rsidR="00A86E20">
        <w:t xml:space="preserve">  </w:t>
      </w:r>
      <w:r w:rsidR="00A024ED">
        <w:t>On August 7, 2013, NUCOM amended the 2012 Extension Applications to request an extension until November 1, 2013.</w:t>
      </w:r>
      <w:r w:rsidR="00A024ED">
        <w:rPr>
          <w:rStyle w:val="FootnoteReference"/>
        </w:rPr>
        <w:footnoteReference w:id="14"/>
      </w:r>
      <w:r w:rsidR="00A024ED">
        <w:t xml:space="preserve">  On August 15, 2013, the Bureau granted the 2012 Extension Applications, as amended, and extended the deadline for NUCOM to demonstrate substantial service to November 1, 2013.</w:t>
      </w:r>
      <w:r w:rsidR="00A024ED">
        <w:rPr>
          <w:rStyle w:val="FootnoteReference"/>
        </w:rPr>
        <w:footnoteReference w:id="15"/>
      </w:r>
      <w:r w:rsidR="00A024ED">
        <w:t xml:space="preserve"> </w:t>
      </w:r>
    </w:p>
    <w:p w:rsidR="00E00FFD" w:rsidRDefault="00271A38" w:rsidP="00F932B0">
      <w:pPr>
        <w:pStyle w:val="ParaNum"/>
        <w:widowControl/>
        <w:tabs>
          <w:tab w:val="clear" w:pos="1080"/>
          <w:tab w:val="num" w:pos="1440"/>
        </w:tabs>
        <w:jc w:val="left"/>
      </w:pPr>
      <w:r>
        <w:lastRenderedPageBreak/>
        <w:t xml:space="preserve">NUCOM was required to file </w:t>
      </w:r>
      <w:r w:rsidR="00A044B6">
        <w:t>a notification of completion of construction for each of the Licenses by November 16, 2013, or fifteen days after the November 1, 2013 deadline.</w:t>
      </w:r>
      <w:r w:rsidR="00A044B6">
        <w:rPr>
          <w:rStyle w:val="FootnoteReference"/>
        </w:rPr>
        <w:footnoteReference w:id="16"/>
      </w:r>
      <w:r w:rsidR="00A044B6">
        <w:t xml:space="preserve">  </w:t>
      </w:r>
      <w:r w:rsidR="00E00FFD">
        <w:t>If NUCOM had wanted additional time to demonstrate substantial service, it was required to have filed a Form 601 seeking an extension by November 1, 2013, the construction deadline.</w:t>
      </w:r>
      <w:r w:rsidR="00E00FFD">
        <w:rPr>
          <w:rStyle w:val="FootnoteReference"/>
        </w:rPr>
        <w:footnoteReference w:id="17"/>
      </w:r>
      <w:r w:rsidR="00E00FFD">
        <w:t xml:space="preserve">  NUCOM did not make any filing with respect to the Licenses during this period.</w:t>
      </w:r>
    </w:p>
    <w:p w:rsidR="00E132E8" w:rsidRDefault="00271A38" w:rsidP="009C7207">
      <w:pPr>
        <w:pStyle w:val="ParaNum"/>
      </w:pPr>
      <w:r>
        <w:t>When a licensee fails to file a notification that it has completed construction by an applicable buildout deadline, the license, location, or frequency is placed in “termination pending” status.  For a license, location, or frequency in that status, the Bureau presumes that the licensee did not meet buildout requirement.</w:t>
      </w:r>
      <w:r w:rsidR="00E00FFD">
        <w:rPr>
          <w:rStyle w:val="FootnoteReference"/>
        </w:rPr>
        <w:footnoteReference w:id="18"/>
      </w:r>
      <w:r>
        <w:t xml:space="preserve">  If the licensee does not file a petition for reconsideration within 30 days after public notice of the termination pending status demonstrating that it met that buildout requirement, the status of the license, location, or frequency is changed to “terminated” as of the buildout deadline.</w:t>
      </w:r>
      <w:r w:rsidR="00E00FFD">
        <w:rPr>
          <w:rStyle w:val="FootnoteReference"/>
        </w:rPr>
        <w:footnoteReference w:id="19"/>
      </w:r>
      <w:r>
        <w:t xml:space="preserve">  </w:t>
      </w:r>
      <w:r w:rsidR="009C7207" w:rsidRPr="009C7207">
        <w:t>On</w:t>
      </w:r>
      <w:r w:rsidR="009C7207">
        <w:t xml:space="preserve"> December 11, 2013,</w:t>
      </w:r>
      <w:r w:rsidR="009C7207" w:rsidRPr="009C7207">
        <w:t xml:space="preserve"> </w:t>
      </w:r>
      <w:r w:rsidR="009C7207">
        <w:t xml:space="preserve">the Bureau sent NUCOM </w:t>
      </w:r>
      <w:r w:rsidR="009C7207" w:rsidRPr="009C7207">
        <w:t xml:space="preserve">license auto-termination letters and the </w:t>
      </w:r>
      <w:r w:rsidR="009C7207">
        <w:t xml:space="preserve">Licenses </w:t>
      </w:r>
      <w:r w:rsidR="009C7207" w:rsidRPr="009C7207">
        <w:t>entered termination pending status.</w:t>
      </w:r>
      <w:r w:rsidR="009C7207">
        <w:rPr>
          <w:rStyle w:val="FootnoteReference"/>
        </w:rPr>
        <w:footnoteReference w:id="20"/>
      </w:r>
      <w:r w:rsidR="009C7207" w:rsidRPr="009C7207">
        <w:t xml:space="preserve">  Accordingly, on the same day, the Bureau provided public notice of the pending license terminations.</w:t>
      </w:r>
      <w:r w:rsidR="00665FCB">
        <w:rPr>
          <w:rStyle w:val="FootnoteReference"/>
        </w:rPr>
        <w:footnoteReference w:id="21"/>
      </w:r>
    </w:p>
    <w:p w:rsidR="00CE0836" w:rsidRDefault="009C7207" w:rsidP="00DE047E">
      <w:pPr>
        <w:pStyle w:val="ParaNum"/>
        <w:tabs>
          <w:tab w:val="clear" w:pos="1080"/>
        </w:tabs>
      </w:pPr>
      <w:r w:rsidRPr="009C7207">
        <w:t xml:space="preserve">On </w:t>
      </w:r>
      <w:r w:rsidR="0088252F">
        <w:t>December 26</w:t>
      </w:r>
      <w:r w:rsidRPr="009C7207">
        <w:t>, 201</w:t>
      </w:r>
      <w:r w:rsidR="0088252F">
        <w:t>3</w:t>
      </w:r>
      <w:r w:rsidRPr="009C7207">
        <w:t xml:space="preserve">, </w:t>
      </w:r>
      <w:r w:rsidR="0088252F">
        <w:t>NUCOM filed a petition for reconsiderat</w:t>
      </w:r>
      <w:r w:rsidR="00DE047E">
        <w:t>ion.</w:t>
      </w:r>
      <w:r w:rsidR="00DE047E">
        <w:rPr>
          <w:rStyle w:val="FootnoteReference"/>
        </w:rPr>
        <w:footnoteReference w:id="22"/>
      </w:r>
      <w:r w:rsidR="00DE047E">
        <w:t xml:space="preserve">  NUCOM reports, “</w:t>
      </w:r>
      <w:r w:rsidR="00DE047E" w:rsidRPr="00DE047E">
        <w:t>NUCOM is in the process of completing its construction and coverage requirement and expect</w:t>
      </w:r>
      <w:r w:rsidR="00DE047E">
        <w:t>[s]</w:t>
      </w:r>
      <w:r w:rsidR="00DE047E" w:rsidRPr="00DE047E">
        <w:t xml:space="preserve"> completion before end of 2013.</w:t>
      </w:r>
      <w:r w:rsidR="00DE047E">
        <w:t>”</w:t>
      </w:r>
      <w:r w:rsidR="00DE047E">
        <w:rPr>
          <w:rStyle w:val="FootnoteReference"/>
        </w:rPr>
        <w:footnoteReference w:id="23"/>
      </w:r>
      <w:r w:rsidRPr="009C7207">
        <w:t xml:space="preserve"> </w:t>
      </w:r>
    </w:p>
    <w:p w:rsidR="00E94E80" w:rsidRDefault="00E94E80" w:rsidP="00F932B0">
      <w:pPr>
        <w:pStyle w:val="Heading1"/>
        <w:widowControl/>
        <w:jc w:val="left"/>
      </w:pPr>
      <w:r>
        <w:t>DISCUSSION</w:t>
      </w:r>
    </w:p>
    <w:p w:rsidR="00DE2140" w:rsidRDefault="00C0315B" w:rsidP="00090D0A">
      <w:pPr>
        <w:pStyle w:val="ParaNum"/>
        <w:widowControl/>
        <w:tabs>
          <w:tab w:val="clear" w:pos="1080"/>
          <w:tab w:val="num" w:pos="1440"/>
        </w:tabs>
        <w:jc w:val="left"/>
      </w:pPr>
      <w:r>
        <w:t>We must deny the Petition because NUCOM has not met the November 1, 2013 substantial service deadline and it has not explained why it failed to either m</w:t>
      </w:r>
      <w:r w:rsidR="009E2744">
        <w:t>e</w:t>
      </w:r>
      <w:r>
        <w:t xml:space="preserve">et the substantial service deadline or timely request a further extension of the deadline.  Once a license enters termination pending status, a petition </w:t>
      </w:r>
      <w:r w:rsidR="0007740A">
        <w:t>shall be granted only if the licensee demonstrates that it met the relevant construction deadline.</w:t>
      </w:r>
      <w:r w:rsidR="0007740A">
        <w:rPr>
          <w:rStyle w:val="FootnoteReference"/>
        </w:rPr>
        <w:footnoteReference w:id="24"/>
      </w:r>
      <w:r w:rsidR="0007740A">
        <w:t xml:space="preserve">  NUCOM admits that, as of the date it filed the Petition, it had not yet constructed facilities under the Licenses.</w:t>
      </w:r>
      <w:r w:rsidR="009E2744">
        <w:rPr>
          <w:rStyle w:val="FootnoteReference"/>
        </w:rPr>
        <w:footnoteReference w:id="25"/>
      </w:r>
      <w:r w:rsidR="0007740A">
        <w:t xml:space="preserve">  Furthermore, it has failed to properly request an extension of the substantial service deadline, and it has not requested a waiver </w:t>
      </w:r>
      <w:r w:rsidR="006C240B">
        <w:t>of the substantial service deadline.</w:t>
      </w:r>
      <w:r w:rsidR="006C240B">
        <w:rPr>
          <w:rStyle w:val="FootnoteReference"/>
        </w:rPr>
        <w:footnoteReference w:id="26"/>
      </w:r>
      <w:r w:rsidR="006C240B">
        <w:t xml:space="preserve">  </w:t>
      </w:r>
      <w:r w:rsidR="00090D0A">
        <w:t xml:space="preserve">Without an extension or waiver, the Licenses automatically terminated, by operation of Sections 1.946(c) and 1.955(a)(2) of the Commission’s Rules, on </w:t>
      </w:r>
      <w:r w:rsidR="00841F34">
        <w:t>November</w:t>
      </w:r>
      <w:r w:rsidR="00090D0A">
        <w:t xml:space="preserve"> 1, 2013.</w:t>
      </w:r>
      <w:r w:rsidR="00090D0A">
        <w:rPr>
          <w:rStyle w:val="FootnoteReference"/>
        </w:rPr>
        <w:footnoteReference w:id="27"/>
      </w:r>
      <w:r w:rsidR="00090D0A" w:rsidRPr="00EA2936">
        <w:t xml:space="preserve">   </w:t>
      </w:r>
    </w:p>
    <w:p w:rsidR="00E94E80" w:rsidRDefault="00E94E80" w:rsidP="00F932B0">
      <w:pPr>
        <w:pStyle w:val="Heading1"/>
        <w:widowControl/>
        <w:jc w:val="left"/>
        <w:rPr>
          <w:bCs/>
        </w:rPr>
      </w:pPr>
      <w:r>
        <w:t>ORDERING CLAUSES</w:t>
      </w:r>
    </w:p>
    <w:p w:rsidR="008550D3" w:rsidRDefault="008550D3" w:rsidP="00F932B0">
      <w:pPr>
        <w:pStyle w:val="ParaNum"/>
        <w:widowControl/>
        <w:tabs>
          <w:tab w:val="clear" w:pos="1080"/>
        </w:tabs>
        <w:jc w:val="left"/>
      </w:pPr>
      <w:r>
        <w:t>Accordingly, IT IS ORDERED, pursuant to Sections 4(i) and 405 of the Communications Act of 1934, as amended, 47 U.S.C. §§ 154(i), 405, and Section 1.106 of the Commission’s Rules, 47 C.F.R. § 1.106, that the Petition for Reconsideration</w:t>
      </w:r>
      <w:r w:rsidR="00090D0A">
        <w:t xml:space="preserve"> filed by NUCOM on December 26, 2013 </w:t>
      </w:r>
      <w:r>
        <w:rPr>
          <w:color w:val="000000"/>
        </w:rPr>
        <w:t xml:space="preserve">IS </w:t>
      </w:r>
      <w:r>
        <w:t>DENIED.</w:t>
      </w:r>
    </w:p>
    <w:p w:rsidR="00090D0A" w:rsidRDefault="00090D0A" w:rsidP="00090D0A">
      <w:pPr>
        <w:pStyle w:val="ParaNum"/>
      </w:pPr>
      <w:r>
        <w:t xml:space="preserve">IT IS FURTHER ORDERED that, pursuant to Sections 4(i) and 303(r) of the Communications Act, as amended, 47 U.S.C. §§ 154(i), 303(r), and Section 1.955(a)(2) of the Commission’s Rules, 47 C.F.R. § 1.955(a)(2), that the Universal Licensing System SHALL BE UPDATED to reflect that NUCOM’s </w:t>
      </w:r>
      <w:r w:rsidR="00316291">
        <w:t xml:space="preserve">licenses </w:t>
      </w:r>
      <w:r>
        <w:t>for Stations WPOH485, WPOH486, WPOH487, WPOH488, and WPOH489 automatically terminated as of November 1</w:t>
      </w:r>
      <w:r>
        <w:rPr>
          <w:color w:val="000000"/>
        </w:rPr>
        <w:t>, 2013</w:t>
      </w:r>
      <w:r>
        <w:t>.</w:t>
      </w:r>
    </w:p>
    <w:p w:rsidR="00E94E80" w:rsidRDefault="00E94E80" w:rsidP="00F932B0">
      <w:pPr>
        <w:pStyle w:val="ParaNum"/>
        <w:widowControl/>
        <w:tabs>
          <w:tab w:val="clear" w:pos="1080"/>
        </w:tabs>
        <w:jc w:val="left"/>
      </w:pPr>
      <w:r>
        <w:t>Th</w:t>
      </w:r>
      <w:r w:rsidR="008550D3">
        <w:t>i</w:t>
      </w:r>
      <w:r>
        <w:t>s action</w:t>
      </w:r>
      <w:r w:rsidR="008550D3">
        <w:t xml:space="preserve"> is</w:t>
      </w:r>
      <w:r>
        <w:t xml:space="preserve"> taken under delegated authority pursuant to Sections 0.131 and 0.331 of the Commission’s Rules, 47 C.F.R. §§ 0.131, 0.331.</w:t>
      </w:r>
    </w:p>
    <w:p w:rsidR="00E94E80" w:rsidRDefault="00E94E80" w:rsidP="00BC06FC">
      <w:pPr>
        <w:ind w:left="4320"/>
      </w:pPr>
      <w:r>
        <w:t>FEDERAL COMMUNICATIONS COMMISSION</w:t>
      </w:r>
    </w:p>
    <w:p w:rsidR="00E94E80" w:rsidRDefault="00E94E80" w:rsidP="00BC06FC">
      <w:pPr>
        <w:ind w:left="4320"/>
      </w:pPr>
    </w:p>
    <w:p w:rsidR="00E94E80" w:rsidRDefault="00E94E80" w:rsidP="00BC06FC">
      <w:pPr>
        <w:ind w:left="4320"/>
      </w:pPr>
    </w:p>
    <w:p w:rsidR="00E94E80" w:rsidRDefault="00E94E80" w:rsidP="00BC06FC">
      <w:pPr>
        <w:ind w:left="4320"/>
      </w:pPr>
    </w:p>
    <w:p w:rsidR="00E94E80" w:rsidRDefault="00E94E80" w:rsidP="00BC06FC">
      <w:pPr>
        <w:ind w:left="4320"/>
      </w:pPr>
    </w:p>
    <w:p w:rsidR="00E94E80" w:rsidRDefault="00E94E80" w:rsidP="00BC06FC">
      <w:pPr>
        <w:ind w:left="3600" w:firstLine="720"/>
      </w:pPr>
      <w:r>
        <w:t>John J. Schauble</w:t>
      </w:r>
    </w:p>
    <w:p w:rsidR="00E94E80" w:rsidRDefault="00E94E80" w:rsidP="00BC06FC">
      <w:pPr>
        <w:ind w:left="3600" w:firstLine="720"/>
      </w:pPr>
      <w:r>
        <w:t>Deputy Chief, Broadband Division</w:t>
      </w:r>
    </w:p>
    <w:p w:rsidR="00E94E80" w:rsidRDefault="00E94E80" w:rsidP="00BC06FC">
      <w:pPr>
        <w:ind w:left="3600" w:firstLine="720"/>
      </w:pPr>
      <w:r>
        <w:t>Wireless Telecommunications Bureau</w:t>
      </w:r>
    </w:p>
    <w:sectPr w:rsidR="00E94E8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21DF" w:rsidRDefault="00C621DF">
      <w:r>
        <w:separator/>
      </w:r>
    </w:p>
  </w:endnote>
  <w:endnote w:type="continuationSeparator" w:id="0">
    <w:p w:rsidR="00C621DF" w:rsidRDefault="00C621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697" w:rsidRDefault="002C169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5FB1" w:rsidRDefault="006B5FB1">
    <w:pPr>
      <w:pStyle w:val="Footer"/>
      <w:jc w:val="center"/>
    </w:pPr>
    <w:r>
      <w:rPr>
        <w:rStyle w:val="PageNumber"/>
      </w:rPr>
      <w:fldChar w:fldCharType="begin"/>
    </w:r>
    <w:r>
      <w:rPr>
        <w:rStyle w:val="PageNumber"/>
      </w:rPr>
      <w:instrText xml:space="preserve"> PAGE </w:instrText>
    </w:r>
    <w:r>
      <w:rPr>
        <w:rStyle w:val="PageNumber"/>
      </w:rPr>
      <w:fldChar w:fldCharType="separate"/>
    </w:r>
    <w:r w:rsidR="00791BDB">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697" w:rsidRDefault="002C16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21DF" w:rsidRDefault="00C621DF">
      <w:pPr>
        <w:rPr>
          <w:sz w:val="20"/>
        </w:rPr>
      </w:pPr>
      <w:r>
        <w:rPr>
          <w:sz w:val="20"/>
        </w:rPr>
        <w:separator/>
      </w:r>
    </w:p>
  </w:footnote>
  <w:footnote w:type="continuationSeparator" w:id="0">
    <w:p w:rsidR="00C621DF" w:rsidRDefault="00C621DF">
      <w:pPr>
        <w:rPr>
          <w:sz w:val="20"/>
        </w:rPr>
      </w:pPr>
      <w:r>
        <w:rPr>
          <w:sz w:val="20"/>
        </w:rPr>
        <w:separator/>
      </w:r>
    </w:p>
    <w:p w:rsidR="00C621DF" w:rsidRDefault="00C621DF">
      <w:pPr>
        <w:rPr>
          <w:sz w:val="20"/>
        </w:rPr>
      </w:pPr>
      <w:r>
        <w:rPr>
          <w:sz w:val="20"/>
        </w:rPr>
        <w:t>(...continued from previous page)</w:t>
      </w:r>
    </w:p>
  </w:footnote>
  <w:footnote w:type="continuationNotice" w:id="1">
    <w:p w:rsidR="00C621DF" w:rsidRDefault="00C621DF">
      <w:pPr>
        <w:jc w:val="right"/>
        <w:rPr>
          <w:sz w:val="20"/>
        </w:rPr>
      </w:pPr>
      <w:r>
        <w:rPr>
          <w:sz w:val="20"/>
        </w:rPr>
        <w:t>(continued....)</w:t>
      </w:r>
    </w:p>
  </w:footnote>
  <w:footnote w:id="2">
    <w:p w:rsidR="006B5FB1" w:rsidRDefault="006B5FB1">
      <w:pPr>
        <w:pStyle w:val="FootnoteText"/>
      </w:pPr>
      <w:r>
        <w:rPr>
          <w:rStyle w:val="FootnoteReference"/>
        </w:rPr>
        <w:footnoteRef/>
      </w:r>
      <w:r>
        <w:t xml:space="preserve"> </w:t>
      </w:r>
      <w:r>
        <w:rPr>
          <w:i/>
        </w:rPr>
        <w:t>See</w:t>
      </w:r>
      <w:r>
        <w:t xml:space="preserve"> File No. 0000000</w:t>
      </w:r>
      <w:r w:rsidR="00A07AFC">
        <w:t>022</w:t>
      </w:r>
      <w:r>
        <w:t xml:space="preserve"> (granted June </w:t>
      </w:r>
      <w:r w:rsidR="00A07AFC">
        <w:t>24</w:t>
      </w:r>
      <w:r>
        <w:t xml:space="preserve">, 1998); </w:t>
      </w:r>
      <w:r w:rsidR="00B8478E">
        <w:t xml:space="preserve">FCC Announces the Conditional Grant of 25 Local Multipoint Distribution Service Licenses, </w:t>
      </w:r>
      <w:r w:rsidR="00B8478E">
        <w:rPr>
          <w:i/>
        </w:rPr>
        <w:t>Public Notice</w:t>
      </w:r>
      <w:r w:rsidR="00B8478E">
        <w:t xml:space="preserve">, 13 FCC Rcd 17186 (WTB 1998).  </w:t>
      </w:r>
    </w:p>
  </w:footnote>
  <w:footnote w:id="3">
    <w:p w:rsidR="006B5FB1" w:rsidRDefault="006B5FB1" w:rsidP="007743D3">
      <w:pPr>
        <w:pStyle w:val="FootnoteText"/>
        <w:jc w:val="left"/>
      </w:pPr>
      <w:r>
        <w:rPr>
          <w:rStyle w:val="FootnoteReference"/>
        </w:rPr>
        <w:footnoteRef/>
      </w:r>
      <w:r>
        <w:t xml:space="preserve"> </w:t>
      </w:r>
      <w:r>
        <w:rPr>
          <w:i/>
        </w:rPr>
        <w:t xml:space="preserve">See </w:t>
      </w:r>
      <w:r>
        <w:t xml:space="preserve">47 C.F.R. § 101.1011(a); </w:t>
      </w:r>
      <w:r>
        <w:rPr>
          <w:i/>
        </w:rPr>
        <w:t xml:space="preserve">see also </w:t>
      </w:r>
      <w:r>
        <w:t xml:space="preserve">Rulemaking to Amend Parts 1, 2, 21, and 25 of the Commission’s Rules to Redesignate the 27.5 GHz Frequency Band, to Reallocate the 29.5-30.0 GHz Frequency Band, to Establish Rules and Policies For Local Multipoint Distribution Service and For Fixed Satellite Services, CC Docket No. 92-297, </w:t>
      </w:r>
      <w:r>
        <w:rPr>
          <w:i/>
        </w:rPr>
        <w:t>Second Report and Order, Order on Reconsideration and Fifth Notice of Proposed Rulemaking</w:t>
      </w:r>
      <w:r>
        <w:t>, 12 FCC Rcd 12545, 12658 ¶¶ 261-262 (1997) (“</w:t>
      </w:r>
      <w:r>
        <w:rPr>
          <w:i/>
        </w:rPr>
        <w:t>LMDS Second Report and Order</w:t>
      </w:r>
      <w:r>
        <w:t xml:space="preserve">”).  </w:t>
      </w:r>
    </w:p>
  </w:footnote>
  <w:footnote w:id="4">
    <w:p w:rsidR="006B5FB1" w:rsidRDefault="006B5FB1" w:rsidP="007743D3">
      <w:pPr>
        <w:pStyle w:val="FootnoteText"/>
        <w:jc w:val="left"/>
      </w:pPr>
      <w:r>
        <w:rPr>
          <w:rStyle w:val="FootnoteReference"/>
        </w:rPr>
        <w:footnoteRef/>
      </w:r>
      <w:r>
        <w:t xml:space="preserve"> </w:t>
      </w:r>
      <w:r>
        <w:rPr>
          <w:i/>
        </w:rPr>
        <w:t xml:space="preserve">See </w:t>
      </w:r>
      <w:r>
        <w:t>47 C.F.R. § 101.1011(a).</w:t>
      </w:r>
    </w:p>
  </w:footnote>
  <w:footnote w:id="5">
    <w:p w:rsidR="006B5FB1" w:rsidRDefault="006B5FB1">
      <w:pPr>
        <w:pStyle w:val="FootnoteText"/>
      </w:pPr>
      <w:r>
        <w:rPr>
          <w:rStyle w:val="FootnoteReference"/>
        </w:rPr>
        <w:footnoteRef/>
      </w:r>
      <w:r>
        <w:t xml:space="preserve"> File Nos. </w:t>
      </w:r>
      <w:r w:rsidR="00A07AFC">
        <w:t>0003195288</w:t>
      </w:r>
      <w:r>
        <w:t>-</w:t>
      </w:r>
      <w:r w:rsidR="00A07AFC" w:rsidRPr="00A07AFC">
        <w:t>0003195292</w:t>
      </w:r>
      <w:r>
        <w:t xml:space="preserve"> (filed </w:t>
      </w:r>
      <w:r w:rsidR="00A07AFC">
        <w:t>Oct. 10</w:t>
      </w:r>
      <w:r>
        <w:t>, 2007).</w:t>
      </w:r>
    </w:p>
  </w:footnote>
  <w:footnote w:id="6">
    <w:p w:rsidR="006B5FB1" w:rsidRDefault="006B5FB1">
      <w:pPr>
        <w:pStyle w:val="FootnoteText"/>
      </w:pPr>
      <w:r>
        <w:rPr>
          <w:rStyle w:val="FootnoteReference"/>
        </w:rPr>
        <w:footnoteRef/>
      </w:r>
      <w:r>
        <w:t xml:space="preserve"> Applications filed by Licensees in the Local  Multipoint Distribution Service (LMDS) Seeking Waivers of Section 101.1011 of the Commission’s Rules and Extensions of Time to Construct and Demonstrate Substantial Service, </w:t>
      </w:r>
      <w:r>
        <w:rPr>
          <w:i/>
        </w:rPr>
        <w:t>Memorandum Opinion and Order</w:t>
      </w:r>
      <w:r>
        <w:t>, 23 FCC Rcd 5894 (WTB 2008) (</w:t>
      </w:r>
      <w:r>
        <w:rPr>
          <w:i/>
        </w:rPr>
        <w:t>LMDS Order</w:t>
      </w:r>
      <w:r>
        <w:t>).</w:t>
      </w:r>
    </w:p>
  </w:footnote>
  <w:footnote w:id="7">
    <w:p w:rsidR="006B5FB1" w:rsidRDefault="006B5FB1">
      <w:pPr>
        <w:pStyle w:val="FootnoteText"/>
      </w:pPr>
      <w:r>
        <w:rPr>
          <w:rStyle w:val="FootnoteReference"/>
        </w:rPr>
        <w:footnoteRef/>
      </w:r>
      <w:r>
        <w:t xml:space="preserve"> </w:t>
      </w:r>
      <w:r>
        <w:rPr>
          <w:i/>
        </w:rPr>
        <w:t>LMDS Order</w:t>
      </w:r>
      <w:r>
        <w:t>, 23 FCC Rcd at 5905 ¶ 24.</w:t>
      </w:r>
    </w:p>
  </w:footnote>
  <w:footnote w:id="8">
    <w:p w:rsidR="006B5FB1" w:rsidRDefault="006B5FB1">
      <w:pPr>
        <w:pStyle w:val="FootnoteText"/>
      </w:pPr>
      <w:r>
        <w:rPr>
          <w:rStyle w:val="FootnoteReference"/>
        </w:rPr>
        <w:footnoteRef/>
      </w:r>
      <w:r>
        <w:t xml:space="preserve"> </w:t>
      </w:r>
      <w:smartTag w:uri="urn:schemas-microsoft-com:office:smarttags" w:element="State">
        <w:smartTag w:uri="urn:schemas-microsoft-com:office:smarttags" w:element="place">
          <w:r>
            <w:rPr>
              <w:i/>
            </w:rPr>
            <w:t>Id</w:t>
          </w:r>
          <w:r>
            <w:t>.</w:t>
          </w:r>
        </w:smartTag>
      </w:smartTag>
    </w:p>
  </w:footnote>
  <w:footnote w:id="9">
    <w:p w:rsidR="006B5FB1" w:rsidRDefault="006B5FB1">
      <w:pPr>
        <w:pStyle w:val="FootnoteText"/>
      </w:pPr>
      <w:r>
        <w:rPr>
          <w:rStyle w:val="FootnoteReference"/>
        </w:rPr>
        <w:footnoteRef/>
      </w:r>
      <w:r>
        <w:t xml:space="preserve"> </w:t>
      </w:r>
      <w:r>
        <w:rPr>
          <w:i/>
        </w:rPr>
        <w:t>Id.</w:t>
      </w:r>
      <w:r>
        <w:t xml:space="preserve"> at 5905 ¶ 25.</w:t>
      </w:r>
    </w:p>
  </w:footnote>
  <w:footnote w:id="10">
    <w:p w:rsidR="006B5FB1" w:rsidRDefault="006B5FB1">
      <w:pPr>
        <w:pStyle w:val="FootnoteText"/>
      </w:pPr>
      <w:r>
        <w:rPr>
          <w:rStyle w:val="FootnoteReference"/>
        </w:rPr>
        <w:footnoteRef/>
      </w:r>
      <w:r>
        <w:t xml:space="preserve"> </w:t>
      </w:r>
      <w:smartTag w:uri="urn:schemas-microsoft-com:office:smarttags" w:element="State">
        <w:smartTag w:uri="urn:schemas-microsoft-com:office:smarttags" w:element="place">
          <w:r>
            <w:rPr>
              <w:i/>
            </w:rPr>
            <w:t>Id</w:t>
          </w:r>
          <w:r>
            <w:t>.</w:t>
          </w:r>
        </w:smartTag>
      </w:smartTag>
    </w:p>
  </w:footnote>
  <w:footnote w:id="11">
    <w:p w:rsidR="006B5FB1" w:rsidRDefault="006B5FB1">
      <w:pPr>
        <w:pStyle w:val="FootnoteText"/>
      </w:pPr>
      <w:r>
        <w:rPr>
          <w:rStyle w:val="FootnoteReference"/>
        </w:rPr>
        <w:footnoteRef/>
      </w:r>
      <w:r>
        <w:t xml:space="preserve"> </w:t>
      </w:r>
      <w:r>
        <w:rPr>
          <w:i/>
        </w:rPr>
        <w:t>See</w:t>
      </w:r>
      <w:r>
        <w:t xml:space="preserve"> </w:t>
      </w:r>
      <w:r>
        <w:rPr>
          <w:lang w:val="es-ES"/>
        </w:rPr>
        <w:t xml:space="preserve">File Nos. </w:t>
      </w:r>
      <w:r w:rsidR="008F541E" w:rsidRPr="008F541E">
        <w:rPr>
          <w:lang w:val="es-ES"/>
        </w:rPr>
        <w:t>0005145441</w:t>
      </w:r>
      <w:r>
        <w:rPr>
          <w:lang w:val="es-ES"/>
        </w:rPr>
        <w:t>-</w:t>
      </w:r>
      <w:r w:rsidR="008F541E">
        <w:rPr>
          <w:lang w:val="es-ES"/>
        </w:rPr>
        <w:t>0005145445</w:t>
      </w:r>
      <w:r>
        <w:t xml:space="preserve"> (filed </w:t>
      </w:r>
      <w:r w:rsidR="008F541E">
        <w:t>Apr</w:t>
      </w:r>
      <w:r>
        <w:t>. 2, 2012) (</w:t>
      </w:r>
      <w:r w:rsidR="008F541E">
        <w:t xml:space="preserve">“2012 </w:t>
      </w:r>
      <w:r>
        <w:t>Extension Applications</w:t>
      </w:r>
      <w:r w:rsidR="008F541E">
        <w:t>”).</w:t>
      </w:r>
    </w:p>
  </w:footnote>
  <w:footnote w:id="12">
    <w:p w:rsidR="008F541E" w:rsidRDefault="008F541E">
      <w:pPr>
        <w:pStyle w:val="FootnoteText"/>
      </w:pPr>
      <w:r>
        <w:rPr>
          <w:rStyle w:val="FootnoteReference"/>
        </w:rPr>
        <w:footnoteRef/>
      </w:r>
      <w:r>
        <w:t xml:space="preserve"> 2012 Extension Applications, NUCOM Equipment Order (filed May 14, 2012).</w:t>
      </w:r>
    </w:p>
  </w:footnote>
  <w:footnote w:id="13">
    <w:p w:rsidR="00A86E20" w:rsidRDefault="00A86E20">
      <w:pPr>
        <w:pStyle w:val="FootnoteText"/>
      </w:pPr>
      <w:r>
        <w:rPr>
          <w:rStyle w:val="FootnoteReference"/>
        </w:rPr>
        <w:footnoteRef/>
      </w:r>
      <w:r>
        <w:t xml:space="preserve"> 2012 Extension Applications, </w:t>
      </w:r>
      <w:r w:rsidRPr="00A86E20">
        <w:t>S</w:t>
      </w:r>
      <w:r>
        <w:t>upplement</w:t>
      </w:r>
      <w:r w:rsidRPr="00A86E20">
        <w:t xml:space="preserve"> </w:t>
      </w:r>
      <w:r>
        <w:t>and</w:t>
      </w:r>
      <w:r w:rsidRPr="00A86E20">
        <w:t xml:space="preserve"> A</w:t>
      </w:r>
      <w:r>
        <w:t>mendment</w:t>
      </w:r>
      <w:r w:rsidRPr="00A86E20">
        <w:t xml:space="preserve"> </w:t>
      </w:r>
      <w:r>
        <w:t>to</w:t>
      </w:r>
      <w:r w:rsidRPr="00A86E20">
        <w:t xml:space="preserve"> R</w:t>
      </w:r>
      <w:r>
        <w:t>equest</w:t>
      </w:r>
      <w:r w:rsidRPr="00A86E20">
        <w:t xml:space="preserve"> </w:t>
      </w:r>
      <w:r>
        <w:t>for</w:t>
      </w:r>
      <w:r w:rsidRPr="00A86E20">
        <w:t xml:space="preserve"> A</w:t>
      </w:r>
      <w:r>
        <w:t>dditional</w:t>
      </w:r>
      <w:r w:rsidRPr="00A86E20">
        <w:t xml:space="preserve"> T</w:t>
      </w:r>
      <w:r>
        <w:t>ime to</w:t>
      </w:r>
      <w:r w:rsidRPr="00A86E20">
        <w:t xml:space="preserve"> D</w:t>
      </w:r>
      <w:r>
        <w:t>emonstrate</w:t>
      </w:r>
      <w:r w:rsidRPr="00A86E20">
        <w:t xml:space="preserve"> S</w:t>
      </w:r>
      <w:r>
        <w:t>ubstantial</w:t>
      </w:r>
      <w:r w:rsidRPr="00A86E20">
        <w:t xml:space="preserve"> S</w:t>
      </w:r>
      <w:r>
        <w:t>ervice (filed May 23, 2012).</w:t>
      </w:r>
    </w:p>
  </w:footnote>
  <w:footnote w:id="14">
    <w:p w:rsidR="00A024ED" w:rsidRDefault="00A024ED">
      <w:pPr>
        <w:pStyle w:val="FootnoteText"/>
      </w:pPr>
      <w:r>
        <w:rPr>
          <w:rStyle w:val="FootnoteReference"/>
        </w:rPr>
        <w:footnoteRef/>
      </w:r>
      <w:r>
        <w:t xml:space="preserve"> 2012 Extension Applications, Amendment (filed Aug. 7, 2013).</w:t>
      </w:r>
    </w:p>
  </w:footnote>
  <w:footnote w:id="15">
    <w:p w:rsidR="00A024ED" w:rsidRDefault="00A024ED">
      <w:pPr>
        <w:pStyle w:val="FootnoteText"/>
      </w:pPr>
      <w:r>
        <w:rPr>
          <w:rStyle w:val="FootnoteReference"/>
        </w:rPr>
        <w:footnoteRef/>
      </w:r>
      <w:r>
        <w:t xml:space="preserve"> 2012 Extension Applications (granted Aug. 15, 2013).</w:t>
      </w:r>
    </w:p>
  </w:footnote>
  <w:footnote w:id="16">
    <w:p w:rsidR="00A044B6" w:rsidRPr="00A044B6" w:rsidRDefault="00A044B6">
      <w:pPr>
        <w:pStyle w:val="FootnoteText"/>
      </w:pPr>
      <w:r>
        <w:rPr>
          <w:rStyle w:val="FootnoteReference"/>
        </w:rPr>
        <w:footnoteRef/>
      </w:r>
      <w:r>
        <w:t xml:space="preserve"> </w:t>
      </w:r>
      <w:r>
        <w:rPr>
          <w:i/>
        </w:rPr>
        <w:t>See</w:t>
      </w:r>
      <w:r>
        <w:t xml:space="preserve"> 47 C.F.R. § 1.946(</w:t>
      </w:r>
      <w:r w:rsidR="00E00FFD">
        <w:t>d</w:t>
      </w:r>
      <w:r>
        <w:t>).</w:t>
      </w:r>
    </w:p>
  </w:footnote>
  <w:footnote w:id="17">
    <w:p w:rsidR="00E00FFD" w:rsidRDefault="00E00FFD">
      <w:pPr>
        <w:pStyle w:val="FootnoteText"/>
      </w:pPr>
      <w:r>
        <w:rPr>
          <w:rStyle w:val="FootnoteReference"/>
        </w:rPr>
        <w:footnoteRef/>
      </w:r>
      <w:r>
        <w:t xml:space="preserve"> </w:t>
      </w:r>
      <w:r>
        <w:rPr>
          <w:i/>
        </w:rPr>
        <w:t>See</w:t>
      </w:r>
      <w:r>
        <w:t xml:space="preserve"> 47 C.F.R. § 1.946(e).</w:t>
      </w:r>
    </w:p>
  </w:footnote>
  <w:footnote w:id="18">
    <w:p w:rsidR="00E00FFD" w:rsidRDefault="00E00FFD">
      <w:pPr>
        <w:pStyle w:val="FootnoteText"/>
      </w:pPr>
      <w:r>
        <w:rPr>
          <w:rStyle w:val="FootnoteReference"/>
        </w:rPr>
        <w:footnoteRef/>
      </w:r>
      <w:r>
        <w:t xml:space="preserve"> </w:t>
      </w:r>
      <w:r>
        <w:rPr>
          <w:i/>
        </w:rPr>
        <w:t>See</w:t>
      </w:r>
      <w:r>
        <w:t xml:space="preserve"> Wireless Telecommunications Bureau Announces Deployment Of “Auto-Term,” the Automated Feature in its Universal Licensing System That Identifies Unconstructed Stations Resulting in Automatic Termination of Licenses, </w:t>
      </w:r>
      <w:r>
        <w:rPr>
          <w:i/>
        </w:rPr>
        <w:t>Public Notice</w:t>
      </w:r>
      <w:r>
        <w:t>, 21 FCC Rcd 163 (WTB 2006)</w:t>
      </w:r>
      <w:r w:rsidR="0007740A">
        <w:t xml:space="preserve"> (“</w:t>
      </w:r>
      <w:r w:rsidR="0007740A">
        <w:rPr>
          <w:i/>
        </w:rPr>
        <w:t>Auto-Term Public Notice</w:t>
      </w:r>
      <w:r w:rsidR="0007740A">
        <w:t>”)</w:t>
      </w:r>
      <w:r>
        <w:t>.</w:t>
      </w:r>
    </w:p>
  </w:footnote>
  <w:footnote w:id="19">
    <w:p w:rsidR="00E00FFD" w:rsidRPr="00E00FFD" w:rsidRDefault="00E00FFD">
      <w:pPr>
        <w:pStyle w:val="FootnoteText"/>
      </w:pPr>
      <w:r>
        <w:rPr>
          <w:rStyle w:val="FootnoteReference"/>
        </w:rPr>
        <w:footnoteRef/>
      </w:r>
      <w:r>
        <w:t xml:space="preserve"> </w:t>
      </w:r>
      <w:r>
        <w:rPr>
          <w:i/>
        </w:rPr>
        <w:t>Id.</w:t>
      </w:r>
    </w:p>
  </w:footnote>
  <w:footnote w:id="20">
    <w:p w:rsidR="009C7207" w:rsidRDefault="009C7207">
      <w:pPr>
        <w:pStyle w:val="FootnoteText"/>
      </w:pPr>
      <w:r>
        <w:rPr>
          <w:rStyle w:val="FootnoteReference"/>
        </w:rPr>
        <w:footnoteRef/>
      </w:r>
      <w:r>
        <w:t xml:space="preserve"> Auto-Termination Letters, Ref. No</w:t>
      </w:r>
      <w:r w:rsidR="00665FCB">
        <w:t>s</w:t>
      </w:r>
      <w:r>
        <w:t xml:space="preserve">. </w:t>
      </w:r>
      <w:r w:rsidR="00665FCB">
        <w:t>5704551-</w:t>
      </w:r>
      <w:r>
        <w:t>5704555 (Dec. 11, 2013).</w:t>
      </w:r>
    </w:p>
  </w:footnote>
  <w:footnote w:id="21">
    <w:p w:rsidR="00665FCB" w:rsidRDefault="00665FCB">
      <w:pPr>
        <w:pStyle w:val="FootnoteText"/>
      </w:pPr>
      <w:r>
        <w:rPr>
          <w:rStyle w:val="FootnoteReference"/>
        </w:rPr>
        <w:footnoteRef/>
      </w:r>
      <w:r>
        <w:t xml:space="preserve"> Wireless Telecommunications Bureau </w:t>
      </w:r>
      <w:r w:rsidR="00E132E8">
        <w:t xml:space="preserve">Market </w:t>
      </w:r>
      <w:r>
        <w:t>Based Licenses Termination Pending, Report No. 92</w:t>
      </w:r>
      <w:r w:rsidR="00E132E8">
        <w:t>05</w:t>
      </w:r>
      <w:r>
        <w:t xml:space="preserve">, </w:t>
      </w:r>
      <w:r>
        <w:rPr>
          <w:i/>
        </w:rPr>
        <w:t>Public Notice</w:t>
      </w:r>
      <w:r>
        <w:t xml:space="preserve"> (Dec. 11, 2013) at </w:t>
      </w:r>
      <w:r w:rsidR="00E132E8">
        <w:t>1.</w:t>
      </w:r>
    </w:p>
  </w:footnote>
  <w:footnote w:id="22">
    <w:p w:rsidR="00DE047E" w:rsidRDefault="00DE047E">
      <w:pPr>
        <w:pStyle w:val="FootnoteText"/>
      </w:pPr>
      <w:r>
        <w:rPr>
          <w:rStyle w:val="FootnoteReference"/>
        </w:rPr>
        <w:footnoteRef/>
      </w:r>
      <w:r>
        <w:t xml:space="preserve"> Petition for Reconsideration (filed Dec. 26, 2013) (“Petition”).</w:t>
      </w:r>
    </w:p>
  </w:footnote>
  <w:footnote w:id="23">
    <w:p w:rsidR="00DE047E" w:rsidRPr="00DE047E" w:rsidRDefault="00DE047E">
      <w:pPr>
        <w:pStyle w:val="FootnoteText"/>
      </w:pPr>
      <w:r>
        <w:rPr>
          <w:rStyle w:val="FootnoteReference"/>
        </w:rPr>
        <w:footnoteRef/>
      </w:r>
      <w:r>
        <w:t xml:space="preserve"> </w:t>
      </w:r>
      <w:r>
        <w:rPr>
          <w:i/>
        </w:rPr>
        <w:t>Id.</w:t>
      </w:r>
    </w:p>
  </w:footnote>
  <w:footnote w:id="24">
    <w:p w:rsidR="0007740A" w:rsidRPr="0007740A" w:rsidRDefault="0007740A">
      <w:pPr>
        <w:pStyle w:val="FootnoteText"/>
      </w:pPr>
      <w:r>
        <w:rPr>
          <w:rStyle w:val="FootnoteReference"/>
        </w:rPr>
        <w:footnoteRef/>
      </w:r>
      <w:r>
        <w:t xml:space="preserve"> </w:t>
      </w:r>
      <w:r>
        <w:rPr>
          <w:i/>
        </w:rPr>
        <w:t>See</w:t>
      </w:r>
      <w:r>
        <w:t xml:space="preserve"> </w:t>
      </w:r>
      <w:r>
        <w:rPr>
          <w:i/>
        </w:rPr>
        <w:t>Auto-Term Public Notice</w:t>
      </w:r>
      <w:r>
        <w:t>.</w:t>
      </w:r>
    </w:p>
  </w:footnote>
  <w:footnote w:id="25">
    <w:p w:rsidR="009E2744" w:rsidRPr="009E2744" w:rsidRDefault="009E2744">
      <w:pPr>
        <w:pStyle w:val="FootnoteText"/>
      </w:pPr>
      <w:r>
        <w:rPr>
          <w:rStyle w:val="FootnoteReference"/>
        </w:rPr>
        <w:footnoteRef/>
      </w:r>
      <w:r>
        <w:t xml:space="preserve"> </w:t>
      </w:r>
      <w:r>
        <w:rPr>
          <w:i/>
        </w:rPr>
        <w:t>See</w:t>
      </w:r>
      <w:r>
        <w:t xml:space="preserve"> Petition.</w:t>
      </w:r>
    </w:p>
  </w:footnote>
  <w:footnote w:id="26">
    <w:p w:rsidR="006C240B" w:rsidRDefault="006C240B">
      <w:pPr>
        <w:pStyle w:val="FootnoteText"/>
      </w:pPr>
      <w:r>
        <w:rPr>
          <w:rStyle w:val="FootnoteReference"/>
        </w:rPr>
        <w:footnoteRef/>
      </w:r>
      <w:r>
        <w:t xml:space="preserve"> Because NUCOM has not properly requested an extension of the substantial service deadline, we need not decide whether we would have granted a timely request for extension.</w:t>
      </w:r>
      <w:r w:rsidR="00D319AD">
        <w:t xml:space="preserve"> If a request for extension had been filed, we would have required an explanation as to why NUCOM was unable to construct when it had placed an equipment order in May 2012.</w:t>
      </w:r>
    </w:p>
  </w:footnote>
  <w:footnote w:id="27">
    <w:p w:rsidR="00090D0A" w:rsidRDefault="00090D0A" w:rsidP="00090D0A">
      <w:pPr>
        <w:pStyle w:val="FootnoteText"/>
      </w:pPr>
      <w:r>
        <w:rPr>
          <w:rStyle w:val="FootnoteReference"/>
        </w:rPr>
        <w:footnoteRef/>
      </w:r>
      <w:r>
        <w:t xml:space="preserve"> 47 C.F.R. §§ 1.946(c) (providing that if a licensee in the Wireless Radio Services fails to commence service or operations by the expiration of its construction period or to meet its coverage or substantial service obligations by the expiration of its coverage period, its authorization terminates automatically, without specific Commission action, on the date the construction or coverage period expires) and 1.955(a)(2) (cross-referencing Section 1.946(c) and reiterating that authorizations in the Wireless Radio Services automatically terminate without specific Commission action, if the licensee fails to meet applicable construction or coverage requirements).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697" w:rsidRDefault="002C169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5FB1" w:rsidRDefault="006B5FB1">
    <w:pPr>
      <w:pStyle w:val="Header"/>
      <w:tabs>
        <w:tab w:val="clear" w:pos="4320"/>
        <w:tab w:val="clear" w:pos="8640"/>
        <w:tab w:val="center" w:pos="4680"/>
        <w:tab w:val="right" w:pos="9360"/>
      </w:tabs>
      <w:rPr>
        <w:b/>
      </w:rPr>
    </w:pPr>
    <w:r>
      <w:rPr>
        <w:b/>
      </w:rPr>
      <w:tab/>
      <w:t>Federal Com</w:t>
    </w:r>
    <w:r w:rsidR="001F6AE0">
      <w:rPr>
        <w:b/>
      </w:rPr>
      <w:t>munications Commission</w:t>
    </w:r>
    <w:r w:rsidR="001F6AE0">
      <w:rPr>
        <w:b/>
      </w:rPr>
      <w:tab/>
      <w:t>DA 1</w:t>
    </w:r>
    <w:r w:rsidR="00090D0A">
      <w:rPr>
        <w:b/>
      </w:rPr>
      <w:t>4</w:t>
    </w:r>
    <w:r w:rsidR="001F6AE0">
      <w:rPr>
        <w:b/>
      </w:rPr>
      <w:t>-</w:t>
    </w:r>
    <w:r w:rsidR="00896CA9">
      <w:rPr>
        <w:b/>
      </w:rPr>
      <w:t>51</w:t>
    </w:r>
    <w:r>
      <w:rPr>
        <w:b/>
      </w:rPr>
      <w:t xml:space="preserve"> </w:t>
    </w:r>
  </w:p>
  <w:p w:rsidR="006B5FB1" w:rsidRDefault="001148D5">
    <w:pPr>
      <w:pStyle w:val="Header"/>
      <w:tabs>
        <w:tab w:val="clear" w:pos="8640"/>
        <w:tab w:val="right" w:pos="9360"/>
      </w:tabs>
    </w:pPr>
    <w:r>
      <w:rPr>
        <w:noProof/>
      </w:rPr>
      <mc:AlternateContent>
        <mc:Choice Requires="wps">
          <w:drawing>
            <wp:anchor distT="4294967295" distB="4294967295" distL="114300" distR="114300" simplePos="0" relativeHeight="251658240" behindDoc="0" locked="0" layoutInCell="0" allowOverlap="1" wp14:anchorId="3FDB8802" wp14:editId="63FD8AE4">
              <wp:simplePos x="0" y="0"/>
              <wp:positionH relativeFrom="column">
                <wp:posOffset>0</wp:posOffset>
              </wp:positionH>
              <wp:positionV relativeFrom="paragraph">
                <wp:posOffset>22224</wp:posOffset>
              </wp:positionV>
              <wp:extent cx="5943600" cy="0"/>
              <wp:effectExtent l="0" t="0" r="19050" b="1905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13EwIAACk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" o:allowincell="f" strokeweight="1.5pt"/>
          </w:pict>
        </mc:Fallback>
      </mc:AlternateContent>
    </w:r>
  </w:p>
  <w:p w:rsidR="006B5FB1" w:rsidRDefault="006B5FB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5FB1" w:rsidRDefault="006B5FB1">
    <w:pPr>
      <w:pStyle w:val="Header"/>
      <w:tabs>
        <w:tab w:val="clear" w:pos="4320"/>
        <w:tab w:val="clear" w:pos="8640"/>
        <w:tab w:val="center" w:pos="4680"/>
        <w:tab w:val="right" w:pos="9360"/>
      </w:tabs>
      <w:rPr>
        <w:b/>
      </w:rPr>
    </w:pPr>
    <w:r>
      <w:rPr>
        <w:b/>
      </w:rPr>
      <w:tab/>
      <w:t>Federal Comm</w:t>
    </w:r>
    <w:r w:rsidR="00BF323D">
      <w:rPr>
        <w:b/>
      </w:rPr>
      <w:t>unications Commission</w:t>
    </w:r>
    <w:r w:rsidR="00BF323D">
      <w:rPr>
        <w:b/>
      </w:rPr>
      <w:tab/>
      <w:t xml:space="preserve"> DA 1</w:t>
    </w:r>
    <w:r w:rsidR="00090D0A">
      <w:rPr>
        <w:b/>
      </w:rPr>
      <w:t>4</w:t>
    </w:r>
    <w:r w:rsidR="00BF323D">
      <w:rPr>
        <w:b/>
      </w:rPr>
      <w:t>-</w:t>
    </w:r>
    <w:r w:rsidR="00896CA9">
      <w:rPr>
        <w:b/>
      </w:rPr>
      <w:t>51</w:t>
    </w:r>
    <w:r>
      <w:rPr>
        <w:b/>
      </w:rPr>
      <w:t xml:space="preserve"> </w:t>
    </w:r>
  </w:p>
  <w:p w:rsidR="006B5FB1" w:rsidRDefault="001148D5">
    <w:pPr>
      <w:pStyle w:val="Header"/>
      <w:tabs>
        <w:tab w:val="clear" w:pos="8640"/>
        <w:tab w:val="right" w:pos="9360"/>
      </w:tabs>
    </w:pPr>
    <w:r>
      <w:rPr>
        <w:noProof/>
      </w:rPr>
      <mc:AlternateContent>
        <mc:Choice Requires="wps">
          <w:drawing>
            <wp:anchor distT="4294967295" distB="4294967295" distL="114300" distR="114300" simplePos="0" relativeHeight="251657216" behindDoc="0" locked="0" layoutInCell="0" allowOverlap="1">
              <wp:simplePos x="0" y="0"/>
              <wp:positionH relativeFrom="column">
                <wp:posOffset>0</wp:posOffset>
              </wp:positionH>
              <wp:positionV relativeFrom="paragraph">
                <wp:posOffset>22224</wp:posOffset>
              </wp:positionV>
              <wp:extent cx="5943600" cy="0"/>
              <wp:effectExtent l="0" t="0" r="19050"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nlA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" o:allowincell="f"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A783C"/>
    <w:multiLevelType w:val="singleLevel"/>
    <w:tmpl w:val="A52053E0"/>
    <w:lvl w:ilvl="0">
      <w:start w:val="1"/>
      <w:numFmt w:val="decimal"/>
      <w:lvlText w:val="%1."/>
      <w:lvlJc w:val="left"/>
      <w:pPr>
        <w:tabs>
          <w:tab w:val="num" w:pos="1080"/>
        </w:tabs>
        <w:ind w:left="0" w:firstLine="720"/>
      </w:pPr>
      <w:rPr>
        <w:b w:val="0"/>
        <w:i w:val="0"/>
      </w:rPr>
    </w:lvl>
  </w:abstractNum>
  <w:abstractNum w:abstractNumId="1">
    <w:nsid w:val="3D0F1B3D"/>
    <w:multiLevelType w:val="singleLevel"/>
    <w:tmpl w:val="69C0632A"/>
    <w:lvl w:ilvl="0">
      <w:start w:val="1"/>
      <w:numFmt w:val="decimal"/>
      <w:pStyle w:val="ParaNum"/>
      <w:lvlText w:val="%1."/>
      <w:lvlJc w:val="left"/>
      <w:pPr>
        <w:tabs>
          <w:tab w:val="num" w:pos="1080"/>
        </w:tabs>
        <w:ind w:firstLine="720"/>
      </w:pPr>
      <w:rPr>
        <w:rFonts w:ascii="Times New Roman" w:hAnsi="Times New Roman" w:cs="Times New Roman" w:hint="default"/>
        <w:b w:val="0"/>
        <w:i w:val="0"/>
        <w:caps w:val="0"/>
        <w:strike w:val="0"/>
        <w:dstrike w:val="0"/>
        <w:vanish w:val="0"/>
        <w:color w:val="auto"/>
        <w:sz w:val="22"/>
        <w:u w:val="none"/>
        <w:vertAlign w:val="baseline"/>
      </w:rPr>
    </w:lvl>
  </w:abstractNum>
  <w:abstractNum w:abstractNumId="2">
    <w:nsid w:val="5341241F"/>
    <w:multiLevelType w:val="singleLevel"/>
    <w:tmpl w:val="4C62BFF4"/>
    <w:lvl w:ilvl="0">
      <w:start w:val="1"/>
      <w:numFmt w:val="decimal"/>
      <w:pStyle w:val="NumberedList"/>
      <w:lvlText w:val="%1."/>
      <w:lvlJc w:val="left"/>
      <w:pPr>
        <w:tabs>
          <w:tab w:val="num" w:pos="1080"/>
        </w:tabs>
        <w:ind w:firstLine="720"/>
      </w:pPr>
      <w:rPr>
        <w:rFonts w:ascii="Times New Roman" w:hAnsi="Times New Roman" w:cs="Times New Roman" w:hint="default"/>
        <w:b w:val="0"/>
        <w:i w:val="0"/>
        <w:sz w:val="22"/>
        <w:u w:val="none"/>
      </w:rPr>
    </w:lvl>
  </w:abstractNum>
  <w:abstractNum w:abstractNumId="3">
    <w:nsid w:val="541F6B38"/>
    <w:multiLevelType w:val="multilevel"/>
    <w:tmpl w:val="D892E404"/>
    <w:lvl w:ilvl="0">
      <w:start w:val="1"/>
      <w:numFmt w:val="upperRoman"/>
      <w:pStyle w:val="Heading1"/>
      <w:lvlText w:val="%1."/>
      <w:lvlJc w:val="left"/>
      <w:pPr>
        <w:tabs>
          <w:tab w:val="num" w:pos="720"/>
        </w:tabs>
        <w:ind w:left="720" w:hanging="720"/>
      </w:pPr>
      <w:rPr>
        <w:rFonts w:ascii="Times New Roman" w:hAnsi="Times New Roman" w:cs="Times New Roman" w:hint="default"/>
        <w:b/>
        <w:i w:val="0"/>
        <w:caps w:val="0"/>
        <w:strike w:val="0"/>
        <w:dstrike w:val="0"/>
        <w:vanish w:val="0"/>
        <w:color w:val="000000"/>
        <w:sz w:val="22"/>
        <w:vertAlign w:val="baseline"/>
      </w:rPr>
    </w:lvl>
    <w:lvl w:ilvl="1">
      <w:start w:val="1"/>
      <w:numFmt w:val="upperLetter"/>
      <w:pStyle w:val="Heading2"/>
      <w:lvlText w:val="%2."/>
      <w:lvlJc w:val="left"/>
      <w:pPr>
        <w:tabs>
          <w:tab w:val="num" w:pos="1440"/>
        </w:tabs>
        <w:ind w:left="1440" w:hanging="720"/>
      </w:pPr>
      <w:rPr>
        <w:rFonts w:cs="Times New Roman"/>
      </w:rPr>
    </w:lvl>
    <w:lvl w:ilvl="2">
      <w:start w:val="1"/>
      <w:numFmt w:val="decimal"/>
      <w:pStyle w:val="Heading3"/>
      <w:lvlText w:val="%3."/>
      <w:lvlJc w:val="left"/>
      <w:pPr>
        <w:tabs>
          <w:tab w:val="num" w:pos="2160"/>
        </w:tabs>
        <w:ind w:left="2160" w:hanging="720"/>
      </w:pPr>
      <w:rPr>
        <w:rFonts w:cs="Times New Roman"/>
      </w:rPr>
    </w:lvl>
    <w:lvl w:ilvl="3">
      <w:start w:val="1"/>
      <w:numFmt w:val="lowerLetter"/>
      <w:pStyle w:val="Heading4"/>
      <w:lvlText w:val="%4."/>
      <w:lvlJc w:val="left"/>
      <w:pPr>
        <w:tabs>
          <w:tab w:val="num" w:pos="2880"/>
        </w:tabs>
        <w:ind w:left="2880" w:hanging="720"/>
      </w:pPr>
      <w:rPr>
        <w:rFonts w:cs="Times New Roman"/>
      </w:rPr>
    </w:lvl>
    <w:lvl w:ilvl="4">
      <w:start w:val="1"/>
      <w:numFmt w:val="lowerRoman"/>
      <w:pStyle w:val="Heading5"/>
      <w:lvlText w:val="(%5)"/>
      <w:lvlJc w:val="left"/>
      <w:pPr>
        <w:tabs>
          <w:tab w:val="num" w:pos="3960"/>
        </w:tabs>
        <w:ind w:left="3600" w:hanging="720"/>
      </w:pPr>
      <w:rPr>
        <w:rFonts w:ascii="Tahoma" w:hAnsi="Tahoma" w:cs="Times New Roman" w:hint="default"/>
        <w:b/>
        <w:i w:val="0"/>
        <w:caps w:val="0"/>
        <w:strike w:val="0"/>
        <w:dstrike w:val="0"/>
        <w:vanish w:val="0"/>
        <w:color w:val="auto"/>
        <w:sz w:val="22"/>
        <w:vertAlign w:val="baseline"/>
      </w:rPr>
    </w:lvl>
    <w:lvl w:ilvl="5">
      <w:start w:val="1"/>
      <w:numFmt w:val="lowerLetter"/>
      <w:pStyle w:val="Heading6"/>
      <w:lvlText w:val="(%6)"/>
      <w:lvlJc w:val="left"/>
      <w:pPr>
        <w:tabs>
          <w:tab w:val="num" w:pos="4320"/>
        </w:tabs>
        <w:ind w:left="4320" w:hanging="720"/>
      </w:pPr>
      <w:rPr>
        <w:rFonts w:cs="Times New Roman"/>
      </w:rPr>
    </w:lvl>
    <w:lvl w:ilvl="6">
      <w:start w:val="1"/>
      <w:numFmt w:val="lowerRoman"/>
      <w:pStyle w:val="Heading7"/>
      <w:lvlText w:val="(%7)"/>
      <w:lvlJc w:val="left"/>
      <w:pPr>
        <w:tabs>
          <w:tab w:val="num" w:pos="5040"/>
        </w:tabs>
        <w:ind w:left="4320"/>
      </w:pPr>
      <w:rPr>
        <w:rFonts w:cs="Times New Roman"/>
      </w:rPr>
    </w:lvl>
    <w:lvl w:ilvl="7">
      <w:start w:val="1"/>
      <w:numFmt w:val="lowerLetter"/>
      <w:pStyle w:val="Heading8"/>
      <w:lvlText w:val="(%8)"/>
      <w:lvlJc w:val="left"/>
      <w:pPr>
        <w:tabs>
          <w:tab w:val="num" w:pos="5400"/>
        </w:tabs>
        <w:ind w:left="5040"/>
      </w:pPr>
      <w:rPr>
        <w:rFonts w:cs="Times New Roman"/>
      </w:rPr>
    </w:lvl>
    <w:lvl w:ilvl="8">
      <w:start w:val="1"/>
      <w:numFmt w:val="lowerRoman"/>
      <w:pStyle w:val="Heading9"/>
      <w:lvlText w:val="(%9)"/>
      <w:lvlJc w:val="left"/>
      <w:pPr>
        <w:tabs>
          <w:tab w:val="num" w:pos="6480"/>
        </w:tabs>
        <w:ind w:left="5760"/>
      </w:pPr>
      <w:rPr>
        <w:rFonts w:cs="Times New Roman"/>
        <w:b/>
        <w:i w:val="0"/>
        <w:sz w:val="22"/>
      </w:rPr>
    </w:lvl>
  </w:abstractNum>
  <w:abstractNum w:abstractNumId="4">
    <w:nsid w:val="59BA0F8A"/>
    <w:multiLevelType w:val="singleLevel"/>
    <w:tmpl w:val="5E322D42"/>
    <w:lvl w:ilvl="0">
      <w:start w:val="1"/>
      <w:numFmt w:val="bullet"/>
      <w:pStyle w:val="Bullet"/>
      <w:lvlText w:val=""/>
      <w:lvlJc w:val="left"/>
      <w:pPr>
        <w:tabs>
          <w:tab w:val="num" w:pos="2520"/>
        </w:tabs>
        <w:ind w:left="2520" w:hanging="360"/>
      </w:pPr>
      <w:rPr>
        <w:rFonts w:ascii="Symbol" w:hAnsi="Symbol" w:hint="default"/>
        <w:color w:val="auto"/>
      </w:rPr>
    </w:lvl>
  </w:abstractNum>
  <w:num w:numId="1">
    <w:abstractNumId w:val="3"/>
  </w:num>
  <w:num w:numId="2">
    <w:abstractNumId w:val="4"/>
  </w:num>
  <w:num w:numId="3">
    <w:abstractNumId w:val="1"/>
  </w:num>
  <w:num w:numId="4">
    <w:abstractNumId w:val="2"/>
  </w:num>
  <w:num w:numId="5">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82D"/>
    <w:rsid w:val="00024D68"/>
    <w:rsid w:val="000268C2"/>
    <w:rsid w:val="0007740A"/>
    <w:rsid w:val="0008382D"/>
    <w:rsid w:val="00090D0A"/>
    <w:rsid w:val="000A2237"/>
    <w:rsid w:val="000A56C3"/>
    <w:rsid w:val="000B5B03"/>
    <w:rsid w:val="000E34A2"/>
    <w:rsid w:val="001148D5"/>
    <w:rsid w:val="00190A61"/>
    <w:rsid w:val="001D3743"/>
    <w:rsid w:val="001E0E83"/>
    <w:rsid w:val="001F2EB2"/>
    <w:rsid w:val="001F6AE0"/>
    <w:rsid w:val="00215094"/>
    <w:rsid w:val="00271A38"/>
    <w:rsid w:val="002C1697"/>
    <w:rsid w:val="002C1E3E"/>
    <w:rsid w:val="002C32B1"/>
    <w:rsid w:val="002D04BC"/>
    <w:rsid w:val="00316291"/>
    <w:rsid w:val="003208BA"/>
    <w:rsid w:val="00397634"/>
    <w:rsid w:val="003A501B"/>
    <w:rsid w:val="003B79DF"/>
    <w:rsid w:val="003D57D9"/>
    <w:rsid w:val="004409FC"/>
    <w:rsid w:val="004F3329"/>
    <w:rsid w:val="00525CF9"/>
    <w:rsid w:val="005700D5"/>
    <w:rsid w:val="0059244D"/>
    <w:rsid w:val="005C0238"/>
    <w:rsid w:val="005C76CC"/>
    <w:rsid w:val="005D3CD5"/>
    <w:rsid w:val="00665FCB"/>
    <w:rsid w:val="00676CDD"/>
    <w:rsid w:val="006B5FB1"/>
    <w:rsid w:val="006C240B"/>
    <w:rsid w:val="006D560C"/>
    <w:rsid w:val="007743D3"/>
    <w:rsid w:val="0078008D"/>
    <w:rsid w:val="00791BDB"/>
    <w:rsid w:val="00821B83"/>
    <w:rsid w:val="00841F34"/>
    <w:rsid w:val="008550D3"/>
    <w:rsid w:val="0088252F"/>
    <w:rsid w:val="00896CA9"/>
    <w:rsid w:val="0089782A"/>
    <w:rsid w:val="008F541E"/>
    <w:rsid w:val="008F58D7"/>
    <w:rsid w:val="009103BD"/>
    <w:rsid w:val="00932FAA"/>
    <w:rsid w:val="0094183D"/>
    <w:rsid w:val="009B232E"/>
    <w:rsid w:val="009C7207"/>
    <w:rsid w:val="009E2744"/>
    <w:rsid w:val="00A024ED"/>
    <w:rsid w:val="00A044B6"/>
    <w:rsid w:val="00A0720F"/>
    <w:rsid w:val="00A07AFC"/>
    <w:rsid w:val="00A30D4A"/>
    <w:rsid w:val="00A60389"/>
    <w:rsid w:val="00A678E7"/>
    <w:rsid w:val="00A76344"/>
    <w:rsid w:val="00A764B6"/>
    <w:rsid w:val="00A86E20"/>
    <w:rsid w:val="00B04EA1"/>
    <w:rsid w:val="00B5126E"/>
    <w:rsid w:val="00B612B8"/>
    <w:rsid w:val="00B6322C"/>
    <w:rsid w:val="00B72A72"/>
    <w:rsid w:val="00B74582"/>
    <w:rsid w:val="00B8478E"/>
    <w:rsid w:val="00BC06FC"/>
    <w:rsid w:val="00BF323D"/>
    <w:rsid w:val="00C0315B"/>
    <w:rsid w:val="00C063C5"/>
    <w:rsid w:val="00C1301C"/>
    <w:rsid w:val="00C533CB"/>
    <w:rsid w:val="00C621DF"/>
    <w:rsid w:val="00C6398B"/>
    <w:rsid w:val="00CE0836"/>
    <w:rsid w:val="00D04808"/>
    <w:rsid w:val="00D270C4"/>
    <w:rsid w:val="00D319AD"/>
    <w:rsid w:val="00DE047E"/>
    <w:rsid w:val="00DE2140"/>
    <w:rsid w:val="00DE2B9D"/>
    <w:rsid w:val="00DE2D07"/>
    <w:rsid w:val="00DE4D4B"/>
    <w:rsid w:val="00E00FFD"/>
    <w:rsid w:val="00E11C0B"/>
    <w:rsid w:val="00E132E8"/>
    <w:rsid w:val="00E1792A"/>
    <w:rsid w:val="00E32D48"/>
    <w:rsid w:val="00E53161"/>
    <w:rsid w:val="00E94E80"/>
    <w:rsid w:val="00EA4563"/>
    <w:rsid w:val="00EB5EC1"/>
    <w:rsid w:val="00EE647E"/>
    <w:rsid w:val="00F30CBD"/>
    <w:rsid w:val="00F3785A"/>
    <w:rsid w:val="00F76A94"/>
    <w:rsid w:val="00F932B0"/>
    <w:rsid w:val="00FB67DD"/>
    <w:rsid w:val="00FE7C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iPriority="0" w:unhideWhenUsed="1"/>
    <w:lsdException w:name="annotation text" w:unhideWhenUsed="1"/>
    <w:lsdException w:name="header" w:unhideWhenUsed="1"/>
    <w:lsdException w:name="footer" w:unhideWhenUsed="1"/>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uiPriority="0"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Pr>
      <w:sz w:val="22"/>
    </w:rPr>
  </w:style>
  <w:style w:type="paragraph" w:styleId="Heading1">
    <w:name w:val="heading 1"/>
    <w:basedOn w:val="Normal"/>
    <w:next w:val="ParaNum"/>
    <w:link w:val="Heading1Char"/>
    <w:uiPriority w:val="99"/>
    <w:qFormat/>
    <w:pPr>
      <w:keepNext/>
      <w:widowControl w:val="0"/>
      <w:numPr>
        <w:numId w:val="1"/>
      </w:numPr>
      <w:suppressAutoHyphens/>
      <w:spacing w:after="220"/>
      <w:jc w:val="both"/>
      <w:outlineLvl w:val="0"/>
    </w:pPr>
    <w:rPr>
      <w:b/>
      <w:caps/>
    </w:rPr>
  </w:style>
  <w:style w:type="paragraph" w:styleId="Heading2">
    <w:name w:val="heading 2"/>
    <w:basedOn w:val="Normal"/>
    <w:next w:val="ParaNum"/>
    <w:link w:val="Heading2Char"/>
    <w:uiPriority w:val="99"/>
    <w:qFormat/>
    <w:pPr>
      <w:keepNext/>
      <w:widowControl w:val="0"/>
      <w:numPr>
        <w:ilvl w:val="1"/>
        <w:numId w:val="1"/>
      </w:numPr>
      <w:spacing w:after="220"/>
      <w:jc w:val="both"/>
      <w:outlineLvl w:val="1"/>
    </w:pPr>
    <w:rPr>
      <w:b/>
    </w:rPr>
  </w:style>
  <w:style w:type="paragraph" w:styleId="Heading3">
    <w:name w:val="heading 3"/>
    <w:basedOn w:val="Normal"/>
    <w:next w:val="ParaNum"/>
    <w:link w:val="Heading3Char"/>
    <w:uiPriority w:val="99"/>
    <w:qFormat/>
    <w:pPr>
      <w:keepNext/>
      <w:widowControl w:val="0"/>
      <w:numPr>
        <w:ilvl w:val="2"/>
        <w:numId w:val="1"/>
      </w:numPr>
      <w:spacing w:after="220"/>
      <w:jc w:val="both"/>
      <w:outlineLvl w:val="2"/>
    </w:pPr>
    <w:rPr>
      <w:b/>
    </w:rPr>
  </w:style>
  <w:style w:type="paragraph" w:styleId="Heading4">
    <w:name w:val="heading 4"/>
    <w:basedOn w:val="Normal"/>
    <w:next w:val="ParaNum"/>
    <w:link w:val="Heading4Char"/>
    <w:uiPriority w:val="99"/>
    <w:qFormat/>
    <w:pPr>
      <w:keepNext/>
      <w:widowControl w:val="0"/>
      <w:numPr>
        <w:ilvl w:val="3"/>
        <w:numId w:val="1"/>
      </w:numPr>
      <w:spacing w:after="220"/>
      <w:jc w:val="both"/>
      <w:outlineLvl w:val="3"/>
    </w:pPr>
    <w:rPr>
      <w:b/>
    </w:rPr>
  </w:style>
  <w:style w:type="paragraph" w:styleId="Heading5">
    <w:name w:val="heading 5"/>
    <w:basedOn w:val="Normal"/>
    <w:next w:val="ParaNum"/>
    <w:link w:val="Heading5Char"/>
    <w:uiPriority w:val="99"/>
    <w:qFormat/>
    <w:pPr>
      <w:keepNext/>
      <w:widowControl w:val="0"/>
      <w:numPr>
        <w:ilvl w:val="4"/>
        <w:numId w:val="1"/>
      </w:numPr>
      <w:suppressAutoHyphens/>
      <w:spacing w:after="220"/>
      <w:jc w:val="both"/>
      <w:outlineLvl w:val="4"/>
    </w:pPr>
    <w:rPr>
      <w:b/>
    </w:rPr>
  </w:style>
  <w:style w:type="paragraph" w:styleId="Heading6">
    <w:name w:val="heading 6"/>
    <w:basedOn w:val="Normal"/>
    <w:next w:val="ParaNum"/>
    <w:link w:val="Heading6Char"/>
    <w:uiPriority w:val="99"/>
    <w:qFormat/>
    <w:pPr>
      <w:widowControl w:val="0"/>
      <w:numPr>
        <w:ilvl w:val="5"/>
        <w:numId w:val="1"/>
      </w:numPr>
      <w:spacing w:after="220"/>
      <w:jc w:val="both"/>
      <w:outlineLvl w:val="5"/>
    </w:pPr>
    <w:rPr>
      <w:b/>
    </w:rPr>
  </w:style>
  <w:style w:type="paragraph" w:styleId="Heading7">
    <w:name w:val="heading 7"/>
    <w:basedOn w:val="Normal"/>
    <w:next w:val="ParaNum"/>
    <w:link w:val="Heading7Char"/>
    <w:uiPriority w:val="99"/>
    <w:qFormat/>
    <w:pPr>
      <w:widowControl w:val="0"/>
      <w:numPr>
        <w:ilvl w:val="6"/>
        <w:numId w:val="1"/>
      </w:numPr>
      <w:spacing w:after="220"/>
      <w:jc w:val="both"/>
      <w:outlineLvl w:val="6"/>
    </w:pPr>
    <w:rPr>
      <w:b/>
    </w:rPr>
  </w:style>
  <w:style w:type="paragraph" w:styleId="Heading8">
    <w:name w:val="heading 8"/>
    <w:basedOn w:val="Normal"/>
    <w:next w:val="ParaNum"/>
    <w:link w:val="Heading8Char"/>
    <w:uiPriority w:val="99"/>
    <w:qFormat/>
    <w:pPr>
      <w:widowControl w:val="0"/>
      <w:numPr>
        <w:ilvl w:val="7"/>
        <w:numId w:val="1"/>
      </w:numPr>
      <w:spacing w:after="220"/>
      <w:jc w:val="both"/>
      <w:outlineLvl w:val="7"/>
    </w:pPr>
    <w:rPr>
      <w:b/>
    </w:rPr>
  </w:style>
  <w:style w:type="paragraph" w:styleId="Heading9">
    <w:name w:val="heading 9"/>
    <w:basedOn w:val="Normal"/>
    <w:next w:val="ParaNum"/>
    <w:link w:val="Heading9Char"/>
    <w:uiPriority w:val="99"/>
    <w:qFormat/>
    <w:pPr>
      <w:widowControl w:val="0"/>
      <w:numPr>
        <w:ilvl w:val="8"/>
        <w:numId w:val="1"/>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b/>
      <w:caps/>
      <w:sz w:val="22"/>
    </w:rPr>
  </w:style>
  <w:style w:type="character" w:customStyle="1" w:styleId="Heading2Char">
    <w:name w:val="Heading 2 Char"/>
    <w:link w:val="Heading2"/>
    <w:uiPriority w:val="99"/>
    <w:locked/>
    <w:rPr>
      <w:b/>
      <w:sz w:val="22"/>
    </w:rPr>
  </w:style>
  <w:style w:type="character" w:customStyle="1" w:styleId="Heading3Char">
    <w:name w:val="Heading 3 Char"/>
    <w:link w:val="Heading3"/>
    <w:uiPriority w:val="99"/>
    <w:locked/>
    <w:rPr>
      <w:b/>
      <w:sz w:val="22"/>
    </w:rPr>
  </w:style>
  <w:style w:type="character" w:customStyle="1" w:styleId="Heading4Char">
    <w:name w:val="Heading 4 Char"/>
    <w:link w:val="Heading4"/>
    <w:uiPriority w:val="99"/>
    <w:locked/>
    <w:rPr>
      <w:b/>
      <w:sz w:val="22"/>
    </w:rPr>
  </w:style>
  <w:style w:type="character" w:customStyle="1" w:styleId="Heading5Char">
    <w:name w:val="Heading 5 Char"/>
    <w:link w:val="Heading5"/>
    <w:uiPriority w:val="99"/>
    <w:locked/>
    <w:rPr>
      <w:b/>
      <w:sz w:val="22"/>
    </w:rPr>
  </w:style>
  <w:style w:type="character" w:customStyle="1" w:styleId="Heading6Char">
    <w:name w:val="Heading 6 Char"/>
    <w:link w:val="Heading6"/>
    <w:uiPriority w:val="99"/>
    <w:locked/>
    <w:rPr>
      <w:b/>
      <w:sz w:val="22"/>
    </w:rPr>
  </w:style>
  <w:style w:type="character" w:customStyle="1" w:styleId="Heading7Char">
    <w:name w:val="Heading 7 Char"/>
    <w:link w:val="Heading7"/>
    <w:uiPriority w:val="99"/>
    <w:locked/>
    <w:rPr>
      <w:b/>
      <w:sz w:val="22"/>
    </w:rPr>
  </w:style>
  <w:style w:type="character" w:customStyle="1" w:styleId="Heading8Char">
    <w:name w:val="Heading 8 Char"/>
    <w:link w:val="Heading8"/>
    <w:uiPriority w:val="99"/>
    <w:locked/>
    <w:rPr>
      <w:b/>
      <w:sz w:val="22"/>
    </w:rPr>
  </w:style>
  <w:style w:type="character" w:customStyle="1" w:styleId="Heading9Char">
    <w:name w:val="Heading 9 Char"/>
    <w:link w:val="Heading9"/>
    <w:uiPriority w:val="99"/>
    <w:locked/>
    <w:rPr>
      <w:b/>
      <w:sz w:val="22"/>
    </w:rPr>
  </w:style>
  <w:style w:type="paragraph" w:styleId="Caption">
    <w:name w:val="caption"/>
    <w:basedOn w:val="Normal"/>
    <w:next w:val="Normal"/>
    <w:uiPriority w:val="99"/>
    <w:qFormat/>
    <w:pPr>
      <w:spacing w:before="120" w:after="120"/>
    </w:pPr>
    <w:rPr>
      <w:b/>
    </w:rPr>
  </w:style>
  <w:style w:type="paragraph" w:customStyle="1" w:styleId="ParaNum">
    <w:name w:val="ParaNum"/>
    <w:basedOn w:val="Normal"/>
    <w:pPr>
      <w:widowControl w:val="0"/>
      <w:numPr>
        <w:numId w:val="3"/>
      </w:numPr>
      <w:tabs>
        <w:tab w:val="left" w:pos="1440"/>
      </w:tabs>
      <w:spacing w:after="220"/>
      <w:jc w:val="both"/>
    </w:pPr>
  </w:style>
  <w:style w:type="paragraph" w:styleId="FootnoteText">
    <w:name w:val="footnote text"/>
    <w:aliases w:val="Footnote Text Char,Footnote Text Char2 Char,Footnote Text Char1 Char Char,Footnote Text Char Char Char Char,Footnote Text Char1 Char2 Char Char Char,Footnote Text Char1 Char Char Char Char Char Char,ALTS FOOTNOTE,fn,Footnote Text Char1"/>
    <w:basedOn w:val="Normal"/>
    <w:link w:val="FootnoteTextChar2"/>
    <w:pPr>
      <w:tabs>
        <w:tab w:val="left" w:pos="180"/>
        <w:tab w:val="left" w:pos="720"/>
        <w:tab w:val="left" w:pos="1440"/>
        <w:tab w:val="left" w:pos="2160"/>
      </w:tabs>
      <w:spacing w:after="120"/>
      <w:jc w:val="both"/>
    </w:pPr>
    <w:rPr>
      <w:sz w:val="20"/>
    </w:rPr>
  </w:style>
  <w:style w:type="character" w:customStyle="1" w:styleId="FootnoteTextChar2">
    <w:name w:val="Footnote Text Char2"/>
    <w:aliases w:val="Footnote Text Char Char,Footnote Text Char2 Char Char,Footnote Text Char1 Char Char Char,Footnote Text Char Char Char Char Char,Footnote Text Char1 Char2 Char Char Char Char,Footnote Text Char1 Char Char Char Char Char Char Char"/>
    <w:link w:val="FootnoteText"/>
    <w:locked/>
    <w:rPr>
      <w:rFonts w:cs="Times New Roman"/>
    </w:rPr>
  </w:style>
  <w:style w:type="paragraph" w:customStyle="1" w:styleId="Bullet">
    <w:name w:val="Bullet"/>
    <w:basedOn w:val="Normal"/>
    <w:uiPriority w:val="99"/>
    <w:pPr>
      <w:widowControl w:val="0"/>
      <w:numPr>
        <w:numId w:val="2"/>
      </w:numPr>
      <w:spacing w:after="220"/>
      <w:ind w:left="2160" w:hanging="720"/>
      <w:jc w:val="both"/>
    </w:pPr>
  </w:style>
  <w:style w:type="paragraph" w:styleId="BlockText">
    <w:name w:val="Block Text"/>
    <w:basedOn w:val="Normal"/>
    <w:uiPriority w:val="99"/>
    <w:pPr>
      <w:widowControl w:val="0"/>
      <w:spacing w:after="220"/>
      <w:ind w:left="1440" w:right="1440"/>
      <w:jc w:val="both"/>
    </w:pPr>
  </w:style>
  <w:style w:type="paragraph" w:customStyle="1" w:styleId="TableFormat">
    <w:name w:val="TableFormat"/>
    <w:basedOn w:val="Normal"/>
    <w:uiPriority w:val="99"/>
    <w:pPr>
      <w:widowControl w:val="0"/>
      <w:tabs>
        <w:tab w:val="left" w:pos="5040"/>
      </w:tabs>
      <w:spacing w:after="220"/>
      <w:ind w:left="5040" w:hanging="3600"/>
      <w:jc w:val="both"/>
    </w:pPr>
  </w:style>
  <w:style w:type="character" w:styleId="FootnoteReference">
    <w:name w:val="footnote reference"/>
    <w:aliases w:val="Appel note de bas de p,Style 12,(NECG) Footnote Reference,Style 13,Style 124,fr,o,Style 3,FR,Style 17,Style 6,Footnote Reference/"/>
    <w:rPr>
      <w:rFonts w:cs="Times New Roman"/>
      <w:vertAlign w:val="superscript"/>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semiHidden/>
    <w:locked/>
    <w:rPr>
      <w:rFonts w:cs="Times New Roman"/>
      <w:sz w:val="22"/>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semiHidden/>
    <w:locked/>
    <w:rPr>
      <w:rFonts w:cs="Times New Roman"/>
      <w:sz w:val="22"/>
    </w:rPr>
  </w:style>
  <w:style w:type="paragraph" w:styleId="TOC2">
    <w:name w:val="toc 2"/>
    <w:basedOn w:val="Normal"/>
    <w:next w:val="Normal"/>
    <w:uiPriority w:val="99"/>
    <w:semiHidden/>
    <w:pPr>
      <w:widowControl w:val="0"/>
      <w:tabs>
        <w:tab w:val="left" w:pos="1440"/>
        <w:tab w:val="right" w:leader="dot" w:pos="9360"/>
      </w:tabs>
      <w:suppressAutoHyphens/>
      <w:spacing w:before="220"/>
      <w:ind w:left="1440" w:right="720" w:hanging="720"/>
      <w:jc w:val="both"/>
    </w:pPr>
  </w:style>
  <w:style w:type="paragraph" w:customStyle="1" w:styleId="NumberedList">
    <w:name w:val="Numbered List"/>
    <w:basedOn w:val="Normal"/>
    <w:uiPriority w:val="99"/>
    <w:pPr>
      <w:numPr>
        <w:numId w:val="4"/>
      </w:numPr>
      <w:spacing w:after="220"/>
    </w:pPr>
  </w:style>
  <w:style w:type="paragraph" w:styleId="TOC1">
    <w:name w:val="toc 1"/>
    <w:basedOn w:val="Normal"/>
    <w:next w:val="Normal"/>
    <w:uiPriority w:val="99"/>
    <w:semiHidden/>
    <w:pPr>
      <w:widowControl w:val="0"/>
      <w:tabs>
        <w:tab w:val="right" w:leader="dot" w:pos="9360"/>
      </w:tabs>
      <w:suppressAutoHyphens/>
      <w:spacing w:before="220"/>
      <w:ind w:left="720" w:right="720" w:hanging="720"/>
      <w:jc w:val="both"/>
    </w:pPr>
    <w:rPr>
      <w:caps/>
    </w:rPr>
  </w:style>
  <w:style w:type="paragraph" w:styleId="TOC3">
    <w:name w:val="toc 3"/>
    <w:basedOn w:val="Normal"/>
    <w:next w:val="Normal"/>
    <w:uiPriority w:val="99"/>
    <w:semiHidden/>
    <w:pPr>
      <w:widowControl w:val="0"/>
      <w:tabs>
        <w:tab w:val="left" w:pos="2160"/>
        <w:tab w:val="right" w:leader="dot" w:pos="9360"/>
      </w:tabs>
      <w:suppressAutoHyphens/>
      <w:ind w:left="2160" w:right="720" w:hanging="720"/>
      <w:jc w:val="both"/>
    </w:pPr>
  </w:style>
  <w:style w:type="paragraph" w:styleId="TOC4">
    <w:name w:val="toc 4"/>
    <w:basedOn w:val="Normal"/>
    <w:next w:val="Normal"/>
    <w:uiPriority w:val="99"/>
    <w:semiHidden/>
    <w:pPr>
      <w:widowControl w:val="0"/>
      <w:tabs>
        <w:tab w:val="left" w:pos="2880"/>
        <w:tab w:val="right" w:leader="dot" w:pos="9360"/>
      </w:tabs>
      <w:suppressAutoHyphens/>
      <w:ind w:left="2880" w:right="720" w:hanging="720"/>
      <w:jc w:val="both"/>
    </w:pPr>
  </w:style>
  <w:style w:type="paragraph" w:styleId="TOC5">
    <w:name w:val="toc 5"/>
    <w:basedOn w:val="Normal"/>
    <w:next w:val="Normal"/>
    <w:uiPriority w:val="99"/>
    <w:semiHidden/>
    <w:pPr>
      <w:widowControl w:val="0"/>
      <w:tabs>
        <w:tab w:val="left" w:pos="3600"/>
        <w:tab w:val="right" w:leader="dot" w:pos="9360"/>
      </w:tabs>
      <w:suppressAutoHyphens/>
      <w:ind w:left="3600" w:right="720" w:hanging="720"/>
      <w:jc w:val="both"/>
    </w:pPr>
  </w:style>
  <w:style w:type="paragraph" w:styleId="TOC6">
    <w:name w:val="toc 6"/>
    <w:basedOn w:val="Normal"/>
    <w:next w:val="Normal"/>
    <w:uiPriority w:val="99"/>
    <w:semiHidden/>
    <w:pPr>
      <w:widowControl w:val="0"/>
      <w:tabs>
        <w:tab w:val="left" w:leader="dot" w:pos="9360"/>
      </w:tabs>
      <w:suppressAutoHyphens/>
      <w:ind w:left="720" w:hanging="720"/>
      <w:jc w:val="both"/>
    </w:pPr>
  </w:style>
  <w:style w:type="paragraph" w:styleId="TOC7">
    <w:name w:val="toc 7"/>
    <w:basedOn w:val="Normal"/>
    <w:next w:val="Normal"/>
    <w:uiPriority w:val="99"/>
    <w:semiHidden/>
    <w:pPr>
      <w:widowControl w:val="0"/>
      <w:tabs>
        <w:tab w:val="left" w:leader="dot" w:pos="9360"/>
      </w:tabs>
      <w:suppressAutoHyphens/>
      <w:ind w:left="720" w:hanging="720"/>
      <w:jc w:val="both"/>
    </w:pPr>
  </w:style>
  <w:style w:type="paragraph" w:styleId="TOC8">
    <w:name w:val="toc 8"/>
    <w:basedOn w:val="Normal"/>
    <w:next w:val="Normal"/>
    <w:uiPriority w:val="99"/>
    <w:semiHidden/>
    <w:pPr>
      <w:widowControl w:val="0"/>
      <w:tabs>
        <w:tab w:val="left" w:leader="dot" w:pos="9360"/>
      </w:tabs>
      <w:suppressAutoHyphens/>
      <w:ind w:left="720" w:hanging="720"/>
      <w:jc w:val="both"/>
    </w:pPr>
  </w:style>
  <w:style w:type="paragraph" w:styleId="TOC9">
    <w:name w:val="toc 9"/>
    <w:basedOn w:val="Normal"/>
    <w:next w:val="Normal"/>
    <w:uiPriority w:val="99"/>
    <w:semiHidden/>
    <w:pPr>
      <w:tabs>
        <w:tab w:val="left" w:leader="dot" w:pos="9360"/>
      </w:tabs>
      <w:ind w:left="720" w:hanging="720"/>
      <w:jc w:val="both"/>
    </w:pPr>
  </w:style>
  <w:style w:type="character" w:styleId="PageNumber">
    <w:name w:val="page number"/>
    <w:uiPriority w:val="99"/>
    <w:rPr>
      <w:rFonts w:cs="Times New Roman"/>
    </w:rPr>
  </w:style>
  <w:style w:type="paragraph" w:styleId="Title">
    <w:name w:val="Title"/>
    <w:basedOn w:val="Normal"/>
    <w:link w:val="TitleChar"/>
    <w:uiPriority w:val="99"/>
    <w:qFormat/>
    <w:pPr>
      <w:jc w:val="center"/>
    </w:pPr>
    <w:rPr>
      <w:b/>
    </w:rPr>
  </w:style>
  <w:style w:type="character" w:customStyle="1" w:styleId="TitleChar">
    <w:name w:val="Title Char"/>
    <w:link w:val="Title"/>
    <w:uiPriority w:val="99"/>
    <w:locked/>
    <w:rPr>
      <w:rFonts w:ascii="Cambria" w:hAnsi="Cambria" w:cs="Times New Roman"/>
      <w:b/>
      <w:bCs/>
      <w:kern w:val="28"/>
      <w:sz w:val="32"/>
      <w:szCs w:val="32"/>
    </w:rPr>
  </w:style>
  <w:style w:type="table" w:styleId="TableGrid">
    <w:name w:val="Table Grid"/>
    <w:basedOn w:val="TableNormal"/>
    <w:uiPriority w:val="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semiHidden/>
    <w:rPr>
      <w:rFonts w:cs="Times New Roman"/>
      <w:sz w:val="16"/>
    </w:rPr>
  </w:style>
  <w:style w:type="paragraph" w:styleId="CommentText">
    <w:name w:val="annotation text"/>
    <w:basedOn w:val="Normal"/>
    <w:link w:val="CommentTextChar"/>
    <w:uiPriority w:val="99"/>
    <w:semiHidden/>
    <w:rPr>
      <w:sz w:val="20"/>
    </w:rPr>
  </w:style>
  <w:style w:type="character" w:customStyle="1" w:styleId="CommentTextChar">
    <w:name w:val="Comment Text Char"/>
    <w:link w:val="CommentText"/>
    <w:uiPriority w:val="99"/>
    <w:semiHidden/>
    <w:locked/>
    <w:rPr>
      <w:rFonts w:cs="Times New Roman"/>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link w:val="CommentSubject"/>
    <w:uiPriority w:val="99"/>
    <w:semiHidden/>
    <w:locked/>
    <w:rPr>
      <w:rFonts w:cs="Times New Roman"/>
      <w:b/>
      <w:bCs/>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locked/>
    <w:rPr>
      <w:rFonts w:cs="Times New Roman"/>
      <w:sz w:val="2"/>
    </w:rPr>
  </w:style>
  <w:style w:type="paragraph" w:styleId="BodyText">
    <w:name w:val="Body Text"/>
    <w:basedOn w:val="Normal"/>
    <w:link w:val="BodyTextChar"/>
    <w:uiPriority w:val="99"/>
    <w:pPr>
      <w:spacing w:after="120"/>
    </w:pPr>
    <w:rPr>
      <w:szCs w:val="22"/>
    </w:rPr>
  </w:style>
  <w:style w:type="character" w:customStyle="1" w:styleId="BodyTextChar">
    <w:name w:val="Body Text Char"/>
    <w:link w:val="BodyText"/>
    <w:uiPriority w:val="99"/>
    <w:semiHidden/>
    <w:locked/>
    <w:rPr>
      <w:rFonts w:cs="Times New Roman"/>
      <w:sz w:val="22"/>
    </w:rPr>
  </w:style>
  <w:style w:type="character" w:styleId="Hyperlink">
    <w:name w:val="Hyperlink"/>
    <w:uiPriority w:val="99"/>
    <w:rPr>
      <w:rFonts w:cs="Times New Roman"/>
      <w:color w:val="0000FF"/>
      <w:u w:val="single"/>
    </w:rPr>
  </w:style>
  <w:style w:type="character" w:customStyle="1" w:styleId="documentbody1">
    <w:name w:val="documentbody1"/>
    <w:uiPriority w:val="99"/>
    <w:rPr>
      <w:rFonts w:ascii="Verdana" w:hAnsi="Verdana"/>
      <w:sz w:val="19"/>
      <w:shd w:val="clear" w:color="auto" w:fill="FFFFFF"/>
    </w:rPr>
  </w:style>
  <w:style w:type="character" w:customStyle="1" w:styleId="searchterm3">
    <w:name w:val="searchterm3"/>
    <w:uiPriority w:val="99"/>
    <w:rPr>
      <w:rFonts w:ascii="Verdana" w:hAnsi="Verdana"/>
      <w:b/>
      <w:color w:val="000099"/>
      <w:sz w:val="19"/>
      <w:shd w:val="clear" w:color="auto" w:fill="FFFF00"/>
    </w:rPr>
  </w:style>
  <w:style w:type="paragraph" w:styleId="DocumentMap">
    <w:name w:val="Document Map"/>
    <w:basedOn w:val="Normal"/>
    <w:link w:val="DocumentMapChar"/>
    <w:uiPriority w:val="99"/>
    <w:semiHidden/>
    <w:pPr>
      <w:shd w:val="clear" w:color="auto" w:fill="000080"/>
    </w:pPr>
    <w:rPr>
      <w:rFonts w:ascii="Tahoma" w:hAnsi="Tahoma" w:cs="Tahoma"/>
      <w:sz w:val="20"/>
    </w:rPr>
  </w:style>
  <w:style w:type="character" w:customStyle="1" w:styleId="DocumentMapChar">
    <w:name w:val="Document Map Char"/>
    <w:link w:val="DocumentMap"/>
    <w:uiPriority w:val="99"/>
    <w:semiHidden/>
    <w:locked/>
    <w:rPr>
      <w:rFonts w:cs="Times New Roman"/>
      <w:sz w:val="2"/>
    </w:rPr>
  </w:style>
  <w:style w:type="character" w:customStyle="1" w:styleId="h2">
    <w:name w:val="h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iPriority="0" w:unhideWhenUsed="1"/>
    <w:lsdException w:name="annotation text" w:unhideWhenUsed="1"/>
    <w:lsdException w:name="header" w:unhideWhenUsed="1"/>
    <w:lsdException w:name="footer" w:unhideWhenUsed="1"/>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uiPriority="0"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Pr>
      <w:sz w:val="22"/>
    </w:rPr>
  </w:style>
  <w:style w:type="paragraph" w:styleId="Heading1">
    <w:name w:val="heading 1"/>
    <w:basedOn w:val="Normal"/>
    <w:next w:val="ParaNum"/>
    <w:link w:val="Heading1Char"/>
    <w:uiPriority w:val="99"/>
    <w:qFormat/>
    <w:pPr>
      <w:keepNext/>
      <w:widowControl w:val="0"/>
      <w:numPr>
        <w:numId w:val="1"/>
      </w:numPr>
      <w:suppressAutoHyphens/>
      <w:spacing w:after="220"/>
      <w:jc w:val="both"/>
      <w:outlineLvl w:val="0"/>
    </w:pPr>
    <w:rPr>
      <w:b/>
      <w:caps/>
    </w:rPr>
  </w:style>
  <w:style w:type="paragraph" w:styleId="Heading2">
    <w:name w:val="heading 2"/>
    <w:basedOn w:val="Normal"/>
    <w:next w:val="ParaNum"/>
    <w:link w:val="Heading2Char"/>
    <w:uiPriority w:val="99"/>
    <w:qFormat/>
    <w:pPr>
      <w:keepNext/>
      <w:widowControl w:val="0"/>
      <w:numPr>
        <w:ilvl w:val="1"/>
        <w:numId w:val="1"/>
      </w:numPr>
      <w:spacing w:after="220"/>
      <w:jc w:val="both"/>
      <w:outlineLvl w:val="1"/>
    </w:pPr>
    <w:rPr>
      <w:b/>
    </w:rPr>
  </w:style>
  <w:style w:type="paragraph" w:styleId="Heading3">
    <w:name w:val="heading 3"/>
    <w:basedOn w:val="Normal"/>
    <w:next w:val="ParaNum"/>
    <w:link w:val="Heading3Char"/>
    <w:uiPriority w:val="99"/>
    <w:qFormat/>
    <w:pPr>
      <w:keepNext/>
      <w:widowControl w:val="0"/>
      <w:numPr>
        <w:ilvl w:val="2"/>
        <w:numId w:val="1"/>
      </w:numPr>
      <w:spacing w:after="220"/>
      <w:jc w:val="both"/>
      <w:outlineLvl w:val="2"/>
    </w:pPr>
    <w:rPr>
      <w:b/>
    </w:rPr>
  </w:style>
  <w:style w:type="paragraph" w:styleId="Heading4">
    <w:name w:val="heading 4"/>
    <w:basedOn w:val="Normal"/>
    <w:next w:val="ParaNum"/>
    <w:link w:val="Heading4Char"/>
    <w:uiPriority w:val="99"/>
    <w:qFormat/>
    <w:pPr>
      <w:keepNext/>
      <w:widowControl w:val="0"/>
      <w:numPr>
        <w:ilvl w:val="3"/>
        <w:numId w:val="1"/>
      </w:numPr>
      <w:spacing w:after="220"/>
      <w:jc w:val="both"/>
      <w:outlineLvl w:val="3"/>
    </w:pPr>
    <w:rPr>
      <w:b/>
    </w:rPr>
  </w:style>
  <w:style w:type="paragraph" w:styleId="Heading5">
    <w:name w:val="heading 5"/>
    <w:basedOn w:val="Normal"/>
    <w:next w:val="ParaNum"/>
    <w:link w:val="Heading5Char"/>
    <w:uiPriority w:val="99"/>
    <w:qFormat/>
    <w:pPr>
      <w:keepNext/>
      <w:widowControl w:val="0"/>
      <w:numPr>
        <w:ilvl w:val="4"/>
        <w:numId w:val="1"/>
      </w:numPr>
      <w:suppressAutoHyphens/>
      <w:spacing w:after="220"/>
      <w:jc w:val="both"/>
      <w:outlineLvl w:val="4"/>
    </w:pPr>
    <w:rPr>
      <w:b/>
    </w:rPr>
  </w:style>
  <w:style w:type="paragraph" w:styleId="Heading6">
    <w:name w:val="heading 6"/>
    <w:basedOn w:val="Normal"/>
    <w:next w:val="ParaNum"/>
    <w:link w:val="Heading6Char"/>
    <w:uiPriority w:val="99"/>
    <w:qFormat/>
    <w:pPr>
      <w:widowControl w:val="0"/>
      <w:numPr>
        <w:ilvl w:val="5"/>
        <w:numId w:val="1"/>
      </w:numPr>
      <w:spacing w:after="220"/>
      <w:jc w:val="both"/>
      <w:outlineLvl w:val="5"/>
    </w:pPr>
    <w:rPr>
      <w:b/>
    </w:rPr>
  </w:style>
  <w:style w:type="paragraph" w:styleId="Heading7">
    <w:name w:val="heading 7"/>
    <w:basedOn w:val="Normal"/>
    <w:next w:val="ParaNum"/>
    <w:link w:val="Heading7Char"/>
    <w:uiPriority w:val="99"/>
    <w:qFormat/>
    <w:pPr>
      <w:widowControl w:val="0"/>
      <w:numPr>
        <w:ilvl w:val="6"/>
        <w:numId w:val="1"/>
      </w:numPr>
      <w:spacing w:after="220"/>
      <w:jc w:val="both"/>
      <w:outlineLvl w:val="6"/>
    </w:pPr>
    <w:rPr>
      <w:b/>
    </w:rPr>
  </w:style>
  <w:style w:type="paragraph" w:styleId="Heading8">
    <w:name w:val="heading 8"/>
    <w:basedOn w:val="Normal"/>
    <w:next w:val="ParaNum"/>
    <w:link w:val="Heading8Char"/>
    <w:uiPriority w:val="99"/>
    <w:qFormat/>
    <w:pPr>
      <w:widowControl w:val="0"/>
      <w:numPr>
        <w:ilvl w:val="7"/>
        <w:numId w:val="1"/>
      </w:numPr>
      <w:spacing w:after="220"/>
      <w:jc w:val="both"/>
      <w:outlineLvl w:val="7"/>
    </w:pPr>
    <w:rPr>
      <w:b/>
    </w:rPr>
  </w:style>
  <w:style w:type="paragraph" w:styleId="Heading9">
    <w:name w:val="heading 9"/>
    <w:basedOn w:val="Normal"/>
    <w:next w:val="ParaNum"/>
    <w:link w:val="Heading9Char"/>
    <w:uiPriority w:val="99"/>
    <w:qFormat/>
    <w:pPr>
      <w:widowControl w:val="0"/>
      <w:numPr>
        <w:ilvl w:val="8"/>
        <w:numId w:val="1"/>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b/>
      <w:caps/>
      <w:sz w:val="22"/>
    </w:rPr>
  </w:style>
  <w:style w:type="character" w:customStyle="1" w:styleId="Heading2Char">
    <w:name w:val="Heading 2 Char"/>
    <w:link w:val="Heading2"/>
    <w:uiPriority w:val="99"/>
    <w:locked/>
    <w:rPr>
      <w:b/>
      <w:sz w:val="22"/>
    </w:rPr>
  </w:style>
  <w:style w:type="character" w:customStyle="1" w:styleId="Heading3Char">
    <w:name w:val="Heading 3 Char"/>
    <w:link w:val="Heading3"/>
    <w:uiPriority w:val="99"/>
    <w:locked/>
    <w:rPr>
      <w:b/>
      <w:sz w:val="22"/>
    </w:rPr>
  </w:style>
  <w:style w:type="character" w:customStyle="1" w:styleId="Heading4Char">
    <w:name w:val="Heading 4 Char"/>
    <w:link w:val="Heading4"/>
    <w:uiPriority w:val="99"/>
    <w:locked/>
    <w:rPr>
      <w:b/>
      <w:sz w:val="22"/>
    </w:rPr>
  </w:style>
  <w:style w:type="character" w:customStyle="1" w:styleId="Heading5Char">
    <w:name w:val="Heading 5 Char"/>
    <w:link w:val="Heading5"/>
    <w:uiPriority w:val="99"/>
    <w:locked/>
    <w:rPr>
      <w:b/>
      <w:sz w:val="22"/>
    </w:rPr>
  </w:style>
  <w:style w:type="character" w:customStyle="1" w:styleId="Heading6Char">
    <w:name w:val="Heading 6 Char"/>
    <w:link w:val="Heading6"/>
    <w:uiPriority w:val="99"/>
    <w:locked/>
    <w:rPr>
      <w:b/>
      <w:sz w:val="22"/>
    </w:rPr>
  </w:style>
  <w:style w:type="character" w:customStyle="1" w:styleId="Heading7Char">
    <w:name w:val="Heading 7 Char"/>
    <w:link w:val="Heading7"/>
    <w:uiPriority w:val="99"/>
    <w:locked/>
    <w:rPr>
      <w:b/>
      <w:sz w:val="22"/>
    </w:rPr>
  </w:style>
  <w:style w:type="character" w:customStyle="1" w:styleId="Heading8Char">
    <w:name w:val="Heading 8 Char"/>
    <w:link w:val="Heading8"/>
    <w:uiPriority w:val="99"/>
    <w:locked/>
    <w:rPr>
      <w:b/>
      <w:sz w:val="22"/>
    </w:rPr>
  </w:style>
  <w:style w:type="character" w:customStyle="1" w:styleId="Heading9Char">
    <w:name w:val="Heading 9 Char"/>
    <w:link w:val="Heading9"/>
    <w:uiPriority w:val="99"/>
    <w:locked/>
    <w:rPr>
      <w:b/>
      <w:sz w:val="22"/>
    </w:rPr>
  </w:style>
  <w:style w:type="paragraph" w:styleId="Caption">
    <w:name w:val="caption"/>
    <w:basedOn w:val="Normal"/>
    <w:next w:val="Normal"/>
    <w:uiPriority w:val="99"/>
    <w:qFormat/>
    <w:pPr>
      <w:spacing w:before="120" w:after="120"/>
    </w:pPr>
    <w:rPr>
      <w:b/>
    </w:rPr>
  </w:style>
  <w:style w:type="paragraph" w:customStyle="1" w:styleId="ParaNum">
    <w:name w:val="ParaNum"/>
    <w:basedOn w:val="Normal"/>
    <w:pPr>
      <w:widowControl w:val="0"/>
      <w:numPr>
        <w:numId w:val="3"/>
      </w:numPr>
      <w:tabs>
        <w:tab w:val="left" w:pos="1440"/>
      </w:tabs>
      <w:spacing w:after="220"/>
      <w:jc w:val="both"/>
    </w:pPr>
  </w:style>
  <w:style w:type="paragraph" w:styleId="FootnoteText">
    <w:name w:val="footnote text"/>
    <w:aliases w:val="Footnote Text Char,Footnote Text Char2 Char,Footnote Text Char1 Char Char,Footnote Text Char Char Char Char,Footnote Text Char1 Char2 Char Char Char,Footnote Text Char1 Char Char Char Char Char Char,ALTS FOOTNOTE,fn,Footnote Text Char1"/>
    <w:basedOn w:val="Normal"/>
    <w:link w:val="FootnoteTextChar2"/>
    <w:pPr>
      <w:tabs>
        <w:tab w:val="left" w:pos="180"/>
        <w:tab w:val="left" w:pos="720"/>
        <w:tab w:val="left" w:pos="1440"/>
        <w:tab w:val="left" w:pos="2160"/>
      </w:tabs>
      <w:spacing w:after="120"/>
      <w:jc w:val="both"/>
    </w:pPr>
    <w:rPr>
      <w:sz w:val="20"/>
    </w:rPr>
  </w:style>
  <w:style w:type="character" w:customStyle="1" w:styleId="FootnoteTextChar2">
    <w:name w:val="Footnote Text Char2"/>
    <w:aliases w:val="Footnote Text Char Char,Footnote Text Char2 Char Char,Footnote Text Char1 Char Char Char,Footnote Text Char Char Char Char Char,Footnote Text Char1 Char2 Char Char Char Char,Footnote Text Char1 Char Char Char Char Char Char Char"/>
    <w:link w:val="FootnoteText"/>
    <w:locked/>
    <w:rPr>
      <w:rFonts w:cs="Times New Roman"/>
    </w:rPr>
  </w:style>
  <w:style w:type="paragraph" w:customStyle="1" w:styleId="Bullet">
    <w:name w:val="Bullet"/>
    <w:basedOn w:val="Normal"/>
    <w:uiPriority w:val="99"/>
    <w:pPr>
      <w:widowControl w:val="0"/>
      <w:numPr>
        <w:numId w:val="2"/>
      </w:numPr>
      <w:spacing w:after="220"/>
      <w:ind w:left="2160" w:hanging="720"/>
      <w:jc w:val="both"/>
    </w:pPr>
  </w:style>
  <w:style w:type="paragraph" w:styleId="BlockText">
    <w:name w:val="Block Text"/>
    <w:basedOn w:val="Normal"/>
    <w:uiPriority w:val="99"/>
    <w:pPr>
      <w:widowControl w:val="0"/>
      <w:spacing w:after="220"/>
      <w:ind w:left="1440" w:right="1440"/>
      <w:jc w:val="both"/>
    </w:pPr>
  </w:style>
  <w:style w:type="paragraph" w:customStyle="1" w:styleId="TableFormat">
    <w:name w:val="TableFormat"/>
    <w:basedOn w:val="Normal"/>
    <w:uiPriority w:val="99"/>
    <w:pPr>
      <w:widowControl w:val="0"/>
      <w:tabs>
        <w:tab w:val="left" w:pos="5040"/>
      </w:tabs>
      <w:spacing w:after="220"/>
      <w:ind w:left="5040" w:hanging="3600"/>
      <w:jc w:val="both"/>
    </w:pPr>
  </w:style>
  <w:style w:type="character" w:styleId="FootnoteReference">
    <w:name w:val="footnote reference"/>
    <w:aliases w:val="Appel note de bas de p,Style 12,(NECG) Footnote Reference,Style 13,Style 124,fr,o,Style 3,FR,Style 17,Style 6,Footnote Reference/"/>
    <w:rPr>
      <w:rFonts w:cs="Times New Roman"/>
      <w:vertAlign w:val="superscript"/>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semiHidden/>
    <w:locked/>
    <w:rPr>
      <w:rFonts w:cs="Times New Roman"/>
      <w:sz w:val="22"/>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semiHidden/>
    <w:locked/>
    <w:rPr>
      <w:rFonts w:cs="Times New Roman"/>
      <w:sz w:val="22"/>
    </w:rPr>
  </w:style>
  <w:style w:type="paragraph" w:styleId="TOC2">
    <w:name w:val="toc 2"/>
    <w:basedOn w:val="Normal"/>
    <w:next w:val="Normal"/>
    <w:uiPriority w:val="99"/>
    <w:semiHidden/>
    <w:pPr>
      <w:widowControl w:val="0"/>
      <w:tabs>
        <w:tab w:val="left" w:pos="1440"/>
        <w:tab w:val="right" w:leader="dot" w:pos="9360"/>
      </w:tabs>
      <w:suppressAutoHyphens/>
      <w:spacing w:before="220"/>
      <w:ind w:left="1440" w:right="720" w:hanging="720"/>
      <w:jc w:val="both"/>
    </w:pPr>
  </w:style>
  <w:style w:type="paragraph" w:customStyle="1" w:styleId="NumberedList">
    <w:name w:val="Numbered List"/>
    <w:basedOn w:val="Normal"/>
    <w:uiPriority w:val="99"/>
    <w:pPr>
      <w:numPr>
        <w:numId w:val="4"/>
      </w:numPr>
      <w:spacing w:after="220"/>
    </w:pPr>
  </w:style>
  <w:style w:type="paragraph" w:styleId="TOC1">
    <w:name w:val="toc 1"/>
    <w:basedOn w:val="Normal"/>
    <w:next w:val="Normal"/>
    <w:uiPriority w:val="99"/>
    <w:semiHidden/>
    <w:pPr>
      <w:widowControl w:val="0"/>
      <w:tabs>
        <w:tab w:val="right" w:leader="dot" w:pos="9360"/>
      </w:tabs>
      <w:suppressAutoHyphens/>
      <w:spacing w:before="220"/>
      <w:ind w:left="720" w:right="720" w:hanging="720"/>
      <w:jc w:val="both"/>
    </w:pPr>
    <w:rPr>
      <w:caps/>
    </w:rPr>
  </w:style>
  <w:style w:type="paragraph" w:styleId="TOC3">
    <w:name w:val="toc 3"/>
    <w:basedOn w:val="Normal"/>
    <w:next w:val="Normal"/>
    <w:uiPriority w:val="99"/>
    <w:semiHidden/>
    <w:pPr>
      <w:widowControl w:val="0"/>
      <w:tabs>
        <w:tab w:val="left" w:pos="2160"/>
        <w:tab w:val="right" w:leader="dot" w:pos="9360"/>
      </w:tabs>
      <w:suppressAutoHyphens/>
      <w:ind w:left="2160" w:right="720" w:hanging="720"/>
      <w:jc w:val="both"/>
    </w:pPr>
  </w:style>
  <w:style w:type="paragraph" w:styleId="TOC4">
    <w:name w:val="toc 4"/>
    <w:basedOn w:val="Normal"/>
    <w:next w:val="Normal"/>
    <w:uiPriority w:val="99"/>
    <w:semiHidden/>
    <w:pPr>
      <w:widowControl w:val="0"/>
      <w:tabs>
        <w:tab w:val="left" w:pos="2880"/>
        <w:tab w:val="right" w:leader="dot" w:pos="9360"/>
      </w:tabs>
      <w:suppressAutoHyphens/>
      <w:ind w:left="2880" w:right="720" w:hanging="720"/>
      <w:jc w:val="both"/>
    </w:pPr>
  </w:style>
  <w:style w:type="paragraph" w:styleId="TOC5">
    <w:name w:val="toc 5"/>
    <w:basedOn w:val="Normal"/>
    <w:next w:val="Normal"/>
    <w:uiPriority w:val="99"/>
    <w:semiHidden/>
    <w:pPr>
      <w:widowControl w:val="0"/>
      <w:tabs>
        <w:tab w:val="left" w:pos="3600"/>
        <w:tab w:val="right" w:leader="dot" w:pos="9360"/>
      </w:tabs>
      <w:suppressAutoHyphens/>
      <w:ind w:left="3600" w:right="720" w:hanging="720"/>
      <w:jc w:val="both"/>
    </w:pPr>
  </w:style>
  <w:style w:type="paragraph" w:styleId="TOC6">
    <w:name w:val="toc 6"/>
    <w:basedOn w:val="Normal"/>
    <w:next w:val="Normal"/>
    <w:uiPriority w:val="99"/>
    <w:semiHidden/>
    <w:pPr>
      <w:widowControl w:val="0"/>
      <w:tabs>
        <w:tab w:val="left" w:leader="dot" w:pos="9360"/>
      </w:tabs>
      <w:suppressAutoHyphens/>
      <w:ind w:left="720" w:hanging="720"/>
      <w:jc w:val="both"/>
    </w:pPr>
  </w:style>
  <w:style w:type="paragraph" w:styleId="TOC7">
    <w:name w:val="toc 7"/>
    <w:basedOn w:val="Normal"/>
    <w:next w:val="Normal"/>
    <w:uiPriority w:val="99"/>
    <w:semiHidden/>
    <w:pPr>
      <w:widowControl w:val="0"/>
      <w:tabs>
        <w:tab w:val="left" w:leader="dot" w:pos="9360"/>
      </w:tabs>
      <w:suppressAutoHyphens/>
      <w:ind w:left="720" w:hanging="720"/>
      <w:jc w:val="both"/>
    </w:pPr>
  </w:style>
  <w:style w:type="paragraph" w:styleId="TOC8">
    <w:name w:val="toc 8"/>
    <w:basedOn w:val="Normal"/>
    <w:next w:val="Normal"/>
    <w:uiPriority w:val="99"/>
    <w:semiHidden/>
    <w:pPr>
      <w:widowControl w:val="0"/>
      <w:tabs>
        <w:tab w:val="left" w:leader="dot" w:pos="9360"/>
      </w:tabs>
      <w:suppressAutoHyphens/>
      <w:ind w:left="720" w:hanging="720"/>
      <w:jc w:val="both"/>
    </w:pPr>
  </w:style>
  <w:style w:type="paragraph" w:styleId="TOC9">
    <w:name w:val="toc 9"/>
    <w:basedOn w:val="Normal"/>
    <w:next w:val="Normal"/>
    <w:uiPriority w:val="99"/>
    <w:semiHidden/>
    <w:pPr>
      <w:tabs>
        <w:tab w:val="left" w:leader="dot" w:pos="9360"/>
      </w:tabs>
      <w:ind w:left="720" w:hanging="720"/>
      <w:jc w:val="both"/>
    </w:pPr>
  </w:style>
  <w:style w:type="character" w:styleId="PageNumber">
    <w:name w:val="page number"/>
    <w:uiPriority w:val="99"/>
    <w:rPr>
      <w:rFonts w:cs="Times New Roman"/>
    </w:rPr>
  </w:style>
  <w:style w:type="paragraph" w:styleId="Title">
    <w:name w:val="Title"/>
    <w:basedOn w:val="Normal"/>
    <w:link w:val="TitleChar"/>
    <w:uiPriority w:val="99"/>
    <w:qFormat/>
    <w:pPr>
      <w:jc w:val="center"/>
    </w:pPr>
    <w:rPr>
      <w:b/>
    </w:rPr>
  </w:style>
  <w:style w:type="character" w:customStyle="1" w:styleId="TitleChar">
    <w:name w:val="Title Char"/>
    <w:link w:val="Title"/>
    <w:uiPriority w:val="99"/>
    <w:locked/>
    <w:rPr>
      <w:rFonts w:ascii="Cambria" w:hAnsi="Cambria" w:cs="Times New Roman"/>
      <w:b/>
      <w:bCs/>
      <w:kern w:val="28"/>
      <w:sz w:val="32"/>
      <w:szCs w:val="32"/>
    </w:rPr>
  </w:style>
  <w:style w:type="table" w:styleId="TableGrid">
    <w:name w:val="Table Grid"/>
    <w:basedOn w:val="TableNormal"/>
    <w:uiPriority w:val="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semiHidden/>
    <w:rPr>
      <w:rFonts w:cs="Times New Roman"/>
      <w:sz w:val="16"/>
    </w:rPr>
  </w:style>
  <w:style w:type="paragraph" w:styleId="CommentText">
    <w:name w:val="annotation text"/>
    <w:basedOn w:val="Normal"/>
    <w:link w:val="CommentTextChar"/>
    <w:uiPriority w:val="99"/>
    <w:semiHidden/>
    <w:rPr>
      <w:sz w:val="20"/>
    </w:rPr>
  </w:style>
  <w:style w:type="character" w:customStyle="1" w:styleId="CommentTextChar">
    <w:name w:val="Comment Text Char"/>
    <w:link w:val="CommentText"/>
    <w:uiPriority w:val="99"/>
    <w:semiHidden/>
    <w:locked/>
    <w:rPr>
      <w:rFonts w:cs="Times New Roman"/>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link w:val="CommentSubject"/>
    <w:uiPriority w:val="99"/>
    <w:semiHidden/>
    <w:locked/>
    <w:rPr>
      <w:rFonts w:cs="Times New Roman"/>
      <w:b/>
      <w:bCs/>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locked/>
    <w:rPr>
      <w:rFonts w:cs="Times New Roman"/>
      <w:sz w:val="2"/>
    </w:rPr>
  </w:style>
  <w:style w:type="paragraph" w:styleId="BodyText">
    <w:name w:val="Body Text"/>
    <w:basedOn w:val="Normal"/>
    <w:link w:val="BodyTextChar"/>
    <w:uiPriority w:val="99"/>
    <w:pPr>
      <w:spacing w:after="120"/>
    </w:pPr>
    <w:rPr>
      <w:szCs w:val="22"/>
    </w:rPr>
  </w:style>
  <w:style w:type="character" w:customStyle="1" w:styleId="BodyTextChar">
    <w:name w:val="Body Text Char"/>
    <w:link w:val="BodyText"/>
    <w:uiPriority w:val="99"/>
    <w:semiHidden/>
    <w:locked/>
    <w:rPr>
      <w:rFonts w:cs="Times New Roman"/>
      <w:sz w:val="22"/>
    </w:rPr>
  </w:style>
  <w:style w:type="character" w:styleId="Hyperlink">
    <w:name w:val="Hyperlink"/>
    <w:uiPriority w:val="99"/>
    <w:rPr>
      <w:rFonts w:cs="Times New Roman"/>
      <w:color w:val="0000FF"/>
      <w:u w:val="single"/>
    </w:rPr>
  </w:style>
  <w:style w:type="character" w:customStyle="1" w:styleId="documentbody1">
    <w:name w:val="documentbody1"/>
    <w:uiPriority w:val="99"/>
    <w:rPr>
      <w:rFonts w:ascii="Verdana" w:hAnsi="Verdana"/>
      <w:sz w:val="19"/>
      <w:shd w:val="clear" w:color="auto" w:fill="FFFFFF"/>
    </w:rPr>
  </w:style>
  <w:style w:type="character" w:customStyle="1" w:styleId="searchterm3">
    <w:name w:val="searchterm3"/>
    <w:uiPriority w:val="99"/>
    <w:rPr>
      <w:rFonts w:ascii="Verdana" w:hAnsi="Verdana"/>
      <w:b/>
      <w:color w:val="000099"/>
      <w:sz w:val="19"/>
      <w:shd w:val="clear" w:color="auto" w:fill="FFFF00"/>
    </w:rPr>
  </w:style>
  <w:style w:type="paragraph" w:styleId="DocumentMap">
    <w:name w:val="Document Map"/>
    <w:basedOn w:val="Normal"/>
    <w:link w:val="DocumentMapChar"/>
    <w:uiPriority w:val="99"/>
    <w:semiHidden/>
    <w:pPr>
      <w:shd w:val="clear" w:color="auto" w:fill="000080"/>
    </w:pPr>
    <w:rPr>
      <w:rFonts w:ascii="Tahoma" w:hAnsi="Tahoma" w:cs="Tahoma"/>
      <w:sz w:val="20"/>
    </w:rPr>
  </w:style>
  <w:style w:type="character" w:customStyle="1" w:styleId="DocumentMapChar">
    <w:name w:val="Document Map Char"/>
    <w:link w:val="DocumentMap"/>
    <w:uiPriority w:val="99"/>
    <w:semiHidden/>
    <w:locked/>
    <w:rPr>
      <w:rFonts w:cs="Times New Roman"/>
      <w:sz w:val="2"/>
    </w:rPr>
  </w:style>
  <w:style w:type="character" w:customStyle="1" w:styleId="h2">
    <w:name w:val="h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3030390">
      <w:marLeft w:val="0"/>
      <w:marRight w:val="0"/>
      <w:marTop w:val="0"/>
      <w:marBottom w:val="0"/>
      <w:divBdr>
        <w:top w:val="none" w:sz="0" w:space="0" w:color="auto"/>
        <w:left w:val="none" w:sz="0" w:space="0" w:color="auto"/>
        <w:bottom w:val="none" w:sz="0" w:space="0" w:color="auto"/>
        <w:right w:val="none" w:sz="0" w:space="0" w:color="auto"/>
      </w:divBdr>
    </w:div>
    <w:div w:id="1263030391">
      <w:marLeft w:val="0"/>
      <w:marRight w:val="0"/>
      <w:marTop w:val="0"/>
      <w:marBottom w:val="0"/>
      <w:divBdr>
        <w:top w:val="none" w:sz="0" w:space="0" w:color="auto"/>
        <w:left w:val="none" w:sz="0" w:space="0" w:color="auto"/>
        <w:bottom w:val="none" w:sz="0" w:space="0" w:color="auto"/>
        <w:right w:val="none" w:sz="0" w:space="0" w:color="auto"/>
      </w:divBdr>
    </w:div>
    <w:div w:id="1263030392">
      <w:marLeft w:val="0"/>
      <w:marRight w:val="0"/>
      <w:marTop w:val="0"/>
      <w:marBottom w:val="0"/>
      <w:divBdr>
        <w:top w:val="none" w:sz="0" w:space="0" w:color="auto"/>
        <w:left w:val="none" w:sz="0" w:space="0" w:color="auto"/>
        <w:bottom w:val="none" w:sz="0" w:space="0" w:color="auto"/>
        <w:right w:val="none" w:sz="0" w:space="0" w:color="auto"/>
      </w:divBdr>
    </w:div>
    <w:div w:id="1263030394">
      <w:marLeft w:val="0"/>
      <w:marRight w:val="0"/>
      <w:marTop w:val="0"/>
      <w:marBottom w:val="0"/>
      <w:divBdr>
        <w:top w:val="none" w:sz="0" w:space="0" w:color="auto"/>
        <w:left w:val="none" w:sz="0" w:space="0" w:color="auto"/>
        <w:bottom w:val="none" w:sz="0" w:space="0" w:color="auto"/>
        <w:right w:val="none" w:sz="0" w:space="0" w:color="auto"/>
      </w:divBdr>
    </w:div>
    <w:div w:id="1263030400">
      <w:marLeft w:val="30"/>
      <w:marRight w:val="30"/>
      <w:marTop w:val="30"/>
      <w:marBottom w:val="30"/>
      <w:divBdr>
        <w:top w:val="none" w:sz="0" w:space="0" w:color="auto"/>
        <w:left w:val="none" w:sz="0" w:space="0" w:color="auto"/>
        <w:bottom w:val="none" w:sz="0" w:space="0" w:color="auto"/>
        <w:right w:val="none" w:sz="0" w:space="0" w:color="auto"/>
      </w:divBdr>
      <w:divsChild>
        <w:div w:id="1263030395">
          <w:marLeft w:val="0"/>
          <w:marRight w:val="0"/>
          <w:marTop w:val="0"/>
          <w:marBottom w:val="0"/>
          <w:divBdr>
            <w:top w:val="none" w:sz="0" w:space="0" w:color="auto"/>
            <w:left w:val="none" w:sz="0" w:space="0" w:color="auto"/>
            <w:bottom w:val="none" w:sz="0" w:space="0" w:color="auto"/>
            <w:right w:val="none" w:sz="0" w:space="0" w:color="auto"/>
          </w:divBdr>
          <w:divsChild>
            <w:div w:id="1263030393">
              <w:marLeft w:val="45"/>
              <w:marRight w:val="45"/>
              <w:marTop w:val="45"/>
              <w:marBottom w:val="45"/>
              <w:divBdr>
                <w:top w:val="none" w:sz="0" w:space="0" w:color="auto"/>
                <w:left w:val="none" w:sz="0" w:space="0" w:color="auto"/>
                <w:bottom w:val="none" w:sz="0" w:space="0" w:color="auto"/>
                <w:right w:val="none" w:sz="0" w:space="0" w:color="auto"/>
              </w:divBdr>
              <w:divsChild>
                <w:div w:id="1263030401">
                  <w:marLeft w:val="720"/>
                  <w:marRight w:val="720"/>
                  <w:marTop w:val="100"/>
                  <w:marBottom w:val="100"/>
                  <w:divBdr>
                    <w:top w:val="none" w:sz="0" w:space="0" w:color="auto"/>
                    <w:left w:val="none" w:sz="0" w:space="0" w:color="auto"/>
                    <w:bottom w:val="none" w:sz="0" w:space="0" w:color="auto"/>
                    <w:right w:val="none" w:sz="0" w:space="0" w:color="auto"/>
                  </w:divBdr>
                </w:div>
                <w:div w:id="1263030402">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263030403">
      <w:marLeft w:val="30"/>
      <w:marRight w:val="30"/>
      <w:marTop w:val="30"/>
      <w:marBottom w:val="30"/>
      <w:divBdr>
        <w:top w:val="none" w:sz="0" w:space="0" w:color="auto"/>
        <w:left w:val="none" w:sz="0" w:space="0" w:color="auto"/>
        <w:bottom w:val="none" w:sz="0" w:space="0" w:color="auto"/>
        <w:right w:val="none" w:sz="0" w:space="0" w:color="auto"/>
      </w:divBdr>
      <w:divsChild>
        <w:div w:id="1263030396">
          <w:marLeft w:val="0"/>
          <w:marRight w:val="0"/>
          <w:marTop w:val="0"/>
          <w:marBottom w:val="0"/>
          <w:divBdr>
            <w:top w:val="none" w:sz="0" w:space="0" w:color="auto"/>
            <w:left w:val="none" w:sz="0" w:space="0" w:color="auto"/>
            <w:bottom w:val="none" w:sz="0" w:space="0" w:color="auto"/>
            <w:right w:val="none" w:sz="0" w:space="0" w:color="auto"/>
          </w:divBdr>
          <w:divsChild>
            <w:div w:id="1263030397">
              <w:marLeft w:val="45"/>
              <w:marRight w:val="45"/>
              <w:marTop w:val="45"/>
              <w:marBottom w:val="45"/>
              <w:divBdr>
                <w:top w:val="none" w:sz="0" w:space="0" w:color="auto"/>
                <w:left w:val="none" w:sz="0" w:space="0" w:color="auto"/>
                <w:bottom w:val="none" w:sz="0" w:space="0" w:color="auto"/>
                <w:right w:val="none" w:sz="0" w:space="0" w:color="auto"/>
              </w:divBdr>
              <w:divsChild>
                <w:div w:id="1263030398">
                  <w:marLeft w:val="720"/>
                  <w:marRight w:val="720"/>
                  <w:marTop w:val="100"/>
                  <w:marBottom w:val="100"/>
                  <w:divBdr>
                    <w:top w:val="none" w:sz="0" w:space="0" w:color="auto"/>
                    <w:left w:val="none" w:sz="0" w:space="0" w:color="auto"/>
                    <w:bottom w:val="none" w:sz="0" w:space="0" w:color="auto"/>
                    <w:right w:val="none" w:sz="0" w:space="0" w:color="auto"/>
                  </w:divBdr>
                </w:div>
                <w:div w:id="1263030399">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263030404">
      <w:marLeft w:val="0"/>
      <w:marRight w:val="0"/>
      <w:marTop w:val="0"/>
      <w:marBottom w:val="0"/>
      <w:divBdr>
        <w:top w:val="none" w:sz="0" w:space="0" w:color="auto"/>
        <w:left w:val="none" w:sz="0" w:space="0" w:color="auto"/>
        <w:bottom w:val="none" w:sz="0" w:space="0" w:color="auto"/>
        <w:right w:val="none" w:sz="0" w:space="0" w:color="auto"/>
      </w:divBdr>
    </w:div>
    <w:div w:id="1263030405">
      <w:marLeft w:val="0"/>
      <w:marRight w:val="0"/>
      <w:marTop w:val="0"/>
      <w:marBottom w:val="0"/>
      <w:divBdr>
        <w:top w:val="none" w:sz="0" w:space="0" w:color="auto"/>
        <w:left w:val="none" w:sz="0" w:space="0" w:color="auto"/>
        <w:bottom w:val="none" w:sz="0" w:space="0" w:color="auto"/>
        <w:right w:val="none" w:sz="0" w:space="0" w:color="auto"/>
      </w:divBdr>
    </w:div>
    <w:div w:id="1263030406">
      <w:marLeft w:val="0"/>
      <w:marRight w:val="0"/>
      <w:marTop w:val="0"/>
      <w:marBottom w:val="0"/>
      <w:divBdr>
        <w:top w:val="none" w:sz="0" w:space="0" w:color="auto"/>
        <w:left w:val="none" w:sz="0" w:space="0" w:color="auto"/>
        <w:bottom w:val="none" w:sz="0" w:space="0" w:color="auto"/>
        <w:right w:val="none" w:sz="0" w:space="0" w:color="auto"/>
      </w:divBdr>
    </w:div>
    <w:div w:id="1481383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1175</Words>
  <Characters>6507</Characters>
  <Application>Microsoft Office Word</Application>
  <DocSecurity>0</DocSecurity>
  <Lines>122</Lines>
  <Paragraphs>38</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7691</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2012-10-02T21:22:00Z</cp:lastPrinted>
  <dcterms:created xsi:type="dcterms:W3CDTF">2014-01-16T15:53:00Z</dcterms:created>
  <dcterms:modified xsi:type="dcterms:W3CDTF">2014-01-16T15:53:00Z</dcterms:modified>
  <cp:category> </cp:category>
  <cp:contentStatus> </cp:contentStatus>
</cp:coreProperties>
</file>