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602577" w:rsidRDefault="00845133">
      <w:pPr>
        <w:jc w:val="right"/>
        <w:rPr>
          <w:sz w:val="24"/>
        </w:rPr>
      </w:pPr>
      <w:r>
        <w:rPr>
          <w:sz w:val="24"/>
        </w:rPr>
        <w:lastRenderedPageBreak/>
        <w:t>DA 14-</w:t>
      </w:r>
      <w:r w:rsidR="00F85374">
        <w:rPr>
          <w:sz w:val="24"/>
        </w:rPr>
        <w:t>465</w:t>
      </w:r>
    </w:p>
    <w:p w:rsidR="00602577" w:rsidRDefault="007C7D6F">
      <w:pPr>
        <w:spacing w:before="60"/>
        <w:jc w:val="right"/>
        <w:rPr>
          <w:sz w:val="24"/>
        </w:rPr>
      </w:pPr>
      <w:r>
        <w:rPr>
          <w:sz w:val="24"/>
        </w:rPr>
        <w:t>April 4</w:t>
      </w:r>
      <w:r w:rsidR="00845133">
        <w:rPr>
          <w:sz w:val="24"/>
        </w:rPr>
        <w:t>, 2014</w:t>
      </w:r>
    </w:p>
    <w:p w:rsidR="00602577" w:rsidRDefault="00602577">
      <w:pPr>
        <w:jc w:val="right"/>
        <w:rPr>
          <w:sz w:val="24"/>
        </w:rPr>
      </w:pPr>
    </w:p>
    <w:p w:rsidR="00CB4406" w:rsidRDefault="00845133" w:rsidP="00CB4406">
      <w:pPr>
        <w:jc w:val="center"/>
        <w:rPr>
          <w:b/>
          <w:sz w:val="24"/>
        </w:rPr>
      </w:pPr>
      <w:r>
        <w:rPr>
          <w:b/>
          <w:sz w:val="24"/>
        </w:rPr>
        <w:t xml:space="preserve">DOMESTIC SECTION 214 APPLICATION FILED FOR THE TRANSFER OF CONTROL OF </w:t>
      </w:r>
      <w:r w:rsidR="00776EFB">
        <w:rPr>
          <w:b/>
          <w:sz w:val="24"/>
        </w:rPr>
        <w:t>DETEL WIRELESS, LLC</w:t>
      </w:r>
    </w:p>
    <w:p w:rsidR="00602577" w:rsidRDefault="00845133" w:rsidP="00CB4406">
      <w:pPr>
        <w:jc w:val="center"/>
        <w:rPr>
          <w:b/>
          <w:sz w:val="24"/>
        </w:rPr>
      </w:pPr>
      <w:r>
        <w:rPr>
          <w:b/>
          <w:sz w:val="24"/>
        </w:rPr>
        <w:t>TO CUB PARENT, INC.</w:t>
      </w:r>
    </w:p>
    <w:p w:rsidR="00CB4406" w:rsidRDefault="00CB4406" w:rsidP="00CB4406">
      <w:pPr>
        <w:jc w:val="center"/>
        <w:rPr>
          <w:b/>
          <w:sz w:val="24"/>
        </w:rPr>
      </w:pPr>
    </w:p>
    <w:p w:rsidR="00602577" w:rsidRDefault="00845133">
      <w:pPr>
        <w:spacing w:after="240"/>
        <w:jc w:val="center"/>
        <w:rPr>
          <w:b/>
          <w:sz w:val="24"/>
        </w:rPr>
      </w:pPr>
      <w:r>
        <w:rPr>
          <w:b/>
          <w:sz w:val="24"/>
        </w:rPr>
        <w:t>STREAMLINED PLEADING CYCLE ESTABLISHED</w:t>
      </w:r>
    </w:p>
    <w:p w:rsidR="00602577" w:rsidRDefault="00845133">
      <w:pPr>
        <w:jc w:val="center"/>
        <w:rPr>
          <w:b/>
          <w:sz w:val="24"/>
        </w:rPr>
      </w:pPr>
      <w:r>
        <w:rPr>
          <w:b/>
          <w:sz w:val="24"/>
        </w:rPr>
        <w:t>WC Docket No. 14-</w:t>
      </w:r>
      <w:r w:rsidR="00911349">
        <w:rPr>
          <w:b/>
          <w:sz w:val="24"/>
        </w:rPr>
        <w:t>5</w:t>
      </w:r>
      <w:r w:rsidR="009A059A">
        <w:rPr>
          <w:b/>
          <w:sz w:val="24"/>
        </w:rPr>
        <w:t>5</w:t>
      </w:r>
    </w:p>
    <w:p w:rsidR="00602577" w:rsidRDefault="00602577">
      <w:pPr>
        <w:jc w:val="center"/>
        <w:rPr>
          <w:sz w:val="24"/>
        </w:rPr>
      </w:pPr>
    </w:p>
    <w:p w:rsidR="00845133" w:rsidRPr="007C7D6F" w:rsidRDefault="00845133" w:rsidP="00845133">
      <w:pPr>
        <w:pStyle w:val="NoSpacing"/>
        <w:rPr>
          <w:b/>
        </w:rPr>
      </w:pPr>
      <w:r w:rsidRPr="007C7D6F">
        <w:rPr>
          <w:b/>
        </w:rPr>
        <w:t xml:space="preserve">Comments Due:  April </w:t>
      </w:r>
      <w:r w:rsidR="007C7D6F" w:rsidRPr="007C7D6F">
        <w:rPr>
          <w:b/>
        </w:rPr>
        <w:t>18</w:t>
      </w:r>
      <w:r w:rsidRPr="007C7D6F">
        <w:rPr>
          <w:b/>
        </w:rPr>
        <w:t>, 2014</w:t>
      </w:r>
    </w:p>
    <w:p w:rsidR="00845133" w:rsidRDefault="00845133" w:rsidP="00845133">
      <w:pPr>
        <w:pStyle w:val="NoSpacing"/>
      </w:pPr>
      <w:r w:rsidRPr="007C7D6F">
        <w:rPr>
          <w:b/>
        </w:rPr>
        <w:t xml:space="preserve">Reply Comments Due:  April </w:t>
      </w:r>
      <w:r w:rsidR="007C7D6F" w:rsidRPr="007C7D6F">
        <w:rPr>
          <w:b/>
        </w:rPr>
        <w:t>25</w:t>
      </w:r>
      <w:r w:rsidRPr="007C7D6F">
        <w:rPr>
          <w:b/>
        </w:rPr>
        <w:t>, 2014</w:t>
      </w:r>
    </w:p>
    <w:p w:rsidR="00845133" w:rsidRDefault="00845133" w:rsidP="00845133">
      <w:pPr>
        <w:pStyle w:val="NoSpacing"/>
      </w:pPr>
    </w:p>
    <w:p w:rsidR="00911349" w:rsidRDefault="00911349" w:rsidP="00911349">
      <w:pPr>
        <w:autoSpaceDE w:val="0"/>
        <w:autoSpaceDN w:val="0"/>
        <w:adjustRightInd w:val="0"/>
        <w:ind w:firstLine="720"/>
        <w:rPr>
          <w:szCs w:val="22"/>
        </w:rPr>
      </w:pPr>
      <w:r w:rsidRPr="00A75279">
        <w:rPr>
          <w:szCs w:val="22"/>
        </w:rPr>
        <w:t xml:space="preserve">On </w:t>
      </w:r>
      <w:r>
        <w:rPr>
          <w:szCs w:val="22"/>
        </w:rPr>
        <w:t xml:space="preserve">March </w:t>
      </w:r>
      <w:r w:rsidR="009A059A">
        <w:rPr>
          <w:szCs w:val="22"/>
        </w:rPr>
        <w:t>21</w:t>
      </w:r>
      <w:r>
        <w:rPr>
          <w:szCs w:val="22"/>
        </w:rPr>
        <w:t>,</w:t>
      </w:r>
      <w:r w:rsidRPr="00A75279">
        <w:rPr>
          <w:szCs w:val="22"/>
        </w:rPr>
        <w:t xml:space="preserve"> 201</w:t>
      </w:r>
      <w:r>
        <w:rPr>
          <w:szCs w:val="22"/>
        </w:rPr>
        <w:t>4</w:t>
      </w:r>
      <w:r w:rsidRPr="00A75279">
        <w:rPr>
          <w:szCs w:val="22"/>
        </w:rPr>
        <w:t xml:space="preserve">, </w:t>
      </w:r>
      <w:r w:rsidR="009A059A">
        <w:rPr>
          <w:szCs w:val="22"/>
        </w:rPr>
        <w:t>Detel Wireless, LLC (Detel)</w:t>
      </w:r>
      <w:r>
        <w:rPr>
          <w:szCs w:val="22"/>
        </w:rPr>
        <w:t xml:space="preserve">, </w:t>
      </w:r>
      <w:r w:rsidR="009A059A">
        <w:rPr>
          <w:szCs w:val="22"/>
        </w:rPr>
        <w:t>DFF Holdings, LLC (DFF Holdings)</w:t>
      </w:r>
      <w:r>
        <w:rPr>
          <w:szCs w:val="22"/>
        </w:rPr>
        <w:t xml:space="preserve">, </w:t>
      </w:r>
      <w:r w:rsidR="003A3215">
        <w:rPr>
          <w:szCs w:val="22"/>
        </w:rPr>
        <w:t>and</w:t>
      </w:r>
      <w:r w:rsidR="00A147A1">
        <w:rPr>
          <w:szCs w:val="22"/>
        </w:rPr>
        <w:t xml:space="preserve"> CUB Parent, Inc. (CUB Parent) </w:t>
      </w:r>
      <w:r w:rsidRPr="00616407">
        <w:rPr>
          <w:szCs w:val="22"/>
        </w:rPr>
        <w:t>(collectively, Applicants)</w:t>
      </w:r>
      <w:r>
        <w:rPr>
          <w:szCs w:val="22"/>
        </w:rPr>
        <w:t xml:space="preserve"> filed an application pursuant to section 63.03 of the Commission’s rules</w:t>
      </w:r>
      <w:r>
        <w:rPr>
          <w:rStyle w:val="FootnoteReference"/>
          <w:szCs w:val="22"/>
        </w:rPr>
        <w:footnoteReference w:id="1"/>
      </w:r>
      <w:r>
        <w:rPr>
          <w:szCs w:val="22"/>
        </w:rPr>
        <w:t xml:space="preserve"> to transfer control of </w:t>
      </w:r>
      <w:r w:rsidR="009A059A">
        <w:rPr>
          <w:szCs w:val="22"/>
        </w:rPr>
        <w:t>Detel</w:t>
      </w:r>
      <w:r w:rsidR="009C528C">
        <w:rPr>
          <w:szCs w:val="22"/>
        </w:rPr>
        <w:t xml:space="preserve"> </w:t>
      </w:r>
      <w:r w:rsidR="003A3215">
        <w:rPr>
          <w:szCs w:val="22"/>
        </w:rPr>
        <w:t xml:space="preserve">from </w:t>
      </w:r>
      <w:r w:rsidR="009A059A">
        <w:rPr>
          <w:szCs w:val="22"/>
        </w:rPr>
        <w:t>DFF Holdings</w:t>
      </w:r>
      <w:r w:rsidR="003A3215">
        <w:rPr>
          <w:szCs w:val="22"/>
        </w:rPr>
        <w:t xml:space="preserve"> </w:t>
      </w:r>
      <w:r w:rsidR="009C528C">
        <w:rPr>
          <w:szCs w:val="22"/>
        </w:rPr>
        <w:t>to CUB Parent.</w:t>
      </w:r>
      <w:r>
        <w:rPr>
          <w:szCs w:val="22"/>
        </w:rPr>
        <w:t xml:space="preserve"> </w:t>
      </w:r>
    </w:p>
    <w:p w:rsidR="00911349" w:rsidRDefault="00911349" w:rsidP="00911349">
      <w:pPr>
        <w:autoSpaceDE w:val="0"/>
        <w:autoSpaceDN w:val="0"/>
        <w:adjustRightInd w:val="0"/>
        <w:ind w:firstLine="720"/>
        <w:rPr>
          <w:szCs w:val="22"/>
        </w:rPr>
      </w:pPr>
    </w:p>
    <w:p w:rsidR="008E6756" w:rsidRDefault="009A059A" w:rsidP="00437B61">
      <w:pPr>
        <w:autoSpaceDE w:val="0"/>
        <w:autoSpaceDN w:val="0"/>
        <w:adjustRightInd w:val="0"/>
        <w:ind w:firstLine="720"/>
        <w:rPr>
          <w:szCs w:val="22"/>
        </w:rPr>
      </w:pPr>
      <w:r>
        <w:rPr>
          <w:szCs w:val="22"/>
        </w:rPr>
        <w:t xml:space="preserve">Detel, a Louisiana limited liability company, is authorized to provide competitive local exchange and interexchange services in Louisiana and Mississippi.  </w:t>
      </w:r>
      <w:r w:rsidR="00AD3E9D">
        <w:rPr>
          <w:szCs w:val="22"/>
        </w:rPr>
        <w:t>DFF Holdings, a Louisiana limited liability company</w:t>
      </w:r>
      <w:r w:rsidR="002A3A12">
        <w:rPr>
          <w:szCs w:val="22"/>
        </w:rPr>
        <w:t xml:space="preserve"> that does not itself provide telecommunications services</w:t>
      </w:r>
      <w:r w:rsidR="00AD3E9D">
        <w:rPr>
          <w:szCs w:val="22"/>
        </w:rPr>
        <w:t xml:space="preserve">, owns 60 percent of Detel, and Conterra Ultra Broadband Holdings, Inc. (Conterra Holdings), a Delaware corporation, owns </w:t>
      </w:r>
      <w:r w:rsidR="002A3A12">
        <w:rPr>
          <w:szCs w:val="22"/>
        </w:rPr>
        <w:t xml:space="preserve">the remaining </w:t>
      </w:r>
      <w:r w:rsidR="00AD3E9D">
        <w:rPr>
          <w:szCs w:val="22"/>
        </w:rPr>
        <w:t>40 percent.</w:t>
      </w:r>
      <w:r w:rsidR="003415E0" w:rsidRPr="003415E0">
        <w:rPr>
          <w:rStyle w:val="FootnoteReference"/>
          <w:szCs w:val="22"/>
        </w:rPr>
        <w:t xml:space="preserve"> </w:t>
      </w:r>
      <w:r w:rsidR="003415E0">
        <w:rPr>
          <w:rStyle w:val="FootnoteReference"/>
          <w:szCs w:val="22"/>
        </w:rPr>
        <w:footnoteReference w:id="2"/>
      </w:r>
      <w:r w:rsidR="00AD3E9D">
        <w:rPr>
          <w:szCs w:val="22"/>
        </w:rPr>
        <w:t xml:space="preserve">  </w:t>
      </w:r>
      <w:r>
        <w:rPr>
          <w:szCs w:val="22"/>
        </w:rPr>
        <w:t>Daryl A. Deshotel, a U.S. citizen</w:t>
      </w:r>
      <w:r w:rsidR="00AD3E9D">
        <w:rPr>
          <w:szCs w:val="22"/>
        </w:rPr>
        <w:t xml:space="preserve">, </w:t>
      </w:r>
      <w:r>
        <w:rPr>
          <w:szCs w:val="22"/>
        </w:rPr>
        <w:t xml:space="preserve">owns </w:t>
      </w:r>
      <w:r w:rsidR="00AD3E9D">
        <w:rPr>
          <w:szCs w:val="22"/>
        </w:rPr>
        <w:t>100 percent of DFF Holdings</w:t>
      </w:r>
      <w:r w:rsidR="007C7D6F">
        <w:rPr>
          <w:szCs w:val="22"/>
        </w:rPr>
        <w:t>.</w:t>
      </w:r>
      <w:r w:rsidR="00761497">
        <w:rPr>
          <w:szCs w:val="22"/>
        </w:rPr>
        <w:t xml:space="preserve"> </w:t>
      </w:r>
      <w:r w:rsidR="00D90E56">
        <w:rPr>
          <w:szCs w:val="22"/>
        </w:rPr>
        <w:t xml:space="preserve"> </w:t>
      </w:r>
      <w:r w:rsidR="0054191D">
        <w:rPr>
          <w:szCs w:val="22"/>
        </w:rPr>
        <w:t xml:space="preserve">The following U.S. entities currently own 10 percent or more of Conterra Holdings: </w:t>
      </w:r>
      <w:r w:rsidR="00761497">
        <w:rPr>
          <w:szCs w:val="22"/>
        </w:rPr>
        <w:t xml:space="preserve"> DukeNet Communications</w:t>
      </w:r>
      <w:r w:rsidR="0054191D">
        <w:rPr>
          <w:szCs w:val="22"/>
        </w:rPr>
        <w:t>, LLC and DukeNet Communications Holdings, Inc.</w:t>
      </w:r>
      <w:r w:rsidR="00761497">
        <w:rPr>
          <w:szCs w:val="22"/>
        </w:rPr>
        <w:t xml:space="preserve"> (10.78 percent), The 1996 Stephen R</w:t>
      </w:r>
      <w:r w:rsidR="0054191D">
        <w:rPr>
          <w:szCs w:val="22"/>
        </w:rPr>
        <w:t>ichard Leeolou Living T</w:t>
      </w:r>
      <w:r w:rsidR="00761497">
        <w:rPr>
          <w:szCs w:val="22"/>
        </w:rPr>
        <w:t>rust (10.91 perc</w:t>
      </w:r>
      <w:r w:rsidR="0054191D">
        <w:rPr>
          <w:szCs w:val="22"/>
        </w:rPr>
        <w:t xml:space="preserve">ent), and </w:t>
      </w:r>
      <w:r w:rsidR="007C7D6F">
        <w:rPr>
          <w:szCs w:val="22"/>
        </w:rPr>
        <w:t xml:space="preserve">The </w:t>
      </w:r>
      <w:r w:rsidR="0054191D">
        <w:rPr>
          <w:szCs w:val="22"/>
        </w:rPr>
        <w:t>Goldman Sachs Group, I</w:t>
      </w:r>
      <w:r w:rsidR="00761497">
        <w:rPr>
          <w:szCs w:val="22"/>
        </w:rPr>
        <w:t xml:space="preserve">nc. </w:t>
      </w:r>
      <w:r w:rsidR="0054191D">
        <w:rPr>
          <w:szCs w:val="22"/>
        </w:rPr>
        <w:t xml:space="preserve">(29.86 percent).  </w:t>
      </w:r>
    </w:p>
    <w:p w:rsidR="00F770DE" w:rsidRDefault="00F770DE" w:rsidP="00437B61">
      <w:pPr>
        <w:autoSpaceDE w:val="0"/>
        <w:autoSpaceDN w:val="0"/>
        <w:adjustRightInd w:val="0"/>
        <w:ind w:firstLine="720"/>
        <w:rPr>
          <w:szCs w:val="22"/>
        </w:rPr>
      </w:pPr>
    </w:p>
    <w:p w:rsidR="009C528C" w:rsidRDefault="004D7CB2" w:rsidP="00911349">
      <w:pPr>
        <w:autoSpaceDE w:val="0"/>
        <w:autoSpaceDN w:val="0"/>
        <w:adjustRightInd w:val="0"/>
        <w:ind w:firstLine="720"/>
        <w:rPr>
          <w:szCs w:val="22"/>
        </w:rPr>
      </w:pPr>
      <w:r>
        <w:rPr>
          <w:szCs w:val="22"/>
        </w:rPr>
        <w:t>CUB Parent</w:t>
      </w:r>
      <w:r w:rsidR="005D27BF">
        <w:rPr>
          <w:szCs w:val="22"/>
        </w:rPr>
        <w:t xml:space="preserve"> is</w:t>
      </w:r>
      <w:r>
        <w:rPr>
          <w:szCs w:val="22"/>
        </w:rPr>
        <w:t xml:space="preserve"> a Delaware corporation</w:t>
      </w:r>
      <w:r w:rsidR="00AA0F6E">
        <w:rPr>
          <w:szCs w:val="22"/>
        </w:rPr>
        <w:t xml:space="preserve"> formed for the purpose of </w:t>
      </w:r>
      <w:r w:rsidR="00696F64">
        <w:rPr>
          <w:szCs w:val="22"/>
        </w:rPr>
        <w:t>acquiring control of Conterra Holdings and Detel</w:t>
      </w:r>
      <w:r w:rsidR="005D27BF">
        <w:rPr>
          <w:szCs w:val="22"/>
        </w:rPr>
        <w:t xml:space="preserve">.  </w:t>
      </w:r>
      <w:r w:rsidR="005F1271">
        <w:rPr>
          <w:szCs w:val="22"/>
        </w:rPr>
        <w:t>CSC CUB Holdings</w:t>
      </w:r>
      <w:r w:rsidR="005D27BF">
        <w:rPr>
          <w:szCs w:val="22"/>
        </w:rPr>
        <w:t>, LLC,</w:t>
      </w:r>
      <w:r w:rsidR="005F1271">
        <w:rPr>
          <w:szCs w:val="22"/>
        </w:rPr>
        <w:t xml:space="preserve"> a Delaware limited liability company</w:t>
      </w:r>
      <w:r w:rsidR="005D27BF">
        <w:rPr>
          <w:szCs w:val="22"/>
        </w:rPr>
        <w:t xml:space="preserve">, owns 77.2 percent </w:t>
      </w:r>
      <w:r w:rsidR="005D27BF">
        <w:rPr>
          <w:szCs w:val="22"/>
        </w:rPr>
        <w:lastRenderedPageBreak/>
        <w:t xml:space="preserve">of CUB Parent.  CSC CUB Holdings, LLC is a holding company for investment funds </w:t>
      </w:r>
      <w:r w:rsidR="006E0983">
        <w:rPr>
          <w:szCs w:val="22"/>
        </w:rPr>
        <w:t xml:space="preserve">(Funds) </w:t>
      </w:r>
      <w:r w:rsidR="005D27BF">
        <w:rPr>
          <w:szCs w:val="22"/>
        </w:rPr>
        <w:t>managed by Court Square, a U.S. investment entity.</w:t>
      </w:r>
      <w:r w:rsidR="000D46FA">
        <w:rPr>
          <w:rStyle w:val="FootnoteReference"/>
          <w:szCs w:val="22"/>
        </w:rPr>
        <w:footnoteReference w:id="3"/>
      </w:r>
      <w:r w:rsidR="005D27BF">
        <w:rPr>
          <w:szCs w:val="22"/>
        </w:rPr>
        <w:t xml:space="preserve"> </w:t>
      </w:r>
      <w:r w:rsidR="00696F64">
        <w:rPr>
          <w:szCs w:val="22"/>
        </w:rPr>
        <w:t xml:space="preserve"> </w:t>
      </w:r>
      <w:r w:rsidR="007C7D6F">
        <w:rPr>
          <w:szCs w:val="22"/>
        </w:rPr>
        <w:t>The Funds</w:t>
      </w:r>
      <w:r w:rsidR="005D27BF">
        <w:rPr>
          <w:szCs w:val="22"/>
        </w:rPr>
        <w:t xml:space="preserve"> own 100 percent of the membership interests in CSC CUB Holdings</w:t>
      </w:r>
      <w:r w:rsidR="007C7D6F">
        <w:rPr>
          <w:szCs w:val="22"/>
        </w:rPr>
        <w:t>, LLC</w:t>
      </w:r>
      <w:r w:rsidR="005D27BF">
        <w:rPr>
          <w:szCs w:val="22"/>
        </w:rPr>
        <w:t xml:space="preserve"> and will collectively hold a 77.2 percent indirect equity interest in </w:t>
      </w:r>
      <w:r w:rsidR="00696F64">
        <w:rPr>
          <w:szCs w:val="22"/>
        </w:rPr>
        <w:t>Conterra Holdings</w:t>
      </w:r>
      <w:r w:rsidR="005D27BF">
        <w:rPr>
          <w:szCs w:val="22"/>
        </w:rPr>
        <w:t xml:space="preserve"> </w:t>
      </w:r>
      <w:r w:rsidR="00063DEC">
        <w:rPr>
          <w:szCs w:val="22"/>
        </w:rPr>
        <w:t xml:space="preserve">and Detel </w:t>
      </w:r>
      <w:r w:rsidR="005D27BF">
        <w:rPr>
          <w:szCs w:val="22"/>
        </w:rPr>
        <w:t xml:space="preserve">through their equity interest in CSC CUB Holdings, LLC.  </w:t>
      </w:r>
      <w:r w:rsidR="007C7D6F">
        <w:rPr>
          <w:szCs w:val="22"/>
        </w:rPr>
        <w:t>Applicants state that e</w:t>
      </w:r>
      <w:r w:rsidR="006E0983">
        <w:rPr>
          <w:szCs w:val="22"/>
        </w:rPr>
        <w:t xml:space="preserve">ach Fund is a limited partnership </w:t>
      </w:r>
      <w:r w:rsidR="004F65E5">
        <w:rPr>
          <w:szCs w:val="22"/>
        </w:rPr>
        <w:t xml:space="preserve">controlled and </w:t>
      </w:r>
      <w:r w:rsidR="006E0983">
        <w:rPr>
          <w:szCs w:val="22"/>
        </w:rPr>
        <w:t>managed by its sole general partner, Cou</w:t>
      </w:r>
      <w:r w:rsidR="000D46FA">
        <w:rPr>
          <w:szCs w:val="22"/>
        </w:rPr>
        <w:t>r</w:t>
      </w:r>
      <w:r w:rsidR="006E0983">
        <w:rPr>
          <w:szCs w:val="22"/>
        </w:rPr>
        <w:t>t Square Capital GP III, LLC (GP)</w:t>
      </w:r>
      <w:r w:rsidR="004F65E5">
        <w:rPr>
          <w:szCs w:val="22"/>
        </w:rPr>
        <w:t>, a Delaware limited liability company</w:t>
      </w:r>
      <w:r w:rsidR="006E0983">
        <w:rPr>
          <w:szCs w:val="22"/>
        </w:rPr>
        <w:t xml:space="preserve">.  </w:t>
      </w:r>
      <w:r w:rsidR="00E0470F">
        <w:rPr>
          <w:szCs w:val="22"/>
        </w:rPr>
        <w:t>The largest investor in CSC CUB Holdings</w:t>
      </w:r>
      <w:r w:rsidR="004F65E5">
        <w:rPr>
          <w:szCs w:val="22"/>
        </w:rPr>
        <w:t>, LLC</w:t>
      </w:r>
      <w:r w:rsidR="00E0470F">
        <w:rPr>
          <w:szCs w:val="22"/>
        </w:rPr>
        <w:t xml:space="preserve"> is Court Square Capital Partners III, L.P., a Delaware limited partnership (CSC Fund III).  CSC Fund III will hold 81.4 percent of the LLC interests in CSC CUB Holdings</w:t>
      </w:r>
      <w:r w:rsidR="004F65E5">
        <w:rPr>
          <w:szCs w:val="22"/>
        </w:rPr>
        <w:t xml:space="preserve"> LLC,</w:t>
      </w:r>
      <w:r w:rsidR="00E0470F">
        <w:rPr>
          <w:szCs w:val="22"/>
        </w:rPr>
        <w:t xml:space="preserve"> and in turn, will indirectly hold an approximate 62.9 percent indirect equity interest in Conterra</w:t>
      </w:r>
      <w:r w:rsidR="00696F64">
        <w:rPr>
          <w:szCs w:val="22"/>
        </w:rPr>
        <w:t xml:space="preserve"> Holdings and Detel</w:t>
      </w:r>
      <w:r w:rsidR="00E0470F">
        <w:rPr>
          <w:szCs w:val="22"/>
        </w:rPr>
        <w:t>.</w:t>
      </w:r>
      <w:r w:rsidR="000D46FA">
        <w:rPr>
          <w:szCs w:val="22"/>
        </w:rPr>
        <w:t xml:space="preserve">  GP is managed and controlled by a Board of Manager </w:t>
      </w:r>
      <w:r w:rsidR="009D2E41">
        <w:rPr>
          <w:szCs w:val="22"/>
        </w:rPr>
        <w:t xml:space="preserve">comprised of  </w:t>
      </w:r>
      <w:r w:rsidR="000D46FA">
        <w:rPr>
          <w:szCs w:val="22"/>
        </w:rPr>
        <w:t xml:space="preserve">U.S. citizens:  William Comfort, David Thomas, Michael Delaney, Joseph Silvestri, Ian Highet, and John Weber.  </w:t>
      </w:r>
    </w:p>
    <w:p w:rsidR="00E0470F" w:rsidRDefault="00E0470F" w:rsidP="00911349">
      <w:pPr>
        <w:autoSpaceDE w:val="0"/>
        <w:autoSpaceDN w:val="0"/>
        <w:adjustRightInd w:val="0"/>
        <w:ind w:firstLine="720"/>
        <w:rPr>
          <w:szCs w:val="22"/>
        </w:rPr>
      </w:pPr>
    </w:p>
    <w:p w:rsidR="00911349" w:rsidRDefault="00911349" w:rsidP="00B6415E">
      <w:pPr>
        <w:autoSpaceDE w:val="0"/>
        <w:autoSpaceDN w:val="0"/>
        <w:adjustRightInd w:val="0"/>
        <w:ind w:firstLine="720"/>
        <w:rPr>
          <w:szCs w:val="22"/>
        </w:rPr>
      </w:pPr>
      <w:r>
        <w:rPr>
          <w:szCs w:val="22"/>
        </w:rPr>
        <w:t xml:space="preserve">Pursuant to </w:t>
      </w:r>
      <w:r w:rsidR="000D46FA">
        <w:rPr>
          <w:szCs w:val="22"/>
        </w:rPr>
        <w:t xml:space="preserve">the terms of the proposed transaction, </w:t>
      </w:r>
      <w:r w:rsidR="007101D4">
        <w:rPr>
          <w:szCs w:val="22"/>
        </w:rPr>
        <w:t xml:space="preserve">Conterra Holdings will acquire all of DFF Holdings’ membership interests in Detel.  Upon completion of the acquisition, Applicants state that Detel will become a wholly-owned subsidiary of Conterra Holdings.  </w:t>
      </w:r>
      <w:r>
        <w:rPr>
          <w:szCs w:val="22"/>
        </w:rPr>
        <w:t>Applicants assert that the proposed transaction is entitled to presumptive streamlined treatment under section 63.03(b)(2)(i) of the Commission’s rules and that a grant of the application will serve the public interest, convenience, and necessity.</w:t>
      </w:r>
      <w:r>
        <w:rPr>
          <w:rStyle w:val="FootnoteReference"/>
          <w:szCs w:val="22"/>
        </w:rPr>
        <w:footnoteReference w:id="4"/>
      </w:r>
    </w:p>
    <w:p w:rsidR="00911349" w:rsidRDefault="00911349" w:rsidP="00911349">
      <w:pPr>
        <w:autoSpaceDE w:val="0"/>
        <w:autoSpaceDN w:val="0"/>
        <w:adjustRightInd w:val="0"/>
        <w:ind w:firstLine="720"/>
        <w:rPr>
          <w:szCs w:val="22"/>
        </w:rPr>
      </w:pPr>
    </w:p>
    <w:p w:rsidR="007C7D6F" w:rsidRDefault="002B74A3" w:rsidP="00911349">
      <w:pPr>
        <w:autoSpaceDE w:val="0"/>
        <w:autoSpaceDN w:val="0"/>
        <w:adjustRightInd w:val="0"/>
        <w:ind w:left="720"/>
        <w:rPr>
          <w:szCs w:val="22"/>
        </w:rPr>
      </w:pPr>
      <w:r w:rsidRPr="002B74A3">
        <w:rPr>
          <w:szCs w:val="22"/>
        </w:rPr>
        <w:t>Domestic Section 214 Appl</w:t>
      </w:r>
      <w:r>
        <w:rPr>
          <w:szCs w:val="22"/>
        </w:rPr>
        <w:t>ication Filed for the Transfer of Control o</w:t>
      </w:r>
      <w:r w:rsidRPr="002B74A3">
        <w:rPr>
          <w:szCs w:val="22"/>
        </w:rPr>
        <w:t xml:space="preserve">f </w:t>
      </w:r>
    </w:p>
    <w:p w:rsidR="00911349" w:rsidRDefault="007101D4" w:rsidP="00911349">
      <w:pPr>
        <w:autoSpaceDE w:val="0"/>
        <w:autoSpaceDN w:val="0"/>
        <w:adjustRightInd w:val="0"/>
        <w:ind w:left="720"/>
        <w:rPr>
          <w:szCs w:val="22"/>
        </w:rPr>
      </w:pPr>
      <w:r>
        <w:rPr>
          <w:szCs w:val="22"/>
        </w:rPr>
        <w:t xml:space="preserve">Detel Wireless, LLC </w:t>
      </w:r>
      <w:r w:rsidR="002B74A3">
        <w:rPr>
          <w:szCs w:val="22"/>
        </w:rPr>
        <w:t>t</w:t>
      </w:r>
      <w:r w:rsidR="002B74A3" w:rsidRPr="002B74A3">
        <w:rPr>
          <w:szCs w:val="22"/>
        </w:rPr>
        <w:t>o Cub Parent, Inc.</w:t>
      </w:r>
      <w:r w:rsidR="007C7D6F">
        <w:rPr>
          <w:szCs w:val="22"/>
        </w:rPr>
        <w:t>,</w:t>
      </w:r>
      <w:r w:rsidR="002B74A3">
        <w:rPr>
          <w:szCs w:val="22"/>
        </w:rPr>
        <w:t xml:space="preserve"> </w:t>
      </w:r>
      <w:r w:rsidR="00911349">
        <w:rPr>
          <w:szCs w:val="22"/>
        </w:rPr>
        <w:t>WC Docket No. 14-</w:t>
      </w:r>
      <w:r w:rsidR="002B74A3">
        <w:rPr>
          <w:szCs w:val="22"/>
        </w:rPr>
        <w:t>5</w:t>
      </w:r>
      <w:r>
        <w:rPr>
          <w:szCs w:val="22"/>
        </w:rPr>
        <w:t>5</w:t>
      </w:r>
      <w:r w:rsidR="00911349">
        <w:rPr>
          <w:szCs w:val="22"/>
        </w:rPr>
        <w:t xml:space="preserve"> (filed Mar. </w:t>
      </w:r>
      <w:r>
        <w:rPr>
          <w:szCs w:val="22"/>
        </w:rPr>
        <w:t>21</w:t>
      </w:r>
      <w:r w:rsidR="00911349">
        <w:rPr>
          <w:szCs w:val="22"/>
        </w:rPr>
        <w:t>, 2014).</w:t>
      </w:r>
      <w:r w:rsidR="002B74A3" w:rsidRPr="002B74A3">
        <w:t xml:space="preserve"> </w:t>
      </w:r>
    </w:p>
    <w:p w:rsidR="00911349" w:rsidRDefault="00911349" w:rsidP="00911349">
      <w:pPr>
        <w:autoSpaceDE w:val="0"/>
        <w:autoSpaceDN w:val="0"/>
        <w:adjustRightInd w:val="0"/>
        <w:ind w:firstLine="720"/>
        <w:rPr>
          <w:szCs w:val="22"/>
        </w:rPr>
      </w:pPr>
    </w:p>
    <w:p w:rsidR="00911349" w:rsidRDefault="00911349" w:rsidP="00911349">
      <w:pPr>
        <w:ind w:right="720"/>
        <w:rPr>
          <w:szCs w:val="22"/>
        </w:rPr>
      </w:pPr>
      <w:r>
        <w:rPr>
          <w:b/>
          <w:szCs w:val="22"/>
          <w:u w:val="single"/>
        </w:rPr>
        <w:t>GENERAL INFORMATION</w:t>
      </w:r>
    </w:p>
    <w:p w:rsidR="00911349" w:rsidRDefault="00911349" w:rsidP="00911349">
      <w:pPr>
        <w:ind w:right="720"/>
        <w:rPr>
          <w:szCs w:val="22"/>
        </w:rPr>
      </w:pPr>
    </w:p>
    <w:p w:rsidR="00911349" w:rsidRDefault="00911349" w:rsidP="00911349">
      <w:pPr>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 xml:space="preserve">on or before April </w:t>
      </w:r>
      <w:r w:rsidR="004F65E5">
        <w:rPr>
          <w:b/>
          <w:szCs w:val="22"/>
        </w:rPr>
        <w:t>18</w:t>
      </w:r>
      <w:r>
        <w:rPr>
          <w:b/>
          <w:szCs w:val="22"/>
        </w:rPr>
        <w:t>, 2014</w:t>
      </w:r>
      <w:r>
        <w:rPr>
          <w:szCs w:val="22"/>
        </w:rPr>
        <w:t xml:space="preserve">, and reply comments </w:t>
      </w:r>
      <w:r>
        <w:rPr>
          <w:b/>
          <w:szCs w:val="22"/>
        </w:rPr>
        <w:t xml:space="preserve">on or before April </w:t>
      </w:r>
      <w:r w:rsidR="004F65E5">
        <w:rPr>
          <w:b/>
          <w:szCs w:val="22"/>
        </w:rPr>
        <w:t>25</w:t>
      </w:r>
      <w:r>
        <w:rPr>
          <w:b/>
          <w:szCs w:val="22"/>
        </w:rPr>
        <w:t>, 2014</w:t>
      </w:r>
      <w:r>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911349" w:rsidRDefault="00911349" w:rsidP="00911349">
      <w:pPr>
        <w:rPr>
          <w:szCs w:val="22"/>
        </w:rPr>
      </w:pPr>
    </w:p>
    <w:p w:rsidR="00911349" w:rsidRDefault="00911349" w:rsidP="00911349">
      <w:pPr>
        <w:ind w:firstLine="720"/>
        <w:rPr>
          <w:szCs w:val="22"/>
        </w:rPr>
      </w:pPr>
      <w:r>
        <w:rPr>
          <w:szCs w:val="22"/>
        </w:rPr>
        <w:t xml:space="preserve">Pursuant to section 63.03 of the Commission’s rules, 47 CFR § 63.03, parties to this proceeding should file any documents in this proceeding using the Commission’s Electronic Comment Filing System (ECFS):  http://fjallfoss.fcc.gov/ecfs2/.  </w:t>
      </w:r>
    </w:p>
    <w:p w:rsidR="00911349" w:rsidRDefault="00911349" w:rsidP="00911349">
      <w:pPr>
        <w:rPr>
          <w:szCs w:val="22"/>
        </w:rPr>
      </w:pPr>
    </w:p>
    <w:p w:rsidR="00911349" w:rsidRDefault="00911349" w:rsidP="00911349">
      <w:pPr>
        <w:rPr>
          <w:b/>
          <w:szCs w:val="22"/>
        </w:rPr>
      </w:pPr>
      <w:r>
        <w:rPr>
          <w:b/>
          <w:szCs w:val="22"/>
        </w:rPr>
        <w:t>In addition, e-mail one copy of each pleading to each of the following:</w:t>
      </w:r>
    </w:p>
    <w:p w:rsidR="00911349" w:rsidRDefault="00911349" w:rsidP="00911349">
      <w:pPr>
        <w:rPr>
          <w:szCs w:val="22"/>
        </w:rPr>
      </w:pPr>
    </w:p>
    <w:p w:rsidR="00911349" w:rsidRDefault="00911349" w:rsidP="00911349">
      <w:pPr>
        <w:numPr>
          <w:ilvl w:val="0"/>
          <w:numId w:val="13"/>
        </w:numPr>
        <w:rPr>
          <w:szCs w:val="22"/>
        </w:rPr>
      </w:pPr>
      <w:r>
        <w:rPr>
          <w:szCs w:val="22"/>
        </w:rPr>
        <w:t>Myrva.Charles, Competition Policy Division, Wireline Competition Bureau, myrva.charles@fcc.gov;</w:t>
      </w:r>
    </w:p>
    <w:p w:rsidR="00911349" w:rsidRDefault="00911349" w:rsidP="00911349">
      <w:pPr>
        <w:rPr>
          <w:szCs w:val="22"/>
        </w:rPr>
      </w:pPr>
    </w:p>
    <w:p w:rsidR="00911349" w:rsidRPr="00F83241" w:rsidRDefault="004F65E5" w:rsidP="00911349">
      <w:pPr>
        <w:numPr>
          <w:ilvl w:val="0"/>
          <w:numId w:val="13"/>
        </w:numPr>
        <w:rPr>
          <w:szCs w:val="22"/>
        </w:rPr>
      </w:pPr>
      <w:r w:rsidRPr="00F83241">
        <w:rPr>
          <w:szCs w:val="22"/>
        </w:rPr>
        <w:t>Jodie May</w:t>
      </w:r>
      <w:r w:rsidR="00911349" w:rsidRPr="00F83241">
        <w:rPr>
          <w:szCs w:val="22"/>
        </w:rPr>
        <w:t xml:space="preserve">, Competition Policy Division, Wireline Competition Bureau, </w:t>
      </w:r>
      <w:r w:rsidRPr="00F83241">
        <w:rPr>
          <w:szCs w:val="22"/>
        </w:rPr>
        <w:t>jodie.may</w:t>
      </w:r>
      <w:r w:rsidR="00911349" w:rsidRPr="00F83241">
        <w:rPr>
          <w:szCs w:val="22"/>
        </w:rPr>
        <w:t>@fcc.gov;</w:t>
      </w:r>
    </w:p>
    <w:p w:rsidR="00911349" w:rsidRDefault="00911349" w:rsidP="00911349">
      <w:pPr>
        <w:rPr>
          <w:szCs w:val="22"/>
        </w:rPr>
      </w:pPr>
    </w:p>
    <w:p w:rsidR="00911349" w:rsidRDefault="00911349" w:rsidP="00911349">
      <w:pPr>
        <w:numPr>
          <w:ilvl w:val="0"/>
          <w:numId w:val="13"/>
        </w:numPr>
        <w:rPr>
          <w:szCs w:val="22"/>
        </w:rPr>
      </w:pPr>
      <w:r>
        <w:rPr>
          <w:szCs w:val="22"/>
        </w:rPr>
        <w:lastRenderedPageBreak/>
        <w:t xml:space="preserve">Jim Bird, Office of General Counsel, </w:t>
      </w:r>
      <w:hyperlink r:id="rId15" w:history="1">
        <w:r>
          <w:rPr>
            <w:rStyle w:val="Hyperlink"/>
            <w:szCs w:val="22"/>
          </w:rPr>
          <w:t>jim.bird@fcc.gov</w:t>
        </w:r>
      </w:hyperlink>
      <w:r>
        <w:rPr>
          <w:szCs w:val="22"/>
        </w:rPr>
        <w:t>.</w:t>
      </w:r>
    </w:p>
    <w:p w:rsidR="00911349" w:rsidRDefault="00911349" w:rsidP="00911349">
      <w:pPr>
        <w:rPr>
          <w:szCs w:val="22"/>
        </w:rPr>
      </w:pPr>
    </w:p>
    <w:p w:rsidR="00911349" w:rsidRDefault="00911349" w:rsidP="00911349">
      <w:pPr>
        <w:ind w:firstLine="36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 418-0530 (voice), (202) 418-0432 (tty).</w:t>
      </w:r>
    </w:p>
    <w:p w:rsidR="00911349" w:rsidRDefault="00911349" w:rsidP="00911349">
      <w:pPr>
        <w:rPr>
          <w:szCs w:val="22"/>
        </w:rPr>
      </w:pPr>
    </w:p>
    <w:p w:rsidR="00911349" w:rsidRDefault="00911349" w:rsidP="00911349">
      <w:pPr>
        <w:ind w:firstLine="360"/>
        <w:rPr>
          <w:szCs w:val="22"/>
        </w:rPr>
      </w:pPr>
      <w:r>
        <w:rPr>
          <w:szCs w:val="22"/>
        </w:rPr>
        <w:t>The proceeding in this Notice 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911349" w:rsidRDefault="00911349" w:rsidP="00911349">
      <w:pPr>
        <w:rPr>
          <w:szCs w:val="22"/>
        </w:rPr>
      </w:pPr>
    </w:p>
    <w:p w:rsidR="00911349" w:rsidRDefault="00911349" w:rsidP="00911349">
      <w:pPr>
        <w:rPr>
          <w:szCs w:val="22"/>
        </w:rPr>
      </w:pPr>
      <w:r>
        <w:rPr>
          <w:szCs w:val="22"/>
        </w:rPr>
        <w:tab/>
        <w:t xml:space="preserve">For further information, please contact </w:t>
      </w:r>
      <w:r w:rsidRPr="000F71E9">
        <w:rPr>
          <w:szCs w:val="22"/>
        </w:rPr>
        <w:t>Myrva Charles</w:t>
      </w:r>
      <w:r>
        <w:rPr>
          <w:szCs w:val="22"/>
        </w:rPr>
        <w:t xml:space="preserve"> at (202) 418-1506 or </w:t>
      </w:r>
      <w:r w:rsidR="004F65E5">
        <w:rPr>
          <w:szCs w:val="22"/>
        </w:rPr>
        <w:t>Jodie May</w:t>
      </w:r>
      <w:r>
        <w:rPr>
          <w:szCs w:val="22"/>
        </w:rPr>
        <w:t xml:space="preserve"> at (202) 418-0</w:t>
      </w:r>
      <w:r w:rsidR="004F65E5">
        <w:rPr>
          <w:szCs w:val="22"/>
        </w:rPr>
        <w:t>913</w:t>
      </w:r>
      <w:r>
        <w:rPr>
          <w:szCs w:val="22"/>
        </w:rPr>
        <w:t>.</w:t>
      </w:r>
    </w:p>
    <w:p w:rsidR="00911349" w:rsidRDefault="00911349" w:rsidP="00911349">
      <w:pPr>
        <w:ind w:left="720" w:right="720"/>
        <w:rPr>
          <w:szCs w:val="22"/>
        </w:rPr>
      </w:pPr>
    </w:p>
    <w:p w:rsidR="00911349" w:rsidRDefault="00911349" w:rsidP="00911349">
      <w:pPr>
        <w:jc w:val="center"/>
        <w:rPr>
          <w:szCs w:val="22"/>
        </w:rPr>
      </w:pPr>
      <w:r>
        <w:rPr>
          <w:b/>
          <w:szCs w:val="22"/>
        </w:rPr>
        <w:t>- FCC -</w:t>
      </w:r>
    </w:p>
    <w:p w:rsidR="00911349" w:rsidRDefault="00911349" w:rsidP="00911349">
      <w:pPr>
        <w:spacing w:before="120" w:after="240"/>
        <w:rPr>
          <w:sz w:val="24"/>
        </w:rPr>
      </w:pPr>
    </w:p>
    <w:p w:rsidR="00845133" w:rsidRDefault="00845133" w:rsidP="00845133">
      <w:pPr>
        <w:pStyle w:val="NoSpacing"/>
      </w:pPr>
    </w:p>
    <w:p w:rsidR="00845133" w:rsidRDefault="00845133">
      <w:pPr>
        <w:spacing w:before="120" w:after="240"/>
        <w:rPr>
          <w:sz w:val="24"/>
        </w:rPr>
      </w:pP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D64" w:rsidRDefault="00B86D64">
      <w:r>
        <w:separator/>
      </w:r>
    </w:p>
  </w:endnote>
  <w:endnote w:type="continuationSeparator" w:id="0">
    <w:p w:rsidR="00B86D64" w:rsidRDefault="00B86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939" w:rsidRDefault="00C139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852434"/>
      <w:docPartObj>
        <w:docPartGallery w:val="Page Numbers (Bottom of Page)"/>
        <w:docPartUnique/>
      </w:docPartObj>
    </w:sdtPr>
    <w:sdtEndPr>
      <w:rPr>
        <w:noProof/>
      </w:rPr>
    </w:sdtEndPr>
    <w:sdtContent>
      <w:p w:rsidR="00A422C6" w:rsidRDefault="00A422C6">
        <w:pPr>
          <w:pStyle w:val="Footer"/>
          <w:jc w:val="center"/>
        </w:pPr>
        <w:r>
          <w:fldChar w:fldCharType="begin"/>
        </w:r>
        <w:r>
          <w:instrText xml:space="preserve"> PAGE   \* MERGEFORMAT </w:instrText>
        </w:r>
        <w:r>
          <w:fldChar w:fldCharType="separate"/>
        </w:r>
        <w:r w:rsidR="00C241A7">
          <w:rPr>
            <w:noProof/>
          </w:rPr>
          <w:t>2</w:t>
        </w:r>
        <w:r>
          <w:rPr>
            <w:noProof/>
          </w:rPr>
          <w:fldChar w:fldCharType="end"/>
        </w:r>
      </w:p>
    </w:sdtContent>
  </w:sdt>
  <w:p w:rsidR="00A422C6" w:rsidRDefault="00A422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939" w:rsidRDefault="00C13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D64" w:rsidRDefault="00B86D64">
      <w:r>
        <w:separator/>
      </w:r>
    </w:p>
  </w:footnote>
  <w:footnote w:type="continuationSeparator" w:id="0">
    <w:p w:rsidR="00B86D64" w:rsidRDefault="00B86D64">
      <w:r>
        <w:continuationSeparator/>
      </w:r>
    </w:p>
  </w:footnote>
  <w:footnote w:id="1">
    <w:p w:rsidR="00911349" w:rsidRPr="00C14327" w:rsidRDefault="00911349" w:rsidP="00911349">
      <w:pPr>
        <w:pStyle w:val="FootnoteText"/>
        <w:rPr>
          <w:sz w:val="20"/>
        </w:rPr>
      </w:pPr>
      <w:r w:rsidRPr="00C14327">
        <w:rPr>
          <w:rStyle w:val="FootnoteReference"/>
          <w:sz w:val="20"/>
        </w:rPr>
        <w:footnoteRef/>
      </w:r>
      <w:r w:rsidRPr="00C14327">
        <w:rPr>
          <w:sz w:val="20"/>
        </w:rPr>
        <w:t xml:space="preserve">  47 C.F.R § 63.03; </w:t>
      </w:r>
      <w:r w:rsidRPr="00C14327">
        <w:rPr>
          <w:i/>
          <w:sz w:val="20"/>
        </w:rPr>
        <w:t xml:space="preserve">see </w:t>
      </w:r>
      <w:r w:rsidRPr="00C14327">
        <w:rPr>
          <w:sz w:val="20"/>
        </w:rPr>
        <w:t xml:space="preserve">47 U.S.C. § 214.  Applicants </w:t>
      </w:r>
      <w:r w:rsidR="00975ABF">
        <w:rPr>
          <w:sz w:val="20"/>
        </w:rPr>
        <w:t xml:space="preserve">are </w:t>
      </w:r>
      <w:r w:rsidRPr="00C14327">
        <w:rPr>
          <w:sz w:val="20"/>
        </w:rPr>
        <w:t>also fil</w:t>
      </w:r>
      <w:r w:rsidR="00975ABF">
        <w:rPr>
          <w:sz w:val="20"/>
        </w:rPr>
        <w:t>ing</w:t>
      </w:r>
      <w:r w:rsidRPr="00C14327">
        <w:rPr>
          <w:sz w:val="20"/>
        </w:rPr>
        <w:t xml:space="preserve"> applications for transfer of control associated with authorization for </w:t>
      </w:r>
      <w:r w:rsidR="00975ABF">
        <w:rPr>
          <w:sz w:val="20"/>
        </w:rPr>
        <w:t>wireless licenses</w:t>
      </w:r>
      <w:r w:rsidRPr="00C14327">
        <w:rPr>
          <w:sz w:val="20"/>
        </w:rPr>
        <w:t>.  Any action on this domestic section 214 application is without prejudice to Commission action on other related, pending applications</w:t>
      </w:r>
      <w:r>
        <w:rPr>
          <w:sz w:val="20"/>
        </w:rPr>
        <w:t>.</w:t>
      </w:r>
    </w:p>
  </w:footnote>
  <w:footnote w:id="2">
    <w:p w:rsidR="003415E0" w:rsidRDefault="003415E0" w:rsidP="003415E0">
      <w:pPr>
        <w:autoSpaceDE w:val="0"/>
        <w:autoSpaceDN w:val="0"/>
        <w:adjustRightInd w:val="0"/>
        <w:rPr>
          <w:szCs w:val="22"/>
        </w:rPr>
      </w:pPr>
      <w:r>
        <w:rPr>
          <w:rStyle w:val="FootnoteReference"/>
        </w:rPr>
        <w:footnoteRef/>
      </w:r>
      <w:r>
        <w:t xml:space="preserve"> </w:t>
      </w:r>
      <w:r w:rsidRPr="00AD3E9D">
        <w:rPr>
          <w:sz w:val="20"/>
        </w:rPr>
        <w:t>Conterra Holdings owns 100 percent of Conterra Ultra Broadband, LLC (Conterra) that provides competitive telecommunications services in multiple states.  Applicants have also filed a domestic section 214 application to transfer control of Conterra to CUB Parent.  Application of Conterra Ultra Broadband Holdings, Inc., Conterra Ultra Broadband, LLC, and CUB Parent, Inc. for Grant of Authority Pursuant to Section 214, WC Docket No. 14-51 (filed Mar. 19, 2014).</w:t>
      </w:r>
    </w:p>
    <w:p w:rsidR="003415E0" w:rsidRDefault="003415E0" w:rsidP="003415E0">
      <w:pPr>
        <w:pStyle w:val="FootnoteText"/>
      </w:pPr>
    </w:p>
  </w:footnote>
  <w:footnote w:id="3">
    <w:p w:rsidR="000D46FA" w:rsidRPr="000D46FA" w:rsidRDefault="000D46FA">
      <w:pPr>
        <w:pStyle w:val="FootnoteText"/>
        <w:rPr>
          <w:sz w:val="20"/>
        </w:rPr>
      </w:pPr>
      <w:r>
        <w:rPr>
          <w:rStyle w:val="FootnoteReference"/>
        </w:rPr>
        <w:footnoteRef/>
      </w:r>
      <w:r>
        <w:t xml:space="preserve"> </w:t>
      </w:r>
      <w:r w:rsidRPr="000D46FA">
        <w:rPr>
          <w:sz w:val="20"/>
        </w:rPr>
        <w:t>Applicants state that funds managed by Court Square control Fibertech Networks, LLC and Fibe</w:t>
      </w:r>
      <w:r>
        <w:rPr>
          <w:sz w:val="20"/>
        </w:rPr>
        <w:t>r T</w:t>
      </w:r>
      <w:r w:rsidRPr="000D46FA">
        <w:rPr>
          <w:sz w:val="20"/>
        </w:rPr>
        <w:t>echnologies Networks, LLC that provide competitive telecommunications services in multiple states.</w:t>
      </w:r>
    </w:p>
  </w:footnote>
  <w:footnote w:id="4">
    <w:p w:rsidR="00911349" w:rsidRDefault="00911349" w:rsidP="00911349">
      <w:pPr>
        <w:pStyle w:val="FootnoteText"/>
        <w:rPr>
          <w:sz w:val="20"/>
        </w:rPr>
      </w:pPr>
      <w:r>
        <w:rPr>
          <w:rStyle w:val="FootnoteReference"/>
          <w:sz w:val="20"/>
        </w:rPr>
        <w:footnoteRef/>
      </w:r>
      <w:r>
        <w:rPr>
          <w:sz w:val="20"/>
        </w:rPr>
        <w:t xml:space="preserve"> 47 C.F.R. § 63.03(b)(2)(i).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939" w:rsidRDefault="00C139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939" w:rsidRDefault="00C139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84513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845133">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2006D"/>
    <w:rsid w:val="000265AE"/>
    <w:rsid w:val="00063DEC"/>
    <w:rsid w:val="0007377B"/>
    <w:rsid w:val="000D46FA"/>
    <w:rsid w:val="002A3A12"/>
    <w:rsid w:val="002B74A3"/>
    <w:rsid w:val="003415E0"/>
    <w:rsid w:val="003A3215"/>
    <w:rsid w:val="00437B61"/>
    <w:rsid w:val="004D7CB2"/>
    <w:rsid w:val="004F65E5"/>
    <w:rsid w:val="00513DB6"/>
    <w:rsid w:val="0052348B"/>
    <w:rsid w:val="0054191D"/>
    <w:rsid w:val="005D27BF"/>
    <w:rsid w:val="005F1271"/>
    <w:rsid w:val="00602577"/>
    <w:rsid w:val="00696F64"/>
    <w:rsid w:val="006D73BB"/>
    <w:rsid w:val="006E0983"/>
    <w:rsid w:val="007101D4"/>
    <w:rsid w:val="00735014"/>
    <w:rsid w:val="00761497"/>
    <w:rsid w:val="00776EFB"/>
    <w:rsid w:val="007C7D6F"/>
    <w:rsid w:val="007E1888"/>
    <w:rsid w:val="00822589"/>
    <w:rsid w:val="00845133"/>
    <w:rsid w:val="008E6756"/>
    <w:rsid w:val="008F14B9"/>
    <w:rsid w:val="00911349"/>
    <w:rsid w:val="00975ABF"/>
    <w:rsid w:val="009A059A"/>
    <w:rsid w:val="009C528C"/>
    <w:rsid w:val="009D2E41"/>
    <w:rsid w:val="00A147A1"/>
    <w:rsid w:val="00A422C6"/>
    <w:rsid w:val="00AA0F6E"/>
    <w:rsid w:val="00AD3E9D"/>
    <w:rsid w:val="00B6415E"/>
    <w:rsid w:val="00B86D64"/>
    <w:rsid w:val="00C13939"/>
    <w:rsid w:val="00C241A7"/>
    <w:rsid w:val="00CB4406"/>
    <w:rsid w:val="00D17DC0"/>
    <w:rsid w:val="00D60EFF"/>
    <w:rsid w:val="00D819F8"/>
    <w:rsid w:val="00D90E56"/>
    <w:rsid w:val="00E0470F"/>
    <w:rsid w:val="00F770DE"/>
    <w:rsid w:val="00F83241"/>
    <w:rsid w:val="00F85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845133"/>
    <w:rPr>
      <w:sz w:val="22"/>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
    <w:basedOn w:val="DefaultParagraphFont"/>
    <w:link w:val="FootnoteText"/>
    <w:semiHidden/>
    <w:rsid w:val="00911349"/>
    <w:rPr>
      <w:sz w:val="22"/>
    </w:rPr>
  </w:style>
  <w:style w:type="character" w:customStyle="1" w:styleId="FooterChar">
    <w:name w:val="Footer Char"/>
    <w:basedOn w:val="DefaultParagraphFont"/>
    <w:link w:val="Footer"/>
    <w:uiPriority w:val="99"/>
    <w:rsid w:val="00A422C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845133"/>
    <w:rPr>
      <w:sz w:val="22"/>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
    <w:basedOn w:val="DefaultParagraphFont"/>
    <w:link w:val="FootnoteText"/>
    <w:semiHidden/>
    <w:rsid w:val="00911349"/>
    <w:rPr>
      <w:sz w:val="22"/>
    </w:rPr>
  </w:style>
  <w:style w:type="character" w:customStyle="1" w:styleId="FooterChar">
    <w:name w:val="Footer Char"/>
    <w:basedOn w:val="DefaultParagraphFont"/>
    <w:link w:val="Footer"/>
    <w:uiPriority w:val="99"/>
    <w:rsid w:val="00A422C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im.bird@fcc.gov"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5492</Characters>
  <Application>Microsoft Office Word</Application>
  <DocSecurity>0</DocSecurity>
  <Lines>103</Lines>
  <Paragraphs>25</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6487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2014-04-04T16:11:00Z</dcterms:created>
  <dcterms:modified xsi:type="dcterms:W3CDTF">2014-04-04T16:11:00Z</dcterms:modified>
  <cp:category> </cp:category>
  <cp:contentStatus> </cp:contentStatus>
</cp:coreProperties>
</file>