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F4" w:rsidRDefault="00147E54" w:rsidP="000D1AE3">
      <w:pPr>
        <w:jc w:val="right"/>
        <w:rPr>
          <w:b/>
          <w:szCs w:val="22"/>
        </w:rPr>
      </w:pPr>
      <w:bookmarkStart w:id="0" w:name="_GoBack"/>
      <w:bookmarkEnd w:id="0"/>
      <w:r>
        <w:rPr>
          <w:b/>
          <w:szCs w:val="22"/>
        </w:rPr>
        <w:t xml:space="preserve">DA </w:t>
      </w:r>
      <w:r w:rsidRPr="00147E54">
        <w:rPr>
          <w:b/>
          <w:szCs w:val="22"/>
        </w:rPr>
        <w:t>14-208</w:t>
      </w:r>
    </w:p>
    <w:p w:rsidR="00820223" w:rsidRPr="00227A7F" w:rsidRDefault="00820223" w:rsidP="00C70DED">
      <w:pPr>
        <w:jc w:val="right"/>
        <w:rPr>
          <w:b/>
          <w:szCs w:val="22"/>
        </w:rPr>
      </w:pPr>
    </w:p>
    <w:p w:rsidR="00784FF4" w:rsidRPr="00227A7F" w:rsidRDefault="00784FF4" w:rsidP="000D1AE3">
      <w:pPr>
        <w:jc w:val="right"/>
        <w:rPr>
          <w:szCs w:val="22"/>
        </w:rPr>
      </w:pPr>
      <w:r w:rsidRPr="00227A7F">
        <w:rPr>
          <w:b/>
          <w:szCs w:val="22"/>
        </w:rPr>
        <w:tab/>
        <w:t xml:space="preserve">Released:  </w:t>
      </w:r>
      <w:r w:rsidR="00B130C7">
        <w:rPr>
          <w:b/>
          <w:szCs w:val="22"/>
        </w:rPr>
        <w:t>February</w:t>
      </w:r>
      <w:r w:rsidRPr="00227A7F">
        <w:rPr>
          <w:b/>
          <w:szCs w:val="22"/>
        </w:rPr>
        <w:t xml:space="preserve"> </w:t>
      </w:r>
      <w:r w:rsidR="00020100">
        <w:rPr>
          <w:b/>
          <w:szCs w:val="22"/>
        </w:rPr>
        <w:t>18</w:t>
      </w:r>
      <w:r w:rsidRPr="00227A7F">
        <w:rPr>
          <w:b/>
          <w:szCs w:val="22"/>
        </w:rPr>
        <w:t>, 2014</w:t>
      </w:r>
    </w:p>
    <w:p w:rsidR="001F4E04" w:rsidRDefault="001F4E04" w:rsidP="000D1AE3">
      <w:pPr>
        <w:rPr>
          <w:b/>
          <w:szCs w:val="22"/>
        </w:rPr>
      </w:pPr>
    </w:p>
    <w:p w:rsidR="000D1AE3" w:rsidRDefault="0040279D" w:rsidP="000D1AE3">
      <w:pPr>
        <w:jc w:val="center"/>
        <w:rPr>
          <w:b/>
          <w:szCs w:val="22"/>
        </w:rPr>
      </w:pPr>
      <w:r w:rsidRPr="00227A7F">
        <w:rPr>
          <w:b/>
          <w:szCs w:val="22"/>
        </w:rPr>
        <w:t xml:space="preserve">PUBLIC SAFETY AND HOMELAND SECURITY BUREAU ANNOUNCES </w:t>
      </w:r>
      <w:r w:rsidR="00477190">
        <w:rPr>
          <w:b/>
          <w:szCs w:val="22"/>
        </w:rPr>
        <w:br/>
      </w:r>
      <w:r w:rsidRPr="00227A7F">
        <w:rPr>
          <w:b/>
          <w:szCs w:val="22"/>
        </w:rPr>
        <w:t>EFFECTIVE DATE OF 911 RELIABILITY RULES</w:t>
      </w:r>
      <w:r w:rsidR="001F4E04">
        <w:rPr>
          <w:b/>
          <w:szCs w:val="22"/>
        </w:rPr>
        <w:t xml:space="preserve"> </w:t>
      </w:r>
      <w:r w:rsidR="00112061">
        <w:rPr>
          <w:b/>
          <w:szCs w:val="22"/>
        </w:rPr>
        <w:br/>
      </w:r>
    </w:p>
    <w:p w:rsidR="00784FF4" w:rsidRDefault="00784FF4" w:rsidP="000D1AE3">
      <w:pPr>
        <w:jc w:val="center"/>
        <w:rPr>
          <w:b/>
          <w:szCs w:val="22"/>
        </w:rPr>
      </w:pPr>
      <w:r w:rsidRPr="00227A7F">
        <w:rPr>
          <w:b/>
          <w:szCs w:val="22"/>
        </w:rPr>
        <w:t>PS Docket No</w:t>
      </w:r>
      <w:r w:rsidR="0040279D" w:rsidRPr="00227A7F">
        <w:rPr>
          <w:b/>
          <w:szCs w:val="22"/>
        </w:rPr>
        <w:t>s. 13-75, 11-60</w:t>
      </w:r>
    </w:p>
    <w:p w:rsidR="000D1AE3" w:rsidRPr="00227A7F" w:rsidRDefault="000D1AE3" w:rsidP="000D1AE3">
      <w:pPr>
        <w:jc w:val="center"/>
        <w:rPr>
          <w:szCs w:val="22"/>
        </w:rPr>
      </w:pPr>
    </w:p>
    <w:p w:rsidR="00784FF4" w:rsidRPr="00227A7F" w:rsidRDefault="00784FF4" w:rsidP="000F34EB">
      <w:pPr>
        <w:spacing w:after="240"/>
        <w:ind w:firstLine="720"/>
        <w:rPr>
          <w:szCs w:val="22"/>
        </w:rPr>
      </w:pPr>
      <w:r w:rsidRPr="00227A7F">
        <w:rPr>
          <w:szCs w:val="22"/>
        </w:rPr>
        <w:t>By this Public Notice, the Public Safety and Homeland Security Bureau</w:t>
      </w:r>
      <w:r w:rsidR="003634D9">
        <w:rPr>
          <w:szCs w:val="22"/>
        </w:rPr>
        <w:t xml:space="preserve"> (Bureau)</w:t>
      </w:r>
      <w:r w:rsidRPr="00227A7F">
        <w:rPr>
          <w:szCs w:val="22"/>
        </w:rPr>
        <w:t xml:space="preserve"> </w:t>
      </w:r>
      <w:r w:rsidR="005A4EB3" w:rsidRPr="00227A7F">
        <w:rPr>
          <w:szCs w:val="22"/>
        </w:rPr>
        <w:t xml:space="preserve">announces the effective date of </w:t>
      </w:r>
      <w:r w:rsidR="00613B8E" w:rsidRPr="00227A7F">
        <w:rPr>
          <w:szCs w:val="22"/>
        </w:rPr>
        <w:t xml:space="preserve">rules to improve the reliability and resiliency of 911 communications </w:t>
      </w:r>
      <w:r w:rsidR="00B55799" w:rsidRPr="00227A7F">
        <w:rPr>
          <w:szCs w:val="22"/>
        </w:rPr>
        <w:t>networks</w:t>
      </w:r>
      <w:r w:rsidR="000F34EB" w:rsidRPr="00227A7F">
        <w:rPr>
          <w:szCs w:val="22"/>
        </w:rPr>
        <w:t xml:space="preserve">.  </w:t>
      </w:r>
      <w:r w:rsidR="00613B8E" w:rsidRPr="00227A7F">
        <w:rPr>
          <w:szCs w:val="22"/>
        </w:rPr>
        <w:t xml:space="preserve">On December 12, 2013, the Federal Communications Commission (Commission) adopted a </w:t>
      </w:r>
      <w:r w:rsidR="00613B8E" w:rsidRPr="00227A7F">
        <w:rPr>
          <w:i/>
          <w:szCs w:val="22"/>
        </w:rPr>
        <w:t>Report and Order</w:t>
      </w:r>
      <w:r w:rsidR="00613B8E" w:rsidRPr="00227A7F">
        <w:rPr>
          <w:szCs w:val="22"/>
        </w:rPr>
        <w:t xml:space="preserve"> </w:t>
      </w:r>
      <w:r w:rsidR="00B55799" w:rsidRPr="00227A7F">
        <w:rPr>
          <w:szCs w:val="22"/>
        </w:rPr>
        <w:t>(</w:t>
      </w:r>
      <w:r w:rsidR="00B55799" w:rsidRPr="00227A7F">
        <w:rPr>
          <w:i/>
          <w:szCs w:val="22"/>
        </w:rPr>
        <w:t>911 Reliability Order</w:t>
      </w:r>
      <w:r w:rsidR="00B55799" w:rsidRPr="00227A7F">
        <w:rPr>
          <w:szCs w:val="22"/>
        </w:rPr>
        <w:t xml:space="preserve">) </w:t>
      </w:r>
      <w:r w:rsidR="00613B8E" w:rsidRPr="00227A7F">
        <w:rPr>
          <w:szCs w:val="22"/>
        </w:rPr>
        <w:t xml:space="preserve">requiring certain 911 </w:t>
      </w:r>
      <w:r w:rsidR="00B55799" w:rsidRPr="00227A7F">
        <w:rPr>
          <w:szCs w:val="22"/>
        </w:rPr>
        <w:t>communications</w:t>
      </w:r>
      <w:r w:rsidR="00613B8E" w:rsidRPr="00227A7F">
        <w:rPr>
          <w:szCs w:val="22"/>
        </w:rPr>
        <w:t xml:space="preserve"> providers to take reasonable measures to provide reliable service, as evidenced by an annual certification of compliance with </w:t>
      </w:r>
      <w:r w:rsidR="00B55799" w:rsidRPr="00227A7F">
        <w:rPr>
          <w:szCs w:val="22"/>
        </w:rPr>
        <w:t xml:space="preserve">specified </w:t>
      </w:r>
      <w:r w:rsidR="00613B8E" w:rsidRPr="00227A7F">
        <w:rPr>
          <w:szCs w:val="22"/>
        </w:rPr>
        <w:t>best practices or reasonable alternative measures.</w:t>
      </w:r>
      <w:r w:rsidR="00613B8E" w:rsidRPr="00227A7F">
        <w:rPr>
          <w:rStyle w:val="FootnoteReference"/>
          <w:szCs w:val="22"/>
        </w:rPr>
        <w:footnoteReference w:id="1"/>
      </w:r>
      <w:r w:rsidR="00613B8E" w:rsidRPr="00227A7F">
        <w:rPr>
          <w:szCs w:val="22"/>
        </w:rPr>
        <w:t xml:space="preserve">  </w:t>
      </w:r>
    </w:p>
    <w:p w:rsidR="00227A7F" w:rsidRPr="00227A7F" w:rsidRDefault="00227A7F" w:rsidP="00227A7F">
      <w:pPr>
        <w:spacing w:after="240"/>
        <w:rPr>
          <w:b/>
          <w:szCs w:val="22"/>
          <w:u w:val="single"/>
        </w:rPr>
      </w:pPr>
      <w:r w:rsidRPr="00227A7F">
        <w:rPr>
          <w:b/>
          <w:szCs w:val="22"/>
          <w:u w:val="single"/>
        </w:rPr>
        <w:t xml:space="preserve">Effective Date </w:t>
      </w:r>
    </w:p>
    <w:p w:rsidR="00F55984" w:rsidRDefault="00B55799" w:rsidP="00477190">
      <w:pPr>
        <w:spacing w:after="240"/>
        <w:ind w:firstLine="720"/>
        <w:rPr>
          <w:szCs w:val="22"/>
        </w:rPr>
      </w:pPr>
      <w:r w:rsidRPr="00227A7F">
        <w:rPr>
          <w:szCs w:val="22"/>
        </w:rPr>
        <w:t xml:space="preserve">As stated in the </w:t>
      </w:r>
      <w:r w:rsidRPr="00227A7F">
        <w:rPr>
          <w:i/>
          <w:szCs w:val="22"/>
        </w:rPr>
        <w:t>911 Reliability Order</w:t>
      </w:r>
      <w:r w:rsidRPr="00227A7F">
        <w:rPr>
          <w:szCs w:val="22"/>
        </w:rPr>
        <w:t xml:space="preserve">, portions of the rules </w:t>
      </w:r>
      <w:r w:rsidR="00227A7F" w:rsidRPr="00227A7F">
        <w:rPr>
          <w:szCs w:val="22"/>
        </w:rPr>
        <w:t xml:space="preserve">that do not </w:t>
      </w:r>
      <w:r w:rsidR="00112061">
        <w:rPr>
          <w:szCs w:val="22"/>
        </w:rPr>
        <w:t>contain new or modified information collection requirements subject to approval by</w:t>
      </w:r>
      <w:r w:rsidR="00227A7F" w:rsidRPr="00227A7F">
        <w:rPr>
          <w:szCs w:val="22"/>
        </w:rPr>
        <w:t xml:space="preserve"> </w:t>
      </w:r>
      <w:r w:rsidRPr="00227A7F">
        <w:rPr>
          <w:szCs w:val="22"/>
        </w:rPr>
        <w:t>the Office of Management and Budget (OMB)</w:t>
      </w:r>
      <w:r w:rsidR="003634D9">
        <w:rPr>
          <w:szCs w:val="22"/>
        </w:rPr>
        <w:t xml:space="preserve"> </w:t>
      </w:r>
      <w:r w:rsidRPr="00227A7F">
        <w:rPr>
          <w:szCs w:val="22"/>
        </w:rPr>
        <w:t xml:space="preserve">become effective 30 </w:t>
      </w:r>
      <w:r w:rsidR="005818A9" w:rsidRPr="00227A7F">
        <w:rPr>
          <w:szCs w:val="22"/>
        </w:rPr>
        <w:t>days after publication</w:t>
      </w:r>
      <w:r w:rsidR="00ED00AD" w:rsidRPr="00227A7F">
        <w:rPr>
          <w:szCs w:val="22"/>
        </w:rPr>
        <w:t xml:space="preserve"> in the Federal Register.</w:t>
      </w:r>
      <w:r w:rsidR="00227A7F" w:rsidRPr="00227A7F">
        <w:rPr>
          <w:rStyle w:val="FootnoteReference"/>
          <w:szCs w:val="22"/>
        </w:rPr>
        <w:footnoteReference w:id="2"/>
      </w:r>
      <w:r w:rsidR="00ED00AD" w:rsidRPr="00227A7F">
        <w:rPr>
          <w:szCs w:val="22"/>
        </w:rPr>
        <w:t xml:space="preserve">  </w:t>
      </w:r>
      <w:r w:rsidR="005818A9" w:rsidRPr="00227A7F">
        <w:rPr>
          <w:szCs w:val="22"/>
        </w:rPr>
        <w:t xml:space="preserve">A summary of </w:t>
      </w:r>
      <w:r w:rsidR="00F60158">
        <w:rPr>
          <w:szCs w:val="22"/>
        </w:rPr>
        <w:t xml:space="preserve">the </w:t>
      </w:r>
      <w:r w:rsidR="005818A9" w:rsidRPr="00227A7F">
        <w:rPr>
          <w:i/>
          <w:szCs w:val="22"/>
        </w:rPr>
        <w:t>911 Reliability Order</w:t>
      </w:r>
      <w:r w:rsidR="005818A9" w:rsidRPr="00227A7F">
        <w:rPr>
          <w:szCs w:val="22"/>
        </w:rPr>
        <w:t xml:space="preserve"> and rules adopted </w:t>
      </w:r>
      <w:r w:rsidR="00ED00AD" w:rsidRPr="00227A7F">
        <w:rPr>
          <w:szCs w:val="22"/>
        </w:rPr>
        <w:t>therein</w:t>
      </w:r>
      <w:r w:rsidR="005818A9" w:rsidRPr="00227A7F">
        <w:rPr>
          <w:szCs w:val="22"/>
        </w:rPr>
        <w:t xml:space="preserve"> appeared in the Federal Register on January 17, 2014.</w:t>
      </w:r>
      <w:r w:rsidR="005818A9" w:rsidRPr="00227A7F">
        <w:rPr>
          <w:rStyle w:val="FootnoteReference"/>
          <w:szCs w:val="22"/>
        </w:rPr>
        <w:footnoteReference w:id="3"/>
      </w:r>
      <w:r w:rsidR="00227A7F" w:rsidRPr="00227A7F">
        <w:rPr>
          <w:szCs w:val="22"/>
        </w:rPr>
        <w:t xml:space="preserve">  </w:t>
      </w:r>
      <w:r w:rsidR="00112061">
        <w:rPr>
          <w:szCs w:val="22"/>
        </w:rPr>
        <w:t>Accordingly</w:t>
      </w:r>
      <w:r w:rsidR="000F34EB" w:rsidRPr="00227A7F">
        <w:rPr>
          <w:szCs w:val="22"/>
        </w:rPr>
        <w:t xml:space="preserve">, </w:t>
      </w:r>
      <w:r w:rsidR="001428EA">
        <w:rPr>
          <w:szCs w:val="22"/>
        </w:rPr>
        <w:t xml:space="preserve">a </w:t>
      </w:r>
      <w:r w:rsidR="000F34EB" w:rsidRPr="00227A7F">
        <w:rPr>
          <w:szCs w:val="22"/>
        </w:rPr>
        <w:t>Covered 911 Service Provider</w:t>
      </w:r>
      <w:r w:rsidR="001428EA">
        <w:rPr>
          <w:szCs w:val="22"/>
        </w:rPr>
        <w:t>’</w:t>
      </w:r>
      <w:r w:rsidR="000F34EB" w:rsidRPr="00227A7F">
        <w:rPr>
          <w:szCs w:val="22"/>
        </w:rPr>
        <w:t>s obligation</w:t>
      </w:r>
      <w:r w:rsidR="006C320E">
        <w:rPr>
          <w:szCs w:val="22"/>
        </w:rPr>
        <w:t>, pursuant to new Section 12.4(b) of the Commission’s rules,</w:t>
      </w:r>
      <w:r w:rsidR="006C320E">
        <w:rPr>
          <w:rStyle w:val="FootnoteReference"/>
          <w:szCs w:val="22"/>
        </w:rPr>
        <w:footnoteReference w:id="4"/>
      </w:r>
      <w:r w:rsidR="000F34EB" w:rsidRPr="00227A7F">
        <w:rPr>
          <w:szCs w:val="22"/>
        </w:rPr>
        <w:t xml:space="preserve"> to take reasonable measures to provide reliable 911 service with respect to 911 circuit diversity, central office backup power, and diverse network monitoring</w:t>
      </w:r>
      <w:r w:rsidR="00B01B9C" w:rsidRPr="00227A7F">
        <w:rPr>
          <w:szCs w:val="22"/>
        </w:rPr>
        <w:t xml:space="preserve"> </w:t>
      </w:r>
      <w:r w:rsidR="00112061">
        <w:rPr>
          <w:szCs w:val="22"/>
        </w:rPr>
        <w:t>takes effect today,</w:t>
      </w:r>
      <w:r w:rsidR="000F34EB" w:rsidRPr="00227A7F">
        <w:rPr>
          <w:szCs w:val="22"/>
        </w:rPr>
        <w:t xml:space="preserve"> February 18, 2014</w:t>
      </w:r>
      <w:r w:rsidR="00706153">
        <w:rPr>
          <w:szCs w:val="22"/>
        </w:rPr>
        <w:t>, except for information collection requirements subject to OMB approval</w:t>
      </w:r>
      <w:r w:rsidR="000F34EB" w:rsidRPr="00227A7F">
        <w:rPr>
          <w:szCs w:val="22"/>
        </w:rPr>
        <w:t>.</w:t>
      </w:r>
      <w:r w:rsidR="00F9213C">
        <w:rPr>
          <w:rStyle w:val="FootnoteReference"/>
          <w:szCs w:val="22"/>
        </w:rPr>
        <w:footnoteReference w:id="5"/>
      </w:r>
      <w:r w:rsidR="000F34EB" w:rsidRPr="00227A7F">
        <w:rPr>
          <w:szCs w:val="22"/>
        </w:rPr>
        <w:t xml:space="preserve"> </w:t>
      </w:r>
    </w:p>
    <w:p w:rsidR="00636BBE" w:rsidRPr="000D1AE3" w:rsidRDefault="00112061" w:rsidP="00477190">
      <w:pPr>
        <w:spacing w:after="240"/>
        <w:ind w:firstLine="720"/>
        <w:rPr>
          <w:szCs w:val="22"/>
        </w:rPr>
      </w:pPr>
      <w:r>
        <w:rPr>
          <w:szCs w:val="22"/>
        </w:rPr>
        <w:t>On February 10, 2014, the Commission published additional information in the Federal Register clarifying which</w:t>
      </w:r>
      <w:r w:rsidR="00075C6C">
        <w:rPr>
          <w:szCs w:val="22"/>
        </w:rPr>
        <w:t xml:space="preserve"> sections of the rules require OMB approval.</w:t>
      </w:r>
      <w:r w:rsidR="00075C6C">
        <w:rPr>
          <w:rStyle w:val="FootnoteReference"/>
          <w:szCs w:val="22"/>
        </w:rPr>
        <w:footnoteReference w:id="6"/>
      </w:r>
      <w:r w:rsidR="00075C6C">
        <w:rPr>
          <w:szCs w:val="22"/>
        </w:rPr>
        <w:t xml:space="preserve">  As stated in that </w:t>
      </w:r>
      <w:r w:rsidR="00DD2AEB">
        <w:rPr>
          <w:szCs w:val="22"/>
        </w:rPr>
        <w:t>notice</w:t>
      </w:r>
      <w:r w:rsidR="00075C6C">
        <w:rPr>
          <w:szCs w:val="22"/>
        </w:rPr>
        <w:t xml:space="preserve">, new </w:t>
      </w:r>
      <w:r w:rsidR="001428EA">
        <w:rPr>
          <w:szCs w:val="22"/>
        </w:rPr>
        <w:t>S</w:t>
      </w:r>
      <w:r w:rsidR="00075C6C">
        <w:rPr>
          <w:szCs w:val="22"/>
        </w:rPr>
        <w:t>ections</w:t>
      </w:r>
      <w:r w:rsidR="00075C6C" w:rsidRPr="00075C6C">
        <w:rPr>
          <w:szCs w:val="22"/>
        </w:rPr>
        <w:t xml:space="preserve"> 12.4(c), (d)(1), and (d)(3)</w:t>
      </w:r>
      <w:r w:rsidR="00636BBE">
        <w:rPr>
          <w:szCs w:val="22"/>
        </w:rPr>
        <w:t xml:space="preserve"> </w:t>
      </w:r>
      <w:r w:rsidR="001428EA">
        <w:rPr>
          <w:szCs w:val="22"/>
        </w:rPr>
        <w:t xml:space="preserve">of the Commission’s rules </w:t>
      </w:r>
      <w:r w:rsidR="00636BBE">
        <w:rPr>
          <w:szCs w:val="22"/>
        </w:rPr>
        <w:t xml:space="preserve">regarding </w:t>
      </w:r>
      <w:r w:rsidR="00F55984">
        <w:rPr>
          <w:szCs w:val="22"/>
        </w:rPr>
        <w:t xml:space="preserve">the elements of </w:t>
      </w:r>
      <w:r w:rsidR="00636BBE">
        <w:rPr>
          <w:szCs w:val="22"/>
        </w:rPr>
        <w:t xml:space="preserve">annual reliability </w:t>
      </w:r>
      <w:r w:rsidR="00636BBE">
        <w:rPr>
          <w:szCs w:val="22"/>
        </w:rPr>
        <w:lastRenderedPageBreak/>
        <w:t>certifications</w:t>
      </w:r>
      <w:r w:rsidR="00F55984">
        <w:rPr>
          <w:szCs w:val="22"/>
        </w:rPr>
        <w:t xml:space="preserve"> and</w:t>
      </w:r>
      <w:r w:rsidR="00636BBE">
        <w:rPr>
          <w:szCs w:val="22"/>
        </w:rPr>
        <w:t xml:space="preserve"> initial reliability certifications, </w:t>
      </w:r>
      <w:r w:rsidR="00F55984">
        <w:rPr>
          <w:szCs w:val="22"/>
        </w:rPr>
        <w:t xml:space="preserve">including tagging Critical 911 Circuits </w:t>
      </w:r>
      <w:r w:rsidR="00636BBE">
        <w:rPr>
          <w:szCs w:val="22"/>
        </w:rPr>
        <w:t>and record retention</w:t>
      </w:r>
      <w:r w:rsidR="00F55984">
        <w:rPr>
          <w:szCs w:val="22"/>
        </w:rPr>
        <w:t>,</w:t>
      </w:r>
      <w:r w:rsidR="00636BBE">
        <w:rPr>
          <w:szCs w:val="22"/>
        </w:rPr>
        <w:t xml:space="preserve"> will not take effect until </w:t>
      </w:r>
      <w:r w:rsidR="00BB344F">
        <w:rPr>
          <w:szCs w:val="22"/>
        </w:rPr>
        <w:t xml:space="preserve">the associated information collection is </w:t>
      </w:r>
      <w:r w:rsidR="00636BBE">
        <w:rPr>
          <w:szCs w:val="22"/>
        </w:rPr>
        <w:t>approved by OMB.</w:t>
      </w:r>
      <w:r w:rsidR="00D50931">
        <w:rPr>
          <w:rStyle w:val="FootnoteReference"/>
          <w:szCs w:val="22"/>
        </w:rPr>
        <w:footnoteReference w:id="7"/>
      </w:r>
      <w:r w:rsidR="00636BBE">
        <w:rPr>
          <w:szCs w:val="22"/>
        </w:rPr>
        <w:t xml:space="preserve">  New requirements under </w:t>
      </w:r>
      <w:r w:rsidR="001428EA">
        <w:rPr>
          <w:szCs w:val="22"/>
        </w:rPr>
        <w:t>S</w:t>
      </w:r>
      <w:r w:rsidR="00636BBE">
        <w:rPr>
          <w:szCs w:val="22"/>
        </w:rPr>
        <w:t xml:space="preserve">ection </w:t>
      </w:r>
      <w:r w:rsidR="00075C6C" w:rsidRPr="00075C6C">
        <w:rPr>
          <w:szCs w:val="22"/>
        </w:rPr>
        <w:t>4.9(h)</w:t>
      </w:r>
      <w:r w:rsidR="001428EA">
        <w:rPr>
          <w:szCs w:val="22"/>
        </w:rPr>
        <w:t xml:space="preserve"> of the Commission’s rules</w:t>
      </w:r>
      <w:r w:rsidR="00636BBE">
        <w:rPr>
          <w:szCs w:val="22"/>
        </w:rPr>
        <w:t xml:space="preserve"> regarding outage notifications to public safety answering points (PSAPs)</w:t>
      </w:r>
      <w:r w:rsidR="00F55984">
        <w:rPr>
          <w:szCs w:val="22"/>
        </w:rPr>
        <w:t xml:space="preserve"> </w:t>
      </w:r>
      <w:r w:rsidR="00636BBE">
        <w:rPr>
          <w:szCs w:val="22"/>
        </w:rPr>
        <w:t>also require OMB approval</w:t>
      </w:r>
      <w:r w:rsidR="0077471E">
        <w:rPr>
          <w:szCs w:val="22"/>
        </w:rPr>
        <w:t>.</w:t>
      </w:r>
      <w:r w:rsidR="00D50931">
        <w:rPr>
          <w:rStyle w:val="FootnoteReference"/>
          <w:szCs w:val="22"/>
        </w:rPr>
        <w:footnoteReference w:id="8"/>
      </w:r>
      <w:r w:rsidR="0077471E">
        <w:rPr>
          <w:szCs w:val="22"/>
        </w:rPr>
        <w:t xml:space="preserve">  </w:t>
      </w:r>
      <w:r w:rsidR="000F34EB" w:rsidRPr="00227A7F">
        <w:rPr>
          <w:szCs w:val="22"/>
        </w:rPr>
        <w:t xml:space="preserve">The </w:t>
      </w:r>
      <w:r w:rsidR="00ED00AD" w:rsidRPr="00227A7F">
        <w:rPr>
          <w:szCs w:val="22"/>
        </w:rPr>
        <w:t xml:space="preserve">Commission will publish a </w:t>
      </w:r>
      <w:r w:rsidR="003634D9">
        <w:rPr>
          <w:szCs w:val="22"/>
        </w:rPr>
        <w:t>notice</w:t>
      </w:r>
      <w:r w:rsidR="00ED00AD" w:rsidRPr="00227A7F">
        <w:rPr>
          <w:szCs w:val="22"/>
        </w:rPr>
        <w:t xml:space="preserve"> in</w:t>
      </w:r>
      <w:r w:rsidR="000F34EB" w:rsidRPr="00227A7F">
        <w:rPr>
          <w:szCs w:val="22"/>
        </w:rPr>
        <w:t xml:space="preserve"> </w:t>
      </w:r>
      <w:r w:rsidR="00ED00AD" w:rsidRPr="00227A7F">
        <w:rPr>
          <w:szCs w:val="22"/>
        </w:rPr>
        <w:t>the Federal Register announcing the</w:t>
      </w:r>
      <w:r w:rsidR="000F34EB" w:rsidRPr="00227A7F">
        <w:rPr>
          <w:szCs w:val="22"/>
        </w:rPr>
        <w:t xml:space="preserve"> </w:t>
      </w:r>
      <w:r w:rsidR="00ED00AD" w:rsidRPr="00227A7F">
        <w:rPr>
          <w:szCs w:val="22"/>
        </w:rPr>
        <w:t>effective date</w:t>
      </w:r>
      <w:r w:rsidR="001F4E04">
        <w:rPr>
          <w:szCs w:val="22"/>
        </w:rPr>
        <w:t>s</w:t>
      </w:r>
      <w:r w:rsidR="00636BBE">
        <w:rPr>
          <w:szCs w:val="22"/>
        </w:rPr>
        <w:t xml:space="preserve"> of th</w:t>
      </w:r>
      <w:r w:rsidR="0077471E">
        <w:rPr>
          <w:szCs w:val="22"/>
        </w:rPr>
        <w:t>o</w:t>
      </w:r>
      <w:r w:rsidR="000F34EB" w:rsidRPr="00227A7F">
        <w:rPr>
          <w:szCs w:val="22"/>
        </w:rPr>
        <w:t>se r</w:t>
      </w:r>
      <w:r w:rsidR="007D5493">
        <w:rPr>
          <w:szCs w:val="22"/>
        </w:rPr>
        <w:t>equirements</w:t>
      </w:r>
      <w:r w:rsidR="000F34EB" w:rsidRPr="00227A7F">
        <w:rPr>
          <w:szCs w:val="22"/>
        </w:rPr>
        <w:t xml:space="preserve"> once established</w:t>
      </w:r>
      <w:r w:rsidR="00ED00AD" w:rsidRPr="00227A7F">
        <w:rPr>
          <w:szCs w:val="22"/>
        </w:rPr>
        <w:t>.</w:t>
      </w:r>
      <w:r w:rsidR="00706153">
        <w:rPr>
          <w:szCs w:val="22"/>
        </w:rPr>
        <w:t xml:space="preserve">  In the meantime, the OMB </w:t>
      </w:r>
      <w:r w:rsidR="00FB3035">
        <w:rPr>
          <w:szCs w:val="22"/>
        </w:rPr>
        <w:t xml:space="preserve">approval process is not intended to suggest or require any change in Covered 911 Service Providers’ current activities conducted in the normal course of business or </w:t>
      </w:r>
      <w:r w:rsidR="00477190">
        <w:rPr>
          <w:szCs w:val="22"/>
        </w:rPr>
        <w:t xml:space="preserve">to </w:t>
      </w:r>
      <w:r w:rsidR="00FB3035">
        <w:rPr>
          <w:szCs w:val="22"/>
        </w:rPr>
        <w:t xml:space="preserve">relieve providers of the other requirements of the </w:t>
      </w:r>
      <w:r w:rsidR="00FB3035">
        <w:rPr>
          <w:i/>
          <w:szCs w:val="22"/>
        </w:rPr>
        <w:t xml:space="preserve">911 Reliability Order.  </w:t>
      </w:r>
      <w:r w:rsidR="00ED00AD" w:rsidRPr="00227A7F">
        <w:rPr>
          <w:szCs w:val="22"/>
        </w:rPr>
        <w:t xml:space="preserve"> </w:t>
      </w:r>
      <w:r w:rsidR="000D1AE3">
        <w:rPr>
          <w:szCs w:val="22"/>
        </w:rPr>
        <w:t xml:space="preserve"> </w:t>
      </w:r>
    </w:p>
    <w:p w:rsidR="00227A7F" w:rsidRPr="00227A7F" w:rsidRDefault="00227A7F" w:rsidP="00227A7F">
      <w:pPr>
        <w:spacing w:after="240"/>
        <w:rPr>
          <w:b/>
          <w:szCs w:val="22"/>
          <w:u w:val="single"/>
        </w:rPr>
      </w:pPr>
      <w:r w:rsidRPr="00227A7F">
        <w:rPr>
          <w:b/>
          <w:szCs w:val="22"/>
          <w:u w:val="single"/>
        </w:rPr>
        <w:t>Additional Information</w:t>
      </w:r>
    </w:p>
    <w:p w:rsidR="00B55799" w:rsidRPr="00227A7F" w:rsidRDefault="00784FF4" w:rsidP="00B55799">
      <w:pPr>
        <w:spacing w:after="240"/>
        <w:ind w:firstLine="720"/>
        <w:rPr>
          <w:szCs w:val="22"/>
        </w:rPr>
      </w:pPr>
      <w:r w:rsidRPr="00227A7F">
        <w:rPr>
          <w:i/>
          <w:szCs w:val="22"/>
        </w:rPr>
        <w:t>Paperwork Reduction Act of 1995</w:t>
      </w:r>
      <w:r w:rsidRPr="00227A7F">
        <w:rPr>
          <w:szCs w:val="22"/>
        </w:rPr>
        <w:t xml:space="preserve">.  This </w:t>
      </w:r>
      <w:r w:rsidR="00692CF7">
        <w:rPr>
          <w:szCs w:val="22"/>
        </w:rPr>
        <w:t>Public Notice</w:t>
      </w:r>
      <w:r w:rsidRPr="00227A7F">
        <w:rPr>
          <w:szCs w:val="22"/>
        </w:rPr>
        <w:t xml:space="preserve"> does not contain new or modified information collection requirements subject to the Paperwork Reduction Act of 1995, Public Law 104-13. </w:t>
      </w:r>
      <w:r w:rsidR="004557EA">
        <w:rPr>
          <w:szCs w:val="22"/>
        </w:rPr>
        <w:t xml:space="preserve"> </w:t>
      </w:r>
      <w:r w:rsidRPr="00227A7F">
        <w:rPr>
          <w:szCs w:val="22"/>
        </w:rPr>
        <w:t xml:space="preserve">Therefore it does not contain any new or modified “information burden for small business concerns with fewer than 25 employees” pursuant to the Small Business Paperwork Relief Act of 2002, Public Law 107-198.  </w:t>
      </w:r>
    </w:p>
    <w:p w:rsidR="00784FF4" w:rsidRPr="00227A7F" w:rsidRDefault="00784FF4" w:rsidP="00B55799">
      <w:pPr>
        <w:spacing w:after="240"/>
        <w:ind w:firstLine="720"/>
        <w:rPr>
          <w:szCs w:val="22"/>
        </w:rPr>
      </w:pPr>
      <w:r w:rsidRPr="00227A7F">
        <w:rPr>
          <w:szCs w:val="22"/>
        </w:rPr>
        <w:t xml:space="preserve">For further information, please contact </w:t>
      </w:r>
      <w:r w:rsidR="0040279D" w:rsidRPr="00227A7F">
        <w:rPr>
          <w:szCs w:val="22"/>
        </w:rPr>
        <w:t xml:space="preserve">Eric Schmidt in the Cybersecurity and Communications Reliability Division of the </w:t>
      </w:r>
      <w:r w:rsidRPr="00227A7F">
        <w:rPr>
          <w:szCs w:val="22"/>
        </w:rPr>
        <w:t>Public Safety and Homeland Security Bureau</w:t>
      </w:r>
      <w:r w:rsidR="0040279D" w:rsidRPr="00227A7F">
        <w:rPr>
          <w:szCs w:val="22"/>
        </w:rPr>
        <w:t xml:space="preserve"> at (202) 418-1214 or </w:t>
      </w:r>
      <w:r w:rsidR="0040279D" w:rsidRPr="007D5E6F">
        <w:rPr>
          <w:szCs w:val="22"/>
        </w:rPr>
        <w:t>eric.schmidt@fcc.gov</w:t>
      </w:r>
      <w:r w:rsidRPr="00227A7F">
        <w:rPr>
          <w:szCs w:val="22"/>
        </w:rPr>
        <w:t>.</w:t>
      </w:r>
      <w:r w:rsidR="0040279D" w:rsidRPr="00227A7F">
        <w:rPr>
          <w:szCs w:val="22"/>
        </w:rPr>
        <w:t xml:space="preserve"> </w:t>
      </w:r>
      <w:r w:rsidRPr="00227A7F">
        <w:rPr>
          <w:szCs w:val="22"/>
        </w:rPr>
        <w:t xml:space="preserve"> </w:t>
      </w:r>
    </w:p>
    <w:p w:rsidR="00784FF4" w:rsidRPr="00227A7F" w:rsidRDefault="00227A7F" w:rsidP="00B55799">
      <w:pPr>
        <w:spacing w:after="240"/>
        <w:jc w:val="center"/>
        <w:rPr>
          <w:szCs w:val="22"/>
        </w:rPr>
      </w:pPr>
      <w:r w:rsidRPr="00227A7F">
        <w:rPr>
          <w:szCs w:val="22"/>
        </w:rPr>
        <w:t>—</w:t>
      </w:r>
      <w:r w:rsidR="00784FF4" w:rsidRPr="00227A7F">
        <w:rPr>
          <w:szCs w:val="22"/>
        </w:rPr>
        <w:t>FCC</w:t>
      </w:r>
      <w:r w:rsidRPr="00227A7F">
        <w:rPr>
          <w:szCs w:val="22"/>
        </w:rPr>
        <w:t>—</w:t>
      </w:r>
    </w:p>
    <w:p w:rsidR="00784FF4" w:rsidRPr="00227A7F" w:rsidRDefault="00784FF4">
      <w:pPr>
        <w:spacing w:after="240"/>
        <w:jc w:val="center"/>
        <w:rPr>
          <w:szCs w:val="22"/>
        </w:rPr>
      </w:pPr>
    </w:p>
    <w:p w:rsidR="00784FF4" w:rsidRPr="00227A7F" w:rsidRDefault="00784FF4">
      <w:pPr>
        <w:spacing w:after="240"/>
        <w:jc w:val="center"/>
        <w:rPr>
          <w:b/>
          <w:szCs w:val="22"/>
        </w:rPr>
      </w:pPr>
    </w:p>
    <w:p w:rsidR="00784FF4" w:rsidRPr="00227A7F" w:rsidRDefault="00784FF4">
      <w:pPr>
        <w:spacing w:after="240"/>
        <w:jc w:val="center"/>
        <w:rPr>
          <w:b/>
          <w:szCs w:val="22"/>
        </w:rPr>
      </w:pPr>
    </w:p>
    <w:p w:rsidR="00784FF4" w:rsidRPr="00227A7F" w:rsidRDefault="00784FF4">
      <w:pPr>
        <w:spacing w:after="240"/>
        <w:jc w:val="center"/>
        <w:rPr>
          <w:b/>
          <w:szCs w:val="22"/>
        </w:rPr>
      </w:pPr>
    </w:p>
    <w:p w:rsidR="00784FF4" w:rsidRPr="00227A7F" w:rsidRDefault="00784FF4">
      <w:pPr>
        <w:spacing w:after="240"/>
        <w:jc w:val="center"/>
        <w:rPr>
          <w:b/>
          <w:szCs w:val="22"/>
        </w:rPr>
      </w:pPr>
    </w:p>
    <w:p w:rsidR="00784FF4" w:rsidRPr="00227A7F" w:rsidRDefault="00784FF4">
      <w:pPr>
        <w:spacing w:after="240"/>
        <w:jc w:val="center"/>
        <w:rPr>
          <w:b/>
          <w:szCs w:val="22"/>
        </w:rPr>
      </w:pPr>
    </w:p>
    <w:p w:rsidR="00784FF4" w:rsidRPr="00227A7F" w:rsidRDefault="00784FF4">
      <w:pPr>
        <w:spacing w:after="240"/>
        <w:jc w:val="center"/>
        <w:rPr>
          <w:b/>
          <w:szCs w:val="22"/>
        </w:rPr>
      </w:pPr>
    </w:p>
    <w:p w:rsidR="00784FF4" w:rsidRPr="00227A7F" w:rsidRDefault="00784FF4" w:rsidP="004557EA">
      <w:pPr>
        <w:tabs>
          <w:tab w:val="left" w:pos="-720"/>
        </w:tabs>
        <w:suppressAutoHyphens/>
        <w:rPr>
          <w:szCs w:val="22"/>
        </w:rPr>
      </w:pPr>
    </w:p>
    <w:sectPr w:rsidR="00784FF4" w:rsidRPr="00227A7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152"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7B7" w:rsidRDefault="00C247B7">
      <w:r>
        <w:separator/>
      </w:r>
    </w:p>
  </w:endnote>
  <w:endnote w:type="continuationSeparator" w:id="0">
    <w:p w:rsidR="00C247B7" w:rsidRDefault="00C2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7F" w:rsidRDefault="00227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7A7F" w:rsidRDefault="00227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7F" w:rsidRDefault="00227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2E8F">
      <w:rPr>
        <w:rStyle w:val="PageNumber"/>
        <w:noProof/>
      </w:rPr>
      <w:t>2</w:t>
    </w:r>
    <w:r>
      <w:rPr>
        <w:rStyle w:val="PageNumber"/>
      </w:rPr>
      <w:fldChar w:fldCharType="end"/>
    </w:r>
  </w:p>
  <w:p w:rsidR="00227A7F" w:rsidRDefault="00227A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7F" w:rsidRDefault="00227A7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7B7" w:rsidRDefault="00C247B7">
      <w:r>
        <w:separator/>
      </w:r>
    </w:p>
  </w:footnote>
  <w:footnote w:type="continuationSeparator" w:id="0">
    <w:p w:rsidR="00C247B7" w:rsidRDefault="00C247B7">
      <w:r>
        <w:continuationSeparator/>
      </w:r>
    </w:p>
  </w:footnote>
  <w:footnote w:id="1">
    <w:p w:rsidR="00227A7F" w:rsidRPr="00D50931" w:rsidRDefault="00227A7F" w:rsidP="00C53005">
      <w:pPr>
        <w:pStyle w:val="FootnoteText"/>
        <w:rPr>
          <w:sz w:val="20"/>
        </w:rPr>
      </w:pPr>
      <w:r w:rsidRPr="00D50931">
        <w:rPr>
          <w:rStyle w:val="FootnoteReference"/>
          <w:sz w:val="20"/>
        </w:rPr>
        <w:footnoteRef/>
      </w:r>
      <w:r w:rsidRPr="00D50931">
        <w:rPr>
          <w:sz w:val="20"/>
        </w:rPr>
        <w:t xml:space="preserve"> In the Matter of Improving 911 Reliability; Reliability and Continuity of Communications Networks, Including Broadband Technologies, PS Docket Nos. 13-75, 11-60, </w:t>
      </w:r>
      <w:r w:rsidRPr="00D50931">
        <w:rPr>
          <w:i/>
          <w:sz w:val="20"/>
        </w:rPr>
        <w:t>Report and Order</w:t>
      </w:r>
      <w:r w:rsidRPr="00D50931">
        <w:rPr>
          <w:sz w:val="20"/>
        </w:rPr>
        <w:t xml:space="preserve">, </w:t>
      </w:r>
      <w:r w:rsidR="00477190" w:rsidRPr="00D50931">
        <w:rPr>
          <w:sz w:val="20"/>
        </w:rPr>
        <w:t>28 FCC Rcd 17476</w:t>
      </w:r>
      <w:r w:rsidRPr="00D50931">
        <w:rPr>
          <w:sz w:val="20"/>
        </w:rPr>
        <w:t xml:space="preserve"> (Dec. 12, 2013), </w:t>
      </w:r>
      <w:r w:rsidRPr="00D50931">
        <w:rPr>
          <w:i/>
          <w:sz w:val="20"/>
        </w:rPr>
        <w:t>available at</w:t>
      </w:r>
      <w:r w:rsidRPr="00D50931">
        <w:rPr>
          <w:sz w:val="20"/>
        </w:rPr>
        <w:t xml:space="preserve"> http://transition.fcc.gov/Daily_Releases/Daily_Business/2013/db1212/FCC-13-158A1.pdf.</w:t>
      </w:r>
    </w:p>
  </w:footnote>
  <w:footnote w:id="2">
    <w:p w:rsidR="00227A7F" w:rsidRPr="00D50931" w:rsidRDefault="00227A7F" w:rsidP="00C53005">
      <w:pPr>
        <w:pStyle w:val="FootnoteText"/>
        <w:rPr>
          <w:sz w:val="20"/>
        </w:rPr>
      </w:pPr>
      <w:r w:rsidRPr="00D50931">
        <w:rPr>
          <w:rStyle w:val="FootnoteReference"/>
          <w:sz w:val="20"/>
        </w:rPr>
        <w:footnoteRef/>
      </w:r>
      <w:r w:rsidRPr="00D50931">
        <w:rPr>
          <w:sz w:val="20"/>
        </w:rPr>
        <w:t xml:space="preserve"> </w:t>
      </w:r>
      <w:r w:rsidRPr="00D50931">
        <w:rPr>
          <w:i/>
          <w:sz w:val="20"/>
        </w:rPr>
        <w:t>See id.</w:t>
      </w:r>
      <w:r w:rsidR="00477190" w:rsidRPr="00D50931">
        <w:rPr>
          <w:sz w:val="20"/>
        </w:rPr>
        <w:t xml:space="preserve"> at 17497-98</w:t>
      </w:r>
      <w:r w:rsidRPr="00D50931">
        <w:rPr>
          <w:sz w:val="20"/>
        </w:rPr>
        <w:t>, ¶ 64.</w:t>
      </w:r>
    </w:p>
  </w:footnote>
  <w:footnote w:id="3">
    <w:p w:rsidR="00227A7F" w:rsidRPr="00D50931" w:rsidRDefault="00227A7F" w:rsidP="00C53005">
      <w:pPr>
        <w:pStyle w:val="FootnoteText"/>
        <w:rPr>
          <w:sz w:val="20"/>
        </w:rPr>
      </w:pPr>
      <w:r w:rsidRPr="00D50931">
        <w:rPr>
          <w:rStyle w:val="FootnoteReference"/>
          <w:sz w:val="20"/>
        </w:rPr>
        <w:footnoteRef/>
      </w:r>
      <w:r w:rsidR="004557EA" w:rsidRPr="00D50931">
        <w:rPr>
          <w:sz w:val="20"/>
        </w:rPr>
        <w:t xml:space="preserve"> Improving 91</w:t>
      </w:r>
      <w:r w:rsidRPr="00D50931">
        <w:rPr>
          <w:sz w:val="20"/>
        </w:rPr>
        <w:t xml:space="preserve">1 Reliability; Reliability and Continuity of Communications Networks, Including Broadband Technologies, 79 Fed. Reg. 3123 (Jan. 17, 2014), </w:t>
      </w:r>
      <w:r w:rsidRPr="00D50931">
        <w:rPr>
          <w:i/>
          <w:sz w:val="20"/>
        </w:rPr>
        <w:t>available at</w:t>
      </w:r>
      <w:r w:rsidRPr="00D50931">
        <w:rPr>
          <w:sz w:val="20"/>
        </w:rPr>
        <w:t xml:space="preserve"> https://federalregister.gov/a/2014-00958.</w:t>
      </w:r>
    </w:p>
  </w:footnote>
  <w:footnote w:id="4">
    <w:p w:rsidR="006C320E" w:rsidRPr="00D50931" w:rsidRDefault="006C320E">
      <w:pPr>
        <w:pStyle w:val="FootnoteText"/>
        <w:rPr>
          <w:sz w:val="20"/>
        </w:rPr>
      </w:pPr>
      <w:r w:rsidRPr="00D50931">
        <w:rPr>
          <w:rStyle w:val="FootnoteReference"/>
          <w:sz w:val="20"/>
        </w:rPr>
        <w:footnoteRef/>
      </w:r>
      <w:r w:rsidRPr="00D50931">
        <w:rPr>
          <w:sz w:val="20"/>
        </w:rPr>
        <w:t xml:space="preserve"> 47 C.F.R. § 12.4(b).</w:t>
      </w:r>
    </w:p>
  </w:footnote>
  <w:footnote w:id="5">
    <w:p w:rsidR="00F9213C" w:rsidRPr="00D50931" w:rsidRDefault="00F9213C" w:rsidP="00C53005">
      <w:pPr>
        <w:pStyle w:val="FootnoteText"/>
        <w:rPr>
          <w:sz w:val="20"/>
        </w:rPr>
      </w:pPr>
      <w:r w:rsidRPr="00D50931">
        <w:rPr>
          <w:rStyle w:val="FootnoteReference"/>
          <w:sz w:val="20"/>
        </w:rPr>
        <w:footnoteRef/>
      </w:r>
      <w:r w:rsidRPr="00D50931">
        <w:rPr>
          <w:sz w:val="20"/>
        </w:rPr>
        <w:t xml:space="preserve"> </w:t>
      </w:r>
      <w:r w:rsidRPr="00D50931">
        <w:rPr>
          <w:i/>
          <w:sz w:val="20"/>
        </w:rPr>
        <w:t xml:space="preserve">See </w:t>
      </w:r>
      <w:r w:rsidR="007D5E6F" w:rsidRPr="00D50931">
        <w:rPr>
          <w:sz w:val="20"/>
        </w:rPr>
        <w:t>79 Fed. Reg.</w:t>
      </w:r>
      <w:r w:rsidRPr="00D50931">
        <w:rPr>
          <w:sz w:val="20"/>
        </w:rPr>
        <w:t xml:space="preserve"> at 3123.</w:t>
      </w:r>
    </w:p>
  </w:footnote>
  <w:footnote w:id="6">
    <w:p w:rsidR="00075C6C" w:rsidRPr="00D50931" w:rsidRDefault="00075C6C" w:rsidP="00C53005">
      <w:pPr>
        <w:pStyle w:val="FootnoteText"/>
        <w:rPr>
          <w:sz w:val="20"/>
        </w:rPr>
      </w:pPr>
      <w:r w:rsidRPr="00D50931">
        <w:rPr>
          <w:rStyle w:val="FootnoteReference"/>
          <w:sz w:val="20"/>
        </w:rPr>
        <w:footnoteRef/>
      </w:r>
      <w:r w:rsidRPr="00D50931">
        <w:rPr>
          <w:sz w:val="20"/>
        </w:rPr>
        <w:t xml:space="preserve"> </w:t>
      </w:r>
      <w:r w:rsidRPr="00D50931">
        <w:rPr>
          <w:i/>
          <w:sz w:val="20"/>
        </w:rPr>
        <w:t>See</w:t>
      </w:r>
      <w:r w:rsidRPr="00D50931">
        <w:rPr>
          <w:sz w:val="20"/>
        </w:rPr>
        <w:t xml:space="preserve"> Improving 9-1-1 Reliability; Reliability and Continuity of Communications Networks, Including Broadband Technologies, 79 Fed</w:t>
      </w:r>
      <w:r w:rsidR="00C53005" w:rsidRPr="00D50931">
        <w:rPr>
          <w:sz w:val="20"/>
        </w:rPr>
        <w:t>.</w:t>
      </w:r>
      <w:r w:rsidRPr="00D50931">
        <w:rPr>
          <w:sz w:val="20"/>
        </w:rPr>
        <w:t xml:space="preserve"> Reg</w:t>
      </w:r>
      <w:r w:rsidR="00C53005" w:rsidRPr="00D50931">
        <w:rPr>
          <w:sz w:val="20"/>
        </w:rPr>
        <w:t>.</w:t>
      </w:r>
      <w:r w:rsidRPr="00D50931">
        <w:rPr>
          <w:sz w:val="20"/>
        </w:rPr>
        <w:t xml:space="preserve"> 7589 (Feb. 10, 2014), </w:t>
      </w:r>
      <w:r w:rsidRPr="00D50931">
        <w:rPr>
          <w:i/>
          <w:sz w:val="20"/>
        </w:rPr>
        <w:t>available at</w:t>
      </w:r>
      <w:r w:rsidRPr="00D50931">
        <w:rPr>
          <w:sz w:val="20"/>
        </w:rPr>
        <w:t xml:space="preserve"> https://federalregister.gov/a/2014-02825.</w:t>
      </w:r>
    </w:p>
  </w:footnote>
  <w:footnote w:id="7">
    <w:p w:rsidR="00D50931" w:rsidRPr="00D50931" w:rsidRDefault="00D50931">
      <w:pPr>
        <w:pStyle w:val="FootnoteText"/>
        <w:rPr>
          <w:sz w:val="20"/>
        </w:rPr>
      </w:pPr>
      <w:r w:rsidRPr="00D50931">
        <w:rPr>
          <w:rStyle w:val="FootnoteReference"/>
          <w:sz w:val="20"/>
        </w:rPr>
        <w:footnoteRef/>
      </w:r>
      <w:r w:rsidRPr="00D50931">
        <w:rPr>
          <w:sz w:val="20"/>
        </w:rPr>
        <w:t xml:space="preserve"> </w:t>
      </w:r>
      <w:r w:rsidRPr="00D50931">
        <w:rPr>
          <w:i/>
          <w:sz w:val="20"/>
        </w:rPr>
        <w:t xml:space="preserve">See </w:t>
      </w:r>
      <w:r w:rsidRPr="00D50931">
        <w:rPr>
          <w:sz w:val="20"/>
        </w:rPr>
        <w:t>47 C.F.R. §</w:t>
      </w:r>
      <w:r w:rsidR="004B1CEC">
        <w:rPr>
          <w:sz w:val="20"/>
        </w:rPr>
        <w:t>§</w:t>
      </w:r>
      <w:r w:rsidRPr="00D50931">
        <w:rPr>
          <w:sz w:val="20"/>
        </w:rPr>
        <w:t xml:space="preserve"> 12.4(c), (d)(1), (d)(3); 79 Fed. Reg. at 7589-90.</w:t>
      </w:r>
    </w:p>
  </w:footnote>
  <w:footnote w:id="8">
    <w:p w:rsidR="00D50931" w:rsidRPr="00D50931" w:rsidRDefault="00D50931">
      <w:pPr>
        <w:pStyle w:val="FootnoteText"/>
        <w:rPr>
          <w:sz w:val="20"/>
        </w:rPr>
      </w:pPr>
      <w:r w:rsidRPr="00D50931">
        <w:rPr>
          <w:rStyle w:val="FootnoteReference"/>
          <w:sz w:val="20"/>
        </w:rPr>
        <w:footnoteRef/>
      </w:r>
      <w:r w:rsidRPr="00D50931">
        <w:rPr>
          <w:sz w:val="20"/>
        </w:rPr>
        <w:t xml:space="preserve"> </w:t>
      </w:r>
      <w:r w:rsidRPr="00D50931">
        <w:rPr>
          <w:i/>
          <w:sz w:val="20"/>
        </w:rPr>
        <w:t xml:space="preserve">See </w:t>
      </w:r>
      <w:r w:rsidRPr="00D50931">
        <w:rPr>
          <w:sz w:val="20"/>
        </w:rPr>
        <w:t>47 C.F.R. § 4.9(h); 79 Fed. Reg. at 7589-90.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D4" w:rsidRDefault="003A5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D4" w:rsidRDefault="003A54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7F" w:rsidRDefault="00F55984">
    <w:pPr>
      <w:pStyle w:val="Header"/>
      <w:tabs>
        <w:tab w:val="clear" w:pos="4320"/>
        <w:tab w:val="clear" w:pos="8640"/>
      </w:tabs>
      <w:spacing w:before="40"/>
      <w:ind w:firstLine="1080"/>
      <w:rPr>
        <w:rFonts w:ascii="Times New Roman Bold" w:hAnsi="Times New Roman Bold"/>
        <w:b/>
        <w:kern w:val="28"/>
        <w:sz w:val="96"/>
      </w:rPr>
    </w:pPr>
    <w:r>
      <w:rPr>
        <w:rFonts w:ascii="Times New Roman Bold" w:hAnsi="Times New Roman Bold"/>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227A7F">
      <w:rPr>
        <w:rFonts w:ascii="Times New Roman Bold" w:hAnsi="Times New Roman Bold"/>
        <w:b/>
        <w:kern w:val="28"/>
        <w:sz w:val="96"/>
      </w:rPr>
      <w:t>PUBLIC NOTICE</w:t>
    </w:r>
  </w:p>
  <w:p w:rsidR="00227A7F" w:rsidRDefault="00F55984">
    <w:pPr>
      <w:pStyle w:val="Header"/>
      <w:tabs>
        <w:tab w:val="clear" w:pos="4320"/>
        <w:tab w:val="clear" w:pos="8640"/>
        <w:tab w:val="left" w:pos="1080"/>
      </w:tabs>
      <w:spacing w:line="1120" w:lineRule="exact"/>
      <w:ind w:left="720"/>
      <w:rPr>
        <w:rFonts w:ascii="Arial" w:hAnsi="Arial"/>
        <w:b/>
        <w:sz w:val="28"/>
      </w:rPr>
    </w:pPr>
    <w:r>
      <w:rPr>
        <w:rFonts w:ascii="Times New Roman Bold" w:hAnsi="Times New Roman Bold"/>
        <w:b/>
        <w:noProof/>
        <w:sz w:val="24"/>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5715</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A7F" w:rsidRDefault="00227A7F">
                          <w:pPr>
                            <w:rPr>
                              <w:rFonts w:ascii="Arial" w:hAnsi="Arial"/>
                              <w:b/>
                            </w:rPr>
                          </w:pPr>
                          <w:r>
                            <w:rPr>
                              <w:rFonts w:ascii="Arial" w:hAnsi="Arial"/>
                              <w:b/>
                            </w:rPr>
                            <w:t>Federal Communications Commission</w:t>
                          </w:r>
                        </w:p>
                        <w:p w:rsidR="00227A7F" w:rsidRDefault="00227A7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27A7F" w:rsidRDefault="00227A7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" o:allowincell="f" stroked="f">
              <v:textbox>
                <w:txbxContent>
                  <w:p w:rsidR="00227A7F" w:rsidRDefault="00227A7F">
                    <w:pPr>
                      <w:rPr>
                        <w:rFonts w:ascii="Arial" w:hAnsi="Arial"/>
                        <w:b/>
                      </w:rPr>
                    </w:pPr>
                    <w:r>
                      <w:rPr>
                        <w:rFonts w:ascii="Arial" w:hAnsi="Arial"/>
                        <w:b/>
                      </w:rPr>
                      <w:t>Federal Communications Commission</w:t>
                    </w:r>
                  </w:p>
                  <w:p w:rsidR="00227A7F" w:rsidRDefault="00227A7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27A7F" w:rsidRDefault="00227A7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3937635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A7F" w:rsidRDefault="00227A7F">
                          <w:pPr>
                            <w:spacing w:before="40"/>
                            <w:jc w:val="right"/>
                            <w:rPr>
                              <w:rFonts w:ascii="Arial" w:hAnsi="Arial"/>
                              <w:b/>
                              <w:sz w:val="16"/>
                            </w:rPr>
                          </w:pPr>
                          <w:r>
                            <w:rPr>
                              <w:rFonts w:ascii="Arial" w:hAnsi="Arial"/>
                              <w:b/>
                              <w:sz w:val="16"/>
                            </w:rPr>
                            <w:t>News Media Information 202 / 418-0500</w:t>
                          </w:r>
                        </w:p>
                        <w:p w:rsidR="00227A7F" w:rsidRDefault="00227A7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27A7F" w:rsidRDefault="00227A7F">
                          <w:pPr>
                            <w:jc w:val="right"/>
                            <w:rPr>
                              <w:rFonts w:ascii="Arial" w:hAnsi="Arial"/>
                              <w:b/>
                              <w:sz w:val="16"/>
                            </w:rPr>
                          </w:pPr>
                          <w:r>
                            <w:rPr>
                              <w:rFonts w:ascii="Arial" w:hAnsi="Arial"/>
                              <w:b/>
                              <w:sz w:val="16"/>
                            </w:rPr>
                            <w:t>TTY: 1-888-835-5322</w:t>
                          </w:r>
                        </w:p>
                        <w:p w:rsidR="00227A7F" w:rsidRDefault="00227A7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0.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" stroked="f">
              <v:textbox inset=",0,,0">
                <w:txbxContent>
                  <w:p w:rsidR="00227A7F" w:rsidRDefault="00227A7F">
                    <w:pPr>
                      <w:spacing w:before="40"/>
                      <w:jc w:val="right"/>
                      <w:rPr>
                        <w:rFonts w:ascii="Arial" w:hAnsi="Arial"/>
                        <w:b/>
                        <w:sz w:val="16"/>
                      </w:rPr>
                    </w:pPr>
                    <w:r>
                      <w:rPr>
                        <w:rFonts w:ascii="Arial" w:hAnsi="Arial"/>
                        <w:b/>
                        <w:sz w:val="16"/>
                      </w:rPr>
                      <w:t>News Media Information 202 / 418-0500</w:t>
                    </w:r>
                  </w:p>
                  <w:p w:rsidR="00227A7F" w:rsidRDefault="00227A7F">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227A7F" w:rsidRDefault="00227A7F">
                    <w:pPr>
                      <w:jc w:val="right"/>
                      <w:rPr>
                        <w:rFonts w:ascii="Arial" w:hAnsi="Arial"/>
                        <w:b/>
                        <w:sz w:val="16"/>
                      </w:rPr>
                    </w:pPr>
                    <w:r>
                      <w:rPr>
                        <w:rFonts w:ascii="Arial" w:hAnsi="Arial"/>
                        <w:b/>
                        <w:sz w:val="16"/>
                      </w:rPr>
                      <w:t>TTY: 1-888-835-5322</w:t>
                    </w:r>
                  </w:p>
                  <w:p w:rsidR="00227A7F" w:rsidRDefault="00227A7F">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227A7F" w:rsidRDefault="00227A7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EFD"/>
    <w:multiLevelType w:val="hybridMultilevel"/>
    <w:tmpl w:val="A6325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357658"/>
    <w:multiLevelType w:val="hybridMultilevel"/>
    <w:tmpl w:val="087607D2"/>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8A4585"/>
    <w:multiLevelType w:val="hybridMultilevel"/>
    <w:tmpl w:val="1D9C31F4"/>
    <w:lvl w:ilvl="0" w:tplc="EBC43D40">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F17A30"/>
    <w:multiLevelType w:val="hybridMultilevel"/>
    <w:tmpl w:val="B7442DDE"/>
    <w:lvl w:ilvl="0" w:tplc="68E0F1D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206EC8"/>
    <w:multiLevelType w:val="hybridMultilevel"/>
    <w:tmpl w:val="5FC0A828"/>
    <w:lvl w:ilvl="0" w:tplc="68E0F1D6">
      <w:start w:val="1"/>
      <w:numFmt w:val="bullet"/>
      <w:lvlText w:val=""/>
      <w:lvlJc w:val="left"/>
      <w:pPr>
        <w:tabs>
          <w:tab w:val="num" w:pos="1152"/>
        </w:tabs>
        <w:ind w:left="1152" w:hanging="216"/>
      </w:pPr>
      <w:rPr>
        <w:rFonts w:ascii="Wingdings" w:hAnsi="Wingdings" w:hint="default"/>
      </w:rPr>
    </w:lvl>
    <w:lvl w:ilvl="1" w:tplc="04090003">
      <w:start w:val="1"/>
      <w:numFmt w:val="bullet"/>
      <w:lvlText w:val="o"/>
      <w:lvlJc w:val="left"/>
      <w:pPr>
        <w:tabs>
          <w:tab w:val="num" w:pos="2376"/>
        </w:tabs>
        <w:ind w:left="2376" w:hanging="360"/>
      </w:pPr>
      <w:rPr>
        <w:rFonts w:ascii="Courier New" w:hAnsi="Courier New" w:cs="Symbol"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Symbol"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Symbol"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B451E7"/>
    <w:multiLevelType w:val="hybridMultilevel"/>
    <w:tmpl w:val="94F06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4353E71"/>
    <w:multiLevelType w:val="hybridMultilevel"/>
    <w:tmpl w:val="6A3C0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7D9637E7"/>
    <w:multiLevelType w:val="multilevel"/>
    <w:tmpl w:val="087607D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5"/>
  </w:num>
  <w:num w:numId="2">
    <w:abstractNumId w:val="13"/>
  </w:num>
  <w:num w:numId="3">
    <w:abstractNumId w:val="16"/>
  </w:num>
  <w:num w:numId="4">
    <w:abstractNumId w:val="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2"/>
  </w:num>
  <w:num w:numId="12">
    <w:abstractNumId w:val="10"/>
  </w:num>
  <w:num w:numId="13">
    <w:abstractNumId w:val="11"/>
  </w:num>
  <w:num w:numId="14">
    <w:abstractNumId w:val="3"/>
  </w:num>
  <w:num w:numId="15">
    <w:abstractNumId w:val="7"/>
  </w:num>
  <w:num w:numId="16">
    <w:abstractNumId w:val="4"/>
  </w:num>
  <w:num w:numId="17">
    <w:abstractNumId w:val="5"/>
  </w:num>
  <w:num w:numId="18">
    <w:abstractNumId w:val="8"/>
  </w:num>
  <w:num w:numId="19">
    <w:abstractNumId w:val="1"/>
  </w:num>
  <w:num w:numId="20">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14"/>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9D"/>
    <w:rsid w:val="00020100"/>
    <w:rsid w:val="00075C6C"/>
    <w:rsid w:val="00093973"/>
    <w:rsid w:val="000D1AE3"/>
    <w:rsid w:val="000F34EB"/>
    <w:rsid w:val="000F7959"/>
    <w:rsid w:val="00112061"/>
    <w:rsid w:val="001428EA"/>
    <w:rsid w:val="00147E54"/>
    <w:rsid w:val="001F4E04"/>
    <w:rsid w:val="002209BA"/>
    <w:rsid w:val="002260C4"/>
    <w:rsid w:val="00227A7F"/>
    <w:rsid w:val="002771B5"/>
    <w:rsid w:val="00280AB5"/>
    <w:rsid w:val="00290F7A"/>
    <w:rsid w:val="003634D9"/>
    <w:rsid w:val="003A54D4"/>
    <w:rsid w:val="0040279D"/>
    <w:rsid w:val="00452EA7"/>
    <w:rsid w:val="004557EA"/>
    <w:rsid w:val="00477190"/>
    <w:rsid w:val="00491DA7"/>
    <w:rsid w:val="004B1CEC"/>
    <w:rsid w:val="004E6F3D"/>
    <w:rsid w:val="004F446A"/>
    <w:rsid w:val="004F4A75"/>
    <w:rsid w:val="00520A8C"/>
    <w:rsid w:val="00563417"/>
    <w:rsid w:val="005818A9"/>
    <w:rsid w:val="00586A03"/>
    <w:rsid w:val="005A4EB3"/>
    <w:rsid w:val="00613B8E"/>
    <w:rsid w:val="00636BBE"/>
    <w:rsid w:val="006400F9"/>
    <w:rsid w:val="00692CF7"/>
    <w:rsid w:val="006C320E"/>
    <w:rsid w:val="006F35AB"/>
    <w:rsid w:val="00706153"/>
    <w:rsid w:val="0077471E"/>
    <w:rsid w:val="00784FF4"/>
    <w:rsid w:val="007A58D2"/>
    <w:rsid w:val="007D5493"/>
    <w:rsid w:val="007D5E6F"/>
    <w:rsid w:val="00820223"/>
    <w:rsid w:val="00884BFD"/>
    <w:rsid w:val="00885B47"/>
    <w:rsid w:val="009C7A7C"/>
    <w:rsid w:val="009E2E8F"/>
    <w:rsid w:val="009F2704"/>
    <w:rsid w:val="00A6387E"/>
    <w:rsid w:val="00A65892"/>
    <w:rsid w:val="00AF132A"/>
    <w:rsid w:val="00B01B9C"/>
    <w:rsid w:val="00B130C7"/>
    <w:rsid w:val="00B55799"/>
    <w:rsid w:val="00BB344F"/>
    <w:rsid w:val="00C247B7"/>
    <w:rsid w:val="00C53005"/>
    <w:rsid w:val="00C70DED"/>
    <w:rsid w:val="00D50931"/>
    <w:rsid w:val="00DD2AEB"/>
    <w:rsid w:val="00E116A4"/>
    <w:rsid w:val="00E5091C"/>
    <w:rsid w:val="00ED00AD"/>
    <w:rsid w:val="00F14A50"/>
    <w:rsid w:val="00F55984"/>
    <w:rsid w:val="00F60158"/>
    <w:rsid w:val="00F9213C"/>
    <w:rsid w:val="00FB3035"/>
    <w:rsid w:val="00FD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semiHidden/>
    <w:pPr>
      <w:tabs>
        <w:tab w:val="left" w:pos="720"/>
      </w:tabs>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Footnote Text Char2 Char1,Footnote Text Char Char1 Char,Footnote Text Char3 Char Char Char1,Footnote Text Char Char1 Char Char Char1,Footnote Text Char2 Char Char1 Char Char Char1"/>
    <w:link w:val="FootnoteText"/>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noteTextChar2Char">
    <w:name w:val="Footnote Text Char2 Char"/>
    <w:aliases w:val="Footnote Text Char Char1 Char1,Footnote Text Char3 Char Char Char,Footnote Text Char Char1 Char Char Char,Footnote Text Char2 Char Char1 Char Char Char,Footnote Text Char1 Char Char Char1 Char Char Char,fn Char,f Char Char"/>
    <w:rPr>
      <w:lang w:val="en-US" w:eastAsia="en-US" w:bidi="ar-SA"/>
    </w:rPr>
  </w:style>
  <w:style w:type="paragraph" w:customStyle="1" w:styleId="ParaNum0">
    <w:name w:val="ParaNum"/>
    <w:basedOn w:val="Normal"/>
    <w:link w:val="ParaNumChar1"/>
    <w:pPr>
      <w:widowControl w:val="0"/>
      <w:tabs>
        <w:tab w:val="num" w:pos="1080"/>
        <w:tab w:val="left" w:pos="1440"/>
      </w:tabs>
      <w:spacing w:after="220"/>
      <w:ind w:firstLine="720"/>
      <w:jc w:val="both"/>
    </w:pPr>
  </w:style>
  <w:style w:type="character" w:customStyle="1" w:styleId="ParaNumChar1">
    <w:name w:val="ParaNum Char1"/>
    <w:link w:val="ParaNum0"/>
    <w:locked/>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CharChar">
    <w:name w:val="Footnote Text Char1 Char Char"/>
    <w:aliases w:val="Footnote Text Char Char3 Char Char,Footnote Text Char1 Char Char1 Char Char,Footnote Text Char Char3 Char Char Char Char,Footnote Text Char1 Char Char1 Char Char1 Char Char,Footnote Text Char1 Char1"/>
    <w:rPr>
      <w:lang w:val="en-US" w:eastAsia="en-US" w:bidi="ar-SA"/>
    </w:rPr>
  </w:style>
  <w:style w:type="paragraph" w:styleId="NormalWeb">
    <w:name w:val="Normal (Web)"/>
    <w:basedOn w:val="Normal"/>
    <w:pPr>
      <w:spacing w:before="100" w:beforeAutospacing="1" w:after="100" w:afterAutospacing="1"/>
    </w:pPr>
    <w:rPr>
      <w:sz w:val="24"/>
      <w:szCs w:val="24"/>
    </w:rPr>
  </w:style>
  <w:style w:type="character" w:customStyle="1" w:styleId="st">
    <w:name w:val="s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semiHidden/>
    <w:pPr>
      <w:tabs>
        <w:tab w:val="left" w:pos="720"/>
      </w:tabs>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Footnote Text Char2 Char1,Footnote Text Char Char1 Char,Footnote Text Char3 Char Char Char1,Footnote Text Char Char1 Char Char Char1,Footnote Text Char2 Char Char1 Char Char Char1"/>
    <w:link w:val="FootnoteText"/>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noteTextChar2Char">
    <w:name w:val="Footnote Text Char2 Char"/>
    <w:aliases w:val="Footnote Text Char Char1 Char1,Footnote Text Char3 Char Char Char,Footnote Text Char Char1 Char Char Char,Footnote Text Char2 Char Char1 Char Char Char,Footnote Text Char1 Char Char Char1 Char Char Char,fn Char,f Char Char"/>
    <w:rPr>
      <w:lang w:val="en-US" w:eastAsia="en-US" w:bidi="ar-SA"/>
    </w:rPr>
  </w:style>
  <w:style w:type="paragraph" w:customStyle="1" w:styleId="ParaNum0">
    <w:name w:val="ParaNum"/>
    <w:basedOn w:val="Normal"/>
    <w:link w:val="ParaNumChar1"/>
    <w:pPr>
      <w:widowControl w:val="0"/>
      <w:tabs>
        <w:tab w:val="num" w:pos="1080"/>
        <w:tab w:val="left" w:pos="1440"/>
      </w:tabs>
      <w:spacing w:after="220"/>
      <w:ind w:firstLine="720"/>
      <w:jc w:val="both"/>
    </w:pPr>
  </w:style>
  <w:style w:type="character" w:customStyle="1" w:styleId="ParaNumChar1">
    <w:name w:val="ParaNum Char1"/>
    <w:link w:val="ParaNum0"/>
    <w:locked/>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CharChar">
    <w:name w:val="Footnote Text Char1 Char Char"/>
    <w:aliases w:val="Footnote Text Char Char3 Char Char,Footnote Text Char1 Char Char1 Char Char,Footnote Text Char Char3 Char Char Char Char,Footnote Text Char1 Char Char1 Char Char1 Char Char,Footnote Text Char1 Char1"/>
    <w:rPr>
      <w:lang w:val="en-US" w:eastAsia="en-US" w:bidi="ar-SA"/>
    </w:rPr>
  </w:style>
  <w:style w:type="paragraph" w:styleId="NormalWeb">
    <w:name w:val="Normal (Web)"/>
    <w:basedOn w:val="Normal"/>
    <w:pPr>
      <w:spacing w:before="100" w:beforeAutospacing="1" w:after="100" w:afterAutospacing="1"/>
    </w:pPr>
    <w:rPr>
      <w:sz w:val="24"/>
      <w:szCs w:val="24"/>
    </w:rPr>
  </w:style>
  <w:style w:type="character" w:customStyle="1" w:styleId="st">
    <w:name w:val="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56696">
      <w:bodyDiv w:val="1"/>
      <w:marLeft w:val="0"/>
      <w:marRight w:val="0"/>
      <w:marTop w:val="0"/>
      <w:marBottom w:val="0"/>
      <w:divBdr>
        <w:top w:val="none" w:sz="0" w:space="0" w:color="auto"/>
        <w:left w:val="none" w:sz="0" w:space="0" w:color="auto"/>
        <w:bottom w:val="none" w:sz="0" w:space="0" w:color="auto"/>
        <w:right w:val="none" w:sz="0" w:space="0" w:color="auto"/>
      </w:divBdr>
      <w:divsChild>
        <w:div w:id="196088136">
          <w:marLeft w:val="0"/>
          <w:marRight w:val="0"/>
          <w:marTop w:val="0"/>
          <w:marBottom w:val="0"/>
          <w:divBdr>
            <w:top w:val="none" w:sz="0" w:space="0" w:color="auto"/>
            <w:left w:val="none" w:sz="0" w:space="0" w:color="auto"/>
            <w:bottom w:val="none" w:sz="0" w:space="0" w:color="auto"/>
            <w:right w:val="none" w:sz="0" w:space="0" w:color="auto"/>
          </w:divBdr>
          <w:divsChild>
            <w:div w:id="975837690">
              <w:marLeft w:val="0"/>
              <w:marRight w:val="0"/>
              <w:marTop w:val="0"/>
              <w:marBottom w:val="0"/>
              <w:divBdr>
                <w:top w:val="none" w:sz="0" w:space="0" w:color="auto"/>
                <w:left w:val="none" w:sz="0" w:space="0" w:color="auto"/>
                <w:bottom w:val="none" w:sz="0" w:space="0" w:color="auto"/>
                <w:right w:val="none" w:sz="0" w:space="0" w:color="auto"/>
              </w:divBdr>
              <w:divsChild>
                <w:div w:id="1443112040">
                  <w:marLeft w:val="0"/>
                  <w:marRight w:val="0"/>
                  <w:marTop w:val="0"/>
                  <w:marBottom w:val="0"/>
                  <w:divBdr>
                    <w:top w:val="none" w:sz="0" w:space="0" w:color="auto"/>
                    <w:left w:val="none" w:sz="0" w:space="0" w:color="auto"/>
                    <w:bottom w:val="none" w:sz="0" w:space="0" w:color="auto"/>
                    <w:right w:val="none" w:sz="0" w:space="0" w:color="auto"/>
                  </w:divBdr>
                  <w:divsChild>
                    <w:div w:id="21068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3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2725</Characters>
  <Application>Microsoft Office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3199</CharactersWithSpaces>
  <SharedDoc>false</SharedDoc>
  <HyperlinkBase> </HyperlinkBase>
  <HLinks>
    <vt:vector size="6" baseType="variant">
      <vt:variant>
        <vt:i4>4718655</vt:i4>
      </vt:variant>
      <vt:variant>
        <vt:i4>0</vt:i4>
      </vt:variant>
      <vt:variant>
        <vt:i4>0</vt:i4>
      </vt:variant>
      <vt:variant>
        <vt:i4>5</vt:i4>
      </vt:variant>
      <vt:variant>
        <vt:lpwstr>mailto:eric.schmidt@fcc.gov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2013-01-11T18:42:00Z</cp:lastPrinted>
  <dcterms:created xsi:type="dcterms:W3CDTF">2014-02-18T20:28:00Z</dcterms:created>
  <dcterms:modified xsi:type="dcterms:W3CDTF">2014-02-18T20:28:00Z</dcterms:modified>
  <cp:category> </cp:category>
  <cp:contentStatus> </cp:contentStatus>
</cp:coreProperties>
</file>