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5B" w:rsidRDefault="00F8305B">
      <w:pPr>
        <w:jc w:val="center"/>
        <w:rPr>
          <w:rFonts w:ascii="Times New Roman Bold" w:hAnsi="Times New Roman Bold"/>
        </w:rPr>
      </w:pPr>
      <w:bookmarkStart w:id="0" w:name="_GoBack"/>
      <w:bookmarkEnd w:id="0"/>
      <w:r>
        <w:rPr>
          <w:rFonts w:ascii="Times New Roman Bold" w:hAnsi="Times New Roman Bold"/>
        </w:rPr>
        <w:t>Before the</w:t>
      </w:r>
    </w:p>
    <w:p w:rsidR="00F8305B" w:rsidRDefault="00F8305B">
      <w:pPr>
        <w:jc w:val="center"/>
        <w:rPr>
          <w:rFonts w:ascii="Times New Roman Bold" w:hAnsi="Times New Roman Bold"/>
        </w:rPr>
      </w:pPr>
      <w:r>
        <w:rPr>
          <w:rFonts w:ascii="Times New Roman Bold" w:hAnsi="Times New Roman Bold"/>
        </w:rPr>
        <w:t>Federal Communications Commission</w:t>
      </w:r>
    </w:p>
    <w:p w:rsidR="00F8305B" w:rsidRDefault="00F8305B">
      <w:pPr>
        <w:jc w:val="center"/>
        <w:rPr>
          <w:rFonts w:ascii="Times New Roman Bold" w:hAnsi="Times New Roman Bold"/>
        </w:rPr>
      </w:pPr>
      <w:r>
        <w:rPr>
          <w:rFonts w:ascii="Times New Roman Bold" w:hAnsi="Times New Roman Bold"/>
        </w:rPr>
        <w:t>Washington, D.C. 20554</w:t>
      </w:r>
    </w:p>
    <w:p w:rsidR="00F8305B" w:rsidRDefault="00F8305B"/>
    <w:tbl>
      <w:tblPr>
        <w:tblW w:w="0" w:type="auto"/>
        <w:tblLayout w:type="fixed"/>
        <w:tblLook w:val="0000" w:firstRow="0" w:lastRow="0" w:firstColumn="0" w:lastColumn="0" w:noHBand="0" w:noVBand="0"/>
      </w:tblPr>
      <w:tblGrid>
        <w:gridCol w:w="4698"/>
        <w:gridCol w:w="630"/>
        <w:gridCol w:w="4248"/>
      </w:tblGrid>
      <w:tr w:rsidR="003D51B8" w:rsidRPr="003D51B8" w:rsidTr="00F8305B">
        <w:tc>
          <w:tcPr>
            <w:tcW w:w="4698" w:type="dxa"/>
          </w:tcPr>
          <w:p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r w:rsidRPr="003D51B8">
              <w:rPr>
                <w:rFonts w:eastAsia="Times New Roman"/>
                <w:snapToGrid w:val="0"/>
                <w:color w:val="auto"/>
                <w:spacing w:val="-2"/>
                <w:kern w:val="28"/>
                <w:szCs w:val="20"/>
              </w:rPr>
              <w:t>In the Matter of</w:t>
            </w:r>
          </w:p>
          <w:p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rsidR="003D51B8" w:rsidRDefault="00EB61D5"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Dawson</w:t>
            </w:r>
            <w:r w:rsidR="003D51B8">
              <w:rPr>
                <w:rFonts w:eastAsia="Times New Roman"/>
                <w:snapToGrid w:val="0"/>
                <w:color w:val="auto"/>
                <w:spacing w:val="-2"/>
                <w:kern w:val="28"/>
                <w:szCs w:val="20"/>
              </w:rPr>
              <w:t xml:space="preserve"> </w:t>
            </w:r>
            <w:r w:rsidR="00BC7345">
              <w:rPr>
                <w:rFonts w:eastAsia="Times New Roman"/>
                <w:snapToGrid w:val="0"/>
                <w:color w:val="auto"/>
                <w:spacing w:val="-2"/>
                <w:kern w:val="28"/>
                <w:szCs w:val="20"/>
              </w:rPr>
              <w:t xml:space="preserve">Memorial </w:t>
            </w:r>
            <w:r w:rsidR="003D51B8">
              <w:rPr>
                <w:rFonts w:eastAsia="Times New Roman"/>
                <w:snapToGrid w:val="0"/>
                <w:color w:val="auto"/>
                <w:spacing w:val="-2"/>
                <w:kern w:val="28"/>
                <w:szCs w:val="20"/>
              </w:rPr>
              <w:t>Baptist Church</w:t>
            </w:r>
          </w:p>
          <w:p w:rsid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rsidR="0068057E"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 xml:space="preserve">Petition for Exemption from the </w:t>
            </w:r>
          </w:p>
          <w:p w:rsidR="003D51B8" w:rsidRPr="003D51B8" w:rsidRDefault="0068057E" w:rsidP="00EE2974">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Closed Captioning Requirements</w:t>
            </w:r>
          </w:p>
        </w:tc>
        <w:tc>
          <w:tcPr>
            <w:tcW w:w="630" w:type="dxa"/>
          </w:tcPr>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b/>
                <w:snapToGrid w:val="0"/>
                <w:color w:val="auto"/>
                <w:spacing w:val="-2"/>
                <w:kern w:val="28"/>
                <w:szCs w:val="20"/>
              </w:rPr>
            </w:pPr>
            <w:r w:rsidRPr="003D51B8">
              <w:rPr>
                <w:rFonts w:eastAsia="Times New Roman"/>
                <w:b/>
                <w:snapToGrid w:val="0"/>
                <w:color w:val="auto"/>
                <w:spacing w:val="-2"/>
                <w:kern w:val="28"/>
                <w:szCs w:val="20"/>
              </w:rPr>
              <w:t>)</w:t>
            </w:r>
          </w:p>
          <w:p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tc>
        <w:tc>
          <w:tcPr>
            <w:tcW w:w="4248" w:type="dxa"/>
          </w:tcPr>
          <w:p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rsidR="003D51B8" w:rsidRP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rsidR="003D51B8"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CGB-CC-</w:t>
            </w:r>
            <w:r w:rsidR="00EB61D5">
              <w:rPr>
                <w:rFonts w:eastAsia="Times New Roman"/>
                <w:snapToGrid w:val="0"/>
                <w:color w:val="auto"/>
                <w:spacing w:val="-2"/>
                <w:kern w:val="28"/>
                <w:szCs w:val="20"/>
              </w:rPr>
              <w:t>0144</w:t>
            </w:r>
          </w:p>
          <w:p w:rsidR="003D51B8" w:rsidRDefault="003D51B8" w:rsidP="003D51B8">
            <w:pPr>
              <w:widowControl w:val="0"/>
              <w:tabs>
                <w:tab w:val="center" w:pos="4680"/>
              </w:tabs>
              <w:suppressAutoHyphens/>
              <w:spacing w:after="0"/>
              <w:ind w:firstLine="0"/>
              <w:rPr>
                <w:rFonts w:eastAsia="Times New Roman"/>
                <w:snapToGrid w:val="0"/>
                <w:color w:val="auto"/>
                <w:spacing w:val="-2"/>
                <w:kern w:val="28"/>
                <w:szCs w:val="20"/>
              </w:rPr>
            </w:pPr>
          </w:p>
          <w:p w:rsidR="003D51B8" w:rsidRPr="003D51B8" w:rsidRDefault="0068057E" w:rsidP="003D51B8">
            <w:pPr>
              <w:widowControl w:val="0"/>
              <w:tabs>
                <w:tab w:val="center" w:pos="4680"/>
              </w:tabs>
              <w:suppressAutoHyphens/>
              <w:spacing w:after="0"/>
              <w:ind w:firstLine="0"/>
              <w:rPr>
                <w:rFonts w:eastAsia="Times New Roman"/>
                <w:snapToGrid w:val="0"/>
                <w:color w:val="auto"/>
                <w:spacing w:val="-2"/>
                <w:kern w:val="28"/>
                <w:szCs w:val="20"/>
              </w:rPr>
            </w:pPr>
            <w:r>
              <w:rPr>
                <w:rFonts w:eastAsia="Times New Roman"/>
                <w:snapToGrid w:val="0"/>
                <w:color w:val="auto"/>
                <w:spacing w:val="-2"/>
                <w:kern w:val="28"/>
                <w:szCs w:val="20"/>
              </w:rPr>
              <w:t>CG Docket No. 06-181</w:t>
            </w:r>
          </w:p>
        </w:tc>
      </w:tr>
    </w:tbl>
    <w:p w:rsidR="003D51B8" w:rsidRPr="003D51B8" w:rsidRDefault="003D51B8" w:rsidP="003D51B8">
      <w:pPr>
        <w:widowControl w:val="0"/>
        <w:spacing w:after="0"/>
        <w:ind w:firstLine="0"/>
        <w:rPr>
          <w:rFonts w:eastAsia="Times New Roman"/>
          <w:snapToGrid w:val="0"/>
          <w:color w:val="auto"/>
          <w:kern w:val="28"/>
          <w:szCs w:val="20"/>
        </w:rPr>
      </w:pPr>
    </w:p>
    <w:p w:rsidR="003D51B8" w:rsidRPr="003D51B8" w:rsidRDefault="003D51B8" w:rsidP="003D51B8">
      <w:pPr>
        <w:widowControl w:val="0"/>
        <w:spacing w:after="0"/>
        <w:ind w:firstLine="0"/>
        <w:jc w:val="center"/>
        <w:rPr>
          <w:rFonts w:ascii="Times New Roman Bold" w:eastAsia="Times New Roman" w:hAnsi="Times New Roman Bold"/>
          <w:b/>
          <w:bCs/>
          <w:caps/>
          <w:snapToGrid w:val="0"/>
          <w:color w:val="auto"/>
          <w:kern w:val="28"/>
          <w:szCs w:val="22"/>
        </w:rPr>
      </w:pPr>
      <w:r>
        <w:rPr>
          <w:rFonts w:ascii="Times New Roman Bold" w:eastAsia="Times New Roman" w:hAnsi="Times New Roman Bold"/>
          <w:b/>
          <w:bCs/>
          <w:caps/>
          <w:snapToGrid w:val="0"/>
          <w:color w:val="auto"/>
          <w:kern w:val="28"/>
          <w:szCs w:val="22"/>
        </w:rPr>
        <w:t>MEMORANDUM OPINION AND ORDER</w:t>
      </w:r>
    </w:p>
    <w:p w:rsidR="003D51B8" w:rsidRPr="003D51B8" w:rsidRDefault="003D51B8" w:rsidP="003D51B8">
      <w:pPr>
        <w:widowControl w:val="0"/>
        <w:tabs>
          <w:tab w:val="left" w:pos="-720"/>
        </w:tabs>
        <w:suppressAutoHyphens/>
        <w:spacing w:after="0" w:line="227" w:lineRule="auto"/>
        <w:ind w:firstLine="0"/>
        <w:rPr>
          <w:rFonts w:eastAsia="Times New Roman"/>
          <w:snapToGrid w:val="0"/>
          <w:color w:val="auto"/>
          <w:spacing w:val="-2"/>
          <w:kern w:val="28"/>
          <w:szCs w:val="20"/>
        </w:rPr>
      </w:pPr>
    </w:p>
    <w:p w:rsidR="003D51B8" w:rsidRPr="003D51B8" w:rsidRDefault="003D51B8" w:rsidP="003D51B8">
      <w:pPr>
        <w:widowControl w:val="0"/>
        <w:tabs>
          <w:tab w:val="left" w:pos="720"/>
          <w:tab w:val="right" w:pos="9360"/>
        </w:tabs>
        <w:suppressAutoHyphens/>
        <w:spacing w:after="0" w:line="227" w:lineRule="auto"/>
        <w:ind w:firstLine="0"/>
        <w:rPr>
          <w:rFonts w:eastAsia="Times New Roman"/>
          <w:snapToGrid w:val="0"/>
          <w:color w:val="auto"/>
          <w:spacing w:val="-2"/>
          <w:kern w:val="28"/>
          <w:szCs w:val="20"/>
        </w:rPr>
      </w:pPr>
      <w:r w:rsidRPr="003D51B8">
        <w:rPr>
          <w:rFonts w:eastAsia="Times New Roman"/>
          <w:b/>
          <w:snapToGrid w:val="0"/>
          <w:color w:val="auto"/>
          <w:spacing w:val="-2"/>
          <w:kern w:val="28"/>
          <w:szCs w:val="20"/>
        </w:rPr>
        <w:t xml:space="preserve">Adopted:  </w:t>
      </w:r>
      <w:r w:rsidR="0029053F">
        <w:rPr>
          <w:rFonts w:eastAsia="Times New Roman"/>
          <w:b/>
          <w:snapToGrid w:val="0"/>
          <w:color w:val="auto"/>
          <w:spacing w:val="-2"/>
          <w:kern w:val="28"/>
          <w:szCs w:val="20"/>
        </w:rPr>
        <w:t>December 19, 2014</w:t>
      </w:r>
      <w:r w:rsidR="0051083B">
        <w:rPr>
          <w:rFonts w:eastAsia="Times New Roman"/>
          <w:b/>
          <w:snapToGrid w:val="0"/>
          <w:color w:val="auto"/>
          <w:spacing w:val="-2"/>
          <w:kern w:val="28"/>
          <w:szCs w:val="20"/>
        </w:rPr>
        <w:t xml:space="preserve">                                                            </w:t>
      </w:r>
      <w:r w:rsidRPr="003D51B8">
        <w:rPr>
          <w:rFonts w:eastAsia="Times New Roman"/>
          <w:b/>
          <w:snapToGrid w:val="0"/>
          <w:color w:val="auto"/>
          <w:spacing w:val="-2"/>
          <w:kern w:val="28"/>
          <w:szCs w:val="20"/>
        </w:rPr>
        <w:t xml:space="preserve">Released:  </w:t>
      </w:r>
      <w:r w:rsidR="0029053F">
        <w:rPr>
          <w:rFonts w:eastAsia="Times New Roman"/>
          <w:b/>
          <w:snapToGrid w:val="0"/>
          <w:color w:val="auto"/>
          <w:spacing w:val="-2"/>
          <w:kern w:val="28"/>
          <w:szCs w:val="20"/>
        </w:rPr>
        <w:t>December 19, 2014</w:t>
      </w:r>
    </w:p>
    <w:p w:rsidR="003D51B8" w:rsidRPr="003D51B8" w:rsidRDefault="003D51B8" w:rsidP="003D51B8">
      <w:pPr>
        <w:widowControl w:val="0"/>
        <w:spacing w:after="0"/>
        <w:ind w:firstLine="0"/>
        <w:rPr>
          <w:rFonts w:eastAsia="Times New Roman"/>
          <w:snapToGrid w:val="0"/>
          <w:color w:val="auto"/>
          <w:kern w:val="28"/>
          <w:szCs w:val="20"/>
        </w:rPr>
      </w:pPr>
    </w:p>
    <w:p w:rsidR="00F8305B" w:rsidRDefault="003D51B8" w:rsidP="00F962BD">
      <w:pPr>
        <w:ind w:firstLine="0"/>
      </w:pPr>
      <w:r w:rsidRPr="003D51B8">
        <w:rPr>
          <w:rFonts w:eastAsia="Times New Roman"/>
          <w:snapToGrid w:val="0"/>
          <w:color w:val="auto"/>
          <w:kern w:val="28"/>
          <w:szCs w:val="20"/>
        </w:rPr>
        <w:t xml:space="preserve">By the </w:t>
      </w:r>
      <w:r w:rsidR="0068057E">
        <w:rPr>
          <w:rFonts w:eastAsia="Times New Roman"/>
          <w:snapToGrid w:val="0"/>
          <w:color w:val="auto"/>
          <w:spacing w:val="-2"/>
          <w:kern w:val="28"/>
          <w:szCs w:val="20"/>
        </w:rPr>
        <w:t xml:space="preserve">Deputy </w:t>
      </w:r>
      <w:r>
        <w:rPr>
          <w:rFonts w:eastAsia="Times New Roman"/>
          <w:snapToGrid w:val="0"/>
          <w:color w:val="auto"/>
          <w:spacing w:val="-2"/>
          <w:kern w:val="28"/>
          <w:szCs w:val="20"/>
        </w:rPr>
        <w:t>Chief, Consumer and Governmental Affairs Bureau</w:t>
      </w:r>
      <w:r w:rsidRPr="003D51B8">
        <w:rPr>
          <w:rFonts w:eastAsia="Times New Roman"/>
          <w:snapToGrid w:val="0"/>
          <w:color w:val="auto"/>
          <w:spacing w:val="-2"/>
          <w:kern w:val="28"/>
          <w:szCs w:val="20"/>
        </w:rPr>
        <w:t>:</w:t>
      </w:r>
    </w:p>
    <w:p w:rsidR="00F8305B" w:rsidRDefault="00F8305B"/>
    <w:p w:rsidR="00F8305B" w:rsidRDefault="00F8305B">
      <w:pPr>
        <w:pStyle w:val="Heading11"/>
        <w:numPr>
          <w:ilvl w:val="0"/>
          <w:numId w:val="1"/>
        </w:numPr>
        <w:ind w:hanging="720"/>
        <w:rPr>
          <w:rFonts w:ascii="Times New Roman" w:hAnsi="Times New Roman"/>
        </w:rPr>
      </w:pPr>
      <w:r>
        <w:t>INTRODUCTION</w:t>
      </w:r>
    </w:p>
    <w:p w:rsidR="00DA0E2A" w:rsidRPr="00077DF2" w:rsidRDefault="00DA0E2A" w:rsidP="003A5706">
      <w:pPr>
        <w:pStyle w:val="ParaNum"/>
        <w:numPr>
          <w:ilvl w:val="0"/>
          <w:numId w:val="2"/>
        </w:numPr>
        <w:spacing w:after="120"/>
        <w:ind w:left="0" w:firstLine="720"/>
        <w:jc w:val="left"/>
        <w:rPr>
          <w:szCs w:val="22"/>
        </w:rPr>
      </w:pPr>
      <w:r w:rsidRPr="00077DF2">
        <w:rPr>
          <w:szCs w:val="22"/>
        </w:rPr>
        <w:t xml:space="preserve">In this Memorandum Opinion and Order (Order), we address a petition filed by </w:t>
      </w:r>
      <w:r w:rsidR="00EB61D5">
        <w:rPr>
          <w:szCs w:val="22"/>
        </w:rPr>
        <w:t>Dawson</w:t>
      </w:r>
      <w:r w:rsidR="00162DC3">
        <w:rPr>
          <w:szCs w:val="22"/>
        </w:rPr>
        <w:t xml:space="preserve"> </w:t>
      </w:r>
      <w:r w:rsidR="002A5D56">
        <w:rPr>
          <w:szCs w:val="22"/>
        </w:rPr>
        <w:t xml:space="preserve">Memorial Baptist Church </w:t>
      </w:r>
      <w:r w:rsidR="00162DC3">
        <w:rPr>
          <w:szCs w:val="22"/>
        </w:rPr>
        <w:t>(</w:t>
      </w:r>
      <w:r w:rsidR="00EB61D5">
        <w:rPr>
          <w:szCs w:val="22"/>
        </w:rPr>
        <w:t>Dawson</w:t>
      </w:r>
      <w:r w:rsidRPr="00077DF2">
        <w:rPr>
          <w:szCs w:val="22"/>
        </w:rPr>
        <w:t xml:space="preserve">) for an exemption from the </w:t>
      </w:r>
      <w:r>
        <w:rPr>
          <w:szCs w:val="22"/>
        </w:rPr>
        <w:t xml:space="preserve">Federal Communications </w:t>
      </w:r>
      <w:r w:rsidRPr="00077DF2">
        <w:rPr>
          <w:szCs w:val="22"/>
        </w:rPr>
        <w:t>Commission’s</w:t>
      </w:r>
      <w:r>
        <w:rPr>
          <w:szCs w:val="22"/>
        </w:rPr>
        <w:t xml:space="preserve"> (FCC’s or Commission’s)</w:t>
      </w:r>
      <w:r w:rsidRPr="00077DF2">
        <w:rPr>
          <w:szCs w:val="22"/>
        </w:rPr>
        <w:t xml:space="preserve"> closed captioning requirements for its program, </w:t>
      </w:r>
      <w:r w:rsidR="00EB61D5">
        <w:rPr>
          <w:i/>
          <w:szCs w:val="22"/>
        </w:rPr>
        <w:t>Dawson Memorial Baptist Church</w:t>
      </w:r>
      <w:r w:rsidRPr="00077DF2">
        <w:rPr>
          <w:szCs w:val="22"/>
        </w:rPr>
        <w:t xml:space="preserve">. </w:t>
      </w:r>
      <w:r>
        <w:rPr>
          <w:szCs w:val="22"/>
        </w:rPr>
        <w:t xml:space="preserve"> </w:t>
      </w:r>
      <w:r w:rsidRPr="00077DF2">
        <w:rPr>
          <w:szCs w:val="22"/>
        </w:rPr>
        <w:t xml:space="preserve">Because we conclude that </w:t>
      </w:r>
      <w:r w:rsidR="00EB61D5">
        <w:rPr>
          <w:szCs w:val="22"/>
        </w:rPr>
        <w:t>Dawson</w:t>
      </w:r>
      <w:r w:rsidRPr="00077DF2">
        <w:rPr>
          <w:szCs w:val="22"/>
        </w:rPr>
        <w:t xml:space="preserve"> has not demonstrated that its compliance with the Commission’s closed captioning requirements</w:t>
      </w:r>
      <w:r w:rsidR="009A10BA">
        <w:rPr>
          <w:szCs w:val="22"/>
        </w:rPr>
        <w:t xml:space="preserve"> for this program</w:t>
      </w:r>
      <w:r w:rsidRPr="00077DF2">
        <w:rPr>
          <w:szCs w:val="22"/>
        </w:rPr>
        <w:t xml:space="preserve"> would be economically burdensome</w:t>
      </w:r>
      <w:r>
        <w:rPr>
          <w:szCs w:val="22"/>
        </w:rPr>
        <w:t xml:space="preserve"> to it</w:t>
      </w:r>
      <w:r w:rsidRPr="00077DF2">
        <w:rPr>
          <w:szCs w:val="22"/>
        </w:rPr>
        <w:t>,</w:t>
      </w:r>
      <w:r w:rsidR="00F91EE7">
        <w:rPr>
          <w:szCs w:val="22"/>
        </w:rPr>
        <w:t xml:space="preserve"> we deny the p</w:t>
      </w:r>
      <w:r w:rsidRPr="00077DF2">
        <w:rPr>
          <w:szCs w:val="22"/>
        </w:rPr>
        <w:t>etition.</w:t>
      </w:r>
      <w:r>
        <w:rPr>
          <w:szCs w:val="22"/>
        </w:rPr>
        <w:t xml:space="preserve">  In light of our action, </w:t>
      </w:r>
      <w:r w:rsidR="00EB61D5">
        <w:rPr>
          <w:szCs w:val="22"/>
        </w:rPr>
        <w:t>Dawson</w:t>
      </w:r>
      <w:r w:rsidR="003B4FFA">
        <w:rPr>
          <w:szCs w:val="22"/>
        </w:rPr>
        <w:t xml:space="preserve"> must provide closed captioning for its program </w:t>
      </w:r>
      <w:r w:rsidRPr="00FD62B1">
        <w:rPr>
          <w:szCs w:val="22"/>
        </w:rPr>
        <w:t xml:space="preserve">no later than </w:t>
      </w:r>
      <w:r w:rsidR="0029053F" w:rsidRPr="0029053F">
        <w:rPr>
          <w:szCs w:val="22"/>
        </w:rPr>
        <w:t>March 19</w:t>
      </w:r>
      <w:r w:rsidRPr="0029053F">
        <w:rPr>
          <w:szCs w:val="22"/>
        </w:rPr>
        <w:t>, 201</w:t>
      </w:r>
      <w:r w:rsidR="0006131E" w:rsidRPr="0029053F">
        <w:rPr>
          <w:szCs w:val="22"/>
        </w:rPr>
        <w:t>5</w:t>
      </w:r>
      <w:r w:rsidRPr="00FD62B1">
        <w:rPr>
          <w:szCs w:val="22"/>
        </w:rPr>
        <w:t xml:space="preserve">, which is 90 days from the </w:t>
      </w:r>
      <w:r>
        <w:rPr>
          <w:szCs w:val="22"/>
        </w:rPr>
        <w:t xml:space="preserve">date of the </w:t>
      </w:r>
      <w:r w:rsidRPr="00FD62B1">
        <w:rPr>
          <w:szCs w:val="22"/>
        </w:rPr>
        <w:t>release of this Order.</w:t>
      </w:r>
    </w:p>
    <w:p w:rsidR="00F8305B" w:rsidRDefault="00F8305B">
      <w:pPr>
        <w:pStyle w:val="Heading11"/>
        <w:numPr>
          <w:ilvl w:val="0"/>
          <w:numId w:val="1"/>
        </w:numPr>
        <w:ind w:hanging="720"/>
        <w:jc w:val="left"/>
      </w:pPr>
      <w:r>
        <w:t>Background</w:t>
      </w:r>
    </w:p>
    <w:p w:rsidR="00162DC3" w:rsidRPr="00101734" w:rsidRDefault="00162DC3" w:rsidP="00CF0C33">
      <w:pPr>
        <w:pStyle w:val="ParaNum"/>
        <w:widowControl/>
        <w:numPr>
          <w:ilvl w:val="0"/>
          <w:numId w:val="2"/>
        </w:numPr>
        <w:spacing w:after="120"/>
        <w:ind w:left="0" w:firstLine="720"/>
        <w:jc w:val="left"/>
        <w:rPr>
          <w:szCs w:val="22"/>
        </w:rPr>
      </w:pPr>
      <w:r w:rsidRPr="00101734">
        <w:rPr>
          <w:szCs w:val="22"/>
        </w:rPr>
        <w:t xml:space="preserve">In 1996, Congress added section 713 to the Communications Act of 1934, as amended (Communications Act), establishing </w:t>
      </w:r>
      <w:r w:rsidRPr="00096ACC">
        <w:rPr>
          <w:szCs w:val="22"/>
        </w:rPr>
        <w:t xml:space="preserve">requirements </w:t>
      </w:r>
      <w:r w:rsidRPr="00101734">
        <w:rPr>
          <w:szCs w:val="22"/>
        </w:rPr>
        <w:t>for closed captioning o</w:t>
      </w:r>
      <w:r>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1"/>
      </w:r>
      <w:r w:rsidRPr="00101734">
        <w:rPr>
          <w:szCs w:val="22"/>
        </w:rPr>
        <w:t xml:space="preserve"> and directing the Commission to prescribe rules to carry out this mandate.</w:t>
      </w:r>
      <w:r w:rsidRPr="00101734">
        <w:rPr>
          <w:szCs w:val="22"/>
          <w:vertAlign w:val="superscript"/>
        </w:rPr>
        <w:footnoteReference w:id="2"/>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3"/>
      </w:r>
      <w:r w:rsidRPr="00101734">
        <w:rPr>
          <w:szCs w:val="22"/>
        </w:rPr>
        <w:t xml:space="preserve">  The Commission’s closed</w:t>
      </w:r>
      <w:r>
        <w:rPr>
          <w:szCs w:val="22"/>
        </w:rPr>
        <w:t xml:space="preserve"> </w:t>
      </w:r>
      <w:r>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4"/>
      </w:r>
      <w:r>
        <w:rPr>
          <w:szCs w:val="22"/>
        </w:rPr>
        <w:t xml:space="preserve">  </w:t>
      </w:r>
    </w:p>
    <w:p w:rsidR="00162DC3" w:rsidRDefault="00162DC3" w:rsidP="00CF0C33">
      <w:pPr>
        <w:pStyle w:val="ParaNum"/>
        <w:widowControl/>
        <w:numPr>
          <w:ilvl w:val="0"/>
          <w:numId w:val="2"/>
        </w:numPr>
        <w:spacing w:after="120"/>
        <w:ind w:left="0" w:firstLine="7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w:t>
      </w:r>
      <w:r w:rsidRPr="00F962BD">
        <w:rPr>
          <w:szCs w:val="22"/>
        </w:rPr>
        <w:t>the</w:t>
      </w:r>
      <w:r w:rsidRPr="00101734">
        <w:rPr>
          <w:szCs w:val="22"/>
        </w:rPr>
        <w:t xml:space="preserv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5"/>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6"/>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7"/>
      </w:r>
    </w:p>
    <w:p w:rsidR="0051083B" w:rsidRDefault="0051083B" w:rsidP="00CF0C33">
      <w:pPr>
        <w:pStyle w:val="ParaNum"/>
        <w:widowControl/>
        <w:numPr>
          <w:ilvl w:val="0"/>
          <w:numId w:val="0"/>
        </w:numPr>
        <w:spacing w:after="120"/>
        <w:ind w:left="720" w:hanging="360"/>
        <w:jc w:val="left"/>
        <w:rPr>
          <w:szCs w:val="22"/>
        </w:rPr>
      </w:pPr>
    </w:p>
    <w:p w:rsidR="0051083B" w:rsidRPr="00101734" w:rsidRDefault="0051083B" w:rsidP="00CF0C33">
      <w:pPr>
        <w:pStyle w:val="ParaNum"/>
        <w:widowControl/>
        <w:numPr>
          <w:ilvl w:val="0"/>
          <w:numId w:val="0"/>
        </w:numPr>
        <w:spacing w:after="120"/>
        <w:ind w:left="720" w:hanging="360"/>
        <w:jc w:val="left"/>
        <w:rPr>
          <w:szCs w:val="22"/>
        </w:rPr>
      </w:pPr>
    </w:p>
    <w:p w:rsidR="00162DC3" w:rsidRPr="00101734" w:rsidRDefault="00162DC3" w:rsidP="00CF0C33">
      <w:pPr>
        <w:pStyle w:val="ParaNum"/>
        <w:widowControl/>
        <w:numPr>
          <w:ilvl w:val="0"/>
          <w:numId w:val="2"/>
        </w:numPr>
        <w:spacing w:after="120"/>
        <w:ind w:left="0" w:firstLine="720"/>
        <w:jc w:val="left"/>
        <w:rPr>
          <w:szCs w:val="22"/>
        </w:rPr>
      </w:pPr>
      <w:r w:rsidRPr="00101734">
        <w:rPr>
          <w:szCs w:val="22"/>
        </w:rPr>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rsidR="00162DC3" w:rsidRPr="00101734" w:rsidRDefault="00162DC3">
      <w:pPr>
        <w:numPr>
          <w:ilvl w:val="0"/>
          <w:numId w:val="4"/>
        </w:numPr>
        <w:rPr>
          <w:szCs w:val="22"/>
        </w:rPr>
      </w:pPr>
      <w:r w:rsidRPr="00101734">
        <w:rPr>
          <w:snapToGrid w:val="0"/>
          <w:kern w:val="28"/>
          <w:szCs w:val="22"/>
        </w:rPr>
        <w:t>the name of the programming (or channel of programming) for which an exemption is requested;</w:t>
      </w:r>
    </w:p>
    <w:p w:rsidR="00162DC3" w:rsidRPr="00101734" w:rsidRDefault="00162DC3">
      <w:pPr>
        <w:numPr>
          <w:ilvl w:val="0"/>
          <w:numId w:val="4"/>
        </w:numPr>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rsidR="00162DC3" w:rsidRPr="00101734" w:rsidRDefault="00162DC3">
      <w:pPr>
        <w:numPr>
          <w:ilvl w:val="0"/>
          <w:numId w:val="4"/>
        </w:numPr>
        <w:rPr>
          <w:szCs w:val="22"/>
        </w:rPr>
      </w:pPr>
      <w:r w:rsidRPr="00101734">
        <w:rPr>
          <w:snapToGrid w:val="0"/>
          <w:kern w:val="28"/>
          <w:szCs w:val="22"/>
        </w:rPr>
        <w:t xml:space="preserve">an explanation of the impact that having to provide closed captioning will have on the petitioner’s programming activities; </w:t>
      </w:r>
    </w:p>
    <w:p w:rsidR="00162DC3" w:rsidRPr="00101734" w:rsidRDefault="00162DC3">
      <w:pPr>
        <w:numPr>
          <w:ilvl w:val="0"/>
          <w:numId w:val="4"/>
        </w:numPr>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rsidR="00162DC3" w:rsidRPr="00101734" w:rsidRDefault="00162DC3">
      <w:pPr>
        <w:numPr>
          <w:ilvl w:val="0"/>
          <w:numId w:val="4"/>
        </w:numPr>
        <w:rPr>
          <w:szCs w:val="22"/>
        </w:rPr>
      </w:pPr>
      <w:r w:rsidRPr="00101734">
        <w:rPr>
          <w:snapToGrid w:val="0"/>
          <w:kern w:val="28"/>
          <w:szCs w:val="22"/>
        </w:rPr>
        <w:t>verification that the petitioner has sought closed captioning assistance from its video programming distributor(s); and</w:t>
      </w:r>
    </w:p>
    <w:p w:rsidR="00162DC3" w:rsidRPr="00101734" w:rsidRDefault="00162DC3">
      <w:pPr>
        <w:numPr>
          <w:ilvl w:val="0"/>
          <w:numId w:val="4"/>
        </w:numPr>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8"/>
      </w:r>
      <w:r w:rsidRPr="00101734">
        <w:rPr>
          <w:snapToGrid w:val="0"/>
          <w:kern w:val="28"/>
          <w:szCs w:val="22"/>
        </w:rPr>
        <w:t xml:space="preserve">  </w:t>
      </w:r>
    </w:p>
    <w:p w:rsidR="00162DC3" w:rsidRPr="00EB38D7" w:rsidRDefault="00162DC3" w:rsidP="00CF0C33">
      <w:pPr>
        <w:pStyle w:val="ParaNum"/>
        <w:widowControl/>
        <w:numPr>
          <w:ilvl w:val="0"/>
          <w:numId w:val="2"/>
        </w:numPr>
        <w:spacing w:after="120"/>
        <w:ind w:left="0" w:firstLine="7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9"/>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0"/>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1"/>
      </w:r>
    </w:p>
    <w:p w:rsidR="007A1D24" w:rsidRPr="00752CD6" w:rsidRDefault="00EB61D5" w:rsidP="00CF0C33">
      <w:pPr>
        <w:pStyle w:val="ParaNum"/>
        <w:widowControl/>
        <w:numPr>
          <w:ilvl w:val="0"/>
          <w:numId w:val="2"/>
        </w:numPr>
        <w:spacing w:after="120"/>
        <w:ind w:left="0" w:firstLine="720"/>
        <w:jc w:val="left"/>
        <w:rPr>
          <w:szCs w:val="22"/>
        </w:rPr>
      </w:pPr>
      <w:r>
        <w:rPr>
          <w:szCs w:val="22"/>
        </w:rPr>
        <w:t>Dawson</w:t>
      </w:r>
      <w:r w:rsidR="007A1D24" w:rsidRPr="00EF4D9B">
        <w:rPr>
          <w:szCs w:val="22"/>
        </w:rPr>
        <w:t xml:space="preserve"> initially filed a petition for exemption </w:t>
      </w:r>
      <w:r w:rsidR="00592278">
        <w:rPr>
          <w:szCs w:val="22"/>
        </w:rPr>
        <w:t xml:space="preserve">by letter dated </w:t>
      </w:r>
      <w:r w:rsidR="009D6613">
        <w:rPr>
          <w:szCs w:val="22"/>
        </w:rPr>
        <w:t>December 12</w:t>
      </w:r>
      <w:r w:rsidR="00592278">
        <w:rPr>
          <w:szCs w:val="22"/>
        </w:rPr>
        <w:t xml:space="preserve">, </w:t>
      </w:r>
      <w:r w:rsidR="007A1D24">
        <w:rPr>
          <w:szCs w:val="22"/>
        </w:rPr>
        <w:t>2005</w:t>
      </w:r>
      <w:r w:rsidR="00EE2974">
        <w:rPr>
          <w:szCs w:val="22"/>
        </w:rPr>
        <w:t xml:space="preserve">, which was received by the Commission on </w:t>
      </w:r>
      <w:r w:rsidR="009D6613">
        <w:rPr>
          <w:szCs w:val="22"/>
        </w:rPr>
        <w:t>December 27</w:t>
      </w:r>
      <w:r w:rsidR="00EE2974">
        <w:rPr>
          <w:szCs w:val="22"/>
        </w:rPr>
        <w:t>, 2005</w:t>
      </w:r>
      <w:r w:rsidR="007A1D24">
        <w:rPr>
          <w:szCs w:val="22"/>
        </w:rPr>
        <w:t>.</w:t>
      </w:r>
      <w:r w:rsidR="007A1D24" w:rsidRPr="00EF4D9B">
        <w:rPr>
          <w:rStyle w:val="FootnoteReference"/>
          <w:szCs w:val="22"/>
        </w:rPr>
        <w:footnoteReference w:id="12"/>
      </w:r>
      <w:r w:rsidR="007A1D24" w:rsidRPr="00EF4D9B">
        <w:rPr>
          <w:vanish/>
          <w:szCs w:val="22"/>
        </w:rPr>
        <w:t xml:space="preserve">  </w:t>
      </w:r>
      <w:r w:rsidR="007A1D24">
        <w:rPr>
          <w:szCs w:val="22"/>
        </w:rPr>
        <w:t xml:space="preserve">  </w:t>
      </w:r>
      <w:r w:rsidR="00F109D1">
        <w:rPr>
          <w:szCs w:val="22"/>
        </w:rPr>
        <w:t>The Consumer and Governmental Affairs Bureau (CGB or Bureau) requested more information about the petition</w:t>
      </w:r>
      <w:r w:rsidR="004F148A">
        <w:rPr>
          <w:szCs w:val="22"/>
        </w:rPr>
        <w:t xml:space="preserve"> on February 13, 2006</w:t>
      </w:r>
      <w:r w:rsidR="00F109D1">
        <w:rPr>
          <w:szCs w:val="22"/>
        </w:rPr>
        <w:t>.</w:t>
      </w:r>
      <w:r w:rsidR="00F109D1">
        <w:rPr>
          <w:rStyle w:val="FootnoteReference"/>
          <w:szCs w:val="22"/>
        </w:rPr>
        <w:footnoteReference w:id="13"/>
      </w:r>
      <w:r w:rsidR="00F109D1">
        <w:rPr>
          <w:szCs w:val="22"/>
        </w:rPr>
        <w:t xml:space="preserve">  </w:t>
      </w:r>
      <w:r>
        <w:rPr>
          <w:szCs w:val="22"/>
        </w:rPr>
        <w:t>Dawson</w:t>
      </w:r>
      <w:r w:rsidR="00F109D1">
        <w:rPr>
          <w:szCs w:val="22"/>
        </w:rPr>
        <w:t xml:space="preserve"> supplemented the petition by </w:t>
      </w:r>
      <w:r w:rsidR="00032736">
        <w:rPr>
          <w:szCs w:val="22"/>
        </w:rPr>
        <w:t xml:space="preserve">an undated </w:t>
      </w:r>
      <w:r w:rsidR="00F109D1">
        <w:rPr>
          <w:szCs w:val="22"/>
        </w:rPr>
        <w:t xml:space="preserve">letter, which was received by the Commission on </w:t>
      </w:r>
      <w:r w:rsidR="00032736">
        <w:rPr>
          <w:szCs w:val="22"/>
        </w:rPr>
        <w:t>March 13</w:t>
      </w:r>
      <w:r w:rsidR="00F109D1">
        <w:rPr>
          <w:szCs w:val="22"/>
        </w:rPr>
        <w:t>, 2006.</w:t>
      </w:r>
      <w:r w:rsidR="00F109D1">
        <w:rPr>
          <w:rStyle w:val="FootnoteReference"/>
          <w:szCs w:val="22"/>
        </w:rPr>
        <w:footnoteReference w:id="14"/>
      </w:r>
      <w:r w:rsidR="00F109D1">
        <w:rPr>
          <w:szCs w:val="22"/>
        </w:rPr>
        <w:t xml:space="preserve">  </w:t>
      </w:r>
      <w:r w:rsidR="0062662E">
        <w:rPr>
          <w:szCs w:val="22"/>
        </w:rPr>
        <w:t xml:space="preserve">Dawson </w:t>
      </w:r>
      <w:r w:rsidR="00421F0F">
        <w:rPr>
          <w:szCs w:val="22"/>
        </w:rPr>
        <w:t xml:space="preserve">further </w:t>
      </w:r>
      <w:r w:rsidR="0062662E">
        <w:rPr>
          <w:szCs w:val="22"/>
        </w:rPr>
        <w:t xml:space="preserve">supplemented the petition by letter dated April 3, 2006, which was received by the Commission on April </w:t>
      </w:r>
      <w:r w:rsidR="005E0BCD">
        <w:rPr>
          <w:szCs w:val="22"/>
        </w:rPr>
        <w:t>5</w:t>
      </w:r>
      <w:r w:rsidR="0062662E">
        <w:rPr>
          <w:szCs w:val="22"/>
        </w:rPr>
        <w:t>, 2006.</w:t>
      </w:r>
      <w:r w:rsidR="0062662E">
        <w:rPr>
          <w:rStyle w:val="FootnoteReference"/>
          <w:szCs w:val="22"/>
        </w:rPr>
        <w:footnoteReference w:id="15"/>
      </w:r>
      <w:r w:rsidR="0062662E">
        <w:rPr>
          <w:szCs w:val="22"/>
        </w:rPr>
        <w:t xml:space="preserve">  </w:t>
      </w:r>
      <w:r w:rsidR="00EE2974">
        <w:rPr>
          <w:szCs w:val="22"/>
        </w:rPr>
        <w:t xml:space="preserve">In a Public Notice released on </w:t>
      </w:r>
      <w:r w:rsidR="00032736">
        <w:rPr>
          <w:szCs w:val="22"/>
        </w:rPr>
        <w:t>April 7</w:t>
      </w:r>
      <w:r w:rsidR="00EE2974">
        <w:rPr>
          <w:szCs w:val="22"/>
        </w:rPr>
        <w:t xml:space="preserve">, 2006, the </w:t>
      </w:r>
      <w:r w:rsidR="00F109D1">
        <w:rPr>
          <w:szCs w:val="22"/>
        </w:rPr>
        <w:t xml:space="preserve">Bureau </w:t>
      </w:r>
      <w:r w:rsidR="00860DC7">
        <w:rPr>
          <w:szCs w:val="22"/>
        </w:rPr>
        <w:t>invited comment on the p</w:t>
      </w:r>
      <w:r w:rsidR="00EE2974">
        <w:rPr>
          <w:szCs w:val="22"/>
        </w:rPr>
        <w:t>etition.</w:t>
      </w:r>
      <w:r w:rsidR="00EE2974">
        <w:rPr>
          <w:rStyle w:val="FootnoteReference"/>
          <w:szCs w:val="22"/>
        </w:rPr>
        <w:footnoteReference w:id="16"/>
      </w:r>
      <w:r w:rsidR="00EE2974">
        <w:rPr>
          <w:szCs w:val="22"/>
        </w:rPr>
        <w:t xml:space="preserve">  </w:t>
      </w:r>
      <w:r w:rsidR="0062662E">
        <w:rPr>
          <w:szCs w:val="22"/>
        </w:rPr>
        <w:t xml:space="preserve">No comments were received.  </w:t>
      </w:r>
      <w:r w:rsidR="004D34A3">
        <w:rPr>
          <w:szCs w:val="22"/>
        </w:rPr>
        <w:t xml:space="preserve">The Bureau </w:t>
      </w:r>
      <w:r w:rsidR="007A1D24" w:rsidRPr="00FD62B1">
        <w:t xml:space="preserve">granted the </w:t>
      </w:r>
      <w:r w:rsidR="007A1D24">
        <w:t xml:space="preserve">petition and issued an </w:t>
      </w:r>
      <w:r w:rsidR="007A1D24" w:rsidRPr="00FD62B1">
        <w:t>exemption</w:t>
      </w:r>
      <w:r w:rsidR="007A1D24">
        <w:t xml:space="preserve"> to </w:t>
      </w:r>
      <w:r>
        <w:t>Dawson</w:t>
      </w:r>
      <w:r w:rsidR="007A1D24">
        <w:t xml:space="preserve"> by</w:t>
      </w:r>
      <w:r w:rsidR="004E4ACD">
        <w:t xml:space="preserve"> letter order dated September 11</w:t>
      </w:r>
      <w:r w:rsidR="007A1D24">
        <w:t>, 2006</w:t>
      </w:r>
      <w:r w:rsidR="007A1D24" w:rsidRPr="00EF4D9B">
        <w:rPr>
          <w:szCs w:val="22"/>
        </w:rPr>
        <w:t>.</w:t>
      </w:r>
      <w:r w:rsidR="007A1D24" w:rsidRPr="00EF4D9B">
        <w:rPr>
          <w:rStyle w:val="FootnoteReference"/>
          <w:szCs w:val="22"/>
        </w:rPr>
        <w:footnoteReference w:id="17"/>
      </w:r>
      <w:r w:rsidR="007A1D24" w:rsidRPr="00EF4D9B">
        <w:rPr>
          <w:szCs w:val="22"/>
        </w:rPr>
        <w:t xml:space="preserve">  </w:t>
      </w:r>
      <w:r w:rsidR="007A1D24">
        <w:rPr>
          <w:szCs w:val="22"/>
        </w:rPr>
        <w:t xml:space="preserve">In </w:t>
      </w:r>
      <w:r w:rsidR="007A1D24" w:rsidRPr="00EF4D9B">
        <w:rPr>
          <w:szCs w:val="22"/>
        </w:rPr>
        <w:t xml:space="preserve">2011, the Commission </w:t>
      </w:r>
      <w:r w:rsidR="007A1D24" w:rsidRPr="00FD62B1">
        <w:t xml:space="preserve">reversed </w:t>
      </w:r>
      <w:r w:rsidR="007A1D24">
        <w:t>certain</w:t>
      </w:r>
      <w:r w:rsidR="007A1D24" w:rsidRPr="00FD62B1">
        <w:t xml:space="preserve"> </w:t>
      </w:r>
      <w:r w:rsidR="007A1D24">
        <w:t xml:space="preserve">Bureau </w:t>
      </w:r>
      <w:r w:rsidR="007A1D24" w:rsidRPr="00FD62B1">
        <w:t>grant</w:t>
      </w:r>
      <w:r w:rsidR="007A1D24">
        <w:t>s</w:t>
      </w:r>
      <w:r w:rsidR="007A1D24" w:rsidRPr="00FD62B1">
        <w:t xml:space="preserve"> of exemption</w:t>
      </w:r>
      <w:r w:rsidR="007A1D24">
        <w:t xml:space="preserve">, including that to </w:t>
      </w:r>
      <w:r>
        <w:t>Dawson</w:t>
      </w:r>
      <w:r w:rsidR="007A1D24" w:rsidRPr="00EF4D9B">
        <w:rPr>
          <w:szCs w:val="22"/>
        </w:rPr>
        <w:t>.</w:t>
      </w:r>
      <w:r w:rsidR="007A1D24" w:rsidRPr="00EF4D9B">
        <w:rPr>
          <w:rStyle w:val="FootnoteReference"/>
          <w:szCs w:val="22"/>
        </w:rPr>
        <w:footnoteReference w:id="18"/>
      </w:r>
      <w:r w:rsidR="007A1D24" w:rsidRPr="00EF4D9B">
        <w:rPr>
          <w:szCs w:val="22"/>
        </w:rPr>
        <w:t xml:space="preserve">  </w:t>
      </w:r>
      <w:r w:rsidR="007A1D24" w:rsidRPr="00874706">
        <w:rPr>
          <w:szCs w:val="22"/>
        </w:rPr>
        <w:t xml:space="preserve">By letter dated October </w:t>
      </w:r>
      <w:r w:rsidR="007A1D24">
        <w:rPr>
          <w:szCs w:val="22"/>
        </w:rPr>
        <w:t>2</w:t>
      </w:r>
      <w:r w:rsidR="007A1D24" w:rsidRPr="00874706">
        <w:rPr>
          <w:szCs w:val="22"/>
        </w:rPr>
        <w:t xml:space="preserve">5, 2011, the </w:t>
      </w:r>
      <w:r w:rsidR="007A1D24">
        <w:rPr>
          <w:szCs w:val="22"/>
        </w:rPr>
        <w:t>Bureau</w:t>
      </w:r>
      <w:r w:rsidR="007A1D24" w:rsidRPr="00874706">
        <w:rPr>
          <w:szCs w:val="22"/>
        </w:rPr>
        <w:t xml:space="preserve"> notified </w:t>
      </w:r>
      <w:r>
        <w:rPr>
          <w:szCs w:val="22"/>
        </w:rPr>
        <w:t>Dawson</w:t>
      </w:r>
      <w:r w:rsidR="007A1D24" w:rsidRPr="00874706">
        <w:rPr>
          <w:szCs w:val="22"/>
        </w:rPr>
        <w:t xml:space="preserve"> </w:t>
      </w:r>
      <w:r w:rsidR="007A1D24">
        <w:rPr>
          <w:szCs w:val="22"/>
        </w:rPr>
        <w:t xml:space="preserve">of this reversal and explained that </w:t>
      </w:r>
      <w:r>
        <w:rPr>
          <w:szCs w:val="22"/>
        </w:rPr>
        <w:t>Dawson</w:t>
      </w:r>
      <w:r w:rsidR="007A1D24">
        <w:rPr>
          <w:szCs w:val="22"/>
        </w:rPr>
        <w:t xml:space="preserve"> would need to </w:t>
      </w:r>
      <w:r w:rsidR="007A1D24" w:rsidRPr="00874706">
        <w:rPr>
          <w:szCs w:val="22"/>
        </w:rPr>
        <w:t>fil</w:t>
      </w:r>
      <w:r w:rsidR="007A1D24">
        <w:rPr>
          <w:szCs w:val="22"/>
        </w:rPr>
        <w:t>e</w:t>
      </w:r>
      <w:r w:rsidR="007A1D24" w:rsidRPr="00874706">
        <w:rPr>
          <w:szCs w:val="22"/>
        </w:rPr>
        <w:t xml:space="preserve"> a new exemption </w:t>
      </w:r>
      <w:r w:rsidR="007A1D24">
        <w:rPr>
          <w:szCs w:val="22"/>
        </w:rPr>
        <w:t xml:space="preserve">petition </w:t>
      </w:r>
      <w:r w:rsidR="007A1D24" w:rsidRPr="00874706">
        <w:rPr>
          <w:szCs w:val="22"/>
        </w:rPr>
        <w:t xml:space="preserve">and supplement </w:t>
      </w:r>
      <w:r w:rsidR="007A1D24">
        <w:rPr>
          <w:szCs w:val="22"/>
        </w:rPr>
        <w:t>the record</w:t>
      </w:r>
      <w:r w:rsidR="007A1D24" w:rsidRPr="00874706">
        <w:rPr>
          <w:szCs w:val="22"/>
        </w:rPr>
        <w:t xml:space="preserve"> with </w:t>
      </w:r>
      <w:r w:rsidR="007A1D24">
        <w:rPr>
          <w:szCs w:val="22"/>
        </w:rPr>
        <w:t>up-to-date</w:t>
      </w:r>
      <w:r w:rsidR="007A1D24" w:rsidRPr="00874706">
        <w:rPr>
          <w:szCs w:val="22"/>
        </w:rPr>
        <w:t xml:space="preserve"> information</w:t>
      </w:r>
      <w:r w:rsidR="007A1D24">
        <w:rPr>
          <w:szCs w:val="22"/>
        </w:rPr>
        <w:t>, supported by affidavit,</w:t>
      </w:r>
      <w:r w:rsidR="007A1D24" w:rsidRPr="00874706">
        <w:rPr>
          <w:szCs w:val="22"/>
        </w:rPr>
        <w:t xml:space="preserve"> about i</w:t>
      </w:r>
      <w:r w:rsidR="007A1D24" w:rsidRPr="008E7A3A">
        <w:rPr>
          <w:szCs w:val="22"/>
        </w:rPr>
        <w:t>ts inability to provide closed captioning if it wished to receive a closed captioning exemption.</w:t>
      </w:r>
      <w:r w:rsidR="007A1D24" w:rsidRPr="008E7A3A">
        <w:rPr>
          <w:rStyle w:val="FootnoteReference"/>
          <w:szCs w:val="22"/>
        </w:rPr>
        <w:footnoteReference w:id="19"/>
      </w:r>
      <w:r w:rsidR="007A1D24" w:rsidRPr="00F962BD">
        <w:rPr>
          <w:szCs w:val="22"/>
        </w:rPr>
        <w:t xml:space="preserve">  </w:t>
      </w:r>
      <w:r w:rsidR="00C25BE4" w:rsidRPr="00737690">
        <w:rPr>
          <w:szCs w:val="22"/>
        </w:rPr>
        <w:t xml:space="preserve">In response, on January </w:t>
      </w:r>
      <w:r w:rsidR="000E567B">
        <w:rPr>
          <w:szCs w:val="22"/>
        </w:rPr>
        <w:t>17</w:t>
      </w:r>
      <w:r w:rsidR="00CF009A" w:rsidRPr="00F962BD">
        <w:rPr>
          <w:szCs w:val="22"/>
        </w:rPr>
        <w:t xml:space="preserve">, 2012, </w:t>
      </w:r>
      <w:r>
        <w:rPr>
          <w:szCs w:val="22"/>
        </w:rPr>
        <w:t>Dawson</w:t>
      </w:r>
      <w:r w:rsidR="007A1D24" w:rsidRPr="008E7A3A">
        <w:rPr>
          <w:szCs w:val="22"/>
        </w:rPr>
        <w:t xml:space="preserve"> f</w:t>
      </w:r>
      <w:r w:rsidR="007A1D24" w:rsidRPr="000B3427">
        <w:rPr>
          <w:szCs w:val="22"/>
        </w:rPr>
        <w:t>iled a new petition</w:t>
      </w:r>
      <w:r w:rsidR="00CF009A">
        <w:rPr>
          <w:szCs w:val="22"/>
        </w:rPr>
        <w:t>, which was received</w:t>
      </w:r>
      <w:r w:rsidR="00C25BE4">
        <w:rPr>
          <w:szCs w:val="22"/>
        </w:rPr>
        <w:t xml:space="preserve"> by the Commission on January </w:t>
      </w:r>
      <w:r w:rsidR="000E567B">
        <w:rPr>
          <w:szCs w:val="22"/>
        </w:rPr>
        <w:t>18</w:t>
      </w:r>
      <w:r w:rsidR="00CF009A">
        <w:rPr>
          <w:szCs w:val="22"/>
        </w:rPr>
        <w:t>, 2012</w:t>
      </w:r>
      <w:r w:rsidR="00395AFE">
        <w:rPr>
          <w:szCs w:val="22"/>
        </w:rPr>
        <w:t xml:space="preserve"> </w:t>
      </w:r>
      <w:r w:rsidR="007A1D24">
        <w:rPr>
          <w:szCs w:val="22"/>
        </w:rPr>
        <w:t>(hereinafter Petition).</w:t>
      </w:r>
      <w:r w:rsidR="007A1D24">
        <w:rPr>
          <w:rStyle w:val="FootnoteReference"/>
          <w:szCs w:val="22"/>
        </w:rPr>
        <w:footnoteReference w:id="20"/>
      </w:r>
      <w:r w:rsidR="007A1D24" w:rsidRPr="00EF4D9B">
        <w:rPr>
          <w:szCs w:val="22"/>
        </w:rPr>
        <w:t xml:space="preserve"> </w:t>
      </w:r>
      <w:r w:rsidR="007A1D24">
        <w:rPr>
          <w:szCs w:val="22"/>
        </w:rPr>
        <w:t xml:space="preserve"> </w:t>
      </w:r>
      <w:r w:rsidR="009013DA">
        <w:rPr>
          <w:szCs w:val="22"/>
        </w:rPr>
        <w:t xml:space="preserve">On February </w:t>
      </w:r>
      <w:r w:rsidR="000E567B">
        <w:rPr>
          <w:szCs w:val="22"/>
        </w:rPr>
        <w:t>8</w:t>
      </w:r>
      <w:r w:rsidR="007A1D24" w:rsidRPr="00752CD6">
        <w:rPr>
          <w:szCs w:val="22"/>
        </w:rPr>
        <w:t xml:space="preserve">, 2012, the </w:t>
      </w:r>
      <w:r w:rsidR="007A1D24">
        <w:rPr>
          <w:szCs w:val="22"/>
        </w:rPr>
        <w:t>Bureau</w:t>
      </w:r>
      <w:r w:rsidR="007A1D24" w:rsidRPr="00752CD6">
        <w:rPr>
          <w:szCs w:val="22"/>
        </w:rPr>
        <w:t xml:space="preserve"> invited commen</w:t>
      </w:r>
      <w:r w:rsidR="007A1D24">
        <w:rPr>
          <w:szCs w:val="22"/>
        </w:rPr>
        <w:t>t</w:t>
      </w:r>
      <w:r w:rsidR="007A1D24" w:rsidRPr="00752CD6">
        <w:rPr>
          <w:szCs w:val="22"/>
        </w:rPr>
        <w:t xml:space="preserve"> on the Petition</w:t>
      </w:r>
      <w:r w:rsidR="007A1D24" w:rsidRPr="00317971">
        <w:rPr>
          <w:szCs w:val="22"/>
        </w:rPr>
        <w:t>.</w:t>
      </w:r>
      <w:r w:rsidR="007A1D24" w:rsidRPr="00317971">
        <w:rPr>
          <w:rStyle w:val="FootnoteReference"/>
          <w:szCs w:val="22"/>
        </w:rPr>
        <w:footnoteReference w:id="21"/>
      </w:r>
      <w:r w:rsidR="007A1D24" w:rsidRPr="00317971">
        <w:rPr>
          <w:szCs w:val="22"/>
        </w:rPr>
        <w:t xml:space="preserve">  </w:t>
      </w:r>
      <w:r w:rsidR="00697009">
        <w:rPr>
          <w:szCs w:val="22"/>
        </w:rPr>
        <w:t>Certain c</w:t>
      </w:r>
      <w:r w:rsidR="007A1D24" w:rsidRPr="005644AD">
        <w:rPr>
          <w:szCs w:val="22"/>
        </w:rPr>
        <w:t xml:space="preserve">onsumer </w:t>
      </w:r>
      <w:r w:rsidR="00F512ED">
        <w:rPr>
          <w:szCs w:val="22"/>
        </w:rPr>
        <w:t>g</w:t>
      </w:r>
      <w:r w:rsidR="007A1D24" w:rsidRPr="005644AD">
        <w:rPr>
          <w:szCs w:val="22"/>
        </w:rPr>
        <w:t>roups jointly filed an opposition to the Petition</w:t>
      </w:r>
      <w:r w:rsidR="007A1D24" w:rsidRPr="00317971">
        <w:rPr>
          <w:szCs w:val="22"/>
        </w:rPr>
        <w:t>.</w:t>
      </w:r>
      <w:r w:rsidR="007A1D24" w:rsidRPr="00317971">
        <w:rPr>
          <w:rStyle w:val="FootnoteReference"/>
          <w:szCs w:val="22"/>
        </w:rPr>
        <w:footnoteReference w:id="22"/>
      </w:r>
      <w:r w:rsidR="007A1D24" w:rsidRPr="00317971">
        <w:rPr>
          <w:szCs w:val="22"/>
        </w:rPr>
        <w:t xml:space="preserve">  </w:t>
      </w:r>
      <w:r w:rsidR="00784CD5">
        <w:rPr>
          <w:szCs w:val="22"/>
        </w:rPr>
        <w:t xml:space="preserve">On March 28, 2012, Dawson submitted a reply to </w:t>
      </w:r>
      <w:r w:rsidR="00697009">
        <w:rPr>
          <w:szCs w:val="22"/>
        </w:rPr>
        <w:t xml:space="preserve">the </w:t>
      </w:r>
      <w:r w:rsidR="00784CD5">
        <w:rPr>
          <w:szCs w:val="22"/>
        </w:rPr>
        <w:t>opposition, which was received by the Commission on March 29, 2012.</w:t>
      </w:r>
      <w:r w:rsidR="00784CD5">
        <w:rPr>
          <w:rStyle w:val="FootnoteReference"/>
          <w:szCs w:val="22"/>
        </w:rPr>
        <w:footnoteReference w:id="23"/>
      </w:r>
      <w:r w:rsidR="00784CD5">
        <w:rPr>
          <w:szCs w:val="22"/>
        </w:rPr>
        <w:t xml:space="preserve">  </w:t>
      </w:r>
      <w:r w:rsidR="007A1D24" w:rsidRPr="00317971">
        <w:rPr>
          <w:szCs w:val="22"/>
        </w:rPr>
        <w:t xml:space="preserve">Subsequently, </w:t>
      </w:r>
      <w:r w:rsidR="007A1D24" w:rsidRPr="005644AD">
        <w:rPr>
          <w:szCs w:val="22"/>
        </w:rPr>
        <w:t>the Bureau determined that it required additional and updated information to enable it to determine whether the programming that was the subject of the Petition should be exempt from the Commission’s closed captioning obligations.</w:t>
      </w:r>
      <w:r w:rsidR="00F254DA">
        <w:rPr>
          <w:rStyle w:val="FootnoteReference"/>
          <w:szCs w:val="22"/>
        </w:rPr>
        <w:footnoteReference w:id="24"/>
      </w:r>
      <w:r w:rsidR="007A1D24" w:rsidRPr="005644AD">
        <w:rPr>
          <w:szCs w:val="22"/>
        </w:rPr>
        <w:t xml:space="preserve">  </w:t>
      </w:r>
      <w:r w:rsidR="007A1D24" w:rsidRPr="00317971">
        <w:rPr>
          <w:szCs w:val="22"/>
        </w:rPr>
        <w:t xml:space="preserve">In response to a </w:t>
      </w:r>
      <w:r w:rsidR="007A1D24">
        <w:rPr>
          <w:szCs w:val="22"/>
        </w:rPr>
        <w:t>Bureau</w:t>
      </w:r>
      <w:r w:rsidR="007A1D24" w:rsidRPr="00317971">
        <w:rPr>
          <w:szCs w:val="22"/>
        </w:rPr>
        <w:t xml:space="preserve"> letter dated September 27, 2013, </w:t>
      </w:r>
      <w:r>
        <w:rPr>
          <w:szCs w:val="22"/>
        </w:rPr>
        <w:t>Dawson</w:t>
      </w:r>
      <w:r w:rsidR="007A1D24" w:rsidRPr="00317971">
        <w:rPr>
          <w:szCs w:val="22"/>
        </w:rPr>
        <w:t xml:space="preserve"> supplemented its Petition.</w:t>
      </w:r>
      <w:r w:rsidR="007A1D24" w:rsidRPr="00317971">
        <w:rPr>
          <w:rStyle w:val="FootnoteReference"/>
          <w:szCs w:val="22"/>
        </w:rPr>
        <w:footnoteReference w:id="25"/>
      </w:r>
      <w:r w:rsidR="007A1D24" w:rsidRPr="00317971">
        <w:rPr>
          <w:szCs w:val="22"/>
        </w:rPr>
        <w:t xml:space="preserve">  The Bureau again placed the Petition</w:t>
      </w:r>
      <w:r w:rsidR="007A1D24" w:rsidRPr="00752CD6">
        <w:rPr>
          <w:szCs w:val="22"/>
        </w:rPr>
        <w:t xml:space="preserve"> on Public Notice </w:t>
      </w:r>
      <w:r w:rsidR="007A1D24">
        <w:rPr>
          <w:szCs w:val="22"/>
        </w:rPr>
        <w:t xml:space="preserve">for comment </w:t>
      </w:r>
      <w:r w:rsidR="007A1D24" w:rsidRPr="00752CD6">
        <w:rPr>
          <w:szCs w:val="22"/>
        </w:rPr>
        <w:t>on December 26, 2013.</w:t>
      </w:r>
      <w:r w:rsidR="007A1D24" w:rsidRPr="00E74DC1">
        <w:rPr>
          <w:rStyle w:val="FootnoteReference"/>
          <w:szCs w:val="22"/>
        </w:rPr>
        <w:footnoteReference w:id="26"/>
      </w:r>
      <w:r w:rsidR="007A1D24" w:rsidRPr="00752CD6">
        <w:rPr>
          <w:szCs w:val="22"/>
        </w:rPr>
        <w:t xml:space="preserve">  </w:t>
      </w:r>
      <w:r w:rsidR="007A1D24">
        <w:rPr>
          <w:szCs w:val="22"/>
        </w:rPr>
        <w:t xml:space="preserve">Again, </w:t>
      </w:r>
      <w:r w:rsidR="00697009">
        <w:rPr>
          <w:szCs w:val="22"/>
        </w:rPr>
        <w:t>several c</w:t>
      </w:r>
      <w:r w:rsidR="007A1D24">
        <w:rPr>
          <w:szCs w:val="22"/>
        </w:rPr>
        <w:t xml:space="preserve">onsumer </w:t>
      </w:r>
      <w:r w:rsidR="00697009">
        <w:rPr>
          <w:szCs w:val="22"/>
        </w:rPr>
        <w:t>g</w:t>
      </w:r>
      <w:r w:rsidR="007A1D24">
        <w:rPr>
          <w:szCs w:val="22"/>
        </w:rPr>
        <w:t>roups jointly opposed the Petition</w:t>
      </w:r>
      <w:r w:rsidR="006C0909">
        <w:rPr>
          <w:szCs w:val="22"/>
        </w:rPr>
        <w:t>,</w:t>
      </w:r>
      <w:r w:rsidR="007A1D24" w:rsidRPr="00EB38D7">
        <w:rPr>
          <w:rStyle w:val="FootnoteReference"/>
          <w:szCs w:val="22"/>
        </w:rPr>
        <w:footnoteReference w:id="27"/>
      </w:r>
      <w:r w:rsidR="006C0909">
        <w:rPr>
          <w:szCs w:val="22"/>
        </w:rPr>
        <w:t xml:space="preserve"> and Dawson filed a response.</w:t>
      </w:r>
      <w:r w:rsidR="006C0909">
        <w:rPr>
          <w:rStyle w:val="FootnoteReference"/>
          <w:szCs w:val="22"/>
        </w:rPr>
        <w:footnoteReference w:id="28"/>
      </w:r>
      <w:r w:rsidR="006C0909">
        <w:rPr>
          <w:szCs w:val="22"/>
        </w:rPr>
        <w:t xml:space="preserve"> </w:t>
      </w:r>
    </w:p>
    <w:p w:rsidR="00F8305B" w:rsidRDefault="00F8305B" w:rsidP="00CF0C33">
      <w:pPr>
        <w:pStyle w:val="Heading11"/>
        <w:widowControl/>
        <w:numPr>
          <w:ilvl w:val="0"/>
          <w:numId w:val="1"/>
        </w:numPr>
        <w:ind w:hanging="720"/>
        <w:jc w:val="left"/>
      </w:pPr>
      <w:r>
        <w:t>discussion</w:t>
      </w:r>
    </w:p>
    <w:p w:rsidR="00B52FA5" w:rsidRDefault="00EB61D5" w:rsidP="00CF0C33">
      <w:pPr>
        <w:pStyle w:val="ParaNum"/>
        <w:widowControl/>
        <w:numPr>
          <w:ilvl w:val="0"/>
          <w:numId w:val="2"/>
        </w:numPr>
        <w:spacing w:after="120"/>
        <w:ind w:left="0" w:firstLine="720"/>
        <w:jc w:val="left"/>
      </w:pPr>
      <w:r>
        <w:rPr>
          <w:szCs w:val="22"/>
        </w:rPr>
        <w:t>Dawson</w:t>
      </w:r>
      <w:r w:rsidR="00612B9C" w:rsidRPr="001D646A">
        <w:rPr>
          <w:szCs w:val="22"/>
        </w:rPr>
        <w:t xml:space="preserve"> produces </w:t>
      </w:r>
      <w:r>
        <w:rPr>
          <w:i/>
          <w:szCs w:val="22"/>
        </w:rPr>
        <w:t>Dawson</w:t>
      </w:r>
      <w:r w:rsidR="00612B9C">
        <w:rPr>
          <w:i/>
          <w:szCs w:val="22"/>
        </w:rPr>
        <w:t xml:space="preserve"> </w:t>
      </w:r>
      <w:r>
        <w:rPr>
          <w:i/>
          <w:szCs w:val="22"/>
        </w:rPr>
        <w:t>Memorial Baptist Church</w:t>
      </w:r>
      <w:r w:rsidR="003C1A65">
        <w:rPr>
          <w:szCs w:val="22"/>
        </w:rPr>
        <w:t>,</w:t>
      </w:r>
      <w:r w:rsidR="00612B9C">
        <w:rPr>
          <w:szCs w:val="22"/>
        </w:rPr>
        <w:t xml:space="preserve"> </w:t>
      </w:r>
      <w:r w:rsidR="00612B9C" w:rsidRPr="001D646A">
        <w:rPr>
          <w:szCs w:val="22"/>
        </w:rPr>
        <w:t xml:space="preserve">a one-hour program that is broadcast weekly on </w:t>
      </w:r>
      <w:r w:rsidR="00AF201D">
        <w:rPr>
          <w:szCs w:val="22"/>
        </w:rPr>
        <w:t xml:space="preserve">Station </w:t>
      </w:r>
      <w:r w:rsidR="001A41D3">
        <w:t>WIAT</w:t>
      </w:r>
      <w:r w:rsidR="00AF201D">
        <w:t>(</w:t>
      </w:r>
      <w:r w:rsidR="001A41D3">
        <w:t>TV</w:t>
      </w:r>
      <w:r w:rsidR="00AF201D">
        <w:t>)</w:t>
      </w:r>
      <w:r w:rsidR="001A41D3">
        <w:t>, Birmingham, AL</w:t>
      </w:r>
      <w:r w:rsidR="001F7309">
        <w:t xml:space="preserve"> (WIAT)</w:t>
      </w:r>
      <w:r w:rsidR="00612B9C">
        <w:rPr>
          <w:szCs w:val="22"/>
        </w:rPr>
        <w:t>,</w:t>
      </w:r>
      <w:r w:rsidR="00612B9C" w:rsidRPr="001D646A">
        <w:rPr>
          <w:szCs w:val="22"/>
        </w:rPr>
        <w:t xml:space="preserve"> on Sunday mornings.</w:t>
      </w:r>
      <w:r w:rsidR="00612B9C">
        <w:rPr>
          <w:rStyle w:val="FootnoteReference1"/>
        </w:rPr>
        <w:footnoteReference w:id="29"/>
      </w:r>
      <w:r w:rsidR="00612B9C">
        <w:t xml:space="preserve"> </w:t>
      </w:r>
      <w:r w:rsidR="00612B9C" w:rsidRPr="001D646A">
        <w:rPr>
          <w:szCs w:val="22"/>
        </w:rPr>
        <w:t xml:space="preserve">  </w:t>
      </w:r>
      <w:r w:rsidR="001A41D3">
        <w:rPr>
          <w:szCs w:val="22"/>
        </w:rPr>
        <w:t>Dawson’s program airs on a one-week delay – the service broadcast is that which was held one week prior to broadcast.</w:t>
      </w:r>
      <w:r w:rsidR="001A41D3">
        <w:rPr>
          <w:rStyle w:val="FootnoteReference"/>
          <w:szCs w:val="22"/>
        </w:rPr>
        <w:footnoteReference w:id="30"/>
      </w:r>
      <w:r w:rsidR="001A41D3">
        <w:t xml:space="preserve">  </w:t>
      </w:r>
      <w:r w:rsidR="00612B9C">
        <w:t xml:space="preserve">The program </w:t>
      </w:r>
      <w:r w:rsidR="001A41D3" w:rsidRPr="001D646A">
        <w:rPr>
          <w:szCs w:val="22"/>
        </w:rPr>
        <w:t>is aimed at church members and others who are not otherwise able to attend local worship services</w:t>
      </w:r>
      <w:r w:rsidR="001A41D3">
        <w:rPr>
          <w:szCs w:val="22"/>
        </w:rPr>
        <w:t>.</w:t>
      </w:r>
      <w:r w:rsidR="001A41D3">
        <w:rPr>
          <w:rStyle w:val="FootnoteReference"/>
          <w:szCs w:val="22"/>
        </w:rPr>
        <w:footnoteReference w:id="31"/>
      </w:r>
      <w:r w:rsidR="001A41D3">
        <w:rPr>
          <w:szCs w:val="22"/>
        </w:rPr>
        <w:t xml:space="preserve">  </w:t>
      </w:r>
      <w:r w:rsidR="001A41D3">
        <w:t>Dawson publishes weekly sermon notes on its website and provides “a volunteer sign language translator to sign each service and television broadcast.”</w:t>
      </w:r>
      <w:r w:rsidR="001A41D3">
        <w:rPr>
          <w:rStyle w:val="FootnoteReference"/>
        </w:rPr>
        <w:footnoteReference w:id="32"/>
      </w:r>
      <w:r w:rsidR="001A41D3">
        <w:t xml:space="preserve">  </w:t>
      </w:r>
      <w:r>
        <w:t>Dawson</w:t>
      </w:r>
      <w:r w:rsidR="00612B9C">
        <w:t xml:space="preserve"> contends that it is unable to afford closed captioning </w:t>
      </w:r>
      <w:r w:rsidR="00F41C9C">
        <w:t xml:space="preserve">for </w:t>
      </w:r>
      <w:r w:rsidR="00612B9C">
        <w:t>the weekly broadcasts</w:t>
      </w:r>
      <w:r w:rsidR="00B52FA5">
        <w:t xml:space="preserve">, and that the cost of captioning would have the result of possibly “forcing Dawson to forego other key </w:t>
      </w:r>
      <w:r w:rsidR="00760F8B">
        <w:t xml:space="preserve">religious services and missions </w:t>
      </w:r>
      <w:r w:rsidR="00B52FA5">
        <w:t>in order to afford the cost of closed captioning or even cause Dawson to discontinue the broadcast altogether, depriving the community’s elderly and disabled members from participating in church services.”</w:t>
      </w:r>
      <w:r w:rsidR="00B52FA5" w:rsidRPr="00FD62B1">
        <w:rPr>
          <w:rStyle w:val="FootnoteReference"/>
          <w:szCs w:val="22"/>
        </w:rPr>
        <w:footnoteReference w:id="33"/>
      </w:r>
    </w:p>
    <w:p w:rsidR="009E4A5F" w:rsidRDefault="00EB61D5" w:rsidP="00CF0C33">
      <w:pPr>
        <w:pStyle w:val="ParaNum"/>
        <w:widowControl/>
        <w:numPr>
          <w:ilvl w:val="0"/>
          <w:numId w:val="2"/>
        </w:numPr>
        <w:spacing w:after="120"/>
        <w:ind w:left="0" w:firstLine="720"/>
        <w:jc w:val="left"/>
        <w:rPr>
          <w:szCs w:val="22"/>
        </w:rPr>
      </w:pPr>
      <w:r>
        <w:rPr>
          <w:szCs w:val="22"/>
        </w:rPr>
        <w:t>Dawson</w:t>
      </w:r>
      <w:r w:rsidR="009E4A5F" w:rsidRPr="001D646A">
        <w:rPr>
          <w:szCs w:val="22"/>
        </w:rPr>
        <w:t xml:space="preserve"> obtained </w:t>
      </w:r>
      <w:r w:rsidR="009E4A5F" w:rsidRPr="00B66851">
        <w:rPr>
          <w:szCs w:val="22"/>
        </w:rPr>
        <w:t xml:space="preserve">two </w:t>
      </w:r>
      <w:r w:rsidR="009E4A5F" w:rsidRPr="00F26182">
        <w:rPr>
          <w:szCs w:val="22"/>
        </w:rPr>
        <w:t xml:space="preserve">quotes to caption its program, </w:t>
      </w:r>
      <w:r w:rsidR="003C1A65">
        <w:t>one for $</w:t>
      </w:r>
      <w:r w:rsidR="00760F8B">
        <w:t>400</w:t>
      </w:r>
      <w:r w:rsidR="0006131E">
        <w:t xml:space="preserve"> </w:t>
      </w:r>
      <w:r w:rsidR="003C1A65">
        <w:t xml:space="preserve">per week from </w:t>
      </w:r>
      <w:r w:rsidR="00760F8B">
        <w:t>Master Video,</w:t>
      </w:r>
      <w:r w:rsidR="00760F8B">
        <w:rPr>
          <w:rStyle w:val="FootnoteReference"/>
        </w:rPr>
        <w:footnoteReference w:id="34"/>
      </w:r>
      <w:r w:rsidR="00760F8B">
        <w:t xml:space="preserve"> </w:t>
      </w:r>
      <w:r w:rsidR="003C1A65">
        <w:t xml:space="preserve">and another </w:t>
      </w:r>
      <w:r w:rsidR="00835832">
        <w:t xml:space="preserve">for </w:t>
      </w:r>
      <w:r w:rsidR="00760F8B">
        <w:t>$500 per week from Gemstone Media, Inc.</w:t>
      </w:r>
      <w:r w:rsidR="00760F8B">
        <w:rPr>
          <w:rStyle w:val="FootnoteReference"/>
        </w:rPr>
        <w:footnoteReference w:id="35"/>
      </w:r>
      <w:r w:rsidR="00760F8B">
        <w:t xml:space="preserve">  </w:t>
      </w:r>
      <w:r w:rsidR="003C1A65">
        <w:t xml:space="preserve"> </w:t>
      </w:r>
      <w:r w:rsidR="009E4A5F" w:rsidRPr="001D646A">
        <w:rPr>
          <w:szCs w:val="22"/>
        </w:rPr>
        <w:t xml:space="preserve">Based on these quotes, </w:t>
      </w:r>
      <w:r>
        <w:rPr>
          <w:szCs w:val="22"/>
        </w:rPr>
        <w:t>Dawson</w:t>
      </w:r>
      <w:r w:rsidR="009E4A5F" w:rsidRPr="001D646A">
        <w:rPr>
          <w:szCs w:val="22"/>
        </w:rPr>
        <w:t xml:space="preserve"> </w:t>
      </w:r>
      <w:r w:rsidR="009E4A5F">
        <w:rPr>
          <w:szCs w:val="22"/>
        </w:rPr>
        <w:t>states</w:t>
      </w:r>
      <w:r w:rsidR="009E4A5F" w:rsidRPr="001D646A">
        <w:rPr>
          <w:szCs w:val="22"/>
        </w:rPr>
        <w:t xml:space="preserve"> that the cost of</w:t>
      </w:r>
      <w:r w:rsidR="009E4A5F">
        <w:rPr>
          <w:szCs w:val="22"/>
        </w:rPr>
        <w:t xml:space="preserve"> </w:t>
      </w:r>
      <w:r w:rsidR="009E4A5F" w:rsidRPr="001D646A">
        <w:rPr>
          <w:szCs w:val="22"/>
        </w:rPr>
        <w:t>captioning</w:t>
      </w:r>
      <w:r w:rsidR="009E4A5F">
        <w:rPr>
          <w:szCs w:val="22"/>
        </w:rPr>
        <w:t xml:space="preserve"> services for</w:t>
      </w:r>
      <w:r w:rsidR="009E4A5F" w:rsidRPr="001D646A">
        <w:rPr>
          <w:szCs w:val="22"/>
        </w:rPr>
        <w:t xml:space="preserve"> a full year of </w:t>
      </w:r>
      <w:r>
        <w:rPr>
          <w:i/>
          <w:szCs w:val="22"/>
        </w:rPr>
        <w:t>Dawson Memorial Baptist Church</w:t>
      </w:r>
      <w:r w:rsidR="003C1A65" w:rsidRPr="001D646A">
        <w:rPr>
          <w:szCs w:val="22"/>
        </w:rPr>
        <w:t xml:space="preserve"> </w:t>
      </w:r>
      <w:r w:rsidR="009E4A5F" w:rsidRPr="001D646A">
        <w:rPr>
          <w:szCs w:val="22"/>
        </w:rPr>
        <w:t>(</w:t>
      </w:r>
      <w:r w:rsidR="009E4A5F" w:rsidRPr="00AC53AC">
        <w:rPr>
          <w:i/>
          <w:szCs w:val="22"/>
        </w:rPr>
        <w:t>i.e</w:t>
      </w:r>
      <w:r w:rsidR="009E4A5F" w:rsidRPr="001D646A">
        <w:rPr>
          <w:szCs w:val="22"/>
        </w:rPr>
        <w:t>., 52 programs) would be $</w:t>
      </w:r>
      <w:r w:rsidR="00760F8B">
        <w:t>20,800 and $26,000, respectively.</w:t>
      </w:r>
      <w:r w:rsidR="00760F8B">
        <w:rPr>
          <w:rStyle w:val="FootnoteReference"/>
        </w:rPr>
        <w:footnoteReference w:id="36"/>
      </w:r>
      <w:r w:rsidR="00760F8B">
        <w:t xml:space="preserve"> </w:t>
      </w:r>
      <w:r w:rsidR="00760F8B">
        <w:rPr>
          <w:szCs w:val="22"/>
        </w:rPr>
        <w:t xml:space="preserve"> </w:t>
      </w:r>
    </w:p>
    <w:p w:rsidR="00760F8B" w:rsidRDefault="00760F8B" w:rsidP="00CF0C33">
      <w:pPr>
        <w:pStyle w:val="ParaNum"/>
        <w:widowControl/>
        <w:numPr>
          <w:ilvl w:val="0"/>
          <w:numId w:val="2"/>
        </w:numPr>
        <w:spacing w:after="120"/>
        <w:ind w:left="0" w:firstLine="720"/>
        <w:jc w:val="left"/>
      </w:pPr>
      <w:r w:rsidRPr="00B92347">
        <w:rPr>
          <w:szCs w:val="22"/>
        </w:rPr>
        <w:t>In addition, Dawson provides an estimate of captioning costs for in-house captioning.  If Dawson opted to caption in-house instead of using a service, i</w:t>
      </w:r>
      <w:r>
        <w:t>t estimates that it would cost $16,610.79 to obtain closed captioning equipment and produce in-house captioning for the first year.</w:t>
      </w:r>
      <w:r>
        <w:rPr>
          <w:rStyle w:val="FootnoteReference"/>
        </w:rPr>
        <w:footnoteReference w:id="37"/>
      </w:r>
      <w:r>
        <w:t xml:space="preserve">  Dawson estimates the cost of software upgrades and personnel costs in subsequent years to range between $10,000 and $12,000.</w:t>
      </w:r>
      <w:r>
        <w:rPr>
          <w:rStyle w:val="FootnoteReference"/>
        </w:rPr>
        <w:footnoteReference w:id="38"/>
      </w:r>
    </w:p>
    <w:p w:rsidR="00F4331B" w:rsidRDefault="00EB61D5" w:rsidP="009E6A16">
      <w:pPr>
        <w:pStyle w:val="ParaNum"/>
        <w:widowControl/>
        <w:numPr>
          <w:ilvl w:val="0"/>
          <w:numId w:val="2"/>
        </w:numPr>
        <w:spacing w:after="120"/>
        <w:ind w:left="0" w:firstLine="720"/>
        <w:jc w:val="left"/>
        <w:rPr>
          <w:szCs w:val="22"/>
        </w:rPr>
      </w:pPr>
      <w:r>
        <w:rPr>
          <w:szCs w:val="22"/>
        </w:rPr>
        <w:t>Dawson</w:t>
      </w:r>
      <w:r w:rsidR="007E5975" w:rsidRPr="00EC3C85">
        <w:rPr>
          <w:szCs w:val="22"/>
        </w:rPr>
        <w:t xml:space="preserve"> submitted </w:t>
      </w:r>
      <w:r w:rsidR="00841E4F" w:rsidRPr="00EC3C85">
        <w:rPr>
          <w:szCs w:val="22"/>
        </w:rPr>
        <w:t xml:space="preserve">financial statements </w:t>
      </w:r>
      <w:r w:rsidR="00210690" w:rsidRPr="00EC3C85">
        <w:rPr>
          <w:szCs w:val="22"/>
        </w:rPr>
        <w:t>for 2011 and 2012.</w:t>
      </w:r>
      <w:r w:rsidR="00835832">
        <w:rPr>
          <w:szCs w:val="22"/>
        </w:rPr>
        <w:t xml:space="preserve"> </w:t>
      </w:r>
      <w:r w:rsidR="00210690" w:rsidRPr="00EC3C85">
        <w:rPr>
          <w:szCs w:val="22"/>
        </w:rPr>
        <w:t xml:space="preserve"> </w:t>
      </w:r>
      <w:r w:rsidR="00353B59" w:rsidRPr="00EC3C85">
        <w:rPr>
          <w:szCs w:val="22"/>
        </w:rPr>
        <w:t xml:space="preserve">For 2011, </w:t>
      </w:r>
      <w:r>
        <w:t>Dawson</w:t>
      </w:r>
      <w:r w:rsidR="00353B59" w:rsidRPr="00EC3C85">
        <w:rPr>
          <w:szCs w:val="22"/>
        </w:rPr>
        <w:t xml:space="preserve"> reports</w:t>
      </w:r>
      <w:r w:rsidR="00210690" w:rsidRPr="00EC3C85">
        <w:rPr>
          <w:szCs w:val="22"/>
        </w:rPr>
        <w:t xml:space="preserve"> total</w:t>
      </w:r>
      <w:r w:rsidR="00353B59" w:rsidRPr="00EC3C85">
        <w:rPr>
          <w:szCs w:val="22"/>
        </w:rPr>
        <w:t xml:space="preserve"> income of</w:t>
      </w:r>
      <w:r w:rsidR="00835832">
        <w:rPr>
          <w:szCs w:val="22"/>
        </w:rPr>
        <w:t xml:space="preserve"> </w:t>
      </w:r>
      <w:r w:rsidR="00835832">
        <w:t>$7</w:t>
      </w:r>
      <w:r w:rsidR="00301542">
        <w:t>,716,592.05</w:t>
      </w:r>
      <w:r w:rsidR="00D43D8C">
        <w:t xml:space="preserve">, </w:t>
      </w:r>
      <w:r w:rsidR="00210690" w:rsidRPr="00EC3C85">
        <w:rPr>
          <w:szCs w:val="22"/>
        </w:rPr>
        <w:t xml:space="preserve">total </w:t>
      </w:r>
      <w:r w:rsidR="00353B59" w:rsidRPr="00EC3C85">
        <w:rPr>
          <w:szCs w:val="22"/>
        </w:rPr>
        <w:t xml:space="preserve">expenses of </w:t>
      </w:r>
      <w:r w:rsidR="00301542">
        <w:t>$7,829,007.1</w:t>
      </w:r>
      <w:r w:rsidR="00D43D8C">
        <w:t xml:space="preserve">0, </w:t>
      </w:r>
      <w:r w:rsidR="00DA09FE" w:rsidRPr="00EC3C85">
        <w:rPr>
          <w:szCs w:val="22"/>
        </w:rPr>
        <w:t xml:space="preserve">and </w:t>
      </w:r>
      <w:r w:rsidR="0002104E">
        <w:rPr>
          <w:szCs w:val="22"/>
        </w:rPr>
        <w:t xml:space="preserve">excess of expenses over revenue </w:t>
      </w:r>
      <w:r w:rsidR="00301542">
        <w:t>of $112,415.05</w:t>
      </w:r>
      <w:r w:rsidR="00D43D8C">
        <w:t>.</w:t>
      </w:r>
      <w:r w:rsidR="00D43D8C">
        <w:rPr>
          <w:rStyle w:val="FootnoteReference"/>
        </w:rPr>
        <w:footnoteReference w:id="39"/>
      </w:r>
      <w:r w:rsidR="00D43D8C">
        <w:t xml:space="preserve">  </w:t>
      </w:r>
      <w:r w:rsidR="00353B59" w:rsidRPr="00EC3C85">
        <w:rPr>
          <w:szCs w:val="22"/>
        </w:rPr>
        <w:t xml:space="preserve">For 2012, </w:t>
      </w:r>
      <w:r>
        <w:rPr>
          <w:szCs w:val="22"/>
        </w:rPr>
        <w:t>Dawson</w:t>
      </w:r>
      <w:r w:rsidR="00353B59" w:rsidRPr="00EC3C85">
        <w:rPr>
          <w:szCs w:val="22"/>
        </w:rPr>
        <w:t xml:space="preserve"> reports income of </w:t>
      </w:r>
      <w:r w:rsidR="00301542">
        <w:t>$8,325,179.22</w:t>
      </w:r>
      <w:r w:rsidR="00D43D8C">
        <w:t>,</w:t>
      </w:r>
      <w:r w:rsidR="00301542">
        <w:t xml:space="preserve"> expenses of $8,577,158.74</w:t>
      </w:r>
      <w:r w:rsidR="00D43D8C">
        <w:t>,</w:t>
      </w:r>
      <w:r w:rsidR="00301542">
        <w:t xml:space="preserve"> and </w:t>
      </w:r>
      <w:r w:rsidR="0002104E">
        <w:t xml:space="preserve">excess of expenses over revenue </w:t>
      </w:r>
      <w:r w:rsidR="00301542">
        <w:t>of $251</w:t>
      </w:r>
      <w:r w:rsidR="0002104E">
        <w:t>,</w:t>
      </w:r>
      <w:r w:rsidR="00301542">
        <w:t>979.52</w:t>
      </w:r>
      <w:r w:rsidR="00D43D8C">
        <w:t>.</w:t>
      </w:r>
      <w:r w:rsidR="00D43D8C">
        <w:rPr>
          <w:rStyle w:val="FootnoteReference"/>
        </w:rPr>
        <w:footnoteReference w:id="40"/>
      </w:r>
      <w:r w:rsidR="00353B59" w:rsidRPr="00EC3C85">
        <w:rPr>
          <w:szCs w:val="22"/>
        </w:rPr>
        <w:t xml:space="preserve"> </w:t>
      </w:r>
    </w:p>
    <w:p w:rsidR="00084F45" w:rsidRPr="002025D9" w:rsidRDefault="00EB61D5" w:rsidP="009E6A16">
      <w:pPr>
        <w:pStyle w:val="ParaNum"/>
        <w:widowControl/>
        <w:numPr>
          <w:ilvl w:val="0"/>
          <w:numId w:val="2"/>
        </w:numPr>
        <w:spacing w:after="120"/>
        <w:ind w:left="0" w:firstLine="720"/>
        <w:jc w:val="left"/>
        <w:rPr>
          <w:szCs w:val="22"/>
        </w:rPr>
      </w:pPr>
      <w:r w:rsidRPr="00084F45">
        <w:rPr>
          <w:szCs w:val="22"/>
        </w:rPr>
        <w:t>Dawson</w:t>
      </w:r>
      <w:r w:rsidR="00F102EC" w:rsidRPr="00084F45">
        <w:rPr>
          <w:szCs w:val="22"/>
        </w:rPr>
        <w:t xml:space="preserve"> also submitted </w:t>
      </w:r>
      <w:r w:rsidR="00EC3C85" w:rsidRPr="00084F45">
        <w:rPr>
          <w:szCs w:val="22"/>
        </w:rPr>
        <w:t>b</w:t>
      </w:r>
      <w:r w:rsidR="00F102EC" w:rsidRPr="00084F45">
        <w:rPr>
          <w:szCs w:val="22"/>
        </w:rPr>
        <w:t xml:space="preserve">alance </w:t>
      </w:r>
      <w:r w:rsidR="00EC3C85" w:rsidRPr="00084F45">
        <w:rPr>
          <w:szCs w:val="22"/>
        </w:rPr>
        <w:t>s</w:t>
      </w:r>
      <w:r w:rsidR="00F102EC" w:rsidRPr="00084F45">
        <w:rPr>
          <w:szCs w:val="22"/>
        </w:rPr>
        <w:t xml:space="preserve">heets </w:t>
      </w:r>
      <w:r w:rsidR="00EC3C85" w:rsidRPr="00084F45">
        <w:rPr>
          <w:szCs w:val="22"/>
        </w:rPr>
        <w:t xml:space="preserve">for </w:t>
      </w:r>
      <w:r w:rsidR="00F102EC" w:rsidRPr="00084F45">
        <w:rPr>
          <w:szCs w:val="22"/>
        </w:rPr>
        <w:t>2011 and 2012.</w:t>
      </w:r>
      <w:r w:rsidR="00AA1AF1" w:rsidRPr="00084F45">
        <w:rPr>
          <w:szCs w:val="22"/>
        </w:rPr>
        <w:t xml:space="preserve"> </w:t>
      </w:r>
      <w:r w:rsidR="00F102EC" w:rsidRPr="00084F45">
        <w:rPr>
          <w:szCs w:val="22"/>
        </w:rPr>
        <w:t xml:space="preserve"> </w:t>
      </w:r>
      <w:r w:rsidR="00084F45">
        <w:rPr>
          <w:szCs w:val="22"/>
        </w:rPr>
        <w:t xml:space="preserve">Dawson reports current assets as of December </w:t>
      </w:r>
      <w:r w:rsidR="00A23FAE">
        <w:rPr>
          <w:szCs w:val="22"/>
        </w:rPr>
        <w:t xml:space="preserve">31, </w:t>
      </w:r>
      <w:r w:rsidR="00084F45">
        <w:rPr>
          <w:szCs w:val="22"/>
        </w:rPr>
        <w:t xml:space="preserve">2011 of </w:t>
      </w:r>
      <w:r w:rsidR="00084F45">
        <w:t>$1,857,307.83, and current liabilities of $6,908.03,</w:t>
      </w:r>
      <w:r w:rsidR="00301542">
        <w:t xml:space="preserve"> </w:t>
      </w:r>
      <w:r w:rsidR="00084F45">
        <w:t>resu</w:t>
      </w:r>
      <w:r w:rsidR="00301542">
        <w:t xml:space="preserve">lting in net current assets of </w:t>
      </w:r>
      <w:r w:rsidR="00084F45">
        <w:t>$1,850,399.80.</w:t>
      </w:r>
      <w:r w:rsidR="001434F2" w:rsidRPr="001434F2">
        <w:rPr>
          <w:vertAlign w:val="superscript"/>
        </w:rPr>
        <w:footnoteReference w:id="41"/>
      </w:r>
      <w:r w:rsidR="00084F45">
        <w:t xml:space="preserve">  Dawson also </w:t>
      </w:r>
      <w:r w:rsidR="00084F45" w:rsidRPr="00084F45">
        <w:rPr>
          <w:szCs w:val="22"/>
        </w:rPr>
        <w:t xml:space="preserve">reports current assets as of December </w:t>
      </w:r>
      <w:r w:rsidR="00A23FAE">
        <w:rPr>
          <w:szCs w:val="22"/>
        </w:rPr>
        <w:t xml:space="preserve">31, </w:t>
      </w:r>
      <w:r w:rsidR="00084F45" w:rsidRPr="00084F45">
        <w:rPr>
          <w:szCs w:val="22"/>
        </w:rPr>
        <w:t xml:space="preserve">2012 of </w:t>
      </w:r>
      <w:r w:rsidR="00084F45">
        <w:t>$1,830,779.42, and current liabilities of $10,588.36, resulting in net current assets of $1,820,191.06.</w:t>
      </w:r>
      <w:r w:rsidR="008C6069" w:rsidRPr="008C6069">
        <w:rPr>
          <w:vertAlign w:val="superscript"/>
        </w:rPr>
        <w:footnoteReference w:id="42"/>
      </w:r>
      <w:r w:rsidR="008C6069" w:rsidRPr="008C6069">
        <w:t xml:space="preserve"> </w:t>
      </w:r>
      <w:r w:rsidR="00084F45">
        <w:t xml:space="preserve"> </w:t>
      </w:r>
    </w:p>
    <w:p w:rsidR="002025D9" w:rsidRDefault="00EB61D5" w:rsidP="009E6A16">
      <w:pPr>
        <w:pStyle w:val="ParaNum"/>
        <w:widowControl/>
        <w:numPr>
          <w:ilvl w:val="0"/>
          <w:numId w:val="2"/>
        </w:numPr>
        <w:spacing w:after="120"/>
        <w:ind w:left="0" w:firstLine="720"/>
        <w:jc w:val="left"/>
      </w:pPr>
      <w:r>
        <w:rPr>
          <w:szCs w:val="22"/>
        </w:rPr>
        <w:t>Dawson</w:t>
      </w:r>
      <w:r w:rsidR="00B93928" w:rsidRPr="00FD62B1">
        <w:rPr>
          <w:szCs w:val="22"/>
        </w:rPr>
        <w:t xml:space="preserve"> reports that it requested captioning assistance from it</w:t>
      </w:r>
      <w:r w:rsidR="002025D9">
        <w:rPr>
          <w:szCs w:val="22"/>
        </w:rPr>
        <w:t>s video programming distributor</w:t>
      </w:r>
      <w:r w:rsidR="002025D9">
        <w:t>, WIAT; however WIAT</w:t>
      </w:r>
      <w:r w:rsidR="00D5714D">
        <w:t xml:space="preserve"> </w:t>
      </w:r>
      <w:r w:rsidR="002025D9">
        <w:t>was unable to offer captioning assistance.</w:t>
      </w:r>
      <w:r w:rsidR="002025D9">
        <w:rPr>
          <w:rStyle w:val="FootnoteReference"/>
        </w:rPr>
        <w:footnoteReference w:id="43"/>
      </w:r>
      <w:r w:rsidR="002025D9">
        <w:t xml:space="preserve">  </w:t>
      </w:r>
      <w:r w:rsidR="002025D9" w:rsidRPr="002025D9">
        <w:t xml:space="preserve">Dawson </w:t>
      </w:r>
      <w:r w:rsidR="00816298">
        <w:t xml:space="preserve">further </w:t>
      </w:r>
      <w:r w:rsidR="002025D9" w:rsidRPr="002025D9">
        <w:t xml:space="preserve">states that it did not solicit captioning assistance from other sources because </w:t>
      </w:r>
      <w:r w:rsidR="0055312C">
        <w:t>Dawson allegedly</w:t>
      </w:r>
      <w:r w:rsidR="002025D9" w:rsidRPr="002025D9">
        <w:t xml:space="preserve"> is precluded from doing so lest it jeopardize its tax exempt status under Section 501(c)(3)</w:t>
      </w:r>
      <w:r w:rsidR="002025D9">
        <w:t xml:space="preserve"> of the Internal Revenue Code.</w:t>
      </w:r>
      <w:r w:rsidR="002025D9">
        <w:rPr>
          <w:rStyle w:val="FootnoteReference"/>
        </w:rPr>
        <w:footnoteReference w:id="44"/>
      </w:r>
      <w:r w:rsidR="002025D9">
        <w:t xml:space="preserve">  </w:t>
      </w:r>
      <w:r>
        <w:t>Dawson</w:t>
      </w:r>
      <w:r w:rsidR="00F94ABC" w:rsidRPr="00F94ABC">
        <w:t xml:space="preserve"> asserts that, absent an exemption from the captioning requirements or securing of a donor for the captioning, it </w:t>
      </w:r>
      <w:r w:rsidR="00816298">
        <w:t>may</w:t>
      </w:r>
      <w:r w:rsidR="00816298" w:rsidRPr="00F94ABC">
        <w:t xml:space="preserve"> </w:t>
      </w:r>
      <w:r w:rsidR="00F94ABC" w:rsidRPr="00F94ABC">
        <w:t xml:space="preserve">possibly have to </w:t>
      </w:r>
      <w:r w:rsidR="002025D9">
        <w:t xml:space="preserve">forego other key religious services and missions or </w:t>
      </w:r>
      <w:r w:rsidR="00F94ABC" w:rsidRPr="00F94ABC">
        <w:t xml:space="preserve">discontinue its broadcast of </w:t>
      </w:r>
      <w:r>
        <w:rPr>
          <w:i/>
        </w:rPr>
        <w:t>Dawson Memorial Baptist Church</w:t>
      </w:r>
      <w:r w:rsidR="00F94ABC" w:rsidRPr="00F94ABC">
        <w:t>.</w:t>
      </w:r>
      <w:r w:rsidR="00F94ABC" w:rsidRPr="00F94ABC">
        <w:rPr>
          <w:vertAlign w:val="superscript"/>
        </w:rPr>
        <w:footnoteReference w:id="45"/>
      </w:r>
      <w:r w:rsidR="002025D9">
        <w:t xml:space="preserve">  Dawson also estimates that, at the earliest, it would be able to budget for, and afford, closed captioning in fiscal year 2015.</w:t>
      </w:r>
      <w:r w:rsidR="002025D9">
        <w:rPr>
          <w:rStyle w:val="FootnoteReference"/>
        </w:rPr>
        <w:footnoteReference w:id="46"/>
      </w:r>
      <w:r w:rsidR="002025D9">
        <w:t xml:space="preserve"> </w:t>
      </w:r>
    </w:p>
    <w:p w:rsidR="00991F91" w:rsidRDefault="009911C9" w:rsidP="009E6A16">
      <w:pPr>
        <w:pStyle w:val="ParaNum"/>
        <w:widowControl/>
        <w:numPr>
          <w:ilvl w:val="0"/>
          <w:numId w:val="2"/>
        </w:numPr>
        <w:spacing w:after="120"/>
        <w:ind w:left="0" w:firstLine="720"/>
        <w:jc w:val="left"/>
      </w:pPr>
      <w:r w:rsidRPr="00230BE1">
        <w:rPr>
          <w:szCs w:val="22"/>
        </w:rPr>
        <w:t xml:space="preserve">Consumer Groups, which were the only parties to comment on the Petition in response to the </w:t>
      </w:r>
      <w:r w:rsidRPr="00230BE1">
        <w:rPr>
          <w:i/>
          <w:szCs w:val="22"/>
        </w:rPr>
        <w:t>2013 Public Notice</w:t>
      </w:r>
      <w:r w:rsidRPr="00230BE1">
        <w:rPr>
          <w:szCs w:val="22"/>
        </w:rPr>
        <w:t xml:space="preserve">, contend that </w:t>
      </w:r>
      <w:r w:rsidR="00EB61D5">
        <w:rPr>
          <w:szCs w:val="22"/>
        </w:rPr>
        <w:t>Dawson</w:t>
      </w:r>
      <w:r w:rsidRPr="00230BE1">
        <w:rPr>
          <w:szCs w:val="22"/>
        </w:rPr>
        <w:t xml:space="preserve"> failed to satisfy the statutory and regulatory requirements to </w:t>
      </w:r>
      <w:r w:rsidRPr="00835832">
        <w:t>demonstrate</w:t>
      </w:r>
      <w:r w:rsidRPr="00230BE1">
        <w:rPr>
          <w:szCs w:val="22"/>
        </w:rPr>
        <w:t xml:space="preserve"> that captioning would be economically burdensome on several grounds</w:t>
      </w:r>
      <w:r w:rsidR="00224D5D" w:rsidRPr="00230BE1">
        <w:rPr>
          <w:szCs w:val="22"/>
        </w:rPr>
        <w:t>.</w:t>
      </w:r>
      <w:r w:rsidR="00224D5D">
        <w:rPr>
          <w:rStyle w:val="FootnoteReference1"/>
        </w:rPr>
        <w:footnoteReference w:id="47"/>
      </w:r>
      <w:r w:rsidR="00224D5D" w:rsidRPr="00230BE1">
        <w:rPr>
          <w:szCs w:val="22"/>
        </w:rPr>
        <w:t xml:space="preserve"> </w:t>
      </w:r>
      <w:r w:rsidRPr="00230BE1">
        <w:rPr>
          <w:szCs w:val="22"/>
        </w:rPr>
        <w:t xml:space="preserve"> First, Consumer Groups acknowledge that </w:t>
      </w:r>
      <w:r w:rsidR="00EB61D5">
        <w:rPr>
          <w:szCs w:val="22"/>
        </w:rPr>
        <w:t>Dawson</w:t>
      </w:r>
      <w:r w:rsidRPr="00230BE1">
        <w:rPr>
          <w:szCs w:val="22"/>
        </w:rPr>
        <w:t xml:space="preserve"> obtained captioning quotes from multiple providers, but argue that it did not provide documentation that it bargained with those providers for lower costs or to identify the most affordable provider or most reasonable rates.</w:t>
      </w:r>
      <w:r w:rsidR="00224D5D" w:rsidRPr="00224D5D">
        <w:rPr>
          <w:rStyle w:val="FootnoteReference1"/>
        </w:rPr>
        <w:t xml:space="preserve"> </w:t>
      </w:r>
      <w:r w:rsidR="00224D5D">
        <w:rPr>
          <w:rStyle w:val="FootnoteReference1"/>
        </w:rPr>
        <w:footnoteReference w:id="48"/>
      </w:r>
      <w:r w:rsidR="00224D5D">
        <w:t xml:space="preserve">  Specifically, Consumer Groups assert that </w:t>
      </w:r>
      <w:r w:rsidR="00CB401A">
        <w:t xml:space="preserve">Dawson did not </w:t>
      </w:r>
      <w:r w:rsidR="00835832">
        <w:t>follow up with one</w:t>
      </w:r>
      <w:r w:rsidR="00CB401A">
        <w:t xml:space="preserve"> provider</w:t>
      </w:r>
      <w:r w:rsidR="00835832">
        <w:t>’s</w:t>
      </w:r>
      <w:r w:rsidR="00CB401A">
        <w:t xml:space="preserve"> offer to reduce the cost quoted to Dawson if it was willing to “stagger” its show by one week.</w:t>
      </w:r>
      <w:r w:rsidR="00CB401A">
        <w:rPr>
          <w:rStyle w:val="FootnoteReference"/>
        </w:rPr>
        <w:footnoteReference w:id="49"/>
      </w:r>
      <w:r w:rsidR="00CB401A">
        <w:t xml:space="preserve">  </w:t>
      </w:r>
      <w:r w:rsidRPr="00230BE1">
        <w:rPr>
          <w:szCs w:val="22"/>
        </w:rPr>
        <w:t xml:space="preserve">Second, Consumer Groups acknowledge that </w:t>
      </w:r>
      <w:r w:rsidR="00EB61D5">
        <w:rPr>
          <w:szCs w:val="22"/>
        </w:rPr>
        <w:t>Dawson</w:t>
      </w:r>
      <w:r w:rsidRPr="00230BE1">
        <w:rPr>
          <w:szCs w:val="22"/>
        </w:rPr>
        <w:t xml:space="preserve"> sought closed captioning assistance from the broadcast station that airs its program</w:t>
      </w:r>
      <w:r w:rsidR="00CB401A" w:rsidRPr="00FD62B1">
        <w:rPr>
          <w:szCs w:val="22"/>
        </w:rPr>
        <w:t xml:space="preserve">, but argue that </w:t>
      </w:r>
      <w:r w:rsidR="00CB401A">
        <w:rPr>
          <w:szCs w:val="22"/>
        </w:rPr>
        <w:t xml:space="preserve">Dawson’s </w:t>
      </w:r>
      <w:r w:rsidR="00CB401A" w:rsidRPr="00FD62B1">
        <w:rPr>
          <w:szCs w:val="22"/>
        </w:rPr>
        <w:t xml:space="preserve">unwillingness </w:t>
      </w:r>
      <w:r w:rsidR="00CB401A">
        <w:rPr>
          <w:szCs w:val="22"/>
        </w:rPr>
        <w:t>to solicit</w:t>
      </w:r>
      <w:r w:rsidR="00CB401A" w:rsidRPr="00FD62B1">
        <w:rPr>
          <w:szCs w:val="22"/>
        </w:rPr>
        <w:t xml:space="preserve"> </w:t>
      </w:r>
      <w:r w:rsidR="00CB401A">
        <w:rPr>
          <w:szCs w:val="22"/>
        </w:rPr>
        <w:t>other</w:t>
      </w:r>
      <w:r w:rsidR="00CB401A" w:rsidRPr="00FD62B1">
        <w:rPr>
          <w:szCs w:val="22"/>
        </w:rPr>
        <w:t xml:space="preserve"> sponsors</w:t>
      </w:r>
      <w:r w:rsidR="00CB401A">
        <w:rPr>
          <w:szCs w:val="22"/>
        </w:rPr>
        <w:t xml:space="preserve"> </w:t>
      </w:r>
      <w:r w:rsidR="00B56C98">
        <w:rPr>
          <w:szCs w:val="22"/>
        </w:rPr>
        <w:t>out of concerns</w:t>
      </w:r>
      <w:r w:rsidR="00CB401A">
        <w:rPr>
          <w:szCs w:val="22"/>
        </w:rPr>
        <w:t xml:space="preserve"> that such would jeopardize its nonprofit status under the Internal Revenue Code is not based on fact and </w:t>
      </w:r>
      <w:r w:rsidR="00CB401A" w:rsidRPr="00FD62B1">
        <w:rPr>
          <w:szCs w:val="22"/>
        </w:rPr>
        <w:t>cannot be used to av</w:t>
      </w:r>
      <w:r w:rsidR="00CB401A">
        <w:rPr>
          <w:szCs w:val="22"/>
        </w:rPr>
        <w:t>oid its captioning obligations.</w:t>
      </w:r>
      <w:r w:rsidR="00CB401A">
        <w:rPr>
          <w:rStyle w:val="FootnoteReference"/>
          <w:szCs w:val="22"/>
        </w:rPr>
        <w:footnoteReference w:id="50"/>
      </w:r>
      <w:r w:rsidR="00B56C98">
        <w:rPr>
          <w:szCs w:val="22"/>
        </w:rPr>
        <w:t xml:space="preserve">  </w:t>
      </w:r>
      <w:r w:rsidRPr="00230BE1">
        <w:rPr>
          <w:szCs w:val="22"/>
        </w:rPr>
        <w:t xml:space="preserve">Third, with regard to </w:t>
      </w:r>
      <w:r w:rsidR="00EB61D5">
        <w:rPr>
          <w:szCs w:val="22"/>
        </w:rPr>
        <w:t>Dawson</w:t>
      </w:r>
      <w:r w:rsidR="001225A9">
        <w:rPr>
          <w:szCs w:val="22"/>
        </w:rPr>
        <w:t>’</w:t>
      </w:r>
      <w:r w:rsidRPr="00230BE1">
        <w:rPr>
          <w:szCs w:val="22"/>
        </w:rPr>
        <w:t xml:space="preserve"> financial resources, </w:t>
      </w:r>
      <w:r w:rsidR="00224D5D">
        <w:t xml:space="preserve">Consumer Groups </w:t>
      </w:r>
      <w:r w:rsidR="001225A9">
        <w:t>argue</w:t>
      </w:r>
      <w:r w:rsidR="00224D5D">
        <w:t xml:space="preserve"> that there would be no economic burden in requiring </w:t>
      </w:r>
      <w:r w:rsidR="00EB61D5">
        <w:t>Dawson</w:t>
      </w:r>
      <w:r w:rsidR="00224D5D">
        <w:t xml:space="preserve"> to caption its programming.</w:t>
      </w:r>
      <w:r w:rsidR="00224D5D">
        <w:rPr>
          <w:rStyle w:val="FootnoteReference1"/>
        </w:rPr>
        <w:footnoteReference w:id="51"/>
      </w:r>
      <w:r w:rsidR="00224D5D">
        <w:t xml:space="preserve">  </w:t>
      </w:r>
      <w:r w:rsidR="00991F91">
        <w:t>Consumer Groups ask the Commission to consider Dawson’s annual budget</w:t>
      </w:r>
      <w:r w:rsidR="00816298">
        <w:t>, which it states was</w:t>
      </w:r>
      <w:r w:rsidR="00991F91">
        <w:t xml:space="preserve"> $8.33 million in 2012 </w:t>
      </w:r>
      <w:r w:rsidR="00B56C98">
        <w:t>with</w:t>
      </w:r>
      <w:r w:rsidR="00991F91">
        <w:t xml:space="preserve"> a budget carryover of $251,980, as compared to its annual captioning expenses estimated at $26,000.</w:t>
      </w:r>
      <w:r w:rsidR="00816298">
        <w:rPr>
          <w:rStyle w:val="FootnoteReference"/>
        </w:rPr>
        <w:footnoteReference w:id="52"/>
      </w:r>
      <w:r w:rsidR="00991F91">
        <w:t xml:space="preserve">  Consumer Groups argue that because these captioning costs represent only 0.3 percent of Dawson’s annual budget and roughly ten percent of its excess revenue carryover, Dawson can easily afford to caption its programming.</w:t>
      </w:r>
      <w:r w:rsidR="00991F91">
        <w:rPr>
          <w:rStyle w:val="FootnoteReference"/>
        </w:rPr>
        <w:footnoteReference w:id="53"/>
      </w:r>
      <w:r w:rsidR="00991F91">
        <w:t xml:space="preserve">  </w:t>
      </w:r>
      <w:r w:rsidRPr="00230BE1">
        <w:rPr>
          <w:szCs w:val="22"/>
        </w:rPr>
        <w:t xml:space="preserve">Thus, Consumer Groups conclude, requiring </w:t>
      </w:r>
      <w:r w:rsidR="00EB61D5">
        <w:rPr>
          <w:szCs w:val="22"/>
        </w:rPr>
        <w:t>Dawson</w:t>
      </w:r>
      <w:r w:rsidRPr="00230BE1">
        <w:rPr>
          <w:szCs w:val="22"/>
        </w:rPr>
        <w:t xml:space="preserve"> to caption its program cannot be considered economically burdensome.</w:t>
      </w:r>
      <w:r w:rsidRPr="00FD62B1">
        <w:rPr>
          <w:rStyle w:val="FootnoteReference"/>
          <w:szCs w:val="22"/>
        </w:rPr>
        <w:footnoteReference w:id="54"/>
      </w:r>
      <w:r w:rsidRPr="00230BE1">
        <w:rPr>
          <w:szCs w:val="22"/>
        </w:rPr>
        <w:t xml:space="preserve">  </w:t>
      </w:r>
      <w:r>
        <w:t xml:space="preserve"> </w:t>
      </w:r>
      <w:r w:rsidR="00991F91">
        <w:t>Finally, Consumer Groups urge denial of Dawson’s request that its requirement to provide captioning be delayed until 2015.  They point out that Dawson has not had to caption its program for eight years since the filing of its initial petition, and add that despite having nearly a decade to budget for its captioning expenses, Dawson has made no measureable progress toward providing captioning in that time.</w:t>
      </w:r>
      <w:r w:rsidR="00991F91">
        <w:rPr>
          <w:rStyle w:val="FootnoteReference"/>
        </w:rPr>
        <w:footnoteReference w:id="55"/>
      </w:r>
      <w:r w:rsidR="00991F91">
        <w:t xml:space="preserve">  </w:t>
      </w:r>
    </w:p>
    <w:p w:rsidR="00991F91" w:rsidRDefault="00991F91" w:rsidP="009E6A16">
      <w:pPr>
        <w:pStyle w:val="ParaNum"/>
        <w:widowControl/>
        <w:numPr>
          <w:ilvl w:val="0"/>
          <w:numId w:val="2"/>
        </w:numPr>
        <w:spacing w:after="120"/>
        <w:ind w:left="0" w:firstLine="720"/>
        <w:jc w:val="left"/>
      </w:pPr>
      <w:r>
        <w:t xml:space="preserve">In its Reply to </w:t>
      </w:r>
      <w:r w:rsidR="00204E96">
        <w:t xml:space="preserve">Consumer Groups </w:t>
      </w:r>
      <w:r>
        <w:t>Opposition, Dawson asserts that the estimated costs for it to caption its program have increased from $230 - $250 per week in 2011 to $500 - $760 per week in 2012.</w:t>
      </w:r>
      <w:r>
        <w:rPr>
          <w:rStyle w:val="FootnoteReference"/>
        </w:rPr>
        <w:footnoteReference w:id="56"/>
      </w:r>
      <w:r>
        <w:t xml:space="preserve">  In this regard, it contends that the small discounts offered it by captioning services nevertheless leave captioning costs estimated in 2012 beyond the estimates it received in 2011.</w:t>
      </w:r>
      <w:r>
        <w:rPr>
          <w:rStyle w:val="FootnoteReference"/>
        </w:rPr>
        <w:footnoteReference w:id="57"/>
      </w:r>
      <w:r>
        <w:t xml:space="preserve">  Additionally, Dawson reports that the cost to broadcast its program has increased, further eroding its ability to afford closed captioning.</w:t>
      </w:r>
      <w:r>
        <w:rPr>
          <w:rStyle w:val="FootnoteReference"/>
        </w:rPr>
        <w:footnoteReference w:id="58"/>
      </w:r>
      <w:r>
        <w:t xml:space="preserve">  Dawson reminds the Commission that it remains willing to caption if given sufficient additional time to reassess its budget and incorporate the funds required, asserting that a temporary waiver would provide it with regulatory certainty.</w:t>
      </w:r>
      <w:r>
        <w:rPr>
          <w:rStyle w:val="FootnoteReference"/>
        </w:rPr>
        <w:footnoteReference w:id="59"/>
      </w:r>
      <w:r>
        <w:t xml:space="preserve">  Since 2006, Dawson continues, it has relied on its previously granted permanent captioning exemption and, since the reversal of that exemption it has “reasonably awaited the possibility that the Commission might grant </w:t>
      </w:r>
      <w:r w:rsidRPr="00E303B2">
        <w:t xml:space="preserve">Dawson </w:t>
      </w:r>
      <w:r w:rsidRPr="00787047">
        <w:t>with</w:t>
      </w:r>
      <w:r w:rsidRPr="00E303B2">
        <w:t xml:space="preserve"> a permanent</w:t>
      </w:r>
      <w:r>
        <w:t xml:space="preserve"> closed captioning exemption.”</w:t>
      </w:r>
      <w:r>
        <w:rPr>
          <w:rStyle w:val="FootnoteReference"/>
        </w:rPr>
        <w:footnoteReference w:id="60"/>
      </w:r>
    </w:p>
    <w:p w:rsidR="006D78E8" w:rsidRPr="006D78E8" w:rsidRDefault="0018451C" w:rsidP="009E6A16">
      <w:pPr>
        <w:pStyle w:val="ParaNum"/>
        <w:widowControl/>
        <w:numPr>
          <w:ilvl w:val="0"/>
          <w:numId w:val="2"/>
        </w:numPr>
        <w:ind w:left="0" w:firstLine="720"/>
        <w:jc w:val="left"/>
        <w:rPr>
          <w:szCs w:val="22"/>
        </w:rPr>
      </w:pPr>
      <w:r w:rsidRPr="00E806C3">
        <w:rPr>
          <w:i/>
          <w:szCs w:val="22"/>
        </w:rPr>
        <w:t>Determination.</w:t>
      </w:r>
      <w:r w:rsidRPr="00E806C3">
        <w:rPr>
          <w:szCs w:val="22"/>
        </w:rPr>
        <w:t xml:space="preserve">  After a careful review of the record, the Bureau finds that </w:t>
      </w:r>
      <w:r w:rsidR="00EB61D5">
        <w:rPr>
          <w:szCs w:val="22"/>
        </w:rPr>
        <w:t>Dawson</w:t>
      </w:r>
      <w:r w:rsidRPr="00E806C3">
        <w:rPr>
          <w:szCs w:val="22"/>
        </w:rPr>
        <w:t xml:space="preserve"> has not demonstrated that the provision of closed captioning for </w:t>
      </w:r>
      <w:r w:rsidR="00DD1EAF" w:rsidRPr="00F962BD">
        <w:rPr>
          <w:szCs w:val="22"/>
        </w:rPr>
        <w:t>its program</w:t>
      </w:r>
      <w:r w:rsidR="00AE176C" w:rsidRPr="008D016C">
        <w:rPr>
          <w:szCs w:val="22"/>
        </w:rPr>
        <w:t xml:space="preserve"> </w:t>
      </w:r>
      <w:r w:rsidRPr="00273856">
        <w:rPr>
          <w:szCs w:val="22"/>
        </w:rPr>
        <w:t>would be economically burdensome.</w:t>
      </w:r>
      <w:r w:rsidR="005C5831" w:rsidRPr="003B4FFA">
        <w:rPr>
          <w:szCs w:val="22"/>
        </w:rPr>
        <w:t xml:space="preserve"> </w:t>
      </w:r>
      <w:r w:rsidR="00CC013B" w:rsidRPr="003B4FFA">
        <w:rPr>
          <w:szCs w:val="22"/>
        </w:rPr>
        <w:t xml:space="preserve"> </w:t>
      </w:r>
      <w:r w:rsidR="006D78E8" w:rsidRPr="006D78E8">
        <w:rPr>
          <w:szCs w:val="22"/>
        </w:rPr>
        <w:t>As an initial matter, the Commission has previously determined that, when conducting an economically burdensome analysis, “all of the petitioners’ available resources” must be taken into consideration.</w:t>
      </w:r>
      <w:r w:rsidR="006D78E8" w:rsidRPr="006D78E8">
        <w:rPr>
          <w:szCs w:val="22"/>
          <w:vertAlign w:val="superscript"/>
        </w:rPr>
        <w:footnoteReference w:id="61"/>
      </w:r>
      <w:r w:rsidR="006D78E8" w:rsidRPr="006D78E8">
        <w:rPr>
          <w:szCs w:val="22"/>
        </w:rPr>
        <w:t xml:space="preserve">  The Commission has rejected suggestions “to consider only the resources available for a specific program” in making the determination of whether provision of closed captioning is economically burdensome.</w:t>
      </w:r>
      <w:r w:rsidR="006D78E8" w:rsidRPr="006D78E8">
        <w:rPr>
          <w:szCs w:val="22"/>
          <w:vertAlign w:val="superscript"/>
        </w:rPr>
        <w:footnoteReference w:id="62"/>
      </w:r>
      <w:r w:rsidR="006D78E8" w:rsidRPr="006D78E8">
        <w:rPr>
          <w:szCs w:val="22"/>
        </w:rPr>
        <w:t xml:space="preserve">  Therefore, we now consider the overall financial resources available to </w:t>
      </w:r>
      <w:r w:rsidR="006D78E8">
        <w:rPr>
          <w:szCs w:val="22"/>
        </w:rPr>
        <w:t>Dawson</w:t>
      </w:r>
      <w:r w:rsidR="006D78E8" w:rsidRPr="006D78E8">
        <w:rPr>
          <w:szCs w:val="22"/>
        </w:rPr>
        <w:t xml:space="preserve"> in determining whether it would be economically burdensome to comply with the Commission’s closed captioning requirements.</w:t>
      </w:r>
    </w:p>
    <w:p w:rsidR="00C06BEB" w:rsidRPr="007308FC" w:rsidRDefault="00CC013B" w:rsidP="009E6A16">
      <w:pPr>
        <w:pStyle w:val="ParaNum"/>
        <w:widowControl/>
        <w:numPr>
          <w:ilvl w:val="0"/>
          <w:numId w:val="2"/>
        </w:numPr>
        <w:spacing w:after="120"/>
        <w:ind w:left="0" w:firstLine="720"/>
        <w:jc w:val="left"/>
        <w:rPr>
          <w:szCs w:val="22"/>
        </w:rPr>
      </w:pPr>
      <w:r w:rsidRPr="003B4FFA">
        <w:rPr>
          <w:szCs w:val="22"/>
        </w:rPr>
        <w:t xml:space="preserve">According to the information and documentation it has provided, </w:t>
      </w:r>
      <w:r w:rsidR="00C06BEB">
        <w:t xml:space="preserve">although Dawson has </w:t>
      </w:r>
      <w:r w:rsidR="00C37EBD">
        <w:t xml:space="preserve">excess expenses over revenue </w:t>
      </w:r>
      <w:r w:rsidR="00C06BEB">
        <w:t xml:space="preserve">for at least 2011 and 2012, it had </w:t>
      </w:r>
      <w:r w:rsidR="00C37EBD">
        <w:t xml:space="preserve">sufficient </w:t>
      </w:r>
      <w:r w:rsidR="00C06BEB">
        <w:t>net current asset</w:t>
      </w:r>
      <w:r w:rsidR="00C37EBD">
        <w:t>s</w:t>
      </w:r>
      <w:r w:rsidR="00C06BEB">
        <w:t xml:space="preserve"> during that period</w:t>
      </w:r>
      <w:r w:rsidR="000B3B59">
        <w:t xml:space="preserve"> to sustain captioning costs</w:t>
      </w:r>
      <w:r w:rsidR="00C06BEB">
        <w:t>.</w:t>
      </w:r>
      <w:r w:rsidR="00C37EBD" w:rsidRPr="00C37EBD">
        <w:rPr>
          <w:vertAlign w:val="superscript"/>
        </w:rPr>
        <w:footnoteReference w:id="63"/>
      </w:r>
      <w:r w:rsidR="00C06BEB" w:rsidRPr="00B82918">
        <w:rPr>
          <w:szCs w:val="22"/>
        </w:rPr>
        <w:t xml:space="preserve"> </w:t>
      </w:r>
      <w:r w:rsidRPr="00E806C3">
        <w:rPr>
          <w:szCs w:val="22"/>
        </w:rPr>
        <w:t xml:space="preserve"> </w:t>
      </w:r>
      <w:r w:rsidR="00EB61D5">
        <w:rPr>
          <w:szCs w:val="22"/>
        </w:rPr>
        <w:t>Dawson</w:t>
      </w:r>
      <w:r w:rsidR="00C67B3D" w:rsidRPr="00096170">
        <w:rPr>
          <w:szCs w:val="22"/>
        </w:rPr>
        <w:t xml:space="preserve"> ha</w:t>
      </w:r>
      <w:r w:rsidR="003A5706">
        <w:rPr>
          <w:szCs w:val="22"/>
        </w:rPr>
        <w:t xml:space="preserve">d net current assets of </w:t>
      </w:r>
      <w:r w:rsidR="00C06BEB" w:rsidRPr="00395DDB">
        <w:t>$</w:t>
      </w:r>
      <w:r w:rsidR="00C37EBD">
        <w:t xml:space="preserve">1,850,399.80 </w:t>
      </w:r>
      <w:r w:rsidR="00C67B3D" w:rsidRPr="00E806C3">
        <w:rPr>
          <w:szCs w:val="22"/>
        </w:rPr>
        <w:t xml:space="preserve">as of December </w:t>
      </w:r>
      <w:r w:rsidR="00A23FAE">
        <w:rPr>
          <w:szCs w:val="22"/>
        </w:rPr>
        <w:t xml:space="preserve">31, </w:t>
      </w:r>
      <w:r w:rsidR="00C67B3D" w:rsidRPr="00E806C3">
        <w:rPr>
          <w:szCs w:val="22"/>
        </w:rPr>
        <w:t>2011, and $</w:t>
      </w:r>
      <w:r w:rsidR="00C37EBD">
        <w:t>1</w:t>
      </w:r>
      <w:r w:rsidR="000B3B59">
        <w:t>,</w:t>
      </w:r>
      <w:r w:rsidR="00C37EBD">
        <w:t>820,191.06</w:t>
      </w:r>
      <w:r w:rsidR="00C67B3D" w:rsidRPr="00E806C3">
        <w:rPr>
          <w:szCs w:val="22"/>
        </w:rPr>
        <w:t xml:space="preserve"> as of December </w:t>
      </w:r>
      <w:r w:rsidR="00A23FAE">
        <w:rPr>
          <w:szCs w:val="22"/>
        </w:rPr>
        <w:t xml:space="preserve">31, </w:t>
      </w:r>
      <w:r w:rsidR="00C67B3D" w:rsidRPr="00E806C3">
        <w:rPr>
          <w:szCs w:val="22"/>
        </w:rPr>
        <w:t>2012,</w:t>
      </w:r>
      <w:r w:rsidR="00C67B3D" w:rsidRPr="00FD62B1">
        <w:rPr>
          <w:rStyle w:val="FootnoteReference"/>
          <w:szCs w:val="22"/>
        </w:rPr>
        <w:footnoteReference w:id="64"/>
      </w:r>
      <w:r w:rsidR="00C67B3D" w:rsidRPr="00E806C3">
        <w:rPr>
          <w:szCs w:val="22"/>
        </w:rPr>
        <w:t xml:space="preserve"> which</w:t>
      </w:r>
      <w:r w:rsidR="00334440">
        <w:rPr>
          <w:szCs w:val="22"/>
        </w:rPr>
        <w:t xml:space="preserve">, when compared to the </w:t>
      </w:r>
      <w:r w:rsidR="00BC7356">
        <w:rPr>
          <w:szCs w:val="22"/>
        </w:rPr>
        <w:t xml:space="preserve">lower of the </w:t>
      </w:r>
      <w:r w:rsidR="00334440">
        <w:rPr>
          <w:szCs w:val="22"/>
        </w:rPr>
        <w:t>closed captioning estimate</w:t>
      </w:r>
      <w:r w:rsidR="00BC7356">
        <w:rPr>
          <w:szCs w:val="22"/>
        </w:rPr>
        <w:t>s</w:t>
      </w:r>
      <w:r w:rsidR="00334440">
        <w:rPr>
          <w:szCs w:val="22"/>
        </w:rPr>
        <w:t xml:space="preserve"> of $20,800.00</w:t>
      </w:r>
      <w:r w:rsidR="00505FE4">
        <w:rPr>
          <w:szCs w:val="22"/>
        </w:rPr>
        <w:t xml:space="preserve"> </w:t>
      </w:r>
      <w:r w:rsidR="00334440">
        <w:rPr>
          <w:szCs w:val="22"/>
        </w:rPr>
        <w:t>provided by Dawson,</w:t>
      </w:r>
      <w:r w:rsidR="00334440">
        <w:rPr>
          <w:rStyle w:val="FootnoteReference"/>
          <w:szCs w:val="22"/>
        </w:rPr>
        <w:footnoteReference w:id="65"/>
      </w:r>
      <w:r w:rsidR="00C67B3D" w:rsidRPr="00E806C3">
        <w:rPr>
          <w:szCs w:val="22"/>
        </w:rPr>
        <w:t xml:space="preserve"> provides evidence that the provision of closed captioning would not be economically burdensome.</w:t>
      </w:r>
      <w:r w:rsidR="007308FC" w:rsidRPr="007308FC">
        <w:rPr>
          <w:szCs w:val="22"/>
          <w:vertAlign w:val="superscript"/>
        </w:rPr>
        <w:footnoteReference w:id="66"/>
      </w:r>
      <w:r w:rsidR="004774F4" w:rsidRPr="001D5713">
        <w:rPr>
          <w:szCs w:val="22"/>
        </w:rPr>
        <w:t xml:space="preserve">  </w:t>
      </w:r>
      <w:r w:rsidR="007308FC" w:rsidRPr="007308FC">
        <w:rPr>
          <w:szCs w:val="22"/>
        </w:rPr>
        <w:t>Moreover, Dawson had cash reserves in a Reserve Fund and a Miscellaneous Fund in the amount of $882,407.20 and $357,411.00, respectively as of December 31, 2012.</w:t>
      </w:r>
      <w:r w:rsidR="007308FC" w:rsidRPr="007308FC">
        <w:rPr>
          <w:szCs w:val="22"/>
          <w:vertAlign w:val="superscript"/>
        </w:rPr>
        <w:footnoteReference w:id="67"/>
      </w:r>
      <w:r w:rsidR="007308FC" w:rsidRPr="007308FC">
        <w:rPr>
          <w:szCs w:val="22"/>
        </w:rPr>
        <w:t xml:space="preserve"> </w:t>
      </w:r>
      <w:r w:rsidR="007308FC" w:rsidRPr="007308FC">
        <w:rPr>
          <w:szCs w:val="24"/>
        </w:rPr>
        <w:t xml:space="preserve"> </w:t>
      </w:r>
      <w:r w:rsidR="007308FC" w:rsidRPr="007308FC">
        <w:rPr>
          <w:szCs w:val="22"/>
        </w:rPr>
        <w:t>Based on our review and analysis, we conclude that Dawson has more than adequate financial resources to enable it to afford the closed captioning of its television program, and that closed captioning would not be economically burdensome for Dawson at this time.</w:t>
      </w:r>
      <w:r w:rsidR="007308FC" w:rsidRPr="007308FC">
        <w:rPr>
          <w:szCs w:val="22"/>
          <w:vertAlign w:val="superscript"/>
        </w:rPr>
        <w:footnoteReference w:id="68"/>
      </w:r>
      <w:r w:rsidR="007308FC" w:rsidRPr="007308FC">
        <w:rPr>
          <w:szCs w:val="22"/>
        </w:rPr>
        <w:t xml:space="preserve">  </w:t>
      </w:r>
      <w:r w:rsidR="007C31FB">
        <w:t xml:space="preserve"> </w:t>
      </w:r>
    </w:p>
    <w:p w:rsidR="00C06BEB" w:rsidRDefault="00C06BEB" w:rsidP="009E6A16">
      <w:pPr>
        <w:pStyle w:val="ParaNum"/>
        <w:widowControl/>
        <w:numPr>
          <w:ilvl w:val="0"/>
          <w:numId w:val="2"/>
        </w:numPr>
        <w:spacing w:after="120"/>
        <w:ind w:left="0" w:firstLine="720"/>
        <w:jc w:val="left"/>
      </w:pPr>
      <w:r>
        <w:t>Dawson asserts that, absent an exemption from the captioning requirements, Dawson would have “to forego other key religious services and missions in order to afford the cost of closed captioning.”</w:t>
      </w:r>
      <w:r>
        <w:rPr>
          <w:rStyle w:val="FootnoteReference"/>
        </w:rPr>
        <w:footnoteReference w:id="69"/>
      </w:r>
      <w:r>
        <w:t xml:space="preserve">  The Commission previously has explained that in making its determinations on captioning exemptions, it must consider the extent to which the provision of captioning will impact the petitioner’s programming activities, and not the extent to which it</w:t>
      </w:r>
      <w:r w:rsidRPr="00C06BEB">
        <w:t xml:space="preserve"> </w:t>
      </w:r>
      <w:r>
        <w:t>would “curtail other activities important to [a petitioner’s] mission.”</w:t>
      </w:r>
      <w:r>
        <w:rPr>
          <w:rStyle w:val="FootnoteReference"/>
        </w:rPr>
        <w:footnoteReference w:id="70"/>
      </w:r>
      <w:r>
        <w:t xml:space="preserve"> As the Commission previously stated, “applying such a factor would enable regulated parties to decide whether it is more important to comply with captioning requirements or to use their resources for other non-programming-related purposes.”</w:t>
      </w:r>
      <w:r>
        <w:rPr>
          <w:rStyle w:val="FootnoteReference"/>
        </w:rPr>
        <w:footnoteReference w:id="71"/>
      </w:r>
    </w:p>
    <w:p w:rsidR="0018451C" w:rsidRPr="002E1EF8" w:rsidRDefault="00EB61D5" w:rsidP="009E6A16">
      <w:pPr>
        <w:pStyle w:val="ParaNum"/>
        <w:widowControl/>
        <w:numPr>
          <w:ilvl w:val="0"/>
          <w:numId w:val="2"/>
        </w:numPr>
        <w:spacing w:after="120"/>
        <w:ind w:left="0" w:firstLine="720"/>
        <w:jc w:val="left"/>
        <w:rPr>
          <w:szCs w:val="22"/>
        </w:rPr>
      </w:pPr>
      <w:r>
        <w:rPr>
          <w:szCs w:val="22"/>
        </w:rPr>
        <w:t>Dawson</w:t>
      </w:r>
      <w:r w:rsidR="00482D4F" w:rsidRPr="00E806C3">
        <w:rPr>
          <w:szCs w:val="22"/>
        </w:rPr>
        <w:t xml:space="preserve"> </w:t>
      </w:r>
      <w:r w:rsidR="00C06BEB">
        <w:rPr>
          <w:szCs w:val="22"/>
        </w:rPr>
        <w:t xml:space="preserve">further </w:t>
      </w:r>
      <w:r w:rsidR="00482D4F" w:rsidRPr="00E806C3">
        <w:rPr>
          <w:szCs w:val="22"/>
        </w:rPr>
        <w:t xml:space="preserve">asserts that, if not granted a captioning exemption, it </w:t>
      </w:r>
      <w:r w:rsidR="00334440">
        <w:rPr>
          <w:szCs w:val="22"/>
        </w:rPr>
        <w:t xml:space="preserve">may </w:t>
      </w:r>
      <w:r w:rsidR="00482D4F" w:rsidRPr="00E806C3">
        <w:rPr>
          <w:szCs w:val="22"/>
        </w:rPr>
        <w:t xml:space="preserve">have to cease production of its </w:t>
      </w:r>
      <w:r w:rsidR="00482D4F" w:rsidRPr="00C06BEB">
        <w:t>telecast</w:t>
      </w:r>
      <w:r w:rsidR="00482D4F" w:rsidRPr="00E806C3">
        <w:rPr>
          <w:szCs w:val="22"/>
        </w:rPr>
        <w:t>.</w:t>
      </w:r>
      <w:r w:rsidR="00482D4F" w:rsidRPr="00BB7D44">
        <w:rPr>
          <w:rStyle w:val="FootnoteReference"/>
          <w:szCs w:val="22"/>
        </w:rPr>
        <w:footnoteReference w:id="72"/>
      </w:r>
      <w:r w:rsidR="00482D4F" w:rsidRPr="00E806C3">
        <w:rPr>
          <w:szCs w:val="22"/>
        </w:rPr>
        <w:t xml:space="preserve">  Because we conclude, based on the information provided by </w:t>
      </w:r>
      <w:r>
        <w:rPr>
          <w:szCs w:val="22"/>
        </w:rPr>
        <w:t>Dawson</w:t>
      </w:r>
      <w:r w:rsidR="00482D4F" w:rsidRPr="00E806C3">
        <w:rPr>
          <w:szCs w:val="22"/>
        </w:rPr>
        <w:t xml:space="preserve">, that </w:t>
      </w:r>
      <w:r>
        <w:rPr>
          <w:szCs w:val="22"/>
        </w:rPr>
        <w:t>Dawson</w:t>
      </w:r>
      <w:r w:rsidR="00482D4F" w:rsidRPr="00E806C3">
        <w:rPr>
          <w:szCs w:val="22"/>
        </w:rPr>
        <w:t xml:space="preserve"> has adequate financial resources to enable it to af</w:t>
      </w:r>
      <w:r w:rsidR="00482D4F" w:rsidRPr="001D5713">
        <w:rPr>
          <w:szCs w:val="22"/>
        </w:rPr>
        <w:t>ford the costs of c</w:t>
      </w:r>
      <w:r w:rsidR="00482D4F" w:rsidRPr="008D016C">
        <w:rPr>
          <w:szCs w:val="22"/>
        </w:rPr>
        <w:t>aptioning its television program,</w:t>
      </w:r>
      <w:r w:rsidR="00482D4F" w:rsidRPr="00BB7D44">
        <w:rPr>
          <w:rStyle w:val="FootnoteReference"/>
          <w:szCs w:val="22"/>
        </w:rPr>
        <w:footnoteReference w:id="73"/>
      </w:r>
      <w:r w:rsidR="00482D4F" w:rsidRPr="00E806C3">
        <w:rPr>
          <w:szCs w:val="22"/>
        </w:rPr>
        <w:t xml:space="preserve"> we do not find credible </w:t>
      </w:r>
      <w:r>
        <w:rPr>
          <w:szCs w:val="22"/>
        </w:rPr>
        <w:t>Dawson</w:t>
      </w:r>
      <w:r w:rsidR="00482D4F" w:rsidRPr="00E806C3">
        <w:rPr>
          <w:szCs w:val="22"/>
        </w:rPr>
        <w:t xml:space="preserve">’ claimed uncertainty about continuing its program if it must provide closed captioning.  Accordingly, we find that it would not be “economically burdensome” for </w:t>
      </w:r>
      <w:r>
        <w:rPr>
          <w:szCs w:val="22"/>
        </w:rPr>
        <w:t>Dawson</w:t>
      </w:r>
      <w:r w:rsidR="00482D4F" w:rsidRPr="00E806C3">
        <w:rPr>
          <w:szCs w:val="22"/>
        </w:rPr>
        <w:t xml:space="preserve"> to caption its program within the meaning of the Communications Act </w:t>
      </w:r>
      <w:r w:rsidR="000C25E9">
        <w:rPr>
          <w:szCs w:val="22"/>
        </w:rPr>
        <w:t>and</w:t>
      </w:r>
      <w:r w:rsidR="00D47E8E">
        <w:rPr>
          <w:szCs w:val="22"/>
        </w:rPr>
        <w:t xml:space="preserve"> </w:t>
      </w:r>
      <w:r w:rsidR="00482D4F" w:rsidRPr="00E806C3">
        <w:rPr>
          <w:szCs w:val="22"/>
        </w:rPr>
        <w:t>the Commission’s rules.</w:t>
      </w:r>
    </w:p>
    <w:p w:rsidR="00F8305B" w:rsidRDefault="00F8305B" w:rsidP="009E6A16">
      <w:pPr>
        <w:pStyle w:val="Heading11"/>
        <w:widowControl/>
        <w:numPr>
          <w:ilvl w:val="0"/>
          <w:numId w:val="1"/>
        </w:numPr>
        <w:ind w:hanging="720"/>
        <w:jc w:val="left"/>
      </w:pPr>
      <w:bookmarkStart w:id="1" w:name="GoBack"/>
      <w:bookmarkEnd w:id="1"/>
      <w:r>
        <w:t>ordering clauses</w:t>
      </w:r>
      <w:r>
        <w:tab/>
      </w:r>
    </w:p>
    <w:p w:rsidR="00C115ED" w:rsidRDefault="00C115ED" w:rsidP="009E6A16">
      <w:pPr>
        <w:pStyle w:val="ParaNum"/>
        <w:widowControl/>
        <w:numPr>
          <w:ilvl w:val="0"/>
          <w:numId w:val="2"/>
        </w:numPr>
        <w:spacing w:after="120"/>
        <w:ind w:left="0" w:firstLine="720"/>
        <w:jc w:val="left"/>
        <w:rPr>
          <w:szCs w:val="22"/>
        </w:rPr>
      </w:pPr>
      <w:r w:rsidRPr="00FD62B1">
        <w:rPr>
          <w:szCs w:val="22"/>
        </w:rPr>
        <w:t xml:space="preserve">Accordingly, </w:t>
      </w:r>
      <w:r>
        <w:rPr>
          <w:szCs w:val="22"/>
        </w:rPr>
        <w:t>pursuant to section 713 of the Communications Act of 1934, as amended, and sections 0.141(f) and 79.1(f) of the Commission’s rules,</w:t>
      </w:r>
      <w:r>
        <w:rPr>
          <w:rStyle w:val="FootnoteReference"/>
          <w:szCs w:val="22"/>
        </w:rPr>
        <w:footnoteReference w:id="74"/>
      </w:r>
      <w:r>
        <w:rPr>
          <w:szCs w:val="22"/>
        </w:rPr>
        <w:t xml:space="preserve"> </w:t>
      </w:r>
      <w:r w:rsidRPr="00FD62B1">
        <w:rPr>
          <w:szCs w:val="22"/>
        </w:rPr>
        <w:t>IT IS ORDERED</w:t>
      </w:r>
      <w:r w:rsidRPr="00FD62B1">
        <w:rPr>
          <w:b/>
          <w:szCs w:val="22"/>
        </w:rPr>
        <w:t xml:space="preserve"> </w:t>
      </w:r>
      <w:r w:rsidRPr="00FD62B1">
        <w:rPr>
          <w:szCs w:val="22"/>
        </w:rPr>
        <w:t xml:space="preserve">that the Petition filed by </w:t>
      </w:r>
      <w:r w:rsidR="00EB61D5">
        <w:rPr>
          <w:szCs w:val="22"/>
        </w:rPr>
        <w:t>Dawson</w:t>
      </w:r>
      <w:r>
        <w:rPr>
          <w:szCs w:val="22"/>
        </w:rPr>
        <w:t>,</w:t>
      </w:r>
      <w:r w:rsidRPr="00FD62B1">
        <w:rPr>
          <w:szCs w:val="22"/>
        </w:rPr>
        <w:t xml:space="preserve"> requesting an exemption from the Commission’s closed captioning rules</w:t>
      </w:r>
      <w:r>
        <w:rPr>
          <w:szCs w:val="22"/>
        </w:rPr>
        <w:t>,</w:t>
      </w:r>
      <w:r w:rsidRPr="00FD62B1">
        <w:rPr>
          <w:szCs w:val="22"/>
        </w:rPr>
        <w:t xml:space="preserve"> IS DENIED</w:t>
      </w:r>
      <w:r w:rsidRPr="00FD62B1">
        <w:rPr>
          <w:b/>
          <w:szCs w:val="22"/>
        </w:rPr>
        <w:t>.</w:t>
      </w:r>
      <w:r w:rsidRPr="00FD62B1">
        <w:rPr>
          <w:szCs w:val="22"/>
        </w:rPr>
        <w:t xml:space="preserve">  </w:t>
      </w:r>
    </w:p>
    <w:p w:rsidR="00C115ED" w:rsidRPr="00FD62B1" w:rsidRDefault="00C115ED" w:rsidP="009E6A16">
      <w:pPr>
        <w:pStyle w:val="ParaNum"/>
        <w:widowControl/>
        <w:numPr>
          <w:ilvl w:val="0"/>
          <w:numId w:val="2"/>
        </w:numPr>
        <w:spacing w:after="120"/>
        <w:ind w:left="0" w:firstLine="720"/>
        <w:jc w:val="left"/>
        <w:rPr>
          <w:szCs w:val="22"/>
        </w:rPr>
      </w:pPr>
      <w:r w:rsidRPr="00FD62B1">
        <w:rPr>
          <w:szCs w:val="22"/>
        </w:rPr>
        <w:t xml:space="preserve">IT IS FURTHER ORDERED that </w:t>
      </w:r>
      <w:r w:rsidR="00EB61D5">
        <w:rPr>
          <w:szCs w:val="22"/>
        </w:rPr>
        <w:t>Dawson</w:t>
      </w:r>
      <w:r w:rsidRPr="00FD62B1">
        <w:rPr>
          <w:szCs w:val="22"/>
        </w:rPr>
        <w:t xml:space="preserve"> </w:t>
      </w:r>
      <w:r>
        <w:rPr>
          <w:szCs w:val="22"/>
        </w:rPr>
        <w:t xml:space="preserve">shall </w:t>
      </w:r>
      <w:r w:rsidRPr="00FD62B1">
        <w:rPr>
          <w:szCs w:val="22"/>
        </w:rPr>
        <w:t xml:space="preserve">commence closed captioning of the programming that is the subject of its Petition no later than </w:t>
      </w:r>
      <w:r w:rsidR="0029053F" w:rsidRPr="0029053F">
        <w:rPr>
          <w:szCs w:val="22"/>
        </w:rPr>
        <w:t>March 19</w:t>
      </w:r>
      <w:r w:rsidRPr="0029053F">
        <w:rPr>
          <w:szCs w:val="22"/>
        </w:rPr>
        <w:t>, 201</w:t>
      </w:r>
      <w:r w:rsidR="00412AC5" w:rsidRPr="0029053F">
        <w:rPr>
          <w:szCs w:val="22"/>
        </w:rPr>
        <w:t>5</w:t>
      </w:r>
      <w:r w:rsidRPr="00FD62B1">
        <w:rPr>
          <w:szCs w:val="22"/>
        </w:rPr>
        <w:t xml:space="preserve">, which is 90 days from the </w:t>
      </w:r>
      <w:r>
        <w:rPr>
          <w:szCs w:val="22"/>
        </w:rPr>
        <w:t xml:space="preserve">date of the </w:t>
      </w:r>
      <w:r w:rsidRPr="00FD62B1">
        <w:rPr>
          <w:szCs w:val="22"/>
        </w:rPr>
        <w:t>release of this Order.</w:t>
      </w:r>
    </w:p>
    <w:p w:rsidR="00C115ED" w:rsidRPr="00FD62B1" w:rsidRDefault="00C115ED" w:rsidP="009E6A16">
      <w:pPr>
        <w:pStyle w:val="ParaNum"/>
        <w:widowControl/>
        <w:numPr>
          <w:ilvl w:val="0"/>
          <w:numId w:val="2"/>
        </w:numPr>
        <w:spacing w:after="120"/>
        <w:ind w:left="0" w:firstLine="720"/>
        <w:jc w:val="left"/>
        <w:rPr>
          <w:szCs w:val="22"/>
        </w:rPr>
      </w:pPr>
      <w:r w:rsidRPr="00FD62B1">
        <w:rPr>
          <w:szCs w:val="22"/>
        </w:rPr>
        <w:t xml:space="preserve">IT IS FURTHER ORDERED that </w:t>
      </w:r>
      <w:r w:rsidR="00EB61D5">
        <w:rPr>
          <w:szCs w:val="22"/>
        </w:rPr>
        <w:t>Dawson</w:t>
      </w:r>
      <w:r w:rsidRPr="00FD62B1">
        <w:rPr>
          <w:szCs w:val="22"/>
        </w:rPr>
        <w:t xml:space="preserve"> must inform the Commission of the date on which it commences closed captioning of its programming in accordance with this Order and the Commission’s rules by e-mail to </w:t>
      </w:r>
      <w:hyperlink r:id="rId8" w:history="1">
        <w:r w:rsidR="00F91EE7" w:rsidRPr="003235E4">
          <w:rPr>
            <w:rStyle w:val="Hyperlink"/>
            <w:szCs w:val="22"/>
          </w:rPr>
          <w:t>captioningexemption@fcc.gov</w:t>
        </w:r>
      </w:hyperlink>
      <w:r w:rsidR="00F91EE7">
        <w:rPr>
          <w:szCs w:val="22"/>
        </w:rPr>
        <w:t xml:space="preserve">, </w:t>
      </w:r>
      <w:r w:rsidR="00505CDF" w:rsidRPr="00F91EE7">
        <w:rPr>
          <w:rStyle w:val="Hyperlink"/>
          <w:color w:val="auto"/>
          <w:szCs w:val="22"/>
          <w:u w:val="none"/>
        </w:rPr>
        <w:t>which the Commission will make available for public inspection</w:t>
      </w:r>
      <w:r w:rsidRPr="00FD62B1">
        <w:rPr>
          <w:szCs w:val="22"/>
        </w:rPr>
        <w:t>.</w:t>
      </w:r>
      <w:r w:rsidRPr="00FD62B1">
        <w:rPr>
          <w:rStyle w:val="FootnoteReference"/>
          <w:szCs w:val="22"/>
        </w:rPr>
        <w:footnoteReference w:id="75"/>
      </w:r>
      <w:r w:rsidRPr="00FD62B1">
        <w:rPr>
          <w:szCs w:val="22"/>
        </w:rPr>
        <w:t xml:space="preserve">  The e-mail </w:t>
      </w:r>
      <w:r w:rsidR="00412AC5">
        <w:rPr>
          <w:szCs w:val="22"/>
        </w:rPr>
        <w:t xml:space="preserve">attachment </w:t>
      </w:r>
      <w:r w:rsidRPr="00FD62B1">
        <w:rPr>
          <w:szCs w:val="22"/>
        </w:rPr>
        <w:t>must reference Case Identifier CGB-CC-</w:t>
      </w:r>
      <w:r w:rsidR="00EB61D5">
        <w:rPr>
          <w:szCs w:val="22"/>
        </w:rPr>
        <w:t>0144</w:t>
      </w:r>
      <w:r w:rsidR="00505CDF">
        <w:rPr>
          <w:szCs w:val="22"/>
        </w:rPr>
        <w:t>.</w:t>
      </w:r>
      <w:r w:rsidRPr="00FD62B1">
        <w:rPr>
          <w:szCs w:val="22"/>
        </w:rPr>
        <w:t xml:space="preserve">  </w:t>
      </w:r>
    </w:p>
    <w:p w:rsidR="00C115ED" w:rsidRPr="00FD62B1" w:rsidRDefault="00C115ED">
      <w:pPr>
        <w:pStyle w:val="ParaNum"/>
        <w:widowControl/>
        <w:numPr>
          <w:ilvl w:val="0"/>
          <w:numId w:val="0"/>
        </w:numPr>
        <w:spacing w:after="0"/>
        <w:ind w:firstLine="720"/>
        <w:jc w:val="left"/>
        <w:rPr>
          <w:szCs w:val="22"/>
        </w:rPr>
      </w:pPr>
    </w:p>
    <w:p w:rsidR="00C115ED" w:rsidRPr="00FD62B1" w:rsidRDefault="00C115E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C115ED" w:rsidRDefault="00C115ED">
      <w:pPr>
        <w:pStyle w:val="ParaNum"/>
        <w:widowControl/>
        <w:numPr>
          <w:ilvl w:val="0"/>
          <w:numId w:val="0"/>
        </w:numPr>
        <w:tabs>
          <w:tab w:val="left" w:pos="4680"/>
        </w:tabs>
        <w:spacing w:after="0"/>
        <w:ind w:firstLine="720"/>
        <w:jc w:val="left"/>
        <w:rPr>
          <w:szCs w:val="22"/>
        </w:rPr>
      </w:pPr>
    </w:p>
    <w:p w:rsidR="00C115ED" w:rsidRDefault="00C115ED">
      <w:pPr>
        <w:pStyle w:val="ParaNum"/>
        <w:widowControl/>
        <w:numPr>
          <w:ilvl w:val="0"/>
          <w:numId w:val="0"/>
        </w:numPr>
        <w:tabs>
          <w:tab w:val="left" w:pos="4680"/>
        </w:tabs>
        <w:spacing w:after="0"/>
        <w:ind w:firstLine="720"/>
        <w:jc w:val="left"/>
        <w:rPr>
          <w:szCs w:val="22"/>
        </w:rPr>
      </w:pPr>
    </w:p>
    <w:p w:rsidR="00C115ED" w:rsidRPr="00FD62B1" w:rsidRDefault="00C115ED">
      <w:pPr>
        <w:pStyle w:val="ParaNum"/>
        <w:widowControl/>
        <w:numPr>
          <w:ilvl w:val="0"/>
          <w:numId w:val="0"/>
        </w:numPr>
        <w:tabs>
          <w:tab w:val="left" w:pos="4680"/>
        </w:tabs>
        <w:spacing w:after="0"/>
        <w:ind w:firstLine="720"/>
        <w:jc w:val="left"/>
        <w:rPr>
          <w:szCs w:val="22"/>
        </w:rPr>
      </w:pPr>
    </w:p>
    <w:p w:rsidR="00C115ED" w:rsidRPr="00F0277B" w:rsidRDefault="00C115ED">
      <w:pPr>
        <w:pStyle w:val="ParaNum"/>
        <w:widowControl/>
        <w:numPr>
          <w:ilvl w:val="0"/>
          <w:numId w:val="0"/>
        </w:numPr>
        <w:tabs>
          <w:tab w:val="clear" w:pos="1440"/>
          <w:tab w:val="left" w:pos="4680"/>
        </w:tabs>
        <w:spacing w:after="0"/>
        <w:jc w:val="left"/>
        <w:rPr>
          <w:szCs w:val="22"/>
        </w:rPr>
      </w:pPr>
      <w:r w:rsidRPr="00FD62B1">
        <w:rPr>
          <w:szCs w:val="22"/>
        </w:rPr>
        <w:tab/>
      </w:r>
      <w:r>
        <w:rPr>
          <w:szCs w:val="22"/>
        </w:rPr>
        <w:t>Karen Peltz Strauss</w:t>
      </w:r>
    </w:p>
    <w:p w:rsidR="00C115ED" w:rsidRDefault="00C115E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C115ED" w:rsidRPr="00FD62B1" w:rsidRDefault="00C115E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Consumer and Governmental Affairs Bureau</w:t>
      </w:r>
    </w:p>
    <w:p w:rsidR="00C115ED" w:rsidRPr="00FD62B1" w:rsidRDefault="00C115ED">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p w:rsidR="00C115ED" w:rsidRPr="00FD62B1" w:rsidRDefault="00C115ED" w:rsidP="00FC1B22">
      <w:pPr>
        <w:pStyle w:val="ParaNum"/>
        <w:widowControl/>
        <w:numPr>
          <w:ilvl w:val="0"/>
          <w:numId w:val="0"/>
        </w:numPr>
        <w:spacing w:after="120"/>
        <w:ind w:left="720" w:hanging="360"/>
        <w:jc w:val="left"/>
        <w:rPr>
          <w:szCs w:val="22"/>
        </w:rPr>
      </w:pPr>
    </w:p>
    <w:p w:rsidR="00F8305B" w:rsidRDefault="00F8305B" w:rsidP="00FC1B22">
      <w:pPr>
        <w:pStyle w:val="ParaNum"/>
        <w:widowControl/>
        <w:numPr>
          <w:ilvl w:val="0"/>
          <w:numId w:val="0"/>
        </w:numPr>
        <w:spacing w:after="0"/>
        <w:ind w:left="792"/>
        <w:jc w:val="left"/>
        <w:rPr>
          <w:rFonts w:eastAsia="Times New Roman"/>
          <w:color w:val="auto"/>
          <w:sz w:val="20"/>
          <w:lang w:bidi="x-none"/>
        </w:rPr>
      </w:pPr>
    </w:p>
    <w:sectPr w:rsidR="00F8305B" w:rsidSect="00F962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B3" w:rsidRDefault="000B1DB3">
      <w:pPr>
        <w:spacing w:after="0"/>
      </w:pPr>
      <w:r>
        <w:separator/>
      </w:r>
    </w:p>
  </w:endnote>
  <w:endnote w:type="continuationSeparator" w:id="0">
    <w:p w:rsidR="000B1DB3" w:rsidRDefault="000B1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Bold">
    <w:panose1 w:val="020B0804030504040204"/>
    <w:charset w:val="00"/>
    <w:family w:val="roman"/>
    <w:pitch w:val="default"/>
  </w:font>
  <w:font w:name="ヒラギノ角ゴ Pro W3">
    <w:altName w:val="MS Mincho"/>
    <w:charset w:val="00"/>
    <w:family w:val="roman"/>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7C" w:rsidRDefault="0045307C">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5F545B">
      <w:rPr>
        <w:rStyle w:val="PageNumber1"/>
        <w:noProof/>
      </w:rPr>
      <w:t>10</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7C" w:rsidRDefault="0045307C">
    <w:pPr>
      <w:pStyle w:val="Footer1"/>
      <w:jc w:val="center"/>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5F545B">
      <w:rPr>
        <w:rStyle w:val="PageNumber1"/>
        <w:noProof/>
      </w:rPr>
      <w:t>3</w:t>
    </w:r>
    <w:r>
      <w:rPr>
        <w:rStyle w:val="PageNumber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88" w:rsidRDefault="0083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B3" w:rsidRDefault="000B1DB3">
      <w:pPr>
        <w:spacing w:after="0"/>
      </w:pPr>
      <w:r>
        <w:separator/>
      </w:r>
    </w:p>
  </w:footnote>
  <w:footnote w:type="continuationSeparator" w:id="0">
    <w:p w:rsidR="000B1DB3" w:rsidRDefault="000B1DB3">
      <w:pPr>
        <w:spacing w:after="0"/>
      </w:pPr>
      <w:r>
        <w:continuationSeparator/>
      </w:r>
    </w:p>
  </w:footnote>
  <w:footnote w:id="1">
    <w:p w:rsidR="0045307C" w:rsidRPr="00D37256" w:rsidRDefault="0045307C" w:rsidP="004052D0">
      <w:pPr>
        <w:pStyle w:val="FootnoteText1"/>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2">
    <w:p w:rsidR="0045307C" w:rsidRPr="00D37256" w:rsidRDefault="0045307C" w:rsidP="004052D0">
      <w:pPr>
        <w:pStyle w:val="FootnoteText1"/>
        <w:jc w:val="left"/>
      </w:pPr>
      <w:r w:rsidRPr="00D37256">
        <w:rPr>
          <w:rStyle w:val="FootnoteReference"/>
        </w:rPr>
        <w:footnoteRef/>
      </w:r>
      <w:r w:rsidRPr="00D37256">
        <w:t xml:space="preserve"> 47 U.S.C. §§ 613(b)</w:t>
      </w:r>
      <w:r w:rsidR="00D5714D">
        <w:t>-</w:t>
      </w:r>
      <w:r w:rsidRPr="00D37256">
        <w:t>(c).</w:t>
      </w:r>
    </w:p>
  </w:footnote>
  <w:footnote w:id="3">
    <w:p w:rsidR="0045307C" w:rsidRPr="00D37256" w:rsidRDefault="0045307C" w:rsidP="004052D0">
      <w:pPr>
        <w:pStyle w:val="FootnoteText1"/>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w:t>
      </w:r>
      <w:r w:rsidR="001D5713" w:rsidRPr="0053093C">
        <w:t>MM Docket No. 95-176</w:t>
      </w:r>
      <w:r w:rsidR="001D5713">
        <w:t xml:space="preserve">, </w:t>
      </w:r>
      <w:r w:rsidRPr="00D37256">
        <w:t>Report and Order, 13 FCC Rcd 3272 (1997) (</w:t>
      </w:r>
      <w:r w:rsidRPr="00D37256">
        <w:rPr>
          <w:i/>
        </w:rPr>
        <w:t xml:space="preserve">Closed Captioning Report and Order); </w:t>
      </w:r>
      <w:r w:rsidRPr="00D37256">
        <w:rPr>
          <w:i/>
          <w:iCs/>
        </w:rPr>
        <w:t>Closed Captioning and Video Description of Video Programming</w:t>
      </w:r>
      <w:r w:rsidRPr="004052D0">
        <w:rPr>
          <w:i/>
          <w:iCs/>
        </w:rPr>
        <w:t xml:space="preserve">, </w:t>
      </w:r>
      <w:r w:rsidRPr="004052D0">
        <w:rPr>
          <w:i/>
        </w:rPr>
        <w:t>Implementation</w:t>
      </w:r>
      <w:r w:rsidRPr="00D37256">
        <w:rPr>
          <w:i/>
          <w:iCs/>
        </w:rPr>
        <w:t xml:space="preserve"> of Section 305 of the Telecommunications Act of 1996, Video Programming Accessibility, </w:t>
      </w:r>
      <w:r w:rsidR="001D5713" w:rsidRPr="0053093C">
        <w:t>MM Docket No. 95-176,</w:t>
      </w:r>
      <w:r w:rsidR="001D5713">
        <w:t xml:space="preserve">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4">
    <w:p w:rsidR="0045307C" w:rsidRPr="00D37256" w:rsidRDefault="0045307C" w:rsidP="004052D0">
      <w:pPr>
        <w:pStyle w:val="FootnoteText1"/>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xml:space="preserve">, </w:t>
      </w:r>
      <w:r w:rsidR="009A10BA" w:rsidRPr="0053093C">
        <w:t xml:space="preserve">CG Docket No. 05-231, </w:t>
      </w:r>
      <w:r w:rsidRPr="00D37256">
        <w:t>Report and Order, Declaratory Ruling, and Further Notice of Proposed Rulemaking, 29 FCC Rcd 2221, 2288-89, ¶ 115 (2014).</w:t>
      </w:r>
    </w:p>
  </w:footnote>
  <w:footnote w:id="5">
    <w:p w:rsidR="0045307C" w:rsidRPr="00D37256" w:rsidRDefault="0045307C" w:rsidP="004052D0">
      <w:pPr>
        <w:pStyle w:val="FootnoteText1"/>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xml:space="preserve">, </w:t>
      </w:r>
      <w:r w:rsidR="009A10BA" w:rsidRPr="0053093C">
        <w:t xml:space="preserve">CG Docket No. 11-175, </w:t>
      </w:r>
      <w:r w:rsidRPr="00D37256">
        <w:t>Report and Order, 27 FCC Rcd 8831, 8834, ¶ 7 (2012) (</w:t>
      </w:r>
      <w:r w:rsidRPr="00D37256">
        <w:rPr>
          <w:i/>
        </w:rPr>
        <w:t>Economically Burdensome Standard Order</w:t>
      </w:r>
      <w:r w:rsidRPr="00D37256">
        <w:t>).</w:t>
      </w:r>
    </w:p>
  </w:footnote>
  <w:footnote w:id="6">
    <w:p w:rsidR="0045307C" w:rsidRPr="00D37256" w:rsidRDefault="0045307C" w:rsidP="004052D0">
      <w:pPr>
        <w:pStyle w:val="FootnoteText1"/>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7">
    <w:p w:rsidR="0045307C" w:rsidRPr="00D37256" w:rsidRDefault="0045307C" w:rsidP="004052D0">
      <w:pPr>
        <w:pStyle w:val="FootnoteText1"/>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8">
    <w:p w:rsidR="0045307C" w:rsidRPr="00D37256" w:rsidRDefault="0045307C" w:rsidP="004052D0">
      <w:pPr>
        <w:pStyle w:val="FootnoteText1"/>
        <w:jc w:val="left"/>
      </w:pPr>
      <w:r w:rsidRPr="00D37256">
        <w:rPr>
          <w:rStyle w:val="FootnoteReference"/>
        </w:rPr>
        <w:footnoteRef/>
      </w:r>
      <w:r w:rsidRPr="00D37256">
        <w:t xml:space="preserve"> This is a summary of the lis</w:t>
      </w:r>
      <w:r w:rsidRPr="004052D0">
        <w:t>t</w:t>
      </w:r>
      <w:r w:rsidRPr="00D37256">
        <w:t xml:space="preserve"> of “Required Information to Provide in Filing a New Petition to be Exempt from the Closed Captioning Requirements,” provided by the staff to captioning exemption petitioners and available at </w:t>
      </w:r>
      <w:hyperlink r:id="rId1" w:history="1">
        <w:r w:rsidRPr="00D37256">
          <w:rPr>
            <w:rStyle w:val="Hyperlink"/>
          </w:rPr>
          <w:t>http://hraunfoss.fcc.gov/edocs_public/attachmatch/DOC-323421A1.pdf</w:t>
        </w:r>
      </w:hyperlink>
      <w:r w:rsidRPr="00096ACC">
        <w:rPr>
          <w:rStyle w:val="Hyperlink"/>
          <w:color w:val="auto"/>
          <w:u w:val="none"/>
        </w:rPr>
        <w:t>, which the Bureau developed, based on the Communications Act, the Commission’s rules, and Commission history and experience evaluating such petitions</w:t>
      </w:r>
      <w:r w:rsidRPr="00D37256">
        <w:t xml:space="preserve">.  </w:t>
      </w:r>
      <w:r w:rsidRPr="00D37256">
        <w:rPr>
          <w:i/>
        </w:rPr>
        <w:t>See Anglers for Christ Ministries, Inc., et al.; Amendment of Section 79.1(f) of the Commission’s Rules; Video Programming Accessibility</w:t>
      </w:r>
      <w:r w:rsidRPr="00D37256">
        <w:t xml:space="preserve">, </w:t>
      </w:r>
      <w:r w:rsidR="00767BCD" w:rsidRPr="0053093C">
        <w:t xml:space="preserve">CG Docket Nos. 06-181 and 11-175, </w:t>
      </w:r>
      <w:r w:rsidRPr="00D37256">
        <w:t>Memorandum Opinion and Order, Order, and Notice of Proposed Rulemaking, 26 FCC Rcd 14941, 14955-56, ¶ 28 (2011) (</w:t>
      </w:r>
      <w:r w:rsidRPr="00D37256">
        <w:rPr>
          <w:i/>
        </w:rPr>
        <w:t>Anglers Reversal MO&amp;O</w:t>
      </w:r>
      <w:r w:rsidRPr="00D37256">
        <w:t>).</w:t>
      </w:r>
    </w:p>
  </w:footnote>
  <w:footnote w:id="9">
    <w:p w:rsidR="0045307C" w:rsidRPr="00D37256" w:rsidRDefault="0045307C" w:rsidP="004052D0">
      <w:pPr>
        <w:pStyle w:val="FootnoteText1"/>
        <w:jc w:val="left"/>
      </w:pPr>
      <w:r w:rsidRPr="00D37256">
        <w:rPr>
          <w:rStyle w:val="FootnoteReference"/>
        </w:rPr>
        <w:footnoteRef/>
      </w:r>
      <w:r w:rsidRPr="00D37256">
        <w:t xml:space="preserve"> 47 C.F.R. § 79.1(f)(9).  A petition for exemption may also be supported by an </w:t>
      </w:r>
      <w:r w:rsidRPr="00D37256">
        <w:rPr>
          <w:rStyle w:val="contents"/>
        </w:rPr>
        <w:t xml:space="preserve">unsworn written statement signed by a </w:t>
      </w:r>
      <w:r w:rsidRPr="004052D0">
        <w:t>declarant</w:t>
      </w:r>
      <w:r w:rsidRPr="00D37256">
        <w:rPr>
          <w:rStyle w:val="contents"/>
        </w:rPr>
        <w:t xml:space="preserve"> under</w:t>
      </w:r>
      <w:r>
        <w:rPr>
          <w:rStyle w:val="contents"/>
        </w:rPr>
        <w:t xml:space="preserve"> penalty of perjury.  47 C.F.R. </w:t>
      </w:r>
      <w:r w:rsidRPr="00D37256">
        <w:rPr>
          <w:rStyle w:val="contents"/>
        </w:rPr>
        <w:t>§ 1.16.</w:t>
      </w:r>
    </w:p>
  </w:footnote>
  <w:footnote w:id="10">
    <w:p w:rsidR="0045307C" w:rsidRPr="00D37256" w:rsidRDefault="0045307C" w:rsidP="004052D0">
      <w:pPr>
        <w:pStyle w:val="FootnoteText1"/>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 xml:space="preserve">Video Programming </w:t>
      </w:r>
      <w:r w:rsidRPr="004052D0">
        <w:t>Accessibility</w:t>
      </w:r>
      <w:r w:rsidRPr="00D37256">
        <w:rPr>
          <w:i/>
        </w:rPr>
        <w:t>, Petition for Waiver of Closed Captioning Requirements</w:t>
      </w:r>
      <w:r w:rsidRPr="00D37256">
        <w:t xml:space="preserve">, </w:t>
      </w:r>
      <w:r w:rsidR="008D016C">
        <w:t xml:space="preserve">CSR Docket No. 5444, </w:t>
      </w:r>
      <w:r w:rsidRPr="00D37256">
        <w:t>Memorandum Opinion and Order, 16 FCC Rcd 13611, 13614, ¶ 12 (Cable Services Bureau, 2001) (</w:t>
      </w:r>
      <w:r w:rsidRPr="00D37256">
        <w:rPr>
          <w:i/>
        </w:rPr>
        <w:t>Wild Outdoors 2001</w:t>
      </w:r>
      <w:r w:rsidRPr="00D37256">
        <w:t xml:space="preserve">)).  </w:t>
      </w:r>
    </w:p>
  </w:footnote>
  <w:footnote w:id="11">
    <w:p w:rsidR="0045307C" w:rsidRPr="00D37256" w:rsidRDefault="0045307C" w:rsidP="004052D0">
      <w:pPr>
        <w:pStyle w:val="FootnoteText1"/>
        <w:jc w:val="left"/>
      </w:pPr>
      <w:r w:rsidRPr="00D37256">
        <w:rPr>
          <w:rStyle w:val="FootnoteReference"/>
        </w:rPr>
        <w:footnoteRef/>
      </w:r>
      <w:r w:rsidRPr="00D37256">
        <w:t xml:space="preserve"> 47 U.S.C. § 613(d)(3); 47 C.F.R. § 79.1(f)(11).</w:t>
      </w:r>
    </w:p>
  </w:footnote>
  <w:footnote w:id="12">
    <w:p w:rsidR="0045307C" w:rsidRPr="00D37256" w:rsidRDefault="0045307C" w:rsidP="004052D0">
      <w:pPr>
        <w:pStyle w:val="FootnoteText1"/>
        <w:jc w:val="left"/>
      </w:pPr>
      <w:r w:rsidRPr="00D37256">
        <w:rPr>
          <w:rStyle w:val="FootnoteReference"/>
        </w:rPr>
        <w:footnoteRef/>
      </w:r>
      <w:r w:rsidRPr="00D37256">
        <w:t xml:space="preserve"> </w:t>
      </w:r>
      <w:r w:rsidRPr="00D37256">
        <w:rPr>
          <w:i/>
        </w:rPr>
        <w:t>See</w:t>
      </w:r>
      <w:r w:rsidRPr="00D37256">
        <w:t xml:space="preserve"> </w:t>
      </w:r>
      <w:r w:rsidR="007D3937" w:rsidRPr="00D37256">
        <w:t xml:space="preserve">Letter from </w:t>
      </w:r>
      <w:r w:rsidR="007D3937">
        <w:t xml:space="preserve">Janelle Hite, Director of Media, Dawson Memorial Baptist Church, </w:t>
      </w:r>
      <w:r w:rsidR="007D3937" w:rsidRPr="00D37256">
        <w:t xml:space="preserve">to Office of the Secretary, </w:t>
      </w:r>
      <w:r w:rsidR="009D6613">
        <w:t>FCC</w:t>
      </w:r>
      <w:r w:rsidR="007D3937" w:rsidRPr="00D37256">
        <w:t xml:space="preserve"> (</w:t>
      </w:r>
      <w:r w:rsidR="007D3937">
        <w:t xml:space="preserve">Dec. </w:t>
      </w:r>
      <w:r w:rsidR="008045E7">
        <w:t>12</w:t>
      </w:r>
      <w:r w:rsidR="007D3937">
        <w:t>, 2005)</w:t>
      </w:r>
      <w:r w:rsidR="009D6613">
        <w:t>.</w:t>
      </w:r>
    </w:p>
  </w:footnote>
  <w:footnote w:id="13">
    <w:p w:rsidR="00F109D1" w:rsidRPr="00F962BD" w:rsidRDefault="00F109D1" w:rsidP="00F962BD">
      <w:pPr>
        <w:pStyle w:val="FootnoteText"/>
        <w:ind w:firstLine="0"/>
        <w:rPr>
          <w:i/>
        </w:rPr>
      </w:pPr>
      <w:r>
        <w:rPr>
          <w:rStyle w:val="FootnoteReference"/>
        </w:rPr>
        <w:footnoteRef/>
      </w:r>
      <w:r>
        <w:t xml:space="preserve"> </w:t>
      </w:r>
      <w:r w:rsidRPr="00F109D1">
        <w:rPr>
          <w:i/>
        </w:rPr>
        <w:t>See</w:t>
      </w:r>
      <w:r>
        <w:t xml:space="preserve"> Letter from Amelia Brown</w:t>
      </w:r>
      <w:r w:rsidRPr="00F109D1">
        <w:t xml:space="preserve">, Attorney, Disability Rights Office, CGB, to </w:t>
      </w:r>
      <w:r w:rsidR="00EB61D5">
        <w:t>Dawson</w:t>
      </w:r>
      <w:r w:rsidRPr="00F109D1">
        <w:t xml:space="preserve"> </w:t>
      </w:r>
      <w:r w:rsidR="009D6613">
        <w:t xml:space="preserve">Memorial </w:t>
      </w:r>
      <w:r w:rsidRPr="00F109D1">
        <w:t>Baptist Church (</w:t>
      </w:r>
      <w:r w:rsidR="009D6613">
        <w:t>Feb. 13, 2006</w:t>
      </w:r>
      <w:r w:rsidRPr="00F109D1">
        <w:t>).</w:t>
      </w:r>
      <w:r>
        <w:t xml:space="preserve">  </w:t>
      </w:r>
    </w:p>
  </w:footnote>
  <w:footnote w:id="14">
    <w:p w:rsidR="00F109D1" w:rsidRPr="00737690" w:rsidRDefault="00F109D1" w:rsidP="00F962BD">
      <w:pPr>
        <w:pStyle w:val="FootnoteText"/>
        <w:ind w:firstLine="0"/>
      </w:pPr>
      <w:r>
        <w:rPr>
          <w:rStyle w:val="FootnoteReference"/>
        </w:rPr>
        <w:footnoteRef/>
      </w:r>
      <w:r>
        <w:t xml:space="preserve"> </w:t>
      </w:r>
      <w:r>
        <w:rPr>
          <w:i/>
        </w:rPr>
        <w:t xml:space="preserve">See </w:t>
      </w:r>
      <w:r w:rsidR="00032736">
        <w:t>Letter from Janelle Hite,</w:t>
      </w:r>
      <w:r w:rsidR="00032736" w:rsidRPr="006848FB">
        <w:t xml:space="preserve"> </w:t>
      </w:r>
      <w:r w:rsidR="00032736">
        <w:t xml:space="preserve">Director of Media, Dawson Memorial Baptist Church, </w:t>
      </w:r>
      <w:r w:rsidR="00032736" w:rsidRPr="00D37256">
        <w:t xml:space="preserve">to </w:t>
      </w:r>
      <w:r w:rsidR="00032736">
        <w:t>Amelia Brown, Disability Rights Office</w:t>
      </w:r>
      <w:r w:rsidR="00032736" w:rsidRPr="00D37256">
        <w:t xml:space="preserve">, </w:t>
      </w:r>
      <w:r w:rsidR="00032736">
        <w:t>FCC</w:t>
      </w:r>
      <w:r w:rsidR="00032736" w:rsidRPr="00D37256">
        <w:t xml:space="preserve"> (</w:t>
      </w:r>
      <w:r w:rsidR="00032736">
        <w:t xml:space="preserve">Mar. 13, 2006). </w:t>
      </w:r>
    </w:p>
  </w:footnote>
  <w:footnote w:id="15">
    <w:p w:rsidR="0062662E" w:rsidRPr="00737690" w:rsidRDefault="0062662E" w:rsidP="0062662E">
      <w:pPr>
        <w:pStyle w:val="FootnoteText"/>
        <w:ind w:firstLine="0"/>
      </w:pPr>
      <w:r>
        <w:rPr>
          <w:rStyle w:val="FootnoteReference"/>
        </w:rPr>
        <w:footnoteRef/>
      </w:r>
      <w:r>
        <w:t xml:space="preserve"> </w:t>
      </w:r>
      <w:r>
        <w:rPr>
          <w:i/>
        </w:rPr>
        <w:t xml:space="preserve">See </w:t>
      </w:r>
      <w:r>
        <w:t>Letter from Janelle Hite,</w:t>
      </w:r>
      <w:r w:rsidRPr="006848FB">
        <w:t xml:space="preserve"> </w:t>
      </w:r>
      <w:r>
        <w:t xml:space="preserve">Director of Media, Dawson Memorial Baptist Church, </w:t>
      </w:r>
      <w:r w:rsidR="005E0BCD">
        <w:t xml:space="preserve">as delivered by Bennet &amp; Bennet, PLLC, </w:t>
      </w:r>
      <w:r w:rsidRPr="00D37256">
        <w:t xml:space="preserve">to </w:t>
      </w:r>
      <w:r>
        <w:t>Office of the Secretary,</w:t>
      </w:r>
      <w:r w:rsidRPr="00D37256">
        <w:t xml:space="preserve"> </w:t>
      </w:r>
      <w:r>
        <w:t>FCC</w:t>
      </w:r>
      <w:r w:rsidRPr="00D37256">
        <w:t xml:space="preserve"> (</w:t>
      </w:r>
      <w:r>
        <w:t xml:space="preserve">Apr. </w:t>
      </w:r>
      <w:r w:rsidR="008045E7">
        <w:t>3</w:t>
      </w:r>
      <w:r>
        <w:t>, 2006)</w:t>
      </w:r>
      <w:r w:rsidR="0055312C">
        <w:t xml:space="preserve"> (2006 Letter)</w:t>
      </w:r>
      <w:r>
        <w:t xml:space="preserve">. </w:t>
      </w:r>
    </w:p>
  </w:footnote>
  <w:footnote w:id="16">
    <w:p w:rsidR="00EE2974" w:rsidRPr="00EE2974" w:rsidRDefault="00EE2974" w:rsidP="00F962BD">
      <w:pPr>
        <w:pStyle w:val="FootnoteText"/>
        <w:ind w:firstLine="0"/>
      </w:pPr>
      <w:r>
        <w:rPr>
          <w:rStyle w:val="FootnoteReference"/>
        </w:rPr>
        <w:footnoteRef/>
      </w:r>
      <w:r>
        <w:t xml:space="preserve"> </w:t>
      </w:r>
      <w:r>
        <w:rPr>
          <w:i/>
        </w:rPr>
        <w:t>Consumer and Governmental Affairs Bureau Action Request for Exemption from Commission’s Closed Captioning Rules</w:t>
      </w:r>
      <w:r>
        <w:t xml:space="preserve">, CG Docket No. 06-181, Public Notice, </w:t>
      </w:r>
      <w:r w:rsidR="00AD71D6">
        <w:t xml:space="preserve">21 FCC Rcd 3610 </w:t>
      </w:r>
      <w:r>
        <w:t xml:space="preserve">(CGB 2006).  </w:t>
      </w:r>
    </w:p>
  </w:footnote>
  <w:footnote w:id="17">
    <w:p w:rsidR="0045307C" w:rsidRPr="00D37256" w:rsidRDefault="0045307C" w:rsidP="004052D0">
      <w:pPr>
        <w:pStyle w:val="FootnoteText1"/>
        <w:jc w:val="left"/>
      </w:pPr>
      <w:r w:rsidRPr="00D37256">
        <w:rPr>
          <w:rStyle w:val="FootnoteReference"/>
        </w:rPr>
        <w:footnoteRef/>
      </w:r>
      <w:r w:rsidRPr="00D37256">
        <w:t xml:space="preserve"> </w:t>
      </w:r>
      <w:r w:rsidRPr="00D37256">
        <w:rPr>
          <w:i/>
        </w:rPr>
        <w:t xml:space="preserve">See </w:t>
      </w:r>
      <w:r w:rsidRPr="00D37256">
        <w:t>Letter from Thomas E. Chandler, Chief, Disability Rights Office, C</w:t>
      </w:r>
      <w:r w:rsidR="00B96D32">
        <w:t>GB</w:t>
      </w:r>
      <w:r w:rsidRPr="00D37256">
        <w:t xml:space="preserve">, to </w:t>
      </w:r>
      <w:r w:rsidR="00EB61D5">
        <w:t>Dawson</w:t>
      </w:r>
      <w:r>
        <w:t xml:space="preserve"> </w:t>
      </w:r>
      <w:r w:rsidR="001202A2">
        <w:t xml:space="preserve">Memorial </w:t>
      </w:r>
      <w:r w:rsidRPr="00A11687">
        <w:rPr>
          <w:iCs/>
        </w:rPr>
        <w:t>Baptist</w:t>
      </w:r>
      <w:r w:rsidRPr="00A11687">
        <w:t xml:space="preserve"> </w:t>
      </w:r>
      <w:r>
        <w:t>Church (Sept. 11</w:t>
      </w:r>
      <w:r w:rsidRPr="00D37256">
        <w:t xml:space="preserve">, 2006).  </w:t>
      </w:r>
    </w:p>
  </w:footnote>
  <w:footnote w:id="18">
    <w:p w:rsidR="0045307C" w:rsidRPr="00D37256" w:rsidRDefault="0045307C" w:rsidP="004052D0">
      <w:pPr>
        <w:pStyle w:val="FootnoteText1"/>
        <w:jc w:val="left"/>
      </w:pPr>
      <w:r w:rsidRPr="00D37256">
        <w:rPr>
          <w:rStyle w:val="FootnoteReference"/>
        </w:rPr>
        <w:footnoteRef/>
      </w:r>
      <w:r w:rsidRPr="00D37256">
        <w:t xml:space="preserve"> </w:t>
      </w:r>
      <w:r w:rsidRPr="00D37256">
        <w:rPr>
          <w:i/>
        </w:rPr>
        <w:t>Anglers Reversal MO&amp;O</w:t>
      </w:r>
      <w:r w:rsidRPr="00D37256">
        <w:t>, 26 FCC Rcd at 14949, ¶ 25</w:t>
      </w:r>
      <w:r w:rsidR="002306AE">
        <w:t xml:space="preserve">, and </w:t>
      </w:r>
      <w:r w:rsidR="00421F0F">
        <w:t xml:space="preserve">14972 </w:t>
      </w:r>
      <w:r w:rsidR="002306AE">
        <w:t>(Appendix A)</w:t>
      </w:r>
      <w:r w:rsidRPr="00D37256">
        <w:t>.  The Commission reversed this and other Bureau letter orders that had failed to analyze the individual circumstances of the petitioners under the “undue burden” criteria</w:t>
      </w:r>
      <w:r w:rsidRPr="004E4ACD">
        <w:rPr>
          <w:rStyle w:val="Emphasis"/>
          <w:i w:val="0"/>
        </w:rPr>
        <w:t xml:space="preserve">, as required under the Communications Act and the Commission’s rules. </w:t>
      </w:r>
      <w:r w:rsidRPr="00D37256">
        <w:rPr>
          <w:rStyle w:val="Emphasis"/>
        </w:rPr>
        <w:t xml:space="preserve"> </w:t>
      </w:r>
      <w:r w:rsidRPr="004052D0">
        <w:rPr>
          <w:i/>
          <w:iCs/>
        </w:rPr>
        <w:t>Id</w:t>
      </w:r>
      <w:r w:rsidRPr="00D37256">
        <w:rPr>
          <w:rStyle w:val="Emphasis"/>
        </w:rPr>
        <w:t>.,</w:t>
      </w:r>
      <w:r w:rsidRPr="00D37256">
        <w:t xml:space="preserve"> 26 FCC Rcd at 14949, ¶ 26.  </w:t>
      </w:r>
      <w:r w:rsidRPr="004E4ACD">
        <w:rPr>
          <w:rStyle w:val="Emphasis"/>
          <w:i w:val="0"/>
        </w:rPr>
        <w:t>As explained earlier, the economically burdensome criteria now used by the Commission to evaluate closed captioning exemption requests are identical to the undue burden criteria.</w:t>
      </w:r>
      <w:r w:rsidRPr="00D37256">
        <w:rPr>
          <w:rStyle w:val="Emphasis"/>
        </w:rPr>
        <w:t xml:space="preserve">  See </w:t>
      </w:r>
      <w:r w:rsidRPr="004E4ACD">
        <w:rPr>
          <w:rStyle w:val="Emphasis"/>
          <w:i w:val="0"/>
        </w:rPr>
        <w:t>n.</w:t>
      </w:r>
      <w:r w:rsidRPr="00FB107A">
        <w:rPr>
          <w:rStyle w:val="Emphasis"/>
          <w:i w:val="0"/>
        </w:rPr>
        <w:t>5,</w:t>
      </w:r>
      <w:r w:rsidRPr="00D37256">
        <w:rPr>
          <w:rStyle w:val="Emphasis"/>
        </w:rPr>
        <w:t xml:space="preserve"> supra.</w:t>
      </w:r>
    </w:p>
  </w:footnote>
  <w:footnote w:id="19">
    <w:p w:rsidR="0045307C" w:rsidRPr="00D37256" w:rsidRDefault="0045307C" w:rsidP="004052D0">
      <w:pPr>
        <w:pStyle w:val="FootnoteText1"/>
        <w:jc w:val="left"/>
      </w:pPr>
      <w:r w:rsidRPr="00D37256">
        <w:rPr>
          <w:rStyle w:val="FootnoteReference"/>
        </w:rPr>
        <w:footnoteRef/>
      </w:r>
      <w:r w:rsidRPr="00D37256">
        <w:t xml:space="preserve"> </w:t>
      </w:r>
      <w:r w:rsidRPr="00D37256">
        <w:rPr>
          <w:i/>
        </w:rPr>
        <w:t xml:space="preserve">See </w:t>
      </w:r>
      <w:r w:rsidRPr="00D37256">
        <w:t>Letter from Joel Gurin, Chief, C</w:t>
      </w:r>
      <w:r w:rsidR="002306AE">
        <w:t>GB</w:t>
      </w:r>
      <w:r w:rsidRPr="00D37256">
        <w:t xml:space="preserve">, to </w:t>
      </w:r>
      <w:r w:rsidR="00EB61D5">
        <w:t>Dawson</w:t>
      </w:r>
      <w:r>
        <w:t xml:space="preserve"> Baptist Church</w:t>
      </w:r>
      <w:r w:rsidRPr="00D37256">
        <w:t xml:space="preserve"> (Oct. 25, 2011).  </w:t>
      </w:r>
      <w:r w:rsidRPr="00D37256">
        <w:rPr>
          <w:i/>
        </w:rPr>
        <w:t xml:space="preserve">See also </w:t>
      </w:r>
      <w:r w:rsidRPr="00D37256">
        <w:t xml:space="preserve">47 C.F.R. § 79.1(f)(11); </w:t>
      </w:r>
      <w:r w:rsidRPr="00D37256">
        <w:rPr>
          <w:i/>
        </w:rPr>
        <w:t xml:space="preserve">Anglers Reversal MO&amp;O, </w:t>
      </w:r>
      <w:r w:rsidRPr="00D37256">
        <w:t xml:space="preserve">26 FCC Rcd at 14949, ¶ 16, n.60.   </w:t>
      </w:r>
    </w:p>
  </w:footnote>
  <w:footnote w:id="20">
    <w:p w:rsidR="0045307C" w:rsidRPr="00D37256" w:rsidRDefault="0045307C" w:rsidP="004052D0">
      <w:pPr>
        <w:pStyle w:val="FootnoteText1"/>
        <w:jc w:val="left"/>
      </w:pPr>
      <w:r w:rsidRPr="00D37256">
        <w:rPr>
          <w:rStyle w:val="FootnoteReference"/>
        </w:rPr>
        <w:footnoteRef/>
      </w:r>
      <w:r w:rsidRPr="00D37256">
        <w:t xml:space="preserve"> </w:t>
      </w:r>
      <w:r w:rsidR="000E567B" w:rsidRPr="00D37256">
        <w:t xml:space="preserve">Letter </w:t>
      </w:r>
      <w:r w:rsidR="000E567B">
        <w:t>from Rowan Smith, Business Administrator, Dawson Memorial Baptist Church</w:t>
      </w:r>
      <w:r w:rsidR="000E567B" w:rsidRPr="00D37256">
        <w:t xml:space="preserve">, </w:t>
      </w:r>
      <w:r w:rsidR="005E0BCD">
        <w:t xml:space="preserve">as hand delivered by Robert A. Silverman, Bennet &amp; Bennet, PLLC, </w:t>
      </w:r>
      <w:r w:rsidR="000E567B" w:rsidRPr="00D37256">
        <w:t xml:space="preserve">to Office of the Secretary, </w:t>
      </w:r>
      <w:r w:rsidR="000E567B">
        <w:t xml:space="preserve"> FCC (Jan. 1</w:t>
      </w:r>
      <w:r w:rsidR="008045E7">
        <w:t>7</w:t>
      </w:r>
      <w:r w:rsidR="000E567B" w:rsidRPr="00D37256">
        <w:t>, 2012) (Petition).</w:t>
      </w:r>
      <w:r w:rsidR="005E0BCD">
        <w:t xml:space="preserve">  The cover letter from Robert A. Silverman is dated January 18, 2012.</w:t>
      </w:r>
    </w:p>
  </w:footnote>
  <w:footnote w:id="21">
    <w:p w:rsidR="0045307C" w:rsidRPr="00D37256" w:rsidRDefault="0045307C" w:rsidP="004052D0">
      <w:pPr>
        <w:pStyle w:val="FootnoteText1"/>
        <w:jc w:val="left"/>
      </w:pPr>
      <w:r w:rsidRPr="00D37256">
        <w:rPr>
          <w:rStyle w:val="FootnoteReference"/>
        </w:rPr>
        <w:footnoteRef/>
      </w:r>
      <w:r w:rsidRPr="00D37256">
        <w:t xml:space="preserve"> </w:t>
      </w:r>
      <w:r w:rsidRPr="00D37256">
        <w:rPr>
          <w:i/>
        </w:rPr>
        <w:t>Reques</w:t>
      </w:r>
      <w:r w:rsidRPr="008E7A3A">
        <w:rPr>
          <w:i/>
        </w:rPr>
        <w:t xml:space="preserve">t for </w:t>
      </w:r>
      <w:r w:rsidRPr="00F962BD">
        <w:rPr>
          <w:i/>
        </w:rPr>
        <w:t>Comment</w:t>
      </w:r>
      <w:r w:rsidRPr="008E7A3A">
        <w:rPr>
          <w:i/>
        </w:rPr>
        <w:t xml:space="preserve">, </w:t>
      </w:r>
      <w:r w:rsidRPr="00D37256">
        <w:rPr>
          <w:i/>
        </w:rPr>
        <w:t>Request for Exemption from Commission’s Closed Captioning Rules</w:t>
      </w:r>
      <w:r>
        <w:rPr>
          <w:i/>
        </w:rPr>
        <w:t>,</w:t>
      </w:r>
      <w:r w:rsidRPr="00D37256">
        <w:rPr>
          <w:i/>
        </w:rPr>
        <w:t xml:space="preserve"> </w:t>
      </w:r>
      <w:r w:rsidR="00F4570F">
        <w:t>CG Docket No. 06-181,</w:t>
      </w:r>
      <w:r>
        <w:t xml:space="preserve"> Public Notice, 27 FCC Rcd 1</w:t>
      </w:r>
      <w:r w:rsidR="00E23A89">
        <w:t xml:space="preserve">384 </w:t>
      </w:r>
      <w:r>
        <w:t>(</w:t>
      </w:r>
      <w:r w:rsidR="00F4570F">
        <w:t>CGB</w:t>
      </w:r>
      <w:r w:rsidRPr="00D37256">
        <w:t xml:space="preserve"> 2012).</w:t>
      </w:r>
    </w:p>
  </w:footnote>
  <w:footnote w:id="22">
    <w:p w:rsidR="0045307C" w:rsidRPr="00D37256" w:rsidRDefault="0045307C" w:rsidP="004052D0">
      <w:pPr>
        <w:pStyle w:val="FootnoteText1"/>
        <w:jc w:val="left"/>
      </w:pPr>
      <w:r w:rsidRPr="00D37256">
        <w:rPr>
          <w:rStyle w:val="FootnoteReference"/>
        </w:rPr>
        <w:footnoteRef/>
      </w:r>
      <w:r w:rsidRPr="00D37256">
        <w:t xml:space="preserve"> </w:t>
      </w:r>
      <w:r w:rsidRPr="00D37256">
        <w:rPr>
          <w:i/>
        </w:rPr>
        <w:t xml:space="preserve">See </w:t>
      </w:r>
      <w:r w:rsidR="002E7A79" w:rsidRPr="002E7A79">
        <w:t>Opposition to</w:t>
      </w:r>
      <w:r w:rsidR="008045E7">
        <w:t xml:space="preserve"> </w:t>
      </w:r>
      <w:r w:rsidR="00EB61D5">
        <w:t>Dawson</w:t>
      </w:r>
      <w:r w:rsidR="00DC3446">
        <w:t xml:space="preserve"> </w:t>
      </w:r>
      <w:r w:rsidR="005537DD">
        <w:t>Memorial Baptist Church</w:t>
      </w:r>
      <w:r w:rsidR="00DC3446">
        <w:t xml:space="preserve"> Request for Exemption from the Commission’s Closed Captioning Rules, Case No. CGB-CC-</w:t>
      </w:r>
      <w:r w:rsidR="00EB61D5">
        <w:t>0144</w:t>
      </w:r>
      <w:r w:rsidR="00DC3446">
        <w:t>, CG Docket No. 06-181, T</w:t>
      </w:r>
      <w:r w:rsidRPr="00D37256">
        <w:t>elecommunications for the Deaf and Hard of Hearing, Inc.</w:t>
      </w:r>
      <w:r w:rsidR="004F148A">
        <w:t xml:space="preserve"> (TDI)</w:t>
      </w:r>
      <w:r w:rsidRPr="00D37256">
        <w:t>, National Association of the Deaf</w:t>
      </w:r>
      <w:r w:rsidR="004F148A">
        <w:t xml:space="preserve"> (NAD)</w:t>
      </w:r>
      <w:r w:rsidRPr="00D37256">
        <w:t>, Deaf and Hard of Hearing Consumer Advocacy Network</w:t>
      </w:r>
      <w:r w:rsidR="004F148A">
        <w:t xml:space="preserve"> (DHHCAN)</w:t>
      </w:r>
      <w:r w:rsidRPr="00D37256">
        <w:t>, Association of Late-Deafened Adults</w:t>
      </w:r>
      <w:r w:rsidR="004F148A">
        <w:t xml:space="preserve"> (ALDA)</w:t>
      </w:r>
      <w:r w:rsidRPr="00D37256">
        <w:t xml:space="preserve">, and Cerebral Palsy and Deaf Organization  (Mar. </w:t>
      </w:r>
      <w:r w:rsidR="00784CD5">
        <w:t>9</w:t>
      </w:r>
      <w:r w:rsidRPr="00D37256">
        <w:t>, 2012).</w:t>
      </w:r>
    </w:p>
  </w:footnote>
  <w:footnote w:id="23">
    <w:p w:rsidR="00784CD5" w:rsidRDefault="00784CD5" w:rsidP="00784CD5">
      <w:pPr>
        <w:pStyle w:val="FootnoteText1"/>
        <w:jc w:val="left"/>
      </w:pPr>
      <w:r>
        <w:rPr>
          <w:rStyle w:val="FootnoteReference"/>
        </w:rPr>
        <w:footnoteRef/>
      </w:r>
      <w:r>
        <w:t xml:space="preserve"> </w:t>
      </w:r>
      <w:r>
        <w:rPr>
          <w:i/>
        </w:rPr>
        <w:t>See</w:t>
      </w:r>
      <w:r>
        <w:t xml:space="preserve"> Letter of Rowan Smith, Business Administrator, Dawson Memorial Baptist Church, to </w:t>
      </w:r>
      <w:r w:rsidRPr="00D37256">
        <w:t xml:space="preserve">Office of the Secretary, </w:t>
      </w:r>
      <w:r w:rsidR="00301542">
        <w:t>FCC (Mar. 2</w:t>
      </w:r>
      <w:r w:rsidR="008045E7">
        <w:t>8</w:t>
      </w:r>
      <w:r w:rsidR="00301542">
        <w:t>, 2012).</w:t>
      </w:r>
    </w:p>
  </w:footnote>
  <w:footnote w:id="24">
    <w:p w:rsidR="00F254DA" w:rsidRPr="008E7A3A" w:rsidRDefault="00F254DA" w:rsidP="00F962BD">
      <w:pPr>
        <w:pStyle w:val="FootnoteText"/>
        <w:ind w:firstLine="0"/>
      </w:pPr>
      <w:r>
        <w:rPr>
          <w:rStyle w:val="FootnoteReference"/>
        </w:rPr>
        <w:footnoteRef/>
      </w:r>
      <w:r>
        <w:t xml:space="preserve"> </w:t>
      </w:r>
      <w:r>
        <w:rPr>
          <w:i/>
        </w:rPr>
        <w:t>See</w:t>
      </w:r>
      <w:r>
        <w:t xml:space="preserve"> Letter from Cheryl J. King, Attorney, Disability Rights Office, CGB, to </w:t>
      </w:r>
      <w:r w:rsidR="00EB61D5">
        <w:t>Dawson</w:t>
      </w:r>
      <w:r>
        <w:t xml:space="preserve"> </w:t>
      </w:r>
      <w:r w:rsidR="005E0BCD">
        <w:t xml:space="preserve">Memorial </w:t>
      </w:r>
      <w:r>
        <w:t>Baptist Church (Sept. 27, 2013).</w:t>
      </w:r>
    </w:p>
  </w:footnote>
  <w:footnote w:id="25">
    <w:p w:rsidR="0045307C" w:rsidRPr="00D37256" w:rsidRDefault="0045307C" w:rsidP="004052D0">
      <w:pPr>
        <w:pStyle w:val="FootnoteText1"/>
        <w:jc w:val="left"/>
      </w:pPr>
      <w:r w:rsidRPr="00D37256">
        <w:rPr>
          <w:rStyle w:val="FootnoteReference"/>
        </w:rPr>
        <w:footnoteRef/>
      </w:r>
      <w:r w:rsidRPr="00D37256">
        <w:t xml:space="preserve"> </w:t>
      </w:r>
      <w:r w:rsidR="006C0909" w:rsidRPr="00D37256">
        <w:rPr>
          <w:i/>
        </w:rPr>
        <w:t xml:space="preserve">See </w:t>
      </w:r>
      <w:r w:rsidR="006C0909" w:rsidRPr="00D37256">
        <w:t xml:space="preserve">Letter from </w:t>
      </w:r>
      <w:r w:rsidR="006C0909">
        <w:t>Shannon Lindsay, Director of Media Outreach and Marketing</w:t>
      </w:r>
      <w:r w:rsidR="006C0909" w:rsidRPr="00D37256">
        <w:t>,</w:t>
      </w:r>
      <w:r w:rsidR="00B559D8">
        <w:t xml:space="preserve"> Dawson Memorial Baptist Church,</w:t>
      </w:r>
      <w:r w:rsidR="006C0909" w:rsidRPr="00D37256">
        <w:t xml:space="preserve"> to Office of the Secretary, </w:t>
      </w:r>
      <w:r w:rsidR="006C0909">
        <w:t xml:space="preserve">FCC </w:t>
      </w:r>
      <w:r w:rsidR="006C0909" w:rsidRPr="00D37256">
        <w:t>(</w:t>
      </w:r>
      <w:r w:rsidR="002F35A3">
        <w:t>Oct. 30</w:t>
      </w:r>
      <w:r w:rsidR="006C0909" w:rsidRPr="00D37256">
        <w:t>, 2013) (Supplement).</w:t>
      </w:r>
    </w:p>
  </w:footnote>
  <w:footnote w:id="26">
    <w:p w:rsidR="0045307C" w:rsidRPr="00D37256" w:rsidRDefault="0045307C" w:rsidP="004052D0">
      <w:pPr>
        <w:pStyle w:val="FootnoteText1"/>
        <w:jc w:val="left"/>
      </w:pPr>
      <w:r w:rsidRPr="00D37256">
        <w:rPr>
          <w:rStyle w:val="FootnoteReference"/>
        </w:rPr>
        <w:footnoteRef/>
      </w:r>
      <w:r w:rsidRPr="00D37256">
        <w:t xml:space="preserve"> </w:t>
      </w:r>
      <w:r w:rsidRPr="00D37256">
        <w:rPr>
          <w:i/>
        </w:rPr>
        <w:t>Request for Comment</w:t>
      </w:r>
      <w:r w:rsidR="00F254DA">
        <w:rPr>
          <w:i/>
        </w:rPr>
        <w:t xml:space="preserve">, </w:t>
      </w:r>
      <w:r w:rsidRPr="00D37256">
        <w:rPr>
          <w:i/>
        </w:rPr>
        <w:t>Request for Exemption from Commission’s Closed Captioning Rules</w:t>
      </w:r>
      <w:r w:rsidRPr="00D37256">
        <w:t xml:space="preserve">, </w:t>
      </w:r>
      <w:r w:rsidR="00F254DA">
        <w:t>CG Docket No. 06-181</w:t>
      </w:r>
      <w:r>
        <w:t xml:space="preserve">, </w:t>
      </w:r>
      <w:r w:rsidRPr="00D37256">
        <w:t>Public Notice, 28 FCC Rcd 17100 (</w:t>
      </w:r>
      <w:r w:rsidR="00F254DA">
        <w:t xml:space="preserve">CGB </w:t>
      </w:r>
      <w:r>
        <w:t>2013</w:t>
      </w:r>
      <w:r w:rsidRPr="00D37256">
        <w:t>) (</w:t>
      </w:r>
      <w:r w:rsidRPr="00D37256">
        <w:rPr>
          <w:i/>
        </w:rPr>
        <w:t>2013 Public Notice</w:t>
      </w:r>
      <w:r w:rsidRPr="00D37256">
        <w:t xml:space="preserve">).  </w:t>
      </w:r>
    </w:p>
  </w:footnote>
  <w:footnote w:id="27">
    <w:p w:rsidR="0045307C" w:rsidRPr="00D37256" w:rsidRDefault="0045307C" w:rsidP="005C062A">
      <w:pPr>
        <w:pStyle w:val="FootnoteText1"/>
        <w:jc w:val="left"/>
      </w:pPr>
      <w:r w:rsidRPr="00D37256">
        <w:rPr>
          <w:rStyle w:val="FootnoteReference"/>
        </w:rPr>
        <w:footnoteRef/>
      </w:r>
      <w:r w:rsidRPr="00D37256">
        <w:t xml:space="preserve"> </w:t>
      </w:r>
      <w:r w:rsidRPr="00D37256">
        <w:rPr>
          <w:i/>
        </w:rPr>
        <w:t>See</w:t>
      </w:r>
      <w:r w:rsidRPr="00D37256">
        <w:t xml:space="preserve"> Opposition to Petitions for Exemption from the Commission’s Closed Captioning Rules, T</w:t>
      </w:r>
      <w:r w:rsidR="004F148A">
        <w:t>DI</w:t>
      </w:r>
      <w:r w:rsidRPr="00D37256">
        <w:t>, D</w:t>
      </w:r>
      <w:r w:rsidR="004F148A">
        <w:t>HHCAN</w:t>
      </w:r>
      <w:r w:rsidRPr="00D37256">
        <w:t>, Cerebral Palsy and Deaf Organization, California Coalition of Agencies Serving the Deaf and Hard of Hearing, N</w:t>
      </w:r>
      <w:r w:rsidR="004F148A">
        <w:t>AD</w:t>
      </w:r>
      <w:r w:rsidRPr="00D37256">
        <w:t>, and A</w:t>
      </w:r>
      <w:r w:rsidR="004F148A">
        <w:t>LDA</w:t>
      </w:r>
      <w:r w:rsidR="004F148A" w:rsidRPr="00D37256" w:rsidDel="004F148A">
        <w:t xml:space="preserve"> </w:t>
      </w:r>
      <w:r w:rsidRPr="00D37256">
        <w:t xml:space="preserve"> (collectively, Consumer Groups) at 2, </w:t>
      </w:r>
      <w:r>
        <w:t>5-8</w:t>
      </w:r>
      <w:r w:rsidRPr="00D37256">
        <w:t xml:space="preserve"> (Jan. 27, 2014) (</w:t>
      </w:r>
      <w:r w:rsidR="006C2151">
        <w:t>Consumer Groups</w:t>
      </w:r>
      <w:r w:rsidR="00301542">
        <w:t xml:space="preserve"> </w:t>
      </w:r>
      <w:r w:rsidR="00864510">
        <w:t>Opposition</w:t>
      </w:r>
      <w:r w:rsidRPr="00D37256">
        <w:t>).</w:t>
      </w:r>
    </w:p>
  </w:footnote>
  <w:footnote w:id="28">
    <w:p w:rsidR="006C0909" w:rsidRDefault="006C0909" w:rsidP="006C0909">
      <w:pPr>
        <w:pStyle w:val="FootnoteText1"/>
        <w:jc w:val="left"/>
      </w:pPr>
      <w:r>
        <w:rPr>
          <w:rStyle w:val="FootnoteReference"/>
        </w:rPr>
        <w:footnoteRef/>
      </w:r>
      <w:r>
        <w:t xml:space="preserve"> </w:t>
      </w:r>
      <w:r w:rsidR="009A756E">
        <w:rPr>
          <w:i/>
        </w:rPr>
        <w:t xml:space="preserve">See </w:t>
      </w:r>
      <w:r w:rsidR="009A756E">
        <w:t xml:space="preserve">Letter from </w:t>
      </w:r>
      <w:r w:rsidR="005E0BCD">
        <w:t xml:space="preserve">Rowan D. Smith, Business </w:t>
      </w:r>
      <w:r w:rsidR="00D5714D">
        <w:t>Administrator</w:t>
      </w:r>
      <w:r w:rsidR="005E0BCD">
        <w:t xml:space="preserve">, Dawson, as hand delivered by </w:t>
      </w:r>
      <w:r w:rsidR="009A756E">
        <w:t>Robert A. Silverman, Bennet &amp; Bennet</w:t>
      </w:r>
      <w:r w:rsidR="005E0BCD">
        <w:t>,</w:t>
      </w:r>
      <w:r w:rsidR="009A756E">
        <w:t xml:space="preserve"> PLLC, to</w:t>
      </w:r>
      <w:r w:rsidR="009A756E" w:rsidRPr="00730E4A">
        <w:t xml:space="preserve"> </w:t>
      </w:r>
      <w:r w:rsidR="009A756E" w:rsidRPr="00D37256">
        <w:t xml:space="preserve">Office of the Secretary, </w:t>
      </w:r>
      <w:r w:rsidR="009A756E">
        <w:t xml:space="preserve">FCC (Feb. 18, 2014) (Reply to </w:t>
      </w:r>
      <w:r w:rsidR="00E50D6A">
        <w:t xml:space="preserve">Consumer Groups </w:t>
      </w:r>
      <w:r w:rsidR="009A756E">
        <w:t>Opposition).</w:t>
      </w:r>
    </w:p>
  </w:footnote>
  <w:footnote w:id="29">
    <w:p w:rsidR="0045307C" w:rsidRDefault="0045307C" w:rsidP="00F962BD">
      <w:pPr>
        <w:pStyle w:val="FootnoteText1"/>
        <w:jc w:val="left"/>
        <w:rPr>
          <w:rFonts w:eastAsia="Times New Roman"/>
          <w:color w:val="auto"/>
          <w:lang w:bidi="x-none"/>
        </w:rPr>
      </w:pPr>
      <w:r>
        <w:rPr>
          <w:rStyle w:val="FootnoteReference1"/>
          <w:sz w:val="20"/>
        </w:rPr>
        <w:footnoteRef/>
      </w:r>
      <w:r>
        <w:t xml:space="preserve"> </w:t>
      </w:r>
      <w:r w:rsidR="001A41D3">
        <w:t>Petition at 2, Supplement at 2</w:t>
      </w:r>
      <w:r>
        <w:t>.</w:t>
      </w:r>
    </w:p>
  </w:footnote>
  <w:footnote w:id="30">
    <w:p w:rsidR="001A41D3" w:rsidRPr="001A41D3" w:rsidRDefault="001A41D3" w:rsidP="001A41D3">
      <w:pPr>
        <w:pStyle w:val="FootnoteText10"/>
        <w:tabs>
          <w:tab w:val="left" w:pos="180"/>
          <w:tab w:val="left" w:pos="720"/>
          <w:tab w:val="left" w:pos="1440"/>
          <w:tab w:val="left" w:pos="2160"/>
        </w:tabs>
        <w:spacing w:after="120"/>
        <w:rPr>
          <w:rFonts w:ascii="Times New Roman" w:hAnsi="Times New Roman"/>
          <w:i/>
        </w:rPr>
      </w:pPr>
      <w:r w:rsidRPr="001A41D3">
        <w:rPr>
          <w:rStyle w:val="FootnoteReference"/>
          <w:rFonts w:ascii="Times New Roman" w:hAnsi="Times New Roman"/>
        </w:rPr>
        <w:footnoteRef/>
      </w:r>
      <w:r w:rsidRPr="001A41D3">
        <w:rPr>
          <w:rFonts w:ascii="Times New Roman" w:hAnsi="Times New Roman"/>
        </w:rPr>
        <w:t xml:space="preserve"> </w:t>
      </w:r>
      <w:r w:rsidRPr="001A41D3">
        <w:rPr>
          <w:rFonts w:ascii="Times New Roman" w:hAnsi="Times New Roman"/>
          <w:i/>
        </w:rPr>
        <w:t>Id.</w:t>
      </w:r>
    </w:p>
  </w:footnote>
  <w:footnote w:id="31">
    <w:p w:rsidR="001A41D3" w:rsidRPr="001A41D3" w:rsidRDefault="001A41D3" w:rsidP="001A41D3">
      <w:pPr>
        <w:pStyle w:val="FootnoteText10"/>
        <w:tabs>
          <w:tab w:val="left" w:pos="180"/>
          <w:tab w:val="left" w:pos="720"/>
          <w:tab w:val="left" w:pos="1440"/>
          <w:tab w:val="left" w:pos="2160"/>
        </w:tabs>
        <w:spacing w:after="120"/>
        <w:rPr>
          <w:rFonts w:ascii="Times New Roman" w:hAnsi="Times New Roman"/>
          <w:i/>
        </w:rPr>
      </w:pPr>
      <w:r w:rsidRPr="001A41D3">
        <w:rPr>
          <w:rStyle w:val="FootnoteReference"/>
          <w:rFonts w:ascii="Times New Roman" w:hAnsi="Times New Roman"/>
        </w:rPr>
        <w:footnoteRef/>
      </w:r>
      <w:r w:rsidRPr="001A41D3">
        <w:rPr>
          <w:rFonts w:ascii="Times New Roman" w:hAnsi="Times New Roman"/>
        </w:rPr>
        <w:t xml:space="preserve"> </w:t>
      </w:r>
      <w:r w:rsidRPr="001A41D3">
        <w:rPr>
          <w:rFonts w:ascii="Times New Roman" w:hAnsi="Times New Roman"/>
          <w:i/>
        </w:rPr>
        <w:t>Id.</w:t>
      </w:r>
    </w:p>
  </w:footnote>
  <w:footnote w:id="32">
    <w:p w:rsidR="001A41D3" w:rsidRPr="001A41D3" w:rsidRDefault="001A41D3" w:rsidP="001A41D3">
      <w:pPr>
        <w:pStyle w:val="FootnoteText10"/>
        <w:tabs>
          <w:tab w:val="left" w:pos="180"/>
          <w:tab w:val="left" w:pos="720"/>
          <w:tab w:val="left" w:pos="1440"/>
          <w:tab w:val="left" w:pos="2160"/>
        </w:tabs>
        <w:spacing w:after="120"/>
        <w:rPr>
          <w:rFonts w:ascii="Times New Roman" w:hAnsi="Times New Roman"/>
        </w:rPr>
      </w:pPr>
      <w:r w:rsidRPr="001A41D3">
        <w:rPr>
          <w:rStyle w:val="FootnoteReference"/>
          <w:rFonts w:ascii="Times New Roman" w:hAnsi="Times New Roman"/>
        </w:rPr>
        <w:footnoteRef/>
      </w:r>
      <w:r w:rsidRPr="001A41D3">
        <w:rPr>
          <w:rFonts w:ascii="Times New Roman" w:hAnsi="Times New Roman"/>
        </w:rPr>
        <w:t xml:space="preserve"> Petition at 4.</w:t>
      </w:r>
    </w:p>
  </w:footnote>
  <w:footnote w:id="33">
    <w:p w:rsidR="00B52FA5" w:rsidRPr="001A41D3" w:rsidRDefault="00B52FA5" w:rsidP="00B52FA5">
      <w:pPr>
        <w:pStyle w:val="FootnoteText10"/>
        <w:tabs>
          <w:tab w:val="left" w:pos="180"/>
          <w:tab w:val="left" w:pos="720"/>
          <w:tab w:val="left" w:pos="1440"/>
          <w:tab w:val="left" w:pos="2160"/>
        </w:tabs>
        <w:spacing w:after="120"/>
        <w:rPr>
          <w:rFonts w:ascii="Times New Roman" w:hAnsi="Times New Roman"/>
        </w:rPr>
      </w:pPr>
      <w:r w:rsidRPr="001A41D3">
        <w:rPr>
          <w:rStyle w:val="FootnoteReference"/>
          <w:rFonts w:ascii="Times New Roman" w:hAnsi="Times New Roman"/>
        </w:rPr>
        <w:footnoteRef/>
      </w:r>
      <w:r w:rsidRPr="001A41D3">
        <w:rPr>
          <w:rFonts w:ascii="Times New Roman" w:hAnsi="Times New Roman"/>
        </w:rPr>
        <w:t xml:space="preserve"> Petition Supplement at 2</w:t>
      </w:r>
      <w:r>
        <w:rPr>
          <w:rFonts w:ascii="Times New Roman" w:hAnsi="Times New Roman"/>
        </w:rPr>
        <w:t xml:space="preserve">.  </w:t>
      </w:r>
      <w:r>
        <w:rPr>
          <w:rFonts w:ascii="Times New Roman" w:hAnsi="Times New Roman"/>
          <w:i/>
        </w:rPr>
        <w:t xml:space="preserve">See also </w:t>
      </w:r>
      <w:r>
        <w:rPr>
          <w:rFonts w:ascii="Times New Roman" w:hAnsi="Times New Roman"/>
        </w:rPr>
        <w:t xml:space="preserve">Petition </w:t>
      </w:r>
      <w:r w:rsidRPr="001A41D3">
        <w:rPr>
          <w:rFonts w:ascii="Times New Roman" w:hAnsi="Times New Roman"/>
        </w:rPr>
        <w:t>at 2-5</w:t>
      </w:r>
      <w:r w:rsidR="00B92347">
        <w:rPr>
          <w:rFonts w:ascii="Times New Roman" w:hAnsi="Times New Roman"/>
        </w:rPr>
        <w:t>.</w:t>
      </w:r>
    </w:p>
  </w:footnote>
  <w:footnote w:id="34">
    <w:p w:rsidR="00760F8B" w:rsidRPr="00760F8B" w:rsidRDefault="00760F8B" w:rsidP="00760F8B">
      <w:pPr>
        <w:pStyle w:val="FootnoteText10"/>
        <w:tabs>
          <w:tab w:val="left" w:pos="180"/>
          <w:tab w:val="left" w:pos="720"/>
          <w:tab w:val="left" w:pos="1440"/>
          <w:tab w:val="left" w:pos="2160"/>
        </w:tabs>
        <w:spacing w:after="120"/>
        <w:rPr>
          <w:rFonts w:ascii="Times New Roman" w:hAnsi="Times New Roman"/>
        </w:rPr>
      </w:pPr>
      <w:r w:rsidRPr="00301542">
        <w:rPr>
          <w:rStyle w:val="FootnoteReference"/>
          <w:rFonts w:ascii="Times New Roman" w:hAnsi="Times New Roman"/>
        </w:rPr>
        <w:footnoteRef/>
      </w:r>
      <w:r w:rsidRPr="00301542">
        <w:rPr>
          <w:rFonts w:ascii="Times New Roman" w:hAnsi="Times New Roman"/>
        </w:rPr>
        <w:t xml:space="preserve"> T</w:t>
      </w:r>
      <w:r w:rsidRPr="00760F8B">
        <w:rPr>
          <w:rFonts w:ascii="Times New Roman" w:hAnsi="Times New Roman"/>
        </w:rPr>
        <w:t xml:space="preserve">his would be discounted to $350 per program if Dawson was able to “stagger the show by one week.”  </w:t>
      </w:r>
      <w:r w:rsidRPr="00760F8B">
        <w:rPr>
          <w:rFonts w:ascii="Times New Roman" w:hAnsi="Times New Roman"/>
          <w:i/>
        </w:rPr>
        <w:t>See</w:t>
      </w:r>
      <w:r w:rsidRPr="00760F8B">
        <w:rPr>
          <w:rFonts w:ascii="Times New Roman" w:hAnsi="Times New Roman"/>
        </w:rPr>
        <w:t xml:space="preserve"> Supplement, Exhibit B at 4.  </w:t>
      </w:r>
    </w:p>
  </w:footnote>
  <w:footnote w:id="35">
    <w:p w:rsidR="00760F8B" w:rsidRPr="00760F8B" w:rsidRDefault="00760F8B" w:rsidP="00760F8B">
      <w:pPr>
        <w:pStyle w:val="FootnoteText10"/>
        <w:tabs>
          <w:tab w:val="left" w:pos="180"/>
          <w:tab w:val="left" w:pos="720"/>
          <w:tab w:val="left" w:pos="1440"/>
          <w:tab w:val="left" w:pos="2160"/>
        </w:tabs>
        <w:spacing w:after="120"/>
        <w:rPr>
          <w:rFonts w:ascii="Times New Roman" w:hAnsi="Times New Roman"/>
        </w:rPr>
      </w:pPr>
      <w:r w:rsidRPr="00760F8B">
        <w:rPr>
          <w:rStyle w:val="FootnoteReference"/>
          <w:rFonts w:ascii="Times New Roman" w:hAnsi="Times New Roman"/>
        </w:rPr>
        <w:footnoteRef/>
      </w:r>
      <w:r w:rsidRPr="00760F8B">
        <w:rPr>
          <w:rFonts w:ascii="Times New Roman" w:hAnsi="Times New Roman"/>
        </w:rPr>
        <w:t xml:space="preserve"> This would be discounted to $400 per program if Dawson committed to using the service for six months.  </w:t>
      </w:r>
      <w:r w:rsidRPr="00760F8B">
        <w:rPr>
          <w:rFonts w:ascii="Times New Roman" w:hAnsi="Times New Roman"/>
          <w:i/>
        </w:rPr>
        <w:t>See</w:t>
      </w:r>
      <w:r w:rsidRPr="00760F8B">
        <w:rPr>
          <w:rFonts w:ascii="Times New Roman" w:hAnsi="Times New Roman"/>
        </w:rPr>
        <w:t xml:space="preserve"> Supplement, Exhibit B at 1.</w:t>
      </w:r>
    </w:p>
  </w:footnote>
  <w:footnote w:id="36">
    <w:p w:rsidR="00760F8B" w:rsidRPr="0099069E" w:rsidRDefault="00760F8B" w:rsidP="00760F8B">
      <w:pPr>
        <w:pStyle w:val="FootnoteText10"/>
        <w:tabs>
          <w:tab w:val="left" w:pos="180"/>
          <w:tab w:val="left" w:pos="720"/>
          <w:tab w:val="left" w:pos="1440"/>
          <w:tab w:val="left" w:pos="2160"/>
        </w:tabs>
        <w:spacing w:after="120"/>
        <w:rPr>
          <w:rFonts w:ascii="Times New Roman" w:hAnsi="Times New Roman"/>
        </w:rPr>
      </w:pPr>
      <w:r w:rsidRPr="00760F8B">
        <w:rPr>
          <w:rStyle w:val="FootnoteReference"/>
          <w:rFonts w:ascii="Times New Roman" w:hAnsi="Times New Roman"/>
        </w:rPr>
        <w:footnoteRef/>
      </w:r>
      <w:r w:rsidRPr="00760F8B">
        <w:rPr>
          <w:rFonts w:ascii="Times New Roman" w:hAnsi="Times New Roman"/>
        </w:rPr>
        <w:t xml:space="preserve"> </w:t>
      </w:r>
      <w:r w:rsidRPr="00760F8B">
        <w:rPr>
          <w:rFonts w:ascii="Times New Roman" w:hAnsi="Times New Roman"/>
          <w:i/>
        </w:rPr>
        <w:t>See</w:t>
      </w:r>
      <w:r w:rsidRPr="00760F8B">
        <w:rPr>
          <w:rFonts w:ascii="Times New Roman" w:hAnsi="Times New Roman"/>
        </w:rPr>
        <w:t xml:space="preserve"> Supplement at 2.  Petitioner inaccurately annualized the quote from Master Video in its Supplement </w:t>
      </w:r>
      <w:r w:rsidR="0099069E">
        <w:rPr>
          <w:rFonts w:ascii="Times New Roman" w:hAnsi="Times New Roman"/>
        </w:rPr>
        <w:t xml:space="preserve">and </w:t>
      </w:r>
      <w:r w:rsidR="002F35A3">
        <w:rPr>
          <w:rFonts w:ascii="Times New Roman" w:hAnsi="Times New Roman"/>
        </w:rPr>
        <w:t xml:space="preserve">its </w:t>
      </w:r>
      <w:r w:rsidR="0099069E">
        <w:rPr>
          <w:rFonts w:ascii="Times New Roman" w:hAnsi="Times New Roman"/>
        </w:rPr>
        <w:t xml:space="preserve">Reply to Consumer Opposition </w:t>
      </w:r>
      <w:r w:rsidRPr="00760F8B">
        <w:rPr>
          <w:rFonts w:ascii="Times New Roman" w:hAnsi="Times New Roman"/>
        </w:rPr>
        <w:t>as $39,520, which reflects a weekly cost of $760.  Supplement at 2</w:t>
      </w:r>
      <w:r w:rsidR="0099069E">
        <w:rPr>
          <w:rFonts w:ascii="Times New Roman" w:hAnsi="Times New Roman"/>
        </w:rPr>
        <w:t>, Reply to Consumer Opposition at 1</w:t>
      </w:r>
      <w:r w:rsidRPr="00760F8B">
        <w:rPr>
          <w:rFonts w:ascii="Times New Roman" w:hAnsi="Times New Roman"/>
        </w:rPr>
        <w:t>.  The quote from Master Video cited the $760 figure from “the price list for one of the nations (</w:t>
      </w:r>
      <w:r w:rsidRPr="00760F8B">
        <w:rPr>
          <w:rFonts w:ascii="Times New Roman" w:hAnsi="Times New Roman"/>
          <w:i/>
        </w:rPr>
        <w:t>sic</w:t>
      </w:r>
      <w:r w:rsidRPr="00760F8B">
        <w:rPr>
          <w:rFonts w:ascii="Times New Roman" w:hAnsi="Times New Roman"/>
        </w:rPr>
        <w:t xml:space="preserve">) top closed captioning companies.” </w:t>
      </w:r>
      <w:r w:rsidR="00301542">
        <w:rPr>
          <w:rFonts w:ascii="Times New Roman" w:hAnsi="Times New Roman"/>
        </w:rPr>
        <w:t xml:space="preserve"> </w:t>
      </w:r>
      <w:r w:rsidRPr="00760F8B">
        <w:rPr>
          <w:rFonts w:ascii="Times New Roman" w:hAnsi="Times New Roman"/>
        </w:rPr>
        <w:t xml:space="preserve">Supplement, Exhibit B at 4.  That figure was cited for comparison purposes only; Master Video’s quote was for $400, or $350 if the show could be staggered.  </w:t>
      </w:r>
      <w:r w:rsidRPr="00760F8B">
        <w:rPr>
          <w:rFonts w:ascii="Times New Roman" w:hAnsi="Times New Roman"/>
          <w:i/>
        </w:rPr>
        <w:t>Id.</w:t>
      </w:r>
    </w:p>
  </w:footnote>
  <w:footnote w:id="37">
    <w:p w:rsidR="00760F8B" w:rsidRPr="00760F8B" w:rsidRDefault="00760F8B" w:rsidP="00760F8B">
      <w:pPr>
        <w:pStyle w:val="FootnoteText10"/>
        <w:tabs>
          <w:tab w:val="left" w:pos="180"/>
          <w:tab w:val="left" w:pos="720"/>
          <w:tab w:val="left" w:pos="1440"/>
          <w:tab w:val="left" w:pos="2160"/>
        </w:tabs>
        <w:spacing w:after="120"/>
        <w:rPr>
          <w:rFonts w:ascii="Times New Roman" w:hAnsi="Times New Roman"/>
        </w:rPr>
      </w:pPr>
      <w:r w:rsidRPr="00760F8B">
        <w:rPr>
          <w:rStyle w:val="FootnoteReference"/>
          <w:rFonts w:ascii="Times New Roman" w:hAnsi="Times New Roman"/>
        </w:rPr>
        <w:footnoteRef/>
      </w:r>
      <w:r w:rsidRPr="00760F8B">
        <w:rPr>
          <w:rFonts w:ascii="Times New Roman" w:hAnsi="Times New Roman"/>
        </w:rPr>
        <w:t xml:space="preserve"> </w:t>
      </w:r>
      <w:r w:rsidRPr="00760F8B">
        <w:rPr>
          <w:rFonts w:ascii="Times New Roman" w:hAnsi="Times New Roman"/>
          <w:i/>
        </w:rPr>
        <w:t>See</w:t>
      </w:r>
      <w:r w:rsidRPr="00760F8B">
        <w:rPr>
          <w:rFonts w:ascii="Times New Roman" w:hAnsi="Times New Roman"/>
        </w:rPr>
        <w:t xml:space="preserve"> Supplement, Exhibit C.  </w:t>
      </w:r>
    </w:p>
  </w:footnote>
  <w:footnote w:id="38">
    <w:p w:rsidR="00760F8B" w:rsidRPr="00760F8B" w:rsidRDefault="00760F8B" w:rsidP="00760F8B">
      <w:pPr>
        <w:pStyle w:val="FootnoteText10"/>
        <w:tabs>
          <w:tab w:val="left" w:pos="180"/>
          <w:tab w:val="left" w:pos="720"/>
          <w:tab w:val="left" w:pos="1440"/>
          <w:tab w:val="left" w:pos="2160"/>
        </w:tabs>
        <w:spacing w:after="120"/>
        <w:rPr>
          <w:rFonts w:ascii="Times New Roman" w:hAnsi="Times New Roman"/>
        </w:rPr>
      </w:pPr>
      <w:r w:rsidRPr="00760F8B">
        <w:rPr>
          <w:rStyle w:val="FootnoteReference"/>
          <w:rFonts w:ascii="Times New Roman" w:hAnsi="Times New Roman"/>
        </w:rPr>
        <w:footnoteRef/>
      </w:r>
      <w:r w:rsidRPr="00760F8B">
        <w:rPr>
          <w:rFonts w:ascii="Times New Roman" w:hAnsi="Times New Roman"/>
        </w:rPr>
        <w:t xml:space="preserve"> Supplement at 2.</w:t>
      </w:r>
    </w:p>
  </w:footnote>
  <w:footnote w:id="39">
    <w:p w:rsidR="00D43D8C" w:rsidRPr="002025D9" w:rsidRDefault="00D43D8C" w:rsidP="002025D9">
      <w:pPr>
        <w:pStyle w:val="FootnoteText10"/>
        <w:tabs>
          <w:tab w:val="left" w:pos="180"/>
          <w:tab w:val="left" w:pos="720"/>
          <w:tab w:val="left" w:pos="1440"/>
          <w:tab w:val="left" w:pos="2160"/>
        </w:tabs>
        <w:spacing w:after="120"/>
        <w:rPr>
          <w:rFonts w:ascii="Times New Roman" w:hAnsi="Times New Roman"/>
        </w:rPr>
      </w:pPr>
      <w:r w:rsidRPr="002025D9">
        <w:rPr>
          <w:rStyle w:val="FootnoteReference"/>
          <w:rFonts w:ascii="Times New Roman" w:hAnsi="Times New Roman"/>
        </w:rPr>
        <w:footnoteRef/>
      </w:r>
      <w:r w:rsidRPr="002025D9">
        <w:rPr>
          <w:rFonts w:ascii="Times New Roman" w:hAnsi="Times New Roman"/>
        </w:rPr>
        <w:t xml:space="preserve"> Supplement, Exhibit A</w:t>
      </w:r>
      <w:r w:rsidRPr="002025D9">
        <w:rPr>
          <w:rFonts w:ascii="Times New Roman" w:hAnsi="Times New Roman"/>
          <w:vertAlign w:val="subscript"/>
        </w:rPr>
        <w:t>1</w:t>
      </w:r>
      <w:r w:rsidRPr="002025D9">
        <w:rPr>
          <w:rFonts w:ascii="Times New Roman" w:hAnsi="Times New Roman"/>
        </w:rPr>
        <w:t xml:space="preserve"> at </w:t>
      </w:r>
      <w:r w:rsidR="0002104E">
        <w:rPr>
          <w:rFonts w:ascii="Times New Roman" w:hAnsi="Times New Roman"/>
        </w:rPr>
        <w:t xml:space="preserve">1, </w:t>
      </w:r>
      <w:r w:rsidRPr="002025D9">
        <w:rPr>
          <w:rFonts w:ascii="Times New Roman" w:hAnsi="Times New Roman"/>
        </w:rPr>
        <w:t>11</w:t>
      </w:r>
      <w:r w:rsidR="0002104E">
        <w:rPr>
          <w:rFonts w:ascii="Times New Roman" w:hAnsi="Times New Roman"/>
        </w:rPr>
        <w:t xml:space="preserve">.  The total expenses are calculated by </w:t>
      </w:r>
      <w:r w:rsidR="00275A6A">
        <w:rPr>
          <w:rFonts w:ascii="Times New Roman" w:hAnsi="Times New Roman"/>
        </w:rPr>
        <w:t>adding</w:t>
      </w:r>
      <w:r w:rsidR="0002104E">
        <w:rPr>
          <w:rFonts w:ascii="Times New Roman" w:hAnsi="Times New Roman"/>
        </w:rPr>
        <w:t xml:space="preserve"> the reported excess of ex</w:t>
      </w:r>
      <w:r w:rsidR="001434F2">
        <w:rPr>
          <w:rFonts w:ascii="Times New Roman" w:hAnsi="Times New Roman"/>
        </w:rPr>
        <w:t>penses over revenue</w:t>
      </w:r>
      <w:r w:rsidR="00275A6A">
        <w:rPr>
          <w:rFonts w:ascii="Times New Roman" w:hAnsi="Times New Roman"/>
        </w:rPr>
        <w:t xml:space="preserve"> of </w:t>
      </w:r>
      <w:r w:rsidR="001434F2">
        <w:rPr>
          <w:rFonts w:ascii="Times New Roman" w:hAnsi="Times New Roman"/>
        </w:rPr>
        <w:t>$112,415.05</w:t>
      </w:r>
      <w:r w:rsidR="0002104E">
        <w:rPr>
          <w:rFonts w:ascii="Times New Roman" w:hAnsi="Times New Roman"/>
        </w:rPr>
        <w:t xml:space="preserve"> </w:t>
      </w:r>
      <w:r w:rsidR="00275A6A">
        <w:rPr>
          <w:rFonts w:ascii="Times New Roman" w:hAnsi="Times New Roman"/>
        </w:rPr>
        <w:t>to</w:t>
      </w:r>
      <w:r w:rsidR="0002104E">
        <w:rPr>
          <w:rFonts w:ascii="Times New Roman" w:hAnsi="Times New Roman"/>
        </w:rPr>
        <w:t xml:space="preserve"> the total </w:t>
      </w:r>
      <w:r w:rsidR="001434F2">
        <w:rPr>
          <w:rFonts w:ascii="Times New Roman" w:hAnsi="Times New Roman"/>
        </w:rPr>
        <w:t xml:space="preserve">income </w:t>
      </w:r>
      <w:r w:rsidR="00275A6A">
        <w:rPr>
          <w:rFonts w:ascii="Times New Roman" w:hAnsi="Times New Roman"/>
        </w:rPr>
        <w:t xml:space="preserve">of </w:t>
      </w:r>
      <w:r w:rsidR="001434F2">
        <w:rPr>
          <w:rFonts w:ascii="Times New Roman" w:hAnsi="Times New Roman"/>
        </w:rPr>
        <w:t>$7,716,592.05</w:t>
      </w:r>
      <w:r w:rsidR="00176354">
        <w:rPr>
          <w:rFonts w:ascii="Times New Roman" w:hAnsi="Times New Roman"/>
        </w:rPr>
        <w:t>.  ($112,415.05 + $7,716.592.05 = $7,829.007.10.)  T</w:t>
      </w:r>
      <w:r w:rsidR="001434F2">
        <w:rPr>
          <w:rFonts w:ascii="Times New Roman" w:hAnsi="Times New Roman"/>
        </w:rPr>
        <w:t xml:space="preserve">he </w:t>
      </w:r>
      <w:r w:rsidR="00176354">
        <w:rPr>
          <w:rFonts w:ascii="Times New Roman" w:hAnsi="Times New Roman"/>
        </w:rPr>
        <w:t xml:space="preserve">combined </w:t>
      </w:r>
      <w:r w:rsidR="001434F2">
        <w:rPr>
          <w:rFonts w:ascii="Times New Roman" w:hAnsi="Times New Roman"/>
        </w:rPr>
        <w:t>audited statements in Exhibit E</w:t>
      </w:r>
      <w:r w:rsidR="001434F2">
        <w:rPr>
          <w:rFonts w:ascii="Times New Roman" w:hAnsi="Times New Roman"/>
          <w:vertAlign w:val="subscript"/>
        </w:rPr>
        <w:t>2</w:t>
      </w:r>
      <w:r w:rsidR="00176354">
        <w:rPr>
          <w:rFonts w:ascii="Times New Roman" w:hAnsi="Times New Roman"/>
        </w:rPr>
        <w:t xml:space="preserve"> of the Supplement </w:t>
      </w:r>
      <w:r w:rsidR="001434F2">
        <w:rPr>
          <w:rFonts w:ascii="Times New Roman" w:hAnsi="Times New Roman"/>
        </w:rPr>
        <w:t>could not be used because they combined restricted and non-restricted funds and revenue, such as construction draws, and included capitalized items.  Supplement, Exhibit E</w:t>
      </w:r>
      <w:r w:rsidR="001434F2">
        <w:rPr>
          <w:rFonts w:ascii="Times New Roman" w:hAnsi="Times New Roman"/>
          <w:vertAlign w:val="subscript"/>
        </w:rPr>
        <w:t>2</w:t>
      </w:r>
      <w:r w:rsidR="001434F2">
        <w:rPr>
          <w:rFonts w:ascii="Times New Roman" w:hAnsi="Times New Roman"/>
        </w:rPr>
        <w:t xml:space="preserve"> at </w:t>
      </w:r>
      <w:r w:rsidR="002D0E54">
        <w:rPr>
          <w:rFonts w:ascii="Times New Roman" w:hAnsi="Times New Roman"/>
        </w:rPr>
        <w:t>5</w:t>
      </w:r>
      <w:r w:rsidR="001434F2">
        <w:rPr>
          <w:rFonts w:ascii="Times New Roman" w:hAnsi="Times New Roman"/>
        </w:rPr>
        <w:t xml:space="preserve">-6. </w:t>
      </w:r>
    </w:p>
  </w:footnote>
  <w:footnote w:id="40">
    <w:p w:rsidR="00D43D8C" w:rsidRPr="002025D9" w:rsidRDefault="00D43D8C" w:rsidP="002025D9">
      <w:pPr>
        <w:pStyle w:val="FootnoteText10"/>
        <w:tabs>
          <w:tab w:val="left" w:pos="180"/>
          <w:tab w:val="left" w:pos="720"/>
          <w:tab w:val="left" w:pos="1440"/>
          <w:tab w:val="left" w:pos="2160"/>
        </w:tabs>
        <w:spacing w:after="120"/>
        <w:rPr>
          <w:rFonts w:ascii="Times New Roman" w:hAnsi="Times New Roman"/>
        </w:rPr>
      </w:pPr>
      <w:r w:rsidRPr="002025D9">
        <w:rPr>
          <w:rStyle w:val="FootnoteReference"/>
          <w:rFonts w:ascii="Times New Roman" w:hAnsi="Times New Roman"/>
        </w:rPr>
        <w:footnoteRef/>
      </w:r>
      <w:r w:rsidRPr="002025D9">
        <w:rPr>
          <w:rFonts w:ascii="Times New Roman" w:hAnsi="Times New Roman"/>
        </w:rPr>
        <w:t xml:space="preserve"> Supplement</w:t>
      </w:r>
      <w:r w:rsidR="00D2229F">
        <w:rPr>
          <w:rFonts w:ascii="Times New Roman" w:hAnsi="Times New Roman"/>
        </w:rPr>
        <w:t>,</w:t>
      </w:r>
      <w:r w:rsidRPr="002025D9">
        <w:rPr>
          <w:rFonts w:ascii="Times New Roman" w:hAnsi="Times New Roman"/>
        </w:rPr>
        <w:t xml:space="preserve"> Exhibit A</w:t>
      </w:r>
      <w:r w:rsidRPr="002025D9">
        <w:rPr>
          <w:rFonts w:ascii="Times New Roman" w:hAnsi="Times New Roman"/>
          <w:vertAlign w:val="subscript"/>
        </w:rPr>
        <w:t>2</w:t>
      </w:r>
      <w:r w:rsidRPr="002025D9">
        <w:rPr>
          <w:rFonts w:ascii="Times New Roman" w:hAnsi="Times New Roman"/>
        </w:rPr>
        <w:t xml:space="preserve"> at </w:t>
      </w:r>
      <w:r w:rsidR="002D0E54">
        <w:rPr>
          <w:rFonts w:ascii="Times New Roman" w:hAnsi="Times New Roman"/>
        </w:rPr>
        <w:t xml:space="preserve">1, </w:t>
      </w:r>
      <w:r w:rsidRPr="002025D9">
        <w:rPr>
          <w:rFonts w:ascii="Times New Roman" w:hAnsi="Times New Roman"/>
        </w:rPr>
        <w:t>11.</w:t>
      </w:r>
      <w:r w:rsidR="002D0E54">
        <w:rPr>
          <w:rFonts w:ascii="Times New Roman" w:hAnsi="Times New Roman"/>
        </w:rPr>
        <w:t xml:space="preserve">  </w:t>
      </w:r>
      <w:r w:rsidR="002D0E54" w:rsidRPr="002D0E54">
        <w:rPr>
          <w:rFonts w:ascii="Times New Roman" w:hAnsi="Times New Roman"/>
        </w:rPr>
        <w:t xml:space="preserve">The total expenses are calculated by </w:t>
      </w:r>
      <w:r w:rsidR="00275A6A">
        <w:rPr>
          <w:rFonts w:ascii="Times New Roman" w:hAnsi="Times New Roman"/>
        </w:rPr>
        <w:t>adding</w:t>
      </w:r>
      <w:r w:rsidR="002D0E54" w:rsidRPr="002D0E54">
        <w:rPr>
          <w:rFonts w:ascii="Times New Roman" w:hAnsi="Times New Roman"/>
        </w:rPr>
        <w:t xml:space="preserve"> the reported excess of expenses over revenue </w:t>
      </w:r>
      <w:r w:rsidR="00275A6A">
        <w:rPr>
          <w:rFonts w:ascii="Times New Roman" w:hAnsi="Times New Roman"/>
        </w:rPr>
        <w:t xml:space="preserve">of </w:t>
      </w:r>
      <w:r w:rsidR="002D0E54" w:rsidRPr="002D0E54">
        <w:rPr>
          <w:rFonts w:ascii="Times New Roman" w:hAnsi="Times New Roman"/>
        </w:rPr>
        <w:t>$</w:t>
      </w:r>
      <w:r w:rsidR="002D0E54">
        <w:rPr>
          <w:rFonts w:ascii="Times New Roman" w:hAnsi="Times New Roman"/>
        </w:rPr>
        <w:t>251,979.52</w:t>
      </w:r>
      <w:r w:rsidR="002D0E54" w:rsidRPr="002D0E54">
        <w:rPr>
          <w:rFonts w:ascii="Times New Roman" w:hAnsi="Times New Roman"/>
        </w:rPr>
        <w:t xml:space="preserve"> </w:t>
      </w:r>
      <w:r w:rsidR="00275A6A">
        <w:rPr>
          <w:rFonts w:ascii="Times New Roman" w:hAnsi="Times New Roman"/>
        </w:rPr>
        <w:t>to</w:t>
      </w:r>
      <w:r w:rsidR="002D0E54" w:rsidRPr="002D0E54">
        <w:rPr>
          <w:rFonts w:ascii="Times New Roman" w:hAnsi="Times New Roman"/>
        </w:rPr>
        <w:t xml:space="preserve"> the total income</w:t>
      </w:r>
      <w:r w:rsidR="00275A6A">
        <w:rPr>
          <w:rFonts w:ascii="Times New Roman" w:hAnsi="Times New Roman"/>
        </w:rPr>
        <w:t xml:space="preserve"> of</w:t>
      </w:r>
      <w:r w:rsidR="002D0E54" w:rsidRPr="002D0E54">
        <w:rPr>
          <w:rFonts w:ascii="Times New Roman" w:hAnsi="Times New Roman"/>
        </w:rPr>
        <w:t xml:space="preserve"> $</w:t>
      </w:r>
      <w:r w:rsidR="002D0E54">
        <w:rPr>
          <w:rFonts w:ascii="Times New Roman" w:hAnsi="Times New Roman"/>
        </w:rPr>
        <w:t>8,325.179.22</w:t>
      </w:r>
      <w:r w:rsidR="00176354">
        <w:rPr>
          <w:rFonts w:ascii="Times New Roman" w:hAnsi="Times New Roman"/>
        </w:rPr>
        <w:t>.  ($251,979.52 + $8,325.179.22</w:t>
      </w:r>
      <w:r w:rsidR="00275A6A">
        <w:rPr>
          <w:rFonts w:ascii="Times New Roman" w:hAnsi="Times New Roman"/>
        </w:rPr>
        <w:t xml:space="preserve"> = </w:t>
      </w:r>
      <w:r w:rsidR="00505FE4">
        <w:rPr>
          <w:rFonts w:ascii="Times New Roman" w:hAnsi="Times New Roman"/>
        </w:rPr>
        <w:t>$8,577,158.74</w:t>
      </w:r>
      <w:r w:rsidR="002D0E54" w:rsidRPr="002D0E54">
        <w:rPr>
          <w:rFonts w:ascii="Times New Roman" w:hAnsi="Times New Roman"/>
        </w:rPr>
        <w:t>.</w:t>
      </w:r>
      <w:r w:rsidR="00176354">
        <w:rPr>
          <w:rFonts w:ascii="Times New Roman" w:hAnsi="Times New Roman"/>
        </w:rPr>
        <w:t>)</w:t>
      </w:r>
      <w:r w:rsidR="002D0E54" w:rsidRPr="002D0E54">
        <w:rPr>
          <w:rFonts w:ascii="Times New Roman" w:hAnsi="Times New Roman"/>
        </w:rPr>
        <w:t xml:space="preserve">  The </w:t>
      </w:r>
      <w:r w:rsidR="00176354">
        <w:rPr>
          <w:rFonts w:ascii="Times New Roman" w:hAnsi="Times New Roman"/>
        </w:rPr>
        <w:t xml:space="preserve">combined </w:t>
      </w:r>
      <w:r w:rsidR="002D0E54" w:rsidRPr="002D0E54">
        <w:rPr>
          <w:rFonts w:ascii="Times New Roman" w:hAnsi="Times New Roman"/>
        </w:rPr>
        <w:t>audited statements in Exhibit E</w:t>
      </w:r>
      <w:r w:rsidR="002D0E54" w:rsidRPr="002D0E54">
        <w:rPr>
          <w:rFonts w:ascii="Times New Roman" w:hAnsi="Times New Roman"/>
          <w:vertAlign w:val="subscript"/>
        </w:rPr>
        <w:t>2</w:t>
      </w:r>
      <w:r w:rsidR="00176354">
        <w:rPr>
          <w:rFonts w:ascii="Times New Roman" w:hAnsi="Times New Roman"/>
        </w:rPr>
        <w:t xml:space="preserve"> of the Supplement </w:t>
      </w:r>
      <w:r w:rsidR="002D0E54" w:rsidRPr="002D0E54">
        <w:rPr>
          <w:rFonts w:ascii="Times New Roman" w:hAnsi="Times New Roman"/>
        </w:rPr>
        <w:t>could not be used because they combined restricted and non-restricted funds and revenue, such as construction draws, and included capitalized items.  Supplement, Exhibit E</w:t>
      </w:r>
      <w:r w:rsidR="002D0E54" w:rsidRPr="002D0E54">
        <w:rPr>
          <w:rFonts w:ascii="Times New Roman" w:hAnsi="Times New Roman"/>
          <w:vertAlign w:val="subscript"/>
        </w:rPr>
        <w:t>2</w:t>
      </w:r>
      <w:r w:rsidR="002D0E54" w:rsidRPr="002D0E54">
        <w:rPr>
          <w:rFonts w:ascii="Times New Roman" w:hAnsi="Times New Roman"/>
        </w:rPr>
        <w:t xml:space="preserve"> at 3-</w:t>
      </w:r>
      <w:r w:rsidR="002D0E54">
        <w:rPr>
          <w:rFonts w:ascii="Times New Roman" w:hAnsi="Times New Roman"/>
        </w:rPr>
        <w:t>4</w:t>
      </w:r>
      <w:r w:rsidR="002D0E54" w:rsidRPr="002D0E54">
        <w:rPr>
          <w:rFonts w:ascii="Times New Roman" w:hAnsi="Times New Roman"/>
        </w:rPr>
        <w:t xml:space="preserve">. </w:t>
      </w:r>
    </w:p>
  </w:footnote>
  <w:footnote w:id="41">
    <w:p w:rsidR="001434F2" w:rsidRPr="002025D9" w:rsidRDefault="001434F2" w:rsidP="001434F2">
      <w:pPr>
        <w:pStyle w:val="FootnoteText10"/>
        <w:tabs>
          <w:tab w:val="left" w:pos="180"/>
          <w:tab w:val="left" w:pos="720"/>
          <w:tab w:val="left" w:pos="1440"/>
          <w:tab w:val="left" w:pos="2160"/>
        </w:tabs>
        <w:spacing w:after="120"/>
        <w:rPr>
          <w:rFonts w:ascii="Times New Roman" w:hAnsi="Times New Roman"/>
        </w:rPr>
      </w:pPr>
      <w:r w:rsidRPr="002025D9">
        <w:rPr>
          <w:rStyle w:val="FootnoteReference"/>
          <w:rFonts w:ascii="Times New Roman" w:hAnsi="Times New Roman"/>
        </w:rPr>
        <w:footnoteRef/>
      </w:r>
      <w:r w:rsidRPr="002025D9">
        <w:rPr>
          <w:rFonts w:ascii="Times New Roman" w:hAnsi="Times New Roman"/>
        </w:rPr>
        <w:t xml:space="preserve"> </w:t>
      </w:r>
      <w:r w:rsidRPr="002025D9">
        <w:rPr>
          <w:rFonts w:ascii="Times New Roman" w:hAnsi="Times New Roman"/>
          <w:i/>
        </w:rPr>
        <w:t>See</w:t>
      </w:r>
      <w:r w:rsidRPr="002025D9">
        <w:rPr>
          <w:rFonts w:ascii="Times New Roman" w:hAnsi="Times New Roman"/>
        </w:rPr>
        <w:t xml:space="preserve"> Supplement, Exhibit F</w:t>
      </w:r>
      <w:r w:rsidRPr="002025D9">
        <w:rPr>
          <w:rFonts w:ascii="Times New Roman" w:hAnsi="Times New Roman"/>
          <w:vertAlign w:val="subscript"/>
        </w:rPr>
        <w:t>1</w:t>
      </w:r>
      <w:r w:rsidRPr="002025D9">
        <w:rPr>
          <w:rFonts w:ascii="Times New Roman" w:hAnsi="Times New Roman"/>
        </w:rPr>
        <w:t xml:space="preserve"> at 1.</w:t>
      </w:r>
    </w:p>
  </w:footnote>
  <w:footnote w:id="42">
    <w:p w:rsidR="008C6069" w:rsidRPr="002025D9" w:rsidRDefault="008C6069" w:rsidP="008C6069">
      <w:pPr>
        <w:pStyle w:val="FootnoteText10"/>
        <w:tabs>
          <w:tab w:val="left" w:pos="180"/>
          <w:tab w:val="left" w:pos="720"/>
          <w:tab w:val="left" w:pos="1440"/>
          <w:tab w:val="left" w:pos="2160"/>
        </w:tabs>
        <w:spacing w:after="120"/>
        <w:rPr>
          <w:rFonts w:ascii="Times New Roman" w:hAnsi="Times New Roman"/>
        </w:rPr>
      </w:pPr>
      <w:r w:rsidRPr="002025D9">
        <w:rPr>
          <w:rStyle w:val="FootnoteReference"/>
          <w:rFonts w:ascii="Times New Roman" w:hAnsi="Times New Roman"/>
        </w:rPr>
        <w:footnoteRef/>
      </w:r>
      <w:r w:rsidRPr="002025D9">
        <w:rPr>
          <w:rFonts w:ascii="Times New Roman" w:hAnsi="Times New Roman"/>
        </w:rPr>
        <w:t xml:space="preserve"> </w:t>
      </w:r>
      <w:r w:rsidRPr="002025D9">
        <w:rPr>
          <w:rFonts w:ascii="Times New Roman" w:hAnsi="Times New Roman"/>
          <w:i/>
        </w:rPr>
        <w:t>See</w:t>
      </w:r>
      <w:r w:rsidRPr="002025D9">
        <w:rPr>
          <w:rFonts w:ascii="Times New Roman" w:hAnsi="Times New Roman"/>
        </w:rPr>
        <w:t xml:space="preserve"> Supplement, Exhibit F</w:t>
      </w:r>
      <w:r w:rsidRPr="002025D9">
        <w:rPr>
          <w:rFonts w:ascii="Times New Roman" w:hAnsi="Times New Roman"/>
          <w:vertAlign w:val="subscript"/>
        </w:rPr>
        <w:t>2</w:t>
      </w:r>
      <w:r w:rsidRPr="002025D9">
        <w:rPr>
          <w:rFonts w:ascii="Times New Roman" w:hAnsi="Times New Roman"/>
        </w:rPr>
        <w:t xml:space="preserve"> at 1.</w:t>
      </w:r>
    </w:p>
  </w:footnote>
  <w:footnote w:id="43">
    <w:p w:rsidR="002025D9" w:rsidRDefault="002025D9" w:rsidP="002025D9">
      <w:pPr>
        <w:pStyle w:val="FootnoteText10"/>
        <w:tabs>
          <w:tab w:val="left" w:pos="180"/>
          <w:tab w:val="left" w:pos="720"/>
          <w:tab w:val="left" w:pos="1440"/>
          <w:tab w:val="left" w:pos="2160"/>
        </w:tabs>
        <w:spacing w:after="120"/>
      </w:pPr>
      <w:r w:rsidRPr="002025D9">
        <w:rPr>
          <w:rStyle w:val="FootnoteReference"/>
          <w:rFonts w:ascii="Times New Roman" w:hAnsi="Times New Roman"/>
        </w:rPr>
        <w:footnoteRef/>
      </w:r>
      <w:r w:rsidRPr="002025D9">
        <w:rPr>
          <w:rFonts w:ascii="Times New Roman" w:hAnsi="Times New Roman"/>
        </w:rPr>
        <w:t xml:space="preserve"> </w:t>
      </w:r>
      <w:r w:rsidRPr="002025D9">
        <w:rPr>
          <w:rFonts w:ascii="Times New Roman" w:hAnsi="Times New Roman"/>
          <w:i/>
        </w:rPr>
        <w:t>See</w:t>
      </w:r>
      <w:r w:rsidRPr="002025D9">
        <w:rPr>
          <w:rFonts w:ascii="Times New Roman" w:hAnsi="Times New Roman"/>
        </w:rPr>
        <w:t xml:space="preserve"> Supplement, Exhibit D.  </w:t>
      </w:r>
    </w:p>
  </w:footnote>
  <w:footnote w:id="44">
    <w:p w:rsidR="002025D9" w:rsidRPr="00D47E8E" w:rsidRDefault="002025D9" w:rsidP="002025D9">
      <w:pPr>
        <w:pStyle w:val="FootnoteText10"/>
        <w:tabs>
          <w:tab w:val="left" w:pos="180"/>
          <w:tab w:val="left" w:pos="720"/>
          <w:tab w:val="left" w:pos="1440"/>
          <w:tab w:val="left" w:pos="2160"/>
        </w:tabs>
        <w:spacing w:after="120"/>
        <w:rPr>
          <w:rFonts w:ascii="Times New Roman" w:hAnsi="Times New Roman"/>
        </w:rPr>
      </w:pPr>
      <w:r w:rsidRPr="00D47E8E">
        <w:rPr>
          <w:rStyle w:val="FootnoteReference"/>
          <w:rFonts w:ascii="Times New Roman" w:hAnsi="Times New Roman"/>
        </w:rPr>
        <w:footnoteRef/>
      </w:r>
      <w:r w:rsidRPr="00D47E8E">
        <w:rPr>
          <w:rFonts w:ascii="Times New Roman" w:hAnsi="Times New Roman"/>
        </w:rPr>
        <w:t xml:space="preserve"> </w:t>
      </w:r>
      <w:r w:rsidRPr="0055312C">
        <w:rPr>
          <w:rFonts w:ascii="Times New Roman" w:hAnsi="Times New Roman"/>
        </w:rPr>
        <w:t>Supplement at 3</w:t>
      </w:r>
      <w:r w:rsidR="0055312C">
        <w:rPr>
          <w:rFonts w:ascii="Times New Roman" w:hAnsi="Times New Roman"/>
        </w:rPr>
        <w:t>.</w:t>
      </w:r>
    </w:p>
  </w:footnote>
  <w:footnote w:id="45">
    <w:p w:rsidR="00F94ABC" w:rsidRPr="002025D9" w:rsidRDefault="00F94ABC" w:rsidP="00F94ABC">
      <w:pPr>
        <w:pStyle w:val="FootnoteText1"/>
        <w:jc w:val="left"/>
        <w:rPr>
          <w:rFonts w:eastAsia="Times New Roman"/>
          <w:color w:val="auto"/>
          <w:lang w:bidi="x-none"/>
        </w:rPr>
      </w:pPr>
      <w:r>
        <w:rPr>
          <w:rStyle w:val="FootnoteReference1"/>
          <w:sz w:val="20"/>
        </w:rPr>
        <w:footnoteRef/>
      </w:r>
      <w:r w:rsidR="005D28C2">
        <w:t xml:space="preserve"> Petition at </w:t>
      </w:r>
      <w:r w:rsidR="00204E96">
        <w:t>3</w:t>
      </w:r>
      <w:r w:rsidR="005D28C2">
        <w:t xml:space="preserve">, Supplement at </w:t>
      </w:r>
      <w:r w:rsidR="00204E96">
        <w:t>2</w:t>
      </w:r>
      <w:r w:rsidR="005D28C2">
        <w:t>.</w:t>
      </w:r>
    </w:p>
  </w:footnote>
  <w:footnote w:id="46">
    <w:p w:rsidR="002025D9" w:rsidRPr="00D47E8E" w:rsidRDefault="002025D9" w:rsidP="002025D9">
      <w:pPr>
        <w:pStyle w:val="FootnoteText10"/>
        <w:tabs>
          <w:tab w:val="left" w:pos="180"/>
          <w:tab w:val="left" w:pos="720"/>
          <w:tab w:val="left" w:pos="1440"/>
          <w:tab w:val="left" w:pos="2160"/>
        </w:tabs>
        <w:spacing w:after="120"/>
        <w:rPr>
          <w:i/>
        </w:rPr>
      </w:pPr>
      <w:r w:rsidRPr="002025D9">
        <w:rPr>
          <w:rStyle w:val="FootnoteReference"/>
          <w:rFonts w:ascii="Times New Roman" w:hAnsi="Times New Roman"/>
        </w:rPr>
        <w:footnoteRef/>
      </w:r>
      <w:r w:rsidRPr="002025D9">
        <w:rPr>
          <w:rFonts w:ascii="Times New Roman" w:hAnsi="Times New Roman"/>
        </w:rPr>
        <w:t xml:space="preserve"> </w:t>
      </w:r>
      <w:r w:rsidRPr="002025D9">
        <w:rPr>
          <w:rFonts w:ascii="Times New Roman" w:hAnsi="Times New Roman"/>
          <w:i/>
        </w:rPr>
        <w:t>See</w:t>
      </w:r>
      <w:r w:rsidRPr="002025D9">
        <w:rPr>
          <w:rFonts w:ascii="Times New Roman" w:hAnsi="Times New Roman"/>
        </w:rPr>
        <w:t xml:space="preserve"> Supplement at 3.</w:t>
      </w:r>
      <w:r w:rsidR="0055312C">
        <w:rPr>
          <w:rFonts w:ascii="Times New Roman" w:hAnsi="Times New Roman"/>
        </w:rPr>
        <w:t xml:space="preserve">  Dawson made similar requests for a temporary waiver in order to budget for captioning expenses in its 2006 and 2012 submissions.  2006 Letter at 1</w:t>
      </w:r>
      <w:r w:rsidR="0099069E">
        <w:rPr>
          <w:rFonts w:ascii="Times New Roman" w:hAnsi="Times New Roman"/>
        </w:rPr>
        <w:t>,</w:t>
      </w:r>
      <w:r w:rsidR="00E0311A">
        <w:rPr>
          <w:rFonts w:ascii="Times New Roman" w:hAnsi="Times New Roman"/>
        </w:rPr>
        <w:t xml:space="preserve"> </w:t>
      </w:r>
      <w:r w:rsidR="0055312C">
        <w:rPr>
          <w:rFonts w:ascii="Times New Roman" w:hAnsi="Times New Roman"/>
        </w:rPr>
        <w:t xml:space="preserve">Petition at 4. </w:t>
      </w:r>
    </w:p>
  </w:footnote>
  <w:footnote w:id="47">
    <w:p w:rsidR="0045307C" w:rsidRDefault="0045307C" w:rsidP="00F962BD">
      <w:pPr>
        <w:pStyle w:val="FootnoteText1"/>
        <w:jc w:val="left"/>
        <w:rPr>
          <w:rFonts w:eastAsia="Times New Roman"/>
          <w:color w:val="auto"/>
          <w:lang w:bidi="x-none"/>
        </w:rPr>
      </w:pPr>
      <w:r>
        <w:rPr>
          <w:rStyle w:val="FootnoteReference1"/>
          <w:sz w:val="20"/>
        </w:rPr>
        <w:footnoteRef/>
      </w:r>
      <w:r>
        <w:t xml:space="preserve"> </w:t>
      </w:r>
      <w:r w:rsidR="002025D9">
        <w:t xml:space="preserve">Consumer Groups twice commented in opposition to this Petition, in response to both the </w:t>
      </w:r>
      <w:r w:rsidR="002025D9">
        <w:rPr>
          <w:i/>
        </w:rPr>
        <w:t>2012 Public Notice</w:t>
      </w:r>
      <w:r w:rsidR="002025D9">
        <w:t xml:space="preserve"> and the </w:t>
      </w:r>
      <w:r w:rsidR="002025D9">
        <w:rPr>
          <w:i/>
        </w:rPr>
        <w:t>2013 Public Notice</w:t>
      </w:r>
      <w:r w:rsidR="002025D9">
        <w:t xml:space="preserve">.  </w:t>
      </w:r>
      <w:r w:rsidR="002025D9">
        <w:rPr>
          <w:i/>
        </w:rPr>
        <w:t xml:space="preserve">See </w:t>
      </w:r>
      <w:r w:rsidR="002025D9">
        <w:t>n</w:t>
      </w:r>
      <w:r w:rsidR="002025D9" w:rsidRPr="00FB107A">
        <w:t xml:space="preserve">. </w:t>
      </w:r>
      <w:r w:rsidR="00E73215" w:rsidRPr="00FB107A">
        <w:t>22</w:t>
      </w:r>
      <w:r w:rsidR="00E73215">
        <w:t xml:space="preserve"> and </w:t>
      </w:r>
      <w:r w:rsidR="002025D9">
        <w:t xml:space="preserve">n. </w:t>
      </w:r>
      <w:r w:rsidR="002025D9" w:rsidRPr="00FB107A">
        <w:t>2</w:t>
      </w:r>
      <w:r w:rsidR="00E73215" w:rsidRPr="00FB107A">
        <w:t>7</w:t>
      </w:r>
      <w:r w:rsidR="00204E96">
        <w:t>,</w:t>
      </w:r>
      <w:r w:rsidR="002025D9">
        <w:t xml:space="preserve"> </w:t>
      </w:r>
      <w:r w:rsidR="002025D9">
        <w:rPr>
          <w:i/>
        </w:rPr>
        <w:t>supra</w:t>
      </w:r>
      <w:r w:rsidR="002025D9">
        <w:t xml:space="preserve">.  </w:t>
      </w:r>
    </w:p>
  </w:footnote>
  <w:footnote w:id="48">
    <w:p w:rsidR="0045307C" w:rsidRDefault="0045307C" w:rsidP="00F962BD">
      <w:pPr>
        <w:pStyle w:val="FootnoteText1"/>
        <w:jc w:val="left"/>
        <w:rPr>
          <w:rFonts w:eastAsia="Times New Roman"/>
          <w:color w:val="auto"/>
          <w:lang w:bidi="x-none"/>
        </w:rPr>
      </w:pPr>
      <w:r>
        <w:rPr>
          <w:rStyle w:val="FootnoteReference1"/>
          <w:sz w:val="20"/>
        </w:rPr>
        <w:footnoteRef/>
      </w:r>
      <w:r>
        <w:t xml:space="preserve"> </w:t>
      </w:r>
      <w:r w:rsidR="00CB401A" w:rsidRPr="000B276A">
        <w:rPr>
          <w:i/>
        </w:rPr>
        <w:t>See</w:t>
      </w:r>
      <w:r w:rsidR="00CB401A">
        <w:t xml:space="preserve"> Consumer Groups Opposition at 10.</w:t>
      </w:r>
    </w:p>
  </w:footnote>
  <w:footnote w:id="49">
    <w:p w:rsidR="00CB401A" w:rsidRPr="00CB401A" w:rsidRDefault="00CB401A" w:rsidP="00CB401A">
      <w:pPr>
        <w:pStyle w:val="FootnoteText10"/>
        <w:tabs>
          <w:tab w:val="left" w:pos="180"/>
          <w:tab w:val="left" w:pos="720"/>
          <w:tab w:val="left" w:pos="1440"/>
          <w:tab w:val="left" w:pos="2160"/>
        </w:tabs>
        <w:spacing w:after="120"/>
        <w:rPr>
          <w:rFonts w:ascii="Times New Roman" w:hAnsi="Times New Roman"/>
        </w:rPr>
      </w:pPr>
      <w:r w:rsidRPr="00CB401A">
        <w:rPr>
          <w:rStyle w:val="FootnoteReference"/>
          <w:rFonts w:ascii="Times New Roman" w:hAnsi="Times New Roman"/>
        </w:rPr>
        <w:footnoteRef/>
      </w:r>
      <w:r w:rsidRPr="00CB401A">
        <w:rPr>
          <w:rFonts w:ascii="Times New Roman" w:hAnsi="Times New Roman"/>
        </w:rPr>
        <w:t xml:space="preserve"> </w:t>
      </w:r>
      <w:r w:rsidRPr="00CB401A">
        <w:rPr>
          <w:rFonts w:ascii="Times New Roman" w:hAnsi="Times New Roman"/>
          <w:i/>
        </w:rPr>
        <w:t>Id</w:t>
      </w:r>
      <w:r w:rsidRPr="00CB401A">
        <w:rPr>
          <w:rFonts w:ascii="Times New Roman" w:hAnsi="Times New Roman"/>
        </w:rPr>
        <w:t>.</w:t>
      </w:r>
    </w:p>
  </w:footnote>
  <w:footnote w:id="50">
    <w:p w:rsidR="00CB401A" w:rsidRPr="00982EEC" w:rsidRDefault="00CB401A" w:rsidP="00CB401A">
      <w:pPr>
        <w:pStyle w:val="FootnoteText10"/>
        <w:tabs>
          <w:tab w:val="left" w:pos="180"/>
          <w:tab w:val="left" w:pos="720"/>
          <w:tab w:val="left" w:pos="1440"/>
          <w:tab w:val="left" w:pos="2160"/>
        </w:tabs>
        <w:spacing w:after="120"/>
      </w:pPr>
      <w:r w:rsidRPr="00CB401A">
        <w:rPr>
          <w:rStyle w:val="FootnoteReference"/>
          <w:rFonts w:ascii="Times New Roman" w:hAnsi="Times New Roman"/>
        </w:rPr>
        <w:footnoteRef/>
      </w:r>
      <w:r w:rsidRPr="00CB401A">
        <w:rPr>
          <w:rFonts w:ascii="Times New Roman" w:hAnsi="Times New Roman"/>
        </w:rPr>
        <w:t xml:space="preserve"> </w:t>
      </w:r>
      <w:r w:rsidRPr="00CB401A">
        <w:rPr>
          <w:rFonts w:ascii="Times New Roman" w:hAnsi="Times New Roman"/>
          <w:i/>
        </w:rPr>
        <w:t>See</w:t>
      </w:r>
      <w:r w:rsidRPr="00CB401A">
        <w:rPr>
          <w:rFonts w:ascii="Times New Roman" w:hAnsi="Times New Roman"/>
        </w:rPr>
        <w:t xml:space="preserve"> </w:t>
      </w:r>
      <w:r w:rsidRPr="00CB401A">
        <w:rPr>
          <w:rFonts w:ascii="Times New Roman" w:hAnsi="Times New Roman"/>
          <w:i/>
        </w:rPr>
        <w:t xml:space="preserve">id. </w:t>
      </w:r>
      <w:r w:rsidRPr="00CB401A">
        <w:rPr>
          <w:rFonts w:ascii="Times New Roman" w:hAnsi="Times New Roman"/>
        </w:rPr>
        <w:t xml:space="preserve">at 10-11. Consumer Groups claim that charitable solicitation regulation is primarily a matter of state, not federal, law, and that under Alabama state law, there is no prohibition preventing Dawson from seeking sponsors to pay its captioning expenses.  </w:t>
      </w:r>
      <w:r w:rsidRPr="00CB401A">
        <w:rPr>
          <w:rFonts w:ascii="Times New Roman" w:hAnsi="Times New Roman"/>
          <w:i/>
        </w:rPr>
        <w:t xml:space="preserve">Id. </w:t>
      </w:r>
      <w:r w:rsidRPr="00CB401A">
        <w:rPr>
          <w:rFonts w:ascii="Times New Roman" w:hAnsi="Times New Roman"/>
        </w:rPr>
        <w:t>at 11.</w:t>
      </w:r>
    </w:p>
  </w:footnote>
  <w:footnote w:id="51">
    <w:p w:rsidR="0045307C" w:rsidRDefault="0045307C" w:rsidP="00F962BD">
      <w:pPr>
        <w:pStyle w:val="FootnoteText1"/>
        <w:jc w:val="left"/>
        <w:rPr>
          <w:rFonts w:eastAsia="Times New Roman"/>
          <w:color w:val="auto"/>
          <w:lang w:bidi="x-none"/>
        </w:rPr>
      </w:pPr>
      <w:r>
        <w:rPr>
          <w:rStyle w:val="FootnoteReference1"/>
          <w:sz w:val="20"/>
        </w:rPr>
        <w:footnoteRef/>
      </w:r>
      <w:r>
        <w:t xml:space="preserve"> </w:t>
      </w:r>
      <w:r>
        <w:rPr>
          <w:rFonts w:ascii="Times New Roman Italic" w:hAnsi="Times New Roman Italic"/>
        </w:rPr>
        <w:t>Id</w:t>
      </w:r>
      <w:r>
        <w:t xml:space="preserve">.  </w:t>
      </w:r>
    </w:p>
  </w:footnote>
  <w:footnote w:id="52">
    <w:p w:rsidR="00816298" w:rsidRPr="00D47E8E" w:rsidRDefault="00816298" w:rsidP="00D47E8E">
      <w:pPr>
        <w:pStyle w:val="FootnoteText"/>
        <w:ind w:firstLine="0"/>
        <w:rPr>
          <w:i/>
        </w:rPr>
      </w:pPr>
      <w:r>
        <w:rPr>
          <w:rStyle w:val="FootnoteReference"/>
        </w:rPr>
        <w:footnoteRef/>
      </w:r>
      <w:r>
        <w:t xml:space="preserve"> </w:t>
      </w:r>
      <w:r w:rsidR="00204E96" w:rsidRPr="00D47E8E">
        <w:rPr>
          <w:i/>
        </w:rPr>
        <w:t>Id</w:t>
      </w:r>
      <w:r w:rsidR="00B92347" w:rsidRPr="00D47E8E">
        <w:rPr>
          <w:i/>
        </w:rPr>
        <w:t>.</w:t>
      </w:r>
    </w:p>
  </w:footnote>
  <w:footnote w:id="53">
    <w:p w:rsidR="00991F91" w:rsidRDefault="00991F91" w:rsidP="00991F91">
      <w:pPr>
        <w:pStyle w:val="FootnoteText"/>
        <w:ind w:firstLine="0"/>
      </w:pPr>
      <w:r>
        <w:rPr>
          <w:rStyle w:val="FootnoteReference"/>
        </w:rPr>
        <w:footnoteRef/>
      </w:r>
      <w:r>
        <w:t xml:space="preserve"> </w:t>
      </w:r>
      <w:r w:rsidRPr="00674552">
        <w:rPr>
          <w:i/>
        </w:rPr>
        <w:t>Id</w:t>
      </w:r>
      <w:r>
        <w:t>.</w:t>
      </w:r>
    </w:p>
  </w:footnote>
  <w:footnote w:id="54">
    <w:p w:rsidR="0045307C" w:rsidRPr="00D37256" w:rsidRDefault="0045307C" w:rsidP="00F962BD">
      <w:pPr>
        <w:pStyle w:val="FootnoteText1"/>
        <w:jc w:val="left"/>
      </w:pPr>
      <w:r w:rsidRPr="00D37256">
        <w:rPr>
          <w:rStyle w:val="FootnoteReference"/>
        </w:rPr>
        <w:footnoteRef/>
      </w:r>
      <w:r w:rsidRPr="00D37256">
        <w:t xml:space="preserve"> </w:t>
      </w:r>
      <w:r w:rsidRPr="00D37256">
        <w:rPr>
          <w:i/>
        </w:rPr>
        <w:t>Id</w:t>
      </w:r>
      <w:r w:rsidRPr="00D37256">
        <w:t>.</w:t>
      </w:r>
    </w:p>
  </w:footnote>
  <w:footnote w:id="55">
    <w:p w:rsidR="00991F91" w:rsidRPr="00FD1FB7" w:rsidRDefault="00991F91" w:rsidP="00991F91">
      <w:pPr>
        <w:pStyle w:val="FootnoteText"/>
        <w:ind w:firstLine="0"/>
        <w:rPr>
          <w:i/>
        </w:rPr>
      </w:pPr>
      <w:r>
        <w:rPr>
          <w:rStyle w:val="FootnoteReference"/>
        </w:rPr>
        <w:footnoteRef/>
      </w:r>
      <w:r>
        <w:t xml:space="preserve"> </w:t>
      </w:r>
      <w:r>
        <w:rPr>
          <w:i/>
        </w:rPr>
        <w:t>Id.</w:t>
      </w:r>
    </w:p>
  </w:footnote>
  <w:footnote w:id="56">
    <w:p w:rsidR="00991F91" w:rsidRPr="00566AFF" w:rsidRDefault="00991F91" w:rsidP="00991F91">
      <w:pPr>
        <w:pStyle w:val="FootnoteText"/>
        <w:ind w:firstLine="0"/>
      </w:pPr>
      <w:r>
        <w:rPr>
          <w:rStyle w:val="FootnoteReference"/>
        </w:rPr>
        <w:footnoteRef/>
      </w:r>
      <w:r>
        <w:t xml:space="preserve"> </w:t>
      </w:r>
      <w:r w:rsidRPr="00AC2F04">
        <w:rPr>
          <w:i/>
        </w:rPr>
        <w:t>See</w:t>
      </w:r>
      <w:r>
        <w:t xml:space="preserve"> Reply to </w:t>
      </w:r>
      <w:r w:rsidR="00204E96">
        <w:t xml:space="preserve">Consumer Groups </w:t>
      </w:r>
      <w:r>
        <w:t>Opposition at 1</w:t>
      </w:r>
      <w:r w:rsidR="00204E96">
        <w:t>-2</w:t>
      </w:r>
      <w:r>
        <w:t xml:space="preserve">.  In this Reply, Petitioner again inaccurately cites the quote from Master Video as $760 per week, when in fact the Master Video quote was for $400.  Petition Supplement, Exhibit B at 4.  </w:t>
      </w:r>
      <w:r>
        <w:rPr>
          <w:i/>
        </w:rPr>
        <w:t>See</w:t>
      </w:r>
      <w:r w:rsidR="00835832">
        <w:t xml:space="preserve"> n. </w:t>
      </w:r>
      <w:r w:rsidR="00E73215" w:rsidRPr="00FB107A">
        <w:t>36</w:t>
      </w:r>
      <w:r w:rsidR="00204E96" w:rsidRPr="00FB107A">
        <w:t>,</w:t>
      </w:r>
      <w:r>
        <w:t xml:space="preserve"> </w:t>
      </w:r>
      <w:r>
        <w:rPr>
          <w:i/>
        </w:rPr>
        <w:t>supra.</w:t>
      </w:r>
    </w:p>
  </w:footnote>
  <w:footnote w:id="57">
    <w:p w:rsidR="00991F91" w:rsidRPr="00176354" w:rsidRDefault="00991F91" w:rsidP="00991F91">
      <w:pPr>
        <w:pStyle w:val="FootnoteText"/>
        <w:ind w:firstLine="0"/>
        <w:rPr>
          <w:i/>
        </w:rPr>
      </w:pPr>
      <w:r>
        <w:rPr>
          <w:rStyle w:val="FootnoteReference"/>
        </w:rPr>
        <w:footnoteRef/>
      </w:r>
      <w:r>
        <w:t xml:space="preserve"> </w:t>
      </w:r>
      <w:r w:rsidRPr="00AC2F04">
        <w:rPr>
          <w:i/>
        </w:rPr>
        <w:t>See</w:t>
      </w:r>
      <w:r w:rsidRPr="00AC2F04">
        <w:t xml:space="preserve"> Reply to </w:t>
      </w:r>
      <w:r w:rsidR="00204E96">
        <w:t xml:space="preserve">Consumer Groups </w:t>
      </w:r>
      <w:r w:rsidRPr="00AC2F04">
        <w:t xml:space="preserve">Opposition at </w:t>
      </w:r>
      <w:r w:rsidR="00204E96">
        <w:t>2</w:t>
      </w:r>
      <w:r w:rsidRPr="00AC2F04">
        <w:t>.</w:t>
      </w:r>
      <w:r>
        <w:t xml:space="preserve">  Nor, it continues, can it take advantage of the discount for “staggering” its captioning because its program must air as timely as possible in order reach members unable to attend its live service.</w:t>
      </w:r>
      <w:r w:rsidR="00E73215">
        <w:t xml:space="preserve">  </w:t>
      </w:r>
      <w:r w:rsidR="00E73215">
        <w:rPr>
          <w:i/>
        </w:rPr>
        <w:t>Id.</w:t>
      </w:r>
    </w:p>
  </w:footnote>
  <w:footnote w:id="58">
    <w:p w:rsidR="00991F91" w:rsidRDefault="00991F91" w:rsidP="00991F91">
      <w:pPr>
        <w:pStyle w:val="FootnoteText"/>
        <w:ind w:firstLine="0"/>
      </w:pPr>
      <w:r>
        <w:rPr>
          <w:rStyle w:val="FootnoteReference"/>
        </w:rPr>
        <w:footnoteRef/>
      </w:r>
      <w:r>
        <w:t xml:space="preserve"> </w:t>
      </w:r>
      <w:r w:rsidRPr="00273B61">
        <w:rPr>
          <w:i/>
        </w:rPr>
        <w:t>Id</w:t>
      </w:r>
      <w:r>
        <w:t>.</w:t>
      </w:r>
    </w:p>
  </w:footnote>
  <w:footnote w:id="59">
    <w:p w:rsidR="00991F91" w:rsidRDefault="00991F91" w:rsidP="00991F91">
      <w:pPr>
        <w:pStyle w:val="FootnoteText"/>
        <w:ind w:firstLine="0"/>
      </w:pPr>
      <w:r>
        <w:rPr>
          <w:rStyle w:val="FootnoteReference"/>
        </w:rPr>
        <w:footnoteRef/>
      </w:r>
      <w:r>
        <w:t xml:space="preserve"> </w:t>
      </w:r>
      <w:r w:rsidRPr="00E372A7">
        <w:rPr>
          <w:i/>
        </w:rPr>
        <w:t>Id</w:t>
      </w:r>
      <w:r>
        <w:t>.</w:t>
      </w:r>
      <w:r w:rsidR="00204E96">
        <w:t xml:space="preserve"> at 2-3.</w:t>
      </w:r>
    </w:p>
  </w:footnote>
  <w:footnote w:id="60">
    <w:p w:rsidR="00991F91" w:rsidRDefault="00991F91" w:rsidP="00991F91">
      <w:pPr>
        <w:pStyle w:val="FootnoteText"/>
        <w:ind w:firstLine="0"/>
      </w:pPr>
      <w:r>
        <w:rPr>
          <w:rStyle w:val="FootnoteReference"/>
        </w:rPr>
        <w:footnoteRef/>
      </w:r>
      <w:r>
        <w:t xml:space="preserve"> </w:t>
      </w:r>
      <w:r w:rsidRPr="00E372A7">
        <w:rPr>
          <w:i/>
        </w:rPr>
        <w:t>See</w:t>
      </w:r>
      <w:r>
        <w:t xml:space="preserve"> </w:t>
      </w:r>
      <w:r w:rsidR="00204E96">
        <w:rPr>
          <w:i/>
        </w:rPr>
        <w:t>id.</w:t>
      </w:r>
    </w:p>
  </w:footnote>
  <w:footnote w:id="61">
    <w:p w:rsidR="006D78E8" w:rsidRPr="009A2A6D" w:rsidRDefault="006D78E8" w:rsidP="006D78E8">
      <w:pPr>
        <w:pStyle w:val="FootnoteText"/>
        <w:ind w:firstLine="0"/>
      </w:pPr>
      <w:r w:rsidRPr="009A2A6D">
        <w:rPr>
          <w:rStyle w:val="FootnoteReference"/>
        </w:rPr>
        <w:footnoteRef/>
      </w:r>
      <w:r w:rsidRPr="009A2A6D">
        <w:t xml:space="preserve"> </w:t>
      </w:r>
      <w:r w:rsidRPr="009A2A6D">
        <w:rPr>
          <w:i/>
        </w:rPr>
        <w:t>Anglers Reversal MO&amp;O</w:t>
      </w:r>
      <w:r w:rsidRPr="009A2A6D">
        <w:t>, 26 FCC Rcd at 14950, ¶ 17 (explaining that consideration of a petitioner’s request for exemption must take into account “the overall financial resources of the provider or program owner”).</w:t>
      </w:r>
    </w:p>
  </w:footnote>
  <w:footnote w:id="62">
    <w:p w:rsidR="006D78E8" w:rsidRPr="000B3B59" w:rsidRDefault="006D78E8" w:rsidP="006D78E8">
      <w:pPr>
        <w:pStyle w:val="FootnoteText"/>
        <w:ind w:firstLine="0"/>
      </w:pPr>
      <w:r w:rsidRPr="009A2A6D">
        <w:rPr>
          <w:rStyle w:val="FootnoteReference"/>
        </w:rPr>
        <w:footnoteRef/>
      </w:r>
      <w:r w:rsidRPr="009A2A6D">
        <w:t xml:space="preserve"> </w:t>
      </w:r>
      <w:r>
        <w:rPr>
          <w:i/>
        </w:rPr>
        <w:t>Id.</w:t>
      </w:r>
    </w:p>
  </w:footnote>
  <w:footnote w:id="63">
    <w:p w:rsidR="00C37EBD" w:rsidRDefault="00C37EBD" w:rsidP="00C37EBD">
      <w:pPr>
        <w:pStyle w:val="FootnoteText"/>
        <w:ind w:firstLine="0"/>
      </w:pPr>
      <w:r>
        <w:rPr>
          <w:rStyle w:val="FootnoteReference"/>
        </w:rPr>
        <w:footnoteRef/>
      </w:r>
      <w:r>
        <w:t xml:space="preserve"> Dawson ha</w:t>
      </w:r>
      <w:r w:rsidR="00B63080">
        <w:t xml:space="preserve">d excess expenses over revenue </w:t>
      </w:r>
      <w:r>
        <w:t>for 2011 and 2012 of $112,415 and $251,980</w:t>
      </w:r>
      <w:r w:rsidR="00E34B77">
        <w:t xml:space="preserve">, </w:t>
      </w:r>
      <w:r>
        <w:rPr>
          <w:rStyle w:val="FootnoteReference"/>
        </w:rPr>
        <w:t xml:space="preserve"> </w:t>
      </w:r>
      <w:r>
        <w:t>respectively.</w:t>
      </w:r>
      <w:r w:rsidRPr="00395DDB">
        <w:t xml:space="preserve"> </w:t>
      </w:r>
      <w:r>
        <w:t xml:space="preserve"> Supplement, Exhibit A</w:t>
      </w:r>
      <w:r w:rsidRPr="00723B65">
        <w:rPr>
          <w:vertAlign w:val="subscript"/>
        </w:rPr>
        <w:t>1</w:t>
      </w:r>
      <w:r>
        <w:rPr>
          <w:vertAlign w:val="subscript"/>
        </w:rPr>
        <w:t xml:space="preserve"> </w:t>
      </w:r>
      <w:r>
        <w:t xml:space="preserve">at 11 and </w:t>
      </w:r>
      <w:r w:rsidR="00346D6E">
        <w:t xml:space="preserve">Exhibit </w:t>
      </w:r>
      <w:r>
        <w:t>A</w:t>
      </w:r>
      <w:r>
        <w:rPr>
          <w:vertAlign w:val="subscript"/>
        </w:rPr>
        <w:t xml:space="preserve">2 </w:t>
      </w:r>
      <w:r>
        <w:t>at 11.</w:t>
      </w:r>
    </w:p>
  </w:footnote>
  <w:footnote w:id="64">
    <w:p w:rsidR="0045307C" w:rsidRPr="00D37256" w:rsidRDefault="0045307C" w:rsidP="004774F4">
      <w:pPr>
        <w:pStyle w:val="FootnoteText1"/>
        <w:rPr>
          <w:i/>
        </w:rPr>
      </w:pPr>
      <w:r w:rsidRPr="00D37256">
        <w:rPr>
          <w:rStyle w:val="FootnoteReference"/>
        </w:rPr>
        <w:footnoteRef/>
      </w:r>
      <w:r w:rsidRPr="00D37256">
        <w:t xml:space="preserve"> </w:t>
      </w:r>
      <w:r w:rsidRPr="00D37256">
        <w:rPr>
          <w:i/>
        </w:rPr>
        <w:t xml:space="preserve">See </w:t>
      </w:r>
      <w:r>
        <w:t xml:space="preserve">¶ </w:t>
      </w:r>
      <w:r w:rsidR="00334440" w:rsidRPr="00FB107A">
        <w:t>11</w:t>
      </w:r>
      <w:r w:rsidRPr="00D37256">
        <w:t xml:space="preserve">, </w:t>
      </w:r>
      <w:r w:rsidRPr="00D37256">
        <w:rPr>
          <w:i/>
        </w:rPr>
        <w:t>supra.</w:t>
      </w:r>
      <w:r w:rsidRPr="00D37256">
        <w:t xml:space="preserve">  </w:t>
      </w:r>
      <w:r w:rsidR="00C37EBD">
        <w:rPr>
          <w:i/>
        </w:rPr>
        <w:t>Also s</w:t>
      </w:r>
      <w:r w:rsidR="00C37EBD" w:rsidRPr="00C37EBD">
        <w:rPr>
          <w:i/>
        </w:rPr>
        <w:t>ee</w:t>
      </w:r>
      <w:r w:rsidR="00C37EBD" w:rsidRPr="00C37EBD">
        <w:t xml:space="preserve"> Supplement, Exhibit F</w:t>
      </w:r>
      <w:r w:rsidR="00C37EBD" w:rsidRPr="00C37EBD">
        <w:rPr>
          <w:vertAlign w:val="subscript"/>
        </w:rPr>
        <w:t>1</w:t>
      </w:r>
      <w:r w:rsidR="00C37EBD" w:rsidRPr="00C37EBD">
        <w:t xml:space="preserve"> at 1</w:t>
      </w:r>
      <w:r w:rsidR="00C37EBD">
        <w:t>, and Exhibit F</w:t>
      </w:r>
      <w:r w:rsidR="00C37EBD">
        <w:rPr>
          <w:vertAlign w:val="subscript"/>
        </w:rPr>
        <w:t>2</w:t>
      </w:r>
      <w:r w:rsidR="00C37EBD">
        <w:t xml:space="preserve"> at 1</w:t>
      </w:r>
      <w:r w:rsidR="00C37EBD" w:rsidRPr="00C37EBD">
        <w:t>.</w:t>
      </w:r>
    </w:p>
  </w:footnote>
  <w:footnote w:id="65">
    <w:p w:rsidR="00334440" w:rsidRDefault="00334440" w:rsidP="00334440">
      <w:pPr>
        <w:pStyle w:val="FootnoteText"/>
        <w:ind w:firstLine="0"/>
      </w:pPr>
      <w:r>
        <w:rPr>
          <w:rStyle w:val="FootnoteReference"/>
        </w:rPr>
        <w:footnoteRef/>
      </w:r>
      <w:r>
        <w:t xml:space="preserve"> Supplemen</w:t>
      </w:r>
      <w:r w:rsidR="00C37EBD">
        <w:t xml:space="preserve">t, </w:t>
      </w:r>
      <w:r>
        <w:t>Exh</w:t>
      </w:r>
      <w:r w:rsidR="00C37EBD">
        <w:t>ibit</w:t>
      </w:r>
      <w:r>
        <w:t xml:space="preserve"> B</w:t>
      </w:r>
      <w:r w:rsidR="00C37EBD">
        <w:t>.</w:t>
      </w:r>
      <w:r w:rsidR="00CA224F">
        <w:t xml:space="preserve">  </w:t>
      </w:r>
      <w:r w:rsidR="00CA224F" w:rsidRPr="00D47E8E">
        <w:rPr>
          <w:i/>
        </w:rPr>
        <w:t>Also see</w:t>
      </w:r>
      <w:r w:rsidR="00CA224F">
        <w:t xml:space="preserve"> n. </w:t>
      </w:r>
      <w:r w:rsidR="00CA224F" w:rsidRPr="00FB107A">
        <w:t>3</w:t>
      </w:r>
      <w:r w:rsidR="00E73215" w:rsidRPr="00FB107A">
        <w:t>6</w:t>
      </w:r>
      <w:r w:rsidR="00CA224F">
        <w:t xml:space="preserve">, </w:t>
      </w:r>
      <w:r w:rsidR="00CA224F" w:rsidRPr="00D47E8E">
        <w:rPr>
          <w:i/>
        </w:rPr>
        <w:t>supra</w:t>
      </w:r>
      <w:r w:rsidR="00CA224F">
        <w:t>.</w:t>
      </w:r>
    </w:p>
  </w:footnote>
  <w:footnote w:id="66">
    <w:p w:rsidR="007308FC" w:rsidRDefault="007308FC" w:rsidP="007308FC">
      <w:pPr>
        <w:pStyle w:val="FootnoteText"/>
        <w:ind w:firstLine="0"/>
      </w:pPr>
      <w:r>
        <w:rPr>
          <w:rStyle w:val="FootnoteReference"/>
        </w:rPr>
        <w:footnoteRef/>
      </w:r>
      <w:r>
        <w:t xml:space="preserve"> </w:t>
      </w:r>
      <w:r w:rsidRPr="007308FC">
        <w:t>Further, while the petitioner is Dawson, according to the information contained in its audited combined financial statements as of December 31, 2012, Dawson appears to have an affiliated not-for-profit organization, Dawson Memorial Baptist Church Foundation (the Foundation).</w:t>
      </w:r>
      <w:r>
        <w:t xml:space="preserve"> </w:t>
      </w:r>
      <w:r w:rsidR="009E6A16">
        <w:t xml:space="preserve"> </w:t>
      </w:r>
      <w:r w:rsidRPr="004C6C16">
        <w:rPr>
          <w:i/>
        </w:rPr>
        <w:t>See</w:t>
      </w:r>
      <w:r>
        <w:t xml:space="preserve"> Supplement, Exhibits E</w:t>
      </w:r>
      <w:r>
        <w:rPr>
          <w:vertAlign w:val="subscript"/>
        </w:rPr>
        <w:t xml:space="preserve">1 </w:t>
      </w:r>
      <w:r>
        <w:t>at 6 and E</w:t>
      </w:r>
      <w:r>
        <w:rPr>
          <w:vertAlign w:val="subscript"/>
        </w:rPr>
        <w:t xml:space="preserve">2 </w:t>
      </w:r>
      <w:r>
        <w:t xml:space="preserve">at 7.  </w:t>
      </w:r>
      <w:r w:rsidRPr="007308FC">
        <w:t>We note that one of the Foundation’s primary functions is to support the television ministry</w:t>
      </w:r>
      <w:r>
        <w:t xml:space="preserve">. </w:t>
      </w:r>
      <w:r w:rsidRPr="007308FC">
        <w:t>Reply, Exhibit E</w:t>
      </w:r>
      <w:r w:rsidRPr="007308FC">
        <w:rPr>
          <w:vertAlign w:val="subscript"/>
        </w:rPr>
        <w:t xml:space="preserve">1 </w:t>
      </w:r>
      <w:r w:rsidRPr="007308FC">
        <w:t>at 6 and Exhibit E</w:t>
      </w:r>
      <w:r w:rsidRPr="007308FC">
        <w:rPr>
          <w:vertAlign w:val="subscript"/>
        </w:rPr>
        <w:t xml:space="preserve">2 </w:t>
      </w:r>
      <w:r w:rsidRPr="007308FC">
        <w:t>at 7.  However, no Foundation expenditures to support the television ministry are shown in Petitioner’s financial showing for the years 2010, 2011, or 2012.</w:t>
      </w:r>
      <w:r w:rsidRPr="008B16A4">
        <w:t xml:space="preserve">   Note 3 to the combined audited financial statements states that as of December 31, 2012, and December 31, 2011, the fair market value of the cash and investments of the Foundation was $2,632,032.00 and $2,550,126.00, respectively</w:t>
      </w:r>
      <w:r>
        <w:t xml:space="preserve">.  </w:t>
      </w:r>
      <w:r w:rsidRPr="007308FC">
        <w:t>Supplement, Exhibit E</w:t>
      </w:r>
      <w:r w:rsidRPr="007308FC">
        <w:rPr>
          <w:vertAlign w:val="subscript"/>
        </w:rPr>
        <w:t>2</w:t>
      </w:r>
      <w:r w:rsidRPr="007308FC">
        <w:t xml:space="preserve"> at 8.</w:t>
      </w:r>
      <w:r>
        <w:t xml:space="preserve">  Although this independent auditor’s report makes a point of noting that Dawson and its Foundation are not-for-profit organizations, the Commission previously has determined that an entity’s not-for-profit status is not a determinative factor for the Commission in assessing the merits of closed captioning exemption petitions, noting that “in the </w:t>
      </w:r>
      <w:r>
        <w:rPr>
          <w:i/>
        </w:rPr>
        <w:t>Closed Captioning Report and Order,</w:t>
      </w:r>
      <w:r>
        <w:t xml:space="preserve"> the Commission specifically rejected requests by commenters to adopt a categorical exemption for all non-profit entities based solely on their non-profit status.”  </w:t>
      </w:r>
      <w:r w:rsidR="00FC1B22">
        <w:rPr>
          <w:i/>
        </w:rPr>
        <w:t>See</w:t>
      </w:r>
      <w:r w:rsidR="00FC1B22">
        <w:t xml:space="preserve"> </w:t>
      </w:r>
      <w:r w:rsidR="00FC1B22">
        <w:rPr>
          <w:i/>
        </w:rPr>
        <w:t>Anglers Reversal MO&amp;O</w:t>
      </w:r>
      <w:r w:rsidR="00FC1B22">
        <w:t xml:space="preserve">, 26 FCC Rcd at 14950, ¶18.  </w:t>
      </w:r>
      <w:r w:rsidR="00E0311A">
        <w:t>Also</w:t>
      </w:r>
      <w:r>
        <w:t>, the fact that the Financial Statements are combined for Dawson and the Foundation suggests that these organizations may be considered, for purposes of determining their financial capabilities, to be a single entity.  However, b</w:t>
      </w:r>
      <w:r w:rsidRPr="00E879E7">
        <w:t>ecause we conclude, based on the information provided by Dawson, that Dawson</w:t>
      </w:r>
      <w:r w:rsidR="009E6A16">
        <w:t xml:space="preserve"> itself</w:t>
      </w:r>
      <w:r w:rsidRPr="00E879E7">
        <w:t xml:space="preserve"> has adequate financial resources to enable it to afford the costs of captioning its television program</w:t>
      </w:r>
      <w:r>
        <w:t>, we do not need to reach this question of whether or not the organizations are combined.</w:t>
      </w:r>
    </w:p>
  </w:footnote>
  <w:footnote w:id="67">
    <w:p w:rsidR="007308FC" w:rsidRDefault="007308FC" w:rsidP="007308FC">
      <w:pPr>
        <w:pStyle w:val="FootnoteText"/>
        <w:ind w:firstLine="0"/>
      </w:pPr>
      <w:r>
        <w:rPr>
          <w:rStyle w:val="FootnoteReference"/>
        </w:rPr>
        <w:footnoteRef/>
      </w:r>
      <w:r>
        <w:t xml:space="preserve"> Supplement, </w:t>
      </w:r>
      <w:r w:rsidRPr="004C6C16">
        <w:t>Exhibit F</w:t>
      </w:r>
      <w:r w:rsidRPr="004C6C16">
        <w:rPr>
          <w:vertAlign w:val="subscript"/>
        </w:rPr>
        <w:t>2</w:t>
      </w:r>
      <w:r>
        <w:rPr>
          <w:vertAlign w:val="subscript"/>
        </w:rPr>
        <w:t xml:space="preserve"> </w:t>
      </w:r>
      <w:r>
        <w:t xml:space="preserve">at 1-2.  </w:t>
      </w:r>
    </w:p>
  </w:footnote>
  <w:footnote w:id="68">
    <w:p w:rsidR="007308FC" w:rsidRPr="00D37256" w:rsidRDefault="007308FC" w:rsidP="007308FC">
      <w:pPr>
        <w:pStyle w:val="FootnoteText"/>
        <w:ind w:firstLine="0"/>
      </w:pPr>
      <w:r w:rsidRPr="00D37256">
        <w:rPr>
          <w:rStyle w:val="FootnoteReference"/>
        </w:rPr>
        <w:footnoteRef/>
      </w:r>
      <w:r w:rsidRPr="00D37256">
        <w:t xml:space="preserve"> Contrary to the suggestion by Consumer Groups, we do not require petitioners to demonstrate that they negotiated with closed captioning service providers for captioning costs that are lower than the quotes they provide to the Commission, or to identify the most affordable provider or most reasonable rates.  </w:t>
      </w:r>
      <w:r w:rsidRPr="00D37256">
        <w:rPr>
          <w:i/>
        </w:rPr>
        <w:t xml:space="preserve">See </w:t>
      </w:r>
      <w:r w:rsidRPr="00D37256">
        <w:t xml:space="preserve">¶ 13, </w:t>
      </w:r>
      <w:r w:rsidRPr="00D37256">
        <w:rPr>
          <w:i/>
        </w:rPr>
        <w:t>supra.</w:t>
      </w:r>
      <w:r w:rsidRPr="00D37256">
        <w:t xml:space="preserve">  Consumer Groups do not cite to any authority in support of such a requirement, and generally information on captioning costs from multiple sources has been sufficient to </w:t>
      </w:r>
      <w:r w:rsidRPr="00D37256">
        <w:rPr>
          <w:color w:val="010101"/>
        </w:rPr>
        <w:t xml:space="preserve">aid the Bureau in its analysis of the </w:t>
      </w:r>
      <w:r w:rsidRPr="00D37256">
        <w:t xml:space="preserve">impact that closed captioning obligations can have on a petitioner’s programming operations.  </w:t>
      </w:r>
      <w:r w:rsidRPr="00D37256">
        <w:rPr>
          <w:i/>
        </w:rPr>
        <w:t>See Anglers Reversal Order</w:t>
      </w:r>
      <w:r w:rsidRPr="00D37256">
        <w:t>, 26 FCC Rcd at 14955-56, ¶ 28, n.101 (</w:t>
      </w:r>
      <w:r w:rsidRPr="00D37256">
        <w:rPr>
          <w:iCs/>
          <w:color w:val="010101"/>
        </w:rPr>
        <w:t>citing</w:t>
      </w:r>
      <w:r w:rsidRPr="00D37256">
        <w:rPr>
          <w:i/>
          <w:iCs/>
          <w:color w:val="010101"/>
        </w:rPr>
        <w:t>, e.g.</w:t>
      </w:r>
      <w:r w:rsidRPr="00D37256">
        <w:rPr>
          <w:iCs/>
          <w:color w:val="010101"/>
        </w:rPr>
        <w:t>,</w:t>
      </w:r>
      <w:r w:rsidRPr="00D37256">
        <w:rPr>
          <w:color w:val="010101"/>
        </w:rPr>
        <w:t xml:space="preserve"> </w:t>
      </w:r>
      <w:r w:rsidRPr="00D37256">
        <w:rPr>
          <w:i/>
          <w:iCs/>
          <w:color w:val="010101"/>
        </w:rPr>
        <w:t>Outland Sports</w:t>
      </w:r>
      <w:r w:rsidRPr="00D37256">
        <w:rPr>
          <w:iCs/>
          <w:color w:val="010101"/>
        </w:rPr>
        <w:t xml:space="preserve">, Memorandum Opinion and Order, </w:t>
      </w:r>
      <w:r w:rsidRPr="00D37256">
        <w:rPr>
          <w:color w:val="010101"/>
        </w:rPr>
        <w:t>16 FCC Rcd 13605, 13607, ¶ 7 (noting the importance of demonstrating efforts “to seek information from various sources on the cost of captioning”)</w:t>
      </w:r>
      <w:r w:rsidRPr="00D37256">
        <w:t xml:space="preserve">; </w:t>
      </w:r>
      <w:r w:rsidRPr="00D37256">
        <w:rPr>
          <w:i/>
        </w:rPr>
        <w:t xml:space="preserve">Wild Outdoors 2001, </w:t>
      </w:r>
      <w:r w:rsidRPr="00D37256">
        <w:t xml:space="preserve">16 FCC Rcd at 13614, ¶ 7 (noting the need for “a listing of various prices quoted” as evidence of “their efforts to find companies that provide captioning at a reasonable cost”)).  Further, we do not reach the question of whether </w:t>
      </w:r>
      <w:r>
        <w:t>Dawson</w:t>
      </w:r>
      <w:r w:rsidRPr="00D37256">
        <w:t xml:space="preserve"> can avoid its closed captioning obligations because it is unwilling to seek additional sponsorships (other than from its program distributor) or other sources of revenue to caption its program, because we conclude that providing closed captioning for its program, even without this effort, would not be economically burdensome to it.  </w:t>
      </w:r>
      <w:r>
        <w:rPr>
          <w:i/>
        </w:rPr>
        <w:t>See</w:t>
      </w:r>
      <w:r>
        <w:t xml:space="preserve"> </w:t>
      </w:r>
      <w:r>
        <w:rPr>
          <w:i/>
        </w:rPr>
        <w:t>Anglers Reversal MO&amp;O</w:t>
      </w:r>
      <w:r>
        <w:t>, 26 FCC Rcd at 14955-56, ¶ 28, n.103.</w:t>
      </w:r>
      <w:r w:rsidRPr="00D37256">
        <w:t xml:space="preserve"> </w:t>
      </w:r>
    </w:p>
  </w:footnote>
  <w:footnote w:id="69">
    <w:p w:rsidR="00C06BEB" w:rsidRPr="00F6378C" w:rsidRDefault="00C06BEB" w:rsidP="00C06BEB">
      <w:pPr>
        <w:pStyle w:val="FootnoteText"/>
        <w:ind w:firstLine="0"/>
      </w:pPr>
      <w:r>
        <w:rPr>
          <w:rStyle w:val="FootnoteReference"/>
        </w:rPr>
        <w:footnoteRef/>
      </w:r>
      <w:r>
        <w:t xml:space="preserve"> Supplement at 2.</w:t>
      </w:r>
    </w:p>
  </w:footnote>
  <w:footnote w:id="70">
    <w:p w:rsidR="00C06BEB" w:rsidRDefault="00C06BEB" w:rsidP="00C06BEB">
      <w:pPr>
        <w:pStyle w:val="FootnoteText"/>
        <w:ind w:firstLine="0"/>
      </w:pPr>
      <w:r>
        <w:rPr>
          <w:rStyle w:val="FootnoteReference"/>
        </w:rPr>
        <w:footnoteRef/>
      </w:r>
      <w:r>
        <w:t xml:space="preserve"> </w:t>
      </w:r>
      <w:r>
        <w:rPr>
          <w:i/>
        </w:rPr>
        <w:t>Anglers Reversal MO&amp;O</w:t>
      </w:r>
      <w:r w:rsidR="00ED3D03">
        <w:t>,</w:t>
      </w:r>
      <w:r>
        <w:t xml:space="preserve"> 26 FCC Rcd at 14951, </w:t>
      </w:r>
      <w:r w:rsidRPr="008775C9">
        <w:t>¶</w:t>
      </w:r>
      <w:r w:rsidR="00ED3D03">
        <w:t xml:space="preserve"> </w:t>
      </w:r>
      <w:r>
        <w:t>20</w:t>
      </w:r>
      <w:r w:rsidR="00D66703">
        <w:t xml:space="preserve">.  </w:t>
      </w:r>
    </w:p>
  </w:footnote>
  <w:footnote w:id="71">
    <w:p w:rsidR="00C06BEB" w:rsidRPr="00807FD5" w:rsidRDefault="00C06BEB" w:rsidP="00C06BEB">
      <w:pPr>
        <w:pStyle w:val="FootnoteText"/>
        <w:ind w:firstLine="0"/>
      </w:pPr>
      <w:r>
        <w:rPr>
          <w:rStyle w:val="FootnoteReference"/>
        </w:rPr>
        <w:footnoteRef/>
      </w:r>
      <w:r>
        <w:t xml:space="preserve"> </w:t>
      </w:r>
      <w:r>
        <w:rPr>
          <w:i/>
        </w:rPr>
        <w:t>Anglers Reversal MO&amp;O</w:t>
      </w:r>
      <w:r w:rsidR="00D66703">
        <w:t>,</w:t>
      </w:r>
      <w:r>
        <w:t xml:space="preserve"> 26 FCC Rcd at 14952, </w:t>
      </w:r>
      <w:r w:rsidRPr="008775C9">
        <w:t>¶</w:t>
      </w:r>
      <w:r w:rsidR="00E247B2">
        <w:t xml:space="preserve"> </w:t>
      </w:r>
      <w:r w:rsidR="00B428E3">
        <w:t>21 (noting that such a factor is “impermissibly vague and inappropriate”).</w:t>
      </w:r>
    </w:p>
  </w:footnote>
  <w:footnote w:id="72">
    <w:p w:rsidR="00482D4F" w:rsidRPr="0053093C" w:rsidRDefault="00482D4F" w:rsidP="002E1EF8">
      <w:pPr>
        <w:pStyle w:val="FootnoteText1"/>
      </w:pPr>
      <w:r w:rsidRPr="0053093C">
        <w:rPr>
          <w:rStyle w:val="FootnoteReference"/>
        </w:rPr>
        <w:footnoteRef/>
      </w:r>
      <w:r w:rsidRPr="0053093C">
        <w:rPr>
          <w:i/>
        </w:rPr>
        <w:t xml:space="preserve"> See </w:t>
      </w:r>
      <w:r w:rsidR="00B428E3">
        <w:t xml:space="preserve">¶ </w:t>
      </w:r>
      <w:r w:rsidR="007C31FB" w:rsidRPr="00FB107A">
        <w:t>7</w:t>
      </w:r>
      <w:r w:rsidRPr="0053093C">
        <w:t xml:space="preserve">, </w:t>
      </w:r>
      <w:r w:rsidRPr="0053093C">
        <w:rPr>
          <w:i/>
        </w:rPr>
        <w:t>supra</w:t>
      </w:r>
      <w:r w:rsidRPr="0053093C">
        <w:t>.</w:t>
      </w:r>
    </w:p>
  </w:footnote>
  <w:footnote w:id="73">
    <w:p w:rsidR="00482D4F" w:rsidRPr="0053093C" w:rsidRDefault="00482D4F" w:rsidP="002E1EF8">
      <w:pPr>
        <w:pStyle w:val="FootnoteText1"/>
      </w:pPr>
      <w:r w:rsidRPr="0053093C">
        <w:rPr>
          <w:rStyle w:val="FootnoteReference"/>
        </w:rPr>
        <w:footnoteRef/>
      </w:r>
      <w:r w:rsidRPr="0053093C">
        <w:t xml:space="preserve"> </w:t>
      </w:r>
      <w:r w:rsidRPr="0053093C">
        <w:rPr>
          <w:i/>
        </w:rPr>
        <w:t xml:space="preserve">See </w:t>
      </w:r>
      <w:r w:rsidRPr="0053093C">
        <w:t>¶</w:t>
      </w:r>
      <w:r w:rsidR="00334440" w:rsidRPr="0053093C">
        <w:t>¶</w:t>
      </w:r>
      <w:r w:rsidR="00334440">
        <w:t xml:space="preserve"> </w:t>
      </w:r>
      <w:r w:rsidR="00334440" w:rsidRPr="00FB107A">
        <w:t>15-1</w:t>
      </w:r>
      <w:r w:rsidR="00E73215" w:rsidRPr="00FB107A">
        <w:t>7</w:t>
      </w:r>
      <w:r w:rsidRPr="0053093C">
        <w:t xml:space="preserve">, </w:t>
      </w:r>
      <w:r w:rsidRPr="0053093C">
        <w:rPr>
          <w:i/>
        </w:rPr>
        <w:t>supra</w:t>
      </w:r>
      <w:r w:rsidRPr="0053093C">
        <w:t>.</w:t>
      </w:r>
    </w:p>
  </w:footnote>
  <w:footnote w:id="74">
    <w:p w:rsidR="0045307C" w:rsidRPr="00D37256" w:rsidRDefault="0045307C" w:rsidP="002E1EF8">
      <w:pPr>
        <w:pStyle w:val="FootnoteText1"/>
      </w:pPr>
      <w:r w:rsidRPr="00D37256">
        <w:rPr>
          <w:rStyle w:val="FootnoteReference"/>
        </w:rPr>
        <w:footnoteRef/>
      </w:r>
      <w:r w:rsidRPr="00D37256">
        <w:t xml:space="preserve"> 47 U.S.C. § 613, 47 C.F.R. §§ 0.141(f), 79.1(f).</w:t>
      </w:r>
    </w:p>
  </w:footnote>
  <w:footnote w:id="75">
    <w:p w:rsidR="0045307C" w:rsidRPr="00D37256" w:rsidRDefault="0045307C" w:rsidP="002E1EF8">
      <w:pPr>
        <w:pStyle w:val="FootnoteText1"/>
      </w:pPr>
      <w:r w:rsidRPr="00D37256">
        <w:rPr>
          <w:rStyle w:val="FootnoteReference"/>
        </w:rPr>
        <w:footnoteRef/>
      </w:r>
      <w:r w:rsidRPr="00D37256">
        <w:rPr>
          <w:i/>
        </w:rPr>
        <w:t xml:space="preserve"> See</w:t>
      </w:r>
      <w:r w:rsidRPr="00D37256">
        <w:t xml:space="preserve"> </w:t>
      </w:r>
      <w:r w:rsidRPr="00D37256">
        <w:rPr>
          <w:i/>
        </w:rPr>
        <w:t xml:space="preserve">Notice of </w:t>
      </w:r>
      <w:r w:rsidRPr="002E1EF8">
        <w:rPr>
          <w:i/>
        </w:rPr>
        <w:t>New</w:t>
      </w:r>
      <w:r w:rsidRPr="00D37256">
        <w:rPr>
          <w:i/>
        </w:rPr>
        <w:t xml:space="preserve"> Electronic Filing Procedures for Television Closed Captioning Exemption Requests</w:t>
      </w:r>
      <w:r w:rsidRPr="00D37256">
        <w:t xml:space="preserve">, </w:t>
      </w:r>
      <w:r w:rsidR="00505CDF">
        <w:t xml:space="preserve">CG Docket Nos. 06-181 and 05-231, </w:t>
      </w:r>
      <w:r w:rsidRPr="00D37256">
        <w:t>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7C" w:rsidRDefault="007D3937" w:rsidP="002850D9">
    <w:pPr>
      <w:pStyle w:val="Header"/>
      <w:rPr>
        <w:b w:val="0"/>
      </w:rPr>
    </w:pPr>
    <w:r>
      <w:rPr>
        <w:noProof/>
        <w:snapToGrid/>
      </w:rPr>
      <mc:AlternateContent>
        <mc:Choice Requires="wps">
          <w:drawing>
            <wp:anchor distT="0" distB="0" distL="114300" distR="114300" simplePos="0" relativeHeight="251657728" behindDoc="1" locked="0" layoutInCell="0" allowOverlap="1" wp14:anchorId="6E111C16" wp14:editId="216F5967">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45307C">
      <w:tab/>
      <w:t>Federal Communications Commission</w:t>
    </w:r>
    <w:r w:rsidR="0045307C">
      <w:tab/>
    </w:r>
    <w:r w:rsidR="00692C94">
      <w:rPr>
        <w:spacing w:val="-2"/>
      </w:rPr>
      <w:t xml:space="preserve">DA </w:t>
    </w:r>
    <w:r w:rsidR="005F545B">
      <w:rPr>
        <w:spacing w:val="-2"/>
      </w:rPr>
      <w:t>14-1872</w:t>
    </w:r>
  </w:p>
  <w:p w:rsidR="0045307C" w:rsidRPr="002850D9" w:rsidRDefault="0045307C" w:rsidP="0028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7C" w:rsidRDefault="007D3937" w:rsidP="002850D9">
    <w:pPr>
      <w:pStyle w:val="Header"/>
      <w:rPr>
        <w:b w:val="0"/>
      </w:rPr>
    </w:pPr>
    <w:r>
      <w:rPr>
        <w:noProof/>
        <w:snapToGrid/>
      </w:rPr>
      <mc:AlternateContent>
        <mc:Choice Requires="wps">
          <w:drawing>
            <wp:anchor distT="0" distB="0" distL="114300" distR="114300" simplePos="0" relativeHeight="251658752" behindDoc="1" locked="0" layoutInCell="0" allowOverlap="1" wp14:anchorId="551B281A" wp14:editId="0DDE55D3">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45307C">
      <w:tab/>
      <w:t>Federal Communications Commission</w:t>
    </w:r>
    <w:r w:rsidR="0045307C">
      <w:tab/>
    </w:r>
    <w:r w:rsidR="00692C94">
      <w:rPr>
        <w:spacing w:val="-2"/>
      </w:rPr>
      <w:t xml:space="preserve">DA </w:t>
    </w:r>
    <w:r w:rsidR="005F545B">
      <w:rPr>
        <w:spacing w:val="-2"/>
      </w:rPr>
      <w:t>14-1872</w:t>
    </w:r>
  </w:p>
  <w:p w:rsidR="0045307C" w:rsidRDefault="0045307C" w:rsidP="002850D9">
    <w:pPr>
      <w:pStyle w:val="Header1"/>
      <w:tabs>
        <w:tab w:val="clear" w:pos="4320"/>
        <w:tab w:val="clear" w:pos="8640"/>
        <w:tab w:val="left" w:pos="6810"/>
      </w:tabs>
    </w:pPr>
    <w:r>
      <w:tab/>
    </w:r>
  </w:p>
  <w:p w:rsidR="0045307C" w:rsidRDefault="0045307C">
    <w:pPr>
      <w:pStyle w:val="Header1"/>
      <w:rPr>
        <w:rFonts w:eastAsia="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7C" w:rsidRDefault="0045307C">
    <w:pPr>
      <w:pStyle w:val="Header1"/>
      <w:tabs>
        <w:tab w:val="clear" w:pos="8640"/>
        <w:tab w:val="right" w:pos="9340"/>
      </w:tabs>
      <w:rPr>
        <w:rFonts w:eastAsia="Times New Roman"/>
        <w:color w:val="auto"/>
        <w:sz w:val="20"/>
        <w:lang w:bidi="x-none"/>
      </w:rPr>
    </w:pPr>
  </w:p>
  <w:p w:rsidR="0045307C" w:rsidRDefault="007D3937" w:rsidP="002850D9">
    <w:pPr>
      <w:pStyle w:val="Header"/>
      <w:rPr>
        <w:b w:val="0"/>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45307C">
      <w:tab/>
      <w:t>Federal Communications Commission</w:t>
    </w:r>
    <w:r w:rsidR="0045307C">
      <w:tab/>
    </w:r>
    <w:r w:rsidR="00692C94">
      <w:rPr>
        <w:spacing w:val="-2"/>
      </w:rPr>
      <w:t xml:space="preserve">DA </w:t>
    </w:r>
    <w:r w:rsidR="005F545B">
      <w:rPr>
        <w:spacing w:val="-2"/>
      </w:rPr>
      <w:t>14-1872</w:t>
    </w:r>
  </w:p>
  <w:p w:rsidR="0045307C" w:rsidRDefault="0045307C">
    <w:pPr>
      <w:pStyle w:val="Header1"/>
      <w:tabs>
        <w:tab w:val="clear" w:pos="8640"/>
        <w:tab w:val="right" w:pos="9340"/>
      </w:tabs>
      <w:rPr>
        <w:rFonts w:eastAsia="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720"/>
        </w:tabs>
        <w:ind w:left="720" w:firstLine="0"/>
      </w:pPr>
      <w:rPr>
        <w:rFonts w:hint="default"/>
        <w:b/>
        <w:caps w:val="0"/>
        <w:smallCaps w:val="0"/>
        <w:strike w:val="0"/>
        <w:dstrike w:val="0"/>
        <w:vanish w:val="0"/>
        <w:color w:val="000000"/>
        <w:position w:val="0"/>
        <w:sz w:val="22"/>
        <w:vertAlign w:val="baseline"/>
      </w:rPr>
    </w:lvl>
    <w:lvl w:ilvl="1">
      <w:start w:val="1"/>
      <w:numFmt w:val="upperLetter"/>
      <w:lvlText w:val="%2."/>
      <w:lvlJc w:val="left"/>
      <w:pPr>
        <w:tabs>
          <w:tab w:val="num" w:pos="720"/>
        </w:tabs>
        <w:ind w:left="720" w:firstLine="720"/>
      </w:pPr>
      <w:rPr>
        <w:rFonts w:hint="default"/>
        <w:color w:val="000000"/>
        <w:position w:val="0"/>
        <w:sz w:val="22"/>
      </w:rPr>
    </w:lvl>
    <w:lvl w:ilvl="2">
      <w:start w:val="1"/>
      <w:numFmt w:val="decimal"/>
      <w:isLgl/>
      <w:lvlText w:val="%3."/>
      <w:lvlJc w:val="left"/>
      <w:pPr>
        <w:tabs>
          <w:tab w:val="num" w:pos="720"/>
        </w:tabs>
        <w:ind w:left="720" w:firstLine="1440"/>
      </w:pPr>
      <w:rPr>
        <w:rFonts w:hint="default"/>
        <w:color w:val="000000"/>
        <w:position w:val="0"/>
        <w:sz w:val="22"/>
      </w:rPr>
    </w:lvl>
    <w:lvl w:ilvl="3">
      <w:start w:val="1"/>
      <w:numFmt w:val="lowerLetter"/>
      <w:lvlText w:val="%4."/>
      <w:lvlJc w:val="left"/>
      <w:pPr>
        <w:tabs>
          <w:tab w:val="num" w:pos="720"/>
        </w:tabs>
        <w:ind w:left="720" w:firstLine="2160"/>
      </w:pPr>
      <w:rPr>
        <w:rFonts w:hint="default"/>
        <w:color w:val="000000"/>
        <w:position w:val="0"/>
        <w:sz w:val="22"/>
      </w:rPr>
    </w:lvl>
    <w:lvl w:ilvl="4">
      <w:start w:val="1"/>
      <w:numFmt w:val="lowerRoman"/>
      <w:lvlText w:val="(%5)"/>
      <w:lvlJc w:val="left"/>
      <w:pPr>
        <w:tabs>
          <w:tab w:val="num" w:pos="720"/>
        </w:tabs>
        <w:ind w:left="720" w:firstLine="2880"/>
      </w:pPr>
      <w:rPr>
        <w:rFonts w:ascii="Tahoma Bold" w:eastAsia="ヒラギノ角ゴ Pro W3" w:hAnsi="Tahoma Bold" w:hint="default"/>
        <w:caps w:val="0"/>
        <w:smallCaps w:val="0"/>
        <w:strike w:val="0"/>
        <w:dstrike w:val="0"/>
        <w:vanish w:val="0"/>
        <w:color w:val="000000"/>
        <w:position w:val="0"/>
        <w:sz w:val="22"/>
        <w:vertAlign w:val="baseline"/>
      </w:rPr>
    </w:lvl>
    <w:lvl w:ilvl="5">
      <w:start w:val="1"/>
      <w:numFmt w:val="lowerLetter"/>
      <w:lvlText w:val="(%6)"/>
      <w:lvlJc w:val="left"/>
      <w:pPr>
        <w:tabs>
          <w:tab w:val="num" w:pos="720"/>
        </w:tabs>
        <w:ind w:left="720" w:firstLine="3600"/>
      </w:pPr>
      <w:rPr>
        <w:rFonts w:hint="default"/>
        <w:color w:val="000000"/>
        <w:position w:val="0"/>
        <w:sz w:val="22"/>
      </w:rPr>
    </w:lvl>
    <w:lvl w:ilvl="6">
      <w:start w:val="1"/>
      <w:numFmt w:val="lowerRoman"/>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0"/>
      </w:pPr>
      <w:rPr>
        <w:rFonts w:hint="default"/>
        <w:b/>
        <w:color w:val="000000"/>
        <w:position w:val="0"/>
        <w:sz w:val="22"/>
      </w:rPr>
    </w:lvl>
  </w:abstractNum>
  <w:abstractNum w:abstractNumId="1">
    <w:nsid w:val="00000003"/>
    <w:multiLevelType w:val="multilevel"/>
    <w:tmpl w:val="DF2E7DD2"/>
    <w:lvl w:ilvl="0">
      <w:start w:val="1"/>
      <w:numFmt w:val="decimal"/>
      <w:lvlText w:val="%1."/>
      <w:lvlJc w:val="left"/>
      <w:pPr>
        <w:ind w:left="810" w:firstLine="0"/>
      </w:pPr>
      <w:rPr>
        <w:rFonts w:ascii="Times New Roman" w:hAnsi="Times New Roman" w:cs="Times New Roman"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36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800"/>
        </w:tabs>
        <w:ind w:left="1800" w:firstLine="0"/>
      </w:pPr>
      <w:rPr>
        <w:rFonts w:hint="default"/>
        <w:caps w:val="0"/>
        <w:smallCaps w:val="0"/>
        <w:strike w:val="0"/>
        <w:dstrike w:val="0"/>
        <w:vanish w:val="0"/>
        <w:color w:val="000000"/>
        <w:position w:val="0"/>
        <w:sz w:val="22"/>
        <w:vertAlign w:val="baseline"/>
      </w:rPr>
    </w:lvl>
  </w:abstractNum>
  <w:abstractNum w:abstractNumId="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C3333F"/>
    <w:multiLevelType w:val="hybridMultilevel"/>
    <w:tmpl w:val="75E66414"/>
    <w:lvl w:ilvl="0" w:tplc="901ADB1C">
      <w:start w:val="1"/>
      <w:numFmt w:val="decimal"/>
      <w:pStyle w:val="ParaNum"/>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D5"/>
    <w:rsid w:val="00020BD8"/>
    <w:rsid w:val="0002104E"/>
    <w:rsid w:val="00027326"/>
    <w:rsid w:val="00032736"/>
    <w:rsid w:val="0006131E"/>
    <w:rsid w:val="000653D2"/>
    <w:rsid w:val="00084F45"/>
    <w:rsid w:val="00096170"/>
    <w:rsid w:val="00096ACC"/>
    <w:rsid w:val="00097C68"/>
    <w:rsid w:val="000B1DB3"/>
    <w:rsid w:val="000B2189"/>
    <w:rsid w:val="000B3B59"/>
    <w:rsid w:val="000C25E9"/>
    <w:rsid w:val="000D687C"/>
    <w:rsid w:val="000E28BC"/>
    <w:rsid w:val="000E567B"/>
    <w:rsid w:val="000E6B17"/>
    <w:rsid w:val="001202A2"/>
    <w:rsid w:val="001225A9"/>
    <w:rsid w:val="00125714"/>
    <w:rsid w:val="001434F2"/>
    <w:rsid w:val="00162DC3"/>
    <w:rsid w:val="00176354"/>
    <w:rsid w:val="00182A7F"/>
    <w:rsid w:val="0018451C"/>
    <w:rsid w:val="001A41D3"/>
    <w:rsid w:val="001B6179"/>
    <w:rsid w:val="001C2AE1"/>
    <w:rsid w:val="001D5713"/>
    <w:rsid w:val="001F7309"/>
    <w:rsid w:val="002025D9"/>
    <w:rsid w:val="00204E96"/>
    <w:rsid w:val="00210690"/>
    <w:rsid w:val="00214F0C"/>
    <w:rsid w:val="00223490"/>
    <w:rsid w:val="00224D5D"/>
    <w:rsid w:val="002306AE"/>
    <w:rsid w:val="00230BE1"/>
    <w:rsid w:val="00254C5F"/>
    <w:rsid w:val="00257C94"/>
    <w:rsid w:val="00270558"/>
    <w:rsid w:val="00270DC9"/>
    <w:rsid w:val="00273856"/>
    <w:rsid w:val="00275A6A"/>
    <w:rsid w:val="002850D9"/>
    <w:rsid w:val="00287422"/>
    <w:rsid w:val="0029053F"/>
    <w:rsid w:val="002A5D56"/>
    <w:rsid w:val="002C4A0D"/>
    <w:rsid w:val="002D0E54"/>
    <w:rsid w:val="002E1EF8"/>
    <w:rsid w:val="002E2862"/>
    <w:rsid w:val="002E59F1"/>
    <w:rsid w:val="002E7A79"/>
    <w:rsid w:val="002F0D39"/>
    <w:rsid w:val="002F35A3"/>
    <w:rsid w:val="00301542"/>
    <w:rsid w:val="0031567C"/>
    <w:rsid w:val="00334440"/>
    <w:rsid w:val="00346D6E"/>
    <w:rsid w:val="00353B59"/>
    <w:rsid w:val="00364594"/>
    <w:rsid w:val="00380623"/>
    <w:rsid w:val="00395AFE"/>
    <w:rsid w:val="003A2B95"/>
    <w:rsid w:val="003A5706"/>
    <w:rsid w:val="003B0BFD"/>
    <w:rsid w:val="003B4FFA"/>
    <w:rsid w:val="003C1A65"/>
    <w:rsid w:val="003D51B8"/>
    <w:rsid w:val="004052D0"/>
    <w:rsid w:val="00412AC5"/>
    <w:rsid w:val="00421F0F"/>
    <w:rsid w:val="0042717F"/>
    <w:rsid w:val="00433B45"/>
    <w:rsid w:val="0045307C"/>
    <w:rsid w:val="004774F4"/>
    <w:rsid w:val="00477C1A"/>
    <w:rsid w:val="00482D4F"/>
    <w:rsid w:val="004A678B"/>
    <w:rsid w:val="004B155C"/>
    <w:rsid w:val="004B31B7"/>
    <w:rsid w:val="004D34A3"/>
    <w:rsid w:val="004D5549"/>
    <w:rsid w:val="004E4ACD"/>
    <w:rsid w:val="004E6474"/>
    <w:rsid w:val="004F148A"/>
    <w:rsid w:val="004F1A80"/>
    <w:rsid w:val="004F7B81"/>
    <w:rsid w:val="00505CDF"/>
    <w:rsid w:val="00505FE4"/>
    <w:rsid w:val="0051083B"/>
    <w:rsid w:val="00524DDC"/>
    <w:rsid w:val="00530F80"/>
    <w:rsid w:val="0055312C"/>
    <w:rsid w:val="005537DD"/>
    <w:rsid w:val="00592278"/>
    <w:rsid w:val="005B5FC7"/>
    <w:rsid w:val="005C062A"/>
    <w:rsid w:val="005C5831"/>
    <w:rsid w:val="005D28C2"/>
    <w:rsid w:val="005D3983"/>
    <w:rsid w:val="005E0BCD"/>
    <w:rsid w:val="005E51E1"/>
    <w:rsid w:val="005F545B"/>
    <w:rsid w:val="00612B9C"/>
    <w:rsid w:val="006202ED"/>
    <w:rsid w:val="00625445"/>
    <w:rsid w:val="0062662E"/>
    <w:rsid w:val="006410A4"/>
    <w:rsid w:val="006731B0"/>
    <w:rsid w:val="0068057E"/>
    <w:rsid w:val="00686341"/>
    <w:rsid w:val="00692C94"/>
    <w:rsid w:val="00697009"/>
    <w:rsid w:val="006A26DD"/>
    <w:rsid w:val="006C0909"/>
    <w:rsid w:val="006C2151"/>
    <w:rsid w:val="006D78E8"/>
    <w:rsid w:val="006F6130"/>
    <w:rsid w:val="00713056"/>
    <w:rsid w:val="00715421"/>
    <w:rsid w:val="00715511"/>
    <w:rsid w:val="007308FC"/>
    <w:rsid w:val="00737690"/>
    <w:rsid w:val="0074503A"/>
    <w:rsid w:val="00760F8B"/>
    <w:rsid w:val="00767BCD"/>
    <w:rsid w:val="00774BBE"/>
    <w:rsid w:val="007832C6"/>
    <w:rsid w:val="00784CD5"/>
    <w:rsid w:val="007A1D24"/>
    <w:rsid w:val="007C31FB"/>
    <w:rsid w:val="007D3937"/>
    <w:rsid w:val="007D3AA8"/>
    <w:rsid w:val="007E5975"/>
    <w:rsid w:val="007F0AFB"/>
    <w:rsid w:val="007F4EE8"/>
    <w:rsid w:val="008045E7"/>
    <w:rsid w:val="00816298"/>
    <w:rsid w:val="00830063"/>
    <w:rsid w:val="00834D88"/>
    <w:rsid w:val="00835832"/>
    <w:rsid w:val="00836B1A"/>
    <w:rsid w:val="00841E4F"/>
    <w:rsid w:val="00854B94"/>
    <w:rsid w:val="008558AA"/>
    <w:rsid w:val="00860DC7"/>
    <w:rsid w:val="00864510"/>
    <w:rsid w:val="00887CF8"/>
    <w:rsid w:val="008C6069"/>
    <w:rsid w:val="008D016C"/>
    <w:rsid w:val="008E1C15"/>
    <w:rsid w:val="008E7A3A"/>
    <w:rsid w:val="009013DA"/>
    <w:rsid w:val="0094360A"/>
    <w:rsid w:val="00955A99"/>
    <w:rsid w:val="00967668"/>
    <w:rsid w:val="00976F1F"/>
    <w:rsid w:val="00981901"/>
    <w:rsid w:val="0098659E"/>
    <w:rsid w:val="0099069E"/>
    <w:rsid w:val="009911C9"/>
    <w:rsid w:val="00991F91"/>
    <w:rsid w:val="009A10BA"/>
    <w:rsid w:val="009A756E"/>
    <w:rsid w:val="009D27AC"/>
    <w:rsid w:val="009D5091"/>
    <w:rsid w:val="009D6613"/>
    <w:rsid w:val="009E4A5F"/>
    <w:rsid w:val="009E6459"/>
    <w:rsid w:val="009E6A16"/>
    <w:rsid w:val="00A11687"/>
    <w:rsid w:val="00A23FAE"/>
    <w:rsid w:val="00A72E30"/>
    <w:rsid w:val="00A85B1E"/>
    <w:rsid w:val="00AA1AF1"/>
    <w:rsid w:val="00AB1E3E"/>
    <w:rsid w:val="00AB3F51"/>
    <w:rsid w:val="00AD71D6"/>
    <w:rsid w:val="00AE176C"/>
    <w:rsid w:val="00AE6AD2"/>
    <w:rsid w:val="00AF201D"/>
    <w:rsid w:val="00B1799C"/>
    <w:rsid w:val="00B213E6"/>
    <w:rsid w:val="00B428E3"/>
    <w:rsid w:val="00B4605A"/>
    <w:rsid w:val="00B52FA5"/>
    <w:rsid w:val="00B559D8"/>
    <w:rsid w:val="00B56C98"/>
    <w:rsid w:val="00B60E94"/>
    <w:rsid w:val="00B63080"/>
    <w:rsid w:val="00B8622F"/>
    <w:rsid w:val="00B87D19"/>
    <w:rsid w:val="00B912DA"/>
    <w:rsid w:val="00B92347"/>
    <w:rsid w:val="00B93928"/>
    <w:rsid w:val="00B96D32"/>
    <w:rsid w:val="00BA2FFF"/>
    <w:rsid w:val="00BC258B"/>
    <w:rsid w:val="00BC7345"/>
    <w:rsid w:val="00BC7356"/>
    <w:rsid w:val="00BC7D22"/>
    <w:rsid w:val="00BE562B"/>
    <w:rsid w:val="00BF55EF"/>
    <w:rsid w:val="00BF6423"/>
    <w:rsid w:val="00C05B29"/>
    <w:rsid w:val="00C06BEB"/>
    <w:rsid w:val="00C115ED"/>
    <w:rsid w:val="00C1438C"/>
    <w:rsid w:val="00C1477E"/>
    <w:rsid w:val="00C1499B"/>
    <w:rsid w:val="00C25BE4"/>
    <w:rsid w:val="00C37EBD"/>
    <w:rsid w:val="00C67B3D"/>
    <w:rsid w:val="00C72568"/>
    <w:rsid w:val="00C870EC"/>
    <w:rsid w:val="00CA224F"/>
    <w:rsid w:val="00CB401A"/>
    <w:rsid w:val="00CB63C1"/>
    <w:rsid w:val="00CC013B"/>
    <w:rsid w:val="00CE7176"/>
    <w:rsid w:val="00CF009A"/>
    <w:rsid w:val="00CF0C33"/>
    <w:rsid w:val="00CF366C"/>
    <w:rsid w:val="00D02C06"/>
    <w:rsid w:val="00D10A93"/>
    <w:rsid w:val="00D144ED"/>
    <w:rsid w:val="00D2229F"/>
    <w:rsid w:val="00D2332A"/>
    <w:rsid w:val="00D27B8E"/>
    <w:rsid w:val="00D432EC"/>
    <w:rsid w:val="00D43D8C"/>
    <w:rsid w:val="00D47E8E"/>
    <w:rsid w:val="00D53A92"/>
    <w:rsid w:val="00D55D9F"/>
    <w:rsid w:val="00D5714D"/>
    <w:rsid w:val="00D60848"/>
    <w:rsid w:val="00D66703"/>
    <w:rsid w:val="00D83FB5"/>
    <w:rsid w:val="00D8509C"/>
    <w:rsid w:val="00DA09FE"/>
    <w:rsid w:val="00DA0E2A"/>
    <w:rsid w:val="00DC3446"/>
    <w:rsid w:val="00DD1EAF"/>
    <w:rsid w:val="00E0311A"/>
    <w:rsid w:val="00E04185"/>
    <w:rsid w:val="00E23A89"/>
    <w:rsid w:val="00E247B2"/>
    <w:rsid w:val="00E34B77"/>
    <w:rsid w:val="00E50D6A"/>
    <w:rsid w:val="00E61492"/>
    <w:rsid w:val="00E66AE0"/>
    <w:rsid w:val="00E73215"/>
    <w:rsid w:val="00E806C3"/>
    <w:rsid w:val="00E84E6B"/>
    <w:rsid w:val="00E879E7"/>
    <w:rsid w:val="00EA7DD5"/>
    <w:rsid w:val="00EB61D5"/>
    <w:rsid w:val="00EC3C85"/>
    <w:rsid w:val="00ED3D03"/>
    <w:rsid w:val="00EE2974"/>
    <w:rsid w:val="00F00FF8"/>
    <w:rsid w:val="00F03BFC"/>
    <w:rsid w:val="00F102EC"/>
    <w:rsid w:val="00F109D1"/>
    <w:rsid w:val="00F254DA"/>
    <w:rsid w:val="00F40044"/>
    <w:rsid w:val="00F41C9C"/>
    <w:rsid w:val="00F4331B"/>
    <w:rsid w:val="00F4570F"/>
    <w:rsid w:val="00F512ED"/>
    <w:rsid w:val="00F55E92"/>
    <w:rsid w:val="00F567DF"/>
    <w:rsid w:val="00F80012"/>
    <w:rsid w:val="00F8305B"/>
    <w:rsid w:val="00F85AB5"/>
    <w:rsid w:val="00F91EE7"/>
    <w:rsid w:val="00F94ABC"/>
    <w:rsid w:val="00F962BD"/>
    <w:rsid w:val="00FB107A"/>
    <w:rsid w:val="00FC1B22"/>
    <w:rsid w:val="00FE4577"/>
    <w:rsid w:val="00FF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ind w:firstLine="720"/>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autoRedefine/>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uiPriority w:val="99"/>
    <w:pPr>
      <w:widowControl w:val="0"/>
      <w:numPr>
        <w:numId w:val="3"/>
      </w:numPr>
      <w:tabs>
        <w:tab w:val="left" w:pos="1440"/>
      </w:tabs>
      <w:spacing w:after="220"/>
      <w:jc w:val="both"/>
    </w:pPr>
    <w:rPr>
      <w:rFonts w:eastAsia="ヒラギノ角ゴ Pro W3"/>
      <w:color w:val="000000"/>
      <w:sz w:val="22"/>
    </w:rPr>
  </w:style>
  <w:style w:type="character" w:customStyle="1" w:styleId="FootnoteReference1">
    <w:name w:val="Footnote Reference1"/>
    <w:autoRedefine/>
    <w:rPr>
      <w:color w:val="000000"/>
      <w:sz w:val="22"/>
      <w:vertAlign w:val="superscript"/>
    </w:rPr>
  </w:style>
  <w:style w:type="character" w:customStyle="1" w:styleId="Unknown1">
    <w:name w:val="Unknown 1"/>
    <w:basedOn w:val="DefaultParagraphFont"/>
    <w:semiHidden/>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Hyperlink1">
    <w:name w:val="Hyperlink1"/>
    <w:rPr>
      <w:color w:val="0000FF"/>
      <w:sz w:val="22"/>
      <w:u w:val="single"/>
    </w:rPr>
  </w:style>
  <w:style w:type="paragraph" w:customStyle="1" w:styleId="FootnoteText10">
    <w:name w:val="Footnote Text1"/>
    <w:rPr>
      <w:rFonts w:ascii="Helvetica" w:eastAsia="ヒラギノ角ゴ Pro W3" w:hAnsi="Helvetica"/>
      <w:color w:val="000000"/>
    </w:rPr>
  </w:style>
  <w:style w:type="numbering" w:customStyle="1" w:styleId="List31">
    <w:name w:val="List 31"/>
    <w:autoRedefine/>
  </w:style>
  <w:style w:type="paragraph" w:styleId="BalloonText">
    <w:name w:val="Balloon Text"/>
    <w:basedOn w:val="Normal"/>
    <w:link w:val="BalloonTextChar"/>
    <w:locked/>
    <w:rsid w:val="00EA7DD5"/>
    <w:rPr>
      <w:rFonts w:ascii="Tahoma" w:hAnsi="Tahoma" w:cs="Tahoma"/>
      <w:sz w:val="16"/>
      <w:szCs w:val="16"/>
    </w:rPr>
  </w:style>
  <w:style w:type="character" w:customStyle="1" w:styleId="BalloonTextChar">
    <w:name w:val="Balloon Text Char"/>
    <w:link w:val="BalloonText"/>
    <w:rsid w:val="00EA7DD5"/>
    <w:rPr>
      <w:rFonts w:ascii="Tahoma" w:eastAsia="ヒラギノ角ゴ Pro W3" w:hAnsi="Tahoma" w:cs="Tahoma"/>
      <w:color w:val="000000"/>
      <w:sz w:val="16"/>
      <w:szCs w:val="16"/>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locked/>
    <w:rsid w:val="00686341"/>
    <w:rPr>
      <w:sz w:val="20"/>
      <w:szCs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686341"/>
    <w:rPr>
      <w:rFonts w:eastAsia="ヒラギノ角ゴ Pro W3"/>
      <w:color w:val="000000"/>
    </w:rPr>
  </w:style>
  <w:style w:type="character" w:styleId="FootnoteReference">
    <w:name w:val="footnote reference"/>
    <w:aliases w:val="Style 12,(NECG) Footnote Reference,Appel note de bas de p,Style 124,Style 13,fr,o,Style 3,FR,Style 17,Style 6,Footnote Reference/"/>
    <w:locked/>
    <w:rsid w:val="00686341"/>
    <w:rPr>
      <w:vertAlign w:val="superscript"/>
    </w:rPr>
  </w:style>
  <w:style w:type="paragraph" w:styleId="TOAHeading">
    <w:name w:val="toa heading"/>
    <w:basedOn w:val="Normal"/>
    <w:next w:val="Normal"/>
    <w:locked/>
    <w:rsid w:val="003D51B8"/>
    <w:pPr>
      <w:widowControl w:val="0"/>
      <w:tabs>
        <w:tab w:val="right" w:pos="9360"/>
      </w:tabs>
      <w:suppressAutoHyphens/>
      <w:spacing w:after="0"/>
      <w:ind w:firstLine="0"/>
    </w:pPr>
    <w:rPr>
      <w:rFonts w:eastAsia="Times New Roman"/>
      <w:snapToGrid w:val="0"/>
      <w:color w:val="auto"/>
      <w:kern w:val="28"/>
      <w:szCs w:val="20"/>
    </w:rPr>
  </w:style>
  <w:style w:type="character" w:customStyle="1" w:styleId="ParaNumChar1">
    <w:name w:val="ParaNum Char1"/>
    <w:link w:val="ParaNum"/>
    <w:uiPriority w:val="99"/>
    <w:locked/>
    <w:rsid w:val="00DA0E2A"/>
    <w:rPr>
      <w:rFonts w:eastAsia="ヒラギノ角ゴ Pro W3"/>
      <w:color w:val="000000"/>
      <w:sz w:val="22"/>
    </w:rPr>
  </w:style>
  <w:style w:type="character" w:styleId="Hyperlink">
    <w:name w:val="Hyperlink"/>
    <w:uiPriority w:val="99"/>
    <w:locked/>
    <w:rsid w:val="00162DC3"/>
    <w:rPr>
      <w:rFonts w:cs="Times New Roman"/>
      <w:color w:val="0000FF"/>
      <w:u w:val="single"/>
    </w:rPr>
  </w:style>
  <w:style w:type="character" w:customStyle="1" w:styleId="contents">
    <w:name w:val="contents"/>
    <w:rsid w:val="00162DC3"/>
  </w:style>
  <w:style w:type="character" w:styleId="Emphasis">
    <w:name w:val="Emphasis"/>
    <w:qFormat/>
    <w:locked/>
    <w:rsid w:val="007A1D24"/>
    <w:rPr>
      <w:i/>
      <w:iCs/>
    </w:rPr>
  </w:style>
  <w:style w:type="paragraph" w:styleId="CommentText">
    <w:name w:val="annotation text"/>
    <w:basedOn w:val="Normal"/>
    <w:link w:val="CommentTextChar"/>
    <w:uiPriority w:val="99"/>
    <w:unhideWhenUsed/>
    <w:locked/>
    <w:rsid w:val="00CC013B"/>
    <w:pPr>
      <w:spacing w:after="0"/>
      <w:ind w:firstLine="0"/>
    </w:pPr>
    <w:rPr>
      <w:rFonts w:eastAsia="Times New Roman"/>
      <w:color w:val="auto"/>
      <w:sz w:val="20"/>
      <w:szCs w:val="20"/>
    </w:rPr>
  </w:style>
  <w:style w:type="character" w:customStyle="1" w:styleId="CommentTextChar">
    <w:name w:val="Comment Text Char"/>
    <w:basedOn w:val="DefaultParagraphFont"/>
    <w:link w:val="CommentText"/>
    <w:uiPriority w:val="99"/>
    <w:rsid w:val="00CC013B"/>
  </w:style>
  <w:style w:type="paragraph" w:styleId="Header">
    <w:name w:val="header"/>
    <w:basedOn w:val="Normal"/>
    <w:link w:val="HeaderChar"/>
    <w:autoRedefine/>
    <w:locked/>
    <w:rsid w:val="002850D9"/>
    <w:pPr>
      <w:widowControl w:val="0"/>
      <w:tabs>
        <w:tab w:val="center" w:pos="4680"/>
        <w:tab w:val="right" w:pos="9360"/>
      </w:tabs>
      <w:spacing w:after="0"/>
      <w:ind w:firstLine="0"/>
    </w:pPr>
    <w:rPr>
      <w:rFonts w:eastAsia="Times New Roman"/>
      <w:b/>
      <w:snapToGrid w:val="0"/>
      <w:color w:val="auto"/>
      <w:kern w:val="28"/>
      <w:szCs w:val="20"/>
    </w:rPr>
  </w:style>
  <w:style w:type="character" w:customStyle="1" w:styleId="HeaderChar">
    <w:name w:val="Header Char"/>
    <w:link w:val="Header"/>
    <w:rsid w:val="002850D9"/>
    <w:rPr>
      <w:b/>
      <w:snapToGrid w:val="0"/>
      <w:kern w:val="28"/>
      <w:sz w:val="22"/>
    </w:rPr>
  </w:style>
  <w:style w:type="paragraph" w:styleId="Footer">
    <w:name w:val="footer"/>
    <w:basedOn w:val="Normal"/>
    <w:link w:val="FooterChar"/>
    <w:locked/>
    <w:rsid w:val="002850D9"/>
    <w:pPr>
      <w:tabs>
        <w:tab w:val="center" w:pos="4680"/>
        <w:tab w:val="right" w:pos="9360"/>
      </w:tabs>
    </w:pPr>
  </w:style>
  <w:style w:type="character" w:customStyle="1" w:styleId="FooterChar">
    <w:name w:val="Footer Char"/>
    <w:link w:val="Footer"/>
    <w:rsid w:val="002850D9"/>
    <w:rPr>
      <w:rFonts w:eastAsia="ヒラギノ角ゴ Pro W3"/>
      <w:color w:val="000000"/>
      <w:sz w:val="22"/>
      <w:szCs w:val="24"/>
    </w:rPr>
  </w:style>
  <w:style w:type="character" w:styleId="CommentReference">
    <w:name w:val="annotation reference"/>
    <w:locked/>
    <w:rsid w:val="00E806C3"/>
    <w:rPr>
      <w:sz w:val="16"/>
      <w:szCs w:val="16"/>
    </w:rPr>
  </w:style>
  <w:style w:type="paragraph" w:styleId="CommentSubject">
    <w:name w:val="annotation subject"/>
    <w:basedOn w:val="CommentText"/>
    <w:next w:val="CommentText"/>
    <w:link w:val="CommentSubjectChar"/>
    <w:locked/>
    <w:rsid w:val="00E806C3"/>
    <w:pPr>
      <w:spacing w:after="120"/>
      <w:ind w:firstLine="720"/>
    </w:pPr>
    <w:rPr>
      <w:rFonts w:eastAsia="ヒラギノ角ゴ Pro W3"/>
      <w:b/>
      <w:bCs/>
      <w:color w:val="000000"/>
    </w:rPr>
  </w:style>
  <w:style w:type="character" w:customStyle="1" w:styleId="CommentSubjectChar">
    <w:name w:val="Comment Subject Char"/>
    <w:link w:val="CommentSubject"/>
    <w:rsid w:val="00E806C3"/>
    <w:rPr>
      <w:rFonts w:eastAsia="ヒラギノ角ゴ Pro W3"/>
      <w:b/>
      <w:bCs/>
      <w:color w:val="000000"/>
    </w:rPr>
  </w:style>
  <w:style w:type="paragraph" w:styleId="ListParagraph">
    <w:name w:val="List Paragraph"/>
    <w:basedOn w:val="Normal"/>
    <w:uiPriority w:val="34"/>
    <w:qFormat/>
    <w:rsid w:val="00760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120"/>
      <w:ind w:firstLine="720"/>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autoRedefine/>
    <w:pPr>
      <w:tabs>
        <w:tab w:val="center" w:pos="4320"/>
        <w:tab w:val="right" w:pos="8640"/>
      </w:tabs>
    </w:pPr>
    <w:rPr>
      <w:rFonts w:eastAsia="ヒラギノ角ゴ Pro W3"/>
      <w:color w:val="000000"/>
      <w:sz w:val="22"/>
    </w:rPr>
  </w:style>
  <w:style w:type="character" w:customStyle="1" w:styleId="PageNumber1">
    <w:name w:val="Page Number1"/>
    <w:rPr>
      <w:color w:val="000000"/>
      <w:sz w:val="22"/>
    </w:rPr>
  </w:style>
  <w:style w:type="character" w:customStyle="1" w:styleId="Unknown0">
    <w:name w:val="Unknown 0"/>
    <w:basedOn w:val="DefaultParagraphFont"/>
    <w:semiHidden/>
  </w:style>
  <w:style w:type="paragraph" w:customStyle="1" w:styleId="FreeForm">
    <w:name w:val="Free Form"/>
    <w:rPr>
      <w:rFonts w:eastAsia="ヒラギノ角ゴ Pro W3"/>
      <w:color w:val="000000"/>
      <w:sz w:val="22"/>
    </w:rPr>
  </w:style>
  <w:style w:type="paragraph" w:customStyle="1" w:styleId="Heading11">
    <w:name w:val="Heading 11"/>
    <w:next w:val="ParaNum"/>
    <w:pPr>
      <w:keepNext/>
      <w:widowControl w:val="0"/>
      <w:suppressAutoHyphens/>
      <w:spacing w:after="220"/>
      <w:jc w:val="both"/>
      <w:outlineLvl w:val="0"/>
    </w:pPr>
    <w:rPr>
      <w:rFonts w:ascii="Times New Roman Bold" w:eastAsia="ヒラギノ角ゴ Pro W3" w:hAnsi="Times New Roman Bold"/>
      <w:caps/>
      <w:color w:val="000000"/>
      <w:sz w:val="22"/>
    </w:rPr>
  </w:style>
  <w:style w:type="paragraph" w:customStyle="1" w:styleId="ParaNum">
    <w:name w:val="ParaNum"/>
    <w:link w:val="ParaNumChar1"/>
    <w:uiPriority w:val="99"/>
    <w:pPr>
      <w:widowControl w:val="0"/>
      <w:numPr>
        <w:numId w:val="3"/>
      </w:numPr>
      <w:tabs>
        <w:tab w:val="left" w:pos="1440"/>
      </w:tabs>
      <w:spacing w:after="220"/>
      <w:jc w:val="both"/>
    </w:pPr>
    <w:rPr>
      <w:rFonts w:eastAsia="ヒラギノ角ゴ Pro W3"/>
      <w:color w:val="000000"/>
      <w:sz w:val="22"/>
    </w:rPr>
  </w:style>
  <w:style w:type="character" w:customStyle="1" w:styleId="FootnoteReference1">
    <w:name w:val="Footnote Reference1"/>
    <w:autoRedefine/>
    <w:rPr>
      <w:color w:val="000000"/>
      <w:sz w:val="22"/>
      <w:vertAlign w:val="superscript"/>
    </w:rPr>
  </w:style>
  <w:style w:type="character" w:customStyle="1" w:styleId="Unknown1">
    <w:name w:val="Unknown 1"/>
    <w:basedOn w:val="DefaultParagraphFont"/>
    <w:semiHidden/>
  </w:style>
  <w:style w:type="paragraph" w:customStyle="1" w:styleId="FootnoteText1">
    <w:name w:val="Footnote Text1"/>
    <w:pPr>
      <w:tabs>
        <w:tab w:val="left" w:pos="180"/>
        <w:tab w:val="left" w:pos="720"/>
        <w:tab w:val="left" w:pos="1440"/>
        <w:tab w:val="left" w:pos="2160"/>
      </w:tabs>
      <w:spacing w:after="120"/>
      <w:jc w:val="both"/>
    </w:pPr>
    <w:rPr>
      <w:rFonts w:eastAsia="ヒラギノ角ゴ Pro W3"/>
      <w:color w:val="000000"/>
    </w:rPr>
  </w:style>
  <w:style w:type="character" w:customStyle="1" w:styleId="Hyperlink1">
    <w:name w:val="Hyperlink1"/>
    <w:rPr>
      <w:color w:val="0000FF"/>
      <w:sz w:val="22"/>
      <w:u w:val="single"/>
    </w:rPr>
  </w:style>
  <w:style w:type="paragraph" w:customStyle="1" w:styleId="FootnoteText10">
    <w:name w:val="Footnote Text1"/>
    <w:rPr>
      <w:rFonts w:ascii="Helvetica" w:eastAsia="ヒラギノ角ゴ Pro W3" w:hAnsi="Helvetica"/>
      <w:color w:val="000000"/>
    </w:rPr>
  </w:style>
  <w:style w:type="numbering" w:customStyle="1" w:styleId="List31">
    <w:name w:val="List 31"/>
    <w:autoRedefine/>
  </w:style>
  <w:style w:type="paragraph" w:styleId="BalloonText">
    <w:name w:val="Balloon Text"/>
    <w:basedOn w:val="Normal"/>
    <w:link w:val="BalloonTextChar"/>
    <w:locked/>
    <w:rsid w:val="00EA7DD5"/>
    <w:rPr>
      <w:rFonts w:ascii="Tahoma" w:hAnsi="Tahoma" w:cs="Tahoma"/>
      <w:sz w:val="16"/>
      <w:szCs w:val="16"/>
    </w:rPr>
  </w:style>
  <w:style w:type="character" w:customStyle="1" w:styleId="BalloonTextChar">
    <w:name w:val="Balloon Text Char"/>
    <w:link w:val="BalloonText"/>
    <w:rsid w:val="00EA7DD5"/>
    <w:rPr>
      <w:rFonts w:ascii="Tahoma" w:eastAsia="ヒラギノ角ゴ Pro W3" w:hAnsi="Tahoma" w:cs="Tahoma"/>
      <w:color w:val="000000"/>
      <w:sz w:val="16"/>
      <w:szCs w:val="16"/>
    </w:r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locked/>
    <w:rsid w:val="00686341"/>
    <w:rPr>
      <w:sz w:val="20"/>
      <w:szCs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link w:val="FootnoteText"/>
    <w:uiPriority w:val="99"/>
    <w:rsid w:val="00686341"/>
    <w:rPr>
      <w:rFonts w:eastAsia="ヒラギノ角ゴ Pro W3"/>
      <w:color w:val="000000"/>
    </w:rPr>
  </w:style>
  <w:style w:type="character" w:styleId="FootnoteReference">
    <w:name w:val="footnote reference"/>
    <w:aliases w:val="Style 12,(NECG) Footnote Reference,Appel note de bas de p,Style 124,Style 13,fr,o,Style 3,FR,Style 17,Style 6,Footnote Reference/"/>
    <w:locked/>
    <w:rsid w:val="00686341"/>
    <w:rPr>
      <w:vertAlign w:val="superscript"/>
    </w:rPr>
  </w:style>
  <w:style w:type="paragraph" w:styleId="TOAHeading">
    <w:name w:val="toa heading"/>
    <w:basedOn w:val="Normal"/>
    <w:next w:val="Normal"/>
    <w:locked/>
    <w:rsid w:val="003D51B8"/>
    <w:pPr>
      <w:widowControl w:val="0"/>
      <w:tabs>
        <w:tab w:val="right" w:pos="9360"/>
      </w:tabs>
      <w:suppressAutoHyphens/>
      <w:spacing w:after="0"/>
      <w:ind w:firstLine="0"/>
    </w:pPr>
    <w:rPr>
      <w:rFonts w:eastAsia="Times New Roman"/>
      <w:snapToGrid w:val="0"/>
      <w:color w:val="auto"/>
      <w:kern w:val="28"/>
      <w:szCs w:val="20"/>
    </w:rPr>
  </w:style>
  <w:style w:type="character" w:customStyle="1" w:styleId="ParaNumChar1">
    <w:name w:val="ParaNum Char1"/>
    <w:link w:val="ParaNum"/>
    <w:uiPriority w:val="99"/>
    <w:locked/>
    <w:rsid w:val="00DA0E2A"/>
    <w:rPr>
      <w:rFonts w:eastAsia="ヒラギノ角ゴ Pro W3"/>
      <w:color w:val="000000"/>
      <w:sz w:val="22"/>
    </w:rPr>
  </w:style>
  <w:style w:type="character" w:styleId="Hyperlink">
    <w:name w:val="Hyperlink"/>
    <w:uiPriority w:val="99"/>
    <w:locked/>
    <w:rsid w:val="00162DC3"/>
    <w:rPr>
      <w:rFonts w:cs="Times New Roman"/>
      <w:color w:val="0000FF"/>
      <w:u w:val="single"/>
    </w:rPr>
  </w:style>
  <w:style w:type="character" w:customStyle="1" w:styleId="contents">
    <w:name w:val="contents"/>
    <w:rsid w:val="00162DC3"/>
  </w:style>
  <w:style w:type="character" w:styleId="Emphasis">
    <w:name w:val="Emphasis"/>
    <w:qFormat/>
    <w:locked/>
    <w:rsid w:val="007A1D24"/>
    <w:rPr>
      <w:i/>
      <w:iCs/>
    </w:rPr>
  </w:style>
  <w:style w:type="paragraph" w:styleId="CommentText">
    <w:name w:val="annotation text"/>
    <w:basedOn w:val="Normal"/>
    <w:link w:val="CommentTextChar"/>
    <w:uiPriority w:val="99"/>
    <w:unhideWhenUsed/>
    <w:locked/>
    <w:rsid w:val="00CC013B"/>
    <w:pPr>
      <w:spacing w:after="0"/>
      <w:ind w:firstLine="0"/>
    </w:pPr>
    <w:rPr>
      <w:rFonts w:eastAsia="Times New Roman"/>
      <w:color w:val="auto"/>
      <w:sz w:val="20"/>
      <w:szCs w:val="20"/>
    </w:rPr>
  </w:style>
  <w:style w:type="character" w:customStyle="1" w:styleId="CommentTextChar">
    <w:name w:val="Comment Text Char"/>
    <w:basedOn w:val="DefaultParagraphFont"/>
    <w:link w:val="CommentText"/>
    <w:uiPriority w:val="99"/>
    <w:rsid w:val="00CC013B"/>
  </w:style>
  <w:style w:type="paragraph" w:styleId="Header">
    <w:name w:val="header"/>
    <w:basedOn w:val="Normal"/>
    <w:link w:val="HeaderChar"/>
    <w:autoRedefine/>
    <w:locked/>
    <w:rsid w:val="002850D9"/>
    <w:pPr>
      <w:widowControl w:val="0"/>
      <w:tabs>
        <w:tab w:val="center" w:pos="4680"/>
        <w:tab w:val="right" w:pos="9360"/>
      </w:tabs>
      <w:spacing w:after="0"/>
      <w:ind w:firstLine="0"/>
    </w:pPr>
    <w:rPr>
      <w:rFonts w:eastAsia="Times New Roman"/>
      <w:b/>
      <w:snapToGrid w:val="0"/>
      <w:color w:val="auto"/>
      <w:kern w:val="28"/>
      <w:szCs w:val="20"/>
    </w:rPr>
  </w:style>
  <w:style w:type="character" w:customStyle="1" w:styleId="HeaderChar">
    <w:name w:val="Header Char"/>
    <w:link w:val="Header"/>
    <w:rsid w:val="002850D9"/>
    <w:rPr>
      <w:b/>
      <w:snapToGrid w:val="0"/>
      <w:kern w:val="28"/>
      <w:sz w:val="22"/>
    </w:rPr>
  </w:style>
  <w:style w:type="paragraph" w:styleId="Footer">
    <w:name w:val="footer"/>
    <w:basedOn w:val="Normal"/>
    <w:link w:val="FooterChar"/>
    <w:locked/>
    <w:rsid w:val="002850D9"/>
    <w:pPr>
      <w:tabs>
        <w:tab w:val="center" w:pos="4680"/>
        <w:tab w:val="right" w:pos="9360"/>
      </w:tabs>
    </w:pPr>
  </w:style>
  <w:style w:type="character" w:customStyle="1" w:styleId="FooterChar">
    <w:name w:val="Footer Char"/>
    <w:link w:val="Footer"/>
    <w:rsid w:val="002850D9"/>
    <w:rPr>
      <w:rFonts w:eastAsia="ヒラギノ角ゴ Pro W3"/>
      <w:color w:val="000000"/>
      <w:sz w:val="22"/>
      <w:szCs w:val="24"/>
    </w:rPr>
  </w:style>
  <w:style w:type="character" w:styleId="CommentReference">
    <w:name w:val="annotation reference"/>
    <w:locked/>
    <w:rsid w:val="00E806C3"/>
    <w:rPr>
      <w:sz w:val="16"/>
      <w:szCs w:val="16"/>
    </w:rPr>
  </w:style>
  <w:style w:type="paragraph" w:styleId="CommentSubject">
    <w:name w:val="annotation subject"/>
    <w:basedOn w:val="CommentText"/>
    <w:next w:val="CommentText"/>
    <w:link w:val="CommentSubjectChar"/>
    <w:locked/>
    <w:rsid w:val="00E806C3"/>
    <w:pPr>
      <w:spacing w:after="120"/>
      <w:ind w:firstLine="720"/>
    </w:pPr>
    <w:rPr>
      <w:rFonts w:eastAsia="ヒラギノ角ゴ Pro W3"/>
      <w:b/>
      <w:bCs/>
      <w:color w:val="000000"/>
    </w:rPr>
  </w:style>
  <w:style w:type="character" w:customStyle="1" w:styleId="CommentSubjectChar">
    <w:name w:val="Comment Subject Char"/>
    <w:link w:val="CommentSubject"/>
    <w:rsid w:val="00E806C3"/>
    <w:rPr>
      <w:rFonts w:eastAsia="ヒラギノ角ゴ Pro W3"/>
      <w:b/>
      <w:bCs/>
      <w:color w:val="000000"/>
    </w:rPr>
  </w:style>
  <w:style w:type="paragraph" w:styleId="ListParagraph">
    <w:name w:val="List Paragraph"/>
    <w:basedOn w:val="Normal"/>
    <w:uiPriority w:val="34"/>
    <w:qFormat/>
    <w:rsid w:val="0076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2566</Words>
  <Characters>14424</Characters>
  <Application>Microsoft Office Word</Application>
  <DocSecurity>0</DocSecurity>
  <Lines>224</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17109</CharactersWithSpaces>
  <SharedDoc>false</SharedDoc>
  <HyperlinkBase> </HyperlinkBase>
  <HLinks>
    <vt:vector size="12" baseType="variant">
      <vt:variant>
        <vt:i4>8061010</vt:i4>
      </vt:variant>
      <vt:variant>
        <vt:i4>4</vt:i4>
      </vt:variant>
      <vt:variant>
        <vt:i4>0</vt:i4>
      </vt:variant>
      <vt:variant>
        <vt:i4>5</vt:i4>
      </vt:variant>
      <vt:variant>
        <vt:lpwstr>mailto:captioningexemption@fcc.gov</vt:lpwstr>
      </vt:variant>
      <vt:variant>
        <vt:lpwstr/>
      </vt:variant>
      <vt:variant>
        <vt:i4>7012355</vt:i4>
      </vt:variant>
      <vt:variant>
        <vt:i4>0</vt:i4>
      </vt:variant>
      <vt:variant>
        <vt:i4>0</vt:i4>
      </vt:variant>
      <vt:variant>
        <vt:i4>5</vt:i4>
      </vt:variant>
      <vt:variant>
        <vt:lpwstr>http://hraunfoss.fcc.gov/edocs_public/attachmatch/DOC-323421A1.pdf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2014-12-19T14:34:00Z</cp:lastPrinted>
  <dcterms:created xsi:type="dcterms:W3CDTF">2014-12-19T15:09:00Z</dcterms:created>
  <dcterms:modified xsi:type="dcterms:W3CDTF">2014-12-19T15:09:00Z</dcterms:modified>
  <cp:category> </cp:category>
  <cp:contentStatus> </cp:contentStatus>
</cp:coreProperties>
</file>