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E" w:rsidRDefault="00D966BE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D966BE" w:rsidRDefault="00D966BE">
      <w:pPr>
        <w:jc w:val="center"/>
        <w:rPr>
          <w:b/>
        </w:rPr>
      </w:pPr>
      <w:r>
        <w:rPr>
          <w:b/>
        </w:rPr>
        <w:t>Federal Communications Commission</w:t>
      </w:r>
    </w:p>
    <w:p w:rsidR="00D966BE" w:rsidRDefault="00D966B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D966BE" w:rsidRDefault="00D966BE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90"/>
        <w:gridCol w:w="4158"/>
        <w:gridCol w:w="72"/>
      </w:tblGrid>
      <w:tr w:rsidR="00796C5E" w:rsidTr="00982203">
        <w:tc>
          <w:tcPr>
            <w:tcW w:w="4698" w:type="dxa"/>
          </w:tcPr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Amendment of Part 15 of the Commission’s Rules for Unlicensed Operations in the Television Bands, Repurposed 600 MHz Band, 600 MHz Guard Bands and Duplex Gap, and Channel 37, and</w:t>
            </w: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96C5E" w:rsidRPr="007115F7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Amendment of Part 74 of the Commission’s Rules for Low Power Auxiliary Stations in the Repurposed 600 MHz Band and 600 MHz Duplex Gap</w:t>
            </w:r>
          </w:p>
        </w:tc>
        <w:tc>
          <w:tcPr>
            <w:tcW w:w="720" w:type="dxa"/>
            <w:gridSpan w:val="2"/>
          </w:tcPr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96C5E" w:rsidRPr="00A7264C" w:rsidRDefault="00796C5E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  <w:r>
              <w:rPr>
                <w:b/>
                <w:spacing w:val="-2"/>
              </w:rPr>
              <w:br/>
              <w:t>)</w:t>
            </w:r>
            <w:r>
              <w:rPr>
                <w:b/>
                <w:spacing w:val="-2"/>
              </w:rPr>
              <w:br/>
              <w:t>)</w:t>
            </w:r>
            <w:r>
              <w:rPr>
                <w:b/>
                <w:spacing w:val="-2"/>
              </w:rPr>
              <w:br/>
              <w:t>)</w:t>
            </w:r>
            <w:r>
              <w:rPr>
                <w:b/>
                <w:spacing w:val="-2"/>
              </w:rPr>
              <w:br/>
              <w:t>)</w:t>
            </w:r>
          </w:p>
        </w:tc>
        <w:tc>
          <w:tcPr>
            <w:tcW w:w="4230" w:type="dxa"/>
            <w:gridSpan w:val="2"/>
          </w:tcPr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96C5E" w:rsidRDefault="00796C5E" w:rsidP="00ED7619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796C5E" w:rsidRDefault="00796C5E" w:rsidP="00524253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  <w:r>
              <w:rPr>
                <w:spacing w:val="-2"/>
              </w:rPr>
              <w:t>ET Docket No. 14-165</w:t>
            </w: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  <w:p w:rsidR="00796C5E" w:rsidRDefault="00796C5E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  <w:tr w:rsidR="00982203" w:rsidRPr="00AB6C6E" w:rsidTr="00982203">
        <w:trPr>
          <w:gridAfter w:val="1"/>
          <w:wAfter w:w="72" w:type="dxa"/>
        </w:trPr>
        <w:tc>
          <w:tcPr>
            <w:tcW w:w="4698" w:type="dxa"/>
          </w:tcPr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AB6C6E">
              <w:rPr>
                <w:spacing w:val="-2"/>
              </w:rPr>
              <w:t xml:space="preserve">Promoting Spectrum Access for Wireless Microphone Operations 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AB6C6E">
              <w:rPr>
                <w:spacing w:val="-2"/>
              </w:rPr>
              <w:t>Expanding the Economic and Innovation Opportunities of Spectrum Through Incentive Auctions</w:t>
            </w:r>
          </w:p>
        </w:tc>
        <w:tc>
          <w:tcPr>
            <w:tcW w:w="630" w:type="dxa"/>
          </w:tcPr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AB6C6E">
              <w:rPr>
                <w:b/>
                <w:spacing w:val="-2"/>
              </w:rPr>
              <w:t>)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AB6C6E">
              <w:rPr>
                <w:b/>
                <w:spacing w:val="-2"/>
              </w:rPr>
              <w:t>)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AB6C6E">
              <w:rPr>
                <w:b/>
                <w:spacing w:val="-2"/>
              </w:rPr>
              <w:t>)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AB6C6E">
              <w:rPr>
                <w:b/>
                <w:spacing w:val="-2"/>
              </w:rPr>
              <w:t>)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AB6C6E">
              <w:rPr>
                <w:b/>
                <w:spacing w:val="-2"/>
              </w:rPr>
              <w:t>)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AB6C6E">
              <w:rPr>
                <w:b/>
                <w:spacing w:val="-2"/>
              </w:rPr>
              <w:t>)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AB6C6E">
              <w:rPr>
                <w:b/>
                <w:spacing w:val="-2"/>
              </w:rPr>
              <w:t>)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AB6C6E">
              <w:rPr>
                <w:b/>
                <w:spacing w:val="-2"/>
              </w:rPr>
              <w:t>)</w:t>
            </w:r>
          </w:p>
        </w:tc>
        <w:tc>
          <w:tcPr>
            <w:tcW w:w="4248" w:type="dxa"/>
            <w:gridSpan w:val="2"/>
          </w:tcPr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82203" w:rsidRPr="00AB6C6E" w:rsidRDefault="00982203" w:rsidP="0098220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AB6C6E">
              <w:rPr>
                <w:spacing w:val="-2"/>
              </w:rPr>
              <w:t>GN Docket No. 14-166</w:t>
            </w:r>
          </w:p>
          <w:p w:rsidR="00982203" w:rsidRPr="00AB6C6E" w:rsidRDefault="00982203" w:rsidP="00ED7619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82203" w:rsidRPr="00AB6C6E" w:rsidRDefault="00982203" w:rsidP="0098220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AB6C6E">
              <w:rPr>
                <w:spacing w:val="-2"/>
              </w:rPr>
              <w:t>GN Docket No. 12-268</w:t>
            </w: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82203" w:rsidRPr="00AB6C6E" w:rsidRDefault="00982203" w:rsidP="00ED761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D966BE" w:rsidRDefault="0013665E" w:rsidP="0013665E">
      <w:pPr>
        <w:spacing w:before="120"/>
        <w:ind w:left="720" w:hanging="720"/>
        <w:jc w:val="center"/>
        <w:rPr>
          <w:b/>
          <w:spacing w:val="-2"/>
        </w:rPr>
      </w:pPr>
      <w:r>
        <w:rPr>
          <w:b/>
          <w:spacing w:val="-2"/>
        </w:rPr>
        <w:t>ORDER</w:t>
      </w:r>
    </w:p>
    <w:p w:rsidR="0013665E" w:rsidRDefault="0013665E" w:rsidP="0013665E">
      <w:pPr>
        <w:spacing w:before="120"/>
        <w:ind w:left="720" w:hanging="720"/>
        <w:jc w:val="center"/>
      </w:pPr>
    </w:p>
    <w:p w:rsidR="00D966BE" w:rsidRDefault="00D966BE">
      <w:pPr>
        <w:tabs>
          <w:tab w:val="left" w:pos="5760"/>
        </w:tabs>
        <w:rPr>
          <w:b/>
        </w:rPr>
      </w:pPr>
      <w:r>
        <w:rPr>
          <w:b/>
        </w:rPr>
        <w:t xml:space="preserve">Adopted:  </w:t>
      </w:r>
      <w:r w:rsidR="001F5058">
        <w:rPr>
          <w:b/>
        </w:rPr>
        <w:t>December 10, 2014</w:t>
      </w:r>
      <w:r w:rsidR="001F5058">
        <w:rPr>
          <w:b/>
        </w:rPr>
        <w:tab/>
      </w:r>
      <w:r>
        <w:rPr>
          <w:b/>
        </w:rPr>
        <w:tab/>
        <w:t xml:space="preserve">Released:  </w:t>
      </w:r>
      <w:r w:rsidR="001F5058">
        <w:rPr>
          <w:b/>
        </w:rPr>
        <w:t>December 10, 2014</w:t>
      </w:r>
    </w:p>
    <w:p w:rsidR="001F5058" w:rsidRDefault="001F5058">
      <w:pPr>
        <w:tabs>
          <w:tab w:val="left" w:pos="5760"/>
        </w:tabs>
        <w:rPr>
          <w:b/>
        </w:rPr>
      </w:pPr>
    </w:p>
    <w:p w:rsidR="00D966BE" w:rsidRDefault="00D966BE">
      <w:pPr>
        <w:tabs>
          <w:tab w:val="left" w:pos="5760"/>
        </w:tabs>
        <w:rPr>
          <w:spacing w:val="-2"/>
        </w:rPr>
      </w:pPr>
      <w:r>
        <w:t xml:space="preserve">By the </w:t>
      </w:r>
      <w:r>
        <w:rPr>
          <w:spacing w:val="-2"/>
        </w:rPr>
        <w:t>C</w:t>
      </w:r>
      <w:r w:rsidR="009C2FDB">
        <w:rPr>
          <w:spacing w:val="-2"/>
        </w:rPr>
        <w:t>hief</w:t>
      </w:r>
      <w:r w:rsidR="009B306F">
        <w:rPr>
          <w:spacing w:val="-2"/>
        </w:rPr>
        <w:t>, Office of</w:t>
      </w:r>
      <w:r w:rsidR="009C2FDB">
        <w:rPr>
          <w:spacing w:val="-2"/>
        </w:rPr>
        <w:t xml:space="preserve"> Engineer</w:t>
      </w:r>
      <w:r w:rsidR="009B306F">
        <w:rPr>
          <w:spacing w:val="-2"/>
        </w:rPr>
        <w:t>ing and Technology</w:t>
      </w:r>
      <w:r w:rsidR="009C2FDB">
        <w:rPr>
          <w:spacing w:val="-2"/>
        </w:rPr>
        <w:t>:</w:t>
      </w:r>
      <w:r>
        <w:rPr>
          <w:spacing w:val="-2"/>
        </w:rPr>
        <w:t xml:space="preserve">  </w:t>
      </w:r>
    </w:p>
    <w:p w:rsidR="00D966BE" w:rsidRDefault="00D966BE">
      <w:pPr>
        <w:tabs>
          <w:tab w:val="left" w:pos="5760"/>
        </w:tabs>
        <w:rPr>
          <w:spacing w:val="-2"/>
        </w:rPr>
      </w:pPr>
    </w:p>
    <w:p w:rsidR="00302E8B" w:rsidRDefault="00CB012C" w:rsidP="00302E8B">
      <w:pPr>
        <w:pStyle w:val="ParaNum"/>
        <w:tabs>
          <w:tab w:val="clear" w:pos="1080"/>
          <w:tab w:val="clear" w:pos="1440"/>
          <w:tab w:val="left" w:pos="900"/>
        </w:tabs>
        <w:ind w:firstLine="432"/>
        <w:jc w:val="left"/>
      </w:pPr>
      <w:r>
        <w:rPr>
          <w:spacing w:val="-2"/>
        </w:rPr>
        <w:t xml:space="preserve">On </w:t>
      </w:r>
      <w:r w:rsidR="00F409D2">
        <w:t>September 30, 2014</w:t>
      </w:r>
      <w:r w:rsidR="003E36E1">
        <w:rPr>
          <w:spacing w:val="-2"/>
        </w:rPr>
        <w:t xml:space="preserve">, the Commission adopted </w:t>
      </w:r>
      <w:r w:rsidR="00236BD2">
        <w:rPr>
          <w:spacing w:val="-2"/>
        </w:rPr>
        <w:t xml:space="preserve">two </w:t>
      </w:r>
      <w:r w:rsidR="00BD3596" w:rsidRPr="00524253">
        <w:rPr>
          <w:spacing w:val="-2"/>
        </w:rPr>
        <w:t>Notice</w:t>
      </w:r>
      <w:r w:rsidR="00F409D2" w:rsidRPr="00524253">
        <w:rPr>
          <w:spacing w:val="-2"/>
        </w:rPr>
        <w:t>s</w:t>
      </w:r>
      <w:r w:rsidR="00BD3596" w:rsidRPr="00524253">
        <w:rPr>
          <w:spacing w:val="-2"/>
        </w:rPr>
        <w:t xml:space="preserve"> of Proposed Rulemaking</w:t>
      </w:r>
      <w:r w:rsidR="003E36E1">
        <w:rPr>
          <w:spacing w:val="-2"/>
        </w:rPr>
        <w:t xml:space="preserve"> (“</w:t>
      </w:r>
      <w:r w:rsidR="00BD3596">
        <w:rPr>
          <w:i/>
          <w:spacing w:val="-2"/>
        </w:rPr>
        <w:t>Notice</w:t>
      </w:r>
      <w:r w:rsidR="00FB2E98">
        <w:rPr>
          <w:i/>
          <w:spacing w:val="-2"/>
        </w:rPr>
        <w:t>s</w:t>
      </w:r>
      <w:r w:rsidR="003E36E1">
        <w:rPr>
          <w:spacing w:val="-2"/>
        </w:rPr>
        <w:t>”)</w:t>
      </w:r>
      <w:r w:rsidR="00FB2E98">
        <w:rPr>
          <w:spacing w:val="-2"/>
        </w:rPr>
        <w:t xml:space="preserve"> </w:t>
      </w:r>
      <w:r w:rsidR="00CE644F">
        <w:rPr>
          <w:spacing w:val="-2"/>
        </w:rPr>
        <w:t xml:space="preserve">in the above captioned proceedings </w:t>
      </w:r>
      <w:r w:rsidR="00E17B4F">
        <w:rPr>
          <w:spacing w:val="-2"/>
        </w:rPr>
        <w:t>concerning</w:t>
      </w:r>
      <w:r w:rsidR="00FB2E98">
        <w:rPr>
          <w:spacing w:val="-2"/>
        </w:rPr>
        <w:t xml:space="preserve"> Part 15 unlicensed operation</w:t>
      </w:r>
      <w:r w:rsidR="00377FFB">
        <w:rPr>
          <w:spacing w:val="-2"/>
        </w:rPr>
        <w:t>s</w:t>
      </w:r>
      <w:r w:rsidR="00236BD2" w:rsidRPr="00236BD2">
        <w:rPr>
          <w:spacing w:val="-2"/>
        </w:rPr>
        <w:t xml:space="preserve"> </w:t>
      </w:r>
      <w:r w:rsidR="00236BD2">
        <w:rPr>
          <w:spacing w:val="-2"/>
        </w:rPr>
        <w:t>and wireless microphones</w:t>
      </w:r>
      <w:r w:rsidR="003E36E1">
        <w:rPr>
          <w:spacing w:val="-2"/>
        </w:rPr>
        <w:t>.</w:t>
      </w:r>
      <w:r w:rsidR="003E36E1">
        <w:rPr>
          <w:rStyle w:val="FootnoteReference"/>
          <w:spacing w:val="-2"/>
        </w:rPr>
        <w:footnoteReference w:id="2"/>
      </w:r>
      <w:r w:rsidR="003E36E1">
        <w:rPr>
          <w:spacing w:val="-2"/>
        </w:rPr>
        <w:t xml:space="preserve">  </w:t>
      </w:r>
      <w:r w:rsidR="00BD3596">
        <w:rPr>
          <w:spacing w:val="-2"/>
        </w:rPr>
        <w:t xml:space="preserve">Comments </w:t>
      </w:r>
      <w:r w:rsidR="00236BD2">
        <w:rPr>
          <w:spacing w:val="-2"/>
        </w:rPr>
        <w:t xml:space="preserve">in each of these proceedings </w:t>
      </w:r>
      <w:r w:rsidR="00F409D2">
        <w:rPr>
          <w:spacing w:val="-2"/>
        </w:rPr>
        <w:t>are</w:t>
      </w:r>
      <w:r w:rsidR="00BD3596">
        <w:rPr>
          <w:spacing w:val="-2"/>
        </w:rPr>
        <w:t xml:space="preserve"> due on J</w:t>
      </w:r>
      <w:r w:rsidR="00F409D2">
        <w:rPr>
          <w:spacing w:val="-2"/>
        </w:rPr>
        <w:t>anuary 5</w:t>
      </w:r>
      <w:r w:rsidR="00BD3596">
        <w:rPr>
          <w:spacing w:val="-2"/>
        </w:rPr>
        <w:t>, 201</w:t>
      </w:r>
      <w:r w:rsidR="00F409D2">
        <w:rPr>
          <w:spacing w:val="-2"/>
        </w:rPr>
        <w:t>5</w:t>
      </w:r>
      <w:r w:rsidR="00BD3596">
        <w:rPr>
          <w:spacing w:val="-2"/>
        </w:rPr>
        <w:t xml:space="preserve"> and reply comments are due on J</w:t>
      </w:r>
      <w:r w:rsidR="00F409D2">
        <w:rPr>
          <w:spacing w:val="-2"/>
        </w:rPr>
        <w:t>anuary</w:t>
      </w:r>
      <w:r w:rsidR="00BD3596">
        <w:rPr>
          <w:spacing w:val="-2"/>
        </w:rPr>
        <w:t xml:space="preserve"> </w:t>
      </w:r>
      <w:r w:rsidR="00F409D2">
        <w:rPr>
          <w:spacing w:val="-2"/>
        </w:rPr>
        <w:t>26, 2015</w:t>
      </w:r>
      <w:r w:rsidR="00BD3596">
        <w:rPr>
          <w:spacing w:val="-2"/>
        </w:rPr>
        <w:t>.</w:t>
      </w:r>
      <w:r w:rsidR="00BD3596">
        <w:rPr>
          <w:rStyle w:val="FootnoteReference"/>
          <w:spacing w:val="-2"/>
        </w:rPr>
        <w:footnoteReference w:id="3"/>
      </w:r>
    </w:p>
    <w:p w:rsidR="00BD3B14" w:rsidRPr="00BD3B14" w:rsidRDefault="00FB2E98" w:rsidP="00524253">
      <w:pPr>
        <w:pStyle w:val="ParaNum"/>
        <w:widowControl/>
        <w:tabs>
          <w:tab w:val="clear" w:pos="1080"/>
          <w:tab w:val="clear" w:pos="1440"/>
          <w:tab w:val="left" w:pos="900"/>
        </w:tabs>
        <w:ind w:firstLine="432"/>
        <w:jc w:val="left"/>
      </w:pPr>
      <w:r>
        <w:t xml:space="preserve">On December 2, 2014, Shure Incorporated </w:t>
      </w:r>
      <w:r w:rsidR="00156508">
        <w:t xml:space="preserve">(“Shure”) </w:t>
      </w:r>
      <w:r>
        <w:t>requested 45-day extensions of the deadlines for filing comments and reply comments</w:t>
      </w:r>
      <w:r w:rsidR="00236BD2">
        <w:t xml:space="preserve"> in both proceedings</w:t>
      </w:r>
      <w:r>
        <w:t>.</w:t>
      </w:r>
      <w:r>
        <w:rPr>
          <w:rStyle w:val="FootnoteReference"/>
        </w:rPr>
        <w:footnoteReference w:id="4"/>
      </w:r>
      <w:r>
        <w:t xml:space="preserve">  </w:t>
      </w:r>
      <w:r w:rsidR="00EB5406">
        <w:t>Additionally, o</w:t>
      </w:r>
      <w:r w:rsidR="00CB012C" w:rsidRPr="006A66EE">
        <w:t xml:space="preserve">n </w:t>
      </w:r>
      <w:r>
        <w:t>December 3, 2014</w:t>
      </w:r>
      <w:r w:rsidR="00CC1A12">
        <w:t>,</w:t>
      </w:r>
      <w:r w:rsidR="006A66EE" w:rsidRPr="006A66EE">
        <w:t xml:space="preserve"> </w:t>
      </w:r>
      <w:r w:rsidRPr="00FB2E98">
        <w:t xml:space="preserve">CTIA – The Wireless Association, 4G Americas, the Aerospace &amp; Flight Test Radio Coordinating Council, Inc., the Consumer Electronics Association, and the Telecommunications Industry Association </w:t>
      </w:r>
      <w:r w:rsidR="00156508">
        <w:t xml:space="preserve">(“Joint Petitioners”) </w:t>
      </w:r>
      <w:r w:rsidR="006A66EE" w:rsidRPr="006A66EE">
        <w:t xml:space="preserve">requested </w:t>
      </w:r>
      <w:r>
        <w:t>30-day</w:t>
      </w:r>
      <w:r w:rsidR="006A66EE" w:rsidRPr="006A66EE">
        <w:t xml:space="preserve"> extension</w:t>
      </w:r>
      <w:r>
        <w:t>s</w:t>
      </w:r>
      <w:r w:rsidR="006A66EE" w:rsidRPr="006A66EE">
        <w:t xml:space="preserve"> of </w:t>
      </w:r>
      <w:r>
        <w:t xml:space="preserve">the </w:t>
      </w:r>
      <w:r w:rsidR="006A66EE" w:rsidRPr="006A66EE">
        <w:t>deadline</w:t>
      </w:r>
      <w:r>
        <w:t>s</w:t>
      </w:r>
      <w:r w:rsidR="006A66EE" w:rsidRPr="006A66EE">
        <w:t xml:space="preserve"> for submitting </w:t>
      </w:r>
      <w:r>
        <w:t xml:space="preserve">comments and </w:t>
      </w:r>
      <w:r w:rsidR="006A66EE" w:rsidRPr="006A66EE">
        <w:t>reply comments</w:t>
      </w:r>
      <w:r w:rsidR="00236BD2">
        <w:t xml:space="preserve"> in these proceedings</w:t>
      </w:r>
      <w:r w:rsidR="006A66EE">
        <w:t xml:space="preserve">.  </w:t>
      </w:r>
      <w:r w:rsidR="006F27FD">
        <w:t>These parties</w:t>
      </w:r>
      <w:r w:rsidR="00546D73">
        <w:t xml:space="preserve"> state that </w:t>
      </w:r>
      <w:r w:rsidR="00236BD2">
        <w:t>these</w:t>
      </w:r>
      <w:r w:rsidR="00546D73">
        <w:t xml:space="preserve"> extension</w:t>
      </w:r>
      <w:r w:rsidR="00236BD2">
        <w:t>s</w:t>
      </w:r>
      <w:r w:rsidR="00546D73">
        <w:t xml:space="preserve"> </w:t>
      </w:r>
      <w:r w:rsidR="00236BD2">
        <w:t>are</w:t>
      </w:r>
      <w:r w:rsidR="00546D73">
        <w:t xml:space="preserve"> warranted because the </w:t>
      </w:r>
      <w:r w:rsidR="00546D73" w:rsidRPr="00302E8B">
        <w:rPr>
          <w:i/>
        </w:rPr>
        <w:t>Notices</w:t>
      </w:r>
      <w:r w:rsidR="00546D73">
        <w:t xml:space="preserve"> propose many substantial changes in technical and operational rules that will require significant evaluation, testing and analysis</w:t>
      </w:r>
      <w:r w:rsidR="006F27FD">
        <w:t>, and that</w:t>
      </w:r>
      <w:r w:rsidR="006F27FD" w:rsidRPr="00546D73">
        <w:t xml:space="preserve"> extension</w:t>
      </w:r>
      <w:r w:rsidR="00236BD2">
        <w:t>s</w:t>
      </w:r>
      <w:r w:rsidR="006F27FD" w:rsidRPr="00546D73">
        <w:t xml:space="preserve"> of time </w:t>
      </w:r>
      <w:r w:rsidR="006F27FD">
        <w:t>will</w:t>
      </w:r>
      <w:r w:rsidR="006F27FD" w:rsidRPr="00546D73">
        <w:t xml:space="preserve"> permit interested parties to analyze the </w:t>
      </w:r>
      <w:r w:rsidR="006F27FD" w:rsidRPr="00546D73">
        <w:lastRenderedPageBreak/>
        <w:t>complicated technical issues raised by these proceedings and develop data-driven responses to the Commission’s inquiries.</w:t>
      </w:r>
      <w:r w:rsidR="006F27FD">
        <w:rPr>
          <w:rStyle w:val="FootnoteReference"/>
        </w:rPr>
        <w:footnoteReference w:id="5"/>
      </w:r>
      <w:r w:rsidR="00546D73">
        <w:t xml:space="preserve"> </w:t>
      </w:r>
    </w:p>
    <w:p w:rsidR="00BD3B14" w:rsidRDefault="00BD3B14" w:rsidP="000B1F9E">
      <w:pPr>
        <w:pStyle w:val="ParaNum"/>
        <w:tabs>
          <w:tab w:val="clear" w:pos="1080"/>
          <w:tab w:val="clear" w:pos="1440"/>
          <w:tab w:val="left" w:pos="900"/>
        </w:tabs>
        <w:ind w:firstLine="432"/>
        <w:jc w:val="left"/>
      </w:pPr>
      <w:r>
        <w:t>The Commission does not routinely grant extensions of time in rulemaking proceedings.  However, we believe that extension</w:t>
      </w:r>
      <w:r w:rsidR="00C55B07">
        <w:t>s</w:t>
      </w:r>
      <w:r>
        <w:t xml:space="preserve"> of the </w:t>
      </w:r>
      <w:r w:rsidR="006A66EE">
        <w:t xml:space="preserve">comment </w:t>
      </w:r>
      <w:r w:rsidR="00614BE6">
        <w:t xml:space="preserve">and reply comment </w:t>
      </w:r>
      <w:r w:rsidR="006A66EE">
        <w:t>deadline</w:t>
      </w:r>
      <w:r w:rsidR="00614BE6">
        <w:t>s</w:t>
      </w:r>
      <w:r>
        <w:t xml:space="preserve"> will </w:t>
      </w:r>
      <w:r w:rsidR="0013665E">
        <w:t>provid</w:t>
      </w:r>
      <w:r w:rsidR="00621E9E">
        <w:t>e</w:t>
      </w:r>
      <w:r w:rsidR="0013665E">
        <w:t xml:space="preserve"> parties </w:t>
      </w:r>
      <w:r w:rsidR="00156508">
        <w:t xml:space="preserve">with </w:t>
      </w:r>
      <w:r w:rsidR="0013665E">
        <w:t>an opportunity</w:t>
      </w:r>
      <w:r>
        <w:t xml:space="preserve"> to </w:t>
      </w:r>
      <w:r w:rsidR="00156508">
        <w:t xml:space="preserve">more </w:t>
      </w:r>
      <w:r>
        <w:t xml:space="preserve">fully analyze </w:t>
      </w:r>
      <w:r w:rsidR="007D7507">
        <w:t xml:space="preserve">and respond to </w:t>
      </w:r>
      <w:r w:rsidR="006A66EE">
        <w:t xml:space="preserve">the </w:t>
      </w:r>
      <w:r w:rsidR="00156508">
        <w:t>complex technical issues raised in</w:t>
      </w:r>
      <w:r w:rsidR="006A66EE">
        <w:t xml:space="preserve"> the </w:t>
      </w:r>
      <w:r w:rsidR="006A66EE">
        <w:rPr>
          <w:i/>
        </w:rPr>
        <w:t>Notice</w:t>
      </w:r>
      <w:r w:rsidR="00FB2E98">
        <w:rPr>
          <w:i/>
        </w:rPr>
        <w:t>s</w:t>
      </w:r>
      <w:r w:rsidR="00B30698">
        <w:rPr>
          <w:i/>
        </w:rPr>
        <w:t>,</w:t>
      </w:r>
      <w:r w:rsidR="00B30698">
        <w:t xml:space="preserve"> thus</w:t>
      </w:r>
      <w:r w:rsidR="00B30698" w:rsidRPr="00B30698">
        <w:t xml:space="preserve"> </w:t>
      </w:r>
      <w:r w:rsidR="00B30698">
        <w:t>allowing development of a more complete record in these proceedings</w:t>
      </w:r>
      <w:r>
        <w:t xml:space="preserve">.  </w:t>
      </w:r>
      <w:r w:rsidR="002A67EC">
        <w:t>W</w:t>
      </w:r>
      <w:r w:rsidR="00B30698">
        <w:t>e</w:t>
      </w:r>
      <w:r w:rsidR="00614BE6">
        <w:t xml:space="preserve"> believe that </w:t>
      </w:r>
      <w:r w:rsidR="00156508">
        <w:t>30</w:t>
      </w:r>
      <w:r w:rsidR="001A1E67">
        <w:t>-</w:t>
      </w:r>
      <w:r w:rsidR="00156508">
        <w:t>day extension</w:t>
      </w:r>
      <w:r w:rsidR="00236BD2">
        <w:t>s</w:t>
      </w:r>
      <w:r w:rsidR="00614BE6">
        <w:t xml:space="preserve"> </w:t>
      </w:r>
      <w:r w:rsidR="000426A1">
        <w:t xml:space="preserve">of the filing deadlines, </w:t>
      </w:r>
      <w:r w:rsidR="00FA0C26">
        <w:t>as requested by the Joint Petitioners</w:t>
      </w:r>
      <w:r w:rsidR="000426A1">
        <w:t>,</w:t>
      </w:r>
      <w:r w:rsidR="00FA0C26">
        <w:t xml:space="preserve"> </w:t>
      </w:r>
      <w:r w:rsidR="002A67EC">
        <w:t>should be sufficient time to address the complex technical issues</w:t>
      </w:r>
      <w:r w:rsidR="00885E4F">
        <w:t>,</w:t>
      </w:r>
      <w:r w:rsidR="000426A1">
        <w:t xml:space="preserve"> and </w:t>
      </w:r>
      <w:r w:rsidR="00FA0C26">
        <w:t>is more appropriate to avoid</w:t>
      </w:r>
      <w:r w:rsidR="00614BE6">
        <w:t xml:space="preserve"> delaying </w:t>
      </w:r>
      <w:r w:rsidR="00885E4F">
        <w:t xml:space="preserve">action in </w:t>
      </w:r>
      <w:r w:rsidR="00614BE6">
        <w:t>these proceedings</w:t>
      </w:r>
      <w:r w:rsidR="000426A1">
        <w:t>,</w:t>
      </w:r>
      <w:r w:rsidR="001A36E7">
        <w:t xml:space="preserve"> which the Commission </w:t>
      </w:r>
      <w:r w:rsidR="00FA0C26">
        <w:t>plan</w:t>
      </w:r>
      <w:r w:rsidR="001A36E7">
        <w:t>s to conclude prior to the incentive auction</w:t>
      </w:r>
      <w:r w:rsidR="00614BE6">
        <w:t>.</w:t>
      </w:r>
      <w:r w:rsidR="001A36E7">
        <w:rPr>
          <w:rStyle w:val="FootnoteReference"/>
        </w:rPr>
        <w:footnoteReference w:id="6"/>
      </w:r>
      <w:r w:rsidR="00614BE6">
        <w:t xml:space="preserve">  </w:t>
      </w:r>
      <w:r>
        <w:t xml:space="preserve">Accordingly, IT IS ORDERED, pursuant to the delegated authority contained in 47 C.F.R. §§ 0.31 and 0.241(a), that the </w:t>
      </w:r>
      <w:r w:rsidR="00FB2E98">
        <w:t>deadlines</w:t>
      </w:r>
      <w:r>
        <w:t xml:space="preserve"> for filing </w:t>
      </w:r>
      <w:r w:rsidR="006A66EE">
        <w:t>comments</w:t>
      </w:r>
      <w:r>
        <w:t xml:space="preserve"> </w:t>
      </w:r>
      <w:r w:rsidR="00FB2E98">
        <w:t xml:space="preserve">and reply comments </w:t>
      </w:r>
      <w:r>
        <w:t>in the above captioned proceeding</w:t>
      </w:r>
      <w:r w:rsidR="00FB2E98">
        <w:t>s</w:t>
      </w:r>
      <w:r>
        <w:t xml:space="preserve"> </w:t>
      </w:r>
      <w:r w:rsidR="00FB2E98">
        <w:t>ARE</w:t>
      </w:r>
      <w:r>
        <w:t xml:space="preserve"> EXTENDED to </w:t>
      </w:r>
      <w:r w:rsidR="00FB2E98">
        <w:t>February 4, 2015 and February 25, 2015.</w:t>
      </w:r>
    </w:p>
    <w:p w:rsidR="00494339" w:rsidRDefault="00494339" w:rsidP="007D7608"/>
    <w:p w:rsidR="00BD3B14" w:rsidRDefault="00BD3B14" w:rsidP="007D7608">
      <w:r>
        <w:tab/>
      </w:r>
      <w:r>
        <w:tab/>
      </w:r>
      <w:r>
        <w:tab/>
      </w:r>
      <w:r>
        <w:tab/>
      </w:r>
      <w:r w:rsidR="007D7608">
        <w:tab/>
      </w:r>
      <w:r>
        <w:t>FEDERAL COMMUNICATIONS COMMISSION</w:t>
      </w:r>
    </w:p>
    <w:p w:rsidR="007D7608" w:rsidRDefault="007D7608" w:rsidP="007D7608"/>
    <w:p w:rsidR="007D7608" w:rsidRDefault="007D7608" w:rsidP="007D7608"/>
    <w:p w:rsidR="00BD3B14" w:rsidRDefault="00BD3B14" w:rsidP="007D7608"/>
    <w:p w:rsidR="00BD3B14" w:rsidRDefault="00BD3B14" w:rsidP="007D7608">
      <w:r>
        <w:tab/>
      </w:r>
      <w:r>
        <w:tab/>
      </w:r>
      <w:r>
        <w:tab/>
      </w:r>
      <w:r>
        <w:tab/>
      </w:r>
      <w:r w:rsidR="007D7608">
        <w:tab/>
      </w:r>
      <w:r w:rsidR="00705307">
        <w:t>Julius P. Knapp</w:t>
      </w:r>
    </w:p>
    <w:p w:rsidR="00D966BE" w:rsidRDefault="007D7608" w:rsidP="0013665E">
      <w:pPr>
        <w:rPr>
          <w:lang w:val="pt-BR"/>
        </w:rPr>
      </w:pPr>
      <w:r>
        <w:tab/>
      </w:r>
      <w:r>
        <w:tab/>
      </w:r>
      <w:r>
        <w:tab/>
      </w:r>
      <w:r>
        <w:tab/>
      </w:r>
      <w:r>
        <w:tab/>
        <w:t>Chief, Office of Engineering and Technology</w:t>
      </w:r>
      <w:r w:rsidR="00BD3B14">
        <w:tab/>
      </w:r>
    </w:p>
    <w:sectPr w:rsidR="00D96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08" w:rsidRDefault="00135008">
      <w:r>
        <w:separator/>
      </w:r>
    </w:p>
  </w:endnote>
  <w:endnote w:type="continuationSeparator" w:id="0">
    <w:p w:rsidR="00135008" w:rsidRDefault="001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8" w:rsidRDefault="00741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DC" w:rsidRDefault="00EC63D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77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8" w:rsidRDefault="0074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08" w:rsidRDefault="00135008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35008" w:rsidRDefault="00135008">
      <w:pPr>
        <w:rPr>
          <w:sz w:val="20"/>
        </w:rPr>
      </w:pPr>
      <w:r>
        <w:rPr>
          <w:sz w:val="20"/>
        </w:rPr>
        <w:separator/>
      </w:r>
    </w:p>
    <w:p w:rsidR="00135008" w:rsidRDefault="00135008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135008" w:rsidRDefault="00135008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2">
    <w:p w:rsidR="003E36E1" w:rsidRPr="003E36E1" w:rsidRDefault="003E36E1" w:rsidP="00EB54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BD3596">
        <w:rPr>
          <w:i/>
        </w:rPr>
        <w:t>Notice of Proposed Rulemaking</w:t>
      </w:r>
      <w:r>
        <w:t xml:space="preserve"> in ET Docket No. </w:t>
      </w:r>
      <w:r w:rsidR="00BD3596">
        <w:t>1</w:t>
      </w:r>
      <w:r w:rsidR="00F409D2">
        <w:t>4</w:t>
      </w:r>
      <w:r>
        <w:t>-</w:t>
      </w:r>
      <w:r w:rsidR="00F409D2">
        <w:t>165</w:t>
      </w:r>
      <w:r>
        <w:t>, 2</w:t>
      </w:r>
      <w:r w:rsidR="00F409D2">
        <w:t>9</w:t>
      </w:r>
      <w:r>
        <w:t xml:space="preserve"> FCC Rcd </w:t>
      </w:r>
      <w:r w:rsidR="00F409D2">
        <w:t>12248</w:t>
      </w:r>
      <w:r>
        <w:t xml:space="preserve"> (20</w:t>
      </w:r>
      <w:r w:rsidR="00BD3596">
        <w:t>1</w:t>
      </w:r>
      <w:r w:rsidR="00F409D2">
        <w:t>4</w:t>
      </w:r>
      <w:r>
        <w:t>)</w:t>
      </w:r>
      <w:r w:rsidR="00F409D2">
        <w:t xml:space="preserve"> (“</w:t>
      </w:r>
      <w:r w:rsidR="00F409D2" w:rsidRPr="00F409D2">
        <w:rPr>
          <w:i/>
        </w:rPr>
        <w:t>Part 15 NPRM</w:t>
      </w:r>
      <w:r w:rsidR="00F409D2">
        <w:t xml:space="preserve">”) and </w:t>
      </w:r>
      <w:r w:rsidR="00F409D2">
        <w:rPr>
          <w:i/>
        </w:rPr>
        <w:t>Notice of Proposed Rulemaking</w:t>
      </w:r>
      <w:r w:rsidR="00F409D2">
        <w:t xml:space="preserve"> in GN Docket No. 14-166, 29 FCC Rcd 12343 (2014) (“</w:t>
      </w:r>
      <w:r w:rsidR="00F409D2">
        <w:rPr>
          <w:i/>
        </w:rPr>
        <w:t>Wireless Microphone NPRM”</w:t>
      </w:r>
      <w:r w:rsidR="00F409D2">
        <w:t>)</w:t>
      </w:r>
      <w:r>
        <w:t>.</w:t>
      </w:r>
    </w:p>
  </w:footnote>
  <w:footnote w:id="3">
    <w:p w:rsidR="00BD3596" w:rsidRPr="00BD3596" w:rsidRDefault="00BD35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7</w:t>
      </w:r>
      <w:r w:rsidR="00F409D2">
        <w:t>9</w:t>
      </w:r>
      <w:r>
        <w:t xml:space="preserve"> FR</w:t>
      </w:r>
      <w:r w:rsidR="00F409D2">
        <w:t xml:space="preserve"> 69387</w:t>
      </w:r>
      <w:r w:rsidR="00FB2E98">
        <w:t xml:space="preserve"> </w:t>
      </w:r>
      <w:r w:rsidR="00F409D2">
        <w:t xml:space="preserve">and 69710 </w:t>
      </w:r>
      <w:r>
        <w:t>(</w:t>
      </w:r>
      <w:r w:rsidR="00F409D2">
        <w:t>November 21, 2014</w:t>
      </w:r>
      <w:r>
        <w:t>).</w:t>
      </w:r>
    </w:p>
  </w:footnote>
  <w:footnote w:id="4">
    <w:p w:rsidR="00FB2E98" w:rsidRDefault="00FB2E98" w:rsidP="00EB3419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EB5406" w:rsidRPr="00EB5406">
        <w:t>Sennheiser Electronic Corporation</w:t>
      </w:r>
      <w:r w:rsidR="009D32B3">
        <w:t>,</w:t>
      </w:r>
      <w:r w:rsidR="00EB3419">
        <w:t xml:space="preserve"> Broad Comm, Inc.</w:t>
      </w:r>
      <w:r w:rsidR="009D32B3">
        <w:t xml:space="preserve">, </w:t>
      </w:r>
      <w:r w:rsidR="004137B1">
        <w:t>CP Communications, LLC</w:t>
      </w:r>
      <w:r w:rsidR="009D32B3">
        <w:t>,</w:t>
      </w:r>
      <w:r w:rsidR="004137B1">
        <w:t xml:space="preserve"> and the Broadway League</w:t>
      </w:r>
      <w:r w:rsidR="00EB3419">
        <w:t xml:space="preserve"> </w:t>
      </w:r>
      <w:r w:rsidR="00EB5406">
        <w:t>filed comments in support of the S</w:t>
      </w:r>
      <w:r w:rsidR="00EB3419">
        <w:t>hure request</w:t>
      </w:r>
      <w:r w:rsidR="00EB5406">
        <w:t>.</w:t>
      </w:r>
    </w:p>
  </w:footnote>
  <w:footnote w:id="5">
    <w:p w:rsidR="006F27FD" w:rsidRDefault="006F27FD">
      <w:pPr>
        <w:pStyle w:val="FootnoteText"/>
      </w:pPr>
      <w:r>
        <w:rPr>
          <w:rStyle w:val="FootnoteReference"/>
        </w:rPr>
        <w:footnoteRef/>
      </w:r>
      <w:r>
        <w:t xml:space="preserve"> Shure request at 2 and Joint Petitioners request at 2.</w:t>
      </w:r>
    </w:p>
  </w:footnote>
  <w:footnote w:id="6">
    <w:p w:rsidR="001A36E7" w:rsidRDefault="001A36E7" w:rsidP="00FA0C26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FA0C26">
        <w:rPr>
          <w:i/>
        </w:rPr>
        <w:t xml:space="preserve">See </w:t>
      </w:r>
      <w:r w:rsidR="00FA0C26" w:rsidRPr="004B69BB">
        <w:rPr>
          <w:i/>
        </w:rPr>
        <w:t>Expanding the Economic</w:t>
      </w:r>
      <w:r w:rsidR="00FA0C26">
        <w:rPr>
          <w:i/>
        </w:rPr>
        <w:t xml:space="preserve"> </w:t>
      </w:r>
      <w:r w:rsidR="00FA0C26" w:rsidRPr="004B69BB">
        <w:rPr>
          <w:i/>
        </w:rPr>
        <w:t xml:space="preserve">and Innovation Opportunities of Spectrum Through Incentive Auctions, </w:t>
      </w:r>
      <w:r w:rsidR="00FA0C26" w:rsidRPr="004B69BB">
        <w:t xml:space="preserve">GN Docket No. 12-268, </w:t>
      </w:r>
      <w:r w:rsidR="00FA0C26">
        <w:t>Report and Order</w:t>
      </w:r>
      <w:r w:rsidR="00FA0C26" w:rsidRPr="004B69BB">
        <w:t>, 2</w:t>
      </w:r>
      <w:r w:rsidR="00FA0C26">
        <w:t>9</w:t>
      </w:r>
      <w:r w:rsidR="00FA0C26" w:rsidRPr="004B69BB">
        <w:t xml:space="preserve"> FCC Rcd </w:t>
      </w:r>
      <w:r w:rsidR="00FA0C26">
        <w:t>6567</w:t>
      </w:r>
      <w:r w:rsidR="00E62702">
        <w:t xml:space="preserve">, 6681 </w:t>
      </w:r>
      <w:r w:rsidR="00FA0C26">
        <w:t>para</w:t>
      </w:r>
      <w:r w:rsidR="00E62702">
        <w:t>.</w:t>
      </w:r>
      <w:r w:rsidR="00FA0C26">
        <w:t xml:space="preserve"> 258</w:t>
      </w:r>
      <w:r w:rsidR="00E62702">
        <w:t xml:space="preserve"> (2014) (stating that the </w:t>
      </w:r>
      <w:r w:rsidR="00FA0C26">
        <w:t>Commission plans to conclude the Part 15 proceeding prior to the incentive auction</w:t>
      </w:r>
      <w:r w:rsidR="00E62702">
        <w:t>)</w:t>
      </w:r>
      <w:r w:rsidR="00FA0C26">
        <w:t>.  Because the wireless microphone proceeding is closely related to the Part 15 proceeding,</w:t>
      </w:r>
      <w:r w:rsidR="00070D0E">
        <w:t xml:space="preserve"> </w:t>
      </w:r>
      <w:r w:rsidR="001A1E67">
        <w:t xml:space="preserve">we expect that </w:t>
      </w:r>
      <w:r w:rsidR="00070D0E">
        <w:t xml:space="preserve">action </w:t>
      </w:r>
      <w:r w:rsidR="001A1E67">
        <w:t>will</w:t>
      </w:r>
      <w:r w:rsidR="00070D0E">
        <w:t xml:space="preserve"> be taken in both proceedings at the same time</w:t>
      </w:r>
      <w:r w:rsidR="00FA0C2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8" w:rsidRDefault="00741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DC" w:rsidRDefault="00EC63D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</w:r>
    <w:r w:rsidR="00524253">
      <w:rPr>
        <w:b/>
      </w:rPr>
      <w:t>DA</w:t>
    </w:r>
    <w:r>
      <w:rPr>
        <w:b/>
      </w:rPr>
      <w:t xml:space="preserve"> </w:t>
    </w:r>
    <w:r w:rsidR="00BD3596">
      <w:rPr>
        <w:b/>
      </w:rPr>
      <w:t>1</w:t>
    </w:r>
    <w:r w:rsidR="00524253">
      <w:rPr>
        <w:b/>
      </w:rPr>
      <w:t>4</w:t>
    </w:r>
    <w:r>
      <w:rPr>
        <w:b/>
      </w:rPr>
      <w:t>-</w:t>
    </w:r>
    <w:r w:rsidR="001F5058">
      <w:rPr>
        <w:b/>
      </w:rPr>
      <w:t>1801</w:t>
    </w:r>
    <w:r>
      <w:rPr>
        <w:b/>
      </w:rPr>
      <w:t xml:space="preserve"> </w:t>
    </w:r>
  </w:p>
  <w:p w:rsidR="00EC63DC" w:rsidRDefault="009C451C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613922" wp14:editId="7CD98EFC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EC63DC" w:rsidRDefault="00EC6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DC" w:rsidRDefault="00EC63D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DA </w:t>
    </w:r>
    <w:r w:rsidR="00BD3596">
      <w:rPr>
        <w:b/>
      </w:rPr>
      <w:t>1</w:t>
    </w:r>
    <w:r w:rsidR="00796C5E">
      <w:rPr>
        <w:b/>
      </w:rPr>
      <w:t>4</w:t>
    </w:r>
    <w:r>
      <w:rPr>
        <w:b/>
      </w:rPr>
      <w:t>-</w:t>
    </w:r>
    <w:r w:rsidR="001F5058">
      <w:rPr>
        <w:b/>
      </w:rPr>
      <w:t>1801</w:t>
    </w:r>
    <w:r>
      <w:rPr>
        <w:b/>
      </w:rPr>
      <w:t xml:space="preserve"> </w:t>
    </w:r>
  </w:p>
  <w:p w:rsidR="00EC63DC" w:rsidRDefault="009C451C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DC0737"/>
    <w:multiLevelType w:val="singleLevel"/>
    <w:tmpl w:val="58229FB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07268E"/>
    <w:multiLevelType w:val="hybridMultilevel"/>
    <w:tmpl w:val="F8AA3CC0"/>
    <w:lvl w:ilvl="0" w:tplc="A9605B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0B17A7"/>
    <w:multiLevelType w:val="hybridMultilevel"/>
    <w:tmpl w:val="6CE4E6E0"/>
    <w:lvl w:ilvl="0" w:tplc="30245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CE9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6AF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E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C6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A7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CD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AA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A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0BED2869"/>
    <w:multiLevelType w:val="hybridMultilevel"/>
    <w:tmpl w:val="7FEAABF0"/>
    <w:lvl w:ilvl="0" w:tplc="83D85B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E188C6A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E1CB2D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DEEAE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C4ABC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FF2014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AC0A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990B9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610576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13B2996"/>
    <w:multiLevelType w:val="hybridMultilevel"/>
    <w:tmpl w:val="2CD8CEAC"/>
    <w:lvl w:ilvl="0" w:tplc="B4349BFA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4DDED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22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6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8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65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43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3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4A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556B"/>
    <w:multiLevelType w:val="singleLevel"/>
    <w:tmpl w:val="5E58DF24"/>
    <w:lvl w:ilvl="0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19BE45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A126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21DE7B89"/>
    <w:multiLevelType w:val="singleLevel"/>
    <w:tmpl w:val="1F1261A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260E1E9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467D2"/>
    <w:multiLevelType w:val="multilevel"/>
    <w:tmpl w:val="BF56F05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23063A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4EE57E83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8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0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1">
    <w:nsid w:val="5883562E"/>
    <w:multiLevelType w:val="hybridMultilevel"/>
    <w:tmpl w:val="16FAE300"/>
    <w:lvl w:ilvl="0" w:tplc="34C603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A232C4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631ED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B86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7A76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ECEB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AE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E085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6AA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4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97A2C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6A5D4B93"/>
    <w:multiLevelType w:val="hybridMultilevel"/>
    <w:tmpl w:val="108067A0"/>
    <w:lvl w:ilvl="0" w:tplc="1E56165C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38F3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A45A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0CC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1218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003F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F0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0A4C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9414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8935DD"/>
    <w:multiLevelType w:val="singleLevel"/>
    <w:tmpl w:val="1DF0F1EA"/>
    <w:lvl w:ilvl="0">
      <w:start w:val="4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3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34"/>
  </w:num>
  <w:num w:numId="2">
    <w:abstractNumId w:val="38"/>
  </w:num>
  <w:num w:numId="3">
    <w:abstractNumId w:val="12"/>
  </w:num>
  <w:num w:numId="4">
    <w:abstractNumId w:val="29"/>
  </w:num>
  <w:num w:numId="5">
    <w:abstractNumId w:val="16"/>
  </w:num>
  <w:num w:numId="6">
    <w:abstractNumId w:val="33"/>
  </w:num>
  <w:num w:numId="7">
    <w:abstractNumId w:val="25"/>
  </w:num>
  <w:num w:numId="8">
    <w:abstractNumId w:val="17"/>
  </w:num>
  <w:num w:numId="9">
    <w:abstractNumId w:val="32"/>
  </w:num>
  <w:num w:numId="10">
    <w:abstractNumId w:val="22"/>
  </w:num>
  <w:num w:numId="11">
    <w:abstractNumId w:val="21"/>
  </w:num>
  <w:num w:numId="12">
    <w:abstractNumId w:val="18"/>
  </w:num>
  <w:num w:numId="13">
    <w:abstractNumId w:val="23"/>
  </w:num>
  <w:num w:numId="14">
    <w:abstractNumId w:val="30"/>
  </w:num>
  <w:num w:numId="15">
    <w:abstractNumId w:val="10"/>
  </w:num>
  <w:num w:numId="16">
    <w:abstractNumId w:val="11"/>
  </w:num>
  <w:num w:numId="17">
    <w:abstractNumId w:val="19"/>
  </w:num>
  <w:num w:numId="18">
    <w:abstractNumId w:val="4"/>
  </w:num>
  <w:num w:numId="19">
    <w:abstractNumId w:val="20"/>
  </w:num>
  <w:num w:numId="20">
    <w:abstractNumId w:val="26"/>
  </w:num>
  <w:num w:numId="21">
    <w:abstractNumId w:val="28"/>
  </w:num>
  <w:num w:numId="22">
    <w:abstractNumId w:val="9"/>
  </w:num>
  <w:num w:numId="23">
    <w:abstractNumId w:val="7"/>
  </w:num>
  <w:num w:numId="24">
    <w:abstractNumId w:val="1"/>
  </w:num>
  <w:num w:numId="25">
    <w:abstractNumId w:val="6"/>
  </w:num>
  <w:num w:numId="26">
    <w:abstractNumId w:val="36"/>
  </w:num>
  <w:num w:numId="27">
    <w:abstractNumId w:val="31"/>
  </w:num>
  <w:num w:numId="28">
    <w:abstractNumId w:val="27"/>
  </w:num>
  <w:num w:numId="29">
    <w:abstractNumId w:val="24"/>
  </w:num>
  <w:num w:numId="30">
    <w:abstractNumId w:val="13"/>
  </w:num>
  <w:num w:numId="31">
    <w:abstractNumId w:val="37"/>
  </w:num>
  <w:num w:numId="32">
    <w:abstractNumId w:val="14"/>
  </w:num>
  <w:num w:numId="33">
    <w:abstractNumId w:val="8"/>
  </w:num>
  <w:num w:numId="34">
    <w:abstractNumId w:val="35"/>
  </w:num>
  <w:num w:numId="35">
    <w:abstractNumId w:val="0"/>
  </w:num>
  <w:num w:numId="36">
    <w:abstractNumId w:val="15"/>
  </w:num>
  <w:num w:numId="37">
    <w:abstractNumId w:val="5"/>
  </w:num>
  <w:num w:numId="38">
    <w:abstractNumId w:val="3"/>
  </w:num>
  <w:num w:numId="39">
    <w:abstractNumId w:val="2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F"/>
    <w:rsid w:val="00003F04"/>
    <w:rsid w:val="000162F9"/>
    <w:rsid w:val="000426A1"/>
    <w:rsid w:val="00057057"/>
    <w:rsid w:val="0006259D"/>
    <w:rsid w:val="00063854"/>
    <w:rsid w:val="00065E5B"/>
    <w:rsid w:val="00066335"/>
    <w:rsid w:val="00070D0E"/>
    <w:rsid w:val="000A18F4"/>
    <w:rsid w:val="000A7307"/>
    <w:rsid w:val="000B1F9E"/>
    <w:rsid w:val="000D6100"/>
    <w:rsid w:val="000F1777"/>
    <w:rsid w:val="000F4E1F"/>
    <w:rsid w:val="00116FAA"/>
    <w:rsid w:val="001174AE"/>
    <w:rsid w:val="00125AA2"/>
    <w:rsid w:val="00135008"/>
    <w:rsid w:val="001362F0"/>
    <w:rsid w:val="0013665E"/>
    <w:rsid w:val="00154140"/>
    <w:rsid w:val="00156508"/>
    <w:rsid w:val="001643DF"/>
    <w:rsid w:val="00181F1F"/>
    <w:rsid w:val="0019321F"/>
    <w:rsid w:val="0019598C"/>
    <w:rsid w:val="001A1E67"/>
    <w:rsid w:val="001A36E7"/>
    <w:rsid w:val="001B5D3D"/>
    <w:rsid w:val="001E304E"/>
    <w:rsid w:val="001E590D"/>
    <w:rsid w:val="001F5058"/>
    <w:rsid w:val="0020396F"/>
    <w:rsid w:val="00204DFD"/>
    <w:rsid w:val="0021728C"/>
    <w:rsid w:val="00236BD2"/>
    <w:rsid w:val="0028112A"/>
    <w:rsid w:val="00286DFE"/>
    <w:rsid w:val="0029381A"/>
    <w:rsid w:val="00293DAC"/>
    <w:rsid w:val="002A0376"/>
    <w:rsid w:val="002A67EC"/>
    <w:rsid w:val="002B2453"/>
    <w:rsid w:val="002B27D9"/>
    <w:rsid w:val="002C7E77"/>
    <w:rsid w:val="00302E8B"/>
    <w:rsid w:val="00314EDC"/>
    <w:rsid w:val="00333522"/>
    <w:rsid w:val="00354631"/>
    <w:rsid w:val="0036405A"/>
    <w:rsid w:val="003707FB"/>
    <w:rsid w:val="00377FFB"/>
    <w:rsid w:val="00391B93"/>
    <w:rsid w:val="003966EC"/>
    <w:rsid w:val="00397739"/>
    <w:rsid w:val="003D1067"/>
    <w:rsid w:val="003D2407"/>
    <w:rsid w:val="003D5335"/>
    <w:rsid w:val="003E36E1"/>
    <w:rsid w:val="003E5F45"/>
    <w:rsid w:val="003F273A"/>
    <w:rsid w:val="004059A7"/>
    <w:rsid w:val="004137B1"/>
    <w:rsid w:val="004149C9"/>
    <w:rsid w:val="004172EA"/>
    <w:rsid w:val="0044204B"/>
    <w:rsid w:val="0045488B"/>
    <w:rsid w:val="0048375A"/>
    <w:rsid w:val="00493A1D"/>
    <w:rsid w:val="00494339"/>
    <w:rsid w:val="004A7365"/>
    <w:rsid w:val="004A7F22"/>
    <w:rsid w:val="004B1914"/>
    <w:rsid w:val="004D5CA5"/>
    <w:rsid w:val="004F1BB3"/>
    <w:rsid w:val="00524253"/>
    <w:rsid w:val="005322B7"/>
    <w:rsid w:val="00546D73"/>
    <w:rsid w:val="00552AA3"/>
    <w:rsid w:val="0055628F"/>
    <w:rsid w:val="00583470"/>
    <w:rsid w:val="00590987"/>
    <w:rsid w:val="005C56A6"/>
    <w:rsid w:val="005D6282"/>
    <w:rsid w:val="005D6BD5"/>
    <w:rsid w:val="006065FE"/>
    <w:rsid w:val="00614BE6"/>
    <w:rsid w:val="00614DC9"/>
    <w:rsid w:val="00621E9E"/>
    <w:rsid w:val="0062739C"/>
    <w:rsid w:val="0064388D"/>
    <w:rsid w:val="00645977"/>
    <w:rsid w:val="00650C61"/>
    <w:rsid w:val="0065339E"/>
    <w:rsid w:val="00654062"/>
    <w:rsid w:val="00664E18"/>
    <w:rsid w:val="006730EE"/>
    <w:rsid w:val="006908BA"/>
    <w:rsid w:val="006963EC"/>
    <w:rsid w:val="006A66EE"/>
    <w:rsid w:val="006E6DF8"/>
    <w:rsid w:val="006F1DAE"/>
    <w:rsid w:val="006F27FD"/>
    <w:rsid w:val="00705307"/>
    <w:rsid w:val="00733BE0"/>
    <w:rsid w:val="007415B8"/>
    <w:rsid w:val="007746A2"/>
    <w:rsid w:val="00775B8A"/>
    <w:rsid w:val="00796C5E"/>
    <w:rsid w:val="007A5E89"/>
    <w:rsid w:val="007D7507"/>
    <w:rsid w:val="007D7608"/>
    <w:rsid w:val="0081516D"/>
    <w:rsid w:val="00817CF7"/>
    <w:rsid w:val="0082583F"/>
    <w:rsid w:val="0086211E"/>
    <w:rsid w:val="00885E4F"/>
    <w:rsid w:val="008D2C99"/>
    <w:rsid w:val="008E2E23"/>
    <w:rsid w:val="00906BCF"/>
    <w:rsid w:val="0090745F"/>
    <w:rsid w:val="00910043"/>
    <w:rsid w:val="009277A1"/>
    <w:rsid w:val="009303D9"/>
    <w:rsid w:val="00931EE1"/>
    <w:rsid w:val="00963EFD"/>
    <w:rsid w:val="0097531C"/>
    <w:rsid w:val="00977C8E"/>
    <w:rsid w:val="00982203"/>
    <w:rsid w:val="00987219"/>
    <w:rsid w:val="0099126E"/>
    <w:rsid w:val="00997254"/>
    <w:rsid w:val="009A2B90"/>
    <w:rsid w:val="009A6ACE"/>
    <w:rsid w:val="009B2820"/>
    <w:rsid w:val="009B306F"/>
    <w:rsid w:val="009B3192"/>
    <w:rsid w:val="009B667B"/>
    <w:rsid w:val="009B67F7"/>
    <w:rsid w:val="009C2FDB"/>
    <w:rsid w:val="009C451C"/>
    <w:rsid w:val="009D32B3"/>
    <w:rsid w:val="009E583D"/>
    <w:rsid w:val="009F3C96"/>
    <w:rsid w:val="00A1634A"/>
    <w:rsid w:val="00A2373D"/>
    <w:rsid w:val="00A268DA"/>
    <w:rsid w:val="00A4228A"/>
    <w:rsid w:val="00A430BE"/>
    <w:rsid w:val="00A456DC"/>
    <w:rsid w:val="00A6053A"/>
    <w:rsid w:val="00A84EAA"/>
    <w:rsid w:val="00A97540"/>
    <w:rsid w:val="00AA5F26"/>
    <w:rsid w:val="00AD5D30"/>
    <w:rsid w:val="00B04484"/>
    <w:rsid w:val="00B30698"/>
    <w:rsid w:val="00B46AA2"/>
    <w:rsid w:val="00B82565"/>
    <w:rsid w:val="00B90E59"/>
    <w:rsid w:val="00B9698E"/>
    <w:rsid w:val="00BA0B27"/>
    <w:rsid w:val="00BA1BD9"/>
    <w:rsid w:val="00BB344A"/>
    <w:rsid w:val="00BD3369"/>
    <w:rsid w:val="00BD3596"/>
    <w:rsid w:val="00BD3B14"/>
    <w:rsid w:val="00BF5BF6"/>
    <w:rsid w:val="00BF6778"/>
    <w:rsid w:val="00C37397"/>
    <w:rsid w:val="00C55B07"/>
    <w:rsid w:val="00CB012C"/>
    <w:rsid w:val="00CB65F5"/>
    <w:rsid w:val="00CB726E"/>
    <w:rsid w:val="00CC1A12"/>
    <w:rsid w:val="00CC6AAF"/>
    <w:rsid w:val="00CE40A9"/>
    <w:rsid w:val="00CE644F"/>
    <w:rsid w:val="00D01F32"/>
    <w:rsid w:val="00D12DF7"/>
    <w:rsid w:val="00D12FA2"/>
    <w:rsid w:val="00D36095"/>
    <w:rsid w:val="00D74523"/>
    <w:rsid w:val="00D90C46"/>
    <w:rsid w:val="00D95C51"/>
    <w:rsid w:val="00D966BE"/>
    <w:rsid w:val="00DA1921"/>
    <w:rsid w:val="00E03E8E"/>
    <w:rsid w:val="00E1056A"/>
    <w:rsid w:val="00E111B1"/>
    <w:rsid w:val="00E17B4F"/>
    <w:rsid w:val="00E25A73"/>
    <w:rsid w:val="00E457BF"/>
    <w:rsid w:val="00E62702"/>
    <w:rsid w:val="00E707C9"/>
    <w:rsid w:val="00EA0A94"/>
    <w:rsid w:val="00EA239B"/>
    <w:rsid w:val="00EA644B"/>
    <w:rsid w:val="00EA6CE3"/>
    <w:rsid w:val="00EB3419"/>
    <w:rsid w:val="00EB5406"/>
    <w:rsid w:val="00EC1553"/>
    <w:rsid w:val="00EC3964"/>
    <w:rsid w:val="00EC63DC"/>
    <w:rsid w:val="00F36B9E"/>
    <w:rsid w:val="00F37043"/>
    <w:rsid w:val="00F3726C"/>
    <w:rsid w:val="00F409D2"/>
    <w:rsid w:val="00F4207B"/>
    <w:rsid w:val="00F54D81"/>
    <w:rsid w:val="00F91D23"/>
    <w:rsid w:val="00FA0C26"/>
    <w:rsid w:val="00FB2E98"/>
    <w:rsid w:val="00FD429A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parastyle">
    <w:name w:val="parastyle"/>
    <w:basedOn w:val="Normal"/>
    <w:pPr>
      <w:widowControl w:val="0"/>
      <w:tabs>
        <w:tab w:val="num" w:pos="360"/>
      </w:tabs>
      <w:outlineLvl w:val="0"/>
    </w:pPr>
    <w:rPr>
      <w:snapToGrid w:val="0"/>
      <w:sz w:val="24"/>
    </w:rPr>
  </w:style>
  <w:style w:type="paragraph" w:customStyle="1" w:styleId="Style3">
    <w:name w:val="Style3"/>
    <w:basedOn w:val="ParaNum"/>
    <w:pPr>
      <w:numPr>
        <w:numId w:val="0"/>
      </w:numPr>
      <w:ind w:firstLine="720"/>
    </w:pPr>
  </w:style>
  <w:style w:type="paragraph" w:customStyle="1" w:styleId="Style5">
    <w:name w:val="Style5"/>
    <w:basedOn w:val="TOC2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</w:tabs>
      <w:suppressAutoHyphens/>
      <w:spacing w:line="227" w:lineRule="auto"/>
      <w:jc w:val="both"/>
    </w:pPr>
    <w:rPr>
      <w:snapToGrid w:val="0"/>
      <w:spacing w:val="-2"/>
      <w:sz w:val="24"/>
    </w:rPr>
  </w:style>
  <w:style w:type="paragraph" w:customStyle="1" w:styleId="Style1">
    <w:name w:val="Style1"/>
    <w:basedOn w:val="Normal"/>
    <w:pPr>
      <w:numPr>
        <w:numId w:val="25"/>
      </w:numPr>
    </w:pPr>
  </w:style>
  <w:style w:type="paragraph" w:customStyle="1" w:styleId="Style2">
    <w:name w:val="Style2"/>
    <w:basedOn w:val="Normal"/>
    <w:pPr>
      <w:numPr>
        <w:numId w:val="23"/>
      </w:numPr>
      <w:jc w:val="both"/>
    </w:pPr>
    <w:rPr>
      <w:b/>
      <w:i/>
    </w:rPr>
  </w:style>
  <w:style w:type="paragraph" w:customStyle="1" w:styleId="Style4">
    <w:name w:val="Style4"/>
    <w:basedOn w:val="Normal"/>
    <w:pPr>
      <w:tabs>
        <w:tab w:val="num" w:pos="1080"/>
      </w:tabs>
      <w:ind w:left="1080" w:hanging="360"/>
      <w:jc w:val="both"/>
    </w:pPr>
    <w:rPr>
      <w:b/>
      <w:i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a">
    <w:name w:val="脚注番号"/>
    <w:rPr>
      <w:vertAlign w:val="superscript"/>
    </w:rPr>
  </w:style>
  <w:style w:type="character" w:customStyle="1" w:styleId="WW-">
    <w:name w:val="WW-脚注番号"/>
    <w:rPr>
      <w:vertAlign w:val="superscript"/>
    </w:rPr>
  </w:style>
  <w:style w:type="character" w:customStyle="1" w:styleId="documentbody">
    <w:name w:val="documentbody"/>
    <w:basedOn w:val="DefaultParagraphFont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rsid w:val="00BD3369"/>
    <w:pPr>
      <w:shd w:val="clear" w:color="auto" w:fill="000080"/>
    </w:pPr>
    <w:rPr>
      <w:rFonts w:ascii="Tahoma" w:hAnsi="Tahoma" w:cs="Tahoma"/>
    </w:rPr>
  </w:style>
  <w:style w:type="paragraph" w:styleId="TOAHeading">
    <w:name w:val="toa heading"/>
    <w:basedOn w:val="Normal"/>
    <w:next w:val="Normal"/>
    <w:semiHidden/>
    <w:rsid w:val="009B306F"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A67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67EC"/>
  </w:style>
  <w:style w:type="character" w:customStyle="1" w:styleId="CommentSubjectChar">
    <w:name w:val="Comment Subject Char"/>
    <w:basedOn w:val="CommentTextChar"/>
    <w:link w:val="CommentSubject"/>
    <w:rsid w:val="002A6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parastyle">
    <w:name w:val="parastyle"/>
    <w:basedOn w:val="Normal"/>
    <w:pPr>
      <w:widowControl w:val="0"/>
      <w:tabs>
        <w:tab w:val="num" w:pos="360"/>
      </w:tabs>
      <w:outlineLvl w:val="0"/>
    </w:pPr>
    <w:rPr>
      <w:snapToGrid w:val="0"/>
      <w:sz w:val="24"/>
    </w:rPr>
  </w:style>
  <w:style w:type="paragraph" w:customStyle="1" w:styleId="Style3">
    <w:name w:val="Style3"/>
    <w:basedOn w:val="ParaNum"/>
    <w:pPr>
      <w:numPr>
        <w:numId w:val="0"/>
      </w:numPr>
      <w:ind w:firstLine="720"/>
    </w:pPr>
  </w:style>
  <w:style w:type="paragraph" w:customStyle="1" w:styleId="Style5">
    <w:name w:val="Style5"/>
    <w:basedOn w:val="TOC2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</w:tabs>
      <w:suppressAutoHyphens/>
      <w:spacing w:line="227" w:lineRule="auto"/>
      <w:jc w:val="both"/>
    </w:pPr>
    <w:rPr>
      <w:snapToGrid w:val="0"/>
      <w:spacing w:val="-2"/>
      <w:sz w:val="24"/>
    </w:rPr>
  </w:style>
  <w:style w:type="paragraph" w:customStyle="1" w:styleId="Style1">
    <w:name w:val="Style1"/>
    <w:basedOn w:val="Normal"/>
    <w:pPr>
      <w:numPr>
        <w:numId w:val="25"/>
      </w:numPr>
    </w:pPr>
  </w:style>
  <w:style w:type="paragraph" w:customStyle="1" w:styleId="Style2">
    <w:name w:val="Style2"/>
    <w:basedOn w:val="Normal"/>
    <w:pPr>
      <w:numPr>
        <w:numId w:val="23"/>
      </w:numPr>
      <w:jc w:val="both"/>
    </w:pPr>
    <w:rPr>
      <w:b/>
      <w:i/>
    </w:rPr>
  </w:style>
  <w:style w:type="paragraph" w:customStyle="1" w:styleId="Style4">
    <w:name w:val="Style4"/>
    <w:basedOn w:val="Normal"/>
    <w:pPr>
      <w:tabs>
        <w:tab w:val="num" w:pos="1080"/>
      </w:tabs>
      <w:ind w:left="1080" w:hanging="360"/>
      <w:jc w:val="both"/>
    </w:pPr>
    <w:rPr>
      <w:b/>
      <w:i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a">
    <w:name w:val="脚注番号"/>
    <w:rPr>
      <w:vertAlign w:val="superscript"/>
    </w:rPr>
  </w:style>
  <w:style w:type="character" w:customStyle="1" w:styleId="WW-">
    <w:name w:val="WW-脚注番号"/>
    <w:rPr>
      <w:vertAlign w:val="superscript"/>
    </w:rPr>
  </w:style>
  <w:style w:type="character" w:customStyle="1" w:styleId="documentbody">
    <w:name w:val="documentbody"/>
    <w:basedOn w:val="DefaultParagraphFont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rsid w:val="00BD3369"/>
    <w:pPr>
      <w:shd w:val="clear" w:color="auto" w:fill="000080"/>
    </w:pPr>
    <w:rPr>
      <w:rFonts w:ascii="Tahoma" w:hAnsi="Tahoma" w:cs="Tahoma"/>
    </w:rPr>
  </w:style>
  <w:style w:type="paragraph" w:styleId="TOAHeading">
    <w:name w:val="toa heading"/>
    <w:basedOn w:val="Normal"/>
    <w:next w:val="Normal"/>
    <w:semiHidden/>
    <w:rsid w:val="009B306F"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A67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67EC"/>
  </w:style>
  <w:style w:type="character" w:customStyle="1" w:styleId="CommentSubjectChar">
    <w:name w:val="Comment Subject Char"/>
    <w:basedOn w:val="CommentTextChar"/>
    <w:link w:val="CommentSubject"/>
    <w:rsid w:val="002A6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2572</Characters>
  <Application>Microsoft Office Word</Application>
  <DocSecurity>0</DocSecurity>
  <Lines>98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2005-07-11T20:15:00Z</cp:lastPrinted>
  <dcterms:created xsi:type="dcterms:W3CDTF">2014-12-10T15:06:00Z</dcterms:created>
  <dcterms:modified xsi:type="dcterms:W3CDTF">2014-12-10T15:06:00Z</dcterms:modified>
  <cp:category> </cp:category>
  <cp:contentStatus> </cp:contentStatus>
</cp:coreProperties>
</file>