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21" w:rsidRDefault="008A7921">
      <w:pPr>
        <w:jc w:val="center"/>
        <w:rPr>
          <w:b/>
        </w:rPr>
      </w:pPr>
      <w:bookmarkStart w:id="0" w:name="_GoBack"/>
      <w:bookmarkEnd w:id="0"/>
      <w:r>
        <w:rPr>
          <w:b/>
        </w:rPr>
        <w:t>Before the</w:t>
      </w:r>
    </w:p>
    <w:p w:rsidR="008A7921" w:rsidRDefault="008A7921">
      <w:pPr>
        <w:jc w:val="center"/>
        <w:rPr>
          <w:b/>
        </w:rPr>
      </w:pPr>
      <w:r>
        <w:rPr>
          <w:b/>
        </w:rPr>
        <w:t>Federal Communications Commission</w:t>
      </w:r>
    </w:p>
    <w:p w:rsidR="008A7921" w:rsidRDefault="008A7921">
      <w:pPr>
        <w:jc w:val="center"/>
        <w:rPr>
          <w:b/>
        </w:rPr>
      </w:pPr>
      <w:r>
        <w:rPr>
          <w:b/>
        </w:rPr>
        <w:t>Washington, D.C. 20554</w:t>
      </w:r>
    </w:p>
    <w:p w:rsidR="008A7921" w:rsidRDefault="008A7921"/>
    <w:p w:rsidR="008A7921" w:rsidRDefault="008A7921"/>
    <w:tbl>
      <w:tblPr>
        <w:tblW w:w="9648" w:type="dxa"/>
        <w:tblLayout w:type="fixed"/>
        <w:tblLook w:val="0000" w:firstRow="0" w:lastRow="0" w:firstColumn="0" w:lastColumn="0" w:noHBand="0" w:noVBand="0"/>
      </w:tblPr>
      <w:tblGrid>
        <w:gridCol w:w="4698"/>
        <w:gridCol w:w="720"/>
        <w:gridCol w:w="4230"/>
      </w:tblGrid>
      <w:tr w:rsidR="00012DEE" w:rsidTr="00012DEE">
        <w:tc>
          <w:tcPr>
            <w:tcW w:w="4698" w:type="dxa"/>
          </w:tcPr>
          <w:p w:rsidR="00012DEE" w:rsidRDefault="00012DEE" w:rsidP="008E3BAB">
            <w:pPr>
              <w:ind w:right="-18"/>
            </w:pPr>
            <w:r>
              <w:t>In the Matter of</w:t>
            </w:r>
          </w:p>
          <w:p w:rsidR="00012DEE" w:rsidRDefault="00012DEE" w:rsidP="008E3BAB">
            <w:pPr>
              <w:ind w:right="-18"/>
            </w:pPr>
          </w:p>
          <w:p w:rsidR="00012DEE" w:rsidRDefault="00012DEE" w:rsidP="008E3BAB">
            <w:pPr>
              <w:ind w:right="-18"/>
            </w:pPr>
            <w:r>
              <w:t xml:space="preserve">Pollack/Belz Communication Company, Inc. </w:t>
            </w:r>
            <w:r>
              <w:br/>
              <w:t>Licensee of Station KLAX-TV</w:t>
            </w:r>
          </w:p>
          <w:p w:rsidR="00012DEE" w:rsidRDefault="00012DEE" w:rsidP="008E3BAB">
            <w:pPr>
              <w:ind w:right="-18"/>
            </w:pPr>
            <w:r>
              <w:t xml:space="preserve">Alexandria, Louisiana </w:t>
            </w:r>
          </w:p>
        </w:tc>
        <w:tc>
          <w:tcPr>
            <w:tcW w:w="720" w:type="dxa"/>
          </w:tcPr>
          <w:p w:rsidR="00012DEE" w:rsidRDefault="00012DEE" w:rsidP="008E3BAB">
            <w:pPr>
              <w:rPr>
                <w:b/>
              </w:rPr>
            </w:pPr>
            <w:r>
              <w:rPr>
                <w:b/>
              </w:rPr>
              <w:t>)</w:t>
            </w:r>
          </w:p>
          <w:p w:rsidR="00012DEE" w:rsidRDefault="00012DEE" w:rsidP="008E3BAB">
            <w:pPr>
              <w:rPr>
                <w:b/>
              </w:rPr>
            </w:pPr>
            <w:r>
              <w:rPr>
                <w:b/>
              </w:rPr>
              <w:t>)</w:t>
            </w:r>
          </w:p>
          <w:p w:rsidR="00012DEE" w:rsidRDefault="00012DEE" w:rsidP="008E3BAB">
            <w:pPr>
              <w:rPr>
                <w:b/>
              </w:rPr>
            </w:pPr>
            <w:r>
              <w:rPr>
                <w:b/>
              </w:rPr>
              <w:t>)</w:t>
            </w:r>
          </w:p>
          <w:p w:rsidR="00012DEE" w:rsidRDefault="00012DEE" w:rsidP="008E3BAB">
            <w:pPr>
              <w:rPr>
                <w:b/>
              </w:rPr>
            </w:pPr>
            <w:r>
              <w:rPr>
                <w:b/>
              </w:rPr>
              <w:t>)</w:t>
            </w:r>
          </w:p>
          <w:p w:rsidR="00012DEE" w:rsidRDefault="00012DEE" w:rsidP="008E3BAB">
            <w:pPr>
              <w:rPr>
                <w:b/>
              </w:rPr>
            </w:pPr>
            <w:r>
              <w:rPr>
                <w:b/>
              </w:rPr>
              <w:t>)</w:t>
            </w:r>
          </w:p>
          <w:p w:rsidR="00DE2F41" w:rsidRDefault="00DE2F41" w:rsidP="008E3BAB">
            <w:pPr>
              <w:rPr>
                <w:b/>
              </w:rPr>
            </w:pPr>
            <w:r>
              <w:rPr>
                <w:b/>
              </w:rPr>
              <w:t>)</w:t>
            </w:r>
          </w:p>
        </w:tc>
        <w:tc>
          <w:tcPr>
            <w:tcW w:w="4230" w:type="dxa"/>
          </w:tcPr>
          <w:p w:rsidR="00012DEE" w:rsidRDefault="00012DEE" w:rsidP="008E3BAB"/>
          <w:p w:rsidR="00012DEE" w:rsidRDefault="00012DEE" w:rsidP="008E3BAB"/>
          <w:p w:rsidR="00012DEE" w:rsidRDefault="00012DEE" w:rsidP="008E3BAB">
            <w:pPr>
              <w:rPr>
                <w:spacing w:val="-2"/>
              </w:rPr>
            </w:pPr>
            <w:r>
              <w:rPr>
                <w:spacing w:val="-2"/>
              </w:rPr>
              <w:t>Facility I.D. No. 52907</w:t>
            </w:r>
          </w:p>
          <w:p w:rsidR="00012DEE" w:rsidRPr="0011223A" w:rsidRDefault="00012DEE" w:rsidP="008E3BAB">
            <w:r>
              <w:t>NAL/Acct. No.: 20134140061</w:t>
            </w:r>
          </w:p>
          <w:p w:rsidR="00012DEE" w:rsidRDefault="00012DEE" w:rsidP="008E3BAB">
            <w:pPr>
              <w:rPr>
                <w:spacing w:val="-2"/>
                <w:szCs w:val="22"/>
              </w:rPr>
            </w:pPr>
            <w:r w:rsidRPr="00E218CA">
              <w:rPr>
                <w:spacing w:val="-2"/>
                <w:szCs w:val="22"/>
              </w:rPr>
              <w:t>FRN:</w:t>
            </w:r>
            <w:r>
              <w:rPr>
                <w:spacing w:val="-2"/>
                <w:szCs w:val="22"/>
              </w:rPr>
              <w:t xml:space="preserve"> 0006096200</w:t>
            </w:r>
          </w:p>
          <w:p w:rsidR="00B34F7C" w:rsidRPr="00E218CA" w:rsidRDefault="00DE2F41" w:rsidP="008E3BAB">
            <w:pPr>
              <w:rPr>
                <w:szCs w:val="22"/>
              </w:rPr>
            </w:pPr>
            <w:r>
              <w:rPr>
                <w:spacing w:val="-2"/>
                <w:szCs w:val="22"/>
              </w:rPr>
              <w:t>File No: BRCDT-</w:t>
            </w:r>
            <w:r w:rsidR="00B34F7C">
              <w:rPr>
                <w:spacing w:val="-2"/>
                <w:szCs w:val="22"/>
              </w:rPr>
              <w:t>20130603BFV</w:t>
            </w:r>
          </w:p>
        </w:tc>
      </w:tr>
    </w:tbl>
    <w:p w:rsidR="008A7921" w:rsidRDefault="008A7921"/>
    <w:p w:rsidR="008A7921" w:rsidRDefault="0085053C">
      <w:pPr>
        <w:jc w:val="center"/>
        <w:rPr>
          <w:b/>
          <w:spacing w:val="-2"/>
        </w:rPr>
      </w:pPr>
      <w:r>
        <w:rPr>
          <w:b/>
          <w:spacing w:val="-2"/>
        </w:rPr>
        <w:t>FORFEITURE ORDER</w:t>
      </w:r>
    </w:p>
    <w:p w:rsidR="008A7921" w:rsidRDefault="008A7921">
      <w:pPr>
        <w:jc w:val="center"/>
      </w:pPr>
    </w:p>
    <w:p w:rsidR="008A7921" w:rsidRDefault="007130AF">
      <w:pPr>
        <w:tabs>
          <w:tab w:val="left" w:pos="5760"/>
        </w:tabs>
        <w:rPr>
          <w:b/>
          <w:szCs w:val="22"/>
        </w:rPr>
      </w:pPr>
      <w:r>
        <w:rPr>
          <w:b/>
          <w:szCs w:val="22"/>
        </w:rPr>
        <w:t xml:space="preserve">Adopted:  </w:t>
      </w:r>
      <w:r w:rsidR="00A356E7">
        <w:rPr>
          <w:b/>
          <w:szCs w:val="22"/>
        </w:rPr>
        <w:t>December 5</w:t>
      </w:r>
      <w:r w:rsidR="00CE5550">
        <w:rPr>
          <w:b/>
          <w:szCs w:val="22"/>
        </w:rPr>
        <w:t>, 2014</w:t>
      </w:r>
      <w:r>
        <w:rPr>
          <w:b/>
          <w:szCs w:val="22"/>
        </w:rPr>
        <w:tab/>
      </w:r>
      <w:r>
        <w:rPr>
          <w:b/>
          <w:szCs w:val="22"/>
        </w:rPr>
        <w:tab/>
        <w:t xml:space="preserve">Released:  </w:t>
      </w:r>
      <w:r w:rsidR="00A356E7">
        <w:rPr>
          <w:b/>
          <w:szCs w:val="22"/>
        </w:rPr>
        <w:t>December 5</w:t>
      </w:r>
      <w:r w:rsidR="00CE5550">
        <w:rPr>
          <w:b/>
          <w:szCs w:val="22"/>
        </w:rPr>
        <w:t>, 2014</w:t>
      </w:r>
    </w:p>
    <w:p w:rsidR="008A7921" w:rsidRDefault="008A7921">
      <w:pPr>
        <w:tabs>
          <w:tab w:val="left" w:pos="5760"/>
        </w:tabs>
        <w:rPr>
          <w:b/>
        </w:rPr>
      </w:pPr>
    </w:p>
    <w:p w:rsidR="008A7921" w:rsidRDefault="008A7921">
      <w:pPr>
        <w:tabs>
          <w:tab w:val="left" w:pos="5760"/>
        </w:tabs>
      </w:pPr>
      <w:r>
        <w:t xml:space="preserve">By the </w:t>
      </w:r>
      <w:r w:rsidR="00C75228">
        <w:t>Chief, Video Division, Media Bureau</w:t>
      </w:r>
      <w:r>
        <w:rPr>
          <w:spacing w:val="-2"/>
        </w:rPr>
        <w:t>:</w:t>
      </w:r>
    </w:p>
    <w:p w:rsidR="008A7921" w:rsidRDefault="008A7921"/>
    <w:p w:rsidR="0085053C" w:rsidRPr="00FA5BB0" w:rsidRDefault="0085053C" w:rsidP="0085053C">
      <w:pPr>
        <w:pStyle w:val="Heading2"/>
        <w:widowControl/>
        <w:numPr>
          <w:ilvl w:val="0"/>
          <w:numId w:val="25"/>
        </w:numPr>
        <w:tabs>
          <w:tab w:val="left" w:pos="0"/>
          <w:tab w:val="left" w:pos="1080"/>
          <w:tab w:val="left" w:pos="5760"/>
        </w:tabs>
        <w:suppressAutoHyphens/>
        <w:spacing w:after="0"/>
        <w:jc w:val="left"/>
        <w:rPr>
          <w:spacing w:val="-2"/>
          <w:szCs w:val="22"/>
        </w:rPr>
      </w:pPr>
      <w:r w:rsidRPr="00FA5BB0">
        <w:rPr>
          <w:spacing w:val="-2"/>
          <w:szCs w:val="22"/>
        </w:rPr>
        <w:t>INTRODUCTION</w:t>
      </w:r>
    </w:p>
    <w:p w:rsidR="0085053C" w:rsidRPr="00FA5BB0" w:rsidRDefault="0085053C" w:rsidP="0085053C">
      <w:pPr>
        <w:tabs>
          <w:tab w:val="left" w:pos="0"/>
          <w:tab w:val="left" w:pos="720"/>
          <w:tab w:val="left" w:pos="5760"/>
        </w:tabs>
        <w:suppressAutoHyphens/>
        <w:jc w:val="both"/>
        <w:rPr>
          <w:spacing w:val="-2"/>
          <w:szCs w:val="22"/>
        </w:rPr>
      </w:pPr>
    </w:p>
    <w:p w:rsidR="00012DEE" w:rsidRPr="00FA5BB0" w:rsidRDefault="0085053C" w:rsidP="00803438">
      <w:pPr>
        <w:pStyle w:val="ParaNum"/>
        <w:tabs>
          <w:tab w:val="clear" w:pos="1080"/>
          <w:tab w:val="num" w:pos="1440"/>
        </w:tabs>
        <w:rPr>
          <w:szCs w:val="22"/>
        </w:rPr>
      </w:pPr>
      <w:r w:rsidRPr="00FA5BB0">
        <w:rPr>
          <w:spacing w:val="-2"/>
          <w:szCs w:val="22"/>
        </w:rPr>
        <w:t xml:space="preserve">In this </w:t>
      </w:r>
      <w:r w:rsidRPr="00FA5BB0">
        <w:rPr>
          <w:i/>
          <w:spacing w:val="-2"/>
          <w:szCs w:val="22"/>
        </w:rPr>
        <w:t>Forfeiture Order</w:t>
      </w:r>
      <w:r w:rsidRPr="00FA5BB0">
        <w:rPr>
          <w:spacing w:val="-2"/>
          <w:szCs w:val="22"/>
        </w:rPr>
        <w:t xml:space="preserve">, issued pursuant to Sections 0.61(f)(1) and 1.80(a)(1) and (2) of the Commission’s </w:t>
      </w:r>
      <w:r w:rsidR="00B908FC">
        <w:rPr>
          <w:spacing w:val="-2"/>
          <w:szCs w:val="22"/>
        </w:rPr>
        <w:t>r</w:t>
      </w:r>
      <w:r w:rsidRPr="00FA5BB0">
        <w:rPr>
          <w:spacing w:val="-2"/>
          <w:szCs w:val="22"/>
        </w:rPr>
        <w:t>ules</w:t>
      </w:r>
      <w:r w:rsidR="00B908FC">
        <w:rPr>
          <w:spacing w:val="-2"/>
          <w:szCs w:val="22"/>
        </w:rPr>
        <w:t xml:space="preserve"> (“Rules”)</w:t>
      </w:r>
      <w:r w:rsidRPr="00FA5BB0">
        <w:rPr>
          <w:spacing w:val="-2"/>
          <w:szCs w:val="22"/>
        </w:rPr>
        <w:t>,</w:t>
      </w:r>
      <w:r w:rsidRPr="00FA5BB0">
        <w:rPr>
          <w:rStyle w:val="FootnoteReference"/>
          <w:spacing w:val="-2"/>
          <w:szCs w:val="22"/>
        </w:rPr>
        <w:footnoteReference w:id="2"/>
      </w:r>
      <w:r w:rsidRPr="00FA5BB0">
        <w:rPr>
          <w:spacing w:val="-2"/>
          <w:szCs w:val="22"/>
        </w:rPr>
        <w:t xml:space="preserve"> </w:t>
      </w:r>
      <w:r w:rsidR="00634302" w:rsidRPr="00FA5BB0">
        <w:rPr>
          <w:szCs w:val="22"/>
        </w:rPr>
        <w:t>we find</w:t>
      </w:r>
      <w:r w:rsidR="00012DEE" w:rsidRPr="00FA5BB0">
        <w:rPr>
          <w:szCs w:val="22"/>
        </w:rPr>
        <w:t xml:space="preserve"> that Pollack/Belz Communication Company, Inc. (the “Licensee”), licensee of Station KLAX-TV, Alexandria, Louisiana (“KLAX”), willfully and repeatedly violated Section 73.3539(a) of the Rules by failing to timely file with the Commission its Application for Renewal of Broadcast Station License (Form 303-S). Based upon our review of the facts and circumstances before us, we conclude that the Licensee is apparently liable for a monetary forfeiture in the amount of two thousand, four hundred dollars ($2,400).</w:t>
      </w:r>
    </w:p>
    <w:p w:rsidR="0085053C" w:rsidRPr="00FA5BB0" w:rsidRDefault="0085053C" w:rsidP="0085053C">
      <w:pPr>
        <w:pStyle w:val="ParaNum"/>
        <w:widowControl/>
        <w:numPr>
          <w:ilvl w:val="0"/>
          <w:numId w:val="25"/>
        </w:numPr>
        <w:tabs>
          <w:tab w:val="left" w:pos="1080"/>
          <w:tab w:val="num" w:pos="1440"/>
        </w:tabs>
        <w:suppressAutoHyphens/>
        <w:autoSpaceDE w:val="0"/>
        <w:autoSpaceDN w:val="0"/>
        <w:adjustRightInd w:val="0"/>
        <w:spacing w:after="0" w:line="240" w:lineRule="atLeast"/>
        <w:jc w:val="left"/>
        <w:rPr>
          <w:b/>
          <w:szCs w:val="22"/>
        </w:rPr>
      </w:pPr>
      <w:r w:rsidRPr="00FA5BB0">
        <w:rPr>
          <w:b/>
          <w:szCs w:val="22"/>
        </w:rPr>
        <w:t>BACKGROUND</w:t>
      </w:r>
    </w:p>
    <w:p w:rsidR="0085053C" w:rsidRPr="00FA5BB0" w:rsidRDefault="0085053C" w:rsidP="0085053C">
      <w:pPr>
        <w:numPr>
          <w:ilvl w:val="0"/>
          <w:numId w:val="23"/>
        </w:numPr>
        <w:jc w:val="both"/>
        <w:rPr>
          <w:szCs w:val="22"/>
        </w:rPr>
      </w:pPr>
    </w:p>
    <w:p w:rsidR="0085053C" w:rsidRPr="009863B5" w:rsidRDefault="0085053C" w:rsidP="00C537AB">
      <w:pPr>
        <w:pStyle w:val="ParaNum"/>
        <w:widowControl/>
        <w:tabs>
          <w:tab w:val="clear" w:pos="1080"/>
        </w:tabs>
        <w:rPr>
          <w:szCs w:val="22"/>
        </w:rPr>
      </w:pPr>
      <w:r w:rsidRPr="00FA5BB0">
        <w:rPr>
          <w:szCs w:val="22"/>
        </w:rPr>
        <w:t xml:space="preserve">The Video Division </w:t>
      </w:r>
      <w:r w:rsidR="005A2D07" w:rsidRPr="00FA5BB0">
        <w:rPr>
          <w:szCs w:val="22"/>
        </w:rPr>
        <w:t>(</w:t>
      </w:r>
      <w:r w:rsidR="005A2D07" w:rsidRPr="009863B5">
        <w:rPr>
          <w:szCs w:val="22"/>
        </w:rPr>
        <w:t>“Division”)</w:t>
      </w:r>
      <w:r w:rsidR="004674E6" w:rsidRPr="009863B5">
        <w:rPr>
          <w:szCs w:val="22"/>
        </w:rPr>
        <w:t>, Media Bureau (“Bureau”)</w:t>
      </w:r>
      <w:r w:rsidR="005A2D07" w:rsidRPr="009863B5">
        <w:rPr>
          <w:szCs w:val="22"/>
        </w:rPr>
        <w:t xml:space="preserve"> </w:t>
      </w:r>
      <w:r w:rsidRPr="00C537AB">
        <w:rPr>
          <w:szCs w:val="22"/>
        </w:rPr>
        <w:t xml:space="preserve">issued a Notice of Apparent Liability for Forfeiture </w:t>
      </w:r>
      <w:r w:rsidR="004E3E8B" w:rsidRPr="00C537AB">
        <w:rPr>
          <w:szCs w:val="22"/>
        </w:rPr>
        <w:t>(“</w:t>
      </w:r>
      <w:r w:rsidR="004E3E8B" w:rsidRPr="004E3E8B">
        <w:rPr>
          <w:i/>
          <w:szCs w:val="22"/>
        </w:rPr>
        <w:t>NAL</w:t>
      </w:r>
      <w:r w:rsidR="004E3E8B" w:rsidRPr="00C537AB">
        <w:rPr>
          <w:szCs w:val="22"/>
        </w:rPr>
        <w:t xml:space="preserve">”) </w:t>
      </w:r>
      <w:r w:rsidRPr="00C537AB">
        <w:rPr>
          <w:szCs w:val="22"/>
        </w:rPr>
        <w:t xml:space="preserve">on </w:t>
      </w:r>
      <w:r w:rsidR="00012DEE" w:rsidRPr="00C537AB">
        <w:rPr>
          <w:szCs w:val="22"/>
        </w:rPr>
        <w:t>February 5, 2014</w:t>
      </w:r>
      <w:r w:rsidRPr="00C537AB">
        <w:rPr>
          <w:szCs w:val="22"/>
        </w:rPr>
        <w:t>.</w:t>
      </w:r>
      <w:r w:rsidRPr="00C537AB">
        <w:rPr>
          <w:rStyle w:val="FootnoteReference"/>
          <w:spacing w:val="-2"/>
          <w:szCs w:val="22"/>
        </w:rPr>
        <w:footnoteReference w:id="3"/>
      </w:r>
      <w:r w:rsidRPr="00C537AB">
        <w:rPr>
          <w:szCs w:val="22"/>
        </w:rPr>
        <w:t xml:space="preserve">  The NAL notified the Licensee that it failed to file its license renewal application as required under Section 73.3539(a)</w:t>
      </w:r>
      <w:r w:rsidR="004E3E8B">
        <w:rPr>
          <w:szCs w:val="22"/>
        </w:rPr>
        <w:t xml:space="preserve"> of the Rules</w:t>
      </w:r>
      <w:r w:rsidRPr="00C537AB">
        <w:rPr>
          <w:szCs w:val="22"/>
        </w:rPr>
        <w:t>.</w:t>
      </w:r>
      <w:r w:rsidRPr="00C537AB">
        <w:rPr>
          <w:rStyle w:val="FootnoteReference"/>
          <w:spacing w:val="-2"/>
          <w:szCs w:val="22"/>
        </w:rPr>
        <w:footnoteReference w:id="4"/>
      </w:r>
      <w:r w:rsidRPr="00C537AB">
        <w:rPr>
          <w:szCs w:val="22"/>
        </w:rPr>
        <w:t xml:space="preserve">  The Division concluded that the Licensee was apparently liable for a forfeiture </w:t>
      </w:r>
      <w:r w:rsidR="009863B5">
        <w:rPr>
          <w:szCs w:val="22"/>
        </w:rPr>
        <w:t xml:space="preserve">in the amount </w:t>
      </w:r>
      <w:r w:rsidRPr="00C537AB">
        <w:rPr>
          <w:szCs w:val="22"/>
        </w:rPr>
        <w:t>of $</w:t>
      </w:r>
      <w:r w:rsidR="00012DEE" w:rsidRPr="00C537AB">
        <w:rPr>
          <w:szCs w:val="22"/>
        </w:rPr>
        <w:t>2</w:t>
      </w:r>
      <w:r w:rsidRPr="00C537AB">
        <w:rPr>
          <w:szCs w:val="22"/>
        </w:rPr>
        <w:t>,</w:t>
      </w:r>
      <w:r w:rsidR="00012DEE" w:rsidRPr="00C537AB">
        <w:rPr>
          <w:szCs w:val="22"/>
        </w:rPr>
        <w:t>4</w:t>
      </w:r>
      <w:r w:rsidRPr="00C537AB">
        <w:rPr>
          <w:szCs w:val="22"/>
        </w:rPr>
        <w:t>00.</w:t>
      </w:r>
      <w:r w:rsidR="00A20FA4" w:rsidRPr="00C537AB">
        <w:rPr>
          <w:szCs w:val="22"/>
        </w:rPr>
        <w:t xml:space="preserve">  </w:t>
      </w:r>
      <w:r w:rsidR="00377506" w:rsidRPr="00C537AB">
        <w:rPr>
          <w:szCs w:val="22"/>
        </w:rPr>
        <w:t>In a timely R</w:t>
      </w:r>
      <w:r w:rsidRPr="00C537AB">
        <w:rPr>
          <w:szCs w:val="22"/>
        </w:rPr>
        <w:t xml:space="preserve">esponse filed </w:t>
      </w:r>
      <w:r w:rsidR="00923DE2" w:rsidRPr="00C537AB">
        <w:rPr>
          <w:szCs w:val="22"/>
        </w:rPr>
        <w:t>on March</w:t>
      </w:r>
      <w:r w:rsidRPr="00C537AB">
        <w:rPr>
          <w:szCs w:val="22"/>
        </w:rPr>
        <w:t xml:space="preserve"> 7, 201</w:t>
      </w:r>
      <w:r w:rsidR="00923DE2" w:rsidRPr="00C537AB">
        <w:rPr>
          <w:szCs w:val="22"/>
        </w:rPr>
        <w:t>4</w:t>
      </w:r>
      <w:r w:rsidRPr="00C537AB">
        <w:rPr>
          <w:szCs w:val="22"/>
        </w:rPr>
        <w:t>,</w:t>
      </w:r>
      <w:r w:rsidR="00F71FC8" w:rsidRPr="00C537AB">
        <w:rPr>
          <w:rStyle w:val="FootnoteReference"/>
          <w:szCs w:val="22"/>
        </w:rPr>
        <w:footnoteReference w:id="5"/>
      </w:r>
      <w:r w:rsidRPr="00C537AB">
        <w:rPr>
          <w:szCs w:val="22"/>
        </w:rPr>
        <w:t xml:space="preserve"> the Licensee</w:t>
      </w:r>
      <w:r w:rsidR="00923DE2" w:rsidRPr="00C537AB">
        <w:rPr>
          <w:szCs w:val="22"/>
        </w:rPr>
        <w:t xml:space="preserve"> </w:t>
      </w:r>
      <w:r w:rsidR="005A2D07" w:rsidRPr="00C537AB">
        <w:rPr>
          <w:szCs w:val="22"/>
        </w:rPr>
        <w:t>request</w:t>
      </w:r>
      <w:r w:rsidR="009863B5">
        <w:rPr>
          <w:szCs w:val="22"/>
        </w:rPr>
        <w:t>ed</w:t>
      </w:r>
      <w:r w:rsidR="005A2D07" w:rsidRPr="00C537AB">
        <w:rPr>
          <w:szCs w:val="22"/>
        </w:rPr>
        <w:t xml:space="preserve"> </w:t>
      </w:r>
      <w:r w:rsidR="00923DE2" w:rsidRPr="00C537AB">
        <w:rPr>
          <w:szCs w:val="22"/>
        </w:rPr>
        <w:t>that the proposed forfeiture be canceled</w:t>
      </w:r>
      <w:r w:rsidR="005A2D07" w:rsidRPr="00C537AB">
        <w:rPr>
          <w:szCs w:val="22"/>
        </w:rPr>
        <w:t>.  T</w:t>
      </w:r>
      <w:r w:rsidR="00923DE2" w:rsidRPr="00C537AB">
        <w:rPr>
          <w:szCs w:val="22"/>
        </w:rPr>
        <w:t xml:space="preserve">he Licensee </w:t>
      </w:r>
      <w:r w:rsidR="005A2D07" w:rsidRPr="00C537AB">
        <w:rPr>
          <w:szCs w:val="22"/>
        </w:rPr>
        <w:t>contend</w:t>
      </w:r>
      <w:r w:rsidR="009863B5">
        <w:rPr>
          <w:szCs w:val="22"/>
        </w:rPr>
        <w:t>ed</w:t>
      </w:r>
      <w:r w:rsidR="005A2D07" w:rsidRPr="00C537AB">
        <w:rPr>
          <w:szCs w:val="22"/>
        </w:rPr>
        <w:t xml:space="preserve"> that it </w:t>
      </w:r>
      <w:r w:rsidR="00923DE2" w:rsidRPr="00C537AB">
        <w:rPr>
          <w:szCs w:val="22"/>
        </w:rPr>
        <w:t>did not violate Section 73.3539(a) because its preceding license renewal application remain</w:t>
      </w:r>
      <w:r w:rsidR="009863B5">
        <w:rPr>
          <w:szCs w:val="22"/>
        </w:rPr>
        <w:t>ed</w:t>
      </w:r>
      <w:r w:rsidR="00923DE2" w:rsidRPr="00C537AB">
        <w:rPr>
          <w:szCs w:val="22"/>
        </w:rPr>
        <w:t xml:space="preserve"> pending and therefore there </w:t>
      </w:r>
      <w:r w:rsidR="009863B5">
        <w:rPr>
          <w:szCs w:val="22"/>
        </w:rPr>
        <w:t>was</w:t>
      </w:r>
      <w:r w:rsidR="009863B5" w:rsidRPr="00C537AB">
        <w:rPr>
          <w:szCs w:val="22"/>
        </w:rPr>
        <w:t xml:space="preserve"> </w:t>
      </w:r>
      <w:r w:rsidR="00923DE2" w:rsidRPr="00C537AB">
        <w:rPr>
          <w:szCs w:val="22"/>
        </w:rPr>
        <w:t>no need to file a new license renewal application.</w:t>
      </w:r>
      <w:r w:rsidR="00923DE2" w:rsidRPr="00C537AB">
        <w:rPr>
          <w:rStyle w:val="FootnoteReference"/>
          <w:szCs w:val="22"/>
        </w:rPr>
        <w:footnoteReference w:id="6"/>
      </w:r>
      <w:r w:rsidR="00923DE2" w:rsidRPr="00C537AB">
        <w:rPr>
          <w:szCs w:val="22"/>
        </w:rPr>
        <w:t xml:space="preserve">  Furthermore, the Licensee</w:t>
      </w:r>
      <w:r w:rsidR="004E3E8B">
        <w:rPr>
          <w:szCs w:val="22"/>
        </w:rPr>
        <w:t xml:space="preserve"> </w:t>
      </w:r>
      <w:r w:rsidR="00923DE2" w:rsidRPr="00C537AB">
        <w:rPr>
          <w:szCs w:val="22"/>
        </w:rPr>
        <w:t xml:space="preserve">contends that the Commission does not have the authority to levy a forfeiture </w:t>
      </w:r>
      <w:r w:rsidR="00923DE2" w:rsidRPr="00C537AB">
        <w:rPr>
          <w:szCs w:val="22"/>
        </w:rPr>
        <w:lastRenderedPageBreak/>
        <w:t>based on violations of a Public Notice</w:t>
      </w:r>
      <w:r w:rsidR="004E3E8B">
        <w:rPr>
          <w:szCs w:val="22"/>
        </w:rPr>
        <w:t xml:space="preserve"> and that the </w:t>
      </w:r>
      <w:r w:rsidR="00982D06">
        <w:rPr>
          <w:szCs w:val="22"/>
        </w:rPr>
        <w:t xml:space="preserve">guidance provided </w:t>
      </w:r>
      <w:r w:rsidR="00A66CC5">
        <w:rPr>
          <w:szCs w:val="22"/>
        </w:rPr>
        <w:t>by the Bureau in</w:t>
      </w:r>
      <w:r w:rsidR="00982D06">
        <w:rPr>
          <w:szCs w:val="22"/>
        </w:rPr>
        <w:t xml:space="preserve"> a Public Notice to licensees with still pending license renewal applications</w:t>
      </w:r>
      <w:r w:rsidR="00A66CC5">
        <w:rPr>
          <w:szCs w:val="22"/>
        </w:rPr>
        <w:t xml:space="preserve"> </w:t>
      </w:r>
      <w:r w:rsidR="004E3E8B">
        <w:rPr>
          <w:szCs w:val="22"/>
        </w:rPr>
        <w:t>represented a</w:t>
      </w:r>
      <w:r w:rsidR="00982D06">
        <w:rPr>
          <w:szCs w:val="22"/>
        </w:rPr>
        <w:t>n improper</w:t>
      </w:r>
      <w:r w:rsidR="004E3E8B">
        <w:rPr>
          <w:szCs w:val="22"/>
        </w:rPr>
        <w:t xml:space="preserve"> change in policy or practice</w:t>
      </w:r>
      <w:r w:rsidR="00923DE2" w:rsidRPr="00C537AB">
        <w:rPr>
          <w:szCs w:val="22"/>
        </w:rPr>
        <w:t>.</w:t>
      </w:r>
      <w:r w:rsidR="005D235B" w:rsidRPr="009863B5">
        <w:rPr>
          <w:rStyle w:val="FootnoteReference"/>
          <w:szCs w:val="22"/>
        </w:rPr>
        <w:footnoteReference w:id="7"/>
      </w:r>
      <w:r w:rsidR="005D235B" w:rsidRPr="009863B5">
        <w:rPr>
          <w:szCs w:val="22"/>
        </w:rPr>
        <w:t xml:space="preserve"> </w:t>
      </w:r>
      <w:r w:rsidR="00923DE2" w:rsidRPr="009863B5">
        <w:rPr>
          <w:szCs w:val="22"/>
        </w:rPr>
        <w:t xml:space="preserve">   </w:t>
      </w:r>
      <w:r w:rsidRPr="009863B5">
        <w:rPr>
          <w:szCs w:val="22"/>
        </w:rPr>
        <w:t xml:space="preserve"> </w:t>
      </w:r>
    </w:p>
    <w:p w:rsidR="0085053C" w:rsidRPr="00C537AB" w:rsidRDefault="0085053C" w:rsidP="0085053C">
      <w:pPr>
        <w:pStyle w:val="ParaNum"/>
        <w:widowControl/>
        <w:numPr>
          <w:ilvl w:val="0"/>
          <w:numId w:val="25"/>
        </w:numPr>
        <w:tabs>
          <w:tab w:val="clear" w:pos="1440"/>
          <w:tab w:val="left" w:pos="1080"/>
        </w:tabs>
        <w:jc w:val="left"/>
        <w:rPr>
          <w:spacing w:val="-2"/>
          <w:szCs w:val="22"/>
        </w:rPr>
      </w:pPr>
      <w:r w:rsidRPr="00C537AB">
        <w:rPr>
          <w:b/>
          <w:szCs w:val="22"/>
        </w:rPr>
        <w:t>DISCUSSION</w:t>
      </w:r>
    </w:p>
    <w:p w:rsidR="00FA5BB0" w:rsidRPr="00C537AB" w:rsidRDefault="0085053C" w:rsidP="00C537AB">
      <w:pPr>
        <w:pStyle w:val="ParaNum"/>
        <w:widowControl/>
        <w:tabs>
          <w:tab w:val="clear" w:pos="1080"/>
          <w:tab w:val="num" w:pos="1440"/>
        </w:tabs>
        <w:spacing w:after="240"/>
        <w:rPr>
          <w:spacing w:val="-2"/>
          <w:szCs w:val="22"/>
        </w:rPr>
      </w:pPr>
      <w:r w:rsidRPr="00C537AB">
        <w:rPr>
          <w:szCs w:val="22"/>
        </w:rPr>
        <w:t xml:space="preserve">The Commission is authorized to license radio and television broadcast stations and is responsible for enforcing the applicable statutory provisions </w:t>
      </w:r>
      <w:r w:rsidR="009863B5">
        <w:rPr>
          <w:szCs w:val="22"/>
        </w:rPr>
        <w:t xml:space="preserve">and its rules </w:t>
      </w:r>
      <w:r w:rsidRPr="00C537AB">
        <w:rPr>
          <w:szCs w:val="22"/>
        </w:rPr>
        <w:t>concerning the operation of those stations.  Unde</w:t>
      </w:r>
      <w:r w:rsidR="00197847" w:rsidRPr="00C537AB">
        <w:rPr>
          <w:szCs w:val="22"/>
        </w:rPr>
        <w:t xml:space="preserve">r section 503(b)(1) of The Communications </w:t>
      </w:r>
      <w:r w:rsidRPr="00C537AB">
        <w:rPr>
          <w:szCs w:val="22"/>
        </w:rPr>
        <w:t>Act</w:t>
      </w:r>
      <w:r w:rsidR="00197847" w:rsidRPr="00C537AB">
        <w:rPr>
          <w:szCs w:val="22"/>
        </w:rPr>
        <w:t xml:space="preserve"> of 1934, as amended (the </w:t>
      </w:r>
      <w:r w:rsidR="009863B5">
        <w:rPr>
          <w:szCs w:val="22"/>
        </w:rPr>
        <w:t>“</w:t>
      </w:r>
      <w:r w:rsidR="00197847" w:rsidRPr="00C537AB">
        <w:rPr>
          <w:szCs w:val="22"/>
        </w:rPr>
        <w:t>Act”)</w:t>
      </w:r>
      <w:r w:rsidRPr="00C537AB">
        <w:rPr>
          <w:szCs w:val="22"/>
        </w:rPr>
        <w:t xml:space="preserve">, any person who is determined by the Commission to have willfully </w:t>
      </w:r>
      <w:r w:rsidR="009863B5">
        <w:rPr>
          <w:szCs w:val="22"/>
        </w:rPr>
        <w:t>and/</w:t>
      </w:r>
      <w:r w:rsidRPr="00C537AB">
        <w:rPr>
          <w:szCs w:val="22"/>
        </w:rPr>
        <w:t>or repeatedly failed to comply with any provision of the Act or any rule, regulation, or order issued by the Commission shall be liable to the United States for a forfeiture penalty.</w:t>
      </w:r>
      <w:r w:rsidRPr="00C537AB">
        <w:rPr>
          <w:rStyle w:val="FootnoteReference"/>
          <w:color w:val="000000"/>
          <w:szCs w:val="22"/>
        </w:rPr>
        <w:footnoteReference w:id="8"/>
      </w:r>
      <w:r w:rsidRPr="00C537AB">
        <w:rPr>
          <w:szCs w:val="22"/>
        </w:rPr>
        <w:t xml:space="preserve">  In order to impose a forfeiture penalty, the Commission must issue a notice of apparent liability, the notice must be received, and the person against whom the notice has been issued must have an opportunity to show, in writing, why no such penalty should be imposed.</w:t>
      </w:r>
      <w:r w:rsidRPr="00C537AB">
        <w:rPr>
          <w:rStyle w:val="FootnoteReference"/>
          <w:szCs w:val="22"/>
        </w:rPr>
        <w:footnoteReference w:id="9"/>
      </w:r>
      <w:r w:rsidRPr="00C537AB">
        <w:rPr>
          <w:szCs w:val="22"/>
        </w:rPr>
        <w:t xml:space="preserve">  The Commission will then issue a forfeiture order if it finds by a preponderance of the evidence that the person has violated the Act or a Commission rule.</w:t>
      </w:r>
      <w:r w:rsidRPr="00C537AB">
        <w:rPr>
          <w:rStyle w:val="FootnoteReference"/>
          <w:szCs w:val="22"/>
        </w:rPr>
        <w:footnoteReference w:id="10"/>
      </w:r>
      <w:r w:rsidRPr="00C537AB">
        <w:rPr>
          <w:szCs w:val="22"/>
        </w:rPr>
        <w:t xml:space="preserve"> </w:t>
      </w:r>
      <w:r w:rsidR="00D44D30" w:rsidRPr="00C537AB">
        <w:rPr>
          <w:szCs w:val="22"/>
        </w:rPr>
        <w:t xml:space="preserve">  </w:t>
      </w:r>
    </w:p>
    <w:p w:rsidR="0085053C" w:rsidRPr="00C537AB" w:rsidRDefault="0085053C" w:rsidP="009863B5">
      <w:pPr>
        <w:pStyle w:val="ParaNum"/>
        <w:widowControl/>
        <w:tabs>
          <w:tab w:val="clear" w:pos="1080"/>
          <w:tab w:val="num" w:pos="1440"/>
        </w:tabs>
        <w:spacing w:after="240"/>
        <w:rPr>
          <w:spacing w:val="-2"/>
          <w:szCs w:val="22"/>
        </w:rPr>
      </w:pPr>
      <w:r w:rsidRPr="009863B5">
        <w:rPr>
          <w:szCs w:val="22"/>
        </w:rPr>
        <w:t xml:space="preserve">In the </w:t>
      </w:r>
      <w:r w:rsidRPr="00C537AB">
        <w:rPr>
          <w:i/>
          <w:szCs w:val="22"/>
        </w:rPr>
        <w:t>NAL</w:t>
      </w:r>
      <w:r w:rsidRPr="009863B5">
        <w:rPr>
          <w:szCs w:val="22"/>
        </w:rPr>
        <w:t>, the Commission proposed a forfeiture amount of $</w:t>
      </w:r>
      <w:r w:rsidR="005D235B" w:rsidRPr="009863B5">
        <w:rPr>
          <w:szCs w:val="22"/>
        </w:rPr>
        <w:t xml:space="preserve">2,400.  </w:t>
      </w:r>
      <w:r w:rsidR="004E3E8B">
        <w:rPr>
          <w:szCs w:val="22"/>
        </w:rPr>
        <w:t xml:space="preserve">The </w:t>
      </w:r>
      <w:r w:rsidRPr="009863B5">
        <w:rPr>
          <w:szCs w:val="22"/>
        </w:rPr>
        <w:t xml:space="preserve">Licensee argues that the proposed forfeiture amount should be cancelled.  </w:t>
      </w:r>
      <w:r w:rsidRPr="00C537AB">
        <w:rPr>
          <w:color w:val="000000"/>
          <w:szCs w:val="22"/>
        </w:rPr>
        <w:t>We have considered all of the Licensee’s arguments and conclude that cancellation of the proposed forfeiture amount is not appropriate.</w:t>
      </w:r>
      <w:r w:rsidR="00377506" w:rsidRPr="00C537AB">
        <w:rPr>
          <w:szCs w:val="22"/>
        </w:rPr>
        <w:t xml:space="preserve">  </w:t>
      </w:r>
      <w:r w:rsidR="00E01E69" w:rsidRPr="00C537AB">
        <w:rPr>
          <w:szCs w:val="22"/>
        </w:rPr>
        <w:t xml:space="preserve">For the reasons </w:t>
      </w:r>
      <w:r w:rsidR="00377506" w:rsidRPr="00C537AB">
        <w:rPr>
          <w:szCs w:val="22"/>
        </w:rPr>
        <w:t>set forth in greater detail below, we find that the Licensee is liable for a forfeiture</w:t>
      </w:r>
      <w:r w:rsidR="00D44D30" w:rsidRPr="00C537AB">
        <w:rPr>
          <w:szCs w:val="22"/>
        </w:rPr>
        <w:t xml:space="preserve"> in the amount of $2</w:t>
      </w:r>
      <w:r w:rsidR="00377506" w:rsidRPr="00C537AB">
        <w:rPr>
          <w:szCs w:val="22"/>
        </w:rPr>
        <w:t>,</w:t>
      </w:r>
      <w:r w:rsidR="00D44D30" w:rsidRPr="00C537AB">
        <w:rPr>
          <w:szCs w:val="22"/>
        </w:rPr>
        <w:t>4</w:t>
      </w:r>
      <w:r w:rsidR="00377506" w:rsidRPr="00C537AB">
        <w:rPr>
          <w:szCs w:val="22"/>
        </w:rPr>
        <w:t>00</w:t>
      </w:r>
      <w:r w:rsidR="00FA5BB0" w:rsidRPr="00C537AB">
        <w:rPr>
          <w:szCs w:val="22"/>
        </w:rPr>
        <w:t>.</w:t>
      </w:r>
    </w:p>
    <w:p w:rsidR="00945AD9" w:rsidRPr="00C537AB" w:rsidRDefault="00E01E69" w:rsidP="00C537AB">
      <w:pPr>
        <w:pStyle w:val="ParaNum"/>
        <w:widowControl/>
        <w:tabs>
          <w:tab w:val="clear" w:pos="1080"/>
          <w:tab w:val="num" w:pos="1440"/>
        </w:tabs>
        <w:rPr>
          <w:szCs w:val="22"/>
        </w:rPr>
      </w:pPr>
      <w:r w:rsidRPr="00C537AB">
        <w:rPr>
          <w:spacing w:val="-2"/>
          <w:szCs w:val="22"/>
        </w:rPr>
        <w:t>F</w:t>
      </w:r>
      <w:r w:rsidR="0085053C" w:rsidRPr="00C537AB">
        <w:rPr>
          <w:spacing w:val="-2"/>
          <w:szCs w:val="22"/>
        </w:rPr>
        <w:t>irst</w:t>
      </w:r>
      <w:r w:rsidR="006C6B06" w:rsidRPr="00C537AB">
        <w:rPr>
          <w:spacing w:val="-2"/>
          <w:szCs w:val="22"/>
        </w:rPr>
        <w:t>,</w:t>
      </w:r>
      <w:r w:rsidR="0085053C" w:rsidRPr="00C537AB">
        <w:rPr>
          <w:spacing w:val="-2"/>
          <w:szCs w:val="22"/>
        </w:rPr>
        <w:t xml:space="preserve"> </w:t>
      </w:r>
      <w:r w:rsidRPr="00C537AB">
        <w:rPr>
          <w:spacing w:val="-2"/>
          <w:szCs w:val="22"/>
        </w:rPr>
        <w:t xml:space="preserve">the Licensee </w:t>
      </w:r>
      <w:r w:rsidR="0085053C" w:rsidRPr="00C537AB">
        <w:rPr>
          <w:spacing w:val="-2"/>
          <w:szCs w:val="22"/>
        </w:rPr>
        <w:t xml:space="preserve">argues that </w:t>
      </w:r>
      <w:r w:rsidR="00D44D30" w:rsidRPr="00C537AB">
        <w:rPr>
          <w:spacing w:val="-2"/>
          <w:szCs w:val="22"/>
        </w:rPr>
        <w:t xml:space="preserve">it cannot be held liable for violating a rule requiring it to file a </w:t>
      </w:r>
      <w:r w:rsidR="009863B5">
        <w:rPr>
          <w:spacing w:val="-2"/>
          <w:szCs w:val="22"/>
        </w:rPr>
        <w:t xml:space="preserve">new </w:t>
      </w:r>
      <w:r w:rsidR="00D44D30" w:rsidRPr="00C537AB">
        <w:rPr>
          <w:spacing w:val="-2"/>
          <w:szCs w:val="22"/>
        </w:rPr>
        <w:t>license renewal application when it does not h</w:t>
      </w:r>
      <w:r w:rsidR="007B61F8" w:rsidRPr="00C537AB">
        <w:rPr>
          <w:spacing w:val="-2"/>
          <w:szCs w:val="22"/>
        </w:rPr>
        <w:t>ave a license to renew</w:t>
      </w:r>
      <w:r w:rsidR="009863B5">
        <w:rPr>
          <w:spacing w:val="-2"/>
          <w:szCs w:val="22"/>
        </w:rPr>
        <w:t>.  It goes on to</w:t>
      </w:r>
      <w:r w:rsidR="00184B63" w:rsidRPr="00C537AB">
        <w:rPr>
          <w:spacing w:val="-2"/>
          <w:szCs w:val="22"/>
        </w:rPr>
        <w:t xml:space="preserve"> contend that the filing it made on June 3, 2014 “amounted to a supplement”</w:t>
      </w:r>
      <w:r w:rsidR="009863B5">
        <w:rPr>
          <w:spacing w:val="-2"/>
          <w:szCs w:val="22"/>
        </w:rPr>
        <w:t xml:space="preserve"> of its prior license renewal application.</w:t>
      </w:r>
      <w:r w:rsidR="005A2D07" w:rsidRPr="00C537AB">
        <w:rPr>
          <w:rStyle w:val="FootnoteReference"/>
          <w:spacing w:val="-2"/>
          <w:szCs w:val="22"/>
        </w:rPr>
        <w:footnoteReference w:id="11"/>
      </w:r>
      <w:r w:rsidR="00982D06">
        <w:rPr>
          <w:spacing w:val="-2"/>
          <w:szCs w:val="22"/>
        </w:rPr>
        <w:t xml:space="preserve">  </w:t>
      </w:r>
      <w:r w:rsidR="00D44D30" w:rsidRPr="00C537AB">
        <w:rPr>
          <w:spacing w:val="-2"/>
          <w:szCs w:val="22"/>
        </w:rPr>
        <w:t xml:space="preserve">The Licensee correctly states that </w:t>
      </w:r>
      <w:r w:rsidR="004674E6" w:rsidRPr="00C537AB">
        <w:rPr>
          <w:spacing w:val="-2"/>
          <w:szCs w:val="22"/>
        </w:rPr>
        <w:t xml:space="preserve">at the time the </w:t>
      </w:r>
      <w:r w:rsidR="004674E6" w:rsidRPr="00C537AB">
        <w:rPr>
          <w:i/>
          <w:spacing w:val="-2"/>
          <w:szCs w:val="22"/>
        </w:rPr>
        <w:t>NAL</w:t>
      </w:r>
      <w:r w:rsidR="004674E6" w:rsidRPr="00C537AB">
        <w:rPr>
          <w:spacing w:val="-2"/>
          <w:szCs w:val="22"/>
        </w:rPr>
        <w:t xml:space="preserve"> was issued the </w:t>
      </w:r>
      <w:r w:rsidR="00D44D30" w:rsidRPr="00C537AB">
        <w:rPr>
          <w:spacing w:val="-2"/>
          <w:szCs w:val="22"/>
        </w:rPr>
        <w:t>license renewal application from the previous licens</w:t>
      </w:r>
      <w:r w:rsidR="00F37CB4" w:rsidRPr="00C537AB">
        <w:rPr>
          <w:spacing w:val="-2"/>
          <w:szCs w:val="22"/>
        </w:rPr>
        <w:t>e renewal cycle remain</w:t>
      </w:r>
      <w:r w:rsidR="009863B5">
        <w:rPr>
          <w:spacing w:val="-2"/>
          <w:szCs w:val="22"/>
        </w:rPr>
        <w:t>ed</w:t>
      </w:r>
      <w:r w:rsidR="00F37CB4" w:rsidRPr="00C537AB">
        <w:rPr>
          <w:spacing w:val="-2"/>
          <w:szCs w:val="22"/>
        </w:rPr>
        <w:t xml:space="preserve"> pending</w:t>
      </w:r>
      <w:r w:rsidR="00945AD9" w:rsidRPr="00C537AB">
        <w:rPr>
          <w:spacing w:val="-2"/>
          <w:szCs w:val="22"/>
        </w:rPr>
        <w:t>.</w:t>
      </w:r>
      <w:r w:rsidR="008B2561" w:rsidRPr="00C537AB">
        <w:rPr>
          <w:rStyle w:val="FootnoteReference"/>
          <w:spacing w:val="-2"/>
          <w:szCs w:val="22"/>
        </w:rPr>
        <w:footnoteReference w:id="12"/>
      </w:r>
      <w:r w:rsidR="00D44D30" w:rsidRPr="00C537AB">
        <w:rPr>
          <w:spacing w:val="-2"/>
          <w:szCs w:val="22"/>
        </w:rPr>
        <w:t xml:space="preserve"> </w:t>
      </w:r>
      <w:r w:rsidR="00945AD9" w:rsidRPr="00C537AB">
        <w:rPr>
          <w:spacing w:val="-2"/>
          <w:szCs w:val="22"/>
        </w:rPr>
        <w:t xml:space="preserve"> </w:t>
      </w:r>
      <w:r w:rsidR="004674E6" w:rsidRPr="00C537AB">
        <w:rPr>
          <w:szCs w:val="22"/>
        </w:rPr>
        <w:t>O</w:t>
      </w:r>
      <w:r w:rsidR="00D44D30" w:rsidRPr="00C537AB">
        <w:rPr>
          <w:szCs w:val="22"/>
        </w:rPr>
        <w:t xml:space="preserve">n March 12, 2012, the Media Bureau issued a Public Notice </w:t>
      </w:r>
      <w:r w:rsidR="00982D06">
        <w:rPr>
          <w:szCs w:val="22"/>
        </w:rPr>
        <w:t>(“</w:t>
      </w:r>
      <w:r w:rsidR="00982D06" w:rsidRPr="00982D06">
        <w:rPr>
          <w:i/>
          <w:szCs w:val="22"/>
        </w:rPr>
        <w:t>March 2012 PN</w:t>
      </w:r>
      <w:r w:rsidR="00982D06">
        <w:rPr>
          <w:szCs w:val="22"/>
        </w:rPr>
        <w:t>”)</w:t>
      </w:r>
      <w:r w:rsidR="00A66CC5">
        <w:rPr>
          <w:szCs w:val="22"/>
        </w:rPr>
        <w:t xml:space="preserve"> </w:t>
      </w:r>
      <w:r w:rsidR="00D44D30" w:rsidRPr="00C537AB">
        <w:rPr>
          <w:szCs w:val="22"/>
        </w:rPr>
        <w:t>stating that “a station must file [a new license renewal application (Form 303-S)] even if its last renewal application remains pending</w:t>
      </w:r>
      <w:r w:rsidR="00982D06">
        <w:rPr>
          <w:szCs w:val="22"/>
        </w:rPr>
        <w:t>.</w:t>
      </w:r>
      <w:r w:rsidR="00D44D30" w:rsidRPr="00C537AB">
        <w:rPr>
          <w:szCs w:val="22"/>
        </w:rPr>
        <w:t>”</w:t>
      </w:r>
      <w:r w:rsidR="00D44D30" w:rsidRPr="00C537AB">
        <w:rPr>
          <w:rStyle w:val="FootnoteReference"/>
          <w:szCs w:val="22"/>
        </w:rPr>
        <w:footnoteReference w:id="13"/>
      </w:r>
      <w:r w:rsidR="00945AD9" w:rsidRPr="00C537AB">
        <w:rPr>
          <w:szCs w:val="22"/>
        </w:rPr>
        <w:t xml:space="preserve">  </w:t>
      </w:r>
      <w:r w:rsidR="001F087A" w:rsidRPr="00C537AB">
        <w:rPr>
          <w:szCs w:val="22"/>
        </w:rPr>
        <w:t>The</w:t>
      </w:r>
      <w:r w:rsidR="00D44D30" w:rsidRPr="00C537AB">
        <w:rPr>
          <w:spacing w:val="-2"/>
          <w:szCs w:val="22"/>
        </w:rPr>
        <w:t xml:space="preserve"> </w:t>
      </w:r>
      <w:r w:rsidR="007E5543" w:rsidRPr="00C537AB">
        <w:rPr>
          <w:i/>
          <w:spacing w:val="-2"/>
          <w:szCs w:val="22"/>
        </w:rPr>
        <w:t xml:space="preserve">March 2012 </w:t>
      </w:r>
      <w:r w:rsidR="001568AC">
        <w:rPr>
          <w:i/>
          <w:spacing w:val="-2"/>
          <w:szCs w:val="22"/>
        </w:rPr>
        <w:t>PN</w:t>
      </w:r>
      <w:r w:rsidR="000A16E5" w:rsidRPr="00C537AB">
        <w:rPr>
          <w:spacing w:val="-2"/>
          <w:szCs w:val="22"/>
        </w:rPr>
        <w:t xml:space="preserve"> was </w:t>
      </w:r>
      <w:r w:rsidR="004674E6" w:rsidRPr="00C537AB">
        <w:rPr>
          <w:spacing w:val="-2"/>
          <w:szCs w:val="22"/>
        </w:rPr>
        <w:t xml:space="preserve">issued </w:t>
      </w:r>
      <w:r w:rsidR="000A16E5" w:rsidRPr="00C537AB">
        <w:rPr>
          <w:spacing w:val="-2"/>
          <w:szCs w:val="22"/>
        </w:rPr>
        <w:t>as guidance</w:t>
      </w:r>
      <w:r w:rsidR="00D44D30" w:rsidRPr="00C537AB">
        <w:rPr>
          <w:spacing w:val="-2"/>
          <w:szCs w:val="22"/>
        </w:rPr>
        <w:t xml:space="preserve"> </w:t>
      </w:r>
      <w:r w:rsidR="004674E6" w:rsidRPr="00C537AB">
        <w:rPr>
          <w:spacing w:val="-2"/>
          <w:szCs w:val="22"/>
        </w:rPr>
        <w:t>based on the</w:t>
      </w:r>
      <w:r w:rsidR="00D44D30" w:rsidRPr="00C537AB">
        <w:rPr>
          <w:spacing w:val="-2"/>
          <w:szCs w:val="22"/>
        </w:rPr>
        <w:t xml:space="preserve"> Bureau’s interpretation of the obligations bestowed upon al</w:t>
      </w:r>
      <w:r w:rsidR="00472B7C" w:rsidRPr="00C537AB">
        <w:rPr>
          <w:spacing w:val="-2"/>
          <w:szCs w:val="22"/>
        </w:rPr>
        <w:t>l broadcast television licensee</w:t>
      </w:r>
      <w:r w:rsidR="00D44D30" w:rsidRPr="00C537AB">
        <w:rPr>
          <w:spacing w:val="-2"/>
          <w:szCs w:val="22"/>
        </w:rPr>
        <w:t>s</w:t>
      </w:r>
      <w:r w:rsidR="00365637">
        <w:rPr>
          <w:spacing w:val="-2"/>
          <w:szCs w:val="22"/>
        </w:rPr>
        <w:t xml:space="preserve"> </w:t>
      </w:r>
      <w:r w:rsidR="001F087A" w:rsidRPr="00C537AB">
        <w:rPr>
          <w:spacing w:val="-2"/>
          <w:szCs w:val="22"/>
        </w:rPr>
        <w:t xml:space="preserve">concerning the renewal of </w:t>
      </w:r>
      <w:r w:rsidR="00365637">
        <w:rPr>
          <w:spacing w:val="-2"/>
          <w:szCs w:val="22"/>
        </w:rPr>
        <w:t>their</w:t>
      </w:r>
      <w:r w:rsidR="001F087A" w:rsidRPr="00C537AB">
        <w:rPr>
          <w:spacing w:val="-2"/>
          <w:szCs w:val="22"/>
        </w:rPr>
        <w:t xml:space="preserve"> licenses</w:t>
      </w:r>
      <w:r w:rsidR="00365637">
        <w:rPr>
          <w:spacing w:val="-2"/>
          <w:szCs w:val="22"/>
        </w:rPr>
        <w:t xml:space="preserve">, </w:t>
      </w:r>
      <w:r w:rsidR="00365637" w:rsidRPr="00200B29">
        <w:rPr>
          <w:spacing w:val="-2"/>
          <w:szCs w:val="22"/>
        </w:rPr>
        <w:t xml:space="preserve">both under the </w:t>
      </w:r>
      <w:r w:rsidR="00982D06">
        <w:rPr>
          <w:spacing w:val="-2"/>
          <w:szCs w:val="22"/>
        </w:rPr>
        <w:t>R</w:t>
      </w:r>
      <w:r w:rsidR="00365637" w:rsidRPr="00200B29">
        <w:rPr>
          <w:spacing w:val="-2"/>
          <w:szCs w:val="22"/>
        </w:rPr>
        <w:t>ules and the Act</w:t>
      </w:r>
      <w:r w:rsidR="00472B7C" w:rsidRPr="00C537AB">
        <w:rPr>
          <w:spacing w:val="-2"/>
          <w:szCs w:val="22"/>
        </w:rPr>
        <w:t xml:space="preserve">. </w:t>
      </w:r>
      <w:r w:rsidR="004674E6" w:rsidRPr="00C537AB">
        <w:rPr>
          <w:spacing w:val="-2"/>
          <w:szCs w:val="22"/>
        </w:rPr>
        <w:t xml:space="preserve"> </w:t>
      </w:r>
    </w:p>
    <w:p w:rsidR="001F087A" w:rsidRPr="00C537AB" w:rsidRDefault="00945AD9" w:rsidP="00FA5BB0">
      <w:pPr>
        <w:pStyle w:val="ParaNum"/>
        <w:widowControl/>
        <w:tabs>
          <w:tab w:val="clear" w:pos="1080"/>
          <w:tab w:val="num" w:pos="1440"/>
        </w:tabs>
        <w:rPr>
          <w:spacing w:val="-2"/>
          <w:szCs w:val="22"/>
        </w:rPr>
      </w:pPr>
      <w:r w:rsidRPr="00C537AB">
        <w:rPr>
          <w:szCs w:val="22"/>
        </w:rPr>
        <w:t>Although Section 307(c)(3) of the Act permits licensees to continue operation while there is a pending license renewal application,</w:t>
      </w:r>
      <w:r w:rsidRPr="009863B5">
        <w:rPr>
          <w:rStyle w:val="FootnoteReference"/>
          <w:color w:val="000000"/>
          <w:szCs w:val="22"/>
        </w:rPr>
        <w:footnoteReference w:id="14"/>
      </w:r>
      <w:r w:rsidRPr="009863B5">
        <w:rPr>
          <w:szCs w:val="22"/>
        </w:rPr>
        <w:t xml:space="preserve"> </w:t>
      </w:r>
      <w:r w:rsidR="001F087A" w:rsidRPr="009863B5">
        <w:rPr>
          <w:szCs w:val="22"/>
        </w:rPr>
        <w:t xml:space="preserve">Section 307(c)(1) sets specific limits on the term by which the Commission may grant a broadcast station license.  </w:t>
      </w:r>
      <w:r w:rsidR="001F087A" w:rsidRPr="00C537AB">
        <w:rPr>
          <w:spacing w:val="-2"/>
          <w:szCs w:val="22"/>
        </w:rPr>
        <w:t xml:space="preserve">The plain language of </w:t>
      </w:r>
      <w:r w:rsidR="00184B63" w:rsidRPr="00C537AB">
        <w:rPr>
          <w:spacing w:val="-2"/>
          <w:szCs w:val="22"/>
        </w:rPr>
        <w:t xml:space="preserve">Section 307(c)(1) </w:t>
      </w:r>
      <w:r w:rsidR="001F087A" w:rsidRPr="00C537AB">
        <w:rPr>
          <w:spacing w:val="-2"/>
          <w:szCs w:val="22"/>
        </w:rPr>
        <w:t xml:space="preserve">states that: </w:t>
      </w:r>
    </w:p>
    <w:p w:rsidR="003E04D6" w:rsidRPr="00C537AB" w:rsidRDefault="001F087A" w:rsidP="00C537AB">
      <w:pPr>
        <w:pStyle w:val="ParaNum"/>
        <w:widowControl/>
        <w:numPr>
          <w:ilvl w:val="0"/>
          <w:numId w:val="0"/>
        </w:numPr>
        <w:tabs>
          <w:tab w:val="clear" w:pos="1440"/>
          <w:tab w:val="num" w:pos="1800"/>
        </w:tabs>
        <w:ind w:left="720" w:right="720"/>
        <w:rPr>
          <w:color w:val="000000"/>
          <w:szCs w:val="22"/>
        </w:rPr>
      </w:pPr>
      <w:r w:rsidRPr="00C537AB">
        <w:rPr>
          <w:color w:val="000000"/>
          <w:szCs w:val="22"/>
        </w:rPr>
        <w:t xml:space="preserve">Each license granted for the operation of a broadcasting station shall be for a term of </w:t>
      </w:r>
      <w:r w:rsidRPr="00C537AB">
        <w:rPr>
          <w:i/>
          <w:color w:val="000000"/>
          <w:szCs w:val="22"/>
        </w:rPr>
        <w:t>not to exceed 8 years</w:t>
      </w:r>
      <w:r w:rsidRPr="00C537AB">
        <w:rPr>
          <w:color w:val="000000"/>
          <w:szCs w:val="22"/>
        </w:rPr>
        <w:t xml:space="preserve">. </w:t>
      </w:r>
      <w:r w:rsidR="00365637">
        <w:rPr>
          <w:color w:val="000000"/>
          <w:szCs w:val="22"/>
        </w:rPr>
        <w:t xml:space="preserve"> </w:t>
      </w:r>
      <w:r w:rsidRPr="00C537AB">
        <w:rPr>
          <w:color w:val="000000"/>
          <w:szCs w:val="22"/>
        </w:rPr>
        <w:t xml:space="preserve">Upon application therefor, a renewal of such license may be granted from time to time for a term of </w:t>
      </w:r>
      <w:r w:rsidRPr="00C537AB">
        <w:rPr>
          <w:i/>
          <w:color w:val="000000"/>
          <w:szCs w:val="22"/>
        </w:rPr>
        <w:t>not to exceed 8 years</w:t>
      </w:r>
      <w:r w:rsidRPr="00C537AB">
        <w:rPr>
          <w:color w:val="000000"/>
          <w:szCs w:val="22"/>
        </w:rPr>
        <w:t xml:space="preserve"> </w:t>
      </w:r>
      <w:r w:rsidRPr="00C537AB">
        <w:rPr>
          <w:i/>
          <w:color w:val="000000"/>
          <w:szCs w:val="22"/>
        </w:rPr>
        <w:t>from the date of expiration of the preceding license</w:t>
      </w:r>
      <w:r w:rsidRPr="00C537AB">
        <w:rPr>
          <w:color w:val="000000"/>
          <w:szCs w:val="22"/>
        </w:rPr>
        <w:t xml:space="preserve">, if the Commission finds that </w:t>
      </w:r>
      <w:r w:rsidR="00016433">
        <w:rPr>
          <w:color w:val="000000"/>
          <w:szCs w:val="22"/>
        </w:rPr>
        <w:t xml:space="preserve">the </w:t>
      </w:r>
      <w:r w:rsidRPr="00C537AB">
        <w:rPr>
          <w:color w:val="000000"/>
          <w:szCs w:val="22"/>
        </w:rPr>
        <w:t>public interest, convenience, and necessity would be served thereby.</w:t>
      </w:r>
      <w:r w:rsidRPr="00C537AB">
        <w:rPr>
          <w:rStyle w:val="FootnoteReference"/>
          <w:color w:val="000000"/>
          <w:szCs w:val="22"/>
        </w:rPr>
        <w:footnoteReference w:id="15"/>
      </w:r>
    </w:p>
    <w:p w:rsidR="003E04D6" w:rsidRPr="00C537AB" w:rsidRDefault="003E04D6" w:rsidP="00C537AB">
      <w:pPr>
        <w:pStyle w:val="ParaNum"/>
        <w:widowControl/>
        <w:numPr>
          <w:ilvl w:val="0"/>
          <w:numId w:val="0"/>
        </w:numPr>
        <w:tabs>
          <w:tab w:val="clear" w:pos="1440"/>
          <w:tab w:val="num" w:pos="1800"/>
        </w:tabs>
        <w:rPr>
          <w:color w:val="000000"/>
          <w:szCs w:val="22"/>
        </w:rPr>
      </w:pPr>
      <w:r w:rsidRPr="00C537AB">
        <w:rPr>
          <w:color w:val="000000"/>
          <w:szCs w:val="22"/>
        </w:rPr>
        <w:t xml:space="preserve">Continued operation of a station by a licensee as </w:t>
      </w:r>
      <w:r w:rsidR="00016433">
        <w:rPr>
          <w:color w:val="000000"/>
          <w:szCs w:val="22"/>
        </w:rPr>
        <w:t>a</w:t>
      </w:r>
      <w:r w:rsidRPr="00C537AB">
        <w:rPr>
          <w:color w:val="000000"/>
          <w:szCs w:val="22"/>
        </w:rPr>
        <w:t xml:space="preserve"> result of a pending license renewal application does not change the stated expiration date of the station’s</w:t>
      </w:r>
      <w:r w:rsidR="00365637">
        <w:rPr>
          <w:color w:val="000000"/>
          <w:szCs w:val="22"/>
        </w:rPr>
        <w:t xml:space="preserve"> prior</w:t>
      </w:r>
      <w:r w:rsidRPr="00C537AB">
        <w:rPr>
          <w:color w:val="000000"/>
          <w:szCs w:val="22"/>
        </w:rPr>
        <w:t xml:space="preserve"> license or permit the Commission to grant a new license for a period longer than eight years from that date.  Such an interpretation would require more th</w:t>
      </w:r>
      <w:r w:rsidR="004F0A06">
        <w:rPr>
          <w:color w:val="000000"/>
          <w:szCs w:val="22"/>
        </w:rPr>
        <w:t>an a change in Commission rules</w:t>
      </w:r>
      <w:r w:rsidRPr="00C537AB">
        <w:rPr>
          <w:color w:val="000000"/>
          <w:szCs w:val="22"/>
        </w:rPr>
        <w:t xml:space="preserve"> or</w:t>
      </w:r>
      <w:r w:rsidR="004F0A06">
        <w:rPr>
          <w:color w:val="000000"/>
          <w:szCs w:val="22"/>
        </w:rPr>
        <w:t xml:space="preserve"> </w:t>
      </w:r>
      <w:r w:rsidRPr="00C537AB">
        <w:rPr>
          <w:color w:val="000000"/>
          <w:szCs w:val="22"/>
        </w:rPr>
        <w:t>policy</w:t>
      </w:r>
      <w:r w:rsidR="004F0A06">
        <w:rPr>
          <w:color w:val="000000"/>
          <w:szCs w:val="22"/>
        </w:rPr>
        <w:t>;</w:t>
      </w:r>
      <w:r w:rsidRPr="00C537AB">
        <w:rPr>
          <w:color w:val="000000"/>
          <w:szCs w:val="22"/>
        </w:rPr>
        <w:t xml:space="preserve"> </w:t>
      </w:r>
      <w:r w:rsidR="008E1DB0">
        <w:rPr>
          <w:color w:val="000000"/>
          <w:szCs w:val="22"/>
        </w:rPr>
        <w:t xml:space="preserve">it would require a </w:t>
      </w:r>
      <w:r w:rsidRPr="00C537AB">
        <w:rPr>
          <w:color w:val="000000"/>
          <w:szCs w:val="22"/>
        </w:rPr>
        <w:t xml:space="preserve">change in the language of the Act itself.  </w:t>
      </w:r>
    </w:p>
    <w:p w:rsidR="007A00B0" w:rsidRPr="009863B5" w:rsidRDefault="00184B63" w:rsidP="00C537AB">
      <w:pPr>
        <w:pStyle w:val="ParaNum"/>
        <w:rPr>
          <w:color w:val="FF0000"/>
          <w:szCs w:val="22"/>
        </w:rPr>
      </w:pPr>
      <w:r w:rsidRPr="009863B5">
        <w:rPr>
          <w:szCs w:val="22"/>
        </w:rPr>
        <w:t>Here, the</w:t>
      </w:r>
      <w:r w:rsidR="00945AD9" w:rsidRPr="009863B5">
        <w:rPr>
          <w:szCs w:val="22"/>
        </w:rPr>
        <w:t xml:space="preserve"> </w:t>
      </w:r>
      <w:r w:rsidR="001458F9" w:rsidRPr="00C537AB">
        <w:rPr>
          <w:szCs w:val="22"/>
        </w:rPr>
        <w:t xml:space="preserve">date of expiration </w:t>
      </w:r>
      <w:r w:rsidR="003E04D6" w:rsidRPr="00C537AB">
        <w:rPr>
          <w:szCs w:val="22"/>
        </w:rPr>
        <w:t xml:space="preserve">listed </w:t>
      </w:r>
      <w:r w:rsidRPr="00C537AB">
        <w:rPr>
          <w:szCs w:val="22"/>
        </w:rPr>
        <w:t xml:space="preserve">on </w:t>
      </w:r>
      <w:r w:rsidR="008F1A7F">
        <w:rPr>
          <w:szCs w:val="22"/>
        </w:rPr>
        <w:t>the</w:t>
      </w:r>
      <w:r w:rsidRPr="00C537AB">
        <w:rPr>
          <w:szCs w:val="22"/>
        </w:rPr>
        <w:t xml:space="preserve"> </w:t>
      </w:r>
      <w:r w:rsidR="001458F9" w:rsidRPr="00C537AB">
        <w:rPr>
          <w:szCs w:val="22"/>
        </w:rPr>
        <w:t xml:space="preserve">preceding license </w:t>
      </w:r>
      <w:r w:rsidR="004F0A06">
        <w:rPr>
          <w:szCs w:val="22"/>
        </w:rPr>
        <w:t xml:space="preserve">for KLAX </w:t>
      </w:r>
      <w:r w:rsidR="00945AD9" w:rsidRPr="00C537AB">
        <w:rPr>
          <w:szCs w:val="22"/>
        </w:rPr>
        <w:t xml:space="preserve">was </w:t>
      </w:r>
      <w:r w:rsidR="001458F9" w:rsidRPr="00C537AB">
        <w:rPr>
          <w:szCs w:val="22"/>
        </w:rPr>
        <w:t xml:space="preserve">June 1, 2005.  </w:t>
      </w:r>
      <w:r w:rsidR="00945AD9" w:rsidRPr="00C537AB">
        <w:rPr>
          <w:szCs w:val="22"/>
        </w:rPr>
        <w:t>I</w:t>
      </w:r>
      <w:r w:rsidR="001458F9" w:rsidRPr="00C537AB">
        <w:rPr>
          <w:szCs w:val="22"/>
        </w:rPr>
        <w:t xml:space="preserve">f the Commission were to </w:t>
      </w:r>
      <w:r w:rsidR="003E6093" w:rsidRPr="00C537AB">
        <w:rPr>
          <w:szCs w:val="22"/>
        </w:rPr>
        <w:t>treat</w:t>
      </w:r>
      <w:r w:rsidR="001458F9" w:rsidRPr="00C537AB">
        <w:rPr>
          <w:szCs w:val="22"/>
        </w:rPr>
        <w:t xml:space="preserve"> </w:t>
      </w:r>
      <w:r w:rsidR="003E6093" w:rsidRPr="00C537AB">
        <w:rPr>
          <w:szCs w:val="22"/>
        </w:rPr>
        <w:t>KLAX’s</w:t>
      </w:r>
      <w:r w:rsidR="00945AD9" w:rsidRPr="00C537AB">
        <w:rPr>
          <w:szCs w:val="22"/>
        </w:rPr>
        <w:t xml:space="preserve"> 2013 license renewal application </w:t>
      </w:r>
      <w:r w:rsidR="001458F9" w:rsidRPr="00C537AB">
        <w:rPr>
          <w:szCs w:val="22"/>
        </w:rPr>
        <w:t>as a “supplement</w:t>
      </w:r>
      <w:r w:rsidR="008E1DB0">
        <w:rPr>
          <w:szCs w:val="22"/>
        </w:rPr>
        <w:t>,</w:t>
      </w:r>
      <w:r w:rsidR="001458F9" w:rsidRPr="00C537AB">
        <w:rPr>
          <w:szCs w:val="22"/>
        </w:rPr>
        <w:t>”</w:t>
      </w:r>
      <w:r w:rsidR="003E6093" w:rsidRPr="00C537AB">
        <w:rPr>
          <w:szCs w:val="22"/>
        </w:rPr>
        <w:t xml:space="preserve"> as </w:t>
      </w:r>
      <w:r w:rsidR="004241F0" w:rsidRPr="00C537AB">
        <w:rPr>
          <w:szCs w:val="22"/>
        </w:rPr>
        <w:t>requested by the</w:t>
      </w:r>
      <w:r w:rsidR="003E6093" w:rsidRPr="00C537AB">
        <w:rPr>
          <w:szCs w:val="22"/>
        </w:rPr>
        <w:t xml:space="preserve"> Licensee, grant of KLAX’s 2005 license renewal </w:t>
      </w:r>
      <w:r w:rsidR="004F0A06">
        <w:rPr>
          <w:szCs w:val="22"/>
        </w:rPr>
        <w:t xml:space="preserve">application </w:t>
      </w:r>
      <w:r w:rsidR="003E6093" w:rsidRPr="00C537AB">
        <w:rPr>
          <w:szCs w:val="22"/>
        </w:rPr>
        <w:t xml:space="preserve">would </w:t>
      </w:r>
      <w:r w:rsidR="004F0A06">
        <w:rPr>
          <w:szCs w:val="22"/>
        </w:rPr>
        <w:t xml:space="preserve">result </w:t>
      </w:r>
      <w:r w:rsidR="003E6093" w:rsidRPr="00C537AB">
        <w:rPr>
          <w:szCs w:val="22"/>
        </w:rPr>
        <w:t xml:space="preserve">in the issuance of a license that was scheduled to expire on June 1, 2013.  </w:t>
      </w:r>
      <w:r w:rsidR="003E04D6" w:rsidRPr="00C537AB">
        <w:rPr>
          <w:szCs w:val="22"/>
        </w:rPr>
        <w:t>U</w:t>
      </w:r>
      <w:r w:rsidR="00945AD9" w:rsidRPr="00C537AB">
        <w:rPr>
          <w:szCs w:val="22"/>
        </w:rPr>
        <w:t>pon grant of KLAX’s 2005 license renewal application</w:t>
      </w:r>
      <w:r w:rsidRPr="00C537AB">
        <w:rPr>
          <w:szCs w:val="22"/>
        </w:rPr>
        <w:t>, which occurred</w:t>
      </w:r>
      <w:r w:rsidR="00945AD9" w:rsidRPr="00C537AB">
        <w:rPr>
          <w:szCs w:val="22"/>
        </w:rPr>
        <w:t xml:space="preserve"> on October 9, 2014</w:t>
      </w:r>
      <w:r w:rsidR="004241F0" w:rsidRPr="00C537AB">
        <w:rPr>
          <w:szCs w:val="22"/>
        </w:rPr>
        <w:t>,</w:t>
      </w:r>
      <w:r w:rsidR="00945AD9" w:rsidRPr="00C537AB">
        <w:rPr>
          <w:szCs w:val="22"/>
        </w:rPr>
        <w:t xml:space="preserve"> </w:t>
      </w:r>
      <w:r w:rsidR="004241F0" w:rsidRPr="00C537AB">
        <w:rPr>
          <w:szCs w:val="22"/>
        </w:rPr>
        <w:t xml:space="preserve">there would no longer </w:t>
      </w:r>
      <w:r w:rsidR="004F0A06">
        <w:rPr>
          <w:szCs w:val="22"/>
        </w:rPr>
        <w:t>be</w:t>
      </w:r>
      <w:r w:rsidR="0096344D">
        <w:rPr>
          <w:szCs w:val="22"/>
        </w:rPr>
        <w:t xml:space="preserve"> </w:t>
      </w:r>
      <w:r w:rsidR="004241F0" w:rsidRPr="00C537AB">
        <w:rPr>
          <w:szCs w:val="22"/>
        </w:rPr>
        <w:t>any license renewal</w:t>
      </w:r>
      <w:r w:rsidR="0096344D">
        <w:rPr>
          <w:szCs w:val="22"/>
        </w:rPr>
        <w:t xml:space="preserve"> application</w:t>
      </w:r>
      <w:r w:rsidR="004241F0" w:rsidRPr="00C537AB">
        <w:rPr>
          <w:szCs w:val="22"/>
        </w:rPr>
        <w:t xml:space="preserve"> pending</w:t>
      </w:r>
      <w:r w:rsidR="003E04D6" w:rsidRPr="00C537AB">
        <w:rPr>
          <w:szCs w:val="22"/>
        </w:rPr>
        <w:t xml:space="preserve"> and KLAX’s license would be expired</w:t>
      </w:r>
      <w:r w:rsidRPr="00C537AB">
        <w:rPr>
          <w:szCs w:val="22"/>
        </w:rPr>
        <w:t xml:space="preserve">.  </w:t>
      </w:r>
      <w:r w:rsidR="003E04D6" w:rsidRPr="00C537AB">
        <w:rPr>
          <w:szCs w:val="22"/>
        </w:rPr>
        <w:t>Accordingly, c</w:t>
      </w:r>
      <w:r w:rsidRPr="00C537AB">
        <w:rPr>
          <w:szCs w:val="22"/>
        </w:rPr>
        <w:t xml:space="preserve">ontinued operation of KLAX would </w:t>
      </w:r>
      <w:r w:rsidR="003E04D6" w:rsidRPr="00C537AB">
        <w:rPr>
          <w:szCs w:val="22"/>
        </w:rPr>
        <w:t>amount to operation</w:t>
      </w:r>
      <w:r w:rsidRPr="00C537AB">
        <w:rPr>
          <w:szCs w:val="22"/>
        </w:rPr>
        <w:t xml:space="preserve"> without a valid authorization, a </w:t>
      </w:r>
      <w:r w:rsidR="00945AD9" w:rsidRPr="00C537AB">
        <w:rPr>
          <w:szCs w:val="22"/>
        </w:rPr>
        <w:t>violation of Section 301 of the Act</w:t>
      </w:r>
      <w:r w:rsidR="004241F0" w:rsidRPr="00C537AB">
        <w:rPr>
          <w:szCs w:val="22"/>
        </w:rPr>
        <w:t>.</w:t>
      </w:r>
      <w:r w:rsidR="0096344D">
        <w:rPr>
          <w:rStyle w:val="FootnoteReference"/>
          <w:szCs w:val="22"/>
        </w:rPr>
        <w:footnoteReference w:id="16"/>
      </w:r>
      <w:r w:rsidR="004241F0" w:rsidRPr="00C537AB">
        <w:rPr>
          <w:szCs w:val="22"/>
        </w:rPr>
        <w:t xml:space="preserve">  </w:t>
      </w:r>
      <w:r w:rsidR="003E6093" w:rsidRPr="009863B5">
        <w:rPr>
          <w:szCs w:val="22"/>
        </w:rPr>
        <w:t>In order to avoid such a scenario</w:t>
      </w:r>
      <w:r w:rsidR="007E5543" w:rsidRPr="009863B5">
        <w:rPr>
          <w:szCs w:val="22"/>
        </w:rPr>
        <w:t>,</w:t>
      </w:r>
      <w:r w:rsidR="003E6093" w:rsidRPr="009863B5">
        <w:rPr>
          <w:szCs w:val="22"/>
        </w:rPr>
        <w:t xml:space="preserve"> the Bureau issued its </w:t>
      </w:r>
      <w:r w:rsidR="0096344D" w:rsidRPr="00C537AB">
        <w:rPr>
          <w:i/>
          <w:szCs w:val="22"/>
        </w:rPr>
        <w:t xml:space="preserve">March 2012 </w:t>
      </w:r>
      <w:r w:rsidR="001568AC">
        <w:rPr>
          <w:i/>
          <w:szCs w:val="22"/>
        </w:rPr>
        <w:t>PN</w:t>
      </w:r>
      <w:r w:rsidR="003E04D6" w:rsidRPr="00C537AB">
        <w:rPr>
          <w:szCs w:val="22"/>
        </w:rPr>
        <w:t xml:space="preserve"> advising stations with </w:t>
      </w:r>
      <w:r w:rsidR="00430B9A">
        <w:rPr>
          <w:szCs w:val="22"/>
        </w:rPr>
        <w:t xml:space="preserve">a </w:t>
      </w:r>
      <w:r w:rsidR="003E04D6" w:rsidRPr="00C537AB">
        <w:rPr>
          <w:szCs w:val="22"/>
        </w:rPr>
        <w:t>pending</w:t>
      </w:r>
      <w:r w:rsidR="0096344D">
        <w:rPr>
          <w:szCs w:val="22"/>
        </w:rPr>
        <w:t xml:space="preserve"> </w:t>
      </w:r>
      <w:r w:rsidR="003E04D6" w:rsidRPr="00C537AB">
        <w:rPr>
          <w:szCs w:val="22"/>
        </w:rPr>
        <w:t>license renewal</w:t>
      </w:r>
      <w:r w:rsidR="0096344D">
        <w:rPr>
          <w:szCs w:val="22"/>
        </w:rPr>
        <w:t xml:space="preserve"> application</w:t>
      </w:r>
      <w:r w:rsidR="003E04D6" w:rsidRPr="00C537AB">
        <w:rPr>
          <w:szCs w:val="22"/>
        </w:rPr>
        <w:t xml:space="preserve"> to file a </w:t>
      </w:r>
      <w:r w:rsidR="0096344D">
        <w:rPr>
          <w:szCs w:val="22"/>
        </w:rPr>
        <w:t xml:space="preserve">new </w:t>
      </w:r>
      <w:r w:rsidR="003E04D6" w:rsidRPr="00C537AB">
        <w:rPr>
          <w:szCs w:val="22"/>
        </w:rPr>
        <w:t>license renewal application</w:t>
      </w:r>
      <w:r w:rsidR="007E5543" w:rsidRPr="00C537AB">
        <w:rPr>
          <w:szCs w:val="22"/>
        </w:rPr>
        <w:t xml:space="preserve"> “covering the period from expiration of the station’s last renewal term through the date of fling of the new renewal application.”</w:t>
      </w:r>
      <w:r w:rsidR="007E5543" w:rsidRPr="009863B5">
        <w:rPr>
          <w:rStyle w:val="FootnoteReference"/>
          <w:szCs w:val="22"/>
        </w:rPr>
        <w:footnoteReference w:id="17"/>
      </w:r>
      <w:r w:rsidR="004241F0" w:rsidRPr="009863B5">
        <w:rPr>
          <w:szCs w:val="22"/>
        </w:rPr>
        <w:t xml:space="preserve">  </w:t>
      </w:r>
    </w:p>
    <w:p w:rsidR="00FA5BB0" w:rsidRDefault="004E3E8B" w:rsidP="00C537AB">
      <w:pPr>
        <w:pStyle w:val="ParaNum"/>
        <w:rPr>
          <w:spacing w:val="-2"/>
          <w:szCs w:val="22"/>
        </w:rPr>
      </w:pPr>
      <w:r>
        <w:rPr>
          <w:szCs w:val="22"/>
        </w:rPr>
        <w:t>T</w:t>
      </w:r>
      <w:r w:rsidR="00FA5BB0">
        <w:rPr>
          <w:szCs w:val="22"/>
        </w:rPr>
        <w:t>he</w:t>
      </w:r>
      <w:r w:rsidR="00FA5BB0" w:rsidRPr="009863B5">
        <w:rPr>
          <w:szCs w:val="22"/>
        </w:rPr>
        <w:t xml:space="preserve"> </w:t>
      </w:r>
      <w:r w:rsidR="006E74D1" w:rsidRPr="009863B5">
        <w:rPr>
          <w:szCs w:val="22"/>
        </w:rPr>
        <w:t>Licensee</w:t>
      </w:r>
      <w:r>
        <w:rPr>
          <w:szCs w:val="22"/>
        </w:rPr>
        <w:t xml:space="preserve"> also</w:t>
      </w:r>
      <w:r w:rsidR="006E74D1" w:rsidRPr="009863B5">
        <w:rPr>
          <w:szCs w:val="22"/>
        </w:rPr>
        <w:t xml:space="preserve"> </w:t>
      </w:r>
      <w:r w:rsidR="006E74D1" w:rsidRPr="00C537AB">
        <w:rPr>
          <w:szCs w:val="22"/>
        </w:rPr>
        <w:t>argues that Section 73.3539</w:t>
      </w:r>
      <w:r>
        <w:rPr>
          <w:szCs w:val="22"/>
        </w:rPr>
        <w:t xml:space="preserve"> of the Rules</w:t>
      </w:r>
      <w:r w:rsidR="006E74D1" w:rsidRPr="00C537AB">
        <w:rPr>
          <w:szCs w:val="22"/>
        </w:rPr>
        <w:t xml:space="preserve"> </w:t>
      </w:r>
      <w:r w:rsidR="001C2BE5" w:rsidRPr="00C537AB">
        <w:rPr>
          <w:szCs w:val="22"/>
        </w:rPr>
        <w:t>“</w:t>
      </w:r>
      <w:r w:rsidR="006E74D1" w:rsidRPr="00C537AB">
        <w:rPr>
          <w:szCs w:val="22"/>
        </w:rPr>
        <w:t xml:space="preserve">does not call for the filing of license renewal applications for periods when a license </w:t>
      </w:r>
      <w:r w:rsidR="006E74D1" w:rsidRPr="00C537AB">
        <w:rPr>
          <w:i/>
          <w:szCs w:val="22"/>
        </w:rPr>
        <w:t>would</w:t>
      </w:r>
      <w:r w:rsidR="006E74D1" w:rsidRPr="00C537AB">
        <w:rPr>
          <w:szCs w:val="22"/>
        </w:rPr>
        <w:t xml:space="preserve"> expire if it had been issued, but rather only for renewal of licenses that actually </w:t>
      </w:r>
      <w:r w:rsidR="006E74D1" w:rsidRPr="00C537AB">
        <w:rPr>
          <w:i/>
          <w:szCs w:val="22"/>
        </w:rPr>
        <w:t>have</w:t>
      </w:r>
      <w:r w:rsidR="006E74D1" w:rsidRPr="00C537AB">
        <w:rPr>
          <w:szCs w:val="22"/>
        </w:rPr>
        <w:t xml:space="preserve"> been issued.</w:t>
      </w:r>
      <w:r w:rsidR="001C2BE5" w:rsidRPr="00C537AB">
        <w:rPr>
          <w:szCs w:val="22"/>
        </w:rPr>
        <w:t>”</w:t>
      </w:r>
      <w:r w:rsidR="00C537AB">
        <w:rPr>
          <w:rStyle w:val="FootnoteReference"/>
          <w:szCs w:val="22"/>
        </w:rPr>
        <w:footnoteReference w:id="18"/>
      </w:r>
      <w:r w:rsidR="001C2BE5" w:rsidRPr="00C537AB">
        <w:rPr>
          <w:szCs w:val="22"/>
        </w:rPr>
        <w:t xml:space="preserve">  </w:t>
      </w:r>
      <w:r w:rsidR="007E5543" w:rsidRPr="00C537AB">
        <w:rPr>
          <w:szCs w:val="22"/>
        </w:rPr>
        <w:t>We note that</w:t>
      </w:r>
      <w:r w:rsidR="006E74D1" w:rsidRPr="00C537AB">
        <w:rPr>
          <w:szCs w:val="22"/>
        </w:rPr>
        <w:t xml:space="preserve"> the language of Section 73.3539</w:t>
      </w:r>
      <w:r w:rsidR="00083826">
        <w:rPr>
          <w:szCs w:val="22"/>
        </w:rPr>
        <w:t>(a)</w:t>
      </w:r>
      <w:r w:rsidR="006E74D1" w:rsidRPr="009863B5">
        <w:rPr>
          <w:szCs w:val="22"/>
        </w:rPr>
        <w:t xml:space="preserve"> </w:t>
      </w:r>
      <w:r w:rsidR="00F67CD9" w:rsidRPr="009863B5">
        <w:rPr>
          <w:szCs w:val="22"/>
        </w:rPr>
        <w:t>begins</w:t>
      </w:r>
      <w:r w:rsidR="006E74D1" w:rsidRPr="009863B5">
        <w:rPr>
          <w:szCs w:val="22"/>
        </w:rPr>
        <w:t xml:space="preserve"> with the phrase “</w:t>
      </w:r>
      <w:r w:rsidR="006E74D1" w:rsidRPr="00C537AB">
        <w:rPr>
          <w:szCs w:val="22"/>
        </w:rPr>
        <w:t xml:space="preserve">Unless otherwise directed by </w:t>
      </w:r>
      <w:r w:rsidR="00F67CD9" w:rsidRPr="00C537AB">
        <w:rPr>
          <w:szCs w:val="22"/>
        </w:rPr>
        <w:t>the FCC</w:t>
      </w:r>
      <w:r w:rsidR="007E5543" w:rsidRPr="00C537AB">
        <w:rPr>
          <w:szCs w:val="22"/>
        </w:rPr>
        <w:t>.</w:t>
      </w:r>
      <w:r w:rsidR="00F67CD9" w:rsidRPr="00C537AB">
        <w:rPr>
          <w:szCs w:val="22"/>
        </w:rPr>
        <w:t>”</w:t>
      </w:r>
      <w:r w:rsidR="007E5543" w:rsidRPr="00C537AB">
        <w:rPr>
          <w:szCs w:val="22"/>
        </w:rPr>
        <w:t xml:space="preserve">  This </w:t>
      </w:r>
      <w:r w:rsidR="002F35CB" w:rsidRPr="00C537AB">
        <w:rPr>
          <w:szCs w:val="22"/>
        </w:rPr>
        <w:t>language permits</w:t>
      </w:r>
      <w:r w:rsidR="00083826" w:rsidRPr="00C537AB">
        <w:rPr>
          <w:szCs w:val="22"/>
        </w:rPr>
        <w:t xml:space="preserve"> the Commission to provide additional guidance</w:t>
      </w:r>
      <w:r w:rsidR="002F35CB" w:rsidRPr="00C537AB">
        <w:rPr>
          <w:szCs w:val="22"/>
        </w:rPr>
        <w:t xml:space="preserve"> or directions</w:t>
      </w:r>
      <w:r w:rsidR="00083826" w:rsidRPr="00C537AB">
        <w:rPr>
          <w:szCs w:val="22"/>
        </w:rPr>
        <w:t xml:space="preserve"> regarding the filing instructions provided for by the rule.  </w:t>
      </w:r>
      <w:r w:rsidR="001C2BE5" w:rsidRPr="00C537AB">
        <w:rPr>
          <w:szCs w:val="22"/>
        </w:rPr>
        <w:t>The</w:t>
      </w:r>
      <w:r w:rsidR="001C2BE5" w:rsidRPr="00C537AB">
        <w:rPr>
          <w:i/>
          <w:szCs w:val="22"/>
        </w:rPr>
        <w:t xml:space="preserve"> </w:t>
      </w:r>
      <w:r w:rsidR="002F35CB" w:rsidRPr="00C537AB">
        <w:rPr>
          <w:szCs w:val="22"/>
        </w:rPr>
        <w:t xml:space="preserve">Bureau’s </w:t>
      </w:r>
      <w:r w:rsidR="001C2BE5" w:rsidRPr="00C537AB">
        <w:rPr>
          <w:i/>
          <w:szCs w:val="22"/>
        </w:rPr>
        <w:t xml:space="preserve">March 2012 </w:t>
      </w:r>
      <w:r w:rsidR="001568AC">
        <w:rPr>
          <w:i/>
          <w:szCs w:val="22"/>
        </w:rPr>
        <w:t>PN</w:t>
      </w:r>
      <w:r w:rsidR="001C2BE5" w:rsidRPr="00C537AB">
        <w:rPr>
          <w:i/>
          <w:szCs w:val="22"/>
        </w:rPr>
        <w:t xml:space="preserve"> s</w:t>
      </w:r>
      <w:r w:rsidR="001C2BE5" w:rsidRPr="00C537AB">
        <w:rPr>
          <w:szCs w:val="22"/>
        </w:rPr>
        <w:t xml:space="preserve">erved as this guidance.  Although the Licensee contends that it was never directly </w:t>
      </w:r>
      <w:r w:rsidR="002F35CB" w:rsidRPr="00C537AB">
        <w:rPr>
          <w:szCs w:val="22"/>
        </w:rPr>
        <w:t>“</w:t>
      </w:r>
      <w:r w:rsidR="001C2BE5" w:rsidRPr="00C537AB">
        <w:rPr>
          <w:szCs w:val="22"/>
        </w:rPr>
        <w:t>sent</w:t>
      </w:r>
      <w:r w:rsidR="002F35CB" w:rsidRPr="00C537AB">
        <w:rPr>
          <w:szCs w:val="22"/>
        </w:rPr>
        <w:t>”</w:t>
      </w:r>
      <w:r w:rsidR="001C2BE5" w:rsidRPr="00C537AB">
        <w:rPr>
          <w:szCs w:val="22"/>
        </w:rPr>
        <w:t xml:space="preserve"> a copy of the </w:t>
      </w:r>
      <w:r w:rsidR="001C2BE5" w:rsidRPr="00C537AB">
        <w:rPr>
          <w:i/>
          <w:szCs w:val="22"/>
        </w:rPr>
        <w:t xml:space="preserve">March 2012 </w:t>
      </w:r>
      <w:r w:rsidR="001568AC">
        <w:rPr>
          <w:i/>
          <w:szCs w:val="22"/>
        </w:rPr>
        <w:t>PN</w:t>
      </w:r>
      <w:r w:rsidR="001C2BE5" w:rsidRPr="00C537AB">
        <w:rPr>
          <w:szCs w:val="22"/>
        </w:rPr>
        <w:t>,</w:t>
      </w:r>
      <w:r w:rsidR="002F35CB" w:rsidRPr="00C537AB">
        <w:rPr>
          <w:rStyle w:val="FootnoteReference"/>
          <w:szCs w:val="22"/>
        </w:rPr>
        <w:footnoteReference w:id="19"/>
      </w:r>
      <w:r w:rsidR="001C2BE5" w:rsidRPr="00C537AB">
        <w:rPr>
          <w:szCs w:val="22"/>
        </w:rPr>
        <w:t xml:space="preserve"> a copy was published in the Daily Digest</w:t>
      </w:r>
      <w:r w:rsidR="007A5415" w:rsidRPr="00C537AB">
        <w:rPr>
          <w:szCs w:val="22"/>
        </w:rPr>
        <w:t xml:space="preserve"> on March 12, 2012</w:t>
      </w:r>
      <w:r w:rsidR="00FA5BB0" w:rsidRPr="00C537AB">
        <w:rPr>
          <w:spacing w:val="-2"/>
          <w:szCs w:val="22"/>
        </w:rPr>
        <w:t>.</w:t>
      </w:r>
      <w:r w:rsidR="0096344D" w:rsidRPr="00C537AB">
        <w:rPr>
          <w:rStyle w:val="FootnoteReference"/>
          <w:spacing w:val="-2"/>
          <w:szCs w:val="22"/>
        </w:rPr>
        <w:footnoteReference w:id="20"/>
      </w:r>
      <w:r w:rsidR="00FA5BB0" w:rsidRPr="00C537AB">
        <w:rPr>
          <w:spacing w:val="-2"/>
          <w:szCs w:val="22"/>
        </w:rPr>
        <w:t xml:space="preserve">  </w:t>
      </w:r>
      <w:r w:rsidR="007A5415" w:rsidRPr="00C537AB">
        <w:rPr>
          <w:szCs w:val="22"/>
        </w:rPr>
        <w:t xml:space="preserve">The Commission's issuance of </w:t>
      </w:r>
      <w:r w:rsidR="001568AC">
        <w:rPr>
          <w:szCs w:val="22"/>
        </w:rPr>
        <w:t>the</w:t>
      </w:r>
      <w:r w:rsidR="007A5415" w:rsidRPr="00C537AB">
        <w:rPr>
          <w:szCs w:val="22"/>
        </w:rPr>
        <w:t xml:space="preserve"> </w:t>
      </w:r>
      <w:r w:rsidR="007A5415" w:rsidRPr="00C537AB">
        <w:rPr>
          <w:rStyle w:val="emphi1"/>
          <w:i w:val="0"/>
          <w:szCs w:val="22"/>
        </w:rPr>
        <w:t>Public Notice</w:t>
      </w:r>
      <w:r w:rsidR="001568AC">
        <w:rPr>
          <w:rStyle w:val="emphi1"/>
          <w:i w:val="0"/>
          <w:szCs w:val="22"/>
        </w:rPr>
        <w:t xml:space="preserve"> through </w:t>
      </w:r>
      <w:r w:rsidR="00430B9A">
        <w:rPr>
          <w:rStyle w:val="emphi1"/>
          <w:i w:val="0"/>
          <w:szCs w:val="22"/>
        </w:rPr>
        <w:t xml:space="preserve">the </w:t>
      </w:r>
      <w:r w:rsidR="001568AC">
        <w:rPr>
          <w:rStyle w:val="emphi1"/>
          <w:i w:val="0"/>
          <w:szCs w:val="22"/>
        </w:rPr>
        <w:t>Daily Digest</w:t>
      </w:r>
      <w:r w:rsidR="007A5415" w:rsidRPr="00C537AB">
        <w:rPr>
          <w:szCs w:val="22"/>
        </w:rPr>
        <w:t xml:space="preserve"> serve</w:t>
      </w:r>
      <w:r w:rsidR="001568AC">
        <w:rPr>
          <w:szCs w:val="22"/>
        </w:rPr>
        <w:t>d</w:t>
      </w:r>
      <w:r w:rsidR="007A5415" w:rsidRPr="00C537AB">
        <w:rPr>
          <w:szCs w:val="22"/>
        </w:rPr>
        <w:t xml:space="preserve"> as </w:t>
      </w:r>
      <w:bookmarkStart w:id="1" w:name="ctx1"/>
      <w:bookmarkEnd w:id="1"/>
      <w:r w:rsidR="007A5415" w:rsidRPr="00C537AB">
        <w:rPr>
          <w:szCs w:val="22"/>
        </w:rPr>
        <w:fldChar w:fldCharType="begin"/>
      </w:r>
      <w:r w:rsidR="00A404E1">
        <w:rPr>
          <w:szCs w:val="22"/>
        </w:rPr>
        <w:instrText>HYPERLINK "http://telecomlaw.bna.com/terc/display/split_display.adp?fedfid=31038730&amp;wsn=504012000&amp;vname=comrgdecbr&amp;searchid=24004040&amp;doctypeid=1&amp;type=court&amp;scm=1503&amp;pg=0" \t "_top"</w:instrText>
      </w:r>
      <w:r w:rsidR="00A404E1" w:rsidRPr="00C537AB">
        <w:rPr>
          <w:szCs w:val="22"/>
        </w:rPr>
      </w:r>
      <w:r w:rsidR="007A5415" w:rsidRPr="00C537AB">
        <w:rPr>
          <w:szCs w:val="22"/>
        </w:rPr>
        <w:fldChar w:fldCharType="separate"/>
      </w:r>
      <w:r w:rsidR="007A5415" w:rsidRPr="00C537AB">
        <w:rPr>
          <w:color w:val="336699"/>
          <w:szCs w:val="22"/>
        </w:rPr>
        <w:fldChar w:fldCharType="begin"/>
      </w:r>
      <w:r w:rsidR="007A5415" w:rsidRPr="00C537AB">
        <w:rPr>
          <w:color w:val="336699"/>
          <w:szCs w:val="22"/>
        </w:rPr>
        <w:instrText xml:space="preserve"> INCLUDEPICTURE "http://telecomlaw.bna.com/terc/images/prev_hit.gif" \* MERGEFORMATINET </w:instrText>
      </w:r>
      <w:r w:rsidR="007A5415" w:rsidRPr="00C537AB">
        <w:rPr>
          <w:color w:val="336699"/>
          <w:szCs w:val="22"/>
        </w:rPr>
        <w:fldChar w:fldCharType="separate"/>
      </w:r>
      <w:r w:rsidR="00D1412C">
        <w:rPr>
          <w:color w:val="336699"/>
          <w:szCs w:val="22"/>
        </w:rPr>
        <w:fldChar w:fldCharType="begin"/>
      </w:r>
      <w:r w:rsidR="00D1412C">
        <w:rPr>
          <w:color w:val="336699"/>
          <w:szCs w:val="22"/>
        </w:rPr>
        <w:instrText xml:space="preserve"> INCLUDEPICTURE  "http://telecomlaw.bna.com/terc/images/prev_hit.gif" \* MERGEFORMATINET </w:instrText>
      </w:r>
      <w:r w:rsidR="00D1412C">
        <w:rPr>
          <w:color w:val="336699"/>
          <w:szCs w:val="22"/>
        </w:rPr>
        <w:fldChar w:fldCharType="separate"/>
      </w:r>
      <w:r w:rsidR="002921F2">
        <w:rPr>
          <w:color w:val="336699"/>
          <w:szCs w:val="22"/>
        </w:rPr>
        <w:fldChar w:fldCharType="begin"/>
      </w:r>
      <w:r w:rsidR="002921F2">
        <w:rPr>
          <w:color w:val="336699"/>
          <w:szCs w:val="22"/>
        </w:rPr>
        <w:instrText xml:space="preserve"> INCLUDEPICTURE  "http://telecomlaw.bna.com/terc/images/prev_hit.gif" \* MERGEFORMATINET </w:instrText>
      </w:r>
      <w:r w:rsidR="002921F2">
        <w:rPr>
          <w:color w:val="336699"/>
          <w:szCs w:val="22"/>
        </w:rPr>
        <w:fldChar w:fldCharType="separate"/>
      </w:r>
      <w:r w:rsidR="00A404E1">
        <w:rPr>
          <w:color w:val="336699"/>
          <w:szCs w:val="22"/>
        </w:rPr>
        <w:fldChar w:fldCharType="begin"/>
      </w:r>
      <w:r w:rsidR="00A404E1">
        <w:rPr>
          <w:color w:val="336699"/>
          <w:szCs w:val="22"/>
        </w:rPr>
        <w:instrText xml:space="preserve"> </w:instrText>
      </w:r>
      <w:r w:rsidR="00A404E1">
        <w:rPr>
          <w:color w:val="336699"/>
          <w:szCs w:val="22"/>
        </w:rPr>
        <w:instrText>INCLUDEPICTURE  "http://telecomlaw.bna.com/terc/images/prev_hit.gif" \* MERGEFORMATINET</w:instrText>
      </w:r>
      <w:r w:rsidR="00A404E1">
        <w:rPr>
          <w:color w:val="336699"/>
          <w:szCs w:val="22"/>
        </w:rPr>
        <w:instrText xml:space="preserve"> </w:instrText>
      </w:r>
      <w:r w:rsidR="00A404E1">
        <w:rPr>
          <w:color w:val="336699"/>
          <w:szCs w:val="22"/>
        </w:rPr>
        <w:fldChar w:fldCharType="separate"/>
      </w:r>
      <w:r w:rsidR="00A404E1">
        <w:rPr>
          <w:color w:val="336699"/>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vious hit" style="width:.7pt;height:.7pt" o:button="t">
            <v:imagedata r:id="rId8" r:href="rId9"/>
          </v:shape>
        </w:pict>
      </w:r>
      <w:r w:rsidR="00A404E1">
        <w:rPr>
          <w:color w:val="336699"/>
          <w:szCs w:val="22"/>
        </w:rPr>
        <w:fldChar w:fldCharType="end"/>
      </w:r>
      <w:r w:rsidR="002921F2">
        <w:rPr>
          <w:color w:val="336699"/>
          <w:szCs w:val="22"/>
        </w:rPr>
        <w:fldChar w:fldCharType="end"/>
      </w:r>
      <w:r w:rsidR="00D1412C">
        <w:rPr>
          <w:color w:val="336699"/>
          <w:szCs w:val="22"/>
        </w:rPr>
        <w:fldChar w:fldCharType="end"/>
      </w:r>
      <w:r w:rsidR="007A5415" w:rsidRPr="00C537AB">
        <w:rPr>
          <w:color w:val="336699"/>
          <w:szCs w:val="22"/>
        </w:rPr>
        <w:fldChar w:fldCharType="end"/>
      </w:r>
      <w:r w:rsidR="007A5415" w:rsidRPr="00C537AB">
        <w:rPr>
          <w:szCs w:val="22"/>
        </w:rPr>
        <w:fldChar w:fldCharType="end"/>
      </w:r>
      <w:r w:rsidR="007A5415" w:rsidRPr="00C537AB">
        <w:rPr>
          <w:szCs w:val="22"/>
        </w:rPr>
        <w:t>constructive notice to all affected licensees,</w:t>
      </w:r>
      <w:bookmarkStart w:id="2" w:name="a0c5d2y9x2_ref"/>
      <w:bookmarkStart w:id="3" w:name="a0c5d2y9x2_reffirst_footref"/>
      <w:bookmarkEnd w:id="2"/>
      <w:bookmarkEnd w:id="3"/>
      <w:r w:rsidR="007A5415" w:rsidRPr="00C537AB">
        <w:rPr>
          <w:rStyle w:val="FootnoteReference"/>
          <w:szCs w:val="22"/>
        </w:rPr>
        <w:footnoteReference w:id="21"/>
      </w:r>
      <w:r w:rsidR="007A5415" w:rsidRPr="00C537AB">
        <w:rPr>
          <w:szCs w:val="22"/>
          <w:vertAlign w:val="superscript"/>
        </w:rPr>
        <w:t xml:space="preserve"> </w:t>
      </w:r>
      <w:r w:rsidR="007A5415" w:rsidRPr="00C537AB">
        <w:rPr>
          <w:szCs w:val="22"/>
        </w:rPr>
        <w:t xml:space="preserve">and was sufficient to inform the Licensee about the guidance provided by the Bureau regarding </w:t>
      </w:r>
      <w:r w:rsidR="00E51473">
        <w:rPr>
          <w:szCs w:val="22"/>
        </w:rPr>
        <w:t>the filing of new</w:t>
      </w:r>
      <w:r w:rsidR="007A5415" w:rsidRPr="00C537AB">
        <w:rPr>
          <w:szCs w:val="22"/>
        </w:rPr>
        <w:t xml:space="preserve"> license renewal application</w:t>
      </w:r>
      <w:r w:rsidR="00E51473">
        <w:rPr>
          <w:szCs w:val="22"/>
        </w:rPr>
        <w:t>s</w:t>
      </w:r>
      <w:r w:rsidR="007A5415" w:rsidRPr="00C537AB">
        <w:rPr>
          <w:szCs w:val="22"/>
        </w:rPr>
        <w:t>.</w:t>
      </w:r>
    </w:p>
    <w:p w:rsidR="005A4B31" w:rsidRPr="00C537AB" w:rsidRDefault="004E3E8B" w:rsidP="00C537AB">
      <w:pPr>
        <w:pStyle w:val="ParaNum"/>
        <w:widowControl/>
        <w:rPr>
          <w:spacing w:val="-2"/>
          <w:szCs w:val="22"/>
        </w:rPr>
      </w:pPr>
      <w:r>
        <w:rPr>
          <w:spacing w:val="-2"/>
          <w:szCs w:val="22"/>
        </w:rPr>
        <w:t>Second</w:t>
      </w:r>
      <w:r w:rsidR="00211F6B">
        <w:rPr>
          <w:spacing w:val="-2"/>
          <w:szCs w:val="22"/>
        </w:rPr>
        <w:t xml:space="preserve">, the </w:t>
      </w:r>
      <w:r w:rsidR="00B77EC3" w:rsidRPr="00C537AB">
        <w:rPr>
          <w:spacing w:val="-2"/>
          <w:szCs w:val="22"/>
        </w:rPr>
        <w:t>Licensee argues</w:t>
      </w:r>
      <w:r w:rsidR="00B77EC3" w:rsidRPr="009863B5">
        <w:rPr>
          <w:szCs w:val="22"/>
        </w:rPr>
        <w:t xml:space="preserve"> that the Commission does not have authority to levy forfeitures based on violations of Public Notices, especially where they conflict with the plain meaning of the </w:t>
      </w:r>
      <w:r w:rsidR="004241F0" w:rsidRPr="009863B5">
        <w:rPr>
          <w:szCs w:val="22"/>
        </w:rPr>
        <w:t>R</w:t>
      </w:r>
      <w:r w:rsidR="00B77EC3" w:rsidRPr="009863B5">
        <w:rPr>
          <w:szCs w:val="22"/>
        </w:rPr>
        <w:t>ules</w:t>
      </w:r>
      <w:r w:rsidR="00E51473">
        <w:rPr>
          <w:szCs w:val="22"/>
        </w:rPr>
        <w:t xml:space="preserve"> and the Act</w:t>
      </w:r>
      <w:r w:rsidR="00B77EC3" w:rsidRPr="009863B5">
        <w:rPr>
          <w:szCs w:val="22"/>
        </w:rPr>
        <w:t>.</w:t>
      </w:r>
      <w:r w:rsidR="004241F0" w:rsidRPr="009863B5">
        <w:rPr>
          <w:rStyle w:val="FootnoteReference"/>
          <w:szCs w:val="22"/>
        </w:rPr>
        <w:footnoteReference w:id="22"/>
      </w:r>
      <w:r w:rsidR="004241F0" w:rsidRPr="009863B5">
        <w:rPr>
          <w:szCs w:val="22"/>
        </w:rPr>
        <w:t xml:space="preserve">  </w:t>
      </w:r>
      <w:r w:rsidR="001568AC">
        <w:rPr>
          <w:szCs w:val="22"/>
        </w:rPr>
        <w:t xml:space="preserve">As noted in the </w:t>
      </w:r>
      <w:r w:rsidR="001568AC" w:rsidRPr="00E51473">
        <w:rPr>
          <w:i/>
          <w:szCs w:val="22"/>
        </w:rPr>
        <w:t>NAL</w:t>
      </w:r>
      <w:r w:rsidR="001568AC">
        <w:rPr>
          <w:szCs w:val="22"/>
        </w:rPr>
        <w:t xml:space="preserve"> and this </w:t>
      </w:r>
      <w:r w:rsidR="001568AC" w:rsidRPr="00E51473">
        <w:rPr>
          <w:i/>
          <w:szCs w:val="22"/>
        </w:rPr>
        <w:t>Forfeiture Order</w:t>
      </w:r>
      <w:r w:rsidR="00430B9A">
        <w:rPr>
          <w:szCs w:val="22"/>
        </w:rPr>
        <w:t>,</w:t>
      </w:r>
      <w:r w:rsidR="001568AC">
        <w:rPr>
          <w:szCs w:val="22"/>
        </w:rPr>
        <w:t xml:space="preserve"> </w:t>
      </w:r>
      <w:r w:rsidR="004241F0" w:rsidRPr="009863B5">
        <w:rPr>
          <w:szCs w:val="22"/>
        </w:rPr>
        <w:t>the Division did not levy a</w:t>
      </w:r>
      <w:r w:rsidR="009672E2" w:rsidRPr="009863B5">
        <w:rPr>
          <w:szCs w:val="22"/>
        </w:rPr>
        <w:t xml:space="preserve"> forfeiture against </w:t>
      </w:r>
      <w:r w:rsidR="004241F0" w:rsidRPr="00C537AB">
        <w:rPr>
          <w:szCs w:val="22"/>
        </w:rPr>
        <w:t xml:space="preserve">the </w:t>
      </w:r>
      <w:r w:rsidR="009672E2" w:rsidRPr="00C537AB">
        <w:rPr>
          <w:szCs w:val="22"/>
        </w:rPr>
        <w:t xml:space="preserve">Licensee based on its violation of the </w:t>
      </w:r>
      <w:r w:rsidR="00E51473" w:rsidRPr="00E51473">
        <w:rPr>
          <w:i/>
          <w:szCs w:val="22"/>
        </w:rPr>
        <w:t>March 2012 PN</w:t>
      </w:r>
      <w:r w:rsidR="00E51473">
        <w:rPr>
          <w:szCs w:val="22"/>
        </w:rPr>
        <w:t xml:space="preserve">, </w:t>
      </w:r>
      <w:r w:rsidR="00FB42D3" w:rsidRPr="00C537AB">
        <w:rPr>
          <w:szCs w:val="22"/>
        </w:rPr>
        <w:t>but rather</w:t>
      </w:r>
      <w:r w:rsidR="0029717E" w:rsidRPr="00C537AB">
        <w:rPr>
          <w:szCs w:val="22"/>
        </w:rPr>
        <w:t xml:space="preserve"> </w:t>
      </w:r>
      <w:r w:rsidR="009672E2" w:rsidRPr="00C537AB">
        <w:rPr>
          <w:szCs w:val="22"/>
        </w:rPr>
        <w:t xml:space="preserve">its violation of Section 73.3539(a) of </w:t>
      </w:r>
      <w:r w:rsidR="0029717E" w:rsidRPr="00C537AB">
        <w:rPr>
          <w:szCs w:val="22"/>
        </w:rPr>
        <w:t>the</w:t>
      </w:r>
      <w:r w:rsidR="009672E2" w:rsidRPr="00C537AB">
        <w:rPr>
          <w:szCs w:val="22"/>
        </w:rPr>
        <w:t xml:space="preserve"> Rules.</w:t>
      </w:r>
      <w:r w:rsidR="004241F0" w:rsidRPr="00C537AB">
        <w:rPr>
          <w:szCs w:val="22"/>
        </w:rPr>
        <w:t xml:space="preserve">  </w:t>
      </w:r>
      <w:r w:rsidR="00E51473">
        <w:rPr>
          <w:szCs w:val="22"/>
        </w:rPr>
        <w:t>A</w:t>
      </w:r>
      <w:r w:rsidR="001568AC">
        <w:rPr>
          <w:szCs w:val="22"/>
        </w:rPr>
        <w:t>s discussed herein, t</w:t>
      </w:r>
      <w:r w:rsidR="00211F6B">
        <w:rPr>
          <w:szCs w:val="22"/>
        </w:rPr>
        <w:t xml:space="preserve">he </w:t>
      </w:r>
      <w:r w:rsidR="00211F6B" w:rsidRPr="00C537AB">
        <w:rPr>
          <w:i/>
          <w:szCs w:val="22"/>
        </w:rPr>
        <w:t xml:space="preserve">March 2012 </w:t>
      </w:r>
      <w:r w:rsidR="00735933">
        <w:rPr>
          <w:i/>
          <w:szCs w:val="22"/>
        </w:rPr>
        <w:t>PN</w:t>
      </w:r>
      <w:r w:rsidR="00211F6B">
        <w:rPr>
          <w:szCs w:val="22"/>
        </w:rPr>
        <w:t xml:space="preserve"> was not in conflict with the Rules</w:t>
      </w:r>
      <w:r w:rsidR="00E51473">
        <w:rPr>
          <w:szCs w:val="22"/>
        </w:rPr>
        <w:t>, but was guidance provided</w:t>
      </w:r>
      <w:r w:rsidR="00211F6B">
        <w:rPr>
          <w:szCs w:val="22"/>
        </w:rPr>
        <w:t xml:space="preserve"> to help licensees comply with the </w:t>
      </w:r>
      <w:r w:rsidR="001568AC">
        <w:rPr>
          <w:szCs w:val="22"/>
        </w:rPr>
        <w:t>Rules and the Act</w:t>
      </w:r>
      <w:r w:rsidR="00211F6B">
        <w:rPr>
          <w:szCs w:val="22"/>
        </w:rPr>
        <w:t>.</w:t>
      </w:r>
      <w:r w:rsidR="001568AC">
        <w:rPr>
          <w:rStyle w:val="FootnoteReference"/>
          <w:szCs w:val="22"/>
        </w:rPr>
        <w:footnoteReference w:id="23"/>
      </w:r>
      <w:r w:rsidR="00211F6B">
        <w:rPr>
          <w:szCs w:val="22"/>
        </w:rPr>
        <w:t xml:space="preserve">  </w:t>
      </w:r>
      <w:r w:rsidR="00FA5BB0">
        <w:rPr>
          <w:szCs w:val="22"/>
        </w:rPr>
        <w:t xml:space="preserve">  </w:t>
      </w:r>
      <w:r w:rsidR="00DF0038" w:rsidRPr="009863B5">
        <w:rPr>
          <w:szCs w:val="22"/>
        </w:rPr>
        <w:t xml:space="preserve"> </w:t>
      </w:r>
    </w:p>
    <w:p w:rsidR="00E9237E" w:rsidRPr="00C537AB" w:rsidRDefault="005A4B31" w:rsidP="00E14AA5">
      <w:pPr>
        <w:pStyle w:val="ParaNum"/>
        <w:widowControl/>
        <w:tabs>
          <w:tab w:val="clear" w:pos="1080"/>
          <w:tab w:val="num" w:pos="1440"/>
        </w:tabs>
        <w:rPr>
          <w:spacing w:val="-2"/>
          <w:szCs w:val="22"/>
        </w:rPr>
      </w:pPr>
      <w:r w:rsidRPr="00C537AB">
        <w:rPr>
          <w:spacing w:val="-2"/>
          <w:szCs w:val="22"/>
        </w:rPr>
        <w:t>Finally</w:t>
      </w:r>
      <w:r w:rsidR="00750148" w:rsidRPr="00C537AB">
        <w:rPr>
          <w:spacing w:val="-2"/>
          <w:szCs w:val="22"/>
        </w:rPr>
        <w:t xml:space="preserve">, </w:t>
      </w:r>
      <w:r w:rsidR="00211F6B">
        <w:rPr>
          <w:spacing w:val="-2"/>
          <w:szCs w:val="22"/>
        </w:rPr>
        <w:t xml:space="preserve">the </w:t>
      </w:r>
      <w:r w:rsidR="001F087A" w:rsidRPr="00C537AB">
        <w:rPr>
          <w:spacing w:val="-2"/>
          <w:szCs w:val="22"/>
        </w:rPr>
        <w:t xml:space="preserve">Licensee contends that </w:t>
      </w:r>
      <w:r w:rsidR="00211F6B">
        <w:rPr>
          <w:spacing w:val="-2"/>
          <w:szCs w:val="22"/>
        </w:rPr>
        <w:t xml:space="preserve">the </w:t>
      </w:r>
      <w:r w:rsidR="00982D06">
        <w:rPr>
          <w:i/>
          <w:spacing w:val="-2"/>
          <w:szCs w:val="22"/>
        </w:rPr>
        <w:t>March 2012 PN</w:t>
      </w:r>
      <w:r w:rsidR="00211F6B">
        <w:rPr>
          <w:spacing w:val="-2"/>
          <w:szCs w:val="22"/>
        </w:rPr>
        <w:t xml:space="preserve"> represents a change in policy or practice without any justification and that under the Administrative </w:t>
      </w:r>
      <w:r w:rsidR="00E9237E" w:rsidRPr="00C537AB">
        <w:rPr>
          <w:spacing w:val="-2"/>
          <w:szCs w:val="22"/>
        </w:rPr>
        <w:t>Procedure Act</w:t>
      </w:r>
      <w:r w:rsidR="007C2B63">
        <w:rPr>
          <w:spacing w:val="-2"/>
          <w:szCs w:val="22"/>
        </w:rPr>
        <w:t xml:space="preserve"> (“APA”)</w:t>
      </w:r>
      <w:r w:rsidR="007D2510" w:rsidRPr="00C537AB">
        <w:rPr>
          <w:spacing w:val="-2"/>
          <w:szCs w:val="22"/>
        </w:rPr>
        <w:t xml:space="preserve">, </w:t>
      </w:r>
      <w:r w:rsidR="00211F6B">
        <w:rPr>
          <w:spacing w:val="-2"/>
          <w:szCs w:val="22"/>
        </w:rPr>
        <w:t>such a change “</w:t>
      </w:r>
      <w:r w:rsidR="007D2510" w:rsidRPr="00C537AB">
        <w:rPr>
          <w:spacing w:val="-2"/>
          <w:szCs w:val="22"/>
        </w:rPr>
        <w:t>cannot be enforced against a licensee such as PBC</w:t>
      </w:r>
      <w:r w:rsidR="00E9237E" w:rsidRPr="00C537AB">
        <w:rPr>
          <w:spacing w:val="-2"/>
          <w:szCs w:val="22"/>
        </w:rPr>
        <w:t>.</w:t>
      </w:r>
      <w:r w:rsidR="007D2510" w:rsidRPr="00C537AB">
        <w:rPr>
          <w:spacing w:val="-2"/>
          <w:szCs w:val="22"/>
        </w:rPr>
        <w:t>”</w:t>
      </w:r>
      <w:r w:rsidR="007D2510" w:rsidRPr="00C537AB">
        <w:rPr>
          <w:rStyle w:val="FootnoteReference"/>
          <w:spacing w:val="-2"/>
          <w:szCs w:val="22"/>
        </w:rPr>
        <w:footnoteReference w:id="24"/>
      </w:r>
      <w:r w:rsidR="00211F6B">
        <w:rPr>
          <w:spacing w:val="-2"/>
          <w:szCs w:val="22"/>
        </w:rPr>
        <w:t xml:space="preserve">  </w:t>
      </w:r>
      <w:r w:rsidR="001568AC">
        <w:rPr>
          <w:spacing w:val="-2"/>
          <w:szCs w:val="22"/>
        </w:rPr>
        <w:t>T</w:t>
      </w:r>
      <w:r w:rsidR="00083826">
        <w:rPr>
          <w:spacing w:val="-2"/>
          <w:szCs w:val="22"/>
        </w:rPr>
        <w:t xml:space="preserve">he Response </w:t>
      </w:r>
      <w:r w:rsidR="00F91F7B">
        <w:rPr>
          <w:spacing w:val="-2"/>
          <w:szCs w:val="22"/>
        </w:rPr>
        <w:t>notes</w:t>
      </w:r>
      <w:r w:rsidR="001568AC">
        <w:rPr>
          <w:spacing w:val="-2"/>
          <w:szCs w:val="22"/>
        </w:rPr>
        <w:t xml:space="preserve"> that “years ago” when license terms were only three years in length and the processing of renewal applications was delayed the Commission did not require the filing of a second license renewal application, but would invite licensees to file supplements to their renewal applications.</w:t>
      </w:r>
      <w:r w:rsidR="00F91F7B">
        <w:rPr>
          <w:spacing w:val="-2"/>
          <w:szCs w:val="22"/>
        </w:rPr>
        <w:t>”</w:t>
      </w:r>
      <w:r w:rsidR="007C2B63">
        <w:rPr>
          <w:rStyle w:val="FootnoteReference"/>
          <w:spacing w:val="-2"/>
          <w:szCs w:val="22"/>
        </w:rPr>
        <w:footnoteReference w:id="25"/>
      </w:r>
      <w:r w:rsidR="00F91F7B">
        <w:rPr>
          <w:spacing w:val="-2"/>
          <w:szCs w:val="22"/>
        </w:rPr>
        <w:t xml:space="preserve">  </w:t>
      </w:r>
      <w:r w:rsidR="005E75C1">
        <w:rPr>
          <w:spacing w:val="-2"/>
          <w:szCs w:val="22"/>
        </w:rPr>
        <w:t>Not only does the Licensee fail to provide any support for these claims, but we find this</w:t>
      </w:r>
      <w:r w:rsidR="001568AC">
        <w:rPr>
          <w:spacing w:val="-2"/>
          <w:szCs w:val="22"/>
        </w:rPr>
        <w:t xml:space="preserve"> argument </w:t>
      </w:r>
      <w:r w:rsidR="005E75C1">
        <w:rPr>
          <w:spacing w:val="-2"/>
          <w:szCs w:val="22"/>
        </w:rPr>
        <w:t xml:space="preserve">does not </w:t>
      </w:r>
      <w:r w:rsidR="00D2460C">
        <w:rPr>
          <w:spacing w:val="-2"/>
          <w:szCs w:val="22"/>
        </w:rPr>
        <w:t>take into account</w:t>
      </w:r>
      <w:r w:rsidR="007C2B63">
        <w:rPr>
          <w:spacing w:val="-2"/>
          <w:szCs w:val="22"/>
        </w:rPr>
        <w:t xml:space="preserve"> change</w:t>
      </w:r>
      <w:r w:rsidR="005E75C1">
        <w:rPr>
          <w:spacing w:val="-2"/>
          <w:szCs w:val="22"/>
        </w:rPr>
        <w:t>s</w:t>
      </w:r>
      <w:r w:rsidR="007C2B63">
        <w:rPr>
          <w:spacing w:val="-2"/>
          <w:szCs w:val="22"/>
        </w:rPr>
        <w:t xml:space="preserve"> in the text of Section 307 of the Act</w:t>
      </w:r>
      <w:r w:rsidR="005E75C1">
        <w:rPr>
          <w:spacing w:val="-2"/>
          <w:szCs w:val="22"/>
        </w:rPr>
        <w:t xml:space="preserve"> </w:t>
      </w:r>
      <w:r w:rsidR="00D2460C">
        <w:rPr>
          <w:spacing w:val="-2"/>
          <w:szCs w:val="22"/>
        </w:rPr>
        <w:t>over time.</w:t>
      </w:r>
      <w:r w:rsidR="007C2B63">
        <w:rPr>
          <w:spacing w:val="-2"/>
          <w:szCs w:val="22"/>
        </w:rPr>
        <w:t xml:space="preserve"> </w:t>
      </w:r>
      <w:r w:rsidR="0043535E">
        <w:rPr>
          <w:spacing w:val="-2"/>
          <w:szCs w:val="22"/>
        </w:rPr>
        <w:t>Prior to 1996</w:t>
      </w:r>
      <w:r w:rsidR="00735933">
        <w:rPr>
          <w:spacing w:val="-2"/>
          <w:szCs w:val="22"/>
        </w:rPr>
        <w:t>,</w:t>
      </w:r>
      <w:r w:rsidR="00D268C8">
        <w:rPr>
          <w:spacing w:val="-2"/>
          <w:szCs w:val="22"/>
        </w:rPr>
        <w:t xml:space="preserve"> </w:t>
      </w:r>
      <w:r w:rsidR="0043535E">
        <w:rPr>
          <w:spacing w:val="-2"/>
          <w:szCs w:val="22"/>
        </w:rPr>
        <w:t xml:space="preserve">Section 307 of the Act did not </w:t>
      </w:r>
      <w:r w:rsidR="00D268C8">
        <w:rPr>
          <w:spacing w:val="-2"/>
          <w:szCs w:val="22"/>
        </w:rPr>
        <w:t>tie</w:t>
      </w:r>
      <w:r w:rsidR="0043535E">
        <w:rPr>
          <w:spacing w:val="-2"/>
          <w:szCs w:val="22"/>
        </w:rPr>
        <w:t xml:space="preserve"> the</w:t>
      </w:r>
      <w:r w:rsidR="00D268C8">
        <w:rPr>
          <w:spacing w:val="-2"/>
          <w:szCs w:val="22"/>
        </w:rPr>
        <w:t xml:space="preserve"> term of a</w:t>
      </w:r>
      <w:r w:rsidR="0043535E">
        <w:rPr>
          <w:spacing w:val="-2"/>
          <w:szCs w:val="22"/>
        </w:rPr>
        <w:t xml:space="preserve"> </w:t>
      </w:r>
      <w:r w:rsidR="00D268C8">
        <w:rPr>
          <w:spacing w:val="-2"/>
          <w:szCs w:val="22"/>
        </w:rPr>
        <w:t>license renewal to the expiration</w:t>
      </w:r>
      <w:r w:rsidR="0043535E">
        <w:rPr>
          <w:spacing w:val="-2"/>
          <w:szCs w:val="22"/>
        </w:rPr>
        <w:t xml:space="preserve"> date</w:t>
      </w:r>
      <w:r w:rsidR="00D268C8">
        <w:rPr>
          <w:spacing w:val="-2"/>
          <w:szCs w:val="22"/>
        </w:rPr>
        <w:t xml:space="preserve"> of the prior license</w:t>
      </w:r>
      <w:r w:rsidR="007C2B63">
        <w:rPr>
          <w:spacing w:val="-2"/>
          <w:szCs w:val="22"/>
        </w:rPr>
        <w:t>.</w:t>
      </w:r>
      <w:r w:rsidR="00E51473">
        <w:rPr>
          <w:rStyle w:val="FootnoteReference"/>
          <w:spacing w:val="-2"/>
          <w:szCs w:val="22"/>
        </w:rPr>
        <w:footnoteReference w:id="26"/>
      </w:r>
      <w:r w:rsidR="007C2B63">
        <w:rPr>
          <w:spacing w:val="-2"/>
          <w:szCs w:val="22"/>
        </w:rPr>
        <w:t xml:space="preserve">  Therefore, a “supplement” was a legally permissible alternative to requiring licensees to file a new renewal application</w:t>
      </w:r>
      <w:r w:rsidR="00D268C8">
        <w:rPr>
          <w:spacing w:val="-2"/>
          <w:szCs w:val="22"/>
        </w:rPr>
        <w:t xml:space="preserve">.  </w:t>
      </w:r>
      <w:r w:rsidR="007C2B63">
        <w:rPr>
          <w:spacing w:val="-2"/>
          <w:szCs w:val="22"/>
        </w:rPr>
        <w:t>However, f</w:t>
      </w:r>
      <w:r w:rsidR="00337687">
        <w:rPr>
          <w:spacing w:val="-2"/>
          <w:szCs w:val="22"/>
        </w:rPr>
        <w:t>ollowing</w:t>
      </w:r>
      <w:r w:rsidR="00D268C8">
        <w:rPr>
          <w:spacing w:val="-2"/>
          <w:szCs w:val="22"/>
        </w:rPr>
        <w:t xml:space="preserve"> adoption of the Telecommunications Act</w:t>
      </w:r>
      <w:r w:rsidR="00337687">
        <w:rPr>
          <w:spacing w:val="-2"/>
          <w:szCs w:val="22"/>
        </w:rPr>
        <w:t xml:space="preserve"> of 1996</w:t>
      </w:r>
      <w:r w:rsidR="00D268C8">
        <w:rPr>
          <w:spacing w:val="-2"/>
          <w:szCs w:val="22"/>
        </w:rPr>
        <w:t xml:space="preserve">, </w:t>
      </w:r>
      <w:r w:rsidR="0043535E">
        <w:rPr>
          <w:spacing w:val="-2"/>
          <w:szCs w:val="22"/>
        </w:rPr>
        <w:t xml:space="preserve">Section 307 </w:t>
      </w:r>
      <w:r w:rsidR="00D268C8">
        <w:rPr>
          <w:spacing w:val="-2"/>
          <w:szCs w:val="22"/>
        </w:rPr>
        <w:t>was amended in a manner that</w:t>
      </w:r>
      <w:r w:rsidR="00337687">
        <w:rPr>
          <w:spacing w:val="-2"/>
          <w:szCs w:val="22"/>
        </w:rPr>
        <w:t xml:space="preserve"> </w:t>
      </w:r>
      <w:r w:rsidR="007C2B63">
        <w:rPr>
          <w:spacing w:val="-2"/>
          <w:szCs w:val="22"/>
        </w:rPr>
        <w:t>linked</w:t>
      </w:r>
      <w:r w:rsidR="00D268C8">
        <w:rPr>
          <w:spacing w:val="-2"/>
          <w:szCs w:val="22"/>
        </w:rPr>
        <w:t xml:space="preserve"> the term of </w:t>
      </w:r>
      <w:r w:rsidR="007C2B63">
        <w:rPr>
          <w:spacing w:val="-2"/>
          <w:szCs w:val="22"/>
        </w:rPr>
        <w:t>a</w:t>
      </w:r>
      <w:r w:rsidR="00D268C8">
        <w:rPr>
          <w:spacing w:val="-2"/>
          <w:szCs w:val="22"/>
        </w:rPr>
        <w:t xml:space="preserve"> license </w:t>
      </w:r>
      <w:r w:rsidR="005E75C1" w:rsidRPr="00E51473">
        <w:rPr>
          <w:spacing w:val="-2"/>
          <w:szCs w:val="22"/>
        </w:rPr>
        <w:t>renewal</w:t>
      </w:r>
      <w:r w:rsidR="00D268C8" w:rsidRPr="00E51473">
        <w:rPr>
          <w:spacing w:val="-2"/>
          <w:szCs w:val="22"/>
        </w:rPr>
        <w:t xml:space="preserve"> to </w:t>
      </w:r>
      <w:r w:rsidR="00E51473" w:rsidRPr="00E51473">
        <w:rPr>
          <w:color w:val="000000"/>
          <w:szCs w:val="22"/>
        </w:rPr>
        <w:t>not more than “8 years from the date of expiration of the preceding license</w:t>
      </w:r>
      <w:r w:rsidR="0043535E" w:rsidRPr="00E51473">
        <w:rPr>
          <w:spacing w:val="-2"/>
          <w:szCs w:val="22"/>
        </w:rPr>
        <w:t>.</w:t>
      </w:r>
      <w:r w:rsidR="00E51473" w:rsidRPr="00E51473">
        <w:rPr>
          <w:spacing w:val="-2"/>
          <w:szCs w:val="22"/>
        </w:rPr>
        <w:t>”</w:t>
      </w:r>
      <w:r w:rsidR="0043535E">
        <w:rPr>
          <w:rStyle w:val="FootnoteReference"/>
          <w:spacing w:val="-2"/>
          <w:szCs w:val="22"/>
        </w:rPr>
        <w:footnoteReference w:id="27"/>
      </w:r>
      <w:r w:rsidR="00337687">
        <w:rPr>
          <w:spacing w:val="-2"/>
          <w:szCs w:val="22"/>
        </w:rPr>
        <w:t xml:space="preserve">  Accordingly, </w:t>
      </w:r>
      <w:r w:rsidR="007C2B63">
        <w:rPr>
          <w:spacing w:val="-2"/>
          <w:szCs w:val="22"/>
        </w:rPr>
        <w:t xml:space="preserve">the guidance provided </w:t>
      </w:r>
      <w:r w:rsidR="005E75C1">
        <w:rPr>
          <w:spacing w:val="-2"/>
          <w:szCs w:val="22"/>
        </w:rPr>
        <w:t>in the</w:t>
      </w:r>
      <w:r w:rsidR="007C2B63">
        <w:rPr>
          <w:spacing w:val="-2"/>
          <w:szCs w:val="22"/>
        </w:rPr>
        <w:t xml:space="preserve"> </w:t>
      </w:r>
      <w:r w:rsidR="007C2B63" w:rsidRPr="00C537AB">
        <w:rPr>
          <w:i/>
          <w:spacing w:val="-2"/>
          <w:szCs w:val="22"/>
        </w:rPr>
        <w:t>March 2012 PN</w:t>
      </w:r>
      <w:r w:rsidR="007C2B63">
        <w:rPr>
          <w:spacing w:val="-2"/>
          <w:szCs w:val="22"/>
        </w:rPr>
        <w:t xml:space="preserve"> was not a change in policy or practice that </w:t>
      </w:r>
      <w:r w:rsidR="005E75C1">
        <w:rPr>
          <w:spacing w:val="-2"/>
          <w:szCs w:val="22"/>
        </w:rPr>
        <w:t xml:space="preserve">requires justification or </w:t>
      </w:r>
      <w:r w:rsidR="007C2B63">
        <w:rPr>
          <w:spacing w:val="-2"/>
          <w:szCs w:val="22"/>
        </w:rPr>
        <w:t xml:space="preserve">implicates the APA, but was </w:t>
      </w:r>
      <w:r w:rsidR="005E75C1">
        <w:rPr>
          <w:spacing w:val="-2"/>
          <w:szCs w:val="22"/>
        </w:rPr>
        <w:t>direction provided to</w:t>
      </w:r>
      <w:r w:rsidR="007C2B63">
        <w:rPr>
          <w:spacing w:val="-2"/>
          <w:szCs w:val="22"/>
        </w:rPr>
        <w:t xml:space="preserve"> </w:t>
      </w:r>
      <w:r w:rsidR="005E75C1">
        <w:rPr>
          <w:spacing w:val="-2"/>
          <w:szCs w:val="22"/>
        </w:rPr>
        <w:t>licensees</w:t>
      </w:r>
      <w:r w:rsidR="00E51473">
        <w:rPr>
          <w:spacing w:val="-2"/>
          <w:szCs w:val="22"/>
        </w:rPr>
        <w:t xml:space="preserve"> with still pending license renewal applications</w:t>
      </w:r>
      <w:r w:rsidR="005E75C1">
        <w:rPr>
          <w:spacing w:val="-2"/>
          <w:szCs w:val="22"/>
        </w:rPr>
        <w:t xml:space="preserve"> taking into account the plain language of</w:t>
      </w:r>
      <w:r w:rsidR="007C2B63">
        <w:rPr>
          <w:spacing w:val="-2"/>
          <w:szCs w:val="22"/>
        </w:rPr>
        <w:t xml:space="preserve"> Section 307</w:t>
      </w:r>
      <w:r w:rsidR="005E75C1">
        <w:rPr>
          <w:spacing w:val="-2"/>
          <w:szCs w:val="22"/>
        </w:rPr>
        <w:t xml:space="preserve"> of the Act</w:t>
      </w:r>
      <w:r w:rsidR="007C2B63">
        <w:rPr>
          <w:spacing w:val="-2"/>
          <w:szCs w:val="22"/>
        </w:rPr>
        <w:t xml:space="preserve"> and the Rules.  </w:t>
      </w:r>
    </w:p>
    <w:p w:rsidR="0085053C" w:rsidRPr="009863B5" w:rsidRDefault="00D1706B" w:rsidP="00D1706B">
      <w:pPr>
        <w:pStyle w:val="ParaNum"/>
        <w:widowControl/>
        <w:numPr>
          <w:ilvl w:val="0"/>
          <w:numId w:val="25"/>
        </w:numPr>
        <w:tabs>
          <w:tab w:val="clear" w:pos="1440"/>
        </w:tabs>
        <w:rPr>
          <w:spacing w:val="-2"/>
          <w:szCs w:val="22"/>
        </w:rPr>
      </w:pPr>
      <w:r w:rsidRPr="009863B5">
        <w:rPr>
          <w:b/>
          <w:szCs w:val="22"/>
        </w:rPr>
        <w:t xml:space="preserve">    </w:t>
      </w:r>
      <w:r w:rsidR="0085053C" w:rsidRPr="009863B5">
        <w:rPr>
          <w:b/>
          <w:szCs w:val="22"/>
        </w:rPr>
        <w:t>ORDERING CLAUSES</w:t>
      </w:r>
    </w:p>
    <w:p w:rsidR="0085053C" w:rsidRPr="00C537AB" w:rsidRDefault="00D1706B" w:rsidP="00E14AA5">
      <w:pPr>
        <w:pStyle w:val="ParaNum"/>
        <w:widowControl/>
        <w:tabs>
          <w:tab w:val="clear" w:pos="1080"/>
          <w:tab w:val="num" w:pos="1440"/>
        </w:tabs>
        <w:spacing w:after="240"/>
        <w:rPr>
          <w:szCs w:val="22"/>
        </w:rPr>
      </w:pPr>
      <w:r w:rsidRPr="00C537AB">
        <w:rPr>
          <w:b/>
          <w:szCs w:val="22"/>
        </w:rPr>
        <w:t xml:space="preserve">  </w:t>
      </w:r>
      <w:r w:rsidR="0085053C" w:rsidRPr="00C537AB">
        <w:rPr>
          <w:b/>
          <w:szCs w:val="22"/>
        </w:rPr>
        <w:t>ACCORDINGLY, IT IS ORDERED THAT</w:t>
      </w:r>
      <w:r w:rsidR="0085053C" w:rsidRPr="00C537AB">
        <w:rPr>
          <w:szCs w:val="22"/>
        </w:rPr>
        <w:t>, pursuant to section 503(b) of the Communications Act of 1934, as amended, and Sec</w:t>
      </w:r>
      <w:r w:rsidR="00E51473">
        <w:rPr>
          <w:szCs w:val="22"/>
        </w:rPr>
        <w:t>tions 0.61(f)(1) and 1.80(a)(1),</w:t>
      </w:r>
      <w:r w:rsidR="0085053C" w:rsidRPr="00C537AB">
        <w:rPr>
          <w:szCs w:val="22"/>
        </w:rPr>
        <w:t>(2) of the Commission’s rules</w:t>
      </w:r>
      <w:r w:rsidR="0085053C" w:rsidRPr="00C537AB">
        <w:rPr>
          <w:spacing w:val="-2"/>
          <w:szCs w:val="22"/>
        </w:rPr>
        <w:t>,</w:t>
      </w:r>
      <w:r w:rsidR="0085053C" w:rsidRPr="009863B5">
        <w:rPr>
          <w:rStyle w:val="FootnoteReference"/>
          <w:spacing w:val="-2"/>
          <w:szCs w:val="22"/>
        </w:rPr>
        <w:footnoteReference w:id="28"/>
      </w:r>
      <w:r w:rsidR="0085053C" w:rsidRPr="009863B5">
        <w:rPr>
          <w:szCs w:val="22"/>
        </w:rPr>
        <w:t xml:space="preserve"> </w:t>
      </w:r>
      <w:r w:rsidR="000603DD" w:rsidRPr="009863B5">
        <w:rPr>
          <w:szCs w:val="22"/>
        </w:rPr>
        <w:t xml:space="preserve">Pollack/Belz Communication Company </w:t>
      </w:r>
      <w:r w:rsidR="0085053C" w:rsidRPr="009863B5">
        <w:rPr>
          <w:szCs w:val="22"/>
        </w:rPr>
        <w:t xml:space="preserve">SHALL FORFEIT to the United States the sum of </w:t>
      </w:r>
      <w:r w:rsidR="000603DD" w:rsidRPr="00C537AB">
        <w:rPr>
          <w:szCs w:val="22"/>
        </w:rPr>
        <w:t>Two Thousand, Four Hundred Dollars</w:t>
      </w:r>
      <w:r w:rsidR="0085053C" w:rsidRPr="00C537AB">
        <w:rPr>
          <w:szCs w:val="22"/>
        </w:rPr>
        <w:t xml:space="preserve"> ($</w:t>
      </w:r>
      <w:r w:rsidR="000603DD" w:rsidRPr="00C537AB">
        <w:rPr>
          <w:szCs w:val="22"/>
        </w:rPr>
        <w:t>2,4</w:t>
      </w:r>
      <w:r w:rsidR="0085053C" w:rsidRPr="00C537AB">
        <w:rPr>
          <w:szCs w:val="22"/>
        </w:rPr>
        <w:t xml:space="preserve">00) for </w:t>
      </w:r>
      <w:r w:rsidR="000603DD" w:rsidRPr="00C537AB">
        <w:rPr>
          <w:szCs w:val="22"/>
        </w:rPr>
        <w:t xml:space="preserve">its </w:t>
      </w:r>
      <w:r w:rsidR="0085053C" w:rsidRPr="00C537AB">
        <w:rPr>
          <w:szCs w:val="22"/>
        </w:rPr>
        <w:t>violation</w:t>
      </w:r>
      <w:r w:rsidR="000603DD" w:rsidRPr="00C537AB">
        <w:rPr>
          <w:szCs w:val="22"/>
        </w:rPr>
        <w:t xml:space="preserve"> of</w:t>
      </w:r>
      <w:r w:rsidR="0085053C" w:rsidRPr="00C537AB">
        <w:rPr>
          <w:szCs w:val="22"/>
        </w:rPr>
        <w:t xml:space="preserve"> Section 73.3539(a) of the Commission’s Rules.</w:t>
      </w:r>
    </w:p>
    <w:p w:rsidR="0085053C" w:rsidRPr="00C537AB" w:rsidRDefault="0085053C" w:rsidP="00E14AA5">
      <w:pPr>
        <w:pStyle w:val="ParaNum"/>
        <w:widowControl/>
        <w:tabs>
          <w:tab w:val="clear" w:pos="1080"/>
          <w:tab w:val="num" w:pos="1440"/>
        </w:tabs>
        <w:spacing w:after="240"/>
        <w:rPr>
          <w:szCs w:val="22"/>
        </w:rPr>
      </w:pPr>
      <w:r w:rsidRPr="00C537AB">
        <w:rPr>
          <w:szCs w:val="22"/>
        </w:rPr>
        <w:t>Payment of the forfeiture shall be made in the mann</w:t>
      </w:r>
      <w:r w:rsidR="00E51473">
        <w:rPr>
          <w:szCs w:val="22"/>
        </w:rPr>
        <w:t>er provided for in Section 1.80</w:t>
      </w:r>
      <w:r w:rsidRPr="00C537AB">
        <w:rPr>
          <w:szCs w:val="22"/>
        </w:rPr>
        <w:t>(h) of the Commission’s rules within thirty (30) calendar days after the release date of this Forfeiture Order.  If the forfeiture is not paid within the period specified, the case may be referred to the U.S. Department of Justice for enforcement of the forfeiture pursuant to Section 504(a) of the Communications Act of 1934, as amended.  The Licensee shall send electronic notification of the payment to Evan Morris at evan.morris@fcc.gov on the date payment is made.</w:t>
      </w:r>
    </w:p>
    <w:p w:rsidR="0085053C" w:rsidRPr="00C537AB" w:rsidRDefault="0085053C" w:rsidP="00577126">
      <w:pPr>
        <w:pStyle w:val="ParaNum"/>
        <w:widowControl/>
        <w:tabs>
          <w:tab w:val="clear" w:pos="1080"/>
          <w:tab w:val="num" w:pos="1440"/>
        </w:tabs>
        <w:spacing w:after="240"/>
        <w:rPr>
          <w:szCs w:val="22"/>
        </w:rPr>
      </w:pPr>
      <w:r w:rsidRPr="00C537AB">
        <w:rPr>
          <w:szCs w:val="22"/>
        </w:rPr>
        <w:t xml:space="preserve">The payment must be made by check or similar instrument, wire transfer, or credit card, and must include the NAL/Account number and FRN referenced above.  Regardless of the form of payment, a completed FCC Form 159 (Remittance Advice) must be submitted.  When completing FCC Form 159, enter the Account Number in block number 23A (call sign/other ID) and enter the “FORF” in block number 24A (payment type code).  Payment by check or </w:t>
      </w:r>
      <w:r w:rsidRPr="00C537AB">
        <w:rPr>
          <w:szCs w:val="22"/>
          <w:lang w:val="en"/>
        </w:rPr>
        <w:t>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85053C" w:rsidRPr="00C537AB" w:rsidRDefault="0085053C" w:rsidP="00577126">
      <w:pPr>
        <w:pStyle w:val="ParaNum"/>
        <w:widowControl/>
        <w:tabs>
          <w:tab w:val="clear" w:pos="1080"/>
          <w:tab w:val="num" w:pos="1440"/>
        </w:tabs>
        <w:spacing w:after="240"/>
        <w:rPr>
          <w:szCs w:val="22"/>
        </w:rPr>
      </w:pPr>
      <w:r w:rsidRPr="00C537AB">
        <w:rPr>
          <w:b/>
          <w:szCs w:val="22"/>
        </w:rPr>
        <w:t>IT IS FURTHER ORDERED</w:t>
      </w:r>
      <w:r w:rsidRPr="00C537AB">
        <w:rPr>
          <w:szCs w:val="22"/>
        </w:rPr>
        <w:t xml:space="preserve"> </w:t>
      </w:r>
      <w:r w:rsidRPr="00C537AB">
        <w:rPr>
          <w:b/>
          <w:szCs w:val="22"/>
        </w:rPr>
        <w:t>THAT</w:t>
      </w:r>
      <w:r w:rsidRPr="00C537AB">
        <w:rPr>
          <w:szCs w:val="22"/>
        </w:rPr>
        <w:t xml:space="preserve"> copies of this </w:t>
      </w:r>
      <w:r w:rsidRPr="00C537AB">
        <w:rPr>
          <w:i/>
          <w:szCs w:val="22"/>
        </w:rPr>
        <w:t>NAL</w:t>
      </w:r>
      <w:r w:rsidRPr="00C537AB">
        <w:rPr>
          <w:szCs w:val="22"/>
        </w:rPr>
        <w:t xml:space="preserve"> shall be sent, by First Class and Certified Mail, Return Receipt Requested, to </w:t>
      </w:r>
      <w:r w:rsidR="000603DD" w:rsidRPr="00C537AB">
        <w:rPr>
          <w:szCs w:val="22"/>
        </w:rPr>
        <w:t>Pollack/Belz Communication Company, Inc.</w:t>
      </w:r>
      <w:r w:rsidRPr="00C537AB">
        <w:rPr>
          <w:szCs w:val="22"/>
        </w:rPr>
        <w:t xml:space="preserve">, </w:t>
      </w:r>
      <w:r w:rsidR="000603DD" w:rsidRPr="00C537AB">
        <w:rPr>
          <w:szCs w:val="22"/>
        </w:rPr>
        <w:t>5500 Poplar Avenue, Suite 1, Memphis, TN, 38119, and to its counsel, Barry D. Wood, Wood, Martin &amp; Hardy, P.C., 3300 Fairfax Drive, Suite 202, Arlington, VA 22201-4400.</w:t>
      </w:r>
      <w:r w:rsidRPr="00C537AB">
        <w:rPr>
          <w:szCs w:val="22"/>
        </w:rPr>
        <w:tab/>
      </w:r>
      <w:r w:rsidRPr="00C537AB">
        <w:rPr>
          <w:szCs w:val="22"/>
        </w:rPr>
        <w:tab/>
      </w:r>
      <w:r w:rsidRPr="00C537AB">
        <w:rPr>
          <w:szCs w:val="22"/>
        </w:rPr>
        <w:tab/>
      </w:r>
    </w:p>
    <w:p w:rsidR="0085053C" w:rsidRPr="00C537AB" w:rsidRDefault="0085053C" w:rsidP="0085053C">
      <w:pPr>
        <w:ind w:left="3600"/>
        <w:jc w:val="both"/>
        <w:rPr>
          <w:szCs w:val="22"/>
        </w:rPr>
      </w:pPr>
    </w:p>
    <w:p w:rsidR="0085053C" w:rsidRPr="00C537AB" w:rsidRDefault="0085053C" w:rsidP="0085053C">
      <w:pPr>
        <w:ind w:left="3600"/>
        <w:jc w:val="both"/>
        <w:rPr>
          <w:szCs w:val="22"/>
        </w:rPr>
      </w:pPr>
      <w:r w:rsidRPr="00C537AB">
        <w:rPr>
          <w:szCs w:val="22"/>
        </w:rPr>
        <w:t>FEDERAL COMMUNICATIONS COMMISSION</w:t>
      </w:r>
    </w:p>
    <w:p w:rsidR="0085053C" w:rsidRPr="00C537AB" w:rsidRDefault="0085053C" w:rsidP="0085053C">
      <w:pPr>
        <w:jc w:val="both"/>
        <w:rPr>
          <w:szCs w:val="22"/>
        </w:rPr>
      </w:pPr>
      <w:r w:rsidRPr="00C537AB">
        <w:rPr>
          <w:szCs w:val="22"/>
        </w:rPr>
        <w:tab/>
      </w:r>
      <w:r w:rsidRPr="00C537AB">
        <w:rPr>
          <w:szCs w:val="22"/>
        </w:rPr>
        <w:tab/>
      </w:r>
      <w:r w:rsidRPr="00C537AB">
        <w:rPr>
          <w:szCs w:val="22"/>
        </w:rPr>
        <w:tab/>
      </w:r>
      <w:r w:rsidRPr="00C537AB">
        <w:rPr>
          <w:szCs w:val="22"/>
        </w:rPr>
        <w:tab/>
      </w:r>
    </w:p>
    <w:p w:rsidR="0085053C" w:rsidRPr="00C537AB" w:rsidRDefault="0085053C" w:rsidP="0085053C">
      <w:pPr>
        <w:jc w:val="both"/>
        <w:rPr>
          <w:szCs w:val="22"/>
        </w:rPr>
      </w:pPr>
    </w:p>
    <w:p w:rsidR="0085053C" w:rsidRPr="00C537AB" w:rsidRDefault="0085053C" w:rsidP="0085053C">
      <w:pPr>
        <w:jc w:val="both"/>
        <w:rPr>
          <w:szCs w:val="22"/>
        </w:rPr>
      </w:pPr>
      <w:r w:rsidRPr="00C537AB">
        <w:rPr>
          <w:szCs w:val="22"/>
        </w:rPr>
        <w:tab/>
      </w:r>
    </w:p>
    <w:p w:rsidR="0085053C" w:rsidRPr="00C537AB" w:rsidRDefault="0085053C" w:rsidP="0085053C">
      <w:pPr>
        <w:jc w:val="both"/>
        <w:rPr>
          <w:szCs w:val="22"/>
        </w:rPr>
      </w:pPr>
      <w:r w:rsidRPr="00C537AB">
        <w:rPr>
          <w:szCs w:val="22"/>
        </w:rPr>
        <w:tab/>
      </w:r>
      <w:r w:rsidRPr="00C537AB">
        <w:rPr>
          <w:szCs w:val="22"/>
        </w:rPr>
        <w:tab/>
      </w:r>
      <w:r w:rsidRPr="00C537AB">
        <w:rPr>
          <w:szCs w:val="22"/>
        </w:rPr>
        <w:tab/>
      </w:r>
      <w:r w:rsidRPr="00C537AB">
        <w:rPr>
          <w:szCs w:val="22"/>
        </w:rPr>
        <w:tab/>
      </w:r>
      <w:r w:rsidRPr="00C537AB">
        <w:rPr>
          <w:szCs w:val="22"/>
        </w:rPr>
        <w:tab/>
        <w:t>Barbara A. Kreisman</w:t>
      </w:r>
    </w:p>
    <w:p w:rsidR="0085053C" w:rsidRPr="00C537AB" w:rsidRDefault="0085053C" w:rsidP="0085053C">
      <w:pPr>
        <w:jc w:val="both"/>
        <w:rPr>
          <w:szCs w:val="22"/>
        </w:rPr>
      </w:pPr>
      <w:r w:rsidRPr="00C537AB">
        <w:rPr>
          <w:szCs w:val="22"/>
        </w:rPr>
        <w:tab/>
      </w:r>
      <w:r w:rsidRPr="00C537AB">
        <w:rPr>
          <w:szCs w:val="22"/>
        </w:rPr>
        <w:tab/>
      </w:r>
      <w:r w:rsidRPr="00C537AB">
        <w:rPr>
          <w:szCs w:val="22"/>
        </w:rPr>
        <w:tab/>
      </w:r>
      <w:r w:rsidRPr="00C537AB">
        <w:rPr>
          <w:szCs w:val="22"/>
        </w:rPr>
        <w:tab/>
      </w:r>
      <w:r w:rsidRPr="00C537AB">
        <w:rPr>
          <w:szCs w:val="22"/>
        </w:rPr>
        <w:tab/>
        <w:t xml:space="preserve">Chief, Video Division </w:t>
      </w:r>
    </w:p>
    <w:p w:rsidR="00F85776" w:rsidRPr="00C537AB" w:rsidRDefault="0085053C" w:rsidP="00E51473">
      <w:pPr>
        <w:ind w:left="2880" w:firstLine="720"/>
        <w:jc w:val="both"/>
        <w:rPr>
          <w:szCs w:val="22"/>
        </w:rPr>
      </w:pPr>
      <w:r w:rsidRPr="00C537AB">
        <w:rPr>
          <w:szCs w:val="22"/>
        </w:rPr>
        <w:t>Media Bureau</w:t>
      </w:r>
    </w:p>
    <w:sectPr w:rsidR="00F85776" w:rsidRPr="00C537AB" w:rsidSect="008505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2C" w:rsidRDefault="00D1412C">
      <w:r>
        <w:separator/>
      </w:r>
    </w:p>
  </w:endnote>
  <w:endnote w:type="continuationSeparator" w:id="0">
    <w:p w:rsidR="00D1412C" w:rsidRDefault="00D1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33" w:rsidRDefault="00016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433" w:rsidRDefault="000164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33" w:rsidRDefault="00016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6E7">
      <w:rPr>
        <w:rStyle w:val="PageNumber"/>
        <w:noProof/>
      </w:rPr>
      <w:t>2</w:t>
    </w:r>
    <w:r>
      <w:rPr>
        <w:rStyle w:val="PageNumber"/>
      </w:rPr>
      <w:fldChar w:fldCharType="end"/>
    </w:r>
  </w:p>
  <w:p w:rsidR="00016433" w:rsidRDefault="0001643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F2" w:rsidRDefault="00292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2C" w:rsidRDefault="00D1412C">
      <w:pPr>
        <w:rPr>
          <w:sz w:val="20"/>
        </w:rPr>
      </w:pPr>
      <w:r>
        <w:rPr>
          <w:sz w:val="20"/>
        </w:rPr>
        <w:separator/>
      </w:r>
    </w:p>
  </w:footnote>
  <w:footnote w:type="continuationSeparator" w:id="0">
    <w:p w:rsidR="00D1412C" w:rsidRDefault="00D1412C">
      <w:pPr>
        <w:rPr>
          <w:sz w:val="20"/>
        </w:rPr>
      </w:pPr>
      <w:r>
        <w:rPr>
          <w:sz w:val="20"/>
        </w:rPr>
        <w:separator/>
      </w:r>
    </w:p>
    <w:p w:rsidR="00D1412C" w:rsidRDefault="00D1412C">
      <w:pPr>
        <w:rPr>
          <w:sz w:val="20"/>
        </w:rPr>
      </w:pPr>
      <w:r>
        <w:rPr>
          <w:sz w:val="20"/>
        </w:rPr>
        <w:t>(...continued from previous page)</w:t>
      </w:r>
    </w:p>
  </w:footnote>
  <w:footnote w:type="continuationNotice" w:id="1">
    <w:p w:rsidR="00D1412C" w:rsidRDefault="00D1412C">
      <w:pPr>
        <w:jc w:val="right"/>
        <w:rPr>
          <w:sz w:val="20"/>
        </w:rPr>
      </w:pPr>
      <w:r>
        <w:rPr>
          <w:sz w:val="20"/>
        </w:rPr>
        <w:t>(continued....)</w:t>
      </w:r>
    </w:p>
  </w:footnote>
  <w:footnote w:id="2">
    <w:p w:rsidR="00016433" w:rsidRPr="003E687F" w:rsidRDefault="00016433" w:rsidP="0085053C">
      <w:pPr>
        <w:pStyle w:val="FootnoteText"/>
      </w:pPr>
      <w:r w:rsidRPr="003E687F">
        <w:rPr>
          <w:rStyle w:val="FootnoteReference"/>
        </w:rPr>
        <w:footnoteRef/>
      </w:r>
      <w:r w:rsidRPr="003E687F">
        <w:t xml:space="preserve">  47 C.F.R. §§ 0.61(f)(1), 1.80(a)(1)</w:t>
      </w:r>
      <w:r w:rsidR="003608AA">
        <w:t>,</w:t>
      </w:r>
      <w:r w:rsidRPr="003E687F">
        <w:t>(2).</w:t>
      </w:r>
    </w:p>
  </w:footnote>
  <w:footnote w:id="3">
    <w:p w:rsidR="00016433" w:rsidRPr="003E687F" w:rsidRDefault="00016433" w:rsidP="0085053C">
      <w:pPr>
        <w:pStyle w:val="FootnoteText"/>
      </w:pPr>
      <w:r w:rsidRPr="003E687F">
        <w:rPr>
          <w:rStyle w:val="FootnoteReference"/>
        </w:rPr>
        <w:footnoteRef/>
      </w:r>
      <w:r>
        <w:rPr>
          <w:i/>
        </w:rPr>
        <w:t xml:space="preserve"> Pollack/Belz Communication Company, Inc.</w:t>
      </w:r>
      <w:r w:rsidRPr="003E687F">
        <w:t>, Notice of Apparent Liability for Forfeiture, DA 1</w:t>
      </w:r>
      <w:r>
        <w:t>4</w:t>
      </w:r>
      <w:r w:rsidRPr="003E687F">
        <w:t>-1</w:t>
      </w:r>
      <w:r>
        <w:t>27</w:t>
      </w:r>
      <w:r w:rsidRPr="003E687F">
        <w:t xml:space="preserve"> (</w:t>
      </w:r>
      <w:r>
        <w:t>rel. Feb. 5</w:t>
      </w:r>
      <w:r w:rsidRPr="003E687F">
        <w:t>, 201</w:t>
      </w:r>
      <w:r>
        <w:t>4</w:t>
      </w:r>
      <w:r w:rsidRPr="003E687F">
        <w:t>) (“</w:t>
      </w:r>
      <w:r w:rsidRPr="00954E74">
        <w:t>KLAX NAL</w:t>
      </w:r>
      <w:r w:rsidRPr="003E687F">
        <w:t>”).</w:t>
      </w:r>
    </w:p>
  </w:footnote>
  <w:footnote w:id="4">
    <w:p w:rsidR="00016433" w:rsidRPr="003E687F" w:rsidRDefault="00016433" w:rsidP="0085053C">
      <w:pPr>
        <w:pStyle w:val="FootnoteText"/>
        <w:tabs>
          <w:tab w:val="left" w:pos="1350"/>
        </w:tabs>
      </w:pPr>
      <w:r w:rsidRPr="003E687F">
        <w:rPr>
          <w:rStyle w:val="FootnoteReference"/>
        </w:rPr>
        <w:footnoteRef/>
      </w:r>
      <w:r>
        <w:t xml:space="preserve"> 47 C.F.R. § 73.3539(a) (r</w:t>
      </w:r>
      <w:r w:rsidRPr="003E687F">
        <w:t xml:space="preserve">equiring a broadcast television license renewal application to be filed “not later than the first day of the fourth full calendar month prior to the expiration date of the license sought to be renewed….”).  </w:t>
      </w:r>
    </w:p>
  </w:footnote>
  <w:footnote w:id="5">
    <w:p w:rsidR="00016433" w:rsidRDefault="00016433">
      <w:pPr>
        <w:pStyle w:val="FootnoteText"/>
      </w:pPr>
      <w:r>
        <w:rPr>
          <w:rStyle w:val="FootnoteReference"/>
        </w:rPr>
        <w:footnoteRef/>
      </w:r>
      <w:r>
        <w:t xml:space="preserve"> </w:t>
      </w:r>
      <w:r>
        <w:rPr>
          <w:i/>
        </w:rPr>
        <w:t>Pollack/Belz Communication Company, Inc.</w:t>
      </w:r>
      <w:r w:rsidRPr="00F71FC8">
        <w:t>, Response to Notice of Apparent Liability (</w:t>
      </w:r>
      <w:r>
        <w:t>Mar</w:t>
      </w:r>
      <w:r w:rsidRPr="00F71FC8">
        <w:t>. 7, 201</w:t>
      </w:r>
      <w:r>
        <w:t>4</w:t>
      </w:r>
      <w:r w:rsidRPr="00F71FC8">
        <w:t>)(“</w:t>
      </w:r>
      <w:r w:rsidRPr="00923DE2">
        <w:rPr>
          <w:i/>
        </w:rPr>
        <w:t>KLAX</w:t>
      </w:r>
      <w:r w:rsidRPr="00E01E69">
        <w:rPr>
          <w:i/>
        </w:rPr>
        <w:t xml:space="preserve"> Response</w:t>
      </w:r>
      <w:r w:rsidRPr="00F71FC8">
        <w:t>”).</w:t>
      </w:r>
    </w:p>
  </w:footnote>
  <w:footnote w:id="6">
    <w:p w:rsidR="00016433" w:rsidRDefault="00016433">
      <w:pPr>
        <w:pStyle w:val="FootnoteText"/>
      </w:pPr>
      <w:r>
        <w:rPr>
          <w:rStyle w:val="FootnoteReference"/>
        </w:rPr>
        <w:footnoteRef/>
      </w:r>
      <w:r>
        <w:t xml:space="preserve"> </w:t>
      </w:r>
      <w:r w:rsidRPr="005D235B">
        <w:rPr>
          <w:i/>
        </w:rPr>
        <w:t>Id.</w:t>
      </w:r>
      <w:r>
        <w:t xml:space="preserve"> at 2-4.  </w:t>
      </w:r>
      <w:r w:rsidRPr="005A2D07">
        <w:t xml:space="preserve">The Commission granted KLAX-TV’s pending license renewal applications on October 9, 2014.  </w:t>
      </w:r>
      <w:r w:rsidRPr="006A7053">
        <w:rPr>
          <w:i/>
        </w:rPr>
        <w:t>See</w:t>
      </w:r>
      <w:r w:rsidRPr="005A2D07">
        <w:t xml:space="preserve"> File Nos. BRCT-20050201BHM and BRCDT-20130603BFV.</w:t>
      </w:r>
    </w:p>
  </w:footnote>
  <w:footnote w:id="7">
    <w:p w:rsidR="00016433" w:rsidRDefault="00016433">
      <w:pPr>
        <w:pStyle w:val="FootnoteText"/>
      </w:pPr>
      <w:r>
        <w:rPr>
          <w:rStyle w:val="FootnoteReference"/>
        </w:rPr>
        <w:footnoteRef/>
      </w:r>
      <w:r>
        <w:t xml:space="preserve"> </w:t>
      </w:r>
      <w:r w:rsidRPr="005D235B">
        <w:rPr>
          <w:i/>
        </w:rPr>
        <w:t>Id.</w:t>
      </w:r>
      <w:r>
        <w:t xml:space="preserve"> at 4-6</w:t>
      </w:r>
      <w:r w:rsidR="00982D06">
        <w:t xml:space="preserve">; </w:t>
      </w:r>
      <w:r w:rsidR="00982D06" w:rsidRPr="00D44D30">
        <w:rPr>
          <w:i/>
        </w:rPr>
        <w:t>Media Bureau Announces Revisions to License Renewal Procedures and Form 303-S License Renewal Application; Television License Renewal Filings Accepted Beginning May 1, 2012</w:t>
      </w:r>
      <w:r w:rsidR="00982D06" w:rsidRPr="00D44D30">
        <w:t>, Publi</w:t>
      </w:r>
      <w:r w:rsidR="00982D06">
        <w:t xml:space="preserve">c Notice, 27 FCC Rcd 2460 </w:t>
      </w:r>
      <w:r w:rsidR="00982D06" w:rsidRPr="00D44D30">
        <w:t>(MB 2012)</w:t>
      </w:r>
      <w:r w:rsidR="00982D06">
        <w:t>(“</w:t>
      </w:r>
      <w:r w:rsidR="00982D06">
        <w:rPr>
          <w:i/>
        </w:rPr>
        <w:t>March 2012</w:t>
      </w:r>
      <w:r w:rsidR="00982D06" w:rsidRPr="00C537AB">
        <w:rPr>
          <w:i/>
        </w:rPr>
        <w:t xml:space="preserve"> </w:t>
      </w:r>
      <w:r w:rsidR="00982D06">
        <w:rPr>
          <w:i/>
        </w:rPr>
        <w:t>PN</w:t>
      </w:r>
      <w:r w:rsidR="00982D06">
        <w:t>”)</w:t>
      </w:r>
      <w:r w:rsidR="00982D06" w:rsidRPr="00D44D30">
        <w:t xml:space="preserve">.  </w:t>
      </w:r>
    </w:p>
  </w:footnote>
  <w:footnote w:id="8">
    <w:p w:rsidR="00016433" w:rsidRPr="003E687F" w:rsidRDefault="00016433" w:rsidP="00C537AB">
      <w:pPr>
        <w:pStyle w:val="FootnoteText"/>
      </w:pPr>
      <w:r w:rsidRPr="003E687F">
        <w:rPr>
          <w:rStyle w:val="FootnoteReference"/>
        </w:rPr>
        <w:footnoteRef/>
      </w:r>
      <w:r w:rsidRPr="003E687F">
        <w:t xml:space="preserve"> 47 U.S.C. § 503(b)(1)(A)</w:t>
      </w:r>
      <w:r w:rsidR="003608AA">
        <w:t>,</w:t>
      </w:r>
      <w:r w:rsidRPr="003E687F">
        <w:t>(B); 47 C.F.R. § 1.80(a)(1)</w:t>
      </w:r>
      <w:r w:rsidR="003608AA">
        <w:t>,</w:t>
      </w:r>
      <w:r w:rsidRPr="003E687F">
        <w:t>(2).</w:t>
      </w:r>
    </w:p>
  </w:footnote>
  <w:footnote w:id="9">
    <w:p w:rsidR="00016433" w:rsidRPr="003E687F" w:rsidRDefault="00016433" w:rsidP="00C537AB">
      <w:pPr>
        <w:pStyle w:val="FootnoteText"/>
      </w:pPr>
      <w:r w:rsidRPr="003E687F">
        <w:rPr>
          <w:rStyle w:val="FootnoteReference"/>
        </w:rPr>
        <w:footnoteRef/>
      </w:r>
      <w:r w:rsidRPr="003E687F">
        <w:t xml:space="preserve"> 47 U.S.C. § 503(b); 47 C.F.R. § 1.80(f).</w:t>
      </w:r>
    </w:p>
  </w:footnote>
  <w:footnote w:id="10">
    <w:p w:rsidR="00016433" w:rsidRPr="003E687F" w:rsidRDefault="00016433" w:rsidP="00C537AB">
      <w:pPr>
        <w:pStyle w:val="FootnoteText"/>
      </w:pPr>
      <w:r w:rsidRPr="003E687F">
        <w:rPr>
          <w:rStyle w:val="FootnoteReference"/>
        </w:rPr>
        <w:footnoteRef/>
      </w:r>
      <w:r w:rsidRPr="003E687F">
        <w:t xml:space="preserve"> </w:t>
      </w:r>
      <w:r w:rsidRPr="003E687F">
        <w:rPr>
          <w:i/>
        </w:rPr>
        <w:t>See, e.g., SBC Communications, Inc.</w:t>
      </w:r>
      <w:r w:rsidRPr="003E687F">
        <w:t xml:space="preserve">, Forfeiture Order, 17 FCC Rcd 7589, 7591 (2002). </w:t>
      </w:r>
    </w:p>
  </w:footnote>
  <w:footnote w:id="11">
    <w:p w:rsidR="00016433" w:rsidRDefault="00016433" w:rsidP="00C537AB">
      <w:pPr>
        <w:pStyle w:val="FootnoteText"/>
      </w:pPr>
      <w:r>
        <w:rPr>
          <w:rStyle w:val="FootnoteReference"/>
        </w:rPr>
        <w:footnoteRef/>
      </w:r>
      <w:r>
        <w:t xml:space="preserve"> </w:t>
      </w:r>
      <w:r w:rsidRPr="005A2D07">
        <w:t>KLAX Response</w:t>
      </w:r>
      <w:r>
        <w:t xml:space="preserve"> at 3; File No. </w:t>
      </w:r>
      <w:r w:rsidRPr="005A2D07">
        <w:t>BRCT-20050201BHM</w:t>
      </w:r>
      <w:r>
        <w:t>.</w:t>
      </w:r>
    </w:p>
  </w:footnote>
  <w:footnote w:id="12">
    <w:p w:rsidR="00016433" w:rsidRDefault="00016433" w:rsidP="00C537AB">
      <w:pPr>
        <w:pStyle w:val="FootnoteText"/>
      </w:pPr>
      <w:r>
        <w:rPr>
          <w:rStyle w:val="FootnoteReference"/>
        </w:rPr>
        <w:footnoteRef/>
      </w:r>
      <w:r>
        <w:t xml:space="preserve"> </w:t>
      </w:r>
      <w:r w:rsidRPr="006A7053">
        <w:rPr>
          <w:i/>
        </w:rPr>
        <w:t>Id.</w:t>
      </w:r>
      <w:r>
        <w:t xml:space="preserve"> at 1-2.</w:t>
      </w:r>
    </w:p>
  </w:footnote>
  <w:footnote w:id="13">
    <w:p w:rsidR="00016433" w:rsidRPr="00D44D30" w:rsidRDefault="00016433" w:rsidP="00C537AB">
      <w:pPr>
        <w:pStyle w:val="ParaNum"/>
        <w:widowControl/>
        <w:numPr>
          <w:ilvl w:val="0"/>
          <w:numId w:val="0"/>
        </w:numPr>
        <w:tabs>
          <w:tab w:val="num" w:pos="1440"/>
        </w:tabs>
        <w:spacing w:after="120"/>
        <w:rPr>
          <w:spacing w:val="-2"/>
          <w:sz w:val="20"/>
        </w:rPr>
      </w:pPr>
      <w:r w:rsidRPr="00D44D30">
        <w:rPr>
          <w:rStyle w:val="FootnoteReference"/>
          <w:sz w:val="20"/>
        </w:rPr>
        <w:footnoteRef/>
      </w:r>
      <w:r>
        <w:rPr>
          <w:i/>
          <w:sz w:val="20"/>
        </w:rPr>
        <w:t xml:space="preserve"> </w:t>
      </w:r>
      <w:r w:rsidR="00982D06">
        <w:rPr>
          <w:i/>
          <w:sz w:val="20"/>
        </w:rPr>
        <w:t>March 2012 PN</w:t>
      </w:r>
      <w:r w:rsidR="00982D06">
        <w:rPr>
          <w:sz w:val="20"/>
        </w:rPr>
        <w:t>,</w:t>
      </w:r>
      <w:r w:rsidRPr="00D44D30">
        <w:rPr>
          <w:sz w:val="20"/>
        </w:rPr>
        <w:t xml:space="preserve"> 27 FCC Rcd </w:t>
      </w:r>
      <w:r w:rsidR="00982D06">
        <w:rPr>
          <w:sz w:val="20"/>
        </w:rPr>
        <w:t>at</w:t>
      </w:r>
      <w:r w:rsidRPr="00D44D30">
        <w:rPr>
          <w:sz w:val="20"/>
        </w:rPr>
        <w:t xml:space="preserve"> 246</w:t>
      </w:r>
      <w:r w:rsidR="00982D06">
        <w:rPr>
          <w:sz w:val="20"/>
        </w:rPr>
        <w:t>1</w:t>
      </w:r>
      <w:r w:rsidRPr="00D44D30">
        <w:rPr>
          <w:sz w:val="20"/>
        </w:rPr>
        <w:t xml:space="preserve">.  </w:t>
      </w:r>
    </w:p>
  </w:footnote>
  <w:footnote w:id="14">
    <w:p w:rsidR="00016433" w:rsidRDefault="00016433" w:rsidP="00C537AB">
      <w:pPr>
        <w:pStyle w:val="FootnoteText"/>
      </w:pPr>
      <w:r>
        <w:rPr>
          <w:rStyle w:val="FootnoteReference"/>
        </w:rPr>
        <w:footnoteRef/>
      </w:r>
      <w:r>
        <w:t xml:space="preserve"> </w:t>
      </w:r>
      <w:r w:rsidRPr="00EB3E59">
        <w:rPr>
          <w:i/>
        </w:rPr>
        <w:t>See</w:t>
      </w:r>
      <w:r>
        <w:t xml:space="preserve"> </w:t>
      </w:r>
      <w:r w:rsidRPr="00B56845">
        <w:t>47 U.S.C. § 307(c)(3)</w:t>
      </w:r>
      <w:r>
        <w:t>.</w:t>
      </w:r>
    </w:p>
  </w:footnote>
  <w:footnote w:id="15">
    <w:p w:rsidR="00016433" w:rsidRPr="00C537AB" w:rsidRDefault="00016433" w:rsidP="00C537AB">
      <w:pPr>
        <w:pStyle w:val="FootnoteText"/>
      </w:pPr>
      <w:r w:rsidRPr="00C537AB">
        <w:rPr>
          <w:rStyle w:val="FootnoteReference"/>
        </w:rPr>
        <w:footnoteRef/>
      </w:r>
      <w:r w:rsidRPr="00C537AB">
        <w:t xml:space="preserve"> 47 U.S.C. § 307(c)(1) [emphasis added]. </w:t>
      </w:r>
    </w:p>
  </w:footnote>
  <w:footnote w:id="16">
    <w:p w:rsidR="00016433" w:rsidRPr="00C537AB" w:rsidRDefault="00016433" w:rsidP="00C537AB">
      <w:pPr>
        <w:pStyle w:val="FootnoteText"/>
      </w:pPr>
      <w:r w:rsidRPr="00C537AB">
        <w:rPr>
          <w:rStyle w:val="FootnoteReference"/>
        </w:rPr>
        <w:footnoteRef/>
      </w:r>
      <w:r w:rsidRPr="00C537AB">
        <w:t xml:space="preserve"> 47 U.S.C. § 301. </w:t>
      </w:r>
    </w:p>
  </w:footnote>
  <w:footnote w:id="17">
    <w:p w:rsidR="00016433" w:rsidRPr="00C537AB" w:rsidRDefault="00016433" w:rsidP="00C537AB">
      <w:pPr>
        <w:pStyle w:val="FootnoteText"/>
      </w:pPr>
      <w:r w:rsidRPr="00C537AB">
        <w:rPr>
          <w:rStyle w:val="FootnoteReference"/>
        </w:rPr>
        <w:footnoteRef/>
      </w:r>
      <w:r w:rsidRPr="00C537AB">
        <w:t xml:space="preserve"> </w:t>
      </w:r>
      <w:r>
        <w:rPr>
          <w:i/>
        </w:rPr>
        <w:t>March 2012 PN</w:t>
      </w:r>
      <w:r w:rsidRPr="00C537AB">
        <w:t>, 27 FCC Rcd at 2461.</w:t>
      </w:r>
    </w:p>
  </w:footnote>
  <w:footnote w:id="18">
    <w:p w:rsidR="00016433" w:rsidRDefault="00016433">
      <w:pPr>
        <w:pStyle w:val="FootnoteText"/>
      </w:pPr>
      <w:r>
        <w:rPr>
          <w:rStyle w:val="FootnoteReference"/>
        </w:rPr>
        <w:footnoteRef/>
      </w:r>
      <w:r>
        <w:t xml:space="preserve"> </w:t>
      </w:r>
      <w:r w:rsidRPr="00C537AB">
        <w:t xml:space="preserve">KLAX Response at </w:t>
      </w:r>
      <w:r>
        <w:t>3</w:t>
      </w:r>
      <w:r w:rsidRPr="00C537AB">
        <w:t>.</w:t>
      </w:r>
    </w:p>
  </w:footnote>
  <w:footnote w:id="19">
    <w:p w:rsidR="00016433" w:rsidRPr="00C537AB" w:rsidRDefault="00016433" w:rsidP="00C537AB">
      <w:pPr>
        <w:pStyle w:val="FootnoteText"/>
      </w:pPr>
      <w:r w:rsidRPr="00C537AB">
        <w:rPr>
          <w:rStyle w:val="FootnoteReference"/>
        </w:rPr>
        <w:footnoteRef/>
      </w:r>
      <w:r w:rsidRPr="00C537AB">
        <w:t xml:space="preserve"> </w:t>
      </w:r>
      <w:r w:rsidRPr="006A7053">
        <w:rPr>
          <w:i/>
        </w:rPr>
        <w:t>Id.</w:t>
      </w:r>
      <w:r>
        <w:t xml:space="preserve"> </w:t>
      </w:r>
      <w:r w:rsidRPr="00C537AB">
        <w:t>at 5, fn. 2.</w:t>
      </w:r>
    </w:p>
  </w:footnote>
  <w:footnote w:id="20">
    <w:p w:rsidR="00016433" w:rsidRPr="00C537AB" w:rsidRDefault="00016433" w:rsidP="00C537AB">
      <w:pPr>
        <w:pStyle w:val="FootnoteText"/>
      </w:pPr>
      <w:r w:rsidRPr="00C537AB">
        <w:rPr>
          <w:rStyle w:val="FootnoteReference"/>
        </w:rPr>
        <w:footnoteRef/>
      </w:r>
      <w:r w:rsidRPr="00C537AB">
        <w:t xml:space="preserve"> </w:t>
      </w:r>
      <w:r w:rsidRPr="00200B29">
        <w:t>Federal Communications Commission Daily Digest, Vol. 21 No. 48 (rel. Mar. 12, 2012) (accessible at http://transition.fcc.gov/Daily_Releases/Daily_Digest/2012/dd120312.html).</w:t>
      </w:r>
    </w:p>
  </w:footnote>
  <w:footnote w:id="21">
    <w:p w:rsidR="00016433" w:rsidRPr="00C537AB" w:rsidRDefault="00016433" w:rsidP="00C537AB">
      <w:pPr>
        <w:pStyle w:val="FootnoteText"/>
      </w:pPr>
      <w:r w:rsidRPr="00C537AB">
        <w:rPr>
          <w:rStyle w:val="FootnoteReference"/>
        </w:rPr>
        <w:footnoteRef/>
      </w:r>
      <w:r w:rsidRPr="00C537AB">
        <w:t xml:space="preserve"> </w:t>
      </w:r>
      <w:r w:rsidRPr="00C537AB">
        <w:rPr>
          <w:rStyle w:val="emphi1"/>
        </w:rPr>
        <w:t>See, e.g.</w:t>
      </w:r>
      <w:r w:rsidRPr="00C537AB">
        <w:t xml:space="preserve">, </w:t>
      </w:r>
      <w:r w:rsidRPr="00C537AB">
        <w:rPr>
          <w:rStyle w:val="emphi1"/>
        </w:rPr>
        <w:t>High Country Communications,</w:t>
      </w:r>
      <w:r w:rsidRPr="00C537AB">
        <w:t xml:space="preserve"> </w:t>
      </w:r>
      <w:r w:rsidRPr="00C537AB">
        <w:rPr>
          <w:rStyle w:val="emphi1"/>
        </w:rPr>
        <w:t>Memorandum Opinion and Order</w:t>
      </w:r>
      <w:r w:rsidRPr="00C537AB">
        <w:t>, 4 FCC Rcd 6237 (1989).</w:t>
      </w:r>
    </w:p>
  </w:footnote>
  <w:footnote w:id="22">
    <w:p w:rsidR="00016433" w:rsidRPr="006A7053" w:rsidRDefault="00016433" w:rsidP="00C537AB">
      <w:pPr>
        <w:pStyle w:val="FootnoteText"/>
      </w:pPr>
      <w:r w:rsidRPr="006A7053">
        <w:rPr>
          <w:rStyle w:val="FootnoteReference"/>
        </w:rPr>
        <w:footnoteRef/>
      </w:r>
      <w:r w:rsidRPr="006A7053">
        <w:t xml:space="preserve"> KLAX Response at </w:t>
      </w:r>
      <w:r w:rsidR="006A7053" w:rsidRPr="006A7053">
        <w:t>4-5.</w:t>
      </w:r>
    </w:p>
  </w:footnote>
  <w:footnote w:id="23">
    <w:p w:rsidR="00016433" w:rsidRDefault="00016433" w:rsidP="00C537AB">
      <w:pPr>
        <w:pStyle w:val="FootnoteText"/>
      </w:pPr>
      <w:r>
        <w:rPr>
          <w:rStyle w:val="FootnoteReference"/>
        </w:rPr>
        <w:footnoteRef/>
      </w:r>
      <w:r>
        <w:t xml:space="preserve"> </w:t>
      </w:r>
      <w:r w:rsidRPr="00C537AB">
        <w:rPr>
          <w:i/>
        </w:rPr>
        <w:t>See supra</w:t>
      </w:r>
      <w:r w:rsidR="00E51473">
        <w:t xml:space="preserve">, </w:t>
      </w:r>
      <w:r>
        <w:t>paras. 6-7.</w:t>
      </w:r>
    </w:p>
  </w:footnote>
  <w:footnote w:id="24">
    <w:p w:rsidR="00016433" w:rsidRPr="00C537AB" w:rsidRDefault="00016433" w:rsidP="00C537AB">
      <w:pPr>
        <w:pStyle w:val="FootnoteText"/>
      </w:pPr>
      <w:r w:rsidRPr="00C537AB">
        <w:rPr>
          <w:rStyle w:val="FootnoteReference"/>
        </w:rPr>
        <w:footnoteRef/>
      </w:r>
      <w:r w:rsidRPr="00C537AB">
        <w:t xml:space="preserve"> KLAX Response at 5. </w:t>
      </w:r>
    </w:p>
  </w:footnote>
  <w:footnote w:id="25">
    <w:p w:rsidR="00016433" w:rsidRDefault="00016433" w:rsidP="00C537AB">
      <w:pPr>
        <w:pStyle w:val="FootnoteText"/>
      </w:pPr>
      <w:r>
        <w:rPr>
          <w:rStyle w:val="FootnoteReference"/>
        </w:rPr>
        <w:footnoteRef/>
      </w:r>
      <w:r>
        <w:t xml:space="preserve"> </w:t>
      </w:r>
      <w:r w:rsidRPr="00C537AB">
        <w:rPr>
          <w:i/>
        </w:rPr>
        <w:t>Id.</w:t>
      </w:r>
      <w:r>
        <w:t xml:space="preserve"> at 2.</w:t>
      </w:r>
    </w:p>
  </w:footnote>
  <w:footnote w:id="26">
    <w:p w:rsidR="00E51473" w:rsidRPr="00C537AB" w:rsidRDefault="00E51473" w:rsidP="00E51473">
      <w:pPr>
        <w:autoSpaceDE w:val="0"/>
        <w:autoSpaceDN w:val="0"/>
        <w:adjustRightInd w:val="0"/>
        <w:spacing w:after="120"/>
        <w:rPr>
          <w:sz w:val="20"/>
        </w:rPr>
      </w:pPr>
      <w:r w:rsidRPr="00C537AB">
        <w:rPr>
          <w:rStyle w:val="FootnoteReference"/>
          <w:sz w:val="20"/>
        </w:rPr>
        <w:footnoteRef/>
      </w:r>
      <w:r w:rsidRPr="00C537AB">
        <w:rPr>
          <w:sz w:val="20"/>
        </w:rPr>
        <w:t xml:space="preserve"> </w:t>
      </w:r>
      <w:r w:rsidRPr="00C537AB">
        <w:rPr>
          <w:i/>
          <w:sz w:val="20"/>
        </w:rPr>
        <w:t>See</w:t>
      </w:r>
      <w:r>
        <w:rPr>
          <w:i/>
          <w:sz w:val="20"/>
        </w:rPr>
        <w:t xml:space="preserve"> </w:t>
      </w:r>
      <w:r w:rsidRPr="00C537AB">
        <w:rPr>
          <w:i/>
          <w:sz w:val="20"/>
        </w:rPr>
        <w:t>Communications Act of 1934</w:t>
      </w:r>
      <w:r w:rsidRPr="00C537AB">
        <w:rPr>
          <w:sz w:val="20"/>
        </w:rPr>
        <w:t>, PL 73-416, § 307, 48 Stat</w:t>
      </w:r>
      <w:r>
        <w:rPr>
          <w:sz w:val="20"/>
        </w:rPr>
        <w:t>.</w:t>
      </w:r>
      <w:r w:rsidRPr="00C537AB">
        <w:rPr>
          <w:sz w:val="20"/>
        </w:rPr>
        <w:t xml:space="preserve"> 1083, 1084 (1934)(“Upon the expiration of any license, upon application therefor, a renewal of such license may be granted from time to time for a term of not to exceed three years in the case of broadcasting licenses)</w:t>
      </w:r>
      <w:r>
        <w:rPr>
          <w:sz w:val="20"/>
        </w:rPr>
        <w:t>.  The provision of the Act went through numerous amendments following its adoption in 1934, but none of the amendments modified the statutory language in a manner that would tie the license term on renewal to the expiration date of the prior license. S</w:t>
      </w:r>
      <w:r w:rsidRPr="00C537AB">
        <w:rPr>
          <w:i/>
          <w:sz w:val="20"/>
        </w:rPr>
        <w:t>ee</w:t>
      </w:r>
      <w:r>
        <w:rPr>
          <w:i/>
          <w:sz w:val="20"/>
        </w:rPr>
        <w:t xml:space="preserve"> e.g., </w:t>
      </w:r>
      <w:r w:rsidRPr="00C537AB">
        <w:rPr>
          <w:i/>
          <w:sz w:val="20"/>
        </w:rPr>
        <w:t>Communications Act Amendments of 1952</w:t>
      </w:r>
      <w:r>
        <w:rPr>
          <w:sz w:val="20"/>
        </w:rPr>
        <w:t xml:space="preserve">, PL 82-554, § 5, 66 Stat. 711, 714 (1952); </w:t>
      </w:r>
      <w:r w:rsidRPr="00C537AB">
        <w:rPr>
          <w:i/>
          <w:sz w:val="20"/>
        </w:rPr>
        <w:t>Communications Act Amendments of 1960</w:t>
      </w:r>
      <w:r>
        <w:rPr>
          <w:sz w:val="20"/>
        </w:rPr>
        <w:t xml:space="preserve">, PL 86-752, § 3, 74 Stat. 889 (1960); </w:t>
      </w:r>
      <w:r w:rsidRPr="00C537AB">
        <w:rPr>
          <w:i/>
          <w:sz w:val="20"/>
        </w:rPr>
        <w:t>Omnibus Budget Reconciliation Act of 1981</w:t>
      </w:r>
      <w:r>
        <w:rPr>
          <w:sz w:val="20"/>
        </w:rPr>
        <w:t xml:space="preserve">, PL97-35, § 1241(a), 95 Stat. 357, 736 (1981); </w:t>
      </w:r>
      <w:r w:rsidRPr="00C537AB">
        <w:rPr>
          <w:i/>
          <w:sz w:val="20"/>
        </w:rPr>
        <w:t>Communications Amendments Act of 1982</w:t>
      </w:r>
      <w:r>
        <w:rPr>
          <w:sz w:val="20"/>
        </w:rPr>
        <w:t>, PL 97-259, §§ 112, 113(a), 96 Stat. 1087, 1093 (1982).</w:t>
      </w:r>
    </w:p>
  </w:footnote>
  <w:footnote w:id="27">
    <w:p w:rsidR="00016433" w:rsidRPr="00C537AB" w:rsidRDefault="00016433" w:rsidP="00C537AB">
      <w:pPr>
        <w:spacing w:after="120"/>
        <w:rPr>
          <w:sz w:val="20"/>
        </w:rPr>
      </w:pPr>
      <w:r w:rsidRPr="00C537AB">
        <w:rPr>
          <w:rStyle w:val="FootnoteReference"/>
          <w:sz w:val="20"/>
        </w:rPr>
        <w:footnoteRef/>
      </w:r>
      <w:r w:rsidRPr="00C537AB">
        <w:rPr>
          <w:sz w:val="20"/>
        </w:rPr>
        <w:t xml:space="preserve"> </w:t>
      </w:r>
      <w:r w:rsidRPr="00C537AB">
        <w:rPr>
          <w:i/>
          <w:sz w:val="20"/>
        </w:rPr>
        <w:t>Telecommunications Act of 1996</w:t>
      </w:r>
      <w:r w:rsidRPr="00C537AB">
        <w:rPr>
          <w:sz w:val="20"/>
        </w:rPr>
        <w:t>, PL 104–104, § 203, 110 Stat 56 (1996)</w:t>
      </w:r>
      <w:r w:rsidR="00E51473">
        <w:rPr>
          <w:sz w:val="20"/>
        </w:rPr>
        <w:t xml:space="preserve">(codified at </w:t>
      </w:r>
      <w:r w:rsidRPr="00C537AB">
        <w:rPr>
          <w:sz w:val="20"/>
        </w:rPr>
        <w:t>47 U.S.C. § 307(c)(1</w:t>
      </w:r>
      <w:r w:rsidR="00E51473">
        <w:rPr>
          <w:sz w:val="20"/>
        </w:rPr>
        <w:t>))</w:t>
      </w:r>
      <w:r w:rsidRPr="00C537AB">
        <w:rPr>
          <w:sz w:val="20"/>
        </w:rPr>
        <w:t>.</w:t>
      </w:r>
    </w:p>
  </w:footnote>
  <w:footnote w:id="28">
    <w:p w:rsidR="00016433" w:rsidRPr="00377506" w:rsidRDefault="00016433" w:rsidP="00C537AB">
      <w:pPr>
        <w:pStyle w:val="FootnoteText"/>
      </w:pPr>
      <w:r w:rsidRPr="00C537AB">
        <w:rPr>
          <w:rStyle w:val="FootnoteReference"/>
        </w:rPr>
        <w:footnoteRef/>
      </w:r>
      <w:r w:rsidRPr="00C537AB">
        <w:t xml:space="preserve"> 47 U.S.C. § 503(b); 47 C.F.R. §§ 0.61(f)(1)</w:t>
      </w:r>
      <w:r w:rsidR="003608AA">
        <w:t>,</w:t>
      </w:r>
      <w:r w:rsidRPr="00C537AB">
        <w:t xml:space="preserve"> 1.80(a)(1)</w:t>
      </w:r>
      <w:r w:rsidR="003608AA">
        <w:t>,</w:t>
      </w:r>
      <w:r w:rsidRPr="00C537AB">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F2" w:rsidRDefault="00292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33" w:rsidRDefault="00016433" w:rsidP="008571F7">
    <w:pPr>
      <w:pStyle w:val="Header"/>
      <w:numPr>
        <w:ilvl w:val="0"/>
        <w:numId w:val="0"/>
      </w:numPr>
      <w:tabs>
        <w:tab w:val="clear" w:pos="4320"/>
        <w:tab w:val="clear" w:pos="8640"/>
        <w:tab w:val="center" w:pos="4680"/>
        <w:tab w:val="right" w:pos="9360"/>
      </w:tabs>
      <w:ind w:left="900"/>
      <w:rPr>
        <w:b/>
      </w:rPr>
    </w:pPr>
    <w:r>
      <w:rPr>
        <w:b/>
      </w:rPr>
      <w:tab/>
      <w:t>Feder</w:t>
    </w:r>
    <w:r w:rsidR="00A356E7">
      <w:rPr>
        <w:b/>
      </w:rPr>
      <w:t>al Communications Commission</w:t>
    </w:r>
    <w:r w:rsidR="00A356E7">
      <w:rPr>
        <w:b/>
      </w:rPr>
      <w:tab/>
      <w:t>DA</w:t>
    </w:r>
    <w:r>
      <w:rPr>
        <w:b/>
      </w:rPr>
      <w:t xml:space="preserve"> 14-</w:t>
    </w:r>
    <w:r w:rsidR="00A356E7">
      <w:rPr>
        <w:b/>
      </w:rPr>
      <w:t>1758</w:t>
    </w:r>
    <w:r>
      <w:rPr>
        <w:b/>
      </w:rPr>
      <w:t xml:space="preserve"> </w:t>
    </w:r>
  </w:p>
  <w:p w:rsidR="00016433" w:rsidRDefault="00A404E1" w:rsidP="008571F7">
    <w:pPr>
      <w:pStyle w:val="Header"/>
      <w:numPr>
        <w:ilvl w:val="0"/>
        <w:numId w:val="0"/>
      </w:numPr>
      <w:tabs>
        <w:tab w:val="clear" w:pos="8640"/>
        <w:tab w:val="right" w:pos="9360"/>
      </w:tabs>
      <w:ind w:left="900"/>
    </w:pPr>
    <w:r>
      <w:rPr>
        <w:noProof/>
      </w:rPr>
      <w:pict>
        <v:line id="_x0000_s2053" style="position:absolute;left:0;text-align:left;z-index:251658240" from="0,1.75pt" to="468pt,1.75pt" o:allowincell="f" strokeweight="1.5pt"/>
      </w:pict>
    </w:r>
  </w:p>
  <w:p w:rsidR="00016433" w:rsidRDefault="00016433" w:rsidP="008571F7">
    <w:pPr>
      <w:pStyle w:val="Header"/>
      <w:numPr>
        <w:ilvl w:val="0"/>
        <w:numId w:val="0"/>
      </w:numPr>
      <w:ind w:left="9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33" w:rsidRDefault="00016433" w:rsidP="00A356E7">
    <w:pPr>
      <w:pStyle w:val="Header"/>
      <w:numPr>
        <w:ilvl w:val="0"/>
        <w:numId w:val="0"/>
      </w:numPr>
      <w:tabs>
        <w:tab w:val="clear" w:pos="4320"/>
        <w:tab w:val="clear" w:pos="8640"/>
        <w:tab w:val="center" w:pos="4680"/>
        <w:tab w:val="right" w:pos="9360"/>
      </w:tabs>
      <w:ind w:left="900"/>
      <w:jc w:val="right"/>
      <w:rPr>
        <w:b/>
      </w:rPr>
    </w:pPr>
    <w:r>
      <w:rPr>
        <w:b/>
      </w:rPr>
      <w:t>Federal Communications Commission</w:t>
    </w:r>
    <w:r>
      <w:rPr>
        <w:b/>
      </w:rPr>
      <w:tab/>
      <w:t xml:space="preserve">                         </w:t>
    </w:r>
    <w:r w:rsidR="00A356E7">
      <w:rPr>
        <w:b/>
      </w:rPr>
      <w:t>DA</w:t>
    </w:r>
    <w:r>
      <w:rPr>
        <w:b/>
      </w:rPr>
      <w:t xml:space="preserve"> 14-</w:t>
    </w:r>
    <w:r w:rsidR="00A356E7">
      <w:rPr>
        <w:b/>
      </w:rPr>
      <w:t>1758</w:t>
    </w:r>
  </w:p>
  <w:p w:rsidR="00016433" w:rsidRDefault="00A404E1" w:rsidP="008571F7">
    <w:pPr>
      <w:pStyle w:val="Header"/>
      <w:numPr>
        <w:ilvl w:val="0"/>
        <w:numId w:val="0"/>
      </w:numPr>
      <w:tabs>
        <w:tab w:val="clear" w:pos="8640"/>
        <w:tab w:val="right" w:pos="9360"/>
      </w:tabs>
      <w:ind w:left="900"/>
    </w:pPr>
    <w:r>
      <w:rPr>
        <w:noProof/>
      </w:rPr>
      <w:pict>
        <v:line id="_x0000_s2052" style="position:absolute;left:0;text-align:left;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83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D5700E9"/>
    <w:multiLevelType w:val="singleLevel"/>
    <w:tmpl w:val="22A45240"/>
    <w:lvl w:ilvl="0">
      <w:start w:val="2"/>
      <w:numFmt w:val="upperRoman"/>
      <w:lvlText w:val=""/>
      <w:lvlJc w:val="left"/>
      <w:pPr>
        <w:ind w:left="720" w:hanging="360"/>
      </w:pPr>
      <w:rPr>
        <w:rFonts w:hint="default"/>
        <w:b/>
        <w:sz w:val="22"/>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2793DD4"/>
    <w:multiLevelType w:val="hybridMultilevel"/>
    <w:tmpl w:val="AD88E74C"/>
    <w:lvl w:ilvl="0" w:tplc="CEA6562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182925"/>
    <w:multiLevelType w:val="singleLevel"/>
    <w:tmpl w:val="CE483826"/>
    <w:lvl w:ilvl="0">
      <w:start w:val="1"/>
      <w:numFmt w:val="decimal"/>
      <w:pStyle w:val="Header"/>
      <w:lvlText w:val="%1."/>
      <w:lvlJc w:val="left"/>
      <w:pPr>
        <w:tabs>
          <w:tab w:val="num" w:pos="1260"/>
        </w:tabs>
        <w:ind w:left="180" w:firstLine="720"/>
      </w:pPr>
      <w:rPr>
        <w:b w:val="0"/>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5"/>
  </w:num>
  <w:num w:numId="4">
    <w:abstractNumId w:val="18"/>
  </w:num>
  <w:num w:numId="5">
    <w:abstractNumId w:val="6"/>
  </w:num>
  <w:num w:numId="6">
    <w:abstractNumId w:val="21"/>
  </w:num>
  <w:num w:numId="7">
    <w:abstractNumId w:val="14"/>
  </w:num>
  <w:num w:numId="8">
    <w:abstractNumId w:val="7"/>
  </w:num>
  <w:num w:numId="9">
    <w:abstractNumId w:val="20"/>
  </w:num>
  <w:num w:numId="10">
    <w:abstractNumId w:val="12"/>
  </w:num>
  <w:num w:numId="11">
    <w:abstractNumId w:val="11"/>
  </w:num>
  <w:num w:numId="12">
    <w:abstractNumId w:val="8"/>
  </w:num>
  <w:num w:numId="13">
    <w:abstractNumId w:val="13"/>
  </w:num>
  <w:num w:numId="14">
    <w:abstractNumId w:val="19"/>
  </w:num>
  <w:num w:numId="15">
    <w:abstractNumId w:val="3"/>
  </w:num>
  <w:num w:numId="16">
    <w:abstractNumId w:val="4"/>
  </w:num>
  <w:num w:numId="17">
    <w:abstractNumId w:val="9"/>
  </w:num>
  <w:num w:numId="18">
    <w:abstractNumId w:val="1"/>
  </w:num>
  <w:num w:numId="19">
    <w:abstractNumId w:val="10"/>
  </w:num>
  <w:num w:numId="20">
    <w:abstractNumId w:val="15"/>
  </w:num>
  <w:num w:numId="21">
    <w:abstractNumId w:val="17"/>
  </w:num>
  <w:num w:numId="22">
    <w:abstractNumId w:val="13"/>
    <w:lvlOverride w:ilvl="0">
      <w:startOverride w:val="1"/>
    </w:lvlOverride>
  </w:num>
  <w:num w:numId="23">
    <w:abstractNumId w:val="2"/>
  </w:num>
  <w:num w:numId="24">
    <w:abstractNumId w:val="22"/>
  </w:num>
  <w:num w:numId="25">
    <w:abstractNumId w:val="16"/>
  </w:num>
  <w:num w:numId="26">
    <w:abstractNumId w:val="13"/>
    <w:lvlOverride w:ilvl="0">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9D6"/>
    <w:rsid w:val="0000665D"/>
    <w:rsid w:val="00012DEE"/>
    <w:rsid w:val="00016433"/>
    <w:rsid w:val="00016D66"/>
    <w:rsid w:val="00024A15"/>
    <w:rsid w:val="0002719F"/>
    <w:rsid w:val="00035EA0"/>
    <w:rsid w:val="00045F2B"/>
    <w:rsid w:val="00046618"/>
    <w:rsid w:val="000603DD"/>
    <w:rsid w:val="00071499"/>
    <w:rsid w:val="00083826"/>
    <w:rsid w:val="00086EC4"/>
    <w:rsid w:val="000904B8"/>
    <w:rsid w:val="00092982"/>
    <w:rsid w:val="00095D22"/>
    <w:rsid w:val="000A16E5"/>
    <w:rsid w:val="000B0D0E"/>
    <w:rsid w:val="000B38B4"/>
    <w:rsid w:val="000B7A7E"/>
    <w:rsid w:val="000E0E40"/>
    <w:rsid w:val="000E3CC6"/>
    <w:rsid w:val="000F4016"/>
    <w:rsid w:val="000F6D2C"/>
    <w:rsid w:val="000F7026"/>
    <w:rsid w:val="0011223A"/>
    <w:rsid w:val="00115B83"/>
    <w:rsid w:val="001329EB"/>
    <w:rsid w:val="001458F9"/>
    <w:rsid w:val="00152317"/>
    <w:rsid w:val="001568AC"/>
    <w:rsid w:val="001650FA"/>
    <w:rsid w:val="00170C9B"/>
    <w:rsid w:val="00184B63"/>
    <w:rsid w:val="00192D81"/>
    <w:rsid w:val="00197561"/>
    <w:rsid w:val="00197847"/>
    <w:rsid w:val="001A7DE8"/>
    <w:rsid w:val="001B3213"/>
    <w:rsid w:val="001B7EF9"/>
    <w:rsid w:val="001C2BE5"/>
    <w:rsid w:val="001E6219"/>
    <w:rsid w:val="001F087A"/>
    <w:rsid w:val="00211F6B"/>
    <w:rsid w:val="00217699"/>
    <w:rsid w:val="00227302"/>
    <w:rsid w:val="00231B1E"/>
    <w:rsid w:val="00237E66"/>
    <w:rsid w:val="00260FF7"/>
    <w:rsid w:val="002741B5"/>
    <w:rsid w:val="002768FD"/>
    <w:rsid w:val="00280213"/>
    <w:rsid w:val="002862E3"/>
    <w:rsid w:val="002921F2"/>
    <w:rsid w:val="0029717E"/>
    <w:rsid w:val="002E19D6"/>
    <w:rsid w:val="002F291C"/>
    <w:rsid w:val="002F35CB"/>
    <w:rsid w:val="002F646B"/>
    <w:rsid w:val="002F6533"/>
    <w:rsid w:val="00302A2E"/>
    <w:rsid w:val="00302C86"/>
    <w:rsid w:val="00305E4A"/>
    <w:rsid w:val="003324B4"/>
    <w:rsid w:val="00337687"/>
    <w:rsid w:val="00345B8A"/>
    <w:rsid w:val="003608AA"/>
    <w:rsid w:val="00365637"/>
    <w:rsid w:val="00365E05"/>
    <w:rsid w:val="00370B50"/>
    <w:rsid w:val="00375CE6"/>
    <w:rsid w:val="00377506"/>
    <w:rsid w:val="003963AC"/>
    <w:rsid w:val="003A19FB"/>
    <w:rsid w:val="003B4FA1"/>
    <w:rsid w:val="003B5688"/>
    <w:rsid w:val="003C35F0"/>
    <w:rsid w:val="003D5E15"/>
    <w:rsid w:val="003D6BE1"/>
    <w:rsid w:val="003E04D6"/>
    <w:rsid w:val="003E3A6A"/>
    <w:rsid w:val="003E6093"/>
    <w:rsid w:val="003F100C"/>
    <w:rsid w:val="0041378C"/>
    <w:rsid w:val="004241F0"/>
    <w:rsid w:val="00425F57"/>
    <w:rsid w:val="0042760D"/>
    <w:rsid w:val="00430B9A"/>
    <w:rsid w:val="0043535E"/>
    <w:rsid w:val="004646EE"/>
    <w:rsid w:val="0046646D"/>
    <w:rsid w:val="004674E6"/>
    <w:rsid w:val="00472B7C"/>
    <w:rsid w:val="00491723"/>
    <w:rsid w:val="004A62B4"/>
    <w:rsid w:val="004B68BE"/>
    <w:rsid w:val="004B6DBB"/>
    <w:rsid w:val="004C1100"/>
    <w:rsid w:val="004E3E8B"/>
    <w:rsid w:val="004F0A06"/>
    <w:rsid w:val="004F4059"/>
    <w:rsid w:val="005056F2"/>
    <w:rsid w:val="00517297"/>
    <w:rsid w:val="0052640E"/>
    <w:rsid w:val="00530EAA"/>
    <w:rsid w:val="0053577E"/>
    <w:rsid w:val="005453B1"/>
    <w:rsid w:val="005528E5"/>
    <w:rsid w:val="00565354"/>
    <w:rsid w:val="00577126"/>
    <w:rsid w:val="00583DD3"/>
    <w:rsid w:val="005847A5"/>
    <w:rsid w:val="0058531F"/>
    <w:rsid w:val="005A24B2"/>
    <w:rsid w:val="005A2D07"/>
    <w:rsid w:val="005A4B31"/>
    <w:rsid w:val="005B061C"/>
    <w:rsid w:val="005B10BA"/>
    <w:rsid w:val="005D235B"/>
    <w:rsid w:val="005E75C1"/>
    <w:rsid w:val="00615E41"/>
    <w:rsid w:val="0061755D"/>
    <w:rsid w:val="0062395C"/>
    <w:rsid w:val="00624609"/>
    <w:rsid w:val="00634302"/>
    <w:rsid w:val="00635AF3"/>
    <w:rsid w:val="006448C9"/>
    <w:rsid w:val="00647D2C"/>
    <w:rsid w:val="00661974"/>
    <w:rsid w:val="00671967"/>
    <w:rsid w:val="00696FFB"/>
    <w:rsid w:val="006A2AF4"/>
    <w:rsid w:val="006A5662"/>
    <w:rsid w:val="006A7053"/>
    <w:rsid w:val="006B53D6"/>
    <w:rsid w:val="006C6B06"/>
    <w:rsid w:val="006D2817"/>
    <w:rsid w:val="006D3A31"/>
    <w:rsid w:val="006D48C3"/>
    <w:rsid w:val="006D7A63"/>
    <w:rsid w:val="006E4699"/>
    <w:rsid w:val="006E74D1"/>
    <w:rsid w:val="00711113"/>
    <w:rsid w:val="007130AF"/>
    <w:rsid w:val="00735164"/>
    <w:rsid w:val="00735933"/>
    <w:rsid w:val="007369A3"/>
    <w:rsid w:val="007377D2"/>
    <w:rsid w:val="00740FC0"/>
    <w:rsid w:val="00745A3B"/>
    <w:rsid w:val="00750148"/>
    <w:rsid w:val="00763A5F"/>
    <w:rsid w:val="00783FB3"/>
    <w:rsid w:val="00797921"/>
    <w:rsid w:val="007A00B0"/>
    <w:rsid w:val="007A5415"/>
    <w:rsid w:val="007B0760"/>
    <w:rsid w:val="007B61F8"/>
    <w:rsid w:val="007B6291"/>
    <w:rsid w:val="007C2B63"/>
    <w:rsid w:val="007C6ED9"/>
    <w:rsid w:val="007C75EC"/>
    <w:rsid w:val="007D2510"/>
    <w:rsid w:val="007D6B3E"/>
    <w:rsid w:val="007E5543"/>
    <w:rsid w:val="007E6C62"/>
    <w:rsid w:val="007F5ECB"/>
    <w:rsid w:val="007F70FE"/>
    <w:rsid w:val="00803438"/>
    <w:rsid w:val="0080767A"/>
    <w:rsid w:val="00846AB3"/>
    <w:rsid w:val="00847474"/>
    <w:rsid w:val="0085053C"/>
    <w:rsid w:val="008570BA"/>
    <w:rsid w:val="008571F7"/>
    <w:rsid w:val="008608B8"/>
    <w:rsid w:val="00876594"/>
    <w:rsid w:val="008802E2"/>
    <w:rsid w:val="00884033"/>
    <w:rsid w:val="0089349A"/>
    <w:rsid w:val="008A0B90"/>
    <w:rsid w:val="008A14F3"/>
    <w:rsid w:val="008A7921"/>
    <w:rsid w:val="008B2561"/>
    <w:rsid w:val="008C0648"/>
    <w:rsid w:val="008D54B2"/>
    <w:rsid w:val="008E1DB0"/>
    <w:rsid w:val="008E3BAB"/>
    <w:rsid w:val="008F1A7F"/>
    <w:rsid w:val="008F1F02"/>
    <w:rsid w:val="00902B8C"/>
    <w:rsid w:val="009140D8"/>
    <w:rsid w:val="00914D1C"/>
    <w:rsid w:val="00923DE2"/>
    <w:rsid w:val="009308E0"/>
    <w:rsid w:val="00933AAA"/>
    <w:rsid w:val="00934A45"/>
    <w:rsid w:val="0093503C"/>
    <w:rsid w:val="00945AD9"/>
    <w:rsid w:val="00954E74"/>
    <w:rsid w:val="0096344D"/>
    <w:rsid w:val="00966CD8"/>
    <w:rsid w:val="009672E2"/>
    <w:rsid w:val="00970BAD"/>
    <w:rsid w:val="00982D06"/>
    <w:rsid w:val="0098441B"/>
    <w:rsid w:val="009863B5"/>
    <w:rsid w:val="009937BF"/>
    <w:rsid w:val="009A1DC2"/>
    <w:rsid w:val="009A34DB"/>
    <w:rsid w:val="009B65BA"/>
    <w:rsid w:val="009E4793"/>
    <w:rsid w:val="00A005C7"/>
    <w:rsid w:val="00A05CD4"/>
    <w:rsid w:val="00A11BA3"/>
    <w:rsid w:val="00A20FA4"/>
    <w:rsid w:val="00A2204F"/>
    <w:rsid w:val="00A268DB"/>
    <w:rsid w:val="00A356E7"/>
    <w:rsid w:val="00A404E1"/>
    <w:rsid w:val="00A4253B"/>
    <w:rsid w:val="00A66CC5"/>
    <w:rsid w:val="00A67BD3"/>
    <w:rsid w:val="00A75B6E"/>
    <w:rsid w:val="00AB5A95"/>
    <w:rsid w:val="00AE3E98"/>
    <w:rsid w:val="00B1021C"/>
    <w:rsid w:val="00B13201"/>
    <w:rsid w:val="00B2193D"/>
    <w:rsid w:val="00B34F7C"/>
    <w:rsid w:val="00B35CFC"/>
    <w:rsid w:val="00B37FC7"/>
    <w:rsid w:val="00B47EC9"/>
    <w:rsid w:val="00B70232"/>
    <w:rsid w:val="00B72817"/>
    <w:rsid w:val="00B75D16"/>
    <w:rsid w:val="00B77EC3"/>
    <w:rsid w:val="00B908FC"/>
    <w:rsid w:val="00B968AB"/>
    <w:rsid w:val="00BB47D6"/>
    <w:rsid w:val="00BB6F8E"/>
    <w:rsid w:val="00BB7AB0"/>
    <w:rsid w:val="00BC28A2"/>
    <w:rsid w:val="00C11AA3"/>
    <w:rsid w:val="00C207D4"/>
    <w:rsid w:val="00C537AB"/>
    <w:rsid w:val="00C63419"/>
    <w:rsid w:val="00C636FD"/>
    <w:rsid w:val="00C67B81"/>
    <w:rsid w:val="00C75228"/>
    <w:rsid w:val="00CA44A5"/>
    <w:rsid w:val="00CB6FDB"/>
    <w:rsid w:val="00CC1AF2"/>
    <w:rsid w:val="00CE5550"/>
    <w:rsid w:val="00D06925"/>
    <w:rsid w:val="00D072DF"/>
    <w:rsid w:val="00D10899"/>
    <w:rsid w:val="00D1412C"/>
    <w:rsid w:val="00D15F6D"/>
    <w:rsid w:val="00D1706B"/>
    <w:rsid w:val="00D2460C"/>
    <w:rsid w:val="00D268C8"/>
    <w:rsid w:val="00D44D30"/>
    <w:rsid w:val="00D546E4"/>
    <w:rsid w:val="00D574D4"/>
    <w:rsid w:val="00D74154"/>
    <w:rsid w:val="00D7520A"/>
    <w:rsid w:val="00D86611"/>
    <w:rsid w:val="00D93DD3"/>
    <w:rsid w:val="00DA1D92"/>
    <w:rsid w:val="00DB1420"/>
    <w:rsid w:val="00DB3E1C"/>
    <w:rsid w:val="00DB582B"/>
    <w:rsid w:val="00DE1B0B"/>
    <w:rsid w:val="00DE2F41"/>
    <w:rsid w:val="00DF0038"/>
    <w:rsid w:val="00DF228A"/>
    <w:rsid w:val="00E01E69"/>
    <w:rsid w:val="00E14AA5"/>
    <w:rsid w:val="00E218CA"/>
    <w:rsid w:val="00E30F9B"/>
    <w:rsid w:val="00E34B18"/>
    <w:rsid w:val="00E42B85"/>
    <w:rsid w:val="00E43F65"/>
    <w:rsid w:val="00E50F61"/>
    <w:rsid w:val="00E51473"/>
    <w:rsid w:val="00E7286B"/>
    <w:rsid w:val="00E77CF3"/>
    <w:rsid w:val="00E87638"/>
    <w:rsid w:val="00E87A24"/>
    <w:rsid w:val="00E91D34"/>
    <w:rsid w:val="00E9237E"/>
    <w:rsid w:val="00E977D7"/>
    <w:rsid w:val="00EA6F53"/>
    <w:rsid w:val="00EB6B2E"/>
    <w:rsid w:val="00EC039C"/>
    <w:rsid w:val="00EC1A22"/>
    <w:rsid w:val="00EC2046"/>
    <w:rsid w:val="00ED0DB4"/>
    <w:rsid w:val="00EE0D16"/>
    <w:rsid w:val="00EF62E9"/>
    <w:rsid w:val="00EF6C06"/>
    <w:rsid w:val="00F05A13"/>
    <w:rsid w:val="00F10B46"/>
    <w:rsid w:val="00F207A9"/>
    <w:rsid w:val="00F331C8"/>
    <w:rsid w:val="00F37CB4"/>
    <w:rsid w:val="00F46FA2"/>
    <w:rsid w:val="00F53556"/>
    <w:rsid w:val="00F64054"/>
    <w:rsid w:val="00F64592"/>
    <w:rsid w:val="00F67CD9"/>
    <w:rsid w:val="00F71FC8"/>
    <w:rsid w:val="00F74887"/>
    <w:rsid w:val="00F76A0E"/>
    <w:rsid w:val="00F85776"/>
    <w:rsid w:val="00F91F7B"/>
    <w:rsid w:val="00FA5BB0"/>
    <w:rsid w:val="00FB42D3"/>
    <w:rsid w:val="00FB621F"/>
    <w:rsid w:val="00FC53C4"/>
    <w:rsid w:val="00FE1067"/>
    <w:rsid w:val="00FE1387"/>
    <w:rsid w:val="00FE46C1"/>
    <w:rsid w:val="00FF0E48"/>
    <w:rsid w:val="00FF3EBB"/>
    <w:rsid w:val="00FF4DED"/>
    <w:rsid w:val="00FF6375"/>
    <w:rsid w:val="00FF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pPr>
      <w:numPr>
        <w:numId w:val="24"/>
      </w:num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Pr>
      <w:lang w:val="en-US" w:eastAsia="en-US" w:bidi="ar-SA"/>
    </w:rPr>
  </w:style>
  <w:style w:type="character" w:customStyle="1" w:styleId="documentbody1">
    <w:name w:val="documentbody1"/>
    <w:rPr>
      <w:rFonts w:ascii="Verdana" w:hAnsi="Verdana" w:hint="default"/>
      <w:sz w:val="19"/>
      <w:szCs w:val="19"/>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emphi1">
    <w:name w:val="emphi1"/>
    <w:rsid w:val="00711113"/>
    <w:rPr>
      <w:i/>
      <w:iCs/>
    </w:rPr>
  </w:style>
  <w:style w:type="character" w:styleId="Emphasis">
    <w:name w:val="Emphasis"/>
    <w:uiPriority w:val="20"/>
    <w:qFormat/>
    <w:rsid w:val="0085053C"/>
    <w:rPr>
      <w:i/>
      <w:iCs/>
    </w:rPr>
  </w:style>
  <w:style w:type="character" w:customStyle="1" w:styleId="cosearchterm6">
    <w:name w:val="co_searchterm6"/>
    <w:rsid w:val="0085053C"/>
    <w:rPr>
      <w:b/>
      <w:bCs/>
      <w:color w:val="252525"/>
    </w:rPr>
  </w:style>
  <w:style w:type="character" w:customStyle="1" w:styleId="costarpage">
    <w:name w:val="co_starpage"/>
    <w:rsid w:val="009937BF"/>
  </w:style>
  <w:style w:type="character" w:customStyle="1" w:styleId="displayhltextactive1">
    <w:name w:val="display_hl_text_active1"/>
    <w:rsid w:val="007A5415"/>
    <w:rPr>
      <w:bdr w:val="single" w:sz="6" w:space="0" w:color="993333" w:frame="1"/>
      <w:shd w:val="clear" w:color="auto" w:fill="FFFF99"/>
    </w:rPr>
  </w:style>
  <w:style w:type="character" w:styleId="CommentReference">
    <w:name w:val="annotation reference"/>
    <w:rsid w:val="00430B9A"/>
    <w:rPr>
      <w:sz w:val="18"/>
      <w:szCs w:val="18"/>
    </w:rPr>
  </w:style>
  <w:style w:type="paragraph" w:styleId="CommentText">
    <w:name w:val="annotation text"/>
    <w:basedOn w:val="Normal"/>
    <w:link w:val="CommentTextChar"/>
    <w:rsid w:val="00430B9A"/>
    <w:rPr>
      <w:sz w:val="24"/>
      <w:szCs w:val="24"/>
    </w:rPr>
  </w:style>
  <w:style w:type="character" w:customStyle="1" w:styleId="CommentTextChar">
    <w:name w:val="Comment Text Char"/>
    <w:link w:val="CommentText"/>
    <w:rsid w:val="00430B9A"/>
    <w:rPr>
      <w:sz w:val="24"/>
      <w:szCs w:val="24"/>
    </w:rPr>
  </w:style>
  <w:style w:type="paragraph" w:styleId="CommentSubject">
    <w:name w:val="annotation subject"/>
    <w:basedOn w:val="CommentText"/>
    <w:next w:val="CommentText"/>
    <w:link w:val="CommentSubjectChar"/>
    <w:rsid w:val="00430B9A"/>
    <w:rPr>
      <w:b/>
      <w:bCs/>
      <w:sz w:val="20"/>
      <w:szCs w:val="20"/>
    </w:rPr>
  </w:style>
  <w:style w:type="character" w:customStyle="1" w:styleId="CommentSubjectChar">
    <w:name w:val="Comment Subject Char"/>
    <w:link w:val="CommentSubject"/>
    <w:rsid w:val="00430B9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pPr>
      <w:numPr>
        <w:numId w:val="24"/>
      </w:num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Pr>
      <w:lang w:val="en-US" w:eastAsia="en-US" w:bidi="ar-SA"/>
    </w:rPr>
  </w:style>
  <w:style w:type="character" w:customStyle="1" w:styleId="documentbody1">
    <w:name w:val="documentbody1"/>
    <w:rPr>
      <w:rFonts w:ascii="Verdana" w:hAnsi="Verdana" w:hint="default"/>
      <w:sz w:val="19"/>
      <w:szCs w:val="19"/>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emphi1">
    <w:name w:val="emphi1"/>
    <w:rsid w:val="00711113"/>
    <w:rPr>
      <w:i/>
      <w:iCs/>
    </w:rPr>
  </w:style>
  <w:style w:type="character" w:styleId="Emphasis">
    <w:name w:val="Emphasis"/>
    <w:uiPriority w:val="20"/>
    <w:qFormat/>
    <w:rsid w:val="0085053C"/>
    <w:rPr>
      <w:i/>
      <w:iCs/>
    </w:rPr>
  </w:style>
  <w:style w:type="character" w:customStyle="1" w:styleId="cosearchterm6">
    <w:name w:val="co_searchterm6"/>
    <w:rsid w:val="0085053C"/>
    <w:rPr>
      <w:b/>
      <w:bCs/>
      <w:color w:val="252525"/>
    </w:rPr>
  </w:style>
  <w:style w:type="character" w:customStyle="1" w:styleId="costarpage">
    <w:name w:val="co_starpage"/>
    <w:rsid w:val="009937BF"/>
  </w:style>
  <w:style w:type="character" w:customStyle="1" w:styleId="displayhltextactive1">
    <w:name w:val="display_hl_text_active1"/>
    <w:rsid w:val="007A5415"/>
    <w:rPr>
      <w:bdr w:val="single" w:sz="6" w:space="0" w:color="993333" w:frame="1"/>
      <w:shd w:val="clear" w:color="auto" w:fill="FFFF99"/>
    </w:rPr>
  </w:style>
  <w:style w:type="character" w:styleId="CommentReference">
    <w:name w:val="annotation reference"/>
    <w:rsid w:val="00430B9A"/>
    <w:rPr>
      <w:sz w:val="18"/>
      <w:szCs w:val="18"/>
    </w:rPr>
  </w:style>
  <w:style w:type="paragraph" w:styleId="CommentText">
    <w:name w:val="annotation text"/>
    <w:basedOn w:val="Normal"/>
    <w:link w:val="CommentTextChar"/>
    <w:rsid w:val="00430B9A"/>
    <w:rPr>
      <w:sz w:val="24"/>
      <w:szCs w:val="24"/>
    </w:rPr>
  </w:style>
  <w:style w:type="character" w:customStyle="1" w:styleId="CommentTextChar">
    <w:name w:val="Comment Text Char"/>
    <w:link w:val="CommentText"/>
    <w:rsid w:val="00430B9A"/>
    <w:rPr>
      <w:sz w:val="24"/>
      <w:szCs w:val="24"/>
    </w:rPr>
  </w:style>
  <w:style w:type="paragraph" w:styleId="CommentSubject">
    <w:name w:val="annotation subject"/>
    <w:basedOn w:val="CommentText"/>
    <w:next w:val="CommentText"/>
    <w:link w:val="CommentSubjectChar"/>
    <w:rsid w:val="00430B9A"/>
    <w:rPr>
      <w:b/>
      <w:bCs/>
      <w:sz w:val="20"/>
      <w:szCs w:val="20"/>
    </w:rPr>
  </w:style>
  <w:style w:type="character" w:customStyle="1" w:styleId="CommentSubjectChar">
    <w:name w:val="Comment Subject Char"/>
    <w:link w:val="CommentSubject"/>
    <w:rsid w:val="00430B9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07810">
      <w:bodyDiv w:val="1"/>
      <w:marLeft w:val="0"/>
      <w:marRight w:val="0"/>
      <w:marTop w:val="0"/>
      <w:marBottom w:val="0"/>
      <w:divBdr>
        <w:top w:val="none" w:sz="0" w:space="0" w:color="auto"/>
        <w:left w:val="none" w:sz="0" w:space="0" w:color="auto"/>
        <w:bottom w:val="none" w:sz="0" w:space="0" w:color="auto"/>
        <w:right w:val="none" w:sz="0" w:space="0" w:color="auto"/>
      </w:divBdr>
    </w:div>
    <w:div w:id="1372263970">
      <w:bodyDiv w:val="1"/>
      <w:marLeft w:val="0"/>
      <w:marRight w:val="0"/>
      <w:marTop w:val="0"/>
      <w:marBottom w:val="0"/>
      <w:divBdr>
        <w:top w:val="none" w:sz="0" w:space="0" w:color="auto"/>
        <w:left w:val="none" w:sz="0" w:space="0" w:color="auto"/>
        <w:bottom w:val="none" w:sz="0" w:space="0" w:color="auto"/>
        <w:right w:val="none" w:sz="0" w:space="0" w:color="auto"/>
      </w:divBdr>
      <w:divsChild>
        <w:div w:id="1731733626">
          <w:marLeft w:val="0"/>
          <w:marRight w:val="0"/>
          <w:marTop w:val="0"/>
          <w:marBottom w:val="0"/>
          <w:divBdr>
            <w:top w:val="none" w:sz="0" w:space="0" w:color="auto"/>
            <w:left w:val="none" w:sz="0" w:space="0" w:color="auto"/>
            <w:bottom w:val="none" w:sz="0" w:space="0" w:color="auto"/>
            <w:right w:val="none" w:sz="0" w:space="0" w:color="auto"/>
          </w:divBdr>
          <w:divsChild>
            <w:div w:id="1894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9835">
      <w:bodyDiv w:val="1"/>
      <w:marLeft w:val="0"/>
      <w:marRight w:val="0"/>
      <w:marTop w:val="0"/>
      <w:marBottom w:val="0"/>
      <w:divBdr>
        <w:top w:val="none" w:sz="0" w:space="0" w:color="auto"/>
        <w:left w:val="none" w:sz="0" w:space="0" w:color="auto"/>
        <w:bottom w:val="none" w:sz="0" w:space="0" w:color="auto"/>
        <w:right w:val="none" w:sz="0" w:space="0" w:color="auto"/>
      </w:divBdr>
      <w:divsChild>
        <w:div w:id="1700934419">
          <w:marLeft w:val="0"/>
          <w:marRight w:val="0"/>
          <w:marTop w:val="0"/>
          <w:marBottom w:val="0"/>
          <w:divBdr>
            <w:top w:val="none" w:sz="0" w:space="0" w:color="auto"/>
            <w:left w:val="none" w:sz="0" w:space="0" w:color="auto"/>
            <w:bottom w:val="none" w:sz="0" w:space="0" w:color="auto"/>
            <w:right w:val="none" w:sz="0" w:space="0" w:color="auto"/>
          </w:divBdr>
          <w:divsChild>
            <w:div w:id="441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telecomlaw.bna.com/terc/images/prev_hit.gi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1906</Words>
  <Characters>9881</Characters>
  <Application>Microsoft Office Word</Application>
  <DocSecurity>0</DocSecurity>
  <Lines>162</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11837</CharactersWithSpaces>
  <SharedDoc>false</SharedDoc>
  <HyperlinkBase> </HyperlinkBase>
  <HLinks>
    <vt:vector size="6" baseType="variant">
      <vt:variant>
        <vt:i4>7864392</vt:i4>
      </vt:variant>
      <vt:variant>
        <vt:i4>0</vt:i4>
      </vt:variant>
      <vt:variant>
        <vt:i4>0</vt:i4>
      </vt:variant>
      <vt:variant>
        <vt:i4>5</vt:i4>
      </vt:variant>
      <vt:variant>
        <vt:lpwstr>http://telecomlaw.bna.com/terc/display/split_display.adp?fedfid=31038730&amp;wsn=504012000&amp;vname=comrgdecbr&amp;searchid=24004040&amp;doctypeid=1&amp;type=court&amp;scm=1503&amp;pg=0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2010-05-27T17:29:00Z</cp:lastPrinted>
  <dcterms:created xsi:type="dcterms:W3CDTF">2014-12-04T19:17:00Z</dcterms:created>
  <dcterms:modified xsi:type="dcterms:W3CDTF">2014-12-04T19:17:00Z</dcterms:modified>
  <cp:category> </cp:category>
  <cp:contentStatus> </cp:contentStatus>
</cp:coreProperties>
</file>