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B3DD" w14:textId="77777777" w:rsidR="007634BA" w:rsidRPr="002B1E8D" w:rsidRDefault="007634BA" w:rsidP="007634BA">
      <w:pPr>
        <w:jc w:val="center"/>
        <w:rPr>
          <w:b/>
          <w:szCs w:val="22"/>
        </w:rPr>
      </w:pPr>
      <w:bookmarkStart w:id="0" w:name="_GoBack"/>
      <w:bookmarkEnd w:id="0"/>
      <w:r w:rsidRPr="002B1E8D">
        <w:rPr>
          <w:rFonts w:ascii="Times New Roman Bold" w:hAnsi="Times New Roman Bold"/>
          <w:b/>
          <w:kern w:val="0"/>
          <w:szCs w:val="22"/>
        </w:rPr>
        <w:t>Before</w:t>
      </w:r>
      <w:r w:rsidRPr="002B1E8D">
        <w:rPr>
          <w:b/>
          <w:szCs w:val="22"/>
        </w:rPr>
        <w:t xml:space="preserve"> the</w:t>
      </w:r>
    </w:p>
    <w:p w14:paraId="3D3900FF" w14:textId="77777777" w:rsidR="007634BA" w:rsidRPr="002B1E8D" w:rsidRDefault="007634BA" w:rsidP="007634BA">
      <w:pPr>
        <w:pStyle w:val="StyleBoldCentered"/>
      </w:pPr>
      <w:r w:rsidRPr="002B1E8D">
        <w:t>F</w:t>
      </w:r>
      <w:r w:rsidRPr="002B1E8D">
        <w:rPr>
          <w:caps w:val="0"/>
        </w:rPr>
        <w:t>ederal Communications Commission</w:t>
      </w:r>
    </w:p>
    <w:p w14:paraId="4EE81D10" w14:textId="77777777" w:rsidR="007634BA" w:rsidRPr="002B1E8D" w:rsidRDefault="007634BA" w:rsidP="007634BA">
      <w:pPr>
        <w:pStyle w:val="StyleBoldCentered"/>
      </w:pPr>
      <w:r w:rsidRPr="002B1E8D">
        <w:rPr>
          <w:caps w:val="0"/>
        </w:rPr>
        <w:t>Washington, D.C. 20554</w:t>
      </w:r>
    </w:p>
    <w:p w14:paraId="39AFD444" w14:textId="77777777" w:rsidR="007634BA" w:rsidRPr="002B1E8D" w:rsidRDefault="007634BA" w:rsidP="007634BA">
      <w:pPr>
        <w:rPr>
          <w:szCs w:val="22"/>
        </w:rPr>
      </w:pPr>
    </w:p>
    <w:tbl>
      <w:tblPr>
        <w:tblW w:w="0" w:type="auto"/>
        <w:tblLayout w:type="fixed"/>
        <w:tblLook w:val="04A0" w:firstRow="1" w:lastRow="0" w:firstColumn="1" w:lastColumn="0" w:noHBand="0" w:noVBand="1"/>
      </w:tblPr>
      <w:tblGrid>
        <w:gridCol w:w="4698"/>
        <w:gridCol w:w="630"/>
        <w:gridCol w:w="4248"/>
      </w:tblGrid>
      <w:tr w:rsidR="007634BA" w:rsidRPr="002B1E8D" w14:paraId="7370A18C" w14:textId="77777777" w:rsidTr="00FC0245">
        <w:tc>
          <w:tcPr>
            <w:tcW w:w="4698" w:type="dxa"/>
          </w:tcPr>
          <w:p w14:paraId="296F0C4C" w14:textId="77777777" w:rsidR="007634BA" w:rsidRPr="002B1E8D" w:rsidRDefault="007634BA" w:rsidP="00FC0245">
            <w:pPr>
              <w:tabs>
                <w:tab w:val="center" w:pos="4680"/>
              </w:tabs>
              <w:suppressAutoHyphens/>
              <w:rPr>
                <w:spacing w:val="-2"/>
                <w:szCs w:val="22"/>
              </w:rPr>
            </w:pPr>
            <w:r w:rsidRPr="002B1E8D">
              <w:rPr>
                <w:spacing w:val="-2"/>
                <w:szCs w:val="22"/>
              </w:rPr>
              <w:t>In the Matter of</w:t>
            </w:r>
          </w:p>
          <w:p w14:paraId="2437800D" w14:textId="77777777" w:rsidR="007634BA" w:rsidRPr="002B1E8D" w:rsidRDefault="007634BA" w:rsidP="00FC0245">
            <w:pPr>
              <w:tabs>
                <w:tab w:val="center" w:pos="4680"/>
              </w:tabs>
              <w:suppressAutoHyphens/>
              <w:rPr>
                <w:spacing w:val="-2"/>
                <w:szCs w:val="22"/>
              </w:rPr>
            </w:pPr>
          </w:p>
          <w:p w14:paraId="00382E4B" w14:textId="77777777" w:rsidR="007634BA" w:rsidRPr="002B1E8D" w:rsidRDefault="007634BA" w:rsidP="00FC0245">
            <w:pPr>
              <w:tabs>
                <w:tab w:val="center" w:pos="4680"/>
              </w:tabs>
              <w:suppressAutoHyphens/>
              <w:rPr>
                <w:b/>
                <w:spacing w:val="-2"/>
                <w:szCs w:val="22"/>
              </w:rPr>
            </w:pPr>
            <w:r w:rsidRPr="002B1E8D">
              <w:rPr>
                <w:b/>
                <w:spacing w:val="-2"/>
                <w:szCs w:val="22"/>
              </w:rPr>
              <w:t>NEWPORT TELEVISION, LLC</w:t>
            </w:r>
          </w:p>
          <w:p w14:paraId="0654B63C" w14:textId="77777777" w:rsidR="007634BA" w:rsidRPr="002B1E8D" w:rsidRDefault="007634BA" w:rsidP="00FC0245">
            <w:pPr>
              <w:tabs>
                <w:tab w:val="center" w:pos="4680"/>
              </w:tabs>
              <w:suppressAutoHyphens/>
              <w:rPr>
                <w:b/>
                <w:spacing w:val="-2"/>
                <w:szCs w:val="22"/>
              </w:rPr>
            </w:pPr>
          </w:p>
          <w:p w14:paraId="7ADFDE1B" w14:textId="77777777" w:rsidR="007634BA" w:rsidRPr="002B1E8D" w:rsidRDefault="007634BA" w:rsidP="00FC0245">
            <w:pPr>
              <w:tabs>
                <w:tab w:val="center" w:pos="4680"/>
              </w:tabs>
              <w:suppressAutoHyphens/>
              <w:rPr>
                <w:spacing w:val="-2"/>
                <w:szCs w:val="22"/>
              </w:rPr>
            </w:pPr>
            <w:r w:rsidRPr="002B1E8D">
              <w:rPr>
                <w:spacing w:val="-2"/>
                <w:szCs w:val="22"/>
              </w:rPr>
              <w:t>Former Licensee of Station KTVX(DT),</w:t>
            </w:r>
          </w:p>
          <w:p w14:paraId="7958B6DD" w14:textId="77777777" w:rsidR="007634BA" w:rsidRPr="002B1E8D" w:rsidRDefault="007634BA" w:rsidP="00FC0245">
            <w:pPr>
              <w:tabs>
                <w:tab w:val="center" w:pos="4680"/>
              </w:tabs>
              <w:suppressAutoHyphens/>
              <w:rPr>
                <w:spacing w:val="-2"/>
                <w:szCs w:val="22"/>
              </w:rPr>
            </w:pPr>
            <w:r w:rsidRPr="002B1E8D">
              <w:rPr>
                <w:spacing w:val="-2"/>
                <w:szCs w:val="22"/>
              </w:rPr>
              <w:t>Salt Lake City, Utah</w:t>
            </w:r>
            <w:r w:rsidRPr="002B1E8D">
              <w:rPr>
                <w:rStyle w:val="FootnoteReference"/>
                <w:spacing w:val="-2"/>
                <w:szCs w:val="22"/>
              </w:rPr>
              <w:footnoteReference w:id="2"/>
            </w:r>
          </w:p>
        </w:tc>
        <w:tc>
          <w:tcPr>
            <w:tcW w:w="630" w:type="dxa"/>
          </w:tcPr>
          <w:p w14:paraId="5B6C3C56"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6253996A"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3C31601C"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4D40DB87"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4C329D37"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4CC61248" w14:textId="77777777" w:rsidR="007634BA" w:rsidRPr="00502F9F" w:rsidRDefault="007634BA" w:rsidP="00FC0245">
            <w:pPr>
              <w:tabs>
                <w:tab w:val="center" w:pos="4680"/>
              </w:tabs>
              <w:suppressAutoHyphens/>
              <w:rPr>
                <w:b/>
                <w:spacing w:val="-2"/>
                <w:szCs w:val="22"/>
              </w:rPr>
            </w:pPr>
            <w:r w:rsidRPr="002B1E8D">
              <w:rPr>
                <w:b/>
                <w:spacing w:val="-2"/>
                <w:szCs w:val="22"/>
              </w:rPr>
              <w:t>)</w:t>
            </w:r>
          </w:p>
          <w:p w14:paraId="65B8430C" w14:textId="77777777" w:rsidR="007634BA" w:rsidRPr="002B1E8D" w:rsidRDefault="007634BA" w:rsidP="00FC0245">
            <w:pPr>
              <w:tabs>
                <w:tab w:val="center" w:pos="4680"/>
              </w:tabs>
              <w:suppressAutoHyphens/>
              <w:rPr>
                <w:spacing w:val="-2"/>
                <w:szCs w:val="22"/>
              </w:rPr>
            </w:pPr>
          </w:p>
        </w:tc>
        <w:tc>
          <w:tcPr>
            <w:tcW w:w="4248" w:type="dxa"/>
          </w:tcPr>
          <w:p w14:paraId="68F11CF7" w14:textId="77777777" w:rsidR="007634BA" w:rsidRDefault="007634BA" w:rsidP="00FC0245">
            <w:pPr>
              <w:tabs>
                <w:tab w:val="center" w:pos="4680"/>
              </w:tabs>
              <w:suppressAutoHyphens/>
              <w:ind w:firstLine="432"/>
              <w:rPr>
                <w:spacing w:val="-2"/>
                <w:szCs w:val="22"/>
              </w:rPr>
            </w:pPr>
          </w:p>
          <w:p w14:paraId="04F1285E" w14:textId="77777777" w:rsidR="007634BA" w:rsidRDefault="007634BA" w:rsidP="00FC0245">
            <w:pPr>
              <w:tabs>
                <w:tab w:val="center" w:pos="4680"/>
              </w:tabs>
              <w:suppressAutoHyphens/>
              <w:ind w:firstLine="432"/>
              <w:rPr>
                <w:spacing w:val="-2"/>
                <w:szCs w:val="22"/>
              </w:rPr>
            </w:pPr>
          </w:p>
          <w:p w14:paraId="32A6628F" w14:textId="77777777" w:rsidR="007634BA" w:rsidRPr="002B1E8D" w:rsidRDefault="007634BA" w:rsidP="00FC0245">
            <w:pPr>
              <w:tabs>
                <w:tab w:val="center" w:pos="4680"/>
              </w:tabs>
              <w:suppressAutoHyphens/>
              <w:ind w:firstLine="432"/>
              <w:rPr>
                <w:spacing w:val="-2"/>
                <w:szCs w:val="22"/>
              </w:rPr>
            </w:pPr>
            <w:r w:rsidRPr="002B1E8D">
              <w:rPr>
                <w:spacing w:val="-2"/>
                <w:szCs w:val="22"/>
              </w:rPr>
              <w:t>File No.:  EB-IHD-14-00017156</w:t>
            </w:r>
            <w:r w:rsidRPr="002B1E8D">
              <w:rPr>
                <w:snapToGrid/>
                <w:spacing w:val="-2"/>
                <w:kern w:val="0"/>
                <w:szCs w:val="22"/>
                <w:vertAlign w:val="superscript"/>
              </w:rPr>
              <w:footnoteReference w:id="3"/>
            </w:r>
          </w:p>
          <w:p w14:paraId="341FDB92" w14:textId="77777777" w:rsidR="007634BA" w:rsidRPr="002B1E8D" w:rsidRDefault="007634BA" w:rsidP="00FC0245">
            <w:pPr>
              <w:tabs>
                <w:tab w:val="center" w:pos="4680"/>
              </w:tabs>
              <w:suppressAutoHyphens/>
              <w:ind w:left="432"/>
              <w:rPr>
                <w:spacing w:val="-2"/>
                <w:szCs w:val="22"/>
              </w:rPr>
            </w:pPr>
            <w:r w:rsidRPr="002B1E8D">
              <w:rPr>
                <w:spacing w:val="-2"/>
                <w:szCs w:val="22"/>
              </w:rPr>
              <w:t>Acct. No.:</w:t>
            </w:r>
            <w:r w:rsidRPr="002B1E8D">
              <w:rPr>
                <w:kern w:val="0"/>
                <w:szCs w:val="22"/>
              </w:rPr>
              <w:t xml:space="preserve"> </w:t>
            </w:r>
            <w:r>
              <w:rPr>
                <w:kern w:val="0"/>
                <w:szCs w:val="22"/>
              </w:rPr>
              <w:t xml:space="preserve"> </w:t>
            </w:r>
            <w:r w:rsidRPr="002B1E8D">
              <w:rPr>
                <w:spacing w:val="-2"/>
                <w:szCs w:val="22"/>
              </w:rPr>
              <w:t xml:space="preserve">201532080002 </w:t>
            </w:r>
          </w:p>
          <w:p w14:paraId="45373ECA" w14:textId="77777777" w:rsidR="007634BA" w:rsidRPr="002B1E8D" w:rsidRDefault="007634BA" w:rsidP="00FC0245">
            <w:pPr>
              <w:tabs>
                <w:tab w:val="center" w:pos="4680"/>
              </w:tabs>
              <w:suppressAutoHyphens/>
              <w:ind w:firstLine="432"/>
              <w:rPr>
                <w:snapToGrid/>
                <w:spacing w:val="-2"/>
                <w:szCs w:val="22"/>
              </w:rPr>
            </w:pPr>
            <w:r w:rsidRPr="002B1E8D">
              <w:rPr>
                <w:spacing w:val="-2"/>
                <w:szCs w:val="22"/>
              </w:rPr>
              <w:t xml:space="preserve">FRN:  </w:t>
            </w:r>
            <w:r w:rsidRPr="001B5886">
              <w:rPr>
                <w:spacing w:val="-2"/>
                <w:szCs w:val="22"/>
              </w:rPr>
              <w:t>0017717000</w:t>
            </w:r>
          </w:p>
        </w:tc>
      </w:tr>
    </w:tbl>
    <w:p w14:paraId="320F5FFE" w14:textId="77777777" w:rsidR="002D203B" w:rsidRPr="00E80356" w:rsidRDefault="002D203B" w:rsidP="00863418">
      <w:pPr>
        <w:pStyle w:val="StyleBoldCentered"/>
        <w:widowControl/>
        <w:rPr>
          <w:rFonts w:ascii="Times New Roman" w:hAnsi="Times New Roman"/>
        </w:rPr>
      </w:pPr>
      <w:r>
        <w:rPr>
          <w:rFonts w:ascii="Times New Roman" w:hAnsi="Times New Roman"/>
        </w:rPr>
        <w:t>order</w:t>
      </w:r>
    </w:p>
    <w:p w14:paraId="12E2554A" w14:textId="77777777" w:rsidR="002D203B" w:rsidRPr="00E80356" w:rsidRDefault="002D203B" w:rsidP="007E5F36">
      <w:pPr>
        <w:pStyle w:val="BodyText"/>
        <w:tabs>
          <w:tab w:val="left" w:pos="3440"/>
          <w:tab w:val="left" w:pos="4680"/>
        </w:tabs>
        <w:spacing w:after="0"/>
        <w:ind w:firstLine="0"/>
        <w:rPr>
          <w:szCs w:val="22"/>
        </w:rPr>
      </w:pPr>
      <w:r w:rsidRPr="00E80356">
        <w:rPr>
          <w:szCs w:val="22"/>
        </w:rPr>
        <w:tab/>
      </w:r>
    </w:p>
    <w:p w14:paraId="0FEEAC56" w14:textId="2F05C5CA" w:rsidR="002D203B" w:rsidRPr="00E80356" w:rsidRDefault="002D203B" w:rsidP="007E5F36">
      <w:pPr>
        <w:tabs>
          <w:tab w:val="left" w:pos="720"/>
          <w:tab w:val="left" w:pos="5760"/>
        </w:tabs>
        <w:suppressAutoHyphens/>
        <w:rPr>
          <w:spacing w:val="-2"/>
          <w:szCs w:val="22"/>
        </w:rPr>
      </w:pPr>
      <w:r w:rsidRPr="00E80356">
        <w:rPr>
          <w:b/>
          <w:spacing w:val="-2"/>
          <w:szCs w:val="22"/>
        </w:rPr>
        <w:t xml:space="preserve">Adopted:  </w:t>
      </w:r>
      <w:r w:rsidR="005144B6">
        <w:rPr>
          <w:b/>
          <w:spacing w:val="-2"/>
          <w:szCs w:val="22"/>
        </w:rPr>
        <w:t>November 28</w:t>
      </w:r>
      <w:r>
        <w:rPr>
          <w:b/>
          <w:spacing w:val="-2"/>
          <w:szCs w:val="22"/>
        </w:rPr>
        <w:t>, 2014</w:t>
      </w:r>
      <w:r w:rsidRPr="00E80356">
        <w:rPr>
          <w:b/>
          <w:spacing w:val="-2"/>
          <w:szCs w:val="22"/>
        </w:rPr>
        <w:tab/>
        <w:t xml:space="preserve">             Released:  </w:t>
      </w:r>
      <w:r w:rsidR="005144B6">
        <w:rPr>
          <w:b/>
          <w:spacing w:val="-2"/>
          <w:szCs w:val="22"/>
        </w:rPr>
        <w:t>November 28</w:t>
      </w:r>
      <w:r>
        <w:rPr>
          <w:b/>
          <w:spacing w:val="-2"/>
          <w:szCs w:val="22"/>
        </w:rPr>
        <w:t>, 2014</w:t>
      </w:r>
    </w:p>
    <w:p w14:paraId="52561869" w14:textId="77777777" w:rsidR="002D203B" w:rsidRPr="00E80356" w:rsidRDefault="002D203B" w:rsidP="007E5F36">
      <w:pPr>
        <w:pStyle w:val="BodyText"/>
        <w:tabs>
          <w:tab w:val="left" w:pos="4680"/>
        </w:tabs>
        <w:spacing w:after="0"/>
        <w:jc w:val="center"/>
        <w:rPr>
          <w:szCs w:val="22"/>
        </w:rPr>
      </w:pPr>
    </w:p>
    <w:p w14:paraId="4BF364B0" w14:textId="77777777" w:rsidR="006777A6" w:rsidRDefault="002D203B" w:rsidP="006777A6">
      <w:pPr>
        <w:pStyle w:val="BodyText"/>
        <w:tabs>
          <w:tab w:val="left" w:pos="4680"/>
        </w:tabs>
        <w:spacing w:after="0"/>
        <w:ind w:firstLine="0"/>
        <w:rPr>
          <w:szCs w:val="22"/>
        </w:rPr>
      </w:pPr>
      <w:r w:rsidRPr="00E80356">
        <w:rPr>
          <w:szCs w:val="22"/>
        </w:rPr>
        <w:t xml:space="preserve">By the </w:t>
      </w:r>
      <w:r>
        <w:rPr>
          <w:szCs w:val="22"/>
        </w:rPr>
        <w:t>Chief, Enforcement Bureau</w:t>
      </w:r>
      <w:r w:rsidRPr="00E80356">
        <w:rPr>
          <w:szCs w:val="22"/>
        </w:rPr>
        <w:t>:</w:t>
      </w:r>
    </w:p>
    <w:p w14:paraId="536A8708" w14:textId="77777777" w:rsidR="002D203B" w:rsidRPr="00E80356" w:rsidRDefault="002D203B" w:rsidP="007E5F36">
      <w:pPr>
        <w:pStyle w:val="BodyText"/>
        <w:tabs>
          <w:tab w:val="left" w:pos="4680"/>
        </w:tabs>
        <w:spacing w:after="0"/>
        <w:ind w:firstLine="0"/>
        <w:rPr>
          <w:b/>
          <w:szCs w:val="22"/>
        </w:rPr>
      </w:pPr>
      <w:r>
        <w:rPr>
          <w:szCs w:val="22"/>
        </w:rPr>
        <w:t xml:space="preserve"> </w:t>
      </w:r>
    </w:p>
    <w:p w14:paraId="38CB289B" w14:textId="0EBE2A7B" w:rsidR="00DA1B7D" w:rsidRPr="005819EC" w:rsidRDefault="00DA1B7D" w:rsidP="002E480A">
      <w:pPr>
        <w:pStyle w:val="ParaNum"/>
        <w:tabs>
          <w:tab w:val="clear" w:pos="1080"/>
        </w:tabs>
        <w:spacing w:after="120"/>
        <w:jc w:val="left"/>
        <w:rPr>
          <w:szCs w:val="22"/>
        </w:rPr>
      </w:pPr>
      <w:r w:rsidRPr="005819EC">
        <w:rPr>
          <w:szCs w:val="22"/>
        </w:rPr>
        <w:t xml:space="preserve">The Commission is committed to protecting </w:t>
      </w:r>
      <w:r w:rsidR="003C7752" w:rsidRPr="005819EC">
        <w:rPr>
          <w:szCs w:val="22"/>
        </w:rPr>
        <w:t xml:space="preserve">consumer privacy from unlawful invasion or disclosure of personal information.  </w:t>
      </w:r>
      <w:r w:rsidR="00EB3761" w:rsidRPr="005819EC">
        <w:rPr>
          <w:szCs w:val="22"/>
        </w:rPr>
        <w:t xml:space="preserve">As part of this commitment, the Commission prohibits television and radio broadcasters from invading </w:t>
      </w:r>
      <w:r w:rsidR="003C7752" w:rsidRPr="005819EC">
        <w:rPr>
          <w:szCs w:val="22"/>
        </w:rPr>
        <w:t>consumers</w:t>
      </w:r>
      <w:r w:rsidRPr="005819EC">
        <w:rPr>
          <w:szCs w:val="22"/>
        </w:rPr>
        <w:t xml:space="preserve">’ </w:t>
      </w:r>
      <w:r w:rsidR="00EB3761" w:rsidRPr="005819EC">
        <w:rPr>
          <w:szCs w:val="22"/>
        </w:rPr>
        <w:t xml:space="preserve">rightful </w:t>
      </w:r>
      <w:r w:rsidRPr="005819EC">
        <w:rPr>
          <w:szCs w:val="22"/>
        </w:rPr>
        <w:t>expectation of privacy</w:t>
      </w:r>
      <w:r w:rsidR="003C7752" w:rsidRPr="005819EC">
        <w:rPr>
          <w:szCs w:val="22"/>
        </w:rPr>
        <w:t xml:space="preserve"> when they answer the telephone.  </w:t>
      </w:r>
      <w:r w:rsidR="00EB3761" w:rsidRPr="005819EC">
        <w:rPr>
          <w:szCs w:val="22"/>
        </w:rPr>
        <w:t>Specifically</w:t>
      </w:r>
      <w:r w:rsidR="008264B5" w:rsidRPr="005819EC">
        <w:rPr>
          <w:szCs w:val="22"/>
        </w:rPr>
        <w:t>, t</w:t>
      </w:r>
      <w:r w:rsidR="003C7752" w:rsidRPr="005819EC">
        <w:rPr>
          <w:szCs w:val="22"/>
        </w:rPr>
        <w:t>he Commission’s rules prohibit</w:t>
      </w:r>
      <w:r w:rsidR="008264B5" w:rsidRPr="005819EC">
        <w:rPr>
          <w:szCs w:val="22"/>
        </w:rPr>
        <w:t xml:space="preserve"> broadcast licensees from broadcasting telephone conversations with consumers without first informing the consumer that the conversation is being broadcast or recorded for later broadcast</w:t>
      </w:r>
      <w:r w:rsidRPr="005819EC">
        <w:rPr>
          <w:szCs w:val="22"/>
        </w:rPr>
        <w:t xml:space="preserve">.  </w:t>
      </w:r>
      <w:r w:rsidR="008264B5" w:rsidRPr="005819EC">
        <w:rPr>
          <w:szCs w:val="22"/>
        </w:rPr>
        <w:t>This notification gives the consumer the opportunity to refuse to engage in the conversation</w:t>
      </w:r>
      <w:r w:rsidR="0037181E" w:rsidRPr="005819EC">
        <w:rPr>
          <w:szCs w:val="22"/>
        </w:rPr>
        <w:t xml:space="preserve"> or to moderate the candor and content of the recorded conversation.</w:t>
      </w:r>
      <w:r w:rsidR="00EB3761" w:rsidRPr="005819EC">
        <w:rPr>
          <w:szCs w:val="22"/>
        </w:rPr>
        <w:t xml:space="preserve"> </w:t>
      </w:r>
      <w:r w:rsidR="008264B5" w:rsidRPr="005819EC">
        <w:rPr>
          <w:szCs w:val="22"/>
        </w:rPr>
        <w:t xml:space="preserve"> </w:t>
      </w:r>
      <w:r w:rsidR="00EB3761" w:rsidRPr="005819EC">
        <w:rPr>
          <w:szCs w:val="22"/>
        </w:rPr>
        <w:t xml:space="preserve">In this case, </w:t>
      </w:r>
      <w:r w:rsidR="00AD0CF1" w:rsidRPr="005819EC">
        <w:rPr>
          <w:szCs w:val="22"/>
        </w:rPr>
        <w:t xml:space="preserve">the Commission successfully resolves its investigation of </w:t>
      </w:r>
      <w:r w:rsidR="00EB3761" w:rsidRPr="005819EC">
        <w:rPr>
          <w:szCs w:val="22"/>
        </w:rPr>
        <w:t>a television broadcaster in Salt Lake City</w:t>
      </w:r>
      <w:r w:rsidR="00BB437E" w:rsidRPr="005819EC">
        <w:rPr>
          <w:szCs w:val="22"/>
        </w:rPr>
        <w:t>, Utah,</w:t>
      </w:r>
      <w:r w:rsidR="00AD0CF1" w:rsidRPr="005819EC">
        <w:rPr>
          <w:szCs w:val="22"/>
        </w:rPr>
        <w:t xml:space="preserve"> for</w:t>
      </w:r>
      <w:r w:rsidR="00EB3761" w:rsidRPr="005819EC">
        <w:rPr>
          <w:szCs w:val="22"/>
        </w:rPr>
        <w:t xml:space="preserve"> calling a </w:t>
      </w:r>
      <w:r w:rsidR="00AD0CF1" w:rsidRPr="005819EC">
        <w:rPr>
          <w:szCs w:val="22"/>
        </w:rPr>
        <w:t>person</w:t>
      </w:r>
      <w:r w:rsidR="00EB3761" w:rsidRPr="005819EC">
        <w:rPr>
          <w:szCs w:val="22"/>
        </w:rPr>
        <w:t xml:space="preserve"> and recording </w:t>
      </w:r>
      <w:r w:rsidR="00AD0CF1" w:rsidRPr="005819EC">
        <w:rPr>
          <w:szCs w:val="22"/>
        </w:rPr>
        <w:t>the</w:t>
      </w:r>
      <w:r w:rsidR="00EB3761" w:rsidRPr="005819EC">
        <w:rPr>
          <w:szCs w:val="22"/>
        </w:rPr>
        <w:t xml:space="preserve"> telephone conversation without warning</w:t>
      </w:r>
      <w:r w:rsidR="008264B5" w:rsidRPr="005819EC">
        <w:rPr>
          <w:szCs w:val="22"/>
        </w:rPr>
        <w:t xml:space="preserve"> </w:t>
      </w:r>
      <w:r w:rsidR="00EB3761" w:rsidRPr="005819EC">
        <w:rPr>
          <w:szCs w:val="22"/>
        </w:rPr>
        <w:t xml:space="preserve">the </w:t>
      </w:r>
      <w:r w:rsidR="00AD0CF1" w:rsidRPr="005819EC">
        <w:rPr>
          <w:szCs w:val="22"/>
        </w:rPr>
        <w:t>person</w:t>
      </w:r>
      <w:r w:rsidR="009B5BF4" w:rsidRPr="005819EC">
        <w:rPr>
          <w:szCs w:val="22"/>
        </w:rPr>
        <w:t xml:space="preserve"> that the conversation would be recorded and broadcast.</w:t>
      </w:r>
      <w:r w:rsidR="0050618C" w:rsidRPr="005819EC">
        <w:rPr>
          <w:szCs w:val="22"/>
        </w:rPr>
        <w:t xml:space="preserve">  </w:t>
      </w:r>
      <w:r w:rsidR="001A3AE3" w:rsidRPr="005819EC">
        <w:rPr>
          <w:szCs w:val="22"/>
        </w:rPr>
        <w:t>C</w:t>
      </w:r>
      <w:r w:rsidR="0050618C" w:rsidRPr="005819EC">
        <w:rPr>
          <w:szCs w:val="22"/>
        </w:rPr>
        <w:t xml:space="preserve">onsumers have a right to be free from having a broadcaster surreptitiously record their conversation and then broadcast it to their community. </w:t>
      </w:r>
      <w:r w:rsidR="005819EC">
        <w:rPr>
          <w:szCs w:val="22"/>
        </w:rPr>
        <w:t xml:space="preserve"> </w:t>
      </w:r>
      <w:r w:rsidR="0050618C" w:rsidRPr="005819EC">
        <w:rPr>
          <w:szCs w:val="22"/>
        </w:rPr>
        <w:t xml:space="preserve">The </w:t>
      </w:r>
      <w:r w:rsidR="001A3AE3" w:rsidRPr="005819EC">
        <w:rPr>
          <w:szCs w:val="22"/>
        </w:rPr>
        <w:t>Commission holds br</w:t>
      </w:r>
      <w:r w:rsidR="0050618C" w:rsidRPr="005819EC">
        <w:rPr>
          <w:szCs w:val="22"/>
        </w:rPr>
        <w:t>oadcasters</w:t>
      </w:r>
      <w:r w:rsidR="001A3AE3" w:rsidRPr="005819EC">
        <w:rPr>
          <w:szCs w:val="22"/>
        </w:rPr>
        <w:t xml:space="preserve"> to a high standard</w:t>
      </w:r>
      <w:r w:rsidR="00C62E50" w:rsidRPr="005819EC">
        <w:rPr>
          <w:szCs w:val="22"/>
        </w:rPr>
        <w:t>, and this Order adopts a Consent Decree that upholds this standard</w:t>
      </w:r>
      <w:r w:rsidR="009F521E">
        <w:rPr>
          <w:szCs w:val="22"/>
        </w:rPr>
        <w:t>.</w:t>
      </w:r>
    </w:p>
    <w:p w14:paraId="64E18EF5" w14:textId="46F904EF" w:rsidR="00DA1B7D" w:rsidRDefault="008264B5" w:rsidP="002E480A">
      <w:pPr>
        <w:pStyle w:val="ParaNum"/>
        <w:tabs>
          <w:tab w:val="clear" w:pos="1080"/>
        </w:tabs>
        <w:spacing w:after="120"/>
        <w:jc w:val="left"/>
      </w:pPr>
      <w:r>
        <w:t>To</w:t>
      </w:r>
      <w:r w:rsidR="003B2422">
        <w:t xml:space="preserve"> investigate allegations of </w:t>
      </w:r>
      <w:r>
        <w:t>violations, including broadcasts of telephone conversations in which the required notice was not given, the Commi</w:t>
      </w:r>
      <w:r w:rsidR="00C925F2">
        <w:t>s</w:t>
      </w:r>
      <w:r>
        <w:t xml:space="preserve">sion must be able to obtain </w:t>
      </w:r>
      <w:r w:rsidR="008D490E">
        <w:t xml:space="preserve">complete and accurate </w:t>
      </w:r>
      <w:r>
        <w:t xml:space="preserve">information from </w:t>
      </w:r>
      <w:r w:rsidR="008D490E">
        <w:t>the</w:t>
      </w:r>
      <w:r>
        <w:t xml:space="preserve"> broadcast licensee or other </w:t>
      </w:r>
      <w:r w:rsidR="003B2422">
        <w:t>investigati</w:t>
      </w:r>
      <w:r w:rsidR="008D490E">
        <w:t>ve</w:t>
      </w:r>
      <w:r w:rsidR="003B2422">
        <w:t xml:space="preserve"> target</w:t>
      </w:r>
      <w:r>
        <w:t xml:space="preserve">.  </w:t>
      </w:r>
      <w:r w:rsidR="003B2422">
        <w:t>It is therefore</w:t>
      </w:r>
      <w:r w:rsidR="00C925F2">
        <w:t xml:space="preserve"> essential for the Commission to </w:t>
      </w:r>
      <w:r w:rsidR="005B0474">
        <w:t>hold</w:t>
      </w:r>
      <w:r w:rsidR="00DA1B7D">
        <w:t xml:space="preserve"> targets accountable to</w:t>
      </w:r>
      <w:r w:rsidR="00C925F2">
        <w:t xml:space="preserve"> respond to our inquiries fully, </w:t>
      </w:r>
      <w:r w:rsidR="009F521E">
        <w:t>accurately, and within the time</w:t>
      </w:r>
      <w:r w:rsidR="00C925F2">
        <w:t>frame given for response</w:t>
      </w:r>
      <w:r w:rsidR="00DA1B7D">
        <w:t>.  Whe</w:t>
      </w:r>
      <w:r w:rsidR="00C925F2">
        <w:t>n</w:t>
      </w:r>
      <w:r w:rsidR="00DA1B7D">
        <w:t xml:space="preserve"> entities subject to Commission jurisdiction fail to respond</w:t>
      </w:r>
      <w:r w:rsidR="00C925F2">
        <w:t xml:space="preserve"> as required, such failure</w:t>
      </w:r>
      <w:r w:rsidR="00DA1B7D">
        <w:t xml:space="preserve"> </w:t>
      </w:r>
      <w:r w:rsidR="00C925F2">
        <w:t xml:space="preserve">is </w:t>
      </w:r>
      <w:r w:rsidR="00DA1B7D">
        <w:t xml:space="preserve">a separate violation apart from the conduct under investigation. </w:t>
      </w:r>
    </w:p>
    <w:p w14:paraId="3C36463D" w14:textId="0871C6E5" w:rsidR="00EF35BA" w:rsidRPr="00EF35BA" w:rsidRDefault="00DA1B7D" w:rsidP="002E480A">
      <w:pPr>
        <w:pStyle w:val="ParaNum"/>
        <w:widowControl/>
        <w:tabs>
          <w:tab w:val="clear" w:pos="1080"/>
        </w:tabs>
        <w:spacing w:after="120"/>
        <w:jc w:val="left"/>
        <w:rPr>
          <w:szCs w:val="22"/>
        </w:rPr>
      </w:pPr>
      <w:r>
        <w:t xml:space="preserve">By this Order, we adopt and incorporate by reference the attached Consent Decree entered into between the Enforcement Bureau (Bureau) and Newport Television, LLC (Newport).  The Consent Decree resolves </w:t>
      </w:r>
      <w:r w:rsidR="003B2422">
        <w:t xml:space="preserve">the Bureau’s investigation </w:t>
      </w:r>
      <w:r w:rsidR="00196492">
        <w:t>of allegations that</w:t>
      </w:r>
      <w:r w:rsidR="009B5BF4">
        <w:t xml:space="preserve"> Newport called a consumer</w:t>
      </w:r>
      <w:r w:rsidR="003B2422">
        <w:t>,</w:t>
      </w:r>
      <w:r w:rsidR="00196492">
        <w:t xml:space="preserve"> </w:t>
      </w:r>
      <w:r w:rsidR="00FF1A43">
        <w:t>in the context of a news interview,</w:t>
      </w:r>
      <w:r w:rsidR="00196492" w:rsidRPr="0089637B">
        <w:t xml:space="preserve"> </w:t>
      </w:r>
      <w:r w:rsidR="00196492">
        <w:t xml:space="preserve">recorded </w:t>
      </w:r>
      <w:r w:rsidR="00EF446C">
        <w:t xml:space="preserve">and </w:t>
      </w:r>
      <w:r w:rsidR="009B5BF4">
        <w:t xml:space="preserve">then </w:t>
      </w:r>
      <w:r w:rsidR="00196492">
        <w:t xml:space="preserve">broadcast </w:t>
      </w:r>
      <w:r w:rsidR="009B5BF4">
        <w:t>its</w:t>
      </w:r>
      <w:r w:rsidR="00196492">
        <w:t xml:space="preserve"> telephone conversation </w:t>
      </w:r>
      <w:r w:rsidR="009B5BF4">
        <w:t>with the consumer</w:t>
      </w:r>
      <w:r w:rsidR="00AD0CF1">
        <w:t xml:space="preserve"> </w:t>
      </w:r>
      <w:r w:rsidR="009B5BF4">
        <w:t>but did</w:t>
      </w:r>
      <w:r w:rsidR="00AD0CF1">
        <w:t xml:space="preserve"> not</w:t>
      </w:r>
      <w:r w:rsidR="00196492">
        <w:t xml:space="preserve"> </w:t>
      </w:r>
      <w:r w:rsidR="009B5BF4">
        <w:t xml:space="preserve">inform the consumer that the call was being recorded and would be broadcast.  This conduct </w:t>
      </w:r>
      <w:r w:rsidR="009B5BF4">
        <w:lastRenderedPageBreak/>
        <w:t>violates the consumer’s privacy and our rules.  In addition, Newport hampered our investigation of the initial complaint by failing</w:t>
      </w:r>
      <w:r w:rsidR="00FF1A43">
        <w:t xml:space="preserve"> to </w:t>
      </w:r>
      <w:r w:rsidR="0037181E">
        <w:t xml:space="preserve">fully </w:t>
      </w:r>
      <w:r w:rsidR="00FF1A43">
        <w:t>respond to communications from Bureau staff</w:t>
      </w:r>
      <w:r w:rsidR="009B5BF4">
        <w:t>.</w:t>
      </w:r>
      <w:r w:rsidR="00FF1A43">
        <w:t xml:space="preserve">  Newport admits that </w:t>
      </w:r>
      <w:r w:rsidR="003B2422">
        <w:t xml:space="preserve">such conduct </w:t>
      </w:r>
      <w:r w:rsidR="00FF1A43">
        <w:t>violated</w:t>
      </w:r>
      <w:r w:rsidR="00196492">
        <w:t xml:space="preserve"> </w:t>
      </w:r>
      <w:r w:rsidR="00FF1A43">
        <w:t>S</w:t>
      </w:r>
      <w:r w:rsidR="00F8669F">
        <w:t>ection</w:t>
      </w:r>
      <w:r w:rsidR="00FF1A43">
        <w:t xml:space="preserve"> 73.1206 of the Commission rules</w:t>
      </w:r>
      <w:r w:rsidR="00FF1A43">
        <w:rPr>
          <w:rStyle w:val="FootnoteReference"/>
        </w:rPr>
        <w:footnoteReference w:id="4"/>
      </w:r>
      <w:r w:rsidR="00B90C9C">
        <w:t xml:space="preserve"> and</w:t>
      </w:r>
      <w:r>
        <w:t xml:space="preserve"> Commission precedent</w:t>
      </w:r>
      <w:r w:rsidR="003B2422">
        <w:t>,</w:t>
      </w:r>
      <w:r w:rsidR="00F8669F">
        <w:rPr>
          <w:rStyle w:val="FootnoteReference"/>
          <w:szCs w:val="22"/>
        </w:rPr>
        <w:footnoteReference w:id="5"/>
      </w:r>
      <w:r w:rsidR="0063308B">
        <w:t xml:space="preserve"> </w:t>
      </w:r>
      <w:r w:rsidR="003B2422">
        <w:t xml:space="preserve">and </w:t>
      </w:r>
      <w:r w:rsidR="00FF1A43">
        <w:t xml:space="preserve">will pay </w:t>
      </w:r>
      <w:r w:rsidR="00E61CDC">
        <w:t xml:space="preserve">a civil penalty of </w:t>
      </w:r>
      <w:r w:rsidR="00FF1A43">
        <w:t>$35,000</w:t>
      </w:r>
      <w:r w:rsidR="0063308B">
        <w:t xml:space="preserve"> to </w:t>
      </w:r>
      <w:r w:rsidR="0037181E">
        <w:t xml:space="preserve">resolve </w:t>
      </w:r>
      <w:r w:rsidR="0063308B">
        <w:t>this matter</w:t>
      </w:r>
      <w:r w:rsidR="00FF1A43">
        <w:t xml:space="preserve">.  </w:t>
      </w:r>
    </w:p>
    <w:p w14:paraId="093167F5" w14:textId="77777777" w:rsidR="00494A8D" w:rsidRPr="00E303A9" w:rsidRDefault="00E303A9" w:rsidP="002E480A">
      <w:pPr>
        <w:pStyle w:val="ParaNum"/>
        <w:tabs>
          <w:tab w:val="clear" w:pos="1080"/>
        </w:tabs>
        <w:spacing w:after="120"/>
        <w:jc w:val="left"/>
      </w:pPr>
      <w:r>
        <w:rPr>
          <w:szCs w:val="22"/>
        </w:rPr>
        <w:t xml:space="preserve">After reviewing the terms of the Consent Decree and evaluating the facts before us, we find that the public interest would be served by adopting the Consent Decree </w:t>
      </w:r>
      <w:r>
        <w:rPr>
          <w:bCs/>
          <w:szCs w:val="22"/>
        </w:rPr>
        <w:t>and terminating the investigation.</w:t>
      </w:r>
    </w:p>
    <w:p w14:paraId="476DD4A8" w14:textId="77777777" w:rsidR="002D203B" w:rsidRDefault="002D203B" w:rsidP="002E480A">
      <w:pPr>
        <w:pStyle w:val="ParaNum"/>
        <w:tabs>
          <w:tab w:val="clear" w:pos="1080"/>
        </w:tabs>
        <w:spacing w:after="120"/>
        <w:jc w:val="left"/>
      </w:pPr>
      <w:r>
        <w:t xml:space="preserve">In the absence of material new evidence relating to this matter, we conclude that our investigation raises no substantial or material questions of fact as to whether </w:t>
      </w:r>
      <w:r w:rsidR="00105D3E">
        <w:t>Newport</w:t>
      </w:r>
      <w:r>
        <w:t xml:space="preserve"> possesses the basic qualifications, including those related to character, to hold or obtain any Commission license or authorization.</w:t>
      </w:r>
    </w:p>
    <w:p w14:paraId="5B8402C7" w14:textId="77777777" w:rsidR="002D203B" w:rsidRDefault="002D203B" w:rsidP="002E480A">
      <w:pPr>
        <w:pStyle w:val="ParaNum"/>
        <w:tabs>
          <w:tab w:val="clear" w:pos="1080"/>
        </w:tabs>
        <w:spacing w:after="120"/>
        <w:jc w:val="left"/>
      </w:pPr>
      <w:r>
        <w:t xml:space="preserve">Accordingly, </w:t>
      </w:r>
      <w:r w:rsidRPr="00D61C67">
        <w:rPr>
          <w:b/>
        </w:rPr>
        <w:t>IT IS ORDERED</w:t>
      </w:r>
      <w:r w:rsidR="00FF1A43">
        <w:t xml:space="preserve"> that, pursuant to Section</w:t>
      </w:r>
      <w:r>
        <w:t xml:space="preserve"> 4(i) of the </w:t>
      </w:r>
      <w:r w:rsidR="00FF1A43">
        <w:t xml:space="preserve">Communications </w:t>
      </w:r>
      <w:r>
        <w:t>Act</w:t>
      </w:r>
      <w:r w:rsidR="00FF1A43">
        <w:t xml:space="preserve"> of 1934, as amended,</w:t>
      </w:r>
      <w:r w:rsidR="00FF1A43">
        <w:rPr>
          <w:rStyle w:val="FootnoteReference"/>
        </w:rPr>
        <w:footnoteReference w:id="6"/>
      </w:r>
      <w:r w:rsidR="00FF1A43">
        <w:t xml:space="preserve"> </w:t>
      </w:r>
      <w:r>
        <w:t>and Sections 0.111 and 0.311 of the Commission’s rules,</w:t>
      </w:r>
      <w:r w:rsidR="00FF1A43">
        <w:rPr>
          <w:rStyle w:val="FootnoteReference"/>
        </w:rPr>
        <w:footnoteReference w:id="7"/>
      </w:r>
      <w:r>
        <w:t xml:space="preserve"> </w:t>
      </w:r>
      <w:r w:rsidR="00FF1A43">
        <w:t xml:space="preserve">the </w:t>
      </w:r>
      <w:r>
        <w:t>Consent Decree</w:t>
      </w:r>
      <w:r w:rsidR="00FF1A43">
        <w:t xml:space="preserve"> attached to this Order</w:t>
      </w:r>
      <w:r>
        <w:t xml:space="preserve"> </w:t>
      </w:r>
      <w:r w:rsidRPr="001365B5">
        <w:rPr>
          <w:b/>
        </w:rPr>
        <w:t>IS ADOPTED</w:t>
      </w:r>
      <w:r>
        <w:t>.</w:t>
      </w:r>
    </w:p>
    <w:p w14:paraId="726B6CA6" w14:textId="3AA9E193" w:rsidR="002D203B" w:rsidRDefault="002D203B" w:rsidP="002E480A">
      <w:pPr>
        <w:pStyle w:val="ParaNum"/>
        <w:tabs>
          <w:tab w:val="clear" w:pos="1080"/>
        </w:tabs>
        <w:spacing w:after="120"/>
        <w:jc w:val="left"/>
      </w:pPr>
      <w:r w:rsidRPr="00D61C67">
        <w:rPr>
          <w:b/>
        </w:rPr>
        <w:t>IT IS FURTHER ORDERED</w:t>
      </w:r>
      <w:r w:rsidR="00FF1A43">
        <w:t xml:space="preserve"> that the above-capti</w:t>
      </w:r>
      <w:r w:rsidR="0063308B">
        <w:t>oned investigation</w:t>
      </w:r>
      <w:r>
        <w:t xml:space="preserve"> </w:t>
      </w:r>
      <w:r>
        <w:rPr>
          <w:b/>
        </w:rPr>
        <w:t>IS TERMINATED</w:t>
      </w:r>
      <w:r>
        <w:t>.</w:t>
      </w:r>
    </w:p>
    <w:p w14:paraId="1E340CC6" w14:textId="77777777" w:rsidR="00635C74" w:rsidRDefault="00635C74" w:rsidP="002E480A">
      <w:pPr>
        <w:pStyle w:val="ParaNum"/>
        <w:tabs>
          <w:tab w:val="clear" w:pos="1080"/>
        </w:tabs>
        <w:spacing w:after="120"/>
        <w:jc w:val="left"/>
      </w:pPr>
      <w:r>
        <w:rPr>
          <w:b/>
        </w:rPr>
        <w:t>IT IS FURTHER ORDERED</w:t>
      </w:r>
      <w:r>
        <w:t xml:space="preserve"> that any third-party complaint against Newport related to the above-captioned investigation that is pending before the Bureau as of the date of this Order </w:t>
      </w:r>
      <w:r>
        <w:rPr>
          <w:b/>
        </w:rPr>
        <w:t>IS DISMISSED</w:t>
      </w:r>
      <w:r>
        <w:t>.</w:t>
      </w:r>
      <w:r>
        <w:rPr>
          <w:b/>
        </w:rPr>
        <w:t xml:space="preserve"> </w:t>
      </w:r>
    </w:p>
    <w:p w14:paraId="4DDAD422" w14:textId="03371A3A" w:rsidR="002D203B" w:rsidRDefault="002D203B" w:rsidP="002E480A">
      <w:pPr>
        <w:pStyle w:val="ParaNum"/>
        <w:tabs>
          <w:tab w:val="clear" w:pos="1080"/>
        </w:tabs>
        <w:spacing w:after="120"/>
        <w:jc w:val="left"/>
      </w:pPr>
      <w:r w:rsidRPr="00D61C67">
        <w:rPr>
          <w:b/>
        </w:rPr>
        <w:t>IT IS FURTHER ORDERED</w:t>
      </w:r>
      <w:r>
        <w:t xml:space="preserve"> that a copy of this Order and Consent Decree shall be sent by first class mail and certified mail, return receipt requested, to </w:t>
      </w:r>
      <w:r w:rsidR="00105D3E">
        <w:rPr>
          <w:szCs w:val="22"/>
        </w:rPr>
        <w:t>Newport</w:t>
      </w:r>
      <w:r>
        <w:rPr>
          <w:szCs w:val="22"/>
        </w:rPr>
        <w:t xml:space="preserve">’s counsel, </w:t>
      </w:r>
      <w:r w:rsidR="00E303A9" w:rsidRPr="00E303A9">
        <w:rPr>
          <w:szCs w:val="22"/>
        </w:rPr>
        <w:t>Mace J. Rosenstein</w:t>
      </w:r>
      <w:r>
        <w:rPr>
          <w:szCs w:val="22"/>
        </w:rPr>
        <w:t xml:space="preserve">, Esq., </w:t>
      </w:r>
      <w:r w:rsidR="00E303A9">
        <w:rPr>
          <w:szCs w:val="22"/>
        </w:rPr>
        <w:t xml:space="preserve">Covington &amp; Burling LLP, 1201 Pennsylvania Avenue, NW, </w:t>
      </w:r>
      <w:r w:rsidR="00E303A9" w:rsidRPr="00E303A9">
        <w:rPr>
          <w:szCs w:val="22"/>
        </w:rPr>
        <w:t>Washington, D</w:t>
      </w:r>
      <w:r w:rsidR="009F521E">
        <w:rPr>
          <w:szCs w:val="22"/>
        </w:rPr>
        <w:t>.</w:t>
      </w:r>
      <w:r w:rsidR="00E303A9" w:rsidRPr="00E303A9">
        <w:rPr>
          <w:szCs w:val="22"/>
        </w:rPr>
        <w:t>C</w:t>
      </w:r>
      <w:r w:rsidR="009F521E">
        <w:rPr>
          <w:szCs w:val="22"/>
        </w:rPr>
        <w:t>.</w:t>
      </w:r>
      <w:r w:rsidR="00E303A9" w:rsidRPr="00E303A9">
        <w:rPr>
          <w:szCs w:val="22"/>
        </w:rPr>
        <w:t xml:space="preserve"> </w:t>
      </w:r>
      <w:r w:rsidR="00FF1A43">
        <w:rPr>
          <w:szCs w:val="22"/>
        </w:rPr>
        <w:t xml:space="preserve"> </w:t>
      </w:r>
      <w:r w:rsidR="00E303A9" w:rsidRPr="00E303A9">
        <w:rPr>
          <w:szCs w:val="22"/>
        </w:rPr>
        <w:t>20004-2401</w:t>
      </w:r>
      <w:r>
        <w:rPr>
          <w:szCs w:val="22"/>
        </w:rPr>
        <w:t>.</w:t>
      </w:r>
    </w:p>
    <w:p w14:paraId="5F08EBC6" w14:textId="77777777" w:rsidR="002D203B" w:rsidRPr="00E80356" w:rsidRDefault="002D203B" w:rsidP="0063308B">
      <w:pPr>
        <w:pStyle w:val="ParaNum"/>
        <w:numPr>
          <w:ilvl w:val="0"/>
          <w:numId w:val="0"/>
        </w:numPr>
      </w:pPr>
    </w:p>
    <w:p w14:paraId="7449F972" w14:textId="77777777" w:rsidR="002D203B" w:rsidRDefault="002D203B" w:rsidP="001D0376">
      <w:r>
        <w:tab/>
      </w:r>
      <w:r>
        <w:tab/>
      </w:r>
      <w:r>
        <w:tab/>
      </w:r>
      <w:r>
        <w:tab/>
      </w:r>
      <w:r>
        <w:tab/>
      </w:r>
      <w:r>
        <w:tab/>
        <w:t>FEDERAL COMMUNICATIONS COMMISSION</w:t>
      </w:r>
    </w:p>
    <w:p w14:paraId="54F3878B" w14:textId="77777777" w:rsidR="002D203B" w:rsidRDefault="002D203B" w:rsidP="001D0376"/>
    <w:p w14:paraId="1DA3C660" w14:textId="77777777" w:rsidR="002D203B" w:rsidRDefault="002D203B" w:rsidP="001D0376"/>
    <w:p w14:paraId="2EFE136A" w14:textId="77777777" w:rsidR="002D203B" w:rsidRDefault="002D203B" w:rsidP="001D0376"/>
    <w:p w14:paraId="643B885F" w14:textId="77777777" w:rsidR="002D203B" w:rsidRDefault="002D203B" w:rsidP="001D0376"/>
    <w:p w14:paraId="5AEB8D8F" w14:textId="77777777" w:rsidR="002D203B" w:rsidRDefault="002D203B" w:rsidP="009F521E">
      <w:pPr>
        <w:jc w:val="left"/>
      </w:pPr>
      <w:r>
        <w:tab/>
      </w:r>
      <w:r>
        <w:tab/>
      </w:r>
      <w:r>
        <w:tab/>
      </w:r>
      <w:r>
        <w:tab/>
      </w:r>
      <w:r>
        <w:tab/>
      </w:r>
      <w:r>
        <w:tab/>
        <w:t>Travis LeBlanc</w:t>
      </w:r>
    </w:p>
    <w:p w14:paraId="19A29A1E" w14:textId="77777777" w:rsidR="002D203B" w:rsidRDefault="002D203B" w:rsidP="009F521E">
      <w:pPr>
        <w:jc w:val="left"/>
      </w:pPr>
      <w:r>
        <w:tab/>
      </w:r>
      <w:r>
        <w:tab/>
      </w:r>
      <w:r>
        <w:tab/>
      </w:r>
      <w:r>
        <w:tab/>
      </w:r>
      <w:r>
        <w:tab/>
      </w:r>
      <w:r>
        <w:tab/>
        <w:t>Chief</w:t>
      </w:r>
    </w:p>
    <w:p w14:paraId="31C15744" w14:textId="77777777" w:rsidR="00FF6BF4" w:rsidRDefault="002D203B" w:rsidP="009F521E">
      <w:pPr>
        <w:jc w:val="left"/>
        <w:sectPr w:rsidR="00FF6BF4" w:rsidSect="007E5F3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170" w:right="1440" w:bottom="1440" w:left="1440" w:header="720" w:footer="720" w:gutter="0"/>
          <w:pgNumType w:start="1"/>
          <w:cols w:space="720"/>
          <w:titlePg/>
          <w:docGrid w:linePitch="299"/>
        </w:sectPr>
      </w:pPr>
      <w:r>
        <w:tab/>
      </w:r>
      <w:r>
        <w:tab/>
      </w:r>
      <w:r>
        <w:tab/>
      </w:r>
      <w:r>
        <w:tab/>
      </w:r>
      <w:r>
        <w:tab/>
      </w:r>
      <w:r>
        <w:tab/>
        <w:t>Enforcement Bureau</w:t>
      </w:r>
    </w:p>
    <w:p w14:paraId="6CAB1596" w14:textId="77777777" w:rsidR="007634BA" w:rsidRPr="002B1E8D" w:rsidRDefault="007634BA" w:rsidP="007634BA">
      <w:pPr>
        <w:jc w:val="center"/>
        <w:rPr>
          <w:b/>
          <w:szCs w:val="22"/>
        </w:rPr>
      </w:pPr>
      <w:r w:rsidRPr="002B1E8D">
        <w:rPr>
          <w:rFonts w:ascii="Times New Roman Bold" w:hAnsi="Times New Roman Bold"/>
          <w:b/>
          <w:kern w:val="0"/>
          <w:szCs w:val="22"/>
        </w:rPr>
        <w:lastRenderedPageBreak/>
        <w:t>Before</w:t>
      </w:r>
      <w:r w:rsidRPr="002B1E8D">
        <w:rPr>
          <w:b/>
          <w:szCs w:val="22"/>
        </w:rPr>
        <w:t xml:space="preserve"> the</w:t>
      </w:r>
    </w:p>
    <w:p w14:paraId="7A6818D8" w14:textId="77777777" w:rsidR="007634BA" w:rsidRPr="002B1E8D" w:rsidRDefault="007634BA" w:rsidP="007634BA">
      <w:pPr>
        <w:pStyle w:val="StyleBoldCentered"/>
      </w:pPr>
      <w:r w:rsidRPr="002B1E8D">
        <w:t>F</w:t>
      </w:r>
      <w:r w:rsidRPr="002B1E8D">
        <w:rPr>
          <w:caps w:val="0"/>
        </w:rPr>
        <w:t>ederal Communications Commission</w:t>
      </w:r>
    </w:p>
    <w:p w14:paraId="068E1254" w14:textId="77777777" w:rsidR="007634BA" w:rsidRPr="002B1E8D" w:rsidRDefault="007634BA" w:rsidP="007634BA">
      <w:pPr>
        <w:pStyle w:val="StyleBoldCentered"/>
      </w:pPr>
      <w:r w:rsidRPr="002B1E8D">
        <w:rPr>
          <w:caps w:val="0"/>
        </w:rPr>
        <w:t>Washington, D.C. 20554</w:t>
      </w:r>
    </w:p>
    <w:p w14:paraId="1361DDBC" w14:textId="77777777" w:rsidR="007634BA" w:rsidRPr="002B1E8D" w:rsidRDefault="007634BA" w:rsidP="007634BA">
      <w:pPr>
        <w:rPr>
          <w:szCs w:val="22"/>
        </w:rPr>
      </w:pPr>
    </w:p>
    <w:p w14:paraId="50A96E93" w14:textId="77777777" w:rsidR="00FF6BF4" w:rsidRDefault="00FF6BF4" w:rsidP="00FC0245">
      <w:pPr>
        <w:tabs>
          <w:tab w:val="center" w:pos="4680"/>
        </w:tabs>
        <w:suppressAutoHyphens/>
        <w:rPr>
          <w:spacing w:val="-2"/>
          <w:szCs w:val="22"/>
        </w:rPr>
        <w:sectPr w:rsidR="00FF6BF4" w:rsidSect="00FF6BF4">
          <w:headerReference w:type="default" r:id="rId14"/>
          <w:footerReference w:type="default" r:id="rId15"/>
          <w:type w:val="continuous"/>
          <w:pgSz w:w="12240" w:h="15840"/>
          <w:pgMar w:top="117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4698"/>
        <w:gridCol w:w="630"/>
        <w:gridCol w:w="4248"/>
      </w:tblGrid>
      <w:tr w:rsidR="007634BA" w:rsidRPr="002B1E8D" w14:paraId="1990DE88" w14:textId="77777777" w:rsidTr="00FC0245">
        <w:tc>
          <w:tcPr>
            <w:tcW w:w="4698" w:type="dxa"/>
          </w:tcPr>
          <w:p w14:paraId="2C843822" w14:textId="028558B9" w:rsidR="007634BA" w:rsidRPr="002B1E8D" w:rsidRDefault="007634BA" w:rsidP="00FC0245">
            <w:pPr>
              <w:tabs>
                <w:tab w:val="center" w:pos="4680"/>
              </w:tabs>
              <w:suppressAutoHyphens/>
              <w:rPr>
                <w:spacing w:val="-2"/>
                <w:szCs w:val="22"/>
              </w:rPr>
            </w:pPr>
            <w:r w:rsidRPr="002B1E8D">
              <w:rPr>
                <w:spacing w:val="-2"/>
                <w:szCs w:val="22"/>
              </w:rPr>
              <w:t>In the Matter of</w:t>
            </w:r>
          </w:p>
          <w:p w14:paraId="676A4B16" w14:textId="77777777" w:rsidR="007634BA" w:rsidRPr="002B1E8D" w:rsidRDefault="007634BA" w:rsidP="00FC0245">
            <w:pPr>
              <w:tabs>
                <w:tab w:val="center" w:pos="4680"/>
              </w:tabs>
              <w:suppressAutoHyphens/>
              <w:rPr>
                <w:spacing w:val="-2"/>
                <w:szCs w:val="22"/>
              </w:rPr>
            </w:pPr>
          </w:p>
          <w:p w14:paraId="73CF89EB" w14:textId="77777777" w:rsidR="007634BA" w:rsidRPr="002B1E8D" w:rsidRDefault="007634BA" w:rsidP="00FC0245">
            <w:pPr>
              <w:tabs>
                <w:tab w:val="center" w:pos="4680"/>
              </w:tabs>
              <w:suppressAutoHyphens/>
              <w:rPr>
                <w:b/>
                <w:spacing w:val="-2"/>
                <w:szCs w:val="22"/>
              </w:rPr>
            </w:pPr>
            <w:r w:rsidRPr="002B1E8D">
              <w:rPr>
                <w:b/>
                <w:spacing w:val="-2"/>
                <w:szCs w:val="22"/>
              </w:rPr>
              <w:t>NEWPORT TELEVISION, LLC</w:t>
            </w:r>
          </w:p>
          <w:p w14:paraId="7BEAF108" w14:textId="77777777" w:rsidR="007634BA" w:rsidRPr="002B1E8D" w:rsidRDefault="007634BA" w:rsidP="00FC0245">
            <w:pPr>
              <w:tabs>
                <w:tab w:val="center" w:pos="4680"/>
              </w:tabs>
              <w:suppressAutoHyphens/>
              <w:rPr>
                <w:b/>
                <w:spacing w:val="-2"/>
                <w:szCs w:val="22"/>
              </w:rPr>
            </w:pPr>
          </w:p>
          <w:p w14:paraId="7F2DB910" w14:textId="77777777" w:rsidR="007634BA" w:rsidRPr="002B1E8D" w:rsidRDefault="007634BA" w:rsidP="00FC0245">
            <w:pPr>
              <w:tabs>
                <w:tab w:val="center" w:pos="4680"/>
              </w:tabs>
              <w:suppressAutoHyphens/>
              <w:rPr>
                <w:spacing w:val="-2"/>
                <w:szCs w:val="22"/>
              </w:rPr>
            </w:pPr>
            <w:r w:rsidRPr="002B1E8D">
              <w:rPr>
                <w:spacing w:val="-2"/>
                <w:szCs w:val="22"/>
              </w:rPr>
              <w:t>Former Licensee of Station KTVX(DT),</w:t>
            </w:r>
          </w:p>
          <w:p w14:paraId="18219014" w14:textId="77777777" w:rsidR="007634BA" w:rsidRPr="002B1E8D" w:rsidRDefault="007634BA" w:rsidP="00FC0245">
            <w:pPr>
              <w:tabs>
                <w:tab w:val="center" w:pos="4680"/>
              </w:tabs>
              <w:suppressAutoHyphens/>
              <w:rPr>
                <w:spacing w:val="-2"/>
                <w:szCs w:val="22"/>
              </w:rPr>
            </w:pPr>
            <w:r w:rsidRPr="002B1E8D">
              <w:rPr>
                <w:spacing w:val="-2"/>
                <w:szCs w:val="22"/>
              </w:rPr>
              <w:t>Salt Lake City, Utah</w:t>
            </w:r>
            <w:r w:rsidRPr="002B1E8D">
              <w:rPr>
                <w:rStyle w:val="FootnoteReference"/>
                <w:spacing w:val="-2"/>
                <w:szCs w:val="22"/>
              </w:rPr>
              <w:footnoteReference w:id="8"/>
            </w:r>
          </w:p>
        </w:tc>
        <w:tc>
          <w:tcPr>
            <w:tcW w:w="630" w:type="dxa"/>
          </w:tcPr>
          <w:p w14:paraId="5AA10D15"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6F7FB2D9"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10FD0EF8"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5733F55E"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7F58F69B" w14:textId="77777777" w:rsidR="007634BA" w:rsidRPr="002B1E8D" w:rsidRDefault="007634BA" w:rsidP="00FC0245">
            <w:pPr>
              <w:tabs>
                <w:tab w:val="center" w:pos="4680"/>
              </w:tabs>
              <w:suppressAutoHyphens/>
              <w:rPr>
                <w:b/>
                <w:spacing w:val="-2"/>
                <w:szCs w:val="22"/>
              </w:rPr>
            </w:pPr>
            <w:r w:rsidRPr="002B1E8D">
              <w:rPr>
                <w:b/>
                <w:spacing w:val="-2"/>
                <w:szCs w:val="22"/>
              </w:rPr>
              <w:t>)</w:t>
            </w:r>
          </w:p>
          <w:p w14:paraId="12F981E3" w14:textId="77777777" w:rsidR="007634BA" w:rsidRPr="00502F9F" w:rsidRDefault="007634BA" w:rsidP="00FC0245">
            <w:pPr>
              <w:tabs>
                <w:tab w:val="center" w:pos="4680"/>
              </w:tabs>
              <w:suppressAutoHyphens/>
              <w:rPr>
                <w:b/>
                <w:spacing w:val="-2"/>
                <w:szCs w:val="22"/>
              </w:rPr>
            </w:pPr>
            <w:r w:rsidRPr="002B1E8D">
              <w:rPr>
                <w:b/>
                <w:spacing w:val="-2"/>
                <w:szCs w:val="22"/>
              </w:rPr>
              <w:t>)</w:t>
            </w:r>
          </w:p>
          <w:p w14:paraId="08F89266" w14:textId="77777777" w:rsidR="007634BA" w:rsidRPr="002B1E8D" w:rsidRDefault="007634BA" w:rsidP="00FC0245">
            <w:pPr>
              <w:tabs>
                <w:tab w:val="center" w:pos="4680"/>
              </w:tabs>
              <w:suppressAutoHyphens/>
              <w:rPr>
                <w:spacing w:val="-2"/>
                <w:szCs w:val="22"/>
              </w:rPr>
            </w:pPr>
          </w:p>
        </w:tc>
        <w:tc>
          <w:tcPr>
            <w:tcW w:w="4248" w:type="dxa"/>
          </w:tcPr>
          <w:p w14:paraId="4314F79F" w14:textId="77777777" w:rsidR="007634BA" w:rsidRDefault="007634BA" w:rsidP="00FC0245">
            <w:pPr>
              <w:tabs>
                <w:tab w:val="center" w:pos="4680"/>
              </w:tabs>
              <w:suppressAutoHyphens/>
              <w:ind w:firstLine="432"/>
              <w:rPr>
                <w:spacing w:val="-2"/>
                <w:szCs w:val="22"/>
              </w:rPr>
            </w:pPr>
          </w:p>
          <w:p w14:paraId="166C5AD1" w14:textId="77777777" w:rsidR="007634BA" w:rsidRDefault="007634BA" w:rsidP="00FC0245">
            <w:pPr>
              <w:tabs>
                <w:tab w:val="center" w:pos="4680"/>
              </w:tabs>
              <w:suppressAutoHyphens/>
              <w:ind w:firstLine="432"/>
              <w:rPr>
                <w:spacing w:val="-2"/>
                <w:szCs w:val="22"/>
              </w:rPr>
            </w:pPr>
          </w:p>
          <w:p w14:paraId="55E4C569" w14:textId="77777777" w:rsidR="007634BA" w:rsidRPr="002B1E8D" w:rsidRDefault="007634BA" w:rsidP="00FC0245">
            <w:pPr>
              <w:tabs>
                <w:tab w:val="center" w:pos="4680"/>
              </w:tabs>
              <w:suppressAutoHyphens/>
              <w:ind w:firstLine="432"/>
              <w:rPr>
                <w:spacing w:val="-2"/>
                <w:szCs w:val="22"/>
              </w:rPr>
            </w:pPr>
            <w:r w:rsidRPr="002B1E8D">
              <w:rPr>
                <w:spacing w:val="-2"/>
                <w:szCs w:val="22"/>
              </w:rPr>
              <w:t>File No.:  EB-IHD-14-00017156</w:t>
            </w:r>
            <w:r w:rsidRPr="002B1E8D">
              <w:rPr>
                <w:snapToGrid/>
                <w:spacing w:val="-2"/>
                <w:kern w:val="0"/>
                <w:szCs w:val="22"/>
                <w:vertAlign w:val="superscript"/>
              </w:rPr>
              <w:footnoteReference w:id="9"/>
            </w:r>
          </w:p>
          <w:p w14:paraId="447643E8" w14:textId="77777777" w:rsidR="007634BA" w:rsidRPr="002B1E8D" w:rsidRDefault="007634BA" w:rsidP="00FC0245">
            <w:pPr>
              <w:tabs>
                <w:tab w:val="center" w:pos="4680"/>
              </w:tabs>
              <w:suppressAutoHyphens/>
              <w:ind w:left="432"/>
              <w:rPr>
                <w:spacing w:val="-2"/>
                <w:szCs w:val="22"/>
              </w:rPr>
            </w:pPr>
            <w:r w:rsidRPr="002B1E8D">
              <w:rPr>
                <w:spacing w:val="-2"/>
                <w:szCs w:val="22"/>
              </w:rPr>
              <w:t>Acct. No.:</w:t>
            </w:r>
            <w:r w:rsidRPr="002B1E8D">
              <w:rPr>
                <w:kern w:val="0"/>
                <w:szCs w:val="22"/>
              </w:rPr>
              <w:t xml:space="preserve"> </w:t>
            </w:r>
            <w:r>
              <w:rPr>
                <w:kern w:val="0"/>
                <w:szCs w:val="22"/>
              </w:rPr>
              <w:t xml:space="preserve"> </w:t>
            </w:r>
            <w:r w:rsidRPr="002B1E8D">
              <w:rPr>
                <w:spacing w:val="-2"/>
                <w:szCs w:val="22"/>
              </w:rPr>
              <w:t xml:space="preserve">201532080002 </w:t>
            </w:r>
          </w:p>
          <w:p w14:paraId="0817F14D" w14:textId="77777777" w:rsidR="007634BA" w:rsidRPr="002B1E8D" w:rsidRDefault="007634BA" w:rsidP="00FC0245">
            <w:pPr>
              <w:tabs>
                <w:tab w:val="center" w:pos="4680"/>
              </w:tabs>
              <w:suppressAutoHyphens/>
              <w:ind w:firstLine="432"/>
              <w:rPr>
                <w:snapToGrid/>
                <w:spacing w:val="-2"/>
                <w:szCs w:val="22"/>
              </w:rPr>
            </w:pPr>
            <w:r w:rsidRPr="002B1E8D">
              <w:rPr>
                <w:spacing w:val="-2"/>
                <w:szCs w:val="22"/>
              </w:rPr>
              <w:t xml:space="preserve">FRN:  </w:t>
            </w:r>
            <w:r w:rsidRPr="001B5886">
              <w:rPr>
                <w:spacing w:val="-2"/>
                <w:szCs w:val="22"/>
              </w:rPr>
              <w:t>0017717000</w:t>
            </w:r>
          </w:p>
        </w:tc>
      </w:tr>
    </w:tbl>
    <w:p w14:paraId="65B5CCCA" w14:textId="77777777" w:rsidR="007634BA" w:rsidRPr="002B1E8D" w:rsidRDefault="007634BA" w:rsidP="007634BA">
      <w:pPr>
        <w:pStyle w:val="StyleBoldCentered"/>
      </w:pPr>
      <w:r w:rsidRPr="002B1E8D">
        <w:t>CONSENT DECREE</w:t>
      </w:r>
    </w:p>
    <w:p w14:paraId="0A7E42DE" w14:textId="77777777" w:rsidR="007634BA" w:rsidRPr="002B1E8D" w:rsidRDefault="007634BA" w:rsidP="007634BA">
      <w:pPr>
        <w:rPr>
          <w:szCs w:val="22"/>
        </w:rPr>
      </w:pPr>
    </w:p>
    <w:p w14:paraId="28D7FE30" w14:textId="77777777" w:rsidR="007634BA" w:rsidRPr="007634BA" w:rsidRDefault="007634BA" w:rsidP="007634BA">
      <w:pPr>
        <w:pStyle w:val="ParaNum"/>
        <w:numPr>
          <w:ilvl w:val="0"/>
          <w:numId w:val="9"/>
        </w:numPr>
        <w:tabs>
          <w:tab w:val="clear" w:pos="1080"/>
          <w:tab w:val="num" w:pos="1440"/>
        </w:tabs>
        <w:spacing w:after="120"/>
        <w:jc w:val="left"/>
        <w:rPr>
          <w:szCs w:val="22"/>
        </w:rPr>
      </w:pPr>
      <w:r w:rsidRPr="007634BA">
        <w:rPr>
          <w:szCs w:val="22"/>
        </w:rPr>
        <w:t>The Enforcement Bureau (Bureau) of the Federal Communications Commission (Commission) and Newport Television, LLC (Newport), by their authorized representatives, hereby enter into this Consent Decree for purpose of terminating the Bureau’s investigation into violations by Newport of Section 73.1206 of the Commission’s rules,</w:t>
      </w:r>
      <w:r w:rsidRPr="002B1E8D">
        <w:rPr>
          <w:rStyle w:val="FootnoteReference"/>
          <w:szCs w:val="22"/>
        </w:rPr>
        <w:footnoteReference w:id="10"/>
      </w:r>
      <w:r w:rsidRPr="007634BA">
        <w:rPr>
          <w:szCs w:val="22"/>
        </w:rPr>
        <w:t xml:space="preserve"> by recording for broadcast a telephone conversation without notification to the party to the call.  </w:t>
      </w:r>
      <w:r w:rsidRPr="007634BA">
        <w:rPr>
          <w:color w:val="000000"/>
          <w:szCs w:val="22"/>
        </w:rPr>
        <w:t xml:space="preserve">Section </w:t>
      </w:r>
      <w:bookmarkStart w:id="1" w:name="SR;941"/>
      <w:bookmarkStart w:id="2" w:name="SearchTerm"/>
      <w:bookmarkEnd w:id="1"/>
      <w:r w:rsidRPr="007634BA">
        <w:rPr>
          <w:color w:val="000000"/>
          <w:szCs w:val="22"/>
        </w:rPr>
        <w:t>73.1206</w:t>
      </w:r>
      <w:bookmarkStart w:id="3" w:name="SR;942"/>
      <w:bookmarkEnd w:id="3"/>
      <w:r w:rsidRPr="007634BA">
        <w:rPr>
          <w:color w:val="000000"/>
          <w:szCs w:val="22"/>
        </w:rPr>
        <w:t xml:space="preserve"> reflects the Commission’s longstanding policy that prior notification is essential to protect consumers’ legitimate expectation of </w:t>
      </w:r>
      <w:bookmarkStart w:id="4" w:name="SR;959"/>
      <w:bookmarkEnd w:id="2"/>
      <w:bookmarkEnd w:id="4"/>
      <w:r w:rsidRPr="007634BA">
        <w:rPr>
          <w:color w:val="000000"/>
          <w:szCs w:val="22"/>
        </w:rPr>
        <w:t>privacy against the nonconsensual broadcast of their conversations.</w:t>
      </w:r>
      <w:r w:rsidRPr="002B1E8D">
        <w:rPr>
          <w:rStyle w:val="FootnoteReference"/>
          <w:szCs w:val="22"/>
        </w:rPr>
        <w:footnoteReference w:id="11"/>
      </w:r>
      <w:r w:rsidRPr="007634BA">
        <w:rPr>
          <w:szCs w:val="22"/>
        </w:rPr>
        <w:t xml:space="preserve">  The Consent Decree also addresses Newport’s failure to respond to a Commission investigative inquiry, in violation of Commission precedent.</w:t>
      </w:r>
      <w:r w:rsidRPr="002B1E8D">
        <w:rPr>
          <w:rStyle w:val="FootnoteReference"/>
          <w:szCs w:val="22"/>
        </w:rPr>
        <w:footnoteReference w:id="12"/>
      </w:r>
      <w:r w:rsidRPr="007634BA">
        <w:rPr>
          <w:szCs w:val="22"/>
        </w:rPr>
        <w:t xml:space="preserve">   </w:t>
      </w:r>
    </w:p>
    <w:p w14:paraId="013F527B" w14:textId="77777777" w:rsidR="007634BA" w:rsidRPr="002B1E8D" w:rsidRDefault="007634BA" w:rsidP="007634BA">
      <w:pPr>
        <w:pStyle w:val="Heading1"/>
        <w:tabs>
          <w:tab w:val="clear" w:pos="360"/>
          <w:tab w:val="left" w:pos="720"/>
        </w:tabs>
        <w:spacing w:after="120"/>
        <w:ind w:left="720" w:hanging="720"/>
        <w:jc w:val="left"/>
        <w:rPr>
          <w:szCs w:val="22"/>
        </w:rPr>
      </w:pPr>
      <w:r w:rsidRPr="002B1E8D">
        <w:rPr>
          <w:szCs w:val="22"/>
        </w:rPr>
        <w:t>DEFINITIONS</w:t>
      </w:r>
    </w:p>
    <w:p w14:paraId="754BE065" w14:textId="77777777" w:rsidR="007634BA" w:rsidRPr="002B1E8D" w:rsidRDefault="007634BA" w:rsidP="007634BA">
      <w:pPr>
        <w:pStyle w:val="ParaNum"/>
        <w:tabs>
          <w:tab w:val="clear" w:pos="1080"/>
        </w:tabs>
        <w:spacing w:after="120"/>
        <w:jc w:val="left"/>
        <w:rPr>
          <w:spacing w:val="-2"/>
          <w:szCs w:val="22"/>
        </w:rPr>
      </w:pPr>
      <w:r w:rsidRPr="002B1E8D">
        <w:rPr>
          <w:szCs w:val="22"/>
        </w:rPr>
        <w:t>For purposes of this Consent Decree, the following definitions shall apply:</w:t>
      </w:r>
    </w:p>
    <w:p w14:paraId="7AEC66DE" w14:textId="77777777" w:rsidR="007634BA" w:rsidRPr="00177B42" w:rsidRDefault="007634BA" w:rsidP="007634BA">
      <w:pPr>
        <w:pStyle w:val="ListParagraph"/>
        <w:numPr>
          <w:ilvl w:val="0"/>
          <w:numId w:val="7"/>
        </w:numPr>
        <w:spacing w:after="120"/>
        <w:ind w:left="1800"/>
        <w:jc w:val="left"/>
        <w:rPr>
          <w:szCs w:val="22"/>
        </w:rPr>
      </w:pPr>
      <w:r>
        <w:rPr>
          <w:szCs w:val="22"/>
        </w:rPr>
        <w:t xml:space="preserve">“Act” </w:t>
      </w:r>
      <w:r w:rsidRPr="002B1E8D">
        <w:rPr>
          <w:szCs w:val="22"/>
        </w:rPr>
        <w:t xml:space="preserve">means the Communications Act of 1934, as amended, 47 U.S.C. § 151 </w:t>
      </w:r>
      <w:r w:rsidRPr="00952496">
        <w:rPr>
          <w:i/>
        </w:rPr>
        <w:t>et seq.</w:t>
      </w:r>
    </w:p>
    <w:p w14:paraId="5A3358B2" w14:textId="77777777" w:rsidR="007634BA" w:rsidRPr="002B1E8D" w:rsidRDefault="007634BA" w:rsidP="007634BA">
      <w:pPr>
        <w:pStyle w:val="ListParagraph"/>
        <w:numPr>
          <w:ilvl w:val="0"/>
          <w:numId w:val="7"/>
        </w:numPr>
        <w:spacing w:after="120"/>
        <w:ind w:left="1800"/>
        <w:jc w:val="left"/>
        <w:rPr>
          <w:szCs w:val="22"/>
        </w:rPr>
      </w:pPr>
      <w:r w:rsidRPr="002B1E8D">
        <w:rPr>
          <w:szCs w:val="22"/>
        </w:rPr>
        <w:t>“Adopting Order” means an Order of the Bureau adopting the terms of this Consent Decree without change, addition, deletion, or modification.</w:t>
      </w:r>
    </w:p>
    <w:p w14:paraId="7EDE7CDA" w14:textId="77777777" w:rsidR="007634BA" w:rsidRPr="002B1E8D" w:rsidRDefault="007634BA" w:rsidP="007634BA">
      <w:pPr>
        <w:pStyle w:val="ListParagraph"/>
        <w:numPr>
          <w:ilvl w:val="0"/>
          <w:numId w:val="7"/>
        </w:numPr>
        <w:spacing w:after="120"/>
        <w:ind w:left="1800"/>
        <w:jc w:val="left"/>
        <w:rPr>
          <w:szCs w:val="22"/>
        </w:rPr>
      </w:pPr>
      <w:r w:rsidRPr="002B1E8D">
        <w:rPr>
          <w:szCs w:val="22"/>
        </w:rPr>
        <w:t xml:space="preserve">“Any” shall be construed to include the word “all,” and the word “all” shall be construed to </w:t>
      </w:r>
      <w:r w:rsidRPr="002B1E8D">
        <w:rPr>
          <w:rStyle w:val="ParanumChar0"/>
          <w:rFonts w:eastAsia="Calibri"/>
          <w:szCs w:val="22"/>
        </w:rPr>
        <w:t>include</w:t>
      </w:r>
      <w:r w:rsidRPr="002B1E8D">
        <w:rPr>
          <w:szCs w:val="22"/>
        </w:rPr>
        <w:t xml:space="preserve"> the word “any.”  Additionally, the word “or” shall be construed to include the word “and,” and the word “and” shall be construed to include the word “or.”  The word “each” shall be construed to include the word “every,” and the word “every” shall be construed to include the word “each.”</w:t>
      </w:r>
    </w:p>
    <w:p w14:paraId="3868AF62" w14:textId="77777777" w:rsidR="007634BA" w:rsidRPr="002B1E8D" w:rsidRDefault="007634BA" w:rsidP="007634BA">
      <w:pPr>
        <w:pStyle w:val="ListParagraph"/>
        <w:numPr>
          <w:ilvl w:val="0"/>
          <w:numId w:val="7"/>
        </w:numPr>
        <w:spacing w:after="120"/>
        <w:ind w:left="1800"/>
        <w:jc w:val="left"/>
        <w:rPr>
          <w:szCs w:val="22"/>
        </w:rPr>
      </w:pPr>
      <w:r w:rsidRPr="002B1E8D">
        <w:rPr>
          <w:szCs w:val="22"/>
        </w:rPr>
        <w:t>“Bureau” means the Enforcement Bureau of the FCC.</w:t>
      </w:r>
    </w:p>
    <w:p w14:paraId="231D0391" w14:textId="77777777" w:rsidR="007634BA" w:rsidRPr="009D5D28" w:rsidRDefault="007634BA" w:rsidP="007634BA">
      <w:pPr>
        <w:pStyle w:val="ListParagraph"/>
        <w:numPr>
          <w:ilvl w:val="0"/>
          <w:numId w:val="7"/>
        </w:numPr>
        <w:spacing w:after="120"/>
        <w:ind w:left="1800"/>
        <w:jc w:val="left"/>
        <w:rPr>
          <w:szCs w:val="22"/>
        </w:rPr>
      </w:pPr>
      <w:r w:rsidRPr="002B1E8D">
        <w:rPr>
          <w:szCs w:val="22"/>
        </w:rPr>
        <w:t>“Commission” and “FCC” mean the Federal Communications Commission and all</w:t>
      </w:r>
      <w:r>
        <w:rPr>
          <w:szCs w:val="22"/>
        </w:rPr>
        <w:t xml:space="preserve"> of its bureaus and offices.</w:t>
      </w:r>
    </w:p>
    <w:p w14:paraId="2B1E97A9" w14:textId="77777777" w:rsidR="007634BA" w:rsidRPr="002B1E8D" w:rsidRDefault="007634BA" w:rsidP="007634BA">
      <w:pPr>
        <w:pStyle w:val="ListParagraph"/>
        <w:numPr>
          <w:ilvl w:val="0"/>
          <w:numId w:val="7"/>
        </w:numPr>
        <w:spacing w:after="120"/>
        <w:ind w:left="1800"/>
        <w:jc w:val="left"/>
        <w:rPr>
          <w:szCs w:val="22"/>
        </w:rPr>
      </w:pPr>
      <w:r w:rsidRPr="002B1E8D">
        <w:rPr>
          <w:szCs w:val="22"/>
        </w:rPr>
        <w:t xml:space="preserve">“Communications Laws” means, collectively, the Act, the Rules, and the published and promulgated orders and decisions of the </w:t>
      </w:r>
      <w:r>
        <w:rPr>
          <w:szCs w:val="22"/>
        </w:rPr>
        <w:t>Commission to which Newport</w:t>
      </w:r>
      <w:r w:rsidRPr="002B1E8D">
        <w:rPr>
          <w:szCs w:val="22"/>
        </w:rPr>
        <w:t xml:space="preserve"> is subject by virtue of its business activities, including but not li</w:t>
      </w:r>
      <w:r>
        <w:rPr>
          <w:szCs w:val="22"/>
        </w:rPr>
        <w:t>mited to</w:t>
      </w:r>
      <w:r w:rsidRPr="002B1E8D">
        <w:rPr>
          <w:szCs w:val="22"/>
        </w:rPr>
        <w:t xml:space="preserve"> Sect</w:t>
      </w:r>
      <w:r>
        <w:rPr>
          <w:szCs w:val="22"/>
        </w:rPr>
        <w:t xml:space="preserve">ion 73.1206 of the </w:t>
      </w:r>
      <w:r w:rsidRPr="002B1E8D">
        <w:rPr>
          <w:szCs w:val="22"/>
        </w:rPr>
        <w:t>Rules and precedent requiring responses to Commission communications.</w:t>
      </w:r>
      <w:r w:rsidRPr="002B1E8D">
        <w:rPr>
          <w:rStyle w:val="FootnoteReference"/>
          <w:szCs w:val="22"/>
        </w:rPr>
        <w:footnoteReference w:id="13"/>
      </w:r>
      <w:r w:rsidRPr="002B1E8D">
        <w:rPr>
          <w:szCs w:val="22"/>
        </w:rPr>
        <w:t xml:space="preserve"> </w:t>
      </w:r>
    </w:p>
    <w:p w14:paraId="4FACFAE5" w14:textId="77777777" w:rsidR="007634BA" w:rsidRPr="002B1E8D" w:rsidRDefault="007634BA" w:rsidP="007634BA">
      <w:pPr>
        <w:pStyle w:val="ListParagraph"/>
        <w:numPr>
          <w:ilvl w:val="0"/>
          <w:numId w:val="7"/>
        </w:numPr>
        <w:spacing w:after="120"/>
        <w:ind w:left="1800"/>
        <w:jc w:val="left"/>
        <w:rPr>
          <w:szCs w:val="22"/>
        </w:rPr>
      </w:pPr>
      <w:r w:rsidRPr="002B1E8D">
        <w:rPr>
          <w:szCs w:val="22"/>
        </w:rPr>
        <w:t xml:space="preserve">“Complaint” means the third-party complaint which was received </w:t>
      </w:r>
      <w:r>
        <w:rPr>
          <w:szCs w:val="22"/>
        </w:rPr>
        <w:t>by the Commission or the Bureau</w:t>
      </w:r>
      <w:r w:rsidRPr="002B1E8D">
        <w:rPr>
          <w:szCs w:val="22"/>
        </w:rPr>
        <w:t xml:space="preserve"> as of the Effective </w:t>
      </w:r>
      <w:r w:rsidRPr="00DD191F">
        <w:rPr>
          <w:szCs w:val="22"/>
        </w:rPr>
        <w:t>Date, alleging violation</w:t>
      </w:r>
      <w:r w:rsidRPr="002B1E8D">
        <w:rPr>
          <w:szCs w:val="22"/>
        </w:rPr>
        <w:t xml:space="preserve"> of Sect</w:t>
      </w:r>
      <w:r>
        <w:rPr>
          <w:szCs w:val="22"/>
        </w:rPr>
        <w:t xml:space="preserve">ion 73.1206 of the </w:t>
      </w:r>
      <w:r w:rsidRPr="002B1E8D">
        <w:rPr>
          <w:szCs w:val="22"/>
        </w:rPr>
        <w:t>Rules with respect to material aired on the Station.</w:t>
      </w:r>
    </w:p>
    <w:p w14:paraId="3A220E7D" w14:textId="77777777" w:rsidR="007634BA" w:rsidRPr="009D5D28" w:rsidRDefault="007634BA" w:rsidP="007634BA">
      <w:pPr>
        <w:pStyle w:val="ListParagraph"/>
        <w:numPr>
          <w:ilvl w:val="0"/>
          <w:numId w:val="7"/>
        </w:numPr>
        <w:spacing w:after="120"/>
        <w:ind w:left="1800"/>
        <w:jc w:val="left"/>
        <w:rPr>
          <w:szCs w:val="22"/>
        </w:rPr>
      </w:pPr>
      <w:r w:rsidRPr="002B1E8D">
        <w:rPr>
          <w:szCs w:val="22"/>
        </w:rPr>
        <w:t>“Effective Date” means the date on which the Bureau releases the Adopting Order.</w:t>
      </w:r>
    </w:p>
    <w:p w14:paraId="4792AF72" w14:textId="77777777" w:rsidR="007634BA" w:rsidRPr="009D5D28" w:rsidRDefault="007634BA" w:rsidP="007634BA">
      <w:pPr>
        <w:pStyle w:val="ListParagraph"/>
        <w:numPr>
          <w:ilvl w:val="0"/>
          <w:numId w:val="7"/>
        </w:numPr>
        <w:spacing w:after="120"/>
        <w:ind w:left="1800"/>
        <w:jc w:val="left"/>
        <w:rPr>
          <w:szCs w:val="22"/>
        </w:rPr>
      </w:pPr>
      <w:r w:rsidRPr="002B1E8D">
        <w:rPr>
          <w:szCs w:val="22"/>
        </w:rPr>
        <w:t>“Investigation” means the Bureau’s investigation of Newport’s compliance with Sect</w:t>
      </w:r>
      <w:r>
        <w:rPr>
          <w:szCs w:val="22"/>
        </w:rPr>
        <w:t xml:space="preserve">ion 73.1206 of the </w:t>
      </w:r>
      <w:r w:rsidRPr="002B1E8D">
        <w:rPr>
          <w:szCs w:val="22"/>
        </w:rPr>
        <w:t xml:space="preserve">Rules relating to the recording for broadcast of a telephone conversation without notification to </w:t>
      </w:r>
      <w:r>
        <w:rPr>
          <w:szCs w:val="22"/>
        </w:rPr>
        <w:t>the other</w:t>
      </w:r>
      <w:r w:rsidRPr="002B1E8D">
        <w:rPr>
          <w:szCs w:val="22"/>
        </w:rPr>
        <w:t xml:space="preserve"> part</w:t>
      </w:r>
      <w:r>
        <w:rPr>
          <w:szCs w:val="22"/>
        </w:rPr>
        <w:t>y</w:t>
      </w:r>
      <w:r w:rsidRPr="002B1E8D">
        <w:rPr>
          <w:szCs w:val="22"/>
        </w:rPr>
        <w:t xml:space="preserve"> to the call.  </w:t>
      </w:r>
    </w:p>
    <w:p w14:paraId="616180AE" w14:textId="77777777" w:rsidR="007634BA" w:rsidRPr="009D5D28" w:rsidRDefault="007634BA" w:rsidP="007634BA">
      <w:pPr>
        <w:pStyle w:val="ListParagraph"/>
        <w:numPr>
          <w:ilvl w:val="0"/>
          <w:numId w:val="7"/>
        </w:numPr>
        <w:spacing w:after="120"/>
        <w:ind w:left="1800"/>
        <w:jc w:val="left"/>
        <w:rPr>
          <w:szCs w:val="22"/>
        </w:rPr>
      </w:pPr>
      <w:r>
        <w:rPr>
          <w:szCs w:val="22"/>
        </w:rPr>
        <w:t>“Newport</w:t>
      </w:r>
      <w:r w:rsidRPr="002B1E8D">
        <w:rPr>
          <w:szCs w:val="22"/>
        </w:rPr>
        <w:t xml:space="preserve">” means Newport Television, LLC, former licensee of Station KTVX(DT), Salt Lake City, Utah, and its predecessors-in-interest and successors-in-interest with respect to the Investigation. </w:t>
      </w:r>
    </w:p>
    <w:p w14:paraId="74926C00" w14:textId="77777777" w:rsidR="007634BA" w:rsidRPr="009D5D28" w:rsidRDefault="007634BA" w:rsidP="007634BA">
      <w:pPr>
        <w:pStyle w:val="ListParagraph"/>
        <w:numPr>
          <w:ilvl w:val="0"/>
          <w:numId w:val="7"/>
        </w:numPr>
        <w:spacing w:after="120"/>
        <w:ind w:left="1800"/>
        <w:jc w:val="left"/>
        <w:rPr>
          <w:szCs w:val="22"/>
        </w:rPr>
      </w:pPr>
      <w:r w:rsidRPr="002B1E8D">
        <w:rPr>
          <w:szCs w:val="22"/>
        </w:rPr>
        <w:t>“Parties” means Newport and the Bureau, each of which is a “Party.”</w:t>
      </w:r>
    </w:p>
    <w:p w14:paraId="30461F35" w14:textId="77777777" w:rsidR="007634BA" w:rsidRPr="009D5D28" w:rsidRDefault="007634BA" w:rsidP="007634BA">
      <w:pPr>
        <w:pStyle w:val="ListParagraph"/>
        <w:numPr>
          <w:ilvl w:val="0"/>
          <w:numId w:val="7"/>
        </w:numPr>
        <w:spacing w:after="120"/>
        <w:ind w:left="1800"/>
        <w:jc w:val="left"/>
        <w:rPr>
          <w:szCs w:val="22"/>
        </w:rPr>
      </w:pPr>
      <w:r w:rsidRPr="002B1E8D">
        <w:rPr>
          <w:szCs w:val="22"/>
        </w:rPr>
        <w:t xml:space="preserve">“Rules” means the Commission’s regulations found in Title 47 of the Code of Federal Regulations. </w:t>
      </w:r>
    </w:p>
    <w:p w14:paraId="0D27FA9D" w14:textId="77777777" w:rsidR="007634BA" w:rsidRPr="009D5D28" w:rsidRDefault="007634BA" w:rsidP="007634BA">
      <w:pPr>
        <w:pStyle w:val="ListParagraph"/>
        <w:numPr>
          <w:ilvl w:val="0"/>
          <w:numId w:val="7"/>
        </w:numPr>
        <w:spacing w:after="120"/>
        <w:ind w:left="1800"/>
        <w:jc w:val="left"/>
        <w:rPr>
          <w:szCs w:val="22"/>
        </w:rPr>
      </w:pPr>
      <w:r w:rsidRPr="002B1E8D">
        <w:rPr>
          <w:szCs w:val="22"/>
        </w:rPr>
        <w:t xml:space="preserve">“Station” means Station KTVX(DT), Salt Lake City, Utah (Facility ID No. 68889), of which Newport is the former licensee. </w:t>
      </w:r>
    </w:p>
    <w:p w14:paraId="51C62204" w14:textId="77777777" w:rsidR="007634BA" w:rsidRPr="002B1E8D" w:rsidRDefault="007634BA" w:rsidP="007634BA">
      <w:pPr>
        <w:pStyle w:val="Heading1"/>
        <w:tabs>
          <w:tab w:val="clear" w:pos="360"/>
          <w:tab w:val="left" w:pos="720"/>
        </w:tabs>
        <w:spacing w:after="120"/>
        <w:ind w:left="720" w:hanging="720"/>
        <w:jc w:val="left"/>
        <w:rPr>
          <w:szCs w:val="22"/>
        </w:rPr>
      </w:pPr>
      <w:r w:rsidRPr="002B1E8D">
        <w:rPr>
          <w:szCs w:val="22"/>
        </w:rPr>
        <w:t xml:space="preserve">BACKGROUND </w:t>
      </w:r>
    </w:p>
    <w:p w14:paraId="3913CA25" w14:textId="77777777" w:rsidR="007634BA" w:rsidRPr="002B1E8D" w:rsidRDefault="007634BA" w:rsidP="007634BA">
      <w:pPr>
        <w:pStyle w:val="ParaNum"/>
        <w:tabs>
          <w:tab w:val="clear" w:pos="1080"/>
          <w:tab w:val="num" w:pos="1440"/>
        </w:tabs>
        <w:spacing w:after="120"/>
        <w:jc w:val="left"/>
        <w:rPr>
          <w:szCs w:val="22"/>
        </w:rPr>
      </w:pPr>
      <w:r w:rsidRPr="002B1E8D">
        <w:rPr>
          <w:szCs w:val="22"/>
        </w:rPr>
        <w:t>Pursuant to Section 73.1206 of the Rules, “</w:t>
      </w:r>
      <w:r>
        <w:rPr>
          <w:szCs w:val="22"/>
        </w:rPr>
        <w:t>[</w:t>
      </w:r>
      <w:r w:rsidRPr="002B1E8D">
        <w:rPr>
          <w:szCs w:val="22"/>
        </w:rPr>
        <w:t>b</w:t>
      </w:r>
      <w:r>
        <w:rPr>
          <w:szCs w:val="22"/>
        </w:rPr>
        <w:t>]</w:t>
      </w:r>
      <w:r w:rsidRPr="002B1E8D">
        <w:rPr>
          <w:szCs w:val="22"/>
        </w:rPr>
        <w:t>efore recording a telephone conversation for broadcast, or broadcasting such a conversation simultaneously with its occurrence, a licensee shall inform any party to the call of the licensee’s intention to broadcast the conversation, except where such party is aware, or may be presumed to be aware from the circumstances of the conversation, that it is being or likely will be broadcast.”</w:t>
      </w:r>
      <w:r w:rsidRPr="002B1E8D">
        <w:rPr>
          <w:rStyle w:val="FootnoteReference"/>
          <w:szCs w:val="22"/>
        </w:rPr>
        <w:footnoteReference w:id="14"/>
      </w:r>
      <w:r w:rsidRPr="002B1E8D">
        <w:rPr>
          <w:szCs w:val="22"/>
        </w:rPr>
        <w:t xml:space="preserve">  </w:t>
      </w:r>
      <w:r w:rsidRPr="002B1E8D">
        <w:rPr>
          <w:color w:val="000000"/>
          <w:szCs w:val="22"/>
        </w:rPr>
        <w:t>Section 73.1206 reflects the Commission’s longstanding policy that prior notification is e</w:t>
      </w:r>
      <w:r>
        <w:rPr>
          <w:color w:val="000000"/>
          <w:szCs w:val="22"/>
        </w:rPr>
        <w:t>ssential to protect individuals’</w:t>
      </w:r>
      <w:r w:rsidRPr="002B1E8D">
        <w:rPr>
          <w:color w:val="000000"/>
          <w:szCs w:val="22"/>
        </w:rPr>
        <w:t xml:space="preserve"> legitimate expectation of privacy by restricting the “nonconsensual broadcasts of their conversations.”</w:t>
      </w:r>
      <w:r w:rsidRPr="002B1E8D">
        <w:rPr>
          <w:rStyle w:val="FootnoteReference"/>
          <w:rFonts w:cstheme="minorBidi"/>
          <w:szCs w:val="22"/>
        </w:rPr>
        <w:footnoteReference w:id="15"/>
      </w:r>
    </w:p>
    <w:p w14:paraId="473ECD59" w14:textId="77777777" w:rsidR="007634BA" w:rsidRPr="00851946" w:rsidRDefault="007634BA" w:rsidP="007634BA">
      <w:pPr>
        <w:pStyle w:val="ParaNum"/>
        <w:tabs>
          <w:tab w:val="clear" w:pos="1080"/>
          <w:tab w:val="num" w:pos="1440"/>
        </w:tabs>
        <w:spacing w:after="120"/>
        <w:jc w:val="left"/>
        <w:rPr>
          <w:szCs w:val="22"/>
        </w:rPr>
      </w:pPr>
      <w:r w:rsidRPr="00851946">
        <w:rPr>
          <w:szCs w:val="22"/>
        </w:rPr>
        <w:t>On August 21, 2012, the Commission received a complaint alleging that Newport twice broadcast a recorded telephone conversation without prior notification to the other party to the conversation.</w:t>
      </w:r>
      <w:r w:rsidRPr="00851946">
        <w:rPr>
          <w:rStyle w:val="FootnoteReference"/>
          <w:szCs w:val="22"/>
        </w:rPr>
        <w:footnoteReference w:id="16"/>
      </w:r>
      <w:r w:rsidRPr="00851946">
        <w:rPr>
          <w:szCs w:val="22"/>
        </w:rPr>
        <w:t xml:space="preserve">  The broadcasts occurred on August 20, 2012, on Station KTVX(DT) in Salt Lake City, Utah.  The Commission’s Telephone Broadcast rule prohibits this conduct because it violates consumers’ privacy and their right to be free from surreptitious recording and broadcast of their conversations. The Commission holds broadcasters to a high standard as licensees of the public airwaves.  By failing to inform the complainant that the conversation would be recorded and broadcast, Newport violated this rule and thereby failed to uphold this standard.</w:t>
      </w:r>
    </w:p>
    <w:p w14:paraId="4F58BC5A" w14:textId="77777777" w:rsidR="007634BA" w:rsidRPr="002B1E8D" w:rsidRDefault="007634BA" w:rsidP="007634BA">
      <w:pPr>
        <w:pStyle w:val="ParaNum"/>
        <w:tabs>
          <w:tab w:val="clear" w:pos="1080"/>
          <w:tab w:val="num" w:pos="1440"/>
        </w:tabs>
        <w:spacing w:after="120"/>
        <w:jc w:val="left"/>
        <w:rPr>
          <w:szCs w:val="22"/>
        </w:rPr>
      </w:pPr>
      <w:r w:rsidRPr="002B1E8D">
        <w:rPr>
          <w:szCs w:val="22"/>
        </w:rPr>
        <w:t>On Ap</w:t>
      </w:r>
      <w:r>
        <w:rPr>
          <w:szCs w:val="22"/>
        </w:rPr>
        <w:t>ril 3, 2014, the Bureau sent a Letter of I</w:t>
      </w:r>
      <w:r w:rsidRPr="002B1E8D">
        <w:rPr>
          <w:szCs w:val="22"/>
        </w:rPr>
        <w:t>nquiry (LOI) regarding the complaint to Newport.</w:t>
      </w:r>
      <w:r w:rsidRPr="002B1E8D">
        <w:rPr>
          <w:rStyle w:val="FootnoteReference"/>
          <w:szCs w:val="22"/>
        </w:rPr>
        <w:footnoteReference w:id="17"/>
      </w:r>
      <w:r w:rsidRPr="002B1E8D">
        <w:rPr>
          <w:szCs w:val="22"/>
        </w:rPr>
        <w:t xml:space="preserve">  Despite receiving proof of delivery, Newport has failed to respond to the LOI, and accordingly, remains in violation of a Commission order.</w:t>
      </w:r>
      <w:r w:rsidRPr="002B1E8D">
        <w:rPr>
          <w:rStyle w:val="FootnoteReference"/>
          <w:szCs w:val="22"/>
        </w:rPr>
        <w:footnoteReference w:id="18"/>
      </w:r>
      <w:r w:rsidRPr="002B1E8D">
        <w:rPr>
          <w:spacing w:val="-2"/>
          <w:szCs w:val="22"/>
        </w:rPr>
        <w:t xml:space="preserve">      </w:t>
      </w:r>
    </w:p>
    <w:p w14:paraId="1A3EAD8D" w14:textId="77777777" w:rsidR="007634BA" w:rsidRPr="002B1E8D" w:rsidRDefault="007634BA" w:rsidP="007634BA">
      <w:pPr>
        <w:pStyle w:val="ParaNum"/>
        <w:tabs>
          <w:tab w:val="clear" w:pos="1080"/>
          <w:tab w:val="num" w:pos="1440"/>
        </w:tabs>
        <w:spacing w:after="120"/>
        <w:jc w:val="left"/>
        <w:rPr>
          <w:szCs w:val="22"/>
        </w:rPr>
      </w:pPr>
      <w:r w:rsidRPr="002B1E8D">
        <w:rPr>
          <w:szCs w:val="22"/>
        </w:rPr>
        <w:t>As a result of discussions between the Parties, the Bureau and N</w:t>
      </w:r>
      <w:r>
        <w:rPr>
          <w:szCs w:val="22"/>
        </w:rPr>
        <w:t xml:space="preserve">ewport </w:t>
      </w:r>
      <w:r w:rsidRPr="002B1E8D">
        <w:rPr>
          <w:szCs w:val="22"/>
        </w:rPr>
        <w:t xml:space="preserve">negotiated this Consent Decree to terminate the Bureau’s Investigation </w:t>
      </w:r>
      <w:r>
        <w:rPr>
          <w:szCs w:val="22"/>
        </w:rPr>
        <w:t>of</w:t>
      </w:r>
      <w:r w:rsidRPr="002B1E8D">
        <w:rPr>
          <w:szCs w:val="22"/>
        </w:rPr>
        <w:t xml:space="preserve"> Newport’s compliance with Sect</w:t>
      </w:r>
      <w:r>
        <w:rPr>
          <w:szCs w:val="22"/>
        </w:rPr>
        <w:t xml:space="preserve">ion 73.1206 of the </w:t>
      </w:r>
      <w:r w:rsidRPr="002B1E8D">
        <w:rPr>
          <w:szCs w:val="22"/>
        </w:rPr>
        <w:t>Rules and Commission precedent requiring re</w:t>
      </w:r>
      <w:r>
        <w:rPr>
          <w:szCs w:val="22"/>
        </w:rPr>
        <w:t>sponses to Commission inquiries.</w:t>
      </w:r>
      <w:r w:rsidRPr="002B1E8D">
        <w:rPr>
          <w:szCs w:val="22"/>
        </w:rPr>
        <w:t xml:space="preserve"> </w:t>
      </w:r>
    </w:p>
    <w:p w14:paraId="7194C06E" w14:textId="77777777" w:rsidR="007634BA" w:rsidRPr="002B1E8D" w:rsidRDefault="007634BA" w:rsidP="007634BA">
      <w:pPr>
        <w:pStyle w:val="Heading1"/>
        <w:tabs>
          <w:tab w:val="clear" w:pos="360"/>
          <w:tab w:val="left" w:pos="720"/>
        </w:tabs>
        <w:spacing w:after="120"/>
        <w:ind w:left="720" w:hanging="720"/>
        <w:jc w:val="left"/>
        <w:rPr>
          <w:szCs w:val="22"/>
        </w:rPr>
      </w:pPr>
      <w:r w:rsidRPr="002B1E8D">
        <w:rPr>
          <w:szCs w:val="22"/>
        </w:rPr>
        <w:t xml:space="preserve">TERMS OF AGREEMENT </w:t>
      </w:r>
    </w:p>
    <w:p w14:paraId="72A71D5D"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Adopting Order</w:t>
      </w:r>
      <w:r w:rsidRPr="002B1E8D">
        <w:rPr>
          <w:szCs w:val="22"/>
        </w:rPr>
        <w:t xml:space="preserve">.  The Parties agree that the provisions of this Consent Decree shall be subject to final approval by the Bureau by incorporation of such provisions by reference in the Adopting Order. </w:t>
      </w:r>
    </w:p>
    <w:p w14:paraId="101E7E16"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Jurisdiction</w:t>
      </w:r>
      <w:r w:rsidRPr="002B1E8D">
        <w:rPr>
          <w:szCs w:val="22"/>
        </w:rPr>
        <w:t xml:space="preserve">.  Newport agrees that the Bureau has jurisdiction over it and the matters contained in this Consent Decree and has authority to enter into and adopt this Consent Decree. </w:t>
      </w:r>
    </w:p>
    <w:p w14:paraId="7CD7CADC"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Effective Date; Violations</w:t>
      </w:r>
      <w:r w:rsidRPr="002B1E8D">
        <w:rPr>
          <w:szCs w:val="22"/>
        </w:rPr>
        <w:t xml:space="preserve">.  The Parties agree that this Consent Decree shall become effective on the Effective Date as defined herein. </w:t>
      </w:r>
      <w:r>
        <w:rPr>
          <w:szCs w:val="22"/>
        </w:rPr>
        <w:t xml:space="preserve"> </w:t>
      </w:r>
      <w:r w:rsidRPr="002B1E8D">
        <w:rPr>
          <w:szCs w:val="22"/>
        </w:rPr>
        <w:t xml:space="preserve">Upon the Effective Date, the Adopting Order and this Consent Decree shall have the same force and effect as any other order of the Commission.  Any violation of the Adopting Order or the terms of this Consent Decree shall constitute a separate violation of a Commission order, entitling the Commission to exercise any rights and remedies attendant to the enforcement of a Commission order. </w:t>
      </w:r>
    </w:p>
    <w:p w14:paraId="7D8E54F3"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Termination of Investigation</w:t>
      </w:r>
      <w:r w:rsidRPr="002B1E8D">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Newport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Newport concerning the broadcast of recorded telephone conversations without prior notification to the other parties to the conversations or failure to respond to Commission communications </w:t>
      </w:r>
      <w:r>
        <w:rPr>
          <w:szCs w:val="22"/>
        </w:rPr>
        <w:t>that were the subject of the</w:t>
      </w:r>
      <w:r w:rsidRPr="002B1E8D">
        <w:rPr>
          <w:szCs w:val="22"/>
        </w:rPr>
        <w:t xml:space="preserve"> Investigation.   </w:t>
      </w:r>
    </w:p>
    <w:p w14:paraId="585DF838" w14:textId="77777777" w:rsidR="007634BA" w:rsidRPr="002B1E8D" w:rsidRDefault="007634BA" w:rsidP="007634BA">
      <w:pPr>
        <w:pStyle w:val="ParaNum"/>
        <w:tabs>
          <w:tab w:val="clear" w:pos="1080"/>
          <w:tab w:val="num" w:pos="1440"/>
        </w:tabs>
        <w:spacing w:after="120"/>
        <w:jc w:val="left"/>
        <w:rPr>
          <w:szCs w:val="22"/>
        </w:rPr>
      </w:pPr>
      <w:r>
        <w:rPr>
          <w:b/>
          <w:szCs w:val="22"/>
          <w:u w:val="single"/>
        </w:rPr>
        <w:t>Admission of Liability</w:t>
      </w:r>
      <w:r w:rsidRPr="002B1E8D">
        <w:rPr>
          <w:szCs w:val="22"/>
        </w:rPr>
        <w:t>.  Newport admits for the purpose of this Consent Decree and for Commission civil enforcement purposes that one or more of Station employees broadcast a recorded telephone conversation without prior notification to the other party to the conversation in violation of Sect</w:t>
      </w:r>
      <w:r>
        <w:rPr>
          <w:szCs w:val="22"/>
        </w:rPr>
        <w:t xml:space="preserve">ion 73.1206 of the </w:t>
      </w:r>
      <w:r w:rsidRPr="002B1E8D">
        <w:rPr>
          <w:szCs w:val="22"/>
        </w:rPr>
        <w:t>Rules and that individual’s privacy rights.</w:t>
      </w:r>
      <w:r w:rsidRPr="002B1E8D">
        <w:rPr>
          <w:rStyle w:val="FootnoteReference"/>
          <w:szCs w:val="22"/>
        </w:rPr>
        <w:footnoteReference w:id="19"/>
      </w:r>
      <w:r w:rsidRPr="002B1E8D">
        <w:rPr>
          <w:szCs w:val="22"/>
        </w:rPr>
        <w:t xml:space="preserve">  Furthermore, Newport admits that it failed to timely respond to the Bureau’s </w:t>
      </w:r>
      <w:r>
        <w:rPr>
          <w:szCs w:val="22"/>
        </w:rPr>
        <w:t xml:space="preserve">LOI </w:t>
      </w:r>
      <w:r w:rsidRPr="002B1E8D">
        <w:rPr>
          <w:szCs w:val="22"/>
        </w:rPr>
        <w:t>in violation of Commission precedent.</w:t>
      </w:r>
      <w:r w:rsidRPr="002B1E8D">
        <w:rPr>
          <w:rStyle w:val="FootnoteReference"/>
          <w:szCs w:val="22"/>
        </w:rPr>
        <w:footnoteReference w:id="20"/>
      </w:r>
      <w:r w:rsidRPr="002B1E8D">
        <w:rPr>
          <w:szCs w:val="22"/>
        </w:rPr>
        <w:t xml:space="preserve"> </w:t>
      </w:r>
    </w:p>
    <w:p w14:paraId="2808659F"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Civil Penalty</w:t>
      </w:r>
      <w:r w:rsidRPr="002B1E8D">
        <w:rPr>
          <w:szCs w:val="22"/>
        </w:rPr>
        <w:t xml:space="preserve">.  </w:t>
      </w:r>
      <w:r w:rsidRPr="002B1E8D">
        <w:rPr>
          <w:color w:val="000000"/>
          <w:szCs w:val="22"/>
        </w:rPr>
        <w:t xml:space="preserve">Newport </w:t>
      </w:r>
      <w:r>
        <w:rPr>
          <w:color w:val="000000"/>
          <w:szCs w:val="22"/>
        </w:rPr>
        <w:t xml:space="preserve">will pay a civil penalty </w:t>
      </w:r>
      <w:r w:rsidRPr="002B1E8D">
        <w:rPr>
          <w:color w:val="000000"/>
          <w:szCs w:val="22"/>
        </w:rPr>
        <w:t xml:space="preserve">to the </w:t>
      </w:r>
      <w:r w:rsidRPr="002B1E8D">
        <w:rPr>
          <w:szCs w:val="22"/>
        </w:rPr>
        <w:t>United States Treasury in the amount of thirty five thousand dollars ($35,000) within thirty (30) calendar days after the Effective Date.  Newport shal</w:t>
      </w:r>
      <w:r>
        <w:rPr>
          <w:szCs w:val="22"/>
        </w:rPr>
        <w:t xml:space="preserve">l </w:t>
      </w:r>
      <w:r w:rsidRPr="002B1E8D">
        <w:rPr>
          <w:szCs w:val="22"/>
        </w:rPr>
        <w:t xml:space="preserve">send electronic notification of payment on the date the payment is made to </w:t>
      </w:r>
      <w:r w:rsidRPr="002B1E8D">
        <w:rPr>
          <w:color w:val="000000" w:themeColor="text1"/>
          <w:szCs w:val="22"/>
        </w:rPr>
        <w:t>Gary.Oshinsky@fcc.gov</w:t>
      </w:r>
      <w:r w:rsidRPr="002B1E8D">
        <w:rPr>
          <w:rStyle w:val="Hyperlink"/>
          <w:color w:val="000000" w:themeColor="text1"/>
          <w:szCs w:val="22"/>
        </w:rPr>
        <w:t xml:space="preserve">, </w:t>
      </w:r>
      <w:r>
        <w:rPr>
          <w:color w:val="000000" w:themeColor="text1"/>
          <w:szCs w:val="22"/>
        </w:rPr>
        <w:t>Kenneth.Scheibel</w:t>
      </w:r>
      <w:r w:rsidRPr="002B1E8D">
        <w:rPr>
          <w:color w:val="000000" w:themeColor="text1"/>
          <w:szCs w:val="22"/>
        </w:rPr>
        <w:t>@fcc.gov</w:t>
      </w:r>
      <w:r w:rsidRPr="002B1E8D">
        <w:rPr>
          <w:rStyle w:val="Hyperlink"/>
          <w:color w:val="000000" w:themeColor="text1"/>
          <w:szCs w:val="22"/>
        </w:rPr>
        <w:t xml:space="preserve">, and </w:t>
      </w:r>
      <w:r w:rsidRPr="002B1E8D">
        <w:rPr>
          <w:color w:val="000000" w:themeColor="text1"/>
          <w:szCs w:val="22"/>
        </w:rPr>
        <w:t>Jeffrey.Gee@fcc.gov.</w:t>
      </w:r>
      <w:r w:rsidRPr="002B1E8D">
        <w:rPr>
          <w:szCs w:val="22"/>
        </w:rPr>
        <w:t xml:space="preserve">  The payment must be made by check or similar instrument, wire transfer, or credit card, and must include the Account Number and FRN referenced in the caption of the Adopting Order.  Regardless of the form of payment, a completed FCC Form 159 (Remittance Advice) must be submitted.</w:t>
      </w:r>
      <w:r w:rsidRPr="002B1E8D">
        <w:rPr>
          <w:szCs w:val="22"/>
          <w:vertAlign w:val="superscript"/>
        </w:rPr>
        <w:footnoteReference w:id="21"/>
      </w:r>
      <w:r w:rsidRPr="002B1E8D">
        <w:rPr>
          <w:szCs w:val="22"/>
        </w:rPr>
        <w:t xml:space="preserve">  When completing the FCC Form 159, enter the Account Number in block number 23A (call sign/other ID) and enter the letters “FORF” in block number 24A (payment type code).  Below are additional instructions Newport must follow based </w:t>
      </w:r>
      <w:r>
        <w:rPr>
          <w:szCs w:val="22"/>
        </w:rPr>
        <w:t>on the form of payment selected:</w:t>
      </w:r>
      <w:r w:rsidRPr="002B1E8D">
        <w:rPr>
          <w:szCs w:val="22"/>
        </w:rPr>
        <w:t xml:space="preserve">  </w:t>
      </w:r>
    </w:p>
    <w:p w14:paraId="652F401A" w14:textId="77777777" w:rsidR="007634BA" w:rsidRPr="00416ADA" w:rsidRDefault="007634BA" w:rsidP="007634BA">
      <w:pPr>
        <w:widowControl/>
        <w:numPr>
          <w:ilvl w:val="0"/>
          <w:numId w:val="8"/>
        </w:numPr>
        <w:spacing w:after="120"/>
        <w:jc w:val="left"/>
        <w:rPr>
          <w:rFonts w:eastAsia="MS Mincho"/>
          <w:szCs w:val="22"/>
        </w:rPr>
      </w:pPr>
      <w:r w:rsidRPr="00416ADA">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60BB2040" w14:textId="77777777" w:rsidR="007634BA" w:rsidRPr="00416ADA" w:rsidRDefault="007634BA" w:rsidP="007634BA">
      <w:pPr>
        <w:widowControl/>
        <w:numPr>
          <w:ilvl w:val="0"/>
          <w:numId w:val="8"/>
        </w:numPr>
        <w:spacing w:after="120"/>
        <w:jc w:val="left"/>
        <w:rPr>
          <w:rFonts w:eastAsia="MS Mincho"/>
          <w:szCs w:val="22"/>
        </w:rPr>
      </w:pPr>
      <w:r w:rsidRPr="00416ADA">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5D12C4B" w14:textId="77777777" w:rsidR="007634BA" w:rsidRPr="002B1E8D" w:rsidRDefault="007634BA" w:rsidP="007634BA">
      <w:pPr>
        <w:widowControl/>
        <w:numPr>
          <w:ilvl w:val="0"/>
          <w:numId w:val="8"/>
        </w:numPr>
        <w:spacing w:after="120"/>
        <w:jc w:val="left"/>
        <w:rPr>
          <w:rFonts w:eastAsia="MS Mincho"/>
          <w:szCs w:val="22"/>
        </w:rPr>
      </w:pPr>
      <w:r w:rsidRPr="00416ADA">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49CE215"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Waiver</w:t>
      </w:r>
      <w:r w:rsidRPr="002B1E8D">
        <w:rPr>
          <w:szCs w:val="22"/>
        </w:rPr>
        <w:t xml:space="preserve">.  </w:t>
      </w:r>
      <w:r>
        <w:rPr>
          <w:szCs w:val="22"/>
        </w:rPr>
        <w:t xml:space="preserve">As of the Effective Date, </w:t>
      </w:r>
      <w:r w:rsidRPr="002B1E8D">
        <w:rPr>
          <w:szCs w:val="22"/>
        </w:rPr>
        <w:t xml:space="preserve">Newport waives any and all rights it may have to seek administrative or judicial reconsideration, review, appeal or stay, or to otherwise challenge or contest the validity of this Consent Decree and the </w:t>
      </w:r>
      <w:r>
        <w:rPr>
          <w:szCs w:val="22"/>
        </w:rPr>
        <w:t>Adopting Order</w:t>
      </w:r>
      <w:r w:rsidRPr="002B1E8D">
        <w:rPr>
          <w:szCs w:val="22"/>
        </w:rPr>
        <w:t>, provided the Bureau issues an Adopting Order</w:t>
      </w:r>
      <w:r>
        <w:rPr>
          <w:szCs w:val="22"/>
        </w:rPr>
        <w:t xml:space="preserve"> </w:t>
      </w:r>
      <w:r w:rsidRPr="002B1E8D">
        <w:rPr>
          <w:szCs w:val="22"/>
        </w:rPr>
        <w:t xml:space="preserve">as defined herein.  Newport shall retain the right to challenge Commission interpretation of the Consent Decree or any terms contained herein.  If either Party (or the United States on behalf of the Commission) brings a judicial action to enforce the terms of the </w:t>
      </w:r>
      <w:r>
        <w:rPr>
          <w:szCs w:val="22"/>
        </w:rPr>
        <w:t xml:space="preserve">Consent Decree or </w:t>
      </w:r>
      <w:r w:rsidRPr="002B1E8D">
        <w:rPr>
          <w:szCs w:val="22"/>
        </w:rPr>
        <w:t xml:space="preserve">Adopting Order, neither Newport nor the Commission shall contest the validity of the Consent Decree or the Adopting Order, and Newport shall waive any statutory right to a trial </w:t>
      </w:r>
      <w:r w:rsidRPr="002B1E8D">
        <w:rPr>
          <w:i/>
          <w:szCs w:val="22"/>
        </w:rPr>
        <w:t>de novo</w:t>
      </w:r>
      <w:r w:rsidRPr="002B1E8D">
        <w:rPr>
          <w:szCs w:val="22"/>
        </w:rPr>
        <w:t>.  Newport hereby agrees to waive any claims it may otherwise have under the Equal Access to Justice Act</w:t>
      </w:r>
      <w:r w:rsidRPr="002B1E8D">
        <w:rPr>
          <w:rStyle w:val="FootnoteReference"/>
          <w:szCs w:val="22"/>
        </w:rPr>
        <w:footnoteReference w:id="22"/>
      </w:r>
      <w:r w:rsidRPr="002B1E8D">
        <w:rPr>
          <w:szCs w:val="22"/>
        </w:rPr>
        <w:t xml:space="preserve"> relating to the matters addressed in this Consent Decree.</w:t>
      </w:r>
    </w:p>
    <w:p w14:paraId="519A193E"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Severability and Invalidity</w:t>
      </w:r>
      <w:r w:rsidRPr="002B1E8D">
        <w:rPr>
          <w:szCs w:val="22"/>
        </w:rPr>
        <w:t>.  The Parties agree that if a court of competent jurisdiction rende</w:t>
      </w:r>
      <w:r>
        <w:rPr>
          <w:szCs w:val="22"/>
        </w:rPr>
        <w:t xml:space="preserve">rs any of the provisions of this </w:t>
      </w:r>
      <w:r w:rsidRPr="002B1E8D">
        <w:rPr>
          <w:szCs w:val="22"/>
        </w:rPr>
        <w:t>Consent Decree invalid 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p>
    <w:p w14:paraId="1FC742A8"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Subsequent Rule or Order</w:t>
      </w:r>
      <w:r w:rsidRPr="002B1E8D">
        <w:rPr>
          <w:szCs w:val="22"/>
        </w:rPr>
        <w:t xml:space="preserve">.  The Parties agree that if any provision of this Consent Decree conflicts with any subsequent rule or order adopted by the Commission (except an order specifically intended to revise the terms of this Consent Decree to which Newport does not expressly consent), such provision will be superseded by such </w:t>
      </w:r>
      <w:r>
        <w:rPr>
          <w:szCs w:val="22"/>
        </w:rPr>
        <w:t>Commission r</w:t>
      </w:r>
      <w:r w:rsidRPr="002B1E8D">
        <w:rPr>
          <w:szCs w:val="22"/>
        </w:rPr>
        <w:t xml:space="preserve">ule or order. </w:t>
      </w:r>
    </w:p>
    <w:p w14:paraId="3A54E66C"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Successors and Assigns</w:t>
      </w:r>
      <w:r w:rsidRPr="002B1E8D">
        <w:rPr>
          <w:szCs w:val="22"/>
        </w:rPr>
        <w:t>.  Newport agrees that the provisions of this Consent Decree shall be binding on its successors, assigns, and transferees.</w:t>
      </w:r>
      <w:r w:rsidRPr="002B1E8D">
        <w:rPr>
          <w:b/>
          <w:szCs w:val="22"/>
        </w:rPr>
        <w:t xml:space="preserve"> </w:t>
      </w:r>
      <w:r w:rsidRPr="002B1E8D">
        <w:rPr>
          <w:szCs w:val="22"/>
        </w:rPr>
        <w:t xml:space="preserve"> </w:t>
      </w:r>
    </w:p>
    <w:p w14:paraId="66188A55" w14:textId="77777777" w:rsidR="007634BA" w:rsidRPr="002B1E8D" w:rsidRDefault="007634BA" w:rsidP="007634BA">
      <w:pPr>
        <w:pStyle w:val="ParaNum"/>
        <w:widowControl/>
        <w:tabs>
          <w:tab w:val="clear" w:pos="1080"/>
          <w:tab w:val="num" w:pos="1440"/>
        </w:tabs>
        <w:spacing w:after="120"/>
        <w:jc w:val="left"/>
        <w:rPr>
          <w:szCs w:val="22"/>
        </w:rPr>
      </w:pPr>
      <w:r w:rsidRPr="002B1E8D">
        <w:rPr>
          <w:b/>
          <w:snapToGrid/>
          <w:kern w:val="0"/>
          <w:szCs w:val="22"/>
          <w:u w:val="single"/>
        </w:rPr>
        <w:t>Final Settlement</w:t>
      </w:r>
      <w:r w:rsidRPr="002B1E8D">
        <w:rPr>
          <w:snapToGrid/>
          <w:kern w:val="0"/>
          <w:szCs w:val="22"/>
        </w:rPr>
        <w:t>.  The Parties agree and acknowledge that this Consent Decree shall constitute a final settlement between the Parties with respect to the Investigation.</w:t>
      </w:r>
    </w:p>
    <w:p w14:paraId="567FDB8F" w14:textId="77777777" w:rsidR="007634BA" w:rsidRPr="002B1E8D" w:rsidRDefault="007634BA" w:rsidP="007634BA">
      <w:pPr>
        <w:pStyle w:val="ParaNum"/>
        <w:tabs>
          <w:tab w:val="clear" w:pos="1080"/>
          <w:tab w:val="num" w:pos="1440"/>
        </w:tabs>
        <w:spacing w:after="120"/>
        <w:jc w:val="left"/>
        <w:rPr>
          <w:szCs w:val="22"/>
        </w:rPr>
      </w:pPr>
      <w:r w:rsidRPr="002B1E8D">
        <w:rPr>
          <w:b/>
          <w:szCs w:val="22"/>
          <w:u w:val="single"/>
        </w:rPr>
        <w:t>Modifications</w:t>
      </w:r>
      <w:r w:rsidRPr="002B1E8D">
        <w:rPr>
          <w:szCs w:val="22"/>
        </w:rPr>
        <w:t xml:space="preserve">.  This Consent Decree cannot be modified or amended without the advance written consent of both Parties. </w:t>
      </w:r>
    </w:p>
    <w:p w14:paraId="0216E062" w14:textId="77777777" w:rsidR="007634BA" w:rsidRDefault="007634BA" w:rsidP="007634BA">
      <w:pPr>
        <w:pStyle w:val="ParaNum"/>
        <w:tabs>
          <w:tab w:val="clear" w:pos="1080"/>
          <w:tab w:val="num" w:pos="1440"/>
        </w:tabs>
        <w:spacing w:after="120"/>
        <w:jc w:val="left"/>
        <w:rPr>
          <w:szCs w:val="22"/>
        </w:rPr>
      </w:pPr>
      <w:r w:rsidRPr="002B1E8D">
        <w:rPr>
          <w:b/>
          <w:szCs w:val="22"/>
          <w:u w:val="single"/>
        </w:rPr>
        <w:t>Paragraph Headings</w:t>
      </w:r>
      <w:r w:rsidRPr="002B1E8D">
        <w:rPr>
          <w:szCs w:val="22"/>
        </w:rPr>
        <w:t>.  The headings of the paragraphs in this Consent Decree are inserted for convenience only and are not intended to affect the meaning or interpretation of this Consent Decree.</w:t>
      </w:r>
    </w:p>
    <w:p w14:paraId="42AAC480" w14:textId="77777777" w:rsidR="007634BA" w:rsidRPr="002B1E8D" w:rsidRDefault="007634BA" w:rsidP="007634BA">
      <w:pPr>
        <w:pStyle w:val="ParaNum"/>
        <w:tabs>
          <w:tab w:val="clear" w:pos="1080"/>
          <w:tab w:val="num" w:pos="1440"/>
        </w:tabs>
        <w:spacing w:after="120"/>
        <w:jc w:val="left"/>
        <w:rPr>
          <w:szCs w:val="22"/>
        </w:rPr>
      </w:pPr>
      <w:r w:rsidRPr="002B1E8D">
        <w:rPr>
          <w:b/>
          <w:u w:val="single"/>
        </w:rPr>
        <w:t>Authorized Representative</w:t>
      </w:r>
      <w:r w:rsidRPr="0060048C">
        <w:t xml:space="preserve">.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 </w:t>
      </w:r>
    </w:p>
    <w:p w14:paraId="2C41457C" w14:textId="77777777" w:rsidR="007634BA" w:rsidRPr="002B1E8D" w:rsidRDefault="007634BA" w:rsidP="007634BA">
      <w:pPr>
        <w:pStyle w:val="ParaNum"/>
        <w:tabs>
          <w:tab w:val="clear" w:pos="1080"/>
          <w:tab w:val="num" w:pos="1440"/>
        </w:tabs>
        <w:spacing w:after="120"/>
        <w:jc w:val="left"/>
        <w:rPr>
          <w:szCs w:val="22"/>
        </w:rPr>
      </w:pPr>
      <w:r w:rsidRPr="002B1E8D">
        <w:rPr>
          <w:b/>
          <w:u w:val="single"/>
        </w:rPr>
        <w:t>Counterparts</w:t>
      </w:r>
      <w:r w:rsidRPr="0060048C">
        <w:t>.  This Consent Decree may be signed in any number of counterparts (including by facsimile), each of which, when executed and delivered, shall be an original, and all of which counterparts together shall constitute one and the same fully executed instrument.</w:t>
      </w:r>
    </w:p>
    <w:p w14:paraId="5F136E80" w14:textId="77777777" w:rsidR="007634BA" w:rsidRPr="002B1E8D" w:rsidRDefault="007634BA" w:rsidP="007634BA">
      <w:pPr>
        <w:keepNext/>
        <w:widowControl/>
        <w:rPr>
          <w:snapToGrid/>
          <w:kern w:val="0"/>
          <w:szCs w:val="22"/>
        </w:rPr>
      </w:pPr>
    </w:p>
    <w:p w14:paraId="07831725" w14:textId="77777777" w:rsidR="007634BA" w:rsidRPr="002B1E8D" w:rsidRDefault="007634BA" w:rsidP="007634BA">
      <w:pPr>
        <w:keepNext/>
        <w:widowControl/>
        <w:rPr>
          <w:snapToGrid/>
          <w:kern w:val="0"/>
          <w:szCs w:val="22"/>
        </w:rPr>
      </w:pPr>
    </w:p>
    <w:p w14:paraId="4B1B9678" w14:textId="77777777" w:rsidR="007634BA" w:rsidRPr="002B1E8D" w:rsidRDefault="007634BA" w:rsidP="007634BA">
      <w:pPr>
        <w:keepNext/>
        <w:widowControl/>
        <w:ind w:firstLine="4320"/>
        <w:rPr>
          <w:snapToGrid/>
          <w:kern w:val="0"/>
          <w:szCs w:val="22"/>
        </w:rPr>
      </w:pPr>
      <w:r w:rsidRPr="002B1E8D">
        <w:rPr>
          <w:snapToGrid/>
          <w:kern w:val="0"/>
          <w:szCs w:val="22"/>
        </w:rPr>
        <w:t>FEDERAL COMMUNICATIONS COMMISSION</w:t>
      </w:r>
    </w:p>
    <w:p w14:paraId="7C6863FD" w14:textId="77777777" w:rsidR="007634BA" w:rsidRPr="002B1E8D" w:rsidRDefault="007634BA" w:rsidP="007634BA">
      <w:pPr>
        <w:keepNext/>
        <w:widowControl/>
        <w:ind w:firstLine="4320"/>
        <w:jc w:val="center"/>
        <w:rPr>
          <w:snapToGrid/>
          <w:kern w:val="0"/>
          <w:szCs w:val="22"/>
        </w:rPr>
      </w:pPr>
    </w:p>
    <w:p w14:paraId="4BD0DE6A" w14:textId="77777777" w:rsidR="007634BA" w:rsidRPr="002B1E8D" w:rsidRDefault="007634BA" w:rsidP="007634BA">
      <w:pPr>
        <w:keepNext/>
        <w:widowControl/>
        <w:ind w:firstLine="4320"/>
        <w:jc w:val="center"/>
        <w:rPr>
          <w:snapToGrid/>
          <w:kern w:val="0"/>
          <w:szCs w:val="22"/>
        </w:rPr>
      </w:pPr>
    </w:p>
    <w:p w14:paraId="26F16BF1" w14:textId="77777777" w:rsidR="007634BA" w:rsidRPr="002B1E8D" w:rsidRDefault="007634BA" w:rsidP="007634BA">
      <w:pPr>
        <w:keepNext/>
        <w:widowControl/>
        <w:ind w:firstLine="4320"/>
        <w:jc w:val="center"/>
        <w:rPr>
          <w:snapToGrid/>
          <w:kern w:val="0"/>
          <w:szCs w:val="22"/>
        </w:rPr>
      </w:pPr>
    </w:p>
    <w:p w14:paraId="16C6B174" w14:textId="77777777" w:rsidR="007634BA" w:rsidRPr="002B1E8D" w:rsidRDefault="007634BA" w:rsidP="007634BA">
      <w:pPr>
        <w:widowControl/>
        <w:ind w:firstLine="4320"/>
        <w:rPr>
          <w:snapToGrid/>
          <w:kern w:val="0"/>
          <w:szCs w:val="22"/>
        </w:rPr>
      </w:pPr>
      <w:r w:rsidRPr="002B1E8D">
        <w:rPr>
          <w:snapToGrid/>
          <w:kern w:val="0"/>
          <w:szCs w:val="22"/>
        </w:rPr>
        <w:t>___________________________</w:t>
      </w:r>
    </w:p>
    <w:p w14:paraId="5F926BC2" w14:textId="77777777" w:rsidR="007634BA" w:rsidRPr="002B1E8D" w:rsidRDefault="007634BA" w:rsidP="007634BA">
      <w:pPr>
        <w:widowControl/>
        <w:ind w:firstLine="4320"/>
        <w:rPr>
          <w:snapToGrid/>
          <w:kern w:val="0"/>
          <w:szCs w:val="22"/>
        </w:rPr>
      </w:pPr>
      <w:r w:rsidRPr="002B1E8D">
        <w:rPr>
          <w:snapToGrid/>
          <w:kern w:val="0"/>
          <w:szCs w:val="22"/>
        </w:rPr>
        <w:t>Travis LeBlanc</w:t>
      </w:r>
    </w:p>
    <w:p w14:paraId="0F3CC94C" w14:textId="77777777" w:rsidR="007634BA" w:rsidRPr="002B1E8D" w:rsidRDefault="007634BA" w:rsidP="007634BA">
      <w:pPr>
        <w:widowControl/>
        <w:ind w:firstLine="4320"/>
        <w:rPr>
          <w:snapToGrid/>
          <w:kern w:val="0"/>
          <w:szCs w:val="22"/>
        </w:rPr>
      </w:pPr>
      <w:r w:rsidRPr="002B1E8D">
        <w:rPr>
          <w:snapToGrid/>
          <w:kern w:val="0"/>
          <w:szCs w:val="22"/>
        </w:rPr>
        <w:t>Chief</w:t>
      </w:r>
    </w:p>
    <w:p w14:paraId="2A031797" w14:textId="77777777" w:rsidR="007634BA" w:rsidRPr="002B1E8D" w:rsidRDefault="007634BA" w:rsidP="007634BA">
      <w:pPr>
        <w:widowControl/>
        <w:ind w:firstLine="4320"/>
        <w:rPr>
          <w:snapToGrid/>
          <w:kern w:val="0"/>
          <w:szCs w:val="22"/>
        </w:rPr>
      </w:pPr>
      <w:r w:rsidRPr="002B1E8D">
        <w:rPr>
          <w:snapToGrid/>
          <w:kern w:val="0"/>
          <w:szCs w:val="22"/>
        </w:rPr>
        <w:t>Enforcement Bureau</w:t>
      </w:r>
    </w:p>
    <w:p w14:paraId="53ACD16C" w14:textId="77777777" w:rsidR="007634BA" w:rsidRPr="002B1E8D" w:rsidRDefault="007634BA" w:rsidP="007634BA">
      <w:pPr>
        <w:keepNext/>
        <w:widowControl/>
        <w:ind w:firstLine="4320"/>
        <w:rPr>
          <w:snapToGrid/>
          <w:kern w:val="0"/>
          <w:szCs w:val="22"/>
        </w:rPr>
      </w:pPr>
    </w:p>
    <w:p w14:paraId="27EB06B6" w14:textId="77777777" w:rsidR="007634BA" w:rsidRPr="002B1E8D" w:rsidRDefault="007634BA" w:rsidP="007634BA">
      <w:pPr>
        <w:keepNext/>
        <w:widowControl/>
        <w:ind w:firstLine="4320"/>
        <w:rPr>
          <w:snapToGrid/>
          <w:kern w:val="0"/>
          <w:szCs w:val="22"/>
        </w:rPr>
      </w:pPr>
    </w:p>
    <w:p w14:paraId="7E6D2BDC" w14:textId="77777777" w:rsidR="007634BA" w:rsidRPr="002B1E8D" w:rsidRDefault="007634BA" w:rsidP="007634BA">
      <w:pPr>
        <w:widowControl/>
        <w:ind w:firstLine="4320"/>
        <w:rPr>
          <w:snapToGrid/>
          <w:kern w:val="0"/>
          <w:szCs w:val="22"/>
        </w:rPr>
      </w:pPr>
      <w:r w:rsidRPr="002B1E8D">
        <w:rPr>
          <w:snapToGrid/>
          <w:kern w:val="0"/>
          <w:szCs w:val="22"/>
        </w:rPr>
        <w:t>___________________________</w:t>
      </w:r>
    </w:p>
    <w:p w14:paraId="3D389C85" w14:textId="77777777" w:rsidR="007634BA" w:rsidRPr="002B1E8D" w:rsidRDefault="007634BA" w:rsidP="007634BA">
      <w:pPr>
        <w:widowControl/>
        <w:ind w:firstLine="4320"/>
        <w:rPr>
          <w:snapToGrid/>
          <w:kern w:val="0"/>
          <w:szCs w:val="22"/>
        </w:rPr>
      </w:pPr>
      <w:r w:rsidRPr="002B1E8D">
        <w:rPr>
          <w:snapToGrid/>
          <w:kern w:val="0"/>
          <w:szCs w:val="22"/>
        </w:rPr>
        <w:t>Date</w:t>
      </w:r>
    </w:p>
    <w:p w14:paraId="3FD96F10" w14:textId="77777777" w:rsidR="007634BA" w:rsidRPr="002B1E8D" w:rsidRDefault="007634BA" w:rsidP="007634BA">
      <w:pPr>
        <w:widowControl/>
        <w:ind w:firstLine="4320"/>
        <w:rPr>
          <w:snapToGrid/>
          <w:kern w:val="0"/>
          <w:szCs w:val="22"/>
        </w:rPr>
      </w:pPr>
    </w:p>
    <w:p w14:paraId="13867D00" w14:textId="77777777" w:rsidR="007634BA" w:rsidRPr="002B1E8D" w:rsidRDefault="007634BA" w:rsidP="007634BA">
      <w:pPr>
        <w:widowControl/>
        <w:ind w:firstLine="4320"/>
        <w:rPr>
          <w:snapToGrid/>
          <w:kern w:val="0"/>
          <w:szCs w:val="22"/>
        </w:rPr>
      </w:pPr>
    </w:p>
    <w:p w14:paraId="297627B7" w14:textId="77777777" w:rsidR="007634BA" w:rsidRPr="002B1E8D" w:rsidRDefault="007634BA" w:rsidP="007634BA">
      <w:pPr>
        <w:keepNext/>
        <w:widowControl/>
        <w:ind w:left="4320"/>
        <w:rPr>
          <w:snapToGrid/>
          <w:kern w:val="0"/>
          <w:szCs w:val="22"/>
        </w:rPr>
      </w:pPr>
      <w:r>
        <w:rPr>
          <w:snapToGrid/>
          <w:kern w:val="0"/>
          <w:szCs w:val="22"/>
        </w:rPr>
        <w:t>NEWPORT TELEVISION, LLC</w:t>
      </w:r>
    </w:p>
    <w:p w14:paraId="34DE7298" w14:textId="77777777" w:rsidR="007634BA" w:rsidRPr="002B1E8D" w:rsidRDefault="007634BA" w:rsidP="007634BA">
      <w:pPr>
        <w:widowControl/>
        <w:ind w:firstLine="4320"/>
        <w:rPr>
          <w:snapToGrid/>
          <w:kern w:val="0"/>
          <w:szCs w:val="22"/>
        </w:rPr>
      </w:pPr>
    </w:p>
    <w:p w14:paraId="54DF0643" w14:textId="77777777" w:rsidR="007634BA" w:rsidRPr="002B1E8D" w:rsidRDefault="007634BA" w:rsidP="007634BA">
      <w:pPr>
        <w:widowControl/>
        <w:ind w:firstLine="4320"/>
        <w:rPr>
          <w:snapToGrid/>
          <w:kern w:val="0"/>
          <w:szCs w:val="22"/>
        </w:rPr>
      </w:pPr>
    </w:p>
    <w:p w14:paraId="0B001867" w14:textId="77777777" w:rsidR="007634BA" w:rsidRPr="002B1E8D" w:rsidRDefault="007634BA" w:rsidP="007634BA">
      <w:pPr>
        <w:widowControl/>
        <w:ind w:firstLine="4320"/>
        <w:rPr>
          <w:snapToGrid/>
          <w:kern w:val="0"/>
          <w:szCs w:val="22"/>
        </w:rPr>
      </w:pPr>
      <w:r w:rsidRPr="002B1E8D">
        <w:rPr>
          <w:snapToGrid/>
          <w:kern w:val="0"/>
          <w:szCs w:val="22"/>
        </w:rPr>
        <w:t>_____________________________</w:t>
      </w:r>
    </w:p>
    <w:p w14:paraId="1DB4D5A7" w14:textId="77777777" w:rsidR="007634BA" w:rsidRPr="00B9299B" w:rsidRDefault="007634BA" w:rsidP="007634BA">
      <w:pPr>
        <w:keepNext/>
        <w:widowControl/>
        <w:ind w:left="4320"/>
        <w:rPr>
          <w:snapToGrid/>
          <w:kern w:val="0"/>
          <w:szCs w:val="22"/>
        </w:rPr>
      </w:pPr>
      <w:r>
        <w:rPr>
          <w:snapToGrid/>
          <w:kern w:val="0"/>
          <w:szCs w:val="22"/>
        </w:rPr>
        <w:t>John Grossi</w:t>
      </w:r>
    </w:p>
    <w:p w14:paraId="3D751DEB" w14:textId="77777777" w:rsidR="007634BA" w:rsidRPr="002B1E8D" w:rsidRDefault="007634BA" w:rsidP="007634BA">
      <w:pPr>
        <w:widowControl/>
        <w:ind w:left="4320"/>
        <w:rPr>
          <w:snapToGrid/>
          <w:kern w:val="0"/>
          <w:szCs w:val="22"/>
        </w:rPr>
      </w:pPr>
      <w:r>
        <w:rPr>
          <w:snapToGrid/>
          <w:kern w:val="0"/>
          <w:szCs w:val="22"/>
        </w:rPr>
        <w:t>V.P. and Treasurer</w:t>
      </w:r>
    </w:p>
    <w:p w14:paraId="51098754" w14:textId="77777777" w:rsidR="007634BA" w:rsidRPr="002B1E8D" w:rsidRDefault="007634BA" w:rsidP="007634BA">
      <w:pPr>
        <w:widowControl/>
        <w:ind w:firstLine="4320"/>
        <w:rPr>
          <w:snapToGrid/>
          <w:color w:val="000000"/>
          <w:kern w:val="0"/>
          <w:szCs w:val="22"/>
        </w:rPr>
      </w:pPr>
    </w:p>
    <w:p w14:paraId="75997BE0" w14:textId="77777777" w:rsidR="007634BA" w:rsidRPr="002B1E8D" w:rsidRDefault="007634BA" w:rsidP="007634BA">
      <w:pPr>
        <w:widowControl/>
        <w:ind w:firstLine="4320"/>
        <w:rPr>
          <w:snapToGrid/>
          <w:color w:val="000000"/>
          <w:kern w:val="0"/>
          <w:szCs w:val="22"/>
        </w:rPr>
      </w:pPr>
    </w:p>
    <w:p w14:paraId="1C3242D4" w14:textId="77777777" w:rsidR="007634BA" w:rsidRPr="002B1E8D" w:rsidRDefault="007634BA" w:rsidP="007634BA">
      <w:pPr>
        <w:widowControl/>
        <w:ind w:firstLine="4320"/>
        <w:rPr>
          <w:snapToGrid/>
          <w:kern w:val="0"/>
          <w:szCs w:val="22"/>
        </w:rPr>
      </w:pPr>
      <w:r w:rsidRPr="002B1E8D">
        <w:rPr>
          <w:snapToGrid/>
          <w:kern w:val="0"/>
          <w:szCs w:val="22"/>
        </w:rPr>
        <w:t>_____________________________</w:t>
      </w:r>
    </w:p>
    <w:p w14:paraId="4F3A7BA2" w14:textId="77777777" w:rsidR="007634BA" w:rsidRPr="00952496" w:rsidRDefault="007634BA" w:rsidP="007634BA">
      <w:pPr>
        <w:widowControl/>
        <w:ind w:firstLine="4320"/>
        <w:rPr>
          <w:kern w:val="0"/>
        </w:rPr>
      </w:pPr>
      <w:r w:rsidRPr="002B1E8D">
        <w:rPr>
          <w:snapToGrid/>
          <w:kern w:val="0"/>
          <w:szCs w:val="22"/>
        </w:rPr>
        <w:t>Date</w:t>
      </w:r>
    </w:p>
    <w:p w14:paraId="44377415" w14:textId="77777777" w:rsidR="00E9376C" w:rsidRPr="00E5576A" w:rsidRDefault="00E9376C" w:rsidP="00484C7E"/>
    <w:sectPr w:rsidR="00E9376C" w:rsidRPr="00E5576A" w:rsidSect="00FF6BF4">
      <w:footnotePr>
        <w:numRestart w:val="eachSect"/>
      </w:footnotePr>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9BDA" w14:textId="77777777" w:rsidR="00C63C78" w:rsidRDefault="00C63C78">
      <w:r>
        <w:separator/>
      </w:r>
    </w:p>
  </w:endnote>
  <w:endnote w:type="continuationSeparator" w:id="0">
    <w:p w14:paraId="1382907B" w14:textId="77777777" w:rsidR="00C63C78" w:rsidRDefault="00C63C78">
      <w:r>
        <w:continuationSeparator/>
      </w:r>
    </w:p>
  </w:endnote>
  <w:endnote w:type="continuationNotice" w:id="1">
    <w:p w14:paraId="3AD9B9B6" w14:textId="77777777" w:rsidR="00C63C78" w:rsidRDefault="00C63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156B" w14:textId="77777777" w:rsidR="0029164F" w:rsidRDefault="0029164F"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A5999" w14:textId="77777777" w:rsidR="0029164F" w:rsidRDefault="00291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E9C2" w14:textId="77777777" w:rsidR="0029164F" w:rsidRPr="00575313" w:rsidRDefault="0029164F" w:rsidP="009E64A3">
    <w:pPr>
      <w:pStyle w:val="Footer"/>
      <w:framePr w:wrap="around" w:vAnchor="text" w:hAnchor="margin" w:xAlign="center" w:y="1"/>
      <w:rPr>
        <w:rStyle w:val="PageNumber"/>
      </w:rPr>
    </w:pPr>
    <w:r w:rsidRPr="00575313">
      <w:rPr>
        <w:rStyle w:val="PageNumber"/>
      </w:rPr>
      <w:fldChar w:fldCharType="begin"/>
    </w:r>
    <w:r w:rsidRPr="00575313">
      <w:rPr>
        <w:rStyle w:val="PageNumber"/>
      </w:rPr>
      <w:instrText xml:space="preserve">PAGE  </w:instrText>
    </w:r>
    <w:r w:rsidRPr="00575313">
      <w:rPr>
        <w:rStyle w:val="PageNumber"/>
      </w:rPr>
      <w:fldChar w:fldCharType="separate"/>
    </w:r>
    <w:r w:rsidR="00676098">
      <w:rPr>
        <w:rStyle w:val="PageNumber"/>
        <w:noProof/>
      </w:rPr>
      <w:t>2</w:t>
    </w:r>
    <w:r w:rsidRPr="00575313">
      <w:rPr>
        <w:rStyle w:val="PageNumber"/>
      </w:rPr>
      <w:fldChar w:fldCharType="end"/>
    </w:r>
  </w:p>
  <w:p w14:paraId="493C9849" w14:textId="77777777" w:rsidR="0029164F" w:rsidRPr="00EF1757" w:rsidRDefault="0029164F"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C625" w14:textId="77777777" w:rsidR="0029164F" w:rsidRDefault="0029164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81958"/>
      <w:docPartObj>
        <w:docPartGallery w:val="Page Numbers (Bottom of Page)"/>
        <w:docPartUnique/>
      </w:docPartObj>
    </w:sdtPr>
    <w:sdtEndPr>
      <w:rPr>
        <w:noProof/>
      </w:rPr>
    </w:sdtEndPr>
    <w:sdtContent>
      <w:p w14:paraId="0B6C4599" w14:textId="77777777" w:rsidR="00325035" w:rsidRDefault="00190AA2">
        <w:pPr>
          <w:pStyle w:val="Footer"/>
          <w:jc w:val="center"/>
        </w:pPr>
        <w:r>
          <w:fldChar w:fldCharType="begin"/>
        </w:r>
        <w:r>
          <w:instrText xml:space="preserve"> PAGE   \* MERGEFORMAT </w:instrText>
        </w:r>
        <w:r>
          <w:fldChar w:fldCharType="separate"/>
        </w:r>
        <w:r w:rsidR="001409E8">
          <w:rPr>
            <w:noProof/>
          </w:rPr>
          <w:t>7</w:t>
        </w:r>
        <w:r>
          <w:rPr>
            <w:noProof/>
          </w:rPr>
          <w:fldChar w:fldCharType="end"/>
        </w:r>
      </w:p>
    </w:sdtContent>
  </w:sdt>
  <w:p w14:paraId="53B6C769" w14:textId="77777777" w:rsidR="00325035" w:rsidRDefault="0067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337C" w14:textId="77777777" w:rsidR="00C63C78" w:rsidRPr="00AE5FAF" w:rsidRDefault="00C63C78">
      <w:pPr>
        <w:rPr>
          <w:sz w:val="20"/>
        </w:rPr>
      </w:pPr>
      <w:r w:rsidRPr="00AE5FAF">
        <w:rPr>
          <w:sz w:val="20"/>
        </w:rPr>
        <w:separator/>
      </w:r>
    </w:p>
  </w:footnote>
  <w:footnote w:type="continuationSeparator" w:id="0">
    <w:p w14:paraId="65C36F64" w14:textId="77777777" w:rsidR="00C63C78" w:rsidRDefault="00C63C78" w:rsidP="00F60397">
      <w:r w:rsidRPr="00F60397">
        <w:rPr>
          <w:sz w:val="20"/>
        </w:rPr>
        <w:t>(Continued from previous page…)</w:t>
      </w:r>
      <w:r>
        <w:rPr>
          <w:sz w:val="20"/>
        </w:rPr>
        <w:t xml:space="preserve"> </w:t>
      </w:r>
      <w:r>
        <w:separator/>
      </w:r>
    </w:p>
  </w:footnote>
  <w:footnote w:type="continuationNotice" w:id="1">
    <w:p w14:paraId="1A7818D5" w14:textId="77777777" w:rsidR="00C63C78" w:rsidRPr="00F60397" w:rsidRDefault="00C63C78" w:rsidP="00AE54D6">
      <w:pPr>
        <w:jc w:val="right"/>
        <w:rPr>
          <w:sz w:val="20"/>
        </w:rPr>
      </w:pPr>
      <w:r w:rsidRPr="00F60397">
        <w:rPr>
          <w:sz w:val="20"/>
        </w:rPr>
        <w:t>(continued…)</w:t>
      </w:r>
    </w:p>
  </w:footnote>
  <w:footnote w:id="2">
    <w:p w14:paraId="42F273B7" w14:textId="4EBFCCD6" w:rsidR="007634BA" w:rsidRPr="002E480A" w:rsidRDefault="007634BA" w:rsidP="002E480A">
      <w:pPr>
        <w:pStyle w:val="FootnoteText"/>
        <w:tabs>
          <w:tab w:val="clear" w:pos="720"/>
          <w:tab w:val="clear" w:pos="1440"/>
        </w:tabs>
        <w:spacing w:after="120"/>
        <w:ind w:firstLine="0"/>
      </w:pPr>
      <w:r w:rsidRPr="002E480A">
        <w:rPr>
          <w:rStyle w:val="FootnoteReference"/>
          <w:sz w:val="20"/>
        </w:rPr>
        <w:footnoteRef/>
      </w:r>
      <w:r w:rsidRPr="002E480A">
        <w:t xml:space="preserve"> </w:t>
      </w:r>
      <w:r w:rsidRPr="002E480A">
        <w:rPr>
          <w:color w:val="000000"/>
        </w:rPr>
        <w:t xml:space="preserve">We note that Station KTVX(DT) has been assigned to another party by Newport Television, LLC (Newport).  Related to that assignment, Newport entered into an agreement which required it to place funds in escrow to cover potential liability for pending investigations.  In accordance with the assignment agreement, this Consent Decree neither affects nor involves the assignee of the station, which has no liability or potential liability associated with the admitted violations.  Instead, </w:t>
      </w:r>
      <w:r w:rsidR="00947ABB">
        <w:rPr>
          <w:color w:val="000000"/>
        </w:rPr>
        <w:t>this Consent Decree</w:t>
      </w:r>
      <w:r w:rsidRPr="002E480A">
        <w:rPr>
          <w:color w:val="000000"/>
        </w:rPr>
        <w:t xml:space="preserve"> pertains only to Newport.</w:t>
      </w:r>
    </w:p>
  </w:footnote>
  <w:footnote w:id="3">
    <w:p w14:paraId="6A4E170F"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This case was formerly assigned file number EB-12-IH-1612.  In September 2014, the Investigations and Hearings Division of the Enforcement Bureau assigned the case a new file number, as reflected in the caption.  Any future correspondence with the Commission concerning this matter should reflect the new case number.</w:t>
      </w:r>
    </w:p>
  </w:footnote>
  <w:footnote w:id="4">
    <w:p w14:paraId="21512013" w14:textId="77777777" w:rsidR="00FF1A43" w:rsidRPr="002E480A" w:rsidRDefault="00FF1A43" w:rsidP="002E480A">
      <w:pPr>
        <w:pStyle w:val="FootnoteText"/>
        <w:spacing w:after="120"/>
        <w:ind w:firstLine="0"/>
      </w:pPr>
      <w:r w:rsidRPr="002E480A">
        <w:rPr>
          <w:rStyle w:val="FootnoteReference"/>
          <w:sz w:val="20"/>
        </w:rPr>
        <w:footnoteRef/>
      </w:r>
      <w:r w:rsidRPr="002E480A">
        <w:t xml:space="preserve"> 47 C.F.R. § 73.1206.</w:t>
      </w:r>
    </w:p>
  </w:footnote>
  <w:footnote w:id="5">
    <w:p w14:paraId="40483FA3" w14:textId="77777777" w:rsidR="00F8669F" w:rsidRPr="002E480A" w:rsidRDefault="00F8669F" w:rsidP="002E480A">
      <w:pPr>
        <w:pStyle w:val="FootnoteText"/>
        <w:spacing w:after="120"/>
        <w:ind w:firstLine="0"/>
      </w:pPr>
      <w:r w:rsidRPr="002E480A">
        <w:rPr>
          <w:rStyle w:val="FootnoteReference"/>
          <w:sz w:val="20"/>
        </w:rPr>
        <w:footnoteRef/>
      </w:r>
      <w:r w:rsidRPr="002E480A">
        <w:t xml:space="preserve"> </w:t>
      </w:r>
      <w:r w:rsidR="00FF1A43" w:rsidRPr="002E480A">
        <w:rPr>
          <w:i/>
        </w:rPr>
        <w:t>See, e.g.</w:t>
      </w:r>
      <w:r w:rsidR="00FF1A43" w:rsidRPr="002E480A">
        <w:t xml:space="preserve">, </w:t>
      </w:r>
      <w:r w:rsidR="00FF1A43" w:rsidRPr="002E480A">
        <w:rPr>
          <w:i/>
        </w:rPr>
        <w:t>Net One Int’l</w:t>
      </w:r>
      <w:r w:rsidR="00FF1A43" w:rsidRPr="002E480A">
        <w:t xml:space="preserve">, Notice of Apparent Liability and Forfeiture and Order, 26 FCC Rcd 16493 (Enf. Bur. 2011), </w:t>
      </w:r>
      <w:r w:rsidR="00FF1A43" w:rsidRPr="002E480A">
        <w:rPr>
          <w:i/>
        </w:rPr>
        <w:t>aff’d</w:t>
      </w:r>
      <w:r w:rsidR="00FF1A43" w:rsidRPr="002E480A">
        <w:t>, Forfeiture Order, 29 FCC Rcd 264 (Enf. Bur. 2014) (imposing $25,000 pena</w:t>
      </w:r>
      <w:r w:rsidR="003B2422" w:rsidRPr="002E480A">
        <w:t>lty for failure to respond to a</w:t>
      </w:r>
      <w:r w:rsidR="00FF1A43" w:rsidRPr="002E480A">
        <w:t xml:space="preserve"> </w:t>
      </w:r>
      <w:r w:rsidR="003B2422" w:rsidRPr="002E480A">
        <w:t xml:space="preserve">Bureau </w:t>
      </w:r>
      <w:r w:rsidR="00FF1A43" w:rsidRPr="002E480A">
        <w:t>inquiry).</w:t>
      </w:r>
    </w:p>
  </w:footnote>
  <w:footnote w:id="6">
    <w:p w14:paraId="2EBE15AD" w14:textId="77777777" w:rsidR="00FF1A43" w:rsidRPr="002E480A" w:rsidRDefault="00FF1A43" w:rsidP="002E480A">
      <w:pPr>
        <w:pStyle w:val="FootnoteText"/>
        <w:spacing w:after="120"/>
        <w:ind w:firstLine="0"/>
      </w:pPr>
      <w:r w:rsidRPr="002E480A">
        <w:rPr>
          <w:rStyle w:val="FootnoteReference"/>
          <w:sz w:val="20"/>
        </w:rPr>
        <w:footnoteRef/>
      </w:r>
      <w:r w:rsidRPr="002E480A">
        <w:t xml:space="preserve"> </w:t>
      </w:r>
      <w:r w:rsidRPr="002E480A">
        <w:rPr>
          <w:i/>
        </w:rPr>
        <w:t>See</w:t>
      </w:r>
      <w:r w:rsidRPr="002E480A">
        <w:t xml:space="preserve"> 47 U.S.C. § 154(i). </w:t>
      </w:r>
    </w:p>
  </w:footnote>
  <w:footnote w:id="7">
    <w:p w14:paraId="4D524FEF" w14:textId="77777777" w:rsidR="00FF1A43" w:rsidRPr="002E480A" w:rsidRDefault="00FF1A43" w:rsidP="002E480A">
      <w:pPr>
        <w:pStyle w:val="FootnoteText"/>
        <w:spacing w:after="120"/>
        <w:ind w:firstLine="0"/>
      </w:pPr>
      <w:r w:rsidRPr="002E480A">
        <w:rPr>
          <w:rStyle w:val="FootnoteReference"/>
          <w:sz w:val="20"/>
        </w:rPr>
        <w:footnoteRef/>
      </w:r>
      <w:r w:rsidRPr="002E480A">
        <w:t xml:space="preserve"> </w:t>
      </w:r>
      <w:r w:rsidRPr="002E480A">
        <w:rPr>
          <w:i/>
        </w:rPr>
        <w:t>See</w:t>
      </w:r>
      <w:r w:rsidRPr="002E480A">
        <w:t xml:space="preserve"> 47 C.F.R. §§ 0.111, 0.311. </w:t>
      </w:r>
    </w:p>
  </w:footnote>
  <w:footnote w:id="8">
    <w:p w14:paraId="11A5CDAC"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color w:val="000000"/>
        </w:rPr>
        <w:t>We note that Station KTVX(DT) has been assigned to another party by Newport Television, LLC (Newport).  Related to that assignment, Newport entered into an agreement which required it to place funds in escrow to cover potential liability for pending investigations.  In accordance with the assignment agreement, this Consent Decree neither affects nor involves the assignee of the station, which has no liability or potential liability associated with the admitted violations.  Instead, this Consent Decree pertains only to Newport.</w:t>
      </w:r>
    </w:p>
  </w:footnote>
  <w:footnote w:id="9">
    <w:p w14:paraId="20CFEE77"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This case was formerly assigned file number EB-12-IH-1612.  In September 2014, the Investigations and Hearings Division of the Enforcement Bureau assigned the case a new file number, as reflected in the caption.  Any future correspondence with the Commission concerning this matter should reflect the new case number.</w:t>
      </w:r>
    </w:p>
  </w:footnote>
  <w:footnote w:id="10">
    <w:p w14:paraId="63FC20CC"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See</w:t>
      </w:r>
      <w:r w:rsidRPr="002E480A">
        <w:t xml:space="preserve"> 47 C.F.R. § 73.1206. </w:t>
      </w:r>
    </w:p>
  </w:footnote>
  <w:footnote w:id="11">
    <w:p w14:paraId="5A831C95"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See id.</w:t>
      </w:r>
    </w:p>
  </w:footnote>
  <w:footnote w:id="12">
    <w:p w14:paraId="72EC5E3C"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See, e.g.</w:t>
      </w:r>
      <w:r w:rsidRPr="002E480A">
        <w:t xml:space="preserve">, </w:t>
      </w:r>
      <w:r w:rsidRPr="002E480A">
        <w:rPr>
          <w:i/>
        </w:rPr>
        <w:t>Net One Int’l</w:t>
      </w:r>
      <w:r w:rsidRPr="002E480A">
        <w:t xml:space="preserve">, Notice of Apparent Liability and Forfeiture and Order, 26 FCC Rcd 16493 (Enf. Bur. 2011), </w:t>
      </w:r>
      <w:r w:rsidRPr="002E480A">
        <w:rPr>
          <w:i/>
        </w:rPr>
        <w:t>aff’d</w:t>
      </w:r>
      <w:r w:rsidRPr="002E480A">
        <w:t>, Forfeiture Order, 29 FCC Rcd 264 (Enf. Bur. 2014) (imposing $25,000 penalty for failure to respond to a Bureau inquiry).</w:t>
      </w:r>
    </w:p>
  </w:footnote>
  <w:footnote w:id="13">
    <w:p w14:paraId="70E82964"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See supra</w:t>
      </w:r>
      <w:r w:rsidRPr="002E480A">
        <w:t xml:space="preserve"> notes 3, 5.</w:t>
      </w:r>
    </w:p>
  </w:footnote>
  <w:footnote w:id="14">
    <w:p w14:paraId="1588DC70"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47 C.F.R. § 73.1206.  This rule is commonly known as “the Telephone Broadcast Rule.”</w:t>
      </w:r>
    </w:p>
  </w:footnote>
  <w:footnote w:id="15">
    <w:p w14:paraId="3E7D78F3"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 xml:space="preserve">See </w:t>
      </w:r>
      <w:r w:rsidRPr="002E480A">
        <w:rPr>
          <w:i/>
          <w:color w:val="000000"/>
        </w:rPr>
        <w:t>Spanish Broad. Sys. Holding Co., Inc.</w:t>
      </w:r>
      <w:r w:rsidRPr="002E480A">
        <w:rPr>
          <w:color w:val="000000"/>
        </w:rPr>
        <w:t>, Forfeiture Order, 27 FCC Rcd 10107, 11958, para. 6 (Enf. Bur. 2012);</w:t>
      </w:r>
      <w:r w:rsidRPr="002E480A">
        <w:rPr>
          <w:i/>
          <w:iCs/>
          <w:color w:val="000000"/>
        </w:rPr>
        <w:t xml:space="preserve"> see also </w:t>
      </w:r>
      <w:r w:rsidRPr="002E480A">
        <w:rPr>
          <w:i/>
          <w:iCs/>
        </w:rPr>
        <w:t>Amendment of Section 1206: Broadcast of Telephone Conversations</w:t>
      </w:r>
      <w:r w:rsidRPr="002E480A">
        <w:t>, Report and Order, 3 FCC Rcd 5461, 5463–64, paras. 19–21 (1988).</w:t>
      </w:r>
    </w:p>
  </w:footnote>
  <w:footnote w:id="16">
    <w:p w14:paraId="6E95C7F5"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 xml:space="preserve">See </w:t>
      </w:r>
      <w:r w:rsidRPr="002E480A">
        <w:t xml:space="preserve">Complaint No. 12-C00419617-1 (Aug. 21, 2012) (on file in </w:t>
      </w:r>
      <w:r w:rsidRPr="002E480A">
        <w:rPr>
          <w:spacing w:val="-2"/>
        </w:rPr>
        <w:t>EB-IHD-14-00017156)</w:t>
      </w:r>
      <w:r w:rsidRPr="002E480A">
        <w:t xml:space="preserve">. </w:t>
      </w:r>
    </w:p>
  </w:footnote>
  <w:footnote w:id="17">
    <w:p w14:paraId="0324FF5D"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See Letter from Anjali K. Singh, Assistant Chief, Investigations and Hearings Division, Enforcement Bureau, to Newport Television License LLC, at 1 (Mar. 31, 2014) (on file in </w:t>
      </w:r>
      <w:r w:rsidRPr="002E480A">
        <w:rPr>
          <w:spacing w:val="-2"/>
        </w:rPr>
        <w:t>EB-IHD-14-00017156)</w:t>
      </w:r>
      <w:r w:rsidRPr="002E480A">
        <w:t xml:space="preserve"> (LOI).</w:t>
      </w:r>
    </w:p>
  </w:footnote>
  <w:footnote w:id="18">
    <w:p w14:paraId="3D6541EA"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 xml:space="preserve">See supra </w:t>
      </w:r>
      <w:r w:rsidRPr="002E480A">
        <w:t>note 5.</w:t>
      </w:r>
    </w:p>
  </w:footnote>
  <w:footnote w:id="19">
    <w:p w14:paraId="709E9183"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See supra</w:t>
      </w:r>
      <w:r w:rsidRPr="002E480A">
        <w:t xml:space="preserve"> note 3.</w:t>
      </w:r>
    </w:p>
  </w:footnote>
  <w:footnote w:id="20">
    <w:p w14:paraId="0E4147D4"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i/>
        </w:rPr>
        <w:t>See supra</w:t>
      </w:r>
      <w:r w:rsidRPr="002E480A">
        <w:t xml:space="preserve"> note 5.</w:t>
      </w:r>
    </w:p>
  </w:footnote>
  <w:footnote w:id="21">
    <w:p w14:paraId="796D3F71"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w:t>
      </w:r>
      <w:r w:rsidRPr="002E480A">
        <w:rPr>
          <w:rFonts w:eastAsia="MS Mincho"/>
        </w:rPr>
        <w:t>An FCC Form 159 and detailed instructions for completing the form may be obtained at http://www.fcc.gov/Forms/Form159/159.pdf.</w:t>
      </w:r>
    </w:p>
  </w:footnote>
  <w:footnote w:id="22">
    <w:p w14:paraId="6F27D16D" w14:textId="77777777" w:rsidR="007634BA" w:rsidRPr="002E480A" w:rsidRDefault="007634BA" w:rsidP="002E480A">
      <w:pPr>
        <w:pStyle w:val="FootnoteText"/>
        <w:spacing w:after="120"/>
        <w:ind w:firstLine="0"/>
      </w:pPr>
      <w:r w:rsidRPr="002E480A">
        <w:rPr>
          <w:rStyle w:val="FootnoteReference"/>
          <w:sz w:val="20"/>
        </w:rPr>
        <w:footnoteRef/>
      </w:r>
      <w:r w:rsidRPr="002E480A">
        <w:t xml:space="preserve"> 5 U.S.C. § 504; 47 C.F.R. § 1.1501 </w:t>
      </w:r>
      <w:r w:rsidRPr="002E480A">
        <w:rPr>
          <w:i/>
        </w:rPr>
        <w:t>et seq</w:t>
      </w:r>
      <w:r w:rsidRPr="002E480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61758" w14:textId="77777777" w:rsidR="001409E8" w:rsidRDefault="00140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82F5" w14:textId="77777777" w:rsidR="000B5598" w:rsidRPr="000F0509" w:rsidRDefault="000B5598" w:rsidP="000B5598">
    <w:pPr>
      <w:pStyle w:val="Header"/>
    </w:pPr>
    <w:r w:rsidRPr="007E5F36">
      <w:rPr>
        <w:noProof/>
        <w:snapToGrid/>
      </w:rPr>
      <mc:AlternateContent>
        <mc:Choice Requires="wps">
          <w:drawing>
            <wp:anchor distT="0" distB="0" distL="114300" distR="114300" simplePos="0" relativeHeight="251667456" behindDoc="1" locked="0" layoutInCell="0" allowOverlap="1" wp14:anchorId="58C6CA64" wp14:editId="5D4F52EA">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0F0509">
      <w:tab/>
      <w:t>Federal Communications Commission</w:t>
    </w:r>
    <w:r w:rsidRPr="000F0509">
      <w:tab/>
    </w:r>
    <w:r>
      <w:rPr>
        <w:spacing w:val="-2"/>
      </w:rPr>
      <w:t xml:space="preserve">DA </w:t>
    </w:r>
    <w:r w:rsidRPr="001E20A0">
      <w:rPr>
        <w:spacing w:val="-2"/>
      </w:rPr>
      <w:t>14-1676</w:t>
    </w:r>
  </w:p>
  <w:p w14:paraId="2133C6B9" w14:textId="77777777" w:rsidR="00806B46" w:rsidRPr="000B5598" w:rsidRDefault="00806B46" w:rsidP="000B5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EA4E" w14:textId="081E75A2" w:rsidR="00806B46" w:rsidRPr="000F0509" w:rsidRDefault="00806B46" w:rsidP="007E5F36">
    <w:pPr>
      <w:pStyle w:val="Header"/>
    </w:pPr>
    <w:r w:rsidRPr="007E5F36">
      <w:rPr>
        <w:noProof/>
        <w:snapToGrid/>
      </w:rPr>
      <mc:AlternateContent>
        <mc:Choice Requires="wps">
          <w:drawing>
            <wp:anchor distT="0" distB="0" distL="114300" distR="114300" simplePos="0" relativeHeight="251661312" behindDoc="1" locked="0" layoutInCell="0" allowOverlap="1" wp14:anchorId="52C779C4" wp14:editId="4997451F">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0F0509">
      <w:tab/>
      <w:t>Federal Communications Commission</w:t>
    </w:r>
    <w:r w:rsidRPr="000F0509">
      <w:tab/>
    </w:r>
    <w:r w:rsidR="00424AD8">
      <w:rPr>
        <w:spacing w:val="-2"/>
      </w:rPr>
      <w:t xml:space="preserve">DA </w:t>
    </w:r>
    <w:r w:rsidR="004063F1" w:rsidRPr="001E20A0">
      <w:rPr>
        <w:spacing w:val="-2"/>
      </w:rPr>
      <w:t>14-1676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3AB5" w14:textId="77777777" w:rsidR="00214ECD" w:rsidRDefault="00190AA2" w:rsidP="00214ECD">
    <w:pPr>
      <w:pStyle w:val="Header"/>
      <w:rPr>
        <w:b w:val="0"/>
      </w:rPr>
    </w:pPr>
    <w:r>
      <w:rPr>
        <w:noProof/>
        <w:snapToGrid/>
      </w:rPr>
      <mc:AlternateContent>
        <mc:Choice Requires="wps">
          <w:drawing>
            <wp:anchor distT="0" distB="0" distL="114300" distR="114300" simplePos="0" relativeHeight="251665408" behindDoc="1" locked="0" layoutInCell="0" allowOverlap="1" wp14:anchorId="5A50507D" wp14:editId="562CB7A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 xml:space="preserve">DA </w:t>
    </w:r>
    <w:r w:rsidRPr="001E20A0">
      <w:rPr>
        <w:spacing w:val="-2"/>
      </w:rPr>
      <w:t>14-1676</w:t>
    </w:r>
  </w:p>
  <w:p w14:paraId="68CB122F" w14:textId="77777777" w:rsidR="00214ECD" w:rsidRDefault="0067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552"/>
    <w:multiLevelType w:val="multilevel"/>
    <w:tmpl w:val="ABC8950C"/>
    <w:name w:val="zzmpOutline||Outline|2|3|1|1|4|9||1|4|0||1|4|0||1|4|1||1|4|0||1|4|0||1|4|0||1|4|0||1|4|0||"/>
    <w:lvl w:ilvl="0">
      <w:start w:val="1"/>
      <w:numFmt w:val="upperRoman"/>
      <w:pStyle w:val="OutlineL1"/>
      <w:lvlText w:val="%1."/>
      <w:lvlJc w:val="left"/>
      <w:pPr>
        <w:tabs>
          <w:tab w:val="num" w:pos="720"/>
        </w:tabs>
        <w:ind w:left="0" w:firstLine="0"/>
      </w:pPr>
      <w:rPr>
        <w:rFonts w:cs="Times New Roman" w:hint="default"/>
        <w:b/>
        <w:i w:val="0"/>
        <w:caps/>
        <w:smallCaps w:val="0"/>
        <w:u w:val="none"/>
      </w:rPr>
    </w:lvl>
    <w:lvl w:ilvl="1">
      <w:start w:val="1"/>
      <w:numFmt w:val="decimal"/>
      <w:lvlRestart w:val="0"/>
      <w:pStyle w:val="OutlineL2"/>
      <w:lvlText w:val="%2."/>
      <w:lvlJc w:val="left"/>
      <w:pPr>
        <w:tabs>
          <w:tab w:val="num" w:pos="1440"/>
        </w:tabs>
        <w:ind w:left="0" w:firstLine="720"/>
      </w:pPr>
      <w:rPr>
        <w:rFonts w:cs="Times New Roman" w:hint="default"/>
        <w:b w:val="0"/>
        <w:i w:val="0"/>
        <w:caps w:val="0"/>
        <w:u w:val="none"/>
      </w:rPr>
    </w:lvl>
    <w:lvl w:ilvl="2">
      <w:start w:val="1"/>
      <w:numFmt w:val="lowerLetter"/>
      <w:pStyle w:val="OutlineL3"/>
      <w:lvlText w:val="(%3)"/>
      <w:lvlJc w:val="left"/>
      <w:pPr>
        <w:tabs>
          <w:tab w:val="num" w:pos="2160"/>
        </w:tabs>
        <w:ind w:left="2160" w:hanging="720"/>
      </w:pPr>
      <w:rPr>
        <w:rFonts w:cs="Times New Roman" w:hint="default"/>
        <w:b w:val="0"/>
        <w:i w:val="0"/>
        <w:caps w:val="0"/>
        <w:u w:val="none"/>
      </w:rPr>
    </w:lvl>
    <w:lvl w:ilvl="3">
      <w:start w:val="1"/>
      <w:numFmt w:val="lowerLetter"/>
      <w:pStyle w:val="OutlineL4"/>
      <w:lvlText w:val="%4."/>
      <w:lvlJc w:val="left"/>
      <w:pPr>
        <w:tabs>
          <w:tab w:val="num" w:pos="2880"/>
        </w:tabs>
        <w:ind w:left="0" w:firstLine="2160"/>
      </w:pPr>
      <w:rPr>
        <w:rFonts w:cs="Times New Roman" w:hint="default"/>
        <w:b w:val="0"/>
        <w:i w:val="0"/>
        <w:caps w:val="0"/>
        <w:u w:val="none"/>
      </w:rPr>
    </w:lvl>
    <w:lvl w:ilvl="4">
      <w:start w:val="1"/>
      <w:numFmt w:val="lowerRoman"/>
      <w:pStyle w:val="OutlineL5"/>
      <w:lvlText w:val="(%5)"/>
      <w:lvlJc w:val="left"/>
      <w:pPr>
        <w:tabs>
          <w:tab w:val="num" w:pos="3600"/>
        </w:tabs>
        <w:ind w:left="0" w:firstLine="2880"/>
      </w:pPr>
      <w:rPr>
        <w:rFonts w:cs="Times New Roman" w:hint="default"/>
        <w:b w:val="0"/>
        <w:i w:val="0"/>
        <w:caps w:val="0"/>
        <w:u w:val="none"/>
      </w:rPr>
    </w:lvl>
    <w:lvl w:ilvl="5">
      <w:start w:val="1"/>
      <w:numFmt w:val="lowerLetter"/>
      <w:pStyle w:val="OutlineL6"/>
      <w:lvlText w:val="(%6)"/>
      <w:lvlJc w:val="left"/>
      <w:pPr>
        <w:tabs>
          <w:tab w:val="num" w:pos="4320"/>
        </w:tabs>
        <w:ind w:left="0" w:firstLine="3600"/>
      </w:pPr>
      <w:rPr>
        <w:rFonts w:cs="Times New Roman" w:hint="default"/>
        <w:b w:val="0"/>
        <w:i w:val="0"/>
        <w:caps w:val="0"/>
        <w:u w:val="none"/>
      </w:rPr>
    </w:lvl>
    <w:lvl w:ilvl="6">
      <w:start w:val="1"/>
      <w:numFmt w:val="decimal"/>
      <w:pStyle w:val="OutlineL7"/>
      <w:lvlText w:val="(%7)"/>
      <w:lvlJc w:val="left"/>
      <w:pPr>
        <w:tabs>
          <w:tab w:val="num" w:pos="5040"/>
        </w:tabs>
        <w:ind w:left="0" w:firstLine="4320"/>
      </w:pPr>
      <w:rPr>
        <w:rFonts w:cs="Times New Roman" w:hint="default"/>
        <w:b w:val="0"/>
        <w:i w:val="0"/>
        <w:caps w:val="0"/>
        <w:u w:val="none"/>
      </w:rPr>
    </w:lvl>
    <w:lvl w:ilvl="7">
      <w:start w:val="1"/>
      <w:numFmt w:val="lowerRoman"/>
      <w:pStyle w:val="OutlineL8"/>
      <w:lvlText w:val="%8)"/>
      <w:lvlJc w:val="left"/>
      <w:pPr>
        <w:tabs>
          <w:tab w:val="num" w:pos="5760"/>
        </w:tabs>
        <w:ind w:left="0" w:firstLine="5040"/>
      </w:pPr>
      <w:rPr>
        <w:rFonts w:cs="Times New Roman" w:hint="default"/>
        <w:b w:val="0"/>
        <w:i w:val="0"/>
        <w:caps w:val="0"/>
        <w:u w:val="none"/>
      </w:rPr>
    </w:lvl>
    <w:lvl w:ilvl="8">
      <w:start w:val="1"/>
      <w:numFmt w:val="lowerLetter"/>
      <w:pStyle w:val="OutlineL9"/>
      <w:lvlText w:val="%9)"/>
      <w:lvlJc w:val="left"/>
      <w:pPr>
        <w:tabs>
          <w:tab w:val="num" w:pos="6480"/>
        </w:tabs>
        <w:ind w:left="0" w:firstLine="5760"/>
      </w:pPr>
      <w:rPr>
        <w:rFonts w:cs="Times New Roman" w:hint="default"/>
        <w:b w:val="0"/>
        <w:i w:val="0"/>
        <w:caps w:val="0"/>
        <w:u w:val="none"/>
      </w:rPr>
    </w:lvl>
  </w:abstractNum>
  <w:abstractNum w:abstractNumId="1">
    <w:nsid w:val="1D2A0864"/>
    <w:multiLevelType w:val="hybridMultilevel"/>
    <w:tmpl w:val="BA8E8B12"/>
    <w:lvl w:ilvl="0" w:tplc="FFFFFFFF">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61182925"/>
    <w:multiLevelType w:val="singleLevel"/>
    <w:tmpl w:val="EB8CF81A"/>
    <w:lvl w:ilvl="0">
      <w:start w:val="1"/>
      <w:numFmt w:val="decimal"/>
      <w:pStyle w:val="ParaNum"/>
      <w:lvlText w:val="%1."/>
      <w:lvlJc w:val="left"/>
      <w:pPr>
        <w:tabs>
          <w:tab w:val="num" w:pos="1080"/>
        </w:tabs>
        <w:ind w:left="0" w:firstLine="720"/>
      </w:pPr>
      <w:rPr>
        <w:rFonts w:hint="default"/>
      </w:rPr>
    </w:lvl>
  </w:abstractNum>
  <w:abstractNum w:abstractNumId="5">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7">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4"/>
  </w:num>
  <w:num w:numId="4">
    <w:abstractNumId w:val="7"/>
  </w:num>
  <w:num w:numId="5">
    <w:abstractNumId w:val="2"/>
  </w:num>
  <w:num w:numId="6">
    <w:abstractNumId w:val="0"/>
  </w:num>
  <w:num w:numId="7">
    <w:abstractNumId w:val="1"/>
  </w:num>
  <w:num w:numId="8">
    <w:abstractNumId w:val="3"/>
  </w:num>
  <w:num w:numId="9">
    <w:abstractNumId w:val="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0E7E"/>
    <w:rsid w:val="00001F91"/>
    <w:rsid w:val="000021A3"/>
    <w:rsid w:val="00006096"/>
    <w:rsid w:val="00006863"/>
    <w:rsid w:val="000069F1"/>
    <w:rsid w:val="00006B8F"/>
    <w:rsid w:val="0000715C"/>
    <w:rsid w:val="00010612"/>
    <w:rsid w:val="0001067E"/>
    <w:rsid w:val="00011FC8"/>
    <w:rsid w:val="00012592"/>
    <w:rsid w:val="0001259D"/>
    <w:rsid w:val="00012F33"/>
    <w:rsid w:val="000136FB"/>
    <w:rsid w:val="00013D16"/>
    <w:rsid w:val="00015904"/>
    <w:rsid w:val="00016C55"/>
    <w:rsid w:val="0001758D"/>
    <w:rsid w:val="000221BE"/>
    <w:rsid w:val="00024160"/>
    <w:rsid w:val="000245A8"/>
    <w:rsid w:val="00024634"/>
    <w:rsid w:val="00024D51"/>
    <w:rsid w:val="00024F0C"/>
    <w:rsid w:val="00025C30"/>
    <w:rsid w:val="00026F3F"/>
    <w:rsid w:val="00031191"/>
    <w:rsid w:val="00033B82"/>
    <w:rsid w:val="00035850"/>
    <w:rsid w:val="00035D6C"/>
    <w:rsid w:val="00036451"/>
    <w:rsid w:val="00040C91"/>
    <w:rsid w:val="000412F0"/>
    <w:rsid w:val="000413FE"/>
    <w:rsid w:val="00041435"/>
    <w:rsid w:val="0004206A"/>
    <w:rsid w:val="00042E52"/>
    <w:rsid w:val="000430C1"/>
    <w:rsid w:val="0004363E"/>
    <w:rsid w:val="00043ACC"/>
    <w:rsid w:val="00043BB1"/>
    <w:rsid w:val="00043C5E"/>
    <w:rsid w:val="000457E5"/>
    <w:rsid w:val="00045A25"/>
    <w:rsid w:val="0004635A"/>
    <w:rsid w:val="000475FE"/>
    <w:rsid w:val="00047C22"/>
    <w:rsid w:val="00050690"/>
    <w:rsid w:val="000517B3"/>
    <w:rsid w:val="00051FC4"/>
    <w:rsid w:val="00052E4A"/>
    <w:rsid w:val="00053B13"/>
    <w:rsid w:val="0005514C"/>
    <w:rsid w:val="000558CA"/>
    <w:rsid w:val="00057539"/>
    <w:rsid w:val="000577AA"/>
    <w:rsid w:val="00060BD6"/>
    <w:rsid w:val="00061B39"/>
    <w:rsid w:val="00062C72"/>
    <w:rsid w:val="0006340A"/>
    <w:rsid w:val="000639D9"/>
    <w:rsid w:val="00064C65"/>
    <w:rsid w:val="0006502F"/>
    <w:rsid w:val="00066046"/>
    <w:rsid w:val="00066E36"/>
    <w:rsid w:val="00067B73"/>
    <w:rsid w:val="00067DA4"/>
    <w:rsid w:val="0007102F"/>
    <w:rsid w:val="00072AEA"/>
    <w:rsid w:val="00073D76"/>
    <w:rsid w:val="000743B1"/>
    <w:rsid w:val="000743CB"/>
    <w:rsid w:val="000759C1"/>
    <w:rsid w:val="00077222"/>
    <w:rsid w:val="00081002"/>
    <w:rsid w:val="00082EDF"/>
    <w:rsid w:val="00083739"/>
    <w:rsid w:val="00084C71"/>
    <w:rsid w:val="00084F62"/>
    <w:rsid w:val="00085618"/>
    <w:rsid w:val="000856D2"/>
    <w:rsid w:val="0008593B"/>
    <w:rsid w:val="0008793B"/>
    <w:rsid w:val="000907C9"/>
    <w:rsid w:val="00092A66"/>
    <w:rsid w:val="00092BAB"/>
    <w:rsid w:val="00092BF2"/>
    <w:rsid w:val="000962C7"/>
    <w:rsid w:val="000963A6"/>
    <w:rsid w:val="00096F02"/>
    <w:rsid w:val="000973EC"/>
    <w:rsid w:val="0009792D"/>
    <w:rsid w:val="00097E37"/>
    <w:rsid w:val="000A02F1"/>
    <w:rsid w:val="000A0708"/>
    <w:rsid w:val="000A1455"/>
    <w:rsid w:val="000A1DB5"/>
    <w:rsid w:val="000A2104"/>
    <w:rsid w:val="000A3027"/>
    <w:rsid w:val="000A4B2B"/>
    <w:rsid w:val="000A5F1A"/>
    <w:rsid w:val="000A6C36"/>
    <w:rsid w:val="000A72EB"/>
    <w:rsid w:val="000A78F3"/>
    <w:rsid w:val="000B08BF"/>
    <w:rsid w:val="000B147E"/>
    <w:rsid w:val="000B19EE"/>
    <w:rsid w:val="000B1B18"/>
    <w:rsid w:val="000B347D"/>
    <w:rsid w:val="000B46D1"/>
    <w:rsid w:val="000B5598"/>
    <w:rsid w:val="000B57B5"/>
    <w:rsid w:val="000B5E05"/>
    <w:rsid w:val="000B5FAA"/>
    <w:rsid w:val="000B6354"/>
    <w:rsid w:val="000B74EE"/>
    <w:rsid w:val="000B78CA"/>
    <w:rsid w:val="000C30B9"/>
    <w:rsid w:val="000C445E"/>
    <w:rsid w:val="000C46D2"/>
    <w:rsid w:val="000C6E17"/>
    <w:rsid w:val="000C6E40"/>
    <w:rsid w:val="000D3921"/>
    <w:rsid w:val="000D3BEE"/>
    <w:rsid w:val="000D5CEF"/>
    <w:rsid w:val="000D6003"/>
    <w:rsid w:val="000D7F45"/>
    <w:rsid w:val="000E0903"/>
    <w:rsid w:val="000E0BD7"/>
    <w:rsid w:val="000E0FB6"/>
    <w:rsid w:val="000E1B54"/>
    <w:rsid w:val="000E21EB"/>
    <w:rsid w:val="000E23C9"/>
    <w:rsid w:val="000E3DA5"/>
    <w:rsid w:val="000E5573"/>
    <w:rsid w:val="000E566D"/>
    <w:rsid w:val="000E7073"/>
    <w:rsid w:val="000E71A8"/>
    <w:rsid w:val="000F0509"/>
    <w:rsid w:val="000F0A7A"/>
    <w:rsid w:val="000F0FB4"/>
    <w:rsid w:val="000F1523"/>
    <w:rsid w:val="000F16B0"/>
    <w:rsid w:val="000F1E94"/>
    <w:rsid w:val="000F1FEB"/>
    <w:rsid w:val="000F22A2"/>
    <w:rsid w:val="000F40EA"/>
    <w:rsid w:val="000F41D6"/>
    <w:rsid w:val="000F438B"/>
    <w:rsid w:val="000F500C"/>
    <w:rsid w:val="000F738E"/>
    <w:rsid w:val="000F7572"/>
    <w:rsid w:val="001002A6"/>
    <w:rsid w:val="001029C4"/>
    <w:rsid w:val="001044AD"/>
    <w:rsid w:val="00104CC9"/>
    <w:rsid w:val="001056BA"/>
    <w:rsid w:val="00105D3E"/>
    <w:rsid w:val="00106C96"/>
    <w:rsid w:val="00110261"/>
    <w:rsid w:val="001118E3"/>
    <w:rsid w:val="00111A21"/>
    <w:rsid w:val="00113784"/>
    <w:rsid w:val="00113BC4"/>
    <w:rsid w:val="00116FE5"/>
    <w:rsid w:val="001200A8"/>
    <w:rsid w:val="00120403"/>
    <w:rsid w:val="00120A8A"/>
    <w:rsid w:val="00122A8F"/>
    <w:rsid w:val="00130D0E"/>
    <w:rsid w:val="0013162A"/>
    <w:rsid w:val="001326B0"/>
    <w:rsid w:val="0013283B"/>
    <w:rsid w:val="001339CF"/>
    <w:rsid w:val="0013416E"/>
    <w:rsid w:val="0013442B"/>
    <w:rsid w:val="001353CD"/>
    <w:rsid w:val="001358C4"/>
    <w:rsid w:val="00135972"/>
    <w:rsid w:val="0013604B"/>
    <w:rsid w:val="001374F2"/>
    <w:rsid w:val="001374F8"/>
    <w:rsid w:val="00137980"/>
    <w:rsid w:val="00137BCF"/>
    <w:rsid w:val="001409E8"/>
    <w:rsid w:val="001411BE"/>
    <w:rsid w:val="00141925"/>
    <w:rsid w:val="001422A3"/>
    <w:rsid w:val="001435D9"/>
    <w:rsid w:val="001465E9"/>
    <w:rsid w:val="0014680D"/>
    <w:rsid w:val="001513AA"/>
    <w:rsid w:val="00151729"/>
    <w:rsid w:val="00152F91"/>
    <w:rsid w:val="001548DE"/>
    <w:rsid w:val="00154B19"/>
    <w:rsid w:val="001564D8"/>
    <w:rsid w:val="001602AA"/>
    <w:rsid w:val="0016074D"/>
    <w:rsid w:val="00160B8B"/>
    <w:rsid w:val="00161B26"/>
    <w:rsid w:val="00162CC6"/>
    <w:rsid w:val="001631D8"/>
    <w:rsid w:val="00164134"/>
    <w:rsid w:val="001643B3"/>
    <w:rsid w:val="0016452A"/>
    <w:rsid w:val="00172372"/>
    <w:rsid w:val="00172896"/>
    <w:rsid w:val="00175520"/>
    <w:rsid w:val="00175BC2"/>
    <w:rsid w:val="001765F1"/>
    <w:rsid w:val="00177D44"/>
    <w:rsid w:val="00180101"/>
    <w:rsid w:val="00180FE4"/>
    <w:rsid w:val="00182136"/>
    <w:rsid w:val="001837DB"/>
    <w:rsid w:val="00186025"/>
    <w:rsid w:val="00186AF2"/>
    <w:rsid w:val="0018718B"/>
    <w:rsid w:val="00190174"/>
    <w:rsid w:val="00190352"/>
    <w:rsid w:val="00190AA2"/>
    <w:rsid w:val="00190C09"/>
    <w:rsid w:val="00191547"/>
    <w:rsid w:val="001930BC"/>
    <w:rsid w:val="00194247"/>
    <w:rsid w:val="00194973"/>
    <w:rsid w:val="00195FDD"/>
    <w:rsid w:val="00196363"/>
    <w:rsid w:val="00196492"/>
    <w:rsid w:val="001A0002"/>
    <w:rsid w:val="001A04AB"/>
    <w:rsid w:val="001A0AB9"/>
    <w:rsid w:val="001A1708"/>
    <w:rsid w:val="001A2CF5"/>
    <w:rsid w:val="001A3868"/>
    <w:rsid w:val="001A3AE3"/>
    <w:rsid w:val="001A3D4D"/>
    <w:rsid w:val="001A58EB"/>
    <w:rsid w:val="001A5F03"/>
    <w:rsid w:val="001A707E"/>
    <w:rsid w:val="001A7294"/>
    <w:rsid w:val="001A73D7"/>
    <w:rsid w:val="001B0C82"/>
    <w:rsid w:val="001B194C"/>
    <w:rsid w:val="001B1F2B"/>
    <w:rsid w:val="001B4CFF"/>
    <w:rsid w:val="001B67CB"/>
    <w:rsid w:val="001B7077"/>
    <w:rsid w:val="001C049B"/>
    <w:rsid w:val="001C3391"/>
    <w:rsid w:val="001C51DC"/>
    <w:rsid w:val="001C5CE9"/>
    <w:rsid w:val="001C6CB9"/>
    <w:rsid w:val="001C6FD2"/>
    <w:rsid w:val="001C7ACB"/>
    <w:rsid w:val="001C7E3F"/>
    <w:rsid w:val="001D0121"/>
    <w:rsid w:val="001D0135"/>
    <w:rsid w:val="001D04F0"/>
    <w:rsid w:val="001D1BD2"/>
    <w:rsid w:val="001D1D4A"/>
    <w:rsid w:val="001D21C7"/>
    <w:rsid w:val="001D432B"/>
    <w:rsid w:val="001D43E1"/>
    <w:rsid w:val="001D69E1"/>
    <w:rsid w:val="001D72FC"/>
    <w:rsid w:val="001E1D1A"/>
    <w:rsid w:val="001E218B"/>
    <w:rsid w:val="001E3041"/>
    <w:rsid w:val="001E30F6"/>
    <w:rsid w:val="001E37FD"/>
    <w:rsid w:val="001E3C95"/>
    <w:rsid w:val="001E50E5"/>
    <w:rsid w:val="001E5A58"/>
    <w:rsid w:val="001E5C37"/>
    <w:rsid w:val="001E621A"/>
    <w:rsid w:val="001F0F03"/>
    <w:rsid w:val="001F1B76"/>
    <w:rsid w:val="001F293B"/>
    <w:rsid w:val="001F2F20"/>
    <w:rsid w:val="001F39AA"/>
    <w:rsid w:val="001F42DA"/>
    <w:rsid w:val="001F61EE"/>
    <w:rsid w:val="001F6575"/>
    <w:rsid w:val="001F7A78"/>
    <w:rsid w:val="001F7D0A"/>
    <w:rsid w:val="0020014C"/>
    <w:rsid w:val="0020096E"/>
    <w:rsid w:val="00201904"/>
    <w:rsid w:val="0020294E"/>
    <w:rsid w:val="00202BA4"/>
    <w:rsid w:val="002044D7"/>
    <w:rsid w:val="00204AA0"/>
    <w:rsid w:val="002050EB"/>
    <w:rsid w:val="002051C3"/>
    <w:rsid w:val="002055D7"/>
    <w:rsid w:val="0020572D"/>
    <w:rsid w:val="00210084"/>
    <w:rsid w:val="00210A4F"/>
    <w:rsid w:val="002112B7"/>
    <w:rsid w:val="002119D0"/>
    <w:rsid w:val="00212283"/>
    <w:rsid w:val="00212471"/>
    <w:rsid w:val="0021431B"/>
    <w:rsid w:val="002148AF"/>
    <w:rsid w:val="0021548C"/>
    <w:rsid w:val="00215996"/>
    <w:rsid w:val="00215F06"/>
    <w:rsid w:val="00217052"/>
    <w:rsid w:val="00217330"/>
    <w:rsid w:val="0021750E"/>
    <w:rsid w:val="002211F9"/>
    <w:rsid w:val="0022121D"/>
    <w:rsid w:val="00221993"/>
    <w:rsid w:val="00222B5B"/>
    <w:rsid w:val="00222C8A"/>
    <w:rsid w:val="0022442C"/>
    <w:rsid w:val="00225B74"/>
    <w:rsid w:val="0022626B"/>
    <w:rsid w:val="0023014D"/>
    <w:rsid w:val="002316E1"/>
    <w:rsid w:val="00232003"/>
    <w:rsid w:val="0023346D"/>
    <w:rsid w:val="00233FA5"/>
    <w:rsid w:val="00233FC7"/>
    <w:rsid w:val="002341EF"/>
    <w:rsid w:val="00234447"/>
    <w:rsid w:val="00234E91"/>
    <w:rsid w:val="00235C25"/>
    <w:rsid w:val="00237E00"/>
    <w:rsid w:val="00237F11"/>
    <w:rsid w:val="00241007"/>
    <w:rsid w:val="00241A7B"/>
    <w:rsid w:val="002430AA"/>
    <w:rsid w:val="002431CE"/>
    <w:rsid w:val="00244464"/>
    <w:rsid w:val="00244A58"/>
    <w:rsid w:val="00246DD3"/>
    <w:rsid w:val="00247671"/>
    <w:rsid w:val="002508C9"/>
    <w:rsid w:val="002515E2"/>
    <w:rsid w:val="00253BA7"/>
    <w:rsid w:val="00254133"/>
    <w:rsid w:val="00255A78"/>
    <w:rsid w:val="00255F9B"/>
    <w:rsid w:val="00255FE2"/>
    <w:rsid w:val="00256B5A"/>
    <w:rsid w:val="002571DE"/>
    <w:rsid w:val="0025762A"/>
    <w:rsid w:val="00257ADF"/>
    <w:rsid w:val="00257CDC"/>
    <w:rsid w:val="00260BE8"/>
    <w:rsid w:val="002617F1"/>
    <w:rsid w:val="002639F4"/>
    <w:rsid w:val="00264929"/>
    <w:rsid w:val="00264F34"/>
    <w:rsid w:val="00265EAA"/>
    <w:rsid w:val="00265FEF"/>
    <w:rsid w:val="002661C4"/>
    <w:rsid w:val="00266B2E"/>
    <w:rsid w:val="00270E99"/>
    <w:rsid w:val="00271384"/>
    <w:rsid w:val="00271CED"/>
    <w:rsid w:val="00271E9B"/>
    <w:rsid w:val="0027237A"/>
    <w:rsid w:val="0027444B"/>
    <w:rsid w:val="002754BC"/>
    <w:rsid w:val="0027610E"/>
    <w:rsid w:val="00276BC6"/>
    <w:rsid w:val="00277A4F"/>
    <w:rsid w:val="0028141D"/>
    <w:rsid w:val="00282EB3"/>
    <w:rsid w:val="002849B2"/>
    <w:rsid w:val="00285BAA"/>
    <w:rsid w:val="00286303"/>
    <w:rsid w:val="002873C8"/>
    <w:rsid w:val="0029094A"/>
    <w:rsid w:val="0029161F"/>
    <w:rsid w:val="0029164F"/>
    <w:rsid w:val="0029186C"/>
    <w:rsid w:val="00291A77"/>
    <w:rsid w:val="0029239D"/>
    <w:rsid w:val="00292675"/>
    <w:rsid w:val="00292BBF"/>
    <w:rsid w:val="00294B1D"/>
    <w:rsid w:val="00294C5D"/>
    <w:rsid w:val="00294D3E"/>
    <w:rsid w:val="002957BE"/>
    <w:rsid w:val="00295A55"/>
    <w:rsid w:val="0029779F"/>
    <w:rsid w:val="002979B4"/>
    <w:rsid w:val="00297E39"/>
    <w:rsid w:val="002A0C7E"/>
    <w:rsid w:val="002A10A2"/>
    <w:rsid w:val="002A172A"/>
    <w:rsid w:val="002A3819"/>
    <w:rsid w:val="002A3CC7"/>
    <w:rsid w:val="002A5D43"/>
    <w:rsid w:val="002A63EC"/>
    <w:rsid w:val="002A76AC"/>
    <w:rsid w:val="002A7EC5"/>
    <w:rsid w:val="002B1030"/>
    <w:rsid w:val="002B1319"/>
    <w:rsid w:val="002B3B4C"/>
    <w:rsid w:val="002B3B78"/>
    <w:rsid w:val="002B48C9"/>
    <w:rsid w:val="002B5A55"/>
    <w:rsid w:val="002B77A4"/>
    <w:rsid w:val="002C06AA"/>
    <w:rsid w:val="002C0ABA"/>
    <w:rsid w:val="002C1D96"/>
    <w:rsid w:val="002C2BE6"/>
    <w:rsid w:val="002C2C53"/>
    <w:rsid w:val="002C52BE"/>
    <w:rsid w:val="002D0ED0"/>
    <w:rsid w:val="002D203B"/>
    <w:rsid w:val="002D27F9"/>
    <w:rsid w:val="002D41FA"/>
    <w:rsid w:val="002D6222"/>
    <w:rsid w:val="002D67E1"/>
    <w:rsid w:val="002D6A77"/>
    <w:rsid w:val="002D6BFA"/>
    <w:rsid w:val="002D6DF7"/>
    <w:rsid w:val="002D71BF"/>
    <w:rsid w:val="002D746F"/>
    <w:rsid w:val="002E074D"/>
    <w:rsid w:val="002E0A81"/>
    <w:rsid w:val="002E0C80"/>
    <w:rsid w:val="002E1356"/>
    <w:rsid w:val="002E480A"/>
    <w:rsid w:val="002E5515"/>
    <w:rsid w:val="002E5566"/>
    <w:rsid w:val="002E583E"/>
    <w:rsid w:val="002E79A6"/>
    <w:rsid w:val="002E7C5E"/>
    <w:rsid w:val="002F0532"/>
    <w:rsid w:val="002F06E5"/>
    <w:rsid w:val="002F1BAF"/>
    <w:rsid w:val="002F2657"/>
    <w:rsid w:val="002F27CA"/>
    <w:rsid w:val="002F2B25"/>
    <w:rsid w:val="002F302E"/>
    <w:rsid w:val="002F472E"/>
    <w:rsid w:val="002F6C2F"/>
    <w:rsid w:val="002F703E"/>
    <w:rsid w:val="002F7382"/>
    <w:rsid w:val="002F761C"/>
    <w:rsid w:val="002F7E55"/>
    <w:rsid w:val="002F7F02"/>
    <w:rsid w:val="00300DBE"/>
    <w:rsid w:val="003038CD"/>
    <w:rsid w:val="00304C38"/>
    <w:rsid w:val="00306656"/>
    <w:rsid w:val="00306D54"/>
    <w:rsid w:val="00310A64"/>
    <w:rsid w:val="003119DA"/>
    <w:rsid w:val="00313368"/>
    <w:rsid w:val="003142AB"/>
    <w:rsid w:val="0031443E"/>
    <w:rsid w:val="00315009"/>
    <w:rsid w:val="003158D5"/>
    <w:rsid w:val="003166ED"/>
    <w:rsid w:val="00320BB1"/>
    <w:rsid w:val="00321093"/>
    <w:rsid w:val="0032143C"/>
    <w:rsid w:val="00321AF2"/>
    <w:rsid w:val="00321B68"/>
    <w:rsid w:val="00322349"/>
    <w:rsid w:val="0032379C"/>
    <w:rsid w:val="0032470E"/>
    <w:rsid w:val="00325B83"/>
    <w:rsid w:val="00326D27"/>
    <w:rsid w:val="00330752"/>
    <w:rsid w:val="003313D1"/>
    <w:rsid w:val="00331F57"/>
    <w:rsid w:val="003338F9"/>
    <w:rsid w:val="003341E5"/>
    <w:rsid w:val="00334450"/>
    <w:rsid w:val="00334B6A"/>
    <w:rsid w:val="0033501A"/>
    <w:rsid w:val="00336657"/>
    <w:rsid w:val="003369FE"/>
    <w:rsid w:val="003378A2"/>
    <w:rsid w:val="00337EC9"/>
    <w:rsid w:val="00341F54"/>
    <w:rsid w:val="003434D1"/>
    <w:rsid w:val="00343CF0"/>
    <w:rsid w:val="00344DB5"/>
    <w:rsid w:val="003453F6"/>
    <w:rsid w:val="00345B92"/>
    <w:rsid w:val="0034725C"/>
    <w:rsid w:val="003474DB"/>
    <w:rsid w:val="003479EB"/>
    <w:rsid w:val="0035021D"/>
    <w:rsid w:val="003504ED"/>
    <w:rsid w:val="00350985"/>
    <w:rsid w:val="00350E1C"/>
    <w:rsid w:val="00350FE0"/>
    <w:rsid w:val="00351997"/>
    <w:rsid w:val="003540E3"/>
    <w:rsid w:val="003544A5"/>
    <w:rsid w:val="00354FD5"/>
    <w:rsid w:val="0035643B"/>
    <w:rsid w:val="00357476"/>
    <w:rsid w:val="00360214"/>
    <w:rsid w:val="003614A8"/>
    <w:rsid w:val="00361660"/>
    <w:rsid w:val="003618E3"/>
    <w:rsid w:val="00363A44"/>
    <w:rsid w:val="00364E03"/>
    <w:rsid w:val="00365222"/>
    <w:rsid w:val="00365439"/>
    <w:rsid w:val="0037181E"/>
    <w:rsid w:val="0037259E"/>
    <w:rsid w:val="00373E08"/>
    <w:rsid w:val="0037511B"/>
    <w:rsid w:val="0037514E"/>
    <w:rsid w:val="003754FA"/>
    <w:rsid w:val="00375EA1"/>
    <w:rsid w:val="0038101C"/>
    <w:rsid w:val="003814CE"/>
    <w:rsid w:val="00381549"/>
    <w:rsid w:val="003825B4"/>
    <w:rsid w:val="00382AAF"/>
    <w:rsid w:val="00382B94"/>
    <w:rsid w:val="00384B8B"/>
    <w:rsid w:val="00386EBF"/>
    <w:rsid w:val="00387B0E"/>
    <w:rsid w:val="00387B6A"/>
    <w:rsid w:val="00390031"/>
    <w:rsid w:val="00390587"/>
    <w:rsid w:val="00390D85"/>
    <w:rsid w:val="00391302"/>
    <w:rsid w:val="0039162C"/>
    <w:rsid w:val="00391A3D"/>
    <w:rsid w:val="00391BCE"/>
    <w:rsid w:val="003928DB"/>
    <w:rsid w:val="00393536"/>
    <w:rsid w:val="003953AD"/>
    <w:rsid w:val="00395E9D"/>
    <w:rsid w:val="003975A7"/>
    <w:rsid w:val="003A01A5"/>
    <w:rsid w:val="003A1450"/>
    <w:rsid w:val="003A2D93"/>
    <w:rsid w:val="003A31A1"/>
    <w:rsid w:val="003A502F"/>
    <w:rsid w:val="003A5BA8"/>
    <w:rsid w:val="003A6AED"/>
    <w:rsid w:val="003A73E6"/>
    <w:rsid w:val="003B0317"/>
    <w:rsid w:val="003B1761"/>
    <w:rsid w:val="003B198A"/>
    <w:rsid w:val="003B1A70"/>
    <w:rsid w:val="003B215B"/>
    <w:rsid w:val="003B2422"/>
    <w:rsid w:val="003B30EF"/>
    <w:rsid w:val="003B4805"/>
    <w:rsid w:val="003B4A69"/>
    <w:rsid w:val="003B5704"/>
    <w:rsid w:val="003B67C1"/>
    <w:rsid w:val="003B7172"/>
    <w:rsid w:val="003B7B5A"/>
    <w:rsid w:val="003C185D"/>
    <w:rsid w:val="003C1E79"/>
    <w:rsid w:val="003C254D"/>
    <w:rsid w:val="003C2890"/>
    <w:rsid w:val="003C40A2"/>
    <w:rsid w:val="003C41A0"/>
    <w:rsid w:val="003C4A20"/>
    <w:rsid w:val="003C5824"/>
    <w:rsid w:val="003C6B4C"/>
    <w:rsid w:val="003C7752"/>
    <w:rsid w:val="003C7C2C"/>
    <w:rsid w:val="003D2A83"/>
    <w:rsid w:val="003D3E07"/>
    <w:rsid w:val="003D47BD"/>
    <w:rsid w:val="003D55CC"/>
    <w:rsid w:val="003D6383"/>
    <w:rsid w:val="003D66C7"/>
    <w:rsid w:val="003D7CA4"/>
    <w:rsid w:val="003E2BFB"/>
    <w:rsid w:val="003E2D62"/>
    <w:rsid w:val="003E3133"/>
    <w:rsid w:val="003E378C"/>
    <w:rsid w:val="003E5899"/>
    <w:rsid w:val="003E6415"/>
    <w:rsid w:val="003E7322"/>
    <w:rsid w:val="003E78BF"/>
    <w:rsid w:val="003F10D8"/>
    <w:rsid w:val="003F13F0"/>
    <w:rsid w:val="003F2E86"/>
    <w:rsid w:val="003F342B"/>
    <w:rsid w:val="003F4F82"/>
    <w:rsid w:val="003F541B"/>
    <w:rsid w:val="003F5C90"/>
    <w:rsid w:val="003F67FC"/>
    <w:rsid w:val="003F7A4D"/>
    <w:rsid w:val="003F7CC4"/>
    <w:rsid w:val="00400026"/>
    <w:rsid w:val="00401498"/>
    <w:rsid w:val="00401553"/>
    <w:rsid w:val="00401612"/>
    <w:rsid w:val="00401E5B"/>
    <w:rsid w:val="00402DC7"/>
    <w:rsid w:val="004063F1"/>
    <w:rsid w:val="00407B28"/>
    <w:rsid w:val="00411E82"/>
    <w:rsid w:val="004122AB"/>
    <w:rsid w:val="0041264B"/>
    <w:rsid w:val="00413C25"/>
    <w:rsid w:val="00415029"/>
    <w:rsid w:val="004172C6"/>
    <w:rsid w:val="0041787D"/>
    <w:rsid w:val="004211AA"/>
    <w:rsid w:val="004223B8"/>
    <w:rsid w:val="00422B4E"/>
    <w:rsid w:val="00422D6A"/>
    <w:rsid w:val="00424852"/>
    <w:rsid w:val="00424AD8"/>
    <w:rsid w:val="00424D39"/>
    <w:rsid w:val="00424D63"/>
    <w:rsid w:val="00424DE6"/>
    <w:rsid w:val="0042500E"/>
    <w:rsid w:val="00425CFE"/>
    <w:rsid w:val="00426FA8"/>
    <w:rsid w:val="004278B0"/>
    <w:rsid w:val="00430B7E"/>
    <w:rsid w:val="0043107C"/>
    <w:rsid w:val="00431A6B"/>
    <w:rsid w:val="00431E6F"/>
    <w:rsid w:val="00431EC5"/>
    <w:rsid w:val="00433850"/>
    <w:rsid w:val="0043465D"/>
    <w:rsid w:val="00434E6C"/>
    <w:rsid w:val="00435C7F"/>
    <w:rsid w:val="0043731B"/>
    <w:rsid w:val="0043735F"/>
    <w:rsid w:val="004375D5"/>
    <w:rsid w:val="00437D5A"/>
    <w:rsid w:val="004408AF"/>
    <w:rsid w:val="004413D7"/>
    <w:rsid w:val="004418CB"/>
    <w:rsid w:val="004428AB"/>
    <w:rsid w:val="004431F8"/>
    <w:rsid w:val="00445065"/>
    <w:rsid w:val="004453EA"/>
    <w:rsid w:val="0044645C"/>
    <w:rsid w:val="00450C37"/>
    <w:rsid w:val="004513FC"/>
    <w:rsid w:val="00451BB9"/>
    <w:rsid w:val="00451C2B"/>
    <w:rsid w:val="00452E33"/>
    <w:rsid w:val="004532E3"/>
    <w:rsid w:val="00453C5F"/>
    <w:rsid w:val="00456117"/>
    <w:rsid w:val="00457212"/>
    <w:rsid w:val="00457B8E"/>
    <w:rsid w:val="00460ADF"/>
    <w:rsid w:val="00460EC0"/>
    <w:rsid w:val="004622AE"/>
    <w:rsid w:val="00462A1D"/>
    <w:rsid w:val="0046348E"/>
    <w:rsid w:val="00465850"/>
    <w:rsid w:val="004668D2"/>
    <w:rsid w:val="00467CA1"/>
    <w:rsid w:val="004710E7"/>
    <w:rsid w:val="00471223"/>
    <w:rsid w:val="004716A4"/>
    <w:rsid w:val="004727C6"/>
    <w:rsid w:val="00473B2B"/>
    <w:rsid w:val="0047487B"/>
    <w:rsid w:val="00474D14"/>
    <w:rsid w:val="00475713"/>
    <w:rsid w:val="004763A4"/>
    <w:rsid w:val="0048097E"/>
    <w:rsid w:val="00481E7B"/>
    <w:rsid w:val="004834D5"/>
    <w:rsid w:val="00484C7E"/>
    <w:rsid w:val="00485424"/>
    <w:rsid w:val="004863AC"/>
    <w:rsid w:val="00486540"/>
    <w:rsid w:val="00487CDC"/>
    <w:rsid w:val="0049071E"/>
    <w:rsid w:val="00491064"/>
    <w:rsid w:val="004914B7"/>
    <w:rsid w:val="004933AC"/>
    <w:rsid w:val="00494A8D"/>
    <w:rsid w:val="004950B4"/>
    <w:rsid w:val="00495B45"/>
    <w:rsid w:val="00495EF1"/>
    <w:rsid w:val="0049674D"/>
    <w:rsid w:val="00496C73"/>
    <w:rsid w:val="004973E2"/>
    <w:rsid w:val="0049763B"/>
    <w:rsid w:val="00497A3A"/>
    <w:rsid w:val="00497BD1"/>
    <w:rsid w:val="004A0AD8"/>
    <w:rsid w:val="004A2300"/>
    <w:rsid w:val="004A3131"/>
    <w:rsid w:val="004A38DB"/>
    <w:rsid w:val="004A6F54"/>
    <w:rsid w:val="004A73A1"/>
    <w:rsid w:val="004B04B0"/>
    <w:rsid w:val="004B0789"/>
    <w:rsid w:val="004B0A2E"/>
    <w:rsid w:val="004B19BE"/>
    <w:rsid w:val="004B1CEF"/>
    <w:rsid w:val="004B1EF9"/>
    <w:rsid w:val="004B1F4D"/>
    <w:rsid w:val="004B2631"/>
    <w:rsid w:val="004B2CD9"/>
    <w:rsid w:val="004B3DE7"/>
    <w:rsid w:val="004B5076"/>
    <w:rsid w:val="004B568D"/>
    <w:rsid w:val="004B5A79"/>
    <w:rsid w:val="004B6030"/>
    <w:rsid w:val="004B6CE3"/>
    <w:rsid w:val="004B6E9D"/>
    <w:rsid w:val="004B71AB"/>
    <w:rsid w:val="004B7904"/>
    <w:rsid w:val="004B7DCA"/>
    <w:rsid w:val="004C04B0"/>
    <w:rsid w:val="004C09DC"/>
    <w:rsid w:val="004C0FAA"/>
    <w:rsid w:val="004C292D"/>
    <w:rsid w:val="004C3140"/>
    <w:rsid w:val="004C4DC3"/>
    <w:rsid w:val="004C5F4C"/>
    <w:rsid w:val="004C7877"/>
    <w:rsid w:val="004D0189"/>
    <w:rsid w:val="004D1298"/>
    <w:rsid w:val="004D4AAF"/>
    <w:rsid w:val="004D75AA"/>
    <w:rsid w:val="004D7C66"/>
    <w:rsid w:val="004D7D1E"/>
    <w:rsid w:val="004D7E00"/>
    <w:rsid w:val="004E019C"/>
    <w:rsid w:val="004E09A2"/>
    <w:rsid w:val="004E20EC"/>
    <w:rsid w:val="004E3220"/>
    <w:rsid w:val="004E3734"/>
    <w:rsid w:val="004E42E2"/>
    <w:rsid w:val="004E5204"/>
    <w:rsid w:val="004E5995"/>
    <w:rsid w:val="004E5F23"/>
    <w:rsid w:val="004E6544"/>
    <w:rsid w:val="004E67B1"/>
    <w:rsid w:val="004E78B9"/>
    <w:rsid w:val="004F2ECD"/>
    <w:rsid w:val="004F3251"/>
    <w:rsid w:val="004F3293"/>
    <w:rsid w:val="004F32AA"/>
    <w:rsid w:val="004F5A94"/>
    <w:rsid w:val="004F62E8"/>
    <w:rsid w:val="004F6406"/>
    <w:rsid w:val="004F6B80"/>
    <w:rsid w:val="004F7367"/>
    <w:rsid w:val="00500F04"/>
    <w:rsid w:val="00501C65"/>
    <w:rsid w:val="0050250D"/>
    <w:rsid w:val="00503DCB"/>
    <w:rsid w:val="00504785"/>
    <w:rsid w:val="0050618C"/>
    <w:rsid w:val="00506A1A"/>
    <w:rsid w:val="00510A5F"/>
    <w:rsid w:val="0051177B"/>
    <w:rsid w:val="005119BA"/>
    <w:rsid w:val="00512D43"/>
    <w:rsid w:val="005142AD"/>
    <w:rsid w:val="005144B6"/>
    <w:rsid w:val="0051469F"/>
    <w:rsid w:val="00514A5B"/>
    <w:rsid w:val="0051547E"/>
    <w:rsid w:val="005155B5"/>
    <w:rsid w:val="00515772"/>
    <w:rsid w:val="00515CE1"/>
    <w:rsid w:val="00516255"/>
    <w:rsid w:val="0051631C"/>
    <w:rsid w:val="00516F38"/>
    <w:rsid w:val="0051726D"/>
    <w:rsid w:val="00521311"/>
    <w:rsid w:val="0052262B"/>
    <w:rsid w:val="0052272D"/>
    <w:rsid w:val="00522E0F"/>
    <w:rsid w:val="00524B40"/>
    <w:rsid w:val="00527DF5"/>
    <w:rsid w:val="005313BF"/>
    <w:rsid w:val="005322EB"/>
    <w:rsid w:val="00532A3F"/>
    <w:rsid w:val="00532EED"/>
    <w:rsid w:val="005336CC"/>
    <w:rsid w:val="005339B8"/>
    <w:rsid w:val="005343A9"/>
    <w:rsid w:val="005365F1"/>
    <w:rsid w:val="0053660B"/>
    <w:rsid w:val="005372E5"/>
    <w:rsid w:val="00537303"/>
    <w:rsid w:val="00537DB1"/>
    <w:rsid w:val="0054001D"/>
    <w:rsid w:val="0054103D"/>
    <w:rsid w:val="005413C8"/>
    <w:rsid w:val="00541EEA"/>
    <w:rsid w:val="00542493"/>
    <w:rsid w:val="00544781"/>
    <w:rsid w:val="00544B2F"/>
    <w:rsid w:val="00545103"/>
    <w:rsid w:val="005468DC"/>
    <w:rsid w:val="00547CE4"/>
    <w:rsid w:val="005517D7"/>
    <w:rsid w:val="00552AB8"/>
    <w:rsid w:val="00553F6C"/>
    <w:rsid w:val="00554736"/>
    <w:rsid w:val="00555C8A"/>
    <w:rsid w:val="00556621"/>
    <w:rsid w:val="00556E17"/>
    <w:rsid w:val="005572E3"/>
    <w:rsid w:val="00557BF5"/>
    <w:rsid w:val="005600D5"/>
    <w:rsid w:val="00560512"/>
    <w:rsid w:val="00560CEE"/>
    <w:rsid w:val="00560E8B"/>
    <w:rsid w:val="00562A1B"/>
    <w:rsid w:val="00562E06"/>
    <w:rsid w:val="0056323D"/>
    <w:rsid w:val="00564650"/>
    <w:rsid w:val="005668D9"/>
    <w:rsid w:val="00566A62"/>
    <w:rsid w:val="00567D61"/>
    <w:rsid w:val="0057007F"/>
    <w:rsid w:val="00570CDA"/>
    <w:rsid w:val="0057295C"/>
    <w:rsid w:val="00575223"/>
    <w:rsid w:val="00575313"/>
    <w:rsid w:val="005755D0"/>
    <w:rsid w:val="0057714E"/>
    <w:rsid w:val="00577295"/>
    <w:rsid w:val="0057772C"/>
    <w:rsid w:val="005779C9"/>
    <w:rsid w:val="005816FB"/>
    <w:rsid w:val="005819EC"/>
    <w:rsid w:val="00581FB7"/>
    <w:rsid w:val="00583524"/>
    <w:rsid w:val="00584805"/>
    <w:rsid w:val="0058494E"/>
    <w:rsid w:val="0058504E"/>
    <w:rsid w:val="00585DC5"/>
    <w:rsid w:val="00586F83"/>
    <w:rsid w:val="005871E1"/>
    <w:rsid w:val="00587FE4"/>
    <w:rsid w:val="00590221"/>
    <w:rsid w:val="00590544"/>
    <w:rsid w:val="005910E4"/>
    <w:rsid w:val="00591C44"/>
    <w:rsid w:val="00591CC0"/>
    <w:rsid w:val="005922F2"/>
    <w:rsid w:val="00593511"/>
    <w:rsid w:val="005947D7"/>
    <w:rsid w:val="005948CE"/>
    <w:rsid w:val="00595DC2"/>
    <w:rsid w:val="00596580"/>
    <w:rsid w:val="0059729C"/>
    <w:rsid w:val="005A027A"/>
    <w:rsid w:val="005A0451"/>
    <w:rsid w:val="005A1074"/>
    <w:rsid w:val="005A222B"/>
    <w:rsid w:val="005A525E"/>
    <w:rsid w:val="005A6013"/>
    <w:rsid w:val="005A70EA"/>
    <w:rsid w:val="005A7E20"/>
    <w:rsid w:val="005B0002"/>
    <w:rsid w:val="005B0474"/>
    <w:rsid w:val="005B13F3"/>
    <w:rsid w:val="005B1525"/>
    <w:rsid w:val="005B480B"/>
    <w:rsid w:val="005B52CC"/>
    <w:rsid w:val="005B56F7"/>
    <w:rsid w:val="005B57D5"/>
    <w:rsid w:val="005B7078"/>
    <w:rsid w:val="005B73F0"/>
    <w:rsid w:val="005B783E"/>
    <w:rsid w:val="005C0979"/>
    <w:rsid w:val="005C360D"/>
    <w:rsid w:val="005C633C"/>
    <w:rsid w:val="005C6CB8"/>
    <w:rsid w:val="005D11FA"/>
    <w:rsid w:val="005D149D"/>
    <w:rsid w:val="005D1573"/>
    <w:rsid w:val="005D25D0"/>
    <w:rsid w:val="005D2F2D"/>
    <w:rsid w:val="005D4692"/>
    <w:rsid w:val="005D5AA1"/>
    <w:rsid w:val="005D7412"/>
    <w:rsid w:val="005D7C40"/>
    <w:rsid w:val="005E01D1"/>
    <w:rsid w:val="005E1749"/>
    <w:rsid w:val="005E1A27"/>
    <w:rsid w:val="005E1D2B"/>
    <w:rsid w:val="005E1DEF"/>
    <w:rsid w:val="005E232C"/>
    <w:rsid w:val="005E300D"/>
    <w:rsid w:val="005E42F7"/>
    <w:rsid w:val="005E4734"/>
    <w:rsid w:val="005E4AED"/>
    <w:rsid w:val="005E5545"/>
    <w:rsid w:val="005E77C3"/>
    <w:rsid w:val="005F0833"/>
    <w:rsid w:val="005F1166"/>
    <w:rsid w:val="005F177D"/>
    <w:rsid w:val="005F4E17"/>
    <w:rsid w:val="006009EA"/>
    <w:rsid w:val="00601C05"/>
    <w:rsid w:val="00603565"/>
    <w:rsid w:val="00604176"/>
    <w:rsid w:val="00604397"/>
    <w:rsid w:val="0060454B"/>
    <w:rsid w:val="00605611"/>
    <w:rsid w:val="006065B6"/>
    <w:rsid w:val="00606643"/>
    <w:rsid w:val="0060686E"/>
    <w:rsid w:val="00607050"/>
    <w:rsid w:val="0060739F"/>
    <w:rsid w:val="00610A4E"/>
    <w:rsid w:val="00610F00"/>
    <w:rsid w:val="00610FDD"/>
    <w:rsid w:val="00612D82"/>
    <w:rsid w:val="006130CF"/>
    <w:rsid w:val="006133A9"/>
    <w:rsid w:val="00614501"/>
    <w:rsid w:val="0061645C"/>
    <w:rsid w:val="00616460"/>
    <w:rsid w:val="00616B9F"/>
    <w:rsid w:val="00617CE3"/>
    <w:rsid w:val="00623AC8"/>
    <w:rsid w:val="00623D18"/>
    <w:rsid w:val="00623FB8"/>
    <w:rsid w:val="00625B7B"/>
    <w:rsid w:val="006268FC"/>
    <w:rsid w:val="00626B84"/>
    <w:rsid w:val="006270A4"/>
    <w:rsid w:val="0063008B"/>
    <w:rsid w:val="006300A4"/>
    <w:rsid w:val="00630A01"/>
    <w:rsid w:val="00630C96"/>
    <w:rsid w:val="00630E83"/>
    <w:rsid w:val="00632E0D"/>
    <w:rsid w:val="0063308B"/>
    <w:rsid w:val="006332BD"/>
    <w:rsid w:val="00635C74"/>
    <w:rsid w:val="00637674"/>
    <w:rsid w:val="00637E98"/>
    <w:rsid w:val="00641561"/>
    <w:rsid w:val="00641648"/>
    <w:rsid w:val="006418FA"/>
    <w:rsid w:val="0064199A"/>
    <w:rsid w:val="00641DE6"/>
    <w:rsid w:val="0064314D"/>
    <w:rsid w:val="00644DCE"/>
    <w:rsid w:val="0064676C"/>
    <w:rsid w:val="00646C31"/>
    <w:rsid w:val="006470FA"/>
    <w:rsid w:val="0064768F"/>
    <w:rsid w:val="00647E8E"/>
    <w:rsid w:val="00651210"/>
    <w:rsid w:val="00651848"/>
    <w:rsid w:val="00651D40"/>
    <w:rsid w:val="0065280A"/>
    <w:rsid w:val="0065313B"/>
    <w:rsid w:val="006554B8"/>
    <w:rsid w:val="00660402"/>
    <w:rsid w:val="0066045B"/>
    <w:rsid w:val="00660ADE"/>
    <w:rsid w:val="006620C0"/>
    <w:rsid w:val="006623FB"/>
    <w:rsid w:val="00665594"/>
    <w:rsid w:val="00665836"/>
    <w:rsid w:val="00666B0A"/>
    <w:rsid w:val="00666CF4"/>
    <w:rsid w:val="0066746E"/>
    <w:rsid w:val="00667F00"/>
    <w:rsid w:val="00670061"/>
    <w:rsid w:val="0067016D"/>
    <w:rsid w:val="0067110B"/>
    <w:rsid w:val="0067177B"/>
    <w:rsid w:val="006725A0"/>
    <w:rsid w:val="00673301"/>
    <w:rsid w:val="006737C5"/>
    <w:rsid w:val="006737DA"/>
    <w:rsid w:val="00676098"/>
    <w:rsid w:val="006765F1"/>
    <w:rsid w:val="0067712B"/>
    <w:rsid w:val="006777A6"/>
    <w:rsid w:val="0068019A"/>
    <w:rsid w:val="006803FC"/>
    <w:rsid w:val="006809A3"/>
    <w:rsid w:val="00681D8B"/>
    <w:rsid w:val="0068278F"/>
    <w:rsid w:val="00684DD5"/>
    <w:rsid w:val="00686C34"/>
    <w:rsid w:val="00687285"/>
    <w:rsid w:val="00687876"/>
    <w:rsid w:val="00687E51"/>
    <w:rsid w:val="00690CEF"/>
    <w:rsid w:val="0069163D"/>
    <w:rsid w:val="0069584B"/>
    <w:rsid w:val="00695DFD"/>
    <w:rsid w:val="0069712B"/>
    <w:rsid w:val="006A044D"/>
    <w:rsid w:val="006A05C2"/>
    <w:rsid w:val="006A0F91"/>
    <w:rsid w:val="006A1849"/>
    <w:rsid w:val="006A238C"/>
    <w:rsid w:val="006A3742"/>
    <w:rsid w:val="006A4868"/>
    <w:rsid w:val="006A4F86"/>
    <w:rsid w:val="006A6E25"/>
    <w:rsid w:val="006A7BE3"/>
    <w:rsid w:val="006B037D"/>
    <w:rsid w:val="006B0ABC"/>
    <w:rsid w:val="006B2C4A"/>
    <w:rsid w:val="006B3A69"/>
    <w:rsid w:val="006B3B51"/>
    <w:rsid w:val="006B3C68"/>
    <w:rsid w:val="006B5691"/>
    <w:rsid w:val="006B5BB2"/>
    <w:rsid w:val="006B6365"/>
    <w:rsid w:val="006B6589"/>
    <w:rsid w:val="006C06CE"/>
    <w:rsid w:val="006C16A3"/>
    <w:rsid w:val="006C2C68"/>
    <w:rsid w:val="006C2E57"/>
    <w:rsid w:val="006C2FC9"/>
    <w:rsid w:val="006C368F"/>
    <w:rsid w:val="006C3F1D"/>
    <w:rsid w:val="006C69C7"/>
    <w:rsid w:val="006C6EBD"/>
    <w:rsid w:val="006D3A97"/>
    <w:rsid w:val="006D4929"/>
    <w:rsid w:val="006D54AE"/>
    <w:rsid w:val="006D553A"/>
    <w:rsid w:val="006D587B"/>
    <w:rsid w:val="006D6662"/>
    <w:rsid w:val="006D66B3"/>
    <w:rsid w:val="006D69E5"/>
    <w:rsid w:val="006D6CBE"/>
    <w:rsid w:val="006E22DC"/>
    <w:rsid w:val="006E2E30"/>
    <w:rsid w:val="006E3F36"/>
    <w:rsid w:val="006E4D54"/>
    <w:rsid w:val="006E56D1"/>
    <w:rsid w:val="006E59AB"/>
    <w:rsid w:val="006E6F3D"/>
    <w:rsid w:val="006E786A"/>
    <w:rsid w:val="006F0B4C"/>
    <w:rsid w:val="006F1B3B"/>
    <w:rsid w:val="006F44FE"/>
    <w:rsid w:val="006F5A1B"/>
    <w:rsid w:val="006F5B75"/>
    <w:rsid w:val="006F5F9A"/>
    <w:rsid w:val="006F6D75"/>
    <w:rsid w:val="0070072B"/>
    <w:rsid w:val="00700C59"/>
    <w:rsid w:val="00703540"/>
    <w:rsid w:val="007035DA"/>
    <w:rsid w:val="007038A9"/>
    <w:rsid w:val="00703EFC"/>
    <w:rsid w:val="00705182"/>
    <w:rsid w:val="00705CB9"/>
    <w:rsid w:val="00706255"/>
    <w:rsid w:val="007067C7"/>
    <w:rsid w:val="00706CCD"/>
    <w:rsid w:val="007078AE"/>
    <w:rsid w:val="00712336"/>
    <w:rsid w:val="00712EEE"/>
    <w:rsid w:val="007144B3"/>
    <w:rsid w:val="00715FBB"/>
    <w:rsid w:val="0071702E"/>
    <w:rsid w:val="007174F6"/>
    <w:rsid w:val="00720558"/>
    <w:rsid w:val="00722503"/>
    <w:rsid w:val="00723F01"/>
    <w:rsid w:val="00724437"/>
    <w:rsid w:val="00726FD8"/>
    <w:rsid w:val="007303FD"/>
    <w:rsid w:val="0073075A"/>
    <w:rsid w:val="00730DEF"/>
    <w:rsid w:val="007327A5"/>
    <w:rsid w:val="00734707"/>
    <w:rsid w:val="00734960"/>
    <w:rsid w:val="00736557"/>
    <w:rsid w:val="00736AFD"/>
    <w:rsid w:val="00737808"/>
    <w:rsid w:val="00737B49"/>
    <w:rsid w:val="00742779"/>
    <w:rsid w:val="00742889"/>
    <w:rsid w:val="00743BEE"/>
    <w:rsid w:val="00744122"/>
    <w:rsid w:val="00744AC6"/>
    <w:rsid w:val="007452AD"/>
    <w:rsid w:val="0074545F"/>
    <w:rsid w:val="007456C4"/>
    <w:rsid w:val="00747FFC"/>
    <w:rsid w:val="00752092"/>
    <w:rsid w:val="007527B9"/>
    <w:rsid w:val="0075283E"/>
    <w:rsid w:val="0075306C"/>
    <w:rsid w:val="00753312"/>
    <w:rsid w:val="007534DB"/>
    <w:rsid w:val="007541CD"/>
    <w:rsid w:val="007559C8"/>
    <w:rsid w:val="00755D57"/>
    <w:rsid w:val="00755FE2"/>
    <w:rsid w:val="0076244C"/>
    <w:rsid w:val="007634BA"/>
    <w:rsid w:val="00765361"/>
    <w:rsid w:val="00765D8A"/>
    <w:rsid w:val="00767D0B"/>
    <w:rsid w:val="00770B7E"/>
    <w:rsid w:val="00772E30"/>
    <w:rsid w:val="007743C4"/>
    <w:rsid w:val="007746E0"/>
    <w:rsid w:val="007748B0"/>
    <w:rsid w:val="00775305"/>
    <w:rsid w:val="0077552A"/>
    <w:rsid w:val="007755D2"/>
    <w:rsid w:val="00775664"/>
    <w:rsid w:val="007764E8"/>
    <w:rsid w:val="0078042C"/>
    <w:rsid w:val="0078173D"/>
    <w:rsid w:val="00785376"/>
    <w:rsid w:val="00785399"/>
    <w:rsid w:val="007858CB"/>
    <w:rsid w:val="007864EE"/>
    <w:rsid w:val="007873E9"/>
    <w:rsid w:val="00787620"/>
    <w:rsid w:val="0078786B"/>
    <w:rsid w:val="00787933"/>
    <w:rsid w:val="00790620"/>
    <w:rsid w:val="00790826"/>
    <w:rsid w:val="007914D9"/>
    <w:rsid w:val="00794FD5"/>
    <w:rsid w:val="00795B29"/>
    <w:rsid w:val="00796CA3"/>
    <w:rsid w:val="007A0888"/>
    <w:rsid w:val="007A0C0C"/>
    <w:rsid w:val="007A113A"/>
    <w:rsid w:val="007A2B00"/>
    <w:rsid w:val="007A3E03"/>
    <w:rsid w:val="007A4817"/>
    <w:rsid w:val="007A4F9B"/>
    <w:rsid w:val="007A5A51"/>
    <w:rsid w:val="007A5DD2"/>
    <w:rsid w:val="007A79BE"/>
    <w:rsid w:val="007A7EB6"/>
    <w:rsid w:val="007B0455"/>
    <w:rsid w:val="007B0569"/>
    <w:rsid w:val="007B1073"/>
    <w:rsid w:val="007B1BFA"/>
    <w:rsid w:val="007B20EE"/>
    <w:rsid w:val="007B3424"/>
    <w:rsid w:val="007B3B86"/>
    <w:rsid w:val="007B4A75"/>
    <w:rsid w:val="007B4AC3"/>
    <w:rsid w:val="007B7ACE"/>
    <w:rsid w:val="007C0BBA"/>
    <w:rsid w:val="007C0CA0"/>
    <w:rsid w:val="007C0EA3"/>
    <w:rsid w:val="007C1C26"/>
    <w:rsid w:val="007C1F9C"/>
    <w:rsid w:val="007C2F15"/>
    <w:rsid w:val="007C3A62"/>
    <w:rsid w:val="007C3A92"/>
    <w:rsid w:val="007C3B5A"/>
    <w:rsid w:val="007C446B"/>
    <w:rsid w:val="007C4891"/>
    <w:rsid w:val="007C4944"/>
    <w:rsid w:val="007C5141"/>
    <w:rsid w:val="007C7C26"/>
    <w:rsid w:val="007D1EC3"/>
    <w:rsid w:val="007D2333"/>
    <w:rsid w:val="007D30C5"/>
    <w:rsid w:val="007D34B0"/>
    <w:rsid w:val="007D3C25"/>
    <w:rsid w:val="007D3FA8"/>
    <w:rsid w:val="007D4BB3"/>
    <w:rsid w:val="007D5B2B"/>
    <w:rsid w:val="007D7384"/>
    <w:rsid w:val="007D7AD8"/>
    <w:rsid w:val="007E0C0C"/>
    <w:rsid w:val="007E0CAA"/>
    <w:rsid w:val="007E1336"/>
    <w:rsid w:val="007E2B3C"/>
    <w:rsid w:val="007E3450"/>
    <w:rsid w:val="007E5C06"/>
    <w:rsid w:val="007E5F36"/>
    <w:rsid w:val="007E62D6"/>
    <w:rsid w:val="007F1655"/>
    <w:rsid w:val="007F17B2"/>
    <w:rsid w:val="007F45D3"/>
    <w:rsid w:val="007F4D94"/>
    <w:rsid w:val="007F59E2"/>
    <w:rsid w:val="007F683C"/>
    <w:rsid w:val="007F7D64"/>
    <w:rsid w:val="0080023B"/>
    <w:rsid w:val="0080256D"/>
    <w:rsid w:val="00803120"/>
    <w:rsid w:val="00804945"/>
    <w:rsid w:val="0080612D"/>
    <w:rsid w:val="00806B46"/>
    <w:rsid w:val="00807FED"/>
    <w:rsid w:val="0081222B"/>
    <w:rsid w:val="008127D1"/>
    <w:rsid w:val="00814895"/>
    <w:rsid w:val="008149CC"/>
    <w:rsid w:val="00815415"/>
    <w:rsid w:val="008208EC"/>
    <w:rsid w:val="00820B84"/>
    <w:rsid w:val="00820E0D"/>
    <w:rsid w:val="008223B2"/>
    <w:rsid w:val="00824196"/>
    <w:rsid w:val="00824B4B"/>
    <w:rsid w:val="00825519"/>
    <w:rsid w:val="008259FD"/>
    <w:rsid w:val="00826423"/>
    <w:rsid w:val="008264B5"/>
    <w:rsid w:val="0082669E"/>
    <w:rsid w:val="008268E4"/>
    <w:rsid w:val="00830755"/>
    <w:rsid w:val="00831FDE"/>
    <w:rsid w:val="00832B0D"/>
    <w:rsid w:val="00834D3A"/>
    <w:rsid w:val="0083599B"/>
    <w:rsid w:val="00836099"/>
    <w:rsid w:val="00836180"/>
    <w:rsid w:val="0083689A"/>
    <w:rsid w:val="00837E53"/>
    <w:rsid w:val="0084132E"/>
    <w:rsid w:val="00841AA6"/>
    <w:rsid w:val="008422AD"/>
    <w:rsid w:val="0084468E"/>
    <w:rsid w:val="008453B2"/>
    <w:rsid w:val="00845977"/>
    <w:rsid w:val="00845BF0"/>
    <w:rsid w:val="00846283"/>
    <w:rsid w:val="008472B2"/>
    <w:rsid w:val="0084768E"/>
    <w:rsid w:val="00847FB4"/>
    <w:rsid w:val="0085092B"/>
    <w:rsid w:val="00851522"/>
    <w:rsid w:val="00851DC5"/>
    <w:rsid w:val="0085593E"/>
    <w:rsid w:val="00855F22"/>
    <w:rsid w:val="008577C9"/>
    <w:rsid w:val="00862439"/>
    <w:rsid w:val="00862746"/>
    <w:rsid w:val="008629F9"/>
    <w:rsid w:val="0086331D"/>
    <w:rsid w:val="0086335B"/>
    <w:rsid w:val="00863418"/>
    <w:rsid w:val="008640E1"/>
    <w:rsid w:val="00864166"/>
    <w:rsid w:val="00864ADE"/>
    <w:rsid w:val="00865223"/>
    <w:rsid w:val="00866959"/>
    <w:rsid w:val="00866E03"/>
    <w:rsid w:val="00867229"/>
    <w:rsid w:val="0087236F"/>
    <w:rsid w:val="00872507"/>
    <w:rsid w:val="00874165"/>
    <w:rsid w:val="008743C3"/>
    <w:rsid w:val="00876823"/>
    <w:rsid w:val="00877187"/>
    <w:rsid w:val="0088088D"/>
    <w:rsid w:val="0088098F"/>
    <w:rsid w:val="00880B4B"/>
    <w:rsid w:val="00881D01"/>
    <w:rsid w:val="00881F4C"/>
    <w:rsid w:val="00882F22"/>
    <w:rsid w:val="0088495E"/>
    <w:rsid w:val="008920D3"/>
    <w:rsid w:val="008932F9"/>
    <w:rsid w:val="00894020"/>
    <w:rsid w:val="00894991"/>
    <w:rsid w:val="00894B8B"/>
    <w:rsid w:val="00896373"/>
    <w:rsid w:val="0089637B"/>
    <w:rsid w:val="008A0341"/>
    <w:rsid w:val="008A0E12"/>
    <w:rsid w:val="008A0F7A"/>
    <w:rsid w:val="008A1219"/>
    <w:rsid w:val="008A1CCF"/>
    <w:rsid w:val="008A206D"/>
    <w:rsid w:val="008A27ED"/>
    <w:rsid w:val="008A3AA7"/>
    <w:rsid w:val="008A3DA1"/>
    <w:rsid w:val="008A4054"/>
    <w:rsid w:val="008A5089"/>
    <w:rsid w:val="008A6810"/>
    <w:rsid w:val="008A70A8"/>
    <w:rsid w:val="008A7F41"/>
    <w:rsid w:val="008B25F0"/>
    <w:rsid w:val="008B2E8F"/>
    <w:rsid w:val="008B35A4"/>
    <w:rsid w:val="008B4BAC"/>
    <w:rsid w:val="008B6878"/>
    <w:rsid w:val="008B6EFC"/>
    <w:rsid w:val="008C037D"/>
    <w:rsid w:val="008C0495"/>
    <w:rsid w:val="008C0524"/>
    <w:rsid w:val="008C1124"/>
    <w:rsid w:val="008C11DC"/>
    <w:rsid w:val="008C1366"/>
    <w:rsid w:val="008C1A56"/>
    <w:rsid w:val="008C2094"/>
    <w:rsid w:val="008C24FE"/>
    <w:rsid w:val="008C2B8B"/>
    <w:rsid w:val="008C3DA7"/>
    <w:rsid w:val="008C412E"/>
    <w:rsid w:val="008C7AF5"/>
    <w:rsid w:val="008C7EF1"/>
    <w:rsid w:val="008D1234"/>
    <w:rsid w:val="008D1A9C"/>
    <w:rsid w:val="008D1D4B"/>
    <w:rsid w:val="008D39A5"/>
    <w:rsid w:val="008D3CD4"/>
    <w:rsid w:val="008D46AF"/>
    <w:rsid w:val="008D490E"/>
    <w:rsid w:val="008D4952"/>
    <w:rsid w:val="008D4AB4"/>
    <w:rsid w:val="008D6568"/>
    <w:rsid w:val="008D6A08"/>
    <w:rsid w:val="008D7557"/>
    <w:rsid w:val="008E0197"/>
    <w:rsid w:val="008E05B0"/>
    <w:rsid w:val="008E10C7"/>
    <w:rsid w:val="008E17B0"/>
    <w:rsid w:val="008E2775"/>
    <w:rsid w:val="008E3CA8"/>
    <w:rsid w:val="008E56D7"/>
    <w:rsid w:val="008E5E76"/>
    <w:rsid w:val="008E645D"/>
    <w:rsid w:val="008E7175"/>
    <w:rsid w:val="008E7466"/>
    <w:rsid w:val="008E7511"/>
    <w:rsid w:val="008E7FEE"/>
    <w:rsid w:val="008F13C0"/>
    <w:rsid w:val="008F18ED"/>
    <w:rsid w:val="008F1AD2"/>
    <w:rsid w:val="008F1ED7"/>
    <w:rsid w:val="008F21CC"/>
    <w:rsid w:val="008F2B25"/>
    <w:rsid w:val="008F2CB9"/>
    <w:rsid w:val="008F4015"/>
    <w:rsid w:val="008F65B6"/>
    <w:rsid w:val="008F6B03"/>
    <w:rsid w:val="008F6B27"/>
    <w:rsid w:val="00901083"/>
    <w:rsid w:val="00904F5B"/>
    <w:rsid w:val="00905F60"/>
    <w:rsid w:val="00906BE7"/>
    <w:rsid w:val="009108B3"/>
    <w:rsid w:val="00911186"/>
    <w:rsid w:val="00911A99"/>
    <w:rsid w:val="009122C7"/>
    <w:rsid w:val="0091488F"/>
    <w:rsid w:val="00915801"/>
    <w:rsid w:val="009167F7"/>
    <w:rsid w:val="00917CA3"/>
    <w:rsid w:val="00921F64"/>
    <w:rsid w:val="00922C62"/>
    <w:rsid w:val="00922DBD"/>
    <w:rsid w:val="00922DC6"/>
    <w:rsid w:val="009233F0"/>
    <w:rsid w:val="009245B4"/>
    <w:rsid w:val="0092497A"/>
    <w:rsid w:val="00925136"/>
    <w:rsid w:val="00926942"/>
    <w:rsid w:val="00926CAD"/>
    <w:rsid w:val="00932377"/>
    <w:rsid w:val="00933FD0"/>
    <w:rsid w:val="00934084"/>
    <w:rsid w:val="009355E4"/>
    <w:rsid w:val="0093611D"/>
    <w:rsid w:val="00937869"/>
    <w:rsid w:val="00941051"/>
    <w:rsid w:val="00941205"/>
    <w:rsid w:val="00941446"/>
    <w:rsid w:val="009420B0"/>
    <w:rsid w:val="009432AA"/>
    <w:rsid w:val="00943FBB"/>
    <w:rsid w:val="00945F4D"/>
    <w:rsid w:val="0094618B"/>
    <w:rsid w:val="009466B6"/>
    <w:rsid w:val="0094681D"/>
    <w:rsid w:val="00946EC0"/>
    <w:rsid w:val="009476ED"/>
    <w:rsid w:val="00947ABB"/>
    <w:rsid w:val="00950220"/>
    <w:rsid w:val="00950BB5"/>
    <w:rsid w:val="00950F47"/>
    <w:rsid w:val="00951DE8"/>
    <w:rsid w:val="009523CB"/>
    <w:rsid w:val="00953743"/>
    <w:rsid w:val="00954FA7"/>
    <w:rsid w:val="0095625E"/>
    <w:rsid w:val="00956595"/>
    <w:rsid w:val="00956742"/>
    <w:rsid w:val="009601DE"/>
    <w:rsid w:val="00961C5E"/>
    <w:rsid w:val="0096355B"/>
    <w:rsid w:val="009645E5"/>
    <w:rsid w:val="009656E8"/>
    <w:rsid w:val="00966BA9"/>
    <w:rsid w:val="009679C0"/>
    <w:rsid w:val="00967FCF"/>
    <w:rsid w:val="00970BC7"/>
    <w:rsid w:val="00970E37"/>
    <w:rsid w:val="00972C1A"/>
    <w:rsid w:val="00973601"/>
    <w:rsid w:val="0097501C"/>
    <w:rsid w:val="009752A0"/>
    <w:rsid w:val="00975A85"/>
    <w:rsid w:val="0097654D"/>
    <w:rsid w:val="0097675F"/>
    <w:rsid w:val="009776AB"/>
    <w:rsid w:val="009802B3"/>
    <w:rsid w:val="0098034E"/>
    <w:rsid w:val="00981228"/>
    <w:rsid w:val="00981B70"/>
    <w:rsid w:val="0098205B"/>
    <w:rsid w:val="00982C5A"/>
    <w:rsid w:val="00982F4B"/>
    <w:rsid w:val="009830F7"/>
    <w:rsid w:val="00983A6A"/>
    <w:rsid w:val="00983B2D"/>
    <w:rsid w:val="00984275"/>
    <w:rsid w:val="00984CAF"/>
    <w:rsid w:val="00987C33"/>
    <w:rsid w:val="0099016D"/>
    <w:rsid w:val="00990254"/>
    <w:rsid w:val="00990B34"/>
    <w:rsid w:val="00991553"/>
    <w:rsid w:val="00991F95"/>
    <w:rsid w:val="009921DB"/>
    <w:rsid w:val="009929C2"/>
    <w:rsid w:val="00994FAB"/>
    <w:rsid w:val="0099520D"/>
    <w:rsid w:val="009959C2"/>
    <w:rsid w:val="0099724D"/>
    <w:rsid w:val="009A02F4"/>
    <w:rsid w:val="009A1AD9"/>
    <w:rsid w:val="009A1F9B"/>
    <w:rsid w:val="009A2D17"/>
    <w:rsid w:val="009A2F81"/>
    <w:rsid w:val="009A4018"/>
    <w:rsid w:val="009A41CE"/>
    <w:rsid w:val="009A4A6F"/>
    <w:rsid w:val="009A4C05"/>
    <w:rsid w:val="009A5A4D"/>
    <w:rsid w:val="009A72F8"/>
    <w:rsid w:val="009A79FE"/>
    <w:rsid w:val="009B02B9"/>
    <w:rsid w:val="009B0A10"/>
    <w:rsid w:val="009B18C6"/>
    <w:rsid w:val="009B1E5D"/>
    <w:rsid w:val="009B25ED"/>
    <w:rsid w:val="009B5BF4"/>
    <w:rsid w:val="009B6E78"/>
    <w:rsid w:val="009C031C"/>
    <w:rsid w:val="009C0571"/>
    <w:rsid w:val="009C276F"/>
    <w:rsid w:val="009C37E4"/>
    <w:rsid w:val="009C3D8E"/>
    <w:rsid w:val="009C42E1"/>
    <w:rsid w:val="009C4B37"/>
    <w:rsid w:val="009C4D30"/>
    <w:rsid w:val="009D276A"/>
    <w:rsid w:val="009D2ACC"/>
    <w:rsid w:val="009D3ADE"/>
    <w:rsid w:val="009D587C"/>
    <w:rsid w:val="009D6DB2"/>
    <w:rsid w:val="009D701C"/>
    <w:rsid w:val="009D740A"/>
    <w:rsid w:val="009D7C9B"/>
    <w:rsid w:val="009E08F3"/>
    <w:rsid w:val="009E0956"/>
    <w:rsid w:val="009E0958"/>
    <w:rsid w:val="009E4072"/>
    <w:rsid w:val="009E456A"/>
    <w:rsid w:val="009E59BF"/>
    <w:rsid w:val="009E64A3"/>
    <w:rsid w:val="009E674E"/>
    <w:rsid w:val="009E73DC"/>
    <w:rsid w:val="009E7586"/>
    <w:rsid w:val="009E76DF"/>
    <w:rsid w:val="009F0A6A"/>
    <w:rsid w:val="009F11C8"/>
    <w:rsid w:val="009F28AB"/>
    <w:rsid w:val="009F2F9A"/>
    <w:rsid w:val="009F521E"/>
    <w:rsid w:val="009F5DDC"/>
    <w:rsid w:val="009F5ECB"/>
    <w:rsid w:val="009F6D9C"/>
    <w:rsid w:val="009F7B1A"/>
    <w:rsid w:val="00A001BE"/>
    <w:rsid w:val="00A0096E"/>
    <w:rsid w:val="00A026C9"/>
    <w:rsid w:val="00A03CB0"/>
    <w:rsid w:val="00A04A3F"/>
    <w:rsid w:val="00A051E9"/>
    <w:rsid w:val="00A0573A"/>
    <w:rsid w:val="00A05FEA"/>
    <w:rsid w:val="00A06E09"/>
    <w:rsid w:val="00A12292"/>
    <w:rsid w:val="00A13C44"/>
    <w:rsid w:val="00A14137"/>
    <w:rsid w:val="00A14487"/>
    <w:rsid w:val="00A14ABE"/>
    <w:rsid w:val="00A14EE4"/>
    <w:rsid w:val="00A15B42"/>
    <w:rsid w:val="00A15BB3"/>
    <w:rsid w:val="00A16D7C"/>
    <w:rsid w:val="00A203B1"/>
    <w:rsid w:val="00A20A21"/>
    <w:rsid w:val="00A21687"/>
    <w:rsid w:val="00A234E0"/>
    <w:rsid w:val="00A23DD6"/>
    <w:rsid w:val="00A248D1"/>
    <w:rsid w:val="00A26E58"/>
    <w:rsid w:val="00A30388"/>
    <w:rsid w:val="00A30794"/>
    <w:rsid w:val="00A31120"/>
    <w:rsid w:val="00A31B76"/>
    <w:rsid w:val="00A3268A"/>
    <w:rsid w:val="00A32947"/>
    <w:rsid w:val="00A34921"/>
    <w:rsid w:val="00A35C3A"/>
    <w:rsid w:val="00A3692B"/>
    <w:rsid w:val="00A36A71"/>
    <w:rsid w:val="00A37677"/>
    <w:rsid w:val="00A3775B"/>
    <w:rsid w:val="00A40AED"/>
    <w:rsid w:val="00A4110C"/>
    <w:rsid w:val="00A41471"/>
    <w:rsid w:val="00A435AA"/>
    <w:rsid w:val="00A435C0"/>
    <w:rsid w:val="00A459AD"/>
    <w:rsid w:val="00A46411"/>
    <w:rsid w:val="00A47722"/>
    <w:rsid w:val="00A5038D"/>
    <w:rsid w:val="00A50C1B"/>
    <w:rsid w:val="00A51217"/>
    <w:rsid w:val="00A55752"/>
    <w:rsid w:val="00A55B84"/>
    <w:rsid w:val="00A56690"/>
    <w:rsid w:val="00A569CE"/>
    <w:rsid w:val="00A56AA8"/>
    <w:rsid w:val="00A60117"/>
    <w:rsid w:val="00A602D6"/>
    <w:rsid w:val="00A60B23"/>
    <w:rsid w:val="00A62314"/>
    <w:rsid w:val="00A625BA"/>
    <w:rsid w:val="00A62DF2"/>
    <w:rsid w:val="00A63B90"/>
    <w:rsid w:val="00A64975"/>
    <w:rsid w:val="00A662C0"/>
    <w:rsid w:val="00A6756A"/>
    <w:rsid w:val="00A67BE5"/>
    <w:rsid w:val="00A67DB9"/>
    <w:rsid w:val="00A70512"/>
    <w:rsid w:val="00A7252F"/>
    <w:rsid w:val="00A73100"/>
    <w:rsid w:val="00A73256"/>
    <w:rsid w:val="00A73938"/>
    <w:rsid w:val="00A74217"/>
    <w:rsid w:val="00A74D00"/>
    <w:rsid w:val="00A75348"/>
    <w:rsid w:val="00A75550"/>
    <w:rsid w:val="00A7610E"/>
    <w:rsid w:val="00A8160B"/>
    <w:rsid w:val="00A818E3"/>
    <w:rsid w:val="00A82498"/>
    <w:rsid w:val="00A831C4"/>
    <w:rsid w:val="00A83F9A"/>
    <w:rsid w:val="00A84BE9"/>
    <w:rsid w:val="00A85246"/>
    <w:rsid w:val="00A85E6C"/>
    <w:rsid w:val="00A85E88"/>
    <w:rsid w:val="00A87AC2"/>
    <w:rsid w:val="00A9119D"/>
    <w:rsid w:val="00A9379C"/>
    <w:rsid w:val="00A93948"/>
    <w:rsid w:val="00A960AD"/>
    <w:rsid w:val="00AA1D69"/>
    <w:rsid w:val="00AA3F96"/>
    <w:rsid w:val="00AA59E7"/>
    <w:rsid w:val="00AA6DD3"/>
    <w:rsid w:val="00AA72F5"/>
    <w:rsid w:val="00AA7B70"/>
    <w:rsid w:val="00AA7E13"/>
    <w:rsid w:val="00AB1D2C"/>
    <w:rsid w:val="00AB3EBD"/>
    <w:rsid w:val="00AB60C6"/>
    <w:rsid w:val="00AB67DE"/>
    <w:rsid w:val="00AB6DA5"/>
    <w:rsid w:val="00AB6ED4"/>
    <w:rsid w:val="00AB7987"/>
    <w:rsid w:val="00AB7C01"/>
    <w:rsid w:val="00AC151D"/>
    <w:rsid w:val="00AC1D04"/>
    <w:rsid w:val="00AC1DCC"/>
    <w:rsid w:val="00AC3F50"/>
    <w:rsid w:val="00AC5B1B"/>
    <w:rsid w:val="00AC6480"/>
    <w:rsid w:val="00AC70F3"/>
    <w:rsid w:val="00AD0172"/>
    <w:rsid w:val="00AD0CF1"/>
    <w:rsid w:val="00AD16FB"/>
    <w:rsid w:val="00AD1BD2"/>
    <w:rsid w:val="00AD2B6C"/>
    <w:rsid w:val="00AD2F9B"/>
    <w:rsid w:val="00AD39E5"/>
    <w:rsid w:val="00AD4B6D"/>
    <w:rsid w:val="00AD5D3B"/>
    <w:rsid w:val="00AD6817"/>
    <w:rsid w:val="00AD7876"/>
    <w:rsid w:val="00AD7D5B"/>
    <w:rsid w:val="00AE0DC1"/>
    <w:rsid w:val="00AE12C0"/>
    <w:rsid w:val="00AE1573"/>
    <w:rsid w:val="00AE194C"/>
    <w:rsid w:val="00AE1A8D"/>
    <w:rsid w:val="00AE1BBA"/>
    <w:rsid w:val="00AE2235"/>
    <w:rsid w:val="00AE2583"/>
    <w:rsid w:val="00AE2BC0"/>
    <w:rsid w:val="00AE3027"/>
    <w:rsid w:val="00AE35F6"/>
    <w:rsid w:val="00AE3CB1"/>
    <w:rsid w:val="00AE54D6"/>
    <w:rsid w:val="00AE5FAF"/>
    <w:rsid w:val="00AE6635"/>
    <w:rsid w:val="00AF0F6C"/>
    <w:rsid w:val="00AF2D7A"/>
    <w:rsid w:val="00AF33E8"/>
    <w:rsid w:val="00AF44BB"/>
    <w:rsid w:val="00AF4AE5"/>
    <w:rsid w:val="00AF5168"/>
    <w:rsid w:val="00AF543D"/>
    <w:rsid w:val="00AF5DB4"/>
    <w:rsid w:val="00AF6392"/>
    <w:rsid w:val="00AF69F4"/>
    <w:rsid w:val="00AF6F6E"/>
    <w:rsid w:val="00AF7174"/>
    <w:rsid w:val="00B00945"/>
    <w:rsid w:val="00B0213B"/>
    <w:rsid w:val="00B02810"/>
    <w:rsid w:val="00B04BF9"/>
    <w:rsid w:val="00B05BFD"/>
    <w:rsid w:val="00B10724"/>
    <w:rsid w:val="00B145B5"/>
    <w:rsid w:val="00B156D6"/>
    <w:rsid w:val="00B16B77"/>
    <w:rsid w:val="00B16C61"/>
    <w:rsid w:val="00B1708D"/>
    <w:rsid w:val="00B21387"/>
    <w:rsid w:val="00B21979"/>
    <w:rsid w:val="00B24A9A"/>
    <w:rsid w:val="00B258AB"/>
    <w:rsid w:val="00B266F1"/>
    <w:rsid w:val="00B27944"/>
    <w:rsid w:val="00B27D95"/>
    <w:rsid w:val="00B3090A"/>
    <w:rsid w:val="00B32A99"/>
    <w:rsid w:val="00B32E45"/>
    <w:rsid w:val="00B33ABB"/>
    <w:rsid w:val="00B33D37"/>
    <w:rsid w:val="00B34885"/>
    <w:rsid w:val="00B35874"/>
    <w:rsid w:val="00B359A1"/>
    <w:rsid w:val="00B371BF"/>
    <w:rsid w:val="00B44CB9"/>
    <w:rsid w:val="00B46A8D"/>
    <w:rsid w:val="00B46DDB"/>
    <w:rsid w:val="00B47B65"/>
    <w:rsid w:val="00B47EC5"/>
    <w:rsid w:val="00B51188"/>
    <w:rsid w:val="00B51FB6"/>
    <w:rsid w:val="00B52385"/>
    <w:rsid w:val="00B5247D"/>
    <w:rsid w:val="00B53CE8"/>
    <w:rsid w:val="00B552EB"/>
    <w:rsid w:val="00B55BD4"/>
    <w:rsid w:val="00B5612A"/>
    <w:rsid w:val="00B564B8"/>
    <w:rsid w:val="00B57988"/>
    <w:rsid w:val="00B57B79"/>
    <w:rsid w:val="00B600E8"/>
    <w:rsid w:val="00B6139D"/>
    <w:rsid w:val="00B6266B"/>
    <w:rsid w:val="00B63DDB"/>
    <w:rsid w:val="00B64831"/>
    <w:rsid w:val="00B65ED9"/>
    <w:rsid w:val="00B66245"/>
    <w:rsid w:val="00B66750"/>
    <w:rsid w:val="00B67DC8"/>
    <w:rsid w:val="00B70BC8"/>
    <w:rsid w:val="00B70FE9"/>
    <w:rsid w:val="00B73A54"/>
    <w:rsid w:val="00B73AEA"/>
    <w:rsid w:val="00B73BC5"/>
    <w:rsid w:val="00B76783"/>
    <w:rsid w:val="00B768C2"/>
    <w:rsid w:val="00B76A8F"/>
    <w:rsid w:val="00B76AAB"/>
    <w:rsid w:val="00B776A8"/>
    <w:rsid w:val="00B81209"/>
    <w:rsid w:val="00B819D9"/>
    <w:rsid w:val="00B85DCE"/>
    <w:rsid w:val="00B86443"/>
    <w:rsid w:val="00B86D7B"/>
    <w:rsid w:val="00B876CE"/>
    <w:rsid w:val="00B90555"/>
    <w:rsid w:val="00B90C9C"/>
    <w:rsid w:val="00B92144"/>
    <w:rsid w:val="00B926DE"/>
    <w:rsid w:val="00B937E0"/>
    <w:rsid w:val="00B937E9"/>
    <w:rsid w:val="00B97DC0"/>
    <w:rsid w:val="00BA00A5"/>
    <w:rsid w:val="00BA0596"/>
    <w:rsid w:val="00BA129B"/>
    <w:rsid w:val="00BA209E"/>
    <w:rsid w:val="00BA20BE"/>
    <w:rsid w:val="00BA2A31"/>
    <w:rsid w:val="00BA36F4"/>
    <w:rsid w:val="00BA375F"/>
    <w:rsid w:val="00BA4B7B"/>
    <w:rsid w:val="00BA619A"/>
    <w:rsid w:val="00BA65F5"/>
    <w:rsid w:val="00BA79C3"/>
    <w:rsid w:val="00BB00EA"/>
    <w:rsid w:val="00BB02AB"/>
    <w:rsid w:val="00BB2173"/>
    <w:rsid w:val="00BB2350"/>
    <w:rsid w:val="00BB2656"/>
    <w:rsid w:val="00BB26A1"/>
    <w:rsid w:val="00BB365D"/>
    <w:rsid w:val="00BB3FAD"/>
    <w:rsid w:val="00BB41A5"/>
    <w:rsid w:val="00BB437E"/>
    <w:rsid w:val="00BB44A1"/>
    <w:rsid w:val="00BB4D00"/>
    <w:rsid w:val="00BB4F89"/>
    <w:rsid w:val="00BB74BF"/>
    <w:rsid w:val="00BC0112"/>
    <w:rsid w:val="00BC2102"/>
    <w:rsid w:val="00BC235B"/>
    <w:rsid w:val="00BC32AF"/>
    <w:rsid w:val="00BC4622"/>
    <w:rsid w:val="00BC6994"/>
    <w:rsid w:val="00BD30AC"/>
    <w:rsid w:val="00BD4E1A"/>
    <w:rsid w:val="00BD5746"/>
    <w:rsid w:val="00BD5A3A"/>
    <w:rsid w:val="00BD5F0F"/>
    <w:rsid w:val="00BE0119"/>
    <w:rsid w:val="00BE08DF"/>
    <w:rsid w:val="00BE09AA"/>
    <w:rsid w:val="00BE0DF0"/>
    <w:rsid w:val="00BE1E9D"/>
    <w:rsid w:val="00BE2BAA"/>
    <w:rsid w:val="00BE37F9"/>
    <w:rsid w:val="00BE689A"/>
    <w:rsid w:val="00BE71D8"/>
    <w:rsid w:val="00BE7B23"/>
    <w:rsid w:val="00BF0B1A"/>
    <w:rsid w:val="00BF13AE"/>
    <w:rsid w:val="00BF168A"/>
    <w:rsid w:val="00BF1CB0"/>
    <w:rsid w:val="00BF6FE2"/>
    <w:rsid w:val="00BF7335"/>
    <w:rsid w:val="00BF7B98"/>
    <w:rsid w:val="00C0027A"/>
    <w:rsid w:val="00C01F37"/>
    <w:rsid w:val="00C02AC6"/>
    <w:rsid w:val="00C037B5"/>
    <w:rsid w:val="00C04B22"/>
    <w:rsid w:val="00C05609"/>
    <w:rsid w:val="00C05E50"/>
    <w:rsid w:val="00C06C63"/>
    <w:rsid w:val="00C07E24"/>
    <w:rsid w:val="00C10956"/>
    <w:rsid w:val="00C12FAF"/>
    <w:rsid w:val="00C14A18"/>
    <w:rsid w:val="00C152E5"/>
    <w:rsid w:val="00C210E7"/>
    <w:rsid w:val="00C21101"/>
    <w:rsid w:val="00C219A7"/>
    <w:rsid w:val="00C24A0C"/>
    <w:rsid w:val="00C25D66"/>
    <w:rsid w:val="00C26416"/>
    <w:rsid w:val="00C26E2A"/>
    <w:rsid w:val="00C31528"/>
    <w:rsid w:val="00C3255E"/>
    <w:rsid w:val="00C32D73"/>
    <w:rsid w:val="00C3377F"/>
    <w:rsid w:val="00C33B8A"/>
    <w:rsid w:val="00C3593A"/>
    <w:rsid w:val="00C359DC"/>
    <w:rsid w:val="00C379FD"/>
    <w:rsid w:val="00C43421"/>
    <w:rsid w:val="00C45E3C"/>
    <w:rsid w:val="00C462A4"/>
    <w:rsid w:val="00C46AD6"/>
    <w:rsid w:val="00C50243"/>
    <w:rsid w:val="00C50EEB"/>
    <w:rsid w:val="00C5180F"/>
    <w:rsid w:val="00C52227"/>
    <w:rsid w:val="00C52825"/>
    <w:rsid w:val="00C532D4"/>
    <w:rsid w:val="00C535F8"/>
    <w:rsid w:val="00C553A5"/>
    <w:rsid w:val="00C5576E"/>
    <w:rsid w:val="00C56892"/>
    <w:rsid w:val="00C60364"/>
    <w:rsid w:val="00C609D4"/>
    <w:rsid w:val="00C62E50"/>
    <w:rsid w:val="00C63C78"/>
    <w:rsid w:val="00C644F1"/>
    <w:rsid w:val="00C67DCF"/>
    <w:rsid w:val="00C7208A"/>
    <w:rsid w:val="00C73E74"/>
    <w:rsid w:val="00C743C8"/>
    <w:rsid w:val="00C7492B"/>
    <w:rsid w:val="00C756EA"/>
    <w:rsid w:val="00C758CA"/>
    <w:rsid w:val="00C75D98"/>
    <w:rsid w:val="00C83091"/>
    <w:rsid w:val="00C838CF"/>
    <w:rsid w:val="00C84463"/>
    <w:rsid w:val="00C87338"/>
    <w:rsid w:val="00C9031A"/>
    <w:rsid w:val="00C90691"/>
    <w:rsid w:val="00C91870"/>
    <w:rsid w:val="00C925F2"/>
    <w:rsid w:val="00C934EA"/>
    <w:rsid w:val="00C96AA8"/>
    <w:rsid w:val="00C9775A"/>
    <w:rsid w:val="00C97955"/>
    <w:rsid w:val="00C97BE2"/>
    <w:rsid w:val="00CA19B9"/>
    <w:rsid w:val="00CA22ED"/>
    <w:rsid w:val="00CA3524"/>
    <w:rsid w:val="00CA571E"/>
    <w:rsid w:val="00CA63CC"/>
    <w:rsid w:val="00CA6743"/>
    <w:rsid w:val="00CA7C23"/>
    <w:rsid w:val="00CA7E59"/>
    <w:rsid w:val="00CB00A6"/>
    <w:rsid w:val="00CB3475"/>
    <w:rsid w:val="00CB35AC"/>
    <w:rsid w:val="00CB3E08"/>
    <w:rsid w:val="00CB43ED"/>
    <w:rsid w:val="00CB5252"/>
    <w:rsid w:val="00CB5917"/>
    <w:rsid w:val="00CB5F86"/>
    <w:rsid w:val="00CB5FB7"/>
    <w:rsid w:val="00CB60F6"/>
    <w:rsid w:val="00CB6313"/>
    <w:rsid w:val="00CB6F70"/>
    <w:rsid w:val="00CC1EF0"/>
    <w:rsid w:val="00CC274A"/>
    <w:rsid w:val="00CC2B32"/>
    <w:rsid w:val="00CC3557"/>
    <w:rsid w:val="00CC4E64"/>
    <w:rsid w:val="00CC72B3"/>
    <w:rsid w:val="00CC7518"/>
    <w:rsid w:val="00CC7A35"/>
    <w:rsid w:val="00CD1883"/>
    <w:rsid w:val="00CD372F"/>
    <w:rsid w:val="00CD4460"/>
    <w:rsid w:val="00CD4AF9"/>
    <w:rsid w:val="00CD6F00"/>
    <w:rsid w:val="00CE0212"/>
    <w:rsid w:val="00CE0C7F"/>
    <w:rsid w:val="00CE1C23"/>
    <w:rsid w:val="00CE25C4"/>
    <w:rsid w:val="00CE2CD7"/>
    <w:rsid w:val="00CE43FD"/>
    <w:rsid w:val="00CE4637"/>
    <w:rsid w:val="00CE4E48"/>
    <w:rsid w:val="00CE50F4"/>
    <w:rsid w:val="00CE559C"/>
    <w:rsid w:val="00CE6789"/>
    <w:rsid w:val="00CE6C03"/>
    <w:rsid w:val="00CF0B35"/>
    <w:rsid w:val="00CF0C10"/>
    <w:rsid w:val="00CF0D2D"/>
    <w:rsid w:val="00CF1010"/>
    <w:rsid w:val="00CF1512"/>
    <w:rsid w:val="00CF2478"/>
    <w:rsid w:val="00CF3051"/>
    <w:rsid w:val="00CF412B"/>
    <w:rsid w:val="00CF4B6F"/>
    <w:rsid w:val="00CF4CDB"/>
    <w:rsid w:val="00CF527D"/>
    <w:rsid w:val="00CF5AC5"/>
    <w:rsid w:val="00CF5EFD"/>
    <w:rsid w:val="00CF7862"/>
    <w:rsid w:val="00CF7F0D"/>
    <w:rsid w:val="00D0158A"/>
    <w:rsid w:val="00D029C5"/>
    <w:rsid w:val="00D0680D"/>
    <w:rsid w:val="00D10070"/>
    <w:rsid w:val="00D137C8"/>
    <w:rsid w:val="00D149BC"/>
    <w:rsid w:val="00D164BC"/>
    <w:rsid w:val="00D20F36"/>
    <w:rsid w:val="00D21E00"/>
    <w:rsid w:val="00D22FDF"/>
    <w:rsid w:val="00D23197"/>
    <w:rsid w:val="00D23390"/>
    <w:rsid w:val="00D24E13"/>
    <w:rsid w:val="00D2638A"/>
    <w:rsid w:val="00D266BF"/>
    <w:rsid w:val="00D30F2D"/>
    <w:rsid w:val="00D31832"/>
    <w:rsid w:val="00D36113"/>
    <w:rsid w:val="00D3690C"/>
    <w:rsid w:val="00D40B62"/>
    <w:rsid w:val="00D415D9"/>
    <w:rsid w:val="00D4205D"/>
    <w:rsid w:val="00D4481D"/>
    <w:rsid w:val="00D45FD4"/>
    <w:rsid w:val="00D47916"/>
    <w:rsid w:val="00D47C0E"/>
    <w:rsid w:val="00D50241"/>
    <w:rsid w:val="00D5062C"/>
    <w:rsid w:val="00D516E6"/>
    <w:rsid w:val="00D517C2"/>
    <w:rsid w:val="00D51BA6"/>
    <w:rsid w:val="00D522EE"/>
    <w:rsid w:val="00D52DEA"/>
    <w:rsid w:val="00D535BE"/>
    <w:rsid w:val="00D53957"/>
    <w:rsid w:val="00D5395E"/>
    <w:rsid w:val="00D5405B"/>
    <w:rsid w:val="00D55160"/>
    <w:rsid w:val="00D5593C"/>
    <w:rsid w:val="00D56C0E"/>
    <w:rsid w:val="00D57844"/>
    <w:rsid w:val="00D61398"/>
    <w:rsid w:val="00D63053"/>
    <w:rsid w:val="00D64084"/>
    <w:rsid w:val="00D66084"/>
    <w:rsid w:val="00D66364"/>
    <w:rsid w:val="00D669CC"/>
    <w:rsid w:val="00D66FF5"/>
    <w:rsid w:val="00D67FCE"/>
    <w:rsid w:val="00D70DD6"/>
    <w:rsid w:val="00D7118B"/>
    <w:rsid w:val="00D71513"/>
    <w:rsid w:val="00D71F99"/>
    <w:rsid w:val="00D73132"/>
    <w:rsid w:val="00D731FE"/>
    <w:rsid w:val="00D74C4E"/>
    <w:rsid w:val="00D76A82"/>
    <w:rsid w:val="00D775E1"/>
    <w:rsid w:val="00D80074"/>
    <w:rsid w:val="00D818C8"/>
    <w:rsid w:val="00D824E7"/>
    <w:rsid w:val="00D8476B"/>
    <w:rsid w:val="00D85B90"/>
    <w:rsid w:val="00D85DAF"/>
    <w:rsid w:val="00D87427"/>
    <w:rsid w:val="00D87441"/>
    <w:rsid w:val="00D877AC"/>
    <w:rsid w:val="00D911AD"/>
    <w:rsid w:val="00D918E3"/>
    <w:rsid w:val="00D91ACC"/>
    <w:rsid w:val="00D92CC6"/>
    <w:rsid w:val="00D944AF"/>
    <w:rsid w:val="00D94648"/>
    <w:rsid w:val="00D97661"/>
    <w:rsid w:val="00DA0B75"/>
    <w:rsid w:val="00DA1B7D"/>
    <w:rsid w:val="00DA3239"/>
    <w:rsid w:val="00DA40B8"/>
    <w:rsid w:val="00DA4CDB"/>
    <w:rsid w:val="00DA4DED"/>
    <w:rsid w:val="00DA5E97"/>
    <w:rsid w:val="00DA60FA"/>
    <w:rsid w:val="00DA7007"/>
    <w:rsid w:val="00DA709E"/>
    <w:rsid w:val="00DB1253"/>
    <w:rsid w:val="00DB360C"/>
    <w:rsid w:val="00DB370A"/>
    <w:rsid w:val="00DB446A"/>
    <w:rsid w:val="00DC030E"/>
    <w:rsid w:val="00DC0D26"/>
    <w:rsid w:val="00DC22F9"/>
    <w:rsid w:val="00DC39C5"/>
    <w:rsid w:val="00DC5AD4"/>
    <w:rsid w:val="00DC5C6A"/>
    <w:rsid w:val="00DC6363"/>
    <w:rsid w:val="00DC710C"/>
    <w:rsid w:val="00DD03BA"/>
    <w:rsid w:val="00DD06FC"/>
    <w:rsid w:val="00DD238C"/>
    <w:rsid w:val="00DD2559"/>
    <w:rsid w:val="00DD26EA"/>
    <w:rsid w:val="00DD400A"/>
    <w:rsid w:val="00DD42E6"/>
    <w:rsid w:val="00DD51FA"/>
    <w:rsid w:val="00DD5402"/>
    <w:rsid w:val="00DD5627"/>
    <w:rsid w:val="00DE2531"/>
    <w:rsid w:val="00DE3BA3"/>
    <w:rsid w:val="00DE69C6"/>
    <w:rsid w:val="00DE7AA2"/>
    <w:rsid w:val="00DF0D42"/>
    <w:rsid w:val="00DF2406"/>
    <w:rsid w:val="00DF270A"/>
    <w:rsid w:val="00DF3552"/>
    <w:rsid w:val="00DF3A53"/>
    <w:rsid w:val="00DF55BA"/>
    <w:rsid w:val="00DF7674"/>
    <w:rsid w:val="00E00F33"/>
    <w:rsid w:val="00E016A5"/>
    <w:rsid w:val="00E0278D"/>
    <w:rsid w:val="00E030E5"/>
    <w:rsid w:val="00E03AC6"/>
    <w:rsid w:val="00E05F94"/>
    <w:rsid w:val="00E06091"/>
    <w:rsid w:val="00E06F13"/>
    <w:rsid w:val="00E06F80"/>
    <w:rsid w:val="00E071E2"/>
    <w:rsid w:val="00E11EAB"/>
    <w:rsid w:val="00E12F87"/>
    <w:rsid w:val="00E136C0"/>
    <w:rsid w:val="00E15868"/>
    <w:rsid w:val="00E15944"/>
    <w:rsid w:val="00E16E3F"/>
    <w:rsid w:val="00E20500"/>
    <w:rsid w:val="00E26878"/>
    <w:rsid w:val="00E27130"/>
    <w:rsid w:val="00E303A9"/>
    <w:rsid w:val="00E30FB0"/>
    <w:rsid w:val="00E315AE"/>
    <w:rsid w:val="00E32BA9"/>
    <w:rsid w:val="00E33A52"/>
    <w:rsid w:val="00E3407F"/>
    <w:rsid w:val="00E35224"/>
    <w:rsid w:val="00E35544"/>
    <w:rsid w:val="00E3781E"/>
    <w:rsid w:val="00E37EAF"/>
    <w:rsid w:val="00E426B8"/>
    <w:rsid w:val="00E42ACB"/>
    <w:rsid w:val="00E43A7C"/>
    <w:rsid w:val="00E4646F"/>
    <w:rsid w:val="00E46843"/>
    <w:rsid w:val="00E50979"/>
    <w:rsid w:val="00E51A4C"/>
    <w:rsid w:val="00E52440"/>
    <w:rsid w:val="00E52524"/>
    <w:rsid w:val="00E5273B"/>
    <w:rsid w:val="00E53437"/>
    <w:rsid w:val="00E53E4C"/>
    <w:rsid w:val="00E5478B"/>
    <w:rsid w:val="00E5576A"/>
    <w:rsid w:val="00E55D93"/>
    <w:rsid w:val="00E56CAD"/>
    <w:rsid w:val="00E57806"/>
    <w:rsid w:val="00E57F0F"/>
    <w:rsid w:val="00E61CDC"/>
    <w:rsid w:val="00E62A76"/>
    <w:rsid w:val="00E62E45"/>
    <w:rsid w:val="00E62F6B"/>
    <w:rsid w:val="00E6369D"/>
    <w:rsid w:val="00E64E7E"/>
    <w:rsid w:val="00E65578"/>
    <w:rsid w:val="00E6640C"/>
    <w:rsid w:val="00E66B4B"/>
    <w:rsid w:val="00E67ED2"/>
    <w:rsid w:val="00E70718"/>
    <w:rsid w:val="00E70D57"/>
    <w:rsid w:val="00E71632"/>
    <w:rsid w:val="00E716A2"/>
    <w:rsid w:val="00E718A9"/>
    <w:rsid w:val="00E721AC"/>
    <w:rsid w:val="00E72286"/>
    <w:rsid w:val="00E72F9E"/>
    <w:rsid w:val="00E739A8"/>
    <w:rsid w:val="00E73E7E"/>
    <w:rsid w:val="00E801F1"/>
    <w:rsid w:val="00E80356"/>
    <w:rsid w:val="00E81DAB"/>
    <w:rsid w:val="00E83C6B"/>
    <w:rsid w:val="00E84927"/>
    <w:rsid w:val="00E849F7"/>
    <w:rsid w:val="00E85D50"/>
    <w:rsid w:val="00E87231"/>
    <w:rsid w:val="00E87A24"/>
    <w:rsid w:val="00E9018D"/>
    <w:rsid w:val="00E919B3"/>
    <w:rsid w:val="00E91B27"/>
    <w:rsid w:val="00E91C6D"/>
    <w:rsid w:val="00E92DC6"/>
    <w:rsid w:val="00E9376C"/>
    <w:rsid w:val="00E94F83"/>
    <w:rsid w:val="00E9542E"/>
    <w:rsid w:val="00E95CA2"/>
    <w:rsid w:val="00E97F7E"/>
    <w:rsid w:val="00EA0F47"/>
    <w:rsid w:val="00EA2119"/>
    <w:rsid w:val="00EA2BBF"/>
    <w:rsid w:val="00EA2EEF"/>
    <w:rsid w:val="00EA2FAB"/>
    <w:rsid w:val="00EA3659"/>
    <w:rsid w:val="00EA42D5"/>
    <w:rsid w:val="00EA6AF9"/>
    <w:rsid w:val="00EB0154"/>
    <w:rsid w:val="00EB02A6"/>
    <w:rsid w:val="00EB0F54"/>
    <w:rsid w:val="00EB1EEC"/>
    <w:rsid w:val="00EB2593"/>
    <w:rsid w:val="00EB332B"/>
    <w:rsid w:val="00EB3761"/>
    <w:rsid w:val="00EB391A"/>
    <w:rsid w:val="00EB3B03"/>
    <w:rsid w:val="00EB42C8"/>
    <w:rsid w:val="00EB48B6"/>
    <w:rsid w:val="00EB572A"/>
    <w:rsid w:val="00EB5C2D"/>
    <w:rsid w:val="00EB5D29"/>
    <w:rsid w:val="00EC0628"/>
    <w:rsid w:val="00EC0B41"/>
    <w:rsid w:val="00EC0F9E"/>
    <w:rsid w:val="00EC18D0"/>
    <w:rsid w:val="00EC305C"/>
    <w:rsid w:val="00EC3D0E"/>
    <w:rsid w:val="00EC477F"/>
    <w:rsid w:val="00EC4EA7"/>
    <w:rsid w:val="00EC5E8E"/>
    <w:rsid w:val="00EC6E1B"/>
    <w:rsid w:val="00ED0005"/>
    <w:rsid w:val="00ED064C"/>
    <w:rsid w:val="00ED2556"/>
    <w:rsid w:val="00ED41BC"/>
    <w:rsid w:val="00ED536B"/>
    <w:rsid w:val="00ED6EB3"/>
    <w:rsid w:val="00EE0059"/>
    <w:rsid w:val="00EE0846"/>
    <w:rsid w:val="00EE0E9E"/>
    <w:rsid w:val="00EE2577"/>
    <w:rsid w:val="00EE291C"/>
    <w:rsid w:val="00EE35E7"/>
    <w:rsid w:val="00EE390F"/>
    <w:rsid w:val="00EE399D"/>
    <w:rsid w:val="00EE6164"/>
    <w:rsid w:val="00EF0642"/>
    <w:rsid w:val="00EF0EF2"/>
    <w:rsid w:val="00EF1543"/>
    <w:rsid w:val="00EF1757"/>
    <w:rsid w:val="00EF177F"/>
    <w:rsid w:val="00EF2F70"/>
    <w:rsid w:val="00EF35BA"/>
    <w:rsid w:val="00EF446C"/>
    <w:rsid w:val="00EF4852"/>
    <w:rsid w:val="00EF5A40"/>
    <w:rsid w:val="00EF5FA1"/>
    <w:rsid w:val="00F013FD"/>
    <w:rsid w:val="00F02DD7"/>
    <w:rsid w:val="00F02FFD"/>
    <w:rsid w:val="00F043B8"/>
    <w:rsid w:val="00F0555E"/>
    <w:rsid w:val="00F06973"/>
    <w:rsid w:val="00F06FEA"/>
    <w:rsid w:val="00F1289F"/>
    <w:rsid w:val="00F12A41"/>
    <w:rsid w:val="00F13CCB"/>
    <w:rsid w:val="00F144A2"/>
    <w:rsid w:val="00F14AFD"/>
    <w:rsid w:val="00F1520A"/>
    <w:rsid w:val="00F1575E"/>
    <w:rsid w:val="00F17B7E"/>
    <w:rsid w:val="00F20EE9"/>
    <w:rsid w:val="00F2362D"/>
    <w:rsid w:val="00F2398A"/>
    <w:rsid w:val="00F24332"/>
    <w:rsid w:val="00F25EE6"/>
    <w:rsid w:val="00F2762C"/>
    <w:rsid w:val="00F3069C"/>
    <w:rsid w:val="00F31184"/>
    <w:rsid w:val="00F32F68"/>
    <w:rsid w:val="00F33C53"/>
    <w:rsid w:val="00F35FF4"/>
    <w:rsid w:val="00F377C6"/>
    <w:rsid w:val="00F40135"/>
    <w:rsid w:val="00F40575"/>
    <w:rsid w:val="00F40C66"/>
    <w:rsid w:val="00F40E46"/>
    <w:rsid w:val="00F41A0F"/>
    <w:rsid w:val="00F4372F"/>
    <w:rsid w:val="00F45D73"/>
    <w:rsid w:val="00F46130"/>
    <w:rsid w:val="00F46635"/>
    <w:rsid w:val="00F468EB"/>
    <w:rsid w:val="00F47251"/>
    <w:rsid w:val="00F50713"/>
    <w:rsid w:val="00F50963"/>
    <w:rsid w:val="00F50AC9"/>
    <w:rsid w:val="00F52DD2"/>
    <w:rsid w:val="00F53152"/>
    <w:rsid w:val="00F60397"/>
    <w:rsid w:val="00F62647"/>
    <w:rsid w:val="00F63553"/>
    <w:rsid w:val="00F64B4A"/>
    <w:rsid w:val="00F65609"/>
    <w:rsid w:val="00F65A9F"/>
    <w:rsid w:val="00F66644"/>
    <w:rsid w:val="00F6681B"/>
    <w:rsid w:val="00F67F68"/>
    <w:rsid w:val="00F70C81"/>
    <w:rsid w:val="00F7194A"/>
    <w:rsid w:val="00F719B8"/>
    <w:rsid w:val="00F71F3A"/>
    <w:rsid w:val="00F72BF0"/>
    <w:rsid w:val="00F72C93"/>
    <w:rsid w:val="00F769AB"/>
    <w:rsid w:val="00F7799C"/>
    <w:rsid w:val="00F8082E"/>
    <w:rsid w:val="00F813C6"/>
    <w:rsid w:val="00F83505"/>
    <w:rsid w:val="00F84EAF"/>
    <w:rsid w:val="00F8669F"/>
    <w:rsid w:val="00F8691A"/>
    <w:rsid w:val="00F876A5"/>
    <w:rsid w:val="00F90659"/>
    <w:rsid w:val="00F90BE5"/>
    <w:rsid w:val="00F9662B"/>
    <w:rsid w:val="00F9689C"/>
    <w:rsid w:val="00F9764A"/>
    <w:rsid w:val="00FA1146"/>
    <w:rsid w:val="00FA158F"/>
    <w:rsid w:val="00FA1E04"/>
    <w:rsid w:val="00FA2493"/>
    <w:rsid w:val="00FA3A3C"/>
    <w:rsid w:val="00FA3A82"/>
    <w:rsid w:val="00FA54B5"/>
    <w:rsid w:val="00FA59EA"/>
    <w:rsid w:val="00FB0616"/>
    <w:rsid w:val="00FB34BB"/>
    <w:rsid w:val="00FB3CE6"/>
    <w:rsid w:val="00FB4923"/>
    <w:rsid w:val="00FB70C0"/>
    <w:rsid w:val="00FB7DB0"/>
    <w:rsid w:val="00FC3B86"/>
    <w:rsid w:val="00FC5E70"/>
    <w:rsid w:val="00FC6A1E"/>
    <w:rsid w:val="00FC744E"/>
    <w:rsid w:val="00FC7ABA"/>
    <w:rsid w:val="00FC7C47"/>
    <w:rsid w:val="00FD0D1C"/>
    <w:rsid w:val="00FD2990"/>
    <w:rsid w:val="00FD3135"/>
    <w:rsid w:val="00FD45C0"/>
    <w:rsid w:val="00FD4B8F"/>
    <w:rsid w:val="00FD5D92"/>
    <w:rsid w:val="00FD6A78"/>
    <w:rsid w:val="00FD71A6"/>
    <w:rsid w:val="00FD72A7"/>
    <w:rsid w:val="00FE21D3"/>
    <w:rsid w:val="00FE26DF"/>
    <w:rsid w:val="00FE2C5A"/>
    <w:rsid w:val="00FE31E3"/>
    <w:rsid w:val="00FE3ABA"/>
    <w:rsid w:val="00FE3B90"/>
    <w:rsid w:val="00FE4041"/>
    <w:rsid w:val="00FE4649"/>
    <w:rsid w:val="00FE6BE5"/>
    <w:rsid w:val="00FE78EE"/>
    <w:rsid w:val="00FF1806"/>
    <w:rsid w:val="00FF1A43"/>
    <w:rsid w:val="00FF26F5"/>
    <w:rsid w:val="00FF28C9"/>
    <w:rsid w:val="00FF338D"/>
    <w:rsid w:val="00FF3E70"/>
    <w:rsid w:val="00FF422D"/>
    <w:rsid w:val="00FF4F69"/>
    <w:rsid w:val="00FF4F8F"/>
    <w:rsid w:val="00FF506E"/>
    <w:rsid w:val="00FF6BF4"/>
    <w:rsid w:val="00FF7D3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 w:unhideWhenUsed="0" w:qFormat="1"/>
    <w:lsdException w:name="Default Paragraph Font" w:uiPriority="0"/>
    <w:lsdException w:name="Body Text" w:qFormat="1"/>
    <w:lsdException w:name="Subtitle" w:semiHidden="0" w:uiPriority="2" w:unhideWhenUsed="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6"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0CF1"/>
    <w:pPr>
      <w:widowControl w:val="0"/>
      <w:jc w:val="both"/>
    </w:pPr>
    <w:rPr>
      <w:snapToGrid w:val="0"/>
      <w:kern w:val="28"/>
      <w:sz w:val="22"/>
    </w:rPr>
  </w:style>
  <w:style w:type="paragraph" w:styleId="Heading1">
    <w:name w:val="heading 1"/>
    <w:basedOn w:val="Normal"/>
    <w:next w:val="ParaNum"/>
    <w:link w:val="Heading1Char"/>
    <w:qFormat/>
    <w:rsid w:val="00AD0CF1"/>
    <w:pPr>
      <w:keepNext/>
      <w:numPr>
        <w:numId w:val="5"/>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rsid w:val="00AD0CF1"/>
    <w:pPr>
      <w:keepNext/>
      <w:numPr>
        <w:ilvl w:val="1"/>
        <w:numId w:val="5"/>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rsid w:val="00AD0CF1"/>
    <w:pPr>
      <w:keepNext/>
      <w:numPr>
        <w:ilvl w:val="2"/>
        <w:numId w:val="5"/>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rsid w:val="00AD0CF1"/>
    <w:pPr>
      <w:keepNext/>
      <w:numPr>
        <w:ilvl w:val="3"/>
        <w:numId w:val="5"/>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rsid w:val="00AD0CF1"/>
    <w:pPr>
      <w:keepNext/>
      <w:numPr>
        <w:ilvl w:val="4"/>
        <w:numId w:val="5"/>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rsid w:val="00AD0CF1"/>
    <w:pPr>
      <w:numPr>
        <w:ilvl w:val="5"/>
        <w:numId w:val="5"/>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rsid w:val="00AD0CF1"/>
    <w:pPr>
      <w:numPr>
        <w:ilvl w:val="6"/>
        <w:numId w:val="5"/>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rsid w:val="00AD0CF1"/>
    <w:pPr>
      <w:numPr>
        <w:ilvl w:val="7"/>
        <w:numId w:val="5"/>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rsid w:val="00AD0CF1"/>
    <w:pPr>
      <w:numPr>
        <w:ilvl w:val="8"/>
        <w:numId w:val="5"/>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7231"/>
    <w:rPr>
      <w:rFonts w:ascii="Times New Roman Bold" w:hAnsi="Times New Roman Bold"/>
      <w:b/>
      <w:caps/>
      <w:snapToGrid w:val="0"/>
      <w:kern w:val="28"/>
      <w:sz w:val="22"/>
    </w:rPr>
  </w:style>
  <w:style w:type="character" w:customStyle="1" w:styleId="Heading2Char">
    <w:name w:val="Heading 2 Char"/>
    <w:link w:val="Heading2"/>
    <w:locked/>
    <w:rsid w:val="00E87231"/>
    <w:rPr>
      <w:b/>
      <w:snapToGrid w:val="0"/>
      <w:kern w:val="28"/>
      <w:sz w:val="22"/>
    </w:rPr>
  </w:style>
  <w:style w:type="character" w:customStyle="1" w:styleId="Heading3Char">
    <w:name w:val="Heading 3 Char"/>
    <w:link w:val="Heading3"/>
    <w:locked/>
    <w:rsid w:val="00E87231"/>
    <w:rPr>
      <w:b/>
      <w:snapToGrid w:val="0"/>
      <w:kern w:val="28"/>
      <w:sz w:val="22"/>
    </w:rPr>
  </w:style>
  <w:style w:type="character" w:customStyle="1" w:styleId="Heading4Char">
    <w:name w:val="Heading 4 Char"/>
    <w:link w:val="Heading4"/>
    <w:locked/>
    <w:rsid w:val="00E87231"/>
    <w:rPr>
      <w:b/>
      <w:snapToGrid w:val="0"/>
      <w:kern w:val="28"/>
      <w:sz w:val="22"/>
    </w:rPr>
  </w:style>
  <w:style w:type="character" w:customStyle="1" w:styleId="Heading5Char">
    <w:name w:val="Heading 5 Char"/>
    <w:link w:val="Heading5"/>
    <w:locked/>
    <w:rsid w:val="00E87231"/>
    <w:rPr>
      <w:b/>
      <w:snapToGrid w:val="0"/>
      <w:kern w:val="28"/>
      <w:sz w:val="22"/>
    </w:rPr>
  </w:style>
  <w:style w:type="character" w:customStyle="1" w:styleId="Heading6Char">
    <w:name w:val="Heading 6 Char"/>
    <w:link w:val="Heading6"/>
    <w:locked/>
    <w:rsid w:val="00E87231"/>
    <w:rPr>
      <w:b/>
      <w:snapToGrid w:val="0"/>
      <w:kern w:val="28"/>
      <w:sz w:val="22"/>
    </w:rPr>
  </w:style>
  <w:style w:type="character" w:customStyle="1" w:styleId="Heading7Char">
    <w:name w:val="Heading 7 Char"/>
    <w:link w:val="Heading7"/>
    <w:locked/>
    <w:rsid w:val="00E87231"/>
    <w:rPr>
      <w:b/>
      <w:snapToGrid w:val="0"/>
      <w:kern w:val="28"/>
      <w:sz w:val="22"/>
    </w:rPr>
  </w:style>
  <w:style w:type="character" w:customStyle="1" w:styleId="Heading8Char">
    <w:name w:val="Heading 8 Char"/>
    <w:link w:val="Heading8"/>
    <w:locked/>
    <w:rsid w:val="00E87231"/>
    <w:rPr>
      <w:b/>
      <w:snapToGrid w:val="0"/>
      <w:kern w:val="28"/>
      <w:sz w:val="22"/>
    </w:rPr>
  </w:style>
  <w:style w:type="character" w:customStyle="1" w:styleId="Heading9Char">
    <w:name w:val="Heading 9 Char"/>
    <w:link w:val="Heading9"/>
    <w:locked/>
    <w:rsid w:val="00E87231"/>
    <w:rPr>
      <w:b/>
      <w:snapToGrid w:val="0"/>
      <w:kern w:val="28"/>
      <w:sz w:val="22"/>
    </w:rPr>
  </w:style>
  <w:style w:type="paragraph" w:styleId="BalloonText">
    <w:name w:val="Balloon Text"/>
    <w:basedOn w:val="Normal"/>
    <w:link w:val="BalloonTextChar"/>
    <w:uiPriority w:val="99"/>
    <w:semiHidden/>
    <w:unhideWhenUsed/>
    <w:rsid w:val="00E87231"/>
    <w:rPr>
      <w:rFonts w:ascii="Tahoma" w:hAnsi="Tahoma" w:cs="Tahoma"/>
      <w:sz w:val="16"/>
      <w:szCs w:val="16"/>
    </w:rPr>
  </w:style>
  <w:style w:type="character" w:customStyle="1" w:styleId="BalloonTextChar">
    <w:name w:val="Balloon Text Char"/>
    <w:link w:val="BalloonText"/>
    <w:uiPriority w:val="99"/>
    <w:semiHidden/>
    <w:locked/>
    <w:rsid w:val="00E87231"/>
    <w:rPr>
      <w:rFonts w:ascii="Tahoma" w:eastAsia="Calibri" w:hAnsi="Tahoma" w:cs="Tahoma"/>
      <w:sz w:val="16"/>
      <w:szCs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AD0CF1"/>
    <w:pPr>
      <w:tabs>
        <w:tab w:val="left" w:pos="720"/>
        <w:tab w:val="left" w:pos="1440"/>
      </w:tabs>
      <w:spacing w:after="200"/>
      <w:ind w:right="144" w:firstLine="7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R,Style 17,Footnote Reference/,Style 6"/>
    <w:basedOn w:val="DefaultParagraphFont"/>
    <w:rsid w:val="00AD0CF1"/>
    <w:rPr>
      <w:rFonts w:ascii="Times New Roman" w:hAnsi="Times New Roman"/>
      <w:dstrike w:val="0"/>
      <w:color w:val="auto"/>
      <w:sz w:val="22"/>
      <w:vertAlign w:val="superscript"/>
    </w:rPr>
  </w:style>
  <w:style w:type="paragraph" w:styleId="Header">
    <w:name w:val="header"/>
    <w:basedOn w:val="Normal"/>
    <w:link w:val="HeaderChar"/>
    <w:autoRedefine/>
    <w:rsid w:val="00AD0CF1"/>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AD0CF1"/>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AD0CF1"/>
  </w:style>
  <w:style w:type="paragraph" w:customStyle="1" w:styleId="Paranum0">
    <w:name w:val="Paranum"/>
    <w:rsid w:val="00BC32AF"/>
    <w:pPr>
      <w:numPr>
        <w:numId w:val="1"/>
      </w:numPr>
      <w:tabs>
        <w:tab w:val="left" w:pos="1440"/>
      </w:tabs>
      <w:spacing w:after="240"/>
      <w:jc w:val="both"/>
    </w:pPr>
    <w:rPr>
      <w:sz w:val="22"/>
    </w:rPr>
  </w:style>
  <w:style w:type="paragraph" w:customStyle="1" w:styleId="par1">
    <w:name w:val="par1"/>
    <w:basedOn w:val="Normal"/>
    <w:link w:val="par1Char"/>
    <w:rsid w:val="00BC32AF"/>
    <w:pPr>
      <w:numPr>
        <w:numId w:val="2"/>
      </w:numPr>
    </w:pPr>
    <w:rPr>
      <w:sz w:val="20"/>
    </w:rPr>
  </w:style>
  <w:style w:type="paragraph" w:customStyle="1" w:styleId="ParaNum">
    <w:name w:val="ParaNum"/>
    <w:basedOn w:val="Normal"/>
    <w:link w:val="ParaNumChar"/>
    <w:rsid w:val="00AD0CF1"/>
    <w:pPr>
      <w:numPr>
        <w:numId w:val="3"/>
      </w:numPr>
      <w:spacing w:after="220"/>
    </w:pPr>
  </w:style>
  <w:style w:type="paragraph" w:styleId="BodyText">
    <w:name w:val="Body Text"/>
    <w:aliases w:val="b"/>
    <w:basedOn w:val="Normal"/>
    <w:link w:val="BodyTextChar"/>
    <w:uiPriority w:val="99"/>
    <w:qFormat/>
    <w:rsid w:val="00E87231"/>
    <w:pPr>
      <w:spacing w:after="240"/>
      <w:ind w:firstLine="720"/>
    </w:pPr>
  </w:style>
  <w:style w:type="character" w:customStyle="1" w:styleId="BodyTextChar">
    <w:name w:val="Body Text Char"/>
    <w:aliases w:val="b Char"/>
    <w:link w:val="BodyText"/>
    <w:uiPriority w:val="99"/>
    <w:locked/>
    <w:rsid w:val="00E87231"/>
    <w:rPr>
      <w:rFonts w:eastAsia="Calibri"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6270A4"/>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22"/>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6270A4"/>
    <w:pPr>
      <w:jc w:val="center"/>
    </w:pPr>
    <w:rPr>
      <w:rFonts w:ascii="Times New Roman Bold" w:hAnsi="Times New Roman Bold"/>
      <w:b/>
      <w:bCs/>
      <w:caps/>
      <w:szCs w:val="22"/>
    </w:rPr>
  </w:style>
  <w:style w:type="paragraph" w:styleId="TOAHeading">
    <w:name w:val="toa heading"/>
    <w:basedOn w:val="Normal"/>
    <w:next w:val="Normal"/>
    <w:semiHidden/>
    <w:rsid w:val="00AD0CF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34"/>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locked/>
    <w:rsid w:val="00D5405B"/>
    <w:rPr>
      <w:snapToGrid w:val="0"/>
      <w:kern w:val="28"/>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AD0CF1"/>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basedOn w:val="DefaultParagraphFont"/>
    <w:semiHidden/>
    <w:locked/>
    <w:rsid w:val="00AD0CF1"/>
    <w:rPr>
      <w:vertAlign w:val="superscript"/>
    </w:rPr>
  </w:style>
  <w:style w:type="paragraph" w:styleId="TOC1">
    <w:name w:val="toc 1"/>
    <w:basedOn w:val="Normal"/>
    <w:next w:val="Normal"/>
    <w:semiHidden/>
    <w:locked/>
    <w:rsid w:val="00AD0CF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AD0CF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AD0CF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AD0CF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AD0C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AD0CF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AD0CF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AD0CF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AD0CF1"/>
    <w:pPr>
      <w:tabs>
        <w:tab w:val="left" w:pos="3240"/>
        <w:tab w:val="right" w:leader="dot" w:pos="9360"/>
      </w:tabs>
      <w:suppressAutoHyphens/>
      <w:ind w:left="3240" w:hanging="360"/>
    </w:pPr>
    <w:rPr>
      <w:noProof/>
    </w:rPr>
  </w:style>
  <w:style w:type="character" w:customStyle="1" w:styleId="EquationCaption">
    <w:name w:val="_Equation Caption"/>
    <w:rsid w:val="00AD0CF1"/>
  </w:style>
  <w:style w:type="paragraph" w:styleId="BlockText">
    <w:name w:val="Block Text"/>
    <w:basedOn w:val="Normal"/>
    <w:locked/>
    <w:rsid w:val="00AD0CF1"/>
    <w:pPr>
      <w:spacing w:after="240"/>
      <w:ind w:left="1440" w:right="1440"/>
    </w:pPr>
  </w:style>
  <w:style w:type="paragraph" w:customStyle="1" w:styleId="Paratitle">
    <w:name w:val="Para title"/>
    <w:basedOn w:val="Normal"/>
    <w:rsid w:val="00AD0CF1"/>
    <w:pPr>
      <w:tabs>
        <w:tab w:val="center" w:pos="9270"/>
      </w:tabs>
      <w:spacing w:after="240"/>
      <w:jc w:val="left"/>
    </w:pPr>
    <w:rPr>
      <w:spacing w:val="-2"/>
    </w:rPr>
  </w:style>
  <w:style w:type="paragraph" w:customStyle="1" w:styleId="Bullet">
    <w:name w:val="Bullet"/>
    <w:basedOn w:val="Normal"/>
    <w:rsid w:val="00AD0CF1"/>
    <w:pPr>
      <w:tabs>
        <w:tab w:val="left" w:pos="2160"/>
      </w:tabs>
      <w:spacing w:after="220"/>
      <w:ind w:left="2160" w:hanging="720"/>
    </w:pPr>
  </w:style>
  <w:style w:type="paragraph" w:customStyle="1" w:styleId="TableFormat">
    <w:name w:val="TableFormat"/>
    <w:basedOn w:val="Bullet"/>
    <w:rsid w:val="00AD0CF1"/>
    <w:pPr>
      <w:tabs>
        <w:tab w:val="clear" w:pos="2160"/>
        <w:tab w:val="left" w:pos="5040"/>
      </w:tabs>
      <w:ind w:left="5040" w:hanging="3600"/>
    </w:pPr>
  </w:style>
  <w:style w:type="paragraph" w:customStyle="1" w:styleId="TOCTitle">
    <w:name w:val="TOC Title"/>
    <w:basedOn w:val="Normal"/>
    <w:rsid w:val="00AD0CF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styleId="FollowedHyperlink">
    <w:name w:val="FollowedHyperlink"/>
    <w:uiPriority w:val="99"/>
    <w:semiHidden/>
    <w:unhideWhenUsed/>
    <w:locked/>
    <w:rsid w:val="00610A4E"/>
    <w:rPr>
      <w:color w:val="800080"/>
      <w:u w:val="single"/>
    </w:rPr>
  </w:style>
  <w:style w:type="paragraph" w:customStyle="1" w:styleId="Default">
    <w:name w:val="Default"/>
    <w:rsid w:val="009233F0"/>
    <w:pPr>
      <w:autoSpaceDE w:val="0"/>
      <w:autoSpaceDN w:val="0"/>
      <w:adjustRightInd w:val="0"/>
    </w:pPr>
    <w:rPr>
      <w:rFonts w:ascii="Gill Sans MT" w:hAnsi="Gill Sans MT" w:cs="Gill Sans MT"/>
      <w:color w:val="000000"/>
      <w:sz w:val="24"/>
      <w:szCs w:val="24"/>
    </w:rPr>
  </w:style>
  <w:style w:type="paragraph" w:styleId="NoSpacing">
    <w:name w:val="No Spacing"/>
    <w:uiPriority w:val="11"/>
    <w:qFormat/>
    <w:rsid w:val="00E87231"/>
    <w:rPr>
      <w:rFonts w:eastAsia="Calibri"/>
      <w:sz w:val="24"/>
      <w:szCs w:val="24"/>
    </w:rPr>
  </w:style>
  <w:style w:type="character" w:customStyle="1" w:styleId="ptext-1">
    <w:name w:val="ptext-1"/>
    <w:basedOn w:val="DefaultParagraphFont"/>
    <w:rsid w:val="00043ACC"/>
  </w:style>
  <w:style w:type="character" w:customStyle="1" w:styleId="ParaNumChar">
    <w:name w:val="ParaNum Char"/>
    <w:link w:val="ParaNum"/>
    <w:rsid w:val="008F2B25"/>
    <w:rPr>
      <w:snapToGrid w:val="0"/>
      <w:kern w:val="28"/>
      <w:sz w:val="22"/>
    </w:rPr>
  </w:style>
  <w:style w:type="paragraph" w:customStyle="1" w:styleId="BodyText1">
    <w:name w:val="Body Text1"/>
    <w:rsid w:val="00604397"/>
    <w:rPr>
      <w:rFonts w:ascii="Times New Roman Bold" w:eastAsia="ヒラギノ角ゴ Pro W3" w:hAnsi="Times New Roman Bold"/>
      <w:color w:val="000000"/>
      <w:sz w:val="24"/>
      <w:u w:val="single"/>
    </w:rPr>
  </w:style>
  <w:style w:type="character" w:customStyle="1" w:styleId="bestsection">
    <w:name w:val="bestsection"/>
    <w:basedOn w:val="DefaultParagraphFont"/>
    <w:rsid w:val="003E2BFB"/>
  </w:style>
  <w:style w:type="paragraph" w:styleId="BodyText2">
    <w:name w:val="Body Text 2"/>
    <w:basedOn w:val="Normal"/>
    <w:link w:val="BodyText2Char"/>
    <w:qFormat/>
    <w:locked/>
    <w:rsid w:val="00E87231"/>
    <w:pPr>
      <w:spacing w:after="240"/>
    </w:pPr>
  </w:style>
  <w:style w:type="character" w:customStyle="1" w:styleId="BodyText2Char">
    <w:name w:val="Body Text 2 Char"/>
    <w:link w:val="BodyText2"/>
    <w:rsid w:val="00E87231"/>
    <w:rPr>
      <w:rFonts w:eastAsia="Calibri" w:cs="Times New Roman"/>
      <w:sz w:val="24"/>
      <w:szCs w:val="24"/>
    </w:rPr>
  </w:style>
  <w:style w:type="paragraph" w:styleId="BodyText3">
    <w:name w:val="Body Text 3"/>
    <w:basedOn w:val="Normal"/>
    <w:link w:val="BodyText3Char"/>
    <w:qFormat/>
    <w:locked/>
    <w:rsid w:val="00E87231"/>
    <w:pPr>
      <w:spacing w:after="240"/>
      <w:ind w:firstLine="1440"/>
    </w:pPr>
    <w:rPr>
      <w:szCs w:val="16"/>
    </w:rPr>
  </w:style>
  <w:style w:type="character" w:customStyle="1" w:styleId="BodyText3Char">
    <w:name w:val="Body Text 3 Char"/>
    <w:link w:val="BodyText3"/>
    <w:rsid w:val="00E87231"/>
    <w:rPr>
      <w:rFonts w:eastAsia="Calibri" w:cs="Times New Roman"/>
      <w:sz w:val="24"/>
      <w:szCs w:val="16"/>
    </w:rPr>
  </w:style>
  <w:style w:type="paragraph" w:styleId="Title">
    <w:name w:val="Title"/>
    <w:basedOn w:val="Normal"/>
    <w:next w:val="Normal"/>
    <w:link w:val="TitleChar"/>
    <w:uiPriority w:val="1"/>
    <w:qFormat/>
    <w:locked/>
    <w:rsid w:val="00E87231"/>
    <w:pPr>
      <w:spacing w:after="240"/>
      <w:contextualSpacing/>
      <w:jc w:val="center"/>
    </w:pPr>
    <w:rPr>
      <w:rFonts w:eastAsia="MS Gothic"/>
      <w:b/>
      <w:szCs w:val="52"/>
    </w:rPr>
  </w:style>
  <w:style w:type="character" w:customStyle="1" w:styleId="TitleChar">
    <w:name w:val="Title Char"/>
    <w:link w:val="Title"/>
    <w:uiPriority w:val="1"/>
    <w:rsid w:val="00E87231"/>
    <w:rPr>
      <w:rFonts w:eastAsia="MS Gothic" w:cs="Times New Roman"/>
      <w:b/>
      <w:kern w:val="28"/>
      <w:sz w:val="24"/>
      <w:szCs w:val="52"/>
    </w:rPr>
  </w:style>
  <w:style w:type="paragraph" w:styleId="Subtitle">
    <w:name w:val="Subtitle"/>
    <w:basedOn w:val="Normal"/>
    <w:next w:val="Normal"/>
    <w:link w:val="SubtitleChar"/>
    <w:uiPriority w:val="2"/>
    <w:qFormat/>
    <w:locked/>
    <w:rsid w:val="00E87231"/>
    <w:pPr>
      <w:numPr>
        <w:ilvl w:val="1"/>
      </w:numPr>
      <w:spacing w:after="240"/>
    </w:pPr>
    <w:rPr>
      <w:rFonts w:eastAsia="MS Gothic"/>
      <w:b/>
      <w:iCs/>
    </w:rPr>
  </w:style>
  <w:style w:type="character" w:customStyle="1" w:styleId="SubtitleChar">
    <w:name w:val="Subtitle Char"/>
    <w:link w:val="Subtitle"/>
    <w:uiPriority w:val="2"/>
    <w:rsid w:val="00E87231"/>
    <w:rPr>
      <w:rFonts w:eastAsia="MS Gothic" w:cs="Times New Roman"/>
      <w:b/>
      <w:iCs/>
      <w:sz w:val="24"/>
      <w:szCs w:val="24"/>
    </w:rPr>
  </w:style>
  <w:style w:type="table" w:styleId="TableGrid">
    <w:name w:val="Table Grid"/>
    <w:basedOn w:val="TableNormal"/>
    <w:uiPriority w:val="59"/>
    <w:locked/>
    <w:rsid w:val="00E8723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E87231"/>
    <w:pPr>
      <w:spacing w:after="240"/>
    </w:pPr>
    <w:rPr>
      <w:i/>
      <w:iCs/>
      <w:color w:val="000000"/>
    </w:rPr>
  </w:style>
  <w:style w:type="character" w:customStyle="1" w:styleId="QuoteChar">
    <w:name w:val="Quote Char"/>
    <w:link w:val="Quote"/>
    <w:uiPriority w:val="6"/>
    <w:rsid w:val="00E87231"/>
    <w:rPr>
      <w:rFonts w:eastAsia="Calibri" w:cs="Times New Roman"/>
      <w:i/>
      <w:iCs/>
      <w:color w:val="000000"/>
      <w:sz w:val="24"/>
      <w:szCs w:val="24"/>
    </w:rPr>
  </w:style>
  <w:style w:type="paragraph" w:customStyle="1" w:styleId="SignatureBy">
    <w:name w:val="Signature By:"/>
    <w:basedOn w:val="Normal"/>
    <w:uiPriority w:val="3"/>
    <w:qFormat/>
    <w:rsid w:val="00E87231"/>
    <w:pPr>
      <w:tabs>
        <w:tab w:val="left" w:pos="5580"/>
        <w:tab w:val="right" w:leader="underscore" w:pos="9360"/>
      </w:tabs>
      <w:spacing w:after="240"/>
      <w:ind w:left="5587" w:hanging="547"/>
    </w:pPr>
  </w:style>
  <w:style w:type="paragraph" w:customStyle="1" w:styleId="Title2">
    <w:name w:val="Title 2"/>
    <w:basedOn w:val="Normal"/>
    <w:rsid w:val="00E87231"/>
    <w:pPr>
      <w:spacing w:after="240"/>
      <w:jc w:val="center"/>
    </w:pPr>
    <w:rPr>
      <w:b/>
      <w:u w:val="single"/>
    </w:rPr>
  </w:style>
  <w:style w:type="paragraph" w:customStyle="1" w:styleId="Title3">
    <w:name w:val="Title 3"/>
    <w:basedOn w:val="Normal"/>
    <w:rsid w:val="00E87231"/>
    <w:pPr>
      <w:spacing w:after="240"/>
      <w:jc w:val="center"/>
    </w:pPr>
    <w:rPr>
      <w:b/>
      <w:i/>
    </w:rPr>
  </w:style>
  <w:style w:type="paragraph" w:customStyle="1" w:styleId="Subtitle2">
    <w:name w:val="Subtitle 2"/>
    <w:basedOn w:val="Normal"/>
    <w:rsid w:val="00E87231"/>
    <w:pPr>
      <w:spacing w:after="240"/>
    </w:pPr>
    <w:rPr>
      <w:b/>
      <w:u w:val="single"/>
    </w:rPr>
  </w:style>
  <w:style w:type="paragraph" w:customStyle="1" w:styleId="Subtitle3">
    <w:name w:val="Subtitle 3"/>
    <w:basedOn w:val="Normal"/>
    <w:rsid w:val="00E87231"/>
    <w:pPr>
      <w:spacing w:after="240"/>
    </w:pPr>
    <w:rPr>
      <w:b/>
      <w:i/>
    </w:rPr>
  </w:style>
  <w:style w:type="paragraph" w:customStyle="1" w:styleId="OutlineL1">
    <w:name w:val="Outline_L1"/>
    <w:basedOn w:val="Normal"/>
    <w:next w:val="BodyText"/>
    <w:rsid w:val="00AD39E5"/>
    <w:pPr>
      <w:widowControl/>
      <w:numPr>
        <w:numId w:val="6"/>
      </w:numPr>
      <w:spacing w:after="240"/>
      <w:outlineLvl w:val="0"/>
    </w:pPr>
    <w:rPr>
      <w:snapToGrid/>
      <w:kern w:val="0"/>
      <w:sz w:val="24"/>
    </w:rPr>
  </w:style>
  <w:style w:type="paragraph" w:customStyle="1" w:styleId="OutlineL2">
    <w:name w:val="Outline_L2"/>
    <w:basedOn w:val="OutlineL1"/>
    <w:next w:val="BodyText"/>
    <w:rsid w:val="00AD39E5"/>
    <w:pPr>
      <w:numPr>
        <w:ilvl w:val="1"/>
      </w:numPr>
      <w:outlineLvl w:val="1"/>
    </w:pPr>
  </w:style>
  <w:style w:type="paragraph" w:customStyle="1" w:styleId="OutlineL3">
    <w:name w:val="Outline_L3"/>
    <w:basedOn w:val="OutlineL2"/>
    <w:next w:val="BodyText"/>
    <w:rsid w:val="00AD39E5"/>
    <w:pPr>
      <w:numPr>
        <w:ilvl w:val="2"/>
      </w:numPr>
      <w:outlineLvl w:val="2"/>
    </w:pPr>
  </w:style>
  <w:style w:type="paragraph" w:customStyle="1" w:styleId="OutlineL4">
    <w:name w:val="Outline_L4"/>
    <w:basedOn w:val="OutlineL3"/>
    <w:next w:val="BodyText"/>
    <w:rsid w:val="00AD39E5"/>
    <w:pPr>
      <w:numPr>
        <w:ilvl w:val="3"/>
      </w:numPr>
      <w:outlineLvl w:val="3"/>
    </w:pPr>
  </w:style>
  <w:style w:type="paragraph" w:customStyle="1" w:styleId="OutlineL5">
    <w:name w:val="Outline_L5"/>
    <w:basedOn w:val="OutlineL4"/>
    <w:next w:val="BodyText"/>
    <w:rsid w:val="00AD39E5"/>
    <w:pPr>
      <w:numPr>
        <w:ilvl w:val="4"/>
      </w:numPr>
      <w:outlineLvl w:val="4"/>
    </w:pPr>
  </w:style>
  <w:style w:type="paragraph" w:customStyle="1" w:styleId="OutlineL6">
    <w:name w:val="Outline_L6"/>
    <w:basedOn w:val="OutlineL5"/>
    <w:next w:val="BodyText"/>
    <w:rsid w:val="00AD39E5"/>
    <w:pPr>
      <w:numPr>
        <w:ilvl w:val="5"/>
      </w:numPr>
      <w:outlineLvl w:val="5"/>
    </w:pPr>
  </w:style>
  <w:style w:type="paragraph" w:customStyle="1" w:styleId="OutlineL7">
    <w:name w:val="Outline_L7"/>
    <w:basedOn w:val="OutlineL6"/>
    <w:next w:val="BodyText"/>
    <w:rsid w:val="00AD39E5"/>
    <w:pPr>
      <w:numPr>
        <w:ilvl w:val="6"/>
      </w:numPr>
      <w:outlineLvl w:val="6"/>
    </w:pPr>
  </w:style>
  <w:style w:type="paragraph" w:customStyle="1" w:styleId="OutlineL8">
    <w:name w:val="Outline_L8"/>
    <w:basedOn w:val="OutlineL7"/>
    <w:next w:val="BodyText"/>
    <w:rsid w:val="00AD39E5"/>
    <w:pPr>
      <w:numPr>
        <w:ilvl w:val="7"/>
      </w:numPr>
      <w:outlineLvl w:val="7"/>
    </w:pPr>
  </w:style>
  <w:style w:type="paragraph" w:customStyle="1" w:styleId="OutlineL9">
    <w:name w:val="Outline_L9"/>
    <w:basedOn w:val="OutlineL8"/>
    <w:next w:val="BodyText"/>
    <w:rsid w:val="00AD39E5"/>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 w:unhideWhenUsed="0" w:qFormat="1"/>
    <w:lsdException w:name="Default Paragraph Font" w:uiPriority="0"/>
    <w:lsdException w:name="Body Text" w:qFormat="1"/>
    <w:lsdException w:name="Subtitle" w:semiHidden="0" w:uiPriority="2" w:unhideWhenUsed="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6"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0CF1"/>
    <w:pPr>
      <w:widowControl w:val="0"/>
      <w:jc w:val="both"/>
    </w:pPr>
    <w:rPr>
      <w:snapToGrid w:val="0"/>
      <w:kern w:val="28"/>
      <w:sz w:val="22"/>
    </w:rPr>
  </w:style>
  <w:style w:type="paragraph" w:styleId="Heading1">
    <w:name w:val="heading 1"/>
    <w:basedOn w:val="Normal"/>
    <w:next w:val="ParaNum"/>
    <w:link w:val="Heading1Char"/>
    <w:qFormat/>
    <w:rsid w:val="00AD0CF1"/>
    <w:pPr>
      <w:keepNext/>
      <w:numPr>
        <w:numId w:val="5"/>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rsid w:val="00AD0CF1"/>
    <w:pPr>
      <w:keepNext/>
      <w:numPr>
        <w:ilvl w:val="1"/>
        <w:numId w:val="5"/>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rsid w:val="00AD0CF1"/>
    <w:pPr>
      <w:keepNext/>
      <w:numPr>
        <w:ilvl w:val="2"/>
        <w:numId w:val="5"/>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rsid w:val="00AD0CF1"/>
    <w:pPr>
      <w:keepNext/>
      <w:numPr>
        <w:ilvl w:val="3"/>
        <w:numId w:val="5"/>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rsid w:val="00AD0CF1"/>
    <w:pPr>
      <w:keepNext/>
      <w:numPr>
        <w:ilvl w:val="4"/>
        <w:numId w:val="5"/>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rsid w:val="00AD0CF1"/>
    <w:pPr>
      <w:numPr>
        <w:ilvl w:val="5"/>
        <w:numId w:val="5"/>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rsid w:val="00AD0CF1"/>
    <w:pPr>
      <w:numPr>
        <w:ilvl w:val="6"/>
        <w:numId w:val="5"/>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rsid w:val="00AD0CF1"/>
    <w:pPr>
      <w:numPr>
        <w:ilvl w:val="7"/>
        <w:numId w:val="5"/>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rsid w:val="00AD0CF1"/>
    <w:pPr>
      <w:numPr>
        <w:ilvl w:val="8"/>
        <w:numId w:val="5"/>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7231"/>
    <w:rPr>
      <w:rFonts w:ascii="Times New Roman Bold" w:hAnsi="Times New Roman Bold"/>
      <w:b/>
      <w:caps/>
      <w:snapToGrid w:val="0"/>
      <w:kern w:val="28"/>
      <w:sz w:val="22"/>
    </w:rPr>
  </w:style>
  <w:style w:type="character" w:customStyle="1" w:styleId="Heading2Char">
    <w:name w:val="Heading 2 Char"/>
    <w:link w:val="Heading2"/>
    <w:locked/>
    <w:rsid w:val="00E87231"/>
    <w:rPr>
      <w:b/>
      <w:snapToGrid w:val="0"/>
      <w:kern w:val="28"/>
      <w:sz w:val="22"/>
    </w:rPr>
  </w:style>
  <w:style w:type="character" w:customStyle="1" w:styleId="Heading3Char">
    <w:name w:val="Heading 3 Char"/>
    <w:link w:val="Heading3"/>
    <w:locked/>
    <w:rsid w:val="00E87231"/>
    <w:rPr>
      <w:b/>
      <w:snapToGrid w:val="0"/>
      <w:kern w:val="28"/>
      <w:sz w:val="22"/>
    </w:rPr>
  </w:style>
  <w:style w:type="character" w:customStyle="1" w:styleId="Heading4Char">
    <w:name w:val="Heading 4 Char"/>
    <w:link w:val="Heading4"/>
    <w:locked/>
    <w:rsid w:val="00E87231"/>
    <w:rPr>
      <w:b/>
      <w:snapToGrid w:val="0"/>
      <w:kern w:val="28"/>
      <w:sz w:val="22"/>
    </w:rPr>
  </w:style>
  <w:style w:type="character" w:customStyle="1" w:styleId="Heading5Char">
    <w:name w:val="Heading 5 Char"/>
    <w:link w:val="Heading5"/>
    <w:locked/>
    <w:rsid w:val="00E87231"/>
    <w:rPr>
      <w:b/>
      <w:snapToGrid w:val="0"/>
      <w:kern w:val="28"/>
      <w:sz w:val="22"/>
    </w:rPr>
  </w:style>
  <w:style w:type="character" w:customStyle="1" w:styleId="Heading6Char">
    <w:name w:val="Heading 6 Char"/>
    <w:link w:val="Heading6"/>
    <w:locked/>
    <w:rsid w:val="00E87231"/>
    <w:rPr>
      <w:b/>
      <w:snapToGrid w:val="0"/>
      <w:kern w:val="28"/>
      <w:sz w:val="22"/>
    </w:rPr>
  </w:style>
  <w:style w:type="character" w:customStyle="1" w:styleId="Heading7Char">
    <w:name w:val="Heading 7 Char"/>
    <w:link w:val="Heading7"/>
    <w:locked/>
    <w:rsid w:val="00E87231"/>
    <w:rPr>
      <w:b/>
      <w:snapToGrid w:val="0"/>
      <w:kern w:val="28"/>
      <w:sz w:val="22"/>
    </w:rPr>
  </w:style>
  <w:style w:type="character" w:customStyle="1" w:styleId="Heading8Char">
    <w:name w:val="Heading 8 Char"/>
    <w:link w:val="Heading8"/>
    <w:locked/>
    <w:rsid w:val="00E87231"/>
    <w:rPr>
      <w:b/>
      <w:snapToGrid w:val="0"/>
      <w:kern w:val="28"/>
      <w:sz w:val="22"/>
    </w:rPr>
  </w:style>
  <w:style w:type="character" w:customStyle="1" w:styleId="Heading9Char">
    <w:name w:val="Heading 9 Char"/>
    <w:link w:val="Heading9"/>
    <w:locked/>
    <w:rsid w:val="00E87231"/>
    <w:rPr>
      <w:b/>
      <w:snapToGrid w:val="0"/>
      <w:kern w:val="28"/>
      <w:sz w:val="22"/>
    </w:rPr>
  </w:style>
  <w:style w:type="paragraph" w:styleId="BalloonText">
    <w:name w:val="Balloon Text"/>
    <w:basedOn w:val="Normal"/>
    <w:link w:val="BalloonTextChar"/>
    <w:uiPriority w:val="99"/>
    <w:semiHidden/>
    <w:unhideWhenUsed/>
    <w:rsid w:val="00E87231"/>
    <w:rPr>
      <w:rFonts w:ascii="Tahoma" w:hAnsi="Tahoma" w:cs="Tahoma"/>
      <w:sz w:val="16"/>
      <w:szCs w:val="16"/>
    </w:rPr>
  </w:style>
  <w:style w:type="character" w:customStyle="1" w:styleId="BalloonTextChar">
    <w:name w:val="Balloon Text Char"/>
    <w:link w:val="BalloonText"/>
    <w:uiPriority w:val="99"/>
    <w:semiHidden/>
    <w:locked/>
    <w:rsid w:val="00E87231"/>
    <w:rPr>
      <w:rFonts w:ascii="Tahoma" w:eastAsia="Calibri" w:hAnsi="Tahoma" w:cs="Tahoma"/>
      <w:sz w:val="16"/>
      <w:szCs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AD0CF1"/>
    <w:pPr>
      <w:tabs>
        <w:tab w:val="left" w:pos="720"/>
        <w:tab w:val="left" w:pos="1440"/>
      </w:tabs>
      <w:spacing w:after="200"/>
      <w:ind w:right="144" w:firstLine="7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R,Style 17,Footnote Reference/,Style 6"/>
    <w:basedOn w:val="DefaultParagraphFont"/>
    <w:rsid w:val="00AD0CF1"/>
    <w:rPr>
      <w:rFonts w:ascii="Times New Roman" w:hAnsi="Times New Roman"/>
      <w:dstrike w:val="0"/>
      <w:color w:val="auto"/>
      <w:sz w:val="22"/>
      <w:vertAlign w:val="superscript"/>
    </w:rPr>
  </w:style>
  <w:style w:type="paragraph" w:styleId="Header">
    <w:name w:val="header"/>
    <w:basedOn w:val="Normal"/>
    <w:link w:val="HeaderChar"/>
    <w:autoRedefine/>
    <w:rsid w:val="00AD0CF1"/>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AD0CF1"/>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AD0CF1"/>
  </w:style>
  <w:style w:type="paragraph" w:customStyle="1" w:styleId="Paranum0">
    <w:name w:val="Paranum"/>
    <w:rsid w:val="00BC32AF"/>
    <w:pPr>
      <w:numPr>
        <w:numId w:val="1"/>
      </w:numPr>
      <w:tabs>
        <w:tab w:val="left" w:pos="1440"/>
      </w:tabs>
      <w:spacing w:after="240"/>
      <w:jc w:val="both"/>
    </w:pPr>
    <w:rPr>
      <w:sz w:val="22"/>
    </w:rPr>
  </w:style>
  <w:style w:type="paragraph" w:customStyle="1" w:styleId="par1">
    <w:name w:val="par1"/>
    <w:basedOn w:val="Normal"/>
    <w:link w:val="par1Char"/>
    <w:rsid w:val="00BC32AF"/>
    <w:pPr>
      <w:numPr>
        <w:numId w:val="2"/>
      </w:numPr>
    </w:pPr>
    <w:rPr>
      <w:sz w:val="20"/>
    </w:rPr>
  </w:style>
  <w:style w:type="paragraph" w:customStyle="1" w:styleId="ParaNum">
    <w:name w:val="ParaNum"/>
    <w:basedOn w:val="Normal"/>
    <w:link w:val="ParaNumChar"/>
    <w:rsid w:val="00AD0CF1"/>
    <w:pPr>
      <w:numPr>
        <w:numId w:val="3"/>
      </w:numPr>
      <w:spacing w:after="220"/>
    </w:pPr>
  </w:style>
  <w:style w:type="paragraph" w:styleId="BodyText">
    <w:name w:val="Body Text"/>
    <w:aliases w:val="b"/>
    <w:basedOn w:val="Normal"/>
    <w:link w:val="BodyTextChar"/>
    <w:uiPriority w:val="99"/>
    <w:qFormat/>
    <w:rsid w:val="00E87231"/>
    <w:pPr>
      <w:spacing w:after="240"/>
      <w:ind w:firstLine="720"/>
    </w:pPr>
  </w:style>
  <w:style w:type="character" w:customStyle="1" w:styleId="BodyTextChar">
    <w:name w:val="Body Text Char"/>
    <w:aliases w:val="b Char"/>
    <w:link w:val="BodyText"/>
    <w:uiPriority w:val="99"/>
    <w:locked/>
    <w:rsid w:val="00E87231"/>
    <w:rPr>
      <w:rFonts w:eastAsia="Calibri"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6270A4"/>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22"/>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6270A4"/>
    <w:pPr>
      <w:jc w:val="center"/>
    </w:pPr>
    <w:rPr>
      <w:rFonts w:ascii="Times New Roman Bold" w:hAnsi="Times New Roman Bold"/>
      <w:b/>
      <w:bCs/>
      <w:caps/>
      <w:szCs w:val="22"/>
    </w:rPr>
  </w:style>
  <w:style w:type="paragraph" w:styleId="TOAHeading">
    <w:name w:val="toa heading"/>
    <w:basedOn w:val="Normal"/>
    <w:next w:val="Normal"/>
    <w:semiHidden/>
    <w:rsid w:val="00AD0CF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34"/>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locked/>
    <w:rsid w:val="00D5405B"/>
    <w:rPr>
      <w:snapToGrid w:val="0"/>
      <w:kern w:val="28"/>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AD0CF1"/>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basedOn w:val="DefaultParagraphFont"/>
    <w:semiHidden/>
    <w:locked/>
    <w:rsid w:val="00AD0CF1"/>
    <w:rPr>
      <w:vertAlign w:val="superscript"/>
    </w:rPr>
  </w:style>
  <w:style w:type="paragraph" w:styleId="TOC1">
    <w:name w:val="toc 1"/>
    <w:basedOn w:val="Normal"/>
    <w:next w:val="Normal"/>
    <w:semiHidden/>
    <w:locked/>
    <w:rsid w:val="00AD0CF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AD0CF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AD0CF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AD0CF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AD0C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AD0CF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AD0CF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AD0CF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AD0CF1"/>
    <w:pPr>
      <w:tabs>
        <w:tab w:val="left" w:pos="3240"/>
        <w:tab w:val="right" w:leader="dot" w:pos="9360"/>
      </w:tabs>
      <w:suppressAutoHyphens/>
      <w:ind w:left="3240" w:hanging="360"/>
    </w:pPr>
    <w:rPr>
      <w:noProof/>
    </w:rPr>
  </w:style>
  <w:style w:type="character" w:customStyle="1" w:styleId="EquationCaption">
    <w:name w:val="_Equation Caption"/>
    <w:rsid w:val="00AD0CF1"/>
  </w:style>
  <w:style w:type="paragraph" w:styleId="BlockText">
    <w:name w:val="Block Text"/>
    <w:basedOn w:val="Normal"/>
    <w:locked/>
    <w:rsid w:val="00AD0CF1"/>
    <w:pPr>
      <w:spacing w:after="240"/>
      <w:ind w:left="1440" w:right="1440"/>
    </w:pPr>
  </w:style>
  <w:style w:type="paragraph" w:customStyle="1" w:styleId="Paratitle">
    <w:name w:val="Para title"/>
    <w:basedOn w:val="Normal"/>
    <w:rsid w:val="00AD0CF1"/>
    <w:pPr>
      <w:tabs>
        <w:tab w:val="center" w:pos="9270"/>
      </w:tabs>
      <w:spacing w:after="240"/>
      <w:jc w:val="left"/>
    </w:pPr>
    <w:rPr>
      <w:spacing w:val="-2"/>
    </w:rPr>
  </w:style>
  <w:style w:type="paragraph" w:customStyle="1" w:styleId="Bullet">
    <w:name w:val="Bullet"/>
    <w:basedOn w:val="Normal"/>
    <w:rsid w:val="00AD0CF1"/>
    <w:pPr>
      <w:tabs>
        <w:tab w:val="left" w:pos="2160"/>
      </w:tabs>
      <w:spacing w:after="220"/>
      <w:ind w:left="2160" w:hanging="720"/>
    </w:pPr>
  </w:style>
  <w:style w:type="paragraph" w:customStyle="1" w:styleId="TableFormat">
    <w:name w:val="TableFormat"/>
    <w:basedOn w:val="Bullet"/>
    <w:rsid w:val="00AD0CF1"/>
    <w:pPr>
      <w:tabs>
        <w:tab w:val="clear" w:pos="2160"/>
        <w:tab w:val="left" w:pos="5040"/>
      </w:tabs>
      <w:ind w:left="5040" w:hanging="3600"/>
    </w:pPr>
  </w:style>
  <w:style w:type="paragraph" w:customStyle="1" w:styleId="TOCTitle">
    <w:name w:val="TOC Title"/>
    <w:basedOn w:val="Normal"/>
    <w:rsid w:val="00AD0CF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styleId="FollowedHyperlink">
    <w:name w:val="FollowedHyperlink"/>
    <w:uiPriority w:val="99"/>
    <w:semiHidden/>
    <w:unhideWhenUsed/>
    <w:locked/>
    <w:rsid w:val="00610A4E"/>
    <w:rPr>
      <w:color w:val="800080"/>
      <w:u w:val="single"/>
    </w:rPr>
  </w:style>
  <w:style w:type="paragraph" w:customStyle="1" w:styleId="Default">
    <w:name w:val="Default"/>
    <w:rsid w:val="009233F0"/>
    <w:pPr>
      <w:autoSpaceDE w:val="0"/>
      <w:autoSpaceDN w:val="0"/>
      <w:adjustRightInd w:val="0"/>
    </w:pPr>
    <w:rPr>
      <w:rFonts w:ascii="Gill Sans MT" w:hAnsi="Gill Sans MT" w:cs="Gill Sans MT"/>
      <w:color w:val="000000"/>
      <w:sz w:val="24"/>
      <w:szCs w:val="24"/>
    </w:rPr>
  </w:style>
  <w:style w:type="paragraph" w:styleId="NoSpacing">
    <w:name w:val="No Spacing"/>
    <w:uiPriority w:val="11"/>
    <w:qFormat/>
    <w:rsid w:val="00E87231"/>
    <w:rPr>
      <w:rFonts w:eastAsia="Calibri"/>
      <w:sz w:val="24"/>
      <w:szCs w:val="24"/>
    </w:rPr>
  </w:style>
  <w:style w:type="character" w:customStyle="1" w:styleId="ptext-1">
    <w:name w:val="ptext-1"/>
    <w:basedOn w:val="DefaultParagraphFont"/>
    <w:rsid w:val="00043ACC"/>
  </w:style>
  <w:style w:type="character" w:customStyle="1" w:styleId="ParaNumChar">
    <w:name w:val="ParaNum Char"/>
    <w:link w:val="ParaNum"/>
    <w:rsid w:val="008F2B25"/>
    <w:rPr>
      <w:snapToGrid w:val="0"/>
      <w:kern w:val="28"/>
      <w:sz w:val="22"/>
    </w:rPr>
  </w:style>
  <w:style w:type="paragraph" w:customStyle="1" w:styleId="BodyText1">
    <w:name w:val="Body Text1"/>
    <w:rsid w:val="00604397"/>
    <w:rPr>
      <w:rFonts w:ascii="Times New Roman Bold" w:eastAsia="ヒラギノ角ゴ Pro W3" w:hAnsi="Times New Roman Bold"/>
      <w:color w:val="000000"/>
      <w:sz w:val="24"/>
      <w:u w:val="single"/>
    </w:rPr>
  </w:style>
  <w:style w:type="character" w:customStyle="1" w:styleId="bestsection">
    <w:name w:val="bestsection"/>
    <w:basedOn w:val="DefaultParagraphFont"/>
    <w:rsid w:val="003E2BFB"/>
  </w:style>
  <w:style w:type="paragraph" w:styleId="BodyText2">
    <w:name w:val="Body Text 2"/>
    <w:basedOn w:val="Normal"/>
    <w:link w:val="BodyText2Char"/>
    <w:qFormat/>
    <w:locked/>
    <w:rsid w:val="00E87231"/>
    <w:pPr>
      <w:spacing w:after="240"/>
    </w:pPr>
  </w:style>
  <w:style w:type="character" w:customStyle="1" w:styleId="BodyText2Char">
    <w:name w:val="Body Text 2 Char"/>
    <w:link w:val="BodyText2"/>
    <w:rsid w:val="00E87231"/>
    <w:rPr>
      <w:rFonts w:eastAsia="Calibri" w:cs="Times New Roman"/>
      <w:sz w:val="24"/>
      <w:szCs w:val="24"/>
    </w:rPr>
  </w:style>
  <w:style w:type="paragraph" w:styleId="BodyText3">
    <w:name w:val="Body Text 3"/>
    <w:basedOn w:val="Normal"/>
    <w:link w:val="BodyText3Char"/>
    <w:qFormat/>
    <w:locked/>
    <w:rsid w:val="00E87231"/>
    <w:pPr>
      <w:spacing w:after="240"/>
      <w:ind w:firstLine="1440"/>
    </w:pPr>
    <w:rPr>
      <w:szCs w:val="16"/>
    </w:rPr>
  </w:style>
  <w:style w:type="character" w:customStyle="1" w:styleId="BodyText3Char">
    <w:name w:val="Body Text 3 Char"/>
    <w:link w:val="BodyText3"/>
    <w:rsid w:val="00E87231"/>
    <w:rPr>
      <w:rFonts w:eastAsia="Calibri" w:cs="Times New Roman"/>
      <w:sz w:val="24"/>
      <w:szCs w:val="16"/>
    </w:rPr>
  </w:style>
  <w:style w:type="paragraph" w:styleId="Title">
    <w:name w:val="Title"/>
    <w:basedOn w:val="Normal"/>
    <w:next w:val="Normal"/>
    <w:link w:val="TitleChar"/>
    <w:uiPriority w:val="1"/>
    <w:qFormat/>
    <w:locked/>
    <w:rsid w:val="00E87231"/>
    <w:pPr>
      <w:spacing w:after="240"/>
      <w:contextualSpacing/>
      <w:jc w:val="center"/>
    </w:pPr>
    <w:rPr>
      <w:rFonts w:eastAsia="MS Gothic"/>
      <w:b/>
      <w:szCs w:val="52"/>
    </w:rPr>
  </w:style>
  <w:style w:type="character" w:customStyle="1" w:styleId="TitleChar">
    <w:name w:val="Title Char"/>
    <w:link w:val="Title"/>
    <w:uiPriority w:val="1"/>
    <w:rsid w:val="00E87231"/>
    <w:rPr>
      <w:rFonts w:eastAsia="MS Gothic" w:cs="Times New Roman"/>
      <w:b/>
      <w:kern w:val="28"/>
      <w:sz w:val="24"/>
      <w:szCs w:val="52"/>
    </w:rPr>
  </w:style>
  <w:style w:type="paragraph" w:styleId="Subtitle">
    <w:name w:val="Subtitle"/>
    <w:basedOn w:val="Normal"/>
    <w:next w:val="Normal"/>
    <w:link w:val="SubtitleChar"/>
    <w:uiPriority w:val="2"/>
    <w:qFormat/>
    <w:locked/>
    <w:rsid w:val="00E87231"/>
    <w:pPr>
      <w:numPr>
        <w:ilvl w:val="1"/>
      </w:numPr>
      <w:spacing w:after="240"/>
    </w:pPr>
    <w:rPr>
      <w:rFonts w:eastAsia="MS Gothic"/>
      <w:b/>
      <w:iCs/>
    </w:rPr>
  </w:style>
  <w:style w:type="character" w:customStyle="1" w:styleId="SubtitleChar">
    <w:name w:val="Subtitle Char"/>
    <w:link w:val="Subtitle"/>
    <w:uiPriority w:val="2"/>
    <w:rsid w:val="00E87231"/>
    <w:rPr>
      <w:rFonts w:eastAsia="MS Gothic" w:cs="Times New Roman"/>
      <w:b/>
      <w:iCs/>
      <w:sz w:val="24"/>
      <w:szCs w:val="24"/>
    </w:rPr>
  </w:style>
  <w:style w:type="table" w:styleId="TableGrid">
    <w:name w:val="Table Grid"/>
    <w:basedOn w:val="TableNormal"/>
    <w:uiPriority w:val="59"/>
    <w:locked/>
    <w:rsid w:val="00E8723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E87231"/>
    <w:pPr>
      <w:spacing w:after="240"/>
    </w:pPr>
    <w:rPr>
      <w:i/>
      <w:iCs/>
      <w:color w:val="000000"/>
    </w:rPr>
  </w:style>
  <w:style w:type="character" w:customStyle="1" w:styleId="QuoteChar">
    <w:name w:val="Quote Char"/>
    <w:link w:val="Quote"/>
    <w:uiPriority w:val="6"/>
    <w:rsid w:val="00E87231"/>
    <w:rPr>
      <w:rFonts w:eastAsia="Calibri" w:cs="Times New Roman"/>
      <w:i/>
      <w:iCs/>
      <w:color w:val="000000"/>
      <w:sz w:val="24"/>
      <w:szCs w:val="24"/>
    </w:rPr>
  </w:style>
  <w:style w:type="paragraph" w:customStyle="1" w:styleId="SignatureBy">
    <w:name w:val="Signature By:"/>
    <w:basedOn w:val="Normal"/>
    <w:uiPriority w:val="3"/>
    <w:qFormat/>
    <w:rsid w:val="00E87231"/>
    <w:pPr>
      <w:tabs>
        <w:tab w:val="left" w:pos="5580"/>
        <w:tab w:val="right" w:leader="underscore" w:pos="9360"/>
      </w:tabs>
      <w:spacing w:after="240"/>
      <w:ind w:left="5587" w:hanging="547"/>
    </w:pPr>
  </w:style>
  <w:style w:type="paragraph" w:customStyle="1" w:styleId="Title2">
    <w:name w:val="Title 2"/>
    <w:basedOn w:val="Normal"/>
    <w:rsid w:val="00E87231"/>
    <w:pPr>
      <w:spacing w:after="240"/>
      <w:jc w:val="center"/>
    </w:pPr>
    <w:rPr>
      <w:b/>
      <w:u w:val="single"/>
    </w:rPr>
  </w:style>
  <w:style w:type="paragraph" w:customStyle="1" w:styleId="Title3">
    <w:name w:val="Title 3"/>
    <w:basedOn w:val="Normal"/>
    <w:rsid w:val="00E87231"/>
    <w:pPr>
      <w:spacing w:after="240"/>
      <w:jc w:val="center"/>
    </w:pPr>
    <w:rPr>
      <w:b/>
      <w:i/>
    </w:rPr>
  </w:style>
  <w:style w:type="paragraph" w:customStyle="1" w:styleId="Subtitle2">
    <w:name w:val="Subtitle 2"/>
    <w:basedOn w:val="Normal"/>
    <w:rsid w:val="00E87231"/>
    <w:pPr>
      <w:spacing w:after="240"/>
    </w:pPr>
    <w:rPr>
      <w:b/>
      <w:u w:val="single"/>
    </w:rPr>
  </w:style>
  <w:style w:type="paragraph" w:customStyle="1" w:styleId="Subtitle3">
    <w:name w:val="Subtitle 3"/>
    <w:basedOn w:val="Normal"/>
    <w:rsid w:val="00E87231"/>
    <w:pPr>
      <w:spacing w:after="240"/>
    </w:pPr>
    <w:rPr>
      <w:b/>
      <w:i/>
    </w:rPr>
  </w:style>
  <w:style w:type="paragraph" w:customStyle="1" w:styleId="OutlineL1">
    <w:name w:val="Outline_L1"/>
    <w:basedOn w:val="Normal"/>
    <w:next w:val="BodyText"/>
    <w:rsid w:val="00AD39E5"/>
    <w:pPr>
      <w:widowControl/>
      <w:numPr>
        <w:numId w:val="6"/>
      </w:numPr>
      <w:spacing w:after="240"/>
      <w:outlineLvl w:val="0"/>
    </w:pPr>
    <w:rPr>
      <w:snapToGrid/>
      <w:kern w:val="0"/>
      <w:sz w:val="24"/>
    </w:rPr>
  </w:style>
  <w:style w:type="paragraph" w:customStyle="1" w:styleId="OutlineL2">
    <w:name w:val="Outline_L2"/>
    <w:basedOn w:val="OutlineL1"/>
    <w:next w:val="BodyText"/>
    <w:rsid w:val="00AD39E5"/>
    <w:pPr>
      <w:numPr>
        <w:ilvl w:val="1"/>
      </w:numPr>
      <w:outlineLvl w:val="1"/>
    </w:pPr>
  </w:style>
  <w:style w:type="paragraph" w:customStyle="1" w:styleId="OutlineL3">
    <w:name w:val="Outline_L3"/>
    <w:basedOn w:val="OutlineL2"/>
    <w:next w:val="BodyText"/>
    <w:rsid w:val="00AD39E5"/>
    <w:pPr>
      <w:numPr>
        <w:ilvl w:val="2"/>
      </w:numPr>
      <w:outlineLvl w:val="2"/>
    </w:pPr>
  </w:style>
  <w:style w:type="paragraph" w:customStyle="1" w:styleId="OutlineL4">
    <w:name w:val="Outline_L4"/>
    <w:basedOn w:val="OutlineL3"/>
    <w:next w:val="BodyText"/>
    <w:rsid w:val="00AD39E5"/>
    <w:pPr>
      <w:numPr>
        <w:ilvl w:val="3"/>
      </w:numPr>
      <w:outlineLvl w:val="3"/>
    </w:pPr>
  </w:style>
  <w:style w:type="paragraph" w:customStyle="1" w:styleId="OutlineL5">
    <w:name w:val="Outline_L5"/>
    <w:basedOn w:val="OutlineL4"/>
    <w:next w:val="BodyText"/>
    <w:rsid w:val="00AD39E5"/>
    <w:pPr>
      <w:numPr>
        <w:ilvl w:val="4"/>
      </w:numPr>
      <w:outlineLvl w:val="4"/>
    </w:pPr>
  </w:style>
  <w:style w:type="paragraph" w:customStyle="1" w:styleId="OutlineL6">
    <w:name w:val="Outline_L6"/>
    <w:basedOn w:val="OutlineL5"/>
    <w:next w:val="BodyText"/>
    <w:rsid w:val="00AD39E5"/>
    <w:pPr>
      <w:numPr>
        <w:ilvl w:val="5"/>
      </w:numPr>
      <w:outlineLvl w:val="5"/>
    </w:pPr>
  </w:style>
  <w:style w:type="paragraph" w:customStyle="1" w:styleId="OutlineL7">
    <w:name w:val="Outline_L7"/>
    <w:basedOn w:val="OutlineL6"/>
    <w:next w:val="BodyText"/>
    <w:rsid w:val="00AD39E5"/>
    <w:pPr>
      <w:numPr>
        <w:ilvl w:val="6"/>
      </w:numPr>
      <w:outlineLvl w:val="6"/>
    </w:pPr>
  </w:style>
  <w:style w:type="paragraph" w:customStyle="1" w:styleId="OutlineL8">
    <w:name w:val="Outline_L8"/>
    <w:basedOn w:val="OutlineL7"/>
    <w:next w:val="BodyText"/>
    <w:rsid w:val="00AD39E5"/>
    <w:pPr>
      <w:numPr>
        <w:ilvl w:val="7"/>
      </w:numPr>
      <w:outlineLvl w:val="7"/>
    </w:pPr>
  </w:style>
  <w:style w:type="paragraph" w:customStyle="1" w:styleId="OutlineL9">
    <w:name w:val="Outline_L9"/>
    <w:basedOn w:val="OutlineL8"/>
    <w:next w:val="BodyText"/>
    <w:rsid w:val="00AD39E5"/>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29">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675770028">
      <w:bodyDiv w:val="1"/>
      <w:marLeft w:val="0"/>
      <w:marRight w:val="0"/>
      <w:marTop w:val="0"/>
      <w:marBottom w:val="0"/>
      <w:divBdr>
        <w:top w:val="none" w:sz="0" w:space="0" w:color="auto"/>
        <w:left w:val="none" w:sz="0" w:space="0" w:color="auto"/>
        <w:bottom w:val="none" w:sz="0" w:space="0" w:color="auto"/>
        <w:right w:val="none" w:sz="0" w:space="0" w:color="auto"/>
      </w:divBdr>
    </w:div>
    <w:div w:id="981498323">
      <w:bodyDiv w:val="1"/>
      <w:marLeft w:val="0"/>
      <w:marRight w:val="0"/>
      <w:marTop w:val="0"/>
      <w:marBottom w:val="0"/>
      <w:divBdr>
        <w:top w:val="none" w:sz="0" w:space="0" w:color="auto"/>
        <w:left w:val="none" w:sz="0" w:space="0" w:color="auto"/>
        <w:bottom w:val="none" w:sz="0" w:space="0" w:color="auto"/>
        <w:right w:val="none" w:sz="0" w:space="0" w:color="auto"/>
      </w:divBdr>
      <w:divsChild>
        <w:div w:id="1104347406">
          <w:marLeft w:val="0"/>
          <w:marRight w:val="480"/>
          <w:marTop w:val="360"/>
          <w:marBottom w:val="0"/>
          <w:divBdr>
            <w:top w:val="none" w:sz="0" w:space="0" w:color="auto"/>
            <w:left w:val="none" w:sz="0" w:space="0" w:color="auto"/>
            <w:bottom w:val="none" w:sz="0" w:space="0" w:color="auto"/>
            <w:right w:val="none" w:sz="0" w:space="0" w:color="auto"/>
          </w:divBdr>
          <w:divsChild>
            <w:div w:id="219169002">
              <w:marLeft w:val="0"/>
              <w:marRight w:val="0"/>
              <w:marTop w:val="0"/>
              <w:marBottom w:val="240"/>
              <w:divBdr>
                <w:top w:val="none" w:sz="0" w:space="0" w:color="auto"/>
                <w:left w:val="none" w:sz="0" w:space="0" w:color="auto"/>
                <w:bottom w:val="none" w:sz="0" w:space="0" w:color="auto"/>
                <w:right w:val="none" w:sz="0" w:space="0" w:color="auto"/>
              </w:divBdr>
            </w:div>
            <w:div w:id="2044555100">
              <w:marLeft w:val="0"/>
              <w:marRight w:val="0"/>
              <w:marTop w:val="0"/>
              <w:marBottom w:val="75"/>
              <w:divBdr>
                <w:top w:val="none" w:sz="0" w:space="0" w:color="auto"/>
                <w:left w:val="none" w:sz="0" w:space="0" w:color="auto"/>
                <w:bottom w:val="none" w:sz="0" w:space="0" w:color="auto"/>
                <w:right w:val="none" w:sz="0" w:space="0" w:color="auto"/>
              </w:divBdr>
            </w:div>
          </w:divsChild>
        </w:div>
        <w:div w:id="1329400485">
          <w:marLeft w:val="0"/>
          <w:marRight w:val="480"/>
          <w:marTop w:val="360"/>
          <w:marBottom w:val="0"/>
          <w:divBdr>
            <w:top w:val="none" w:sz="0" w:space="0" w:color="auto"/>
            <w:left w:val="none" w:sz="0" w:space="0" w:color="auto"/>
            <w:bottom w:val="none" w:sz="0" w:space="0" w:color="auto"/>
            <w:right w:val="none" w:sz="0" w:space="0" w:color="auto"/>
          </w:divBdr>
          <w:divsChild>
            <w:div w:id="171796529">
              <w:marLeft w:val="0"/>
              <w:marRight w:val="0"/>
              <w:marTop w:val="0"/>
              <w:marBottom w:val="240"/>
              <w:divBdr>
                <w:top w:val="none" w:sz="0" w:space="0" w:color="auto"/>
                <w:left w:val="none" w:sz="0" w:space="0" w:color="auto"/>
                <w:bottom w:val="none" w:sz="0" w:space="0" w:color="auto"/>
                <w:right w:val="none" w:sz="0" w:space="0" w:color="auto"/>
              </w:divBdr>
            </w:div>
          </w:divsChild>
        </w:div>
        <w:div w:id="1823620175">
          <w:marLeft w:val="0"/>
          <w:marRight w:val="5355"/>
          <w:marTop w:val="360"/>
          <w:marBottom w:val="360"/>
          <w:divBdr>
            <w:top w:val="none" w:sz="0" w:space="0" w:color="auto"/>
            <w:left w:val="none" w:sz="0" w:space="0" w:color="auto"/>
            <w:bottom w:val="none" w:sz="0" w:space="0" w:color="auto"/>
            <w:right w:val="none" w:sz="0" w:space="0" w:color="auto"/>
          </w:divBdr>
        </w:div>
      </w:divsChild>
    </w:div>
    <w:div w:id="1317762583">
      <w:bodyDiv w:val="1"/>
      <w:marLeft w:val="0"/>
      <w:marRight w:val="0"/>
      <w:marTop w:val="0"/>
      <w:marBottom w:val="0"/>
      <w:divBdr>
        <w:top w:val="none" w:sz="0" w:space="0" w:color="auto"/>
        <w:left w:val="none" w:sz="0" w:space="0" w:color="auto"/>
        <w:bottom w:val="none" w:sz="0" w:space="0" w:color="auto"/>
        <w:right w:val="none" w:sz="0" w:space="0" w:color="auto"/>
      </w:divBdr>
    </w:div>
    <w:div w:id="1431389630">
      <w:bodyDiv w:val="1"/>
      <w:marLeft w:val="0"/>
      <w:marRight w:val="0"/>
      <w:marTop w:val="0"/>
      <w:marBottom w:val="0"/>
      <w:divBdr>
        <w:top w:val="none" w:sz="0" w:space="0" w:color="auto"/>
        <w:left w:val="none" w:sz="0" w:space="0" w:color="auto"/>
        <w:bottom w:val="none" w:sz="0" w:space="0" w:color="auto"/>
        <w:right w:val="none" w:sz="0" w:space="0" w:color="auto"/>
      </w:divBdr>
    </w:div>
    <w:div w:id="1500265884">
      <w:bodyDiv w:val="1"/>
      <w:marLeft w:val="0"/>
      <w:marRight w:val="0"/>
      <w:marTop w:val="0"/>
      <w:marBottom w:val="0"/>
      <w:divBdr>
        <w:top w:val="none" w:sz="0" w:space="0" w:color="auto"/>
        <w:left w:val="none" w:sz="0" w:space="0" w:color="auto"/>
        <w:bottom w:val="none" w:sz="0" w:space="0" w:color="auto"/>
        <w:right w:val="none" w:sz="0" w:space="0" w:color="auto"/>
      </w:divBdr>
    </w:div>
    <w:div w:id="1521821050">
      <w:bodyDiv w:val="1"/>
      <w:marLeft w:val="0"/>
      <w:marRight w:val="0"/>
      <w:marTop w:val="0"/>
      <w:marBottom w:val="0"/>
      <w:divBdr>
        <w:top w:val="none" w:sz="0" w:space="0" w:color="auto"/>
        <w:left w:val="none" w:sz="0" w:space="0" w:color="auto"/>
        <w:bottom w:val="none" w:sz="0" w:space="0" w:color="auto"/>
        <w:right w:val="none" w:sz="0" w:space="0" w:color="auto"/>
      </w:divBdr>
    </w:div>
    <w:div w:id="1622227975">
      <w:bodyDiv w:val="1"/>
      <w:marLeft w:val="0"/>
      <w:marRight w:val="0"/>
      <w:marTop w:val="0"/>
      <w:marBottom w:val="0"/>
      <w:divBdr>
        <w:top w:val="none" w:sz="0" w:space="0" w:color="auto"/>
        <w:left w:val="none" w:sz="0" w:space="0" w:color="auto"/>
        <w:bottom w:val="none" w:sz="0" w:space="0" w:color="auto"/>
        <w:right w:val="none" w:sz="0" w:space="0" w:color="auto"/>
      </w:divBdr>
    </w:div>
    <w:div w:id="1687638975">
      <w:bodyDiv w:val="1"/>
      <w:marLeft w:val="0"/>
      <w:marRight w:val="0"/>
      <w:marTop w:val="0"/>
      <w:marBottom w:val="0"/>
      <w:divBdr>
        <w:top w:val="none" w:sz="0" w:space="0" w:color="auto"/>
        <w:left w:val="none" w:sz="0" w:space="0" w:color="auto"/>
        <w:bottom w:val="none" w:sz="0" w:space="0" w:color="auto"/>
        <w:right w:val="none" w:sz="0" w:space="0" w:color="auto"/>
      </w:divBdr>
    </w:div>
    <w:div w:id="17191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oise.Gore\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2666</Words>
  <Characters>14821</Characters>
  <Application>Microsoft Office Word</Application>
  <DocSecurity>0</DocSecurity>
  <Lines>287</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17526</CharactersWithSpaces>
  <SharedDoc>false</SharedDoc>
  <HyperlinkBase> </HyperlinkBase>
  <HLinks>
    <vt:vector size="24" baseType="variant">
      <vt:variant>
        <vt:i4>2097239</vt:i4>
      </vt:variant>
      <vt:variant>
        <vt:i4>9</vt:i4>
      </vt:variant>
      <vt:variant>
        <vt:i4>0</vt:i4>
      </vt:variant>
      <vt:variant>
        <vt:i4>5</vt:i4>
      </vt:variant>
      <vt:variant>
        <vt:lpwstr>mailto:Evan.Parke@fcc.gov</vt:lpwstr>
      </vt:variant>
      <vt:variant>
        <vt:lpwstr/>
      </vt:variant>
      <vt:variant>
        <vt:i4>2097239</vt:i4>
      </vt:variant>
      <vt:variant>
        <vt:i4>6</vt:i4>
      </vt:variant>
      <vt:variant>
        <vt:i4>0</vt:i4>
      </vt:variant>
      <vt:variant>
        <vt:i4>5</vt:i4>
      </vt:variant>
      <vt:variant>
        <vt:lpwstr>mailto:Evan.Parke@fcc.gov</vt:lpwstr>
      </vt:variant>
      <vt:variant>
        <vt:lpwstr/>
      </vt:variant>
      <vt:variant>
        <vt:i4>2097239</vt:i4>
      </vt:variant>
      <vt:variant>
        <vt:i4>3</vt:i4>
      </vt:variant>
      <vt:variant>
        <vt:i4>0</vt:i4>
      </vt:variant>
      <vt:variant>
        <vt:i4>5</vt:i4>
      </vt:variant>
      <vt:variant>
        <vt:lpwstr>mailto:Evan.Parke@fcc.gov</vt:lpwstr>
      </vt:variant>
      <vt:variant>
        <vt:lpwstr/>
      </vt:variant>
      <vt:variant>
        <vt:i4>2097239</vt:i4>
      </vt:variant>
      <vt:variant>
        <vt:i4>0</vt:i4>
      </vt:variant>
      <vt:variant>
        <vt:i4>0</vt:i4>
      </vt:variant>
      <vt:variant>
        <vt:i4>5</vt:i4>
      </vt:variant>
      <vt:variant>
        <vt:lpwstr>mailto:Evan.Parke@fcc.gov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2014-11-28T15:12:00Z</dcterms:created>
  <dcterms:modified xsi:type="dcterms:W3CDTF">2014-11-28T15:12:00Z</dcterms:modified>
  <cp:category> </cp:category>
  <cp:contentStatus> </cp:contentStatus>
</cp:coreProperties>
</file>