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AE" w:rsidRDefault="00F47DAE">
      <w:bookmarkStart w:id="0" w:name="_GoBack"/>
      <w:bookmarkEnd w:id="0"/>
    </w:p>
    <w:p w:rsidR="00F47DAE" w:rsidRDefault="00F47DAE">
      <w:pPr>
        <w:jc w:val="right"/>
        <w:rPr>
          <w:b/>
          <w:sz w:val="24"/>
          <w:szCs w:val="24"/>
        </w:rPr>
      </w:pPr>
      <w:r>
        <w:rPr>
          <w:b/>
          <w:sz w:val="24"/>
          <w:szCs w:val="24"/>
        </w:rPr>
        <w:t>DA 14-</w:t>
      </w:r>
      <w:r w:rsidR="00C16C1B">
        <w:rPr>
          <w:b/>
          <w:sz w:val="24"/>
          <w:szCs w:val="24"/>
        </w:rPr>
        <w:t>1661</w:t>
      </w:r>
    </w:p>
    <w:p w:rsidR="00F47DAE" w:rsidRDefault="00F47DAE">
      <w:pPr>
        <w:jc w:val="right"/>
        <w:rPr>
          <w:b/>
          <w:sz w:val="24"/>
          <w:szCs w:val="24"/>
        </w:rPr>
      </w:pPr>
    </w:p>
    <w:p w:rsidR="00F47DAE" w:rsidRDefault="00F47DAE">
      <w:pPr>
        <w:rPr>
          <w:sz w:val="24"/>
          <w:szCs w:val="24"/>
        </w:rPr>
      </w:pPr>
      <w:r>
        <w:rPr>
          <w:sz w:val="24"/>
          <w:szCs w:val="24"/>
        </w:rPr>
        <w:t>Ms. Marianne Roach Casserly</w:t>
      </w:r>
    </w:p>
    <w:p w:rsidR="00F47DAE" w:rsidRDefault="00F47DAE">
      <w:pPr>
        <w:rPr>
          <w:sz w:val="24"/>
          <w:szCs w:val="24"/>
        </w:rPr>
      </w:pPr>
      <w:r>
        <w:rPr>
          <w:sz w:val="24"/>
          <w:szCs w:val="24"/>
        </w:rPr>
        <w:t>Alston &amp; Bird, LLP</w:t>
      </w:r>
    </w:p>
    <w:p w:rsidR="00F47DAE" w:rsidRDefault="00F47DAE">
      <w:pPr>
        <w:rPr>
          <w:sz w:val="24"/>
          <w:szCs w:val="24"/>
        </w:rPr>
      </w:pPr>
      <w:r>
        <w:rPr>
          <w:sz w:val="24"/>
          <w:szCs w:val="24"/>
        </w:rPr>
        <w:t>950 F St., NW</w:t>
      </w:r>
    </w:p>
    <w:p w:rsidR="00F47DAE" w:rsidRDefault="00F47DAE">
      <w:pPr>
        <w:rPr>
          <w:sz w:val="24"/>
          <w:szCs w:val="24"/>
        </w:rPr>
      </w:pPr>
      <w:r>
        <w:rPr>
          <w:sz w:val="24"/>
          <w:szCs w:val="24"/>
        </w:rPr>
        <w:t>Washington, DC 20004</w:t>
      </w:r>
    </w:p>
    <w:p w:rsidR="00F47DAE" w:rsidRDefault="00F47DAE">
      <w:pPr>
        <w:rPr>
          <w:sz w:val="24"/>
          <w:szCs w:val="24"/>
        </w:rPr>
      </w:pPr>
    </w:p>
    <w:p w:rsidR="00F47DAE" w:rsidRDefault="00F47DAE">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562774">
        <w:rPr>
          <w:sz w:val="24"/>
          <w:szCs w:val="24"/>
        </w:rPr>
        <w:t xml:space="preserve">                                </w:t>
      </w:r>
      <w:r w:rsidR="00AF4DEB">
        <w:rPr>
          <w:sz w:val="24"/>
          <w:szCs w:val="24"/>
        </w:rPr>
        <w:t xml:space="preserve">      </w:t>
      </w:r>
      <w:r>
        <w:rPr>
          <w:sz w:val="24"/>
          <w:szCs w:val="24"/>
        </w:rPr>
        <w:t>R</w:t>
      </w:r>
      <w:r w:rsidR="009E2898">
        <w:rPr>
          <w:sz w:val="24"/>
          <w:szCs w:val="24"/>
        </w:rPr>
        <w:t>e</w:t>
      </w:r>
      <w:r>
        <w:rPr>
          <w:sz w:val="24"/>
          <w:szCs w:val="24"/>
        </w:rPr>
        <w:t>:  ET Docket No. 13-280</w:t>
      </w:r>
    </w:p>
    <w:p w:rsidR="00973A7C" w:rsidRDefault="00973A7C">
      <w:pPr>
        <w:rPr>
          <w:sz w:val="24"/>
          <w:szCs w:val="24"/>
        </w:rPr>
      </w:pPr>
    </w:p>
    <w:p w:rsidR="00F47DAE" w:rsidRDefault="00F47DAE" w:rsidP="00721EE5"/>
    <w:p w:rsidR="00F47DAE" w:rsidRDefault="00F47DAE">
      <w:pPr>
        <w:rPr>
          <w:sz w:val="24"/>
          <w:szCs w:val="24"/>
        </w:rPr>
      </w:pPr>
      <w:r>
        <w:rPr>
          <w:sz w:val="24"/>
          <w:szCs w:val="24"/>
        </w:rPr>
        <w:t>Dear Ms.Casserly:</w:t>
      </w:r>
    </w:p>
    <w:p w:rsidR="00F47DAE" w:rsidRDefault="00F47DAE">
      <w:pPr>
        <w:rPr>
          <w:i/>
          <w:sz w:val="24"/>
          <w:szCs w:val="24"/>
        </w:rPr>
      </w:pPr>
    </w:p>
    <w:p w:rsidR="00973A7C" w:rsidRDefault="00F47DAE" w:rsidP="00973A7C">
      <w:pPr>
        <w:ind w:firstLine="720"/>
        <w:rPr>
          <w:sz w:val="24"/>
          <w:szCs w:val="24"/>
        </w:rPr>
      </w:pPr>
      <w:r>
        <w:rPr>
          <w:sz w:val="24"/>
          <w:szCs w:val="24"/>
        </w:rPr>
        <w:t xml:space="preserve">The Office of Engineering and Technology (OET) hereby grants the </w:t>
      </w:r>
      <w:r w:rsidR="00CB17E9">
        <w:rPr>
          <w:sz w:val="24"/>
          <w:szCs w:val="24"/>
        </w:rPr>
        <w:t xml:space="preserve">Request for Extension of </w:t>
      </w:r>
      <w:r>
        <w:rPr>
          <w:sz w:val="24"/>
          <w:szCs w:val="24"/>
        </w:rPr>
        <w:t xml:space="preserve">Waiver filed by Autoliv ASP, Inc. (Autoliv) and Caterpillar, Inc. (Caterpillar) seeking temporary waiver of the emissions limits in Section 15.515(c) of the Commission’s rules.  This waiver </w:t>
      </w:r>
      <w:r w:rsidR="004C7DD3">
        <w:rPr>
          <w:sz w:val="24"/>
          <w:szCs w:val="24"/>
        </w:rPr>
        <w:t xml:space="preserve">extension </w:t>
      </w:r>
      <w:r>
        <w:rPr>
          <w:sz w:val="24"/>
          <w:szCs w:val="24"/>
        </w:rPr>
        <w:t xml:space="preserve">will permit Autoliv </w:t>
      </w:r>
      <w:r w:rsidR="00206A6F">
        <w:rPr>
          <w:sz w:val="24"/>
          <w:szCs w:val="24"/>
        </w:rPr>
        <w:t xml:space="preserve">and Caterpillar </w:t>
      </w:r>
      <w:r>
        <w:rPr>
          <w:sz w:val="24"/>
          <w:szCs w:val="24"/>
        </w:rPr>
        <w:t>to</w:t>
      </w:r>
      <w:r w:rsidR="00206A6F">
        <w:rPr>
          <w:sz w:val="24"/>
          <w:szCs w:val="24"/>
        </w:rPr>
        <w:t xml:space="preserve"> continue to</w:t>
      </w:r>
      <w:r>
        <w:rPr>
          <w:sz w:val="24"/>
          <w:szCs w:val="24"/>
        </w:rPr>
        <w:t xml:space="preserve"> import</w:t>
      </w:r>
      <w:r w:rsidR="00206A6F">
        <w:rPr>
          <w:sz w:val="24"/>
          <w:szCs w:val="24"/>
        </w:rPr>
        <w:t xml:space="preserve"> Autoliv’s C4 vehicular radars</w:t>
      </w:r>
      <w:r>
        <w:rPr>
          <w:sz w:val="24"/>
          <w:szCs w:val="24"/>
        </w:rPr>
        <w:t xml:space="preserve"> until December 31, 2016</w:t>
      </w:r>
      <w:r w:rsidR="00206A6F">
        <w:rPr>
          <w:sz w:val="24"/>
          <w:szCs w:val="24"/>
        </w:rPr>
        <w:t>.</w:t>
      </w:r>
      <w:r w:rsidR="00545FB4">
        <w:rPr>
          <w:sz w:val="24"/>
          <w:szCs w:val="24"/>
        </w:rPr>
        <w:t xml:space="preserve"> </w:t>
      </w:r>
      <w:r>
        <w:rPr>
          <w:sz w:val="24"/>
          <w:szCs w:val="24"/>
        </w:rPr>
        <w:t xml:space="preserve"> These radars comply with the </w:t>
      </w:r>
      <w:r w:rsidR="00206A6F">
        <w:rPr>
          <w:sz w:val="24"/>
          <w:szCs w:val="24"/>
        </w:rPr>
        <w:t>January 1, 2010</w:t>
      </w:r>
      <w:r>
        <w:rPr>
          <w:sz w:val="24"/>
          <w:szCs w:val="24"/>
        </w:rPr>
        <w:t xml:space="preserve"> emissions limits of Section 15.515(c)</w:t>
      </w:r>
      <w:r w:rsidR="00545FB4">
        <w:rPr>
          <w:sz w:val="24"/>
          <w:szCs w:val="24"/>
        </w:rPr>
        <w:t xml:space="preserve">, but do not comply with the limits </w:t>
      </w:r>
      <w:r>
        <w:rPr>
          <w:sz w:val="24"/>
          <w:szCs w:val="24"/>
        </w:rPr>
        <w:t>phased</w:t>
      </w:r>
      <w:r w:rsidR="004C7DD3">
        <w:rPr>
          <w:sz w:val="24"/>
          <w:szCs w:val="24"/>
        </w:rPr>
        <w:t xml:space="preserve"> </w:t>
      </w:r>
      <w:r w:rsidR="00545FB4">
        <w:rPr>
          <w:sz w:val="24"/>
          <w:szCs w:val="24"/>
        </w:rPr>
        <w:t xml:space="preserve">in </w:t>
      </w:r>
      <w:r>
        <w:rPr>
          <w:sz w:val="24"/>
          <w:szCs w:val="24"/>
        </w:rPr>
        <w:t>on January 1, 2014 under that same rule.</w:t>
      </w:r>
      <w:r w:rsidR="00973A7C">
        <w:rPr>
          <w:sz w:val="24"/>
          <w:szCs w:val="24"/>
        </w:rPr>
        <w:t xml:space="preserve">  However, because of the </w:t>
      </w:r>
      <w:r w:rsidR="00A11185">
        <w:rPr>
          <w:sz w:val="24"/>
          <w:szCs w:val="24"/>
        </w:rPr>
        <w:t>planned migration of 24 GHz vehicular radars to</w:t>
      </w:r>
      <w:r w:rsidR="00F63C2D">
        <w:rPr>
          <w:sz w:val="24"/>
          <w:szCs w:val="24"/>
        </w:rPr>
        <w:t xml:space="preserve"> the</w:t>
      </w:r>
      <w:r w:rsidR="00A11185">
        <w:rPr>
          <w:sz w:val="24"/>
          <w:szCs w:val="24"/>
        </w:rPr>
        <w:t xml:space="preserve"> 79 GHz band and because of the </w:t>
      </w:r>
      <w:r w:rsidR="00973A7C">
        <w:rPr>
          <w:sz w:val="24"/>
          <w:szCs w:val="24"/>
        </w:rPr>
        <w:t>need to protect passive operations in the 23.6 to 24</w:t>
      </w:r>
      <w:r w:rsidR="00973A7C" w:rsidRPr="00B13ACA">
        <w:rPr>
          <w:sz w:val="24"/>
          <w:szCs w:val="24"/>
        </w:rPr>
        <w:t xml:space="preserve"> GHz band</w:t>
      </w:r>
      <w:r w:rsidR="00973A7C">
        <w:rPr>
          <w:sz w:val="24"/>
          <w:szCs w:val="24"/>
        </w:rPr>
        <w:t xml:space="preserve"> as discussed below, we </w:t>
      </w:r>
      <w:r w:rsidR="00A11185">
        <w:rPr>
          <w:sz w:val="24"/>
          <w:szCs w:val="24"/>
        </w:rPr>
        <w:t xml:space="preserve">do not contemplate any </w:t>
      </w:r>
      <w:r w:rsidR="00973A7C">
        <w:rPr>
          <w:sz w:val="24"/>
          <w:szCs w:val="24"/>
        </w:rPr>
        <w:t>future waivers for these vehicular radars.</w:t>
      </w:r>
      <w:r w:rsidR="00A11185">
        <w:rPr>
          <w:sz w:val="24"/>
          <w:szCs w:val="24"/>
        </w:rPr>
        <w:t xml:space="preserve">  </w:t>
      </w:r>
      <w:r w:rsidR="00973A7C">
        <w:rPr>
          <w:sz w:val="24"/>
          <w:szCs w:val="24"/>
        </w:rPr>
        <w:t>We note that the 23.6-24 GHz band is an exclusive passive band, included in footnote US246.</w:t>
      </w:r>
      <w:r w:rsidR="00F63542">
        <w:rPr>
          <w:rStyle w:val="FootnoteReference"/>
          <w:sz w:val="24"/>
          <w:szCs w:val="24"/>
        </w:rPr>
        <w:footnoteReference w:id="2"/>
      </w:r>
      <w:r w:rsidR="00973A7C">
        <w:rPr>
          <w:sz w:val="24"/>
          <w:szCs w:val="24"/>
        </w:rPr>
        <w:t xml:space="preserve"> </w:t>
      </w:r>
    </w:p>
    <w:p w:rsidR="00F47DAE" w:rsidRDefault="00F47DAE">
      <w:pPr>
        <w:rPr>
          <w:sz w:val="24"/>
          <w:szCs w:val="24"/>
        </w:rPr>
      </w:pPr>
    </w:p>
    <w:p w:rsidR="000D180F" w:rsidRDefault="000D180F">
      <w:pPr>
        <w:ind w:firstLine="720"/>
        <w:rPr>
          <w:sz w:val="24"/>
          <w:szCs w:val="24"/>
        </w:rPr>
      </w:pPr>
      <w:r>
        <w:rPr>
          <w:sz w:val="24"/>
          <w:szCs w:val="24"/>
        </w:rPr>
        <w:t xml:space="preserve">On December 30, 2013, OET granted </w:t>
      </w:r>
      <w:r w:rsidR="00206A6F">
        <w:rPr>
          <w:sz w:val="24"/>
          <w:szCs w:val="24"/>
        </w:rPr>
        <w:t xml:space="preserve">a waiver to </w:t>
      </w:r>
      <w:r>
        <w:rPr>
          <w:sz w:val="24"/>
          <w:szCs w:val="24"/>
        </w:rPr>
        <w:t xml:space="preserve">allow Autoliv ASP, Inc. to continue to manufacture and market to Caterpillar, Inc. until December 31, 2014 and for Caterpillar to import until that same date Autoliv’s C4 vehicular radars </w:t>
      </w:r>
      <w:r w:rsidR="004C7DD3">
        <w:rPr>
          <w:sz w:val="24"/>
          <w:szCs w:val="24"/>
        </w:rPr>
        <w:t xml:space="preserve">which comply with the January 1, 2010 emissions limits of Section 15.515(c) </w:t>
      </w:r>
      <w:r>
        <w:rPr>
          <w:sz w:val="24"/>
          <w:szCs w:val="24"/>
        </w:rPr>
        <w:t>to equip the 900 vehicles anticipated to be manufactured during th</w:t>
      </w:r>
      <w:r w:rsidR="00206A6F">
        <w:rPr>
          <w:sz w:val="24"/>
          <w:szCs w:val="24"/>
        </w:rPr>
        <w:t>at</w:t>
      </w:r>
      <w:r>
        <w:rPr>
          <w:sz w:val="24"/>
          <w:szCs w:val="24"/>
        </w:rPr>
        <w:t xml:space="preserve"> one-year period</w:t>
      </w:r>
      <w:r w:rsidR="004C7DD3">
        <w:rPr>
          <w:sz w:val="24"/>
          <w:szCs w:val="24"/>
        </w:rPr>
        <w:t>.</w:t>
      </w:r>
      <w:r w:rsidR="00BA7156">
        <w:rPr>
          <w:rStyle w:val="FootnoteReference"/>
          <w:sz w:val="24"/>
          <w:szCs w:val="24"/>
        </w:rPr>
        <w:footnoteReference w:id="3"/>
      </w:r>
      <w:r w:rsidR="005E4EE8">
        <w:rPr>
          <w:sz w:val="24"/>
          <w:szCs w:val="24"/>
        </w:rPr>
        <w:t xml:space="preserve">  </w:t>
      </w:r>
    </w:p>
    <w:p w:rsidR="000D180F" w:rsidRDefault="000D180F">
      <w:pPr>
        <w:ind w:firstLine="720"/>
        <w:rPr>
          <w:sz w:val="24"/>
          <w:szCs w:val="24"/>
        </w:rPr>
      </w:pPr>
    </w:p>
    <w:p w:rsidR="000D180F" w:rsidRPr="00AF4DEB" w:rsidRDefault="000D180F">
      <w:pPr>
        <w:ind w:firstLine="720"/>
        <w:rPr>
          <w:sz w:val="24"/>
          <w:szCs w:val="24"/>
        </w:rPr>
      </w:pPr>
      <w:r w:rsidRPr="00AF4DEB">
        <w:rPr>
          <w:sz w:val="24"/>
          <w:szCs w:val="24"/>
        </w:rPr>
        <w:t>On September 19, 2014, you f</w:t>
      </w:r>
      <w:r w:rsidR="00161748" w:rsidRPr="00AF4DEB">
        <w:rPr>
          <w:sz w:val="24"/>
          <w:szCs w:val="24"/>
        </w:rPr>
        <w:t>iled</w:t>
      </w:r>
      <w:r w:rsidR="005E7595" w:rsidRPr="00AF4DEB">
        <w:rPr>
          <w:sz w:val="24"/>
          <w:szCs w:val="24"/>
        </w:rPr>
        <w:t xml:space="preserve"> a</w:t>
      </w:r>
      <w:r w:rsidR="00161748" w:rsidRPr="00AF4DEB">
        <w:rPr>
          <w:sz w:val="24"/>
          <w:szCs w:val="24"/>
        </w:rPr>
        <w:t xml:space="preserve"> request </w:t>
      </w:r>
      <w:r w:rsidR="005E7595" w:rsidRPr="00AF4DEB">
        <w:rPr>
          <w:sz w:val="24"/>
          <w:szCs w:val="24"/>
        </w:rPr>
        <w:t>for</w:t>
      </w:r>
      <w:r w:rsidR="00230626" w:rsidRPr="00AF4DEB">
        <w:rPr>
          <w:sz w:val="24"/>
          <w:szCs w:val="24"/>
        </w:rPr>
        <w:t xml:space="preserve"> the Commission</w:t>
      </w:r>
      <w:r w:rsidR="005E7595" w:rsidRPr="00AF4DEB">
        <w:rPr>
          <w:sz w:val="24"/>
          <w:szCs w:val="24"/>
        </w:rPr>
        <w:t xml:space="preserve"> to </w:t>
      </w:r>
      <w:r w:rsidR="00230626" w:rsidRPr="00AF4DEB">
        <w:rPr>
          <w:sz w:val="24"/>
          <w:szCs w:val="24"/>
        </w:rPr>
        <w:t>extend</w:t>
      </w:r>
      <w:r w:rsidR="00161748" w:rsidRPr="00AF4DEB">
        <w:rPr>
          <w:sz w:val="24"/>
          <w:szCs w:val="24"/>
        </w:rPr>
        <w:t xml:space="preserve"> </w:t>
      </w:r>
      <w:r w:rsidR="00206A6F" w:rsidRPr="00AF4DEB">
        <w:rPr>
          <w:sz w:val="24"/>
          <w:szCs w:val="24"/>
        </w:rPr>
        <w:t>that waiver</w:t>
      </w:r>
      <w:r w:rsidR="00161748" w:rsidRPr="00AF4DEB">
        <w:rPr>
          <w:sz w:val="24"/>
          <w:szCs w:val="24"/>
        </w:rPr>
        <w:t xml:space="preserve"> </w:t>
      </w:r>
      <w:r w:rsidR="00230626" w:rsidRPr="00AF4DEB">
        <w:rPr>
          <w:sz w:val="24"/>
          <w:szCs w:val="24"/>
        </w:rPr>
        <w:t xml:space="preserve">through </w:t>
      </w:r>
      <w:r w:rsidR="00BA7156" w:rsidRPr="00AF4DEB">
        <w:rPr>
          <w:sz w:val="24"/>
          <w:szCs w:val="24"/>
        </w:rPr>
        <w:t>December 31, 2016</w:t>
      </w:r>
      <w:r w:rsidR="00AF4DEB">
        <w:rPr>
          <w:sz w:val="24"/>
          <w:szCs w:val="24"/>
        </w:rPr>
        <w:t>,</w:t>
      </w:r>
      <w:r w:rsidR="009219C2" w:rsidRPr="00AF4DEB">
        <w:rPr>
          <w:sz w:val="24"/>
          <w:szCs w:val="24"/>
        </w:rPr>
        <w:t xml:space="preserve"> for up to 3000 C4 vehicular radars per year</w:t>
      </w:r>
      <w:r w:rsidR="00BA7156" w:rsidRPr="00AF4DEB">
        <w:rPr>
          <w:sz w:val="24"/>
          <w:szCs w:val="24"/>
        </w:rPr>
        <w:t xml:space="preserve">.  </w:t>
      </w:r>
      <w:r w:rsidR="00D51704" w:rsidRPr="00AF4DEB">
        <w:rPr>
          <w:sz w:val="24"/>
          <w:szCs w:val="24"/>
        </w:rPr>
        <w:t xml:space="preserve">We note that the original waiver allowed up to 900 vehicles to be equipped with the 2010 compliant C4 </w:t>
      </w:r>
      <w:r w:rsidR="00D51704" w:rsidRPr="00AF4DEB">
        <w:rPr>
          <w:sz w:val="24"/>
          <w:szCs w:val="24"/>
        </w:rPr>
        <w:lastRenderedPageBreak/>
        <w:t>radars.  The waiver extension request further clarifies that each vehicle requires two to eight radar units, depending on the size of the vehicle.  We are therefore specifying a limit of 3000 per year on the total number of radars instead of the number of vehicles to be equipped.</w:t>
      </w:r>
      <w:r w:rsidR="00D51704" w:rsidRPr="00AF4DEB">
        <w:rPr>
          <w:rFonts w:ascii="Calibri" w:hAnsi="Calibri"/>
          <w:color w:val="1F497D"/>
          <w:sz w:val="24"/>
          <w:szCs w:val="24"/>
        </w:rPr>
        <w:t xml:space="preserve">  </w:t>
      </w:r>
      <w:r w:rsidR="00BA7156" w:rsidRPr="00AF4DEB">
        <w:rPr>
          <w:sz w:val="24"/>
          <w:szCs w:val="24"/>
        </w:rPr>
        <w:t xml:space="preserve">In this </w:t>
      </w:r>
      <w:r w:rsidR="002F2481" w:rsidRPr="00AF4DEB">
        <w:rPr>
          <w:sz w:val="24"/>
          <w:szCs w:val="24"/>
        </w:rPr>
        <w:t>request,</w:t>
      </w:r>
      <w:r w:rsidR="00BA7156" w:rsidRPr="00AF4DEB">
        <w:rPr>
          <w:sz w:val="24"/>
          <w:szCs w:val="24"/>
        </w:rPr>
        <w:t xml:space="preserve"> you also </w:t>
      </w:r>
      <w:r w:rsidR="00230626" w:rsidRPr="00AF4DEB">
        <w:rPr>
          <w:sz w:val="24"/>
          <w:szCs w:val="24"/>
        </w:rPr>
        <w:t>ask that the waiver be modified to allow</w:t>
      </w:r>
      <w:r w:rsidR="00BA7156" w:rsidRPr="00AF4DEB">
        <w:rPr>
          <w:sz w:val="24"/>
          <w:szCs w:val="24"/>
        </w:rPr>
        <w:t xml:space="preserve"> Autoliv to import C4 </w:t>
      </w:r>
      <w:r w:rsidR="00814B62" w:rsidRPr="00AF4DEB">
        <w:rPr>
          <w:sz w:val="24"/>
          <w:szCs w:val="24"/>
        </w:rPr>
        <w:t xml:space="preserve">vehicular </w:t>
      </w:r>
      <w:r w:rsidR="00BA7156" w:rsidRPr="00AF4DEB">
        <w:rPr>
          <w:sz w:val="24"/>
          <w:szCs w:val="24"/>
        </w:rPr>
        <w:t>radar</w:t>
      </w:r>
      <w:r w:rsidR="00271A40" w:rsidRPr="00AF4DEB">
        <w:rPr>
          <w:sz w:val="24"/>
          <w:szCs w:val="24"/>
        </w:rPr>
        <w:t>s</w:t>
      </w:r>
      <w:r w:rsidR="00BA7156" w:rsidRPr="00AF4DEB">
        <w:rPr>
          <w:sz w:val="24"/>
          <w:szCs w:val="24"/>
        </w:rPr>
        <w:t xml:space="preserve"> to accommodate Autoliv’s plan to move manufacturing of these C4 </w:t>
      </w:r>
      <w:r w:rsidR="00814B62" w:rsidRPr="00AF4DEB">
        <w:rPr>
          <w:sz w:val="24"/>
          <w:szCs w:val="24"/>
        </w:rPr>
        <w:t xml:space="preserve">vehicular </w:t>
      </w:r>
      <w:r w:rsidR="00BA7156" w:rsidRPr="00AF4DEB">
        <w:rPr>
          <w:sz w:val="24"/>
          <w:szCs w:val="24"/>
        </w:rPr>
        <w:t xml:space="preserve">radars to Canada in late 2014.  You state that you are </w:t>
      </w:r>
      <w:r w:rsidR="00161748" w:rsidRPr="00AF4DEB">
        <w:rPr>
          <w:sz w:val="24"/>
          <w:szCs w:val="24"/>
        </w:rPr>
        <w:t>seeking a limited</w:t>
      </w:r>
      <w:r w:rsidRPr="00AF4DEB">
        <w:rPr>
          <w:sz w:val="24"/>
          <w:szCs w:val="24"/>
        </w:rPr>
        <w:t xml:space="preserve"> extension of the waiver to address continuing technical challenges that have arisen in trans</w:t>
      </w:r>
      <w:r w:rsidR="00161748" w:rsidRPr="00AF4DEB">
        <w:rPr>
          <w:sz w:val="24"/>
          <w:szCs w:val="24"/>
        </w:rPr>
        <w:t>i</w:t>
      </w:r>
      <w:r w:rsidRPr="00AF4DEB">
        <w:rPr>
          <w:sz w:val="24"/>
          <w:szCs w:val="24"/>
        </w:rPr>
        <w:t>tioning Caterpillar vehicles to a compliant radar product</w:t>
      </w:r>
      <w:r w:rsidR="00BA7156" w:rsidRPr="00AF4DEB">
        <w:rPr>
          <w:sz w:val="24"/>
          <w:szCs w:val="24"/>
        </w:rPr>
        <w:t>.</w:t>
      </w:r>
    </w:p>
    <w:p w:rsidR="00161748" w:rsidRDefault="00161748">
      <w:pPr>
        <w:ind w:firstLine="720"/>
        <w:rPr>
          <w:sz w:val="24"/>
          <w:szCs w:val="24"/>
        </w:rPr>
      </w:pPr>
    </w:p>
    <w:p w:rsidR="00F47DAE" w:rsidRDefault="009219C2">
      <w:pPr>
        <w:ind w:firstLine="720"/>
        <w:rPr>
          <w:sz w:val="24"/>
          <w:szCs w:val="24"/>
        </w:rPr>
      </w:pPr>
      <w:r>
        <w:rPr>
          <w:sz w:val="24"/>
          <w:szCs w:val="24"/>
        </w:rPr>
        <w:t xml:space="preserve">You state that </w:t>
      </w:r>
      <w:r w:rsidR="00F47DAE">
        <w:rPr>
          <w:sz w:val="24"/>
          <w:szCs w:val="24"/>
        </w:rPr>
        <w:t xml:space="preserve">Autoliv makes a variety of radar detection devices for vehicles, including other radar models (Dually Compliant Vehicular Radars) that are compliant with the emissions limits that </w:t>
      </w:r>
      <w:r w:rsidR="0092094A">
        <w:rPr>
          <w:sz w:val="24"/>
          <w:szCs w:val="24"/>
        </w:rPr>
        <w:t>went</w:t>
      </w:r>
      <w:r w:rsidR="00F47DAE">
        <w:rPr>
          <w:sz w:val="24"/>
          <w:szCs w:val="24"/>
        </w:rPr>
        <w:t xml:space="preserve"> into effect on January 1, 2014.  You state that in anticipation of the impending emissions limit change, Autoliv has successfully transitioned more than 99% of its radar sales to the Dually Compliant units and has been working diligently since mid-2011 to adapt these devices for Caterpillar’s use.  However, radar systems for large industrial vehicles must be specifically designed for each vehicle type with its specific characteristics taken into consideration.  </w:t>
      </w:r>
      <w:r w:rsidR="00565320">
        <w:rPr>
          <w:sz w:val="24"/>
          <w:szCs w:val="24"/>
        </w:rPr>
        <w:t>Specifically, i</w:t>
      </w:r>
      <w:r w:rsidR="00F47DAE">
        <w:rPr>
          <w:sz w:val="24"/>
          <w:szCs w:val="24"/>
        </w:rPr>
        <w:t>n the case of Caterpillar’s Large Mining Trucks and Large Wheel L</w:t>
      </w:r>
      <w:r w:rsidR="006F7B85">
        <w:rPr>
          <w:sz w:val="24"/>
          <w:szCs w:val="24"/>
        </w:rPr>
        <w:t>o</w:t>
      </w:r>
      <w:r w:rsidR="00F47DAE">
        <w:rPr>
          <w:sz w:val="24"/>
          <w:szCs w:val="24"/>
        </w:rPr>
        <w:t xml:space="preserve">aders, you discovered </w:t>
      </w:r>
      <w:r w:rsidR="00565320">
        <w:rPr>
          <w:sz w:val="24"/>
          <w:szCs w:val="24"/>
        </w:rPr>
        <w:t>that the radar product</w:t>
      </w:r>
      <w:r w:rsidR="00CB17E9">
        <w:rPr>
          <w:sz w:val="24"/>
          <w:szCs w:val="24"/>
        </w:rPr>
        <w:t>,</w:t>
      </w:r>
      <w:r w:rsidR="00565320">
        <w:rPr>
          <w:sz w:val="24"/>
          <w:szCs w:val="24"/>
        </w:rPr>
        <w:t xml:space="preserve"> which was intended to replace the C4 </w:t>
      </w:r>
      <w:r w:rsidR="00814B62">
        <w:rPr>
          <w:sz w:val="24"/>
          <w:szCs w:val="24"/>
        </w:rPr>
        <w:t xml:space="preserve">vehicular </w:t>
      </w:r>
      <w:r w:rsidR="00565320">
        <w:rPr>
          <w:sz w:val="24"/>
          <w:szCs w:val="24"/>
        </w:rPr>
        <w:t>radar</w:t>
      </w:r>
      <w:r w:rsidR="00CB17E9">
        <w:rPr>
          <w:sz w:val="24"/>
          <w:szCs w:val="24"/>
        </w:rPr>
        <w:t>,</w:t>
      </w:r>
      <w:r w:rsidR="00565320">
        <w:rPr>
          <w:sz w:val="24"/>
          <w:szCs w:val="24"/>
        </w:rPr>
        <w:t xml:space="preserve"> is unable to be adapted to perform in the Caterpillar vehicles.</w:t>
      </w:r>
      <w:r w:rsidR="00263675">
        <w:rPr>
          <w:sz w:val="24"/>
          <w:szCs w:val="24"/>
        </w:rPr>
        <w:t xml:space="preserve">  This significant setback has resulted in Autoliv and Caterpillar having to select a different product for use in the Caterpillar vehicle environment, and to restart the product change process </w:t>
      </w:r>
      <w:r w:rsidR="00CB17E9">
        <w:rPr>
          <w:sz w:val="24"/>
          <w:szCs w:val="24"/>
        </w:rPr>
        <w:t>that</w:t>
      </w:r>
      <w:r w:rsidR="00263675">
        <w:rPr>
          <w:sz w:val="24"/>
          <w:szCs w:val="24"/>
        </w:rPr>
        <w:t xml:space="preserve"> could at least take one year to complete.</w:t>
      </w:r>
      <w:r w:rsidR="00CB17E9">
        <w:rPr>
          <w:sz w:val="24"/>
          <w:szCs w:val="24"/>
        </w:rPr>
        <w:t xml:space="preserve">  </w:t>
      </w:r>
      <w:r w:rsidR="00F47DAE">
        <w:rPr>
          <w:sz w:val="24"/>
          <w:szCs w:val="24"/>
        </w:rPr>
        <w:t xml:space="preserve">You anticipate that redesign and validation of radar systems for the subject Caterpillar vehicles using </w:t>
      </w:r>
      <w:r w:rsidR="00263675">
        <w:rPr>
          <w:sz w:val="24"/>
          <w:szCs w:val="24"/>
        </w:rPr>
        <w:t>c</w:t>
      </w:r>
      <w:r w:rsidR="00F47DAE">
        <w:rPr>
          <w:sz w:val="24"/>
          <w:szCs w:val="24"/>
        </w:rPr>
        <w:t>ompliant radars will take through 201</w:t>
      </w:r>
      <w:r w:rsidR="00263675">
        <w:rPr>
          <w:sz w:val="24"/>
          <w:szCs w:val="24"/>
        </w:rPr>
        <w:t>6</w:t>
      </w:r>
      <w:r w:rsidR="00F47DAE">
        <w:rPr>
          <w:sz w:val="24"/>
          <w:szCs w:val="24"/>
        </w:rPr>
        <w:t xml:space="preserve"> to complete.  </w:t>
      </w:r>
    </w:p>
    <w:p w:rsidR="00F47DAE" w:rsidRDefault="00F47DAE">
      <w:pPr>
        <w:rPr>
          <w:sz w:val="24"/>
          <w:szCs w:val="24"/>
        </w:rPr>
      </w:pPr>
    </w:p>
    <w:p w:rsidR="00F47DAE" w:rsidRDefault="00263675">
      <w:pPr>
        <w:ind w:firstLine="720"/>
        <w:rPr>
          <w:sz w:val="24"/>
          <w:szCs w:val="24"/>
        </w:rPr>
      </w:pPr>
      <w:r>
        <w:rPr>
          <w:sz w:val="24"/>
          <w:szCs w:val="24"/>
        </w:rPr>
        <w:t>Y</w:t>
      </w:r>
      <w:r w:rsidR="00F47DAE">
        <w:rPr>
          <w:sz w:val="24"/>
          <w:szCs w:val="24"/>
        </w:rPr>
        <w:t xml:space="preserve">ou </w:t>
      </w:r>
      <w:r>
        <w:rPr>
          <w:sz w:val="24"/>
          <w:szCs w:val="24"/>
        </w:rPr>
        <w:t xml:space="preserve">explain </w:t>
      </w:r>
      <w:r w:rsidR="00F47DAE">
        <w:rPr>
          <w:sz w:val="24"/>
          <w:szCs w:val="24"/>
        </w:rPr>
        <w:t xml:space="preserve">that the Caterpillar vehicles cannot be operated safely without effective radar systems, due to their size and shape and their operating environment (often in mines and in narrow passageways).  </w:t>
      </w:r>
      <w:r>
        <w:rPr>
          <w:sz w:val="24"/>
          <w:szCs w:val="24"/>
        </w:rPr>
        <w:t>You also state</w:t>
      </w:r>
      <w:r w:rsidR="00DD468C">
        <w:rPr>
          <w:sz w:val="24"/>
          <w:szCs w:val="24"/>
        </w:rPr>
        <w:t xml:space="preserve"> that your</w:t>
      </w:r>
      <w:r>
        <w:rPr>
          <w:sz w:val="24"/>
          <w:szCs w:val="24"/>
        </w:rPr>
        <w:t xml:space="preserve"> waiver request is temporary in time (through December 31, 2016) and limited in scope, where no more than </w:t>
      </w:r>
      <w:r w:rsidR="00FB3C8D">
        <w:rPr>
          <w:sz w:val="24"/>
          <w:szCs w:val="24"/>
        </w:rPr>
        <w:t xml:space="preserve">3000 C4 </w:t>
      </w:r>
      <w:r w:rsidR="00814B62">
        <w:rPr>
          <w:sz w:val="24"/>
          <w:szCs w:val="24"/>
        </w:rPr>
        <w:t xml:space="preserve">vehicular </w:t>
      </w:r>
      <w:r w:rsidR="00FB3C8D">
        <w:rPr>
          <w:sz w:val="24"/>
          <w:szCs w:val="24"/>
        </w:rPr>
        <w:t>radar</w:t>
      </w:r>
      <w:r w:rsidR="00CB17E9">
        <w:rPr>
          <w:sz w:val="24"/>
          <w:szCs w:val="24"/>
        </w:rPr>
        <w:t>s</w:t>
      </w:r>
      <w:r w:rsidR="005E4EE8">
        <w:rPr>
          <w:sz w:val="24"/>
          <w:szCs w:val="24"/>
        </w:rPr>
        <w:t xml:space="preserve"> per year</w:t>
      </w:r>
      <w:r w:rsidR="00FB3C8D">
        <w:rPr>
          <w:sz w:val="24"/>
          <w:szCs w:val="24"/>
        </w:rPr>
        <w:t xml:space="preserve"> will be commissioned and </w:t>
      </w:r>
      <w:r w:rsidR="00814B62">
        <w:rPr>
          <w:sz w:val="24"/>
          <w:szCs w:val="24"/>
        </w:rPr>
        <w:t xml:space="preserve">furthermore, </w:t>
      </w:r>
      <w:r w:rsidR="00FB3C8D">
        <w:rPr>
          <w:sz w:val="24"/>
          <w:szCs w:val="24"/>
        </w:rPr>
        <w:t xml:space="preserve">their use will be restricted to Caterpillar vehicles only.  You further state that the grant of this waiver will not have a large cumulative impact on other </w:t>
      </w:r>
      <w:r w:rsidR="00BF6FDF">
        <w:rPr>
          <w:sz w:val="24"/>
          <w:szCs w:val="24"/>
        </w:rPr>
        <w:t>vehicles,</w:t>
      </w:r>
      <w:r w:rsidR="00FB3C8D">
        <w:rPr>
          <w:sz w:val="24"/>
          <w:szCs w:val="24"/>
        </w:rPr>
        <w:t xml:space="preserve"> as the use of Caterpillar vehicles equipped with C4 </w:t>
      </w:r>
      <w:r w:rsidR="00814B62">
        <w:rPr>
          <w:sz w:val="24"/>
          <w:szCs w:val="24"/>
        </w:rPr>
        <w:t xml:space="preserve">vehicular </w:t>
      </w:r>
      <w:r w:rsidR="00FB3C8D">
        <w:rPr>
          <w:sz w:val="24"/>
          <w:szCs w:val="24"/>
        </w:rPr>
        <w:t>radars is limited to mining and industrial operations.  A</w:t>
      </w:r>
      <w:r w:rsidR="00F47DAE">
        <w:rPr>
          <w:sz w:val="24"/>
          <w:szCs w:val="24"/>
        </w:rPr>
        <w:t xml:space="preserve">ccordingly, Caterpillar requested </w:t>
      </w:r>
      <w:r w:rsidR="00814B62">
        <w:rPr>
          <w:sz w:val="24"/>
          <w:szCs w:val="24"/>
        </w:rPr>
        <w:t xml:space="preserve">modification and </w:t>
      </w:r>
      <w:r w:rsidR="00F47DAE">
        <w:rPr>
          <w:sz w:val="24"/>
          <w:szCs w:val="24"/>
        </w:rPr>
        <w:t xml:space="preserve">temporary </w:t>
      </w:r>
      <w:r w:rsidR="00814B62">
        <w:rPr>
          <w:sz w:val="24"/>
          <w:szCs w:val="24"/>
        </w:rPr>
        <w:t xml:space="preserve">extension of </w:t>
      </w:r>
      <w:r w:rsidR="00DD468C">
        <w:rPr>
          <w:sz w:val="24"/>
          <w:szCs w:val="24"/>
        </w:rPr>
        <w:t xml:space="preserve">the </w:t>
      </w:r>
      <w:r w:rsidR="00814B62">
        <w:rPr>
          <w:sz w:val="24"/>
          <w:szCs w:val="24"/>
        </w:rPr>
        <w:t xml:space="preserve">current </w:t>
      </w:r>
      <w:r w:rsidR="00F47DAE">
        <w:rPr>
          <w:sz w:val="24"/>
          <w:szCs w:val="24"/>
        </w:rPr>
        <w:t xml:space="preserve">waiver in order to continue to equip the subject vehicles with the C4 </w:t>
      </w:r>
      <w:r w:rsidR="00814B62">
        <w:rPr>
          <w:sz w:val="24"/>
          <w:szCs w:val="24"/>
        </w:rPr>
        <w:t xml:space="preserve">vehicular </w:t>
      </w:r>
      <w:r w:rsidR="00F47DAE">
        <w:rPr>
          <w:sz w:val="24"/>
          <w:szCs w:val="24"/>
        </w:rPr>
        <w:t>radar</w:t>
      </w:r>
      <w:r w:rsidR="00814B62">
        <w:rPr>
          <w:sz w:val="24"/>
          <w:szCs w:val="24"/>
        </w:rPr>
        <w:t>s</w:t>
      </w:r>
      <w:r w:rsidR="00F47DAE">
        <w:rPr>
          <w:sz w:val="24"/>
          <w:szCs w:val="24"/>
        </w:rPr>
        <w:t xml:space="preserve"> through 201</w:t>
      </w:r>
      <w:r>
        <w:rPr>
          <w:sz w:val="24"/>
          <w:szCs w:val="24"/>
        </w:rPr>
        <w:t>6</w:t>
      </w:r>
      <w:r w:rsidR="00F47DAE">
        <w:rPr>
          <w:sz w:val="24"/>
          <w:szCs w:val="24"/>
        </w:rPr>
        <w:t xml:space="preserve">, after which </w:t>
      </w:r>
      <w:r w:rsidR="00814B62">
        <w:rPr>
          <w:sz w:val="24"/>
          <w:szCs w:val="24"/>
        </w:rPr>
        <w:t>the</w:t>
      </w:r>
      <w:r w:rsidR="00F47DAE">
        <w:rPr>
          <w:sz w:val="24"/>
          <w:szCs w:val="24"/>
        </w:rPr>
        <w:t xml:space="preserve"> compliant radars will be available from Autoliv.</w:t>
      </w:r>
      <w:r>
        <w:rPr>
          <w:sz w:val="24"/>
          <w:szCs w:val="24"/>
        </w:rPr>
        <w:t xml:space="preserve"> </w:t>
      </w:r>
    </w:p>
    <w:p w:rsidR="00F47DAE" w:rsidRDefault="00F47DAE">
      <w:pPr>
        <w:rPr>
          <w:sz w:val="24"/>
          <w:szCs w:val="24"/>
        </w:rPr>
      </w:pPr>
    </w:p>
    <w:p w:rsidR="00F47DAE" w:rsidRDefault="00F47DAE">
      <w:pPr>
        <w:ind w:firstLine="720"/>
        <w:rPr>
          <w:sz w:val="24"/>
          <w:szCs w:val="24"/>
        </w:rPr>
      </w:pPr>
      <w:r>
        <w:rPr>
          <w:sz w:val="24"/>
          <w:szCs w:val="24"/>
        </w:rPr>
        <w:t>We are authorized to grant a waiver under Section 1.3 of the Commission's Rules if the petitioner demonstrates good cause for such action.</w:t>
      </w:r>
      <w:bookmarkStart w:id="1" w:name="FN[FN17]"/>
      <w:bookmarkEnd w:id="1"/>
      <w:r>
        <w:rPr>
          <w:sz w:val="24"/>
          <w:szCs w:val="24"/>
        </w:rPr>
        <w:t xml:space="preserve">  (</w:t>
      </w:r>
      <w:hyperlink r:id="rId8" w:tgtFrame="_top" w:history="1">
        <w:r>
          <w:rPr>
            <w:sz w:val="24"/>
            <w:szCs w:val="24"/>
          </w:rPr>
          <w:t>47 C.F.R. § 1.3</w:t>
        </w:r>
      </w:hyperlink>
      <w:r>
        <w:rPr>
          <w:sz w:val="24"/>
          <w:szCs w:val="24"/>
        </w:rPr>
        <w:t xml:space="preserve">.  </w:t>
      </w:r>
      <w:r>
        <w:rPr>
          <w:i/>
          <w:iCs/>
          <w:sz w:val="24"/>
          <w:szCs w:val="24"/>
        </w:rPr>
        <w:t>See also</w:t>
      </w:r>
      <w:r>
        <w:rPr>
          <w:iCs/>
          <w:sz w:val="24"/>
          <w:szCs w:val="24"/>
        </w:rPr>
        <w:t xml:space="preserve"> </w:t>
      </w:r>
      <w:hyperlink r:id="rId9" w:tgtFrame="_top" w:history="1">
        <w:r>
          <w:rPr>
            <w:i/>
            <w:iCs/>
            <w:sz w:val="24"/>
            <w:szCs w:val="24"/>
          </w:rPr>
          <w:t>ICO Global Communications (Holdings) Limited v. FCC</w:t>
        </w:r>
        <w:r>
          <w:rPr>
            <w:sz w:val="24"/>
            <w:szCs w:val="24"/>
          </w:rPr>
          <w:t>, 428 F.3d 264 (D.C. Cir. 2005)</w:t>
        </w:r>
      </w:hyperlink>
      <w:r>
        <w:rPr>
          <w:sz w:val="24"/>
          <w:szCs w:val="24"/>
        </w:rPr>
        <w:t xml:space="preserve">; </w:t>
      </w:r>
      <w:hyperlink r:id="rId10" w:tgtFrame="_top" w:history="1">
        <w:r>
          <w:rPr>
            <w:i/>
            <w:iCs/>
            <w:sz w:val="24"/>
            <w:szCs w:val="24"/>
          </w:rPr>
          <w:t>Northeast Cellular Telephone Co. v. FCC</w:t>
        </w:r>
        <w:r>
          <w:rPr>
            <w:sz w:val="24"/>
            <w:szCs w:val="24"/>
          </w:rPr>
          <w:t>, 897 F.2d 1164 (D.C. Cir. 1990)</w:t>
        </w:r>
      </w:hyperlink>
      <w:r>
        <w:rPr>
          <w:sz w:val="24"/>
          <w:szCs w:val="24"/>
        </w:rPr>
        <w:t xml:space="preserve">; </w:t>
      </w:r>
      <w:hyperlink r:id="rId11" w:tgtFrame="_top" w:history="1">
        <w:r>
          <w:rPr>
            <w:i/>
            <w:iCs/>
            <w:sz w:val="24"/>
            <w:szCs w:val="24"/>
          </w:rPr>
          <w:t>WAIT Radio v. FCC</w:t>
        </w:r>
        <w:r>
          <w:rPr>
            <w:sz w:val="24"/>
            <w:szCs w:val="24"/>
          </w:rPr>
          <w:t>, 418 F.2d 1153 (D.C. Cir. 1969)</w:t>
        </w:r>
      </w:hyperlink>
      <w:r>
        <w:rPr>
          <w:sz w:val="24"/>
          <w:szCs w:val="24"/>
        </w:rPr>
        <w:t xml:space="preserve">.)  Good cause, in turn, may be found and a waiver </w:t>
      </w:r>
      <w:r w:rsidR="00BF6FDF">
        <w:rPr>
          <w:sz w:val="24"/>
          <w:szCs w:val="24"/>
        </w:rPr>
        <w:t>granted,</w:t>
      </w:r>
      <w:r>
        <w:rPr>
          <w:sz w:val="24"/>
          <w:szCs w:val="24"/>
        </w:rPr>
        <w:t xml:space="preserve"> “where particular facts would make strict compliance inconsistent with the public interest.”</w:t>
      </w:r>
      <w:bookmarkStart w:id="2" w:name="FN[FN18]"/>
      <w:bookmarkEnd w:id="2"/>
      <w:r>
        <w:rPr>
          <w:sz w:val="24"/>
          <w:szCs w:val="24"/>
        </w:rPr>
        <w:t xml:space="preserve">  (</w:t>
      </w:r>
      <w:r>
        <w:rPr>
          <w:i/>
          <w:sz w:val="24"/>
          <w:szCs w:val="24"/>
        </w:rPr>
        <w:t>Northeast Cellular</w:t>
      </w:r>
      <w:r>
        <w:rPr>
          <w:sz w:val="24"/>
          <w:szCs w:val="24"/>
        </w:rPr>
        <w:t xml:space="preserve">, </w:t>
      </w:r>
      <w:r>
        <w:rPr>
          <w:i/>
          <w:sz w:val="24"/>
          <w:szCs w:val="24"/>
        </w:rPr>
        <w:t>supra</w:t>
      </w:r>
      <w:r>
        <w:rPr>
          <w:sz w:val="24"/>
          <w:szCs w:val="24"/>
        </w:rPr>
        <w:t xml:space="preserve"> at 1166; </w:t>
      </w:r>
      <w:r>
        <w:rPr>
          <w:i/>
          <w:sz w:val="24"/>
          <w:szCs w:val="24"/>
        </w:rPr>
        <w:t>see also</w:t>
      </w:r>
      <w:r>
        <w:rPr>
          <w:sz w:val="24"/>
          <w:szCs w:val="24"/>
        </w:rPr>
        <w:t xml:space="preserve"> </w:t>
      </w:r>
      <w:hyperlink r:id="rId12" w:tgtFrame="_top" w:history="1">
        <w:r>
          <w:rPr>
            <w:i/>
            <w:iCs/>
            <w:sz w:val="24"/>
            <w:szCs w:val="24"/>
          </w:rPr>
          <w:t>ICO Global Communications</w:t>
        </w:r>
        <w:r>
          <w:rPr>
            <w:sz w:val="24"/>
            <w:szCs w:val="24"/>
          </w:rPr>
          <w:t xml:space="preserve">, </w:t>
        </w:r>
        <w:r>
          <w:rPr>
            <w:i/>
            <w:sz w:val="24"/>
            <w:szCs w:val="24"/>
          </w:rPr>
          <w:t>supra</w:t>
        </w:r>
        <w:r>
          <w:rPr>
            <w:sz w:val="24"/>
            <w:szCs w:val="24"/>
          </w:rPr>
          <w:t xml:space="preserve"> at 269</w:t>
        </w:r>
      </w:hyperlink>
      <w:r>
        <w:rPr>
          <w:sz w:val="24"/>
          <w:szCs w:val="24"/>
        </w:rPr>
        <w:t xml:space="preserve"> (quoting </w:t>
      </w:r>
      <w:r>
        <w:rPr>
          <w:i/>
          <w:sz w:val="24"/>
          <w:szCs w:val="24"/>
        </w:rPr>
        <w:t>Northeast Cellular</w:t>
      </w:r>
      <w:r>
        <w:rPr>
          <w:sz w:val="24"/>
          <w:szCs w:val="24"/>
        </w:rPr>
        <w:t xml:space="preserve">); </w:t>
      </w:r>
      <w:hyperlink r:id="rId13" w:tgtFrame="_top" w:history="1">
        <w:r>
          <w:rPr>
            <w:i/>
            <w:iCs/>
            <w:sz w:val="24"/>
            <w:szCs w:val="24"/>
          </w:rPr>
          <w:t>WAIT Radio</w:t>
        </w:r>
        <w:r>
          <w:rPr>
            <w:sz w:val="24"/>
            <w:szCs w:val="24"/>
          </w:rPr>
          <w:t xml:space="preserve">, </w:t>
        </w:r>
        <w:r>
          <w:rPr>
            <w:i/>
            <w:sz w:val="24"/>
            <w:szCs w:val="24"/>
          </w:rPr>
          <w:t>supra</w:t>
        </w:r>
        <w:r>
          <w:rPr>
            <w:sz w:val="24"/>
            <w:szCs w:val="24"/>
          </w:rPr>
          <w:t xml:space="preserve"> at 1157-59</w:t>
        </w:r>
      </w:hyperlink>
      <w:r>
        <w:rPr>
          <w:sz w:val="24"/>
          <w:szCs w:val="24"/>
        </w:rPr>
        <w:t xml:space="preserve">.)  To make this public interest determination, the waiver cannot undermine the purposes of the rule, and there must be a stronger public interest benefit in </w:t>
      </w:r>
      <w:bookmarkStart w:id="3" w:name="sp_1511_4275"/>
      <w:bookmarkStart w:id="4" w:name="SDU_4275"/>
      <w:bookmarkStart w:id="5" w:name="citeas((Cite_as:_22_F.C.C.R._4272,_*4275"/>
      <w:bookmarkEnd w:id="3"/>
      <w:bookmarkEnd w:id="4"/>
      <w:bookmarkEnd w:id="5"/>
      <w:r>
        <w:rPr>
          <w:sz w:val="24"/>
          <w:szCs w:val="24"/>
        </w:rPr>
        <w:lastRenderedPageBreak/>
        <w:t>granting the waiver than in applying the rule.</w:t>
      </w:r>
      <w:bookmarkStart w:id="6" w:name="FN[FN19]"/>
      <w:bookmarkEnd w:id="6"/>
      <w:r>
        <w:rPr>
          <w:sz w:val="24"/>
          <w:szCs w:val="24"/>
        </w:rPr>
        <w:t xml:space="preserve">  (</w:t>
      </w:r>
      <w:r>
        <w:rPr>
          <w:i/>
          <w:sz w:val="24"/>
          <w:szCs w:val="24"/>
        </w:rPr>
        <w:t xml:space="preserve"> See, e.g.</w:t>
      </w:r>
      <w:r>
        <w:rPr>
          <w:sz w:val="24"/>
          <w:szCs w:val="24"/>
        </w:rPr>
        <w:t xml:space="preserve">, </w:t>
      </w:r>
      <w:hyperlink r:id="rId14" w:tgtFrame="_top" w:history="1">
        <w:r>
          <w:rPr>
            <w:i/>
            <w:iCs/>
            <w:sz w:val="24"/>
            <w:szCs w:val="24"/>
          </w:rPr>
          <w:t>WAIT Radio</w:t>
        </w:r>
        <w:r>
          <w:rPr>
            <w:sz w:val="24"/>
            <w:szCs w:val="24"/>
          </w:rPr>
          <w:t xml:space="preserve">, </w:t>
        </w:r>
        <w:r>
          <w:rPr>
            <w:i/>
            <w:sz w:val="24"/>
            <w:szCs w:val="24"/>
          </w:rPr>
          <w:t>supra</w:t>
        </w:r>
        <w:r>
          <w:rPr>
            <w:sz w:val="24"/>
            <w:szCs w:val="24"/>
          </w:rPr>
          <w:t xml:space="preserve"> at 1157</w:t>
        </w:r>
      </w:hyperlink>
      <w:r>
        <w:rPr>
          <w:sz w:val="24"/>
          <w:szCs w:val="24"/>
        </w:rPr>
        <w:t xml:space="preserve"> (stating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w:t>
      </w:r>
      <w:r>
        <w:rPr>
          <w:i/>
          <w:sz w:val="24"/>
          <w:szCs w:val="24"/>
        </w:rPr>
        <w:t>Northeast Cellular</w:t>
      </w:r>
      <w:r>
        <w:rPr>
          <w:sz w:val="24"/>
          <w:szCs w:val="24"/>
        </w:rPr>
        <w:t xml:space="preserve">, </w:t>
      </w:r>
      <w:r>
        <w:rPr>
          <w:i/>
          <w:sz w:val="24"/>
          <w:szCs w:val="24"/>
        </w:rPr>
        <w:t>supra</w:t>
      </w:r>
      <w:r>
        <w:rPr>
          <w:sz w:val="24"/>
          <w:szCs w:val="24"/>
        </w:rPr>
        <w:t xml:space="preserve"> at 1166 (stating that in granting a waiver, an agency must explain why deviation from the general rule better serves the public interest than would strict adherence to the rule).)</w:t>
      </w:r>
    </w:p>
    <w:p w:rsidR="00F47DAE" w:rsidRDefault="00F47DAE">
      <w:pPr>
        <w:ind w:firstLine="720"/>
        <w:rPr>
          <w:sz w:val="24"/>
          <w:szCs w:val="24"/>
        </w:rPr>
      </w:pPr>
    </w:p>
    <w:p w:rsidR="00482DF8" w:rsidRDefault="00F47DAE" w:rsidP="00622785">
      <w:pPr>
        <w:ind w:firstLine="720"/>
        <w:rPr>
          <w:color w:val="000000"/>
          <w:sz w:val="24"/>
          <w:szCs w:val="24"/>
        </w:rPr>
      </w:pPr>
      <w:r>
        <w:rPr>
          <w:sz w:val="24"/>
          <w:szCs w:val="24"/>
        </w:rPr>
        <w:t xml:space="preserve">Based on the information provided in your request, </w:t>
      </w:r>
      <w:r w:rsidR="009219C2">
        <w:rPr>
          <w:sz w:val="24"/>
          <w:szCs w:val="24"/>
        </w:rPr>
        <w:t xml:space="preserve">we find that </w:t>
      </w:r>
      <w:r>
        <w:rPr>
          <w:sz w:val="24"/>
          <w:szCs w:val="24"/>
        </w:rPr>
        <w:t xml:space="preserve">grant of a temporary waiver is appropriate.  The purpose of the rule at issue is not likely to be undermined by </w:t>
      </w:r>
      <w:r w:rsidR="009219C2">
        <w:rPr>
          <w:sz w:val="24"/>
          <w:szCs w:val="24"/>
        </w:rPr>
        <w:t xml:space="preserve">a </w:t>
      </w:r>
      <w:r>
        <w:rPr>
          <w:sz w:val="24"/>
          <w:szCs w:val="24"/>
        </w:rPr>
        <w:t xml:space="preserve">grant of the waiver.  The emission limits in the subject rule </w:t>
      </w:r>
      <w:r>
        <w:rPr>
          <w:color w:val="000000"/>
          <w:sz w:val="24"/>
          <w:szCs w:val="24"/>
        </w:rPr>
        <w:t>have evolved over time, with one standard applicable to equipment manufactured after January 1, 2005, another standard applicable to equipment manufactured after January 1, 2010, and yet another standard applicable to equipment manufactured after January 1, 2014.  The Commission’s principal concern in adopting this rule and set of phased</w:t>
      </w:r>
      <w:r>
        <w:rPr>
          <w:color w:val="000000"/>
          <w:sz w:val="24"/>
          <w:szCs w:val="24"/>
        </w:rPr>
        <w:noBreakHyphen/>
        <w:t>in limits was the cumulative interference to passive sensing systems operating in the 23.6 to 24.0 GHz band on low earth orbiting satellites, including meteorological satellites, caused by</w:t>
      </w:r>
      <w:r>
        <w:rPr>
          <w:color w:val="000000"/>
          <w:kern w:val="36"/>
          <w:sz w:val="24"/>
          <w:szCs w:val="24"/>
        </w:rPr>
        <w:t xml:space="preserve"> “</w:t>
      </w:r>
      <w:r>
        <w:rPr>
          <w:color w:val="000000"/>
          <w:sz w:val="24"/>
          <w:szCs w:val="24"/>
        </w:rPr>
        <w:t>potentially tens of thousands of transportation vehicles employing these radar devices.</w:t>
      </w:r>
      <w:r w:rsidR="009219C2">
        <w:rPr>
          <w:color w:val="000000"/>
          <w:sz w:val="24"/>
          <w:szCs w:val="24"/>
        </w:rPr>
        <w:t>”</w:t>
      </w:r>
      <w:r>
        <w:rPr>
          <w:color w:val="000000"/>
          <w:sz w:val="24"/>
          <w:szCs w:val="24"/>
        </w:rPr>
        <w:t xml:space="preserve">  (</w:t>
      </w:r>
      <w:r>
        <w:rPr>
          <w:bCs/>
          <w:i/>
          <w:color w:val="000000"/>
          <w:kern w:val="36"/>
          <w:sz w:val="24"/>
          <w:szCs w:val="24"/>
        </w:rPr>
        <w:t>In re Revision of Part 15 of Commission's Rules Regarding Ultra-Wideband Transmission Systems,</w:t>
      </w:r>
      <w:r>
        <w:rPr>
          <w:bCs/>
          <w:color w:val="000000"/>
          <w:kern w:val="36"/>
          <w:sz w:val="24"/>
          <w:szCs w:val="24"/>
        </w:rPr>
        <w:t xml:space="preserve"> First Report &amp; Order, ET Docket No. </w:t>
      </w:r>
      <w:r>
        <w:rPr>
          <w:color w:val="000000"/>
          <w:kern w:val="36"/>
          <w:sz w:val="24"/>
          <w:szCs w:val="24"/>
        </w:rPr>
        <w:t xml:space="preserve">98-153, 17 FCC Rcd. 7435, 7502 (2002).)  </w:t>
      </w:r>
      <w:r>
        <w:rPr>
          <w:color w:val="000000"/>
          <w:sz w:val="24"/>
          <w:szCs w:val="24"/>
        </w:rPr>
        <w:t xml:space="preserve">Multiple </w:t>
      </w:r>
      <w:r>
        <w:rPr>
          <w:sz w:val="24"/>
          <w:szCs w:val="24"/>
        </w:rPr>
        <w:t xml:space="preserve">factors, most notably the low density of vehicles, combine to indicate that the impact of this waiver on the potentially affected satellites is likely to be negligible.  This waiver will apply only for systems to equip the </w:t>
      </w:r>
      <w:r w:rsidR="00FB3C8D">
        <w:rPr>
          <w:sz w:val="24"/>
          <w:szCs w:val="24"/>
        </w:rPr>
        <w:t>Caterpillar</w:t>
      </w:r>
      <w:r>
        <w:rPr>
          <w:sz w:val="24"/>
          <w:szCs w:val="24"/>
        </w:rPr>
        <w:t xml:space="preserve"> vehicles </w:t>
      </w:r>
      <w:r w:rsidR="00FB3C8D">
        <w:rPr>
          <w:sz w:val="24"/>
          <w:szCs w:val="24"/>
        </w:rPr>
        <w:t xml:space="preserve">with C4 </w:t>
      </w:r>
      <w:r w:rsidR="00814B62">
        <w:rPr>
          <w:sz w:val="24"/>
          <w:szCs w:val="24"/>
        </w:rPr>
        <w:t xml:space="preserve">vehicular </w:t>
      </w:r>
      <w:r w:rsidR="00FB3C8D">
        <w:rPr>
          <w:sz w:val="24"/>
          <w:szCs w:val="24"/>
        </w:rPr>
        <w:t>radars</w:t>
      </w:r>
      <w:r w:rsidR="00271A40">
        <w:rPr>
          <w:sz w:val="24"/>
          <w:szCs w:val="24"/>
        </w:rPr>
        <w:t xml:space="preserve">.  </w:t>
      </w:r>
      <w:r w:rsidR="00DB69DE">
        <w:rPr>
          <w:sz w:val="24"/>
          <w:szCs w:val="24"/>
        </w:rPr>
        <w:t xml:space="preserve">The maximum </w:t>
      </w:r>
      <w:r>
        <w:rPr>
          <w:sz w:val="24"/>
          <w:szCs w:val="24"/>
        </w:rPr>
        <w:t xml:space="preserve">anticipated </w:t>
      </w:r>
      <w:r w:rsidR="00DB69DE">
        <w:rPr>
          <w:sz w:val="24"/>
          <w:szCs w:val="24"/>
        </w:rPr>
        <w:t xml:space="preserve">number of C4 </w:t>
      </w:r>
      <w:r w:rsidR="00814B62">
        <w:rPr>
          <w:sz w:val="24"/>
          <w:szCs w:val="24"/>
        </w:rPr>
        <w:t xml:space="preserve">vehicular </w:t>
      </w:r>
      <w:r w:rsidR="00DB69DE">
        <w:rPr>
          <w:sz w:val="24"/>
          <w:szCs w:val="24"/>
        </w:rPr>
        <w:t xml:space="preserve">radars </w:t>
      </w:r>
      <w:r>
        <w:rPr>
          <w:sz w:val="24"/>
          <w:szCs w:val="24"/>
        </w:rPr>
        <w:t xml:space="preserve">to be manufactured during this </w:t>
      </w:r>
      <w:r w:rsidR="00DB69DE">
        <w:rPr>
          <w:sz w:val="24"/>
          <w:szCs w:val="24"/>
        </w:rPr>
        <w:t>two</w:t>
      </w:r>
      <w:r>
        <w:rPr>
          <w:sz w:val="24"/>
          <w:szCs w:val="24"/>
        </w:rPr>
        <w:t>-year period</w:t>
      </w:r>
      <w:r w:rsidR="00DB69DE">
        <w:rPr>
          <w:sz w:val="24"/>
          <w:szCs w:val="24"/>
        </w:rPr>
        <w:t xml:space="preserve"> is 3000 per year</w:t>
      </w:r>
      <w:r>
        <w:rPr>
          <w:sz w:val="24"/>
          <w:szCs w:val="24"/>
        </w:rPr>
        <w:t>.</w:t>
      </w:r>
      <w:r w:rsidR="00B91FE5">
        <w:rPr>
          <w:sz w:val="24"/>
          <w:szCs w:val="24"/>
        </w:rPr>
        <w:t xml:space="preserve">  (This will equip roughly 500 vehicle</w:t>
      </w:r>
      <w:r w:rsidR="00010D01">
        <w:rPr>
          <w:sz w:val="24"/>
          <w:szCs w:val="24"/>
        </w:rPr>
        <w:t>s</w:t>
      </w:r>
      <w:r w:rsidR="00B91FE5">
        <w:rPr>
          <w:sz w:val="24"/>
          <w:szCs w:val="24"/>
        </w:rPr>
        <w:t xml:space="preserve"> per year, which is on the same scale as the volume authorized under the initial waiver.)  </w:t>
      </w:r>
      <w:r>
        <w:rPr>
          <w:sz w:val="24"/>
          <w:szCs w:val="24"/>
        </w:rPr>
        <w:t xml:space="preserve">We further note </w:t>
      </w:r>
      <w:r w:rsidR="00B91FE5">
        <w:rPr>
          <w:sz w:val="24"/>
          <w:szCs w:val="24"/>
        </w:rPr>
        <w:t xml:space="preserve">that many of these radars will be sold to operators in other countries, and that </w:t>
      </w:r>
      <w:r>
        <w:rPr>
          <w:sz w:val="24"/>
          <w:szCs w:val="24"/>
        </w:rPr>
        <w:t xml:space="preserve">these vehicles </w:t>
      </w:r>
      <w:r>
        <w:rPr>
          <w:color w:val="000000"/>
          <w:sz w:val="24"/>
          <w:szCs w:val="24"/>
        </w:rPr>
        <w:t>sometimes</w:t>
      </w:r>
      <w:r>
        <w:rPr>
          <w:color w:val="C0504D"/>
          <w:sz w:val="24"/>
          <w:szCs w:val="24"/>
        </w:rPr>
        <w:t xml:space="preserve"> </w:t>
      </w:r>
      <w:r>
        <w:rPr>
          <w:sz w:val="24"/>
          <w:szCs w:val="24"/>
        </w:rPr>
        <w:t xml:space="preserve">operate in mines, which would significantly attenuate the emissions from their radars. </w:t>
      </w:r>
      <w:r w:rsidR="00A11185">
        <w:rPr>
          <w:sz w:val="24"/>
          <w:szCs w:val="24"/>
        </w:rPr>
        <w:t xml:space="preserve"> </w:t>
      </w:r>
      <w:r w:rsidR="00F63542">
        <w:rPr>
          <w:sz w:val="24"/>
          <w:szCs w:val="24"/>
        </w:rPr>
        <w:t xml:space="preserve">Nevertheless, we are concerned of the precedent this sets and of the potential of future proliferation of these devices both in the United </w:t>
      </w:r>
      <w:r w:rsidR="00F63542" w:rsidRPr="00B13ACA">
        <w:rPr>
          <w:sz w:val="24"/>
          <w:szCs w:val="24"/>
        </w:rPr>
        <w:t xml:space="preserve">States and abroad.  It is important that passive operations in the </w:t>
      </w:r>
      <w:r w:rsidR="00F63542">
        <w:rPr>
          <w:color w:val="000000"/>
          <w:sz w:val="24"/>
          <w:szCs w:val="24"/>
        </w:rPr>
        <w:t xml:space="preserve">23.6 to </w:t>
      </w:r>
    </w:p>
    <w:p w:rsidR="00F63542" w:rsidRDefault="00F63542" w:rsidP="00482DF8">
      <w:pPr>
        <w:rPr>
          <w:sz w:val="24"/>
          <w:szCs w:val="24"/>
        </w:rPr>
      </w:pPr>
      <w:r>
        <w:rPr>
          <w:color w:val="000000"/>
          <w:sz w:val="24"/>
          <w:szCs w:val="24"/>
        </w:rPr>
        <w:t>2</w:t>
      </w:r>
      <w:r w:rsidR="00390D61">
        <w:rPr>
          <w:color w:val="000000"/>
          <w:sz w:val="24"/>
          <w:szCs w:val="24"/>
        </w:rPr>
        <w:t>4</w:t>
      </w:r>
      <w:r w:rsidRPr="00B13ACA">
        <w:rPr>
          <w:color w:val="000000"/>
          <w:sz w:val="24"/>
          <w:szCs w:val="24"/>
        </w:rPr>
        <w:t xml:space="preserve"> GHz band be protected because they provide </w:t>
      </w:r>
      <w:r w:rsidRPr="00C4211B">
        <w:rPr>
          <w:sz w:val="24"/>
          <w:szCs w:val="24"/>
        </w:rPr>
        <w:t>essential data for predicting weather.  We are also concerned about inter</w:t>
      </w:r>
      <w:r>
        <w:rPr>
          <w:sz w:val="24"/>
          <w:szCs w:val="24"/>
        </w:rPr>
        <w:t>f</w:t>
      </w:r>
      <w:r w:rsidRPr="00C4211B">
        <w:rPr>
          <w:sz w:val="24"/>
          <w:szCs w:val="24"/>
        </w:rPr>
        <w:t>e</w:t>
      </w:r>
      <w:r>
        <w:rPr>
          <w:sz w:val="24"/>
          <w:szCs w:val="24"/>
        </w:rPr>
        <w:t>re</w:t>
      </w:r>
      <w:r w:rsidRPr="00C4211B">
        <w:rPr>
          <w:sz w:val="24"/>
          <w:szCs w:val="24"/>
        </w:rPr>
        <w:t>nce to radio astronomy observations</w:t>
      </w:r>
      <w:r>
        <w:rPr>
          <w:sz w:val="24"/>
          <w:szCs w:val="24"/>
        </w:rPr>
        <w:t xml:space="preserve"> in this band</w:t>
      </w:r>
      <w:r w:rsidRPr="00C4211B">
        <w:rPr>
          <w:sz w:val="24"/>
          <w:szCs w:val="24"/>
        </w:rPr>
        <w:t>.</w:t>
      </w:r>
      <w:r w:rsidR="00A11185">
        <w:rPr>
          <w:sz w:val="24"/>
          <w:szCs w:val="24"/>
        </w:rPr>
        <w:t xml:space="preserve">  </w:t>
      </w:r>
      <w:r w:rsidRPr="00C4211B">
        <w:rPr>
          <w:sz w:val="24"/>
          <w:szCs w:val="24"/>
        </w:rPr>
        <w:t xml:space="preserve">Some </w:t>
      </w:r>
      <w:r w:rsidRPr="007135C2">
        <w:rPr>
          <w:sz w:val="24"/>
          <w:szCs w:val="24"/>
        </w:rPr>
        <w:t xml:space="preserve">observatories, </w:t>
      </w:r>
      <w:r w:rsidRPr="00AE344C">
        <w:rPr>
          <w:i/>
          <w:sz w:val="24"/>
          <w:szCs w:val="24"/>
        </w:rPr>
        <w:t>e.g.</w:t>
      </w:r>
      <w:r w:rsidRPr="00C4211B">
        <w:rPr>
          <w:sz w:val="24"/>
          <w:szCs w:val="24"/>
        </w:rPr>
        <w:t xml:space="preserve"> the Green Bank Telescope in West Virginia are close to mining sites.</w:t>
      </w:r>
      <w:r>
        <w:t xml:space="preserve"> </w:t>
      </w:r>
      <w:r w:rsidR="00A11185">
        <w:t xml:space="preserve"> </w:t>
      </w:r>
      <w:r>
        <w:rPr>
          <w:sz w:val="24"/>
          <w:szCs w:val="24"/>
        </w:rPr>
        <w:t xml:space="preserve">Accordingly, we </w:t>
      </w:r>
      <w:r w:rsidR="00C1410D">
        <w:rPr>
          <w:sz w:val="24"/>
          <w:szCs w:val="24"/>
        </w:rPr>
        <w:t>do</w:t>
      </w:r>
      <w:r>
        <w:rPr>
          <w:sz w:val="24"/>
          <w:szCs w:val="24"/>
        </w:rPr>
        <w:t xml:space="preserve"> not </w:t>
      </w:r>
      <w:r w:rsidR="002F2481">
        <w:rPr>
          <w:sz w:val="24"/>
          <w:szCs w:val="24"/>
        </w:rPr>
        <w:t xml:space="preserve">contemplate any further </w:t>
      </w:r>
      <w:r w:rsidR="00A36AA1">
        <w:rPr>
          <w:sz w:val="24"/>
          <w:szCs w:val="24"/>
        </w:rPr>
        <w:t xml:space="preserve">extension of this </w:t>
      </w:r>
      <w:r>
        <w:rPr>
          <w:sz w:val="24"/>
          <w:szCs w:val="24"/>
        </w:rPr>
        <w:t>waiver</w:t>
      </w:r>
      <w:r w:rsidR="002F2481">
        <w:rPr>
          <w:sz w:val="24"/>
          <w:szCs w:val="24"/>
        </w:rPr>
        <w:t>.</w:t>
      </w:r>
    </w:p>
    <w:p w:rsidR="00F47DAE" w:rsidRDefault="00F47DAE">
      <w:pPr>
        <w:ind w:firstLine="720"/>
        <w:rPr>
          <w:sz w:val="24"/>
          <w:szCs w:val="24"/>
        </w:rPr>
      </w:pPr>
      <w:r>
        <w:rPr>
          <w:sz w:val="24"/>
          <w:szCs w:val="24"/>
        </w:rPr>
        <w:t xml:space="preserve"> </w:t>
      </w:r>
    </w:p>
    <w:p w:rsidR="00F47DAE" w:rsidRDefault="00F47DAE" w:rsidP="002F2481">
      <w:pPr>
        <w:ind w:firstLine="720"/>
        <w:rPr>
          <w:sz w:val="24"/>
          <w:szCs w:val="24"/>
        </w:rPr>
      </w:pPr>
      <w:r>
        <w:rPr>
          <w:sz w:val="24"/>
          <w:szCs w:val="24"/>
        </w:rPr>
        <w:t xml:space="preserve"> Grant of this waiver will serve the public interest by permitting the continuation of mining and earth moving activities without a diminution in the safety of operation of these large, expensive, valuable, and potentially dangerous vehicles.</w:t>
      </w:r>
    </w:p>
    <w:p w:rsidR="00F47DAE" w:rsidRDefault="00F47DAE">
      <w:pPr>
        <w:ind w:left="60"/>
        <w:rPr>
          <w:sz w:val="24"/>
          <w:szCs w:val="24"/>
        </w:rPr>
      </w:pPr>
    </w:p>
    <w:p w:rsidR="00CB17E9" w:rsidRDefault="00F47DAE">
      <w:pPr>
        <w:ind w:left="60" w:firstLine="660"/>
        <w:rPr>
          <w:sz w:val="24"/>
          <w:szCs w:val="24"/>
        </w:rPr>
      </w:pPr>
      <w:r>
        <w:rPr>
          <w:sz w:val="24"/>
          <w:szCs w:val="24"/>
        </w:rPr>
        <w:t xml:space="preserve">Finally, we note that Autoliv </w:t>
      </w:r>
      <w:r w:rsidR="00271A40">
        <w:rPr>
          <w:sz w:val="24"/>
          <w:szCs w:val="24"/>
        </w:rPr>
        <w:t xml:space="preserve">continues to be </w:t>
      </w:r>
      <w:r>
        <w:rPr>
          <w:sz w:val="24"/>
          <w:szCs w:val="24"/>
        </w:rPr>
        <w:t xml:space="preserve">diligent in its attempts to meet the timetable for the evolution of its radars, completing its modifications for 99% of its supply in a timely fashion, and was on track to completing systems for the subject vehicles on time when it discovered </w:t>
      </w:r>
      <w:r w:rsidR="00DB69DE">
        <w:rPr>
          <w:sz w:val="24"/>
          <w:szCs w:val="24"/>
        </w:rPr>
        <w:t xml:space="preserve">that the radar product which was intended to replace the C4 </w:t>
      </w:r>
      <w:r w:rsidR="00814B62">
        <w:rPr>
          <w:sz w:val="24"/>
          <w:szCs w:val="24"/>
        </w:rPr>
        <w:t xml:space="preserve">vehicular </w:t>
      </w:r>
      <w:r w:rsidR="00DB69DE">
        <w:rPr>
          <w:sz w:val="24"/>
          <w:szCs w:val="24"/>
        </w:rPr>
        <w:t>radar is unable to be adapted to perform in the Caterpillar vehicles, a</w:t>
      </w:r>
      <w:r>
        <w:rPr>
          <w:sz w:val="24"/>
          <w:szCs w:val="24"/>
        </w:rPr>
        <w:t xml:space="preserve"> problem understandably difficult to anticipate.</w:t>
      </w:r>
    </w:p>
    <w:p w:rsidR="00CB17E9" w:rsidRDefault="00CB17E9">
      <w:pPr>
        <w:ind w:left="60" w:firstLine="660"/>
        <w:rPr>
          <w:sz w:val="24"/>
          <w:szCs w:val="24"/>
        </w:rPr>
      </w:pPr>
    </w:p>
    <w:p w:rsidR="00F47DAE" w:rsidRDefault="00F47DAE">
      <w:pPr>
        <w:ind w:left="60" w:firstLine="660"/>
        <w:rPr>
          <w:sz w:val="24"/>
          <w:szCs w:val="24"/>
        </w:rPr>
      </w:pPr>
      <w:r>
        <w:rPr>
          <w:sz w:val="24"/>
          <w:szCs w:val="24"/>
        </w:rPr>
        <w:t xml:space="preserve">Accordingly, pursuant to the delegated authority in Sections 0.31, 0.241, and 1.3 of the Commission’s Rules, 47 C.F.R. §§ 0.31, 0.241, 1.3, we waive the emissions limits of Section 15.515(c) of our Rules to allow Autoliv ASP, Inc. </w:t>
      </w:r>
      <w:r w:rsidR="007E1DEB">
        <w:rPr>
          <w:sz w:val="24"/>
          <w:szCs w:val="24"/>
        </w:rPr>
        <w:t>and Caterpill</w:t>
      </w:r>
      <w:r w:rsidR="00061778">
        <w:rPr>
          <w:sz w:val="24"/>
          <w:szCs w:val="24"/>
        </w:rPr>
        <w:t>a</w:t>
      </w:r>
      <w:r w:rsidR="007E1DEB">
        <w:rPr>
          <w:sz w:val="24"/>
          <w:szCs w:val="24"/>
        </w:rPr>
        <w:t xml:space="preserve">r Inc. </w:t>
      </w:r>
      <w:r>
        <w:rPr>
          <w:sz w:val="24"/>
          <w:szCs w:val="24"/>
        </w:rPr>
        <w:t>to</w:t>
      </w:r>
      <w:r w:rsidR="007E1DEB">
        <w:rPr>
          <w:sz w:val="24"/>
          <w:szCs w:val="24"/>
        </w:rPr>
        <w:t xml:space="preserve"> continue to</w:t>
      </w:r>
      <w:r>
        <w:rPr>
          <w:sz w:val="24"/>
          <w:szCs w:val="24"/>
        </w:rPr>
        <w:t xml:space="preserve"> </w:t>
      </w:r>
      <w:r w:rsidR="00DB69DE">
        <w:rPr>
          <w:sz w:val="24"/>
          <w:szCs w:val="24"/>
        </w:rPr>
        <w:t>import</w:t>
      </w:r>
      <w:r w:rsidR="007E1DEB">
        <w:rPr>
          <w:sz w:val="24"/>
          <w:szCs w:val="24"/>
        </w:rPr>
        <w:t xml:space="preserve"> Autoliv’s C4 vehicular radars which comply with </w:t>
      </w:r>
      <w:r w:rsidR="00814B62">
        <w:rPr>
          <w:sz w:val="24"/>
          <w:szCs w:val="24"/>
        </w:rPr>
        <w:t>the January 1, 2010 emissions limits of Section 15.515(c)</w:t>
      </w:r>
      <w:r w:rsidR="00DB69DE">
        <w:rPr>
          <w:sz w:val="24"/>
          <w:szCs w:val="24"/>
        </w:rPr>
        <w:t xml:space="preserve"> </w:t>
      </w:r>
      <w:r w:rsidR="007E1DEB">
        <w:rPr>
          <w:sz w:val="24"/>
          <w:szCs w:val="24"/>
        </w:rPr>
        <w:t xml:space="preserve">at a rate of up </w:t>
      </w:r>
      <w:r w:rsidR="00DB69DE">
        <w:rPr>
          <w:sz w:val="24"/>
          <w:szCs w:val="24"/>
        </w:rPr>
        <w:t>to 3000 per year</w:t>
      </w:r>
      <w:r w:rsidR="007E1DEB">
        <w:rPr>
          <w:sz w:val="24"/>
          <w:szCs w:val="24"/>
        </w:rPr>
        <w:t xml:space="preserve"> until December 31, 2016</w:t>
      </w:r>
      <w:r w:rsidR="00AF4DEB">
        <w:rPr>
          <w:sz w:val="24"/>
          <w:szCs w:val="24"/>
        </w:rPr>
        <w:t>.</w:t>
      </w:r>
    </w:p>
    <w:p w:rsidR="00F47DAE" w:rsidRDefault="00F47DAE">
      <w:pPr>
        <w:rPr>
          <w:sz w:val="24"/>
          <w:szCs w:val="24"/>
        </w:rPr>
      </w:pPr>
    </w:p>
    <w:p w:rsidR="00F47DAE" w:rsidRDefault="00F47DAE">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AF4DEB">
        <w:rPr>
          <w:sz w:val="24"/>
          <w:szCs w:val="24"/>
        </w:rPr>
        <w:tab/>
      </w:r>
      <w:r w:rsidR="00AF4DEB">
        <w:rPr>
          <w:sz w:val="24"/>
          <w:szCs w:val="24"/>
        </w:rPr>
        <w:tab/>
      </w:r>
      <w:r>
        <w:rPr>
          <w:sz w:val="24"/>
          <w:szCs w:val="24"/>
        </w:rPr>
        <w:t>Sincerely,</w:t>
      </w:r>
    </w:p>
    <w:p w:rsidR="00F47DAE" w:rsidRDefault="00F47DAE" w:rsidP="00721EE5">
      <w:r>
        <w:tab/>
      </w:r>
      <w:r>
        <w:tab/>
      </w:r>
      <w:r>
        <w:tab/>
      </w:r>
      <w:r>
        <w:tab/>
      </w:r>
      <w:r>
        <w:tab/>
      </w:r>
    </w:p>
    <w:p w:rsidR="00F47DAE" w:rsidRDefault="00F47DAE" w:rsidP="00721EE5">
      <w:r>
        <w:tab/>
      </w:r>
      <w:r>
        <w:tab/>
      </w:r>
      <w:r>
        <w:tab/>
      </w:r>
      <w:r>
        <w:tab/>
      </w:r>
      <w:r>
        <w:tab/>
      </w:r>
    </w:p>
    <w:p w:rsidR="00721EE5" w:rsidRDefault="00721EE5" w:rsidP="00721EE5">
      <w:pPr>
        <w:rPr>
          <w:sz w:val="24"/>
          <w:szCs w:val="24"/>
        </w:rPr>
      </w:pPr>
    </w:p>
    <w:p w:rsidR="00F47DAE" w:rsidRDefault="00F47DAE" w:rsidP="00721EE5">
      <w:pPr>
        <w:rPr>
          <w:sz w:val="24"/>
          <w:szCs w:val="24"/>
        </w:rPr>
      </w:pPr>
    </w:p>
    <w:p w:rsidR="00F47DAE" w:rsidRDefault="00F47DAE" w:rsidP="00AF4DEB">
      <w:pPr>
        <w:ind w:left="4320" w:firstLine="720"/>
        <w:jc w:val="both"/>
        <w:rPr>
          <w:sz w:val="24"/>
          <w:szCs w:val="24"/>
        </w:rPr>
      </w:pPr>
      <w:r>
        <w:rPr>
          <w:sz w:val="24"/>
          <w:szCs w:val="24"/>
        </w:rPr>
        <w:t>Julius P. Knapp</w:t>
      </w:r>
    </w:p>
    <w:p w:rsidR="00F47DAE" w:rsidRDefault="00F47DAE">
      <w:pPr>
        <w:jc w:val="both"/>
        <w:rPr>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00AF4DEB">
        <w:rPr>
          <w:spacing w:val="-3"/>
          <w:sz w:val="24"/>
          <w:szCs w:val="24"/>
        </w:rPr>
        <w:tab/>
      </w:r>
      <w:r w:rsidR="00AF4DEB">
        <w:rPr>
          <w:spacing w:val="-3"/>
          <w:sz w:val="24"/>
          <w:szCs w:val="24"/>
        </w:rPr>
        <w:tab/>
      </w:r>
      <w:r>
        <w:rPr>
          <w:sz w:val="24"/>
          <w:szCs w:val="24"/>
        </w:rPr>
        <w:t>Chief</w:t>
      </w:r>
    </w:p>
    <w:p w:rsidR="00F47DAE" w:rsidRDefault="00F47DAE">
      <w:pPr>
        <w:rPr>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00AF4DEB">
        <w:rPr>
          <w:spacing w:val="-3"/>
          <w:sz w:val="24"/>
          <w:szCs w:val="24"/>
        </w:rPr>
        <w:tab/>
      </w:r>
      <w:r w:rsidR="00AF4DEB">
        <w:rPr>
          <w:spacing w:val="-3"/>
          <w:sz w:val="24"/>
          <w:szCs w:val="24"/>
        </w:rPr>
        <w:tab/>
      </w:r>
      <w:r>
        <w:rPr>
          <w:sz w:val="24"/>
          <w:szCs w:val="24"/>
        </w:rPr>
        <w:t>Office of Engineering and Technology</w:t>
      </w:r>
    </w:p>
    <w:sectPr w:rsidR="00F47DAE">
      <w:headerReference w:type="even" r:id="rId15"/>
      <w:headerReference w:type="default" r:id="rId16"/>
      <w:footerReference w:type="even" r:id="rId17"/>
      <w:footerReference w:type="default" r:id="rId18"/>
      <w:headerReference w:type="first" r:id="rId19"/>
      <w:footerReference w:type="first" r:id="rId20"/>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1D" w:rsidRDefault="0075041D">
      <w:r>
        <w:separator/>
      </w:r>
    </w:p>
  </w:endnote>
  <w:endnote w:type="continuationSeparator" w:id="0">
    <w:p w:rsidR="0075041D" w:rsidRDefault="0075041D">
      <w:r>
        <w:continuationSeparator/>
      </w:r>
    </w:p>
  </w:endnote>
  <w:endnote w:type="continuationNotice" w:id="1">
    <w:p w:rsidR="0075041D" w:rsidRDefault="00750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35" w:rsidRDefault="008C3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DE" w:rsidRDefault="00DB69DE">
    <w:pPr>
      <w:pStyle w:val="Footer"/>
      <w:jc w:val="center"/>
    </w:pPr>
    <w:r>
      <w:fldChar w:fldCharType="begin"/>
    </w:r>
    <w:r>
      <w:instrText xml:space="preserve"> PAGE   \* MERGEFORMAT </w:instrText>
    </w:r>
    <w:r>
      <w:fldChar w:fldCharType="separate"/>
    </w:r>
    <w:r w:rsidR="00043804">
      <w:rPr>
        <w:noProof/>
      </w:rPr>
      <w:t>2</w:t>
    </w:r>
    <w:r>
      <w:rPr>
        <w:noProof/>
      </w:rPr>
      <w:fldChar w:fldCharType="end"/>
    </w:r>
  </w:p>
  <w:p w:rsidR="00DB69DE" w:rsidRDefault="00DB69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35" w:rsidRDefault="008C3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1D" w:rsidRDefault="0075041D">
      <w:r>
        <w:separator/>
      </w:r>
    </w:p>
  </w:footnote>
  <w:footnote w:type="continuationSeparator" w:id="0">
    <w:p w:rsidR="0075041D" w:rsidRDefault="0075041D">
      <w:r>
        <w:continuationSeparator/>
      </w:r>
    </w:p>
  </w:footnote>
  <w:footnote w:type="continuationNotice" w:id="1">
    <w:p w:rsidR="0075041D" w:rsidRDefault="0075041D"/>
  </w:footnote>
  <w:footnote w:id="2">
    <w:p w:rsidR="00F63542" w:rsidRPr="00F63542" w:rsidRDefault="00F63542" w:rsidP="00F63542">
      <w:pPr>
        <w:autoSpaceDE w:val="0"/>
        <w:autoSpaceDN w:val="0"/>
        <w:adjustRightInd w:val="0"/>
        <w:rPr>
          <w:rFonts w:eastAsia="Calibri"/>
        </w:rPr>
      </w:pPr>
      <w:r>
        <w:rPr>
          <w:rStyle w:val="FootnoteReference"/>
        </w:rPr>
        <w:footnoteRef/>
      </w:r>
      <w:r>
        <w:t xml:space="preserve"> </w:t>
      </w:r>
      <w:r w:rsidRPr="00F63542">
        <w:rPr>
          <w:rFonts w:eastAsia="Calibri"/>
          <w:bCs/>
        </w:rPr>
        <w:t>US246</w:t>
      </w:r>
      <w:r w:rsidRPr="00F63542">
        <w:rPr>
          <w:rFonts w:eastAsia="Calibri"/>
          <w:b/>
          <w:bCs/>
        </w:rPr>
        <w:t xml:space="preserve"> - </w:t>
      </w:r>
      <w:r w:rsidRPr="00F63542">
        <w:rPr>
          <w:rFonts w:eastAsia="Calibri"/>
        </w:rPr>
        <w:t>No station shall be authorized to transmit in the following bands: 608-614 MHz, except for medical telemetry equipment, 1400-1427 MHz, 1660.5-1668.4 MHz, 2690-2700 MHz, 4990-5000 MHz, 10.68-10.7 GHz,</w:t>
      </w:r>
    </w:p>
    <w:p w:rsidR="00F63542" w:rsidRPr="00F63542" w:rsidRDefault="00F63542" w:rsidP="00F63542">
      <w:pPr>
        <w:autoSpaceDE w:val="0"/>
        <w:autoSpaceDN w:val="0"/>
        <w:adjustRightInd w:val="0"/>
        <w:rPr>
          <w:rFonts w:eastAsia="Calibri"/>
        </w:rPr>
      </w:pPr>
      <w:r w:rsidRPr="00F63542">
        <w:rPr>
          <w:rFonts w:eastAsia="Calibri"/>
        </w:rPr>
        <w:t>15.35-15.4 GHz, 23.6-24 GHz, 31.3-31.8 GHz, 50.2-50.4 GHz, 52.6-54.25 GHz, 86-92 GHz, 100-102 GHz, 105-116 GHz, 164-168 GHz, 182-185 GHz, 217-231 GHz.  Medical telemetry equipment shall not cause harmful interference to radio astronomy operations in the band 608-614 MHz and shall be coordinated under the requirements found in 47 C.F.R. § 95.1119.</w:t>
      </w:r>
    </w:p>
    <w:p w:rsidR="00F63542" w:rsidRDefault="00F63542">
      <w:pPr>
        <w:pStyle w:val="FootnoteText"/>
      </w:pPr>
    </w:p>
  </w:footnote>
  <w:footnote w:id="3">
    <w:p w:rsidR="00DB69DE" w:rsidRDefault="00DB69DE">
      <w:pPr>
        <w:pStyle w:val="FootnoteText"/>
      </w:pPr>
      <w:r>
        <w:rPr>
          <w:rStyle w:val="FootnoteReference"/>
        </w:rPr>
        <w:footnoteRef/>
      </w:r>
      <w:r>
        <w:t xml:space="preserve"> </w:t>
      </w:r>
      <w:r w:rsidR="004B3912" w:rsidRPr="004B3912">
        <w:rPr>
          <w:i/>
        </w:rPr>
        <w:t>See</w:t>
      </w:r>
      <w:r w:rsidR="004B3912">
        <w:t xml:space="preserve"> Letter from Julius P. Knapp, Chief, Office of Engineering and Technology, FCC, to Marianne Roach Casserly,  Counsel for Autoliv ASP, Inc. &amp; Caterpillar, Inc., 29 FCC Rcd 5 (OET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35" w:rsidRDefault="008C3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35" w:rsidRDefault="008C3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DE" w:rsidRDefault="00614C00">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5505" cy="822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00DB69DE">
      <w:rPr>
        <w:rFonts w:ascii="CG Times (W1)" w:hAnsi="CG Times (W1)"/>
        <w:sz w:val="28"/>
      </w:rPr>
      <w:t>Federal Communications Commission</w:t>
    </w:r>
  </w:p>
  <w:p w:rsidR="00DB69DE" w:rsidRDefault="00DB69DE">
    <w:pPr>
      <w:jc w:val="center"/>
    </w:pPr>
    <w:r>
      <w:rPr>
        <w:rFonts w:ascii="CG Times (W1)" w:hAnsi="CG Times (W1)"/>
        <w:sz w:val="28"/>
      </w:rPr>
      <w:t>Washington, D.C. 20554</w:t>
    </w:r>
  </w:p>
  <w:p w:rsidR="00DB69DE" w:rsidRDefault="00DB69DE">
    <w:pPr>
      <w:pStyle w:val="Header"/>
      <w:tabs>
        <w:tab w:val="clear" w:pos="4320"/>
      </w:tabs>
      <w:jc w:val="center"/>
      <w:rPr>
        <w:sz w:val="22"/>
      </w:rPr>
    </w:pPr>
  </w:p>
  <w:p w:rsidR="00DB69DE" w:rsidRDefault="00DB69DE">
    <w:pPr>
      <w:pStyle w:val="Header"/>
      <w:tabs>
        <w:tab w:val="clear" w:pos="4320"/>
      </w:tabs>
      <w:jc w:val="center"/>
      <w:rPr>
        <w:sz w:val="22"/>
      </w:rPr>
    </w:pPr>
  </w:p>
  <w:p w:rsidR="00562774" w:rsidRPr="00562774" w:rsidRDefault="00562774">
    <w:pPr>
      <w:pStyle w:val="Header"/>
      <w:tabs>
        <w:tab w:val="clear" w:pos="4320"/>
      </w:tabs>
      <w:jc w:val="center"/>
      <w:rPr>
        <w:sz w:val="24"/>
        <w:szCs w:val="24"/>
      </w:rPr>
    </w:pPr>
    <w:r w:rsidRPr="00562774">
      <w:rPr>
        <w:sz w:val="24"/>
        <w:szCs w:val="24"/>
      </w:rPr>
      <w:t>November 1</w:t>
    </w:r>
    <w:r w:rsidR="00482DF8">
      <w:rPr>
        <w:sz w:val="24"/>
        <w:szCs w:val="24"/>
      </w:rPr>
      <w:t>9</w:t>
    </w:r>
    <w:r w:rsidRPr="00562774">
      <w:rPr>
        <w:sz w:val="24"/>
        <w:szCs w:val="24"/>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3242"/>
    <w:multiLevelType w:val="hybridMultilevel"/>
    <w:tmpl w:val="5BC8A394"/>
    <w:lvl w:ilvl="0" w:tplc="88FA6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120DA7"/>
    <w:multiLevelType w:val="hybridMultilevel"/>
    <w:tmpl w:val="E4BC8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4424C8"/>
    <w:multiLevelType w:val="hybridMultilevel"/>
    <w:tmpl w:val="AF607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ED197A"/>
    <w:multiLevelType w:val="hybridMultilevel"/>
    <w:tmpl w:val="15AA5BD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DC3B2D"/>
    <w:multiLevelType w:val="hybridMultilevel"/>
    <w:tmpl w:val="2BF83D3A"/>
    <w:lvl w:ilvl="0" w:tplc="F54E5F4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AD677C"/>
    <w:multiLevelType w:val="hybridMultilevel"/>
    <w:tmpl w:val="C9846A0C"/>
    <w:lvl w:ilvl="0" w:tplc="80A473F2">
      <w:start w:val="1"/>
      <w:numFmt w:val="upperLetter"/>
      <w:lvlText w:val="%1)"/>
      <w:lvlJc w:val="left"/>
      <w:pPr>
        <w:ind w:left="720" w:hanging="360"/>
      </w:pPr>
      <w:rPr>
        <w:rFonts w:hint="default"/>
      </w:rPr>
    </w:lvl>
    <w:lvl w:ilvl="1" w:tplc="DEB68E7C">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844EA6"/>
    <w:multiLevelType w:val="hybridMultilevel"/>
    <w:tmpl w:val="0E30BE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6109DF"/>
    <w:multiLevelType w:val="hybridMultilevel"/>
    <w:tmpl w:val="D450A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413742"/>
    <w:multiLevelType w:val="hybridMultilevel"/>
    <w:tmpl w:val="410AA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B35994"/>
    <w:multiLevelType w:val="hybridMultilevel"/>
    <w:tmpl w:val="A3B4A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9835FC"/>
    <w:multiLevelType w:val="hybridMultilevel"/>
    <w:tmpl w:val="7B70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6"/>
  </w:num>
  <w:num w:numId="5">
    <w:abstractNumId w:val="1"/>
  </w:num>
  <w:num w:numId="6">
    <w:abstractNumId w:val="2"/>
  </w:num>
  <w:num w:numId="7">
    <w:abstractNumId w:val="9"/>
  </w:num>
  <w:num w:numId="8">
    <w:abstractNumId w:val="7"/>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99"/>
    <w:rsid w:val="00010D01"/>
    <w:rsid w:val="000218A9"/>
    <w:rsid w:val="00043804"/>
    <w:rsid w:val="00045156"/>
    <w:rsid w:val="00061778"/>
    <w:rsid w:val="00071919"/>
    <w:rsid w:val="00097251"/>
    <w:rsid w:val="000B14E3"/>
    <w:rsid w:val="000D180F"/>
    <w:rsid w:val="00161748"/>
    <w:rsid w:val="001F0A51"/>
    <w:rsid w:val="00206A6F"/>
    <w:rsid w:val="00230626"/>
    <w:rsid w:val="002411D2"/>
    <w:rsid w:val="00263675"/>
    <w:rsid w:val="00271A40"/>
    <w:rsid w:val="002F2481"/>
    <w:rsid w:val="00300AD6"/>
    <w:rsid w:val="00321D5B"/>
    <w:rsid w:val="00390D61"/>
    <w:rsid w:val="003C6B2D"/>
    <w:rsid w:val="003D65D8"/>
    <w:rsid w:val="00414827"/>
    <w:rsid w:val="0043367B"/>
    <w:rsid w:val="00464C10"/>
    <w:rsid w:val="00482DF8"/>
    <w:rsid w:val="004B3912"/>
    <w:rsid w:val="004B5155"/>
    <w:rsid w:val="004C7DD3"/>
    <w:rsid w:val="00545FB4"/>
    <w:rsid w:val="00562774"/>
    <w:rsid w:val="00565320"/>
    <w:rsid w:val="00586693"/>
    <w:rsid w:val="005C729A"/>
    <w:rsid w:val="005D48AD"/>
    <w:rsid w:val="005E4EE8"/>
    <w:rsid w:val="005E7595"/>
    <w:rsid w:val="00614C00"/>
    <w:rsid w:val="0062063F"/>
    <w:rsid w:val="00622785"/>
    <w:rsid w:val="00641D4D"/>
    <w:rsid w:val="006C54BE"/>
    <w:rsid w:val="006F5E6C"/>
    <w:rsid w:val="006F7B85"/>
    <w:rsid w:val="007039F8"/>
    <w:rsid w:val="00721EE5"/>
    <w:rsid w:val="0075041D"/>
    <w:rsid w:val="00791216"/>
    <w:rsid w:val="007C707B"/>
    <w:rsid w:val="007E1DEB"/>
    <w:rsid w:val="00814B62"/>
    <w:rsid w:val="00841310"/>
    <w:rsid w:val="00881228"/>
    <w:rsid w:val="008C3F35"/>
    <w:rsid w:val="0092094A"/>
    <w:rsid w:val="009219C2"/>
    <w:rsid w:val="00935A45"/>
    <w:rsid w:val="00955F7A"/>
    <w:rsid w:val="00973A7C"/>
    <w:rsid w:val="009E2898"/>
    <w:rsid w:val="00A11185"/>
    <w:rsid w:val="00A36AA1"/>
    <w:rsid w:val="00A37E0B"/>
    <w:rsid w:val="00AE2599"/>
    <w:rsid w:val="00AE344C"/>
    <w:rsid w:val="00AF4689"/>
    <w:rsid w:val="00AF4DEB"/>
    <w:rsid w:val="00B2362A"/>
    <w:rsid w:val="00B26370"/>
    <w:rsid w:val="00B65A3A"/>
    <w:rsid w:val="00B71D8F"/>
    <w:rsid w:val="00B91FE5"/>
    <w:rsid w:val="00BA7156"/>
    <w:rsid w:val="00BD34CE"/>
    <w:rsid w:val="00BE698B"/>
    <w:rsid w:val="00BF6FDF"/>
    <w:rsid w:val="00C1410D"/>
    <w:rsid w:val="00C1518E"/>
    <w:rsid w:val="00C16C1B"/>
    <w:rsid w:val="00C40445"/>
    <w:rsid w:val="00C621A2"/>
    <w:rsid w:val="00CB17E9"/>
    <w:rsid w:val="00CB5FA3"/>
    <w:rsid w:val="00CC054B"/>
    <w:rsid w:val="00CC1219"/>
    <w:rsid w:val="00D33F06"/>
    <w:rsid w:val="00D51704"/>
    <w:rsid w:val="00DA49F2"/>
    <w:rsid w:val="00DB69DE"/>
    <w:rsid w:val="00DD468C"/>
    <w:rsid w:val="00E06947"/>
    <w:rsid w:val="00E948D5"/>
    <w:rsid w:val="00EC32F4"/>
    <w:rsid w:val="00ED09B2"/>
    <w:rsid w:val="00ED1FF6"/>
    <w:rsid w:val="00EF392B"/>
    <w:rsid w:val="00F04091"/>
    <w:rsid w:val="00F47DAE"/>
    <w:rsid w:val="00F63542"/>
    <w:rsid w:val="00F63C2D"/>
    <w:rsid w:val="00F7556B"/>
    <w:rsid w:val="00F9710E"/>
    <w:rsid w:val="00FB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EC32F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rPr>
      <w:sz w:val="24"/>
      <w:szCs w:val="24"/>
    </w:rPr>
  </w:style>
  <w:style w:type="character" w:customStyle="1" w:styleId="FooterChar">
    <w:name w:val="Footer Char"/>
    <w:link w:val="Footer"/>
    <w:uiPriority w:val="99"/>
  </w:style>
  <w:style w:type="paragraph" w:styleId="FootnoteText">
    <w:name w:val="footnote text"/>
    <w:basedOn w:val="Normal"/>
    <w:link w:val="FootnoteTextChar"/>
    <w:rsid w:val="00BA7156"/>
  </w:style>
  <w:style w:type="character" w:customStyle="1" w:styleId="FootnoteTextChar">
    <w:name w:val="Footnote Text Char"/>
    <w:basedOn w:val="DefaultParagraphFont"/>
    <w:link w:val="FootnoteText"/>
    <w:rsid w:val="00BA7156"/>
  </w:style>
  <w:style w:type="character" w:styleId="FootnoteReference">
    <w:name w:val="footnote reference"/>
    <w:rsid w:val="00BA7156"/>
    <w:rPr>
      <w:vertAlign w:val="superscript"/>
    </w:rPr>
  </w:style>
  <w:style w:type="paragraph" w:styleId="BalloonText">
    <w:name w:val="Balloon Text"/>
    <w:basedOn w:val="Normal"/>
    <w:link w:val="BalloonTextChar"/>
    <w:rsid w:val="004B5155"/>
    <w:rPr>
      <w:rFonts w:ascii="Tahoma" w:hAnsi="Tahoma" w:cs="Tahoma"/>
      <w:sz w:val="16"/>
      <w:szCs w:val="16"/>
    </w:rPr>
  </w:style>
  <w:style w:type="character" w:customStyle="1" w:styleId="BalloonTextChar">
    <w:name w:val="Balloon Text Char"/>
    <w:link w:val="BalloonText"/>
    <w:rsid w:val="004B5155"/>
    <w:rPr>
      <w:rFonts w:ascii="Tahoma" w:hAnsi="Tahoma" w:cs="Tahoma"/>
      <w:sz w:val="16"/>
      <w:szCs w:val="16"/>
    </w:rPr>
  </w:style>
  <w:style w:type="character" w:styleId="CommentReference">
    <w:name w:val="annotation reference"/>
    <w:rsid w:val="00061778"/>
    <w:rPr>
      <w:sz w:val="16"/>
      <w:szCs w:val="16"/>
    </w:rPr>
  </w:style>
  <w:style w:type="paragraph" w:styleId="CommentText">
    <w:name w:val="annotation text"/>
    <w:basedOn w:val="Normal"/>
    <w:link w:val="CommentTextChar"/>
    <w:rsid w:val="00061778"/>
  </w:style>
  <w:style w:type="character" w:customStyle="1" w:styleId="CommentTextChar">
    <w:name w:val="Comment Text Char"/>
    <w:basedOn w:val="DefaultParagraphFont"/>
    <w:link w:val="CommentText"/>
    <w:rsid w:val="00061778"/>
  </w:style>
  <w:style w:type="paragraph" w:styleId="CommentSubject">
    <w:name w:val="annotation subject"/>
    <w:basedOn w:val="CommentText"/>
    <w:next w:val="CommentText"/>
    <w:link w:val="CommentSubjectChar"/>
    <w:rsid w:val="00061778"/>
    <w:rPr>
      <w:b/>
      <w:bCs/>
    </w:rPr>
  </w:style>
  <w:style w:type="character" w:customStyle="1" w:styleId="CommentSubjectChar">
    <w:name w:val="Comment Subject Char"/>
    <w:link w:val="CommentSubject"/>
    <w:rsid w:val="00061778"/>
    <w:rPr>
      <w:b/>
      <w:bCs/>
    </w:rPr>
  </w:style>
  <w:style w:type="character" w:customStyle="1" w:styleId="Heading1Char">
    <w:name w:val="Heading 1 Char"/>
    <w:link w:val="Heading1"/>
    <w:rsid w:val="00EC32F4"/>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EC32F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rPr>
      <w:sz w:val="24"/>
      <w:szCs w:val="24"/>
    </w:rPr>
  </w:style>
  <w:style w:type="character" w:customStyle="1" w:styleId="FooterChar">
    <w:name w:val="Footer Char"/>
    <w:link w:val="Footer"/>
    <w:uiPriority w:val="99"/>
  </w:style>
  <w:style w:type="paragraph" w:styleId="FootnoteText">
    <w:name w:val="footnote text"/>
    <w:basedOn w:val="Normal"/>
    <w:link w:val="FootnoteTextChar"/>
    <w:rsid w:val="00BA7156"/>
  </w:style>
  <w:style w:type="character" w:customStyle="1" w:styleId="FootnoteTextChar">
    <w:name w:val="Footnote Text Char"/>
    <w:basedOn w:val="DefaultParagraphFont"/>
    <w:link w:val="FootnoteText"/>
    <w:rsid w:val="00BA7156"/>
  </w:style>
  <w:style w:type="character" w:styleId="FootnoteReference">
    <w:name w:val="footnote reference"/>
    <w:rsid w:val="00BA7156"/>
    <w:rPr>
      <w:vertAlign w:val="superscript"/>
    </w:rPr>
  </w:style>
  <w:style w:type="paragraph" w:styleId="BalloonText">
    <w:name w:val="Balloon Text"/>
    <w:basedOn w:val="Normal"/>
    <w:link w:val="BalloonTextChar"/>
    <w:rsid w:val="004B5155"/>
    <w:rPr>
      <w:rFonts w:ascii="Tahoma" w:hAnsi="Tahoma" w:cs="Tahoma"/>
      <w:sz w:val="16"/>
      <w:szCs w:val="16"/>
    </w:rPr>
  </w:style>
  <w:style w:type="character" w:customStyle="1" w:styleId="BalloonTextChar">
    <w:name w:val="Balloon Text Char"/>
    <w:link w:val="BalloonText"/>
    <w:rsid w:val="004B5155"/>
    <w:rPr>
      <w:rFonts w:ascii="Tahoma" w:hAnsi="Tahoma" w:cs="Tahoma"/>
      <w:sz w:val="16"/>
      <w:szCs w:val="16"/>
    </w:rPr>
  </w:style>
  <w:style w:type="character" w:styleId="CommentReference">
    <w:name w:val="annotation reference"/>
    <w:rsid w:val="00061778"/>
    <w:rPr>
      <w:sz w:val="16"/>
      <w:szCs w:val="16"/>
    </w:rPr>
  </w:style>
  <w:style w:type="paragraph" w:styleId="CommentText">
    <w:name w:val="annotation text"/>
    <w:basedOn w:val="Normal"/>
    <w:link w:val="CommentTextChar"/>
    <w:rsid w:val="00061778"/>
  </w:style>
  <w:style w:type="character" w:customStyle="1" w:styleId="CommentTextChar">
    <w:name w:val="Comment Text Char"/>
    <w:basedOn w:val="DefaultParagraphFont"/>
    <w:link w:val="CommentText"/>
    <w:rsid w:val="00061778"/>
  </w:style>
  <w:style w:type="paragraph" w:styleId="CommentSubject">
    <w:name w:val="annotation subject"/>
    <w:basedOn w:val="CommentText"/>
    <w:next w:val="CommentText"/>
    <w:link w:val="CommentSubjectChar"/>
    <w:rsid w:val="00061778"/>
    <w:rPr>
      <w:b/>
      <w:bCs/>
    </w:rPr>
  </w:style>
  <w:style w:type="character" w:customStyle="1" w:styleId="CommentSubjectChar">
    <w:name w:val="Comment Subject Char"/>
    <w:link w:val="CommentSubject"/>
    <w:rsid w:val="00061778"/>
    <w:rPr>
      <w:b/>
      <w:bCs/>
    </w:rPr>
  </w:style>
  <w:style w:type="character" w:customStyle="1" w:styleId="Heading1Char">
    <w:name w:val="Heading 1 Char"/>
    <w:link w:val="Heading1"/>
    <w:rsid w:val="00EC32F4"/>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68892">
      <w:bodyDiv w:val="1"/>
      <w:marLeft w:val="0"/>
      <w:marRight w:val="0"/>
      <w:marTop w:val="0"/>
      <w:marBottom w:val="0"/>
      <w:divBdr>
        <w:top w:val="none" w:sz="0" w:space="0" w:color="auto"/>
        <w:left w:val="none" w:sz="0" w:space="0" w:color="auto"/>
        <w:bottom w:val="none" w:sz="0" w:space="0" w:color="auto"/>
        <w:right w:val="none" w:sz="0" w:space="0" w:color="auto"/>
      </w:divBdr>
      <w:divsChild>
        <w:div w:id="1342320728">
          <w:marLeft w:val="0"/>
          <w:marRight w:val="0"/>
          <w:marTop w:val="0"/>
          <w:marBottom w:val="0"/>
          <w:divBdr>
            <w:top w:val="none" w:sz="0" w:space="0" w:color="auto"/>
            <w:left w:val="none" w:sz="0" w:space="0" w:color="auto"/>
            <w:bottom w:val="none" w:sz="0" w:space="0" w:color="auto"/>
            <w:right w:val="none" w:sz="0" w:space="0" w:color="auto"/>
          </w:divBdr>
          <w:divsChild>
            <w:div w:id="2007636122">
              <w:marLeft w:val="0"/>
              <w:marRight w:val="0"/>
              <w:marTop w:val="0"/>
              <w:marBottom w:val="0"/>
              <w:divBdr>
                <w:top w:val="none" w:sz="0" w:space="0" w:color="auto"/>
                <w:left w:val="none" w:sz="0" w:space="0" w:color="auto"/>
                <w:bottom w:val="none" w:sz="0" w:space="0" w:color="auto"/>
                <w:right w:val="none" w:sz="0" w:space="0" w:color="auto"/>
              </w:divBdr>
              <w:divsChild>
                <w:div w:id="970863482">
                  <w:marLeft w:val="0"/>
                  <w:marRight w:val="0"/>
                  <w:marTop w:val="0"/>
                  <w:marBottom w:val="0"/>
                  <w:divBdr>
                    <w:top w:val="none" w:sz="0" w:space="0" w:color="auto"/>
                    <w:left w:val="none" w:sz="0" w:space="0" w:color="auto"/>
                    <w:bottom w:val="none" w:sz="0" w:space="0" w:color="auto"/>
                    <w:right w:val="none" w:sz="0" w:space="0" w:color="auto"/>
                  </w:divBdr>
                  <w:divsChild>
                    <w:div w:id="1130589894">
                      <w:marLeft w:val="0"/>
                      <w:marRight w:val="0"/>
                      <w:marTop w:val="0"/>
                      <w:marBottom w:val="0"/>
                      <w:divBdr>
                        <w:top w:val="none" w:sz="0" w:space="0" w:color="auto"/>
                        <w:left w:val="none" w:sz="0" w:space="0" w:color="auto"/>
                        <w:bottom w:val="none" w:sz="0" w:space="0" w:color="auto"/>
                        <w:right w:val="none" w:sz="0" w:space="0" w:color="auto"/>
                      </w:divBdr>
                      <w:divsChild>
                        <w:div w:id="2082363677">
                          <w:marLeft w:val="0"/>
                          <w:marRight w:val="0"/>
                          <w:marTop w:val="0"/>
                          <w:marBottom w:val="0"/>
                          <w:divBdr>
                            <w:top w:val="none" w:sz="0" w:space="0" w:color="auto"/>
                            <w:left w:val="none" w:sz="0" w:space="0" w:color="auto"/>
                            <w:bottom w:val="none" w:sz="0" w:space="0" w:color="auto"/>
                            <w:right w:val="none" w:sz="0" w:space="0" w:color="auto"/>
                          </w:divBdr>
                          <w:divsChild>
                            <w:div w:id="1318807382">
                              <w:marLeft w:val="0"/>
                              <w:marRight w:val="0"/>
                              <w:marTop w:val="0"/>
                              <w:marBottom w:val="0"/>
                              <w:divBdr>
                                <w:top w:val="none" w:sz="0" w:space="0" w:color="auto"/>
                                <w:left w:val="none" w:sz="0" w:space="0" w:color="auto"/>
                                <w:bottom w:val="none" w:sz="0" w:space="0" w:color="auto"/>
                                <w:right w:val="none" w:sz="0" w:space="0" w:color="auto"/>
                              </w:divBdr>
                              <w:divsChild>
                                <w:div w:id="15987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2.westlaw.com/find/default.wl?tf=-1&amp;rs=WLW8.08&amp;fn=_top&amp;sv=Split&amp;tc=-1&amp;docname=47CFRS1.3&amp;ordoc=2011591254&amp;findtype=L&amp;db=1000547&amp;vr=2.0&amp;rp=%2ffind%2fdefault.wl&amp;mt=Westlaw" TargetMode="External"/><Relationship Id="rId13"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2.westlaw.com/find/default.wl?tf=-1&amp;rs=WLW8.08&amp;serialnum=1969121124&amp;fn=_top&amp;sv=Split&amp;tc=-1&amp;findtype=Y&amp;ordoc=2011591254&amp;db=350&amp;vr=2.0&amp;rp=%2ffind%2fdefault.wl&amp;mt=Westla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eb2.westlaw.com/find/default.wl?tf=-1&amp;rs=WLW8.08&amp;serialnum=1990047144&amp;fn=_top&amp;sv=Split&amp;tc=-1&amp;findtype=Y&amp;ordoc=2011591254&amp;db=350&amp;vr=2.0&amp;rp=%2ffind%2fdefault.wl&amp;mt=Westlaw"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eb2.westlaw.com/find/default.wl?tf=-1&amp;rs=WLW8.08&amp;serialnum=2007579635&amp;fn=_top&amp;sv=Split&amp;tc=-1&amp;findtype=Y&amp;ordoc=2011591254&amp;db=506&amp;vr=2.0&amp;rp=%2ffind%2fdefault.wl&amp;mt=Westlaw" TargetMode="External"/><Relationship Id="rId14"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1545</Words>
  <Characters>8062</Characters>
  <Application>Microsoft Office Word</Application>
  <DocSecurity>0</DocSecurity>
  <Lines>137</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9706</CharactersWithSpaces>
  <SharedDoc>false</SharedDoc>
  <HyperlinkBase> </HyperlinkBase>
  <HLinks>
    <vt:vector size="42" baseType="variant">
      <vt:variant>
        <vt:i4>6094975</vt:i4>
      </vt:variant>
      <vt:variant>
        <vt:i4>18</vt:i4>
      </vt:variant>
      <vt:variant>
        <vt:i4>0</vt:i4>
      </vt:variant>
      <vt:variant>
        <vt:i4>5</vt:i4>
      </vt:variant>
      <vt:variant>
        <vt:lpwstr>https://web2.westlaw.com/find/default.wl?tf=-1&amp;rs=WLW8.08&amp;referencepositiontype=S&amp;serialnum=1969121124&amp;fn=_top&amp;sv=Split&amp;referenceposition=1157&amp;findtype=Y&amp;tc=-1&amp;ordoc=2011591254&amp;db=350&amp;vr=2.0&amp;rp=%2ffind%2fdefault.wl&amp;mt=Westlaw</vt:lpwstr>
      </vt:variant>
      <vt:variant>
        <vt:lpwstr/>
      </vt:variant>
      <vt:variant>
        <vt:i4>6094975</vt:i4>
      </vt:variant>
      <vt:variant>
        <vt:i4>15</vt:i4>
      </vt:variant>
      <vt:variant>
        <vt:i4>0</vt:i4>
      </vt:variant>
      <vt:variant>
        <vt:i4>5</vt:i4>
      </vt:variant>
      <vt:variant>
        <vt:lpwstr>https://web2.westlaw.com/find/default.wl?tf=-1&amp;rs=WLW8.08&amp;referencepositiontype=S&amp;serialnum=1969121124&amp;fn=_top&amp;sv=Split&amp;referenceposition=1157&amp;findtype=Y&amp;tc=-1&amp;ordoc=2011591254&amp;db=350&amp;vr=2.0&amp;rp=%2ffind%2fdefault.wl&amp;mt=Westlaw</vt:lpwstr>
      </vt:variant>
      <vt:variant>
        <vt:lpwstr/>
      </vt:variant>
      <vt:variant>
        <vt:i4>5439536</vt:i4>
      </vt:variant>
      <vt:variant>
        <vt:i4>12</vt:i4>
      </vt:variant>
      <vt:variant>
        <vt:i4>0</vt:i4>
      </vt:variant>
      <vt:variant>
        <vt:i4>5</vt:i4>
      </vt:variant>
      <vt:variant>
        <vt:lpwstr>https://web2.westlaw.com/find/default.wl?tf=-1&amp;rs=WLW8.08&amp;referencepositiontype=S&amp;serialnum=2007579635&amp;fn=_top&amp;sv=Split&amp;referenceposition=269&amp;findtype=Y&amp;tc=-1&amp;ordoc=2011591254&amp;db=506&amp;vr=2.0&amp;rp=%2ffind%2fdefault.wl&amp;mt=Westlaw</vt:lpwstr>
      </vt:variant>
      <vt:variant>
        <vt:lpwstr/>
      </vt:variant>
      <vt:variant>
        <vt:i4>7667785</vt:i4>
      </vt:variant>
      <vt:variant>
        <vt:i4>9</vt:i4>
      </vt:variant>
      <vt:variant>
        <vt:i4>0</vt:i4>
      </vt:variant>
      <vt:variant>
        <vt:i4>5</vt:i4>
      </vt:variant>
      <vt:variant>
        <vt:lpwstr>https://web2.westlaw.com/find/default.wl?tf=-1&amp;rs=WLW8.08&amp;serialnum=1969121124&amp;fn=_top&amp;sv=Split&amp;tc=-1&amp;findtype=Y&amp;ordoc=2011591254&amp;db=350&amp;vr=2.0&amp;rp=%2ffind%2fdefault.wl&amp;mt=Westlaw</vt:lpwstr>
      </vt:variant>
      <vt:variant>
        <vt:lpwstr/>
      </vt:variant>
      <vt:variant>
        <vt:i4>7995463</vt:i4>
      </vt:variant>
      <vt:variant>
        <vt:i4>6</vt:i4>
      </vt:variant>
      <vt:variant>
        <vt:i4>0</vt:i4>
      </vt:variant>
      <vt:variant>
        <vt:i4>5</vt:i4>
      </vt:variant>
      <vt:variant>
        <vt:lpwstr>https://web2.westlaw.com/find/default.wl?tf=-1&amp;rs=WLW8.08&amp;serialnum=1990047144&amp;fn=_top&amp;sv=Split&amp;tc=-1&amp;findtype=Y&amp;ordoc=2011591254&amp;db=350&amp;vr=2.0&amp;rp=%2ffind%2fdefault.wl&amp;mt=Westlaw</vt:lpwstr>
      </vt:variant>
      <vt:variant>
        <vt:lpwstr/>
      </vt:variant>
      <vt:variant>
        <vt:i4>7405636</vt:i4>
      </vt:variant>
      <vt:variant>
        <vt:i4>3</vt:i4>
      </vt:variant>
      <vt:variant>
        <vt:i4>0</vt:i4>
      </vt:variant>
      <vt:variant>
        <vt:i4>5</vt:i4>
      </vt:variant>
      <vt:variant>
        <vt:lpwstr>https://web2.westlaw.com/find/default.wl?tf=-1&amp;rs=WLW8.08&amp;serialnum=2007579635&amp;fn=_top&amp;sv=Split&amp;tc=-1&amp;findtype=Y&amp;ordoc=2011591254&amp;db=506&amp;vr=2.0&amp;rp=%2ffind%2fdefault.wl&amp;mt=Westlaw</vt:lpwstr>
      </vt:variant>
      <vt:variant>
        <vt:lpwstr/>
      </vt:variant>
      <vt:variant>
        <vt:i4>1048703</vt:i4>
      </vt:variant>
      <vt:variant>
        <vt:i4>0</vt:i4>
      </vt:variant>
      <vt:variant>
        <vt:i4>0</vt:i4>
      </vt:variant>
      <vt:variant>
        <vt:i4>5</vt:i4>
      </vt:variant>
      <vt:variant>
        <vt:lpwstr>https://web2.westlaw.com/find/default.wl?tf=-1&amp;rs=WLW8.08&amp;fn=_top&amp;sv=Split&amp;tc=-1&amp;docname=47CFRS1.3&amp;ordoc=2011591254&amp;findtype=L&amp;db=1000547&amp;vr=2.0&amp;rp=%2ffind%2fdefault.wl&amp;mt=Westlaw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2014-11-19T14:27:00Z</dcterms:created>
  <dcterms:modified xsi:type="dcterms:W3CDTF">2014-11-19T14:27:00Z</dcterms:modified>
  <cp:category> </cp:category>
  <cp:contentStatus> </cp:contentStatus>
</cp:coreProperties>
</file>