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12" w:rsidRPr="004101F5" w:rsidRDefault="00DF59FA" w:rsidP="0079170F">
      <w:pPr>
        <w:tabs>
          <w:tab w:val="center" w:pos="4680"/>
          <w:tab w:val="left" w:pos="7894"/>
        </w:tabs>
        <w:rPr>
          <w:b/>
          <w:sz w:val="18"/>
          <w:szCs w:val="18"/>
        </w:rPr>
      </w:pPr>
      <w:bookmarkStart w:id="0" w:name="OLE_LINK1"/>
      <w:bookmarkStart w:id="1" w:name="OLE_LINK2"/>
      <w:bookmarkStart w:id="2" w:name="_GoBack"/>
      <w:bookmarkEnd w:id="2"/>
      <w:r>
        <w:rPr>
          <w:b/>
          <w:szCs w:val="22"/>
        </w:rPr>
        <w:tab/>
      </w:r>
      <w:r w:rsidR="009D7C87">
        <w:rPr>
          <w:b/>
          <w:szCs w:val="22"/>
        </w:rPr>
        <w:t>Before the</w:t>
      </w:r>
      <w:r w:rsidR="009D7C87">
        <w:rPr>
          <w:b/>
          <w:szCs w:val="22"/>
        </w:rPr>
        <w:tab/>
      </w:r>
      <w:r w:rsidR="009D7C87" w:rsidRPr="004101F5">
        <w:rPr>
          <w:b/>
          <w:color w:val="FF0000"/>
          <w:sz w:val="18"/>
          <w:szCs w:val="18"/>
        </w:rPr>
        <w:t xml:space="preserve"> </w:t>
      </w:r>
    </w:p>
    <w:p w:rsidR="00412F12" w:rsidRPr="00041014" w:rsidRDefault="00412F12" w:rsidP="006B6DE1">
      <w:pPr>
        <w:jc w:val="center"/>
        <w:rPr>
          <w:b/>
          <w:szCs w:val="22"/>
        </w:rPr>
      </w:pPr>
      <w:r w:rsidRPr="00041014">
        <w:rPr>
          <w:b/>
          <w:szCs w:val="22"/>
        </w:rPr>
        <w:t>Federal Communications Commission</w:t>
      </w:r>
    </w:p>
    <w:p w:rsidR="00412F12" w:rsidRPr="00B352D3" w:rsidRDefault="00412F12" w:rsidP="006B6DE1">
      <w:pPr>
        <w:jc w:val="center"/>
        <w:rPr>
          <w:b/>
        </w:rPr>
      </w:pPr>
      <w:r w:rsidRPr="00041014">
        <w:rPr>
          <w:b/>
          <w:szCs w:val="22"/>
        </w:rPr>
        <w:t>Washington, D.C. 20554</w:t>
      </w:r>
    </w:p>
    <w:p w:rsidR="00412F12" w:rsidRPr="00C939BC" w:rsidRDefault="00412F12" w:rsidP="00A01D82">
      <w:pPr>
        <w:jc w:val="right"/>
        <w:rPr>
          <w:b/>
        </w:rPr>
      </w:pPr>
    </w:p>
    <w:tbl>
      <w:tblPr>
        <w:tblW w:w="9576" w:type="dxa"/>
        <w:tblLook w:val="0000" w:firstRow="0" w:lastRow="0" w:firstColumn="0" w:lastColumn="0" w:noHBand="0" w:noVBand="0"/>
      </w:tblPr>
      <w:tblGrid>
        <w:gridCol w:w="4428"/>
        <w:gridCol w:w="1080"/>
        <w:gridCol w:w="4068"/>
      </w:tblGrid>
      <w:tr w:rsidR="00412F12" w:rsidRPr="006D074C" w:rsidTr="00B352D3">
        <w:tc>
          <w:tcPr>
            <w:tcW w:w="4428" w:type="dxa"/>
          </w:tcPr>
          <w:p w:rsidR="00412F12" w:rsidRPr="00501122" w:rsidRDefault="00412F12" w:rsidP="002E09E0">
            <w:pPr>
              <w:keepNext/>
            </w:pPr>
            <w:r w:rsidRPr="00501122">
              <w:rPr>
                <w:szCs w:val="22"/>
              </w:rPr>
              <w:t>In the Matter of</w:t>
            </w:r>
          </w:p>
          <w:p w:rsidR="00412F12" w:rsidRPr="00501122" w:rsidRDefault="00412F12" w:rsidP="002E09E0">
            <w:pPr>
              <w:keepNext/>
            </w:pPr>
          </w:p>
          <w:p w:rsidR="00412F12" w:rsidRPr="00501122" w:rsidRDefault="004B327B" w:rsidP="002E09E0">
            <w:pPr>
              <w:keepNext/>
            </w:pPr>
            <w:r>
              <w:rPr>
                <w:szCs w:val="22"/>
              </w:rPr>
              <w:t>Great American Broadband, Inc.</w:t>
            </w:r>
          </w:p>
        </w:tc>
        <w:tc>
          <w:tcPr>
            <w:tcW w:w="1080" w:type="dxa"/>
          </w:tcPr>
          <w:p w:rsidR="00412F12" w:rsidRPr="00501122" w:rsidRDefault="00412F12" w:rsidP="002E09E0">
            <w:pPr>
              <w:keepNext/>
            </w:pPr>
            <w:r>
              <w:rPr>
                <w:szCs w:val="22"/>
              </w:rPr>
              <w:t xml:space="preserve">    </w:t>
            </w:r>
            <w:r w:rsidRPr="00501122">
              <w:rPr>
                <w:szCs w:val="22"/>
              </w:rPr>
              <w:t>)</w:t>
            </w:r>
          </w:p>
          <w:p w:rsidR="00412F12" w:rsidRPr="00501122" w:rsidRDefault="00412F12" w:rsidP="002E09E0">
            <w:pPr>
              <w:keepNext/>
            </w:pPr>
            <w:r>
              <w:rPr>
                <w:szCs w:val="22"/>
              </w:rPr>
              <w:t xml:space="preserve">    </w:t>
            </w:r>
            <w:r w:rsidRPr="00501122">
              <w:rPr>
                <w:szCs w:val="22"/>
              </w:rPr>
              <w:t>)</w:t>
            </w:r>
          </w:p>
          <w:p w:rsidR="00412F12" w:rsidRPr="00501122" w:rsidRDefault="00412F12" w:rsidP="002E09E0">
            <w:pPr>
              <w:keepNext/>
            </w:pPr>
            <w:r>
              <w:rPr>
                <w:szCs w:val="22"/>
              </w:rPr>
              <w:t xml:space="preserve">    </w:t>
            </w:r>
            <w:r w:rsidRPr="00501122">
              <w:rPr>
                <w:szCs w:val="22"/>
              </w:rPr>
              <w:t>)</w:t>
            </w:r>
          </w:p>
          <w:p w:rsidR="00412F12" w:rsidRPr="00501122" w:rsidRDefault="00412F12" w:rsidP="002E09E0">
            <w:pPr>
              <w:keepNext/>
            </w:pPr>
            <w:r>
              <w:rPr>
                <w:szCs w:val="22"/>
              </w:rPr>
              <w:t xml:space="preserve">    </w:t>
            </w:r>
            <w:r w:rsidRPr="00501122">
              <w:rPr>
                <w:szCs w:val="22"/>
              </w:rPr>
              <w:t>)</w:t>
            </w:r>
          </w:p>
          <w:p w:rsidR="00412F12" w:rsidRDefault="00412F12" w:rsidP="002E09E0">
            <w:pPr>
              <w:keepNext/>
            </w:pPr>
            <w:r>
              <w:rPr>
                <w:szCs w:val="22"/>
              </w:rPr>
              <w:t xml:space="preserve">    </w:t>
            </w:r>
            <w:r w:rsidRPr="00501122">
              <w:rPr>
                <w:szCs w:val="22"/>
              </w:rPr>
              <w:t>)</w:t>
            </w:r>
          </w:p>
          <w:p w:rsidR="00412F12" w:rsidRPr="00501122" w:rsidRDefault="00412F12" w:rsidP="00D61DB3">
            <w:pPr>
              <w:keepNext/>
            </w:pPr>
            <w:r>
              <w:rPr>
                <w:szCs w:val="22"/>
              </w:rPr>
              <w:t xml:space="preserve">    </w:t>
            </w:r>
          </w:p>
        </w:tc>
        <w:tc>
          <w:tcPr>
            <w:tcW w:w="4068" w:type="dxa"/>
          </w:tcPr>
          <w:p w:rsidR="00412F12" w:rsidRPr="00501122" w:rsidRDefault="00412F12" w:rsidP="00B352D3">
            <w:pPr>
              <w:ind w:left="-108" w:firstLine="108"/>
              <w:rPr>
                <w:spacing w:val="-2"/>
              </w:rPr>
            </w:pPr>
            <w:r>
              <w:rPr>
                <w:spacing w:val="-2"/>
                <w:szCs w:val="22"/>
              </w:rPr>
              <w:t xml:space="preserve">               File No.:  </w:t>
            </w:r>
            <w:r w:rsidRPr="00501122">
              <w:rPr>
                <w:spacing w:val="-2"/>
                <w:szCs w:val="22"/>
              </w:rPr>
              <w:t>EB-</w:t>
            </w:r>
            <w:r w:rsidR="0047753A">
              <w:rPr>
                <w:spacing w:val="-2"/>
                <w:szCs w:val="22"/>
              </w:rPr>
              <w:t>IHD</w:t>
            </w:r>
            <w:r w:rsidR="001F55C8">
              <w:rPr>
                <w:spacing w:val="-2"/>
                <w:szCs w:val="22"/>
              </w:rPr>
              <w:t>-14</w:t>
            </w:r>
            <w:r>
              <w:rPr>
                <w:spacing w:val="-2"/>
                <w:szCs w:val="22"/>
              </w:rPr>
              <w:t>-000</w:t>
            </w:r>
            <w:r w:rsidR="001F55C8">
              <w:rPr>
                <w:spacing w:val="-2"/>
                <w:szCs w:val="22"/>
              </w:rPr>
              <w:t>14314</w:t>
            </w:r>
          </w:p>
          <w:p w:rsidR="00412F12" w:rsidRPr="009D7C87" w:rsidRDefault="00412F12" w:rsidP="00B352D3">
            <w:pPr>
              <w:ind w:left="-108" w:firstLine="108"/>
              <w:rPr>
                <w:b/>
              </w:rPr>
            </w:pPr>
          </w:p>
          <w:p w:rsidR="00412F12" w:rsidRPr="00CD14D8" w:rsidRDefault="00412F12" w:rsidP="002E09E0">
            <w:pPr>
              <w:rPr>
                <w:spacing w:val="-2"/>
              </w:rPr>
            </w:pPr>
            <w:r>
              <w:rPr>
                <w:spacing w:val="-2"/>
                <w:szCs w:val="22"/>
              </w:rPr>
              <w:t xml:space="preserve">               </w:t>
            </w:r>
            <w:r w:rsidRPr="00CD14D8">
              <w:rPr>
                <w:spacing w:val="-2"/>
                <w:szCs w:val="22"/>
              </w:rPr>
              <w:t xml:space="preserve">Acct. No.: </w:t>
            </w:r>
            <w:r w:rsidR="00D246C2">
              <w:rPr>
                <w:spacing w:val="-2"/>
                <w:szCs w:val="22"/>
              </w:rPr>
              <w:t xml:space="preserve"> </w:t>
            </w:r>
            <w:r w:rsidR="004B327B" w:rsidRPr="0046259F">
              <w:rPr>
                <w:spacing w:val="-2"/>
                <w:szCs w:val="22"/>
              </w:rPr>
              <w:t>2014</w:t>
            </w:r>
            <w:r w:rsidR="0046259F">
              <w:rPr>
                <w:spacing w:val="-2"/>
                <w:szCs w:val="22"/>
              </w:rPr>
              <w:t>32080037</w:t>
            </w:r>
          </w:p>
          <w:p w:rsidR="00412F12" w:rsidRPr="00E05972" w:rsidRDefault="00412F12" w:rsidP="002E09E0">
            <w:pPr>
              <w:rPr>
                <w:b/>
                <w:spacing w:val="-2"/>
              </w:rPr>
            </w:pPr>
          </w:p>
          <w:p w:rsidR="00412F12" w:rsidRPr="00501122" w:rsidRDefault="00412F12" w:rsidP="0052003A">
            <w:pPr>
              <w:keepNext/>
            </w:pPr>
            <w:r>
              <w:rPr>
                <w:szCs w:val="22"/>
              </w:rPr>
              <w:t xml:space="preserve">               </w:t>
            </w:r>
            <w:r w:rsidRPr="00BB2208">
              <w:rPr>
                <w:szCs w:val="22"/>
              </w:rPr>
              <w:t xml:space="preserve">FRN:  </w:t>
            </w:r>
            <w:r w:rsidR="00B352D3">
              <w:rPr>
                <w:szCs w:val="22"/>
              </w:rPr>
              <w:t>00</w:t>
            </w:r>
            <w:r w:rsidR="0052003A">
              <w:rPr>
                <w:szCs w:val="22"/>
              </w:rPr>
              <w:t>17176173</w:t>
            </w:r>
          </w:p>
        </w:tc>
      </w:tr>
    </w:tbl>
    <w:p w:rsidR="00412F12" w:rsidRDefault="00412F12" w:rsidP="003A16C0">
      <w:pPr>
        <w:tabs>
          <w:tab w:val="left" w:pos="-720"/>
        </w:tabs>
        <w:suppressAutoHyphens/>
        <w:spacing w:line="227" w:lineRule="auto"/>
        <w:jc w:val="center"/>
        <w:rPr>
          <w:b/>
          <w:spacing w:val="-2"/>
          <w:szCs w:val="22"/>
        </w:rPr>
      </w:pPr>
      <w:r>
        <w:rPr>
          <w:b/>
          <w:spacing w:val="-2"/>
          <w:szCs w:val="22"/>
        </w:rPr>
        <w:t>ORDER</w:t>
      </w:r>
    </w:p>
    <w:p w:rsidR="00412F12" w:rsidRPr="00235CE7" w:rsidRDefault="00412F12" w:rsidP="003A16C0">
      <w:pPr>
        <w:tabs>
          <w:tab w:val="left" w:pos="-720"/>
        </w:tabs>
        <w:suppressAutoHyphens/>
        <w:spacing w:line="227" w:lineRule="auto"/>
        <w:jc w:val="center"/>
        <w:rPr>
          <w:b/>
          <w:spacing w:val="-2"/>
          <w:szCs w:val="22"/>
        </w:rPr>
      </w:pPr>
    </w:p>
    <w:p w:rsidR="00412F12" w:rsidRPr="006D074C" w:rsidRDefault="00412F12" w:rsidP="003A16C0">
      <w:pPr>
        <w:tabs>
          <w:tab w:val="left" w:pos="720"/>
          <w:tab w:val="left" w:pos="5400"/>
        </w:tabs>
        <w:suppressAutoHyphens/>
        <w:spacing w:line="227" w:lineRule="auto"/>
        <w:jc w:val="both"/>
        <w:rPr>
          <w:spacing w:val="-2"/>
          <w:szCs w:val="22"/>
        </w:rPr>
      </w:pPr>
      <w:r w:rsidRPr="006D074C">
        <w:rPr>
          <w:b/>
          <w:spacing w:val="-2"/>
          <w:szCs w:val="22"/>
        </w:rPr>
        <w:t>Adopted:</w:t>
      </w:r>
      <w:r w:rsidR="005C6865">
        <w:rPr>
          <w:b/>
          <w:spacing w:val="-2"/>
          <w:szCs w:val="22"/>
        </w:rPr>
        <w:t xml:space="preserve">  </w:t>
      </w:r>
      <w:r w:rsidR="00372313">
        <w:rPr>
          <w:b/>
          <w:spacing w:val="-2"/>
          <w:szCs w:val="22"/>
        </w:rPr>
        <w:t>November 2</w:t>
      </w:r>
      <w:r w:rsidR="0009733E">
        <w:rPr>
          <w:b/>
          <w:spacing w:val="-2"/>
          <w:szCs w:val="22"/>
        </w:rPr>
        <w:t>1</w:t>
      </w:r>
      <w:r w:rsidRPr="00A17158">
        <w:rPr>
          <w:b/>
          <w:spacing w:val="-2"/>
          <w:szCs w:val="22"/>
        </w:rPr>
        <w:t xml:space="preserve">, 2014  </w:t>
      </w:r>
      <w:r w:rsidRPr="00A17158">
        <w:rPr>
          <w:b/>
          <w:spacing w:val="-2"/>
          <w:szCs w:val="22"/>
        </w:rPr>
        <w:tab/>
      </w:r>
      <w:r w:rsidRPr="00A17158">
        <w:rPr>
          <w:b/>
          <w:spacing w:val="-2"/>
          <w:szCs w:val="22"/>
        </w:rPr>
        <w:tab/>
      </w:r>
      <w:r w:rsidRPr="00A17158">
        <w:rPr>
          <w:b/>
          <w:spacing w:val="-2"/>
          <w:szCs w:val="22"/>
        </w:rPr>
        <w:tab/>
        <w:t xml:space="preserve">  Released:</w:t>
      </w:r>
      <w:r w:rsidR="00534F79">
        <w:rPr>
          <w:b/>
          <w:spacing w:val="-2"/>
          <w:szCs w:val="22"/>
        </w:rPr>
        <w:t xml:space="preserve">  November 21</w:t>
      </w:r>
      <w:r w:rsidRPr="00A17158">
        <w:rPr>
          <w:b/>
          <w:spacing w:val="-2"/>
          <w:szCs w:val="22"/>
        </w:rPr>
        <w:t>, 2014</w:t>
      </w:r>
      <w:r>
        <w:rPr>
          <w:b/>
          <w:spacing w:val="-2"/>
          <w:szCs w:val="22"/>
        </w:rPr>
        <w:t xml:space="preserve"> </w:t>
      </w:r>
    </w:p>
    <w:p w:rsidR="00412F12" w:rsidRPr="006D074C" w:rsidRDefault="00412F12" w:rsidP="003A16C0">
      <w:pPr>
        <w:jc w:val="both"/>
        <w:rPr>
          <w:szCs w:val="22"/>
        </w:rPr>
      </w:pPr>
    </w:p>
    <w:p w:rsidR="00412F12" w:rsidRPr="00F73616" w:rsidRDefault="00412F12" w:rsidP="003A16C0">
      <w:pPr>
        <w:jc w:val="both"/>
        <w:rPr>
          <w:szCs w:val="22"/>
        </w:rPr>
      </w:pPr>
      <w:r w:rsidRPr="00F73616">
        <w:rPr>
          <w:szCs w:val="22"/>
        </w:rPr>
        <w:t xml:space="preserve">By the Chief, Enforcement Bureau: </w:t>
      </w:r>
    </w:p>
    <w:p w:rsidR="00412F12" w:rsidRPr="00F73616" w:rsidRDefault="00412F12" w:rsidP="003A16C0">
      <w:pPr>
        <w:jc w:val="both"/>
        <w:rPr>
          <w:szCs w:val="22"/>
        </w:rPr>
      </w:pPr>
    </w:p>
    <w:p w:rsidR="003E74C6" w:rsidRPr="00CB2222" w:rsidRDefault="00412F12" w:rsidP="003E74C6">
      <w:pPr>
        <w:pStyle w:val="Paranum0"/>
        <w:tabs>
          <w:tab w:val="clear" w:pos="1080"/>
          <w:tab w:val="num" w:pos="1440"/>
        </w:tabs>
        <w:spacing w:after="120"/>
        <w:jc w:val="left"/>
        <w:rPr>
          <w:szCs w:val="22"/>
        </w:rPr>
      </w:pPr>
      <w:r w:rsidRPr="00A10BF7">
        <w:rPr>
          <w:szCs w:val="22"/>
        </w:rPr>
        <w:t>The Enforcement Bureau (Bureau) of the Federal Communications Commission (Commission) has resolved</w:t>
      </w:r>
      <w:r w:rsidR="009D350C" w:rsidRPr="00A4236D">
        <w:rPr>
          <w:szCs w:val="22"/>
        </w:rPr>
        <w:t xml:space="preserve"> its investigation into whether</w:t>
      </w:r>
      <w:r w:rsidR="00F15EAF" w:rsidRPr="00A4236D">
        <w:rPr>
          <w:szCs w:val="22"/>
        </w:rPr>
        <w:t xml:space="preserve"> Great American Broadband, Inc. </w:t>
      </w:r>
      <w:r w:rsidR="00856F7E" w:rsidRPr="00A4236D">
        <w:rPr>
          <w:szCs w:val="22"/>
        </w:rPr>
        <w:t>(GAB or Company)</w:t>
      </w:r>
      <w:r w:rsidR="009D350C" w:rsidRPr="00A4236D">
        <w:rPr>
          <w:szCs w:val="22"/>
        </w:rPr>
        <w:t xml:space="preserve"> </w:t>
      </w:r>
      <w:r w:rsidRPr="00A4236D">
        <w:rPr>
          <w:szCs w:val="22"/>
        </w:rPr>
        <w:t xml:space="preserve">complied with </w:t>
      </w:r>
      <w:r w:rsidRPr="00A10BF7">
        <w:rPr>
          <w:szCs w:val="22"/>
        </w:rPr>
        <w:t xml:space="preserve">certain </w:t>
      </w:r>
      <w:r w:rsidR="00E0518A">
        <w:rPr>
          <w:szCs w:val="22"/>
        </w:rPr>
        <w:t xml:space="preserve">Designated Entity </w:t>
      </w:r>
      <w:r w:rsidR="00540D4F">
        <w:rPr>
          <w:szCs w:val="22"/>
        </w:rPr>
        <w:t xml:space="preserve">bidding credit and </w:t>
      </w:r>
      <w:r w:rsidR="003E74C6">
        <w:rPr>
          <w:szCs w:val="22"/>
        </w:rPr>
        <w:t xml:space="preserve">alien </w:t>
      </w:r>
      <w:r w:rsidR="00540D4F">
        <w:rPr>
          <w:szCs w:val="22"/>
        </w:rPr>
        <w:t>ownership requirements applicable to 700 MHz band licens</w:t>
      </w:r>
      <w:r w:rsidR="00A4236D">
        <w:rPr>
          <w:szCs w:val="22"/>
        </w:rPr>
        <w:t>e</w:t>
      </w:r>
      <w:r w:rsidR="00540D4F">
        <w:rPr>
          <w:szCs w:val="22"/>
        </w:rPr>
        <w:t>s</w:t>
      </w:r>
      <w:r w:rsidR="00E0518A">
        <w:rPr>
          <w:szCs w:val="22"/>
        </w:rPr>
        <w:t xml:space="preserve"> obtained during the Commission’s Auction 73</w:t>
      </w:r>
      <w:r w:rsidR="00540D4F">
        <w:rPr>
          <w:szCs w:val="22"/>
        </w:rPr>
        <w:t>.</w:t>
      </w:r>
      <w:r w:rsidR="00395894">
        <w:rPr>
          <w:szCs w:val="22"/>
        </w:rPr>
        <w:t xml:space="preserve">  The bidding credit requirements </w:t>
      </w:r>
      <w:r w:rsidR="003E74C6">
        <w:rPr>
          <w:szCs w:val="22"/>
        </w:rPr>
        <w:t>protect the integrity of the Commission</w:t>
      </w:r>
      <w:r w:rsidR="005C5ABA">
        <w:rPr>
          <w:szCs w:val="22"/>
        </w:rPr>
        <w:t>’</w:t>
      </w:r>
      <w:r w:rsidR="003E74C6">
        <w:rPr>
          <w:szCs w:val="22"/>
        </w:rPr>
        <w:t xml:space="preserve">s Designated Entity program, which </w:t>
      </w:r>
      <w:r w:rsidR="00395894" w:rsidRPr="00A4236D">
        <w:rPr>
          <w:szCs w:val="22"/>
        </w:rPr>
        <w:t>encourage</w:t>
      </w:r>
      <w:r w:rsidR="004C3BF0">
        <w:rPr>
          <w:szCs w:val="22"/>
        </w:rPr>
        <w:t>s</w:t>
      </w:r>
      <w:r w:rsidR="00395894" w:rsidRPr="00A4236D">
        <w:rPr>
          <w:szCs w:val="22"/>
        </w:rPr>
        <w:t xml:space="preserve"> the dissemination of radio communication l</w:t>
      </w:r>
      <w:r w:rsidR="0020650E">
        <w:rPr>
          <w:szCs w:val="22"/>
        </w:rPr>
        <w:t xml:space="preserve">icenses among a wide variety of </w:t>
      </w:r>
      <w:r w:rsidR="00314C27">
        <w:rPr>
          <w:szCs w:val="22"/>
        </w:rPr>
        <w:t xml:space="preserve">auction </w:t>
      </w:r>
      <w:r w:rsidR="00395894" w:rsidRPr="00A4236D">
        <w:rPr>
          <w:szCs w:val="22"/>
        </w:rPr>
        <w:t>applicants</w:t>
      </w:r>
      <w:r w:rsidR="003E74C6">
        <w:rPr>
          <w:szCs w:val="22"/>
        </w:rPr>
        <w:t xml:space="preserve">, </w:t>
      </w:r>
      <w:r w:rsidR="00395894" w:rsidRPr="00A4236D">
        <w:rPr>
          <w:szCs w:val="22"/>
        </w:rPr>
        <w:t>in</w:t>
      </w:r>
      <w:r w:rsidR="003E74C6">
        <w:rPr>
          <w:szCs w:val="22"/>
        </w:rPr>
        <w:t>cluding</w:t>
      </w:r>
      <w:r w:rsidR="00395894" w:rsidRPr="00A4236D">
        <w:rPr>
          <w:szCs w:val="22"/>
        </w:rPr>
        <w:t xml:space="preserve"> small businesses.</w:t>
      </w:r>
      <w:r w:rsidR="003E74C6">
        <w:rPr>
          <w:szCs w:val="22"/>
        </w:rPr>
        <w:t xml:space="preserve">  </w:t>
      </w:r>
      <w:r w:rsidR="00BC1D9D">
        <w:rPr>
          <w:szCs w:val="22"/>
        </w:rPr>
        <w:t>T</w:t>
      </w:r>
      <w:r w:rsidR="00BC1D9D" w:rsidRPr="00A4236D">
        <w:rPr>
          <w:szCs w:val="22"/>
        </w:rPr>
        <w:t>he Communications Act of 1934, as amended</w:t>
      </w:r>
      <w:r w:rsidR="00BC1D9D">
        <w:rPr>
          <w:szCs w:val="22"/>
        </w:rPr>
        <w:t xml:space="preserve"> (Act), requires the Commission to review alien ownership of radio station licenses, and impose specific restrictions on who may hold certain types of radio licenses.  </w:t>
      </w:r>
    </w:p>
    <w:p w:rsidR="00412F12" w:rsidRPr="00A4236D" w:rsidRDefault="005F1594" w:rsidP="00A4236D">
      <w:pPr>
        <w:pStyle w:val="Paranum0"/>
        <w:tabs>
          <w:tab w:val="clear" w:pos="1080"/>
          <w:tab w:val="num" w:pos="1440"/>
        </w:tabs>
        <w:spacing w:after="120"/>
        <w:jc w:val="left"/>
        <w:rPr>
          <w:szCs w:val="22"/>
        </w:rPr>
      </w:pPr>
      <w:r w:rsidRPr="00A4236D">
        <w:rPr>
          <w:szCs w:val="22"/>
        </w:rPr>
        <w:t>In 20</w:t>
      </w:r>
      <w:r w:rsidR="00165901" w:rsidRPr="00A4236D">
        <w:rPr>
          <w:szCs w:val="22"/>
        </w:rPr>
        <w:t>0</w:t>
      </w:r>
      <w:r w:rsidR="003E74C6" w:rsidRPr="00A4236D">
        <w:rPr>
          <w:szCs w:val="22"/>
        </w:rPr>
        <w:t>8</w:t>
      </w:r>
      <w:r w:rsidRPr="00A4236D">
        <w:rPr>
          <w:szCs w:val="22"/>
        </w:rPr>
        <w:t xml:space="preserve">, </w:t>
      </w:r>
      <w:r w:rsidR="00E00B82" w:rsidRPr="00A4236D">
        <w:rPr>
          <w:szCs w:val="22"/>
        </w:rPr>
        <w:t xml:space="preserve">GAB </w:t>
      </w:r>
      <w:r w:rsidR="003E74C6" w:rsidRPr="00A4236D">
        <w:rPr>
          <w:szCs w:val="22"/>
        </w:rPr>
        <w:t xml:space="preserve">was the winning bidder </w:t>
      </w:r>
      <w:r w:rsidRPr="00A4236D">
        <w:rPr>
          <w:szCs w:val="22"/>
        </w:rPr>
        <w:t xml:space="preserve">for </w:t>
      </w:r>
      <w:r w:rsidR="00165901" w:rsidRPr="00A4236D">
        <w:rPr>
          <w:szCs w:val="22"/>
        </w:rPr>
        <w:t xml:space="preserve">four </w:t>
      </w:r>
      <w:r w:rsidR="00E00B82" w:rsidRPr="00A4236D">
        <w:rPr>
          <w:szCs w:val="22"/>
        </w:rPr>
        <w:t>700 MHz license</w:t>
      </w:r>
      <w:r w:rsidRPr="00A4236D">
        <w:rPr>
          <w:szCs w:val="22"/>
        </w:rPr>
        <w:t>s</w:t>
      </w:r>
      <w:r w:rsidR="003E74C6" w:rsidRPr="00A4236D">
        <w:rPr>
          <w:szCs w:val="22"/>
        </w:rPr>
        <w:t xml:space="preserve"> </w:t>
      </w:r>
      <w:r w:rsidR="00E0518A">
        <w:rPr>
          <w:szCs w:val="22"/>
        </w:rPr>
        <w:t xml:space="preserve">the </w:t>
      </w:r>
      <w:r w:rsidR="00E00B82" w:rsidRPr="00A4236D">
        <w:rPr>
          <w:szCs w:val="22"/>
        </w:rPr>
        <w:t>Commission</w:t>
      </w:r>
      <w:r w:rsidR="00165901" w:rsidRPr="00A4236D">
        <w:rPr>
          <w:szCs w:val="22"/>
        </w:rPr>
        <w:t xml:space="preserve"> auction</w:t>
      </w:r>
      <w:r w:rsidR="00E0518A">
        <w:rPr>
          <w:szCs w:val="22"/>
        </w:rPr>
        <w:t>ed in Auction 73</w:t>
      </w:r>
      <w:r w:rsidR="00165901" w:rsidRPr="00A4236D">
        <w:rPr>
          <w:szCs w:val="22"/>
        </w:rPr>
        <w:t xml:space="preserve">.  </w:t>
      </w:r>
      <w:r w:rsidR="003E74C6" w:rsidRPr="00A4236D">
        <w:rPr>
          <w:szCs w:val="22"/>
        </w:rPr>
        <w:t xml:space="preserve">GAB paid </w:t>
      </w:r>
      <w:r w:rsidR="00165901" w:rsidRPr="00A4236D">
        <w:rPr>
          <w:szCs w:val="22"/>
        </w:rPr>
        <w:t>discount</w:t>
      </w:r>
      <w:r w:rsidR="003E74C6" w:rsidRPr="00A4236D">
        <w:rPr>
          <w:szCs w:val="22"/>
        </w:rPr>
        <w:t xml:space="preserve">ed prices for those licenses in 2009 because, at that time, it qualified as </w:t>
      </w:r>
      <w:r w:rsidR="00395894" w:rsidRPr="00A4236D">
        <w:rPr>
          <w:szCs w:val="22"/>
        </w:rPr>
        <w:t xml:space="preserve">a </w:t>
      </w:r>
      <w:r w:rsidR="00262E2E">
        <w:rPr>
          <w:szCs w:val="22"/>
        </w:rPr>
        <w:t>Designated</w:t>
      </w:r>
      <w:r w:rsidR="00E0518A">
        <w:rPr>
          <w:szCs w:val="22"/>
        </w:rPr>
        <w:t xml:space="preserve"> Entity</w:t>
      </w:r>
      <w:r w:rsidR="00202A23" w:rsidRPr="00A4236D">
        <w:rPr>
          <w:szCs w:val="22"/>
        </w:rPr>
        <w:t xml:space="preserve"> </w:t>
      </w:r>
      <w:r w:rsidR="00395894" w:rsidRPr="00A4236D">
        <w:rPr>
          <w:szCs w:val="22"/>
        </w:rPr>
        <w:t>with</w:t>
      </w:r>
      <w:r w:rsidR="00165901" w:rsidRPr="00A4236D">
        <w:rPr>
          <w:szCs w:val="22"/>
        </w:rPr>
        <w:t xml:space="preserve"> </w:t>
      </w:r>
      <w:r w:rsidR="005C5ABA">
        <w:rPr>
          <w:szCs w:val="22"/>
        </w:rPr>
        <w:t>“</w:t>
      </w:r>
      <w:r w:rsidR="00165901" w:rsidRPr="00A4236D">
        <w:rPr>
          <w:szCs w:val="22"/>
        </w:rPr>
        <w:t>very small business</w:t>
      </w:r>
      <w:r w:rsidR="005C5ABA">
        <w:rPr>
          <w:szCs w:val="22"/>
        </w:rPr>
        <w:t>”</w:t>
      </w:r>
      <w:r w:rsidR="00395894" w:rsidRPr="00A4236D">
        <w:rPr>
          <w:szCs w:val="22"/>
        </w:rPr>
        <w:t xml:space="preserve"> status</w:t>
      </w:r>
      <w:r w:rsidR="00165901" w:rsidRPr="00A4236D">
        <w:rPr>
          <w:szCs w:val="22"/>
        </w:rPr>
        <w:t>.</w:t>
      </w:r>
      <w:r w:rsidR="003E74C6" w:rsidRPr="00A4236D">
        <w:rPr>
          <w:szCs w:val="22"/>
        </w:rPr>
        <w:t xml:space="preserve">  </w:t>
      </w:r>
      <w:r w:rsidR="00C11EAB" w:rsidRPr="00A4236D">
        <w:rPr>
          <w:szCs w:val="22"/>
        </w:rPr>
        <w:t xml:space="preserve">GAB admits that it made subsequent management and ownership changes that deprived it of that status and also caused GAB to exceed the 20 percent alien ownership cap </w:t>
      </w:r>
      <w:r w:rsidR="00E0518A">
        <w:rPr>
          <w:szCs w:val="22"/>
        </w:rPr>
        <w:t xml:space="preserve">set forth </w:t>
      </w:r>
      <w:r w:rsidR="00C11EAB" w:rsidRPr="00A4236D">
        <w:rPr>
          <w:szCs w:val="22"/>
        </w:rPr>
        <w:t>in Section 310(b)(3) of the Act .</w:t>
      </w:r>
      <w:r w:rsidR="00C11EAB">
        <w:rPr>
          <w:rStyle w:val="FootnoteReference"/>
          <w:szCs w:val="22"/>
        </w:rPr>
        <w:footnoteReference w:id="2"/>
      </w:r>
      <w:r w:rsidR="00202A23" w:rsidRPr="00A4236D">
        <w:rPr>
          <w:szCs w:val="22"/>
        </w:rPr>
        <w:t xml:space="preserve">  GAB </w:t>
      </w:r>
      <w:r w:rsidR="00F31C3D">
        <w:rPr>
          <w:szCs w:val="22"/>
        </w:rPr>
        <w:t xml:space="preserve">also </w:t>
      </w:r>
      <w:r w:rsidR="00202A23" w:rsidRPr="00A4236D">
        <w:rPr>
          <w:szCs w:val="22"/>
        </w:rPr>
        <w:t xml:space="preserve">admits that it violated Commission rules </w:t>
      </w:r>
      <w:r w:rsidR="006424C4" w:rsidRPr="00A4236D">
        <w:rPr>
          <w:szCs w:val="22"/>
        </w:rPr>
        <w:t xml:space="preserve">(Rules) </w:t>
      </w:r>
      <w:r w:rsidR="00202A23" w:rsidRPr="00A4236D">
        <w:rPr>
          <w:szCs w:val="22"/>
        </w:rPr>
        <w:t>requiring prior approval of changes resulting in loss of</w:t>
      </w:r>
      <w:r w:rsidR="00701806">
        <w:rPr>
          <w:szCs w:val="22"/>
        </w:rPr>
        <w:t xml:space="preserve"> Designated Entity </w:t>
      </w:r>
      <w:r w:rsidR="00202A23" w:rsidRPr="00A4236D">
        <w:rPr>
          <w:szCs w:val="22"/>
        </w:rPr>
        <w:t xml:space="preserve">status and </w:t>
      </w:r>
      <w:r w:rsidR="006424C4" w:rsidRPr="00A4236D">
        <w:rPr>
          <w:szCs w:val="22"/>
        </w:rPr>
        <w:t xml:space="preserve">the </w:t>
      </w:r>
      <w:r w:rsidR="00202A23" w:rsidRPr="00A4236D">
        <w:rPr>
          <w:szCs w:val="22"/>
        </w:rPr>
        <w:t>repayment</w:t>
      </w:r>
      <w:r w:rsidR="008C22CF">
        <w:rPr>
          <w:szCs w:val="22"/>
        </w:rPr>
        <w:t xml:space="preserve"> </w:t>
      </w:r>
      <w:r w:rsidR="00202A23" w:rsidRPr="00A4236D">
        <w:rPr>
          <w:szCs w:val="22"/>
        </w:rPr>
        <w:t xml:space="preserve">of the financial benefit </w:t>
      </w:r>
      <w:r w:rsidR="008C22CF">
        <w:rPr>
          <w:szCs w:val="22"/>
        </w:rPr>
        <w:t xml:space="preserve">(i.e., </w:t>
      </w:r>
      <w:r w:rsidR="009A37AE">
        <w:rPr>
          <w:szCs w:val="22"/>
        </w:rPr>
        <w:t>Unjust Enrichment</w:t>
      </w:r>
      <w:r w:rsidR="008C22CF">
        <w:rPr>
          <w:szCs w:val="22"/>
        </w:rPr>
        <w:t xml:space="preserve">) that </w:t>
      </w:r>
      <w:r w:rsidR="00202A23" w:rsidRPr="00A4236D">
        <w:rPr>
          <w:szCs w:val="22"/>
        </w:rPr>
        <w:t xml:space="preserve">the Company had received from that status.  GAB admits </w:t>
      </w:r>
      <w:r w:rsidR="00F31C3D">
        <w:rPr>
          <w:szCs w:val="22"/>
        </w:rPr>
        <w:t xml:space="preserve">further </w:t>
      </w:r>
      <w:r w:rsidR="00202A23" w:rsidRPr="00A4236D">
        <w:rPr>
          <w:szCs w:val="22"/>
        </w:rPr>
        <w:t>that it violated</w:t>
      </w:r>
      <w:r w:rsidR="006424C4" w:rsidRPr="00A4236D">
        <w:rPr>
          <w:szCs w:val="22"/>
        </w:rPr>
        <w:t xml:space="preserve"> Rules requiring that it obtain Commission approval before consummating a </w:t>
      </w:r>
      <w:r w:rsidR="006424C4" w:rsidRPr="00A4236D">
        <w:rPr>
          <w:i/>
          <w:szCs w:val="22"/>
        </w:rPr>
        <w:t xml:space="preserve">pro forma </w:t>
      </w:r>
      <w:r w:rsidR="006424C4" w:rsidRPr="00A4236D">
        <w:rPr>
          <w:szCs w:val="22"/>
        </w:rPr>
        <w:t xml:space="preserve">transfer of control and timely notify the Commission of the changes in its ownership.  </w:t>
      </w:r>
      <w:r w:rsidR="006424C4">
        <w:rPr>
          <w:szCs w:val="22"/>
        </w:rPr>
        <w:t>T</w:t>
      </w:r>
      <w:r w:rsidR="001B336B" w:rsidRPr="00A4236D">
        <w:rPr>
          <w:szCs w:val="22"/>
        </w:rPr>
        <w:t>o resolve this investigation, GAB</w:t>
      </w:r>
      <w:r w:rsidR="006424C4">
        <w:rPr>
          <w:szCs w:val="22"/>
        </w:rPr>
        <w:t xml:space="preserve"> will pay a civil penalty of $100,000 and </w:t>
      </w:r>
      <w:r w:rsidR="009A37AE">
        <w:rPr>
          <w:szCs w:val="22"/>
        </w:rPr>
        <w:t>Unjust Enrichment</w:t>
      </w:r>
      <w:r w:rsidR="008C22CF">
        <w:rPr>
          <w:szCs w:val="22"/>
        </w:rPr>
        <w:t xml:space="preserve"> of </w:t>
      </w:r>
      <w:r w:rsidR="00DE0E48">
        <w:rPr>
          <w:szCs w:val="22"/>
        </w:rPr>
        <w:t>approximately</w:t>
      </w:r>
      <w:r w:rsidR="002E03D1">
        <w:rPr>
          <w:szCs w:val="22"/>
        </w:rPr>
        <w:t xml:space="preserve"> </w:t>
      </w:r>
      <w:r w:rsidR="001B336B" w:rsidRPr="00A4236D">
        <w:rPr>
          <w:szCs w:val="22"/>
        </w:rPr>
        <w:t>$</w:t>
      </w:r>
      <w:r w:rsidR="00BC1D9D" w:rsidRPr="00BC1D9D">
        <w:rPr>
          <w:szCs w:val="22"/>
        </w:rPr>
        <w:t>165,000</w:t>
      </w:r>
      <w:r w:rsidR="001B336B" w:rsidRPr="00A4236D">
        <w:rPr>
          <w:szCs w:val="22"/>
        </w:rPr>
        <w:t>.</w:t>
      </w:r>
    </w:p>
    <w:p w:rsidR="00412F12" w:rsidRDefault="00412F12" w:rsidP="00F03979">
      <w:pPr>
        <w:pStyle w:val="Paranum0"/>
        <w:tabs>
          <w:tab w:val="clear" w:pos="1080"/>
          <w:tab w:val="num" w:pos="1440"/>
        </w:tabs>
        <w:spacing w:after="120"/>
        <w:jc w:val="left"/>
        <w:rPr>
          <w:szCs w:val="22"/>
        </w:rPr>
      </w:pPr>
      <w:r w:rsidRPr="00F73616">
        <w:rPr>
          <w:szCs w:val="22"/>
        </w:rPr>
        <w:t xml:space="preserve">In this Order, we adopt the attached Consent Decree entered into between the </w:t>
      </w:r>
      <w:r w:rsidRPr="00F73616">
        <w:rPr>
          <w:bCs/>
          <w:szCs w:val="22"/>
        </w:rPr>
        <w:t>Bureau</w:t>
      </w:r>
      <w:r w:rsidRPr="00F73616">
        <w:rPr>
          <w:szCs w:val="22"/>
        </w:rPr>
        <w:t xml:space="preserve"> and </w:t>
      </w:r>
      <w:r w:rsidR="00AB6BDE">
        <w:rPr>
          <w:szCs w:val="22"/>
        </w:rPr>
        <w:t>GAB</w:t>
      </w:r>
      <w:r w:rsidRPr="00F73616">
        <w:rPr>
          <w:color w:val="000000"/>
          <w:szCs w:val="22"/>
        </w:rPr>
        <w:t xml:space="preserve">.  </w:t>
      </w:r>
      <w:r w:rsidRPr="00F73616">
        <w:rPr>
          <w:szCs w:val="22"/>
        </w:rPr>
        <w:t>The Consent Decree resolves and terminates the Bureau</w:t>
      </w:r>
      <w:r w:rsidR="005C5ABA">
        <w:rPr>
          <w:szCs w:val="22"/>
        </w:rPr>
        <w:t>’</w:t>
      </w:r>
      <w:r w:rsidRPr="00F73616">
        <w:rPr>
          <w:szCs w:val="22"/>
        </w:rPr>
        <w:t xml:space="preserve">s investigation into </w:t>
      </w:r>
      <w:r w:rsidRPr="004B0364">
        <w:rPr>
          <w:szCs w:val="22"/>
        </w:rPr>
        <w:t xml:space="preserve">possible violations of </w:t>
      </w:r>
      <w:r w:rsidR="00AB6BDE">
        <w:rPr>
          <w:color w:val="000000"/>
          <w:szCs w:val="22"/>
        </w:rPr>
        <w:t>Section 310</w:t>
      </w:r>
      <w:r w:rsidRPr="00F73616">
        <w:rPr>
          <w:color w:val="000000"/>
          <w:szCs w:val="22"/>
        </w:rPr>
        <w:t>(b)</w:t>
      </w:r>
      <w:r w:rsidR="00AB6BDE">
        <w:rPr>
          <w:color w:val="000000"/>
          <w:szCs w:val="22"/>
        </w:rPr>
        <w:t>(3)</w:t>
      </w:r>
      <w:r w:rsidRPr="00F73616">
        <w:rPr>
          <w:color w:val="000000"/>
          <w:szCs w:val="22"/>
        </w:rPr>
        <w:t xml:space="preserve"> </w:t>
      </w:r>
      <w:r w:rsidR="008C22CF">
        <w:rPr>
          <w:color w:val="000000"/>
          <w:szCs w:val="22"/>
        </w:rPr>
        <w:t xml:space="preserve">of the Act </w:t>
      </w:r>
      <w:r>
        <w:rPr>
          <w:color w:val="000000"/>
          <w:szCs w:val="22"/>
        </w:rPr>
        <w:t xml:space="preserve">and </w:t>
      </w:r>
      <w:r w:rsidRPr="004B0364">
        <w:rPr>
          <w:color w:val="000000"/>
          <w:szCs w:val="22"/>
        </w:rPr>
        <w:t xml:space="preserve">Sections </w:t>
      </w:r>
      <w:r w:rsidR="00AB6BDE">
        <w:rPr>
          <w:color w:val="000000"/>
          <w:szCs w:val="22"/>
        </w:rPr>
        <w:t xml:space="preserve">1.919(b)(5), </w:t>
      </w:r>
      <w:r w:rsidR="009E75C4">
        <w:rPr>
          <w:color w:val="000000"/>
          <w:szCs w:val="22"/>
        </w:rPr>
        <w:t xml:space="preserve">1.948(c)(1), </w:t>
      </w:r>
      <w:r w:rsidR="00AB6BDE">
        <w:rPr>
          <w:color w:val="000000"/>
          <w:szCs w:val="22"/>
        </w:rPr>
        <w:t xml:space="preserve">1.2111(d), and 1.2114(a) </w:t>
      </w:r>
      <w:r w:rsidRPr="00C725BD">
        <w:rPr>
          <w:color w:val="000000"/>
          <w:szCs w:val="22"/>
        </w:rPr>
        <w:t>of the</w:t>
      </w:r>
      <w:r w:rsidRPr="00F73616">
        <w:rPr>
          <w:color w:val="000000"/>
          <w:szCs w:val="22"/>
        </w:rPr>
        <w:t xml:space="preserve"> </w:t>
      </w:r>
      <w:r w:rsidRPr="00F73616">
        <w:rPr>
          <w:szCs w:val="22"/>
        </w:rPr>
        <w:t>Rules pertaining to</w:t>
      </w:r>
      <w:r w:rsidR="000A3D00">
        <w:rPr>
          <w:szCs w:val="22"/>
        </w:rPr>
        <w:t xml:space="preserve"> loss</w:t>
      </w:r>
      <w:r w:rsidR="00D80051">
        <w:rPr>
          <w:szCs w:val="22"/>
        </w:rPr>
        <w:t xml:space="preserve"> </w:t>
      </w:r>
      <w:r w:rsidR="000A3D00">
        <w:rPr>
          <w:szCs w:val="22"/>
        </w:rPr>
        <w:t>of</w:t>
      </w:r>
      <w:r w:rsidR="00701806">
        <w:rPr>
          <w:szCs w:val="22"/>
        </w:rPr>
        <w:t xml:space="preserve"> Designated Entity </w:t>
      </w:r>
      <w:r w:rsidR="008C22CF">
        <w:rPr>
          <w:szCs w:val="22"/>
        </w:rPr>
        <w:t>status</w:t>
      </w:r>
      <w:r w:rsidR="00A4236D">
        <w:rPr>
          <w:szCs w:val="22"/>
        </w:rPr>
        <w:t xml:space="preserve">, </w:t>
      </w:r>
      <w:r w:rsidR="00F829F6">
        <w:rPr>
          <w:szCs w:val="22"/>
        </w:rPr>
        <w:t>pay</w:t>
      </w:r>
      <w:r w:rsidR="00A4236D">
        <w:rPr>
          <w:szCs w:val="22"/>
        </w:rPr>
        <w:t>ment of</w:t>
      </w:r>
      <w:r w:rsidR="00F829F6">
        <w:rPr>
          <w:szCs w:val="22"/>
        </w:rPr>
        <w:t xml:space="preserve"> </w:t>
      </w:r>
      <w:r w:rsidR="009A37AE">
        <w:rPr>
          <w:szCs w:val="22"/>
        </w:rPr>
        <w:t>Unjust Enrichment</w:t>
      </w:r>
      <w:r w:rsidR="00F829F6">
        <w:rPr>
          <w:szCs w:val="22"/>
        </w:rPr>
        <w:t xml:space="preserve">, </w:t>
      </w:r>
      <w:r w:rsidR="00A4236D">
        <w:rPr>
          <w:szCs w:val="22"/>
        </w:rPr>
        <w:t xml:space="preserve">excessive alien ownership, </w:t>
      </w:r>
      <w:r w:rsidR="00A4236D">
        <w:rPr>
          <w:i/>
          <w:szCs w:val="22"/>
        </w:rPr>
        <w:t xml:space="preserve">pro forma </w:t>
      </w:r>
      <w:r w:rsidR="00A4236D">
        <w:rPr>
          <w:szCs w:val="22"/>
        </w:rPr>
        <w:t>transfers of control, and updating ownership records</w:t>
      </w:r>
      <w:r w:rsidR="00F829F6">
        <w:rPr>
          <w:szCs w:val="22"/>
        </w:rPr>
        <w:t>.</w:t>
      </w:r>
      <w:r w:rsidR="008C22CF" w:rsidRPr="004646EA">
        <w:rPr>
          <w:rStyle w:val="FootnoteReference"/>
          <w:szCs w:val="22"/>
        </w:rPr>
        <w:footnoteReference w:id="3"/>
      </w:r>
    </w:p>
    <w:p w:rsidR="00412F12" w:rsidRDefault="00412F12" w:rsidP="00F03979">
      <w:pPr>
        <w:pStyle w:val="Paranum0"/>
        <w:tabs>
          <w:tab w:val="clear" w:pos="1080"/>
          <w:tab w:val="num" w:pos="1440"/>
        </w:tabs>
        <w:spacing w:after="120"/>
        <w:jc w:val="left"/>
        <w:rPr>
          <w:szCs w:val="22"/>
        </w:rPr>
      </w:pPr>
      <w:r w:rsidRPr="00F73616">
        <w:rPr>
          <w:szCs w:val="22"/>
        </w:rPr>
        <w:t xml:space="preserve">The Bureau and </w:t>
      </w:r>
      <w:r w:rsidR="00F829F6">
        <w:rPr>
          <w:szCs w:val="22"/>
        </w:rPr>
        <w:t xml:space="preserve">GAB </w:t>
      </w:r>
      <w:r w:rsidRPr="00F73616">
        <w:rPr>
          <w:szCs w:val="22"/>
        </w:rPr>
        <w:t>have negotiated the Consent Decree that resolves this matter</w:t>
      </w:r>
      <w:r w:rsidRPr="00CA5272">
        <w:rPr>
          <w:szCs w:val="22"/>
        </w:rPr>
        <w:t xml:space="preserve">.  </w:t>
      </w:r>
      <w:r w:rsidR="00CA5272">
        <w:rPr>
          <w:szCs w:val="22"/>
        </w:rPr>
        <w:t xml:space="preserve">       </w:t>
      </w:r>
      <w:r w:rsidRPr="00CA5272">
        <w:rPr>
          <w:szCs w:val="22"/>
        </w:rPr>
        <w:t>A</w:t>
      </w:r>
      <w:r w:rsidRPr="00F73616">
        <w:rPr>
          <w:szCs w:val="22"/>
        </w:rPr>
        <w:t xml:space="preserve"> copy of the Consent Decree is attached hereto and incorporated by reference.  </w:t>
      </w:r>
    </w:p>
    <w:p w:rsidR="00412F12" w:rsidRDefault="00412F12" w:rsidP="00F03979">
      <w:pPr>
        <w:pStyle w:val="Paranum0"/>
        <w:tabs>
          <w:tab w:val="clear" w:pos="1080"/>
          <w:tab w:val="num" w:pos="1440"/>
        </w:tabs>
        <w:spacing w:after="120"/>
        <w:jc w:val="left"/>
        <w:rPr>
          <w:szCs w:val="22"/>
        </w:rPr>
      </w:pPr>
      <w:r w:rsidRPr="00F73616">
        <w:rPr>
          <w:szCs w:val="22"/>
        </w:rPr>
        <w:t>After reviewing the terms of the Consent Decree and evaluating the facts before us, we find that the public interest would be served by adopting the Consent Decree and terminating the investigation.</w:t>
      </w:r>
    </w:p>
    <w:p w:rsidR="00412F12" w:rsidRDefault="00412F12" w:rsidP="00F03979">
      <w:pPr>
        <w:pStyle w:val="Paranum0"/>
        <w:tabs>
          <w:tab w:val="clear" w:pos="1080"/>
          <w:tab w:val="num" w:pos="1440"/>
        </w:tabs>
        <w:spacing w:after="120"/>
        <w:jc w:val="left"/>
        <w:rPr>
          <w:szCs w:val="22"/>
        </w:rPr>
      </w:pPr>
      <w:r w:rsidRPr="00F73616">
        <w:rPr>
          <w:szCs w:val="22"/>
        </w:rPr>
        <w:lastRenderedPageBreak/>
        <w:t xml:space="preserve">In the absence of material new evidence relating to this matter, we conclude that our investigation raises no substantial or material questions of fact as to whether </w:t>
      </w:r>
      <w:r w:rsidR="000A3D00">
        <w:rPr>
          <w:szCs w:val="22"/>
        </w:rPr>
        <w:t xml:space="preserve">GAB </w:t>
      </w:r>
      <w:r w:rsidRPr="00F73616">
        <w:rPr>
          <w:szCs w:val="22"/>
        </w:rPr>
        <w:t>possesses the basic qualifications, including those related to character, to hold or obtain any Commission license or authorization.</w:t>
      </w:r>
    </w:p>
    <w:p w:rsidR="00412F12" w:rsidRDefault="00412F12" w:rsidP="00F03979">
      <w:pPr>
        <w:pStyle w:val="Paranum0"/>
        <w:tabs>
          <w:tab w:val="clear" w:pos="1080"/>
          <w:tab w:val="num" w:pos="1440"/>
        </w:tabs>
        <w:spacing w:after="120"/>
        <w:jc w:val="left"/>
        <w:rPr>
          <w:szCs w:val="22"/>
        </w:rPr>
      </w:pPr>
      <w:r w:rsidRPr="000B164F">
        <w:rPr>
          <w:szCs w:val="22"/>
        </w:rPr>
        <w:t xml:space="preserve">Accordingly, </w:t>
      </w:r>
      <w:r w:rsidRPr="000B164F">
        <w:rPr>
          <w:b/>
          <w:szCs w:val="22"/>
        </w:rPr>
        <w:t>IT IS ORDERED</w:t>
      </w:r>
      <w:r w:rsidRPr="000B164F">
        <w:rPr>
          <w:szCs w:val="22"/>
        </w:rPr>
        <w:t xml:space="preserve"> that, pursuant to Sections 4(i), 4(j), and 503(b) of the Act,</w:t>
      </w:r>
      <w:r w:rsidRPr="00F73616">
        <w:rPr>
          <w:rStyle w:val="FootnoteReference"/>
          <w:szCs w:val="22"/>
        </w:rPr>
        <w:footnoteReference w:id="4"/>
      </w:r>
      <w:r w:rsidRPr="000B164F">
        <w:rPr>
          <w:szCs w:val="22"/>
        </w:rPr>
        <w:t xml:space="preserve"> </w:t>
      </w:r>
      <w:r w:rsidRPr="000B164F">
        <w:rPr>
          <w:bCs/>
          <w:szCs w:val="22"/>
        </w:rPr>
        <w:t>and Sections 0.111 and 0.311 of the Rules,</w:t>
      </w:r>
      <w:r w:rsidRPr="00F73616">
        <w:rPr>
          <w:rStyle w:val="FootnoteReference"/>
          <w:bCs/>
          <w:szCs w:val="22"/>
        </w:rPr>
        <w:footnoteReference w:id="5"/>
      </w:r>
      <w:r w:rsidRPr="000B164F">
        <w:rPr>
          <w:bCs/>
          <w:szCs w:val="22"/>
        </w:rPr>
        <w:t xml:space="preserve"> the</w:t>
      </w:r>
      <w:r w:rsidRPr="000B164F">
        <w:rPr>
          <w:szCs w:val="22"/>
        </w:rPr>
        <w:t xml:space="preserve"> Consent Decree attached to this Order </w:t>
      </w:r>
      <w:r w:rsidRPr="000B164F">
        <w:rPr>
          <w:b/>
          <w:szCs w:val="22"/>
        </w:rPr>
        <w:t>IS ADOPTED</w:t>
      </w:r>
      <w:r w:rsidRPr="000B164F">
        <w:rPr>
          <w:szCs w:val="22"/>
        </w:rPr>
        <w:t>.</w:t>
      </w:r>
    </w:p>
    <w:p w:rsidR="00412F12" w:rsidRDefault="00412F12" w:rsidP="00F03979">
      <w:pPr>
        <w:pStyle w:val="Paranum0"/>
        <w:tabs>
          <w:tab w:val="clear" w:pos="1080"/>
          <w:tab w:val="num" w:pos="1440"/>
        </w:tabs>
        <w:spacing w:after="120"/>
        <w:jc w:val="left"/>
        <w:rPr>
          <w:szCs w:val="22"/>
        </w:rPr>
      </w:pPr>
      <w:r w:rsidRPr="000B164F">
        <w:rPr>
          <w:b/>
          <w:szCs w:val="22"/>
        </w:rPr>
        <w:t xml:space="preserve">IT IS FURTHER ORDERED </w:t>
      </w:r>
      <w:r w:rsidRPr="000B164F">
        <w:rPr>
          <w:szCs w:val="22"/>
        </w:rPr>
        <w:t>that the above-captioned investigation</w:t>
      </w:r>
      <w:r w:rsidRPr="000B164F">
        <w:rPr>
          <w:b/>
          <w:szCs w:val="22"/>
        </w:rPr>
        <w:t xml:space="preserve"> IS TERMINATED</w:t>
      </w:r>
      <w:r w:rsidRPr="000B164F">
        <w:rPr>
          <w:szCs w:val="22"/>
        </w:rPr>
        <w:t>.</w:t>
      </w:r>
    </w:p>
    <w:p w:rsidR="00412F12" w:rsidRDefault="00412F12" w:rsidP="00F03979">
      <w:pPr>
        <w:pStyle w:val="Paranum0"/>
        <w:tabs>
          <w:tab w:val="clear" w:pos="1080"/>
          <w:tab w:val="num" w:pos="1440"/>
        </w:tabs>
        <w:spacing w:after="120"/>
        <w:jc w:val="left"/>
        <w:rPr>
          <w:szCs w:val="22"/>
        </w:rPr>
      </w:pPr>
      <w:r w:rsidRPr="00F73616">
        <w:rPr>
          <w:b/>
          <w:szCs w:val="22"/>
        </w:rPr>
        <w:t xml:space="preserve">IT IS FURTHER ORDERED </w:t>
      </w:r>
      <w:r w:rsidRPr="00F73616">
        <w:rPr>
          <w:szCs w:val="22"/>
        </w:rPr>
        <w:t>that a copy of this Order and Consent Decree shall be sent by first class mail and certified mail, return receipt requested, to</w:t>
      </w:r>
      <w:r w:rsidR="00D246C2">
        <w:rPr>
          <w:rFonts w:eastAsia="Arial"/>
          <w:bCs/>
          <w:szCs w:val="22"/>
        </w:rPr>
        <w:t xml:space="preserve"> Robert L. Schmidt, President</w:t>
      </w:r>
      <w:r w:rsidR="00EF0C70">
        <w:rPr>
          <w:szCs w:val="22"/>
        </w:rPr>
        <w:t>,</w:t>
      </w:r>
      <w:r w:rsidR="00FE01AC">
        <w:rPr>
          <w:szCs w:val="22"/>
        </w:rPr>
        <w:t xml:space="preserve"> </w:t>
      </w:r>
      <w:r w:rsidR="00EF0C70" w:rsidRPr="00D506C6">
        <w:rPr>
          <w:rFonts w:eastAsia="Arial"/>
          <w:szCs w:val="22"/>
        </w:rPr>
        <w:t xml:space="preserve">Vice President, </w:t>
      </w:r>
      <w:r w:rsidR="00D246C2">
        <w:rPr>
          <w:rFonts w:eastAsia="Arial"/>
          <w:szCs w:val="22"/>
        </w:rPr>
        <w:t>Great American Broadband, Inc., 46788 Glen Mary Farm Road, Park Hall, Maryland</w:t>
      </w:r>
      <w:r w:rsidR="000A3D00">
        <w:rPr>
          <w:rFonts w:eastAsia="Arial"/>
          <w:szCs w:val="22"/>
        </w:rPr>
        <w:t>,</w:t>
      </w:r>
      <w:r w:rsidR="00D246C2">
        <w:rPr>
          <w:rFonts w:eastAsia="Arial"/>
          <w:szCs w:val="22"/>
        </w:rPr>
        <w:t xml:space="preserve"> 20667</w:t>
      </w:r>
      <w:r w:rsidR="00797259">
        <w:rPr>
          <w:rFonts w:eastAsia="Arial"/>
          <w:iCs/>
          <w:szCs w:val="22"/>
        </w:rPr>
        <w:t>;</w:t>
      </w:r>
      <w:r w:rsidR="00EF0C70">
        <w:rPr>
          <w:rFonts w:eastAsia="Arial"/>
          <w:iCs/>
          <w:szCs w:val="22"/>
        </w:rPr>
        <w:t xml:space="preserve"> </w:t>
      </w:r>
      <w:r>
        <w:rPr>
          <w:szCs w:val="22"/>
        </w:rPr>
        <w:t>and to</w:t>
      </w:r>
      <w:r w:rsidR="00D246C2">
        <w:rPr>
          <w:szCs w:val="22"/>
        </w:rPr>
        <w:t xml:space="preserve"> Stephen E. Coran</w:t>
      </w:r>
      <w:r>
        <w:rPr>
          <w:szCs w:val="22"/>
        </w:rPr>
        <w:t xml:space="preserve">, Esq., </w:t>
      </w:r>
      <w:r w:rsidR="00D246C2">
        <w:rPr>
          <w:szCs w:val="22"/>
        </w:rPr>
        <w:t>Lerman Senter PLLC</w:t>
      </w:r>
      <w:r>
        <w:rPr>
          <w:szCs w:val="22"/>
        </w:rPr>
        <w:t>, Counsel for</w:t>
      </w:r>
      <w:r w:rsidR="00D246C2">
        <w:rPr>
          <w:szCs w:val="22"/>
        </w:rPr>
        <w:t xml:space="preserve"> </w:t>
      </w:r>
      <w:r w:rsidR="00D246C2">
        <w:rPr>
          <w:rFonts w:eastAsia="Arial"/>
          <w:szCs w:val="22"/>
        </w:rPr>
        <w:t>Great American Broadband, Inc.</w:t>
      </w:r>
      <w:r w:rsidR="00D246C2">
        <w:rPr>
          <w:szCs w:val="22"/>
        </w:rPr>
        <w:t>, 2000 K Street N.W., Suite 600, Washington, DC 20006</w:t>
      </w:r>
      <w:r>
        <w:rPr>
          <w:szCs w:val="22"/>
        </w:rPr>
        <w:t>.</w:t>
      </w:r>
    </w:p>
    <w:p w:rsidR="00412F12" w:rsidRDefault="00412F12" w:rsidP="003A16C0">
      <w:pPr>
        <w:tabs>
          <w:tab w:val="left" w:pos="0"/>
        </w:tabs>
        <w:suppressAutoHyphens/>
        <w:spacing w:line="240" w:lineRule="atLeast"/>
        <w:jc w:val="both"/>
        <w:rPr>
          <w:szCs w:val="22"/>
        </w:rPr>
      </w:pPr>
      <w:r w:rsidRPr="00F73616">
        <w:rPr>
          <w:szCs w:val="22"/>
        </w:rPr>
        <w:tab/>
      </w:r>
      <w:r w:rsidRPr="00F73616">
        <w:rPr>
          <w:szCs w:val="22"/>
        </w:rPr>
        <w:tab/>
      </w:r>
      <w:r w:rsidRPr="00F73616">
        <w:rPr>
          <w:szCs w:val="22"/>
        </w:rPr>
        <w:tab/>
      </w:r>
      <w:r w:rsidRPr="00F73616">
        <w:rPr>
          <w:szCs w:val="22"/>
        </w:rPr>
        <w:tab/>
      </w:r>
      <w:r w:rsidRPr="00F73616">
        <w:rPr>
          <w:szCs w:val="22"/>
        </w:rPr>
        <w:tab/>
      </w:r>
      <w:r w:rsidRPr="00F73616">
        <w:rPr>
          <w:szCs w:val="22"/>
        </w:rPr>
        <w:tab/>
      </w:r>
    </w:p>
    <w:p w:rsidR="00412F12" w:rsidRPr="00F73616" w:rsidRDefault="00412F12" w:rsidP="003A16C0">
      <w:pPr>
        <w:tabs>
          <w:tab w:val="left" w:pos="0"/>
        </w:tabs>
        <w:suppressAutoHyphens/>
        <w:spacing w:line="240" w:lineRule="atLeast"/>
        <w:jc w:val="both"/>
        <w:rPr>
          <w:szCs w:val="22"/>
        </w:rPr>
      </w:pPr>
    </w:p>
    <w:p w:rsidR="00412F12" w:rsidRPr="00F73616" w:rsidRDefault="00412F12" w:rsidP="003A16C0">
      <w:pPr>
        <w:tabs>
          <w:tab w:val="left" w:pos="0"/>
        </w:tabs>
        <w:suppressAutoHyphens/>
        <w:spacing w:line="240" w:lineRule="atLeast"/>
        <w:jc w:val="both"/>
        <w:rPr>
          <w:spacing w:val="-2"/>
          <w:szCs w:val="22"/>
        </w:rPr>
      </w:pPr>
      <w:r w:rsidRPr="00F73616">
        <w:rPr>
          <w:szCs w:val="22"/>
        </w:rPr>
        <w:tab/>
      </w:r>
      <w:r w:rsidRPr="00F73616">
        <w:rPr>
          <w:szCs w:val="22"/>
        </w:rPr>
        <w:tab/>
      </w:r>
      <w:r w:rsidRPr="00F73616">
        <w:rPr>
          <w:szCs w:val="22"/>
        </w:rPr>
        <w:tab/>
      </w:r>
      <w:r w:rsidRPr="00F73616">
        <w:rPr>
          <w:szCs w:val="22"/>
        </w:rPr>
        <w:tab/>
      </w:r>
      <w:r w:rsidRPr="00F73616">
        <w:rPr>
          <w:szCs w:val="22"/>
        </w:rPr>
        <w:tab/>
      </w:r>
      <w:r w:rsidRPr="00F73616">
        <w:rPr>
          <w:szCs w:val="22"/>
        </w:rPr>
        <w:tab/>
      </w:r>
      <w:r w:rsidRPr="00F73616">
        <w:rPr>
          <w:spacing w:val="-2"/>
          <w:szCs w:val="22"/>
        </w:rPr>
        <w:t>FEDERAL COMMUNICATIONS COMMISSION</w:t>
      </w:r>
    </w:p>
    <w:p w:rsidR="00412F12" w:rsidRPr="00F73616" w:rsidRDefault="00412F12" w:rsidP="003A16C0">
      <w:pPr>
        <w:tabs>
          <w:tab w:val="left" w:pos="0"/>
        </w:tabs>
        <w:suppressAutoHyphens/>
        <w:spacing w:line="240" w:lineRule="atLeast"/>
        <w:jc w:val="both"/>
        <w:rPr>
          <w:spacing w:val="-2"/>
          <w:szCs w:val="22"/>
        </w:rPr>
      </w:pPr>
    </w:p>
    <w:p w:rsidR="00412F12" w:rsidRPr="00F73616" w:rsidRDefault="00412F12" w:rsidP="003A16C0">
      <w:pPr>
        <w:tabs>
          <w:tab w:val="left" w:pos="0"/>
        </w:tabs>
        <w:suppressAutoHyphens/>
        <w:spacing w:line="240" w:lineRule="atLeast"/>
        <w:jc w:val="both"/>
        <w:rPr>
          <w:spacing w:val="-2"/>
          <w:szCs w:val="22"/>
        </w:rPr>
      </w:pPr>
    </w:p>
    <w:p w:rsidR="00412F12" w:rsidRPr="00F73616" w:rsidRDefault="00412F12" w:rsidP="003A16C0">
      <w:pPr>
        <w:tabs>
          <w:tab w:val="left" w:pos="0"/>
        </w:tabs>
        <w:suppressAutoHyphens/>
        <w:spacing w:line="240" w:lineRule="atLeast"/>
        <w:jc w:val="both"/>
        <w:rPr>
          <w:spacing w:val="-2"/>
          <w:szCs w:val="22"/>
        </w:rPr>
      </w:pPr>
    </w:p>
    <w:p w:rsidR="00412F12" w:rsidRPr="00F73616" w:rsidRDefault="00412F12" w:rsidP="003A16C0">
      <w:pPr>
        <w:tabs>
          <w:tab w:val="left" w:pos="0"/>
        </w:tabs>
        <w:suppressAutoHyphens/>
        <w:spacing w:line="240" w:lineRule="atLeast"/>
        <w:jc w:val="both"/>
        <w:rPr>
          <w:spacing w:val="-2"/>
          <w:szCs w:val="22"/>
        </w:rPr>
      </w:pPr>
    </w:p>
    <w:p w:rsidR="00412F12" w:rsidRPr="00F73616" w:rsidRDefault="00412F12" w:rsidP="003A16C0">
      <w:pPr>
        <w:keepLines/>
        <w:tabs>
          <w:tab w:val="left" w:pos="450"/>
        </w:tabs>
        <w:jc w:val="both"/>
        <w:rPr>
          <w:color w:val="000000"/>
          <w:szCs w:val="22"/>
        </w:rPr>
      </w:pPr>
      <w:r w:rsidRPr="00F73616">
        <w:rPr>
          <w:spacing w:val="-2"/>
          <w:szCs w:val="22"/>
        </w:rPr>
        <w:tab/>
      </w:r>
      <w:r w:rsidRPr="00F73616">
        <w:rPr>
          <w:spacing w:val="-2"/>
          <w:szCs w:val="22"/>
        </w:rPr>
        <w:tab/>
      </w:r>
      <w:r w:rsidRPr="00F73616">
        <w:rPr>
          <w:spacing w:val="-2"/>
          <w:szCs w:val="22"/>
        </w:rPr>
        <w:tab/>
      </w:r>
      <w:r w:rsidRPr="00F73616">
        <w:rPr>
          <w:spacing w:val="-2"/>
          <w:szCs w:val="22"/>
        </w:rPr>
        <w:tab/>
      </w:r>
      <w:r w:rsidRPr="00F73616">
        <w:rPr>
          <w:spacing w:val="-2"/>
          <w:szCs w:val="22"/>
        </w:rPr>
        <w:tab/>
      </w:r>
      <w:r w:rsidRPr="00F73616">
        <w:rPr>
          <w:spacing w:val="-2"/>
          <w:szCs w:val="22"/>
        </w:rPr>
        <w:tab/>
      </w:r>
      <w:r w:rsidRPr="00F73616">
        <w:rPr>
          <w:spacing w:val="-2"/>
          <w:szCs w:val="22"/>
        </w:rPr>
        <w:tab/>
      </w:r>
      <w:r w:rsidR="007950DD">
        <w:rPr>
          <w:spacing w:val="-2"/>
          <w:szCs w:val="22"/>
        </w:rPr>
        <w:t>Travis LeBlanc</w:t>
      </w:r>
    </w:p>
    <w:p w:rsidR="00C07B09" w:rsidRDefault="00412F12" w:rsidP="003A16C0">
      <w:pPr>
        <w:ind w:left="3600" w:firstLine="720"/>
        <w:rPr>
          <w:color w:val="000000"/>
          <w:szCs w:val="22"/>
        </w:rPr>
      </w:pPr>
      <w:r w:rsidRPr="00F73616">
        <w:rPr>
          <w:color w:val="000000"/>
          <w:szCs w:val="22"/>
        </w:rPr>
        <w:t xml:space="preserve">Chief </w:t>
      </w:r>
    </w:p>
    <w:p w:rsidR="007B60E0" w:rsidRDefault="00412F12" w:rsidP="003A16C0">
      <w:pPr>
        <w:ind w:left="3600" w:firstLine="720"/>
        <w:rPr>
          <w:color w:val="000000"/>
          <w:szCs w:val="22"/>
        </w:rPr>
        <w:sectPr w:rsidR="007B60E0" w:rsidSect="003A16C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pPr>
      <w:r w:rsidRPr="00F73616">
        <w:rPr>
          <w:color w:val="000000"/>
          <w:szCs w:val="22"/>
        </w:rPr>
        <w:t>Enforcement Bur</w:t>
      </w:r>
      <w:bookmarkEnd w:id="0"/>
      <w:bookmarkEnd w:id="1"/>
      <w:r>
        <w:rPr>
          <w:color w:val="000000"/>
          <w:szCs w:val="22"/>
        </w:rPr>
        <w:t>eau</w:t>
      </w:r>
    </w:p>
    <w:p w:rsidR="00412F12" w:rsidRPr="00041014" w:rsidRDefault="00412F12" w:rsidP="006B6DE1">
      <w:pPr>
        <w:jc w:val="center"/>
        <w:rPr>
          <w:b/>
          <w:szCs w:val="22"/>
        </w:rPr>
      </w:pPr>
      <w:r w:rsidRPr="00041014">
        <w:rPr>
          <w:b/>
          <w:szCs w:val="22"/>
        </w:rPr>
        <w:t>Before the</w:t>
      </w:r>
    </w:p>
    <w:p w:rsidR="00412F12" w:rsidRPr="00041014" w:rsidRDefault="00412F12" w:rsidP="006B6DE1">
      <w:pPr>
        <w:jc w:val="center"/>
        <w:rPr>
          <w:b/>
          <w:szCs w:val="22"/>
        </w:rPr>
      </w:pPr>
      <w:r w:rsidRPr="00041014">
        <w:rPr>
          <w:b/>
          <w:szCs w:val="22"/>
        </w:rPr>
        <w:t>Federal Communications Commission</w:t>
      </w:r>
    </w:p>
    <w:p w:rsidR="00412F12" w:rsidRPr="006D074C" w:rsidRDefault="00412F12" w:rsidP="006B6DE1">
      <w:pPr>
        <w:jc w:val="center"/>
        <w:rPr>
          <w:szCs w:val="22"/>
        </w:rPr>
      </w:pPr>
      <w:r w:rsidRPr="00041014">
        <w:rPr>
          <w:b/>
          <w:szCs w:val="22"/>
        </w:rPr>
        <w:t>Washington, D.C. 20554</w:t>
      </w:r>
    </w:p>
    <w:p w:rsidR="00412F12" w:rsidRPr="006D074C" w:rsidRDefault="00412F12" w:rsidP="006B6DE1">
      <w:pPr>
        <w:rPr>
          <w:szCs w:val="22"/>
        </w:rPr>
      </w:pPr>
    </w:p>
    <w:tbl>
      <w:tblPr>
        <w:tblW w:w="0" w:type="auto"/>
        <w:tblLook w:val="0000" w:firstRow="0" w:lastRow="0" w:firstColumn="0" w:lastColumn="0" w:noHBand="0" w:noVBand="0"/>
      </w:tblPr>
      <w:tblGrid>
        <w:gridCol w:w="4428"/>
        <w:gridCol w:w="1080"/>
        <w:gridCol w:w="4068"/>
      </w:tblGrid>
      <w:tr w:rsidR="00412F12" w:rsidRPr="006D074C" w:rsidTr="002E09E0">
        <w:tc>
          <w:tcPr>
            <w:tcW w:w="4428" w:type="dxa"/>
          </w:tcPr>
          <w:p w:rsidR="00412F12" w:rsidRPr="00501122" w:rsidRDefault="00412F12" w:rsidP="002E09E0">
            <w:pPr>
              <w:keepNext/>
            </w:pPr>
            <w:r w:rsidRPr="00501122">
              <w:rPr>
                <w:szCs w:val="22"/>
              </w:rPr>
              <w:t>In the Matter of</w:t>
            </w:r>
          </w:p>
          <w:p w:rsidR="00412F12" w:rsidRPr="00501122" w:rsidRDefault="00412F12" w:rsidP="002E09E0">
            <w:pPr>
              <w:keepNext/>
            </w:pPr>
          </w:p>
          <w:p w:rsidR="00412F12" w:rsidRDefault="00746EEC" w:rsidP="002E09E0">
            <w:pPr>
              <w:rPr>
                <w:szCs w:val="22"/>
              </w:rPr>
            </w:pPr>
            <w:r>
              <w:rPr>
                <w:szCs w:val="22"/>
              </w:rPr>
              <w:t>Great American Broadband, Inc.</w:t>
            </w:r>
          </w:p>
          <w:p w:rsidR="00746EEC" w:rsidRDefault="00746EEC" w:rsidP="002E09E0"/>
          <w:p w:rsidR="00412F12" w:rsidRPr="00501122" w:rsidRDefault="00412F12" w:rsidP="002E09E0">
            <w:pPr>
              <w:keepNext/>
            </w:pPr>
          </w:p>
        </w:tc>
        <w:tc>
          <w:tcPr>
            <w:tcW w:w="1080" w:type="dxa"/>
          </w:tcPr>
          <w:p w:rsidR="00412F12" w:rsidRPr="00501122" w:rsidRDefault="00412F12" w:rsidP="002E09E0">
            <w:pPr>
              <w:keepNext/>
            </w:pPr>
            <w:r>
              <w:rPr>
                <w:szCs w:val="22"/>
              </w:rPr>
              <w:t xml:space="preserve">    </w:t>
            </w:r>
            <w:r w:rsidRPr="00501122">
              <w:rPr>
                <w:szCs w:val="22"/>
              </w:rPr>
              <w:t>)</w:t>
            </w:r>
          </w:p>
          <w:p w:rsidR="00412F12" w:rsidRPr="00501122" w:rsidRDefault="00412F12" w:rsidP="002E09E0">
            <w:pPr>
              <w:keepNext/>
            </w:pPr>
            <w:r>
              <w:rPr>
                <w:szCs w:val="22"/>
              </w:rPr>
              <w:t xml:space="preserve">    </w:t>
            </w:r>
            <w:r w:rsidRPr="00501122">
              <w:rPr>
                <w:szCs w:val="22"/>
              </w:rPr>
              <w:t>)</w:t>
            </w:r>
          </w:p>
          <w:p w:rsidR="00412F12" w:rsidRPr="00501122" w:rsidRDefault="00412F12" w:rsidP="002E09E0">
            <w:pPr>
              <w:keepNext/>
            </w:pPr>
            <w:r>
              <w:rPr>
                <w:szCs w:val="22"/>
              </w:rPr>
              <w:t xml:space="preserve">    </w:t>
            </w:r>
            <w:r w:rsidRPr="00501122">
              <w:rPr>
                <w:szCs w:val="22"/>
              </w:rPr>
              <w:t>)</w:t>
            </w:r>
          </w:p>
          <w:p w:rsidR="00412F12" w:rsidRPr="00501122" w:rsidRDefault="00412F12" w:rsidP="002E09E0">
            <w:pPr>
              <w:keepNext/>
            </w:pPr>
            <w:r>
              <w:rPr>
                <w:szCs w:val="22"/>
              </w:rPr>
              <w:t xml:space="preserve">    </w:t>
            </w:r>
            <w:r w:rsidRPr="00501122">
              <w:rPr>
                <w:szCs w:val="22"/>
              </w:rPr>
              <w:t>)</w:t>
            </w:r>
          </w:p>
          <w:p w:rsidR="00412F12" w:rsidRDefault="00412F12" w:rsidP="002E09E0">
            <w:pPr>
              <w:keepNext/>
            </w:pPr>
            <w:r>
              <w:rPr>
                <w:szCs w:val="22"/>
              </w:rPr>
              <w:t xml:space="preserve">    </w:t>
            </w:r>
            <w:r w:rsidRPr="00501122">
              <w:rPr>
                <w:szCs w:val="22"/>
              </w:rPr>
              <w:t>)</w:t>
            </w:r>
          </w:p>
          <w:p w:rsidR="00412F12" w:rsidRPr="00501122" w:rsidRDefault="00412F12" w:rsidP="00A10BF7">
            <w:pPr>
              <w:keepNext/>
            </w:pPr>
            <w:r>
              <w:rPr>
                <w:szCs w:val="22"/>
              </w:rPr>
              <w:t xml:space="preserve">  </w:t>
            </w:r>
          </w:p>
        </w:tc>
        <w:tc>
          <w:tcPr>
            <w:tcW w:w="4068" w:type="dxa"/>
          </w:tcPr>
          <w:p w:rsidR="00412F12" w:rsidRPr="00501122" w:rsidRDefault="00412F12" w:rsidP="002E09E0">
            <w:pPr>
              <w:rPr>
                <w:spacing w:val="-2"/>
              </w:rPr>
            </w:pPr>
            <w:r>
              <w:rPr>
                <w:spacing w:val="-2"/>
                <w:szCs w:val="22"/>
              </w:rPr>
              <w:t xml:space="preserve">        File No.:  </w:t>
            </w:r>
            <w:r w:rsidR="00746EEC" w:rsidRPr="00501122">
              <w:rPr>
                <w:spacing w:val="-2"/>
                <w:szCs w:val="22"/>
              </w:rPr>
              <w:t>EB-</w:t>
            </w:r>
            <w:r w:rsidR="00746EEC">
              <w:rPr>
                <w:spacing w:val="-2"/>
                <w:szCs w:val="22"/>
              </w:rPr>
              <w:t>IHD-14-00014314</w:t>
            </w:r>
          </w:p>
          <w:p w:rsidR="00412F12" w:rsidRDefault="00412F12" w:rsidP="002E09E0">
            <w:pPr>
              <w:rPr>
                <w:spacing w:val="-2"/>
              </w:rPr>
            </w:pPr>
          </w:p>
          <w:p w:rsidR="00412F12" w:rsidRPr="00CD14D8" w:rsidRDefault="00412F12" w:rsidP="002E09E0">
            <w:pPr>
              <w:rPr>
                <w:spacing w:val="-2"/>
              </w:rPr>
            </w:pPr>
            <w:r>
              <w:rPr>
                <w:spacing w:val="-2"/>
                <w:szCs w:val="22"/>
              </w:rPr>
              <w:t xml:space="preserve">         </w:t>
            </w:r>
            <w:r w:rsidRPr="00CD14D8">
              <w:rPr>
                <w:spacing w:val="-2"/>
                <w:szCs w:val="22"/>
              </w:rPr>
              <w:t xml:space="preserve">Acct. No.:  </w:t>
            </w:r>
            <w:r w:rsidRPr="007E57F8">
              <w:rPr>
                <w:spacing w:val="-2"/>
                <w:szCs w:val="22"/>
              </w:rPr>
              <w:t>2014</w:t>
            </w:r>
            <w:r w:rsidR="0046259F">
              <w:rPr>
                <w:spacing w:val="-2"/>
                <w:szCs w:val="22"/>
              </w:rPr>
              <w:t>32080037</w:t>
            </w:r>
          </w:p>
          <w:p w:rsidR="00412F12" w:rsidRPr="00CD14D8" w:rsidRDefault="00412F12" w:rsidP="002E09E0">
            <w:pPr>
              <w:rPr>
                <w:spacing w:val="-2"/>
              </w:rPr>
            </w:pPr>
          </w:p>
          <w:p w:rsidR="00412F12" w:rsidRPr="00501122" w:rsidRDefault="00412F12" w:rsidP="00A4236D">
            <w:r>
              <w:rPr>
                <w:szCs w:val="22"/>
              </w:rPr>
              <w:t xml:space="preserve">        </w:t>
            </w:r>
            <w:r w:rsidRPr="00762169">
              <w:rPr>
                <w:szCs w:val="22"/>
              </w:rPr>
              <w:t>FRN:</w:t>
            </w:r>
            <w:r>
              <w:rPr>
                <w:szCs w:val="22"/>
              </w:rPr>
              <w:t xml:space="preserve">  </w:t>
            </w:r>
            <w:r w:rsidR="00746EEC">
              <w:rPr>
                <w:szCs w:val="22"/>
              </w:rPr>
              <w:t>0017176173</w:t>
            </w:r>
          </w:p>
        </w:tc>
      </w:tr>
    </w:tbl>
    <w:p w:rsidR="00412F12" w:rsidRPr="006D074C" w:rsidRDefault="00412F12" w:rsidP="006B6DE1">
      <w:pPr>
        <w:keepNext/>
        <w:jc w:val="center"/>
        <w:rPr>
          <w:b/>
          <w:szCs w:val="22"/>
        </w:rPr>
      </w:pPr>
      <w:r w:rsidRPr="006D074C">
        <w:rPr>
          <w:b/>
          <w:szCs w:val="22"/>
        </w:rPr>
        <w:t>CONSENT DECREE</w:t>
      </w:r>
    </w:p>
    <w:p w:rsidR="00412F12" w:rsidRDefault="00412F12" w:rsidP="004A5FD9">
      <w:pPr>
        <w:keepNext/>
        <w:jc w:val="center"/>
        <w:rPr>
          <w:szCs w:val="22"/>
        </w:rPr>
      </w:pPr>
    </w:p>
    <w:p w:rsidR="00412F12" w:rsidRPr="006D074C" w:rsidRDefault="00412F12" w:rsidP="000D3EBD">
      <w:pPr>
        <w:spacing w:after="120"/>
        <w:ind w:firstLine="720"/>
      </w:pPr>
      <w:r w:rsidRPr="00311E3A">
        <w:rPr>
          <w:szCs w:val="22"/>
        </w:rPr>
        <w:t xml:space="preserve">The </w:t>
      </w:r>
      <w:r w:rsidRPr="00311E3A">
        <w:rPr>
          <w:bCs/>
          <w:szCs w:val="22"/>
        </w:rPr>
        <w:t xml:space="preserve">Enforcement Bureau </w:t>
      </w:r>
      <w:r w:rsidRPr="00311E3A">
        <w:rPr>
          <w:szCs w:val="22"/>
        </w:rPr>
        <w:t xml:space="preserve">of the Federal Communications Commission and </w:t>
      </w:r>
      <w:r w:rsidR="004646EA" w:rsidRPr="00311E3A">
        <w:rPr>
          <w:szCs w:val="22"/>
        </w:rPr>
        <w:t xml:space="preserve">Great American Broadband, Inc. </w:t>
      </w:r>
      <w:r w:rsidR="00E0486B" w:rsidRPr="00311E3A">
        <w:rPr>
          <w:szCs w:val="22"/>
        </w:rPr>
        <w:t>(GAB or Company)</w:t>
      </w:r>
      <w:r w:rsidR="00D61DB3" w:rsidRPr="00311E3A">
        <w:rPr>
          <w:szCs w:val="22"/>
        </w:rPr>
        <w:t>,</w:t>
      </w:r>
      <w:r w:rsidR="00E0486B" w:rsidRPr="00311E3A">
        <w:rPr>
          <w:szCs w:val="22"/>
        </w:rPr>
        <w:t xml:space="preserve"> </w:t>
      </w:r>
      <w:r w:rsidRPr="00311E3A">
        <w:rPr>
          <w:szCs w:val="22"/>
        </w:rPr>
        <w:t xml:space="preserve">by their authorized representatives, hereby enter into this Consent Decree for the purpose of terminating the </w:t>
      </w:r>
      <w:r w:rsidRPr="00311E3A">
        <w:rPr>
          <w:bCs/>
          <w:szCs w:val="22"/>
        </w:rPr>
        <w:t>Bureau</w:t>
      </w:r>
      <w:r w:rsidR="005C5ABA" w:rsidRPr="00311E3A">
        <w:rPr>
          <w:bCs/>
          <w:szCs w:val="22"/>
        </w:rPr>
        <w:t>’</w:t>
      </w:r>
      <w:r w:rsidRPr="00311E3A">
        <w:rPr>
          <w:bCs/>
          <w:szCs w:val="22"/>
        </w:rPr>
        <w:t>s investigation</w:t>
      </w:r>
      <w:r w:rsidRPr="00311E3A">
        <w:rPr>
          <w:szCs w:val="22"/>
        </w:rPr>
        <w:t xml:space="preserve"> into </w:t>
      </w:r>
      <w:r w:rsidR="00164058">
        <w:rPr>
          <w:szCs w:val="22"/>
        </w:rPr>
        <w:t xml:space="preserve">whether GAB complied with certain Designated Entity bidding credit and alien ownership requirements applicable to </w:t>
      </w:r>
      <w:r w:rsidR="00F55BF5">
        <w:rPr>
          <w:szCs w:val="22"/>
        </w:rPr>
        <w:t xml:space="preserve">the four </w:t>
      </w:r>
      <w:r w:rsidR="00164058">
        <w:rPr>
          <w:szCs w:val="22"/>
        </w:rPr>
        <w:t>700 MH</w:t>
      </w:r>
      <w:r w:rsidR="00B14CFA">
        <w:rPr>
          <w:szCs w:val="22"/>
        </w:rPr>
        <w:t>z</w:t>
      </w:r>
      <w:r w:rsidR="00164058">
        <w:rPr>
          <w:szCs w:val="22"/>
        </w:rPr>
        <w:t xml:space="preserve"> band licenses </w:t>
      </w:r>
      <w:r w:rsidR="00F55BF5">
        <w:rPr>
          <w:szCs w:val="22"/>
        </w:rPr>
        <w:t xml:space="preserve">that GAB </w:t>
      </w:r>
      <w:r w:rsidR="00164058">
        <w:rPr>
          <w:szCs w:val="22"/>
        </w:rPr>
        <w:t xml:space="preserve">obtained during the Commission’s </w:t>
      </w:r>
      <w:r w:rsidR="00F55BF5">
        <w:rPr>
          <w:szCs w:val="22"/>
        </w:rPr>
        <w:t>A</w:t>
      </w:r>
      <w:r w:rsidR="00164058">
        <w:rPr>
          <w:szCs w:val="22"/>
        </w:rPr>
        <w:t xml:space="preserve">uction 73.   </w:t>
      </w:r>
    </w:p>
    <w:p w:rsidR="00412F12" w:rsidRPr="006D074C" w:rsidRDefault="00412F12" w:rsidP="009E1A3F">
      <w:pPr>
        <w:pStyle w:val="Heading1"/>
        <w:keepLines/>
        <w:suppressAutoHyphens w:val="0"/>
        <w:rPr>
          <w:b w:val="0"/>
          <w:szCs w:val="22"/>
        </w:rPr>
      </w:pPr>
      <w:r w:rsidRPr="006D074C">
        <w:rPr>
          <w:szCs w:val="22"/>
        </w:rPr>
        <w:t>DEFINITIONS</w:t>
      </w:r>
    </w:p>
    <w:p w:rsidR="00412F12" w:rsidRPr="00A85A67" w:rsidRDefault="00412F12" w:rsidP="000D3EBD">
      <w:pPr>
        <w:pStyle w:val="par1"/>
        <w:spacing w:after="120"/>
        <w:rPr>
          <w:szCs w:val="22"/>
        </w:rPr>
      </w:pPr>
      <w:r w:rsidRPr="00A85A67">
        <w:rPr>
          <w:szCs w:val="22"/>
        </w:rPr>
        <w:t>For the purposes of this Consent Decree, the following definitions shall apply:</w:t>
      </w:r>
    </w:p>
    <w:p w:rsidR="00412F12" w:rsidRDefault="005C5ABA" w:rsidP="00F03979">
      <w:pPr>
        <w:numPr>
          <w:ilvl w:val="0"/>
          <w:numId w:val="7"/>
        </w:numPr>
        <w:tabs>
          <w:tab w:val="clear" w:pos="3960"/>
          <w:tab w:val="left" w:pos="720"/>
          <w:tab w:val="left" w:pos="1440"/>
        </w:tabs>
        <w:spacing w:after="120"/>
        <w:ind w:left="1872"/>
        <w:rPr>
          <w:szCs w:val="22"/>
        </w:rPr>
      </w:pPr>
      <w:r>
        <w:rPr>
          <w:szCs w:val="22"/>
        </w:rPr>
        <w:t>“</w:t>
      </w:r>
      <w:r w:rsidR="00412F12" w:rsidRPr="00A85A67">
        <w:rPr>
          <w:szCs w:val="22"/>
        </w:rPr>
        <w:t>Act</w:t>
      </w:r>
      <w:r>
        <w:rPr>
          <w:szCs w:val="22"/>
        </w:rPr>
        <w:t>”</w:t>
      </w:r>
      <w:r w:rsidR="00412F12" w:rsidRPr="00A85A67">
        <w:rPr>
          <w:szCs w:val="22"/>
        </w:rPr>
        <w:t xml:space="preserve"> means the Communications Act of 1934, as amended, 47 U.S.C. § 151 </w:t>
      </w:r>
      <w:r w:rsidR="00412F12" w:rsidRPr="00A85A67">
        <w:rPr>
          <w:i/>
          <w:szCs w:val="22"/>
        </w:rPr>
        <w:t>et seq.</w:t>
      </w:r>
    </w:p>
    <w:p w:rsidR="00412F12" w:rsidRDefault="005C5ABA" w:rsidP="00F03979">
      <w:pPr>
        <w:numPr>
          <w:ilvl w:val="0"/>
          <w:numId w:val="7"/>
        </w:numPr>
        <w:tabs>
          <w:tab w:val="clear" w:pos="3960"/>
          <w:tab w:val="left" w:pos="720"/>
          <w:tab w:val="left" w:pos="1440"/>
        </w:tabs>
        <w:spacing w:after="120"/>
        <w:ind w:left="1872"/>
        <w:rPr>
          <w:szCs w:val="22"/>
        </w:rPr>
      </w:pPr>
      <w:r>
        <w:rPr>
          <w:szCs w:val="22"/>
        </w:rPr>
        <w:t>“</w:t>
      </w:r>
      <w:r w:rsidR="00412F12" w:rsidRPr="00A85A67">
        <w:rPr>
          <w:szCs w:val="22"/>
        </w:rPr>
        <w:t>Adopting Order</w:t>
      </w:r>
      <w:r>
        <w:rPr>
          <w:szCs w:val="22"/>
        </w:rPr>
        <w:t>”</w:t>
      </w:r>
      <w:r w:rsidR="00412F12" w:rsidRPr="00A85A67">
        <w:rPr>
          <w:szCs w:val="22"/>
        </w:rPr>
        <w:t xml:space="preserve"> means an order of the Bureau adopting the terms of this Consent Decree without change, addition, deletion, or modification.</w:t>
      </w:r>
    </w:p>
    <w:p w:rsidR="008C61DF" w:rsidRDefault="005C5ABA" w:rsidP="00F03979">
      <w:pPr>
        <w:numPr>
          <w:ilvl w:val="0"/>
          <w:numId w:val="7"/>
        </w:numPr>
        <w:tabs>
          <w:tab w:val="clear" w:pos="3960"/>
          <w:tab w:val="left" w:pos="720"/>
          <w:tab w:val="left" w:pos="1440"/>
        </w:tabs>
        <w:spacing w:after="120"/>
        <w:ind w:left="1872"/>
        <w:rPr>
          <w:szCs w:val="22"/>
        </w:rPr>
      </w:pPr>
      <w:r>
        <w:rPr>
          <w:szCs w:val="22"/>
        </w:rPr>
        <w:t>“</w:t>
      </w:r>
      <w:r w:rsidR="008C61DF">
        <w:rPr>
          <w:szCs w:val="22"/>
        </w:rPr>
        <w:t>Alien Ownership Rules</w:t>
      </w:r>
      <w:r>
        <w:rPr>
          <w:szCs w:val="22"/>
        </w:rPr>
        <w:t>”</w:t>
      </w:r>
      <w:r w:rsidR="00472918">
        <w:rPr>
          <w:szCs w:val="22"/>
        </w:rPr>
        <w:t xml:space="preserve"> means Section 310 of the Act, Section 1.990 of</w:t>
      </w:r>
      <w:r w:rsidR="00F02422">
        <w:rPr>
          <w:szCs w:val="22"/>
        </w:rPr>
        <w:t xml:space="preserve"> the Rules, and other Communications Laws that regula</w:t>
      </w:r>
      <w:r w:rsidR="00472918">
        <w:rPr>
          <w:szCs w:val="22"/>
        </w:rPr>
        <w:t>t</w:t>
      </w:r>
      <w:r w:rsidR="00F02422">
        <w:rPr>
          <w:szCs w:val="22"/>
        </w:rPr>
        <w:t>e</w:t>
      </w:r>
      <w:r w:rsidR="00472918">
        <w:rPr>
          <w:szCs w:val="22"/>
        </w:rPr>
        <w:t xml:space="preserve"> the level of authorized alien ownership in</w:t>
      </w:r>
      <w:r w:rsidR="00F02422">
        <w:rPr>
          <w:szCs w:val="22"/>
        </w:rPr>
        <w:t xml:space="preserve"> entities that hold licenses and authorizations issued by the Commission.</w:t>
      </w:r>
    </w:p>
    <w:p w:rsidR="009E480B" w:rsidRDefault="009E480B" w:rsidP="00F03979">
      <w:pPr>
        <w:numPr>
          <w:ilvl w:val="0"/>
          <w:numId w:val="7"/>
        </w:numPr>
        <w:tabs>
          <w:tab w:val="clear" w:pos="3960"/>
          <w:tab w:val="left" w:pos="720"/>
          <w:tab w:val="left" w:pos="1440"/>
        </w:tabs>
        <w:spacing w:after="120"/>
        <w:ind w:left="1872"/>
        <w:rPr>
          <w:szCs w:val="22"/>
        </w:rPr>
      </w:pPr>
      <w:r>
        <w:rPr>
          <w:szCs w:val="22"/>
        </w:rPr>
        <w:t>“</w:t>
      </w:r>
      <w:r w:rsidRPr="0024280A">
        <w:rPr>
          <w:szCs w:val="22"/>
        </w:rPr>
        <w:t>AT&amp;T” means AT&amp;T Mobility Spectrum LLC.</w:t>
      </w:r>
      <w:r w:rsidRPr="007F7219">
        <w:rPr>
          <w:szCs w:val="22"/>
        </w:rPr>
        <w:t xml:space="preserve"> </w:t>
      </w:r>
    </w:p>
    <w:p w:rsidR="001B027E" w:rsidRDefault="005C5ABA" w:rsidP="00F03979">
      <w:pPr>
        <w:numPr>
          <w:ilvl w:val="0"/>
          <w:numId w:val="7"/>
        </w:numPr>
        <w:tabs>
          <w:tab w:val="clear" w:pos="3960"/>
          <w:tab w:val="left" w:pos="720"/>
          <w:tab w:val="left" w:pos="1440"/>
        </w:tabs>
        <w:spacing w:after="120"/>
        <w:ind w:left="1872"/>
        <w:rPr>
          <w:szCs w:val="22"/>
        </w:rPr>
      </w:pPr>
      <w:r>
        <w:rPr>
          <w:szCs w:val="22"/>
        </w:rPr>
        <w:t>“</w:t>
      </w:r>
      <w:r w:rsidR="001B027E">
        <w:rPr>
          <w:szCs w:val="22"/>
        </w:rPr>
        <w:t>Bidding Credit</w:t>
      </w:r>
      <w:r>
        <w:rPr>
          <w:szCs w:val="22"/>
        </w:rPr>
        <w:t>”</w:t>
      </w:r>
      <w:r w:rsidR="001B027E">
        <w:rPr>
          <w:szCs w:val="22"/>
        </w:rPr>
        <w:t xml:space="preserve"> has the meaning set forth in Section 1.2110(f) of the Rules, </w:t>
      </w:r>
      <w:r w:rsidR="001B027E" w:rsidRPr="0042539A">
        <w:rPr>
          <w:szCs w:val="22"/>
          <w:lang w:val="es-ES"/>
        </w:rPr>
        <w:t xml:space="preserve">47 C.F.R. § </w:t>
      </w:r>
      <w:r w:rsidR="001B027E">
        <w:rPr>
          <w:color w:val="000000"/>
          <w:szCs w:val="22"/>
        </w:rPr>
        <w:t>1.2110(f</w:t>
      </w:r>
      <w:r w:rsidR="001B027E" w:rsidRPr="0042539A">
        <w:rPr>
          <w:color w:val="000000"/>
          <w:szCs w:val="22"/>
        </w:rPr>
        <w:t>)</w:t>
      </w:r>
      <w:r w:rsidR="00735151">
        <w:rPr>
          <w:color w:val="000000"/>
          <w:szCs w:val="22"/>
        </w:rPr>
        <w:t>.</w:t>
      </w:r>
    </w:p>
    <w:p w:rsidR="001B027E" w:rsidRPr="001B027E" w:rsidRDefault="005C5ABA" w:rsidP="001B027E">
      <w:pPr>
        <w:numPr>
          <w:ilvl w:val="0"/>
          <w:numId w:val="7"/>
        </w:numPr>
        <w:tabs>
          <w:tab w:val="clear" w:pos="3960"/>
          <w:tab w:val="left" w:pos="720"/>
          <w:tab w:val="left" w:pos="1440"/>
        </w:tabs>
        <w:spacing w:after="120"/>
        <w:ind w:left="1872"/>
        <w:rPr>
          <w:szCs w:val="22"/>
        </w:rPr>
      </w:pPr>
      <w:r>
        <w:rPr>
          <w:szCs w:val="22"/>
        </w:rPr>
        <w:t>“</w:t>
      </w:r>
      <w:r w:rsidR="00412F12" w:rsidRPr="00A85A67">
        <w:rPr>
          <w:szCs w:val="22"/>
        </w:rPr>
        <w:t>Bureau</w:t>
      </w:r>
      <w:r>
        <w:rPr>
          <w:szCs w:val="22"/>
        </w:rPr>
        <w:t>”</w:t>
      </w:r>
      <w:r w:rsidR="00412F12" w:rsidRPr="00A85A67">
        <w:rPr>
          <w:szCs w:val="22"/>
        </w:rPr>
        <w:t xml:space="preserve"> means the Enforcement Bureau of the Federal Communications Commission.</w:t>
      </w:r>
    </w:p>
    <w:p w:rsidR="00412F12" w:rsidRDefault="005C5ABA" w:rsidP="00F03979">
      <w:pPr>
        <w:numPr>
          <w:ilvl w:val="0"/>
          <w:numId w:val="7"/>
        </w:numPr>
        <w:tabs>
          <w:tab w:val="clear" w:pos="3960"/>
          <w:tab w:val="left" w:pos="720"/>
          <w:tab w:val="left" w:pos="1440"/>
        </w:tabs>
        <w:spacing w:after="120"/>
        <w:ind w:left="1872"/>
        <w:rPr>
          <w:szCs w:val="22"/>
        </w:rPr>
      </w:pPr>
      <w:r>
        <w:rPr>
          <w:szCs w:val="22"/>
        </w:rPr>
        <w:t>“</w:t>
      </w:r>
      <w:r w:rsidR="00412F12" w:rsidRPr="00A85A67">
        <w:rPr>
          <w:szCs w:val="22"/>
        </w:rPr>
        <w:t>Commission</w:t>
      </w:r>
      <w:r>
        <w:rPr>
          <w:szCs w:val="22"/>
        </w:rPr>
        <w:t>”</w:t>
      </w:r>
      <w:r w:rsidR="00412F12" w:rsidRPr="00A85A67">
        <w:rPr>
          <w:szCs w:val="22"/>
        </w:rPr>
        <w:t xml:space="preserve"> and </w:t>
      </w:r>
      <w:r>
        <w:rPr>
          <w:szCs w:val="22"/>
        </w:rPr>
        <w:t>“</w:t>
      </w:r>
      <w:r w:rsidR="00412F12" w:rsidRPr="00A85A67">
        <w:rPr>
          <w:szCs w:val="22"/>
        </w:rPr>
        <w:t>FCC</w:t>
      </w:r>
      <w:r>
        <w:rPr>
          <w:szCs w:val="22"/>
        </w:rPr>
        <w:t>”</w:t>
      </w:r>
      <w:r w:rsidR="00412F12" w:rsidRPr="00A85A67">
        <w:rPr>
          <w:szCs w:val="22"/>
        </w:rPr>
        <w:t xml:space="preserve"> mean the Federal Communications Commission and all of its bureaus and offices</w:t>
      </w:r>
      <w:r w:rsidR="00412F12">
        <w:rPr>
          <w:szCs w:val="22"/>
        </w:rPr>
        <w:t>.</w:t>
      </w:r>
    </w:p>
    <w:p w:rsidR="00412F12" w:rsidRDefault="005C5ABA" w:rsidP="0011317A">
      <w:pPr>
        <w:numPr>
          <w:ilvl w:val="0"/>
          <w:numId w:val="7"/>
        </w:numPr>
        <w:tabs>
          <w:tab w:val="clear" w:pos="3960"/>
          <w:tab w:val="left" w:pos="720"/>
          <w:tab w:val="left" w:pos="1440"/>
        </w:tabs>
        <w:spacing w:after="120"/>
        <w:ind w:left="1872"/>
        <w:rPr>
          <w:szCs w:val="22"/>
        </w:rPr>
      </w:pPr>
      <w:r>
        <w:rPr>
          <w:szCs w:val="22"/>
        </w:rPr>
        <w:t>“</w:t>
      </w:r>
      <w:r w:rsidR="00412F12" w:rsidRPr="00A85A67">
        <w:rPr>
          <w:szCs w:val="22"/>
        </w:rPr>
        <w:t>Communications Laws</w:t>
      </w:r>
      <w:r>
        <w:rPr>
          <w:szCs w:val="22"/>
        </w:rPr>
        <w:t>”</w:t>
      </w:r>
      <w:r w:rsidR="00412F12" w:rsidRPr="00A85A67">
        <w:rPr>
          <w:szCs w:val="22"/>
        </w:rPr>
        <w:t xml:space="preserve"> means</w:t>
      </w:r>
      <w:r w:rsidR="00412F12">
        <w:rPr>
          <w:szCs w:val="22"/>
        </w:rPr>
        <w:t>,</w:t>
      </w:r>
      <w:r w:rsidR="00412F12" w:rsidRPr="00A85A67">
        <w:rPr>
          <w:szCs w:val="22"/>
        </w:rPr>
        <w:t xml:space="preserve"> collectively, the Act, the Rules, and the published and promulgated orders and decisions of the Commission to which </w:t>
      </w:r>
      <w:r w:rsidR="009D767E">
        <w:rPr>
          <w:szCs w:val="22"/>
        </w:rPr>
        <w:t xml:space="preserve">GAB </w:t>
      </w:r>
      <w:r w:rsidR="00412F12" w:rsidRPr="00A85A67">
        <w:rPr>
          <w:szCs w:val="22"/>
        </w:rPr>
        <w:t xml:space="preserve">is </w:t>
      </w:r>
      <w:r w:rsidR="009D767E">
        <w:rPr>
          <w:szCs w:val="22"/>
        </w:rPr>
        <w:t>subject by virtue of being a licensee.</w:t>
      </w:r>
      <w:r w:rsidR="00412F12" w:rsidRPr="00A85A67">
        <w:rPr>
          <w:szCs w:val="22"/>
        </w:rPr>
        <w:t xml:space="preserve"> </w:t>
      </w:r>
    </w:p>
    <w:p w:rsidR="00E277D4" w:rsidRDefault="005C5ABA" w:rsidP="0011317A">
      <w:pPr>
        <w:numPr>
          <w:ilvl w:val="0"/>
          <w:numId w:val="7"/>
        </w:numPr>
        <w:tabs>
          <w:tab w:val="clear" w:pos="3960"/>
          <w:tab w:val="left" w:pos="720"/>
          <w:tab w:val="left" w:pos="1440"/>
        </w:tabs>
        <w:spacing w:after="120"/>
        <w:ind w:left="1872"/>
        <w:rPr>
          <w:szCs w:val="22"/>
        </w:rPr>
      </w:pPr>
      <w:r>
        <w:rPr>
          <w:szCs w:val="22"/>
        </w:rPr>
        <w:t>“</w:t>
      </w:r>
      <w:r w:rsidR="00E277D4">
        <w:rPr>
          <w:szCs w:val="22"/>
        </w:rPr>
        <w:t>Consummation</w:t>
      </w:r>
      <w:r>
        <w:rPr>
          <w:szCs w:val="22"/>
        </w:rPr>
        <w:t>”</w:t>
      </w:r>
      <w:r w:rsidR="00DF7B02">
        <w:rPr>
          <w:szCs w:val="22"/>
        </w:rPr>
        <w:t xml:space="preserve"> means </w:t>
      </w:r>
      <w:r w:rsidR="009D767E">
        <w:rPr>
          <w:szCs w:val="22"/>
        </w:rPr>
        <w:t xml:space="preserve">the completion </w:t>
      </w:r>
      <w:r w:rsidR="00DF7B02">
        <w:rPr>
          <w:szCs w:val="22"/>
        </w:rPr>
        <w:t xml:space="preserve">of the assignment of 700 MHz licenses </w:t>
      </w:r>
      <w:r w:rsidR="00EE2FEC">
        <w:rPr>
          <w:szCs w:val="22"/>
        </w:rPr>
        <w:t xml:space="preserve">described </w:t>
      </w:r>
      <w:r w:rsidR="00DF7B02">
        <w:rPr>
          <w:szCs w:val="22"/>
        </w:rPr>
        <w:t xml:space="preserve">in the </w:t>
      </w:r>
      <w:r w:rsidR="003F19A1">
        <w:rPr>
          <w:szCs w:val="22"/>
        </w:rPr>
        <w:t>2013 Assignment Application</w:t>
      </w:r>
      <w:r w:rsidR="00DF7B02">
        <w:rPr>
          <w:szCs w:val="22"/>
        </w:rPr>
        <w:t>.</w:t>
      </w:r>
    </w:p>
    <w:p w:rsidR="00DF7B02" w:rsidRDefault="005C5ABA" w:rsidP="0011317A">
      <w:pPr>
        <w:numPr>
          <w:ilvl w:val="0"/>
          <w:numId w:val="7"/>
        </w:numPr>
        <w:tabs>
          <w:tab w:val="clear" w:pos="3960"/>
          <w:tab w:val="left" w:pos="720"/>
          <w:tab w:val="left" w:pos="1440"/>
        </w:tabs>
        <w:spacing w:after="120"/>
        <w:ind w:left="1872"/>
        <w:rPr>
          <w:szCs w:val="22"/>
        </w:rPr>
      </w:pPr>
      <w:r>
        <w:rPr>
          <w:szCs w:val="22"/>
        </w:rPr>
        <w:t>“</w:t>
      </w:r>
      <w:r w:rsidR="00DF7B02">
        <w:rPr>
          <w:szCs w:val="22"/>
        </w:rPr>
        <w:t>Consummation Dat</w:t>
      </w:r>
      <w:r w:rsidR="009D767E">
        <w:rPr>
          <w:szCs w:val="22"/>
        </w:rPr>
        <w:t>e</w:t>
      </w:r>
      <w:r>
        <w:rPr>
          <w:szCs w:val="22"/>
        </w:rPr>
        <w:t>”</w:t>
      </w:r>
      <w:r w:rsidR="009D767E">
        <w:rPr>
          <w:szCs w:val="22"/>
        </w:rPr>
        <w:t xml:space="preserve"> means the date on which C</w:t>
      </w:r>
      <w:r w:rsidR="00DF7B02">
        <w:rPr>
          <w:szCs w:val="22"/>
        </w:rPr>
        <w:t xml:space="preserve">onsummation occurs. </w:t>
      </w:r>
    </w:p>
    <w:p w:rsidR="00AE2E40" w:rsidRDefault="005C5ABA" w:rsidP="0011317A">
      <w:pPr>
        <w:numPr>
          <w:ilvl w:val="0"/>
          <w:numId w:val="7"/>
        </w:numPr>
        <w:tabs>
          <w:tab w:val="clear" w:pos="3960"/>
          <w:tab w:val="left" w:pos="720"/>
          <w:tab w:val="left" w:pos="1440"/>
        </w:tabs>
        <w:spacing w:after="120"/>
        <w:ind w:left="1872"/>
        <w:rPr>
          <w:szCs w:val="22"/>
        </w:rPr>
      </w:pPr>
      <w:r>
        <w:rPr>
          <w:szCs w:val="22"/>
        </w:rPr>
        <w:t>“</w:t>
      </w:r>
      <w:r w:rsidR="00DD1350">
        <w:rPr>
          <w:szCs w:val="22"/>
        </w:rPr>
        <w:t>Contingent Complia</w:t>
      </w:r>
      <w:r w:rsidR="00AE2E40">
        <w:rPr>
          <w:szCs w:val="22"/>
        </w:rPr>
        <w:t>nce Plan</w:t>
      </w:r>
      <w:r>
        <w:rPr>
          <w:szCs w:val="22"/>
        </w:rPr>
        <w:t>”</w:t>
      </w:r>
      <w:r w:rsidR="00AE2E40">
        <w:rPr>
          <w:szCs w:val="22"/>
        </w:rPr>
        <w:t xml:space="preserve"> </w:t>
      </w:r>
      <w:r w:rsidR="00DD1350">
        <w:rPr>
          <w:szCs w:val="22"/>
        </w:rPr>
        <w:t>means the compliance obligations, program, and procedures described in this Consent Decree at paragraph</w:t>
      </w:r>
      <w:r w:rsidR="009D767E">
        <w:rPr>
          <w:szCs w:val="22"/>
        </w:rPr>
        <w:t xml:space="preserve"> </w:t>
      </w:r>
      <w:r w:rsidR="009D767E" w:rsidRPr="00883AA9">
        <w:rPr>
          <w:szCs w:val="22"/>
        </w:rPr>
        <w:t>1</w:t>
      </w:r>
      <w:r w:rsidR="000B38DD">
        <w:rPr>
          <w:szCs w:val="22"/>
        </w:rPr>
        <w:t>8</w:t>
      </w:r>
      <w:r w:rsidR="00D919A5">
        <w:rPr>
          <w:szCs w:val="22"/>
        </w:rPr>
        <w:t>.</w:t>
      </w:r>
    </w:p>
    <w:p w:rsidR="00DD1350" w:rsidRDefault="005C5ABA" w:rsidP="0011317A">
      <w:pPr>
        <w:numPr>
          <w:ilvl w:val="0"/>
          <w:numId w:val="7"/>
        </w:numPr>
        <w:tabs>
          <w:tab w:val="clear" w:pos="3960"/>
          <w:tab w:val="left" w:pos="720"/>
          <w:tab w:val="left" w:pos="1440"/>
        </w:tabs>
        <w:spacing w:after="120"/>
        <w:ind w:left="1872"/>
        <w:rPr>
          <w:szCs w:val="22"/>
        </w:rPr>
      </w:pPr>
      <w:r>
        <w:rPr>
          <w:szCs w:val="22"/>
        </w:rPr>
        <w:t>“</w:t>
      </w:r>
      <w:r w:rsidR="00DD1350">
        <w:rPr>
          <w:szCs w:val="22"/>
        </w:rPr>
        <w:t>Covered E</w:t>
      </w:r>
      <w:r w:rsidR="009D767E">
        <w:rPr>
          <w:szCs w:val="22"/>
        </w:rPr>
        <w:t>mployees</w:t>
      </w:r>
      <w:r>
        <w:rPr>
          <w:szCs w:val="22"/>
        </w:rPr>
        <w:t>”</w:t>
      </w:r>
      <w:r w:rsidR="009D767E">
        <w:rPr>
          <w:szCs w:val="22"/>
        </w:rPr>
        <w:t xml:space="preserve"> m</w:t>
      </w:r>
      <w:r w:rsidR="00DD1350">
        <w:rPr>
          <w:szCs w:val="22"/>
        </w:rPr>
        <w:t xml:space="preserve">eans all the employees and agents of GAB who perform, or supervise, oversee, and/or manage the performance of </w:t>
      </w:r>
      <w:r w:rsidR="008E32F6">
        <w:rPr>
          <w:szCs w:val="22"/>
        </w:rPr>
        <w:t>duties that relate to GAB</w:t>
      </w:r>
      <w:r>
        <w:rPr>
          <w:szCs w:val="22"/>
        </w:rPr>
        <w:t>’</w:t>
      </w:r>
      <w:r w:rsidR="008E32F6">
        <w:rPr>
          <w:szCs w:val="22"/>
        </w:rPr>
        <w:t>s responsibilities under the Act and Rules.</w:t>
      </w:r>
    </w:p>
    <w:p w:rsidR="00AE00B9" w:rsidRDefault="005C5ABA" w:rsidP="0011317A">
      <w:pPr>
        <w:numPr>
          <w:ilvl w:val="0"/>
          <w:numId w:val="7"/>
        </w:numPr>
        <w:tabs>
          <w:tab w:val="clear" w:pos="3960"/>
          <w:tab w:val="left" w:pos="720"/>
          <w:tab w:val="left" w:pos="1440"/>
        </w:tabs>
        <w:spacing w:after="120"/>
        <w:ind w:left="1872"/>
        <w:rPr>
          <w:szCs w:val="22"/>
        </w:rPr>
      </w:pPr>
      <w:r>
        <w:rPr>
          <w:szCs w:val="22"/>
        </w:rPr>
        <w:t>“</w:t>
      </w:r>
      <w:r w:rsidR="00EB0D5C">
        <w:rPr>
          <w:szCs w:val="22"/>
        </w:rPr>
        <w:t>Declaratory Ru</w:t>
      </w:r>
      <w:r w:rsidR="00115126">
        <w:rPr>
          <w:szCs w:val="22"/>
        </w:rPr>
        <w:t>l</w:t>
      </w:r>
      <w:r w:rsidR="00EB0D5C">
        <w:rPr>
          <w:szCs w:val="22"/>
        </w:rPr>
        <w:t>ing</w:t>
      </w:r>
      <w:r w:rsidR="004958B3">
        <w:rPr>
          <w:szCs w:val="22"/>
        </w:rPr>
        <w:t>”</w:t>
      </w:r>
      <w:r w:rsidR="00EB0D5C">
        <w:rPr>
          <w:szCs w:val="22"/>
        </w:rPr>
        <w:t xml:space="preserve"> has the meaning set forth at Section 1.2 of the rules, </w:t>
      </w:r>
      <w:r w:rsidR="00EB0D5C" w:rsidRPr="0042539A">
        <w:rPr>
          <w:szCs w:val="22"/>
          <w:lang w:val="es-ES"/>
        </w:rPr>
        <w:t xml:space="preserve">47 C.F.R. § </w:t>
      </w:r>
      <w:r w:rsidR="00EB0D5C" w:rsidRPr="0042539A">
        <w:rPr>
          <w:color w:val="000000"/>
          <w:szCs w:val="22"/>
        </w:rPr>
        <w:t>1.2</w:t>
      </w:r>
      <w:r w:rsidR="00EB0D5C">
        <w:rPr>
          <w:color w:val="000000"/>
          <w:szCs w:val="22"/>
        </w:rPr>
        <w:t>.</w:t>
      </w:r>
    </w:p>
    <w:p w:rsidR="00EB527C" w:rsidRPr="0011317A" w:rsidRDefault="005C5ABA" w:rsidP="0011317A">
      <w:pPr>
        <w:numPr>
          <w:ilvl w:val="0"/>
          <w:numId w:val="7"/>
        </w:numPr>
        <w:tabs>
          <w:tab w:val="clear" w:pos="3960"/>
          <w:tab w:val="left" w:pos="720"/>
          <w:tab w:val="left" w:pos="1440"/>
        </w:tabs>
        <w:spacing w:after="120"/>
        <w:ind w:left="1872"/>
        <w:rPr>
          <w:szCs w:val="22"/>
        </w:rPr>
      </w:pPr>
      <w:r>
        <w:rPr>
          <w:szCs w:val="22"/>
        </w:rPr>
        <w:t>“</w:t>
      </w:r>
      <w:r w:rsidR="004958B3">
        <w:rPr>
          <w:szCs w:val="22"/>
        </w:rPr>
        <w:t>Designated Entity</w:t>
      </w:r>
      <w:r>
        <w:rPr>
          <w:szCs w:val="22"/>
        </w:rPr>
        <w:t>”</w:t>
      </w:r>
      <w:r w:rsidR="00EB527C" w:rsidRPr="0042539A">
        <w:rPr>
          <w:szCs w:val="22"/>
        </w:rPr>
        <w:t xml:space="preserve"> has the meaning set </w:t>
      </w:r>
      <w:r w:rsidR="001B027E">
        <w:rPr>
          <w:szCs w:val="22"/>
        </w:rPr>
        <w:t>forth in Section 1.2110(a)</w:t>
      </w:r>
      <w:r w:rsidR="00EB527C" w:rsidRPr="0042539A">
        <w:rPr>
          <w:szCs w:val="22"/>
        </w:rPr>
        <w:t xml:space="preserve"> of the</w:t>
      </w:r>
      <w:r w:rsidR="0042539A" w:rsidRPr="0042539A">
        <w:rPr>
          <w:szCs w:val="22"/>
        </w:rPr>
        <w:t xml:space="preserve"> Rules, </w:t>
      </w:r>
      <w:r w:rsidR="0042539A" w:rsidRPr="0042539A">
        <w:rPr>
          <w:szCs w:val="22"/>
          <w:lang w:val="es-ES"/>
        </w:rPr>
        <w:t xml:space="preserve">47 C.F.R. § </w:t>
      </w:r>
      <w:r w:rsidR="0042539A" w:rsidRPr="0042539A">
        <w:rPr>
          <w:color w:val="000000"/>
          <w:szCs w:val="22"/>
        </w:rPr>
        <w:t>1.2110(a).</w:t>
      </w:r>
    </w:p>
    <w:p w:rsidR="00412F12" w:rsidRDefault="005C5ABA" w:rsidP="000D3EBD">
      <w:pPr>
        <w:numPr>
          <w:ilvl w:val="0"/>
          <w:numId w:val="7"/>
        </w:numPr>
        <w:tabs>
          <w:tab w:val="clear" w:pos="3960"/>
          <w:tab w:val="left" w:pos="720"/>
          <w:tab w:val="left" w:pos="1440"/>
        </w:tabs>
        <w:spacing w:after="120"/>
        <w:ind w:left="1872"/>
        <w:rPr>
          <w:szCs w:val="22"/>
        </w:rPr>
      </w:pPr>
      <w:r>
        <w:rPr>
          <w:szCs w:val="22"/>
        </w:rPr>
        <w:t>“</w:t>
      </w:r>
      <w:r w:rsidR="00412F12" w:rsidRPr="00A85A67">
        <w:rPr>
          <w:szCs w:val="22"/>
        </w:rPr>
        <w:t>Effective Date</w:t>
      </w:r>
      <w:r>
        <w:rPr>
          <w:szCs w:val="22"/>
        </w:rPr>
        <w:t>”</w:t>
      </w:r>
      <w:r w:rsidR="00412F12" w:rsidRPr="00A85A67">
        <w:rPr>
          <w:szCs w:val="22"/>
        </w:rPr>
        <w:t xml:space="preserve"> means the date on which the Bureau releases the Adopting Order.</w:t>
      </w:r>
    </w:p>
    <w:p w:rsidR="00E67D11" w:rsidRPr="008C61DF" w:rsidRDefault="005C5ABA" w:rsidP="000D3EBD">
      <w:pPr>
        <w:numPr>
          <w:ilvl w:val="0"/>
          <w:numId w:val="7"/>
        </w:numPr>
        <w:tabs>
          <w:tab w:val="clear" w:pos="3960"/>
          <w:tab w:val="left" w:pos="720"/>
          <w:tab w:val="left" w:pos="1440"/>
        </w:tabs>
        <w:spacing w:after="120"/>
        <w:ind w:left="1872"/>
        <w:rPr>
          <w:szCs w:val="22"/>
        </w:rPr>
      </w:pPr>
      <w:r>
        <w:rPr>
          <w:szCs w:val="22"/>
        </w:rPr>
        <w:t>“</w:t>
      </w:r>
      <w:r w:rsidR="00E67D11" w:rsidRPr="008C61DF">
        <w:rPr>
          <w:szCs w:val="22"/>
        </w:rPr>
        <w:t>Eligibility Event</w:t>
      </w:r>
      <w:r>
        <w:rPr>
          <w:szCs w:val="22"/>
        </w:rPr>
        <w:t>”</w:t>
      </w:r>
      <w:r w:rsidR="00E67D11" w:rsidRPr="008C61DF">
        <w:rPr>
          <w:szCs w:val="22"/>
        </w:rPr>
        <w:t xml:space="preserve"> has the meaning set </w:t>
      </w:r>
      <w:r w:rsidR="002A6558" w:rsidRPr="008C61DF">
        <w:rPr>
          <w:szCs w:val="22"/>
        </w:rPr>
        <w:t>forth in Section 1.2114</w:t>
      </w:r>
      <w:r w:rsidR="00E67D11" w:rsidRPr="008C61DF">
        <w:rPr>
          <w:szCs w:val="22"/>
        </w:rPr>
        <w:t xml:space="preserve"> of the Rules, </w:t>
      </w:r>
      <w:r w:rsidR="00E67D11" w:rsidRPr="008C61DF">
        <w:rPr>
          <w:szCs w:val="22"/>
          <w:lang w:val="es-ES"/>
        </w:rPr>
        <w:t xml:space="preserve">47 C.F.R. § </w:t>
      </w:r>
      <w:r w:rsidR="002A6558" w:rsidRPr="008C61DF">
        <w:rPr>
          <w:color w:val="000000"/>
          <w:szCs w:val="22"/>
        </w:rPr>
        <w:t>1.2114</w:t>
      </w:r>
      <w:r w:rsidR="00E67D11" w:rsidRPr="008C61DF">
        <w:rPr>
          <w:color w:val="000000"/>
          <w:szCs w:val="22"/>
        </w:rPr>
        <w:t>.</w:t>
      </w:r>
    </w:p>
    <w:p w:rsidR="00412F12" w:rsidRDefault="005C5ABA" w:rsidP="00F03979">
      <w:pPr>
        <w:numPr>
          <w:ilvl w:val="0"/>
          <w:numId w:val="7"/>
        </w:numPr>
        <w:tabs>
          <w:tab w:val="clear" w:pos="3960"/>
          <w:tab w:val="left" w:pos="720"/>
          <w:tab w:val="left" w:pos="1440"/>
        </w:tabs>
        <w:spacing w:after="120"/>
        <w:ind w:left="1872"/>
      </w:pPr>
      <w:r>
        <w:rPr>
          <w:szCs w:val="22"/>
        </w:rPr>
        <w:t>“</w:t>
      </w:r>
      <w:r w:rsidR="0011317A">
        <w:rPr>
          <w:szCs w:val="22"/>
        </w:rPr>
        <w:t>GAB</w:t>
      </w:r>
      <w:r>
        <w:rPr>
          <w:szCs w:val="22"/>
        </w:rPr>
        <w:t>”</w:t>
      </w:r>
      <w:r w:rsidR="0011317A">
        <w:rPr>
          <w:szCs w:val="22"/>
        </w:rPr>
        <w:t xml:space="preserve"> or </w:t>
      </w:r>
      <w:r>
        <w:rPr>
          <w:szCs w:val="22"/>
        </w:rPr>
        <w:t>“</w:t>
      </w:r>
      <w:r w:rsidR="0011317A">
        <w:rPr>
          <w:szCs w:val="22"/>
        </w:rPr>
        <w:t>Company</w:t>
      </w:r>
      <w:r>
        <w:rPr>
          <w:szCs w:val="22"/>
        </w:rPr>
        <w:t>”</w:t>
      </w:r>
      <w:r w:rsidR="00412F12" w:rsidRPr="00A85A67">
        <w:rPr>
          <w:szCs w:val="22"/>
        </w:rPr>
        <w:t xml:space="preserve"> means </w:t>
      </w:r>
      <w:r w:rsidR="0011317A" w:rsidRPr="004646EA">
        <w:rPr>
          <w:szCs w:val="22"/>
        </w:rPr>
        <w:t>Great American Broadband, Inc.</w:t>
      </w:r>
      <w:r w:rsidR="00115126">
        <w:rPr>
          <w:szCs w:val="22"/>
        </w:rPr>
        <w:t xml:space="preserve">, </w:t>
      </w:r>
      <w:r w:rsidR="00412F12" w:rsidRPr="00A85A67">
        <w:rPr>
          <w:szCs w:val="22"/>
        </w:rPr>
        <w:t>its predecessors-in-interest</w:t>
      </w:r>
      <w:r w:rsidR="00115126">
        <w:rPr>
          <w:szCs w:val="22"/>
        </w:rPr>
        <w:t>,</w:t>
      </w:r>
      <w:r w:rsidR="00412F12" w:rsidRPr="00A85A67">
        <w:rPr>
          <w:szCs w:val="22"/>
        </w:rPr>
        <w:t xml:space="preserve"> and its successors-in-interest. </w:t>
      </w:r>
    </w:p>
    <w:p w:rsidR="005118F5" w:rsidRDefault="005C5ABA" w:rsidP="00F03979">
      <w:pPr>
        <w:numPr>
          <w:ilvl w:val="0"/>
          <w:numId w:val="7"/>
        </w:numPr>
        <w:tabs>
          <w:tab w:val="clear" w:pos="3960"/>
          <w:tab w:val="left" w:pos="720"/>
          <w:tab w:val="left" w:pos="1440"/>
        </w:tabs>
        <w:spacing w:after="120"/>
        <w:ind w:left="1872"/>
        <w:rPr>
          <w:szCs w:val="22"/>
        </w:rPr>
      </w:pPr>
      <w:r>
        <w:rPr>
          <w:szCs w:val="22"/>
        </w:rPr>
        <w:t>“</w:t>
      </w:r>
      <w:r w:rsidR="00412F12" w:rsidRPr="00A85A67">
        <w:rPr>
          <w:szCs w:val="22"/>
        </w:rPr>
        <w:t>Investigation</w:t>
      </w:r>
      <w:r>
        <w:rPr>
          <w:szCs w:val="22"/>
        </w:rPr>
        <w:t>”</w:t>
      </w:r>
      <w:r w:rsidR="00412F12" w:rsidRPr="00A85A67">
        <w:rPr>
          <w:szCs w:val="22"/>
        </w:rPr>
        <w:t xml:space="preserve"> means the investigation commenced by the Bureau</w:t>
      </w:r>
      <w:r w:rsidR="00412F12">
        <w:rPr>
          <w:szCs w:val="22"/>
        </w:rPr>
        <w:t xml:space="preserve"> following </w:t>
      </w:r>
      <w:r w:rsidR="0011317A">
        <w:rPr>
          <w:szCs w:val="22"/>
        </w:rPr>
        <w:t>GAB</w:t>
      </w:r>
      <w:r>
        <w:rPr>
          <w:szCs w:val="22"/>
        </w:rPr>
        <w:t>’</w:t>
      </w:r>
      <w:r w:rsidR="0011317A">
        <w:rPr>
          <w:szCs w:val="22"/>
        </w:rPr>
        <w:t>s</w:t>
      </w:r>
      <w:r w:rsidR="00412F12" w:rsidRPr="00A85A67">
        <w:rPr>
          <w:szCs w:val="22"/>
        </w:rPr>
        <w:t xml:space="preserve"> </w:t>
      </w:r>
      <w:r w:rsidR="00412F12">
        <w:rPr>
          <w:szCs w:val="22"/>
        </w:rPr>
        <w:t>voluntary disclosure to the Bureau of possible violations of</w:t>
      </w:r>
      <w:r w:rsidR="0011317A">
        <w:rPr>
          <w:szCs w:val="22"/>
        </w:rPr>
        <w:t xml:space="preserve"> </w:t>
      </w:r>
      <w:r w:rsidR="009D767E">
        <w:rPr>
          <w:szCs w:val="22"/>
        </w:rPr>
        <w:t xml:space="preserve">the </w:t>
      </w:r>
      <w:r w:rsidR="00115126">
        <w:rPr>
          <w:szCs w:val="22"/>
        </w:rPr>
        <w:t>provision</w:t>
      </w:r>
      <w:r w:rsidR="00E61A26">
        <w:rPr>
          <w:szCs w:val="22"/>
        </w:rPr>
        <w:t>s</w:t>
      </w:r>
      <w:r w:rsidR="00115126">
        <w:rPr>
          <w:szCs w:val="22"/>
        </w:rPr>
        <w:t xml:space="preserve"> of the </w:t>
      </w:r>
      <w:r w:rsidR="009D767E">
        <w:rPr>
          <w:szCs w:val="22"/>
        </w:rPr>
        <w:t xml:space="preserve">Act and Rules </w:t>
      </w:r>
      <w:r w:rsidR="005118F5" w:rsidRPr="00F31C3D">
        <w:rPr>
          <w:szCs w:val="22"/>
        </w:rPr>
        <w:t xml:space="preserve">pertaining to </w:t>
      </w:r>
      <w:r w:rsidR="005118F5" w:rsidRPr="004646EA">
        <w:rPr>
          <w:szCs w:val="22"/>
        </w:rPr>
        <w:t xml:space="preserve">lost eligibility for a </w:t>
      </w:r>
      <w:r w:rsidR="005118F5">
        <w:rPr>
          <w:szCs w:val="22"/>
        </w:rPr>
        <w:t xml:space="preserve">bidding credit, </w:t>
      </w:r>
      <w:r w:rsidR="005118F5" w:rsidRPr="00F31C3D">
        <w:rPr>
          <w:szCs w:val="22"/>
        </w:rPr>
        <w:t xml:space="preserve">payment of </w:t>
      </w:r>
      <w:r w:rsidR="009A37AE">
        <w:rPr>
          <w:szCs w:val="22"/>
        </w:rPr>
        <w:t>Unjust Enrichment</w:t>
      </w:r>
      <w:r w:rsidR="005118F5" w:rsidRPr="00F31C3D">
        <w:rPr>
          <w:szCs w:val="22"/>
        </w:rPr>
        <w:t xml:space="preserve">, </w:t>
      </w:r>
      <w:r w:rsidR="005118F5">
        <w:rPr>
          <w:szCs w:val="22"/>
        </w:rPr>
        <w:t>alien ownership,</w:t>
      </w:r>
      <w:r w:rsidR="005118F5" w:rsidRPr="00F31C3D">
        <w:rPr>
          <w:szCs w:val="22"/>
        </w:rPr>
        <w:t xml:space="preserve"> pro forma transfers of control, and updating ownership records.</w:t>
      </w:r>
      <w:r w:rsidR="005118F5" w:rsidRPr="004646EA">
        <w:rPr>
          <w:szCs w:val="22"/>
        </w:rPr>
        <w:t xml:space="preserve"> </w:t>
      </w:r>
    </w:p>
    <w:p w:rsidR="008C61DF" w:rsidRPr="00504E3A" w:rsidRDefault="005C5ABA" w:rsidP="00F31C3D">
      <w:pPr>
        <w:numPr>
          <w:ilvl w:val="0"/>
          <w:numId w:val="7"/>
        </w:numPr>
        <w:tabs>
          <w:tab w:val="clear" w:pos="3960"/>
          <w:tab w:val="left" w:pos="720"/>
          <w:tab w:val="left" w:pos="1440"/>
        </w:tabs>
        <w:spacing w:after="120"/>
        <w:ind w:left="1872"/>
        <w:rPr>
          <w:szCs w:val="22"/>
        </w:rPr>
      </w:pPr>
      <w:r>
        <w:rPr>
          <w:szCs w:val="22"/>
        </w:rPr>
        <w:t>“</w:t>
      </w:r>
      <w:r w:rsidR="008C61DF" w:rsidRPr="00504E3A">
        <w:rPr>
          <w:szCs w:val="22"/>
        </w:rPr>
        <w:t>Licensing Rules</w:t>
      </w:r>
      <w:r>
        <w:rPr>
          <w:szCs w:val="22"/>
        </w:rPr>
        <w:t>”</w:t>
      </w:r>
      <w:r w:rsidR="00F02422" w:rsidRPr="00504E3A">
        <w:rPr>
          <w:szCs w:val="22"/>
        </w:rPr>
        <w:t xml:space="preserve"> means </w:t>
      </w:r>
      <w:r w:rsidR="00AE00B9" w:rsidRPr="00504E3A">
        <w:rPr>
          <w:szCs w:val="22"/>
        </w:rPr>
        <w:t>Title III of the Act</w:t>
      </w:r>
      <w:r w:rsidR="005118F5">
        <w:rPr>
          <w:szCs w:val="22"/>
        </w:rPr>
        <w:t xml:space="preserve">, </w:t>
      </w:r>
      <w:r w:rsidR="00F02422" w:rsidRPr="00504E3A">
        <w:rPr>
          <w:szCs w:val="22"/>
        </w:rPr>
        <w:t>Part 1 of the Rules</w:t>
      </w:r>
      <w:r w:rsidR="005118F5">
        <w:rPr>
          <w:szCs w:val="22"/>
        </w:rPr>
        <w:t>,</w:t>
      </w:r>
      <w:r w:rsidR="00F02422" w:rsidRPr="00504E3A">
        <w:rPr>
          <w:szCs w:val="22"/>
        </w:rPr>
        <w:t xml:space="preserve"> and other Communications Laws applicable to licens</w:t>
      </w:r>
      <w:r w:rsidR="00EE2FEC" w:rsidRPr="00504E3A">
        <w:rPr>
          <w:szCs w:val="22"/>
        </w:rPr>
        <w:t>es issued for the provision of Wireless Communications S</w:t>
      </w:r>
      <w:r w:rsidR="00F02422" w:rsidRPr="00504E3A">
        <w:rPr>
          <w:szCs w:val="22"/>
        </w:rPr>
        <w:t xml:space="preserve">ervices as described at </w:t>
      </w:r>
      <w:r w:rsidR="00EE2FEC" w:rsidRPr="00504E3A">
        <w:rPr>
          <w:szCs w:val="22"/>
        </w:rPr>
        <w:t xml:space="preserve">Part 27 </w:t>
      </w:r>
      <w:r w:rsidR="00F02422" w:rsidRPr="00504E3A">
        <w:rPr>
          <w:szCs w:val="22"/>
        </w:rPr>
        <w:t>of the Rules</w:t>
      </w:r>
      <w:r w:rsidR="009D767E" w:rsidRPr="00504E3A">
        <w:rPr>
          <w:szCs w:val="22"/>
        </w:rPr>
        <w:t xml:space="preserve">, including all associated </w:t>
      </w:r>
      <w:r w:rsidR="005118F5">
        <w:rPr>
          <w:szCs w:val="22"/>
        </w:rPr>
        <w:t xml:space="preserve">Commission </w:t>
      </w:r>
      <w:r w:rsidR="009D767E" w:rsidRPr="00504E3A">
        <w:rPr>
          <w:szCs w:val="22"/>
        </w:rPr>
        <w:t>orders and decisions</w:t>
      </w:r>
      <w:r w:rsidR="00F02422" w:rsidRPr="00504E3A">
        <w:rPr>
          <w:szCs w:val="22"/>
        </w:rPr>
        <w:t>.</w:t>
      </w:r>
    </w:p>
    <w:p w:rsidR="00DD1350" w:rsidRPr="00DD1350" w:rsidRDefault="005C5ABA" w:rsidP="00F03979">
      <w:pPr>
        <w:numPr>
          <w:ilvl w:val="0"/>
          <w:numId w:val="7"/>
        </w:numPr>
        <w:tabs>
          <w:tab w:val="clear" w:pos="3960"/>
          <w:tab w:val="left" w:pos="720"/>
          <w:tab w:val="left" w:pos="1440"/>
        </w:tabs>
        <w:spacing w:after="120"/>
        <w:ind w:left="1872"/>
        <w:rPr>
          <w:szCs w:val="22"/>
        </w:rPr>
      </w:pPr>
      <w:r>
        <w:rPr>
          <w:szCs w:val="22"/>
        </w:rPr>
        <w:t>“</w:t>
      </w:r>
      <w:r w:rsidR="00637126">
        <w:rPr>
          <w:szCs w:val="22"/>
        </w:rPr>
        <w:t>Material Relationship</w:t>
      </w:r>
      <w:r>
        <w:rPr>
          <w:szCs w:val="22"/>
        </w:rPr>
        <w:t>”</w:t>
      </w:r>
      <w:r w:rsidR="00637126">
        <w:rPr>
          <w:szCs w:val="22"/>
        </w:rPr>
        <w:t xml:space="preserve"> has the meaning set forth in Section 1.2110 of the Rules, </w:t>
      </w:r>
      <w:r w:rsidR="00637126" w:rsidRPr="0042539A">
        <w:rPr>
          <w:szCs w:val="22"/>
          <w:lang w:val="es-ES"/>
        </w:rPr>
        <w:t xml:space="preserve">47 C.F.R. § </w:t>
      </w:r>
      <w:r w:rsidR="00637126">
        <w:rPr>
          <w:color w:val="000000"/>
          <w:szCs w:val="22"/>
        </w:rPr>
        <w:t>1.2111(d)</w:t>
      </w:r>
      <w:r w:rsidR="00594214">
        <w:rPr>
          <w:color w:val="000000"/>
          <w:szCs w:val="22"/>
        </w:rPr>
        <w:t>.</w:t>
      </w:r>
    </w:p>
    <w:p w:rsidR="00DD1350" w:rsidRPr="0084266B" w:rsidRDefault="005C5ABA" w:rsidP="0084266B">
      <w:pPr>
        <w:numPr>
          <w:ilvl w:val="0"/>
          <w:numId w:val="7"/>
        </w:numPr>
        <w:tabs>
          <w:tab w:val="clear" w:pos="3960"/>
          <w:tab w:val="left" w:pos="720"/>
          <w:tab w:val="left" w:pos="1440"/>
        </w:tabs>
        <w:spacing w:after="120"/>
        <w:ind w:left="1872"/>
        <w:rPr>
          <w:szCs w:val="22"/>
        </w:rPr>
      </w:pPr>
      <w:r w:rsidRPr="00483494">
        <w:rPr>
          <w:color w:val="000000"/>
          <w:szCs w:val="22"/>
        </w:rPr>
        <w:t>“</w:t>
      </w:r>
      <w:r w:rsidR="00DD1350" w:rsidRPr="00483494">
        <w:rPr>
          <w:color w:val="000000"/>
          <w:szCs w:val="22"/>
        </w:rPr>
        <w:t>Non-Consummation Date</w:t>
      </w:r>
      <w:r w:rsidRPr="00483494">
        <w:rPr>
          <w:color w:val="000000"/>
          <w:szCs w:val="22"/>
        </w:rPr>
        <w:t>”</w:t>
      </w:r>
      <w:r w:rsidR="00DD1350" w:rsidRPr="00483494">
        <w:rPr>
          <w:color w:val="000000"/>
          <w:szCs w:val="22"/>
        </w:rPr>
        <w:t xml:space="preserve"> means the date</w:t>
      </w:r>
      <w:r w:rsidR="00A43D2A" w:rsidRPr="00483494">
        <w:rPr>
          <w:color w:val="000000"/>
          <w:szCs w:val="22"/>
        </w:rPr>
        <w:t xml:space="preserve"> on which </w:t>
      </w:r>
      <w:r w:rsidR="009F65AB" w:rsidRPr="00483494">
        <w:rPr>
          <w:color w:val="000000"/>
          <w:szCs w:val="22"/>
        </w:rPr>
        <w:t>GAB</w:t>
      </w:r>
      <w:r w:rsidR="009E480B">
        <w:rPr>
          <w:color w:val="000000"/>
          <w:szCs w:val="22"/>
        </w:rPr>
        <w:t xml:space="preserve"> and/or AT&amp;T </w:t>
      </w:r>
      <w:r w:rsidR="009F65AB" w:rsidRPr="00483494">
        <w:rPr>
          <w:color w:val="000000"/>
          <w:szCs w:val="22"/>
        </w:rPr>
        <w:t>decide</w:t>
      </w:r>
      <w:r w:rsidR="009E480B">
        <w:rPr>
          <w:color w:val="000000"/>
          <w:szCs w:val="22"/>
        </w:rPr>
        <w:t xml:space="preserve"> </w:t>
      </w:r>
      <w:r w:rsidR="009F65AB" w:rsidRPr="00483494">
        <w:rPr>
          <w:color w:val="000000"/>
          <w:szCs w:val="22"/>
        </w:rPr>
        <w:t xml:space="preserve">to not complete the </w:t>
      </w:r>
      <w:r w:rsidR="009F65AB" w:rsidRPr="00483494">
        <w:rPr>
          <w:szCs w:val="22"/>
        </w:rPr>
        <w:t>assignment of 700 MHz licenses described in the 2013 Assignment Application.</w:t>
      </w:r>
      <w:r w:rsidR="00A43D2A" w:rsidRPr="00483494">
        <w:rPr>
          <w:color w:val="000000"/>
          <w:szCs w:val="22"/>
        </w:rPr>
        <w:t xml:space="preserve"> </w:t>
      </w:r>
    </w:p>
    <w:p w:rsidR="008E32F6" w:rsidRDefault="005C5ABA" w:rsidP="00F03979">
      <w:pPr>
        <w:numPr>
          <w:ilvl w:val="0"/>
          <w:numId w:val="7"/>
        </w:numPr>
        <w:tabs>
          <w:tab w:val="clear" w:pos="3960"/>
          <w:tab w:val="left" w:pos="720"/>
          <w:tab w:val="left" w:pos="1440"/>
        </w:tabs>
        <w:spacing w:after="120"/>
        <w:ind w:left="1872"/>
        <w:rPr>
          <w:szCs w:val="22"/>
        </w:rPr>
      </w:pPr>
      <w:r>
        <w:rPr>
          <w:color w:val="000000"/>
          <w:szCs w:val="22"/>
        </w:rPr>
        <w:t>“</w:t>
      </w:r>
      <w:r w:rsidR="008E32F6">
        <w:rPr>
          <w:color w:val="000000"/>
          <w:szCs w:val="22"/>
        </w:rPr>
        <w:t>Operating Procedures</w:t>
      </w:r>
      <w:r>
        <w:rPr>
          <w:color w:val="000000"/>
          <w:szCs w:val="22"/>
        </w:rPr>
        <w:t>”</w:t>
      </w:r>
      <w:r w:rsidR="008E32F6">
        <w:rPr>
          <w:color w:val="000000"/>
          <w:szCs w:val="22"/>
        </w:rPr>
        <w:t xml:space="preserve"> means the standard, internal operating procedures and compliance policies established by GAB to implement the Contingent Compliance Plan.</w:t>
      </w:r>
    </w:p>
    <w:p w:rsidR="00AE00B9" w:rsidRPr="00AE00B9" w:rsidRDefault="005C5ABA" w:rsidP="00AE00B9">
      <w:pPr>
        <w:numPr>
          <w:ilvl w:val="0"/>
          <w:numId w:val="7"/>
        </w:numPr>
        <w:tabs>
          <w:tab w:val="clear" w:pos="3960"/>
          <w:tab w:val="left" w:pos="720"/>
          <w:tab w:val="left" w:pos="1440"/>
        </w:tabs>
        <w:spacing w:after="120"/>
        <w:ind w:left="1872"/>
        <w:rPr>
          <w:szCs w:val="22"/>
        </w:rPr>
      </w:pPr>
      <w:r>
        <w:rPr>
          <w:szCs w:val="22"/>
        </w:rPr>
        <w:t>“</w:t>
      </w:r>
      <w:r w:rsidR="00412F12" w:rsidRPr="00A85A67">
        <w:rPr>
          <w:szCs w:val="22"/>
        </w:rPr>
        <w:t>Parties</w:t>
      </w:r>
      <w:r>
        <w:rPr>
          <w:szCs w:val="22"/>
        </w:rPr>
        <w:t>”</w:t>
      </w:r>
      <w:r w:rsidR="00412F12" w:rsidRPr="00A85A67">
        <w:rPr>
          <w:szCs w:val="22"/>
        </w:rPr>
        <w:t xml:space="preserve"> means </w:t>
      </w:r>
      <w:r w:rsidR="00EE2FEC">
        <w:rPr>
          <w:szCs w:val="22"/>
        </w:rPr>
        <w:t xml:space="preserve">GAB </w:t>
      </w:r>
      <w:r w:rsidR="00412F12" w:rsidRPr="00A85A67">
        <w:rPr>
          <w:szCs w:val="22"/>
        </w:rPr>
        <w:t xml:space="preserve">and the Bureau, each of which is a </w:t>
      </w:r>
      <w:r>
        <w:rPr>
          <w:szCs w:val="22"/>
        </w:rPr>
        <w:t>“</w:t>
      </w:r>
      <w:r w:rsidR="00412F12" w:rsidRPr="00A85A67">
        <w:rPr>
          <w:szCs w:val="22"/>
        </w:rPr>
        <w:t>Party.</w:t>
      </w:r>
      <w:r>
        <w:rPr>
          <w:szCs w:val="22"/>
        </w:rPr>
        <w:t>”</w:t>
      </w:r>
      <w:r w:rsidR="00AE00B9" w:rsidRPr="00AE00B9">
        <w:rPr>
          <w:szCs w:val="22"/>
        </w:rPr>
        <w:t xml:space="preserve"> </w:t>
      </w:r>
    </w:p>
    <w:p w:rsidR="005A599A" w:rsidRDefault="005C5ABA" w:rsidP="000D3EBD">
      <w:pPr>
        <w:numPr>
          <w:ilvl w:val="0"/>
          <w:numId w:val="7"/>
        </w:numPr>
        <w:tabs>
          <w:tab w:val="clear" w:pos="3960"/>
          <w:tab w:val="left" w:pos="720"/>
          <w:tab w:val="left" w:pos="1440"/>
        </w:tabs>
        <w:spacing w:after="120"/>
        <w:ind w:left="1872"/>
        <w:rPr>
          <w:szCs w:val="22"/>
        </w:rPr>
      </w:pPr>
      <w:r>
        <w:rPr>
          <w:szCs w:val="22"/>
        </w:rPr>
        <w:t>“</w:t>
      </w:r>
      <w:r w:rsidR="005A599A">
        <w:rPr>
          <w:szCs w:val="22"/>
        </w:rPr>
        <w:t>Pro Forma</w:t>
      </w:r>
      <w:r>
        <w:rPr>
          <w:szCs w:val="22"/>
        </w:rPr>
        <w:t>”</w:t>
      </w:r>
      <w:r w:rsidR="005A599A">
        <w:rPr>
          <w:szCs w:val="22"/>
        </w:rPr>
        <w:t xml:space="preserve"> has the meaning set forth in Section 1.948(c)(1) of the Rules, </w:t>
      </w:r>
      <w:r w:rsidR="009573EB" w:rsidRPr="0042539A">
        <w:rPr>
          <w:szCs w:val="22"/>
          <w:lang w:val="es-ES"/>
        </w:rPr>
        <w:t>47 C.F.R. §</w:t>
      </w:r>
      <w:r w:rsidR="009573EB">
        <w:rPr>
          <w:szCs w:val="22"/>
          <w:lang w:val="es-ES"/>
        </w:rPr>
        <w:t xml:space="preserve"> </w:t>
      </w:r>
      <w:r w:rsidR="009573EB">
        <w:rPr>
          <w:szCs w:val="22"/>
        </w:rPr>
        <w:t>1.948(c)(1).</w:t>
      </w:r>
    </w:p>
    <w:p w:rsidR="002B6BB4" w:rsidRPr="00671CC0" w:rsidRDefault="005C5ABA" w:rsidP="00671CC0">
      <w:pPr>
        <w:numPr>
          <w:ilvl w:val="0"/>
          <w:numId w:val="7"/>
        </w:numPr>
        <w:tabs>
          <w:tab w:val="clear" w:pos="3960"/>
          <w:tab w:val="left" w:pos="720"/>
          <w:tab w:val="left" w:pos="1440"/>
        </w:tabs>
        <w:spacing w:after="120"/>
        <w:ind w:left="1872"/>
        <w:rPr>
          <w:szCs w:val="22"/>
        </w:rPr>
      </w:pPr>
      <w:r>
        <w:rPr>
          <w:szCs w:val="22"/>
        </w:rPr>
        <w:t>“</w:t>
      </w:r>
      <w:r w:rsidR="002B6BB4">
        <w:rPr>
          <w:szCs w:val="22"/>
        </w:rPr>
        <w:t>Pro Forma Transfer of Control Application</w:t>
      </w:r>
      <w:r>
        <w:rPr>
          <w:szCs w:val="22"/>
        </w:rPr>
        <w:t>”</w:t>
      </w:r>
      <w:r w:rsidR="002B6BB4">
        <w:rPr>
          <w:szCs w:val="22"/>
        </w:rPr>
        <w:t xml:space="preserve"> means the Application for the Pro Forma Transfers of Control of </w:t>
      </w:r>
      <w:r w:rsidR="00EE2FEC">
        <w:rPr>
          <w:szCs w:val="22"/>
        </w:rPr>
        <w:t xml:space="preserve">licenses </w:t>
      </w:r>
      <w:r w:rsidR="002B6BB4">
        <w:rPr>
          <w:szCs w:val="22"/>
        </w:rPr>
        <w:t>WQKH494 (California 6 – Mono), WY</w:t>
      </w:r>
      <w:r w:rsidR="005118F5">
        <w:rPr>
          <w:szCs w:val="22"/>
        </w:rPr>
        <w:noBreakHyphen/>
      </w:r>
      <w:r w:rsidR="002B6BB4">
        <w:rPr>
          <w:szCs w:val="22"/>
        </w:rPr>
        <w:t>CMA</w:t>
      </w:r>
      <w:r w:rsidR="00504E3A">
        <w:rPr>
          <w:szCs w:val="22"/>
        </w:rPr>
        <w:t>-</w:t>
      </w:r>
      <w:r w:rsidR="002B6BB4">
        <w:rPr>
          <w:szCs w:val="22"/>
        </w:rPr>
        <w:t xml:space="preserve">341-B; WQKH496 (Nevada 4 – Mineral), WY-CMA-546-B; </w:t>
      </w:r>
      <w:r w:rsidR="00EE2FEC">
        <w:rPr>
          <w:szCs w:val="22"/>
        </w:rPr>
        <w:t xml:space="preserve">and </w:t>
      </w:r>
      <w:r w:rsidR="002B6BB4">
        <w:rPr>
          <w:szCs w:val="22"/>
        </w:rPr>
        <w:t>WQKH497 (Wyoming 5</w:t>
      </w:r>
      <w:r w:rsidR="00691E8C">
        <w:rPr>
          <w:szCs w:val="22"/>
        </w:rPr>
        <w:t xml:space="preserve"> – </w:t>
      </w:r>
      <w:r w:rsidR="002B6BB4">
        <w:rPr>
          <w:szCs w:val="22"/>
        </w:rPr>
        <w:t xml:space="preserve">Converse), WY-CMA-722-B, </w:t>
      </w:r>
      <w:r w:rsidR="00EE2FEC">
        <w:rPr>
          <w:szCs w:val="22"/>
        </w:rPr>
        <w:t xml:space="preserve">which GAB </w:t>
      </w:r>
      <w:r w:rsidR="002B6BB4">
        <w:rPr>
          <w:szCs w:val="22"/>
        </w:rPr>
        <w:t>filed with the Commission on</w:t>
      </w:r>
      <w:r w:rsidR="00671CC0">
        <w:rPr>
          <w:szCs w:val="22"/>
        </w:rPr>
        <w:t xml:space="preserve"> November 26</w:t>
      </w:r>
      <w:r w:rsidR="002B6BB4">
        <w:rPr>
          <w:szCs w:val="22"/>
        </w:rPr>
        <w:t xml:space="preserve">, </w:t>
      </w:r>
      <w:r w:rsidR="00671CC0">
        <w:rPr>
          <w:szCs w:val="22"/>
        </w:rPr>
        <w:t>2013</w:t>
      </w:r>
      <w:r w:rsidR="00504E3A">
        <w:rPr>
          <w:szCs w:val="22"/>
        </w:rPr>
        <w:t>,</w:t>
      </w:r>
      <w:r w:rsidR="00671CC0">
        <w:rPr>
          <w:szCs w:val="22"/>
        </w:rPr>
        <w:t xml:space="preserve"> </w:t>
      </w:r>
      <w:r w:rsidR="00EE2FEC">
        <w:rPr>
          <w:szCs w:val="22"/>
        </w:rPr>
        <w:t xml:space="preserve">and </w:t>
      </w:r>
      <w:r w:rsidR="00671CC0">
        <w:rPr>
          <w:szCs w:val="22"/>
        </w:rPr>
        <w:t>revised on De</w:t>
      </w:r>
      <w:r w:rsidR="00EE2FEC">
        <w:rPr>
          <w:szCs w:val="22"/>
        </w:rPr>
        <w:t xml:space="preserve">cember 13, 2013 and </w:t>
      </w:r>
      <w:r w:rsidR="00671CC0">
        <w:rPr>
          <w:szCs w:val="22"/>
        </w:rPr>
        <w:t>on July 7, 2014 (</w:t>
      </w:r>
      <w:r w:rsidR="00EE2FEC">
        <w:rPr>
          <w:szCs w:val="22"/>
        </w:rPr>
        <w:t xml:space="preserve">ULS </w:t>
      </w:r>
      <w:r w:rsidR="00671CC0">
        <w:rPr>
          <w:szCs w:val="22"/>
        </w:rPr>
        <w:t>File No.:  0006023405)</w:t>
      </w:r>
      <w:r w:rsidR="002B6BB4">
        <w:rPr>
          <w:szCs w:val="22"/>
        </w:rPr>
        <w:t>.</w:t>
      </w:r>
    </w:p>
    <w:p w:rsidR="00147F2D" w:rsidRPr="00DD1350" w:rsidRDefault="005C5ABA" w:rsidP="000D3EBD">
      <w:pPr>
        <w:numPr>
          <w:ilvl w:val="0"/>
          <w:numId w:val="7"/>
        </w:numPr>
        <w:tabs>
          <w:tab w:val="clear" w:pos="3960"/>
          <w:tab w:val="left" w:pos="720"/>
          <w:tab w:val="left" w:pos="1440"/>
        </w:tabs>
        <w:spacing w:after="120"/>
        <w:ind w:left="1872"/>
        <w:rPr>
          <w:szCs w:val="22"/>
        </w:rPr>
      </w:pPr>
      <w:r>
        <w:rPr>
          <w:szCs w:val="22"/>
        </w:rPr>
        <w:t>“</w:t>
      </w:r>
      <w:r w:rsidR="004E2F89">
        <w:rPr>
          <w:szCs w:val="22"/>
        </w:rPr>
        <w:t>Radio Communication</w:t>
      </w:r>
      <w:r>
        <w:rPr>
          <w:szCs w:val="22"/>
        </w:rPr>
        <w:t>”</w:t>
      </w:r>
      <w:r w:rsidR="004E2F89">
        <w:rPr>
          <w:szCs w:val="22"/>
        </w:rPr>
        <w:t xml:space="preserve"> </w:t>
      </w:r>
      <w:r w:rsidR="00147F2D">
        <w:rPr>
          <w:szCs w:val="22"/>
        </w:rPr>
        <w:t>has the meaning set forth in Section 3(</w:t>
      </w:r>
      <w:r>
        <w:rPr>
          <w:szCs w:val="22"/>
        </w:rPr>
        <w:t>40</w:t>
      </w:r>
      <w:r w:rsidR="00147F2D">
        <w:rPr>
          <w:szCs w:val="22"/>
        </w:rPr>
        <w:t xml:space="preserve">) of the Act, </w:t>
      </w:r>
      <w:r w:rsidR="004E2F89">
        <w:rPr>
          <w:szCs w:val="22"/>
          <w:lang w:val="es-ES"/>
        </w:rPr>
        <w:t>47 U.S.C. § 153(40</w:t>
      </w:r>
      <w:r w:rsidR="00147F2D">
        <w:rPr>
          <w:szCs w:val="22"/>
          <w:lang w:val="es-ES"/>
        </w:rPr>
        <w:t>).</w:t>
      </w:r>
    </w:p>
    <w:p w:rsidR="00565FD6" w:rsidRDefault="005C5ABA" w:rsidP="00E25863">
      <w:pPr>
        <w:numPr>
          <w:ilvl w:val="0"/>
          <w:numId w:val="7"/>
        </w:numPr>
        <w:tabs>
          <w:tab w:val="clear" w:pos="3960"/>
          <w:tab w:val="left" w:pos="720"/>
          <w:tab w:val="left" w:pos="1440"/>
        </w:tabs>
        <w:spacing w:after="120"/>
        <w:ind w:left="1872"/>
        <w:rPr>
          <w:szCs w:val="22"/>
        </w:rPr>
      </w:pPr>
      <w:r>
        <w:rPr>
          <w:szCs w:val="22"/>
        </w:rPr>
        <w:t>“</w:t>
      </w:r>
      <w:r w:rsidR="00412F12" w:rsidRPr="00A85A67">
        <w:rPr>
          <w:szCs w:val="22"/>
        </w:rPr>
        <w:t>Rules</w:t>
      </w:r>
      <w:r>
        <w:rPr>
          <w:szCs w:val="22"/>
        </w:rPr>
        <w:t>”</w:t>
      </w:r>
      <w:r w:rsidR="00412F12" w:rsidRPr="00A85A67">
        <w:rPr>
          <w:szCs w:val="22"/>
        </w:rPr>
        <w:t xml:space="preserve"> means the Commission</w:t>
      </w:r>
      <w:r>
        <w:rPr>
          <w:szCs w:val="22"/>
        </w:rPr>
        <w:t>’</w:t>
      </w:r>
      <w:r w:rsidR="00412F12" w:rsidRPr="00A85A67">
        <w:rPr>
          <w:szCs w:val="22"/>
        </w:rPr>
        <w:t>s regulations found in Title 47 of the Code of Federal Regulations.</w:t>
      </w:r>
    </w:p>
    <w:p w:rsidR="00EB527C" w:rsidRDefault="005C5ABA" w:rsidP="00E25863">
      <w:pPr>
        <w:numPr>
          <w:ilvl w:val="0"/>
          <w:numId w:val="7"/>
        </w:numPr>
        <w:tabs>
          <w:tab w:val="clear" w:pos="3960"/>
          <w:tab w:val="left" w:pos="720"/>
          <w:tab w:val="left" w:pos="1440"/>
        </w:tabs>
        <w:spacing w:after="120"/>
        <w:ind w:left="1872"/>
        <w:rPr>
          <w:szCs w:val="22"/>
        </w:rPr>
      </w:pPr>
      <w:r>
        <w:rPr>
          <w:szCs w:val="22"/>
        </w:rPr>
        <w:t>“</w:t>
      </w:r>
      <w:r w:rsidR="00EB527C" w:rsidRPr="00EB527C">
        <w:rPr>
          <w:szCs w:val="22"/>
        </w:rPr>
        <w:t>Telecommunications,</w:t>
      </w:r>
      <w:r>
        <w:rPr>
          <w:szCs w:val="22"/>
        </w:rPr>
        <w:t>”</w:t>
      </w:r>
      <w:r w:rsidR="00EB527C" w:rsidRPr="00EB527C">
        <w:rPr>
          <w:szCs w:val="22"/>
        </w:rPr>
        <w:t xml:space="preserve"> </w:t>
      </w:r>
      <w:r>
        <w:rPr>
          <w:szCs w:val="22"/>
        </w:rPr>
        <w:t>“</w:t>
      </w:r>
      <w:r w:rsidR="00EB527C" w:rsidRPr="00EB527C">
        <w:rPr>
          <w:szCs w:val="22"/>
        </w:rPr>
        <w:t>Telecommunications Carrier,</w:t>
      </w:r>
      <w:r>
        <w:rPr>
          <w:szCs w:val="22"/>
        </w:rPr>
        <w:t>”</w:t>
      </w:r>
      <w:r w:rsidR="00EB527C" w:rsidRPr="00EB527C">
        <w:rPr>
          <w:szCs w:val="22"/>
        </w:rPr>
        <w:t xml:space="preserve"> </w:t>
      </w:r>
      <w:r w:rsidR="00691E8C">
        <w:rPr>
          <w:szCs w:val="22"/>
        </w:rPr>
        <w:t xml:space="preserve">and </w:t>
      </w:r>
      <w:r>
        <w:rPr>
          <w:szCs w:val="22"/>
        </w:rPr>
        <w:t>“</w:t>
      </w:r>
      <w:r w:rsidR="00EB527C" w:rsidRPr="00EB527C">
        <w:rPr>
          <w:szCs w:val="22"/>
        </w:rPr>
        <w:t>Telecommunications Service</w:t>
      </w:r>
      <w:r>
        <w:rPr>
          <w:szCs w:val="22"/>
        </w:rPr>
        <w:t>”</w:t>
      </w:r>
      <w:r w:rsidR="00EB527C" w:rsidRPr="00EB527C">
        <w:rPr>
          <w:szCs w:val="22"/>
        </w:rPr>
        <w:t xml:space="preserve"> have the meanings set forth in Sections 3(50), 3(51),</w:t>
      </w:r>
      <w:r w:rsidR="00EB527C">
        <w:rPr>
          <w:szCs w:val="22"/>
        </w:rPr>
        <w:t xml:space="preserve"> </w:t>
      </w:r>
      <w:r w:rsidR="00EB527C" w:rsidRPr="00EB527C">
        <w:rPr>
          <w:szCs w:val="22"/>
        </w:rPr>
        <w:t xml:space="preserve">and 3(53) of the Act, </w:t>
      </w:r>
      <w:r w:rsidR="00EB527C" w:rsidRPr="00EB527C">
        <w:rPr>
          <w:szCs w:val="22"/>
          <w:lang w:val="es-ES"/>
        </w:rPr>
        <w:t>47 U.S.C. §§ 15</w:t>
      </w:r>
      <w:r w:rsidR="00EB527C" w:rsidRPr="00EB527C">
        <w:rPr>
          <w:szCs w:val="22"/>
        </w:rPr>
        <w:t>3(50), 3(51),</w:t>
      </w:r>
      <w:r w:rsidR="00EB527C">
        <w:rPr>
          <w:szCs w:val="22"/>
        </w:rPr>
        <w:t xml:space="preserve"> </w:t>
      </w:r>
      <w:r w:rsidR="00EB527C" w:rsidRPr="00EB527C">
        <w:rPr>
          <w:szCs w:val="22"/>
        </w:rPr>
        <w:t>and 3(53).</w:t>
      </w:r>
    </w:p>
    <w:p w:rsidR="009E480B" w:rsidRDefault="009E480B" w:rsidP="009E480B">
      <w:pPr>
        <w:numPr>
          <w:ilvl w:val="0"/>
          <w:numId w:val="7"/>
        </w:numPr>
        <w:tabs>
          <w:tab w:val="clear" w:pos="3960"/>
          <w:tab w:val="left" w:pos="720"/>
          <w:tab w:val="left" w:pos="1440"/>
        </w:tabs>
        <w:spacing w:after="120"/>
        <w:ind w:left="1872"/>
        <w:rPr>
          <w:szCs w:val="22"/>
        </w:rPr>
      </w:pPr>
      <w:r w:rsidRPr="00144A1F">
        <w:rPr>
          <w:szCs w:val="22"/>
        </w:rPr>
        <w:t xml:space="preserve">“2012 Assignment Application” means the Application for the Assignment of Authorization of license WQKH495 (Huntington 3 - Indiana), WY-CMA 405-B, filed with the Commission on July 11, 2012 (Universal Licensing System (ULS) File No. 0005300675).  </w:t>
      </w:r>
    </w:p>
    <w:p w:rsidR="003D5E76" w:rsidRPr="00144A1F" w:rsidRDefault="003D5E76" w:rsidP="003D5E76">
      <w:pPr>
        <w:tabs>
          <w:tab w:val="left" w:pos="720"/>
          <w:tab w:val="left" w:pos="1440"/>
        </w:tabs>
        <w:spacing w:after="120"/>
        <w:rPr>
          <w:szCs w:val="22"/>
        </w:rPr>
      </w:pPr>
    </w:p>
    <w:p w:rsidR="009E480B" w:rsidRPr="00115126" w:rsidRDefault="009E480B" w:rsidP="009E480B">
      <w:pPr>
        <w:numPr>
          <w:ilvl w:val="0"/>
          <w:numId w:val="7"/>
        </w:numPr>
        <w:tabs>
          <w:tab w:val="clear" w:pos="3960"/>
          <w:tab w:val="left" w:pos="720"/>
          <w:tab w:val="left" w:pos="1440"/>
        </w:tabs>
        <w:spacing w:after="120"/>
        <w:ind w:left="1872"/>
        <w:rPr>
          <w:szCs w:val="22"/>
        </w:rPr>
      </w:pPr>
      <w:r>
        <w:rPr>
          <w:szCs w:val="22"/>
        </w:rPr>
        <w:t xml:space="preserve">“2013 Assignment Application” means the Application for the Assignment of Authorizations of licenses WQKH494 (California 6 – Mono), WY-CMA 341-B; WQKH496 (Nevada 4 – Mineral), WY-CMA-546-B; and WQKH497 (Wyoming </w:t>
      </w:r>
      <w:r w:rsidRPr="00115126">
        <w:rPr>
          <w:szCs w:val="22"/>
        </w:rPr>
        <w:t>5 – Converse), WY-CMA-722-B, filed with the Commission on April 24, 2013 (ULS File No. 0005744542).</w:t>
      </w:r>
    </w:p>
    <w:p w:rsidR="00EB527C" w:rsidRPr="00EB527C" w:rsidRDefault="009E480B" w:rsidP="009E480B">
      <w:pPr>
        <w:numPr>
          <w:ilvl w:val="0"/>
          <w:numId w:val="7"/>
        </w:numPr>
        <w:tabs>
          <w:tab w:val="clear" w:pos="3960"/>
          <w:tab w:val="left" w:pos="720"/>
          <w:tab w:val="left" w:pos="1440"/>
        </w:tabs>
        <w:spacing w:after="120"/>
        <w:ind w:left="1872"/>
        <w:rPr>
          <w:szCs w:val="22"/>
        </w:rPr>
      </w:pPr>
      <w:r>
        <w:rPr>
          <w:szCs w:val="22"/>
        </w:rPr>
        <w:t xml:space="preserve"> </w:t>
      </w:r>
      <w:r w:rsidR="005C5ABA">
        <w:rPr>
          <w:szCs w:val="22"/>
        </w:rPr>
        <w:t>“</w:t>
      </w:r>
      <w:r w:rsidR="0042539A">
        <w:rPr>
          <w:szCs w:val="22"/>
        </w:rPr>
        <w:t>Unjust E</w:t>
      </w:r>
      <w:r w:rsidR="00B90DBB">
        <w:rPr>
          <w:szCs w:val="22"/>
        </w:rPr>
        <w:t>nrichment</w:t>
      </w:r>
      <w:r w:rsidR="005C5ABA">
        <w:rPr>
          <w:szCs w:val="22"/>
        </w:rPr>
        <w:t>”</w:t>
      </w:r>
      <w:r w:rsidR="00EB527C">
        <w:rPr>
          <w:szCs w:val="22"/>
        </w:rPr>
        <w:t xml:space="preserve"> </w:t>
      </w:r>
      <w:r w:rsidR="0042539A" w:rsidRPr="0042539A">
        <w:rPr>
          <w:szCs w:val="22"/>
        </w:rPr>
        <w:t>has the mea</w:t>
      </w:r>
      <w:r w:rsidR="0042539A">
        <w:rPr>
          <w:szCs w:val="22"/>
        </w:rPr>
        <w:t>ning set forth in Section 1.2111</w:t>
      </w:r>
      <w:r w:rsidR="00147F2D">
        <w:rPr>
          <w:szCs w:val="22"/>
        </w:rPr>
        <w:t>(d)</w:t>
      </w:r>
      <w:r w:rsidR="0042539A" w:rsidRPr="0042539A">
        <w:rPr>
          <w:szCs w:val="22"/>
        </w:rPr>
        <w:t xml:space="preserve"> of the Rules, </w:t>
      </w:r>
      <w:r w:rsidR="0042539A" w:rsidRPr="0042539A">
        <w:rPr>
          <w:szCs w:val="22"/>
          <w:lang w:val="es-ES"/>
        </w:rPr>
        <w:t xml:space="preserve">47 C.F.R. § </w:t>
      </w:r>
      <w:r w:rsidR="0042539A">
        <w:rPr>
          <w:color w:val="000000"/>
          <w:szCs w:val="22"/>
        </w:rPr>
        <w:t>1.2111</w:t>
      </w:r>
      <w:r w:rsidR="00147F2D">
        <w:rPr>
          <w:color w:val="000000"/>
          <w:szCs w:val="22"/>
        </w:rPr>
        <w:t>(d)</w:t>
      </w:r>
      <w:r w:rsidR="0042539A" w:rsidRPr="0042539A">
        <w:rPr>
          <w:color w:val="000000"/>
          <w:szCs w:val="22"/>
        </w:rPr>
        <w:t>.</w:t>
      </w:r>
    </w:p>
    <w:p w:rsidR="00412F12" w:rsidRDefault="00412F12" w:rsidP="00F03979">
      <w:pPr>
        <w:pStyle w:val="Heading1"/>
        <w:keepLines/>
        <w:suppressAutoHyphens w:val="0"/>
        <w:rPr>
          <w:rFonts w:ascii="Times New Roman" w:hAnsi="Times New Roman"/>
          <w:caps w:val="0"/>
          <w:szCs w:val="22"/>
        </w:rPr>
      </w:pPr>
      <w:r>
        <w:rPr>
          <w:rFonts w:ascii="Times New Roman" w:hAnsi="Times New Roman"/>
          <w:caps w:val="0"/>
          <w:szCs w:val="22"/>
        </w:rPr>
        <w:t>BACKGROUND</w:t>
      </w:r>
    </w:p>
    <w:p w:rsidR="00637126" w:rsidRPr="002A6558" w:rsidRDefault="00412F12" w:rsidP="002A6558">
      <w:pPr>
        <w:pStyle w:val="par1"/>
        <w:spacing w:after="120"/>
        <w:rPr>
          <w:szCs w:val="22"/>
        </w:rPr>
      </w:pPr>
      <w:r w:rsidRPr="00B6422D">
        <w:rPr>
          <w:szCs w:val="22"/>
        </w:rPr>
        <w:t xml:space="preserve">Section </w:t>
      </w:r>
      <w:r w:rsidR="00B10930">
        <w:rPr>
          <w:szCs w:val="22"/>
        </w:rPr>
        <w:t xml:space="preserve">309(j) of the </w:t>
      </w:r>
      <w:r w:rsidR="0092365C" w:rsidRPr="0092365C">
        <w:rPr>
          <w:szCs w:val="22"/>
        </w:rPr>
        <w:t xml:space="preserve">Act </w:t>
      </w:r>
      <w:r w:rsidR="005C5ABA">
        <w:rPr>
          <w:szCs w:val="22"/>
        </w:rPr>
        <w:t xml:space="preserve">directs </w:t>
      </w:r>
      <w:r w:rsidR="00B10930">
        <w:rPr>
          <w:szCs w:val="22"/>
        </w:rPr>
        <w:t>the Commission to assign licenses for radio communication through a competitive bidding process that promotes</w:t>
      </w:r>
      <w:r w:rsidR="005C5ABA">
        <w:rPr>
          <w:szCs w:val="22"/>
        </w:rPr>
        <w:t>,</w:t>
      </w:r>
      <w:r w:rsidR="00B10930">
        <w:rPr>
          <w:szCs w:val="22"/>
        </w:rPr>
        <w:t xml:space="preserve"> among other objectives</w:t>
      </w:r>
      <w:r w:rsidR="005C5ABA">
        <w:rPr>
          <w:szCs w:val="22"/>
        </w:rPr>
        <w:t>,</w:t>
      </w:r>
      <w:r w:rsidR="00B10930">
        <w:rPr>
          <w:szCs w:val="22"/>
        </w:rPr>
        <w:t xml:space="preserve"> </w:t>
      </w:r>
      <w:r w:rsidR="005C5ABA">
        <w:rPr>
          <w:szCs w:val="22"/>
        </w:rPr>
        <w:t>“</w:t>
      </w:r>
      <w:r w:rsidR="00B10930">
        <w:rPr>
          <w:szCs w:val="22"/>
        </w:rPr>
        <w:t>economic opportunity and competition</w:t>
      </w:r>
      <w:r w:rsidR="00822CC9">
        <w:rPr>
          <w:szCs w:val="22"/>
        </w:rPr>
        <w:t xml:space="preserve"> . . . by disseminating licenses among a wide variety of applicants, includ</w:t>
      </w:r>
      <w:r w:rsidR="00947D78">
        <w:rPr>
          <w:szCs w:val="22"/>
        </w:rPr>
        <w:t>ing small businesses</w:t>
      </w:r>
      <w:r w:rsidR="0092365C">
        <w:rPr>
          <w:szCs w:val="22"/>
        </w:rPr>
        <w:t> </w:t>
      </w:r>
      <w:r w:rsidR="00947D78">
        <w:rPr>
          <w:szCs w:val="22"/>
        </w:rPr>
        <w:t>. . . .</w:t>
      </w:r>
      <w:r w:rsidR="005C5ABA">
        <w:rPr>
          <w:szCs w:val="22"/>
        </w:rPr>
        <w:t>”</w:t>
      </w:r>
      <w:r w:rsidR="00735151">
        <w:rPr>
          <w:rStyle w:val="FootnoteReference"/>
          <w:szCs w:val="22"/>
        </w:rPr>
        <w:footnoteReference w:id="6"/>
      </w:r>
      <w:r w:rsidR="00947D78">
        <w:rPr>
          <w:szCs w:val="22"/>
        </w:rPr>
        <w:t xml:space="preserve">  </w:t>
      </w:r>
      <w:r w:rsidR="00822CC9">
        <w:rPr>
          <w:szCs w:val="22"/>
        </w:rPr>
        <w:t xml:space="preserve">To meet this </w:t>
      </w:r>
      <w:r w:rsidR="005C5ABA">
        <w:rPr>
          <w:szCs w:val="22"/>
        </w:rPr>
        <w:t>statutory mandate</w:t>
      </w:r>
      <w:r w:rsidR="00822CC9">
        <w:rPr>
          <w:szCs w:val="22"/>
        </w:rPr>
        <w:t xml:space="preserve">, </w:t>
      </w:r>
      <w:r w:rsidR="00DE2DB7">
        <w:rPr>
          <w:szCs w:val="22"/>
        </w:rPr>
        <w:t>the Commission</w:t>
      </w:r>
      <w:r w:rsidR="005C5ABA">
        <w:rPr>
          <w:szCs w:val="22"/>
        </w:rPr>
        <w:t>’s</w:t>
      </w:r>
      <w:r w:rsidR="00DE2DB7">
        <w:rPr>
          <w:szCs w:val="22"/>
        </w:rPr>
        <w:t xml:space="preserve"> </w:t>
      </w:r>
      <w:r w:rsidR="0092365C">
        <w:rPr>
          <w:szCs w:val="22"/>
        </w:rPr>
        <w:t xml:space="preserve">license </w:t>
      </w:r>
      <w:r w:rsidR="00170740">
        <w:rPr>
          <w:szCs w:val="22"/>
        </w:rPr>
        <w:t>auction process offers bidding credit</w:t>
      </w:r>
      <w:r w:rsidR="009A37AE">
        <w:rPr>
          <w:szCs w:val="22"/>
        </w:rPr>
        <w:t>s</w:t>
      </w:r>
      <w:r w:rsidR="00170740">
        <w:rPr>
          <w:szCs w:val="22"/>
        </w:rPr>
        <w:t xml:space="preserve"> </w:t>
      </w:r>
      <w:r w:rsidR="000C4E79">
        <w:rPr>
          <w:szCs w:val="22"/>
        </w:rPr>
        <w:t xml:space="preserve">(i.e., percentage discounts) </w:t>
      </w:r>
      <w:r w:rsidR="00170740">
        <w:rPr>
          <w:szCs w:val="22"/>
        </w:rPr>
        <w:t>to small businesses</w:t>
      </w:r>
      <w:r w:rsidR="005C5ABA">
        <w:rPr>
          <w:szCs w:val="22"/>
        </w:rPr>
        <w:t xml:space="preserve"> that </w:t>
      </w:r>
      <w:r w:rsidR="0092365C">
        <w:rPr>
          <w:szCs w:val="22"/>
        </w:rPr>
        <w:t>do not exceed certain gross revenue caps</w:t>
      </w:r>
      <w:r w:rsidR="00170740">
        <w:rPr>
          <w:szCs w:val="22"/>
        </w:rPr>
        <w:t>.</w:t>
      </w:r>
      <w:r w:rsidR="00735151">
        <w:rPr>
          <w:rStyle w:val="FootnoteReference"/>
          <w:szCs w:val="22"/>
        </w:rPr>
        <w:footnoteReference w:id="7"/>
      </w:r>
      <w:r w:rsidR="001B027E">
        <w:rPr>
          <w:szCs w:val="22"/>
        </w:rPr>
        <w:t xml:space="preserve">  </w:t>
      </w:r>
      <w:r w:rsidR="00B115D7">
        <w:rPr>
          <w:szCs w:val="22"/>
        </w:rPr>
        <w:t>A</w:t>
      </w:r>
      <w:r w:rsidR="001705DE">
        <w:rPr>
          <w:szCs w:val="22"/>
        </w:rPr>
        <w:t xml:space="preserve">n </w:t>
      </w:r>
      <w:r w:rsidR="0092365C">
        <w:rPr>
          <w:szCs w:val="22"/>
        </w:rPr>
        <w:t xml:space="preserve">auction applicant </w:t>
      </w:r>
      <w:r w:rsidR="001705DE">
        <w:rPr>
          <w:szCs w:val="22"/>
        </w:rPr>
        <w:t>that meets th</w:t>
      </w:r>
      <w:r w:rsidR="00EC5C98">
        <w:rPr>
          <w:szCs w:val="22"/>
        </w:rPr>
        <w:t>os</w:t>
      </w:r>
      <w:r w:rsidR="001705DE">
        <w:rPr>
          <w:szCs w:val="22"/>
        </w:rPr>
        <w:t xml:space="preserve">e </w:t>
      </w:r>
      <w:r w:rsidR="00D522D7">
        <w:rPr>
          <w:szCs w:val="22"/>
        </w:rPr>
        <w:t xml:space="preserve">criteria is </w:t>
      </w:r>
      <w:r w:rsidR="00B115D7">
        <w:rPr>
          <w:szCs w:val="22"/>
        </w:rPr>
        <w:t xml:space="preserve">deemed </w:t>
      </w:r>
      <w:r w:rsidR="00A553E8">
        <w:rPr>
          <w:szCs w:val="22"/>
        </w:rPr>
        <w:t xml:space="preserve">to </w:t>
      </w:r>
      <w:r w:rsidR="00B115D7">
        <w:rPr>
          <w:szCs w:val="22"/>
        </w:rPr>
        <w:t xml:space="preserve">be a </w:t>
      </w:r>
      <w:r w:rsidR="00701806">
        <w:rPr>
          <w:szCs w:val="22"/>
        </w:rPr>
        <w:t>D</w:t>
      </w:r>
      <w:r w:rsidR="00822CC9">
        <w:rPr>
          <w:szCs w:val="22"/>
        </w:rPr>
        <w:t xml:space="preserve">esignated </w:t>
      </w:r>
      <w:r w:rsidR="00701806">
        <w:rPr>
          <w:szCs w:val="22"/>
        </w:rPr>
        <w:t>E</w:t>
      </w:r>
      <w:r w:rsidR="00822CC9">
        <w:rPr>
          <w:szCs w:val="22"/>
        </w:rPr>
        <w:t>ntity</w:t>
      </w:r>
      <w:r w:rsidR="00D90793">
        <w:rPr>
          <w:szCs w:val="22"/>
        </w:rPr>
        <w:t>,</w:t>
      </w:r>
      <w:r w:rsidR="00D522D7">
        <w:rPr>
          <w:rStyle w:val="FootnoteReference"/>
          <w:szCs w:val="22"/>
        </w:rPr>
        <w:footnoteReference w:id="8"/>
      </w:r>
      <w:r w:rsidR="00D90793">
        <w:rPr>
          <w:szCs w:val="22"/>
        </w:rPr>
        <w:t xml:space="preserve"> a</w:t>
      </w:r>
      <w:r w:rsidR="00701806">
        <w:rPr>
          <w:szCs w:val="22"/>
        </w:rPr>
        <w:t xml:space="preserve"> </w:t>
      </w:r>
      <w:r w:rsidR="00CA3B59">
        <w:rPr>
          <w:szCs w:val="22"/>
        </w:rPr>
        <w:t xml:space="preserve">status </w:t>
      </w:r>
      <w:r w:rsidR="00D90793">
        <w:rPr>
          <w:szCs w:val="22"/>
        </w:rPr>
        <w:t xml:space="preserve">that </w:t>
      </w:r>
      <w:r w:rsidR="00CA3B59">
        <w:rPr>
          <w:szCs w:val="22"/>
        </w:rPr>
        <w:t xml:space="preserve">allows a successful bidder to </w:t>
      </w:r>
      <w:r w:rsidR="009A37AE">
        <w:rPr>
          <w:szCs w:val="22"/>
        </w:rPr>
        <w:t xml:space="preserve">apply its bidding credit to any license won at auction and, assuming the entity is otherwise qualified to become a Commission licensee, </w:t>
      </w:r>
      <w:r w:rsidR="00CA3B59" w:rsidRPr="00346BDC">
        <w:rPr>
          <w:szCs w:val="22"/>
        </w:rPr>
        <w:t xml:space="preserve">pay a discounted amount for </w:t>
      </w:r>
      <w:r w:rsidR="009A37AE">
        <w:rPr>
          <w:szCs w:val="22"/>
        </w:rPr>
        <w:t>that license</w:t>
      </w:r>
      <w:r w:rsidR="00CA3B59">
        <w:rPr>
          <w:szCs w:val="22"/>
        </w:rPr>
        <w:t>.</w:t>
      </w:r>
    </w:p>
    <w:p w:rsidR="00AA1683" w:rsidRPr="00101253" w:rsidRDefault="0092365C" w:rsidP="00101253">
      <w:pPr>
        <w:pStyle w:val="par1"/>
        <w:spacing w:after="120"/>
        <w:rPr>
          <w:szCs w:val="22"/>
        </w:rPr>
      </w:pPr>
      <w:r>
        <w:rPr>
          <w:szCs w:val="22"/>
        </w:rPr>
        <w:t xml:space="preserve">If a successful </w:t>
      </w:r>
      <w:r w:rsidR="00D90793" w:rsidRPr="00101253">
        <w:rPr>
          <w:szCs w:val="22"/>
        </w:rPr>
        <w:t>Designated Entity</w:t>
      </w:r>
      <w:r w:rsidR="00101253" w:rsidRPr="00101253">
        <w:rPr>
          <w:szCs w:val="22"/>
        </w:rPr>
        <w:t xml:space="preserve"> </w:t>
      </w:r>
      <w:r>
        <w:rPr>
          <w:szCs w:val="22"/>
        </w:rPr>
        <w:t xml:space="preserve">auction applicant </w:t>
      </w:r>
      <w:r w:rsidR="009A37AE">
        <w:rPr>
          <w:szCs w:val="22"/>
        </w:rPr>
        <w:t xml:space="preserve">that </w:t>
      </w:r>
      <w:r w:rsidR="00314C27">
        <w:rPr>
          <w:szCs w:val="22"/>
        </w:rPr>
        <w:t>has been</w:t>
      </w:r>
      <w:r>
        <w:rPr>
          <w:szCs w:val="22"/>
        </w:rPr>
        <w:t xml:space="preserve"> awarded a </w:t>
      </w:r>
      <w:r w:rsidR="009A37AE">
        <w:rPr>
          <w:szCs w:val="22"/>
        </w:rPr>
        <w:t xml:space="preserve">bidding credit </w:t>
      </w:r>
      <w:r w:rsidR="00101253" w:rsidRPr="00101253">
        <w:rPr>
          <w:szCs w:val="22"/>
        </w:rPr>
        <w:t xml:space="preserve">seeks to </w:t>
      </w:r>
      <w:r w:rsidR="005768DF" w:rsidRPr="00101253">
        <w:rPr>
          <w:szCs w:val="22"/>
        </w:rPr>
        <w:t>mak</w:t>
      </w:r>
      <w:r w:rsidR="00101253" w:rsidRPr="00101253">
        <w:rPr>
          <w:szCs w:val="22"/>
        </w:rPr>
        <w:t xml:space="preserve">e </w:t>
      </w:r>
      <w:r w:rsidR="005768DF" w:rsidRPr="00101253">
        <w:rPr>
          <w:szCs w:val="22"/>
        </w:rPr>
        <w:t xml:space="preserve">an ownership change </w:t>
      </w:r>
      <w:r w:rsidRPr="00101253">
        <w:rPr>
          <w:szCs w:val="22"/>
        </w:rPr>
        <w:t xml:space="preserve">within five years after a license grant </w:t>
      </w:r>
      <w:r w:rsidR="005768DF" w:rsidRPr="00101253">
        <w:rPr>
          <w:szCs w:val="22"/>
        </w:rPr>
        <w:t xml:space="preserve">that would </w:t>
      </w:r>
      <w:r w:rsidR="009A37AE">
        <w:rPr>
          <w:szCs w:val="22"/>
        </w:rPr>
        <w:t xml:space="preserve">make it </w:t>
      </w:r>
      <w:r w:rsidR="002E03D1">
        <w:rPr>
          <w:szCs w:val="22"/>
        </w:rPr>
        <w:t>in</w:t>
      </w:r>
      <w:r w:rsidR="009A37AE">
        <w:rPr>
          <w:szCs w:val="22"/>
        </w:rPr>
        <w:t>eligible for th</w:t>
      </w:r>
      <w:r>
        <w:rPr>
          <w:szCs w:val="22"/>
        </w:rPr>
        <w:t>e bidding</w:t>
      </w:r>
      <w:r w:rsidR="009A37AE">
        <w:rPr>
          <w:szCs w:val="22"/>
        </w:rPr>
        <w:t xml:space="preserve"> </w:t>
      </w:r>
      <w:r w:rsidR="00101253">
        <w:rPr>
          <w:szCs w:val="22"/>
        </w:rPr>
        <w:t>credit</w:t>
      </w:r>
      <w:r>
        <w:rPr>
          <w:szCs w:val="22"/>
        </w:rPr>
        <w:t>, the Designated Entity must meet certain requirements</w:t>
      </w:r>
      <w:r w:rsidR="005768DF" w:rsidRPr="00101253">
        <w:rPr>
          <w:szCs w:val="22"/>
        </w:rPr>
        <w:t>.</w:t>
      </w:r>
      <w:r w:rsidR="00101253" w:rsidRPr="00101253">
        <w:rPr>
          <w:szCs w:val="22"/>
        </w:rPr>
        <w:t xml:space="preserve">  </w:t>
      </w:r>
      <w:r w:rsidR="00101253">
        <w:rPr>
          <w:szCs w:val="22"/>
        </w:rPr>
        <w:t>First, the</w:t>
      </w:r>
      <w:r w:rsidR="00787641" w:rsidRPr="00101253">
        <w:rPr>
          <w:szCs w:val="22"/>
        </w:rPr>
        <w:t xml:space="preserve"> Designated Entity </w:t>
      </w:r>
      <w:r w:rsidR="00DA1D83">
        <w:rPr>
          <w:szCs w:val="22"/>
        </w:rPr>
        <w:t xml:space="preserve">must </w:t>
      </w:r>
      <w:r w:rsidR="00787641" w:rsidRPr="00101253">
        <w:rPr>
          <w:szCs w:val="22"/>
        </w:rPr>
        <w:t xml:space="preserve">apply for and obtain </w:t>
      </w:r>
      <w:r w:rsidR="00346BDC" w:rsidRPr="00101253">
        <w:rPr>
          <w:szCs w:val="22"/>
        </w:rPr>
        <w:t xml:space="preserve">Commission </w:t>
      </w:r>
      <w:r w:rsidR="00787641" w:rsidRPr="00101253">
        <w:rPr>
          <w:szCs w:val="22"/>
        </w:rPr>
        <w:t xml:space="preserve">approval before making any changes that </w:t>
      </w:r>
      <w:r w:rsidR="00346BDC" w:rsidRPr="00101253">
        <w:rPr>
          <w:szCs w:val="22"/>
        </w:rPr>
        <w:t>result in such an Eligibility Event.</w:t>
      </w:r>
      <w:r w:rsidR="00787641">
        <w:rPr>
          <w:rStyle w:val="FootnoteReference"/>
          <w:szCs w:val="22"/>
        </w:rPr>
        <w:footnoteReference w:id="9"/>
      </w:r>
      <w:r w:rsidR="00787641" w:rsidRPr="00101253">
        <w:rPr>
          <w:szCs w:val="22"/>
        </w:rPr>
        <w:t xml:space="preserve">  </w:t>
      </w:r>
      <w:r w:rsidR="00101253">
        <w:rPr>
          <w:szCs w:val="22"/>
        </w:rPr>
        <w:t xml:space="preserve">In addition, </w:t>
      </w:r>
      <w:r w:rsidR="006825BD">
        <w:rPr>
          <w:szCs w:val="22"/>
        </w:rPr>
        <w:t xml:space="preserve">as a condition </w:t>
      </w:r>
      <w:r w:rsidR="00DE0E48">
        <w:rPr>
          <w:szCs w:val="22"/>
        </w:rPr>
        <w:t>to Commission</w:t>
      </w:r>
      <w:r w:rsidR="006825BD">
        <w:rPr>
          <w:szCs w:val="22"/>
        </w:rPr>
        <w:t xml:space="preserve"> approval</w:t>
      </w:r>
      <w:r w:rsidR="00DE0E48">
        <w:rPr>
          <w:szCs w:val="22"/>
        </w:rPr>
        <w:t>,</w:t>
      </w:r>
      <w:r w:rsidR="006825BD">
        <w:rPr>
          <w:szCs w:val="22"/>
        </w:rPr>
        <w:t xml:space="preserve"> </w:t>
      </w:r>
      <w:r w:rsidR="00346BDC" w:rsidRPr="00101253">
        <w:rPr>
          <w:szCs w:val="22"/>
        </w:rPr>
        <w:t xml:space="preserve">the Designated Entity </w:t>
      </w:r>
      <w:r w:rsidR="00883C73">
        <w:rPr>
          <w:szCs w:val="22"/>
        </w:rPr>
        <w:t xml:space="preserve">must </w:t>
      </w:r>
      <w:r w:rsidR="00101253">
        <w:rPr>
          <w:szCs w:val="22"/>
        </w:rPr>
        <w:t xml:space="preserve">make </w:t>
      </w:r>
      <w:r w:rsidR="006C6254" w:rsidRPr="00101253">
        <w:rPr>
          <w:szCs w:val="22"/>
        </w:rPr>
        <w:t xml:space="preserve">an </w:t>
      </w:r>
      <w:r w:rsidR="00101253">
        <w:rPr>
          <w:szCs w:val="22"/>
        </w:rPr>
        <w:t>U</w:t>
      </w:r>
      <w:r w:rsidR="006C6254" w:rsidRPr="00101253">
        <w:rPr>
          <w:szCs w:val="22"/>
        </w:rPr>
        <w:t xml:space="preserve">njust </w:t>
      </w:r>
      <w:r w:rsidR="00101253">
        <w:rPr>
          <w:szCs w:val="22"/>
        </w:rPr>
        <w:t>E</w:t>
      </w:r>
      <w:r w:rsidR="006C6254" w:rsidRPr="00101253">
        <w:rPr>
          <w:szCs w:val="22"/>
        </w:rPr>
        <w:t>nrichment payment</w:t>
      </w:r>
      <w:r w:rsidR="00101253">
        <w:rPr>
          <w:szCs w:val="22"/>
        </w:rPr>
        <w:t xml:space="preserve"> to the </w:t>
      </w:r>
      <w:r w:rsidR="00101253" w:rsidRPr="00101253">
        <w:rPr>
          <w:szCs w:val="22"/>
        </w:rPr>
        <w:t xml:space="preserve">U.S. </w:t>
      </w:r>
      <w:r w:rsidR="00101253">
        <w:rPr>
          <w:szCs w:val="22"/>
        </w:rPr>
        <w:t>Treasury</w:t>
      </w:r>
      <w:r w:rsidR="00346BDC" w:rsidRPr="00101253">
        <w:rPr>
          <w:szCs w:val="22"/>
        </w:rPr>
        <w:t>.</w:t>
      </w:r>
      <w:r w:rsidR="00346BDC">
        <w:rPr>
          <w:rStyle w:val="FootnoteReference"/>
          <w:szCs w:val="22"/>
        </w:rPr>
        <w:footnoteReference w:id="10"/>
      </w:r>
      <w:r w:rsidR="00101253">
        <w:rPr>
          <w:szCs w:val="22"/>
        </w:rPr>
        <w:t xml:space="preserve">  This payment</w:t>
      </w:r>
      <w:r w:rsidR="00346BDC" w:rsidRPr="00101253">
        <w:rPr>
          <w:szCs w:val="22"/>
        </w:rPr>
        <w:t xml:space="preserve"> </w:t>
      </w:r>
      <w:r w:rsidR="00C77A53">
        <w:rPr>
          <w:szCs w:val="22"/>
        </w:rPr>
        <w:t xml:space="preserve">equals a percentage of </w:t>
      </w:r>
      <w:r w:rsidR="00101253">
        <w:rPr>
          <w:szCs w:val="22"/>
        </w:rPr>
        <w:t xml:space="preserve">the </w:t>
      </w:r>
      <w:r w:rsidR="009A37AE">
        <w:rPr>
          <w:szCs w:val="22"/>
        </w:rPr>
        <w:t xml:space="preserve">discount </w:t>
      </w:r>
      <w:r w:rsidR="00101253">
        <w:rPr>
          <w:szCs w:val="22"/>
        </w:rPr>
        <w:t xml:space="preserve">the licensee received </w:t>
      </w:r>
      <w:r w:rsidR="009A37AE">
        <w:rPr>
          <w:szCs w:val="22"/>
        </w:rPr>
        <w:t xml:space="preserve">as a result of the bidding credit, </w:t>
      </w:r>
      <w:r w:rsidR="00101253">
        <w:rPr>
          <w:szCs w:val="22"/>
        </w:rPr>
        <w:t>plus interest</w:t>
      </w:r>
      <w:r w:rsidR="00C77A53">
        <w:rPr>
          <w:szCs w:val="22"/>
        </w:rPr>
        <w:t>.</w:t>
      </w:r>
      <w:r w:rsidR="00D522D7">
        <w:rPr>
          <w:rStyle w:val="FootnoteReference"/>
          <w:szCs w:val="22"/>
        </w:rPr>
        <w:footnoteReference w:id="11"/>
      </w:r>
      <w:r w:rsidR="006825BD">
        <w:rPr>
          <w:szCs w:val="22"/>
        </w:rPr>
        <w:t xml:space="preserve">  </w:t>
      </w:r>
      <w:r w:rsidR="00F22A0B">
        <w:rPr>
          <w:szCs w:val="22"/>
        </w:rPr>
        <w:t>Section 1.919 requires that i</w:t>
      </w:r>
      <w:r w:rsidR="006825BD">
        <w:rPr>
          <w:szCs w:val="22"/>
        </w:rPr>
        <w:t xml:space="preserve">f the proposed Eligibility Event change is approved, the licensee must </w:t>
      </w:r>
      <w:r w:rsidR="00F22A0B">
        <w:rPr>
          <w:szCs w:val="22"/>
        </w:rPr>
        <w:t xml:space="preserve">update its ownership information on FCC Form 602 so that it reflects any ownership changes that </w:t>
      </w:r>
      <w:r w:rsidR="00357F25">
        <w:rPr>
          <w:szCs w:val="22"/>
        </w:rPr>
        <w:t xml:space="preserve">may have </w:t>
      </w:r>
      <w:r w:rsidR="00F22A0B">
        <w:rPr>
          <w:szCs w:val="22"/>
        </w:rPr>
        <w:t>result</w:t>
      </w:r>
      <w:r w:rsidR="00357F25">
        <w:rPr>
          <w:szCs w:val="22"/>
        </w:rPr>
        <w:t>ed</w:t>
      </w:r>
      <w:r w:rsidR="00F22A0B">
        <w:rPr>
          <w:szCs w:val="22"/>
        </w:rPr>
        <w:t xml:space="preserve"> from the Eligibility Event.</w:t>
      </w:r>
      <w:r w:rsidR="00357F25">
        <w:rPr>
          <w:rStyle w:val="FootnoteReference"/>
          <w:szCs w:val="22"/>
        </w:rPr>
        <w:footnoteReference w:id="12"/>
      </w:r>
      <w:r w:rsidR="00357F25">
        <w:rPr>
          <w:szCs w:val="22"/>
        </w:rPr>
        <w:t xml:space="preserve"> </w:t>
      </w:r>
      <w:r w:rsidR="00883C73">
        <w:rPr>
          <w:szCs w:val="22"/>
        </w:rPr>
        <w:t xml:space="preserve"> A Designated Entity </w:t>
      </w:r>
      <w:r w:rsidR="00357F25">
        <w:rPr>
          <w:szCs w:val="22"/>
        </w:rPr>
        <w:t xml:space="preserve">licensee that is subject to an Unjust Enrichment payment obligation also must obtain Commission approval before making a </w:t>
      </w:r>
      <w:r w:rsidR="00357F25" w:rsidRPr="006C6254">
        <w:rPr>
          <w:i/>
          <w:szCs w:val="22"/>
        </w:rPr>
        <w:t>pro forma</w:t>
      </w:r>
      <w:r w:rsidR="00357F25">
        <w:rPr>
          <w:szCs w:val="22"/>
        </w:rPr>
        <w:t xml:space="preserve"> assignment or transfer of control.</w:t>
      </w:r>
      <w:r w:rsidR="00357F25">
        <w:rPr>
          <w:rStyle w:val="FootnoteReference"/>
          <w:szCs w:val="22"/>
        </w:rPr>
        <w:footnoteReference w:id="13"/>
      </w:r>
      <w:r w:rsidR="00357F25">
        <w:rPr>
          <w:szCs w:val="22"/>
        </w:rPr>
        <w:t xml:space="preserve">  </w:t>
      </w:r>
    </w:p>
    <w:p w:rsidR="000C4E79" w:rsidRDefault="00A85ACD" w:rsidP="000C4E79">
      <w:pPr>
        <w:pStyle w:val="par1"/>
        <w:spacing w:after="120"/>
        <w:rPr>
          <w:szCs w:val="22"/>
        </w:rPr>
      </w:pPr>
      <w:r>
        <w:rPr>
          <w:szCs w:val="22"/>
        </w:rPr>
        <w:t xml:space="preserve">In addition to the Designated Entity Rules, the Commission’s </w:t>
      </w:r>
      <w:r w:rsidR="0012659D">
        <w:rPr>
          <w:szCs w:val="22"/>
        </w:rPr>
        <w:t xml:space="preserve">Alien Ownership </w:t>
      </w:r>
      <w:r>
        <w:rPr>
          <w:szCs w:val="22"/>
        </w:rPr>
        <w:t xml:space="preserve">Rules are also relevant to this matter.  </w:t>
      </w:r>
      <w:r w:rsidR="000C4E79">
        <w:rPr>
          <w:szCs w:val="22"/>
        </w:rPr>
        <w:t xml:space="preserve">Section 310(b)(3) of the Act sets a 20 percent limit on the equity and voting interests that foreign governments, corporations organized under </w:t>
      </w:r>
      <w:r w:rsidR="00BC1D9D">
        <w:rPr>
          <w:szCs w:val="22"/>
        </w:rPr>
        <w:t xml:space="preserve">the laws of </w:t>
      </w:r>
      <w:r w:rsidR="000C4E79">
        <w:rPr>
          <w:szCs w:val="22"/>
        </w:rPr>
        <w:t>a foreign government, and foreign individuals may hold in certain classes of radio station licensees, including common carrier radio licensees.</w:t>
      </w:r>
      <w:r w:rsidR="000C4E79">
        <w:rPr>
          <w:rStyle w:val="FootnoteReference"/>
          <w:szCs w:val="22"/>
        </w:rPr>
        <w:footnoteReference w:id="14"/>
      </w:r>
      <w:r w:rsidR="000C4E79">
        <w:rPr>
          <w:szCs w:val="22"/>
        </w:rPr>
        <w:t xml:space="preserve">  Prior to August 22, 2012, Section 310(b)(3) precluded alien equity or voting </w:t>
      </w:r>
      <w:r w:rsidR="00BC1D9D">
        <w:rPr>
          <w:szCs w:val="22"/>
        </w:rPr>
        <w:t xml:space="preserve">interests </w:t>
      </w:r>
      <w:r w:rsidR="000C4E79">
        <w:rPr>
          <w:szCs w:val="22"/>
        </w:rPr>
        <w:t xml:space="preserve">in common carrier licensees in excess of the 20 percent cap.  Effective August 22, 2012, the Commission adopted </w:t>
      </w:r>
      <w:r>
        <w:rPr>
          <w:szCs w:val="22"/>
        </w:rPr>
        <w:t xml:space="preserve">a </w:t>
      </w:r>
      <w:r w:rsidR="000C4E79">
        <w:rPr>
          <w:szCs w:val="22"/>
        </w:rPr>
        <w:t>policy of forbearing, on a case-by-case basis, from the cap for those common carrier licensees in which the foreign investment is held through a U.S.-</w:t>
      </w:r>
      <w:r w:rsidR="00BC1D9D">
        <w:rPr>
          <w:szCs w:val="22"/>
        </w:rPr>
        <w:t xml:space="preserve">organized </w:t>
      </w:r>
      <w:r w:rsidR="000C4E79">
        <w:rPr>
          <w:szCs w:val="22"/>
        </w:rPr>
        <w:t>entity that does not control the licensee.</w:t>
      </w:r>
      <w:r w:rsidR="000C4E79">
        <w:rPr>
          <w:rStyle w:val="FootnoteReference"/>
          <w:szCs w:val="22"/>
        </w:rPr>
        <w:footnoteReference w:id="15"/>
      </w:r>
      <w:r w:rsidR="000C4E79">
        <w:rPr>
          <w:szCs w:val="22"/>
        </w:rPr>
        <w:t xml:space="preserve">  Under that </w:t>
      </w:r>
      <w:r w:rsidR="0092365C">
        <w:rPr>
          <w:szCs w:val="22"/>
        </w:rPr>
        <w:t xml:space="preserve">revised </w:t>
      </w:r>
      <w:r w:rsidR="000C4E79">
        <w:rPr>
          <w:szCs w:val="22"/>
        </w:rPr>
        <w:t>policy, a common carrier must seek and obtain Commission approval prior to exceeding the 20 percent cap.</w:t>
      </w:r>
      <w:r w:rsidR="000C4E79">
        <w:rPr>
          <w:rStyle w:val="FootnoteReference"/>
          <w:szCs w:val="22"/>
        </w:rPr>
        <w:footnoteReference w:id="16"/>
      </w:r>
      <w:r w:rsidR="00607C51">
        <w:rPr>
          <w:szCs w:val="22"/>
        </w:rPr>
        <w:t xml:space="preserve">  It is under this new policy that GAB submitted its request for a declaratory ruling for permission to exceed the alien ownership cap.</w:t>
      </w:r>
      <w:r w:rsidR="00607C51">
        <w:rPr>
          <w:rStyle w:val="FootnoteReference"/>
          <w:szCs w:val="22"/>
        </w:rPr>
        <w:footnoteReference w:id="17"/>
      </w:r>
      <w:r w:rsidR="00607C51">
        <w:rPr>
          <w:szCs w:val="22"/>
        </w:rPr>
        <w:t xml:space="preserve">  </w:t>
      </w:r>
    </w:p>
    <w:p w:rsidR="00974013" w:rsidRPr="00652031" w:rsidRDefault="000447D6" w:rsidP="00652031">
      <w:pPr>
        <w:pStyle w:val="par1"/>
        <w:spacing w:after="120"/>
        <w:rPr>
          <w:szCs w:val="22"/>
        </w:rPr>
      </w:pPr>
      <w:r>
        <w:rPr>
          <w:szCs w:val="22"/>
        </w:rPr>
        <w:t xml:space="preserve">GAB is a Delaware corporation </w:t>
      </w:r>
      <w:r w:rsidR="00316113">
        <w:rPr>
          <w:szCs w:val="22"/>
        </w:rPr>
        <w:t>formed in 2007</w:t>
      </w:r>
      <w:r>
        <w:rPr>
          <w:szCs w:val="22"/>
        </w:rPr>
        <w:t>.</w:t>
      </w:r>
      <w:r w:rsidR="00690BFB">
        <w:rPr>
          <w:rStyle w:val="FootnoteReference"/>
          <w:szCs w:val="22"/>
        </w:rPr>
        <w:footnoteReference w:id="18"/>
      </w:r>
      <w:r>
        <w:rPr>
          <w:szCs w:val="22"/>
        </w:rPr>
        <w:t xml:space="preserve">  On March 18, 2008, GAB was the winning bidder on four 700 MHz licenses in the</w:t>
      </w:r>
      <w:r w:rsidR="00522A16">
        <w:rPr>
          <w:szCs w:val="22"/>
        </w:rPr>
        <w:t xml:space="preserve"> Commission</w:t>
      </w:r>
      <w:r w:rsidR="005C5ABA">
        <w:rPr>
          <w:szCs w:val="22"/>
        </w:rPr>
        <w:t>’</w:t>
      </w:r>
      <w:r w:rsidR="0076633D">
        <w:rPr>
          <w:szCs w:val="22"/>
        </w:rPr>
        <w:t xml:space="preserve">s Auction No. 73: </w:t>
      </w:r>
      <w:r w:rsidR="00522A16">
        <w:rPr>
          <w:szCs w:val="22"/>
        </w:rPr>
        <w:t>WQKH494 (California 6</w:t>
      </w:r>
      <w:r w:rsidR="0002681E">
        <w:rPr>
          <w:szCs w:val="22"/>
        </w:rPr>
        <w:t> </w:t>
      </w:r>
      <w:r w:rsidR="00522A16">
        <w:rPr>
          <w:szCs w:val="22"/>
        </w:rPr>
        <w:t>– Mono); WQKH 495 (Indiana 3 – Huntington); WQKH496 (Nevada 4 – Mineral); and WQKH497 (Wyoming 5 – Converse).</w:t>
      </w:r>
      <w:r w:rsidR="00652031">
        <w:rPr>
          <w:rStyle w:val="FootnoteReference"/>
          <w:szCs w:val="22"/>
        </w:rPr>
        <w:footnoteReference w:id="19"/>
      </w:r>
      <w:r w:rsidR="00652031">
        <w:rPr>
          <w:szCs w:val="22"/>
        </w:rPr>
        <w:t xml:space="preserve">  </w:t>
      </w:r>
      <w:r w:rsidRPr="00652031">
        <w:rPr>
          <w:szCs w:val="22"/>
        </w:rPr>
        <w:t>The</w:t>
      </w:r>
      <w:r w:rsidR="00695737" w:rsidRPr="00652031">
        <w:rPr>
          <w:szCs w:val="22"/>
        </w:rPr>
        <w:t>se</w:t>
      </w:r>
      <w:r w:rsidR="00522A16" w:rsidRPr="00652031">
        <w:rPr>
          <w:szCs w:val="22"/>
        </w:rPr>
        <w:t xml:space="preserve"> </w:t>
      </w:r>
      <w:r w:rsidR="008723EE" w:rsidRPr="00652031">
        <w:rPr>
          <w:szCs w:val="22"/>
        </w:rPr>
        <w:t>licenses</w:t>
      </w:r>
      <w:r w:rsidR="00695737" w:rsidRPr="00652031">
        <w:rPr>
          <w:szCs w:val="22"/>
        </w:rPr>
        <w:t xml:space="preserve"> </w:t>
      </w:r>
      <w:r w:rsidR="0076633D" w:rsidRPr="00652031">
        <w:rPr>
          <w:szCs w:val="22"/>
        </w:rPr>
        <w:t>a</w:t>
      </w:r>
      <w:r w:rsidRPr="00652031">
        <w:rPr>
          <w:szCs w:val="22"/>
        </w:rPr>
        <w:t xml:space="preserve">re for </w:t>
      </w:r>
      <w:r w:rsidR="00695737" w:rsidRPr="00652031">
        <w:rPr>
          <w:szCs w:val="22"/>
        </w:rPr>
        <w:t xml:space="preserve">commercial </w:t>
      </w:r>
      <w:r w:rsidR="008723EE" w:rsidRPr="00652031">
        <w:rPr>
          <w:szCs w:val="22"/>
        </w:rPr>
        <w:t xml:space="preserve">common carrier </w:t>
      </w:r>
      <w:r w:rsidR="00695737" w:rsidRPr="00652031">
        <w:rPr>
          <w:szCs w:val="22"/>
        </w:rPr>
        <w:t xml:space="preserve">wireless </w:t>
      </w:r>
      <w:r w:rsidRPr="00652031">
        <w:rPr>
          <w:szCs w:val="22"/>
        </w:rPr>
        <w:t>service</w:t>
      </w:r>
      <w:r w:rsidR="000C4E79" w:rsidRPr="00652031">
        <w:rPr>
          <w:szCs w:val="22"/>
        </w:rPr>
        <w:t>s</w:t>
      </w:r>
      <w:r w:rsidRPr="00652031">
        <w:rPr>
          <w:szCs w:val="22"/>
        </w:rPr>
        <w:t>.</w:t>
      </w:r>
      <w:r w:rsidR="00695737">
        <w:rPr>
          <w:rStyle w:val="FootnoteReference"/>
          <w:szCs w:val="22"/>
        </w:rPr>
        <w:footnoteReference w:id="20"/>
      </w:r>
      <w:r w:rsidRPr="00652031">
        <w:rPr>
          <w:szCs w:val="22"/>
        </w:rPr>
        <w:t xml:space="preserve">  </w:t>
      </w:r>
      <w:r w:rsidR="00A5153A" w:rsidRPr="00652031">
        <w:rPr>
          <w:szCs w:val="22"/>
        </w:rPr>
        <w:t xml:space="preserve">GAB’s winning bids for these licenses totaled $699,000.  </w:t>
      </w:r>
      <w:r w:rsidR="00522A16" w:rsidRPr="00652031">
        <w:rPr>
          <w:szCs w:val="22"/>
        </w:rPr>
        <w:t>GAB qualified to participate in Auction No. 73 as a</w:t>
      </w:r>
      <w:r w:rsidR="00701806" w:rsidRPr="00652031">
        <w:rPr>
          <w:szCs w:val="22"/>
        </w:rPr>
        <w:t xml:space="preserve"> Designated Entity </w:t>
      </w:r>
      <w:r w:rsidR="00522A16" w:rsidRPr="00652031">
        <w:rPr>
          <w:szCs w:val="22"/>
        </w:rPr>
        <w:t xml:space="preserve">with a </w:t>
      </w:r>
      <w:r w:rsidR="005C5ABA" w:rsidRPr="00652031">
        <w:rPr>
          <w:szCs w:val="22"/>
        </w:rPr>
        <w:t>“</w:t>
      </w:r>
      <w:r w:rsidR="00522A16" w:rsidRPr="00652031">
        <w:rPr>
          <w:szCs w:val="22"/>
        </w:rPr>
        <w:t>very small business</w:t>
      </w:r>
      <w:r w:rsidR="005C5ABA" w:rsidRPr="00652031">
        <w:rPr>
          <w:szCs w:val="22"/>
        </w:rPr>
        <w:t>”</w:t>
      </w:r>
      <w:r w:rsidR="00522A16" w:rsidRPr="00652031">
        <w:rPr>
          <w:szCs w:val="22"/>
        </w:rPr>
        <w:t xml:space="preserve"> status, which entitled it to a 25 percent discount from </w:t>
      </w:r>
      <w:r w:rsidR="00A5153A" w:rsidRPr="00652031">
        <w:rPr>
          <w:szCs w:val="22"/>
        </w:rPr>
        <w:t>that amount</w:t>
      </w:r>
      <w:r w:rsidR="0092365C" w:rsidRPr="00652031">
        <w:rPr>
          <w:szCs w:val="22"/>
        </w:rPr>
        <w:t xml:space="preserve"> ($174,750)</w:t>
      </w:r>
      <w:r w:rsidR="002A02E9" w:rsidRPr="00652031">
        <w:rPr>
          <w:szCs w:val="22"/>
        </w:rPr>
        <w:t xml:space="preserve"> and required it to pay </w:t>
      </w:r>
      <w:r w:rsidR="00A5153A" w:rsidRPr="00652031">
        <w:rPr>
          <w:szCs w:val="22"/>
        </w:rPr>
        <w:t xml:space="preserve">a </w:t>
      </w:r>
      <w:r w:rsidR="00522A16" w:rsidRPr="00652031">
        <w:rPr>
          <w:szCs w:val="22"/>
        </w:rPr>
        <w:t>net of $524,250 for the four</w:t>
      </w:r>
      <w:r w:rsidR="008723EE" w:rsidRPr="00652031">
        <w:rPr>
          <w:szCs w:val="22"/>
        </w:rPr>
        <w:t xml:space="preserve"> licenses</w:t>
      </w:r>
      <w:r w:rsidR="00522A16" w:rsidRPr="00652031">
        <w:rPr>
          <w:szCs w:val="22"/>
        </w:rPr>
        <w:t>.</w:t>
      </w:r>
      <w:r w:rsidR="00486E70">
        <w:rPr>
          <w:rStyle w:val="FootnoteReference"/>
          <w:szCs w:val="22"/>
        </w:rPr>
        <w:footnoteReference w:id="21"/>
      </w:r>
      <w:r w:rsidR="00522A16" w:rsidRPr="00652031">
        <w:rPr>
          <w:szCs w:val="22"/>
        </w:rPr>
        <w:t xml:space="preserve">  </w:t>
      </w:r>
      <w:r w:rsidR="00974013" w:rsidRPr="00652031">
        <w:rPr>
          <w:szCs w:val="22"/>
        </w:rPr>
        <w:t xml:space="preserve">On May 20, 2009, after confirming that GAB </w:t>
      </w:r>
      <w:r w:rsidR="00A5153A" w:rsidRPr="00652031">
        <w:rPr>
          <w:szCs w:val="22"/>
        </w:rPr>
        <w:t xml:space="preserve">qualified as </w:t>
      </w:r>
      <w:r w:rsidR="00974013" w:rsidRPr="00652031">
        <w:rPr>
          <w:szCs w:val="22"/>
        </w:rPr>
        <w:t>a very small business</w:t>
      </w:r>
      <w:r w:rsidR="00701806" w:rsidRPr="00652031">
        <w:rPr>
          <w:szCs w:val="22"/>
        </w:rPr>
        <w:t xml:space="preserve"> Designated Entity</w:t>
      </w:r>
      <w:r w:rsidR="00974013" w:rsidRPr="00652031">
        <w:rPr>
          <w:szCs w:val="22"/>
        </w:rPr>
        <w:t xml:space="preserve">, the Wireless Telecommunications Bureau </w:t>
      </w:r>
      <w:r w:rsidR="004D401D" w:rsidRPr="00652031">
        <w:rPr>
          <w:szCs w:val="22"/>
        </w:rPr>
        <w:t xml:space="preserve">(WTB) </w:t>
      </w:r>
      <w:r w:rsidR="00974013" w:rsidRPr="00652031">
        <w:rPr>
          <w:szCs w:val="22"/>
        </w:rPr>
        <w:t xml:space="preserve">granted GAB </w:t>
      </w:r>
      <w:r w:rsidR="00A5153A" w:rsidRPr="00652031">
        <w:rPr>
          <w:szCs w:val="22"/>
        </w:rPr>
        <w:t xml:space="preserve">the </w:t>
      </w:r>
      <w:r w:rsidR="00974013" w:rsidRPr="00652031">
        <w:rPr>
          <w:szCs w:val="22"/>
        </w:rPr>
        <w:t>four licenses.</w:t>
      </w:r>
      <w:r w:rsidR="00EF0F02">
        <w:rPr>
          <w:rStyle w:val="FootnoteReference"/>
          <w:szCs w:val="22"/>
        </w:rPr>
        <w:footnoteReference w:id="22"/>
      </w:r>
    </w:p>
    <w:p w:rsidR="00983227" w:rsidRPr="00270042" w:rsidRDefault="0001119A" w:rsidP="00DC6831">
      <w:pPr>
        <w:pStyle w:val="par1"/>
        <w:spacing w:after="120"/>
        <w:rPr>
          <w:szCs w:val="22"/>
        </w:rPr>
      </w:pPr>
      <w:r>
        <w:rPr>
          <w:szCs w:val="22"/>
        </w:rPr>
        <w:t xml:space="preserve">On May 29, 2008, Pearl Capital (Pearl) agreed to lend GAB $1 </w:t>
      </w:r>
      <w:r w:rsidR="004E5BCA">
        <w:rPr>
          <w:szCs w:val="22"/>
        </w:rPr>
        <w:t>million</w:t>
      </w:r>
      <w:r>
        <w:rPr>
          <w:szCs w:val="22"/>
        </w:rPr>
        <w:t xml:space="preserve"> pursuant to a </w:t>
      </w:r>
      <w:r w:rsidR="00F54D68">
        <w:rPr>
          <w:szCs w:val="22"/>
        </w:rPr>
        <w:t>l</w:t>
      </w:r>
      <w:r>
        <w:rPr>
          <w:szCs w:val="22"/>
        </w:rPr>
        <w:t xml:space="preserve">oan </w:t>
      </w:r>
      <w:r w:rsidR="00F54D68">
        <w:rPr>
          <w:szCs w:val="22"/>
        </w:rPr>
        <w:t>a</w:t>
      </w:r>
      <w:r>
        <w:rPr>
          <w:szCs w:val="22"/>
        </w:rPr>
        <w:t xml:space="preserve">greement and </w:t>
      </w:r>
      <w:r w:rsidR="00F54D68">
        <w:rPr>
          <w:szCs w:val="22"/>
        </w:rPr>
        <w:t>c</w:t>
      </w:r>
      <w:r>
        <w:rPr>
          <w:szCs w:val="22"/>
        </w:rPr>
        <w:t xml:space="preserve">onvertible </w:t>
      </w:r>
      <w:r w:rsidR="00F54D68">
        <w:rPr>
          <w:szCs w:val="22"/>
        </w:rPr>
        <w:t>p</w:t>
      </w:r>
      <w:r>
        <w:rPr>
          <w:szCs w:val="22"/>
        </w:rPr>
        <w:t xml:space="preserve">romissory </w:t>
      </w:r>
      <w:r w:rsidR="00F54D68">
        <w:rPr>
          <w:szCs w:val="22"/>
        </w:rPr>
        <w:t>n</w:t>
      </w:r>
      <w:r>
        <w:rPr>
          <w:szCs w:val="22"/>
        </w:rPr>
        <w:t>ote (</w:t>
      </w:r>
      <w:r w:rsidR="00983227">
        <w:rPr>
          <w:szCs w:val="22"/>
        </w:rPr>
        <w:t xml:space="preserve">Promissory </w:t>
      </w:r>
      <w:r>
        <w:rPr>
          <w:szCs w:val="22"/>
        </w:rPr>
        <w:t>Note).</w:t>
      </w:r>
      <w:r w:rsidR="00086374">
        <w:rPr>
          <w:rStyle w:val="FootnoteReference"/>
          <w:szCs w:val="22"/>
        </w:rPr>
        <w:footnoteReference w:id="23"/>
      </w:r>
      <w:r>
        <w:rPr>
          <w:szCs w:val="22"/>
        </w:rPr>
        <w:t xml:space="preserve"> </w:t>
      </w:r>
      <w:r w:rsidR="00086374">
        <w:rPr>
          <w:szCs w:val="22"/>
        </w:rPr>
        <w:t xml:space="preserve"> </w:t>
      </w:r>
      <w:r>
        <w:rPr>
          <w:szCs w:val="22"/>
        </w:rPr>
        <w:t>Pear</w:t>
      </w:r>
      <w:r w:rsidR="00086374">
        <w:rPr>
          <w:szCs w:val="22"/>
        </w:rPr>
        <w:t>l</w:t>
      </w:r>
      <w:r>
        <w:rPr>
          <w:szCs w:val="22"/>
        </w:rPr>
        <w:t xml:space="preserve"> is a Del</w:t>
      </w:r>
      <w:r w:rsidR="00086374">
        <w:rPr>
          <w:szCs w:val="22"/>
        </w:rPr>
        <w:t>aware limited liability company</w:t>
      </w:r>
      <w:r w:rsidR="00DE0E48">
        <w:rPr>
          <w:szCs w:val="22"/>
        </w:rPr>
        <w:t xml:space="preserve"> whose </w:t>
      </w:r>
      <w:r w:rsidR="00086374">
        <w:rPr>
          <w:szCs w:val="22"/>
        </w:rPr>
        <w:t>sole member is The Amethyst Trust</w:t>
      </w:r>
      <w:r w:rsidR="00DE0E48">
        <w:rPr>
          <w:szCs w:val="22"/>
        </w:rPr>
        <w:t xml:space="preserve"> (Amethyst)</w:t>
      </w:r>
      <w:r w:rsidR="00086374">
        <w:rPr>
          <w:szCs w:val="22"/>
        </w:rPr>
        <w:t>.</w:t>
      </w:r>
      <w:r w:rsidR="00086374">
        <w:rPr>
          <w:rStyle w:val="FootnoteReference"/>
          <w:szCs w:val="22"/>
        </w:rPr>
        <w:footnoteReference w:id="24"/>
      </w:r>
      <w:r w:rsidR="00086374">
        <w:rPr>
          <w:szCs w:val="22"/>
        </w:rPr>
        <w:t xml:space="preserve">  </w:t>
      </w:r>
      <w:r w:rsidR="00DE0E48">
        <w:rPr>
          <w:szCs w:val="22"/>
        </w:rPr>
        <w:t xml:space="preserve">Amethyst’s </w:t>
      </w:r>
      <w:r w:rsidR="009A37C2">
        <w:rPr>
          <w:szCs w:val="22"/>
        </w:rPr>
        <w:t xml:space="preserve">investment </w:t>
      </w:r>
      <w:r w:rsidR="00086374">
        <w:rPr>
          <w:szCs w:val="22"/>
        </w:rPr>
        <w:t xml:space="preserve">trustee and </w:t>
      </w:r>
      <w:r w:rsidR="009A37C2">
        <w:rPr>
          <w:szCs w:val="22"/>
        </w:rPr>
        <w:t xml:space="preserve">sole </w:t>
      </w:r>
      <w:r w:rsidR="00086374">
        <w:rPr>
          <w:szCs w:val="22"/>
        </w:rPr>
        <w:t>beneficiary is Iftikhar Shirazi, a citizen of Pakistan.</w:t>
      </w:r>
      <w:r w:rsidR="00086374">
        <w:rPr>
          <w:rStyle w:val="FootnoteReference"/>
          <w:szCs w:val="22"/>
        </w:rPr>
        <w:footnoteReference w:id="25"/>
      </w:r>
      <w:r w:rsidR="00086374">
        <w:rPr>
          <w:szCs w:val="22"/>
        </w:rPr>
        <w:t xml:space="preserve">  </w:t>
      </w:r>
      <w:r w:rsidR="00377E30" w:rsidRPr="006C1A49">
        <w:rPr>
          <w:szCs w:val="22"/>
        </w:rPr>
        <w:t>On March 10, 2011, GAB appointed Mr. Shiraz</w:t>
      </w:r>
      <w:r w:rsidR="00F626DA" w:rsidRPr="006C1A49">
        <w:rPr>
          <w:szCs w:val="22"/>
        </w:rPr>
        <w:t xml:space="preserve">i </w:t>
      </w:r>
      <w:r w:rsidR="00377E30" w:rsidRPr="006C1A49">
        <w:rPr>
          <w:szCs w:val="22"/>
        </w:rPr>
        <w:t xml:space="preserve">to its </w:t>
      </w:r>
      <w:r w:rsidR="00A5153A" w:rsidRPr="006C1A49">
        <w:rPr>
          <w:szCs w:val="22"/>
        </w:rPr>
        <w:t>B</w:t>
      </w:r>
      <w:r w:rsidR="00377E30" w:rsidRPr="006C1A49">
        <w:rPr>
          <w:szCs w:val="22"/>
        </w:rPr>
        <w:t xml:space="preserve">oard of </w:t>
      </w:r>
      <w:r w:rsidR="00A5153A" w:rsidRPr="006C1A49">
        <w:rPr>
          <w:szCs w:val="22"/>
        </w:rPr>
        <w:t>D</w:t>
      </w:r>
      <w:r w:rsidR="00377E30" w:rsidRPr="006C1A49">
        <w:rPr>
          <w:szCs w:val="22"/>
        </w:rPr>
        <w:t xml:space="preserve">irectors and </w:t>
      </w:r>
      <w:r w:rsidR="008723EE" w:rsidRPr="006C1A49">
        <w:rPr>
          <w:szCs w:val="22"/>
        </w:rPr>
        <w:t xml:space="preserve">named </w:t>
      </w:r>
      <w:r w:rsidR="00377E30" w:rsidRPr="006C1A49">
        <w:rPr>
          <w:szCs w:val="22"/>
        </w:rPr>
        <w:t xml:space="preserve">him </w:t>
      </w:r>
      <w:r w:rsidR="00A5153A" w:rsidRPr="006C1A49">
        <w:rPr>
          <w:szCs w:val="22"/>
        </w:rPr>
        <w:t>the Company’s C</w:t>
      </w:r>
      <w:r w:rsidR="00377E30" w:rsidRPr="006C1A49">
        <w:rPr>
          <w:szCs w:val="22"/>
        </w:rPr>
        <w:t xml:space="preserve">hief </w:t>
      </w:r>
      <w:r w:rsidR="00A5153A" w:rsidRPr="006C1A49">
        <w:rPr>
          <w:szCs w:val="22"/>
        </w:rPr>
        <w:t>F</w:t>
      </w:r>
      <w:r w:rsidR="00377E30" w:rsidRPr="006C1A49">
        <w:rPr>
          <w:szCs w:val="22"/>
        </w:rPr>
        <w:t xml:space="preserve">inancial </w:t>
      </w:r>
      <w:r w:rsidR="00A5153A" w:rsidRPr="006C1A49">
        <w:rPr>
          <w:szCs w:val="22"/>
        </w:rPr>
        <w:t>O</w:t>
      </w:r>
      <w:r w:rsidR="00377E30" w:rsidRPr="006C1A49">
        <w:rPr>
          <w:szCs w:val="22"/>
        </w:rPr>
        <w:t>fficer.</w:t>
      </w:r>
      <w:r w:rsidR="00377E30" w:rsidRPr="006C1A49">
        <w:rPr>
          <w:rStyle w:val="FootnoteReference"/>
          <w:szCs w:val="22"/>
        </w:rPr>
        <w:footnoteReference w:id="26"/>
      </w:r>
      <w:r w:rsidR="00377E30" w:rsidRPr="006C1A49">
        <w:rPr>
          <w:szCs w:val="22"/>
        </w:rPr>
        <w:t xml:space="preserve"> </w:t>
      </w:r>
      <w:r w:rsidR="0082456D" w:rsidRPr="006C1A49">
        <w:rPr>
          <w:szCs w:val="22"/>
        </w:rPr>
        <w:t xml:space="preserve"> </w:t>
      </w:r>
      <w:r w:rsidR="00E748D5">
        <w:rPr>
          <w:szCs w:val="22"/>
        </w:rPr>
        <w:t>Each of these actions constituted an Eligibility Event</w:t>
      </w:r>
      <w:r w:rsidR="00ED0157">
        <w:rPr>
          <w:szCs w:val="22"/>
        </w:rPr>
        <w:t>.</w:t>
      </w:r>
      <w:r w:rsidR="00ED0157">
        <w:rPr>
          <w:rStyle w:val="FootnoteReference"/>
          <w:szCs w:val="22"/>
        </w:rPr>
        <w:footnoteReference w:id="27"/>
      </w:r>
      <w:r w:rsidR="00ED0157">
        <w:rPr>
          <w:szCs w:val="22"/>
        </w:rPr>
        <w:t xml:space="preserve">  </w:t>
      </w:r>
      <w:r w:rsidR="004E35F4">
        <w:rPr>
          <w:szCs w:val="22"/>
        </w:rPr>
        <w:t>U</w:t>
      </w:r>
      <w:r w:rsidR="00715271">
        <w:rPr>
          <w:szCs w:val="22"/>
        </w:rPr>
        <w:t>nder the Rules</w:t>
      </w:r>
      <w:r w:rsidR="0082456D">
        <w:rPr>
          <w:szCs w:val="22"/>
        </w:rPr>
        <w:t>,</w:t>
      </w:r>
      <w:r w:rsidR="004E35F4">
        <w:rPr>
          <w:szCs w:val="22"/>
        </w:rPr>
        <w:t xml:space="preserve"> GAB </w:t>
      </w:r>
      <w:r w:rsidR="00ED0157">
        <w:rPr>
          <w:szCs w:val="22"/>
        </w:rPr>
        <w:t xml:space="preserve">therefore </w:t>
      </w:r>
      <w:r w:rsidR="004E35F4">
        <w:rPr>
          <w:szCs w:val="22"/>
        </w:rPr>
        <w:t xml:space="preserve">was required to obtain </w:t>
      </w:r>
      <w:r w:rsidR="00DE0E48">
        <w:rPr>
          <w:szCs w:val="22"/>
        </w:rPr>
        <w:t xml:space="preserve">Commission </w:t>
      </w:r>
      <w:r w:rsidR="004E35F4">
        <w:rPr>
          <w:szCs w:val="22"/>
        </w:rPr>
        <w:t xml:space="preserve">approval before </w:t>
      </w:r>
      <w:r w:rsidR="00ED0157">
        <w:rPr>
          <w:szCs w:val="22"/>
        </w:rPr>
        <w:t xml:space="preserve">making the </w:t>
      </w:r>
      <w:r w:rsidR="0082456D">
        <w:rPr>
          <w:szCs w:val="22"/>
        </w:rPr>
        <w:t>appoint</w:t>
      </w:r>
      <w:r w:rsidR="00ED0157">
        <w:rPr>
          <w:szCs w:val="22"/>
        </w:rPr>
        <w:t>ments.</w:t>
      </w:r>
      <w:r w:rsidR="00527598">
        <w:rPr>
          <w:rStyle w:val="FootnoteReference"/>
          <w:szCs w:val="22"/>
        </w:rPr>
        <w:footnoteReference w:id="28"/>
      </w:r>
      <w:r w:rsidR="0082456D">
        <w:rPr>
          <w:szCs w:val="22"/>
        </w:rPr>
        <w:t xml:space="preserve"> </w:t>
      </w:r>
      <w:r w:rsidR="0082193D">
        <w:rPr>
          <w:szCs w:val="22"/>
        </w:rPr>
        <w:t xml:space="preserve"> </w:t>
      </w:r>
      <w:r w:rsidR="00983227">
        <w:rPr>
          <w:szCs w:val="22"/>
        </w:rPr>
        <w:t>In addition, because the appointments deprived GAB of its Designated Entity status within two years of its having been granted its licenses,</w:t>
      </w:r>
      <w:r w:rsidR="00983227" w:rsidDel="00ED0157">
        <w:rPr>
          <w:szCs w:val="22"/>
        </w:rPr>
        <w:t xml:space="preserve"> </w:t>
      </w:r>
      <w:r w:rsidR="00983227">
        <w:rPr>
          <w:szCs w:val="22"/>
        </w:rPr>
        <w:t xml:space="preserve">the Rules </w:t>
      </w:r>
      <w:r w:rsidR="00983227" w:rsidRPr="00270042">
        <w:rPr>
          <w:szCs w:val="22"/>
        </w:rPr>
        <w:t xml:space="preserve">required that </w:t>
      </w:r>
      <w:r w:rsidR="0094659C" w:rsidRPr="00270042">
        <w:rPr>
          <w:szCs w:val="22"/>
        </w:rPr>
        <w:t xml:space="preserve">GAB </w:t>
      </w:r>
      <w:r w:rsidR="0082456D" w:rsidRPr="00270042">
        <w:rPr>
          <w:szCs w:val="22"/>
        </w:rPr>
        <w:t xml:space="preserve">repay its entire bidding credit </w:t>
      </w:r>
      <w:r w:rsidR="00983227" w:rsidRPr="00270042">
        <w:rPr>
          <w:szCs w:val="22"/>
        </w:rPr>
        <w:t xml:space="preserve">plus </w:t>
      </w:r>
      <w:r w:rsidR="0082456D" w:rsidRPr="00270042">
        <w:rPr>
          <w:szCs w:val="22"/>
        </w:rPr>
        <w:t>int</w:t>
      </w:r>
      <w:r w:rsidR="0082456D" w:rsidRPr="00103193">
        <w:rPr>
          <w:szCs w:val="22"/>
        </w:rPr>
        <w:t>erest.</w:t>
      </w:r>
      <w:r w:rsidR="0094659C" w:rsidRPr="00270042">
        <w:rPr>
          <w:rStyle w:val="FootnoteReference"/>
          <w:szCs w:val="22"/>
        </w:rPr>
        <w:footnoteReference w:id="29"/>
      </w:r>
      <w:r w:rsidR="0082456D" w:rsidRPr="00270042">
        <w:rPr>
          <w:szCs w:val="22"/>
        </w:rPr>
        <w:t xml:space="preserve"> </w:t>
      </w:r>
      <w:r w:rsidR="00F54D68" w:rsidRPr="00270042">
        <w:rPr>
          <w:szCs w:val="22"/>
        </w:rPr>
        <w:t xml:space="preserve"> </w:t>
      </w:r>
      <w:r w:rsidR="003869A0">
        <w:rPr>
          <w:szCs w:val="22"/>
        </w:rPr>
        <w:t>GAB failed to take either of these required actions.</w:t>
      </w:r>
    </w:p>
    <w:p w:rsidR="002462E8" w:rsidRPr="00270042" w:rsidRDefault="00377E30" w:rsidP="008D521E">
      <w:pPr>
        <w:pStyle w:val="par1"/>
        <w:spacing w:after="120"/>
        <w:rPr>
          <w:szCs w:val="22"/>
        </w:rPr>
      </w:pPr>
      <w:r w:rsidRPr="00270042">
        <w:rPr>
          <w:szCs w:val="22"/>
        </w:rPr>
        <w:t>O</w:t>
      </w:r>
      <w:r w:rsidRPr="00103193">
        <w:rPr>
          <w:szCs w:val="22"/>
        </w:rPr>
        <w:t xml:space="preserve">n March 31, 2011, </w:t>
      </w:r>
      <w:r w:rsidR="00996B2D">
        <w:rPr>
          <w:szCs w:val="22"/>
        </w:rPr>
        <w:t xml:space="preserve">Pearl </w:t>
      </w:r>
      <w:r w:rsidRPr="00103193">
        <w:rPr>
          <w:szCs w:val="22"/>
        </w:rPr>
        <w:t>bec</w:t>
      </w:r>
      <w:r w:rsidR="000A5C9C" w:rsidRPr="00103193">
        <w:rPr>
          <w:szCs w:val="22"/>
        </w:rPr>
        <w:t>ame a 39.3 percent equity stake</w:t>
      </w:r>
      <w:r w:rsidRPr="00103193">
        <w:rPr>
          <w:szCs w:val="22"/>
        </w:rPr>
        <w:t xml:space="preserve">holder in GAB </w:t>
      </w:r>
      <w:r w:rsidR="008723EE" w:rsidRPr="00103193">
        <w:rPr>
          <w:szCs w:val="22"/>
        </w:rPr>
        <w:t>by operation</w:t>
      </w:r>
      <w:r w:rsidRPr="00103193">
        <w:rPr>
          <w:szCs w:val="22"/>
        </w:rPr>
        <w:t xml:space="preserve"> of the terms of GAB</w:t>
      </w:r>
      <w:r w:rsidR="00983227" w:rsidRPr="00103193">
        <w:rPr>
          <w:szCs w:val="22"/>
        </w:rPr>
        <w:t>’s</w:t>
      </w:r>
      <w:r w:rsidR="00983227" w:rsidRPr="00270042">
        <w:rPr>
          <w:szCs w:val="22"/>
        </w:rPr>
        <w:t xml:space="preserve"> Promissory Note </w:t>
      </w:r>
      <w:r w:rsidRPr="00270042">
        <w:rPr>
          <w:szCs w:val="22"/>
        </w:rPr>
        <w:t>with Pearl</w:t>
      </w:r>
      <w:r w:rsidR="00983227" w:rsidRPr="00270042">
        <w:rPr>
          <w:szCs w:val="22"/>
        </w:rPr>
        <w:t>.</w:t>
      </w:r>
      <w:r w:rsidRPr="00270042">
        <w:rPr>
          <w:rStyle w:val="FootnoteReference"/>
          <w:szCs w:val="22"/>
        </w:rPr>
        <w:footnoteReference w:id="30"/>
      </w:r>
      <w:r w:rsidR="00374ECC" w:rsidRPr="00270042">
        <w:rPr>
          <w:szCs w:val="22"/>
        </w:rPr>
        <w:t xml:space="preserve">  </w:t>
      </w:r>
      <w:r w:rsidR="00983227" w:rsidRPr="00270042">
        <w:rPr>
          <w:szCs w:val="22"/>
        </w:rPr>
        <w:t xml:space="preserve">This diluted </w:t>
      </w:r>
      <w:r w:rsidR="001B3FC8" w:rsidRPr="00270042">
        <w:rPr>
          <w:szCs w:val="22"/>
        </w:rPr>
        <w:t xml:space="preserve">the </w:t>
      </w:r>
      <w:r w:rsidR="00983227" w:rsidRPr="00270042">
        <w:rPr>
          <w:szCs w:val="22"/>
        </w:rPr>
        <w:t xml:space="preserve">equity </w:t>
      </w:r>
      <w:r w:rsidR="001B3FC8" w:rsidRPr="00270042">
        <w:rPr>
          <w:szCs w:val="22"/>
        </w:rPr>
        <w:t xml:space="preserve">interest of Robert L. Schmidt, </w:t>
      </w:r>
      <w:r w:rsidR="00F5757E" w:rsidRPr="00270042">
        <w:rPr>
          <w:szCs w:val="22"/>
        </w:rPr>
        <w:t xml:space="preserve">GAB’s </w:t>
      </w:r>
      <w:r w:rsidR="00983227" w:rsidRPr="00270042">
        <w:rPr>
          <w:szCs w:val="22"/>
        </w:rPr>
        <w:t>C</w:t>
      </w:r>
      <w:r w:rsidR="001B3FC8" w:rsidRPr="00270042">
        <w:rPr>
          <w:szCs w:val="22"/>
        </w:rPr>
        <w:t xml:space="preserve">hairman and </w:t>
      </w:r>
      <w:r w:rsidR="00983227" w:rsidRPr="00270042">
        <w:rPr>
          <w:szCs w:val="22"/>
        </w:rPr>
        <w:t>C</w:t>
      </w:r>
      <w:r w:rsidR="001B3FC8" w:rsidRPr="00270042">
        <w:rPr>
          <w:szCs w:val="22"/>
        </w:rPr>
        <w:t xml:space="preserve">hief </w:t>
      </w:r>
      <w:r w:rsidR="00983227" w:rsidRPr="00270042">
        <w:rPr>
          <w:szCs w:val="22"/>
        </w:rPr>
        <w:t>E</w:t>
      </w:r>
      <w:r w:rsidR="001B3FC8" w:rsidRPr="00270042">
        <w:rPr>
          <w:szCs w:val="22"/>
        </w:rPr>
        <w:t xml:space="preserve">xecutive </w:t>
      </w:r>
      <w:r w:rsidR="00F5757E" w:rsidRPr="00270042">
        <w:rPr>
          <w:szCs w:val="22"/>
        </w:rPr>
        <w:t>O</w:t>
      </w:r>
      <w:r w:rsidR="001B3FC8" w:rsidRPr="00270042">
        <w:rPr>
          <w:szCs w:val="22"/>
        </w:rPr>
        <w:t>fficer, from 85 percent to 43.02 percent.</w:t>
      </w:r>
      <w:r w:rsidR="001B3FC8" w:rsidRPr="00270042">
        <w:rPr>
          <w:rStyle w:val="FootnoteReference"/>
          <w:szCs w:val="22"/>
        </w:rPr>
        <w:footnoteReference w:id="31"/>
      </w:r>
      <w:r w:rsidR="001B3FC8" w:rsidRPr="00270042">
        <w:rPr>
          <w:szCs w:val="22"/>
        </w:rPr>
        <w:t xml:space="preserve">  </w:t>
      </w:r>
      <w:r w:rsidR="00143C01" w:rsidRPr="00270042">
        <w:rPr>
          <w:szCs w:val="22"/>
        </w:rPr>
        <w:t xml:space="preserve">Under Section </w:t>
      </w:r>
      <w:r w:rsidR="008570C1" w:rsidRPr="00270042">
        <w:rPr>
          <w:szCs w:val="22"/>
        </w:rPr>
        <w:t>1.948(c)(1) of the Rules</w:t>
      </w:r>
      <w:r w:rsidR="00F5757E" w:rsidRPr="00270042">
        <w:rPr>
          <w:szCs w:val="22"/>
        </w:rPr>
        <w:t>,</w:t>
      </w:r>
      <w:r w:rsidR="008570C1" w:rsidRPr="00270042">
        <w:rPr>
          <w:szCs w:val="22"/>
        </w:rPr>
        <w:t xml:space="preserve"> the dilution of Mr. Schmidt’s interest constituted</w:t>
      </w:r>
      <w:r w:rsidR="00B67F8C" w:rsidRPr="00270042">
        <w:rPr>
          <w:szCs w:val="22"/>
        </w:rPr>
        <w:t xml:space="preserve"> a </w:t>
      </w:r>
      <w:r w:rsidR="00B67F8C" w:rsidRPr="00270042">
        <w:rPr>
          <w:i/>
          <w:szCs w:val="22"/>
        </w:rPr>
        <w:t>pro forma</w:t>
      </w:r>
      <w:r w:rsidR="00B67F8C" w:rsidRPr="00270042">
        <w:rPr>
          <w:szCs w:val="22"/>
        </w:rPr>
        <w:t xml:space="preserve"> trans</w:t>
      </w:r>
      <w:r w:rsidR="008570C1" w:rsidRPr="00270042">
        <w:rPr>
          <w:szCs w:val="22"/>
        </w:rPr>
        <w:t xml:space="preserve">fer </w:t>
      </w:r>
      <w:r w:rsidR="00B67F8C" w:rsidRPr="00270042">
        <w:rPr>
          <w:szCs w:val="22"/>
        </w:rPr>
        <w:t>of control</w:t>
      </w:r>
      <w:r w:rsidR="00F5757E" w:rsidRPr="00270042">
        <w:rPr>
          <w:szCs w:val="22"/>
        </w:rPr>
        <w:t>.</w:t>
      </w:r>
      <w:r w:rsidR="00F5757E" w:rsidRPr="00270042">
        <w:rPr>
          <w:rStyle w:val="FootnoteReference"/>
          <w:szCs w:val="22"/>
        </w:rPr>
        <w:footnoteReference w:id="32"/>
      </w:r>
      <w:r w:rsidR="00F5757E" w:rsidRPr="00270042">
        <w:rPr>
          <w:szCs w:val="22"/>
        </w:rPr>
        <w:t xml:space="preserve">  This </w:t>
      </w:r>
      <w:r w:rsidR="00F5757E" w:rsidRPr="00270042">
        <w:rPr>
          <w:i/>
          <w:szCs w:val="22"/>
        </w:rPr>
        <w:t xml:space="preserve">pro forma </w:t>
      </w:r>
      <w:r w:rsidR="00F5757E" w:rsidRPr="00270042">
        <w:rPr>
          <w:szCs w:val="22"/>
        </w:rPr>
        <w:t xml:space="preserve">transfer </w:t>
      </w:r>
      <w:r w:rsidR="008570C1" w:rsidRPr="00270042">
        <w:rPr>
          <w:szCs w:val="22"/>
        </w:rPr>
        <w:t xml:space="preserve">required </w:t>
      </w:r>
      <w:r w:rsidR="00F5757E" w:rsidRPr="00270042">
        <w:rPr>
          <w:szCs w:val="22"/>
        </w:rPr>
        <w:t xml:space="preserve">prior Commission </w:t>
      </w:r>
      <w:r w:rsidR="008570C1" w:rsidRPr="00270042">
        <w:rPr>
          <w:szCs w:val="22"/>
        </w:rPr>
        <w:t xml:space="preserve">approval because GAB was </w:t>
      </w:r>
      <w:r w:rsidR="00B67F8C" w:rsidRPr="00270042">
        <w:rPr>
          <w:szCs w:val="22"/>
        </w:rPr>
        <w:t>subject to the Unjust Enrichment provisions of the Rules.</w:t>
      </w:r>
      <w:r w:rsidR="00B67F8C" w:rsidRPr="00270042">
        <w:rPr>
          <w:rStyle w:val="FootnoteReference"/>
          <w:szCs w:val="22"/>
        </w:rPr>
        <w:footnoteReference w:id="33"/>
      </w:r>
      <w:r w:rsidR="00B67F8C" w:rsidRPr="00270042">
        <w:rPr>
          <w:szCs w:val="22"/>
        </w:rPr>
        <w:t xml:space="preserve">  B</w:t>
      </w:r>
      <w:r w:rsidR="001A7571" w:rsidRPr="00270042">
        <w:rPr>
          <w:szCs w:val="22"/>
        </w:rPr>
        <w:t xml:space="preserve">ecause </w:t>
      </w:r>
      <w:r w:rsidR="00B67F8C" w:rsidRPr="00270042">
        <w:rPr>
          <w:szCs w:val="22"/>
        </w:rPr>
        <w:t xml:space="preserve">Mr. Shirazi </w:t>
      </w:r>
      <w:r w:rsidR="001A7571" w:rsidRPr="00270042">
        <w:rPr>
          <w:szCs w:val="22"/>
        </w:rPr>
        <w:t xml:space="preserve">was </w:t>
      </w:r>
      <w:r w:rsidR="00B67F8C" w:rsidRPr="00270042">
        <w:rPr>
          <w:szCs w:val="22"/>
        </w:rPr>
        <w:t>a citizen of Pakistan</w:t>
      </w:r>
      <w:r w:rsidR="001A7571" w:rsidRPr="00270042">
        <w:rPr>
          <w:szCs w:val="22"/>
        </w:rPr>
        <w:t xml:space="preserve">, </w:t>
      </w:r>
      <w:r w:rsidR="00234707">
        <w:rPr>
          <w:szCs w:val="22"/>
        </w:rPr>
        <w:t xml:space="preserve">Pearl’s </w:t>
      </w:r>
      <w:r w:rsidR="00B67F8C" w:rsidRPr="00270042">
        <w:rPr>
          <w:szCs w:val="22"/>
        </w:rPr>
        <w:t xml:space="preserve">holding </w:t>
      </w:r>
      <w:r w:rsidR="00234707">
        <w:rPr>
          <w:szCs w:val="22"/>
        </w:rPr>
        <w:t xml:space="preserve">of </w:t>
      </w:r>
      <w:r w:rsidR="00B67F8C" w:rsidRPr="00270042">
        <w:rPr>
          <w:szCs w:val="22"/>
        </w:rPr>
        <w:t>a greater than 20 percent interest in GAB</w:t>
      </w:r>
      <w:r w:rsidR="001A7571" w:rsidRPr="00270042">
        <w:rPr>
          <w:szCs w:val="22"/>
        </w:rPr>
        <w:t xml:space="preserve"> </w:t>
      </w:r>
      <w:r w:rsidR="00B67F8C" w:rsidRPr="00270042">
        <w:rPr>
          <w:szCs w:val="22"/>
        </w:rPr>
        <w:t>violat</w:t>
      </w:r>
      <w:r w:rsidR="001A7571" w:rsidRPr="00270042">
        <w:rPr>
          <w:szCs w:val="22"/>
        </w:rPr>
        <w:t xml:space="preserve">ed </w:t>
      </w:r>
      <w:r w:rsidR="00B67F8C" w:rsidRPr="00270042">
        <w:rPr>
          <w:szCs w:val="22"/>
        </w:rPr>
        <w:t>Section 310(b)(3) of the Act.</w:t>
      </w:r>
      <w:r w:rsidR="00B67F8C" w:rsidRPr="00270042">
        <w:rPr>
          <w:rStyle w:val="FootnoteReference"/>
          <w:szCs w:val="22"/>
        </w:rPr>
        <w:footnoteReference w:id="34"/>
      </w:r>
      <w:r w:rsidR="00B67F8C" w:rsidRPr="00270042">
        <w:rPr>
          <w:szCs w:val="22"/>
        </w:rPr>
        <w:t xml:space="preserve">  </w:t>
      </w:r>
      <w:r w:rsidR="003F4EF8" w:rsidRPr="00270042">
        <w:rPr>
          <w:szCs w:val="22"/>
        </w:rPr>
        <w:t xml:space="preserve">GAB </w:t>
      </w:r>
      <w:r w:rsidR="00AB09F2">
        <w:rPr>
          <w:szCs w:val="22"/>
        </w:rPr>
        <w:t xml:space="preserve">should </w:t>
      </w:r>
      <w:r w:rsidR="003F4EF8" w:rsidRPr="00270042">
        <w:rPr>
          <w:szCs w:val="22"/>
        </w:rPr>
        <w:t xml:space="preserve">have </w:t>
      </w:r>
      <w:r w:rsidR="00093DA1">
        <w:rPr>
          <w:szCs w:val="22"/>
        </w:rPr>
        <w:t xml:space="preserve">taken corrective action, </w:t>
      </w:r>
      <w:r w:rsidR="00F9482D">
        <w:rPr>
          <w:szCs w:val="22"/>
        </w:rPr>
        <w:t>yet failed to do so</w:t>
      </w:r>
      <w:r w:rsidR="00093DA1">
        <w:rPr>
          <w:szCs w:val="22"/>
        </w:rPr>
        <w:t xml:space="preserve"> until November 26, 2013</w:t>
      </w:r>
      <w:r w:rsidR="003F4EF8" w:rsidRPr="00270042">
        <w:rPr>
          <w:szCs w:val="22"/>
        </w:rPr>
        <w:t>.</w:t>
      </w:r>
      <w:r w:rsidR="005D676B" w:rsidRPr="00270042">
        <w:rPr>
          <w:rStyle w:val="FootnoteReference"/>
          <w:szCs w:val="22"/>
        </w:rPr>
        <w:footnoteReference w:id="35"/>
      </w:r>
      <w:r w:rsidR="005D676B" w:rsidRPr="00270042">
        <w:rPr>
          <w:szCs w:val="22"/>
        </w:rPr>
        <w:t xml:space="preserve">  </w:t>
      </w:r>
    </w:p>
    <w:p w:rsidR="003E798A" w:rsidRPr="007F7219" w:rsidRDefault="00103193" w:rsidP="00270042">
      <w:pPr>
        <w:pStyle w:val="par1"/>
        <w:spacing w:after="120"/>
        <w:rPr>
          <w:szCs w:val="22"/>
        </w:rPr>
      </w:pPr>
      <w:r w:rsidRPr="007F7219">
        <w:rPr>
          <w:szCs w:val="22"/>
        </w:rPr>
        <w:t xml:space="preserve">On October 19, 2012, GAB assigned </w:t>
      </w:r>
      <w:r w:rsidR="00706138" w:rsidRPr="007F7219">
        <w:rPr>
          <w:szCs w:val="22"/>
        </w:rPr>
        <w:t xml:space="preserve">one of the 700 MHz licenses that </w:t>
      </w:r>
      <w:r w:rsidRPr="007F7219">
        <w:rPr>
          <w:szCs w:val="22"/>
        </w:rPr>
        <w:t xml:space="preserve">GAB </w:t>
      </w:r>
      <w:r w:rsidR="000C7946" w:rsidRPr="007F7219">
        <w:rPr>
          <w:szCs w:val="22"/>
        </w:rPr>
        <w:t xml:space="preserve">had </w:t>
      </w:r>
      <w:r w:rsidR="00706138" w:rsidRPr="007F7219">
        <w:rPr>
          <w:szCs w:val="22"/>
        </w:rPr>
        <w:t xml:space="preserve">acquired through Auction 73 </w:t>
      </w:r>
      <w:r w:rsidR="003D6C8C" w:rsidRPr="007F7219">
        <w:rPr>
          <w:szCs w:val="22"/>
        </w:rPr>
        <w:t>to</w:t>
      </w:r>
      <w:r w:rsidR="00361FB3" w:rsidRPr="007F7219">
        <w:rPr>
          <w:szCs w:val="22"/>
        </w:rPr>
        <w:t xml:space="preserve"> AT&amp;T</w:t>
      </w:r>
      <w:r w:rsidRPr="007F7219">
        <w:rPr>
          <w:szCs w:val="22"/>
        </w:rPr>
        <w:t>.</w:t>
      </w:r>
      <w:r w:rsidR="007F7219">
        <w:rPr>
          <w:rStyle w:val="FootnoteReference"/>
          <w:szCs w:val="22"/>
        </w:rPr>
        <w:footnoteReference w:id="36"/>
      </w:r>
      <w:r w:rsidR="007F7219" w:rsidRPr="007F7219">
        <w:rPr>
          <w:szCs w:val="22"/>
        </w:rPr>
        <w:t xml:space="preserve">  </w:t>
      </w:r>
      <w:r w:rsidR="00706138" w:rsidRPr="007F7219">
        <w:rPr>
          <w:szCs w:val="22"/>
        </w:rPr>
        <w:t xml:space="preserve">On April 24, 2013, GAB filed </w:t>
      </w:r>
      <w:r w:rsidR="004D401D" w:rsidRPr="007F7219">
        <w:rPr>
          <w:szCs w:val="22"/>
        </w:rPr>
        <w:t xml:space="preserve">its 2013 Assignment Application, which sought Commission approval for GAB to assign </w:t>
      </w:r>
      <w:r w:rsidR="00361FB3" w:rsidRPr="007F7219">
        <w:rPr>
          <w:szCs w:val="22"/>
        </w:rPr>
        <w:t xml:space="preserve">to AT&amp;T </w:t>
      </w:r>
      <w:r w:rsidR="00706138" w:rsidRPr="007F7219">
        <w:rPr>
          <w:szCs w:val="22"/>
        </w:rPr>
        <w:t>the three remaining 700 MHz licens</w:t>
      </w:r>
      <w:r w:rsidR="00DC6831" w:rsidRPr="007F7219">
        <w:rPr>
          <w:szCs w:val="22"/>
        </w:rPr>
        <w:t xml:space="preserve">es that it </w:t>
      </w:r>
      <w:r w:rsidR="004D401D" w:rsidRPr="007F7219">
        <w:rPr>
          <w:szCs w:val="22"/>
        </w:rPr>
        <w:t>had</w:t>
      </w:r>
      <w:r w:rsidR="000C7946" w:rsidRPr="007F7219">
        <w:rPr>
          <w:szCs w:val="22"/>
        </w:rPr>
        <w:t xml:space="preserve"> acquired through Auction 73</w:t>
      </w:r>
      <w:r w:rsidR="00DC6831" w:rsidRPr="007F7219">
        <w:rPr>
          <w:szCs w:val="22"/>
        </w:rPr>
        <w:t>.</w:t>
      </w:r>
      <w:r w:rsidR="0003419A">
        <w:rPr>
          <w:rStyle w:val="FootnoteReference"/>
          <w:szCs w:val="22"/>
        </w:rPr>
        <w:footnoteReference w:id="37"/>
      </w:r>
      <w:r w:rsidR="00DC6831" w:rsidRPr="007F7219">
        <w:rPr>
          <w:szCs w:val="22"/>
        </w:rPr>
        <w:t xml:space="preserve">  On July 12, 2013, </w:t>
      </w:r>
      <w:r w:rsidR="00470F16" w:rsidRPr="007F7219">
        <w:rPr>
          <w:szCs w:val="22"/>
        </w:rPr>
        <w:t xml:space="preserve">WTB </w:t>
      </w:r>
      <w:r w:rsidR="00706138" w:rsidRPr="007F7219">
        <w:rPr>
          <w:szCs w:val="22"/>
        </w:rPr>
        <w:t>consented to the assignment of these licenses</w:t>
      </w:r>
      <w:r w:rsidR="00CE31C6" w:rsidRPr="007F7219">
        <w:rPr>
          <w:szCs w:val="22"/>
        </w:rPr>
        <w:t>.</w:t>
      </w:r>
      <w:r w:rsidR="00283873" w:rsidRPr="00270042">
        <w:rPr>
          <w:rStyle w:val="FootnoteReference"/>
          <w:szCs w:val="22"/>
        </w:rPr>
        <w:footnoteReference w:id="38"/>
      </w:r>
    </w:p>
    <w:p w:rsidR="003D347B" w:rsidRPr="003D347B" w:rsidRDefault="00361FB3" w:rsidP="003D347B">
      <w:pPr>
        <w:pStyle w:val="par1"/>
        <w:tabs>
          <w:tab w:val="clear" w:pos="1620"/>
          <w:tab w:val="num" w:pos="1080"/>
        </w:tabs>
        <w:spacing w:after="120"/>
        <w:rPr>
          <w:szCs w:val="22"/>
        </w:rPr>
      </w:pPr>
      <w:r>
        <w:rPr>
          <w:szCs w:val="22"/>
        </w:rPr>
        <w:t xml:space="preserve">GAB states that </w:t>
      </w:r>
      <w:r w:rsidR="007D2A6D">
        <w:rPr>
          <w:szCs w:val="22"/>
        </w:rPr>
        <w:t xml:space="preserve">it </w:t>
      </w:r>
      <w:r w:rsidR="002462E8">
        <w:rPr>
          <w:szCs w:val="22"/>
        </w:rPr>
        <w:t xml:space="preserve">did not become </w:t>
      </w:r>
      <w:r w:rsidR="007D2A6D">
        <w:rPr>
          <w:szCs w:val="22"/>
        </w:rPr>
        <w:t xml:space="preserve">aware </w:t>
      </w:r>
      <w:r w:rsidR="004E5BCA">
        <w:rPr>
          <w:szCs w:val="22"/>
        </w:rPr>
        <w:t>of</w:t>
      </w:r>
      <w:r w:rsidR="007D2A6D">
        <w:rPr>
          <w:szCs w:val="22"/>
        </w:rPr>
        <w:t xml:space="preserve"> its violations</w:t>
      </w:r>
      <w:r w:rsidR="00090833">
        <w:rPr>
          <w:szCs w:val="22"/>
        </w:rPr>
        <w:t xml:space="preserve"> </w:t>
      </w:r>
      <w:r w:rsidR="007D2A6D">
        <w:rPr>
          <w:szCs w:val="22"/>
        </w:rPr>
        <w:t>of the Act or Rules until August 22</w:t>
      </w:r>
      <w:r w:rsidR="004043CF">
        <w:rPr>
          <w:szCs w:val="22"/>
        </w:rPr>
        <w:t>, 2013</w:t>
      </w:r>
      <w:r w:rsidR="007D2A6D">
        <w:rPr>
          <w:szCs w:val="22"/>
        </w:rPr>
        <w:t xml:space="preserve">, when GAB’s counsel </w:t>
      </w:r>
      <w:r w:rsidR="002462E8">
        <w:rPr>
          <w:szCs w:val="22"/>
        </w:rPr>
        <w:t xml:space="preserve">discovered them while </w:t>
      </w:r>
      <w:r w:rsidR="007D2A6D">
        <w:rPr>
          <w:szCs w:val="22"/>
        </w:rPr>
        <w:t xml:space="preserve">reviewing </w:t>
      </w:r>
      <w:r w:rsidR="004E5BCA">
        <w:rPr>
          <w:szCs w:val="22"/>
        </w:rPr>
        <w:t>files</w:t>
      </w:r>
      <w:r w:rsidR="007D2A6D">
        <w:rPr>
          <w:szCs w:val="22"/>
        </w:rPr>
        <w:t xml:space="preserve"> in connection with the sale of </w:t>
      </w:r>
      <w:r w:rsidR="002462E8">
        <w:rPr>
          <w:szCs w:val="22"/>
        </w:rPr>
        <w:t xml:space="preserve">three </w:t>
      </w:r>
      <w:r w:rsidR="007D2A6D">
        <w:rPr>
          <w:szCs w:val="22"/>
        </w:rPr>
        <w:t>700</w:t>
      </w:r>
      <w:r w:rsidR="000A5C9C">
        <w:rPr>
          <w:szCs w:val="22"/>
        </w:rPr>
        <w:t xml:space="preserve"> </w:t>
      </w:r>
      <w:r w:rsidR="007D2A6D">
        <w:rPr>
          <w:szCs w:val="22"/>
        </w:rPr>
        <w:t>MHz licenses</w:t>
      </w:r>
      <w:r w:rsidR="002462E8">
        <w:rPr>
          <w:szCs w:val="22"/>
        </w:rPr>
        <w:t xml:space="preserve"> proposed in its 2013 Assignment Application.</w:t>
      </w:r>
      <w:r w:rsidR="007D2A6D">
        <w:rPr>
          <w:rStyle w:val="FootnoteReference"/>
          <w:szCs w:val="22"/>
        </w:rPr>
        <w:footnoteReference w:id="39"/>
      </w:r>
      <w:r>
        <w:rPr>
          <w:szCs w:val="22"/>
        </w:rPr>
        <w:t xml:space="preserve"> </w:t>
      </w:r>
      <w:r w:rsidR="007F7219">
        <w:rPr>
          <w:szCs w:val="22"/>
        </w:rPr>
        <w:t xml:space="preserve"> </w:t>
      </w:r>
      <w:r w:rsidR="00B93FC8">
        <w:rPr>
          <w:szCs w:val="22"/>
        </w:rPr>
        <w:t xml:space="preserve">On September 19, 2013, GAB met with </w:t>
      </w:r>
      <w:r w:rsidR="002D7EB9">
        <w:rPr>
          <w:szCs w:val="22"/>
        </w:rPr>
        <w:t>staff of the Commission’s Wireless Telecommunications Bureau to voluntarily disclose the potential violations of which it became aware.</w:t>
      </w:r>
      <w:r w:rsidR="002D7EB9">
        <w:rPr>
          <w:rStyle w:val="FootnoteReference"/>
          <w:szCs w:val="22"/>
        </w:rPr>
        <w:footnoteReference w:id="40"/>
      </w:r>
      <w:r w:rsidR="002D7EB9">
        <w:rPr>
          <w:szCs w:val="22"/>
        </w:rPr>
        <w:t xml:space="preserve">  </w:t>
      </w:r>
      <w:r w:rsidR="007F7219">
        <w:rPr>
          <w:szCs w:val="22"/>
        </w:rPr>
        <w:t xml:space="preserve">On November 26, 2013, </w:t>
      </w:r>
      <w:r w:rsidR="003D347B">
        <w:rPr>
          <w:szCs w:val="22"/>
        </w:rPr>
        <w:t xml:space="preserve">GAB took </w:t>
      </w:r>
      <w:r w:rsidR="0003419A">
        <w:rPr>
          <w:szCs w:val="22"/>
        </w:rPr>
        <w:t>two</w:t>
      </w:r>
      <w:r w:rsidR="007F7219">
        <w:rPr>
          <w:szCs w:val="22"/>
        </w:rPr>
        <w:t xml:space="preserve"> </w:t>
      </w:r>
      <w:r w:rsidR="007C1D8C">
        <w:rPr>
          <w:szCs w:val="22"/>
        </w:rPr>
        <w:t xml:space="preserve">corrective </w:t>
      </w:r>
      <w:r w:rsidR="003D347B">
        <w:rPr>
          <w:szCs w:val="22"/>
        </w:rPr>
        <w:t>actions:</w:t>
      </w:r>
    </w:p>
    <w:p w:rsidR="0056716D" w:rsidRDefault="00090833" w:rsidP="00090833">
      <w:pPr>
        <w:pStyle w:val="par1"/>
        <w:numPr>
          <w:ilvl w:val="0"/>
          <w:numId w:val="19"/>
        </w:numPr>
        <w:spacing w:after="120"/>
        <w:rPr>
          <w:szCs w:val="22"/>
        </w:rPr>
      </w:pPr>
      <w:r>
        <w:rPr>
          <w:szCs w:val="22"/>
        </w:rPr>
        <w:t xml:space="preserve">GAB filed with the Commission’s Wireless Telecommunications Bureau a </w:t>
      </w:r>
      <w:r w:rsidRPr="0079170F">
        <w:rPr>
          <w:i/>
          <w:szCs w:val="22"/>
        </w:rPr>
        <w:t>pro forma</w:t>
      </w:r>
      <w:r>
        <w:rPr>
          <w:szCs w:val="22"/>
        </w:rPr>
        <w:t xml:space="preserve"> transfer of control application in which it disclosed all of its potential violations of the Act and Rules and sought a waiver of all Rules “necessary or appropriate for grant </w:t>
      </w:r>
      <w:r w:rsidR="004E5BCA">
        <w:rPr>
          <w:szCs w:val="22"/>
        </w:rPr>
        <w:t>of this</w:t>
      </w:r>
      <w:r>
        <w:rPr>
          <w:szCs w:val="22"/>
        </w:rPr>
        <w:t xml:space="preserve"> [</w:t>
      </w:r>
      <w:r w:rsidRPr="004958B3">
        <w:rPr>
          <w:i/>
          <w:szCs w:val="22"/>
        </w:rPr>
        <w:t>pro</w:t>
      </w:r>
      <w:r>
        <w:rPr>
          <w:szCs w:val="22"/>
        </w:rPr>
        <w:t xml:space="preserve"> </w:t>
      </w:r>
      <w:r w:rsidRPr="004958B3">
        <w:rPr>
          <w:i/>
          <w:szCs w:val="22"/>
        </w:rPr>
        <w:t>forma</w:t>
      </w:r>
      <w:r>
        <w:rPr>
          <w:szCs w:val="22"/>
        </w:rPr>
        <w:t xml:space="preserve">] application.”  GAB’s </w:t>
      </w:r>
      <w:r w:rsidR="002462E8" w:rsidRPr="004958B3">
        <w:rPr>
          <w:szCs w:val="22"/>
        </w:rPr>
        <w:t>a</w:t>
      </w:r>
      <w:r w:rsidRPr="004958B3">
        <w:rPr>
          <w:szCs w:val="22"/>
        </w:rPr>
        <w:t>pplication</w:t>
      </w:r>
      <w:r>
        <w:rPr>
          <w:szCs w:val="22"/>
        </w:rPr>
        <w:t xml:space="preserve"> </w:t>
      </w:r>
      <w:r w:rsidR="008077D7">
        <w:rPr>
          <w:szCs w:val="22"/>
        </w:rPr>
        <w:t>discussed</w:t>
      </w:r>
      <w:r>
        <w:rPr>
          <w:szCs w:val="22"/>
        </w:rPr>
        <w:t>, among other</w:t>
      </w:r>
      <w:r w:rsidR="007F7219">
        <w:rPr>
          <w:szCs w:val="22"/>
        </w:rPr>
        <w:t xml:space="preserve"> matters</w:t>
      </w:r>
      <w:r>
        <w:rPr>
          <w:szCs w:val="22"/>
        </w:rPr>
        <w:t xml:space="preserve">, </w:t>
      </w:r>
      <w:r w:rsidR="008077D7">
        <w:rPr>
          <w:szCs w:val="22"/>
        </w:rPr>
        <w:t xml:space="preserve">the </w:t>
      </w:r>
      <w:r w:rsidR="00C10D8D">
        <w:rPr>
          <w:szCs w:val="22"/>
        </w:rPr>
        <w:t xml:space="preserve">ownership changes that </w:t>
      </w:r>
      <w:r w:rsidR="007F7219">
        <w:rPr>
          <w:szCs w:val="22"/>
        </w:rPr>
        <w:t xml:space="preserve">had </w:t>
      </w:r>
      <w:r w:rsidR="00C10D8D">
        <w:rPr>
          <w:szCs w:val="22"/>
        </w:rPr>
        <w:t xml:space="preserve">resulted in a </w:t>
      </w:r>
      <w:r w:rsidR="00C10D8D" w:rsidRPr="0079170F">
        <w:rPr>
          <w:i/>
          <w:szCs w:val="22"/>
        </w:rPr>
        <w:t>pro forma</w:t>
      </w:r>
      <w:r w:rsidR="00C10D8D">
        <w:rPr>
          <w:szCs w:val="22"/>
        </w:rPr>
        <w:t xml:space="preserve"> transfer of control </w:t>
      </w:r>
      <w:r w:rsidR="008077D7">
        <w:rPr>
          <w:szCs w:val="22"/>
        </w:rPr>
        <w:t xml:space="preserve">as </w:t>
      </w:r>
      <w:r w:rsidR="00E14500">
        <w:rPr>
          <w:szCs w:val="22"/>
        </w:rPr>
        <w:t>well</w:t>
      </w:r>
      <w:r w:rsidR="008077D7">
        <w:rPr>
          <w:szCs w:val="22"/>
        </w:rPr>
        <w:t xml:space="preserve"> as </w:t>
      </w:r>
      <w:r>
        <w:rPr>
          <w:szCs w:val="22"/>
        </w:rPr>
        <w:t xml:space="preserve">the timing </w:t>
      </w:r>
      <w:r w:rsidR="008077D7">
        <w:rPr>
          <w:szCs w:val="22"/>
        </w:rPr>
        <w:t xml:space="preserve">of the </w:t>
      </w:r>
      <w:r>
        <w:rPr>
          <w:szCs w:val="22"/>
        </w:rPr>
        <w:t xml:space="preserve">events that </w:t>
      </w:r>
      <w:r w:rsidR="007F7219">
        <w:rPr>
          <w:szCs w:val="22"/>
        </w:rPr>
        <w:t xml:space="preserve">had </w:t>
      </w:r>
      <w:r>
        <w:rPr>
          <w:szCs w:val="22"/>
        </w:rPr>
        <w:t xml:space="preserve">precipitated </w:t>
      </w:r>
      <w:r w:rsidR="008077D7">
        <w:rPr>
          <w:szCs w:val="22"/>
        </w:rPr>
        <w:t xml:space="preserve">its </w:t>
      </w:r>
      <w:r>
        <w:rPr>
          <w:szCs w:val="22"/>
        </w:rPr>
        <w:t>loss of Designated Entity status.</w:t>
      </w:r>
      <w:r>
        <w:rPr>
          <w:rStyle w:val="FootnoteReference"/>
          <w:szCs w:val="22"/>
        </w:rPr>
        <w:footnoteReference w:id="41"/>
      </w:r>
      <w:r w:rsidDel="00090833">
        <w:rPr>
          <w:szCs w:val="22"/>
        </w:rPr>
        <w:t xml:space="preserve"> </w:t>
      </w:r>
    </w:p>
    <w:p w:rsidR="007C1D8C" w:rsidRDefault="007C1D8C" w:rsidP="007C1D8C">
      <w:pPr>
        <w:pStyle w:val="par1"/>
        <w:numPr>
          <w:ilvl w:val="0"/>
          <w:numId w:val="19"/>
        </w:numPr>
        <w:spacing w:after="120"/>
        <w:rPr>
          <w:szCs w:val="22"/>
        </w:rPr>
      </w:pPr>
      <w:r w:rsidRPr="00AA7B5A">
        <w:rPr>
          <w:szCs w:val="22"/>
        </w:rPr>
        <w:t xml:space="preserve">GAB also filed a petition seeking a declaratory ruling that the 39.3 percent ownership in GAB </w:t>
      </w:r>
      <w:r>
        <w:rPr>
          <w:szCs w:val="22"/>
        </w:rPr>
        <w:t xml:space="preserve">that </w:t>
      </w:r>
      <w:r w:rsidR="00996B2D">
        <w:rPr>
          <w:szCs w:val="22"/>
        </w:rPr>
        <w:t xml:space="preserve">Pearl </w:t>
      </w:r>
      <w:r>
        <w:rPr>
          <w:szCs w:val="22"/>
        </w:rPr>
        <w:t xml:space="preserve">had held </w:t>
      </w:r>
      <w:r w:rsidRPr="00AA7B5A">
        <w:rPr>
          <w:szCs w:val="22"/>
        </w:rPr>
        <w:t>since March 31, 2011 is in the public interest.</w:t>
      </w:r>
      <w:r>
        <w:rPr>
          <w:rStyle w:val="FootnoteReference"/>
          <w:szCs w:val="22"/>
        </w:rPr>
        <w:footnoteReference w:id="42"/>
      </w:r>
    </w:p>
    <w:p w:rsidR="00412F12" w:rsidRPr="00A85A67" w:rsidRDefault="00412F12" w:rsidP="009E1A3F">
      <w:pPr>
        <w:pStyle w:val="Heading1"/>
        <w:rPr>
          <w:u w:val="single"/>
        </w:rPr>
      </w:pPr>
      <w:r w:rsidRPr="00A85A67">
        <w:t>TERMS OF AGREEMENT</w:t>
      </w:r>
    </w:p>
    <w:p w:rsidR="00412F12" w:rsidRPr="00A85A67" w:rsidRDefault="00412F12" w:rsidP="001A32C1">
      <w:pPr>
        <w:pStyle w:val="par1"/>
        <w:tabs>
          <w:tab w:val="left" w:pos="1080"/>
        </w:tabs>
        <w:spacing w:after="120"/>
        <w:rPr>
          <w:b/>
          <w:szCs w:val="22"/>
          <w:u w:val="single"/>
        </w:rPr>
      </w:pPr>
      <w:r w:rsidRPr="000A5C9C">
        <w:rPr>
          <w:b/>
          <w:szCs w:val="22"/>
          <w:u w:val="single"/>
        </w:rPr>
        <w:t>Adopting Order</w:t>
      </w:r>
      <w:r w:rsidRPr="004958B3">
        <w:rPr>
          <w:b/>
          <w:szCs w:val="22"/>
          <w:u w:val="single"/>
        </w:rPr>
        <w:t>.</w:t>
      </w:r>
      <w:r w:rsidRPr="00A85A67">
        <w:rPr>
          <w:b/>
          <w:szCs w:val="22"/>
        </w:rPr>
        <w:t xml:space="preserve">  </w:t>
      </w:r>
      <w:r w:rsidR="00705763" w:rsidRPr="008A6A75">
        <w:rPr>
          <w:szCs w:val="22"/>
        </w:rPr>
        <w:t>The provisions of this Consent Decree shall be incorporated by the Bureau in an Adopting Order</w:t>
      </w:r>
      <w:r w:rsidR="00705763">
        <w:rPr>
          <w:szCs w:val="22"/>
        </w:rPr>
        <w:t xml:space="preserve"> without change, addition, deletion, or modification. </w:t>
      </w:r>
    </w:p>
    <w:p w:rsidR="00412F12" w:rsidRPr="00AA7946" w:rsidRDefault="00412F12" w:rsidP="001A32C1">
      <w:pPr>
        <w:pStyle w:val="par1"/>
        <w:tabs>
          <w:tab w:val="left" w:pos="1080"/>
        </w:tabs>
        <w:spacing w:after="120"/>
      </w:pPr>
      <w:r w:rsidRPr="000A5C9C">
        <w:rPr>
          <w:b/>
          <w:szCs w:val="22"/>
          <w:u w:val="single"/>
        </w:rPr>
        <w:t>Jurisdiction</w:t>
      </w:r>
      <w:r w:rsidRPr="004958B3">
        <w:rPr>
          <w:b/>
          <w:szCs w:val="22"/>
          <w:u w:val="single"/>
        </w:rPr>
        <w:t>.</w:t>
      </w:r>
      <w:r w:rsidRPr="00A85A67">
        <w:rPr>
          <w:szCs w:val="22"/>
        </w:rPr>
        <w:t xml:space="preserve">  </w:t>
      </w:r>
      <w:r w:rsidR="001A0DE6">
        <w:rPr>
          <w:szCs w:val="22"/>
        </w:rPr>
        <w:t xml:space="preserve">GAB </w:t>
      </w:r>
      <w:r w:rsidRPr="00A85A67">
        <w:rPr>
          <w:szCs w:val="22"/>
        </w:rPr>
        <w:t xml:space="preserve">agrees that the </w:t>
      </w:r>
      <w:r w:rsidRPr="00A85A67">
        <w:rPr>
          <w:bCs/>
          <w:szCs w:val="22"/>
        </w:rPr>
        <w:t>Bureau</w:t>
      </w:r>
      <w:r w:rsidRPr="00A85A67">
        <w:rPr>
          <w:szCs w:val="22"/>
        </w:rPr>
        <w:t xml:space="preserve"> has jurisdiction over it and the matters contained in this Consent Decree and that the Bureau has the authority to enter into and adopt this Consent Decree.</w:t>
      </w:r>
    </w:p>
    <w:p w:rsidR="002E03D1" w:rsidRPr="005A71E9" w:rsidRDefault="00AA7946" w:rsidP="001A32C1">
      <w:pPr>
        <w:pStyle w:val="par1"/>
        <w:tabs>
          <w:tab w:val="left" w:pos="1080"/>
        </w:tabs>
        <w:spacing w:after="120"/>
        <w:rPr>
          <w:szCs w:val="22"/>
        </w:rPr>
      </w:pPr>
      <w:r w:rsidRPr="005A71E9">
        <w:rPr>
          <w:b/>
          <w:bCs/>
          <w:szCs w:val="22"/>
          <w:u w:val="single"/>
        </w:rPr>
        <w:t>Admission of Liability</w:t>
      </w:r>
      <w:r w:rsidRPr="005A71E9">
        <w:rPr>
          <w:b/>
          <w:u w:val="single"/>
        </w:rPr>
        <w:t>.</w:t>
      </w:r>
      <w:r>
        <w:t xml:space="preserve">  GAB admits, </w:t>
      </w:r>
      <w:r w:rsidR="00C9190D">
        <w:t>solely</w:t>
      </w:r>
      <w:r>
        <w:t xml:space="preserve"> for the purpose of this Consent Decree and for Commission civil enforcement purposes, and in express reliance on the provisions of paragraph </w:t>
      </w:r>
      <w:r w:rsidR="00BA1785" w:rsidRPr="004958B3">
        <w:t>1</w:t>
      </w:r>
      <w:r w:rsidR="000B38DD">
        <w:t>4</w:t>
      </w:r>
      <w:r>
        <w:t xml:space="preserve"> </w:t>
      </w:r>
      <w:r w:rsidR="001D1C3F">
        <w:t>of this Consent Decree</w:t>
      </w:r>
      <w:r w:rsidR="006D0646">
        <w:t>, that the circumstances described in paragraph</w:t>
      </w:r>
      <w:r w:rsidR="004C2E6D">
        <w:t>s</w:t>
      </w:r>
      <w:r w:rsidR="006D0646">
        <w:t xml:space="preserve"> </w:t>
      </w:r>
      <w:r w:rsidR="00BA1785">
        <w:t>6</w:t>
      </w:r>
      <w:r w:rsidR="00527598">
        <w:t xml:space="preserve"> and </w:t>
      </w:r>
      <w:r w:rsidR="00BA1785">
        <w:t xml:space="preserve">7 </w:t>
      </w:r>
      <w:r w:rsidR="0002272E">
        <w:t>of this Consent Decree</w:t>
      </w:r>
      <w:r w:rsidR="00AF3922">
        <w:t xml:space="preserve"> constitute violations of </w:t>
      </w:r>
      <w:r w:rsidR="0016127C">
        <w:t>the Alien Ownership Rules</w:t>
      </w:r>
      <w:r w:rsidR="001E63C0">
        <w:t xml:space="preserve"> and the Licensing Rules</w:t>
      </w:r>
      <w:r w:rsidR="0016127C">
        <w:t xml:space="preserve">.  </w:t>
      </w:r>
      <w:r w:rsidR="005A71E9">
        <w:t xml:space="preserve">Specifically, GAB admits </w:t>
      </w:r>
      <w:r w:rsidR="005A71E9" w:rsidRPr="005A71E9">
        <w:rPr>
          <w:szCs w:val="22"/>
        </w:rPr>
        <w:t xml:space="preserve">that it violated Rules requiring prior approval of changes resulting in loss of Designated Entity status and the repayment of the Unjust Enrichment that the Company had received from that status.  GAB also admits that it violated the alien ownership cap in Section 310(b)(3) of the Act as well as Rules requiring that it obtain Commission approval before consummating a </w:t>
      </w:r>
      <w:r w:rsidR="005A71E9" w:rsidRPr="005A71E9">
        <w:rPr>
          <w:i/>
          <w:szCs w:val="22"/>
        </w:rPr>
        <w:t xml:space="preserve">pro forma </w:t>
      </w:r>
      <w:r w:rsidR="005A71E9" w:rsidRPr="005A71E9">
        <w:rPr>
          <w:szCs w:val="22"/>
        </w:rPr>
        <w:t>transfer of control and timely notify the Commission of the changes in its ownership.</w:t>
      </w:r>
    </w:p>
    <w:p w:rsidR="00412F12" w:rsidRPr="0016127C" w:rsidRDefault="00412F12" w:rsidP="001A32C1">
      <w:pPr>
        <w:pStyle w:val="par1"/>
        <w:tabs>
          <w:tab w:val="left" w:pos="1080"/>
        </w:tabs>
        <w:spacing w:after="120"/>
        <w:rPr>
          <w:szCs w:val="22"/>
        </w:rPr>
      </w:pPr>
      <w:r w:rsidRPr="000A5C9C">
        <w:rPr>
          <w:b/>
          <w:szCs w:val="22"/>
          <w:u w:val="single"/>
        </w:rPr>
        <w:t>Effective Date; Violations</w:t>
      </w:r>
      <w:r w:rsidRPr="004958B3">
        <w:rPr>
          <w:b/>
          <w:szCs w:val="22"/>
          <w:u w:val="single"/>
        </w:rPr>
        <w:t>.</w:t>
      </w:r>
      <w:r w:rsidRPr="0016127C">
        <w:rPr>
          <w:b/>
          <w:szCs w:val="22"/>
        </w:rPr>
        <w:t xml:space="preserve">  </w:t>
      </w:r>
      <w:r w:rsidRPr="0016127C">
        <w:rPr>
          <w:szCs w:val="22"/>
        </w:rPr>
        <w:t>The Parties agree that this Consent Decree shall become effective on the Effective Date.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AE20BD" w:rsidRDefault="00412F12" w:rsidP="00BA1785">
      <w:pPr>
        <w:pStyle w:val="par1"/>
        <w:tabs>
          <w:tab w:val="num" w:pos="1080"/>
        </w:tabs>
        <w:spacing w:after="120"/>
        <w:rPr>
          <w:szCs w:val="22"/>
        </w:rPr>
      </w:pPr>
      <w:r w:rsidRPr="00A85A67">
        <w:rPr>
          <w:b/>
          <w:szCs w:val="22"/>
          <w:u w:val="single"/>
        </w:rPr>
        <w:t>Termination of Investigation</w:t>
      </w:r>
      <w:r w:rsidRPr="004958B3">
        <w:rPr>
          <w:b/>
          <w:szCs w:val="22"/>
          <w:u w:val="single"/>
        </w:rPr>
        <w:t>.</w:t>
      </w:r>
      <w:r w:rsidRPr="00A85A67">
        <w:rPr>
          <w:b/>
          <w:szCs w:val="22"/>
        </w:rPr>
        <w:t xml:space="preserve">  </w:t>
      </w:r>
      <w:r w:rsidRPr="00A85A67">
        <w:rPr>
          <w:szCs w:val="22"/>
        </w:rPr>
        <w:t xml:space="preserve">In express reliance on the covenants and representations in this Consent Decree and to avoid further expenditure of public resources, the Bureau agrees to terminate the Investigation.  In consideration for the termination of the Investigation, </w:t>
      </w:r>
      <w:r w:rsidR="00BF04A2">
        <w:rPr>
          <w:szCs w:val="22"/>
        </w:rPr>
        <w:t xml:space="preserve">GAB </w:t>
      </w:r>
      <w:r w:rsidRPr="00A85A67">
        <w:rPr>
          <w:szCs w:val="22"/>
        </w:rPr>
        <w:t xml:space="preserve">agrees to the terms, conditions, and procedures contained </w:t>
      </w:r>
      <w:r w:rsidR="001D1C3F">
        <w:rPr>
          <w:szCs w:val="22"/>
        </w:rPr>
        <w:t>in this Consent Decree</w:t>
      </w:r>
      <w:r w:rsidRPr="00A85A67">
        <w:rPr>
          <w:szCs w:val="22"/>
        </w:rPr>
        <w:t xml:space="preserve">.  The </w:t>
      </w:r>
      <w:r w:rsidRPr="00F079F6">
        <w:rPr>
          <w:szCs w:val="22"/>
        </w:rPr>
        <w:t>Bureau</w:t>
      </w:r>
      <w:r w:rsidRPr="00A85A67">
        <w:rPr>
          <w:szCs w:val="22"/>
        </w:rPr>
        <w:t xml:space="preserve"> further agrees that in the absence of new material evidence, the </w:t>
      </w:r>
      <w:r w:rsidRPr="00F079F6">
        <w:rPr>
          <w:szCs w:val="22"/>
        </w:rPr>
        <w:t>Bureau</w:t>
      </w:r>
      <w:r w:rsidRPr="00A85A67">
        <w:rPr>
          <w:szCs w:val="22"/>
        </w:rPr>
        <w:t xml:space="preserve"> will not use the facts developed in the Investigation through the Effective Date, or the existence of this Consent Decree, to institute on its own motion any new proceeding, formal or informal, or take any action on its own motion against </w:t>
      </w:r>
      <w:r w:rsidR="00713133">
        <w:rPr>
          <w:szCs w:val="22"/>
        </w:rPr>
        <w:t xml:space="preserve">GAB </w:t>
      </w:r>
      <w:r w:rsidRPr="00A85A67">
        <w:rPr>
          <w:szCs w:val="22"/>
        </w:rPr>
        <w:t xml:space="preserve">concerning the matters that were the subject of the Investigation.  The </w:t>
      </w:r>
      <w:r w:rsidRPr="00F079F6">
        <w:rPr>
          <w:szCs w:val="22"/>
        </w:rPr>
        <w:t>Bureau</w:t>
      </w:r>
      <w:r w:rsidRPr="00A85A67">
        <w:rPr>
          <w:szCs w:val="22"/>
        </w:rPr>
        <w:t xml:space="preserve"> also agrees that in the absence of new material evidence it will not use the facts developed in the Investigation through the Effective Date, or the existence of this Consent Decree, to institute on its own motion any proceeding, formal or informal, or </w:t>
      </w:r>
      <w:r w:rsidRPr="00DC06DB">
        <w:rPr>
          <w:szCs w:val="22"/>
        </w:rPr>
        <w:t xml:space="preserve">take any action on its own motion against </w:t>
      </w:r>
      <w:r w:rsidR="00BF04A2" w:rsidRPr="00DC06DB">
        <w:rPr>
          <w:szCs w:val="22"/>
        </w:rPr>
        <w:t>GAB with respect to GAB</w:t>
      </w:r>
      <w:r w:rsidR="005C5ABA" w:rsidRPr="00DC06DB">
        <w:rPr>
          <w:szCs w:val="22"/>
        </w:rPr>
        <w:t>’</w:t>
      </w:r>
      <w:r w:rsidRPr="00DC06DB">
        <w:rPr>
          <w:szCs w:val="22"/>
        </w:rPr>
        <w:t>s basic qualifications, including its</w:t>
      </w:r>
      <w:r w:rsidRPr="00A85A67">
        <w:rPr>
          <w:szCs w:val="22"/>
        </w:rPr>
        <w:t xml:space="preserve"> character qualifications, to be a Commission licensee or to hold Commission licenses or authorizations. </w:t>
      </w:r>
    </w:p>
    <w:p w:rsidR="00412F12" w:rsidRPr="00AE20BD" w:rsidRDefault="00CB3E20" w:rsidP="0020423E">
      <w:pPr>
        <w:pStyle w:val="par1"/>
        <w:tabs>
          <w:tab w:val="num" w:pos="1440"/>
        </w:tabs>
        <w:spacing w:after="120"/>
        <w:rPr>
          <w:szCs w:val="22"/>
        </w:rPr>
      </w:pPr>
      <w:r w:rsidRPr="00AE20BD">
        <w:rPr>
          <w:b/>
          <w:szCs w:val="22"/>
          <w:u w:val="single"/>
        </w:rPr>
        <w:t xml:space="preserve">Civil </w:t>
      </w:r>
      <w:r w:rsidR="005179EB">
        <w:rPr>
          <w:b/>
          <w:szCs w:val="22"/>
          <w:u w:val="single"/>
        </w:rPr>
        <w:t>Penalty</w:t>
      </w:r>
      <w:r w:rsidR="00412F12" w:rsidRPr="004958B3">
        <w:rPr>
          <w:b/>
          <w:szCs w:val="22"/>
          <w:u w:val="single"/>
        </w:rPr>
        <w:t>.</w:t>
      </w:r>
      <w:r w:rsidR="00412F12" w:rsidRPr="00AE20BD">
        <w:rPr>
          <w:b/>
          <w:szCs w:val="22"/>
        </w:rPr>
        <w:t xml:space="preserve"> </w:t>
      </w:r>
      <w:r w:rsidR="00412F12" w:rsidRPr="00AE20BD">
        <w:rPr>
          <w:szCs w:val="22"/>
        </w:rPr>
        <w:t xml:space="preserve"> </w:t>
      </w:r>
      <w:r w:rsidRPr="00AE20BD">
        <w:rPr>
          <w:szCs w:val="22"/>
        </w:rPr>
        <w:t xml:space="preserve">GAB agrees that it will pay a civil </w:t>
      </w:r>
      <w:r w:rsidR="005179EB">
        <w:rPr>
          <w:szCs w:val="22"/>
        </w:rPr>
        <w:t>penalty</w:t>
      </w:r>
      <w:r w:rsidRPr="00AE20BD">
        <w:rPr>
          <w:szCs w:val="22"/>
        </w:rPr>
        <w:t xml:space="preserve"> to the United St</w:t>
      </w:r>
      <w:r w:rsidR="001C219D" w:rsidRPr="00AE20BD">
        <w:rPr>
          <w:szCs w:val="22"/>
        </w:rPr>
        <w:t xml:space="preserve">ates Treasury in the amount of </w:t>
      </w:r>
      <w:r w:rsidR="000701BB">
        <w:rPr>
          <w:szCs w:val="22"/>
        </w:rPr>
        <w:t>one hundred thousand dollars ($100,000) within sixty (6</w:t>
      </w:r>
      <w:r w:rsidRPr="00AE20BD">
        <w:rPr>
          <w:szCs w:val="22"/>
        </w:rPr>
        <w:t xml:space="preserve">0) calendar days after the Effective Date.  GAB shall send electronic notification of payment to </w:t>
      </w:r>
      <w:r w:rsidR="0020423E" w:rsidRPr="00AE20BD">
        <w:rPr>
          <w:szCs w:val="22"/>
        </w:rPr>
        <w:t xml:space="preserve">William A. Kehoe at </w:t>
      </w:r>
      <w:hyperlink r:id="rId14" w:history="1">
        <w:r w:rsidR="0020423E" w:rsidRPr="00AE20BD">
          <w:rPr>
            <w:rStyle w:val="Hyperlink"/>
            <w:color w:val="auto"/>
            <w:szCs w:val="22"/>
            <w:u w:val="none"/>
          </w:rPr>
          <w:t>William.Kehoe@fcc.gov</w:t>
        </w:r>
      </w:hyperlink>
      <w:r w:rsidR="0020423E" w:rsidRPr="00AE20BD">
        <w:rPr>
          <w:szCs w:val="22"/>
        </w:rPr>
        <w:t xml:space="preserve"> and Robert B. Krinsky at </w:t>
      </w:r>
      <w:hyperlink r:id="rId15" w:history="1">
        <w:r w:rsidR="0020423E" w:rsidRPr="00AE20BD">
          <w:rPr>
            <w:rStyle w:val="Hyperlink"/>
            <w:color w:val="auto"/>
            <w:szCs w:val="22"/>
            <w:u w:val="none"/>
          </w:rPr>
          <w:t>Robert.Krinsky@fcc.gov</w:t>
        </w:r>
      </w:hyperlink>
      <w:r w:rsidR="0020423E" w:rsidRPr="00AE20BD">
        <w:rPr>
          <w:szCs w:val="22"/>
        </w:rPr>
        <w:t xml:space="preserve"> on the date said payment is made.</w:t>
      </w:r>
      <w:r w:rsidR="00F07DB0" w:rsidRPr="00AE20BD">
        <w:rPr>
          <w:szCs w:val="22"/>
        </w:rPr>
        <w:t xml:space="preserve">  </w:t>
      </w:r>
      <w:r w:rsidR="00412F12" w:rsidRPr="00AE20BD">
        <w:rPr>
          <w:rFonts w:eastAsia="MS Mincho"/>
          <w:szCs w:val="22"/>
        </w:rPr>
        <w:t>The payment must be made by check or simil</w:t>
      </w:r>
      <w:r w:rsidR="00713133">
        <w:rPr>
          <w:rFonts w:eastAsia="MS Mincho"/>
          <w:szCs w:val="22"/>
        </w:rPr>
        <w:t>ar instrument, wire transfer, or</w:t>
      </w:r>
      <w:r w:rsidR="00412F12" w:rsidRPr="00AE20BD">
        <w:rPr>
          <w:rFonts w:eastAsia="MS Mincho"/>
          <w:szCs w:val="22"/>
        </w:rPr>
        <w:t xml:space="preserve"> credit card, and must include the NAL/Account Number and FRN referenced above.  Regardless of the form of payment, a completed FCC Form 159 (Remittance Advice) must be submitted.</w:t>
      </w:r>
      <w:r w:rsidR="00412F12" w:rsidRPr="00F07DB0">
        <w:rPr>
          <w:rStyle w:val="FootnoteReference"/>
          <w:rFonts w:eastAsia="MS Mincho"/>
          <w:szCs w:val="22"/>
        </w:rPr>
        <w:footnoteReference w:id="43"/>
      </w:r>
      <w:r w:rsidR="00412F12" w:rsidRPr="00AE20BD">
        <w:rPr>
          <w:rFonts w:eastAsia="MS Mincho"/>
          <w:szCs w:val="22"/>
        </w:rPr>
        <w:t xml:space="preserve">  When completing the FCC Form 159, enter the Account Number in block number 23A (call sign/other ID) and enter the letters </w:t>
      </w:r>
      <w:r w:rsidR="005C5ABA">
        <w:rPr>
          <w:rFonts w:eastAsia="MS Mincho"/>
          <w:szCs w:val="22"/>
        </w:rPr>
        <w:t>“</w:t>
      </w:r>
      <w:r w:rsidR="00412F12" w:rsidRPr="00AE20BD">
        <w:rPr>
          <w:rFonts w:eastAsia="MS Mincho"/>
          <w:szCs w:val="22"/>
        </w:rPr>
        <w:t>FORF</w:t>
      </w:r>
      <w:r w:rsidR="005C5ABA">
        <w:rPr>
          <w:rFonts w:eastAsia="MS Mincho"/>
          <w:szCs w:val="22"/>
        </w:rPr>
        <w:t>”</w:t>
      </w:r>
      <w:r w:rsidR="00412F12" w:rsidRPr="00AE20BD">
        <w:rPr>
          <w:rFonts w:eastAsia="MS Mincho"/>
          <w:szCs w:val="22"/>
        </w:rPr>
        <w:t xml:space="preserve"> in block n</w:t>
      </w:r>
      <w:r w:rsidR="00F07DB0" w:rsidRPr="00AE20BD">
        <w:rPr>
          <w:rFonts w:eastAsia="MS Mincho"/>
          <w:szCs w:val="22"/>
        </w:rPr>
        <w:t xml:space="preserve">umber 24A (payment type code).  </w:t>
      </w:r>
      <w:r w:rsidR="00412F12" w:rsidRPr="00AE20BD">
        <w:rPr>
          <w:color w:val="000000"/>
          <w:szCs w:val="22"/>
        </w:rPr>
        <w:t xml:space="preserve">Below are additional instructions </w:t>
      </w:r>
      <w:r w:rsidR="007E4AE4">
        <w:rPr>
          <w:color w:val="000000"/>
          <w:szCs w:val="22"/>
        </w:rPr>
        <w:t xml:space="preserve">GAB </w:t>
      </w:r>
      <w:r w:rsidR="00412F12" w:rsidRPr="00AE20BD">
        <w:rPr>
          <w:color w:val="000000"/>
          <w:szCs w:val="22"/>
        </w:rPr>
        <w:t>should follow based on the form of payment it selects:</w:t>
      </w:r>
    </w:p>
    <w:p w:rsidR="00412F12" w:rsidRPr="00A85A67" w:rsidRDefault="00412F12" w:rsidP="005179EB">
      <w:pPr>
        <w:pStyle w:val="par1"/>
        <w:numPr>
          <w:ilvl w:val="0"/>
          <w:numId w:val="19"/>
        </w:numPr>
        <w:spacing w:after="120"/>
        <w:rPr>
          <w:rFonts w:eastAsia="MS Mincho"/>
          <w:szCs w:val="22"/>
        </w:rPr>
      </w:pPr>
      <w:r w:rsidRPr="00A85A67">
        <w:rPr>
          <w:rFonts w:eastAsia="MS Mincho"/>
          <w:szCs w:val="22"/>
        </w:rPr>
        <w:t>Payment by check or money order must be made payable in United States Dollars to the order of the Fed</w:t>
      </w:r>
      <w:r w:rsidR="002B6BB4">
        <w:rPr>
          <w:rFonts w:eastAsia="MS Mincho"/>
          <w:szCs w:val="22"/>
        </w:rPr>
        <w:t xml:space="preserve">eral Communications Commission.  Such payments </w:t>
      </w:r>
      <w:r w:rsidRPr="00A85A67">
        <w:rPr>
          <w:rFonts w:eastAsia="MS Mincho"/>
          <w:szCs w:val="22"/>
        </w:rPr>
        <w:t>(alo</w:t>
      </w:r>
      <w:r w:rsidR="002B6BB4">
        <w:rPr>
          <w:rFonts w:eastAsia="MS Mincho"/>
          <w:szCs w:val="22"/>
        </w:rPr>
        <w:t xml:space="preserve">ng with the completed Form 159) </w:t>
      </w:r>
      <w:r w:rsidRPr="00A85A67">
        <w:rPr>
          <w:rFonts w:eastAsia="MS Mincho"/>
          <w:szCs w:val="22"/>
        </w:rPr>
        <w:t xml:space="preserve">must be </w:t>
      </w:r>
      <w:r w:rsidRPr="005179EB">
        <w:rPr>
          <w:szCs w:val="22"/>
        </w:rPr>
        <w:t>mailed</w:t>
      </w:r>
      <w:r w:rsidRPr="00A85A67">
        <w:rPr>
          <w:rFonts w:eastAsia="MS Mincho"/>
          <w:szCs w:val="22"/>
        </w:rPr>
        <w:t xml:space="preserve"> to Federal Communications Commission, P.O. Box 979088, St. Lo</w:t>
      </w:r>
      <w:r w:rsidR="002B6BB4">
        <w:rPr>
          <w:rFonts w:eastAsia="MS Mincho"/>
          <w:szCs w:val="22"/>
        </w:rPr>
        <w:t xml:space="preserve">uis, MO 63197-9000, or sent via overnight mail </w:t>
      </w:r>
      <w:r w:rsidRPr="00A85A67">
        <w:rPr>
          <w:rFonts w:eastAsia="MS Mincho"/>
          <w:szCs w:val="22"/>
        </w:rPr>
        <w:t>to U.S. Bank – Government Lockbox #979088, SL-MO-C2-GL, 1005 Conventi</w:t>
      </w:r>
      <w:r w:rsidR="002B6BB4">
        <w:rPr>
          <w:rFonts w:eastAsia="MS Mincho"/>
          <w:szCs w:val="22"/>
        </w:rPr>
        <w:t>on Plaza, St. Louis, MO 63101.</w:t>
      </w:r>
    </w:p>
    <w:p w:rsidR="00412F12" w:rsidRPr="005179EB" w:rsidRDefault="002B6BB4" w:rsidP="005179EB">
      <w:pPr>
        <w:pStyle w:val="par1"/>
        <w:numPr>
          <w:ilvl w:val="0"/>
          <w:numId w:val="19"/>
        </w:numPr>
        <w:spacing w:after="120"/>
        <w:rPr>
          <w:szCs w:val="22"/>
        </w:rPr>
      </w:pPr>
      <w:r>
        <w:rPr>
          <w:rFonts w:eastAsia="MS Mincho"/>
          <w:szCs w:val="22"/>
        </w:rPr>
        <w:t xml:space="preserve">Payment by wire transfer </w:t>
      </w:r>
      <w:r w:rsidR="00412F12" w:rsidRPr="00A85A67">
        <w:rPr>
          <w:rFonts w:eastAsia="MS Mincho"/>
          <w:szCs w:val="22"/>
        </w:rPr>
        <w:t>must be made to ABA Number 021030004, receiving bank TREAS/NYC, and Accoun</w:t>
      </w:r>
      <w:r>
        <w:rPr>
          <w:rFonts w:eastAsia="MS Mincho"/>
          <w:szCs w:val="22"/>
        </w:rPr>
        <w:t xml:space="preserve">t Number 27000001.  </w:t>
      </w:r>
      <w:r w:rsidR="00412F12" w:rsidRPr="00A85A67">
        <w:rPr>
          <w:rFonts w:eastAsia="MS Mincho"/>
          <w:szCs w:val="22"/>
        </w:rPr>
        <w:t>To complete the wire transfer and ensure appropriate crediting of the wired funds, a completed Form 159 must be faxed to U.S. Bank at (314) 418-4232</w:t>
      </w:r>
      <w:r w:rsidR="00412F12" w:rsidRPr="005179EB">
        <w:rPr>
          <w:szCs w:val="22"/>
        </w:rPr>
        <w:t xml:space="preserve"> on the same business day t</w:t>
      </w:r>
      <w:r w:rsidRPr="005179EB">
        <w:rPr>
          <w:szCs w:val="22"/>
        </w:rPr>
        <w:t>he wire transfer is initiated.</w:t>
      </w:r>
    </w:p>
    <w:p w:rsidR="00412F12" w:rsidRPr="00A85A67" w:rsidRDefault="00412F12" w:rsidP="005179EB">
      <w:pPr>
        <w:pStyle w:val="par1"/>
        <w:numPr>
          <w:ilvl w:val="0"/>
          <w:numId w:val="19"/>
        </w:numPr>
        <w:spacing w:after="120"/>
        <w:rPr>
          <w:rFonts w:eastAsia="MS Mincho"/>
          <w:szCs w:val="22"/>
        </w:rPr>
      </w:pPr>
      <w:r w:rsidRPr="005179EB">
        <w:rPr>
          <w:szCs w:val="22"/>
        </w:rPr>
        <w:t>Payment by credit card must be made by providing the required credit card informat</w:t>
      </w:r>
      <w:r w:rsidR="002B6BB4" w:rsidRPr="005179EB">
        <w:rPr>
          <w:szCs w:val="22"/>
        </w:rPr>
        <w:t xml:space="preserve">ion on FCC Form 159 and </w:t>
      </w:r>
      <w:r w:rsidR="002B6BB4">
        <w:rPr>
          <w:rFonts w:eastAsia="MS Mincho"/>
          <w:szCs w:val="22"/>
        </w:rPr>
        <w:t xml:space="preserve">signing and dating the Form 159 to authorize the credit card payment. </w:t>
      </w:r>
      <w:r w:rsidRPr="00A85A67">
        <w:rPr>
          <w:rFonts w:eastAsia="MS Mincho"/>
          <w:szCs w:val="22"/>
        </w:rPr>
        <w:t xml:space="preserve"> The completed Form 159 must then be mailed to Federal Communications Commission, P.O. Box 979088, St. Loui</w:t>
      </w:r>
      <w:r w:rsidR="002B6BB4">
        <w:rPr>
          <w:rFonts w:eastAsia="MS Mincho"/>
          <w:szCs w:val="22"/>
        </w:rPr>
        <w:t xml:space="preserve">s, MO 63197-9000, or sent via overnight mail </w:t>
      </w:r>
      <w:r w:rsidRPr="00A85A67">
        <w:rPr>
          <w:rFonts w:eastAsia="MS Mincho"/>
          <w:szCs w:val="22"/>
        </w:rPr>
        <w:t>to U.S. Bank – Government Lockbox #979088, SL-MO-C2-GL, 1005 Conventi</w:t>
      </w:r>
      <w:r w:rsidR="002B6BB4">
        <w:rPr>
          <w:rFonts w:eastAsia="MS Mincho"/>
          <w:szCs w:val="22"/>
        </w:rPr>
        <w:t>on Plaza, St. Louis, MO 63101.</w:t>
      </w:r>
    </w:p>
    <w:p w:rsidR="00DE3B43" w:rsidRPr="00DE3B43" w:rsidRDefault="00412F12" w:rsidP="00F03979">
      <w:pPr>
        <w:pStyle w:val="ParaNum"/>
        <w:numPr>
          <w:ilvl w:val="0"/>
          <w:numId w:val="0"/>
        </w:numPr>
        <w:rPr>
          <w:rFonts w:eastAsia="MS Mincho"/>
          <w:szCs w:val="22"/>
        </w:rPr>
      </w:pPr>
      <w:r w:rsidRPr="00A85A67">
        <w:rPr>
          <w:rFonts w:eastAsia="MS Mincho"/>
          <w:szCs w:val="22"/>
        </w:rPr>
        <w:t>If</w:t>
      </w:r>
      <w:r w:rsidR="00F07DB0">
        <w:rPr>
          <w:rFonts w:eastAsia="MS Mincho"/>
          <w:szCs w:val="22"/>
        </w:rPr>
        <w:t xml:space="preserve"> GAB</w:t>
      </w:r>
      <w:r>
        <w:rPr>
          <w:rFonts w:eastAsia="MS Mincho"/>
          <w:szCs w:val="22"/>
        </w:rPr>
        <w:t xml:space="preserve"> has</w:t>
      </w:r>
      <w:r w:rsidRPr="00A85A67">
        <w:rPr>
          <w:rFonts w:eastAsia="MS Mincho"/>
          <w:szCs w:val="22"/>
        </w:rPr>
        <w:t xml:space="preserve"> questions regarding payment procedures, </w:t>
      </w:r>
      <w:r>
        <w:rPr>
          <w:rFonts w:eastAsia="MS Mincho"/>
          <w:szCs w:val="22"/>
        </w:rPr>
        <w:t xml:space="preserve">it should </w:t>
      </w:r>
      <w:r w:rsidRPr="00A85A67">
        <w:rPr>
          <w:rFonts w:eastAsia="MS Mincho"/>
          <w:szCs w:val="22"/>
        </w:rPr>
        <w:t>contact the Financial Operations Group Help Des</w:t>
      </w:r>
      <w:r w:rsidRPr="00DE3B43">
        <w:rPr>
          <w:rFonts w:eastAsia="MS Mincho"/>
          <w:szCs w:val="22"/>
        </w:rPr>
        <w:t>k</w:t>
      </w:r>
      <w:r w:rsidR="002B6BB4" w:rsidRPr="00DE3B43">
        <w:rPr>
          <w:rFonts w:eastAsia="MS Mincho"/>
          <w:szCs w:val="22"/>
        </w:rPr>
        <w:t xml:space="preserve"> by phone, 1-877-480-3201, or </w:t>
      </w:r>
      <w:r w:rsidRPr="00DE3B43">
        <w:rPr>
          <w:rFonts w:eastAsia="MS Mincho"/>
          <w:szCs w:val="22"/>
        </w:rPr>
        <w:t>by e</w:t>
      </w:r>
      <w:r w:rsidRPr="00DE3B43">
        <w:rPr>
          <w:rFonts w:eastAsia="MS Mincho"/>
          <w:szCs w:val="22"/>
        </w:rPr>
        <w:noBreakHyphen/>
        <w:t>mail, ARINQUIRIES@fcc.gov.</w:t>
      </w:r>
    </w:p>
    <w:p w:rsidR="00F07DB0" w:rsidRPr="00DE3B43" w:rsidRDefault="00F07DB0" w:rsidP="005C75FF">
      <w:pPr>
        <w:pStyle w:val="par1"/>
        <w:tabs>
          <w:tab w:val="num" w:pos="1440"/>
        </w:tabs>
        <w:spacing w:after="120"/>
        <w:rPr>
          <w:szCs w:val="22"/>
        </w:rPr>
      </w:pPr>
      <w:r w:rsidRPr="000A5C9C">
        <w:rPr>
          <w:b/>
          <w:szCs w:val="22"/>
          <w:u w:val="single"/>
        </w:rPr>
        <w:t>Unjust Enrichment Payment</w:t>
      </w:r>
      <w:r w:rsidRPr="004958B3">
        <w:rPr>
          <w:b/>
          <w:szCs w:val="22"/>
          <w:u w:val="single"/>
        </w:rPr>
        <w:t>.</w:t>
      </w:r>
      <w:r>
        <w:rPr>
          <w:szCs w:val="22"/>
        </w:rPr>
        <w:t xml:space="preserve"> </w:t>
      </w:r>
      <w:r w:rsidR="000A5C9C">
        <w:rPr>
          <w:szCs w:val="22"/>
        </w:rPr>
        <w:t xml:space="preserve"> </w:t>
      </w:r>
      <w:r>
        <w:rPr>
          <w:szCs w:val="22"/>
        </w:rPr>
        <w:t>Pursuant to Section 1.2111(d) of the Comm</w:t>
      </w:r>
      <w:r w:rsidR="001C219D">
        <w:rPr>
          <w:szCs w:val="22"/>
        </w:rPr>
        <w:t>ission</w:t>
      </w:r>
      <w:r w:rsidR="005C5ABA">
        <w:rPr>
          <w:szCs w:val="22"/>
        </w:rPr>
        <w:t>’</w:t>
      </w:r>
      <w:r w:rsidR="001C219D">
        <w:rPr>
          <w:szCs w:val="22"/>
        </w:rPr>
        <w:t>s Rules</w:t>
      </w:r>
      <w:r w:rsidR="002B6BB4">
        <w:rPr>
          <w:szCs w:val="22"/>
        </w:rPr>
        <w:t>, GAB must</w:t>
      </w:r>
      <w:r w:rsidR="001C219D">
        <w:rPr>
          <w:szCs w:val="22"/>
        </w:rPr>
        <w:t xml:space="preserve"> pay </w:t>
      </w:r>
      <w:r w:rsidR="00EE5503">
        <w:rPr>
          <w:szCs w:val="22"/>
        </w:rPr>
        <w:t xml:space="preserve">to the United States Government prior to the Consummation Date of the license assignments described in the </w:t>
      </w:r>
      <w:r w:rsidR="003F19A1">
        <w:rPr>
          <w:szCs w:val="22"/>
        </w:rPr>
        <w:t>2013 Assignment Application</w:t>
      </w:r>
      <w:r w:rsidR="00EE5503">
        <w:rPr>
          <w:szCs w:val="22"/>
        </w:rPr>
        <w:t xml:space="preserve">, </w:t>
      </w:r>
      <w:r w:rsidR="001E63C0">
        <w:rPr>
          <w:szCs w:val="22"/>
        </w:rPr>
        <w:t>and</w:t>
      </w:r>
      <w:r w:rsidR="00EE5503">
        <w:rPr>
          <w:szCs w:val="22"/>
        </w:rPr>
        <w:t xml:space="preserve"> no later than </w:t>
      </w:r>
      <w:r w:rsidR="005179EB">
        <w:rPr>
          <w:szCs w:val="22"/>
        </w:rPr>
        <w:t xml:space="preserve">sixty </w:t>
      </w:r>
      <w:r w:rsidR="00EE5503">
        <w:rPr>
          <w:szCs w:val="22"/>
        </w:rPr>
        <w:t>(</w:t>
      </w:r>
      <w:r w:rsidR="005179EB">
        <w:rPr>
          <w:szCs w:val="22"/>
        </w:rPr>
        <w:t>6</w:t>
      </w:r>
      <w:r w:rsidR="00EE5503">
        <w:rPr>
          <w:szCs w:val="22"/>
        </w:rPr>
        <w:t>0) calendar days after the Effective Date</w:t>
      </w:r>
      <w:r w:rsidR="00A31C1D">
        <w:rPr>
          <w:szCs w:val="22"/>
        </w:rPr>
        <w:t>,</w:t>
      </w:r>
      <w:r w:rsidR="00EE5503">
        <w:rPr>
          <w:szCs w:val="22"/>
        </w:rPr>
        <w:t xml:space="preserve"> </w:t>
      </w:r>
      <w:r w:rsidR="007304B2">
        <w:rPr>
          <w:szCs w:val="22"/>
        </w:rPr>
        <w:t xml:space="preserve">all </w:t>
      </w:r>
      <w:r w:rsidR="00EE1D16">
        <w:rPr>
          <w:szCs w:val="22"/>
        </w:rPr>
        <w:t xml:space="preserve">remaining </w:t>
      </w:r>
      <w:r w:rsidR="009A37AE">
        <w:rPr>
          <w:szCs w:val="22"/>
        </w:rPr>
        <w:t>Unjust Enrichment</w:t>
      </w:r>
      <w:r>
        <w:rPr>
          <w:szCs w:val="22"/>
        </w:rPr>
        <w:t xml:space="preserve"> </w:t>
      </w:r>
      <w:r w:rsidR="007304B2">
        <w:rPr>
          <w:szCs w:val="22"/>
        </w:rPr>
        <w:t xml:space="preserve">owed from </w:t>
      </w:r>
      <w:r w:rsidR="00EE5503">
        <w:rPr>
          <w:szCs w:val="22"/>
        </w:rPr>
        <w:t xml:space="preserve">the </w:t>
      </w:r>
      <w:r w:rsidR="00A31C1D">
        <w:rPr>
          <w:szCs w:val="22"/>
        </w:rPr>
        <w:t>loss of GAB</w:t>
      </w:r>
      <w:r w:rsidR="005C5ABA">
        <w:rPr>
          <w:szCs w:val="22"/>
        </w:rPr>
        <w:t>’</w:t>
      </w:r>
      <w:r w:rsidR="00A31C1D">
        <w:rPr>
          <w:szCs w:val="22"/>
        </w:rPr>
        <w:t xml:space="preserve">s </w:t>
      </w:r>
      <w:r w:rsidR="00701806">
        <w:rPr>
          <w:szCs w:val="22"/>
        </w:rPr>
        <w:t xml:space="preserve">Designated Entity </w:t>
      </w:r>
      <w:r w:rsidR="00A31C1D">
        <w:rPr>
          <w:szCs w:val="22"/>
        </w:rPr>
        <w:t xml:space="preserve">status on March 10, 2011 </w:t>
      </w:r>
      <w:r w:rsidR="007304B2">
        <w:rPr>
          <w:szCs w:val="22"/>
        </w:rPr>
        <w:t>for</w:t>
      </w:r>
      <w:r w:rsidR="00A31C1D">
        <w:rPr>
          <w:szCs w:val="22"/>
        </w:rPr>
        <w:t xml:space="preserve">: WQKH494 (California 6 – Mono); WQKH 495 (Indiana 3 – Huntington); WQKH496 (Nevada 4 – Mineral); and WQKH497 (Wyoming 5 – Converse).  </w:t>
      </w:r>
      <w:r w:rsidR="007304B2">
        <w:rPr>
          <w:szCs w:val="22"/>
        </w:rPr>
        <w:t xml:space="preserve">That amount equals </w:t>
      </w:r>
      <w:r w:rsidR="004512E8" w:rsidRPr="00534F79">
        <w:rPr>
          <w:szCs w:val="22"/>
        </w:rPr>
        <w:t>$</w:t>
      </w:r>
      <w:r w:rsidR="00C003F2" w:rsidRPr="00534F79">
        <w:rPr>
          <w:szCs w:val="22"/>
        </w:rPr>
        <w:t>165,057</w:t>
      </w:r>
      <w:r w:rsidR="00691E8C" w:rsidRPr="00534F79">
        <w:rPr>
          <w:szCs w:val="22"/>
        </w:rPr>
        <w:t xml:space="preserve"> </w:t>
      </w:r>
      <w:r w:rsidR="007304B2" w:rsidRPr="00595E2F">
        <w:rPr>
          <w:szCs w:val="22"/>
        </w:rPr>
        <w:t xml:space="preserve">as of </w:t>
      </w:r>
      <w:r w:rsidR="00C003F2">
        <w:rPr>
          <w:szCs w:val="22"/>
        </w:rPr>
        <w:t xml:space="preserve">November 19, </w:t>
      </w:r>
      <w:r w:rsidR="004512E8" w:rsidRPr="00595E2F">
        <w:rPr>
          <w:szCs w:val="22"/>
        </w:rPr>
        <w:t>201</w:t>
      </w:r>
      <w:r w:rsidR="00AD1B84">
        <w:rPr>
          <w:szCs w:val="22"/>
        </w:rPr>
        <w:t>4</w:t>
      </w:r>
      <w:r w:rsidR="007304B2" w:rsidRPr="00595E2F">
        <w:rPr>
          <w:szCs w:val="22"/>
        </w:rPr>
        <w:t>,</w:t>
      </w:r>
      <w:r w:rsidR="007304B2" w:rsidRPr="004512E8">
        <w:rPr>
          <w:szCs w:val="22"/>
        </w:rPr>
        <w:t xml:space="preserve"> and</w:t>
      </w:r>
      <w:r w:rsidR="007304B2">
        <w:rPr>
          <w:szCs w:val="22"/>
        </w:rPr>
        <w:t xml:space="preserve"> will continue to </w:t>
      </w:r>
      <w:r w:rsidR="00EC7F26">
        <w:rPr>
          <w:szCs w:val="22"/>
        </w:rPr>
        <w:t xml:space="preserve">accumulate interest until paid.  </w:t>
      </w:r>
      <w:r w:rsidR="00E1705D">
        <w:rPr>
          <w:szCs w:val="22"/>
        </w:rPr>
        <w:t xml:space="preserve">GAB </w:t>
      </w:r>
      <w:r w:rsidR="00595E2F">
        <w:rPr>
          <w:szCs w:val="22"/>
        </w:rPr>
        <w:t xml:space="preserve">must </w:t>
      </w:r>
      <w:r w:rsidR="007E3D79">
        <w:rPr>
          <w:szCs w:val="22"/>
        </w:rPr>
        <w:t xml:space="preserve">make this Unjust Enrichment Payment in accordance any instructions provided by </w:t>
      </w:r>
      <w:r w:rsidR="00E1705D">
        <w:rPr>
          <w:szCs w:val="22"/>
        </w:rPr>
        <w:t>the Commission’s Wireless Telecommunications Bureau</w:t>
      </w:r>
      <w:r w:rsidR="007E3D79">
        <w:rPr>
          <w:szCs w:val="22"/>
        </w:rPr>
        <w:t xml:space="preserve">.  </w:t>
      </w:r>
      <w:r w:rsidR="001C219D" w:rsidRPr="00DE3B43">
        <w:rPr>
          <w:szCs w:val="22"/>
        </w:rPr>
        <w:t>GAB shall send electronic notification of</w:t>
      </w:r>
      <w:r w:rsidR="00EC7F26">
        <w:rPr>
          <w:szCs w:val="22"/>
        </w:rPr>
        <w:t xml:space="preserve"> its Unjust Enrichment </w:t>
      </w:r>
      <w:r w:rsidR="001C219D" w:rsidRPr="00DE3B43">
        <w:rPr>
          <w:szCs w:val="22"/>
        </w:rPr>
        <w:t xml:space="preserve">payment to </w:t>
      </w:r>
      <w:r w:rsidR="001C219D" w:rsidRPr="001C219D">
        <w:rPr>
          <w:szCs w:val="22"/>
        </w:rPr>
        <w:t xml:space="preserve">William A. Kehoe at </w:t>
      </w:r>
      <w:hyperlink r:id="rId16" w:history="1">
        <w:r w:rsidR="001C219D" w:rsidRPr="001C219D">
          <w:rPr>
            <w:rStyle w:val="Hyperlink"/>
            <w:color w:val="auto"/>
            <w:szCs w:val="22"/>
            <w:u w:val="none"/>
          </w:rPr>
          <w:t>William.Kehoe@fcc.gov</w:t>
        </w:r>
      </w:hyperlink>
      <w:r w:rsidR="001C219D" w:rsidRPr="001C219D">
        <w:rPr>
          <w:szCs w:val="22"/>
        </w:rPr>
        <w:t xml:space="preserve"> and Robert B. Krinsky at </w:t>
      </w:r>
      <w:hyperlink r:id="rId17" w:history="1">
        <w:r w:rsidR="001C219D" w:rsidRPr="001C219D">
          <w:rPr>
            <w:rStyle w:val="Hyperlink"/>
            <w:color w:val="auto"/>
            <w:szCs w:val="22"/>
            <w:u w:val="none"/>
          </w:rPr>
          <w:t>Robert.Krinsky@fcc.gov</w:t>
        </w:r>
      </w:hyperlink>
      <w:r w:rsidR="001C219D" w:rsidRPr="00F07DB0">
        <w:rPr>
          <w:szCs w:val="22"/>
        </w:rPr>
        <w:t xml:space="preserve"> on the date said payment is made.</w:t>
      </w:r>
    </w:p>
    <w:p w:rsidR="001C219D" w:rsidRDefault="00AE20BD" w:rsidP="005C75FF">
      <w:pPr>
        <w:pStyle w:val="par1"/>
        <w:tabs>
          <w:tab w:val="num" w:pos="1440"/>
        </w:tabs>
        <w:spacing w:after="120"/>
        <w:rPr>
          <w:szCs w:val="22"/>
        </w:rPr>
      </w:pPr>
      <w:r w:rsidRPr="00AE2E40">
        <w:rPr>
          <w:b/>
          <w:szCs w:val="22"/>
          <w:u w:val="single"/>
        </w:rPr>
        <w:t>Reporting Obligation</w:t>
      </w:r>
      <w:r w:rsidR="009575A2">
        <w:rPr>
          <w:b/>
          <w:szCs w:val="22"/>
          <w:u w:val="single"/>
        </w:rPr>
        <w:t>s</w:t>
      </w:r>
      <w:r w:rsidRPr="00AE2E40">
        <w:rPr>
          <w:b/>
          <w:szCs w:val="22"/>
          <w:u w:val="single"/>
        </w:rPr>
        <w:t xml:space="preserve"> with </w:t>
      </w:r>
      <w:r w:rsidR="00AE2E40" w:rsidRPr="00AE2E40">
        <w:rPr>
          <w:b/>
          <w:szCs w:val="22"/>
          <w:u w:val="single"/>
        </w:rPr>
        <w:t>Respect to the License A</w:t>
      </w:r>
      <w:r w:rsidRPr="00AE2E40">
        <w:rPr>
          <w:b/>
          <w:szCs w:val="22"/>
          <w:u w:val="single"/>
        </w:rPr>
        <w:t xml:space="preserve">ssignments </w:t>
      </w:r>
      <w:r w:rsidR="00EC7F26">
        <w:rPr>
          <w:b/>
          <w:szCs w:val="22"/>
          <w:u w:val="single"/>
        </w:rPr>
        <w:t>D</w:t>
      </w:r>
      <w:r w:rsidRPr="00AE2E40">
        <w:rPr>
          <w:b/>
          <w:szCs w:val="22"/>
          <w:u w:val="single"/>
        </w:rPr>
        <w:t xml:space="preserve">escribed in the </w:t>
      </w:r>
      <w:r w:rsidR="0082225A">
        <w:rPr>
          <w:b/>
          <w:szCs w:val="22"/>
          <w:u w:val="single"/>
        </w:rPr>
        <w:t xml:space="preserve">2013 </w:t>
      </w:r>
      <w:r w:rsidRPr="00AE2E40">
        <w:rPr>
          <w:b/>
          <w:szCs w:val="22"/>
          <w:u w:val="single"/>
        </w:rPr>
        <w:t>Assignment Application.</w:t>
      </w:r>
      <w:r>
        <w:rPr>
          <w:szCs w:val="22"/>
        </w:rPr>
        <w:t xml:space="preserve">  </w:t>
      </w:r>
      <w:r w:rsidR="007E3D79">
        <w:rPr>
          <w:szCs w:val="22"/>
        </w:rPr>
        <w:t>In addition to complying with any reporting obligations in the Rules</w:t>
      </w:r>
      <w:r w:rsidR="003B638B">
        <w:rPr>
          <w:szCs w:val="22"/>
        </w:rPr>
        <w:t xml:space="preserve"> regarding its 2013 Assignment Application</w:t>
      </w:r>
      <w:r w:rsidR="007E3D79">
        <w:rPr>
          <w:szCs w:val="22"/>
        </w:rPr>
        <w:t xml:space="preserve">, </w:t>
      </w:r>
      <w:r>
        <w:rPr>
          <w:szCs w:val="22"/>
        </w:rPr>
        <w:t>GAB agree</w:t>
      </w:r>
      <w:r w:rsidR="00144A1F">
        <w:rPr>
          <w:szCs w:val="22"/>
        </w:rPr>
        <w:t>s</w:t>
      </w:r>
      <w:r>
        <w:rPr>
          <w:szCs w:val="22"/>
        </w:rPr>
        <w:t xml:space="preserve"> to notify the </w:t>
      </w:r>
      <w:r w:rsidR="00A455BB">
        <w:rPr>
          <w:szCs w:val="22"/>
        </w:rPr>
        <w:t>I</w:t>
      </w:r>
      <w:r>
        <w:rPr>
          <w:szCs w:val="22"/>
        </w:rPr>
        <w:t xml:space="preserve">nvestigations and Hearings Division, Enforcement Bureau, </w:t>
      </w:r>
      <w:r w:rsidR="00A31C1D">
        <w:rPr>
          <w:szCs w:val="22"/>
        </w:rPr>
        <w:t xml:space="preserve">regarding </w:t>
      </w:r>
      <w:r>
        <w:rPr>
          <w:szCs w:val="22"/>
        </w:rPr>
        <w:t>whether</w:t>
      </w:r>
      <w:r w:rsidR="009575A2">
        <w:rPr>
          <w:szCs w:val="22"/>
        </w:rPr>
        <w:t xml:space="preserve"> </w:t>
      </w:r>
      <w:r>
        <w:rPr>
          <w:szCs w:val="22"/>
        </w:rPr>
        <w:t>the</w:t>
      </w:r>
      <w:r w:rsidR="00643EE0">
        <w:rPr>
          <w:szCs w:val="22"/>
        </w:rPr>
        <w:t xml:space="preserve">re has been </w:t>
      </w:r>
      <w:r w:rsidR="009575A2">
        <w:rPr>
          <w:szCs w:val="22"/>
        </w:rPr>
        <w:t xml:space="preserve">a </w:t>
      </w:r>
      <w:r w:rsidR="00643EE0">
        <w:rPr>
          <w:szCs w:val="22"/>
        </w:rPr>
        <w:t xml:space="preserve">Consummation of the </w:t>
      </w:r>
      <w:r w:rsidR="000B38DD">
        <w:rPr>
          <w:szCs w:val="22"/>
        </w:rPr>
        <w:t>license</w:t>
      </w:r>
      <w:r w:rsidR="00AE2E40">
        <w:rPr>
          <w:szCs w:val="22"/>
        </w:rPr>
        <w:t xml:space="preserve"> </w:t>
      </w:r>
      <w:r>
        <w:rPr>
          <w:szCs w:val="22"/>
        </w:rPr>
        <w:t>assignment</w:t>
      </w:r>
      <w:r w:rsidR="00AE2E40">
        <w:rPr>
          <w:szCs w:val="22"/>
        </w:rPr>
        <w:t xml:space="preserve">s </w:t>
      </w:r>
      <w:r w:rsidR="00643EE0">
        <w:rPr>
          <w:szCs w:val="22"/>
        </w:rPr>
        <w:t xml:space="preserve">described </w:t>
      </w:r>
      <w:r w:rsidR="00AE2E40">
        <w:rPr>
          <w:szCs w:val="22"/>
        </w:rPr>
        <w:t xml:space="preserve">in the </w:t>
      </w:r>
      <w:r w:rsidR="003F19A1">
        <w:rPr>
          <w:szCs w:val="22"/>
        </w:rPr>
        <w:t>2013 Assignment Application</w:t>
      </w:r>
      <w:r w:rsidR="00AE2E40">
        <w:rPr>
          <w:szCs w:val="22"/>
        </w:rPr>
        <w:t xml:space="preserve">.  </w:t>
      </w:r>
      <w:r w:rsidR="00CF6B8D">
        <w:rPr>
          <w:szCs w:val="22"/>
        </w:rPr>
        <w:t>Such n</w:t>
      </w:r>
      <w:r w:rsidR="00643EE0">
        <w:rPr>
          <w:szCs w:val="22"/>
        </w:rPr>
        <w:t xml:space="preserve">otification of </w:t>
      </w:r>
      <w:r w:rsidR="00AE2E40">
        <w:rPr>
          <w:szCs w:val="22"/>
        </w:rPr>
        <w:t>Consu</w:t>
      </w:r>
      <w:r w:rsidR="00CF6B8D">
        <w:rPr>
          <w:szCs w:val="22"/>
        </w:rPr>
        <w:t xml:space="preserve">mmation must take place within </w:t>
      </w:r>
      <w:r w:rsidR="009575A2">
        <w:rPr>
          <w:szCs w:val="22"/>
        </w:rPr>
        <w:t xml:space="preserve">thirty </w:t>
      </w:r>
      <w:r w:rsidR="00CF6B8D">
        <w:rPr>
          <w:szCs w:val="22"/>
        </w:rPr>
        <w:t>(</w:t>
      </w:r>
      <w:r w:rsidR="009575A2">
        <w:rPr>
          <w:szCs w:val="22"/>
        </w:rPr>
        <w:t>3</w:t>
      </w:r>
      <w:r w:rsidR="00AE2E40">
        <w:rPr>
          <w:szCs w:val="22"/>
        </w:rPr>
        <w:t xml:space="preserve">0) calendar days of the </w:t>
      </w:r>
      <w:r w:rsidR="009575A2">
        <w:rPr>
          <w:szCs w:val="22"/>
        </w:rPr>
        <w:t>Consummation D</w:t>
      </w:r>
      <w:r w:rsidR="0082225A">
        <w:rPr>
          <w:szCs w:val="22"/>
        </w:rPr>
        <w:t xml:space="preserve">ate.  GAB </w:t>
      </w:r>
      <w:r w:rsidR="009575A2">
        <w:rPr>
          <w:szCs w:val="22"/>
        </w:rPr>
        <w:t xml:space="preserve">shall send this </w:t>
      </w:r>
      <w:r w:rsidR="0082225A">
        <w:rPr>
          <w:szCs w:val="22"/>
        </w:rPr>
        <w:t>notification</w:t>
      </w:r>
      <w:r w:rsidR="00AE2E40">
        <w:rPr>
          <w:szCs w:val="22"/>
        </w:rPr>
        <w:t xml:space="preserve"> electronically to </w:t>
      </w:r>
      <w:r w:rsidR="00AE2E40" w:rsidRPr="001C219D">
        <w:rPr>
          <w:szCs w:val="22"/>
        </w:rPr>
        <w:t xml:space="preserve">William A. Kehoe at </w:t>
      </w:r>
      <w:hyperlink r:id="rId18" w:history="1">
        <w:r w:rsidR="00AE2E40" w:rsidRPr="001C219D">
          <w:rPr>
            <w:rStyle w:val="Hyperlink"/>
            <w:color w:val="auto"/>
            <w:szCs w:val="22"/>
            <w:u w:val="none"/>
          </w:rPr>
          <w:t>William.Kehoe@fcc.gov</w:t>
        </w:r>
      </w:hyperlink>
      <w:r w:rsidR="00AE2E40" w:rsidRPr="001C219D">
        <w:rPr>
          <w:szCs w:val="22"/>
        </w:rPr>
        <w:t xml:space="preserve"> and Robert B. Krinsky at </w:t>
      </w:r>
      <w:hyperlink r:id="rId19" w:history="1">
        <w:r w:rsidR="00AE2E40" w:rsidRPr="001C219D">
          <w:rPr>
            <w:rStyle w:val="Hyperlink"/>
            <w:color w:val="auto"/>
            <w:szCs w:val="22"/>
            <w:u w:val="none"/>
          </w:rPr>
          <w:t>Robert.Krinsky@fcc.gov</w:t>
        </w:r>
      </w:hyperlink>
      <w:r w:rsidR="00AE2E40">
        <w:rPr>
          <w:szCs w:val="22"/>
        </w:rPr>
        <w:t xml:space="preserve">.  </w:t>
      </w:r>
      <w:r w:rsidR="00A6312A">
        <w:rPr>
          <w:szCs w:val="22"/>
        </w:rPr>
        <w:t xml:space="preserve">In the event </w:t>
      </w:r>
      <w:r w:rsidR="0082225A">
        <w:rPr>
          <w:szCs w:val="22"/>
        </w:rPr>
        <w:t xml:space="preserve">that </w:t>
      </w:r>
      <w:r w:rsidR="009575A2">
        <w:rPr>
          <w:szCs w:val="22"/>
        </w:rPr>
        <w:t>GAB and</w:t>
      </w:r>
      <w:r w:rsidR="009E480B">
        <w:rPr>
          <w:szCs w:val="22"/>
        </w:rPr>
        <w:t>/or</w:t>
      </w:r>
      <w:r w:rsidR="009575A2">
        <w:rPr>
          <w:szCs w:val="22"/>
        </w:rPr>
        <w:t xml:space="preserve"> AT&amp;T d</w:t>
      </w:r>
      <w:r w:rsidR="00B929A4">
        <w:rPr>
          <w:szCs w:val="22"/>
        </w:rPr>
        <w:t xml:space="preserve">ecide to </w:t>
      </w:r>
      <w:r w:rsidR="009575A2">
        <w:rPr>
          <w:szCs w:val="22"/>
        </w:rPr>
        <w:t>not consummate the license assignments described in the 2013 Assignment Applications</w:t>
      </w:r>
      <w:r w:rsidR="00B929A4">
        <w:rPr>
          <w:szCs w:val="22"/>
        </w:rPr>
        <w:t>, GAB</w:t>
      </w:r>
      <w:r w:rsidR="00677A1C">
        <w:rPr>
          <w:szCs w:val="22"/>
        </w:rPr>
        <w:t xml:space="preserve"> shall: (a)</w:t>
      </w:r>
      <w:r w:rsidR="00B929A4">
        <w:rPr>
          <w:szCs w:val="22"/>
        </w:rPr>
        <w:t xml:space="preserve"> provide the </w:t>
      </w:r>
      <w:r w:rsidR="00E25D49">
        <w:rPr>
          <w:szCs w:val="22"/>
        </w:rPr>
        <w:t>Investigations and Hearing</w:t>
      </w:r>
      <w:r w:rsidR="00527598">
        <w:rPr>
          <w:szCs w:val="22"/>
        </w:rPr>
        <w:t>s</w:t>
      </w:r>
      <w:r w:rsidR="00E25D49">
        <w:rPr>
          <w:szCs w:val="22"/>
        </w:rPr>
        <w:t xml:space="preserve"> Division </w:t>
      </w:r>
      <w:r w:rsidR="00B929A4">
        <w:rPr>
          <w:szCs w:val="22"/>
        </w:rPr>
        <w:t xml:space="preserve">with </w:t>
      </w:r>
      <w:r w:rsidR="0084266B">
        <w:rPr>
          <w:szCs w:val="22"/>
        </w:rPr>
        <w:t>n</w:t>
      </w:r>
      <w:r w:rsidR="00B929A4">
        <w:rPr>
          <w:szCs w:val="22"/>
        </w:rPr>
        <w:t xml:space="preserve">otice </w:t>
      </w:r>
      <w:r w:rsidR="0084266B">
        <w:rPr>
          <w:szCs w:val="22"/>
        </w:rPr>
        <w:t xml:space="preserve">of that decision </w:t>
      </w:r>
      <w:r w:rsidR="003220EC">
        <w:rPr>
          <w:szCs w:val="22"/>
        </w:rPr>
        <w:t xml:space="preserve">within </w:t>
      </w:r>
      <w:r w:rsidR="00677A1C">
        <w:rPr>
          <w:szCs w:val="22"/>
        </w:rPr>
        <w:t>ten</w:t>
      </w:r>
      <w:r w:rsidR="00B929A4">
        <w:rPr>
          <w:szCs w:val="22"/>
        </w:rPr>
        <w:t xml:space="preserve"> </w:t>
      </w:r>
      <w:r w:rsidR="003220EC">
        <w:rPr>
          <w:szCs w:val="22"/>
        </w:rPr>
        <w:t>(</w:t>
      </w:r>
      <w:r w:rsidR="00677A1C">
        <w:rPr>
          <w:szCs w:val="22"/>
        </w:rPr>
        <w:t>1</w:t>
      </w:r>
      <w:r w:rsidR="003220EC">
        <w:rPr>
          <w:szCs w:val="22"/>
        </w:rPr>
        <w:t xml:space="preserve">0) </w:t>
      </w:r>
      <w:r w:rsidR="001E63C0">
        <w:rPr>
          <w:szCs w:val="22"/>
        </w:rPr>
        <w:t xml:space="preserve">calendar </w:t>
      </w:r>
      <w:r w:rsidR="003220EC">
        <w:rPr>
          <w:szCs w:val="22"/>
        </w:rPr>
        <w:t xml:space="preserve">days of </w:t>
      </w:r>
      <w:r w:rsidR="00891E80">
        <w:rPr>
          <w:szCs w:val="22"/>
        </w:rPr>
        <w:t>the Non-Consummation Date</w:t>
      </w:r>
      <w:r w:rsidR="00677A1C">
        <w:rPr>
          <w:szCs w:val="22"/>
        </w:rPr>
        <w:t xml:space="preserve">; and (b) </w:t>
      </w:r>
      <w:r w:rsidR="003220EC">
        <w:rPr>
          <w:szCs w:val="22"/>
        </w:rPr>
        <w:t xml:space="preserve">commence adherence to the Contingent Compliance Plan obligations set forth in paragraph </w:t>
      </w:r>
      <w:r w:rsidR="004958B3">
        <w:rPr>
          <w:szCs w:val="22"/>
        </w:rPr>
        <w:t>1</w:t>
      </w:r>
      <w:r w:rsidR="005D55DC">
        <w:rPr>
          <w:szCs w:val="22"/>
        </w:rPr>
        <w:t>8</w:t>
      </w:r>
      <w:r w:rsidR="003220EC">
        <w:rPr>
          <w:szCs w:val="22"/>
        </w:rPr>
        <w:t xml:space="preserve"> </w:t>
      </w:r>
      <w:r w:rsidR="009E480B">
        <w:rPr>
          <w:szCs w:val="22"/>
        </w:rPr>
        <w:t xml:space="preserve">and the </w:t>
      </w:r>
      <w:r w:rsidR="00E25D49">
        <w:rPr>
          <w:szCs w:val="22"/>
        </w:rPr>
        <w:t>r</w:t>
      </w:r>
      <w:r w:rsidR="009E480B">
        <w:rPr>
          <w:szCs w:val="22"/>
        </w:rPr>
        <w:t xml:space="preserve">eporting obligations set forth in paragraph 19 </w:t>
      </w:r>
      <w:r w:rsidR="003220EC">
        <w:rPr>
          <w:szCs w:val="22"/>
        </w:rPr>
        <w:t xml:space="preserve">within thirty (30) </w:t>
      </w:r>
      <w:r w:rsidR="00B266A8">
        <w:rPr>
          <w:szCs w:val="22"/>
        </w:rPr>
        <w:t xml:space="preserve">calendar </w:t>
      </w:r>
      <w:r w:rsidR="003220EC">
        <w:rPr>
          <w:szCs w:val="22"/>
        </w:rPr>
        <w:t>days of</w:t>
      </w:r>
      <w:r w:rsidR="00891E80">
        <w:rPr>
          <w:szCs w:val="22"/>
        </w:rPr>
        <w:t xml:space="preserve"> the</w:t>
      </w:r>
      <w:r w:rsidR="00891E80" w:rsidRPr="00891E80">
        <w:rPr>
          <w:szCs w:val="22"/>
        </w:rPr>
        <w:t xml:space="preserve"> </w:t>
      </w:r>
      <w:r w:rsidR="00891E80">
        <w:rPr>
          <w:szCs w:val="22"/>
        </w:rPr>
        <w:t>Non-Consummation Date</w:t>
      </w:r>
      <w:r w:rsidR="003220EC">
        <w:rPr>
          <w:szCs w:val="22"/>
        </w:rPr>
        <w:t xml:space="preserve">.  </w:t>
      </w:r>
      <w:r w:rsidR="003220EC" w:rsidRPr="00F07DB0">
        <w:rPr>
          <w:szCs w:val="22"/>
        </w:rPr>
        <w:t>GAB shall send</w:t>
      </w:r>
      <w:r w:rsidR="00677A1C">
        <w:rPr>
          <w:szCs w:val="22"/>
        </w:rPr>
        <w:t xml:space="preserve"> this </w:t>
      </w:r>
      <w:r w:rsidR="0084266B">
        <w:rPr>
          <w:szCs w:val="22"/>
        </w:rPr>
        <w:t>n</w:t>
      </w:r>
      <w:r w:rsidR="00677A1C">
        <w:rPr>
          <w:szCs w:val="22"/>
        </w:rPr>
        <w:t>otice</w:t>
      </w:r>
      <w:r w:rsidR="003220EC" w:rsidRPr="00F07DB0">
        <w:rPr>
          <w:szCs w:val="22"/>
        </w:rPr>
        <w:t xml:space="preserve"> to </w:t>
      </w:r>
      <w:r w:rsidR="003220EC" w:rsidRPr="001C219D">
        <w:rPr>
          <w:szCs w:val="22"/>
        </w:rPr>
        <w:t xml:space="preserve">William A. Kehoe at </w:t>
      </w:r>
      <w:hyperlink r:id="rId20" w:history="1">
        <w:r w:rsidR="003220EC" w:rsidRPr="001C219D">
          <w:rPr>
            <w:rStyle w:val="Hyperlink"/>
            <w:color w:val="auto"/>
            <w:szCs w:val="22"/>
            <w:u w:val="none"/>
          </w:rPr>
          <w:t>William.Kehoe@fcc.gov</w:t>
        </w:r>
      </w:hyperlink>
      <w:r w:rsidR="003220EC" w:rsidRPr="001C219D">
        <w:rPr>
          <w:szCs w:val="22"/>
        </w:rPr>
        <w:t xml:space="preserve"> and Robert B. Krinsky at </w:t>
      </w:r>
      <w:hyperlink r:id="rId21" w:history="1">
        <w:r w:rsidR="003220EC" w:rsidRPr="001C219D">
          <w:rPr>
            <w:rStyle w:val="Hyperlink"/>
            <w:color w:val="auto"/>
            <w:szCs w:val="22"/>
            <w:u w:val="none"/>
          </w:rPr>
          <w:t>Robert.Krinsky@fcc.gov</w:t>
        </w:r>
      </w:hyperlink>
      <w:r w:rsidR="00CF6B8D">
        <w:rPr>
          <w:szCs w:val="22"/>
        </w:rPr>
        <w:t xml:space="preserve">.  </w:t>
      </w:r>
    </w:p>
    <w:p w:rsidR="00634C1C" w:rsidRDefault="00472918" w:rsidP="00634C1C">
      <w:pPr>
        <w:pStyle w:val="par1"/>
        <w:tabs>
          <w:tab w:val="num" w:pos="1440"/>
        </w:tabs>
        <w:spacing w:after="120"/>
        <w:rPr>
          <w:szCs w:val="22"/>
        </w:rPr>
      </w:pPr>
      <w:r w:rsidRPr="003262FA">
        <w:rPr>
          <w:b/>
          <w:szCs w:val="22"/>
          <w:u w:val="single"/>
        </w:rPr>
        <w:t>Contingent Complia</w:t>
      </w:r>
      <w:r w:rsidR="00634C1C" w:rsidRPr="003262FA">
        <w:rPr>
          <w:b/>
          <w:szCs w:val="22"/>
          <w:u w:val="single"/>
        </w:rPr>
        <w:t>nce Plan and Reporting Obligations; Termination Dat</w:t>
      </w:r>
      <w:r w:rsidR="00634C1C" w:rsidRPr="00311E3A">
        <w:rPr>
          <w:b/>
          <w:szCs w:val="22"/>
          <w:u w:val="single"/>
        </w:rPr>
        <w:t>e</w:t>
      </w:r>
      <w:r w:rsidR="00634C1C" w:rsidRPr="00103193">
        <w:rPr>
          <w:b/>
          <w:szCs w:val="22"/>
          <w:u w:val="single"/>
        </w:rPr>
        <w:t>.</w:t>
      </w:r>
      <w:r w:rsidR="00634C1C">
        <w:rPr>
          <w:szCs w:val="22"/>
        </w:rPr>
        <w:t xml:space="preserve">  GAB agrees that</w:t>
      </w:r>
      <w:r w:rsidR="0082225A">
        <w:rPr>
          <w:szCs w:val="22"/>
        </w:rPr>
        <w:t xml:space="preserve"> if a Non-Consummation </w:t>
      </w:r>
      <w:r w:rsidR="005D55DC">
        <w:rPr>
          <w:szCs w:val="22"/>
        </w:rPr>
        <w:t>Date</w:t>
      </w:r>
      <w:r w:rsidR="00883AA9">
        <w:rPr>
          <w:szCs w:val="22"/>
        </w:rPr>
        <w:t xml:space="preserve"> </w:t>
      </w:r>
      <w:r w:rsidR="0082225A">
        <w:rPr>
          <w:szCs w:val="22"/>
        </w:rPr>
        <w:t>occurs</w:t>
      </w:r>
      <w:r w:rsidR="00634C1C">
        <w:rPr>
          <w:szCs w:val="22"/>
        </w:rPr>
        <w:t xml:space="preserve"> </w:t>
      </w:r>
      <w:r w:rsidR="0082225A">
        <w:rPr>
          <w:szCs w:val="22"/>
        </w:rPr>
        <w:t>the Company</w:t>
      </w:r>
      <w:r w:rsidR="00634C1C">
        <w:rPr>
          <w:szCs w:val="22"/>
        </w:rPr>
        <w:t xml:space="preserve"> will appoint a Compliance Officer, develop and implement a Compliance Plan, and file periodic Compliance Reports, as set forth in this paragraph.  </w:t>
      </w:r>
    </w:p>
    <w:p w:rsidR="00634C1C" w:rsidRPr="00634C1C" w:rsidRDefault="00634C1C" w:rsidP="00634C1C">
      <w:pPr>
        <w:pStyle w:val="par1"/>
        <w:numPr>
          <w:ilvl w:val="0"/>
          <w:numId w:val="16"/>
        </w:numPr>
        <w:spacing w:after="120"/>
        <w:rPr>
          <w:szCs w:val="22"/>
        </w:rPr>
      </w:pPr>
      <w:r w:rsidRPr="00472918">
        <w:rPr>
          <w:szCs w:val="22"/>
          <w:u w:val="single"/>
        </w:rPr>
        <w:t>Contingent Compliance Officer.</w:t>
      </w:r>
      <w:r>
        <w:rPr>
          <w:szCs w:val="22"/>
        </w:rPr>
        <w:t xml:space="preserve">  </w:t>
      </w:r>
      <w:r w:rsidR="00715AAF">
        <w:rPr>
          <w:szCs w:val="22"/>
        </w:rPr>
        <w:t>W</w:t>
      </w:r>
      <w:r>
        <w:rPr>
          <w:szCs w:val="22"/>
        </w:rPr>
        <w:t>ithin thirty (30) calendar</w:t>
      </w:r>
      <w:r w:rsidR="00472918">
        <w:rPr>
          <w:szCs w:val="22"/>
        </w:rPr>
        <w:t xml:space="preserve"> days after </w:t>
      </w:r>
      <w:r w:rsidR="00715AAF">
        <w:rPr>
          <w:szCs w:val="22"/>
        </w:rPr>
        <w:t xml:space="preserve">any </w:t>
      </w:r>
      <w:r w:rsidR="00472918">
        <w:rPr>
          <w:szCs w:val="22"/>
        </w:rPr>
        <w:t>Non-Consummatio</w:t>
      </w:r>
      <w:r>
        <w:rPr>
          <w:szCs w:val="22"/>
        </w:rPr>
        <w:t>n</w:t>
      </w:r>
      <w:r w:rsidR="00483494">
        <w:rPr>
          <w:szCs w:val="22"/>
        </w:rPr>
        <w:t xml:space="preserve"> Date</w:t>
      </w:r>
      <w:r>
        <w:rPr>
          <w:szCs w:val="22"/>
        </w:rPr>
        <w:t>, GAB shall</w:t>
      </w:r>
      <w:r w:rsidR="00472918">
        <w:rPr>
          <w:szCs w:val="22"/>
        </w:rPr>
        <w:t xml:space="preserve"> </w:t>
      </w:r>
      <w:r>
        <w:rPr>
          <w:szCs w:val="22"/>
        </w:rPr>
        <w:t>des</w:t>
      </w:r>
      <w:r w:rsidR="00B266A8">
        <w:rPr>
          <w:szCs w:val="22"/>
        </w:rPr>
        <w:t>ignate a</w:t>
      </w:r>
      <w:r>
        <w:rPr>
          <w:szCs w:val="22"/>
        </w:rPr>
        <w:t xml:space="preserve"> senior manager with the requisite corporate and organization</w:t>
      </w:r>
      <w:r w:rsidR="00472918">
        <w:rPr>
          <w:szCs w:val="22"/>
        </w:rPr>
        <w:t>al authority to serve as Complia</w:t>
      </w:r>
      <w:r>
        <w:rPr>
          <w:szCs w:val="22"/>
        </w:rPr>
        <w:t xml:space="preserve">nce Officer </w:t>
      </w:r>
      <w:r w:rsidR="00472918">
        <w:rPr>
          <w:szCs w:val="22"/>
        </w:rPr>
        <w:t>and to discharge the duti</w:t>
      </w:r>
      <w:r>
        <w:rPr>
          <w:szCs w:val="22"/>
        </w:rPr>
        <w:t xml:space="preserve">es set forth below.  </w:t>
      </w:r>
      <w:r w:rsidR="0082225A">
        <w:rPr>
          <w:szCs w:val="22"/>
        </w:rPr>
        <w:t xml:space="preserve">Any </w:t>
      </w:r>
      <w:r>
        <w:rPr>
          <w:szCs w:val="22"/>
        </w:rPr>
        <w:t>person design</w:t>
      </w:r>
      <w:r w:rsidR="00472918">
        <w:rPr>
          <w:szCs w:val="22"/>
        </w:rPr>
        <w:t xml:space="preserve">ated as the Compliance Officer </w:t>
      </w:r>
      <w:r w:rsidR="00561A92">
        <w:rPr>
          <w:szCs w:val="22"/>
        </w:rPr>
        <w:t xml:space="preserve">after </w:t>
      </w:r>
      <w:r w:rsidR="00B27452">
        <w:rPr>
          <w:szCs w:val="22"/>
        </w:rPr>
        <w:t xml:space="preserve">a Non-Consummation </w:t>
      </w:r>
      <w:r w:rsidR="00483494">
        <w:rPr>
          <w:szCs w:val="22"/>
        </w:rPr>
        <w:t>Date</w:t>
      </w:r>
      <w:r w:rsidR="00883AA9">
        <w:rPr>
          <w:szCs w:val="22"/>
        </w:rPr>
        <w:t xml:space="preserve"> </w:t>
      </w:r>
      <w:r>
        <w:rPr>
          <w:szCs w:val="22"/>
        </w:rPr>
        <w:t>shall be responsible for developing, implementin</w:t>
      </w:r>
      <w:r w:rsidR="00472918">
        <w:rPr>
          <w:szCs w:val="22"/>
        </w:rPr>
        <w:t xml:space="preserve">g, and administering the </w:t>
      </w:r>
      <w:r w:rsidR="00B266A8">
        <w:rPr>
          <w:szCs w:val="22"/>
        </w:rPr>
        <w:t xml:space="preserve">Contingent </w:t>
      </w:r>
      <w:r w:rsidR="00472918">
        <w:rPr>
          <w:szCs w:val="22"/>
        </w:rPr>
        <w:t>Complia</w:t>
      </w:r>
      <w:r>
        <w:rPr>
          <w:szCs w:val="22"/>
        </w:rPr>
        <w:t xml:space="preserve">nce Plan and ensuring that </w:t>
      </w:r>
      <w:r w:rsidR="00C046F0">
        <w:rPr>
          <w:szCs w:val="22"/>
        </w:rPr>
        <w:t xml:space="preserve">GAB </w:t>
      </w:r>
      <w:r>
        <w:rPr>
          <w:szCs w:val="22"/>
        </w:rPr>
        <w:t>complies with the terms and conditions o</w:t>
      </w:r>
      <w:r w:rsidR="00472918">
        <w:rPr>
          <w:szCs w:val="22"/>
        </w:rPr>
        <w:t xml:space="preserve">f the </w:t>
      </w:r>
      <w:r w:rsidR="00B266A8">
        <w:rPr>
          <w:szCs w:val="22"/>
        </w:rPr>
        <w:t xml:space="preserve">Contingent </w:t>
      </w:r>
      <w:r w:rsidR="00472918">
        <w:rPr>
          <w:szCs w:val="22"/>
        </w:rPr>
        <w:t>Complianc</w:t>
      </w:r>
      <w:r>
        <w:rPr>
          <w:szCs w:val="22"/>
        </w:rPr>
        <w:t>e Plan a</w:t>
      </w:r>
      <w:r w:rsidR="00B266A8">
        <w:rPr>
          <w:szCs w:val="22"/>
        </w:rPr>
        <w:t xml:space="preserve">nd </w:t>
      </w:r>
      <w:r w:rsidR="0082225A">
        <w:rPr>
          <w:szCs w:val="22"/>
        </w:rPr>
        <w:t xml:space="preserve">the </w:t>
      </w:r>
      <w:r w:rsidR="00B266A8">
        <w:rPr>
          <w:szCs w:val="22"/>
        </w:rPr>
        <w:t xml:space="preserve">Consent Decree.  </w:t>
      </w:r>
      <w:r w:rsidR="00B27452">
        <w:rPr>
          <w:szCs w:val="22"/>
        </w:rPr>
        <w:t xml:space="preserve">Any person designated as the Compliance Officer </w:t>
      </w:r>
      <w:r w:rsidR="00561A92">
        <w:rPr>
          <w:szCs w:val="22"/>
        </w:rPr>
        <w:t xml:space="preserve">after </w:t>
      </w:r>
      <w:r w:rsidR="00B27452">
        <w:rPr>
          <w:szCs w:val="22"/>
        </w:rPr>
        <w:t xml:space="preserve">a Non-Consummation </w:t>
      </w:r>
      <w:r w:rsidR="00483494">
        <w:rPr>
          <w:szCs w:val="22"/>
        </w:rPr>
        <w:t>Date</w:t>
      </w:r>
      <w:r w:rsidR="007E3D79">
        <w:rPr>
          <w:szCs w:val="22"/>
        </w:rPr>
        <w:t>,</w:t>
      </w:r>
      <w:r w:rsidR="00B27452">
        <w:rPr>
          <w:szCs w:val="22"/>
        </w:rPr>
        <w:t xml:space="preserve"> i</w:t>
      </w:r>
      <w:r w:rsidR="00B266A8">
        <w:rPr>
          <w:szCs w:val="22"/>
        </w:rPr>
        <w:t>n addition</w:t>
      </w:r>
      <w:r>
        <w:rPr>
          <w:szCs w:val="22"/>
        </w:rPr>
        <w:t xml:space="preserve"> to </w:t>
      </w:r>
      <w:r w:rsidR="00B27452">
        <w:rPr>
          <w:szCs w:val="22"/>
        </w:rPr>
        <w:t xml:space="preserve">possessing </w:t>
      </w:r>
      <w:r>
        <w:rPr>
          <w:szCs w:val="22"/>
        </w:rPr>
        <w:t>the g</w:t>
      </w:r>
      <w:r w:rsidR="00472918">
        <w:rPr>
          <w:szCs w:val="22"/>
        </w:rPr>
        <w:t>eneral knowledge of the Communi</w:t>
      </w:r>
      <w:r>
        <w:rPr>
          <w:szCs w:val="22"/>
        </w:rPr>
        <w:t xml:space="preserve">cations Laws necessary to discharge </w:t>
      </w:r>
      <w:r w:rsidR="00472918">
        <w:rPr>
          <w:szCs w:val="22"/>
        </w:rPr>
        <w:t>his/her duties</w:t>
      </w:r>
      <w:r w:rsidR="001E600B">
        <w:rPr>
          <w:szCs w:val="22"/>
        </w:rPr>
        <w:t xml:space="preserve"> under this Consent Decree</w:t>
      </w:r>
      <w:r w:rsidR="00B27452">
        <w:rPr>
          <w:szCs w:val="22"/>
        </w:rPr>
        <w:t>,</w:t>
      </w:r>
      <w:r w:rsidR="00472918">
        <w:rPr>
          <w:szCs w:val="22"/>
        </w:rPr>
        <w:t xml:space="preserve"> </w:t>
      </w:r>
      <w:r w:rsidR="001E600B">
        <w:rPr>
          <w:szCs w:val="22"/>
        </w:rPr>
        <w:t xml:space="preserve">shall have specific knowledge of the Alien Ownership Rules and the Licensing Rules prior to assuming his/her </w:t>
      </w:r>
      <w:r w:rsidR="004E5BCA">
        <w:rPr>
          <w:szCs w:val="22"/>
        </w:rPr>
        <w:t>duties and</w:t>
      </w:r>
      <w:r w:rsidR="00C87423">
        <w:rPr>
          <w:szCs w:val="22"/>
        </w:rPr>
        <w:t xml:space="preserve"> </w:t>
      </w:r>
      <w:r w:rsidR="00472918">
        <w:rPr>
          <w:szCs w:val="22"/>
        </w:rPr>
        <w:t>shall commit to enforcing high standards with respect to the Alien Ownershi</w:t>
      </w:r>
      <w:r w:rsidR="00B266A8">
        <w:rPr>
          <w:szCs w:val="22"/>
        </w:rPr>
        <w:t xml:space="preserve">p Rules and the Licensing Rules </w:t>
      </w:r>
      <w:r w:rsidR="00472918">
        <w:rPr>
          <w:szCs w:val="22"/>
        </w:rPr>
        <w:t xml:space="preserve">to avoid violations. </w:t>
      </w:r>
    </w:p>
    <w:p w:rsidR="00167D7C" w:rsidRDefault="008C61DF" w:rsidP="00634C1C">
      <w:pPr>
        <w:pStyle w:val="par1"/>
        <w:numPr>
          <w:ilvl w:val="0"/>
          <w:numId w:val="16"/>
        </w:numPr>
        <w:spacing w:after="120"/>
        <w:rPr>
          <w:szCs w:val="22"/>
        </w:rPr>
      </w:pPr>
      <w:r w:rsidRPr="00634C1C">
        <w:rPr>
          <w:szCs w:val="22"/>
          <w:u w:val="single"/>
        </w:rPr>
        <w:t>Contingent Compliance Plan.</w:t>
      </w:r>
      <w:r w:rsidRPr="008C61DF">
        <w:rPr>
          <w:b/>
          <w:szCs w:val="22"/>
        </w:rPr>
        <w:t xml:space="preserve"> </w:t>
      </w:r>
      <w:r w:rsidR="00561A92">
        <w:rPr>
          <w:b/>
          <w:szCs w:val="22"/>
        </w:rPr>
        <w:t xml:space="preserve"> </w:t>
      </w:r>
      <w:r w:rsidRPr="008C61DF">
        <w:rPr>
          <w:szCs w:val="22"/>
        </w:rPr>
        <w:t>GAB agrees that it shall</w:t>
      </w:r>
      <w:r>
        <w:rPr>
          <w:szCs w:val="22"/>
        </w:rPr>
        <w:t xml:space="preserve">, within sixty (60) calendar days of </w:t>
      </w:r>
      <w:r w:rsidR="001E63C0">
        <w:rPr>
          <w:szCs w:val="22"/>
        </w:rPr>
        <w:t>any</w:t>
      </w:r>
      <w:r>
        <w:rPr>
          <w:szCs w:val="22"/>
        </w:rPr>
        <w:t xml:space="preserve"> Non-Consummation</w:t>
      </w:r>
      <w:r w:rsidR="00164CC3">
        <w:rPr>
          <w:szCs w:val="22"/>
        </w:rPr>
        <w:t xml:space="preserve"> </w:t>
      </w:r>
      <w:r w:rsidR="00483494">
        <w:rPr>
          <w:szCs w:val="22"/>
        </w:rPr>
        <w:t>Date</w:t>
      </w:r>
      <w:r>
        <w:rPr>
          <w:szCs w:val="22"/>
        </w:rPr>
        <w:t xml:space="preserve">, develop and implement a Compliance Plan designed to ensure future compliance with the Communications Laws and with the terms and conditions of the Consent Decree.  </w:t>
      </w:r>
      <w:r w:rsidR="00561A92">
        <w:rPr>
          <w:szCs w:val="22"/>
        </w:rPr>
        <w:t>As part of any such Compliance Plan, GAB shall implement the following procedures w</w:t>
      </w:r>
      <w:r>
        <w:rPr>
          <w:szCs w:val="22"/>
        </w:rPr>
        <w:t>ith respect to the Alien Ownership Rules and the Licensing Rules</w:t>
      </w:r>
      <w:r w:rsidR="00FC0600">
        <w:rPr>
          <w:szCs w:val="22"/>
        </w:rPr>
        <w:t>:</w:t>
      </w:r>
    </w:p>
    <w:p w:rsidR="00206EA9" w:rsidRDefault="008E3CE2" w:rsidP="00634C1C">
      <w:pPr>
        <w:pStyle w:val="par1"/>
        <w:numPr>
          <w:ilvl w:val="0"/>
          <w:numId w:val="17"/>
        </w:numPr>
        <w:spacing w:after="120"/>
        <w:rPr>
          <w:szCs w:val="22"/>
        </w:rPr>
      </w:pPr>
      <w:r w:rsidRPr="00634C1C">
        <w:rPr>
          <w:szCs w:val="22"/>
          <w:u w:val="single"/>
        </w:rPr>
        <w:t>Operatin</w:t>
      </w:r>
      <w:r w:rsidR="003D0DF2">
        <w:rPr>
          <w:szCs w:val="22"/>
          <w:u w:val="single"/>
        </w:rPr>
        <w:t>g</w:t>
      </w:r>
      <w:r w:rsidRPr="00634C1C">
        <w:rPr>
          <w:szCs w:val="22"/>
          <w:u w:val="single"/>
        </w:rPr>
        <w:t xml:space="preserve"> Procedure</w:t>
      </w:r>
      <w:r w:rsidRPr="00311E3A">
        <w:rPr>
          <w:szCs w:val="22"/>
          <w:u w:val="single"/>
        </w:rPr>
        <w:t>s</w:t>
      </w:r>
      <w:r w:rsidRPr="00103193">
        <w:rPr>
          <w:szCs w:val="22"/>
          <w:u w:val="single"/>
        </w:rPr>
        <w:t>.</w:t>
      </w:r>
      <w:r>
        <w:rPr>
          <w:szCs w:val="22"/>
        </w:rPr>
        <w:t xml:space="preserve">  </w:t>
      </w:r>
      <w:r w:rsidR="00B360C5">
        <w:rPr>
          <w:szCs w:val="22"/>
        </w:rPr>
        <w:t>W</w:t>
      </w:r>
      <w:r w:rsidR="00FC0600">
        <w:rPr>
          <w:szCs w:val="22"/>
        </w:rPr>
        <w:t>ithin sixty (60)</w:t>
      </w:r>
      <w:r w:rsidR="008425A5">
        <w:rPr>
          <w:szCs w:val="22"/>
        </w:rPr>
        <w:t xml:space="preserve"> </w:t>
      </w:r>
      <w:r w:rsidR="00FC0600">
        <w:rPr>
          <w:szCs w:val="22"/>
        </w:rPr>
        <w:t xml:space="preserve">calendar days after </w:t>
      </w:r>
      <w:r w:rsidR="003D0DF2">
        <w:rPr>
          <w:szCs w:val="22"/>
        </w:rPr>
        <w:t xml:space="preserve">any </w:t>
      </w:r>
      <w:r w:rsidR="00206EA9">
        <w:rPr>
          <w:szCs w:val="22"/>
        </w:rPr>
        <w:t>Non-Consummation</w:t>
      </w:r>
      <w:r w:rsidR="00164CC3">
        <w:rPr>
          <w:szCs w:val="22"/>
        </w:rPr>
        <w:t xml:space="preserve"> </w:t>
      </w:r>
      <w:r w:rsidR="00483494">
        <w:rPr>
          <w:szCs w:val="22"/>
        </w:rPr>
        <w:t>Date</w:t>
      </w:r>
      <w:r w:rsidR="004E5BCA">
        <w:rPr>
          <w:szCs w:val="22"/>
        </w:rPr>
        <w:t>,</w:t>
      </w:r>
      <w:r w:rsidR="00FC0600">
        <w:rPr>
          <w:szCs w:val="22"/>
        </w:rPr>
        <w:t xml:space="preserve"> GAB shall establish Operating Procedures that all Covered Employees must follow to help ensure GAB</w:t>
      </w:r>
      <w:r w:rsidR="005C5ABA">
        <w:rPr>
          <w:szCs w:val="22"/>
        </w:rPr>
        <w:t>’</w:t>
      </w:r>
      <w:r w:rsidR="00FC0600">
        <w:rPr>
          <w:szCs w:val="22"/>
        </w:rPr>
        <w:t xml:space="preserve">s compliance with the Alien Ownership Rules and the Licensing Rules.  </w:t>
      </w:r>
      <w:r w:rsidR="00B360C5">
        <w:rPr>
          <w:szCs w:val="22"/>
        </w:rPr>
        <w:t xml:space="preserve">Any such </w:t>
      </w:r>
      <w:r w:rsidR="0040382A">
        <w:rPr>
          <w:szCs w:val="22"/>
        </w:rPr>
        <w:t>Operati</w:t>
      </w:r>
      <w:r w:rsidR="00206EA9">
        <w:rPr>
          <w:szCs w:val="22"/>
        </w:rPr>
        <w:t>ng Procedures shall include internal procedures and policies specifically designed to ensu</w:t>
      </w:r>
      <w:r w:rsidR="00C046F0">
        <w:rPr>
          <w:szCs w:val="22"/>
        </w:rPr>
        <w:t>re that the Compliance Officer</w:t>
      </w:r>
      <w:r w:rsidR="00206EA9">
        <w:rPr>
          <w:szCs w:val="22"/>
        </w:rPr>
        <w:t>, or management-level employee of GAB directly supervised by the</w:t>
      </w:r>
      <w:r w:rsidR="0040382A">
        <w:rPr>
          <w:szCs w:val="22"/>
        </w:rPr>
        <w:t xml:space="preserve"> Compliance Officer</w:t>
      </w:r>
      <w:r w:rsidR="00206EA9">
        <w:rPr>
          <w:szCs w:val="22"/>
        </w:rPr>
        <w:t>, conducts a review of any pr</w:t>
      </w:r>
      <w:r w:rsidR="0040382A">
        <w:rPr>
          <w:szCs w:val="22"/>
        </w:rPr>
        <w:t>o</w:t>
      </w:r>
      <w:r w:rsidR="00131D03">
        <w:rPr>
          <w:szCs w:val="22"/>
        </w:rPr>
        <w:t>posed change in alien ownership and</w:t>
      </w:r>
      <w:r w:rsidR="0040382A">
        <w:rPr>
          <w:szCs w:val="22"/>
        </w:rPr>
        <w:t xml:space="preserve"> any proposed assignment or transfer of control. </w:t>
      </w:r>
      <w:r w:rsidR="00131D03">
        <w:rPr>
          <w:szCs w:val="22"/>
        </w:rPr>
        <w:t xml:space="preserve"> </w:t>
      </w:r>
      <w:r w:rsidR="00B360C5">
        <w:rPr>
          <w:szCs w:val="22"/>
        </w:rPr>
        <w:t xml:space="preserve">Any such </w:t>
      </w:r>
      <w:r w:rsidR="0040382A">
        <w:rPr>
          <w:szCs w:val="22"/>
        </w:rPr>
        <w:t xml:space="preserve">Operating Procedures also shall include internal procedures and policies specifically designed to ensure that GAB timely </w:t>
      </w:r>
      <w:r w:rsidR="00131D03">
        <w:rPr>
          <w:szCs w:val="22"/>
        </w:rPr>
        <w:t xml:space="preserve">submits to the Commission </w:t>
      </w:r>
      <w:r w:rsidR="0040382A">
        <w:rPr>
          <w:szCs w:val="22"/>
        </w:rPr>
        <w:t xml:space="preserve">any applications and notification filings pursuant to the Alien Ownership Rules and the Licensing Rules.  </w:t>
      </w:r>
      <w:r w:rsidR="00B360C5">
        <w:rPr>
          <w:szCs w:val="22"/>
        </w:rPr>
        <w:t xml:space="preserve">As part of such Operating Procedures, </w:t>
      </w:r>
      <w:r w:rsidR="0040382A">
        <w:rPr>
          <w:szCs w:val="22"/>
        </w:rPr>
        <w:t>GAB also shall develop a Compliance Checklist that describes the steps that a Covered E</w:t>
      </w:r>
      <w:r w:rsidR="00BE3188">
        <w:rPr>
          <w:szCs w:val="22"/>
        </w:rPr>
        <w:t>mployee must follow to ensure GAB</w:t>
      </w:r>
      <w:r w:rsidR="005C5ABA">
        <w:rPr>
          <w:szCs w:val="22"/>
        </w:rPr>
        <w:t>’</w:t>
      </w:r>
      <w:r w:rsidR="00BE3188">
        <w:rPr>
          <w:szCs w:val="22"/>
        </w:rPr>
        <w:t>s compliance with</w:t>
      </w:r>
      <w:r w:rsidR="0040382A">
        <w:rPr>
          <w:szCs w:val="22"/>
        </w:rPr>
        <w:t xml:space="preserve"> the Alien Ownership Rules and the Licensing Rules.</w:t>
      </w:r>
      <w:r w:rsidR="00BE3188">
        <w:rPr>
          <w:szCs w:val="22"/>
        </w:rPr>
        <w:t xml:space="preserve"> </w:t>
      </w:r>
    </w:p>
    <w:p w:rsidR="00BE3188" w:rsidRDefault="00BE3188" w:rsidP="00634C1C">
      <w:pPr>
        <w:pStyle w:val="par1"/>
        <w:numPr>
          <w:ilvl w:val="0"/>
          <w:numId w:val="17"/>
        </w:numPr>
        <w:spacing w:after="120"/>
        <w:rPr>
          <w:szCs w:val="22"/>
        </w:rPr>
      </w:pPr>
      <w:r w:rsidRPr="00BE3188">
        <w:rPr>
          <w:szCs w:val="22"/>
          <w:u w:val="single"/>
        </w:rPr>
        <w:t>Compliance Manual.</w:t>
      </w:r>
      <w:r w:rsidRPr="00131D03">
        <w:rPr>
          <w:szCs w:val="22"/>
        </w:rPr>
        <w:t xml:space="preserve">  </w:t>
      </w:r>
      <w:r w:rsidR="00FE47E3">
        <w:rPr>
          <w:szCs w:val="22"/>
        </w:rPr>
        <w:t>W</w:t>
      </w:r>
      <w:r>
        <w:rPr>
          <w:szCs w:val="22"/>
        </w:rPr>
        <w:t xml:space="preserve">ithin sixty (60) calendar days after </w:t>
      </w:r>
      <w:r w:rsidR="00BE6848">
        <w:rPr>
          <w:szCs w:val="22"/>
        </w:rPr>
        <w:t>any</w:t>
      </w:r>
      <w:r>
        <w:rPr>
          <w:szCs w:val="22"/>
        </w:rPr>
        <w:t xml:space="preserve"> Non-Consummation</w:t>
      </w:r>
      <w:r w:rsidR="00164CC3">
        <w:rPr>
          <w:szCs w:val="22"/>
        </w:rPr>
        <w:t xml:space="preserve"> </w:t>
      </w:r>
      <w:r w:rsidR="00483494">
        <w:rPr>
          <w:szCs w:val="22"/>
        </w:rPr>
        <w:t>Date</w:t>
      </w:r>
      <w:r>
        <w:rPr>
          <w:szCs w:val="22"/>
        </w:rPr>
        <w:t>, the Compliance Officer (with the assistance of counsel</w:t>
      </w:r>
      <w:r w:rsidR="00131D03">
        <w:rPr>
          <w:szCs w:val="22"/>
        </w:rPr>
        <w:t>,</w:t>
      </w:r>
      <w:r>
        <w:rPr>
          <w:szCs w:val="22"/>
        </w:rPr>
        <w:t xml:space="preserve"> as appropriate) shall develop and distribute a Compliance Manual to all Covered Employees.  </w:t>
      </w:r>
      <w:r w:rsidR="00FE47E3">
        <w:rPr>
          <w:szCs w:val="22"/>
        </w:rPr>
        <w:t xml:space="preserve">Any such </w:t>
      </w:r>
      <w:r>
        <w:rPr>
          <w:szCs w:val="22"/>
        </w:rPr>
        <w:t>Compliance Manual shall explain the Alien Ownership Rules and the Licensing Rules</w:t>
      </w:r>
      <w:r w:rsidRPr="00BE3188">
        <w:rPr>
          <w:szCs w:val="22"/>
        </w:rPr>
        <w:t xml:space="preserve"> and set forth the Operating Procedures that Covered Employees shall follow to help ensure GAB</w:t>
      </w:r>
      <w:r w:rsidR="005C5ABA">
        <w:rPr>
          <w:szCs w:val="22"/>
        </w:rPr>
        <w:t>’</w:t>
      </w:r>
      <w:r w:rsidRPr="00BE3188">
        <w:rPr>
          <w:szCs w:val="22"/>
        </w:rPr>
        <w:t xml:space="preserve">s compliance with the Communications Laws.  GAB shall periodically review and revise </w:t>
      </w:r>
      <w:r w:rsidR="00FE47E3">
        <w:rPr>
          <w:szCs w:val="22"/>
        </w:rPr>
        <w:t xml:space="preserve">any such </w:t>
      </w:r>
      <w:r w:rsidRPr="00BE3188">
        <w:rPr>
          <w:szCs w:val="22"/>
        </w:rPr>
        <w:t>Compliance Manual as necessary to ensure that</w:t>
      </w:r>
      <w:r w:rsidR="00767192">
        <w:rPr>
          <w:szCs w:val="22"/>
        </w:rPr>
        <w:t xml:space="preserve"> </w:t>
      </w:r>
      <w:r w:rsidR="001D1C3F">
        <w:rPr>
          <w:szCs w:val="22"/>
        </w:rPr>
        <w:t>it</w:t>
      </w:r>
      <w:r w:rsidRPr="00BE3188">
        <w:rPr>
          <w:szCs w:val="22"/>
        </w:rPr>
        <w:t xml:space="preserve"> remains current and complete.</w:t>
      </w:r>
      <w:r>
        <w:rPr>
          <w:szCs w:val="22"/>
        </w:rPr>
        <w:t xml:space="preserve">  </w:t>
      </w:r>
      <w:r w:rsidRPr="00BE3188">
        <w:rPr>
          <w:szCs w:val="22"/>
        </w:rPr>
        <w:t>GAB</w:t>
      </w:r>
      <w:r w:rsidR="00767192">
        <w:rPr>
          <w:szCs w:val="22"/>
        </w:rPr>
        <w:t xml:space="preserve"> shall distribute any revisions</w:t>
      </w:r>
      <w:r w:rsidRPr="00BE3188">
        <w:rPr>
          <w:szCs w:val="22"/>
        </w:rPr>
        <w:t xml:space="preserve"> to the Compliance Manual promptly to all Covered Employees</w:t>
      </w:r>
      <w:r>
        <w:rPr>
          <w:szCs w:val="22"/>
        </w:rPr>
        <w:t>.</w:t>
      </w:r>
    </w:p>
    <w:p w:rsidR="00D87113" w:rsidRDefault="007A4F77" w:rsidP="004958B3">
      <w:pPr>
        <w:pStyle w:val="par1"/>
        <w:numPr>
          <w:ilvl w:val="0"/>
          <w:numId w:val="17"/>
        </w:numPr>
        <w:spacing w:after="120"/>
        <w:rPr>
          <w:szCs w:val="22"/>
        </w:rPr>
      </w:pPr>
      <w:r>
        <w:rPr>
          <w:szCs w:val="22"/>
          <w:u w:val="single"/>
        </w:rPr>
        <w:t>Complia</w:t>
      </w:r>
      <w:r w:rsidR="00BE3188">
        <w:rPr>
          <w:szCs w:val="22"/>
          <w:u w:val="single"/>
        </w:rPr>
        <w:t>nce Training Program.</w:t>
      </w:r>
      <w:r w:rsidR="00BE3188">
        <w:rPr>
          <w:szCs w:val="22"/>
        </w:rPr>
        <w:t xml:space="preserve">  </w:t>
      </w:r>
      <w:r w:rsidR="00126658">
        <w:rPr>
          <w:szCs w:val="22"/>
        </w:rPr>
        <w:t xml:space="preserve">If a Non-Consummation </w:t>
      </w:r>
      <w:r w:rsidR="00483494">
        <w:rPr>
          <w:szCs w:val="22"/>
        </w:rPr>
        <w:t>Date</w:t>
      </w:r>
      <w:r w:rsidR="00164CC3">
        <w:rPr>
          <w:szCs w:val="22"/>
        </w:rPr>
        <w:t xml:space="preserve"> </w:t>
      </w:r>
      <w:r w:rsidR="00126658">
        <w:rPr>
          <w:szCs w:val="22"/>
        </w:rPr>
        <w:t xml:space="preserve">occurs, </w:t>
      </w:r>
      <w:r>
        <w:rPr>
          <w:szCs w:val="22"/>
        </w:rPr>
        <w:t>GAB</w:t>
      </w:r>
      <w:r w:rsidR="00767192">
        <w:rPr>
          <w:szCs w:val="22"/>
        </w:rPr>
        <w:t xml:space="preserve"> shall establish and implement </w:t>
      </w:r>
      <w:r>
        <w:rPr>
          <w:szCs w:val="22"/>
        </w:rPr>
        <w:t>a Compliance Trai</w:t>
      </w:r>
      <w:r w:rsidR="00767192">
        <w:rPr>
          <w:szCs w:val="22"/>
        </w:rPr>
        <w:t>n</w:t>
      </w:r>
      <w:r>
        <w:rPr>
          <w:szCs w:val="22"/>
        </w:rPr>
        <w:t>ing Program on compliance with the Alien Ownership Rules and the Lic</w:t>
      </w:r>
      <w:r w:rsidR="00767192">
        <w:rPr>
          <w:szCs w:val="22"/>
        </w:rPr>
        <w:t xml:space="preserve">ensing Rules.  </w:t>
      </w:r>
      <w:r w:rsidR="00E14500">
        <w:rPr>
          <w:szCs w:val="22"/>
        </w:rPr>
        <w:t xml:space="preserve">As part of any such Compliance Training Program: (a) Covered Employees shall be advised of the Licensee’s obligation to report any noncompliance with Alien Ownership Rules and the Licensing Rules under paragraph </w:t>
      </w:r>
      <w:r w:rsidR="000B38DD">
        <w:rPr>
          <w:szCs w:val="22"/>
        </w:rPr>
        <w:t>19</w:t>
      </w:r>
      <w:r w:rsidR="00164CC3">
        <w:rPr>
          <w:szCs w:val="22"/>
        </w:rPr>
        <w:t xml:space="preserve"> </w:t>
      </w:r>
      <w:r w:rsidR="00E14500">
        <w:rPr>
          <w:szCs w:val="22"/>
        </w:rPr>
        <w:t xml:space="preserve">of this Consent Decree, and shall be instructed how to disclose noncompliance to the Compliance Officer; (b) all Covered Employees shall be trained pursuant to the Compliance Training Program within sixty (60) calendar days after any Non-Consummation Date; (c) any person who becomes a Covered Employee at any time after the initial Compliance Training Program is conducted shall be trained within thirty (30) calendar days after the date such person becomes a Covered Employee; and (d) the Licensee shall repeat the compliance training on an annual basis, and shall periodically review and revise the Compliance Training Program as necessary to ensure that it remains current and complete and to enhance its effectiveness. </w:t>
      </w:r>
    </w:p>
    <w:p w:rsidR="00D87113" w:rsidRPr="00D87113" w:rsidRDefault="00D87113" w:rsidP="004958B3">
      <w:pPr>
        <w:pStyle w:val="par1"/>
        <w:numPr>
          <w:ilvl w:val="0"/>
          <w:numId w:val="17"/>
        </w:numPr>
        <w:spacing w:after="120"/>
        <w:rPr>
          <w:szCs w:val="22"/>
        </w:rPr>
      </w:pPr>
      <w:r w:rsidRPr="004958B3">
        <w:rPr>
          <w:szCs w:val="22"/>
          <w:u w:val="single"/>
        </w:rPr>
        <w:t>Contingent Compliance Reports.</w:t>
      </w:r>
      <w:r w:rsidRPr="00D87113">
        <w:rPr>
          <w:szCs w:val="22"/>
        </w:rPr>
        <w:t xml:space="preserve">  If a Non-Consummation </w:t>
      </w:r>
      <w:r w:rsidR="00483494">
        <w:rPr>
          <w:szCs w:val="22"/>
        </w:rPr>
        <w:t>Date</w:t>
      </w:r>
      <w:r w:rsidRPr="00D87113">
        <w:rPr>
          <w:szCs w:val="22"/>
        </w:rPr>
        <w:t xml:space="preserve"> occurs, GAB shall file Compliance Reports with the Commission ninety (90) days after the Effective Date; twelve (12) months after the Effective Date, twenty-four (24) months after the Effective Date, and thirty-six (36) months after the Effective Date, which shall meet the following criteria:</w:t>
      </w:r>
    </w:p>
    <w:p w:rsidR="00D87113" w:rsidRDefault="00D87113" w:rsidP="00D87113">
      <w:pPr>
        <w:pStyle w:val="par1"/>
        <w:numPr>
          <w:ilvl w:val="0"/>
          <w:numId w:val="18"/>
        </w:numPr>
        <w:spacing w:after="120"/>
        <w:ind w:left="1800"/>
        <w:rPr>
          <w:szCs w:val="22"/>
        </w:rPr>
      </w:pPr>
      <w:r>
        <w:rPr>
          <w:szCs w:val="22"/>
        </w:rPr>
        <w:t>Each Compliance Report shall include a detailed description of GAB’s efforts during the relevant period to comply with the terms and conditions of this Consent Decree, the Alien Ownership Rules, and the Licensing Rules.</w:t>
      </w:r>
    </w:p>
    <w:p w:rsidR="00D87113" w:rsidRDefault="00D87113" w:rsidP="00D87113">
      <w:pPr>
        <w:pStyle w:val="par1"/>
        <w:numPr>
          <w:ilvl w:val="0"/>
          <w:numId w:val="18"/>
        </w:numPr>
        <w:spacing w:after="120"/>
        <w:ind w:left="1800"/>
        <w:rPr>
          <w:szCs w:val="22"/>
        </w:rPr>
      </w:pPr>
      <w:r>
        <w:rPr>
          <w:szCs w:val="22"/>
        </w:rPr>
        <w:t xml:space="preserve">In addition, each Compliance Report shall include a certification by the Compliance Officer, as an agent of and on the behalf of GAB, stating that the Compliance Officer has personal knowledge that GAB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0B38DD">
        <w:rPr>
          <w:szCs w:val="22"/>
        </w:rPr>
        <w:t>19</w:t>
      </w:r>
      <w:r w:rsidR="00FE137E">
        <w:rPr>
          <w:szCs w:val="22"/>
        </w:rPr>
        <w:t xml:space="preserve"> of this Consent Decree</w:t>
      </w:r>
      <w:r>
        <w:rPr>
          <w:szCs w:val="22"/>
        </w:rPr>
        <w:t>.</w:t>
      </w:r>
    </w:p>
    <w:p w:rsidR="00D87113" w:rsidRDefault="00D87113" w:rsidP="00D87113">
      <w:pPr>
        <w:pStyle w:val="par1"/>
        <w:numPr>
          <w:ilvl w:val="0"/>
          <w:numId w:val="18"/>
        </w:numPr>
        <w:spacing w:after="120"/>
        <w:ind w:left="1800"/>
        <w:rPr>
          <w:szCs w:val="22"/>
        </w:rPr>
      </w:pPr>
      <w:r>
        <w:rPr>
          <w:szCs w:val="22"/>
        </w:rPr>
        <w:t>The Compliance Officer’s certification shall be accompanied by a statement explaining the basis for such certification and must comply with Section 1.16 of the Rules</w:t>
      </w:r>
      <w:r>
        <w:rPr>
          <w:rStyle w:val="FootnoteReference"/>
          <w:szCs w:val="22"/>
        </w:rPr>
        <w:footnoteReference w:id="44"/>
      </w:r>
      <w:r>
        <w:rPr>
          <w:szCs w:val="22"/>
        </w:rPr>
        <w:t xml:space="preserve"> and be subscribed to as true under penalty of perjury in substantially the form set forth in that Rule.</w:t>
      </w:r>
    </w:p>
    <w:p w:rsidR="00D87113" w:rsidRDefault="00D87113" w:rsidP="00D87113">
      <w:pPr>
        <w:pStyle w:val="par1"/>
        <w:numPr>
          <w:ilvl w:val="0"/>
          <w:numId w:val="18"/>
        </w:numPr>
        <w:spacing w:after="120"/>
        <w:ind w:left="1800"/>
        <w:rPr>
          <w:szCs w:val="22"/>
        </w:rPr>
      </w:pPr>
      <w:r>
        <w:rPr>
          <w:szCs w:val="22"/>
        </w:rPr>
        <w:t>If the Compliance Officer cannot provide the requisite certif</w:t>
      </w:r>
      <w:r w:rsidR="00FE137E">
        <w:rPr>
          <w:szCs w:val="22"/>
        </w:rPr>
        <w:t>ication, the Compliance Officer</w:t>
      </w:r>
      <w:r>
        <w:rPr>
          <w:szCs w:val="22"/>
        </w:rPr>
        <w:t xml:space="preserve">, as an agent of and on behalf of GAB, shall provide the Commission with a detailed explanation of the reason(s) why and describe fully (i) each instance of noncompliance; (ii) the steps that GAB has taken or will take to remedy such noncompliance; </w:t>
      </w:r>
      <w:r w:rsidR="009E684B">
        <w:rPr>
          <w:szCs w:val="22"/>
        </w:rPr>
        <w:t xml:space="preserve">and </w:t>
      </w:r>
      <w:r>
        <w:rPr>
          <w:szCs w:val="22"/>
        </w:rPr>
        <w:t>(iii) the steps that GAB has taken or will take to prevent the recurrence of any such noncompliance, including the schedule on which such preventative action will be taken.</w:t>
      </w:r>
    </w:p>
    <w:p w:rsidR="00D87113" w:rsidRDefault="00D87113" w:rsidP="00D87113">
      <w:pPr>
        <w:pStyle w:val="par1"/>
        <w:numPr>
          <w:ilvl w:val="0"/>
          <w:numId w:val="18"/>
        </w:numPr>
        <w:spacing w:after="120"/>
        <w:ind w:left="1800"/>
        <w:rPr>
          <w:szCs w:val="22"/>
        </w:rPr>
      </w:pPr>
      <w:r>
        <w:rPr>
          <w:szCs w:val="22"/>
        </w:rPr>
        <w:t>All Compliance Reports shall be submitted on paper to the Chief, Hearings and Investigations Divisions, Enforcement Bureau, Federal Communications Commission, Room 4-C330. 445 12</w:t>
      </w:r>
      <w:r w:rsidRPr="003E19A1">
        <w:rPr>
          <w:szCs w:val="22"/>
          <w:vertAlign w:val="superscript"/>
        </w:rPr>
        <w:t>th</w:t>
      </w:r>
      <w:r>
        <w:rPr>
          <w:szCs w:val="22"/>
        </w:rPr>
        <w:t xml:space="preserve"> Street, S.W., Washington, DC 204554, with a copy submitted electronically to </w:t>
      </w:r>
      <w:r w:rsidRPr="001C219D">
        <w:rPr>
          <w:szCs w:val="22"/>
        </w:rPr>
        <w:t xml:space="preserve">William A. Kehoe at </w:t>
      </w:r>
      <w:hyperlink r:id="rId22" w:history="1">
        <w:r w:rsidRPr="001C219D">
          <w:rPr>
            <w:rStyle w:val="Hyperlink"/>
            <w:color w:val="auto"/>
            <w:szCs w:val="22"/>
            <w:u w:val="none"/>
          </w:rPr>
          <w:t>William.Kehoe@fcc.gov</w:t>
        </w:r>
      </w:hyperlink>
      <w:r w:rsidRPr="001C219D">
        <w:rPr>
          <w:szCs w:val="22"/>
        </w:rPr>
        <w:t xml:space="preserve"> and Robert B. Krinsky at </w:t>
      </w:r>
      <w:hyperlink r:id="rId23" w:history="1">
        <w:r w:rsidRPr="001C219D">
          <w:rPr>
            <w:rStyle w:val="Hyperlink"/>
            <w:color w:val="auto"/>
            <w:szCs w:val="22"/>
            <w:u w:val="none"/>
          </w:rPr>
          <w:t>Robert.Krinsky@fcc.gov</w:t>
        </w:r>
      </w:hyperlink>
    </w:p>
    <w:p w:rsidR="00383682" w:rsidRDefault="00383682" w:rsidP="005C75FF">
      <w:pPr>
        <w:pStyle w:val="par1"/>
        <w:tabs>
          <w:tab w:val="num" w:pos="1440"/>
        </w:tabs>
        <w:spacing w:after="120"/>
        <w:rPr>
          <w:szCs w:val="22"/>
        </w:rPr>
      </w:pPr>
      <w:r>
        <w:rPr>
          <w:b/>
          <w:szCs w:val="22"/>
          <w:u w:val="single"/>
        </w:rPr>
        <w:t>Reporting Noncomplia</w:t>
      </w:r>
      <w:r w:rsidR="005362A5" w:rsidRPr="005362A5">
        <w:rPr>
          <w:b/>
          <w:szCs w:val="22"/>
          <w:u w:val="single"/>
        </w:rPr>
        <w:t>nce</w:t>
      </w:r>
      <w:r w:rsidR="00767192" w:rsidRPr="005362A5">
        <w:rPr>
          <w:b/>
          <w:szCs w:val="22"/>
          <w:u w:val="single"/>
        </w:rPr>
        <w:t>.</w:t>
      </w:r>
      <w:r w:rsidR="005362A5">
        <w:rPr>
          <w:szCs w:val="22"/>
        </w:rPr>
        <w:t xml:space="preserve"> </w:t>
      </w:r>
      <w:r w:rsidR="00483494">
        <w:rPr>
          <w:szCs w:val="22"/>
        </w:rPr>
        <w:t xml:space="preserve"> </w:t>
      </w:r>
      <w:r w:rsidR="00435E83">
        <w:rPr>
          <w:szCs w:val="22"/>
        </w:rPr>
        <w:t xml:space="preserve">If the Contingent Compliance Plan and Reporting obligations are triggered as a consequence of a Non-Consummation Date, </w:t>
      </w:r>
      <w:r w:rsidR="005362A5">
        <w:rPr>
          <w:szCs w:val="22"/>
        </w:rPr>
        <w:t>GAB shall report any noncompliance with the Alien Ownership Rules and the Licensing Rules and with the terms and conditions of this Consent Decree within fifteen (15) calendar days after the discovery of such noncompliance.  Such reports shall include a detail</w:t>
      </w:r>
      <w:r>
        <w:rPr>
          <w:szCs w:val="22"/>
        </w:rPr>
        <w:t>ed explanation of (i) each inst</w:t>
      </w:r>
      <w:r w:rsidR="005362A5">
        <w:rPr>
          <w:szCs w:val="22"/>
        </w:rPr>
        <w:t xml:space="preserve">ance of noncompliance; (ii) the </w:t>
      </w:r>
      <w:r>
        <w:rPr>
          <w:szCs w:val="22"/>
        </w:rPr>
        <w:t>s</w:t>
      </w:r>
      <w:r w:rsidR="005362A5">
        <w:rPr>
          <w:szCs w:val="22"/>
        </w:rPr>
        <w:t xml:space="preserve">teps that GAB has taken or will take to remedy such noncompliance; (iii) the schedule on </w:t>
      </w:r>
      <w:r w:rsidR="009E684B">
        <w:rPr>
          <w:szCs w:val="22"/>
        </w:rPr>
        <w:t xml:space="preserve">which </w:t>
      </w:r>
      <w:r w:rsidR="005362A5">
        <w:rPr>
          <w:szCs w:val="22"/>
        </w:rPr>
        <w:t>such</w:t>
      </w:r>
      <w:r w:rsidR="003262FA">
        <w:rPr>
          <w:szCs w:val="22"/>
        </w:rPr>
        <w:t xml:space="preserve"> remedial actions will be taken</w:t>
      </w:r>
      <w:r w:rsidR="005362A5">
        <w:rPr>
          <w:szCs w:val="22"/>
        </w:rPr>
        <w:t xml:space="preserve">; and </w:t>
      </w:r>
      <w:r w:rsidR="007E3D79">
        <w:rPr>
          <w:szCs w:val="22"/>
        </w:rPr>
        <w:t>(iv) </w:t>
      </w:r>
      <w:r w:rsidR="005362A5">
        <w:rPr>
          <w:szCs w:val="22"/>
        </w:rPr>
        <w:t>the steps that GAB has taken or will take to prevent the recurrence of any such noncompliance.  All reports of noncompliance shall be submitted to the</w:t>
      </w:r>
      <w:r w:rsidR="003E19A1">
        <w:rPr>
          <w:szCs w:val="22"/>
        </w:rPr>
        <w:t xml:space="preserve"> Chief, Hearings and Inves</w:t>
      </w:r>
      <w:r w:rsidR="005362A5">
        <w:rPr>
          <w:szCs w:val="22"/>
        </w:rPr>
        <w:t>t</w:t>
      </w:r>
      <w:r w:rsidR="003E19A1">
        <w:rPr>
          <w:szCs w:val="22"/>
        </w:rPr>
        <w:t>i</w:t>
      </w:r>
      <w:r w:rsidR="005362A5">
        <w:rPr>
          <w:szCs w:val="22"/>
        </w:rPr>
        <w:t>gations Divisions, Enfo</w:t>
      </w:r>
      <w:r w:rsidR="007413FB">
        <w:rPr>
          <w:szCs w:val="22"/>
        </w:rPr>
        <w:t>rcement Bureau, Federal Communi</w:t>
      </w:r>
      <w:r w:rsidR="005362A5">
        <w:rPr>
          <w:szCs w:val="22"/>
        </w:rPr>
        <w:t>cations Commission, Room</w:t>
      </w:r>
      <w:r w:rsidR="003E19A1">
        <w:rPr>
          <w:szCs w:val="22"/>
        </w:rPr>
        <w:t xml:space="preserve"> 4-C330. 445 12</w:t>
      </w:r>
      <w:r w:rsidR="003E19A1" w:rsidRPr="003E19A1">
        <w:rPr>
          <w:szCs w:val="22"/>
          <w:vertAlign w:val="superscript"/>
        </w:rPr>
        <w:t>th</w:t>
      </w:r>
      <w:r w:rsidR="003E19A1">
        <w:rPr>
          <w:szCs w:val="22"/>
        </w:rPr>
        <w:t xml:space="preserve"> St</w:t>
      </w:r>
      <w:r w:rsidR="00131D03">
        <w:rPr>
          <w:szCs w:val="22"/>
        </w:rPr>
        <w:t>reet, S.W., Wa</w:t>
      </w:r>
      <w:r w:rsidR="00E47B67">
        <w:rPr>
          <w:szCs w:val="22"/>
        </w:rPr>
        <w:t>shington, DC</w:t>
      </w:r>
      <w:r w:rsidR="00131D03">
        <w:rPr>
          <w:szCs w:val="22"/>
        </w:rPr>
        <w:t xml:space="preserve"> 20</w:t>
      </w:r>
      <w:r w:rsidR="003E19A1">
        <w:rPr>
          <w:szCs w:val="22"/>
        </w:rPr>
        <w:t>554</w:t>
      </w:r>
      <w:r>
        <w:rPr>
          <w:szCs w:val="22"/>
        </w:rPr>
        <w:t xml:space="preserve">, with a copy submitted electronically to </w:t>
      </w:r>
      <w:r w:rsidRPr="001C219D">
        <w:rPr>
          <w:szCs w:val="22"/>
        </w:rPr>
        <w:t xml:space="preserve">William A. Kehoe at </w:t>
      </w:r>
      <w:hyperlink r:id="rId24" w:history="1">
        <w:r w:rsidRPr="001C219D">
          <w:rPr>
            <w:rStyle w:val="Hyperlink"/>
            <w:color w:val="auto"/>
            <w:szCs w:val="22"/>
            <w:u w:val="none"/>
          </w:rPr>
          <w:t>William.Kehoe@fcc.gov</w:t>
        </w:r>
      </w:hyperlink>
      <w:r w:rsidRPr="001C219D">
        <w:rPr>
          <w:szCs w:val="22"/>
        </w:rPr>
        <w:t xml:space="preserve"> and Robert B. Krinsky at </w:t>
      </w:r>
      <w:hyperlink r:id="rId25" w:history="1">
        <w:r w:rsidRPr="001C219D">
          <w:rPr>
            <w:rStyle w:val="Hyperlink"/>
            <w:color w:val="auto"/>
            <w:szCs w:val="22"/>
            <w:u w:val="none"/>
          </w:rPr>
          <w:t>Robert.Krinsky@fcc.gov</w:t>
        </w:r>
      </w:hyperlink>
      <w:r>
        <w:rPr>
          <w:szCs w:val="22"/>
        </w:rPr>
        <w:t>.</w:t>
      </w:r>
    </w:p>
    <w:p w:rsidR="003262FA" w:rsidRPr="003262FA" w:rsidRDefault="003262FA" w:rsidP="005C75FF">
      <w:pPr>
        <w:pStyle w:val="par1"/>
        <w:tabs>
          <w:tab w:val="num" w:pos="1440"/>
        </w:tabs>
        <w:spacing w:after="120"/>
        <w:rPr>
          <w:szCs w:val="22"/>
        </w:rPr>
      </w:pPr>
      <w:r w:rsidRPr="003262FA">
        <w:rPr>
          <w:b/>
          <w:szCs w:val="22"/>
          <w:u w:val="single"/>
        </w:rPr>
        <w:t>Termination Date.</w:t>
      </w:r>
      <w:r w:rsidRPr="003262FA">
        <w:rPr>
          <w:szCs w:val="22"/>
        </w:rPr>
        <w:t xml:space="preserve">  </w:t>
      </w:r>
      <w:r w:rsidR="00C82D2B">
        <w:rPr>
          <w:szCs w:val="22"/>
        </w:rPr>
        <w:t xml:space="preserve">If the Contingent Compliance Plan and Reporting obligations are triggered as a consequence of a Non-Consummation </w:t>
      </w:r>
      <w:r w:rsidR="00483494">
        <w:rPr>
          <w:szCs w:val="22"/>
        </w:rPr>
        <w:t>Date</w:t>
      </w:r>
      <w:r w:rsidR="00C82D2B">
        <w:rPr>
          <w:szCs w:val="22"/>
        </w:rPr>
        <w:t>, u</w:t>
      </w:r>
      <w:r w:rsidRPr="003262FA">
        <w:rPr>
          <w:szCs w:val="22"/>
        </w:rPr>
        <w:t>nless stated otherwise</w:t>
      </w:r>
      <w:r w:rsidR="00023583">
        <w:rPr>
          <w:szCs w:val="22"/>
        </w:rPr>
        <w:t xml:space="preserve"> in this Consent Decree</w:t>
      </w:r>
      <w:r w:rsidRPr="003262FA">
        <w:rPr>
          <w:szCs w:val="22"/>
        </w:rPr>
        <w:t xml:space="preserve">, the requirements set forth in </w:t>
      </w:r>
      <w:r w:rsidR="00FE137E">
        <w:rPr>
          <w:szCs w:val="22"/>
        </w:rPr>
        <w:t>paragraph</w:t>
      </w:r>
      <w:r w:rsidR="000B38DD">
        <w:rPr>
          <w:szCs w:val="22"/>
        </w:rPr>
        <w:t>s 18</w:t>
      </w:r>
      <w:r w:rsidR="00FE137E">
        <w:rPr>
          <w:szCs w:val="22"/>
        </w:rPr>
        <w:t xml:space="preserve"> </w:t>
      </w:r>
      <w:r w:rsidR="000B38DD">
        <w:rPr>
          <w:szCs w:val="22"/>
        </w:rPr>
        <w:t xml:space="preserve">and 19 </w:t>
      </w:r>
      <w:r w:rsidRPr="003262FA">
        <w:rPr>
          <w:szCs w:val="22"/>
        </w:rPr>
        <w:t>of this Consent Decree shall expire thirty-six (36) months after the Effective Date.</w:t>
      </w:r>
      <w:r w:rsidR="00383682" w:rsidRPr="003262FA">
        <w:rPr>
          <w:szCs w:val="22"/>
        </w:rPr>
        <w:t xml:space="preserve"> </w:t>
      </w:r>
      <w:r w:rsidR="005362A5" w:rsidRPr="003262FA">
        <w:rPr>
          <w:szCs w:val="22"/>
        </w:rPr>
        <w:t xml:space="preserve">  </w:t>
      </w:r>
      <w:r w:rsidR="00767192" w:rsidRPr="003262FA">
        <w:rPr>
          <w:szCs w:val="22"/>
        </w:rPr>
        <w:t xml:space="preserve"> </w:t>
      </w:r>
    </w:p>
    <w:p w:rsidR="00412F12" w:rsidRPr="003262FA" w:rsidRDefault="00412F12" w:rsidP="005C75FF">
      <w:pPr>
        <w:pStyle w:val="par1"/>
        <w:tabs>
          <w:tab w:val="num" w:pos="1440"/>
        </w:tabs>
        <w:spacing w:after="120"/>
        <w:rPr>
          <w:szCs w:val="22"/>
        </w:rPr>
      </w:pPr>
      <w:r w:rsidRPr="003262FA">
        <w:rPr>
          <w:b/>
          <w:szCs w:val="22"/>
          <w:u w:val="single"/>
        </w:rPr>
        <w:t>Waiver</w:t>
      </w:r>
      <w:r w:rsidRPr="00311E3A">
        <w:rPr>
          <w:b/>
          <w:szCs w:val="22"/>
          <w:u w:val="single"/>
        </w:rPr>
        <w:t>s</w:t>
      </w:r>
      <w:r w:rsidRPr="00103193">
        <w:rPr>
          <w:b/>
          <w:szCs w:val="22"/>
          <w:u w:val="single"/>
        </w:rPr>
        <w:t>.</w:t>
      </w:r>
      <w:r w:rsidRPr="003262FA">
        <w:rPr>
          <w:szCs w:val="22"/>
        </w:rPr>
        <w:t xml:space="preserve">  </w:t>
      </w:r>
      <w:r w:rsidR="003262FA">
        <w:rPr>
          <w:color w:val="000000"/>
          <w:szCs w:val="22"/>
        </w:rPr>
        <w:t>GAB</w:t>
      </w:r>
      <w:r w:rsidRPr="003262FA">
        <w:rPr>
          <w:szCs w:val="22"/>
        </w:rPr>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w:t>
      </w:r>
      <w:r w:rsidR="001D1C3F">
        <w:rPr>
          <w:szCs w:val="22"/>
        </w:rPr>
        <w:t>in this Consent Decree</w:t>
      </w:r>
      <w:r w:rsidRPr="003262FA">
        <w:rPr>
          <w:szCs w:val="22"/>
        </w:rPr>
        <w:t xml:space="preserve">.  </w:t>
      </w:r>
      <w:r w:rsidR="003262FA">
        <w:rPr>
          <w:szCs w:val="22"/>
        </w:rPr>
        <w:t xml:space="preserve">GAB </w:t>
      </w:r>
      <w:r w:rsidRPr="003262FA">
        <w:rPr>
          <w:szCs w:val="22"/>
        </w:rPr>
        <w:t xml:space="preserve">shall retain the right to challenge Commission interpretation of the Consent Decree or any terms contained </w:t>
      </w:r>
      <w:r w:rsidR="001D1C3F">
        <w:rPr>
          <w:szCs w:val="22"/>
        </w:rPr>
        <w:t>in this Consent Decree</w:t>
      </w:r>
      <w:r w:rsidRPr="003262FA">
        <w:rPr>
          <w:szCs w:val="22"/>
        </w:rPr>
        <w:t xml:space="preserve">.  If either Party (or the United States on behalf of the Commission) brings a judicial action to enforce the terms of the Adopting Order, neither </w:t>
      </w:r>
      <w:r w:rsidR="003262FA">
        <w:rPr>
          <w:color w:val="000000"/>
          <w:szCs w:val="22"/>
        </w:rPr>
        <w:t xml:space="preserve">GAB </w:t>
      </w:r>
      <w:r w:rsidRPr="003262FA">
        <w:rPr>
          <w:szCs w:val="22"/>
        </w:rPr>
        <w:t xml:space="preserve">nor the Commission shall contest the validity of the Consent Decree or of the Adopting Order, and </w:t>
      </w:r>
      <w:r w:rsidR="00E63097">
        <w:rPr>
          <w:szCs w:val="22"/>
        </w:rPr>
        <w:t xml:space="preserve">GAB </w:t>
      </w:r>
      <w:r w:rsidRPr="003262FA">
        <w:rPr>
          <w:szCs w:val="22"/>
        </w:rPr>
        <w:t xml:space="preserve">shall waive any statutory right to a trial </w:t>
      </w:r>
      <w:r w:rsidRPr="003262FA">
        <w:rPr>
          <w:i/>
          <w:szCs w:val="22"/>
        </w:rPr>
        <w:t>de novo</w:t>
      </w:r>
      <w:r w:rsidRPr="003262FA">
        <w:rPr>
          <w:szCs w:val="22"/>
        </w:rPr>
        <w:t xml:space="preserve">. </w:t>
      </w:r>
      <w:r w:rsidR="00E63097">
        <w:rPr>
          <w:color w:val="000000"/>
          <w:szCs w:val="22"/>
        </w:rPr>
        <w:t xml:space="preserve"> GAB </w:t>
      </w:r>
      <w:r w:rsidRPr="003262FA">
        <w:rPr>
          <w:szCs w:val="22"/>
        </w:rPr>
        <w:t>hereby agrees to waive any claims it may have under the Equal Access to Justice Act</w:t>
      </w:r>
      <w:r>
        <w:rPr>
          <w:rStyle w:val="FootnoteReference"/>
          <w:szCs w:val="22"/>
        </w:rPr>
        <w:footnoteReference w:id="45"/>
      </w:r>
      <w:r w:rsidRPr="003262FA">
        <w:rPr>
          <w:szCs w:val="22"/>
        </w:rPr>
        <w:t xml:space="preserve"> relating to the matters addressed in this Consent Decree.</w:t>
      </w:r>
      <w:r w:rsidR="003262FA">
        <w:rPr>
          <w:szCs w:val="22"/>
        </w:rPr>
        <w:t xml:space="preserve"> </w:t>
      </w:r>
    </w:p>
    <w:p w:rsidR="00705763" w:rsidRPr="00705763" w:rsidRDefault="00705763" w:rsidP="00705763">
      <w:pPr>
        <w:pStyle w:val="par1"/>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12F12" w:rsidRPr="00A85A67" w:rsidRDefault="00412F12" w:rsidP="00705763">
      <w:pPr>
        <w:pStyle w:val="par1"/>
        <w:tabs>
          <w:tab w:val="num" w:pos="1440"/>
        </w:tabs>
        <w:spacing w:before="120" w:after="120"/>
        <w:rPr>
          <w:szCs w:val="22"/>
        </w:rPr>
      </w:pPr>
      <w:r w:rsidRPr="00311E3A">
        <w:rPr>
          <w:b/>
          <w:szCs w:val="22"/>
          <w:u w:val="single"/>
        </w:rPr>
        <w:t>Invalidity</w:t>
      </w:r>
      <w:r w:rsidRPr="00103193">
        <w:rPr>
          <w:b/>
          <w:szCs w:val="22"/>
          <w:u w:val="single"/>
        </w:rPr>
        <w:t>.</w:t>
      </w:r>
      <w:r w:rsidRPr="00A85A67">
        <w:rPr>
          <w:szCs w:val="22"/>
        </w:rPr>
        <w:t xml:space="preserve">  In the event that this Consent Decree in its entirety is rendered invalid by any court of competent jurisdiction, it shall become null and void and may not be used in any manner in any legal proceeding.</w:t>
      </w:r>
    </w:p>
    <w:p w:rsidR="00412F12" w:rsidRPr="00A85A67" w:rsidRDefault="00412F12" w:rsidP="005C75FF">
      <w:pPr>
        <w:pStyle w:val="par1"/>
        <w:tabs>
          <w:tab w:val="num" w:pos="1440"/>
        </w:tabs>
        <w:spacing w:after="120"/>
        <w:rPr>
          <w:szCs w:val="22"/>
        </w:rPr>
      </w:pPr>
      <w:r w:rsidRPr="00A85A67">
        <w:rPr>
          <w:b/>
          <w:szCs w:val="22"/>
          <w:u w:val="single"/>
        </w:rPr>
        <w:t>Subsequent Rule or Order</w:t>
      </w:r>
      <w:r w:rsidRPr="00103193">
        <w:rPr>
          <w:b/>
          <w:szCs w:val="22"/>
          <w:u w:val="single"/>
        </w:rPr>
        <w:t>.</w:t>
      </w:r>
      <w:r w:rsidRPr="00A85A67">
        <w:rPr>
          <w:szCs w:val="22"/>
        </w:rPr>
        <w:t xml:space="preserve">  The Parties agree that if any provision of the Consent Decree conflicts with any subsequent Rule or order adopted by the Commission (except an order specifically intended to revise the terms of this Consent Decree to which </w:t>
      </w:r>
      <w:r w:rsidR="00FD49DB">
        <w:rPr>
          <w:szCs w:val="22"/>
        </w:rPr>
        <w:t xml:space="preserve">GAB </w:t>
      </w:r>
      <w:r w:rsidRPr="00A85A67">
        <w:rPr>
          <w:szCs w:val="22"/>
        </w:rPr>
        <w:t>does not expressly consent) that provision will be superseded by such Rule or Commission order.</w:t>
      </w:r>
    </w:p>
    <w:p w:rsidR="00412F12" w:rsidRPr="00A85A67" w:rsidRDefault="00412F12" w:rsidP="005C75FF">
      <w:pPr>
        <w:pStyle w:val="par1"/>
        <w:tabs>
          <w:tab w:val="num" w:pos="1440"/>
        </w:tabs>
        <w:spacing w:after="120"/>
        <w:rPr>
          <w:szCs w:val="22"/>
        </w:rPr>
      </w:pPr>
      <w:r w:rsidRPr="00A85A67">
        <w:rPr>
          <w:b/>
          <w:szCs w:val="22"/>
          <w:u w:val="single"/>
        </w:rPr>
        <w:t>Successors and Assign</w:t>
      </w:r>
      <w:r w:rsidRPr="00311E3A">
        <w:rPr>
          <w:b/>
          <w:szCs w:val="22"/>
          <w:u w:val="single"/>
        </w:rPr>
        <w:t>s</w:t>
      </w:r>
      <w:r w:rsidRPr="00103193">
        <w:rPr>
          <w:b/>
          <w:szCs w:val="22"/>
          <w:u w:val="single"/>
        </w:rPr>
        <w:t>.</w:t>
      </w:r>
      <w:r w:rsidRPr="00A85A67">
        <w:rPr>
          <w:szCs w:val="22"/>
        </w:rPr>
        <w:t xml:space="preserve">  </w:t>
      </w:r>
      <w:r w:rsidR="00FD49DB">
        <w:rPr>
          <w:color w:val="000000"/>
          <w:szCs w:val="22"/>
        </w:rPr>
        <w:t xml:space="preserve">GAB </w:t>
      </w:r>
      <w:r w:rsidRPr="00A85A67">
        <w:rPr>
          <w:szCs w:val="22"/>
        </w:rPr>
        <w:t xml:space="preserve">agrees that the provisions of this Consent Decree shall be binding on its successors, </w:t>
      </w:r>
      <w:r w:rsidRPr="00F079F6">
        <w:rPr>
          <w:szCs w:val="22"/>
        </w:rPr>
        <w:t>assigns</w:t>
      </w:r>
      <w:r w:rsidRPr="00A85A67">
        <w:rPr>
          <w:szCs w:val="22"/>
        </w:rPr>
        <w:t>, and transferees.</w:t>
      </w:r>
      <w:r w:rsidRPr="00A85A67">
        <w:rPr>
          <w:szCs w:val="22"/>
          <w:u w:val="single"/>
        </w:rPr>
        <w:t xml:space="preserve">  </w:t>
      </w:r>
    </w:p>
    <w:p w:rsidR="00412F12" w:rsidRPr="00A85A67" w:rsidRDefault="00412F12" w:rsidP="005C75FF">
      <w:pPr>
        <w:pStyle w:val="par1"/>
        <w:tabs>
          <w:tab w:val="num" w:pos="1440"/>
        </w:tabs>
        <w:spacing w:after="120"/>
        <w:rPr>
          <w:szCs w:val="22"/>
        </w:rPr>
      </w:pPr>
      <w:r w:rsidRPr="00A85A67">
        <w:rPr>
          <w:b/>
          <w:szCs w:val="22"/>
          <w:u w:val="single"/>
        </w:rPr>
        <w:t>Final Settlement</w:t>
      </w:r>
      <w:r w:rsidRPr="00103193">
        <w:rPr>
          <w:b/>
          <w:szCs w:val="22"/>
          <w:u w:val="single"/>
        </w:rPr>
        <w:t>.</w:t>
      </w:r>
      <w:r w:rsidRPr="00A85A67">
        <w:rPr>
          <w:szCs w:val="22"/>
        </w:rPr>
        <w:t xml:space="preserve">  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or determination regarding any compliance or noncompliance with the Communications Laws.</w:t>
      </w:r>
    </w:p>
    <w:p w:rsidR="00412F12" w:rsidRDefault="00412F12" w:rsidP="005C75FF">
      <w:pPr>
        <w:pStyle w:val="par1"/>
        <w:tabs>
          <w:tab w:val="num" w:pos="1440"/>
        </w:tabs>
        <w:spacing w:after="120"/>
        <w:rPr>
          <w:szCs w:val="22"/>
        </w:rPr>
      </w:pPr>
      <w:r w:rsidRPr="00A85A67">
        <w:rPr>
          <w:b/>
          <w:szCs w:val="22"/>
          <w:u w:val="single"/>
        </w:rPr>
        <w:t>Modification</w:t>
      </w:r>
      <w:r w:rsidRPr="00311E3A">
        <w:rPr>
          <w:b/>
          <w:szCs w:val="22"/>
          <w:u w:val="single"/>
        </w:rPr>
        <w:t>s</w:t>
      </w:r>
      <w:r w:rsidRPr="00103193">
        <w:rPr>
          <w:b/>
          <w:szCs w:val="22"/>
          <w:u w:val="single"/>
        </w:rPr>
        <w:t>.</w:t>
      </w:r>
      <w:r w:rsidRPr="00A85A67">
        <w:rPr>
          <w:szCs w:val="22"/>
        </w:rPr>
        <w:t xml:space="preserve">  This Consent Decree cannot be modified without the advance written consent of both Parties.</w:t>
      </w:r>
    </w:p>
    <w:p w:rsidR="00E827B1" w:rsidRPr="00F079F6" w:rsidRDefault="00FD49DB" w:rsidP="00010B9C">
      <w:pPr>
        <w:pStyle w:val="par1"/>
        <w:tabs>
          <w:tab w:val="num" w:pos="1440"/>
        </w:tabs>
        <w:spacing w:after="120"/>
        <w:rPr>
          <w:szCs w:val="22"/>
        </w:rPr>
      </w:pPr>
      <w:r>
        <w:rPr>
          <w:b/>
          <w:szCs w:val="22"/>
          <w:u w:val="single"/>
        </w:rPr>
        <w:t>Third Party Beneficiarie</w:t>
      </w:r>
      <w:r w:rsidRPr="00311E3A">
        <w:rPr>
          <w:b/>
          <w:szCs w:val="22"/>
          <w:u w:val="single"/>
        </w:rPr>
        <w:t>s</w:t>
      </w:r>
      <w:r w:rsidRPr="00103193">
        <w:rPr>
          <w:b/>
          <w:szCs w:val="22"/>
          <w:u w:val="single"/>
        </w:rPr>
        <w:t>.</w:t>
      </w:r>
      <w:r>
        <w:rPr>
          <w:szCs w:val="22"/>
        </w:rPr>
        <w:t xml:space="preserve">  Nothing in this Consent Decree, express or implied, is intended to confer upon or create for any person other than the parties any rights or remedies.</w:t>
      </w:r>
      <w:r w:rsidR="00E827B1">
        <w:rPr>
          <w:szCs w:val="22"/>
        </w:rPr>
        <w:t xml:space="preserve">  </w:t>
      </w:r>
      <w:r w:rsidR="00E827B1" w:rsidRPr="00E827B1">
        <w:rPr>
          <w:szCs w:val="22"/>
        </w:rPr>
        <w:t>Notwithstanding anything to the contrary contained in the Consent Decree, including without limitation the provisions of paragraphs 15, 16, 2</w:t>
      </w:r>
      <w:r w:rsidR="00F079F6">
        <w:rPr>
          <w:szCs w:val="22"/>
        </w:rPr>
        <w:t>4</w:t>
      </w:r>
      <w:r w:rsidR="00E827B1" w:rsidRPr="00E827B1">
        <w:rPr>
          <w:szCs w:val="22"/>
        </w:rPr>
        <w:t xml:space="preserve"> and 2</w:t>
      </w:r>
      <w:r w:rsidR="00F079F6">
        <w:rPr>
          <w:szCs w:val="22"/>
        </w:rPr>
        <w:t>5</w:t>
      </w:r>
      <w:r w:rsidR="00E827B1" w:rsidRPr="00E827B1">
        <w:rPr>
          <w:szCs w:val="22"/>
        </w:rPr>
        <w:t>, AT&amp;T shall not be liable or responsible for GAB’s violations of the Alien Ownership Rules and/or Licensing Rules and shall not be legally or otherwise liable or re</w:t>
      </w:r>
      <w:r w:rsidR="00E827B1" w:rsidRPr="00F079F6">
        <w:rPr>
          <w:szCs w:val="22"/>
        </w:rPr>
        <w:t xml:space="preserve">sponsible to the FCC for any sanctions imposed on GAB by the Bureau as a result thereof.  </w:t>
      </w:r>
    </w:p>
    <w:p w:rsidR="00412F12" w:rsidRPr="00A85A67" w:rsidRDefault="00412F12" w:rsidP="005C75FF">
      <w:pPr>
        <w:pStyle w:val="par1"/>
        <w:tabs>
          <w:tab w:val="num" w:pos="1440"/>
        </w:tabs>
        <w:spacing w:after="120"/>
        <w:rPr>
          <w:szCs w:val="22"/>
        </w:rPr>
      </w:pPr>
      <w:r w:rsidRPr="00A85A67">
        <w:rPr>
          <w:b/>
          <w:szCs w:val="22"/>
          <w:u w:val="single"/>
        </w:rPr>
        <w:t xml:space="preserve">Paragraph </w:t>
      </w:r>
      <w:r w:rsidRPr="00311E3A">
        <w:rPr>
          <w:b/>
          <w:szCs w:val="22"/>
          <w:u w:val="single"/>
        </w:rPr>
        <w:t>Headings</w:t>
      </w:r>
      <w:r w:rsidRPr="00103193">
        <w:rPr>
          <w:b/>
          <w:szCs w:val="22"/>
          <w:u w:val="single"/>
        </w:rPr>
        <w:t>.</w:t>
      </w:r>
      <w:r w:rsidRPr="00A85A67">
        <w:rPr>
          <w:szCs w:val="22"/>
        </w:rPr>
        <w:t xml:space="preserve">  The headings of the paragraphs in this Consent Decree are inserted for convenience only and are not intended to affect the meaning or interpretation of this Consent Decree.</w:t>
      </w:r>
    </w:p>
    <w:p w:rsidR="003D0DF2" w:rsidRPr="00164058" w:rsidRDefault="00412F12" w:rsidP="00103193">
      <w:pPr>
        <w:pStyle w:val="par1"/>
        <w:tabs>
          <w:tab w:val="num" w:pos="1440"/>
        </w:tabs>
        <w:spacing w:after="120"/>
        <w:rPr>
          <w:b/>
          <w:szCs w:val="22"/>
          <w:u w:val="single"/>
        </w:rPr>
      </w:pPr>
      <w:r w:rsidRPr="00311E3A">
        <w:rPr>
          <w:b/>
          <w:szCs w:val="22"/>
          <w:u w:val="single"/>
        </w:rPr>
        <w:t xml:space="preserve">Authorized </w:t>
      </w:r>
      <w:r w:rsidRPr="00164058">
        <w:rPr>
          <w:b/>
          <w:szCs w:val="22"/>
          <w:u w:val="single"/>
        </w:rPr>
        <w:t>Representative</w:t>
      </w:r>
      <w:r w:rsidRPr="00103193">
        <w:rPr>
          <w:b/>
          <w:szCs w:val="22"/>
          <w:u w:val="single"/>
        </w:rPr>
        <w:t>.</w:t>
      </w:r>
      <w:r w:rsidRPr="00311E3A">
        <w:rPr>
          <w:szCs w:val="22"/>
        </w:rPr>
        <w:t xml:space="preserve">  The individual signing this Consent Decree on behalf </w:t>
      </w:r>
      <w:r w:rsidRPr="00164058">
        <w:rPr>
          <w:szCs w:val="22"/>
        </w:rPr>
        <w:t xml:space="preserve">of </w:t>
      </w:r>
      <w:r w:rsidR="00FD49DB" w:rsidRPr="00164058">
        <w:rPr>
          <w:szCs w:val="22"/>
        </w:rPr>
        <w:t xml:space="preserve">GAB </w:t>
      </w:r>
      <w:r w:rsidRPr="00164058">
        <w:rPr>
          <w:szCs w:val="22"/>
        </w:rPr>
        <w:t xml:space="preserve">represents and warrants that </w:t>
      </w:r>
      <w:r w:rsidR="00FD49DB">
        <w:t xml:space="preserve">he </w:t>
      </w:r>
      <w:r w:rsidRPr="00311E3A">
        <w:rPr>
          <w:szCs w:val="22"/>
        </w:rPr>
        <w:t xml:space="preserve">is authorized by </w:t>
      </w:r>
      <w:r w:rsidR="00FD49DB" w:rsidRPr="00164058">
        <w:rPr>
          <w:color w:val="000000"/>
          <w:szCs w:val="22"/>
        </w:rPr>
        <w:t xml:space="preserve">GAB </w:t>
      </w:r>
      <w:r w:rsidRPr="00164058">
        <w:rPr>
          <w:szCs w:val="22"/>
        </w:rPr>
        <w:t xml:space="preserve">to execute this Consent Decree and to bind </w:t>
      </w:r>
      <w:r w:rsidR="00FD49DB" w:rsidRPr="00164058">
        <w:rPr>
          <w:szCs w:val="22"/>
        </w:rPr>
        <w:t xml:space="preserve">GAB </w:t>
      </w:r>
      <w:r w:rsidRPr="00164058">
        <w:rPr>
          <w:szCs w:val="22"/>
        </w:rPr>
        <w:t xml:space="preserve">to the obligations set forth </w:t>
      </w:r>
      <w:r w:rsidR="001D1C3F" w:rsidRPr="006C1A49">
        <w:rPr>
          <w:szCs w:val="22"/>
        </w:rPr>
        <w:t>in this Consent Decree</w:t>
      </w:r>
      <w:r w:rsidRPr="006C1A49">
        <w:rPr>
          <w:szCs w:val="22"/>
        </w:rPr>
        <w:t>.  The FCC signatory represents that he is signing this Consent Decree in his official capacity and that he is authorized to execute this Consent Decree.</w:t>
      </w:r>
      <w:r w:rsidR="006060CE" w:rsidRPr="006C1A49">
        <w:rPr>
          <w:szCs w:val="22"/>
        </w:rPr>
        <w:t xml:space="preserve"> </w:t>
      </w:r>
    </w:p>
    <w:p w:rsidR="00412F12" w:rsidRPr="006060CE" w:rsidRDefault="00412F12" w:rsidP="00F03979">
      <w:pPr>
        <w:pStyle w:val="par1"/>
        <w:tabs>
          <w:tab w:val="num" w:pos="1440"/>
        </w:tabs>
        <w:spacing w:after="120"/>
        <w:rPr>
          <w:szCs w:val="22"/>
        </w:rPr>
      </w:pPr>
      <w:r w:rsidRPr="006060CE">
        <w:rPr>
          <w:b/>
          <w:szCs w:val="22"/>
          <w:u w:val="single"/>
        </w:rPr>
        <w:t>Counterpart</w:t>
      </w:r>
      <w:r w:rsidRPr="00311E3A">
        <w:rPr>
          <w:b/>
          <w:szCs w:val="22"/>
          <w:u w:val="single"/>
        </w:rPr>
        <w:t>s</w:t>
      </w:r>
      <w:r w:rsidRPr="00103193">
        <w:rPr>
          <w:b/>
          <w:szCs w:val="22"/>
          <w:u w:val="single"/>
        </w:rPr>
        <w:t>.</w:t>
      </w:r>
      <w:r w:rsidRPr="006060CE">
        <w:rPr>
          <w:szCs w:val="22"/>
        </w:rPr>
        <w:t xml:space="preserve">  This Consent Decree may be signed in counterpart (including by facsimile), each of which, when executed and delivered, shall be an original, and all of which counterparts together shall constitute one and the same fully executed instrument.</w:t>
      </w:r>
    </w:p>
    <w:p w:rsidR="00E777D7" w:rsidRDefault="00E777D7" w:rsidP="006B6DE1">
      <w:pPr>
        <w:rPr>
          <w:szCs w:val="22"/>
        </w:rPr>
      </w:pPr>
    </w:p>
    <w:p w:rsidR="00E777D7" w:rsidRDefault="00E777D7" w:rsidP="006B6DE1">
      <w:pPr>
        <w:rPr>
          <w:szCs w:val="22"/>
        </w:rPr>
      </w:pPr>
    </w:p>
    <w:p w:rsidR="00E777D7" w:rsidRDefault="00E777D7" w:rsidP="006B6DE1">
      <w:pPr>
        <w:rPr>
          <w:szCs w:val="22"/>
        </w:rPr>
      </w:pPr>
    </w:p>
    <w:p w:rsidR="00734EF8" w:rsidRPr="00A85A67" w:rsidRDefault="00734EF8" w:rsidP="006B6DE1">
      <w:pPr>
        <w:rPr>
          <w:szCs w:val="22"/>
        </w:rPr>
      </w:pPr>
    </w:p>
    <w:p w:rsidR="00412F12" w:rsidRPr="00A85A67" w:rsidRDefault="00412F12" w:rsidP="006B6DE1">
      <w:pPr>
        <w:keepNext/>
        <w:rPr>
          <w:szCs w:val="22"/>
        </w:rPr>
      </w:pPr>
      <w:r w:rsidRPr="00A85A67">
        <w:rPr>
          <w:szCs w:val="22"/>
        </w:rPr>
        <w:t>___________________________</w:t>
      </w:r>
    </w:p>
    <w:p w:rsidR="005A4BE4" w:rsidRDefault="005A4BE4" w:rsidP="006B6DE1">
      <w:pPr>
        <w:pStyle w:val="BodyText1"/>
        <w:rPr>
          <w:rFonts w:ascii="Times New Roman" w:hAnsi="Times New Roman"/>
          <w:sz w:val="22"/>
          <w:szCs w:val="22"/>
          <w:u w:val="none"/>
        </w:rPr>
      </w:pPr>
    </w:p>
    <w:p w:rsidR="005A4BE4" w:rsidRDefault="005A4BE4" w:rsidP="006B6DE1">
      <w:pPr>
        <w:pStyle w:val="BodyText1"/>
        <w:rPr>
          <w:rFonts w:ascii="Times New Roman" w:hAnsi="Times New Roman"/>
          <w:sz w:val="22"/>
          <w:szCs w:val="22"/>
          <w:u w:val="none"/>
        </w:rPr>
      </w:pPr>
      <w:r>
        <w:rPr>
          <w:rFonts w:ascii="Times New Roman" w:hAnsi="Times New Roman"/>
          <w:sz w:val="22"/>
          <w:szCs w:val="22"/>
          <w:u w:val="none"/>
        </w:rPr>
        <w:t>Travis LeBlanc</w:t>
      </w:r>
    </w:p>
    <w:p w:rsidR="00412F12" w:rsidRPr="00A85A67" w:rsidRDefault="00412F12" w:rsidP="006B6DE1">
      <w:pPr>
        <w:pStyle w:val="BodyText1"/>
        <w:rPr>
          <w:rFonts w:ascii="Times New Roman" w:hAnsi="Times New Roman"/>
          <w:sz w:val="22"/>
          <w:szCs w:val="22"/>
          <w:u w:val="none"/>
        </w:rPr>
      </w:pPr>
      <w:r>
        <w:rPr>
          <w:rFonts w:ascii="Times New Roman" w:hAnsi="Times New Roman"/>
          <w:sz w:val="22"/>
          <w:szCs w:val="22"/>
          <w:u w:val="none"/>
        </w:rPr>
        <w:t>Chief</w:t>
      </w:r>
      <w:r w:rsidR="008A2A9A">
        <w:rPr>
          <w:rFonts w:ascii="Times New Roman" w:hAnsi="Times New Roman"/>
          <w:sz w:val="22"/>
          <w:szCs w:val="22"/>
          <w:u w:val="none"/>
        </w:rPr>
        <w:t xml:space="preserve">, </w:t>
      </w:r>
      <w:r w:rsidRPr="00A85A67">
        <w:rPr>
          <w:rFonts w:ascii="Times New Roman" w:hAnsi="Times New Roman"/>
          <w:sz w:val="22"/>
          <w:szCs w:val="22"/>
          <w:u w:val="none"/>
        </w:rPr>
        <w:t>Enforcement Bureau</w:t>
      </w:r>
    </w:p>
    <w:p w:rsidR="00412F12" w:rsidRPr="00A85A67" w:rsidRDefault="00412F12" w:rsidP="006B6DE1">
      <w:pPr>
        <w:keepNext/>
        <w:rPr>
          <w:szCs w:val="22"/>
        </w:rPr>
      </w:pPr>
    </w:p>
    <w:p w:rsidR="00412F12" w:rsidRDefault="00412F12" w:rsidP="006B6DE1">
      <w:pPr>
        <w:keepNext/>
        <w:rPr>
          <w:szCs w:val="22"/>
        </w:rPr>
      </w:pPr>
    </w:p>
    <w:p w:rsidR="00412F12" w:rsidRPr="00A85A67" w:rsidRDefault="00412F12" w:rsidP="006B6DE1">
      <w:pPr>
        <w:keepNext/>
        <w:rPr>
          <w:szCs w:val="22"/>
        </w:rPr>
      </w:pPr>
      <w:r w:rsidRPr="00A85A67">
        <w:rPr>
          <w:szCs w:val="22"/>
        </w:rPr>
        <w:t>___________________________</w:t>
      </w:r>
    </w:p>
    <w:p w:rsidR="00412F12" w:rsidRPr="00A85A67" w:rsidRDefault="00412F12" w:rsidP="006B6DE1">
      <w:pPr>
        <w:keepNext/>
        <w:rPr>
          <w:szCs w:val="22"/>
        </w:rPr>
      </w:pPr>
      <w:r w:rsidRPr="00A85A67">
        <w:rPr>
          <w:szCs w:val="22"/>
        </w:rPr>
        <w:t>Date</w:t>
      </w:r>
    </w:p>
    <w:p w:rsidR="00412F12" w:rsidRPr="00A85A67" w:rsidRDefault="00412F12" w:rsidP="006B6DE1">
      <w:pPr>
        <w:keepNext/>
        <w:rPr>
          <w:szCs w:val="22"/>
        </w:rPr>
      </w:pPr>
    </w:p>
    <w:p w:rsidR="00412F12" w:rsidRPr="00A85A67" w:rsidRDefault="00412F12" w:rsidP="006B6DE1">
      <w:pPr>
        <w:rPr>
          <w:b/>
          <w:szCs w:val="22"/>
          <w:u w:val="single"/>
        </w:rPr>
      </w:pPr>
    </w:p>
    <w:p w:rsidR="00412F12" w:rsidRPr="00A85A67" w:rsidRDefault="00412F12" w:rsidP="006B6DE1">
      <w:pPr>
        <w:rPr>
          <w:b/>
          <w:szCs w:val="22"/>
          <w:u w:val="single"/>
        </w:rPr>
      </w:pPr>
    </w:p>
    <w:p w:rsidR="00412F12" w:rsidRPr="00A85A67" w:rsidRDefault="00412F12" w:rsidP="006B6DE1">
      <w:pPr>
        <w:rPr>
          <w:szCs w:val="22"/>
        </w:rPr>
      </w:pPr>
    </w:p>
    <w:p w:rsidR="00412F12" w:rsidRPr="00A85A67" w:rsidRDefault="00412F12" w:rsidP="006B6DE1">
      <w:pPr>
        <w:keepNext/>
        <w:keepLines/>
        <w:jc w:val="both"/>
        <w:rPr>
          <w:color w:val="000000"/>
          <w:szCs w:val="22"/>
        </w:rPr>
      </w:pPr>
      <w:r w:rsidRPr="00A85A67">
        <w:rPr>
          <w:color w:val="000000"/>
          <w:szCs w:val="22"/>
        </w:rPr>
        <w:t>_____________________________</w:t>
      </w:r>
    </w:p>
    <w:p w:rsidR="00BE518A" w:rsidRPr="00D506C6" w:rsidRDefault="005A4BE4" w:rsidP="00BE518A">
      <w:pPr>
        <w:rPr>
          <w:rFonts w:eastAsia="Arial"/>
          <w:color w:val="1F497D"/>
          <w:szCs w:val="22"/>
        </w:rPr>
      </w:pPr>
      <w:r>
        <w:rPr>
          <w:rFonts w:eastAsia="Arial"/>
          <w:bCs/>
          <w:szCs w:val="22"/>
        </w:rPr>
        <w:t>Robert L. Schmidt</w:t>
      </w:r>
      <w:r w:rsidR="00BE518A" w:rsidRPr="00D506C6">
        <w:rPr>
          <w:rFonts w:eastAsia="Arial"/>
          <w:szCs w:val="22"/>
        </w:rPr>
        <w:br/>
        <w:t xml:space="preserve">President, </w:t>
      </w:r>
    </w:p>
    <w:p w:rsidR="00412F12" w:rsidRDefault="005A4BE4" w:rsidP="006B6DE1">
      <w:pPr>
        <w:jc w:val="both"/>
        <w:rPr>
          <w:color w:val="000000"/>
          <w:szCs w:val="22"/>
        </w:rPr>
      </w:pPr>
      <w:r>
        <w:rPr>
          <w:color w:val="000000"/>
          <w:szCs w:val="22"/>
        </w:rPr>
        <w:t>Great American Broadband, Inc.</w:t>
      </w:r>
    </w:p>
    <w:p w:rsidR="00412F12" w:rsidRDefault="00412F12" w:rsidP="006B6DE1">
      <w:pPr>
        <w:jc w:val="both"/>
        <w:rPr>
          <w:color w:val="000000"/>
          <w:szCs w:val="22"/>
        </w:rPr>
      </w:pPr>
    </w:p>
    <w:p w:rsidR="00BC40B3" w:rsidRPr="00A85A67" w:rsidRDefault="00BC40B3" w:rsidP="006B6DE1">
      <w:pPr>
        <w:jc w:val="both"/>
        <w:rPr>
          <w:color w:val="000000"/>
          <w:szCs w:val="22"/>
        </w:rPr>
      </w:pPr>
    </w:p>
    <w:p w:rsidR="00412F12" w:rsidRPr="00A85A67" w:rsidRDefault="00412F12" w:rsidP="006B6DE1">
      <w:pPr>
        <w:keepLines/>
        <w:jc w:val="both"/>
        <w:rPr>
          <w:color w:val="000000"/>
          <w:szCs w:val="22"/>
        </w:rPr>
      </w:pPr>
      <w:r w:rsidRPr="00A85A67">
        <w:rPr>
          <w:color w:val="000000"/>
          <w:szCs w:val="22"/>
        </w:rPr>
        <w:t>_____________________________</w:t>
      </w:r>
    </w:p>
    <w:p w:rsidR="00412F12" w:rsidRDefault="00412F12" w:rsidP="006B6DE1">
      <w:pPr>
        <w:rPr>
          <w:szCs w:val="22"/>
        </w:rPr>
      </w:pPr>
      <w:r w:rsidRPr="00A85A67">
        <w:rPr>
          <w:szCs w:val="22"/>
        </w:rPr>
        <w:t>Date</w:t>
      </w:r>
    </w:p>
    <w:p w:rsidR="00412F12" w:rsidRPr="00A85A67" w:rsidRDefault="00412F12" w:rsidP="00144A1F">
      <w:pPr>
        <w:jc w:val="both"/>
        <w:rPr>
          <w:color w:val="000000"/>
          <w:szCs w:val="22"/>
        </w:rPr>
      </w:pPr>
    </w:p>
    <w:sectPr w:rsidR="00412F12" w:rsidRPr="00A85A67" w:rsidSect="003A16C0">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25" w:rsidRDefault="00C20325" w:rsidP="006B6DE1">
      <w:r>
        <w:separator/>
      </w:r>
    </w:p>
  </w:endnote>
  <w:endnote w:type="continuationSeparator" w:id="0">
    <w:p w:rsidR="00C20325" w:rsidRDefault="00C20325" w:rsidP="006B6DE1">
      <w:r>
        <w:continuationSeparator/>
      </w:r>
    </w:p>
  </w:endnote>
  <w:endnote w:type="continuationNotice" w:id="1">
    <w:p w:rsidR="00C20325" w:rsidRDefault="00C20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98" w:rsidRDefault="00527598" w:rsidP="00B03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7598" w:rsidRDefault="00527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98" w:rsidRDefault="00527598" w:rsidP="00B03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BA7">
      <w:rPr>
        <w:rStyle w:val="PageNumber"/>
        <w:noProof/>
      </w:rPr>
      <w:t>11</w:t>
    </w:r>
    <w:r>
      <w:rPr>
        <w:rStyle w:val="PageNumber"/>
      </w:rPr>
      <w:fldChar w:fldCharType="end"/>
    </w:r>
  </w:p>
  <w:p w:rsidR="00527598" w:rsidRDefault="00527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0B" w:rsidRDefault="009E0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25" w:rsidRDefault="00C20325" w:rsidP="006B6DE1">
      <w:r>
        <w:separator/>
      </w:r>
    </w:p>
  </w:footnote>
  <w:footnote w:type="continuationSeparator" w:id="0">
    <w:p w:rsidR="00C20325" w:rsidRDefault="00C20325" w:rsidP="006B6DE1">
      <w:r>
        <w:continuationSeparator/>
      </w:r>
    </w:p>
  </w:footnote>
  <w:footnote w:type="continuationNotice" w:id="1">
    <w:p w:rsidR="00C20325" w:rsidRDefault="00C20325"/>
  </w:footnote>
  <w:footnote w:id="2">
    <w:p w:rsidR="00527598" w:rsidRDefault="00527598">
      <w:pPr>
        <w:pStyle w:val="FootnoteText"/>
      </w:pPr>
      <w:r>
        <w:rPr>
          <w:rStyle w:val="FootnoteReference"/>
        </w:rPr>
        <w:footnoteRef/>
      </w:r>
      <w:r>
        <w:t xml:space="preserve"> 47 </w:t>
      </w:r>
      <w:r>
        <w:rPr>
          <w:lang w:val="es-ES"/>
        </w:rPr>
        <w:t>U.S.C. § 310(b)(3).</w:t>
      </w:r>
    </w:p>
  </w:footnote>
  <w:footnote w:id="3">
    <w:p w:rsidR="00527598" w:rsidRDefault="00527598" w:rsidP="008C22CF">
      <w:pPr>
        <w:pStyle w:val="FootnoteText"/>
      </w:pPr>
      <w:r>
        <w:rPr>
          <w:rStyle w:val="FootnoteReference"/>
        </w:rPr>
        <w:footnoteRef/>
      </w:r>
      <w:r>
        <w:t xml:space="preserve"> </w:t>
      </w:r>
      <w:r>
        <w:rPr>
          <w:lang w:val="es-ES"/>
        </w:rPr>
        <w:t xml:space="preserve">47 U.S.C. § 310(b)(3); </w:t>
      </w:r>
      <w:r w:rsidRPr="004A5FD9">
        <w:rPr>
          <w:lang w:val="es-ES"/>
        </w:rPr>
        <w:t>47 C.F.R. §§</w:t>
      </w:r>
      <w:r>
        <w:rPr>
          <w:lang w:val="es-ES"/>
        </w:rPr>
        <w:t xml:space="preserve"> </w:t>
      </w:r>
      <w:r>
        <w:rPr>
          <w:color w:val="000000"/>
          <w:szCs w:val="22"/>
        </w:rPr>
        <w:t>1.919(b)(5), 1.948(c)(1), 1.2111(d), 1.2114(a).</w:t>
      </w:r>
    </w:p>
  </w:footnote>
  <w:footnote w:id="4">
    <w:p w:rsidR="00527598" w:rsidRDefault="00527598" w:rsidP="003A16C0">
      <w:pPr>
        <w:pStyle w:val="FootnoteText"/>
      </w:pPr>
      <w:r w:rsidRPr="00C534BF">
        <w:rPr>
          <w:rStyle w:val="FootnoteReference"/>
        </w:rPr>
        <w:footnoteRef/>
      </w:r>
      <w:r w:rsidRPr="00C534BF">
        <w:t xml:space="preserve"> 47 U.S.C. §§ 154(i)</w:t>
      </w:r>
      <w:r>
        <w:t>, 154(j), 503(b)</w:t>
      </w:r>
      <w:r w:rsidRPr="00C534BF">
        <w:t>.</w:t>
      </w:r>
    </w:p>
  </w:footnote>
  <w:footnote w:id="5">
    <w:p w:rsidR="00527598" w:rsidRDefault="00527598" w:rsidP="003A16C0">
      <w:pPr>
        <w:pStyle w:val="FootnoteText"/>
      </w:pPr>
      <w:r w:rsidRPr="00C534BF">
        <w:rPr>
          <w:rStyle w:val="FootnoteReference"/>
          <w:bCs/>
        </w:rPr>
        <w:footnoteRef/>
      </w:r>
      <w:r w:rsidRPr="00C534BF">
        <w:t xml:space="preserve"> 47 C.F.R. §§ 0.111, 0.311.</w:t>
      </w:r>
    </w:p>
  </w:footnote>
  <w:footnote w:id="6">
    <w:p w:rsidR="00527598" w:rsidRDefault="00527598">
      <w:pPr>
        <w:pStyle w:val="FootnoteText"/>
      </w:pPr>
      <w:r>
        <w:rPr>
          <w:rStyle w:val="FootnoteReference"/>
        </w:rPr>
        <w:footnoteRef/>
      </w:r>
      <w:r>
        <w:t xml:space="preserve"> </w:t>
      </w:r>
      <w:r w:rsidRPr="00C76098">
        <w:rPr>
          <w:i/>
        </w:rPr>
        <w:t xml:space="preserve">See </w:t>
      </w:r>
      <w:r>
        <w:t xml:space="preserve">47 </w:t>
      </w:r>
      <w:r>
        <w:rPr>
          <w:lang w:val="es-ES"/>
        </w:rPr>
        <w:t xml:space="preserve">U.S.C. § </w:t>
      </w:r>
      <w:r>
        <w:rPr>
          <w:szCs w:val="22"/>
        </w:rPr>
        <w:t>309(j).</w:t>
      </w:r>
    </w:p>
  </w:footnote>
  <w:footnote w:id="7">
    <w:p w:rsidR="00527598" w:rsidRDefault="00527598">
      <w:pPr>
        <w:pStyle w:val="FootnoteText"/>
      </w:pPr>
      <w:r>
        <w:rPr>
          <w:rStyle w:val="FootnoteReference"/>
        </w:rPr>
        <w:footnoteRef/>
      </w:r>
      <w:r>
        <w:t xml:space="preserve"> </w:t>
      </w:r>
      <w:r w:rsidRPr="00C76098">
        <w:rPr>
          <w:i/>
        </w:rPr>
        <w:t xml:space="preserve">See </w:t>
      </w:r>
      <w:r>
        <w:t xml:space="preserve">47 </w:t>
      </w:r>
      <w:r>
        <w:rPr>
          <w:lang w:val="es-ES"/>
        </w:rPr>
        <w:t xml:space="preserve">C.F.R. </w:t>
      </w:r>
      <w:r w:rsidRPr="004A5FD9">
        <w:rPr>
          <w:lang w:val="es-ES"/>
        </w:rPr>
        <w:t>§</w:t>
      </w:r>
      <w:r>
        <w:rPr>
          <w:lang w:val="es-ES"/>
        </w:rPr>
        <w:t xml:space="preserve"> </w:t>
      </w:r>
      <w:r>
        <w:rPr>
          <w:szCs w:val="22"/>
        </w:rPr>
        <w:t>1.2110.</w:t>
      </w:r>
    </w:p>
  </w:footnote>
  <w:footnote w:id="8">
    <w:p w:rsidR="00527598" w:rsidRDefault="00527598">
      <w:pPr>
        <w:pStyle w:val="FootnoteText"/>
      </w:pPr>
      <w:r>
        <w:rPr>
          <w:rStyle w:val="FootnoteReference"/>
        </w:rPr>
        <w:footnoteRef/>
      </w:r>
      <w:r>
        <w:rPr>
          <w:i/>
        </w:rPr>
        <w:t xml:space="preserve"> </w:t>
      </w:r>
      <w:r w:rsidRPr="00C76098">
        <w:rPr>
          <w:i/>
        </w:rPr>
        <w:t xml:space="preserve">See </w:t>
      </w:r>
      <w:r w:rsidRPr="00156724">
        <w:rPr>
          <w:i/>
        </w:rPr>
        <w:t>id.</w:t>
      </w:r>
      <w:r>
        <w:rPr>
          <w:lang w:val="es-ES"/>
        </w:rPr>
        <w:t xml:space="preserve"> </w:t>
      </w:r>
      <w:r w:rsidRPr="004A5FD9">
        <w:rPr>
          <w:lang w:val="es-ES"/>
        </w:rPr>
        <w:t>§</w:t>
      </w:r>
      <w:r>
        <w:rPr>
          <w:lang w:val="es-ES"/>
        </w:rPr>
        <w:t xml:space="preserve"> 1.2110(a).</w:t>
      </w:r>
    </w:p>
  </w:footnote>
  <w:footnote w:id="9">
    <w:p w:rsidR="00527598" w:rsidRDefault="00527598" w:rsidP="00787641">
      <w:pPr>
        <w:pStyle w:val="FootnoteText"/>
      </w:pPr>
      <w:r>
        <w:rPr>
          <w:rStyle w:val="FootnoteReference"/>
        </w:rPr>
        <w:footnoteRef/>
      </w:r>
      <w:r>
        <w:t xml:space="preserve"> </w:t>
      </w:r>
      <w:r w:rsidRPr="00C76098">
        <w:rPr>
          <w:i/>
        </w:rPr>
        <w:t xml:space="preserve">See </w:t>
      </w:r>
      <w:r w:rsidRPr="00156724">
        <w:rPr>
          <w:i/>
        </w:rPr>
        <w:t>id.</w:t>
      </w:r>
      <w:r>
        <w:rPr>
          <w:lang w:val="es-ES"/>
        </w:rPr>
        <w:t xml:space="preserve"> </w:t>
      </w:r>
      <w:r w:rsidRPr="004A5FD9">
        <w:rPr>
          <w:lang w:val="es-ES"/>
        </w:rPr>
        <w:t>§</w:t>
      </w:r>
      <w:r>
        <w:rPr>
          <w:lang w:val="es-ES"/>
        </w:rPr>
        <w:t xml:space="preserve"> </w:t>
      </w:r>
      <w:r>
        <w:rPr>
          <w:szCs w:val="22"/>
        </w:rPr>
        <w:t>1.2114(a)(2).</w:t>
      </w:r>
    </w:p>
  </w:footnote>
  <w:footnote w:id="10">
    <w:p w:rsidR="00527598" w:rsidRDefault="00527598" w:rsidP="00346BDC">
      <w:pPr>
        <w:pStyle w:val="FootnoteText"/>
      </w:pPr>
      <w:r>
        <w:rPr>
          <w:rStyle w:val="FootnoteReference"/>
        </w:rPr>
        <w:footnoteRef/>
      </w:r>
      <w:r>
        <w:t xml:space="preserve"> </w:t>
      </w:r>
      <w:r w:rsidRPr="00C76098">
        <w:rPr>
          <w:i/>
        </w:rPr>
        <w:t xml:space="preserve">See </w:t>
      </w:r>
      <w:r w:rsidRPr="00156724">
        <w:rPr>
          <w:i/>
        </w:rPr>
        <w:t>id.</w:t>
      </w:r>
      <w:r>
        <w:rPr>
          <w:lang w:val="es-ES"/>
        </w:rPr>
        <w:t xml:space="preserve"> </w:t>
      </w:r>
      <w:r w:rsidRPr="004A5FD9">
        <w:rPr>
          <w:lang w:val="es-ES"/>
        </w:rPr>
        <w:t>§</w:t>
      </w:r>
      <w:r>
        <w:rPr>
          <w:lang w:val="es-ES"/>
        </w:rPr>
        <w:t xml:space="preserve"> </w:t>
      </w:r>
      <w:r>
        <w:rPr>
          <w:szCs w:val="22"/>
        </w:rPr>
        <w:t>1.2111(d).</w:t>
      </w:r>
    </w:p>
  </w:footnote>
  <w:footnote w:id="11">
    <w:p w:rsidR="00527598" w:rsidRPr="002E03D1" w:rsidRDefault="00527598">
      <w:pPr>
        <w:pStyle w:val="FootnoteText"/>
        <w:rPr>
          <w:i/>
        </w:rPr>
      </w:pPr>
      <w:r>
        <w:rPr>
          <w:rStyle w:val="FootnoteReference"/>
        </w:rPr>
        <w:footnoteRef/>
      </w:r>
      <w:r>
        <w:t xml:space="preserve"> </w:t>
      </w:r>
      <w:r w:rsidRPr="00C76098">
        <w:rPr>
          <w:i/>
        </w:rPr>
        <w:t xml:space="preserve">See </w:t>
      </w:r>
      <w:r w:rsidRPr="00156724">
        <w:rPr>
          <w:i/>
        </w:rPr>
        <w:t>id.</w:t>
      </w:r>
      <w:r>
        <w:rPr>
          <w:lang w:val="es-ES"/>
        </w:rPr>
        <w:t xml:space="preserve">  </w:t>
      </w:r>
      <w:r w:rsidRPr="00101253">
        <w:rPr>
          <w:szCs w:val="22"/>
        </w:rPr>
        <w:t xml:space="preserve">If the Eligibility Event occurs within the first two years of the license term, </w:t>
      </w:r>
      <w:r>
        <w:rPr>
          <w:szCs w:val="22"/>
        </w:rPr>
        <w:t xml:space="preserve">for example, the required Unjust Enrichment </w:t>
      </w:r>
      <w:r w:rsidRPr="00101253">
        <w:rPr>
          <w:szCs w:val="22"/>
        </w:rPr>
        <w:t xml:space="preserve">payment equals the full </w:t>
      </w:r>
      <w:r>
        <w:rPr>
          <w:szCs w:val="22"/>
        </w:rPr>
        <w:t xml:space="preserve">discount </w:t>
      </w:r>
      <w:r w:rsidRPr="00101253">
        <w:rPr>
          <w:szCs w:val="22"/>
        </w:rPr>
        <w:t>plus interest.</w:t>
      </w:r>
      <w:r>
        <w:rPr>
          <w:szCs w:val="22"/>
        </w:rPr>
        <w:t xml:space="preserve">  </w:t>
      </w:r>
      <w:r>
        <w:rPr>
          <w:i/>
          <w:szCs w:val="22"/>
        </w:rPr>
        <w:t>See id.</w:t>
      </w:r>
    </w:p>
  </w:footnote>
  <w:footnote w:id="12">
    <w:p w:rsidR="00527598" w:rsidRDefault="00527598">
      <w:pPr>
        <w:pStyle w:val="FootnoteText"/>
      </w:pPr>
      <w:r>
        <w:rPr>
          <w:rStyle w:val="FootnoteReference"/>
        </w:rPr>
        <w:footnoteRef/>
      </w:r>
      <w:r>
        <w:t xml:space="preserve"> </w:t>
      </w:r>
      <w:r w:rsidRPr="00C76098">
        <w:rPr>
          <w:i/>
        </w:rPr>
        <w:t xml:space="preserve">See </w:t>
      </w:r>
      <w:r w:rsidRPr="00156724">
        <w:rPr>
          <w:i/>
        </w:rPr>
        <w:t>id.</w:t>
      </w:r>
      <w:r>
        <w:rPr>
          <w:lang w:val="es-ES"/>
        </w:rPr>
        <w:t xml:space="preserve"> </w:t>
      </w:r>
      <w:r w:rsidRPr="004A5FD9">
        <w:rPr>
          <w:lang w:val="es-ES"/>
        </w:rPr>
        <w:t>§</w:t>
      </w:r>
      <w:r>
        <w:rPr>
          <w:lang w:val="es-ES"/>
        </w:rPr>
        <w:t xml:space="preserve"> 1.919.</w:t>
      </w:r>
    </w:p>
  </w:footnote>
  <w:footnote w:id="13">
    <w:p w:rsidR="00527598" w:rsidRDefault="00527598" w:rsidP="00357F25">
      <w:pPr>
        <w:pStyle w:val="FootnoteText"/>
      </w:pPr>
      <w:r>
        <w:rPr>
          <w:rStyle w:val="FootnoteReference"/>
        </w:rPr>
        <w:footnoteRef/>
      </w:r>
      <w:r>
        <w:t xml:space="preserve"> </w:t>
      </w:r>
      <w:r w:rsidRPr="00C76098">
        <w:rPr>
          <w:i/>
        </w:rPr>
        <w:t xml:space="preserve">See </w:t>
      </w:r>
      <w:r w:rsidRPr="00156724">
        <w:rPr>
          <w:i/>
        </w:rPr>
        <w:t>id.</w:t>
      </w:r>
      <w:r>
        <w:rPr>
          <w:lang w:val="es-ES"/>
        </w:rPr>
        <w:t xml:space="preserve"> </w:t>
      </w:r>
      <w:r w:rsidRPr="004A5FD9">
        <w:rPr>
          <w:lang w:val="es-ES"/>
        </w:rPr>
        <w:t>§</w:t>
      </w:r>
      <w:r>
        <w:rPr>
          <w:lang w:val="es-ES"/>
        </w:rPr>
        <w:t xml:space="preserve"> </w:t>
      </w:r>
      <w:r>
        <w:rPr>
          <w:szCs w:val="22"/>
        </w:rPr>
        <w:t>1.948(c</w:t>
      </w:r>
      <w:r w:rsidRPr="00FC76BF">
        <w:rPr>
          <w:szCs w:val="22"/>
        </w:rPr>
        <w:t>)</w:t>
      </w:r>
      <w:r>
        <w:rPr>
          <w:szCs w:val="22"/>
        </w:rPr>
        <w:t>(1).</w:t>
      </w:r>
    </w:p>
  </w:footnote>
  <w:footnote w:id="14">
    <w:p w:rsidR="00527598" w:rsidRDefault="00527598" w:rsidP="000C4E79">
      <w:pPr>
        <w:pStyle w:val="FootnoteText"/>
      </w:pPr>
      <w:r>
        <w:rPr>
          <w:rStyle w:val="FootnoteReference"/>
        </w:rPr>
        <w:footnoteRef/>
      </w:r>
      <w:r>
        <w:t xml:space="preserve"> </w:t>
      </w:r>
      <w:r w:rsidRPr="00ED7AC7">
        <w:rPr>
          <w:i/>
        </w:rPr>
        <w:t xml:space="preserve">See </w:t>
      </w:r>
      <w:r w:rsidRPr="00ED7AC7">
        <w:rPr>
          <w:lang w:val="es-ES"/>
        </w:rPr>
        <w:t xml:space="preserve">47 U.S.C. § </w:t>
      </w:r>
      <w:r>
        <w:rPr>
          <w:lang w:val="es-ES"/>
        </w:rPr>
        <w:t>310(b)(3).</w:t>
      </w:r>
    </w:p>
  </w:footnote>
  <w:footnote w:id="15">
    <w:p w:rsidR="00527598" w:rsidRDefault="00527598" w:rsidP="000C4E79">
      <w:pPr>
        <w:pStyle w:val="FootnoteText"/>
      </w:pPr>
      <w:r>
        <w:rPr>
          <w:rStyle w:val="FootnoteReference"/>
        </w:rPr>
        <w:footnoteRef/>
      </w:r>
      <w:r>
        <w:t xml:space="preserve"> </w:t>
      </w:r>
      <w:r w:rsidRPr="00C76098">
        <w:rPr>
          <w:i/>
        </w:rPr>
        <w:t xml:space="preserve">See </w:t>
      </w:r>
      <w:r>
        <w:t xml:space="preserve">47 </w:t>
      </w:r>
      <w:r>
        <w:rPr>
          <w:lang w:val="es-ES"/>
        </w:rPr>
        <w:t xml:space="preserve">C.F.R. </w:t>
      </w:r>
      <w:r w:rsidRPr="004A5FD9">
        <w:rPr>
          <w:lang w:val="es-ES"/>
        </w:rPr>
        <w:t>§</w:t>
      </w:r>
      <w:r>
        <w:rPr>
          <w:lang w:val="es-ES"/>
        </w:rPr>
        <w:t xml:space="preserve"> </w:t>
      </w:r>
      <w:r>
        <w:rPr>
          <w:szCs w:val="22"/>
        </w:rPr>
        <w:t xml:space="preserve">1.990(a)(2); </w:t>
      </w:r>
      <w:r>
        <w:rPr>
          <w:i/>
          <w:szCs w:val="22"/>
        </w:rPr>
        <w:t>s</w:t>
      </w:r>
      <w:r w:rsidRPr="005B46A7">
        <w:rPr>
          <w:i/>
          <w:szCs w:val="22"/>
        </w:rPr>
        <w:t>ee also</w:t>
      </w:r>
      <w:r>
        <w:rPr>
          <w:szCs w:val="22"/>
        </w:rPr>
        <w:t xml:space="preserve"> </w:t>
      </w:r>
      <w:r w:rsidRPr="005B46A7">
        <w:rPr>
          <w:i/>
          <w:szCs w:val="22"/>
        </w:rPr>
        <w:t>Review of Foreign Ownership Policies for Common Carrier and Aeronautical Radio Licensees Under Section 310(b)(4) of the Communications Act of 1934, as amended</w:t>
      </w:r>
      <w:r>
        <w:rPr>
          <w:szCs w:val="22"/>
        </w:rPr>
        <w:t xml:space="preserve">, First Report and Order, 27 FCC Rcd 9832 (2012); Review of Foreign Ownership Policies for </w:t>
      </w:r>
      <w:r w:rsidR="00093DA1">
        <w:rPr>
          <w:szCs w:val="22"/>
        </w:rPr>
        <w:t xml:space="preserve">Common </w:t>
      </w:r>
      <w:r>
        <w:rPr>
          <w:szCs w:val="22"/>
        </w:rPr>
        <w:t>Carrier and Aeronautical Radio Licenses, 77 Fed. Reg. 50,628 (Aug. 22, 2012).</w:t>
      </w:r>
    </w:p>
  </w:footnote>
  <w:footnote w:id="16">
    <w:p w:rsidR="00D919A5" w:rsidRPr="009C477E" w:rsidRDefault="00527598" w:rsidP="000C4E79">
      <w:pPr>
        <w:pStyle w:val="FootnoteText"/>
        <w:rPr>
          <w:i/>
        </w:rPr>
      </w:pPr>
      <w:r>
        <w:rPr>
          <w:rStyle w:val="FootnoteReference"/>
        </w:rPr>
        <w:footnoteRef/>
      </w:r>
      <w:r>
        <w:t xml:space="preserve"> </w:t>
      </w:r>
      <w:r w:rsidRPr="00C76098">
        <w:rPr>
          <w:i/>
        </w:rPr>
        <w:t xml:space="preserve">See </w:t>
      </w:r>
      <w:r>
        <w:t xml:space="preserve">47 </w:t>
      </w:r>
      <w:r>
        <w:rPr>
          <w:lang w:val="es-ES"/>
        </w:rPr>
        <w:t xml:space="preserve">C.F.R. </w:t>
      </w:r>
      <w:r w:rsidRPr="004A5FD9">
        <w:rPr>
          <w:lang w:val="es-ES"/>
        </w:rPr>
        <w:t>§</w:t>
      </w:r>
      <w:r>
        <w:rPr>
          <w:lang w:val="es-ES"/>
        </w:rPr>
        <w:t xml:space="preserve"> </w:t>
      </w:r>
      <w:r w:rsidR="00607C51">
        <w:rPr>
          <w:szCs w:val="22"/>
        </w:rPr>
        <w:t xml:space="preserve">1.990(a)(2). </w:t>
      </w:r>
    </w:p>
  </w:footnote>
  <w:footnote w:id="17">
    <w:p w:rsidR="00607C51" w:rsidRDefault="00607C51">
      <w:pPr>
        <w:pStyle w:val="FootnoteText"/>
      </w:pPr>
      <w:r>
        <w:rPr>
          <w:rStyle w:val="FootnoteReference"/>
        </w:rPr>
        <w:footnoteRef/>
      </w:r>
      <w:r>
        <w:t xml:space="preserve"> </w:t>
      </w:r>
      <w:r>
        <w:rPr>
          <w:i/>
          <w:szCs w:val="22"/>
        </w:rPr>
        <w:t xml:space="preserve">See </w:t>
      </w:r>
      <w:r>
        <w:t>Great American Broadband, Inc., Petition for Declaratory Ruling Under Section 310(b)(3) of the Communications Act of 1934, as amended, Filed with IB, International Bureau Filing System (IBFS) File No. ISP-PDR-20131126-00010 (Nov. 26, 2013) (amendment filed Dec. 19, 2013) (</w:t>
      </w:r>
      <w:r>
        <w:rPr>
          <w:i/>
        </w:rPr>
        <w:t>Petition for Declaratory Ruling</w:t>
      </w:r>
      <w:r>
        <w:t>).</w:t>
      </w:r>
    </w:p>
  </w:footnote>
  <w:footnote w:id="18">
    <w:p w:rsidR="00527598" w:rsidRDefault="00527598">
      <w:pPr>
        <w:pStyle w:val="FootnoteText"/>
      </w:pPr>
      <w:r>
        <w:rPr>
          <w:rStyle w:val="FootnoteReference"/>
        </w:rPr>
        <w:footnoteRef/>
      </w:r>
      <w:r>
        <w:t xml:space="preserve"> </w:t>
      </w:r>
      <w:r w:rsidRPr="00860016">
        <w:rPr>
          <w:i/>
        </w:rPr>
        <w:t>See</w:t>
      </w:r>
      <w:r>
        <w:t xml:space="preserve"> Great American Broadband, Inc., Application for Assignments of Authorization, Wireless Telecommunications Bureau (Form 603), Universal Licensing System (ULS) File No. 0006023405 at Exhibit</w:t>
      </w:r>
      <w:r w:rsidR="00093DA1">
        <w:t xml:space="preserve"> </w:t>
      </w:r>
      <w:r>
        <w:t xml:space="preserve">1 (Nov. 26, 2013), </w:t>
      </w:r>
      <w:r w:rsidR="00691E8C">
        <w:t xml:space="preserve">amended </w:t>
      </w:r>
      <w:r>
        <w:t>Dec. 13, 2013</w:t>
      </w:r>
      <w:r w:rsidR="00691E8C">
        <w:t xml:space="preserve"> and July 7, 2014</w:t>
      </w:r>
      <w:r>
        <w:t xml:space="preserve"> (</w:t>
      </w:r>
      <w:r>
        <w:rPr>
          <w:i/>
        </w:rPr>
        <w:t>Pro Forma Transfer of Control Application</w:t>
      </w:r>
      <w:r>
        <w:t>);</w:t>
      </w:r>
      <w:r w:rsidR="009C477E" w:rsidRPr="009C477E">
        <w:rPr>
          <w:i/>
        </w:rPr>
        <w:t xml:space="preserve"> </w:t>
      </w:r>
      <w:r w:rsidR="009C477E">
        <w:rPr>
          <w:i/>
        </w:rPr>
        <w:t>Petition for Declaratory Ruling</w:t>
      </w:r>
      <w:r w:rsidR="009C477E" w:rsidRPr="009C477E">
        <w:t xml:space="preserve">, </w:t>
      </w:r>
      <w:r w:rsidR="009C477E">
        <w:rPr>
          <w:i/>
        </w:rPr>
        <w:t>sup</w:t>
      </w:r>
      <w:r w:rsidR="009C477E" w:rsidRPr="00FA49BD">
        <w:rPr>
          <w:i/>
        </w:rPr>
        <w:t>ra</w:t>
      </w:r>
      <w:r w:rsidR="009C477E">
        <w:t xml:space="preserve"> note 1</w:t>
      </w:r>
      <w:r w:rsidR="00996B2D">
        <w:t>2</w:t>
      </w:r>
      <w:r>
        <w:t>;</w:t>
      </w:r>
      <w:r w:rsidRPr="0076633D">
        <w:rPr>
          <w:i/>
        </w:rPr>
        <w:t xml:space="preserve"> see also</w:t>
      </w:r>
      <w:r w:rsidRPr="00156E13">
        <w:rPr>
          <w:i/>
        </w:rPr>
        <w:t xml:space="preserve"> Non Streamlined International Applications/Petitions Accepted for Filing: Section 214 Applications (47 </w:t>
      </w:r>
      <w:r w:rsidRPr="00156E13">
        <w:rPr>
          <w:i/>
          <w:lang w:val="es-ES"/>
        </w:rPr>
        <w:t>C.F.R. §</w:t>
      </w:r>
      <w:r w:rsidR="009C477E">
        <w:rPr>
          <w:i/>
        </w:rPr>
        <w:t> </w:t>
      </w:r>
      <w:r w:rsidRPr="00156E13">
        <w:rPr>
          <w:i/>
        </w:rPr>
        <w:t>63.18); Section 310(b) Petitions</w:t>
      </w:r>
      <w:r>
        <w:t>, Public Notice, Report No. TEL-01651NS, 2014 WL 198151 (Int’l Bur. 2014).</w:t>
      </w:r>
    </w:p>
  </w:footnote>
  <w:footnote w:id="19">
    <w:p w:rsidR="00652031" w:rsidRPr="003B638B" w:rsidRDefault="00652031" w:rsidP="00652031">
      <w:pPr>
        <w:pStyle w:val="FootnoteText"/>
        <w:rPr>
          <w:i/>
          <w:szCs w:val="22"/>
        </w:rPr>
      </w:pPr>
      <w:r>
        <w:rPr>
          <w:rStyle w:val="FootnoteReference"/>
        </w:rPr>
        <w:footnoteRef/>
      </w:r>
      <w:r>
        <w:t xml:space="preserve"> </w:t>
      </w:r>
      <w:r>
        <w:rPr>
          <w:i/>
          <w:szCs w:val="22"/>
        </w:rPr>
        <w:t xml:space="preserve">See </w:t>
      </w:r>
      <w:r w:rsidRPr="00BD606A">
        <w:rPr>
          <w:i/>
        </w:rPr>
        <w:t>Auction of 700 MHz Band Licenses Closes, Winning Bidders Announced for Auction 73</w:t>
      </w:r>
      <w:r>
        <w:t xml:space="preserve">, </w:t>
      </w:r>
      <w:r w:rsidRPr="00E932D7">
        <w:t>Public</w:t>
      </w:r>
      <w:r>
        <w:t xml:space="preserve"> Notice, 23 FCC Rcd 4572, 4617, 4621, 4632, 4643 (Wireless Tel. Bur. 2008) (</w:t>
      </w:r>
      <w:r w:rsidRPr="00BD606A">
        <w:rPr>
          <w:i/>
        </w:rPr>
        <w:t>Auction 73 Winning Bidders PN</w:t>
      </w:r>
      <w:r>
        <w:t>).</w:t>
      </w:r>
    </w:p>
  </w:footnote>
  <w:footnote w:id="20">
    <w:p w:rsidR="00527598" w:rsidRDefault="00527598">
      <w:pPr>
        <w:pStyle w:val="FootnoteText"/>
      </w:pPr>
      <w:r>
        <w:rPr>
          <w:rStyle w:val="FootnoteReference"/>
        </w:rPr>
        <w:footnoteRef/>
      </w:r>
      <w:r>
        <w:t xml:space="preserve"> </w:t>
      </w:r>
      <w:r w:rsidRPr="00374481">
        <w:rPr>
          <w:i/>
        </w:rPr>
        <w:t>See Ser</w:t>
      </w:r>
      <w:r>
        <w:rPr>
          <w:i/>
        </w:rPr>
        <w:t>vice Rules for the 698</w:t>
      </w:r>
      <w:r>
        <w:t>–</w:t>
      </w:r>
      <w:r>
        <w:rPr>
          <w:i/>
        </w:rPr>
        <w:t>746, 747</w:t>
      </w:r>
      <w:r>
        <w:t>–</w:t>
      </w:r>
      <w:r w:rsidRPr="00374481">
        <w:rPr>
          <w:i/>
        </w:rPr>
        <w:t>762 and 777-792 MHz Bands</w:t>
      </w:r>
      <w:r>
        <w:t xml:space="preserve">, Second Report and Order, 22 FCC Rcd 15289, 15291-94, paras. 1–11 (2007); </w:t>
      </w:r>
      <w:r>
        <w:rPr>
          <w:i/>
        </w:rPr>
        <w:t>s</w:t>
      </w:r>
      <w:r w:rsidRPr="00A96CCD">
        <w:rPr>
          <w:i/>
        </w:rPr>
        <w:t>ee also Auction of 700 MHz Band Licenses Scheduled for January 24, 2008: Notice of Filing Requirements, Minimum Opening Bids, Reserve Prices, Upfront Payments, and Other Procedures for Auctions 73 and 76</w:t>
      </w:r>
      <w:r>
        <w:t xml:space="preserve">, Public Notice, 22 FCC Rcd 18141, 18143-44, 18147, paras. 1, 10–11 (Wireless Telecom. Bur. 2007); 47 C.F.R. </w:t>
      </w:r>
      <w:r w:rsidRPr="004A5FD9">
        <w:rPr>
          <w:lang w:val="es-ES"/>
        </w:rPr>
        <w:t>§</w:t>
      </w:r>
      <w:r>
        <w:rPr>
          <w:lang w:val="es-ES"/>
        </w:rPr>
        <w:t xml:space="preserve"> </w:t>
      </w:r>
      <w:r>
        <w:t>27.5(b).</w:t>
      </w:r>
    </w:p>
  </w:footnote>
  <w:footnote w:id="21">
    <w:p w:rsidR="00527598" w:rsidRDefault="00527598">
      <w:pPr>
        <w:pStyle w:val="FootnoteText"/>
      </w:pPr>
      <w:r>
        <w:rPr>
          <w:rStyle w:val="FootnoteReference"/>
        </w:rPr>
        <w:footnoteRef/>
      </w:r>
      <w:r>
        <w:t xml:space="preserve"> </w:t>
      </w:r>
      <w:r w:rsidRPr="00CE1C48">
        <w:rPr>
          <w:i/>
        </w:rPr>
        <w:t>See Action 73 Winning Bidders PN</w:t>
      </w:r>
      <w:r>
        <w:t xml:space="preserve">, 23 FCC Rcd at 4617, 4621, 4632, 4643; </w:t>
      </w:r>
      <w:r>
        <w:rPr>
          <w:i/>
        </w:rPr>
        <w:t>Auction</w:t>
      </w:r>
      <w:r w:rsidRPr="00CE1C48">
        <w:rPr>
          <w:i/>
        </w:rPr>
        <w:t xml:space="preserve"> of 700MHz Band Licenses: 214 Bidders Qualified to Participate in Auction 73</w:t>
      </w:r>
      <w:r>
        <w:t xml:space="preserve">, Public Notice, 23 FCC Rcd 276, 292 (Wireless Telecom. Bur. 2008); </w:t>
      </w:r>
      <w:r w:rsidRPr="0040462B">
        <w:rPr>
          <w:i/>
        </w:rPr>
        <w:t xml:space="preserve">Auction of 700 MHz </w:t>
      </w:r>
      <w:r w:rsidR="00691E8C">
        <w:rPr>
          <w:i/>
        </w:rPr>
        <w:t xml:space="preserve">Band Licenses </w:t>
      </w:r>
      <w:r w:rsidRPr="0040462B">
        <w:rPr>
          <w:i/>
        </w:rPr>
        <w:t>Scheduled for January 24, 2008</w:t>
      </w:r>
      <w:r>
        <w:t xml:space="preserve">, Public Notice, 22 FCC Rcd 18141, 18162, para. 70 (Wireless Telecom. Bur. 2007).  </w:t>
      </w:r>
    </w:p>
  </w:footnote>
  <w:footnote w:id="22">
    <w:p w:rsidR="00527598" w:rsidRDefault="00527598">
      <w:pPr>
        <w:pStyle w:val="FootnoteText"/>
      </w:pPr>
      <w:r>
        <w:rPr>
          <w:rStyle w:val="FootnoteReference"/>
        </w:rPr>
        <w:footnoteRef/>
      </w:r>
      <w:r>
        <w:t xml:space="preserve"> </w:t>
      </w:r>
      <w:r w:rsidRPr="00EF0F02">
        <w:rPr>
          <w:i/>
        </w:rPr>
        <w:t>See Wireless Telecommunications Bureau Grants 700 MHz Band Licenses:</w:t>
      </w:r>
      <w:r>
        <w:rPr>
          <w:i/>
        </w:rPr>
        <w:t xml:space="preserve"> </w:t>
      </w:r>
      <w:r w:rsidRPr="00EF0F02">
        <w:rPr>
          <w:i/>
        </w:rPr>
        <w:t>Auction 73</w:t>
      </w:r>
      <w:r>
        <w:t>, Public Notice, 24 FCC Rcd 5753, 5755 (Wireless Telecomm. Bur. 2009).</w:t>
      </w:r>
    </w:p>
  </w:footnote>
  <w:footnote w:id="23">
    <w:p w:rsidR="00527598" w:rsidRDefault="00527598">
      <w:pPr>
        <w:pStyle w:val="FootnoteText"/>
      </w:pPr>
      <w:r>
        <w:rPr>
          <w:rStyle w:val="FootnoteReference"/>
        </w:rPr>
        <w:footnoteRef/>
      </w:r>
      <w:r>
        <w:t xml:space="preserve"> </w:t>
      </w:r>
      <w:r>
        <w:rPr>
          <w:i/>
        </w:rPr>
        <w:t xml:space="preserve">See Pro Forma Transfer of Control Application </w:t>
      </w:r>
      <w:r w:rsidRPr="00086374">
        <w:t>at Amended Exhibit 1.</w:t>
      </w:r>
    </w:p>
  </w:footnote>
  <w:footnote w:id="24">
    <w:p w:rsidR="00527598" w:rsidRDefault="00527598">
      <w:pPr>
        <w:pStyle w:val="FootnoteText"/>
      </w:pPr>
      <w:r>
        <w:rPr>
          <w:rStyle w:val="FootnoteReference"/>
        </w:rPr>
        <w:footnoteRef/>
      </w:r>
      <w:r>
        <w:t xml:space="preserve"> </w:t>
      </w:r>
      <w:r w:rsidRPr="003D57C4">
        <w:rPr>
          <w:i/>
        </w:rPr>
        <w:t>See id.</w:t>
      </w:r>
    </w:p>
  </w:footnote>
  <w:footnote w:id="25">
    <w:p w:rsidR="00527598" w:rsidRDefault="00527598">
      <w:pPr>
        <w:pStyle w:val="FootnoteText"/>
      </w:pPr>
      <w:r>
        <w:rPr>
          <w:rStyle w:val="FootnoteReference"/>
        </w:rPr>
        <w:footnoteRef/>
      </w:r>
      <w:r>
        <w:t xml:space="preserve"> </w:t>
      </w:r>
      <w:r w:rsidRPr="003D57C4">
        <w:rPr>
          <w:i/>
        </w:rPr>
        <w:t>See id.</w:t>
      </w:r>
    </w:p>
  </w:footnote>
  <w:footnote w:id="26">
    <w:p w:rsidR="00527598" w:rsidRDefault="00527598" w:rsidP="00377E30">
      <w:pPr>
        <w:pStyle w:val="FootnoteText"/>
      </w:pPr>
      <w:r>
        <w:rPr>
          <w:rStyle w:val="FootnoteReference"/>
        </w:rPr>
        <w:footnoteRef/>
      </w:r>
      <w:r>
        <w:t xml:space="preserve"> </w:t>
      </w:r>
      <w:r w:rsidRPr="003D57C4">
        <w:rPr>
          <w:i/>
        </w:rPr>
        <w:t>See id.</w:t>
      </w:r>
    </w:p>
  </w:footnote>
  <w:footnote w:id="27">
    <w:p w:rsidR="00527598" w:rsidRDefault="00527598" w:rsidP="00ED0157">
      <w:pPr>
        <w:pStyle w:val="FootnoteText"/>
      </w:pPr>
      <w:r>
        <w:rPr>
          <w:rStyle w:val="FootnoteReference"/>
        </w:rPr>
        <w:footnoteRef/>
      </w:r>
      <w:r>
        <w:t xml:space="preserve"> </w:t>
      </w:r>
      <w:r w:rsidRPr="00C76098">
        <w:rPr>
          <w:i/>
        </w:rPr>
        <w:t xml:space="preserve">See </w:t>
      </w:r>
      <w:r>
        <w:t xml:space="preserve">47 </w:t>
      </w:r>
      <w:r>
        <w:rPr>
          <w:lang w:val="es-ES"/>
        </w:rPr>
        <w:t xml:space="preserve">C.F.R. </w:t>
      </w:r>
      <w:r w:rsidRPr="004A5FD9">
        <w:rPr>
          <w:lang w:val="es-ES"/>
        </w:rPr>
        <w:t>§</w:t>
      </w:r>
      <w:r>
        <w:rPr>
          <w:lang w:val="es-ES"/>
        </w:rPr>
        <w:t xml:space="preserve"> 1</w:t>
      </w:r>
      <w:r w:rsidRPr="00101253">
        <w:rPr>
          <w:szCs w:val="22"/>
        </w:rPr>
        <w:t>.2114(a)(2)</w:t>
      </w:r>
      <w:r>
        <w:rPr>
          <w:szCs w:val="22"/>
        </w:rPr>
        <w:t>.</w:t>
      </w:r>
    </w:p>
  </w:footnote>
  <w:footnote w:id="28">
    <w:p w:rsidR="00527598" w:rsidRDefault="00527598">
      <w:pPr>
        <w:pStyle w:val="FootnoteText"/>
      </w:pPr>
      <w:r>
        <w:rPr>
          <w:rStyle w:val="FootnoteReference"/>
        </w:rPr>
        <w:footnoteRef/>
      </w:r>
      <w:r>
        <w:t xml:space="preserve"> </w:t>
      </w:r>
      <w:r w:rsidRPr="00132747">
        <w:rPr>
          <w:i/>
        </w:rPr>
        <w:t>See id.</w:t>
      </w:r>
    </w:p>
  </w:footnote>
  <w:footnote w:id="29">
    <w:p w:rsidR="00527598" w:rsidRDefault="00527598">
      <w:pPr>
        <w:pStyle w:val="FootnoteText"/>
      </w:pPr>
      <w:r>
        <w:rPr>
          <w:rStyle w:val="FootnoteReference"/>
        </w:rPr>
        <w:footnoteRef/>
      </w:r>
      <w:r>
        <w:t xml:space="preserve"> </w:t>
      </w:r>
      <w:r w:rsidRPr="00C76098">
        <w:rPr>
          <w:i/>
        </w:rPr>
        <w:t xml:space="preserve">See </w:t>
      </w:r>
      <w:r>
        <w:t xml:space="preserve">47 </w:t>
      </w:r>
      <w:r>
        <w:rPr>
          <w:lang w:val="es-ES"/>
        </w:rPr>
        <w:t xml:space="preserve">C.F.R. </w:t>
      </w:r>
      <w:r w:rsidRPr="004A5FD9">
        <w:rPr>
          <w:lang w:val="es-ES"/>
        </w:rPr>
        <w:t>§</w:t>
      </w:r>
      <w:r>
        <w:rPr>
          <w:lang w:val="es-ES"/>
        </w:rPr>
        <w:t xml:space="preserve"> </w:t>
      </w:r>
      <w:r>
        <w:rPr>
          <w:szCs w:val="22"/>
        </w:rPr>
        <w:t>1.2111(d).  We note that GAB had repaid a portion of that bidding credit in connection with the transaction described in its 2012 Assignment Application.</w:t>
      </w:r>
    </w:p>
  </w:footnote>
  <w:footnote w:id="30">
    <w:p w:rsidR="00527598" w:rsidRDefault="00527598" w:rsidP="00377E30">
      <w:pPr>
        <w:pStyle w:val="FootnoteText"/>
      </w:pPr>
      <w:r>
        <w:rPr>
          <w:rStyle w:val="FootnoteReference"/>
        </w:rPr>
        <w:footnoteRef/>
      </w:r>
      <w:r>
        <w:t xml:space="preserve"> </w:t>
      </w:r>
      <w:r w:rsidRPr="002A3508">
        <w:rPr>
          <w:i/>
        </w:rPr>
        <w:t xml:space="preserve">See </w:t>
      </w:r>
      <w:r>
        <w:rPr>
          <w:i/>
        </w:rPr>
        <w:t xml:space="preserve">Pro Forma Transfer of Control Application </w:t>
      </w:r>
      <w:r w:rsidRPr="00086374">
        <w:t>at Amended Exhibit 1</w:t>
      </w:r>
      <w:r w:rsidRPr="00940112">
        <w:t>;</w:t>
      </w:r>
      <w:r>
        <w:t xml:space="preserve"> </w:t>
      </w:r>
      <w:r w:rsidRPr="00940112">
        <w:rPr>
          <w:i/>
        </w:rPr>
        <w:t>Pe</w:t>
      </w:r>
      <w:r>
        <w:rPr>
          <w:i/>
        </w:rPr>
        <w:t>tition for Declaratory Ruling</w:t>
      </w:r>
      <w:r w:rsidR="00132747">
        <w:t xml:space="preserve">, </w:t>
      </w:r>
      <w:r w:rsidR="00132747">
        <w:rPr>
          <w:i/>
        </w:rPr>
        <w:t xml:space="preserve">supra </w:t>
      </w:r>
      <w:r w:rsidR="00132747" w:rsidRPr="00132747">
        <w:t>note 1</w:t>
      </w:r>
      <w:r w:rsidR="00607C51">
        <w:t>2</w:t>
      </w:r>
      <w:r>
        <w:rPr>
          <w:i/>
        </w:rPr>
        <w:t xml:space="preserve"> </w:t>
      </w:r>
      <w:r w:rsidRPr="002A3508">
        <w:t>at 4.</w:t>
      </w:r>
    </w:p>
  </w:footnote>
  <w:footnote w:id="31">
    <w:p w:rsidR="00527598" w:rsidRDefault="00527598">
      <w:pPr>
        <w:pStyle w:val="FootnoteText"/>
      </w:pPr>
      <w:r>
        <w:rPr>
          <w:rStyle w:val="FootnoteReference"/>
        </w:rPr>
        <w:footnoteRef/>
      </w:r>
      <w:r>
        <w:t xml:space="preserve"> </w:t>
      </w:r>
      <w:r>
        <w:rPr>
          <w:i/>
        </w:rPr>
        <w:t xml:space="preserve">See Pro Forma Transfer of Control Application </w:t>
      </w:r>
      <w:r w:rsidRPr="00086374">
        <w:t>at Amended Exhibit 1</w:t>
      </w:r>
      <w:r>
        <w:t>.</w:t>
      </w:r>
    </w:p>
  </w:footnote>
  <w:footnote w:id="32">
    <w:p w:rsidR="00527598" w:rsidRDefault="00527598" w:rsidP="00F5757E">
      <w:pPr>
        <w:pStyle w:val="FootnoteText"/>
      </w:pPr>
      <w:r>
        <w:rPr>
          <w:rStyle w:val="FootnoteReference"/>
        </w:rPr>
        <w:footnoteRef/>
      </w:r>
      <w:r>
        <w:t xml:space="preserve"> </w:t>
      </w:r>
      <w:r w:rsidRPr="00C76098">
        <w:rPr>
          <w:i/>
        </w:rPr>
        <w:t xml:space="preserve">See </w:t>
      </w:r>
      <w:r>
        <w:t xml:space="preserve">47 </w:t>
      </w:r>
      <w:r>
        <w:rPr>
          <w:lang w:val="es-ES"/>
        </w:rPr>
        <w:t xml:space="preserve">C.F.R. </w:t>
      </w:r>
      <w:r w:rsidRPr="004A5FD9">
        <w:rPr>
          <w:lang w:val="es-ES"/>
        </w:rPr>
        <w:t>§</w:t>
      </w:r>
      <w:r>
        <w:rPr>
          <w:lang w:val="es-ES"/>
        </w:rPr>
        <w:t xml:space="preserve"> 1.948(c)(1).</w:t>
      </w:r>
    </w:p>
  </w:footnote>
  <w:footnote w:id="33">
    <w:p w:rsidR="00527598" w:rsidRDefault="00527598">
      <w:pPr>
        <w:pStyle w:val="FootnoteText"/>
      </w:pPr>
      <w:r>
        <w:rPr>
          <w:rStyle w:val="FootnoteReference"/>
        </w:rPr>
        <w:footnoteRef/>
      </w:r>
      <w:r>
        <w:t xml:space="preserve"> </w:t>
      </w:r>
      <w:r w:rsidRPr="00C76098">
        <w:rPr>
          <w:i/>
        </w:rPr>
        <w:t xml:space="preserve">See </w:t>
      </w:r>
      <w:r>
        <w:rPr>
          <w:i/>
        </w:rPr>
        <w:t>id.</w:t>
      </w:r>
    </w:p>
  </w:footnote>
  <w:footnote w:id="34">
    <w:p w:rsidR="00527598" w:rsidRDefault="00527598">
      <w:pPr>
        <w:pStyle w:val="FootnoteText"/>
      </w:pPr>
      <w:r>
        <w:rPr>
          <w:rStyle w:val="FootnoteReference"/>
        </w:rPr>
        <w:footnoteRef/>
      </w:r>
      <w:r>
        <w:t xml:space="preserve"> </w:t>
      </w:r>
      <w:r w:rsidRPr="00ED7AC7">
        <w:rPr>
          <w:i/>
        </w:rPr>
        <w:t xml:space="preserve">See </w:t>
      </w:r>
      <w:r w:rsidRPr="00ED7AC7">
        <w:rPr>
          <w:lang w:val="es-ES"/>
        </w:rPr>
        <w:t xml:space="preserve">47 U.S.C. § </w:t>
      </w:r>
      <w:r>
        <w:rPr>
          <w:lang w:val="es-ES"/>
        </w:rPr>
        <w:t>310(b)(3).</w:t>
      </w:r>
    </w:p>
  </w:footnote>
  <w:footnote w:id="35">
    <w:p w:rsidR="00527598" w:rsidRDefault="00527598">
      <w:pPr>
        <w:pStyle w:val="FootnoteText"/>
      </w:pPr>
      <w:r>
        <w:rPr>
          <w:rStyle w:val="FootnoteReference"/>
        </w:rPr>
        <w:footnoteRef/>
      </w:r>
      <w:r>
        <w:t xml:space="preserve"> </w:t>
      </w:r>
      <w:r w:rsidRPr="00ED7AC7">
        <w:rPr>
          <w:i/>
        </w:rPr>
        <w:t xml:space="preserve">See </w:t>
      </w:r>
      <w:r w:rsidR="00093DA1">
        <w:rPr>
          <w:i/>
          <w:lang w:val="es-ES"/>
        </w:rPr>
        <w:t xml:space="preserve">infra </w:t>
      </w:r>
      <w:r w:rsidR="00093DA1">
        <w:rPr>
          <w:lang w:val="es-ES"/>
        </w:rPr>
        <w:t>para. 9.</w:t>
      </w:r>
    </w:p>
  </w:footnote>
  <w:footnote w:id="36">
    <w:p w:rsidR="00527598" w:rsidRDefault="00527598" w:rsidP="007F7219">
      <w:pPr>
        <w:pStyle w:val="FootnoteText"/>
      </w:pPr>
      <w:r>
        <w:rPr>
          <w:rStyle w:val="FootnoteReference"/>
        </w:rPr>
        <w:footnoteRef/>
      </w:r>
      <w:r>
        <w:t xml:space="preserve"> </w:t>
      </w:r>
      <w:r w:rsidRPr="00791BFB">
        <w:rPr>
          <w:i/>
        </w:rPr>
        <w:t>See Wireless Telecommunications Bureau Assignment of License Authorization Applications, Transfer of Control of License Applicati</w:t>
      </w:r>
      <w:r>
        <w:rPr>
          <w:i/>
        </w:rPr>
        <w:t>o</w:t>
      </w:r>
      <w:r w:rsidRPr="00791BFB">
        <w:rPr>
          <w:i/>
        </w:rPr>
        <w:t>ns, De Facto Transfer Lease Applications and Spectrum Manager Lease Notifications, Designated En</w:t>
      </w:r>
      <w:r>
        <w:rPr>
          <w:i/>
        </w:rPr>
        <w:t xml:space="preserve">tity Reportable </w:t>
      </w:r>
      <w:r w:rsidRPr="00791BFB">
        <w:rPr>
          <w:i/>
        </w:rPr>
        <w:t>Eligibility Event Applications, and Designated Entity Annual Reports Action</w:t>
      </w:r>
      <w:r>
        <w:t xml:space="preserve">, Public Notice, Report No.: 8045, 2012 WL 3860850 (Wireless Telecomm. Bur. 2012) (WTB consent to transaction described in the 2012 </w:t>
      </w:r>
      <w:r w:rsidRPr="001C6F4C">
        <w:t>Assignment Application</w:t>
      </w:r>
      <w:r w:rsidRPr="00791BFB">
        <w:t>)</w:t>
      </w:r>
      <w:r>
        <w:t xml:space="preserve">; </w:t>
      </w:r>
      <w:r w:rsidRPr="00791BFB">
        <w:rPr>
          <w:i/>
        </w:rPr>
        <w:t>Wireless Telecommunications Bureau Assignment of License Authorization Applications, Transfer of Control of License Applicati</w:t>
      </w:r>
      <w:r>
        <w:rPr>
          <w:i/>
        </w:rPr>
        <w:t>o</w:t>
      </w:r>
      <w:r w:rsidRPr="00791BFB">
        <w:rPr>
          <w:i/>
        </w:rPr>
        <w:t>ns, De Facto Transfer Lease Applications and Spectrum Manager Lease Notifications, Designated En</w:t>
      </w:r>
      <w:r>
        <w:rPr>
          <w:i/>
        </w:rPr>
        <w:t>tity Reportable</w:t>
      </w:r>
      <w:r w:rsidRPr="00791BFB">
        <w:rPr>
          <w:i/>
        </w:rPr>
        <w:t xml:space="preserve"> Eligibility Event Applications, and Designated Entity Annual Reports Action</w:t>
      </w:r>
      <w:r>
        <w:t xml:space="preserve">, Public Notice, Report No.: 8178, 2012 WL 5267889 (Wireless Telecomm. Bur. 2012) (recording the </w:t>
      </w:r>
      <w:r w:rsidRPr="0003419A">
        <w:rPr>
          <w:lang w:val="es-ES"/>
        </w:rPr>
        <w:t>consum</w:t>
      </w:r>
      <w:r w:rsidR="00691E8C">
        <w:rPr>
          <w:lang w:val="es-ES"/>
        </w:rPr>
        <w:t>m</w:t>
      </w:r>
      <w:r w:rsidRPr="0003419A">
        <w:rPr>
          <w:lang w:val="es-ES"/>
        </w:rPr>
        <w:t>a</w:t>
      </w:r>
      <w:r w:rsidR="00691E8C">
        <w:rPr>
          <w:lang w:val="es-ES"/>
        </w:rPr>
        <w:t>tion</w:t>
      </w:r>
      <w:r>
        <w:t xml:space="preserve"> date of the transaction described in the 2012 </w:t>
      </w:r>
      <w:r w:rsidRPr="001C6F4C">
        <w:t>Assignment</w:t>
      </w:r>
      <w:r>
        <w:rPr>
          <w:i/>
        </w:rPr>
        <w:t xml:space="preserve"> </w:t>
      </w:r>
      <w:r w:rsidRPr="001C6F4C">
        <w:t>Application</w:t>
      </w:r>
      <w:r w:rsidRPr="00791BFB">
        <w:t>)</w:t>
      </w:r>
      <w:r>
        <w:t>.</w:t>
      </w:r>
    </w:p>
  </w:footnote>
  <w:footnote w:id="37">
    <w:p w:rsidR="00527598" w:rsidRDefault="00527598" w:rsidP="0003419A">
      <w:pPr>
        <w:pStyle w:val="FootnoteText"/>
      </w:pPr>
      <w:r>
        <w:rPr>
          <w:rStyle w:val="FootnoteReference"/>
        </w:rPr>
        <w:footnoteRef/>
      </w:r>
      <w:r>
        <w:t xml:space="preserve"> </w:t>
      </w:r>
      <w:r w:rsidRPr="00860016">
        <w:rPr>
          <w:i/>
        </w:rPr>
        <w:t>See</w:t>
      </w:r>
      <w:r>
        <w:t xml:space="preserve"> Great American Broadband, Inc., Application for Assignments of Authorization, Wireless Telecommunications Bureau (Form 603), Universal Licensing System (ULS) File No. 0005744542 (Apr. 11, 2012) (Application for the assignment from GAB to AT&amp;T Mobility Spectrum LLC, of Lower 700 MHz B Block, Call Sign WQKH494, California 6 – Mono (CMA 341-B), Call Sign WQKH496, Nevada 4 – Mineral (CMA 546-B). Call Sign WQKH497, Wyoming 5 – Converse (CMA 722-B)</w:t>
      </w:r>
      <w:r w:rsidRPr="004849D2">
        <w:t xml:space="preserve"> </w:t>
      </w:r>
      <w:r>
        <w:t xml:space="preserve">(2013 </w:t>
      </w:r>
      <w:r w:rsidRPr="001C6F4C">
        <w:t>Assignment Application</w:t>
      </w:r>
      <w:r>
        <w:t>).</w:t>
      </w:r>
    </w:p>
  </w:footnote>
  <w:footnote w:id="38">
    <w:p w:rsidR="00527598" w:rsidRDefault="00527598">
      <w:pPr>
        <w:pStyle w:val="FootnoteText"/>
      </w:pPr>
      <w:r>
        <w:rPr>
          <w:rStyle w:val="FootnoteReference"/>
        </w:rPr>
        <w:footnoteRef/>
      </w:r>
      <w:r>
        <w:t xml:space="preserve"> </w:t>
      </w:r>
      <w:r w:rsidRPr="00791BFB">
        <w:rPr>
          <w:i/>
        </w:rPr>
        <w:t>See Wireless Telecommunications Bureau Assignment of License Authorization Applications, Transfer of Control of License Applicati</w:t>
      </w:r>
      <w:r>
        <w:rPr>
          <w:i/>
        </w:rPr>
        <w:t>o</w:t>
      </w:r>
      <w:r w:rsidRPr="00791BFB">
        <w:rPr>
          <w:i/>
        </w:rPr>
        <w:t>ns, De Facto Transfer Lease Applications and Spectrum Manager Lease Notifications, Designated En</w:t>
      </w:r>
      <w:r>
        <w:rPr>
          <w:i/>
        </w:rPr>
        <w:t xml:space="preserve">tity Reportable </w:t>
      </w:r>
      <w:r w:rsidRPr="00791BFB">
        <w:rPr>
          <w:i/>
        </w:rPr>
        <w:t>Eligibility Event Applications, and Designated Entity Annual Reports Action</w:t>
      </w:r>
      <w:r>
        <w:t xml:space="preserve">, Public Notice, Report No.: 8867D, 2013 WL 3753656 (Wireless Telecomm. Bur. 2013) (WTB consent to the transaction described in the </w:t>
      </w:r>
      <w:r w:rsidRPr="001C6F4C">
        <w:t>2013 Assignment Application</w:t>
      </w:r>
      <w:r w:rsidRPr="00791BFB">
        <w:t>)</w:t>
      </w:r>
      <w:r>
        <w:t>.</w:t>
      </w:r>
    </w:p>
  </w:footnote>
  <w:footnote w:id="39">
    <w:p w:rsidR="00527598" w:rsidRDefault="00527598">
      <w:pPr>
        <w:pStyle w:val="FootnoteText"/>
      </w:pPr>
      <w:r>
        <w:rPr>
          <w:rStyle w:val="FootnoteReference"/>
        </w:rPr>
        <w:footnoteRef/>
      </w:r>
      <w:r>
        <w:t xml:space="preserve"> </w:t>
      </w:r>
      <w:r>
        <w:rPr>
          <w:i/>
        </w:rPr>
        <w:t>See Pro Forma Transfer of Control Application</w:t>
      </w:r>
      <w:r w:rsidRPr="00090833">
        <w:rPr>
          <w:i/>
        </w:rPr>
        <w:t xml:space="preserve"> </w:t>
      </w:r>
      <w:r>
        <w:t>at Amended Exhibit 1.</w:t>
      </w:r>
    </w:p>
  </w:footnote>
  <w:footnote w:id="40">
    <w:p w:rsidR="002D7EB9" w:rsidRDefault="002D7EB9">
      <w:pPr>
        <w:pStyle w:val="FootnoteText"/>
      </w:pPr>
      <w:r>
        <w:rPr>
          <w:rStyle w:val="FootnoteReference"/>
        </w:rPr>
        <w:footnoteRef/>
      </w:r>
      <w:r>
        <w:t xml:space="preserve"> </w:t>
      </w:r>
      <w:r>
        <w:rPr>
          <w:i/>
        </w:rPr>
        <w:t>See id</w:t>
      </w:r>
      <w:r>
        <w:t>.</w:t>
      </w:r>
    </w:p>
  </w:footnote>
  <w:footnote w:id="41">
    <w:p w:rsidR="00527598" w:rsidRDefault="00527598">
      <w:pPr>
        <w:pStyle w:val="FootnoteText"/>
      </w:pPr>
      <w:r>
        <w:rPr>
          <w:rStyle w:val="FootnoteReference"/>
        </w:rPr>
        <w:footnoteRef/>
      </w:r>
      <w:r>
        <w:t xml:space="preserve"> </w:t>
      </w:r>
      <w:r>
        <w:rPr>
          <w:i/>
        </w:rPr>
        <w:t>See id</w:t>
      </w:r>
      <w:r>
        <w:t>.</w:t>
      </w:r>
    </w:p>
  </w:footnote>
  <w:footnote w:id="42">
    <w:p w:rsidR="00527598" w:rsidRDefault="00527598" w:rsidP="007C1D8C">
      <w:pPr>
        <w:pStyle w:val="FootnoteText"/>
      </w:pPr>
      <w:r>
        <w:rPr>
          <w:rStyle w:val="FootnoteReference"/>
        </w:rPr>
        <w:footnoteRef/>
      </w:r>
      <w:r>
        <w:t xml:space="preserve"> </w:t>
      </w:r>
      <w:r>
        <w:rPr>
          <w:i/>
        </w:rPr>
        <w:t>See Petition for Declaratory Ruling</w:t>
      </w:r>
      <w:r w:rsidRPr="00A930DB">
        <w:t xml:space="preserve">, </w:t>
      </w:r>
      <w:r>
        <w:rPr>
          <w:i/>
        </w:rPr>
        <w:t xml:space="preserve">supra </w:t>
      </w:r>
      <w:r w:rsidRPr="00A54D29">
        <w:t xml:space="preserve">note </w:t>
      </w:r>
      <w:r>
        <w:t>1</w:t>
      </w:r>
      <w:r w:rsidR="00B81F8B">
        <w:t>2</w:t>
      </w:r>
      <w:r w:rsidR="00B8588E">
        <w:t>.</w:t>
      </w:r>
    </w:p>
  </w:footnote>
  <w:footnote w:id="43">
    <w:p w:rsidR="00527598" w:rsidRDefault="00527598" w:rsidP="00F6243B">
      <w:pPr>
        <w:pStyle w:val="FootnoteText"/>
      </w:pPr>
      <w:r w:rsidRPr="00C0622F">
        <w:rPr>
          <w:rStyle w:val="FootnoteReference"/>
        </w:rPr>
        <w:footnoteRef/>
      </w:r>
      <w:r w:rsidRPr="00C0622F">
        <w:t xml:space="preserve"> </w:t>
      </w:r>
      <w:r>
        <w:rPr>
          <w:rFonts w:eastAsia="MS Mincho"/>
        </w:rPr>
        <w:t xml:space="preserve">An FCC Form 159 and </w:t>
      </w:r>
      <w:r w:rsidRPr="00C0622F">
        <w:rPr>
          <w:rFonts w:eastAsia="MS Mincho"/>
        </w:rPr>
        <w:t>detailed</w:t>
      </w:r>
      <w:r>
        <w:rPr>
          <w:rFonts w:eastAsia="MS Mincho"/>
        </w:rPr>
        <w:t xml:space="preserve"> instructions </w:t>
      </w:r>
      <w:r w:rsidRPr="00C0622F">
        <w:rPr>
          <w:rFonts w:eastAsia="MS Mincho"/>
        </w:rPr>
        <w:t>for completing the form may be obtained at http://www.fcc.gov/Forms/Form159/159.pdf.</w:t>
      </w:r>
    </w:p>
  </w:footnote>
  <w:footnote w:id="44">
    <w:p w:rsidR="00527598" w:rsidRDefault="00527598" w:rsidP="00D87113">
      <w:pPr>
        <w:pStyle w:val="FootnoteText"/>
      </w:pPr>
      <w:r>
        <w:rPr>
          <w:rStyle w:val="FootnoteReference"/>
        </w:rPr>
        <w:footnoteRef/>
      </w:r>
      <w:r>
        <w:t xml:space="preserve"> 47 C.F.R. § 1.16.</w:t>
      </w:r>
    </w:p>
  </w:footnote>
  <w:footnote w:id="45">
    <w:p w:rsidR="00527598" w:rsidRDefault="00527598" w:rsidP="00E616B0">
      <w:pPr>
        <w:pStyle w:val="FootnoteText"/>
      </w:pPr>
      <w:r w:rsidRPr="00C0622F">
        <w:rPr>
          <w:rStyle w:val="FootnoteReference"/>
        </w:rPr>
        <w:footnoteRef/>
      </w:r>
      <w:r w:rsidRPr="00C0622F">
        <w:t xml:space="preserve"> Equal Access to Justice Act, Pub L. No. 96-481, 94 Stat. 2325 (1980) (codified at 5 U.S.C. § 504); </w:t>
      </w:r>
      <w:r w:rsidRPr="00C0622F">
        <w:rPr>
          <w:i/>
        </w:rPr>
        <w:t>see also</w:t>
      </w:r>
      <w:r>
        <w:t xml:space="preserve"> 47 </w:t>
      </w:r>
      <w:r w:rsidRPr="00C0622F">
        <w:t>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0B" w:rsidRDefault="009E0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98" w:rsidRDefault="00527598" w:rsidP="00802443">
    <w:pPr>
      <w:pStyle w:val="Heading2"/>
      <w:numPr>
        <w:ilvl w:val="0"/>
        <w:numId w:val="0"/>
      </w:numPr>
      <w:tabs>
        <w:tab w:val="left" w:pos="-720"/>
        <w:tab w:val="center" w:pos="5040"/>
        <w:tab w:val="right" w:pos="9360"/>
      </w:tabs>
      <w:suppressAutoHyphens/>
      <w:rPr>
        <w:i/>
        <w:u w:val="single"/>
      </w:rPr>
    </w:pPr>
    <w:r>
      <w:rPr>
        <w:u w:val="single"/>
      </w:rPr>
      <w:tab/>
      <w:t>Federal Communications Commission</w:t>
    </w:r>
    <w:r>
      <w:rPr>
        <w:u w:val="single"/>
      </w:rPr>
      <w:tab/>
      <w:t>DA 14-</w:t>
    </w:r>
    <w:r w:rsidR="00F1160E">
      <w:rPr>
        <w:u w:val="single"/>
      </w:rPr>
      <w:t>164</w:t>
    </w:r>
    <w:r w:rsidR="00996B2D">
      <w:rPr>
        <w:u w:val="single"/>
      </w:rPr>
      <w:t>1</w:t>
    </w:r>
  </w:p>
  <w:p w:rsidR="00527598" w:rsidRDefault="005275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98" w:rsidRDefault="00527598" w:rsidP="00802443">
    <w:pPr>
      <w:pStyle w:val="Heading2"/>
      <w:numPr>
        <w:ilvl w:val="0"/>
        <w:numId w:val="0"/>
      </w:numPr>
      <w:tabs>
        <w:tab w:val="left" w:pos="-720"/>
        <w:tab w:val="center" w:pos="5040"/>
        <w:tab w:val="right" w:pos="9360"/>
      </w:tabs>
      <w:suppressAutoHyphens/>
      <w:rPr>
        <w:i/>
        <w:u w:val="single"/>
      </w:rPr>
    </w:pPr>
    <w:r>
      <w:rPr>
        <w:u w:val="single"/>
      </w:rPr>
      <w:t xml:space="preserve">                                                    Federal Communications Commission</w:t>
    </w:r>
    <w:r>
      <w:rPr>
        <w:u w:val="single"/>
      </w:rPr>
      <w:tab/>
    </w:r>
    <w:r w:rsidR="00E4483A">
      <w:rPr>
        <w:u w:val="single"/>
      </w:rPr>
      <w:t xml:space="preserve"> </w:t>
    </w:r>
    <w:r>
      <w:rPr>
        <w:u w:val="single"/>
      </w:rPr>
      <w:t>DA 14-</w:t>
    </w:r>
    <w:r w:rsidR="00996B2D">
      <w:rPr>
        <w:u w:val="single"/>
      </w:rPr>
      <w:t>1</w:t>
    </w:r>
    <w:r w:rsidR="00F1160E">
      <w:rPr>
        <w:u w:val="single"/>
      </w:rPr>
      <w:t>64</w:t>
    </w:r>
    <w:r w:rsidR="00996B2D">
      <w:rPr>
        <w:u w:val="singl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0AD"/>
    <w:multiLevelType w:val="hybridMultilevel"/>
    <w:tmpl w:val="EDF0AD14"/>
    <w:lvl w:ilvl="0" w:tplc="30DE3A96">
      <w:start w:val="1"/>
      <w:numFmt w:val="decimal"/>
      <w:pStyle w:val="CitationNALparagraph"/>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6E43EA"/>
    <w:multiLevelType w:val="hybridMultilevel"/>
    <w:tmpl w:val="EFC885E8"/>
    <w:lvl w:ilvl="0" w:tplc="8D42B7E8">
      <w:start w:val="1"/>
      <w:numFmt w:val="decimal"/>
      <w:lvlText w:val="%1."/>
      <w:lvlJc w:val="left"/>
      <w:pPr>
        <w:tabs>
          <w:tab w:val="num" w:pos="1440"/>
        </w:tabs>
        <w:ind w:firstLine="720"/>
      </w:pPr>
      <w:rPr>
        <w:rFonts w:cs="Times New Roman"/>
      </w:rPr>
    </w:lvl>
    <w:lvl w:ilvl="1" w:tplc="A258A564">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4907F2C"/>
    <w:multiLevelType w:val="hybridMultilevel"/>
    <w:tmpl w:val="BE008750"/>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20A606A"/>
    <w:multiLevelType w:val="hybridMultilevel"/>
    <w:tmpl w:val="EA9C268A"/>
    <w:lvl w:ilvl="0" w:tplc="F7FE6B76">
      <w:start w:val="1"/>
      <w:numFmt w:val="upperLetter"/>
      <w:lvlText w:val="%1."/>
      <w:lvlJc w:val="left"/>
      <w:pPr>
        <w:ind w:left="1080" w:hanging="360"/>
      </w:pPr>
      <w:rPr>
        <w:rFonts w:ascii="Times New Roman" w:eastAsia="Times New Roman" w:hAnsi="Times New Roman" w:cs="Times New Roman"/>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nsid w:val="3D0F1B3D"/>
    <w:multiLevelType w:val="singleLevel"/>
    <w:tmpl w:val="7168465A"/>
    <w:lvl w:ilvl="0">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1">
    <w:nsid w:val="4A1C6518"/>
    <w:multiLevelType w:val="hybridMultilevel"/>
    <w:tmpl w:val="EC5E98C4"/>
    <w:lvl w:ilvl="0" w:tplc="26388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D8049D8"/>
    <w:multiLevelType w:val="hybridMultilevel"/>
    <w:tmpl w:val="5ED45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FB630A"/>
    <w:multiLevelType w:val="hybridMultilevel"/>
    <w:tmpl w:val="933A99A6"/>
    <w:lvl w:ilvl="0" w:tplc="D188C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8E1E95"/>
    <w:multiLevelType w:val="singleLevel"/>
    <w:tmpl w:val="4F1400D0"/>
    <w:lvl w:ilvl="0">
      <w:start w:val="1"/>
      <w:numFmt w:val="decimal"/>
      <w:pStyle w:val="par1"/>
      <w:lvlText w:val="%1."/>
      <w:lvlJc w:val="left"/>
      <w:pPr>
        <w:tabs>
          <w:tab w:val="num" w:pos="1620"/>
        </w:tabs>
        <w:ind w:firstLine="72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abstractNum>
  <w:abstractNum w:abstractNumId="17">
    <w:nsid w:val="6B7C5107"/>
    <w:multiLevelType w:val="hybridMultilevel"/>
    <w:tmpl w:val="1CB250D2"/>
    <w:lvl w:ilvl="0" w:tplc="7C60EA16">
      <w:start w:val="1"/>
      <w:numFmt w:val="decimal"/>
      <w:pStyle w:val="ParaNumCitationN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9">
    <w:nsid w:val="7C466EB5"/>
    <w:multiLevelType w:val="hybridMultilevel"/>
    <w:tmpl w:val="708873D4"/>
    <w:lvl w:ilvl="0" w:tplc="1D4ADED6">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9"/>
  </w:num>
  <w:num w:numId="3">
    <w:abstractNumId w:val="17"/>
  </w:num>
  <w:num w:numId="4">
    <w:abstractNumId w:val="17"/>
  </w:num>
  <w:num w:numId="5">
    <w:abstractNumId w:val="0"/>
  </w:num>
  <w:num w:numId="6">
    <w:abstractNumId w:val="16"/>
  </w:num>
  <w:num w:numId="7">
    <w:abstractNumId w:val="3"/>
  </w:num>
  <w:num w:numId="8">
    <w:abstractNumId w:val="18"/>
  </w:num>
  <w:num w:numId="9">
    <w:abstractNumId w:val="2"/>
  </w:num>
  <w:num w:numId="10">
    <w:abstractNumId w:val="8"/>
  </w:num>
  <w:num w:numId="11">
    <w:abstractNumId w:val="16"/>
  </w:num>
  <w:num w:numId="12">
    <w:abstractNumId w:val="15"/>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9"/>
  </w:num>
  <w:num w:numId="18">
    <w:abstractNumId w:val="11"/>
  </w:num>
  <w:num w:numId="19">
    <w:abstractNumId w:val="13"/>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4"/>
  </w:num>
  <w:num w:numId="31">
    <w:abstractNumId w:val="12"/>
  </w:num>
  <w:num w:numId="32">
    <w:abstractNumId w:val="5"/>
  </w:num>
  <w:num w:numId="33">
    <w:abstractNumId w:val="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E1"/>
    <w:rsid w:val="00010B9C"/>
    <w:rsid w:val="0001119A"/>
    <w:rsid w:val="00013504"/>
    <w:rsid w:val="000157E3"/>
    <w:rsid w:val="00020CC6"/>
    <w:rsid w:val="00021152"/>
    <w:rsid w:val="0002272E"/>
    <w:rsid w:val="00023583"/>
    <w:rsid w:val="000251AC"/>
    <w:rsid w:val="0002681E"/>
    <w:rsid w:val="000272EB"/>
    <w:rsid w:val="0002731A"/>
    <w:rsid w:val="00030363"/>
    <w:rsid w:val="000317E5"/>
    <w:rsid w:val="000319E8"/>
    <w:rsid w:val="0003419A"/>
    <w:rsid w:val="00036566"/>
    <w:rsid w:val="00037DA6"/>
    <w:rsid w:val="00041014"/>
    <w:rsid w:val="00041FFB"/>
    <w:rsid w:val="000447D6"/>
    <w:rsid w:val="00044DE0"/>
    <w:rsid w:val="00045840"/>
    <w:rsid w:val="00057450"/>
    <w:rsid w:val="00060C8A"/>
    <w:rsid w:val="00066CC9"/>
    <w:rsid w:val="00067481"/>
    <w:rsid w:val="000701BB"/>
    <w:rsid w:val="00070BE5"/>
    <w:rsid w:val="000738E8"/>
    <w:rsid w:val="00073A79"/>
    <w:rsid w:val="00074F7B"/>
    <w:rsid w:val="000754B0"/>
    <w:rsid w:val="00081DEE"/>
    <w:rsid w:val="00082119"/>
    <w:rsid w:val="00082908"/>
    <w:rsid w:val="00082CD8"/>
    <w:rsid w:val="00086374"/>
    <w:rsid w:val="00086443"/>
    <w:rsid w:val="00087472"/>
    <w:rsid w:val="00090833"/>
    <w:rsid w:val="00092EDA"/>
    <w:rsid w:val="00093DA1"/>
    <w:rsid w:val="0009452A"/>
    <w:rsid w:val="0009733E"/>
    <w:rsid w:val="00097A19"/>
    <w:rsid w:val="000A07D9"/>
    <w:rsid w:val="000A0887"/>
    <w:rsid w:val="000A2FE2"/>
    <w:rsid w:val="000A3D00"/>
    <w:rsid w:val="000A4055"/>
    <w:rsid w:val="000A5C9C"/>
    <w:rsid w:val="000A6C5B"/>
    <w:rsid w:val="000B0EF4"/>
    <w:rsid w:val="000B1368"/>
    <w:rsid w:val="000B164F"/>
    <w:rsid w:val="000B38DD"/>
    <w:rsid w:val="000B650B"/>
    <w:rsid w:val="000C0047"/>
    <w:rsid w:val="000C0A4A"/>
    <w:rsid w:val="000C1E64"/>
    <w:rsid w:val="000C4E79"/>
    <w:rsid w:val="000C575C"/>
    <w:rsid w:val="000C7946"/>
    <w:rsid w:val="000D056D"/>
    <w:rsid w:val="000D1F16"/>
    <w:rsid w:val="000D2B90"/>
    <w:rsid w:val="000D3EBD"/>
    <w:rsid w:val="000D649B"/>
    <w:rsid w:val="000E2053"/>
    <w:rsid w:val="000E2CDD"/>
    <w:rsid w:val="000E54E1"/>
    <w:rsid w:val="000E5933"/>
    <w:rsid w:val="000E6A9E"/>
    <w:rsid w:val="000F0813"/>
    <w:rsid w:val="000F1908"/>
    <w:rsid w:val="000F1C35"/>
    <w:rsid w:val="000F21A1"/>
    <w:rsid w:val="000F268E"/>
    <w:rsid w:val="000F2D7E"/>
    <w:rsid w:val="000F3701"/>
    <w:rsid w:val="000F64BA"/>
    <w:rsid w:val="00100202"/>
    <w:rsid w:val="00101253"/>
    <w:rsid w:val="00103193"/>
    <w:rsid w:val="00103801"/>
    <w:rsid w:val="00104E8B"/>
    <w:rsid w:val="00106618"/>
    <w:rsid w:val="001107AA"/>
    <w:rsid w:val="00112885"/>
    <w:rsid w:val="0011317A"/>
    <w:rsid w:val="00115126"/>
    <w:rsid w:val="001163CC"/>
    <w:rsid w:val="00116E30"/>
    <w:rsid w:val="00125283"/>
    <w:rsid w:val="0012633D"/>
    <w:rsid w:val="0012659D"/>
    <w:rsid w:val="00126658"/>
    <w:rsid w:val="00130DCD"/>
    <w:rsid w:val="001312F9"/>
    <w:rsid w:val="00131D03"/>
    <w:rsid w:val="00132355"/>
    <w:rsid w:val="00132747"/>
    <w:rsid w:val="001371FE"/>
    <w:rsid w:val="00142736"/>
    <w:rsid w:val="00143C01"/>
    <w:rsid w:val="00144A1F"/>
    <w:rsid w:val="00147F2D"/>
    <w:rsid w:val="00154A4C"/>
    <w:rsid w:val="00155A8F"/>
    <w:rsid w:val="00156724"/>
    <w:rsid w:val="00156E13"/>
    <w:rsid w:val="00156EEA"/>
    <w:rsid w:val="001609D1"/>
    <w:rsid w:val="0016127C"/>
    <w:rsid w:val="0016168D"/>
    <w:rsid w:val="00161C51"/>
    <w:rsid w:val="0016347B"/>
    <w:rsid w:val="00164058"/>
    <w:rsid w:val="00164CC3"/>
    <w:rsid w:val="00165901"/>
    <w:rsid w:val="001670C2"/>
    <w:rsid w:val="00167D7C"/>
    <w:rsid w:val="00170116"/>
    <w:rsid w:val="001705DE"/>
    <w:rsid w:val="00170740"/>
    <w:rsid w:val="001768ED"/>
    <w:rsid w:val="00185EAE"/>
    <w:rsid w:val="00190C43"/>
    <w:rsid w:val="00192136"/>
    <w:rsid w:val="0019216E"/>
    <w:rsid w:val="00193433"/>
    <w:rsid w:val="0019734D"/>
    <w:rsid w:val="0019796F"/>
    <w:rsid w:val="001A0DE6"/>
    <w:rsid w:val="001A32C1"/>
    <w:rsid w:val="001A56FF"/>
    <w:rsid w:val="001A7571"/>
    <w:rsid w:val="001A7D5A"/>
    <w:rsid w:val="001B027E"/>
    <w:rsid w:val="001B0376"/>
    <w:rsid w:val="001B1694"/>
    <w:rsid w:val="001B336B"/>
    <w:rsid w:val="001B3FC8"/>
    <w:rsid w:val="001B4B13"/>
    <w:rsid w:val="001B6070"/>
    <w:rsid w:val="001B6866"/>
    <w:rsid w:val="001C219D"/>
    <w:rsid w:val="001C4513"/>
    <w:rsid w:val="001C6F4C"/>
    <w:rsid w:val="001D0573"/>
    <w:rsid w:val="001D1C3F"/>
    <w:rsid w:val="001D28F0"/>
    <w:rsid w:val="001D4762"/>
    <w:rsid w:val="001D4C27"/>
    <w:rsid w:val="001D61ED"/>
    <w:rsid w:val="001E1445"/>
    <w:rsid w:val="001E3F6F"/>
    <w:rsid w:val="001E600B"/>
    <w:rsid w:val="001E63C0"/>
    <w:rsid w:val="001E724A"/>
    <w:rsid w:val="001F55C8"/>
    <w:rsid w:val="001F5E6B"/>
    <w:rsid w:val="001F735E"/>
    <w:rsid w:val="00202A23"/>
    <w:rsid w:val="0020423E"/>
    <w:rsid w:val="00204502"/>
    <w:rsid w:val="0020650E"/>
    <w:rsid w:val="002068ED"/>
    <w:rsid w:val="00206EA9"/>
    <w:rsid w:val="00207D22"/>
    <w:rsid w:val="00211215"/>
    <w:rsid w:val="00211599"/>
    <w:rsid w:val="00212C83"/>
    <w:rsid w:val="00213D7A"/>
    <w:rsid w:val="00214B58"/>
    <w:rsid w:val="002158CA"/>
    <w:rsid w:val="0021684F"/>
    <w:rsid w:val="00217CBF"/>
    <w:rsid w:val="00220396"/>
    <w:rsid w:val="00223169"/>
    <w:rsid w:val="00223AB6"/>
    <w:rsid w:val="00224ECE"/>
    <w:rsid w:val="00230A25"/>
    <w:rsid w:val="00234707"/>
    <w:rsid w:val="00234FD8"/>
    <w:rsid w:val="00235CA5"/>
    <w:rsid w:val="00235CE7"/>
    <w:rsid w:val="00241A77"/>
    <w:rsid w:val="0024280A"/>
    <w:rsid w:val="00242F18"/>
    <w:rsid w:val="00242F58"/>
    <w:rsid w:val="00244FEA"/>
    <w:rsid w:val="002462E8"/>
    <w:rsid w:val="002479B7"/>
    <w:rsid w:val="00250B6A"/>
    <w:rsid w:val="002516BE"/>
    <w:rsid w:val="00252654"/>
    <w:rsid w:val="002528A9"/>
    <w:rsid w:val="00255037"/>
    <w:rsid w:val="002565BD"/>
    <w:rsid w:val="00257591"/>
    <w:rsid w:val="00260B50"/>
    <w:rsid w:val="00262E2E"/>
    <w:rsid w:val="00263986"/>
    <w:rsid w:val="00265FB0"/>
    <w:rsid w:val="00270042"/>
    <w:rsid w:val="00272CF9"/>
    <w:rsid w:val="00273B9D"/>
    <w:rsid w:val="002762F4"/>
    <w:rsid w:val="00283873"/>
    <w:rsid w:val="00292C95"/>
    <w:rsid w:val="002A0227"/>
    <w:rsid w:val="002A02E4"/>
    <w:rsid w:val="002A02E9"/>
    <w:rsid w:val="002A0A97"/>
    <w:rsid w:val="002A3508"/>
    <w:rsid w:val="002A383B"/>
    <w:rsid w:val="002A6558"/>
    <w:rsid w:val="002A6B4A"/>
    <w:rsid w:val="002B32D2"/>
    <w:rsid w:val="002B530D"/>
    <w:rsid w:val="002B5E9E"/>
    <w:rsid w:val="002B681D"/>
    <w:rsid w:val="002B6BB4"/>
    <w:rsid w:val="002C152D"/>
    <w:rsid w:val="002C1891"/>
    <w:rsid w:val="002C647D"/>
    <w:rsid w:val="002C718B"/>
    <w:rsid w:val="002C72CA"/>
    <w:rsid w:val="002D1D90"/>
    <w:rsid w:val="002D2029"/>
    <w:rsid w:val="002D3C19"/>
    <w:rsid w:val="002D408D"/>
    <w:rsid w:val="002D7938"/>
    <w:rsid w:val="002D7EB9"/>
    <w:rsid w:val="002E03C4"/>
    <w:rsid w:val="002E03D1"/>
    <w:rsid w:val="002E09E0"/>
    <w:rsid w:val="002E0F41"/>
    <w:rsid w:val="002E16F8"/>
    <w:rsid w:val="002E1811"/>
    <w:rsid w:val="002E7E78"/>
    <w:rsid w:val="002F2E4B"/>
    <w:rsid w:val="002F5031"/>
    <w:rsid w:val="002F7044"/>
    <w:rsid w:val="0030011E"/>
    <w:rsid w:val="0030183F"/>
    <w:rsid w:val="003023DF"/>
    <w:rsid w:val="00303607"/>
    <w:rsid w:val="003072D2"/>
    <w:rsid w:val="0031039A"/>
    <w:rsid w:val="00310415"/>
    <w:rsid w:val="00311E3A"/>
    <w:rsid w:val="003128A6"/>
    <w:rsid w:val="00312C20"/>
    <w:rsid w:val="00314C27"/>
    <w:rsid w:val="00316113"/>
    <w:rsid w:val="00321A8E"/>
    <w:rsid w:val="003220EC"/>
    <w:rsid w:val="0032323F"/>
    <w:rsid w:val="0032409B"/>
    <w:rsid w:val="003262FA"/>
    <w:rsid w:val="00331192"/>
    <w:rsid w:val="00333BD0"/>
    <w:rsid w:val="00336624"/>
    <w:rsid w:val="0034005D"/>
    <w:rsid w:val="00340EE1"/>
    <w:rsid w:val="003422F8"/>
    <w:rsid w:val="00343105"/>
    <w:rsid w:val="0034310A"/>
    <w:rsid w:val="00344C17"/>
    <w:rsid w:val="00345AF2"/>
    <w:rsid w:val="00346BDC"/>
    <w:rsid w:val="00347149"/>
    <w:rsid w:val="00353034"/>
    <w:rsid w:val="00353A68"/>
    <w:rsid w:val="00354D96"/>
    <w:rsid w:val="003561C0"/>
    <w:rsid w:val="00357C52"/>
    <w:rsid w:val="00357F25"/>
    <w:rsid w:val="00360164"/>
    <w:rsid w:val="00361FB3"/>
    <w:rsid w:val="00366B9B"/>
    <w:rsid w:val="00367A12"/>
    <w:rsid w:val="00370336"/>
    <w:rsid w:val="00370C02"/>
    <w:rsid w:val="0037136A"/>
    <w:rsid w:val="003719C3"/>
    <w:rsid w:val="003720FD"/>
    <w:rsid w:val="00372313"/>
    <w:rsid w:val="00373E3F"/>
    <w:rsid w:val="00374481"/>
    <w:rsid w:val="00374646"/>
    <w:rsid w:val="00374747"/>
    <w:rsid w:val="00374ECC"/>
    <w:rsid w:val="00377E30"/>
    <w:rsid w:val="00380F95"/>
    <w:rsid w:val="003834AF"/>
    <w:rsid w:val="00383682"/>
    <w:rsid w:val="00383A93"/>
    <w:rsid w:val="003869A0"/>
    <w:rsid w:val="00395894"/>
    <w:rsid w:val="00395F29"/>
    <w:rsid w:val="00396322"/>
    <w:rsid w:val="0039671F"/>
    <w:rsid w:val="003A16C0"/>
    <w:rsid w:val="003A2096"/>
    <w:rsid w:val="003A7FF9"/>
    <w:rsid w:val="003B407C"/>
    <w:rsid w:val="003B61EA"/>
    <w:rsid w:val="003B638B"/>
    <w:rsid w:val="003C1136"/>
    <w:rsid w:val="003C2321"/>
    <w:rsid w:val="003C5710"/>
    <w:rsid w:val="003D0DF2"/>
    <w:rsid w:val="003D1157"/>
    <w:rsid w:val="003D1F96"/>
    <w:rsid w:val="003D347B"/>
    <w:rsid w:val="003D5A78"/>
    <w:rsid w:val="003D5DCB"/>
    <w:rsid w:val="003D5E76"/>
    <w:rsid w:val="003D6C8C"/>
    <w:rsid w:val="003D70D9"/>
    <w:rsid w:val="003D71F3"/>
    <w:rsid w:val="003E19A1"/>
    <w:rsid w:val="003E41D2"/>
    <w:rsid w:val="003E74C6"/>
    <w:rsid w:val="003E798A"/>
    <w:rsid w:val="003E7BBD"/>
    <w:rsid w:val="003F19A1"/>
    <w:rsid w:val="003F310B"/>
    <w:rsid w:val="003F4EF8"/>
    <w:rsid w:val="003F7722"/>
    <w:rsid w:val="003F7F2E"/>
    <w:rsid w:val="00401C02"/>
    <w:rsid w:val="0040382A"/>
    <w:rsid w:val="004043CF"/>
    <w:rsid w:val="0040462B"/>
    <w:rsid w:val="004101F5"/>
    <w:rsid w:val="0041172D"/>
    <w:rsid w:val="00411B5B"/>
    <w:rsid w:val="00412F12"/>
    <w:rsid w:val="00415A32"/>
    <w:rsid w:val="00417271"/>
    <w:rsid w:val="004208A7"/>
    <w:rsid w:val="004216F6"/>
    <w:rsid w:val="00423D97"/>
    <w:rsid w:val="0042539A"/>
    <w:rsid w:val="00430C48"/>
    <w:rsid w:val="00430E6D"/>
    <w:rsid w:val="0043411F"/>
    <w:rsid w:val="00435E83"/>
    <w:rsid w:val="00436F30"/>
    <w:rsid w:val="00442D17"/>
    <w:rsid w:val="00445850"/>
    <w:rsid w:val="0045063D"/>
    <w:rsid w:val="004512E8"/>
    <w:rsid w:val="00453E23"/>
    <w:rsid w:val="004573F5"/>
    <w:rsid w:val="0046259F"/>
    <w:rsid w:val="004646EA"/>
    <w:rsid w:val="00466F93"/>
    <w:rsid w:val="00470F16"/>
    <w:rsid w:val="00472918"/>
    <w:rsid w:val="0047505C"/>
    <w:rsid w:val="00475740"/>
    <w:rsid w:val="0047753A"/>
    <w:rsid w:val="0048054D"/>
    <w:rsid w:val="00481E02"/>
    <w:rsid w:val="00483494"/>
    <w:rsid w:val="004849D2"/>
    <w:rsid w:val="00484FDC"/>
    <w:rsid w:val="004868AE"/>
    <w:rsid w:val="00486E70"/>
    <w:rsid w:val="00486EB6"/>
    <w:rsid w:val="00487A3D"/>
    <w:rsid w:val="004902BB"/>
    <w:rsid w:val="004958B3"/>
    <w:rsid w:val="00496515"/>
    <w:rsid w:val="00496C55"/>
    <w:rsid w:val="004A05CB"/>
    <w:rsid w:val="004A3201"/>
    <w:rsid w:val="004A5FD9"/>
    <w:rsid w:val="004B0364"/>
    <w:rsid w:val="004B242F"/>
    <w:rsid w:val="004B327B"/>
    <w:rsid w:val="004C2E6D"/>
    <w:rsid w:val="004C3BF0"/>
    <w:rsid w:val="004C4D4D"/>
    <w:rsid w:val="004C5DE4"/>
    <w:rsid w:val="004D028F"/>
    <w:rsid w:val="004D14BF"/>
    <w:rsid w:val="004D16FD"/>
    <w:rsid w:val="004D401D"/>
    <w:rsid w:val="004E0377"/>
    <w:rsid w:val="004E03C9"/>
    <w:rsid w:val="004E2F89"/>
    <w:rsid w:val="004E35F4"/>
    <w:rsid w:val="004E5BCA"/>
    <w:rsid w:val="004E7871"/>
    <w:rsid w:val="004F6A13"/>
    <w:rsid w:val="005000FC"/>
    <w:rsid w:val="00501122"/>
    <w:rsid w:val="00501B4D"/>
    <w:rsid w:val="00504E3A"/>
    <w:rsid w:val="005112C4"/>
    <w:rsid w:val="005118F5"/>
    <w:rsid w:val="005133EA"/>
    <w:rsid w:val="005179EB"/>
    <w:rsid w:val="0052003A"/>
    <w:rsid w:val="00521048"/>
    <w:rsid w:val="005221C7"/>
    <w:rsid w:val="00522A16"/>
    <w:rsid w:val="005249A6"/>
    <w:rsid w:val="00526409"/>
    <w:rsid w:val="00527598"/>
    <w:rsid w:val="005277C8"/>
    <w:rsid w:val="00527962"/>
    <w:rsid w:val="00533013"/>
    <w:rsid w:val="00534F79"/>
    <w:rsid w:val="00535FF0"/>
    <w:rsid w:val="005362A5"/>
    <w:rsid w:val="00540D4F"/>
    <w:rsid w:val="00541EFC"/>
    <w:rsid w:val="00543A94"/>
    <w:rsid w:val="005443EC"/>
    <w:rsid w:val="00545453"/>
    <w:rsid w:val="00545624"/>
    <w:rsid w:val="005463AA"/>
    <w:rsid w:val="00551069"/>
    <w:rsid w:val="00553688"/>
    <w:rsid w:val="0055677B"/>
    <w:rsid w:val="00556F6F"/>
    <w:rsid w:val="00561A92"/>
    <w:rsid w:val="00562F6B"/>
    <w:rsid w:val="00564387"/>
    <w:rsid w:val="00565840"/>
    <w:rsid w:val="00565FD6"/>
    <w:rsid w:val="00565FF2"/>
    <w:rsid w:val="00566E66"/>
    <w:rsid w:val="0056716D"/>
    <w:rsid w:val="005768DF"/>
    <w:rsid w:val="00576CB6"/>
    <w:rsid w:val="00577D7F"/>
    <w:rsid w:val="005824EF"/>
    <w:rsid w:val="00584551"/>
    <w:rsid w:val="00587B76"/>
    <w:rsid w:val="00594214"/>
    <w:rsid w:val="005946FE"/>
    <w:rsid w:val="00595E2F"/>
    <w:rsid w:val="00597950"/>
    <w:rsid w:val="005A0F94"/>
    <w:rsid w:val="005A3D19"/>
    <w:rsid w:val="005A4BE4"/>
    <w:rsid w:val="005A599A"/>
    <w:rsid w:val="005A71E9"/>
    <w:rsid w:val="005B0DB4"/>
    <w:rsid w:val="005B0EC1"/>
    <w:rsid w:val="005B1D6F"/>
    <w:rsid w:val="005B3A3E"/>
    <w:rsid w:val="005B46A7"/>
    <w:rsid w:val="005B4F1A"/>
    <w:rsid w:val="005B7C10"/>
    <w:rsid w:val="005C000B"/>
    <w:rsid w:val="005C347E"/>
    <w:rsid w:val="005C4546"/>
    <w:rsid w:val="005C5ABA"/>
    <w:rsid w:val="005C62F6"/>
    <w:rsid w:val="005C6865"/>
    <w:rsid w:val="005C7405"/>
    <w:rsid w:val="005C750E"/>
    <w:rsid w:val="005C75FF"/>
    <w:rsid w:val="005D10AE"/>
    <w:rsid w:val="005D55DC"/>
    <w:rsid w:val="005D6304"/>
    <w:rsid w:val="005D676B"/>
    <w:rsid w:val="005E3639"/>
    <w:rsid w:val="005E5B05"/>
    <w:rsid w:val="005F1594"/>
    <w:rsid w:val="005F4687"/>
    <w:rsid w:val="005F5B37"/>
    <w:rsid w:val="005F60B0"/>
    <w:rsid w:val="005F7F6F"/>
    <w:rsid w:val="0060033F"/>
    <w:rsid w:val="006004B0"/>
    <w:rsid w:val="006023C2"/>
    <w:rsid w:val="00602ED2"/>
    <w:rsid w:val="006042C3"/>
    <w:rsid w:val="006060CE"/>
    <w:rsid w:val="0060773F"/>
    <w:rsid w:val="00607C51"/>
    <w:rsid w:val="00613FE7"/>
    <w:rsid w:val="00617345"/>
    <w:rsid w:val="00624875"/>
    <w:rsid w:val="00626231"/>
    <w:rsid w:val="00626A1D"/>
    <w:rsid w:val="00626BAD"/>
    <w:rsid w:val="0062703C"/>
    <w:rsid w:val="0063396B"/>
    <w:rsid w:val="00634C1C"/>
    <w:rsid w:val="00636C48"/>
    <w:rsid w:val="00637126"/>
    <w:rsid w:val="00641242"/>
    <w:rsid w:val="006421BB"/>
    <w:rsid w:val="006424C4"/>
    <w:rsid w:val="00643EE0"/>
    <w:rsid w:val="00650A94"/>
    <w:rsid w:val="00652031"/>
    <w:rsid w:val="006552F7"/>
    <w:rsid w:val="006601D3"/>
    <w:rsid w:val="00661551"/>
    <w:rsid w:val="00663D98"/>
    <w:rsid w:val="00664D25"/>
    <w:rsid w:val="00666D22"/>
    <w:rsid w:val="00667DDD"/>
    <w:rsid w:val="00670243"/>
    <w:rsid w:val="00671CC0"/>
    <w:rsid w:val="00671CC9"/>
    <w:rsid w:val="00673C17"/>
    <w:rsid w:val="0067742E"/>
    <w:rsid w:val="00677A1C"/>
    <w:rsid w:val="00680491"/>
    <w:rsid w:val="006807FD"/>
    <w:rsid w:val="006825BD"/>
    <w:rsid w:val="006829AF"/>
    <w:rsid w:val="00683513"/>
    <w:rsid w:val="00685ED8"/>
    <w:rsid w:val="00690BFB"/>
    <w:rsid w:val="00691E8C"/>
    <w:rsid w:val="00695737"/>
    <w:rsid w:val="00695DD5"/>
    <w:rsid w:val="0069625D"/>
    <w:rsid w:val="006A1EEB"/>
    <w:rsid w:val="006A4E56"/>
    <w:rsid w:val="006A63A2"/>
    <w:rsid w:val="006A6BCA"/>
    <w:rsid w:val="006B1E20"/>
    <w:rsid w:val="006B3FA1"/>
    <w:rsid w:val="006B6DE1"/>
    <w:rsid w:val="006C1A49"/>
    <w:rsid w:val="006C517D"/>
    <w:rsid w:val="006C6254"/>
    <w:rsid w:val="006C6332"/>
    <w:rsid w:val="006D0646"/>
    <w:rsid w:val="006D074C"/>
    <w:rsid w:val="006E0803"/>
    <w:rsid w:val="006E2B90"/>
    <w:rsid w:val="006E4082"/>
    <w:rsid w:val="006F4DEC"/>
    <w:rsid w:val="006F540E"/>
    <w:rsid w:val="006F5AA1"/>
    <w:rsid w:val="006F66F0"/>
    <w:rsid w:val="00700FA6"/>
    <w:rsid w:val="00701806"/>
    <w:rsid w:val="00704E89"/>
    <w:rsid w:val="00705763"/>
    <w:rsid w:val="00705BDB"/>
    <w:rsid w:val="00705F2F"/>
    <w:rsid w:val="00706138"/>
    <w:rsid w:val="0070718F"/>
    <w:rsid w:val="0070756C"/>
    <w:rsid w:val="00710123"/>
    <w:rsid w:val="00713133"/>
    <w:rsid w:val="00715271"/>
    <w:rsid w:val="00715AAF"/>
    <w:rsid w:val="00715FB4"/>
    <w:rsid w:val="007174E5"/>
    <w:rsid w:val="00717D24"/>
    <w:rsid w:val="00720A34"/>
    <w:rsid w:val="00722378"/>
    <w:rsid w:val="00722E5A"/>
    <w:rsid w:val="00724D25"/>
    <w:rsid w:val="0072578F"/>
    <w:rsid w:val="00727408"/>
    <w:rsid w:val="007304B2"/>
    <w:rsid w:val="0073087C"/>
    <w:rsid w:val="007324EF"/>
    <w:rsid w:val="00734BC6"/>
    <w:rsid w:val="00734EF8"/>
    <w:rsid w:val="00735151"/>
    <w:rsid w:val="0073547F"/>
    <w:rsid w:val="007362B1"/>
    <w:rsid w:val="00737AE2"/>
    <w:rsid w:val="007413FB"/>
    <w:rsid w:val="007446D5"/>
    <w:rsid w:val="00746EEC"/>
    <w:rsid w:val="007527D3"/>
    <w:rsid w:val="00754F93"/>
    <w:rsid w:val="007551D9"/>
    <w:rsid w:val="00757E68"/>
    <w:rsid w:val="00760BC1"/>
    <w:rsid w:val="00761617"/>
    <w:rsid w:val="00762169"/>
    <w:rsid w:val="0076633D"/>
    <w:rsid w:val="00767192"/>
    <w:rsid w:val="007719C2"/>
    <w:rsid w:val="00771D96"/>
    <w:rsid w:val="0077295E"/>
    <w:rsid w:val="00774EC5"/>
    <w:rsid w:val="00775053"/>
    <w:rsid w:val="007778CD"/>
    <w:rsid w:val="00780043"/>
    <w:rsid w:val="00781EDD"/>
    <w:rsid w:val="00783B25"/>
    <w:rsid w:val="00787641"/>
    <w:rsid w:val="007909AC"/>
    <w:rsid w:val="00790F85"/>
    <w:rsid w:val="007912CA"/>
    <w:rsid w:val="0079170F"/>
    <w:rsid w:val="00791BFB"/>
    <w:rsid w:val="00793B82"/>
    <w:rsid w:val="007950DD"/>
    <w:rsid w:val="007964E7"/>
    <w:rsid w:val="00797259"/>
    <w:rsid w:val="007A1FB7"/>
    <w:rsid w:val="007A4423"/>
    <w:rsid w:val="007A4F77"/>
    <w:rsid w:val="007A690E"/>
    <w:rsid w:val="007B56C4"/>
    <w:rsid w:val="007B60E0"/>
    <w:rsid w:val="007C1D8C"/>
    <w:rsid w:val="007D0F44"/>
    <w:rsid w:val="007D2A6D"/>
    <w:rsid w:val="007D5B7D"/>
    <w:rsid w:val="007D6D02"/>
    <w:rsid w:val="007D7C7C"/>
    <w:rsid w:val="007D7C82"/>
    <w:rsid w:val="007E0994"/>
    <w:rsid w:val="007E3D79"/>
    <w:rsid w:val="007E4299"/>
    <w:rsid w:val="007E4AE4"/>
    <w:rsid w:val="007E57F8"/>
    <w:rsid w:val="007F0D28"/>
    <w:rsid w:val="007F7148"/>
    <w:rsid w:val="007F7219"/>
    <w:rsid w:val="00800F82"/>
    <w:rsid w:val="00802443"/>
    <w:rsid w:val="008048E1"/>
    <w:rsid w:val="008049EB"/>
    <w:rsid w:val="008077D7"/>
    <w:rsid w:val="0081175C"/>
    <w:rsid w:val="00813934"/>
    <w:rsid w:val="0081760C"/>
    <w:rsid w:val="0082193D"/>
    <w:rsid w:val="00821CE1"/>
    <w:rsid w:val="0082225A"/>
    <w:rsid w:val="00822CC9"/>
    <w:rsid w:val="0082456D"/>
    <w:rsid w:val="008264E4"/>
    <w:rsid w:val="008266E1"/>
    <w:rsid w:val="0082749F"/>
    <w:rsid w:val="00832C4B"/>
    <w:rsid w:val="00834699"/>
    <w:rsid w:val="008346ED"/>
    <w:rsid w:val="00840705"/>
    <w:rsid w:val="00841F93"/>
    <w:rsid w:val="0084203D"/>
    <w:rsid w:val="00842324"/>
    <w:rsid w:val="00842536"/>
    <w:rsid w:val="00842547"/>
    <w:rsid w:val="008425A5"/>
    <w:rsid w:val="0084266B"/>
    <w:rsid w:val="00844AAF"/>
    <w:rsid w:val="00844E5A"/>
    <w:rsid w:val="00852C42"/>
    <w:rsid w:val="0085538A"/>
    <w:rsid w:val="00856F7E"/>
    <w:rsid w:val="008570C1"/>
    <w:rsid w:val="00860016"/>
    <w:rsid w:val="0086163E"/>
    <w:rsid w:val="00863517"/>
    <w:rsid w:val="00863E80"/>
    <w:rsid w:val="0087001D"/>
    <w:rsid w:val="008723EE"/>
    <w:rsid w:val="00874E71"/>
    <w:rsid w:val="00877BFF"/>
    <w:rsid w:val="0088109F"/>
    <w:rsid w:val="0088181F"/>
    <w:rsid w:val="008833A1"/>
    <w:rsid w:val="00883AA9"/>
    <w:rsid w:val="00883C73"/>
    <w:rsid w:val="00883DA4"/>
    <w:rsid w:val="00885D15"/>
    <w:rsid w:val="00886AE2"/>
    <w:rsid w:val="00887853"/>
    <w:rsid w:val="008878D9"/>
    <w:rsid w:val="008905F7"/>
    <w:rsid w:val="00891B68"/>
    <w:rsid w:val="00891E80"/>
    <w:rsid w:val="00896837"/>
    <w:rsid w:val="008A076E"/>
    <w:rsid w:val="008A2A9A"/>
    <w:rsid w:val="008A552E"/>
    <w:rsid w:val="008A6C0D"/>
    <w:rsid w:val="008A70B8"/>
    <w:rsid w:val="008B093B"/>
    <w:rsid w:val="008C124C"/>
    <w:rsid w:val="008C22CF"/>
    <w:rsid w:val="008C3ED9"/>
    <w:rsid w:val="008C61DF"/>
    <w:rsid w:val="008D416B"/>
    <w:rsid w:val="008D4255"/>
    <w:rsid w:val="008D4F10"/>
    <w:rsid w:val="008D502A"/>
    <w:rsid w:val="008D521E"/>
    <w:rsid w:val="008D797C"/>
    <w:rsid w:val="008E2056"/>
    <w:rsid w:val="008E2E43"/>
    <w:rsid w:val="008E32F6"/>
    <w:rsid w:val="008E3CE2"/>
    <w:rsid w:val="008E5D9B"/>
    <w:rsid w:val="008E678D"/>
    <w:rsid w:val="008F6C93"/>
    <w:rsid w:val="008F7884"/>
    <w:rsid w:val="00903111"/>
    <w:rsid w:val="009034D7"/>
    <w:rsid w:val="00903566"/>
    <w:rsid w:val="00906AD8"/>
    <w:rsid w:val="00907098"/>
    <w:rsid w:val="00907AD3"/>
    <w:rsid w:val="00907B45"/>
    <w:rsid w:val="00910168"/>
    <w:rsid w:val="00910B92"/>
    <w:rsid w:val="00916273"/>
    <w:rsid w:val="00921752"/>
    <w:rsid w:val="00922101"/>
    <w:rsid w:val="009228B1"/>
    <w:rsid w:val="009233E7"/>
    <w:rsid w:val="0092365C"/>
    <w:rsid w:val="009236B1"/>
    <w:rsid w:val="009242D7"/>
    <w:rsid w:val="00927019"/>
    <w:rsid w:val="0092750A"/>
    <w:rsid w:val="00930705"/>
    <w:rsid w:val="00934625"/>
    <w:rsid w:val="009353E2"/>
    <w:rsid w:val="00935F3B"/>
    <w:rsid w:val="00940112"/>
    <w:rsid w:val="00942718"/>
    <w:rsid w:val="009430C2"/>
    <w:rsid w:val="00943661"/>
    <w:rsid w:val="009441CE"/>
    <w:rsid w:val="00944236"/>
    <w:rsid w:val="0094659C"/>
    <w:rsid w:val="00946E5A"/>
    <w:rsid w:val="00947D78"/>
    <w:rsid w:val="00953196"/>
    <w:rsid w:val="009573EB"/>
    <w:rsid w:val="009575A2"/>
    <w:rsid w:val="00966C4E"/>
    <w:rsid w:val="00966CFF"/>
    <w:rsid w:val="00967788"/>
    <w:rsid w:val="00967BB7"/>
    <w:rsid w:val="009715A1"/>
    <w:rsid w:val="009724D7"/>
    <w:rsid w:val="00974013"/>
    <w:rsid w:val="00974DB6"/>
    <w:rsid w:val="0097731F"/>
    <w:rsid w:val="00981CB1"/>
    <w:rsid w:val="00983227"/>
    <w:rsid w:val="00985A42"/>
    <w:rsid w:val="00991AAD"/>
    <w:rsid w:val="00992343"/>
    <w:rsid w:val="00996B2D"/>
    <w:rsid w:val="009A37AE"/>
    <w:rsid w:val="009A37C2"/>
    <w:rsid w:val="009A3AEF"/>
    <w:rsid w:val="009A6695"/>
    <w:rsid w:val="009A765C"/>
    <w:rsid w:val="009B119B"/>
    <w:rsid w:val="009B5606"/>
    <w:rsid w:val="009B5A7E"/>
    <w:rsid w:val="009B62F6"/>
    <w:rsid w:val="009C1680"/>
    <w:rsid w:val="009C18AF"/>
    <w:rsid w:val="009C36BF"/>
    <w:rsid w:val="009C477E"/>
    <w:rsid w:val="009C6F7F"/>
    <w:rsid w:val="009D2003"/>
    <w:rsid w:val="009D20CA"/>
    <w:rsid w:val="009D350C"/>
    <w:rsid w:val="009D4724"/>
    <w:rsid w:val="009D767E"/>
    <w:rsid w:val="009D7C87"/>
    <w:rsid w:val="009E0C0B"/>
    <w:rsid w:val="009E1111"/>
    <w:rsid w:val="009E1528"/>
    <w:rsid w:val="009E1A3F"/>
    <w:rsid w:val="009E2963"/>
    <w:rsid w:val="009E3BB8"/>
    <w:rsid w:val="009E480B"/>
    <w:rsid w:val="009E684B"/>
    <w:rsid w:val="009E6A18"/>
    <w:rsid w:val="009E6B89"/>
    <w:rsid w:val="009E75C4"/>
    <w:rsid w:val="009E7CEC"/>
    <w:rsid w:val="009F563A"/>
    <w:rsid w:val="009F65AB"/>
    <w:rsid w:val="009F6835"/>
    <w:rsid w:val="00A007C3"/>
    <w:rsid w:val="00A0084F"/>
    <w:rsid w:val="00A01363"/>
    <w:rsid w:val="00A01662"/>
    <w:rsid w:val="00A01D82"/>
    <w:rsid w:val="00A02821"/>
    <w:rsid w:val="00A03B9D"/>
    <w:rsid w:val="00A03C2A"/>
    <w:rsid w:val="00A10BF7"/>
    <w:rsid w:val="00A10C7D"/>
    <w:rsid w:val="00A14E32"/>
    <w:rsid w:val="00A170D1"/>
    <w:rsid w:val="00A17158"/>
    <w:rsid w:val="00A17B6B"/>
    <w:rsid w:val="00A21C78"/>
    <w:rsid w:val="00A23075"/>
    <w:rsid w:val="00A2310B"/>
    <w:rsid w:val="00A26325"/>
    <w:rsid w:val="00A31C1D"/>
    <w:rsid w:val="00A34091"/>
    <w:rsid w:val="00A3439E"/>
    <w:rsid w:val="00A35F6E"/>
    <w:rsid w:val="00A37BB4"/>
    <w:rsid w:val="00A40DF9"/>
    <w:rsid w:val="00A4209E"/>
    <w:rsid w:val="00A4236D"/>
    <w:rsid w:val="00A42C95"/>
    <w:rsid w:val="00A43D2A"/>
    <w:rsid w:val="00A43E86"/>
    <w:rsid w:val="00A455BB"/>
    <w:rsid w:val="00A4635B"/>
    <w:rsid w:val="00A5153A"/>
    <w:rsid w:val="00A51BDB"/>
    <w:rsid w:val="00A5273A"/>
    <w:rsid w:val="00A54D29"/>
    <w:rsid w:val="00A553E8"/>
    <w:rsid w:val="00A576A2"/>
    <w:rsid w:val="00A6212E"/>
    <w:rsid w:val="00A6312A"/>
    <w:rsid w:val="00A6484C"/>
    <w:rsid w:val="00A6733D"/>
    <w:rsid w:val="00A70546"/>
    <w:rsid w:val="00A85A67"/>
    <w:rsid w:val="00A85ACD"/>
    <w:rsid w:val="00A910BF"/>
    <w:rsid w:val="00A92327"/>
    <w:rsid w:val="00A92E45"/>
    <w:rsid w:val="00A930DB"/>
    <w:rsid w:val="00A93DF5"/>
    <w:rsid w:val="00A9454B"/>
    <w:rsid w:val="00A96547"/>
    <w:rsid w:val="00A96CCD"/>
    <w:rsid w:val="00AA0B14"/>
    <w:rsid w:val="00AA1683"/>
    <w:rsid w:val="00AA6B22"/>
    <w:rsid w:val="00AA7946"/>
    <w:rsid w:val="00AA7B5A"/>
    <w:rsid w:val="00AB09F2"/>
    <w:rsid w:val="00AB11A1"/>
    <w:rsid w:val="00AB3753"/>
    <w:rsid w:val="00AB5E22"/>
    <w:rsid w:val="00AB6BDE"/>
    <w:rsid w:val="00AC151E"/>
    <w:rsid w:val="00AC418D"/>
    <w:rsid w:val="00AC4CB6"/>
    <w:rsid w:val="00AC4E57"/>
    <w:rsid w:val="00AC5889"/>
    <w:rsid w:val="00AC5B35"/>
    <w:rsid w:val="00AD0344"/>
    <w:rsid w:val="00AD1B84"/>
    <w:rsid w:val="00AD290C"/>
    <w:rsid w:val="00AD2DF8"/>
    <w:rsid w:val="00AD51CE"/>
    <w:rsid w:val="00AD5E34"/>
    <w:rsid w:val="00AD6331"/>
    <w:rsid w:val="00AE00B9"/>
    <w:rsid w:val="00AE049C"/>
    <w:rsid w:val="00AE20BD"/>
    <w:rsid w:val="00AE2E40"/>
    <w:rsid w:val="00AE3448"/>
    <w:rsid w:val="00AE60E1"/>
    <w:rsid w:val="00AE63F1"/>
    <w:rsid w:val="00AE6AAE"/>
    <w:rsid w:val="00AF0D11"/>
    <w:rsid w:val="00AF1007"/>
    <w:rsid w:val="00AF20D1"/>
    <w:rsid w:val="00AF34C9"/>
    <w:rsid w:val="00AF37DE"/>
    <w:rsid w:val="00AF3922"/>
    <w:rsid w:val="00AF682A"/>
    <w:rsid w:val="00B03F40"/>
    <w:rsid w:val="00B10355"/>
    <w:rsid w:val="00B10930"/>
    <w:rsid w:val="00B115D7"/>
    <w:rsid w:val="00B116A3"/>
    <w:rsid w:val="00B14CFA"/>
    <w:rsid w:val="00B17176"/>
    <w:rsid w:val="00B26540"/>
    <w:rsid w:val="00B266A8"/>
    <w:rsid w:val="00B27452"/>
    <w:rsid w:val="00B30546"/>
    <w:rsid w:val="00B30B9D"/>
    <w:rsid w:val="00B3283A"/>
    <w:rsid w:val="00B32E1C"/>
    <w:rsid w:val="00B33B2C"/>
    <w:rsid w:val="00B340A3"/>
    <w:rsid w:val="00B352D3"/>
    <w:rsid w:val="00B360C5"/>
    <w:rsid w:val="00B3644B"/>
    <w:rsid w:val="00B4096A"/>
    <w:rsid w:val="00B42614"/>
    <w:rsid w:val="00B449B2"/>
    <w:rsid w:val="00B5132D"/>
    <w:rsid w:val="00B5406E"/>
    <w:rsid w:val="00B57E3B"/>
    <w:rsid w:val="00B6358F"/>
    <w:rsid w:val="00B635E7"/>
    <w:rsid w:val="00B6422D"/>
    <w:rsid w:val="00B67F8C"/>
    <w:rsid w:val="00B72FF6"/>
    <w:rsid w:val="00B75B55"/>
    <w:rsid w:val="00B806F2"/>
    <w:rsid w:val="00B80B78"/>
    <w:rsid w:val="00B80F7D"/>
    <w:rsid w:val="00B81F8B"/>
    <w:rsid w:val="00B8459D"/>
    <w:rsid w:val="00B8588E"/>
    <w:rsid w:val="00B8728F"/>
    <w:rsid w:val="00B873E3"/>
    <w:rsid w:val="00B902CC"/>
    <w:rsid w:val="00B90DBB"/>
    <w:rsid w:val="00B929A4"/>
    <w:rsid w:val="00B93FC8"/>
    <w:rsid w:val="00B9715E"/>
    <w:rsid w:val="00B97D9E"/>
    <w:rsid w:val="00BA0F75"/>
    <w:rsid w:val="00BA1785"/>
    <w:rsid w:val="00BA54A4"/>
    <w:rsid w:val="00BA6675"/>
    <w:rsid w:val="00BB09D5"/>
    <w:rsid w:val="00BB0D19"/>
    <w:rsid w:val="00BB2135"/>
    <w:rsid w:val="00BB2208"/>
    <w:rsid w:val="00BB51BB"/>
    <w:rsid w:val="00BB6C5A"/>
    <w:rsid w:val="00BC0B67"/>
    <w:rsid w:val="00BC1D9D"/>
    <w:rsid w:val="00BC40B3"/>
    <w:rsid w:val="00BC68FA"/>
    <w:rsid w:val="00BD03B4"/>
    <w:rsid w:val="00BD2A74"/>
    <w:rsid w:val="00BD5133"/>
    <w:rsid w:val="00BD545A"/>
    <w:rsid w:val="00BD73ED"/>
    <w:rsid w:val="00BE3188"/>
    <w:rsid w:val="00BE3DB1"/>
    <w:rsid w:val="00BE518A"/>
    <w:rsid w:val="00BE6848"/>
    <w:rsid w:val="00BE6F26"/>
    <w:rsid w:val="00BF04A2"/>
    <w:rsid w:val="00BF2E2B"/>
    <w:rsid w:val="00BF4B67"/>
    <w:rsid w:val="00BF5CBD"/>
    <w:rsid w:val="00BF6CAB"/>
    <w:rsid w:val="00BF7632"/>
    <w:rsid w:val="00BF7D38"/>
    <w:rsid w:val="00C003F2"/>
    <w:rsid w:val="00C046F0"/>
    <w:rsid w:val="00C04FEB"/>
    <w:rsid w:val="00C0622F"/>
    <w:rsid w:val="00C06D9B"/>
    <w:rsid w:val="00C07B09"/>
    <w:rsid w:val="00C104F3"/>
    <w:rsid w:val="00C10D8D"/>
    <w:rsid w:val="00C11EAB"/>
    <w:rsid w:val="00C12461"/>
    <w:rsid w:val="00C1291D"/>
    <w:rsid w:val="00C145E3"/>
    <w:rsid w:val="00C20325"/>
    <w:rsid w:val="00C20A2B"/>
    <w:rsid w:val="00C25E1A"/>
    <w:rsid w:val="00C26E6D"/>
    <w:rsid w:val="00C27592"/>
    <w:rsid w:val="00C27E06"/>
    <w:rsid w:val="00C306BA"/>
    <w:rsid w:val="00C319FB"/>
    <w:rsid w:val="00C348D9"/>
    <w:rsid w:val="00C34BA7"/>
    <w:rsid w:val="00C3648F"/>
    <w:rsid w:val="00C41F84"/>
    <w:rsid w:val="00C43371"/>
    <w:rsid w:val="00C43E1A"/>
    <w:rsid w:val="00C463E1"/>
    <w:rsid w:val="00C534BF"/>
    <w:rsid w:val="00C555B5"/>
    <w:rsid w:val="00C569C5"/>
    <w:rsid w:val="00C60D1E"/>
    <w:rsid w:val="00C661A8"/>
    <w:rsid w:val="00C67B0A"/>
    <w:rsid w:val="00C725BD"/>
    <w:rsid w:val="00C74D5E"/>
    <w:rsid w:val="00C76098"/>
    <w:rsid w:val="00C77A53"/>
    <w:rsid w:val="00C82D2B"/>
    <w:rsid w:val="00C82E75"/>
    <w:rsid w:val="00C87423"/>
    <w:rsid w:val="00C906A2"/>
    <w:rsid w:val="00C917B7"/>
    <w:rsid w:val="00C917CD"/>
    <w:rsid w:val="00C9190D"/>
    <w:rsid w:val="00C939BC"/>
    <w:rsid w:val="00C93DC1"/>
    <w:rsid w:val="00C955D3"/>
    <w:rsid w:val="00C97BE4"/>
    <w:rsid w:val="00CA3AF9"/>
    <w:rsid w:val="00CA3B59"/>
    <w:rsid w:val="00CA5272"/>
    <w:rsid w:val="00CA6C14"/>
    <w:rsid w:val="00CB3E20"/>
    <w:rsid w:val="00CB5458"/>
    <w:rsid w:val="00CB558B"/>
    <w:rsid w:val="00CB6E0F"/>
    <w:rsid w:val="00CC2356"/>
    <w:rsid w:val="00CD128D"/>
    <w:rsid w:val="00CD14D8"/>
    <w:rsid w:val="00CD1711"/>
    <w:rsid w:val="00CD5758"/>
    <w:rsid w:val="00CD576B"/>
    <w:rsid w:val="00CD75E3"/>
    <w:rsid w:val="00CE01B5"/>
    <w:rsid w:val="00CE0200"/>
    <w:rsid w:val="00CE18FC"/>
    <w:rsid w:val="00CE1C48"/>
    <w:rsid w:val="00CE30E0"/>
    <w:rsid w:val="00CE31C6"/>
    <w:rsid w:val="00CE6532"/>
    <w:rsid w:val="00CE65D4"/>
    <w:rsid w:val="00CF31A6"/>
    <w:rsid w:val="00CF559B"/>
    <w:rsid w:val="00CF6B8D"/>
    <w:rsid w:val="00D001CF"/>
    <w:rsid w:val="00D10552"/>
    <w:rsid w:val="00D1073E"/>
    <w:rsid w:val="00D11701"/>
    <w:rsid w:val="00D1234D"/>
    <w:rsid w:val="00D13F66"/>
    <w:rsid w:val="00D141BC"/>
    <w:rsid w:val="00D14E45"/>
    <w:rsid w:val="00D15713"/>
    <w:rsid w:val="00D17C46"/>
    <w:rsid w:val="00D17D66"/>
    <w:rsid w:val="00D246C2"/>
    <w:rsid w:val="00D26F1A"/>
    <w:rsid w:val="00D27D72"/>
    <w:rsid w:val="00D3239E"/>
    <w:rsid w:val="00D349D6"/>
    <w:rsid w:val="00D34BD3"/>
    <w:rsid w:val="00D40E0C"/>
    <w:rsid w:val="00D41866"/>
    <w:rsid w:val="00D44B61"/>
    <w:rsid w:val="00D46F18"/>
    <w:rsid w:val="00D506C6"/>
    <w:rsid w:val="00D522D7"/>
    <w:rsid w:val="00D52866"/>
    <w:rsid w:val="00D54286"/>
    <w:rsid w:val="00D54FF3"/>
    <w:rsid w:val="00D55D70"/>
    <w:rsid w:val="00D61DB3"/>
    <w:rsid w:val="00D625EE"/>
    <w:rsid w:val="00D6478C"/>
    <w:rsid w:val="00D64B8C"/>
    <w:rsid w:val="00D67316"/>
    <w:rsid w:val="00D67A77"/>
    <w:rsid w:val="00D70CA7"/>
    <w:rsid w:val="00D7501A"/>
    <w:rsid w:val="00D75F31"/>
    <w:rsid w:val="00D762F5"/>
    <w:rsid w:val="00D80051"/>
    <w:rsid w:val="00D82F87"/>
    <w:rsid w:val="00D838E7"/>
    <w:rsid w:val="00D85524"/>
    <w:rsid w:val="00D85A09"/>
    <w:rsid w:val="00D85B10"/>
    <w:rsid w:val="00D87113"/>
    <w:rsid w:val="00D90793"/>
    <w:rsid w:val="00D919A5"/>
    <w:rsid w:val="00D9239C"/>
    <w:rsid w:val="00D92490"/>
    <w:rsid w:val="00D93BD7"/>
    <w:rsid w:val="00D95D5C"/>
    <w:rsid w:val="00DA1D83"/>
    <w:rsid w:val="00DA257A"/>
    <w:rsid w:val="00DA4D5C"/>
    <w:rsid w:val="00DA6320"/>
    <w:rsid w:val="00DA65DA"/>
    <w:rsid w:val="00DB040B"/>
    <w:rsid w:val="00DB129A"/>
    <w:rsid w:val="00DB184B"/>
    <w:rsid w:val="00DB4FC8"/>
    <w:rsid w:val="00DB70E7"/>
    <w:rsid w:val="00DB7532"/>
    <w:rsid w:val="00DC03FC"/>
    <w:rsid w:val="00DC06DB"/>
    <w:rsid w:val="00DC090D"/>
    <w:rsid w:val="00DC6831"/>
    <w:rsid w:val="00DD026A"/>
    <w:rsid w:val="00DD0605"/>
    <w:rsid w:val="00DD1350"/>
    <w:rsid w:val="00DD2A88"/>
    <w:rsid w:val="00DD50FD"/>
    <w:rsid w:val="00DE0E48"/>
    <w:rsid w:val="00DE2176"/>
    <w:rsid w:val="00DE2DB7"/>
    <w:rsid w:val="00DE3B43"/>
    <w:rsid w:val="00DF0B55"/>
    <w:rsid w:val="00DF59FA"/>
    <w:rsid w:val="00DF7B02"/>
    <w:rsid w:val="00E00B82"/>
    <w:rsid w:val="00E01C78"/>
    <w:rsid w:val="00E038D2"/>
    <w:rsid w:val="00E0486B"/>
    <w:rsid w:val="00E04959"/>
    <w:rsid w:val="00E0518A"/>
    <w:rsid w:val="00E05972"/>
    <w:rsid w:val="00E07BAD"/>
    <w:rsid w:val="00E14500"/>
    <w:rsid w:val="00E158D5"/>
    <w:rsid w:val="00E1705D"/>
    <w:rsid w:val="00E22E2B"/>
    <w:rsid w:val="00E25863"/>
    <w:rsid w:val="00E25D49"/>
    <w:rsid w:val="00E26A15"/>
    <w:rsid w:val="00E26E7E"/>
    <w:rsid w:val="00E277D4"/>
    <w:rsid w:val="00E27F82"/>
    <w:rsid w:val="00E31B89"/>
    <w:rsid w:val="00E34DCD"/>
    <w:rsid w:val="00E36D84"/>
    <w:rsid w:val="00E42C05"/>
    <w:rsid w:val="00E4483A"/>
    <w:rsid w:val="00E451C3"/>
    <w:rsid w:val="00E461BF"/>
    <w:rsid w:val="00E47B67"/>
    <w:rsid w:val="00E541EE"/>
    <w:rsid w:val="00E54E7D"/>
    <w:rsid w:val="00E6065C"/>
    <w:rsid w:val="00E616B0"/>
    <w:rsid w:val="00E61A26"/>
    <w:rsid w:val="00E63097"/>
    <w:rsid w:val="00E67D11"/>
    <w:rsid w:val="00E70282"/>
    <w:rsid w:val="00E71E2A"/>
    <w:rsid w:val="00E7360A"/>
    <w:rsid w:val="00E748D5"/>
    <w:rsid w:val="00E75154"/>
    <w:rsid w:val="00E777D7"/>
    <w:rsid w:val="00E81392"/>
    <w:rsid w:val="00E82337"/>
    <w:rsid w:val="00E827B1"/>
    <w:rsid w:val="00E82B2C"/>
    <w:rsid w:val="00E82FD2"/>
    <w:rsid w:val="00E900B5"/>
    <w:rsid w:val="00E932D7"/>
    <w:rsid w:val="00E93EEB"/>
    <w:rsid w:val="00EA4AAC"/>
    <w:rsid w:val="00EB0D5C"/>
    <w:rsid w:val="00EB0EC1"/>
    <w:rsid w:val="00EB21A4"/>
    <w:rsid w:val="00EB25A8"/>
    <w:rsid w:val="00EB527C"/>
    <w:rsid w:val="00EB6AB8"/>
    <w:rsid w:val="00EB7756"/>
    <w:rsid w:val="00EC41D1"/>
    <w:rsid w:val="00EC5C98"/>
    <w:rsid w:val="00EC69D7"/>
    <w:rsid w:val="00EC7040"/>
    <w:rsid w:val="00EC7B97"/>
    <w:rsid w:val="00EC7F26"/>
    <w:rsid w:val="00ED0157"/>
    <w:rsid w:val="00ED20CC"/>
    <w:rsid w:val="00ED5346"/>
    <w:rsid w:val="00ED7AC7"/>
    <w:rsid w:val="00EE07F3"/>
    <w:rsid w:val="00EE1D16"/>
    <w:rsid w:val="00EE2FEC"/>
    <w:rsid w:val="00EE36DF"/>
    <w:rsid w:val="00EE49E3"/>
    <w:rsid w:val="00EE5503"/>
    <w:rsid w:val="00EF0C70"/>
    <w:rsid w:val="00EF0F02"/>
    <w:rsid w:val="00EF1CEC"/>
    <w:rsid w:val="00EF349B"/>
    <w:rsid w:val="00EF57FE"/>
    <w:rsid w:val="00EF621B"/>
    <w:rsid w:val="00EF651E"/>
    <w:rsid w:val="00EF7635"/>
    <w:rsid w:val="00EF790F"/>
    <w:rsid w:val="00F00DED"/>
    <w:rsid w:val="00F01F7C"/>
    <w:rsid w:val="00F02422"/>
    <w:rsid w:val="00F03979"/>
    <w:rsid w:val="00F079F6"/>
    <w:rsid w:val="00F07DB0"/>
    <w:rsid w:val="00F07F31"/>
    <w:rsid w:val="00F07FB3"/>
    <w:rsid w:val="00F1064A"/>
    <w:rsid w:val="00F108BD"/>
    <w:rsid w:val="00F1160E"/>
    <w:rsid w:val="00F15EAF"/>
    <w:rsid w:val="00F22A0B"/>
    <w:rsid w:val="00F247A0"/>
    <w:rsid w:val="00F272CB"/>
    <w:rsid w:val="00F31C3D"/>
    <w:rsid w:val="00F32580"/>
    <w:rsid w:val="00F3552E"/>
    <w:rsid w:val="00F459F8"/>
    <w:rsid w:val="00F46012"/>
    <w:rsid w:val="00F47F52"/>
    <w:rsid w:val="00F50AF0"/>
    <w:rsid w:val="00F529F6"/>
    <w:rsid w:val="00F54510"/>
    <w:rsid w:val="00F54730"/>
    <w:rsid w:val="00F54D68"/>
    <w:rsid w:val="00F55BF5"/>
    <w:rsid w:val="00F5757E"/>
    <w:rsid w:val="00F6243B"/>
    <w:rsid w:val="00F626DA"/>
    <w:rsid w:val="00F6312E"/>
    <w:rsid w:val="00F63C41"/>
    <w:rsid w:val="00F65439"/>
    <w:rsid w:val="00F73616"/>
    <w:rsid w:val="00F74CF4"/>
    <w:rsid w:val="00F7797A"/>
    <w:rsid w:val="00F80472"/>
    <w:rsid w:val="00F804BA"/>
    <w:rsid w:val="00F81450"/>
    <w:rsid w:val="00F829F6"/>
    <w:rsid w:val="00F82DE0"/>
    <w:rsid w:val="00F8572F"/>
    <w:rsid w:val="00F86EC5"/>
    <w:rsid w:val="00F871A8"/>
    <w:rsid w:val="00F90841"/>
    <w:rsid w:val="00F91D62"/>
    <w:rsid w:val="00F945C4"/>
    <w:rsid w:val="00F9482D"/>
    <w:rsid w:val="00F94F36"/>
    <w:rsid w:val="00F9557C"/>
    <w:rsid w:val="00FA08BF"/>
    <w:rsid w:val="00FA34A7"/>
    <w:rsid w:val="00FB1BDA"/>
    <w:rsid w:val="00FC0600"/>
    <w:rsid w:val="00FC0F96"/>
    <w:rsid w:val="00FC220B"/>
    <w:rsid w:val="00FC2F9C"/>
    <w:rsid w:val="00FC4E82"/>
    <w:rsid w:val="00FC76BF"/>
    <w:rsid w:val="00FD126B"/>
    <w:rsid w:val="00FD2FC9"/>
    <w:rsid w:val="00FD49DB"/>
    <w:rsid w:val="00FD78E2"/>
    <w:rsid w:val="00FE01AC"/>
    <w:rsid w:val="00FE137E"/>
    <w:rsid w:val="00FE2224"/>
    <w:rsid w:val="00FE3BF5"/>
    <w:rsid w:val="00FE47E3"/>
    <w:rsid w:val="00FE4EEF"/>
    <w:rsid w:val="00FE5917"/>
    <w:rsid w:val="00FF40AD"/>
    <w:rsid w:val="00FF718C"/>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7C"/>
    <w:pPr>
      <w:widowControl w:val="0"/>
    </w:pPr>
    <w:rPr>
      <w:snapToGrid w:val="0"/>
      <w:kern w:val="28"/>
      <w:szCs w:val="20"/>
    </w:rPr>
  </w:style>
  <w:style w:type="paragraph" w:styleId="Heading1">
    <w:name w:val="heading 1"/>
    <w:basedOn w:val="Normal"/>
    <w:next w:val="ParaNum"/>
    <w:link w:val="Heading1Char"/>
    <w:qFormat/>
    <w:rsid w:val="00F9557C"/>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9557C"/>
    <w:pPr>
      <w:keepNext/>
      <w:numPr>
        <w:ilvl w:val="1"/>
        <w:numId w:val="1"/>
      </w:numPr>
      <w:spacing w:after="120"/>
      <w:outlineLvl w:val="1"/>
    </w:pPr>
    <w:rPr>
      <w:b/>
    </w:rPr>
  </w:style>
  <w:style w:type="paragraph" w:styleId="Heading3">
    <w:name w:val="heading 3"/>
    <w:basedOn w:val="Normal"/>
    <w:next w:val="ParaNum"/>
    <w:link w:val="Heading3Char"/>
    <w:qFormat/>
    <w:rsid w:val="00F9557C"/>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F9557C"/>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F9557C"/>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
    <w:qFormat/>
    <w:rsid w:val="00F9557C"/>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F9557C"/>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F9557C"/>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9557C"/>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55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557C"/>
  </w:style>
  <w:style w:type="character" w:customStyle="1" w:styleId="Heading1Char">
    <w:name w:val="Heading 1 Char"/>
    <w:basedOn w:val="DefaultParagraphFont"/>
    <w:link w:val="Heading1"/>
    <w:locked/>
    <w:rsid w:val="00626231"/>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6B6DE1"/>
    <w:rPr>
      <w:b/>
      <w:snapToGrid w:val="0"/>
      <w:kern w:val="28"/>
      <w:szCs w:val="20"/>
    </w:rPr>
  </w:style>
  <w:style w:type="paragraph" w:styleId="BalloonText">
    <w:name w:val="Balloon Text"/>
    <w:basedOn w:val="Normal"/>
    <w:link w:val="BalloonTextChar"/>
    <w:uiPriority w:val="99"/>
    <w:semiHidden/>
    <w:rsid w:val="00C463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3E1"/>
    <w:rPr>
      <w:rFonts w:ascii="Tahoma" w:hAnsi="Tahoma" w:cs="Times New Roman"/>
      <w:sz w:val="16"/>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
    <w:link w:val="FootnoteTextChar"/>
    <w:rsid w:val="00F9557C"/>
    <w:pPr>
      <w:spacing w:after="120"/>
    </w:pPr>
    <w:rPr>
      <w:sz w:val="20"/>
      <w:szCs w:val="20"/>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f Char"/>
    <w:basedOn w:val="DefaultParagraphFont"/>
    <w:link w:val="FootnoteText"/>
    <w:locked/>
    <w:rsid w:val="00F6243B"/>
    <w:rPr>
      <w:sz w:val="20"/>
      <w:szCs w:val="20"/>
    </w:rPr>
  </w:style>
  <w:style w:type="paragraph" w:customStyle="1" w:styleId="CitationBlock">
    <w:name w:val="Citation Block"/>
    <w:basedOn w:val="Normal"/>
    <w:next w:val="NoSpacing"/>
    <w:autoRedefine/>
    <w:uiPriority w:val="99"/>
    <w:rsid w:val="00944236"/>
    <w:pPr>
      <w:ind w:left="720" w:right="720"/>
    </w:pPr>
  </w:style>
  <w:style w:type="paragraph" w:styleId="NoSpacing">
    <w:name w:val="No Spacing"/>
    <w:uiPriority w:val="99"/>
    <w:qFormat/>
    <w:rsid w:val="00944236"/>
    <w:pPr>
      <w:ind w:firstLine="720"/>
    </w:pPr>
    <w:rPr>
      <w:sz w:val="20"/>
      <w:szCs w:val="20"/>
    </w:rPr>
  </w:style>
  <w:style w:type="paragraph" w:customStyle="1" w:styleId="PostCitationBlock">
    <w:name w:val="Post Citation Block"/>
    <w:basedOn w:val="Normal"/>
    <w:next w:val="Normal"/>
    <w:autoRedefine/>
    <w:uiPriority w:val="99"/>
    <w:rsid w:val="00F871A8"/>
  </w:style>
  <w:style w:type="paragraph" w:customStyle="1" w:styleId="StyleParaNumAfter0pt">
    <w:name w:val="Style ParaNum + After:  0 pt"/>
    <w:basedOn w:val="Normal"/>
    <w:autoRedefine/>
    <w:uiPriority w:val="99"/>
    <w:rsid w:val="00626231"/>
    <w:pPr>
      <w:tabs>
        <w:tab w:val="left" w:pos="1440"/>
      </w:tabs>
    </w:pPr>
  </w:style>
  <w:style w:type="paragraph" w:customStyle="1" w:styleId="StyleParaNumLeftFirstline05After6pt">
    <w:name w:val="Style ParaNum + Left First line:  0.5&quot; After:  6 pt"/>
    <w:basedOn w:val="Normal"/>
    <w:autoRedefine/>
    <w:uiPriority w:val="99"/>
    <w:rsid w:val="00934625"/>
    <w:pPr>
      <w:tabs>
        <w:tab w:val="left" w:pos="1440"/>
      </w:tabs>
      <w:spacing w:after="120"/>
    </w:pPr>
  </w:style>
  <w:style w:type="paragraph" w:customStyle="1" w:styleId="ParaNumCitationNAL">
    <w:name w:val="ParaNum Citation/NAL"/>
    <w:basedOn w:val="Normal"/>
    <w:autoRedefine/>
    <w:uiPriority w:val="99"/>
    <w:rsid w:val="00934625"/>
    <w:pPr>
      <w:numPr>
        <w:numId w:val="4"/>
      </w:numPr>
      <w:tabs>
        <w:tab w:val="left" w:pos="1440"/>
      </w:tabs>
      <w:spacing w:after="120"/>
    </w:pPr>
  </w:style>
  <w:style w:type="paragraph" w:customStyle="1" w:styleId="CitationNALparagraph">
    <w:name w:val="Citation/NAL paragraph"/>
    <w:basedOn w:val="Normal"/>
    <w:autoRedefine/>
    <w:uiPriority w:val="99"/>
    <w:rsid w:val="00934625"/>
    <w:pPr>
      <w:numPr>
        <w:numId w:val="5"/>
      </w:numPr>
      <w:tabs>
        <w:tab w:val="left" w:pos="1440"/>
      </w:tabs>
      <w:spacing w:after="120"/>
      <w:jc w:val="both"/>
    </w:pPr>
  </w:style>
  <w:style w:type="character" w:styleId="FootnoteReference">
    <w:name w:val="footnote reference"/>
    <w:aliases w:val="Style 4,Style 12,(NECG) Footnote Reference,Appel note de bas de p,Style 124,Style 13,o,fr,Style 3"/>
    <w:rsid w:val="00F9557C"/>
    <w:rPr>
      <w:rFonts w:ascii="Times New Roman" w:hAnsi="Times New Roman"/>
      <w:dstrike w:val="0"/>
      <w:color w:val="auto"/>
      <w:sz w:val="20"/>
      <w:vertAlign w:val="superscript"/>
    </w:rPr>
  </w:style>
  <w:style w:type="paragraph" w:styleId="Header">
    <w:name w:val="header"/>
    <w:basedOn w:val="Normal"/>
    <w:link w:val="HeaderChar"/>
    <w:autoRedefine/>
    <w:rsid w:val="00F9557C"/>
    <w:pPr>
      <w:tabs>
        <w:tab w:val="center" w:pos="4680"/>
        <w:tab w:val="right" w:pos="9360"/>
      </w:tabs>
    </w:pPr>
    <w:rPr>
      <w:b/>
    </w:rPr>
  </w:style>
  <w:style w:type="character" w:customStyle="1" w:styleId="HeaderChar">
    <w:name w:val="Header Char"/>
    <w:basedOn w:val="DefaultParagraphFont"/>
    <w:link w:val="Header"/>
    <w:locked/>
    <w:rsid w:val="006B6DE1"/>
    <w:rPr>
      <w:b/>
      <w:snapToGrid w:val="0"/>
      <w:kern w:val="28"/>
      <w:szCs w:val="20"/>
    </w:rPr>
  </w:style>
  <w:style w:type="paragraph" w:styleId="Footer">
    <w:name w:val="footer"/>
    <w:basedOn w:val="Normal"/>
    <w:link w:val="FooterChar"/>
    <w:rsid w:val="00F9557C"/>
    <w:pPr>
      <w:tabs>
        <w:tab w:val="center" w:pos="4320"/>
        <w:tab w:val="right" w:pos="8640"/>
      </w:tabs>
    </w:pPr>
  </w:style>
  <w:style w:type="character" w:customStyle="1" w:styleId="FooterChar">
    <w:name w:val="Footer Char"/>
    <w:basedOn w:val="DefaultParagraphFont"/>
    <w:link w:val="Footer"/>
    <w:locked/>
    <w:rsid w:val="006B6DE1"/>
    <w:rPr>
      <w:snapToGrid w:val="0"/>
      <w:kern w:val="28"/>
      <w:szCs w:val="20"/>
    </w:rPr>
  </w:style>
  <w:style w:type="paragraph" w:customStyle="1" w:styleId="par1">
    <w:name w:val="par1"/>
    <w:basedOn w:val="Normal"/>
    <w:link w:val="par1Char"/>
    <w:uiPriority w:val="99"/>
    <w:rsid w:val="006B6DE1"/>
    <w:pPr>
      <w:numPr>
        <w:numId w:val="6"/>
      </w:numPr>
    </w:pPr>
  </w:style>
  <w:style w:type="paragraph" w:customStyle="1" w:styleId="Paranum0">
    <w:name w:val="Paranum"/>
    <w:uiPriority w:val="99"/>
    <w:rsid w:val="006B6DE1"/>
    <w:pPr>
      <w:numPr>
        <w:numId w:val="8"/>
      </w:numPr>
      <w:tabs>
        <w:tab w:val="left" w:pos="1440"/>
      </w:tabs>
      <w:spacing w:after="240"/>
      <w:jc w:val="both"/>
    </w:pPr>
    <w:rPr>
      <w:szCs w:val="20"/>
    </w:rPr>
  </w:style>
  <w:style w:type="character" w:styleId="PageNumber">
    <w:name w:val="page number"/>
    <w:basedOn w:val="DefaultParagraphFont"/>
    <w:rsid w:val="00F9557C"/>
  </w:style>
  <w:style w:type="paragraph" w:customStyle="1" w:styleId="Heading1A">
    <w:name w:val="Heading 1 A"/>
    <w:next w:val="Normal"/>
    <w:uiPriority w:val="99"/>
    <w:rsid w:val="006B6DE1"/>
    <w:pPr>
      <w:keepNext/>
      <w:suppressAutoHyphens/>
      <w:spacing w:after="120"/>
      <w:outlineLvl w:val="0"/>
    </w:pPr>
    <w:rPr>
      <w:rFonts w:ascii="Times New Roman Bold" w:hAnsi="Times New Roman Bold"/>
      <w:caps/>
      <w:color w:val="000000"/>
      <w:sz w:val="24"/>
      <w:szCs w:val="20"/>
    </w:rPr>
  </w:style>
  <w:style w:type="paragraph" w:customStyle="1" w:styleId="BodyText1">
    <w:name w:val="Body Text1"/>
    <w:uiPriority w:val="99"/>
    <w:rsid w:val="006B6DE1"/>
    <w:rPr>
      <w:rFonts w:ascii="Times New Roman Bold" w:hAnsi="Times New Roman Bold"/>
      <w:color w:val="000000"/>
      <w:sz w:val="24"/>
      <w:szCs w:val="20"/>
      <w:u w:val="single"/>
    </w:rPr>
  </w:style>
  <w:style w:type="character" w:customStyle="1" w:styleId="par1Char">
    <w:name w:val="par1 Char"/>
    <w:link w:val="par1"/>
    <w:uiPriority w:val="99"/>
    <w:locked/>
    <w:rsid w:val="006B6DE1"/>
    <w:rPr>
      <w:snapToGrid w:val="0"/>
      <w:kern w:val="28"/>
      <w:szCs w:val="20"/>
    </w:rPr>
  </w:style>
  <w:style w:type="paragraph" w:styleId="ListParagraph">
    <w:name w:val="List Paragraph"/>
    <w:basedOn w:val="Normal"/>
    <w:uiPriority w:val="99"/>
    <w:qFormat/>
    <w:rsid w:val="00790F85"/>
    <w:pPr>
      <w:ind w:left="720"/>
      <w:contextualSpacing/>
    </w:pPr>
  </w:style>
  <w:style w:type="paragraph" w:customStyle="1" w:styleId="ParaNum">
    <w:name w:val="ParaNum"/>
    <w:basedOn w:val="Normal"/>
    <w:link w:val="ParaNumChar"/>
    <w:rsid w:val="00F9557C"/>
    <w:pPr>
      <w:numPr>
        <w:numId w:val="12"/>
      </w:numPr>
      <w:tabs>
        <w:tab w:val="clear" w:pos="1080"/>
        <w:tab w:val="num" w:pos="1440"/>
      </w:tabs>
      <w:spacing w:after="120"/>
    </w:p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1A56FF"/>
    <w:rPr>
      <w:sz w:val="24"/>
      <w:lang w:val="en-US" w:eastAsia="en-US"/>
    </w:rPr>
  </w:style>
  <w:style w:type="character" w:customStyle="1" w:styleId="ParaNumChar">
    <w:name w:val="ParaNum Char"/>
    <w:link w:val="ParaNum"/>
    <w:locked/>
    <w:rsid w:val="001A56FF"/>
    <w:rPr>
      <w:snapToGrid w:val="0"/>
      <w:kern w:val="28"/>
      <w:szCs w:val="20"/>
    </w:rPr>
  </w:style>
  <w:style w:type="character" w:styleId="Hyperlink">
    <w:name w:val="Hyperlink"/>
    <w:rsid w:val="00F9557C"/>
    <w:rPr>
      <w:color w:val="0000FF"/>
      <w:u w:val="single"/>
    </w:rPr>
  </w:style>
  <w:style w:type="character" w:styleId="CommentReference">
    <w:name w:val="annotation reference"/>
    <w:basedOn w:val="DefaultParagraphFont"/>
    <w:uiPriority w:val="99"/>
    <w:semiHidden/>
    <w:locked/>
    <w:rsid w:val="00AE049C"/>
    <w:rPr>
      <w:rFonts w:cs="Times New Roman"/>
      <w:sz w:val="16"/>
      <w:szCs w:val="16"/>
    </w:rPr>
  </w:style>
  <w:style w:type="paragraph" w:styleId="CommentText">
    <w:name w:val="annotation text"/>
    <w:basedOn w:val="Normal"/>
    <w:link w:val="CommentTextChar"/>
    <w:uiPriority w:val="99"/>
    <w:semiHidden/>
    <w:locked/>
    <w:rsid w:val="00AE049C"/>
    <w:rPr>
      <w:sz w:val="20"/>
    </w:rPr>
  </w:style>
  <w:style w:type="character" w:customStyle="1" w:styleId="CommentTextChar">
    <w:name w:val="Comment Text Char"/>
    <w:basedOn w:val="DefaultParagraphFont"/>
    <w:link w:val="CommentText"/>
    <w:uiPriority w:val="99"/>
    <w:semiHidden/>
    <w:locked/>
    <w:rsid w:val="00B9715E"/>
    <w:rPr>
      <w:rFonts w:cs="Times New Roman"/>
      <w:sz w:val="20"/>
      <w:szCs w:val="20"/>
    </w:rPr>
  </w:style>
  <w:style w:type="paragraph" w:styleId="CommentSubject">
    <w:name w:val="annotation subject"/>
    <w:basedOn w:val="CommentText"/>
    <w:next w:val="CommentText"/>
    <w:link w:val="CommentSubjectChar"/>
    <w:uiPriority w:val="99"/>
    <w:semiHidden/>
    <w:locked/>
    <w:rsid w:val="00AE049C"/>
    <w:rPr>
      <w:b/>
      <w:bCs/>
    </w:rPr>
  </w:style>
  <w:style w:type="character" w:customStyle="1" w:styleId="CommentSubjectChar">
    <w:name w:val="Comment Subject Char"/>
    <w:basedOn w:val="CommentTextChar"/>
    <w:link w:val="CommentSubject"/>
    <w:uiPriority w:val="99"/>
    <w:semiHidden/>
    <w:locked/>
    <w:rsid w:val="00B9715E"/>
    <w:rPr>
      <w:rFonts w:cs="Times New Roman"/>
      <w:b/>
      <w:bCs/>
      <w:sz w:val="20"/>
      <w:szCs w:val="20"/>
    </w:rPr>
  </w:style>
  <w:style w:type="paragraph" w:styleId="Revision">
    <w:name w:val="Revision"/>
    <w:hidden/>
    <w:uiPriority w:val="99"/>
    <w:semiHidden/>
    <w:rsid w:val="00F247A0"/>
    <w:rPr>
      <w:sz w:val="24"/>
      <w:szCs w:val="24"/>
    </w:rPr>
  </w:style>
  <w:style w:type="paragraph" w:styleId="Subtitle">
    <w:name w:val="Subtitle"/>
    <w:basedOn w:val="Normal"/>
    <w:next w:val="Normal"/>
    <w:link w:val="SubtitleChar"/>
    <w:qFormat/>
    <w:rsid w:val="003D115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D1157"/>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8C61DF"/>
    <w:rPr>
      <w:b/>
      <w:snapToGrid w:val="0"/>
      <w:kern w:val="28"/>
      <w:szCs w:val="20"/>
    </w:rPr>
  </w:style>
  <w:style w:type="character" w:customStyle="1" w:styleId="Heading5Char">
    <w:name w:val="Heading 5 Char"/>
    <w:basedOn w:val="DefaultParagraphFont"/>
    <w:link w:val="Heading5"/>
    <w:rsid w:val="008C61DF"/>
    <w:rPr>
      <w:b/>
      <w:snapToGrid w:val="0"/>
      <w:kern w:val="28"/>
      <w:szCs w:val="20"/>
    </w:rPr>
  </w:style>
  <w:style w:type="character" w:customStyle="1" w:styleId="Heading4Char">
    <w:name w:val="Heading 4 Char"/>
    <w:basedOn w:val="DefaultParagraphFont"/>
    <w:link w:val="Heading4"/>
    <w:rsid w:val="00802443"/>
    <w:rPr>
      <w:b/>
      <w:snapToGrid w:val="0"/>
      <w:kern w:val="28"/>
      <w:szCs w:val="20"/>
    </w:rPr>
  </w:style>
  <w:style w:type="character" w:customStyle="1" w:styleId="Heading6Char">
    <w:name w:val="Heading 6 Char"/>
    <w:basedOn w:val="DefaultParagraphFont"/>
    <w:link w:val="Heading6"/>
    <w:rsid w:val="00802443"/>
    <w:rPr>
      <w:b/>
      <w:snapToGrid w:val="0"/>
      <w:kern w:val="28"/>
      <w:szCs w:val="20"/>
    </w:rPr>
  </w:style>
  <w:style w:type="character" w:customStyle="1" w:styleId="Heading7Char">
    <w:name w:val="Heading 7 Char"/>
    <w:basedOn w:val="DefaultParagraphFont"/>
    <w:link w:val="Heading7"/>
    <w:rsid w:val="00802443"/>
    <w:rPr>
      <w:b/>
      <w:snapToGrid w:val="0"/>
      <w:kern w:val="28"/>
      <w:szCs w:val="20"/>
    </w:rPr>
  </w:style>
  <w:style w:type="character" w:customStyle="1" w:styleId="Heading8Char">
    <w:name w:val="Heading 8 Char"/>
    <w:basedOn w:val="DefaultParagraphFont"/>
    <w:link w:val="Heading8"/>
    <w:rsid w:val="00802443"/>
    <w:rPr>
      <w:b/>
      <w:snapToGrid w:val="0"/>
      <w:kern w:val="28"/>
      <w:szCs w:val="20"/>
    </w:rPr>
  </w:style>
  <w:style w:type="character" w:customStyle="1" w:styleId="Heading9Char">
    <w:name w:val="Heading 9 Char"/>
    <w:basedOn w:val="DefaultParagraphFont"/>
    <w:link w:val="Heading9"/>
    <w:rsid w:val="00802443"/>
    <w:rPr>
      <w:b/>
      <w:snapToGrid w:val="0"/>
      <w:kern w:val="28"/>
      <w:szCs w:val="20"/>
    </w:rPr>
  </w:style>
  <w:style w:type="paragraph" w:styleId="EndnoteText">
    <w:name w:val="endnote text"/>
    <w:basedOn w:val="Normal"/>
    <w:link w:val="EndnoteTextChar"/>
    <w:semiHidden/>
    <w:locked/>
    <w:rsid w:val="00F9557C"/>
    <w:rPr>
      <w:sz w:val="20"/>
    </w:rPr>
  </w:style>
  <w:style w:type="character" w:customStyle="1" w:styleId="EndnoteTextChar">
    <w:name w:val="Endnote Text Char"/>
    <w:basedOn w:val="DefaultParagraphFont"/>
    <w:link w:val="EndnoteText"/>
    <w:semiHidden/>
    <w:rsid w:val="00802443"/>
    <w:rPr>
      <w:snapToGrid w:val="0"/>
      <w:kern w:val="28"/>
      <w:sz w:val="20"/>
      <w:szCs w:val="20"/>
    </w:rPr>
  </w:style>
  <w:style w:type="character" w:styleId="EndnoteReference">
    <w:name w:val="endnote reference"/>
    <w:semiHidden/>
    <w:locked/>
    <w:rsid w:val="00F9557C"/>
    <w:rPr>
      <w:vertAlign w:val="superscript"/>
    </w:rPr>
  </w:style>
  <w:style w:type="paragraph" w:styleId="TOC1">
    <w:name w:val="toc 1"/>
    <w:basedOn w:val="Normal"/>
    <w:next w:val="Normal"/>
    <w:rsid w:val="00F9557C"/>
    <w:pPr>
      <w:tabs>
        <w:tab w:val="left" w:pos="360"/>
        <w:tab w:val="right" w:leader="dot" w:pos="9360"/>
      </w:tabs>
      <w:suppressAutoHyphens/>
      <w:ind w:left="360" w:right="720" w:hanging="360"/>
    </w:pPr>
    <w:rPr>
      <w:caps/>
      <w:noProof/>
    </w:rPr>
  </w:style>
  <w:style w:type="paragraph" w:styleId="TOC2">
    <w:name w:val="toc 2"/>
    <w:basedOn w:val="Normal"/>
    <w:next w:val="Normal"/>
    <w:rsid w:val="00F9557C"/>
    <w:pPr>
      <w:tabs>
        <w:tab w:val="left" w:pos="720"/>
        <w:tab w:val="right" w:leader="dot" w:pos="9360"/>
      </w:tabs>
      <w:suppressAutoHyphens/>
      <w:ind w:left="720" w:right="720" w:hanging="360"/>
    </w:pPr>
    <w:rPr>
      <w:noProof/>
    </w:rPr>
  </w:style>
  <w:style w:type="paragraph" w:styleId="TOC3">
    <w:name w:val="toc 3"/>
    <w:basedOn w:val="Normal"/>
    <w:next w:val="Normal"/>
    <w:rsid w:val="00F9557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9557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9557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9557C"/>
    <w:pPr>
      <w:tabs>
        <w:tab w:val="left" w:pos="2160"/>
        <w:tab w:val="right" w:leader="dot" w:pos="9360"/>
      </w:tabs>
      <w:suppressAutoHyphens/>
      <w:ind w:left="2160" w:hanging="360"/>
    </w:pPr>
    <w:rPr>
      <w:noProof/>
    </w:rPr>
  </w:style>
  <w:style w:type="paragraph" w:styleId="TOC7">
    <w:name w:val="toc 7"/>
    <w:basedOn w:val="Normal"/>
    <w:next w:val="Normal"/>
    <w:autoRedefine/>
    <w:rsid w:val="00F9557C"/>
    <w:pPr>
      <w:tabs>
        <w:tab w:val="left" w:pos="2520"/>
        <w:tab w:val="right" w:leader="dot" w:pos="9360"/>
      </w:tabs>
      <w:suppressAutoHyphens/>
      <w:ind w:left="2520" w:hanging="360"/>
    </w:pPr>
    <w:rPr>
      <w:noProof/>
    </w:rPr>
  </w:style>
  <w:style w:type="paragraph" w:styleId="TOC8">
    <w:name w:val="toc 8"/>
    <w:basedOn w:val="Normal"/>
    <w:next w:val="Normal"/>
    <w:autoRedefine/>
    <w:rsid w:val="00F9557C"/>
    <w:pPr>
      <w:tabs>
        <w:tab w:val="left" w:pos="2880"/>
        <w:tab w:val="right" w:leader="dot" w:pos="9360"/>
      </w:tabs>
      <w:suppressAutoHyphens/>
      <w:ind w:left="2880" w:hanging="360"/>
    </w:pPr>
    <w:rPr>
      <w:noProof/>
    </w:rPr>
  </w:style>
  <w:style w:type="paragraph" w:styleId="TOC9">
    <w:name w:val="toc 9"/>
    <w:basedOn w:val="Normal"/>
    <w:next w:val="Normal"/>
    <w:autoRedefine/>
    <w:rsid w:val="00F9557C"/>
    <w:pPr>
      <w:tabs>
        <w:tab w:val="left" w:pos="3240"/>
        <w:tab w:val="right" w:leader="dot" w:pos="9360"/>
      </w:tabs>
      <w:suppressAutoHyphens/>
      <w:ind w:left="3240" w:hanging="360"/>
    </w:pPr>
    <w:rPr>
      <w:noProof/>
    </w:rPr>
  </w:style>
  <w:style w:type="paragraph" w:styleId="TOAHeading">
    <w:name w:val="toa heading"/>
    <w:basedOn w:val="Normal"/>
    <w:next w:val="Normal"/>
    <w:semiHidden/>
    <w:locked/>
    <w:rsid w:val="00F9557C"/>
    <w:pPr>
      <w:tabs>
        <w:tab w:val="right" w:pos="9360"/>
      </w:tabs>
      <w:suppressAutoHyphens/>
    </w:pPr>
  </w:style>
  <w:style w:type="character" w:customStyle="1" w:styleId="EquationCaption">
    <w:name w:val="_Equation Caption"/>
    <w:rsid w:val="00F9557C"/>
  </w:style>
  <w:style w:type="paragraph" w:styleId="BlockText">
    <w:name w:val="Block Text"/>
    <w:basedOn w:val="Normal"/>
    <w:locked/>
    <w:rsid w:val="00F9557C"/>
    <w:pPr>
      <w:spacing w:after="240"/>
      <w:ind w:left="1440" w:right="1440"/>
    </w:pPr>
  </w:style>
  <w:style w:type="paragraph" w:customStyle="1" w:styleId="Paratitle">
    <w:name w:val="Para title"/>
    <w:basedOn w:val="Normal"/>
    <w:rsid w:val="00F9557C"/>
    <w:pPr>
      <w:tabs>
        <w:tab w:val="center" w:pos="9270"/>
      </w:tabs>
      <w:spacing w:after="240"/>
    </w:pPr>
    <w:rPr>
      <w:spacing w:val="-2"/>
    </w:rPr>
  </w:style>
  <w:style w:type="paragraph" w:customStyle="1" w:styleId="Bullet">
    <w:name w:val="Bullet"/>
    <w:basedOn w:val="Normal"/>
    <w:rsid w:val="00F9557C"/>
    <w:pPr>
      <w:tabs>
        <w:tab w:val="left" w:pos="2160"/>
      </w:tabs>
      <w:spacing w:after="220"/>
      <w:ind w:left="2160" w:hanging="720"/>
    </w:pPr>
  </w:style>
  <w:style w:type="paragraph" w:customStyle="1" w:styleId="TableFormat">
    <w:name w:val="TableFormat"/>
    <w:basedOn w:val="Bullet"/>
    <w:rsid w:val="00F9557C"/>
    <w:pPr>
      <w:tabs>
        <w:tab w:val="clear" w:pos="2160"/>
        <w:tab w:val="left" w:pos="5040"/>
      </w:tabs>
      <w:ind w:left="5040" w:hanging="3600"/>
    </w:pPr>
  </w:style>
  <w:style w:type="paragraph" w:customStyle="1" w:styleId="TOCTitle">
    <w:name w:val="TOC Title"/>
    <w:basedOn w:val="Normal"/>
    <w:rsid w:val="00F955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557C"/>
    <w:pPr>
      <w:jc w:val="center"/>
    </w:pPr>
    <w:rPr>
      <w:rFonts w:ascii="Times New Roman Bold" w:hAnsi="Times New Roman Bold"/>
      <w:b/>
      <w:bCs/>
      <w:caps/>
      <w:szCs w:val="22"/>
    </w:rPr>
  </w:style>
  <w:style w:type="paragraph" w:styleId="DocumentMap">
    <w:name w:val="Document Map"/>
    <w:basedOn w:val="Normal"/>
    <w:link w:val="DocumentMapChar"/>
    <w:uiPriority w:val="99"/>
    <w:semiHidden/>
    <w:unhideWhenUsed/>
    <w:locked/>
    <w:rsid w:val="0052759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27598"/>
    <w:rPr>
      <w:rFonts w:ascii="Lucida Grande" w:hAnsi="Lucida Grande" w:cs="Lucida Grande"/>
      <w:snapToGrid w:val="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7C"/>
    <w:pPr>
      <w:widowControl w:val="0"/>
    </w:pPr>
    <w:rPr>
      <w:snapToGrid w:val="0"/>
      <w:kern w:val="28"/>
      <w:szCs w:val="20"/>
    </w:rPr>
  </w:style>
  <w:style w:type="paragraph" w:styleId="Heading1">
    <w:name w:val="heading 1"/>
    <w:basedOn w:val="Normal"/>
    <w:next w:val="ParaNum"/>
    <w:link w:val="Heading1Char"/>
    <w:qFormat/>
    <w:rsid w:val="00F9557C"/>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9557C"/>
    <w:pPr>
      <w:keepNext/>
      <w:numPr>
        <w:ilvl w:val="1"/>
        <w:numId w:val="1"/>
      </w:numPr>
      <w:spacing w:after="120"/>
      <w:outlineLvl w:val="1"/>
    </w:pPr>
    <w:rPr>
      <w:b/>
    </w:rPr>
  </w:style>
  <w:style w:type="paragraph" w:styleId="Heading3">
    <w:name w:val="heading 3"/>
    <w:basedOn w:val="Normal"/>
    <w:next w:val="ParaNum"/>
    <w:link w:val="Heading3Char"/>
    <w:qFormat/>
    <w:rsid w:val="00F9557C"/>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F9557C"/>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F9557C"/>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
    <w:qFormat/>
    <w:rsid w:val="00F9557C"/>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F9557C"/>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F9557C"/>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9557C"/>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55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557C"/>
  </w:style>
  <w:style w:type="character" w:customStyle="1" w:styleId="Heading1Char">
    <w:name w:val="Heading 1 Char"/>
    <w:basedOn w:val="DefaultParagraphFont"/>
    <w:link w:val="Heading1"/>
    <w:locked/>
    <w:rsid w:val="00626231"/>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6B6DE1"/>
    <w:rPr>
      <w:b/>
      <w:snapToGrid w:val="0"/>
      <w:kern w:val="28"/>
      <w:szCs w:val="20"/>
    </w:rPr>
  </w:style>
  <w:style w:type="paragraph" w:styleId="BalloonText">
    <w:name w:val="Balloon Text"/>
    <w:basedOn w:val="Normal"/>
    <w:link w:val="BalloonTextChar"/>
    <w:uiPriority w:val="99"/>
    <w:semiHidden/>
    <w:rsid w:val="00C463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3E1"/>
    <w:rPr>
      <w:rFonts w:ascii="Tahoma" w:hAnsi="Tahoma" w:cs="Times New Roman"/>
      <w:sz w:val="16"/>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
    <w:link w:val="FootnoteTextChar"/>
    <w:rsid w:val="00F9557C"/>
    <w:pPr>
      <w:spacing w:after="120"/>
    </w:pPr>
    <w:rPr>
      <w:sz w:val="20"/>
      <w:szCs w:val="20"/>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f Char"/>
    <w:basedOn w:val="DefaultParagraphFont"/>
    <w:link w:val="FootnoteText"/>
    <w:locked/>
    <w:rsid w:val="00F6243B"/>
    <w:rPr>
      <w:sz w:val="20"/>
      <w:szCs w:val="20"/>
    </w:rPr>
  </w:style>
  <w:style w:type="paragraph" w:customStyle="1" w:styleId="CitationBlock">
    <w:name w:val="Citation Block"/>
    <w:basedOn w:val="Normal"/>
    <w:next w:val="NoSpacing"/>
    <w:autoRedefine/>
    <w:uiPriority w:val="99"/>
    <w:rsid w:val="00944236"/>
    <w:pPr>
      <w:ind w:left="720" w:right="720"/>
    </w:pPr>
  </w:style>
  <w:style w:type="paragraph" w:styleId="NoSpacing">
    <w:name w:val="No Spacing"/>
    <w:uiPriority w:val="99"/>
    <w:qFormat/>
    <w:rsid w:val="00944236"/>
    <w:pPr>
      <w:ind w:firstLine="720"/>
    </w:pPr>
    <w:rPr>
      <w:sz w:val="20"/>
      <w:szCs w:val="20"/>
    </w:rPr>
  </w:style>
  <w:style w:type="paragraph" w:customStyle="1" w:styleId="PostCitationBlock">
    <w:name w:val="Post Citation Block"/>
    <w:basedOn w:val="Normal"/>
    <w:next w:val="Normal"/>
    <w:autoRedefine/>
    <w:uiPriority w:val="99"/>
    <w:rsid w:val="00F871A8"/>
  </w:style>
  <w:style w:type="paragraph" w:customStyle="1" w:styleId="StyleParaNumAfter0pt">
    <w:name w:val="Style ParaNum + After:  0 pt"/>
    <w:basedOn w:val="Normal"/>
    <w:autoRedefine/>
    <w:uiPriority w:val="99"/>
    <w:rsid w:val="00626231"/>
    <w:pPr>
      <w:tabs>
        <w:tab w:val="left" w:pos="1440"/>
      </w:tabs>
    </w:pPr>
  </w:style>
  <w:style w:type="paragraph" w:customStyle="1" w:styleId="StyleParaNumLeftFirstline05After6pt">
    <w:name w:val="Style ParaNum + Left First line:  0.5&quot; After:  6 pt"/>
    <w:basedOn w:val="Normal"/>
    <w:autoRedefine/>
    <w:uiPriority w:val="99"/>
    <w:rsid w:val="00934625"/>
    <w:pPr>
      <w:tabs>
        <w:tab w:val="left" w:pos="1440"/>
      </w:tabs>
      <w:spacing w:after="120"/>
    </w:pPr>
  </w:style>
  <w:style w:type="paragraph" w:customStyle="1" w:styleId="ParaNumCitationNAL">
    <w:name w:val="ParaNum Citation/NAL"/>
    <w:basedOn w:val="Normal"/>
    <w:autoRedefine/>
    <w:uiPriority w:val="99"/>
    <w:rsid w:val="00934625"/>
    <w:pPr>
      <w:numPr>
        <w:numId w:val="4"/>
      </w:numPr>
      <w:tabs>
        <w:tab w:val="left" w:pos="1440"/>
      </w:tabs>
      <w:spacing w:after="120"/>
    </w:pPr>
  </w:style>
  <w:style w:type="paragraph" w:customStyle="1" w:styleId="CitationNALparagraph">
    <w:name w:val="Citation/NAL paragraph"/>
    <w:basedOn w:val="Normal"/>
    <w:autoRedefine/>
    <w:uiPriority w:val="99"/>
    <w:rsid w:val="00934625"/>
    <w:pPr>
      <w:numPr>
        <w:numId w:val="5"/>
      </w:numPr>
      <w:tabs>
        <w:tab w:val="left" w:pos="1440"/>
      </w:tabs>
      <w:spacing w:after="120"/>
      <w:jc w:val="both"/>
    </w:pPr>
  </w:style>
  <w:style w:type="character" w:styleId="FootnoteReference">
    <w:name w:val="footnote reference"/>
    <w:aliases w:val="Style 4,Style 12,(NECG) Footnote Reference,Appel note de bas de p,Style 124,Style 13,o,fr,Style 3"/>
    <w:rsid w:val="00F9557C"/>
    <w:rPr>
      <w:rFonts w:ascii="Times New Roman" w:hAnsi="Times New Roman"/>
      <w:dstrike w:val="0"/>
      <w:color w:val="auto"/>
      <w:sz w:val="20"/>
      <w:vertAlign w:val="superscript"/>
    </w:rPr>
  </w:style>
  <w:style w:type="paragraph" w:styleId="Header">
    <w:name w:val="header"/>
    <w:basedOn w:val="Normal"/>
    <w:link w:val="HeaderChar"/>
    <w:autoRedefine/>
    <w:rsid w:val="00F9557C"/>
    <w:pPr>
      <w:tabs>
        <w:tab w:val="center" w:pos="4680"/>
        <w:tab w:val="right" w:pos="9360"/>
      </w:tabs>
    </w:pPr>
    <w:rPr>
      <w:b/>
    </w:rPr>
  </w:style>
  <w:style w:type="character" w:customStyle="1" w:styleId="HeaderChar">
    <w:name w:val="Header Char"/>
    <w:basedOn w:val="DefaultParagraphFont"/>
    <w:link w:val="Header"/>
    <w:locked/>
    <w:rsid w:val="006B6DE1"/>
    <w:rPr>
      <w:b/>
      <w:snapToGrid w:val="0"/>
      <w:kern w:val="28"/>
      <w:szCs w:val="20"/>
    </w:rPr>
  </w:style>
  <w:style w:type="paragraph" w:styleId="Footer">
    <w:name w:val="footer"/>
    <w:basedOn w:val="Normal"/>
    <w:link w:val="FooterChar"/>
    <w:rsid w:val="00F9557C"/>
    <w:pPr>
      <w:tabs>
        <w:tab w:val="center" w:pos="4320"/>
        <w:tab w:val="right" w:pos="8640"/>
      </w:tabs>
    </w:pPr>
  </w:style>
  <w:style w:type="character" w:customStyle="1" w:styleId="FooterChar">
    <w:name w:val="Footer Char"/>
    <w:basedOn w:val="DefaultParagraphFont"/>
    <w:link w:val="Footer"/>
    <w:locked/>
    <w:rsid w:val="006B6DE1"/>
    <w:rPr>
      <w:snapToGrid w:val="0"/>
      <w:kern w:val="28"/>
      <w:szCs w:val="20"/>
    </w:rPr>
  </w:style>
  <w:style w:type="paragraph" w:customStyle="1" w:styleId="par1">
    <w:name w:val="par1"/>
    <w:basedOn w:val="Normal"/>
    <w:link w:val="par1Char"/>
    <w:uiPriority w:val="99"/>
    <w:rsid w:val="006B6DE1"/>
    <w:pPr>
      <w:numPr>
        <w:numId w:val="6"/>
      </w:numPr>
    </w:pPr>
  </w:style>
  <w:style w:type="paragraph" w:customStyle="1" w:styleId="Paranum0">
    <w:name w:val="Paranum"/>
    <w:uiPriority w:val="99"/>
    <w:rsid w:val="006B6DE1"/>
    <w:pPr>
      <w:numPr>
        <w:numId w:val="8"/>
      </w:numPr>
      <w:tabs>
        <w:tab w:val="left" w:pos="1440"/>
      </w:tabs>
      <w:spacing w:after="240"/>
      <w:jc w:val="both"/>
    </w:pPr>
    <w:rPr>
      <w:szCs w:val="20"/>
    </w:rPr>
  </w:style>
  <w:style w:type="character" w:styleId="PageNumber">
    <w:name w:val="page number"/>
    <w:basedOn w:val="DefaultParagraphFont"/>
    <w:rsid w:val="00F9557C"/>
  </w:style>
  <w:style w:type="paragraph" w:customStyle="1" w:styleId="Heading1A">
    <w:name w:val="Heading 1 A"/>
    <w:next w:val="Normal"/>
    <w:uiPriority w:val="99"/>
    <w:rsid w:val="006B6DE1"/>
    <w:pPr>
      <w:keepNext/>
      <w:suppressAutoHyphens/>
      <w:spacing w:after="120"/>
      <w:outlineLvl w:val="0"/>
    </w:pPr>
    <w:rPr>
      <w:rFonts w:ascii="Times New Roman Bold" w:hAnsi="Times New Roman Bold"/>
      <w:caps/>
      <w:color w:val="000000"/>
      <w:sz w:val="24"/>
      <w:szCs w:val="20"/>
    </w:rPr>
  </w:style>
  <w:style w:type="paragraph" w:customStyle="1" w:styleId="BodyText1">
    <w:name w:val="Body Text1"/>
    <w:uiPriority w:val="99"/>
    <w:rsid w:val="006B6DE1"/>
    <w:rPr>
      <w:rFonts w:ascii="Times New Roman Bold" w:hAnsi="Times New Roman Bold"/>
      <w:color w:val="000000"/>
      <w:sz w:val="24"/>
      <w:szCs w:val="20"/>
      <w:u w:val="single"/>
    </w:rPr>
  </w:style>
  <w:style w:type="character" w:customStyle="1" w:styleId="par1Char">
    <w:name w:val="par1 Char"/>
    <w:link w:val="par1"/>
    <w:uiPriority w:val="99"/>
    <w:locked/>
    <w:rsid w:val="006B6DE1"/>
    <w:rPr>
      <w:snapToGrid w:val="0"/>
      <w:kern w:val="28"/>
      <w:szCs w:val="20"/>
    </w:rPr>
  </w:style>
  <w:style w:type="paragraph" w:styleId="ListParagraph">
    <w:name w:val="List Paragraph"/>
    <w:basedOn w:val="Normal"/>
    <w:uiPriority w:val="99"/>
    <w:qFormat/>
    <w:rsid w:val="00790F85"/>
    <w:pPr>
      <w:ind w:left="720"/>
      <w:contextualSpacing/>
    </w:pPr>
  </w:style>
  <w:style w:type="paragraph" w:customStyle="1" w:styleId="ParaNum">
    <w:name w:val="ParaNum"/>
    <w:basedOn w:val="Normal"/>
    <w:link w:val="ParaNumChar"/>
    <w:rsid w:val="00F9557C"/>
    <w:pPr>
      <w:numPr>
        <w:numId w:val="12"/>
      </w:numPr>
      <w:tabs>
        <w:tab w:val="clear" w:pos="1080"/>
        <w:tab w:val="num" w:pos="1440"/>
      </w:tabs>
      <w:spacing w:after="120"/>
    </w:p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1A56FF"/>
    <w:rPr>
      <w:sz w:val="24"/>
      <w:lang w:val="en-US" w:eastAsia="en-US"/>
    </w:rPr>
  </w:style>
  <w:style w:type="character" w:customStyle="1" w:styleId="ParaNumChar">
    <w:name w:val="ParaNum Char"/>
    <w:link w:val="ParaNum"/>
    <w:locked/>
    <w:rsid w:val="001A56FF"/>
    <w:rPr>
      <w:snapToGrid w:val="0"/>
      <w:kern w:val="28"/>
      <w:szCs w:val="20"/>
    </w:rPr>
  </w:style>
  <w:style w:type="character" w:styleId="Hyperlink">
    <w:name w:val="Hyperlink"/>
    <w:rsid w:val="00F9557C"/>
    <w:rPr>
      <w:color w:val="0000FF"/>
      <w:u w:val="single"/>
    </w:rPr>
  </w:style>
  <w:style w:type="character" w:styleId="CommentReference">
    <w:name w:val="annotation reference"/>
    <w:basedOn w:val="DefaultParagraphFont"/>
    <w:uiPriority w:val="99"/>
    <w:semiHidden/>
    <w:locked/>
    <w:rsid w:val="00AE049C"/>
    <w:rPr>
      <w:rFonts w:cs="Times New Roman"/>
      <w:sz w:val="16"/>
      <w:szCs w:val="16"/>
    </w:rPr>
  </w:style>
  <w:style w:type="paragraph" w:styleId="CommentText">
    <w:name w:val="annotation text"/>
    <w:basedOn w:val="Normal"/>
    <w:link w:val="CommentTextChar"/>
    <w:uiPriority w:val="99"/>
    <w:semiHidden/>
    <w:locked/>
    <w:rsid w:val="00AE049C"/>
    <w:rPr>
      <w:sz w:val="20"/>
    </w:rPr>
  </w:style>
  <w:style w:type="character" w:customStyle="1" w:styleId="CommentTextChar">
    <w:name w:val="Comment Text Char"/>
    <w:basedOn w:val="DefaultParagraphFont"/>
    <w:link w:val="CommentText"/>
    <w:uiPriority w:val="99"/>
    <w:semiHidden/>
    <w:locked/>
    <w:rsid w:val="00B9715E"/>
    <w:rPr>
      <w:rFonts w:cs="Times New Roman"/>
      <w:sz w:val="20"/>
      <w:szCs w:val="20"/>
    </w:rPr>
  </w:style>
  <w:style w:type="paragraph" w:styleId="CommentSubject">
    <w:name w:val="annotation subject"/>
    <w:basedOn w:val="CommentText"/>
    <w:next w:val="CommentText"/>
    <w:link w:val="CommentSubjectChar"/>
    <w:uiPriority w:val="99"/>
    <w:semiHidden/>
    <w:locked/>
    <w:rsid w:val="00AE049C"/>
    <w:rPr>
      <w:b/>
      <w:bCs/>
    </w:rPr>
  </w:style>
  <w:style w:type="character" w:customStyle="1" w:styleId="CommentSubjectChar">
    <w:name w:val="Comment Subject Char"/>
    <w:basedOn w:val="CommentTextChar"/>
    <w:link w:val="CommentSubject"/>
    <w:uiPriority w:val="99"/>
    <w:semiHidden/>
    <w:locked/>
    <w:rsid w:val="00B9715E"/>
    <w:rPr>
      <w:rFonts w:cs="Times New Roman"/>
      <w:b/>
      <w:bCs/>
      <w:sz w:val="20"/>
      <w:szCs w:val="20"/>
    </w:rPr>
  </w:style>
  <w:style w:type="paragraph" w:styleId="Revision">
    <w:name w:val="Revision"/>
    <w:hidden/>
    <w:uiPriority w:val="99"/>
    <w:semiHidden/>
    <w:rsid w:val="00F247A0"/>
    <w:rPr>
      <w:sz w:val="24"/>
      <w:szCs w:val="24"/>
    </w:rPr>
  </w:style>
  <w:style w:type="paragraph" w:styleId="Subtitle">
    <w:name w:val="Subtitle"/>
    <w:basedOn w:val="Normal"/>
    <w:next w:val="Normal"/>
    <w:link w:val="SubtitleChar"/>
    <w:qFormat/>
    <w:rsid w:val="003D115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D1157"/>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8C61DF"/>
    <w:rPr>
      <w:b/>
      <w:snapToGrid w:val="0"/>
      <w:kern w:val="28"/>
      <w:szCs w:val="20"/>
    </w:rPr>
  </w:style>
  <w:style w:type="character" w:customStyle="1" w:styleId="Heading5Char">
    <w:name w:val="Heading 5 Char"/>
    <w:basedOn w:val="DefaultParagraphFont"/>
    <w:link w:val="Heading5"/>
    <w:rsid w:val="008C61DF"/>
    <w:rPr>
      <w:b/>
      <w:snapToGrid w:val="0"/>
      <w:kern w:val="28"/>
      <w:szCs w:val="20"/>
    </w:rPr>
  </w:style>
  <w:style w:type="character" w:customStyle="1" w:styleId="Heading4Char">
    <w:name w:val="Heading 4 Char"/>
    <w:basedOn w:val="DefaultParagraphFont"/>
    <w:link w:val="Heading4"/>
    <w:rsid w:val="00802443"/>
    <w:rPr>
      <w:b/>
      <w:snapToGrid w:val="0"/>
      <w:kern w:val="28"/>
      <w:szCs w:val="20"/>
    </w:rPr>
  </w:style>
  <w:style w:type="character" w:customStyle="1" w:styleId="Heading6Char">
    <w:name w:val="Heading 6 Char"/>
    <w:basedOn w:val="DefaultParagraphFont"/>
    <w:link w:val="Heading6"/>
    <w:rsid w:val="00802443"/>
    <w:rPr>
      <w:b/>
      <w:snapToGrid w:val="0"/>
      <w:kern w:val="28"/>
      <w:szCs w:val="20"/>
    </w:rPr>
  </w:style>
  <w:style w:type="character" w:customStyle="1" w:styleId="Heading7Char">
    <w:name w:val="Heading 7 Char"/>
    <w:basedOn w:val="DefaultParagraphFont"/>
    <w:link w:val="Heading7"/>
    <w:rsid w:val="00802443"/>
    <w:rPr>
      <w:b/>
      <w:snapToGrid w:val="0"/>
      <w:kern w:val="28"/>
      <w:szCs w:val="20"/>
    </w:rPr>
  </w:style>
  <w:style w:type="character" w:customStyle="1" w:styleId="Heading8Char">
    <w:name w:val="Heading 8 Char"/>
    <w:basedOn w:val="DefaultParagraphFont"/>
    <w:link w:val="Heading8"/>
    <w:rsid w:val="00802443"/>
    <w:rPr>
      <w:b/>
      <w:snapToGrid w:val="0"/>
      <w:kern w:val="28"/>
      <w:szCs w:val="20"/>
    </w:rPr>
  </w:style>
  <w:style w:type="character" w:customStyle="1" w:styleId="Heading9Char">
    <w:name w:val="Heading 9 Char"/>
    <w:basedOn w:val="DefaultParagraphFont"/>
    <w:link w:val="Heading9"/>
    <w:rsid w:val="00802443"/>
    <w:rPr>
      <w:b/>
      <w:snapToGrid w:val="0"/>
      <w:kern w:val="28"/>
      <w:szCs w:val="20"/>
    </w:rPr>
  </w:style>
  <w:style w:type="paragraph" w:styleId="EndnoteText">
    <w:name w:val="endnote text"/>
    <w:basedOn w:val="Normal"/>
    <w:link w:val="EndnoteTextChar"/>
    <w:semiHidden/>
    <w:locked/>
    <w:rsid w:val="00F9557C"/>
    <w:rPr>
      <w:sz w:val="20"/>
    </w:rPr>
  </w:style>
  <w:style w:type="character" w:customStyle="1" w:styleId="EndnoteTextChar">
    <w:name w:val="Endnote Text Char"/>
    <w:basedOn w:val="DefaultParagraphFont"/>
    <w:link w:val="EndnoteText"/>
    <w:semiHidden/>
    <w:rsid w:val="00802443"/>
    <w:rPr>
      <w:snapToGrid w:val="0"/>
      <w:kern w:val="28"/>
      <w:sz w:val="20"/>
      <w:szCs w:val="20"/>
    </w:rPr>
  </w:style>
  <w:style w:type="character" w:styleId="EndnoteReference">
    <w:name w:val="endnote reference"/>
    <w:semiHidden/>
    <w:locked/>
    <w:rsid w:val="00F9557C"/>
    <w:rPr>
      <w:vertAlign w:val="superscript"/>
    </w:rPr>
  </w:style>
  <w:style w:type="paragraph" w:styleId="TOC1">
    <w:name w:val="toc 1"/>
    <w:basedOn w:val="Normal"/>
    <w:next w:val="Normal"/>
    <w:rsid w:val="00F9557C"/>
    <w:pPr>
      <w:tabs>
        <w:tab w:val="left" w:pos="360"/>
        <w:tab w:val="right" w:leader="dot" w:pos="9360"/>
      </w:tabs>
      <w:suppressAutoHyphens/>
      <w:ind w:left="360" w:right="720" w:hanging="360"/>
    </w:pPr>
    <w:rPr>
      <w:caps/>
      <w:noProof/>
    </w:rPr>
  </w:style>
  <w:style w:type="paragraph" w:styleId="TOC2">
    <w:name w:val="toc 2"/>
    <w:basedOn w:val="Normal"/>
    <w:next w:val="Normal"/>
    <w:rsid w:val="00F9557C"/>
    <w:pPr>
      <w:tabs>
        <w:tab w:val="left" w:pos="720"/>
        <w:tab w:val="right" w:leader="dot" w:pos="9360"/>
      </w:tabs>
      <w:suppressAutoHyphens/>
      <w:ind w:left="720" w:right="720" w:hanging="360"/>
    </w:pPr>
    <w:rPr>
      <w:noProof/>
    </w:rPr>
  </w:style>
  <w:style w:type="paragraph" w:styleId="TOC3">
    <w:name w:val="toc 3"/>
    <w:basedOn w:val="Normal"/>
    <w:next w:val="Normal"/>
    <w:rsid w:val="00F9557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9557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9557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9557C"/>
    <w:pPr>
      <w:tabs>
        <w:tab w:val="left" w:pos="2160"/>
        <w:tab w:val="right" w:leader="dot" w:pos="9360"/>
      </w:tabs>
      <w:suppressAutoHyphens/>
      <w:ind w:left="2160" w:hanging="360"/>
    </w:pPr>
    <w:rPr>
      <w:noProof/>
    </w:rPr>
  </w:style>
  <w:style w:type="paragraph" w:styleId="TOC7">
    <w:name w:val="toc 7"/>
    <w:basedOn w:val="Normal"/>
    <w:next w:val="Normal"/>
    <w:autoRedefine/>
    <w:rsid w:val="00F9557C"/>
    <w:pPr>
      <w:tabs>
        <w:tab w:val="left" w:pos="2520"/>
        <w:tab w:val="right" w:leader="dot" w:pos="9360"/>
      </w:tabs>
      <w:suppressAutoHyphens/>
      <w:ind w:left="2520" w:hanging="360"/>
    </w:pPr>
    <w:rPr>
      <w:noProof/>
    </w:rPr>
  </w:style>
  <w:style w:type="paragraph" w:styleId="TOC8">
    <w:name w:val="toc 8"/>
    <w:basedOn w:val="Normal"/>
    <w:next w:val="Normal"/>
    <w:autoRedefine/>
    <w:rsid w:val="00F9557C"/>
    <w:pPr>
      <w:tabs>
        <w:tab w:val="left" w:pos="2880"/>
        <w:tab w:val="right" w:leader="dot" w:pos="9360"/>
      </w:tabs>
      <w:suppressAutoHyphens/>
      <w:ind w:left="2880" w:hanging="360"/>
    </w:pPr>
    <w:rPr>
      <w:noProof/>
    </w:rPr>
  </w:style>
  <w:style w:type="paragraph" w:styleId="TOC9">
    <w:name w:val="toc 9"/>
    <w:basedOn w:val="Normal"/>
    <w:next w:val="Normal"/>
    <w:autoRedefine/>
    <w:rsid w:val="00F9557C"/>
    <w:pPr>
      <w:tabs>
        <w:tab w:val="left" w:pos="3240"/>
        <w:tab w:val="right" w:leader="dot" w:pos="9360"/>
      </w:tabs>
      <w:suppressAutoHyphens/>
      <w:ind w:left="3240" w:hanging="360"/>
    </w:pPr>
    <w:rPr>
      <w:noProof/>
    </w:rPr>
  </w:style>
  <w:style w:type="paragraph" w:styleId="TOAHeading">
    <w:name w:val="toa heading"/>
    <w:basedOn w:val="Normal"/>
    <w:next w:val="Normal"/>
    <w:semiHidden/>
    <w:locked/>
    <w:rsid w:val="00F9557C"/>
    <w:pPr>
      <w:tabs>
        <w:tab w:val="right" w:pos="9360"/>
      </w:tabs>
      <w:suppressAutoHyphens/>
    </w:pPr>
  </w:style>
  <w:style w:type="character" w:customStyle="1" w:styleId="EquationCaption">
    <w:name w:val="_Equation Caption"/>
    <w:rsid w:val="00F9557C"/>
  </w:style>
  <w:style w:type="paragraph" w:styleId="BlockText">
    <w:name w:val="Block Text"/>
    <w:basedOn w:val="Normal"/>
    <w:locked/>
    <w:rsid w:val="00F9557C"/>
    <w:pPr>
      <w:spacing w:after="240"/>
      <w:ind w:left="1440" w:right="1440"/>
    </w:pPr>
  </w:style>
  <w:style w:type="paragraph" w:customStyle="1" w:styleId="Paratitle">
    <w:name w:val="Para title"/>
    <w:basedOn w:val="Normal"/>
    <w:rsid w:val="00F9557C"/>
    <w:pPr>
      <w:tabs>
        <w:tab w:val="center" w:pos="9270"/>
      </w:tabs>
      <w:spacing w:after="240"/>
    </w:pPr>
    <w:rPr>
      <w:spacing w:val="-2"/>
    </w:rPr>
  </w:style>
  <w:style w:type="paragraph" w:customStyle="1" w:styleId="Bullet">
    <w:name w:val="Bullet"/>
    <w:basedOn w:val="Normal"/>
    <w:rsid w:val="00F9557C"/>
    <w:pPr>
      <w:tabs>
        <w:tab w:val="left" w:pos="2160"/>
      </w:tabs>
      <w:spacing w:after="220"/>
      <w:ind w:left="2160" w:hanging="720"/>
    </w:pPr>
  </w:style>
  <w:style w:type="paragraph" w:customStyle="1" w:styleId="TableFormat">
    <w:name w:val="TableFormat"/>
    <w:basedOn w:val="Bullet"/>
    <w:rsid w:val="00F9557C"/>
    <w:pPr>
      <w:tabs>
        <w:tab w:val="clear" w:pos="2160"/>
        <w:tab w:val="left" w:pos="5040"/>
      </w:tabs>
      <w:ind w:left="5040" w:hanging="3600"/>
    </w:pPr>
  </w:style>
  <w:style w:type="paragraph" w:customStyle="1" w:styleId="TOCTitle">
    <w:name w:val="TOC Title"/>
    <w:basedOn w:val="Normal"/>
    <w:rsid w:val="00F955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557C"/>
    <w:pPr>
      <w:jc w:val="center"/>
    </w:pPr>
    <w:rPr>
      <w:rFonts w:ascii="Times New Roman Bold" w:hAnsi="Times New Roman Bold"/>
      <w:b/>
      <w:bCs/>
      <w:caps/>
      <w:szCs w:val="22"/>
    </w:rPr>
  </w:style>
  <w:style w:type="paragraph" w:styleId="DocumentMap">
    <w:name w:val="Document Map"/>
    <w:basedOn w:val="Normal"/>
    <w:link w:val="DocumentMapChar"/>
    <w:uiPriority w:val="99"/>
    <w:semiHidden/>
    <w:unhideWhenUsed/>
    <w:locked/>
    <w:rsid w:val="0052759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27598"/>
    <w:rPr>
      <w:rFonts w:ascii="Lucida Grande" w:hAnsi="Lucida Grande" w:cs="Lucida Grande"/>
      <w:snapToGrid w:val="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8537">
      <w:marLeft w:val="0"/>
      <w:marRight w:val="0"/>
      <w:marTop w:val="0"/>
      <w:marBottom w:val="0"/>
      <w:divBdr>
        <w:top w:val="none" w:sz="0" w:space="0" w:color="auto"/>
        <w:left w:val="none" w:sz="0" w:space="0" w:color="auto"/>
        <w:bottom w:val="none" w:sz="0" w:space="0" w:color="auto"/>
        <w:right w:val="none" w:sz="0" w:space="0" w:color="auto"/>
      </w:divBdr>
    </w:div>
    <w:div w:id="417989038">
      <w:bodyDiv w:val="1"/>
      <w:marLeft w:val="0"/>
      <w:marRight w:val="0"/>
      <w:marTop w:val="0"/>
      <w:marBottom w:val="0"/>
      <w:divBdr>
        <w:top w:val="none" w:sz="0" w:space="0" w:color="auto"/>
        <w:left w:val="none" w:sz="0" w:space="0" w:color="auto"/>
        <w:bottom w:val="none" w:sz="0" w:space="0" w:color="auto"/>
        <w:right w:val="none" w:sz="0" w:space="0" w:color="auto"/>
      </w:divBdr>
    </w:div>
    <w:div w:id="1211112808">
      <w:bodyDiv w:val="1"/>
      <w:marLeft w:val="0"/>
      <w:marRight w:val="0"/>
      <w:marTop w:val="0"/>
      <w:marBottom w:val="0"/>
      <w:divBdr>
        <w:top w:val="none" w:sz="0" w:space="0" w:color="auto"/>
        <w:left w:val="none" w:sz="0" w:space="0" w:color="auto"/>
        <w:bottom w:val="none" w:sz="0" w:space="0" w:color="auto"/>
        <w:right w:val="none" w:sz="0" w:space="0" w:color="auto"/>
      </w:divBdr>
    </w:div>
    <w:div w:id="16152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William.Kehoe@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Robert.Krinsky@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bert.Krinsky@fcc.gov" TargetMode="External"/><Relationship Id="rId25" Type="http://schemas.openxmlformats.org/officeDocument/2006/relationships/hyperlink" Target="mailto:Robert.Krinsky@fcc.gov" TargetMode="External"/><Relationship Id="rId2" Type="http://schemas.openxmlformats.org/officeDocument/2006/relationships/styles" Target="styles.xml"/><Relationship Id="rId16" Type="http://schemas.openxmlformats.org/officeDocument/2006/relationships/hyperlink" Target="mailto:William.Kehoe@fcc.gov" TargetMode="External"/><Relationship Id="rId20" Type="http://schemas.openxmlformats.org/officeDocument/2006/relationships/hyperlink" Target="mailto:William.Keho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William.Kehoe@fcc.gov" TargetMode="External"/><Relationship Id="rId5" Type="http://schemas.openxmlformats.org/officeDocument/2006/relationships/webSettings" Target="webSettings.xml"/><Relationship Id="rId15" Type="http://schemas.openxmlformats.org/officeDocument/2006/relationships/hyperlink" Target="mailto:Robert.Krinsky@fcc.gov" TargetMode="External"/><Relationship Id="rId23" Type="http://schemas.openxmlformats.org/officeDocument/2006/relationships/hyperlink" Target="mailto:Robert.Krinsky@fcc.gov" TargetMode="External"/><Relationship Id="rId10" Type="http://schemas.openxmlformats.org/officeDocument/2006/relationships/footer" Target="footer1.xml"/><Relationship Id="rId19" Type="http://schemas.openxmlformats.org/officeDocument/2006/relationships/hyperlink" Target="mailto:Robert.Krinsky@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illiam.Kehoe@fcc.gov" TargetMode="External"/><Relationship Id="rId22" Type="http://schemas.openxmlformats.org/officeDocument/2006/relationships/hyperlink" Target="mailto:William.Kehoe@fcc.gov"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5665</Words>
  <Characters>31082</Characters>
  <Application>Microsoft Office Word</Application>
  <DocSecurity>0</DocSecurity>
  <Lines>517</Lines>
  <Paragraphs>136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36949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2014-11-21T19:04:00Z</dcterms:created>
  <dcterms:modified xsi:type="dcterms:W3CDTF">2014-11-21T19:04:00Z</dcterms:modified>
  <cp:category> </cp:category>
  <cp:contentStatus> </cp:contentStatus>
</cp:coreProperties>
</file>