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F0852" w14:textId="77777777" w:rsidR="0002302F" w:rsidRDefault="0002302F">
      <w:pPr>
        <w:jc w:val="center"/>
        <w:rPr>
          <w:b/>
          <w:szCs w:val="22"/>
        </w:rPr>
      </w:pPr>
      <w:bookmarkStart w:id="0" w:name="_GoBack"/>
      <w:bookmarkEnd w:id="0"/>
      <w:r>
        <w:rPr>
          <w:b/>
          <w:szCs w:val="22"/>
        </w:rPr>
        <w:t>Before the</w:t>
      </w:r>
    </w:p>
    <w:p w14:paraId="753F1A3C" w14:textId="77777777" w:rsidR="0002302F" w:rsidRDefault="0002302F">
      <w:pPr>
        <w:jc w:val="center"/>
        <w:rPr>
          <w:b/>
          <w:szCs w:val="22"/>
        </w:rPr>
      </w:pPr>
      <w:r>
        <w:rPr>
          <w:b/>
          <w:szCs w:val="22"/>
        </w:rPr>
        <w:t>Federal Communications Commission</w:t>
      </w:r>
    </w:p>
    <w:p w14:paraId="10DE77F2" w14:textId="77777777" w:rsidR="0002302F" w:rsidRDefault="0002302F">
      <w:pPr>
        <w:jc w:val="center"/>
        <w:rPr>
          <w:b/>
          <w:szCs w:val="22"/>
        </w:rPr>
      </w:pPr>
      <w:r>
        <w:rPr>
          <w:b/>
          <w:szCs w:val="22"/>
        </w:rPr>
        <w:t>Washington, D.C. 20554</w:t>
      </w:r>
    </w:p>
    <w:p w14:paraId="41AC340A" w14:textId="77777777" w:rsidR="0002302F" w:rsidRDefault="0002302F">
      <w:pPr>
        <w:jc w:val="center"/>
        <w:rPr>
          <w:szCs w:val="22"/>
        </w:rPr>
      </w:pPr>
    </w:p>
    <w:p w14:paraId="06553529" w14:textId="77777777" w:rsidR="0002302F" w:rsidRDefault="0002302F">
      <w:pPr>
        <w:rPr>
          <w:szCs w:val="22"/>
        </w:rPr>
      </w:pPr>
    </w:p>
    <w:tbl>
      <w:tblPr>
        <w:tblW w:w="0" w:type="auto"/>
        <w:tblLayout w:type="fixed"/>
        <w:tblLook w:val="0000" w:firstRow="0" w:lastRow="0" w:firstColumn="0" w:lastColumn="0" w:noHBand="0" w:noVBand="0"/>
      </w:tblPr>
      <w:tblGrid>
        <w:gridCol w:w="4698"/>
        <w:gridCol w:w="720"/>
        <w:gridCol w:w="4230"/>
      </w:tblGrid>
      <w:tr w:rsidR="0002302F" w14:paraId="101CB8D3" w14:textId="77777777">
        <w:tc>
          <w:tcPr>
            <w:tcW w:w="4698" w:type="dxa"/>
          </w:tcPr>
          <w:p w14:paraId="0DE50AFD" w14:textId="77777777" w:rsidR="0002302F" w:rsidRDefault="00661875">
            <w:pPr>
              <w:ind w:right="-18"/>
              <w:rPr>
                <w:szCs w:val="22"/>
              </w:rPr>
            </w:pPr>
            <w:r>
              <w:rPr>
                <w:szCs w:val="22"/>
              </w:rPr>
              <w:t>In the M</w:t>
            </w:r>
            <w:r w:rsidR="0002302F">
              <w:rPr>
                <w:szCs w:val="22"/>
              </w:rPr>
              <w:t>atter of</w:t>
            </w:r>
          </w:p>
          <w:p w14:paraId="26E33C04" w14:textId="77777777" w:rsidR="0002302F" w:rsidRDefault="0002302F">
            <w:pPr>
              <w:ind w:right="-18"/>
              <w:rPr>
                <w:szCs w:val="22"/>
              </w:rPr>
            </w:pPr>
          </w:p>
          <w:p w14:paraId="76823074" w14:textId="77777777" w:rsidR="0002302F" w:rsidRDefault="0002302F">
            <w:pPr>
              <w:ind w:right="-18"/>
              <w:rPr>
                <w:szCs w:val="22"/>
              </w:rPr>
            </w:pPr>
            <w:r>
              <w:rPr>
                <w:szCs w:val="22"/>
              </w:rPr>
              <w:t xml:space="preserve">Universal Service High-Cost Filing </w:t>
            </w:r>
          </w:p>
          <w:p w14:paraId="7B89CB85" w14:textId="77777777" w:rsidR="0002302F" w:rsidRDefault="0002302F">
            <w:pPr>
              <w:ind w:right="-18"/>
              <w:rPr>
                <w:szCs w:val="22"/>
              </w:rPr>
            </w:pPr>
            <w:r>
              <w:rPr>
                <w:szCs w:val="22"/>
              </w:rPr>
              <w:t>Deadlines</w:t>
            </w:r>
          </w:p>
          <w:p w14:paraId="7051B768" w14:textId="77777777" w:rsidR="0002302F" w:rsidRDefault="0002302F">
            <w:pPr>
              <w:ind w:right="-18"/>
              <w:rPr>
                <w:szCs w:val="22"/>
              </w:rPr>
            </w:pPr>
          </w:p>
          <w:p w14:paraId="09F607FF" w14:textId="77777777" w:rsidR="0002302F" w:rsidRDefault="0002302F">
            <w:pPr>
              <w:ind w:right="-18"/>
              <w:rPr>
                <w:szCs w:val="22"/>
              </w:rPr>
            </w:pPr>
          </w:p>
        </w:tc>
        <w:tc>
          <w:tcPr>
            <w:tcW w:w="720" w:type="dxa"/>
          </w:tcPr>
          <w:p w14:paraId="3E9D74D0" w14:textId="77777777" w:rsidR="0002302F" w:rsidRDefault="0002302F">
            <w:pPr>
              <w:rPr>
                <w:b/>
                <w:szCs w:val="22"/>
              </w:rPr>
            </w:pPr>
            <w:r>
              <w:rPr>
                <w:b/>
                <w:szCs w:val="22"/>
              </w:rPr>
              <w:t>)</w:t>
            </w:r>
          </w:p>
          <w:p w14:paraId="39972BBA" w14:textId="77777777" w:rsidR="0002302F" w:rsidRDefault="0002302F">
            <w:pPr>
              <w:rPr>
                <w:b/>
                <w:szCs w:val="22"/>
              </w:rPr>
            </w:pPr>
            <w:r>
              <w:rPr>
                <w:b/>
                <w:szCs w:val="22"/>
              </w:rPr>
              <w:t>)</w:t>
            </w:r>
          </w:p>
          <w:p w14:paraId="77754214" w14:textId="77777777" w:rsidR="0002302F" w:rsidRDefault="0002302F">
            <w:pPr>
              <w:rPr>
                <w:b/>
                <w:szCs w:val="22"/>
              </w:rPr>
            </w:pPr>
            <w:r>
              <w:rPr>
                <w:b/>
                <w:szCs w:val="22"/>
              </w:rPr>
              <w:t>)</w:t>
            </w:r>
          </w:p>
          <w:p w14:paraId="6874EC5A" w14:textId="77777777" w:rsidR="0002302F" w:rsidRDefault="0002302F">
            <w:pPr>
              <w:rPr>
                <w:b/>
                <w:szCs w:val="22"/>
              </w:rPr>
            </w:pPr>
            <w:r>
              <w:rPr>
                <w:b/>
                <w:szCs w:val="22"/>
              </w:rPr>
              <w:t>)</w:t>
            </w:r>
          </w:p>
          <w:p w14:paraId="689C38E5" w14:textId="77777777" w:rsidR="0002302F" w:rsidRDefault="0002302F">
            <w:pPr>
              <w:rPr>
                <w:b/>
                <w:szCs w:val="22"/>
              </w:rPr>
            </w:pPr>
            <w:r>
              <w:rPr>
                <w:b/>
                <w:szCs w:val="22"/>
              </w:rPr>
              <w:t>)</w:t>
            </w:r>
          </w:p>
          <w:p w14:paraId="4C3FA13A" w14:textId="77777777" w:rsidR="0002302F" w:rsidRDefault="0002302F">
            <w:pPr>
              <w:rPr>
                <w:b/>
                <w:szCs w:val="22"/>
              </w:rPr>
            </w:pPr>
            <w:r>
              <w:rPr>
                <w:b/>
                <w:szCs w:val="22"/>
              </w:rPr>
              <w:t>)</w:t>
            </w:r>
          </w:p>
          <w:p w14:paraId="40190776" w14:textId="77777777" w:rsidR="0002302F" w:rsidRDefault="0002302F" w:rsidP="00661875">
            <w:pPr>
              <w:rPr>
                <w:b/>
                <w:szCs w:val="22"/>
              </w:rPr>
            </w:pPr>
          </w:p>
        </w:tc>
        <w:tc>
          <w:tcPr>
            <w:tcW w:w="4230" w:type="dxa"/>
          </w:tcPr>
          <w:p w14:paraId="1B400818" w14:textId="77777777" w:rsidR="0002302F" w:rsidRDefault="0002302F">
            <w:pPr>
              <w:rPr>
                <w:szCs w:val="22"/>
              </w:rPr>
            </w:pPr>
          </w:p>
          <w:p w14:paraId="02834C7A" w14:textId="77777777" w:rsidR="0002302F" w:rsidRDefault="0002302F">
            <w:pPr>
              <w:rPr>
                <w:szCs w:val="22"/>
              </w:rPr>
            </w:pPr>
          </w:p>
          <w:p w14:paraId="021989F0" w14:textId="77777777" w:rsidR="0002302F" w:rsidRDefault="0002302F">
            <w:pPr>
              <w:rPr>
                <w:szCs w:val="22"/>
              </w:rPr>
            </w:pPr>
            <w:r>
              <w:rPr>
                <w:szCs w:val="22"/>
              </w:rPr>
              <w:t>WC Docket No. 08-71</w:t>
            </w:r>
          </w:p>
          <w:p w14:paraId="28CD76B6" w14:textId="77777777" w:rsidR="0002302F" w:rsidRDefault="0002302F">
            <w:pPr>
              <w:rPr>
                <w:szCs w:val="22"/>
              </w:rPr>
            </w:pPr>
          </w:p>
          <w:p w14:paraId="6D4FE945" w14:textId="77777777" w:rsidR="0002302F" w:rsidRDefault="0002302F">
            <w:pPr>
              <w:rPr>
                <w:szCs w:val="22"/>
              </w:rPr>
            </w:pPr>
          </w:p>
          <w:p w14:paraId="2DB4E75D" w14:textId="77777777" w:rsidR="0002302F" w:rsidRDefault="0002302F">
            <w:pPr>
              <w:rPr>
                <w:szCs w:val="22"/>
              </w:rPr>
            </w:pPr>
          </w:p>
        </w:tc>
      </w:tr>
    </w:tbl>
    <w:p w14:paraId="38EB288E" w14:textId="77777777" w:rsidR="0002302F" w:rsidRDefault="0002302F">
      <w:pPr>
        <w:spacing w:before="120"/>
        <w:jc w:val="center"/>
        <w:rPr>
          <w:b/>
          <w:szCs w:val="22"/>
        </w:rPr>
      </w:pPr>
      <w:r>
        <w:rPr>
          <w:b/>
          <w:spacing w:val="-2"/>
          <w:szCs w:val="22"/>
        </w:rPr>
        <w:t>ORDER</w:t>
      </w:r>
    </w:p>
    <w:p w14:paraId="307FA861" w14:textId="77777777" w:rsidR="0002302F" w:rsidRDefault="0002302F">
      <w:pPr>
        <w:rPr>
          <w:szCs w:val="22"/>
        </w:rPr>
      </w:pPr>
    </w:p>
    <w:p w14:paraId="2C6B4E15" w14:textId="514E5D6E" w:rsidR="0002302F" w:rsidRDefault="0002302F">
      <w:pPr>
        <w:tabs>
          <w:tab w:val="left" w:pos="5760"/>
        </w:tabs>
        <w:rPr>
          <w:b/>
          <w:szCs w:val="22"/>
        </w:rPr>
      </w:pPr>
      <w:r>
        <w:rPr>
          <w:b/>
          <w:szCs w:val="22"/>
        </w:rPr>
        <w:t xml:space="preserve">Adopted:  </w:t>
      </w:r>
      <w:r w:rsidR="00302575">
        <w:rPr>
          <w:b/>
          <w:spacing w:val="-2"/>
          <w:szCs w:val="22"/>
        </w:rPr>
        <w:t>November 10, 2014</w:t>
      </w:r>
      <w:r>
        <w:rPr>
          <w:b/>
          <w:szCs w:val="22"/>
        </w:rPr>
        <w:tab/>
      </w:r>
      <w:r>
        <w:rPr>
          <w:b/>
          <w:szCs w:val="22"/>
        </w:rPr>
        <w:tab/>
        <w:t xml:space="preserve">Released:  </w:t>
      </w:r>
      <w:r w:rsidR="00302575">
        <w:rPr>
          <w:b/>
          <w:spacing w:val="-2"/>
          <w:szCs w:val="22"/>
        </w:rPr>
        <w:t>November 10, 2014</w:t>
      </w:r>
    </w:p>
    <w:p w14:paraId="2B9F41FD" w14:textId="77777777" w:rsidR="0002302F" w:rsidRDefault="0002302F">
      <w:pPr>
        <w:tabs>
          <w:tab w:val="left" w:pos="5760"/>
        </w:tabs>
        <w:rPr>
          <w:b/>
          <w:szCs w:val="22"/>
        </w:rPr>
      </w:pPr>
    </w:p>
    <w:p w14:paraId="17B34FE5" w14:textId="77777777" w:rsidR="00A67805" w:rsidRDefault="00A67805" w:rsidP="00A67805">
      <w:pPr>
        <w:tabs>
          <w:tab w:val="left" w:pos="5760"/>
        </w:tabs>
        <w:rPr>
          <w:spacing w:val="-2"/>
          <w:szCs w:val="22"/>
        </w:rPr>
      </w:pPr>
      <w:r>
        <w:rPr>
          <w:szCs w:val="22"/>
        </w:rPr>
        <w:t xml:space="preserve">By the Deputy Chief, </w:t>
      </w:r>
      <w:r>
        <w:rPr>
          <w:spacing w:val="-2"/>
          <w:szCs w:val="22"/>
        </w:rPr>
        <w:t>Wireline Competition Bureau:</w:t>
      </w:r>
    </w:p>
    <w:p w14:paraId="550CB485" w14:textId="77777777" w:rsidR="00161001" w:rsidRDefault="00161001">
      <w:pPr>
        <w:tabs>
          <w:tab w:val="left" w:pos="5760"/>
        </w:tabs>
        <w:rPr>
          <w:spacing w:val="-2"/>
          <w:szCs w:val="22"/>
        </w:rPr>
      </w:pPr>
    </w:p>
    <w:p w14:paraId="63763239" w14:textId="77777777" w:rsidR="00161001" w:rsidRPr="00161001" w:rsidRDefault="00161001" w:rsidP="00161001">
      <w:pPr>
        <w:pStyle w:val="Heading1"/>
        <w:widowControl/>
        <w:rPr>
          <w:b w:val="0"/>
          <w:szCs w:val="22"/>
        </w:rPr>
      </w:pPr>
      <w:r>
        <w:rPr>
          <w:szCs w:val="22"/>
        </w:rPr>
        <w:t>introduction</w:t>
      </w:r>
    </w:p>
    <w:p w14:paraId="4871A1BA" w14:textId="77777777" w:rsidR="0002302F" w:rsidRDefault="0002302F">
      <w:pPr>
        <w:pStyle w:val="ParaNum"/>
        <w:widowControl/>
        <w:jc w:val="left"/>
        <w:rPr>
          <w:szCs w:val="22"/>
        </w:rPr>
      </w:pPr>
      <w:r>
        <w:rPr>
          <w:szCs w:val="22"/>
        </w:rPr>
        <w:t xml:space="preserve">In this Order, </w:t>
      </w:r>
      <w:r w:rsidR="00A67805">
        <w:rPr>
          <w:szCs w:val="22"/>
        </w:rPr>
        <w:t>the Wireline</w:t>
      </w:r>
      <w:r w:rsidR="00323DC2">
        <w:rPr>
          <w:szCs w:val="22"/>
        </w:rPr>
        <w:t xml:space="preserve"> </w:t>
      </w:r>
      <w:r w:rsidR="00A67805">
        <w:rPr>
          <w:szCs w:val="22"/>
        </w:rPr>
        <w:t xml:space="preserve">Competition Bureau </w:t>
      </w:r>
      <w:r w:rsidR="002D3B03">
        <w:rPr>
          <w:szCs w:val="22"/>
        </w:rPr>
        <w:t>(Bureau)</w:t>
      </w:r>
      <w:r>
        <w:rPr>
          <w:szCs w:val="22"/>
        </w:rPr>
        <w:t xml:space="preserve"> </w:t>
      </w:r>
      <w:r w:rsidR="00B603CF">
        <w:rPr>
          <w:szCs w:val="22"/>
        </w:rPr>
        <w:t>den</w:t>
      </w:r>
      <w:r w:rsidR="00A67805">
        <w:rPr>
          <w:szCs w:val="22"/>
        </w:rPr>
        <w:t>ies</w:t>
      </w:r>
      <w:r w:rsidR="00B603CF">
        <w:rPr>
          <w:szCs w:val="22"/>
        </w:rPr>
        <w:t xml:space="preserve"> </w:t>
      </w:r>
      <w:r w:rsidR="00F33C68">
        <w:rPr>
          <w:szCs w:val="22"/>
        </w:rPr>
        <w:t xml:space="preserve">a </w:t>
      </w:r>
      <w:r w:rsidR="00B603CF">
        <w:rPr>
          <w:szCs w:val="22"/>
        </w:rPr>
        <w:t>petition</w:t>
      </w:r>
      <w:r>
        <w:rPr>
          <w:szCs w:val="22"/>
        </w:rPr>
        <w:t xml:space="preserve"> filed by </w:t>
      </w:r>
      <w:r w:rsidR="00B603CF">
        <w:rPr>
          <w:szCs w:val="22"/>
        </w:rPr>
        <w:t>Madison Telephone Company</w:t>
      </w:r>
      <w:r>
        <w:rPr>
          <w:szCs w:val="22"/>
        </w:rPr>
        <w:t xml:space="preserve"> (</w:t>
      </w:r>
      <w:r w:rsidR="00B603CF">
        <w:rPr>
          <w:szCs w:val="22"/>
        </w:rPr>
        <w:t>Madison</w:t>
      </w:r>
      <w:r>
        <w:rPr>
          <w:szCs w:val="22"/>
        </w:rPr>
        <w:t xml:space="preserve">) </w:t>
      </w:r>
      <w:r w:rsidR="00B603CF">
        <w:rPr>
          <w:szCs w:val="22"/>
        </w:rPr>
        <w:t xml:space="preserve">for a waiver of sections 36.612(a)(2), 54.305(d)(2), and 54.305(f) </w:t>
      </w:r>
      <w:r>
        <w:rPr>
          <w:szCs w:val="22"/>
        </w:rPr>
        <w:t>of the Commission’s rules, which require a</w:t>
      </w:r>
      <w:r w:rsidR="00B603CF">
        <w:rPr>
          <w:szCs w:val="22"/>
        </w:rPr>
        <w:t>n</w:t>
      </w:r>
      <w:r>
        <w:rPr>
          <w:szCs w:val="22"/>
        </w:rPr>
        <w:t xml:space="preserve"> eligible telecommunications carrier (ETC) </w:t>
      </w:r>
      <w:r w:rsidR="003F7CF0">
        <w:rPr>
          <w:szCs w:val="22"/>
        </w:rPr>
        <w:t xml:space="preserve">that </w:t>
      </w:r>
      <w:r w:rsidR="002441FE">
        <w:rPr>
          <w:szCs w:val="22"/>
        </w:rPr>
        <w:t xml:space="preserve">opts to establish a calendar quarter </w:t>
      </w:r>
      <w:r w:rsidR="00F44D2E">
        <w:rPr>
          <w:shd w:val="clear" w:color="auto" w:fill="FFFFFF"/>
        </w:rPr>
        <w:t>index year expense adjustment</w:t>
      </w:r>
      <w:r w:rsidR="00F44D2E">
        <w:rPr>
          <w:szCs w:val="22"/>
        </w:rPr>
        <w:t xml:space="preserve"> </w:t>
      </w:r>
      <w:r w:rsidR="00653BA1">
        <w:rPr>
          <w:szCs w:val="22"/>
        </w:rPr>
        <w:t xml:space="preserve">for </w:t>
      </w:r>
      <w:r w:rsidR="003F7CF0">
        <w:rPr>
          <w:szCs w:val="22"/>
        </w:rPr>
        <w:t>Safety Valve Support (SVS)</w:t>
      </w:r>
      <w:r w:rsidR="002441FE">
        <w:rPr>
          <w:szCs w:val="22"/>
        </w:rPr>
        <w:t xml:space="preserve"> </w:t>
      </w:r>
      <w:r>
        <w:rPr>
          <w:szCs w:val="22"/>
        </w:rPr>
        <w:t xml:space="preserve">to </w:t>
      </w:r>
      <w:r w:rsidR="002441FE">
        <w:rPr>
          <w:szCs w:val="22"/>
        </w:rPr>
        <w:t>make filings</w:t>
      </w:r>
      <w:r>
        <w:rPr>
          <w:szCs w:val="22"/>
        </w:rPr>
        <w:t xml:space="preserve"> on a quarterly bas</w:t>
      </w:r>
      <w:r w:rsidR="002441FE">
        <w:rPr>
          <w:szCs w:val="22"/>
        </w:rPr>
        <w:t>is</w:t>
      </w:r>
      <w:r>
        <w:rPr>
          <w:szCs w:val="22"/>
        </w:rPr>
        <w:t>.</w:t>
      </w:r>
      <w:r>
        <w:rPr>
          <w:rStyle w:val="FootnoteReference"/>
          <w:szCs w:val="22"/>
        </w:rPr>
        <w:footnoteReference w:id="2"/>
      </w:r>
      <w:r>
        <w:rPr>
          <w:szCs w:val="22"/>
        </w:rPr>
        <w:t xml:space="preserve">  </w:t>
      </w:r>
      <w:r w:rsidR="00FE6477">
        <w:rPr>
          <w:szCs w:val="22"/>
        </w:rPr>
        <w:t>Madison has not shown good cause for a waiver</w:t>
      </w:r>
      <w:r w:rsidR="000C6055">
        <w:rPr>
          <w:szCs w:val="22"/>
        </w:rPr>
        <w:t xml:space="preserve"> or</w:t>
      </w:r>
      <w:r w:rsidR="00FE6477">
        <w:rPr>
          <w:szCs w:val="22"/>
        </w:rPr>
        <w:t xml:space="preserve"> that waiver of the Commission’s rules is necessary to advance the public interest.</w:t>
      </w:r>
      <w:r w:rsidR="00FE6477">
        <w:rPr>
          <w:rStyle w:val="FootnoteReference"/>
          <w:szCs w:val="22"/>
        </w:rPr>
        <w:footnoteReference w:id="3"/>
      </w:r>
      <w:r>
        <w:rPr>
          <w:szCs w:val="22"/>
        </w:rPr>
        <w:t xml:space="preserve">  Accordingly, we </w:t>
      </w:r>
      <w:r w:rsidR="00FE6477">
        <w:rPr>
          <w:szCs w:val="22"/>
        </w:rPr>
        <w:t>deny Madison’s petition</w:t>
      </w:r>
      <w:r>
        <w:rPr>
          <w:szCs w:val="22"/>
        </w:rPr>
        <w:t xml:space="preserve">.  </w:t>
      </w:r>
    </w:p>
    <w:p w14:paraId="4A56416C" w14:textId="77777777" w:rsidR="0002302F" w:rsidRDefault="0002302F">
      <w:pPr>
        <w:pStyle w:val="Heading1"/>
        <w:widowControl/>
        <w:rPr>
          <w:szCs w:val="22"/>
        </w:rPr>
      </w:pPr>
      <w:r>
        <w:rPr>
          <w:szCs w:val="22"/>
        </w:rPr>
        <w:t>background</w:t>
      </w:r>
    </w:p>
    <w:p w14:paraId="6A18B8CE" w14:textId="77777777" w:rsidR="001437F6" w:rsidRPr="00344BB7" w:rsidRDefault="00AC1A34" w:rsidP="00344BB7">
      <w:pPr>
        <w:pStyle w:val="ParaNum"/>
        <w:jc w:val="left"/>
        <w:rPr>
          <w:color w:val="000000"/>
          <w:szCs w:val="22"/>
          <w:shd w:val="clear" w:color="auto" w:fill="FFFFFF"/>
        </w:rPr>
      </w:pPr>
      <w:r>
        <w:t xml:space="preserve">The Commission </w:t>
      </w:r>
      <w:r w:rsidR="00EA1B23">
        <w:t>adopted</w:t>
      </w:r>
      <w:r>
        <w:t xml:space="preserve"> SVS in 2001 </w:t>
      </w:r>
      <w:r w:rsidR="001437F6" w:rsidRPr="002767A9">
        <w:rPr>
          <w:shd w:val="clear" w:color="auto" w:fill="FFFFFF"/>
        </w:rPr>
        <w:t>to</w:t>
      </w:r>
      <w:r w:rsidR="002767A9" w:rsidRPr="002767A9">
        <w:rPr>
          <w:shd w:val="clear" w:color="auto" w:fill="FFFFFF"/>
        </w:rPr>
        <w:t xml:space="preserve"> </w:t>
      </w:r>
      <w:r w:rsidR="00A20C7E">
        <w:rPr>
          <w:shd w:val="clear" w:color="auto" w:fill="FFFFFF"/>
        </w:rPr>
        <w:t>allow</w:t>
      </w:r>
      <w:r w:rsidR="00A20C7E" w:rsidRPr="002767A9">
        <w:rPr>
          <w:shd w:val="clear" w:color="auto" w:fill="FFFFFF"/>
        </w:rPr>
        <w:t xml:space="preserve"> </w:t>
      </w:r>
      <w:r w:rsidR="002767A9" w:rsidRPr="002767A9">
        <w:rPr>
          <w:shd w:val="clear" w:color="auto" w:fill="FFFFFF"/>
        </w:rPr>
        <w:t>rural carrier</w:t>
      </w:r>
      <w:r w:rsidR="00EA1B23">
        <w:rPr>
          <w:shd w:val="clear" w:color="auto" w:fill="FFFFFF"/>
        </w:rPr>
        <w:t>s</w:t>
      </w:r>
      <w:r w:rsidR="001437F6" w:rsidRPr="002767A9">
        <w:rPr>
          <w:shd w:val="clear" w:color="auto" w:fill="FFFFFF"/>
        </w:rPr>
        <w:t xml:space="preserve"> </w:t>
      </w:r>
      <w:r w:rsidR="002767A9" w:rsidRPr="002767A9">
        <w:rPr>
          <w:shd w:val="clear" w:color="auto" w:fill="FFFFFF"/>
        </w:rPr>
        <w:t xml:space="preserve">to </w:t>
      </w:r>
      <w:r w:rsidR="001437F6" w:rsidRPr="002767A9">
        <w:rPr>
          <w:shd w:val="clear" w:color="auto" w:fill="FFFFFF"/>
        </w:rPr>
        <w:t>receive additional high-cost loop support to improve the service</w:t>
      </w:r>
      <w:r>
        <w:rPr>
          <w:shd w:val="clear" w:color="auto" w:fill="FFFFFF"/>
        </w:rPr>
        <w:t xml:space="preserve"> and </w:t>
      </w:r>
      <w:r w:rsidRPr="002767A9">
        <w:rPr>
          <w:shd w:val="clear" w:color="auto" w:fill="FFFFFF"/>
        </w:rPr>
        <w:t>enhance the infrastructure</w:t>
      </w:r>
      <w:r>
        <w:rPr>
          <w:shd w:val="clear" w:color="auto" w:fill="FFFFFF"/>
        </w:rPr>
        <w:t xml:space="preserve"> of </w:t>
      </w:r>
      <w:r w:rsidR="001437F6" w:rsidRPr="002767A9">
        <w:rPr>
          <w:shd w:val="clear" w:color="auto" w:fill="FFFFFF"/>
        </w:rPr>
        <w:t>acquired exchanges.</w:t>
      </w:r>
      <w:r w:rsidR="006D071F">
        <w:rPr>
          <w:rStyle w:val="FootnoteReference"/>
          <w:color w:val="000000"/>
          <w:szCs w:val="22"/>
          <w:shd w:val="clear" w:color="auto" w:fill="FFFFFF"/>
        </w:rPr>
        <w:footnoteReference w:id="4"/>
      </w:r>
      <w:r w:rsidR="00E9261C">
        <w:rPr>
          <w:shd w:val="clear" w:color="auto" w:fill="FFFFFF"/>
        </w:rPr>
        <w:t xml:space="preserve">  </w:t>
      </w:r>
      <w:r w:rsidR="00EA1B23">
        <w:rPr>
          <w:shd w:val="clear" w:color="auto" w:fill="FFFFFF"/>
        </w:rPr>
        <w:t>To receive</w:t>
      </w:r>
      <w:r w:rsidR="00A80508">
        <w:rPr>
          <w:shd w:val="clear" w:color="auto" w:fill="FFFFFF"/>
        </w:rPr>
        <w:t xml:space="preserve"> SVS</w:t>
      </w:r>
      <w:r w:rsidR="00514183">
        <w:rPr>
          <w:shd w:val="clear" w:color="auto" w:fill="FFFFFF"/>
        </w:rPr>
        <w:t xml:space="preserve">, the Commission </w:t>
      </w:r>
      <w:r w:rsidR="00A80508">
        <w:rPr>
          <w:shd w:val="clear" w:color="auto" w:fill="FFFFFF"/>
        </w:rPr>
        <w:t xml:space="preserve">required carriers to establish </w:t>
      </w:r>
      <w:r w:rsidR="00A80508">
        <w:rPr>
          <w:color w:val="000000"/>
          <w:szCs w:val="22"/>
          <w:shd w:val="clear" w:color="auto" w:fill="FFFFFF"/>
        </w:rPr>
        <w:t>in accordance with section 36.611 or section 36.612 of the Commission’s rules</w:t>
      </w:r>
      <w:r w:rsidR="00A80508">
        <w:rPr>
          <w:shd w:val="clear" w:color="auto" w:fill="FFFFFF"/>
        </w:rPr>
        <w:t xml:space="preserve"> </w:t>
      </w:r>
      <w:r w:rsidR="00514183">
        <w:rPr>
          <w:shd w:val="clear" w:color="auto" w:fill="FFFFFF"/>
        </w:rPr>
        <w:t xml:space="preserve">an “index year expense adjustment” (index year) for purposes of determining </w:t>
      </w:r>
      <w:r w:rsidR="00457880">
        <w:rPr>
          <w:shd w:val="clear" w:color="auto" w:fill="FFFFFF"/>
        </w:rPr>
        <w:t xml:space="preserve">the </w:t>
      </w:r>
      <w:r w:rsidR="00514183">
        <w:rPr>
          <w:shd w:val="clear" w:color="auto" w:fill="FFFFFF"/>
        </w:rPr>
        <w:t xml:space="preserve"> SVS for acquired exchanges.</w:t>
      </w:r>
      <w:r w:rsidR="00514183">
        <w:rPr>
          <w:rStyle w:val="FootnoteReference"/>
          <w:shd w:val="clear" w:color="auto" w:fill="FFFFFF"/>
        </w:rPr>
        <w:footnoteReference w:id="5"/>
      </w:r>
      <w:r w:rsidR="00514183">
        <w:rPr>
          <w:shd w:val="clear" w:color="auto" w:fill="FFFFFF"/>
        </w:rPr>
        <w:t xml:space="preserve">  The Commission defined the SVS index year as </w:t>
      </w:r>
      <w:r w:rsidR="00514183" w:rsidRPr="00514183">
        <w:rPr>
          <w:color w:val="000000"/>
          <w:szCs w:val="22"/>
          <w:shd w:val="clear" w:color="auto" w:fill="FFFFFF"/>
        </w:rPr>
        <w:t>the high-cost loop support expense adjustment for the acquired</w:t>
      </w:r>
      <w:r w:rsidR="00514183">
        <w:rPr>
          <w:color w:val="000000"/>
          <w:szCs w:val="22"/>
          <w:shd w:val="clear" w:color="auto" w:fill="FFFFFF"/>
        </w:rPr>
        <w:t xml:space="preserve"> </w:t>
      </w:r>
      <w:r w:rsidR="00514183" w:rsidRPr="00514183">
        <w:rPr>
          <w:color w:val="000000"/>
          <w:szCs w:val="22"/>
          <w:shd w:val="clear" w:color="auto" w:fill="FFFFFF"/>
        </w:rPr>
        <w:t>exchanges calculated at the end of the company’s first year operating the exchanges</w:t>
      </w:r>
      <w:r>
        <w:rPr>
          <w:color w:val="000000"/>
          <w:szCs w:val="22"/>
          <w:shd w:val="clear" w:color="auto" w:fill="FFFFFF"/>
        </w:rPr>
        <w:t>.</w:t>
      </w:r>
      <w:r>
        <w:rPr>
          <w:rStyle w:val="FootnoteReference"/>
          <w:color w:val="000000"/>
          <w:szCs w:val="22"/>
          <w:shd w:val="clear" w:color="auto" w:fill="FFFFFF"/>
        </w:rPr>
        <w:footnoteReference w:id="6"/>
      </w:r>
      <w:r>
        <w:rPr>
          <w:color w:val="000000"/>
          <w:szCs w:val="22"/>
          <w:shd w:val="clear" w:color="auto" w:fill="FFFFFF"/>
        </w:rPr>
        <w:t xml:space="preserve">  </w:t>
      </w:r>
      <w:r w:rsidR="000B606B">
        <w:rPr>
          <w:color w:val="000000"/>
          <w:szCs w:val="22"/>
          <w:shd w:val="clear" w:color="auto" w:fill="FFFFFF"/>
        </w:rPr>
        <w:t>Pursuant to section 36.611</w:t>
      </w:r>
      <w:r w:rsidR="00E9261C">
        <w:rPr>
          <w:color w:val="000000"/>
          <w:szCs w:val="22"/>
          <w:shd w:val="clear" w:color="auto" w:fill="FFFFFF"/>
        </w:rPr>
        <w:t>,</w:t>
      </w:r>
      <w:r w:rsidR="000B606B">
        <w:rPr>
          <w:color w:val="000000"/>
          <w:szCs w:val="22"/>
          <w:shd w:val="clear" w:color="auto" w:fill="FFFFFF"/>
        </w:rPr>
        <w:t xml:space="preserve"> carriers submi</w:t>
      </w:r>
      <w:r w:rsidR="00E9261C">
        <w:rPr>
          <w:color w:val="000000"/>
          <w:szCs w:val="22"/>
          <w:shd w:val="clear" w:color="auto" w:fill="FFFFFF"/>
        </w:rPr>
        <w:t>t</w:t>
      </w:r>
      <w:r w:rsidR="000B606B">
        <w:rPr>
          <w:color w:val="000000"/>
          <w:szCs w:val="22"/>
          <w:shd w:val="clear" w:color="auto" w:fill="FFFFFF"/>
        </w:rPr>
        <w:t>t</w:t>
      </w:r>
      <w:r w:rsidR="00E9261C">
        <w:rPr>
          <w:color w:val="000000"/>
          <w:szCs w:val="22"/>
          <w:shd w:val="clear" w:color="auto" w:fill="FFFFFF"/>
        </w:rPr>
        <w:t>ed</w:t>
      </w:r>
      <w:r w:rsidR="000B606B">
        <w:rPr>
          <w:color w:val="000000"/>
          <w:szCs w:val="22"/>
          <w:shd w:val="clear" w:color="auto" w:fill="FFFFFF"/>
        </w:rPr>
        <w:t xml:space="preserve"> loop cost data to the National Exchange Carrier Association (NECA) on an annual bas</w:t>
      </w:r>
      <w:r w:rsidR="00E9261C">
        <w:rPr>
          <w:color w:val="000000"/>
          <w:szCs w:val="22"/>
          <w:shd w:val="clear" w:color="auto" w:fill="FFFFFF"/>
        </w:rPr>
        <w:t>is and established an index year for the acquired exchange(s) at the beginning of the next calendar year after the transfer of said exchanges.</w:t>
      </w:r>
      <w:r w:rsidR="00E9261C">
        <w:rPr>
          <w:rStyle w:val="FootnoteReference"/>
          <w:color w:val="000000"/>
          <w:szCs w:val="22"/>
          <w:shd w:val="clear" w:color="auto" w:fill="FFFFFF"/>
        </w:rPr>
        <w:footnoteReference w:id="7"/>
      </w:r>
      <w:r w:rsidR="00E9261C">
        <w:rPr>
          <w:color w:val="000000"/>
          <w:szCs w:val="22"/>
          <w:shd w:val="clear" w:color="auto" w:fill="FFFFFF"/>
        </w:rPr>
        <w:t xml:space="preserve">  </w:t>
      </w:r>
      <w:r w:rsidR="00E9261C">
        <w:rPr>
          <w:color w:val="000000"/>
          <w:szCs w:val="22"/>
          <w:shd w:val="clear" w:color="auto" w:fill="FFFFFF"/>
        </w:rPr>
        <w:lastRenderedPageBreak/>
        <w:t xml:space="preserve">However, carriers that sought to receive SVS closer </w:t>
      </w:r>
      <w:r w:rsidR="00457880">
        <w:rPr>
          <w:color w:val="000000"/>
          <w:szCs w:val="22"/>
          <w:shd w:val="clear" w:color="auto" w:fill="FFFFFF"/>
        </w:rPr>
        <w:t xml:space="preserve">in time </w:t>
      </w:r>
      <w:r w:rsidR="00E9261C">
        <w:rPr>
          <w:color w:val="000000"/>
          <w:szCs w:val="22"/>
          <w:shd w:val="clear" w:color="auto" w:fill="FFFFFF"/>
        </w:rPr>
        <w:t>to the acquisition of an exchange(s) had the option to submit loop cost data to NECA on a quarterly basis pursuant to section 36.612.</w:t>
      </w:r>
      <w:r w:rsidR="00E9261C">
        <w:rPr>
          <w:rStyle w:val="FootnoteReference"/>
          <w:color w:val="000000"/>
          <w:szCs w:val="22"/>
          <w:shd w:val="clear" w:color="auto" w:fill="FFFFFF"/>
        </w:rPr>
        <w:footnoteReference w:id="8"/>
      </w:r>
      <w:r w:rsidR="00E9261C">
        <w:rPr>
          <w:color w:val="000000"/>
          <w:szCs w:val="22"/>
          <w:shd w:val="clear" w:color="auto" w:fill="FFFFFF"/>
        </w:rPr>
        <w:t xml:space="preserve">  For carriers that elected to establish an index year pursuant to section 36.612, the index year for the acquired exchange(s) commen</w:t>
      </w:r>
      <w:r w:rsidR="00D204CC">
        <w:rPr>
          <w:color w:val="000000"/>
          <w:szCs w:val="22"/>
          <w:shd w:val="clear" w:color="auto" w:fill="FFFFFF"/>
        </w:rPr>
        <w:t>c</w:t>
      </w:r>
      <w:r w:rsidR="00E9261C">
        <w:rPr>
          <w:color w:val="000000"/>
          <w:szCs w:val="22"/>
          <w:shd w:val="clear" w:color="auto" w:fill="FFFFFF"/>
        </w:rPr>
        <w:t xml:space="preserve">ed at the beginning of the next calendar quarter after the </w:t>
      </w:r>
      <w:r w:rsidR="00D204CC">
        <w:rPr>
          <w:color w:val="000000"/>
          <w:szCs w:val="22"/>
          <w:shd w:val="clear" w:color="auto" w:fill="FFFFFF"/>
        </w:rPr>
        <w:t>transfer of said exchanges.</w:t>
      </w:r>
      <w:r w:rsidR="00D204CC">
        <w:rPr>
          <w:rStyle w:val="FootnoteReference"/>
          <w:color w:val="000000"/>
          <w:szCs w:val="22"/>
          <w:shd w:val="clear" w:color="auto" w:fill="FFFFFF"/>
        </w:rPr>
        <w:footnoteReference w:id="9"/>
      </w:r>
      <w:r w:rsidR="00D204CC">
        <w:rPr>
          <w:color w:val="000000"/>
          <w:szCs w:val="22"/>
          <w:shd w:val="clear" w:color="auto" w:fill="FFFFFF"/>
        </w:rPr>
        <w:t xml:space="preserve">  An acquiring carrier that voluntarily elected to establish an index year pursuant to section 3</w:t>
      </w:r>
      <w:r w:rsidR="00344BB7">
        <w:rPr>
          <w:color w:val="000000"/>
          <w:szCs w:val="22"/>
          <w:shd w:val="clear" w:color="auto" w:fill="FFFFFF"/>
        </w:rPr>
        <w:t>6.612</w:t>
      </w:r>
      <w:r w:rsidR="00D204CC">
        <w:rPr>
          <w:color w:val="000000"/>
          <w:szCs w:val="22"/>
          <w:shd w:val="clear" w:color="auto" w:fill="FFFFFF"/>
        </w:rPr>
        <w:t xml:space="preserve"> was required to submit an expense adjustment for the acquired exchanges in subsequent years that ended on the same calendar quarter.</w:t>
      </w:r>
      <w:r w:rsidR="00D204CC">
        <w:rPr>
          <w:rStyle w:val="FootnoteReference"/>
          <w:color w:val="000000"/>
          <w:szCs w:val="22"/>
          <w:shd w:val="clear" w:color="auto" w:fill="FFFFFF"/>
        </w:rPr>
        <w:footnoteReference w:id="10"/>
      </w:r>
      <w:r w:rsidR="00344BB7">
        <w:rPr>
          <w:color w:val="000000"/>
          <w:szCs w:val="22"/>
          <w:shd w:val="clear" w:color="auto" w:fill="FFFFFF"/>
        </w:rPr>
        <w:t xml:space="preserve">  </w:t>
      </w:r>
      <w:r w:rsidR="00C22BA7">
        <w:rPr>
          <w:color w:val="000000"/>
          <w:szCs w:val="22"/>
          <w:shd w:val="clear" w:color="auto" w:fill="FFFFFF"/>
        </w:rPr>
        <w:t>The Commission made clear that establishing an index year pursuant to section 36.612 required “submitting loop cost data for acquired exchanges on a quarterly, as opposed to annu</w:t>
      </w:r>
      <w:r w:rsidR="004C25AC">
        <w:rPr>
          <w:color w:val="000000"/>
          <w:szCs w:val="22"/>
          <w:shd w:val="clear" w:color="auto" w:fill="FFFFFF"/>
        </w:rPr>
        <w:t>a</w:t>
      </w:r>
      <w:r w:rsidR="00C22BA7">
        <w:rPr>
          <w:color w:val="000000"/>
          <w:szCs w:val="22"/>
          <w:shd w:val="clear" w:color="auto" w:fill="FFFFFF"/>
        </w:rPr>
        <w:t>l, basis.”</w:t>
      </w:r>
      <w:r w:rsidR="00344BB7">
        <w:rPr>
          <w:rStyle w:val="FootnoteReference"/>
          <w:color w:val="000000"/>
          <w:szCs w:val="22"/>
          <w:shd w:val="clear" w:color="auto" w:fill="FFFFFF"/>
        </w:rPr>
        <w:footnoteReference w:id="11"/>
      </w:r>
    </w:p>
    <w:p w14:paraId="5176983E" w14:textId="77777777" w:rsidR="001437F6" w:rsidRDefault="00344BB7">
      <w:pPr>
        <w:pStyle w:val="ParaNum"/>
        <w:autoSpaceDE w:val="0"/>
        <w:autoSpaceDN w:val="0"/>
        <w:adjustRightInd w:val="0"/>
        <w:jc w:val="left"/>
        <w:rPr>
          <w:szCs w:val="22"/>
        </w:rPr>
      </w:pPr>
      <w:r>
        <w:rPr>
          <w:szCs w:val="22"/>
        </w:rPr>
        <w:t>Madison, a rural Illinois carrier, acquired two exchanges from an unaffiliated carrier in May 2001</w:t>
      </w:r>
      <w:r w:rsidR="005507F6">
        <w:rPr>
          <w:szCs w:val="22"/>
        </w:rPr>
        <w:t xml:space="preserve"> </w:t>
      </w:r>
      <w:r w:rsidR="001837A8">
        <w:rPr>
          <w:szCs w:val="22"/>
        </w:rPr>
        <w:t>and has made investments in facilities in those exchanges</w:t>
      </w:r>
      <w:r w:rsidR="005507F6">
        <w:rPr>
          <w:szCs w:val="22"/>
        </w:rPr>
        <w:t>.</w:t>
      </w:r>
      <w:r w:rsidR="00457880" w:rsidRPr="00457880">
        <w:rPr>
          <w:rStyle w:val="FootnoteReference"/>
          <w:szCs w:val="22"/>
        </w:rPr>
        <w:t xml:space="preserve"> </w:t>
      </w:r>
      <w:r w:rsidR="00457880">
        <w:rPr>
          <w:rStyle w:val="FootnoteReference"/>
          <w:szCs w:val="22"/>
        </w:rPr>
        <w:footnoteReference w:id="12"/>
      </w:r>
      <w:r w:rsidR="00C20E3D">
        <w:rPr>
          <w:szCs w:val="22"/>
        </w:rPr>
        <w:t xml:space="preserve">  Pursuant to section 54.305(f) of the Commission’s rules, on July 2, 2001, Madison provided notification to NECA, the Universal Service Administrative Company (USAC), and the Commission that Madison had acquired two exchanges that were eligible for SVS.</w:t>
      </w:r>
      <w:r w:rsidR="00C20E3D">
        <w:rPr>
          <w:rStyle w:val="FootnoteReference"/>
          <w:szCs w:val="22"/>
        </w:rPr>
        <w:footnoteReference w:id="13"/>
      </w:r>
      <w:r w:rsidR="001911EE">
        <w:rPr>
          <w:szCs w:val="22"/>
        </w:rPr>
        <w:t xml:space="preserve">  Madison opted to establish a quarterly index </w:t>
      </w:r>
      <w:r w:rsidR="00A015CB">
        <w:rPr>
          <w:szCs w:val="22"/>
        </w:rPr>
        <w:t>year</w:t>
      </w:r>
      <w:r w:rsidR="001911EE">
        <w:rPr>
          <w:szCs w:val="22"/>
        </w:rPr>
        <w:t xml:space="preserve"> expense adjustment in the first quarter after the close of the acquisition of the two exchanges, which was July 1, 2001 and ended on June 30, 2002</w:t>
      </w:r>
      <w:r w:rsidR="00656311">
        <w:rPr>
          <w:szCs w:val="22"/>
        </w:rPr>
        <w:t>,</w:t>
      </w:r>
      <w:r w:rsidR="001911EE">
        <w:rPr>
          <w:szCs w:val="22"/>
        </w:rPr>
        <w:t xml:space="preserve"> </w:t>
      </w:r>
      <w:r w:rsidR="00377441">
        <w:rPr>
          <w:szCs w:val="22"/>
        </w:rPr>
        <w:t>to expedite the process of receiving SVS.</w:t>
      </w:r>
      <w:r w:rsidR="00377441">
        <w:rPr>
          <w:rStyle w:val="FootnoteReference"/>
          <w:szCs w:val="22"/>
        </w:rPr>
        <w:footnoteReference w:id="14"/>
      </w:r>
      <w:r w:rsidR="003B6083">
        <w:rPr>
          <w:szCs w:val="22"/>
        </w:rPr>
        <w:t xml:space="preserve">  </w:t>
      </w:r>
    </w:p>
    <w:p w14:paraId="4DBB6175" w14:textId="77777777" w:rsidR="002362CA" w:rsidRDefault="004C25AC" w:rsidP="002362CA">
      <w:pPr>
        <w:pStyle w:val="ParaNum"/>
        <w:autoSpaceDE w:val="0"/>
        <w:autoSpaceDN w:val="0"/>
        <w:adjustRightInd w:val="0"/>
        <w:jc w:val="left"/>
        <w:rPr>
          <w:szCs w:val="22"/>
        </w:rPr>
      </w:pPr>
      <w:r>
        <w:rPr>
          <w:szCs w:val="22"/>
        </w:rPr>
        <w:t>O</w:t>
      </w:r>
      <w:r w:rsidR="00737643">
        <w:rPr>
          <w:szCs w:val="22"/>
        </w:rPr>
        <w:t xml:space="preserve">n July 2, 2001 </w:t>
      </w:r>
      <w:r w:rsidR="003B6083">
        <w:rPr>
          <w:szCs w:val="22"/>
        </w:rPr>
        <w:t>Madison</w:t>
      </w:r>
      <w:r w:rsidR="00737643">
        <w:rPr>
          <w:szCs w:val="22"/>
        </w:rPr>
        <w:t>,</w:t>
      </w:r>
      <w:r w:rsidR="002362CA">
        <w:rPr>
          <w:szCs w:val="22"/>
        </w:rPr>
        <w:t xml:space="preserve"> requested </w:t>
      </w:r>
      <w:r w:rsidR="00AA45EC">
        <w:rPr>
          <w:szCs w:val="22"/>
        </w:rPr>
        <w:t xml:space="preserve">that </w:t>
      </w:r>
      <w:r w:rsidR="002362CA">
        <w:rPr>
          <w:szCs w:val="22"/>
        </w:rPr>
        <w:t xml:space="preserve">NECA provide “the appropriate data </w:t>
      </w:r>
      <w:r w:rsidR="00E3351E">
        <w:rPr>
          <w:szCs w:val="22"/>
        </w:rPr>
        <w:t>forms </w:t>
      </w:r>
      <w:r w:rsidR="002362CA">
        <w:rPr>
          <w:szCs w:val="22"/>
        </w:rPr>
        <w:t>.</w:t>
      </w:r>
      <w:r w:rsidR="00405BF9">
        <w:rPr>
          <w:szCs w:val="22"/>
        </w:rPr>
        <w:t> </w:t>
      </w:r>
      <w:r w:rsidR="002362CA">
        <w:rPr>
          <w:szCs w:val="22"/>
        </w:rPr>
        <w:t>.</w:t>
      </w:r>
      <w:r w:rsidR="00405BF9">
        <w:rPr>
          <w:szCs w:val="22"/>
        </w:rPr>
        <w:t> </w:t>
      </w:r>
      <w:r w:rsidR="002362CA">
        <w:rPr>
          <w:szCs w:val="22"/>
        </w:rPr>
        <w:t>. to use in supplying the required data for this data period.”</w:t>
      </w:r>
      <w:r w:rsidR="002362CA">
        <w:rPr>
          <w:rStyle w:val="FootnoteReference"/>
          <w:szCs w:val="22"/>
        </w:rPr>
        <w:footnoteReference w:id="15"/>
      </w:r>
      <w:r w:rsidR="00737643">
        <w:rPr>
          <w:szCs w:val="22"/>
        </w:rPr>
        <w:t xml:space="preserve"> </w:t>
      </w:r>
      <w:r w:rsidR="00E3351E">
        <w:rPr>
          <w:szCs w:val="22"/>
        </w:rPr>
        <w:t xml:space="preserve"> </w:t>
      </w:r>
      <w:r w:rsidR="00A015CB">
        <w:rPr>
          <w:szCs w:val="22"/>
        </w:rPr>
        <w:t>Madison claims that it understood its election to establish a quarterly index year beginning on July 1, 2001 mandated submission of cost data from July 1, 1999 – June 30, 2000.</w:t>
      </w:r>
      <w:r w:rsidR="00A015CB">
        <w:rPr>
          <w:rStyle w:val="FootnoteReference"/>
          <w:szCs w:val="22"/>
        </w:rPr>
        <w:footnoteReference w:id="16"/>
      </w:r>
      <w:r w:rsidR="00A015CB">
        <w:rPr>
          <w:szCs w:val="22"/>
        </w:rPr>
        <w:t xml:space="preserve">  </w:t>
      </w:r>
      <w:r w:rsidR="00AA45EC">
        <w:rPr>
          <w:szCs w:val="22"/>
        </w:rPr>
        <w:t>O</w:t>
      </w:r>
      <w:r w:rsidR="00A015CB">
        <w:rPr>
          <w:szCs w:val="22"/>
        </w:rPr>
        <w:t>n April 11, 2002 Madison sent an additional letter to USAC stating that Madison had never received any data forms, and therefore was submitting what it believed to be the correct data in the correct format.</w:t>
      </w:r>
      <w:r w:rsidR="00A015CB">
        <w:rPr>
          <w:rStyle w:val="FootnoteReference"/>
          <w:szCs w:val="22"/>
        </w:rPr>
        <w:footnoteReference w:id="17"/>
      </w:r>
      <w:r w:rsidR="00D509C3">
        <w:rPr>
          <w:szCs w:val="22"/>
        </w:rPr>
        <w:t xml:space="preserve">  Madison</w:t>
      </w:r>
      <w:r w:rsidR="00AA45EC">
        <w:rPr>
          <w:szCs w:val="22"/>
        </w:rPr>
        <w:t xml:space="preserve"> claims that it</w:t>
      </w:r>
      <w:r w:rsidR="00D509C3">
        <w:rPr>
          <w:szCs w:val="22"/>
        </w:rPr>
        <w:t xml:space="preserve"> subsequently began submitting cost data in accordance with what it understood the rules to require</w:t>
      </w:r>
      <w:r w:rsidR="00457880">
        <w:rPr>
          <w:szCs w:val="22"/>
        </w:rPr>
        <w:t>,</w:t>
      </w:r>
      <w:r w:rsidR="00D509C3">
        <w:rPr>
          <w:szCs w:val="22"/>
        </w:rPr>
        <w:t xml:space="preserve"> after failing to receive any information from NECA or USAC that indicated Madison’s filings were incomplete</w:t>
      </w:r>
      <w:r w:rsidR="00E3351E">
        <w:rPr>
          <w:szCs w:val="22"/>
        </w:rPr>
        <w:t xml:space="preserve"> or inconsistent with its selected SVS index period</w:t>
      </w:r>
      <w:r w:rsidR="00D509C3">
        <w:rPr>
          <w:szCs w:val="22"/>
        </w:rPr>
        <w:t>.</w:t>
      </w:r>
      <w:r w:rsidR="00D509C3">
        <w:rPr>
          <w:rStyle w:val="FootnoteReference"/>
          <w:szCs w:val="22"/>
        </w:rPr>
        <w:footnoteReference w:id="18"/>
      </w:r>
    </w:p>
    <w:p w14:paraId="2896A4AA" w14:textId="77777777" w:rsidR="001E7AF5" w:rsidRDefault="00A916F4" w:rsidP="001E7AF5">
      <w:pPr>
        <w:pStyle w:val="ParaNum"/>
        <w:autoSpaceDE w:val="0"/>
        <w:autoSpaceDN w:val="0"/>
        <w:adjustRightInd w:val="0"/>
        <w:jc w:val="left"/>
        <w:rPr>
          <w:szCs w:val="22"/>
        </w:rPr>
      </w:pPr>
      <w:r w:rsidRPr="001E7AF5">
        <w:rPr>
          <w:szCs w:val="22"/>
        </w:rPr>
        <w:t xml:space="preserve">Madison states that </w:t>
      </w:r>
      <w:r w:rsidR="00AA45EC" w:rsidRPr="001E7AF5">
        <w:rPr>
          <w:szCs w:val="22"/>
        </w:rPr>
        <w:t xml:space="preserve">when it had not received any SVS </w:t>
      </w:r>
      <w:r w:rsidRPr="001E7AF5">
        <w:rPr>
          <w:szCs w:val="22"/>
        </w:rPr>
        <w:t>by 2004</w:t>
      </w:r>
      <w:r w:rsidR="00AA45EC" w:rsidRPr="001E7AF5">
        <w:rPr>
          <w:szCs w:val="22"/>
        </w:rPr>
        <w:t xml:space="preserve">, it </w:t>
      </w:r>
      <w:r w:rsidRPr="00613A98">
        <w:rPr>
          <w:szCs w:val="22"/>
        </w:rPr>
        <w:t xml:space="preserve">engaged </w:t>
      </w:r>
      <w:r w:rsidR="006807B4">
        <w:rPr>
          <w:szCs w:val="22"/>
        </w:rPr>
        <w:t>a</w:t>
      </w:r>
      <w:r w:rsidR="006807B4" w:rsidRPr="00613A98">
        <w:rPr>
          <w:szCs w:val="22"/>
        </w:rPr>
        <w:t xml:space="preserve"> </w:t>
      </w:r>
      <w:r w:rsidRPr="00613A98">
        <w:rPr>
          <w:szCs w:val="22"/>
        </w:rPr>
        <w:t>consultant to investigate.</w:t>
      </w:r>
      <w:r>
        <w:rPr>
          <w:rStyle w:val="FootnoteReference"/>
          <w:szCs w:val="22"/>
        </w:rPr>
        <w:footnoteReference w:id="19"/>
      </w:r>
      <w:r w:rsidR="00AB7BA7" w:rsidRPr="001E7AF5">
        <w:rPr>
          <w:szCs w:val="22"/>
        </w:rPr>
        <w:t xml:space="preserve">  NECA informed Madison, in a Septemb</w:t>
      </w:r>
      <w:r w:rsidR="00AB7BA7" w:rsidRPr="00A62128">
        <w:rPr>
          <w:szCs w:val="22"/>
        </w:rPr>
        <w:t>er 9, 2004 email, that Madison appeared to qualify for SVS payments based on its 2003 and 2004 calendar year</w:t>
      </w:r>
      <w:r w:rsidR="00AB7BA7" w:rsidRPr="00A62128">
        <w:rPr>
          <w:i/>
          <w:szCs w:val="22"/>
        </w:rPr>
        <w:t xml:space="preserve"> </w:t>
      </w:r>
      <w:r w:rsidR="00AB7BA7" w:rsidRPr="00A62128">
        <w:rPr>
          <w:szCs w:val="22"/>
        </w:rPr>
        <w:t>filings.</w:t>
      </w:r>
      <w:r w:rsidR="00AB7BA7">
        <w:rPr>
          <w:rStyle w:val="FootnoteReference"/>
          <w:szCs w:val="22"/>
        </w:rPr>
        <w:footnoteReference w:id="20"/>
      </w:r>
      <w:r w:rsidR="00F66847" w:rsidRPr="001E7AF5">
        <w:rPr>
          <w:szCs w:val="22"/>
        </w:rPr>
        <w:t xml:space="preserve">  On September 21, 2004</w:t>
      </w:r>
      <w:r w:rsidR="00AA45EC" w:rsidRPr="001E7AF5">
        <w:rPr>
          <w:szCs w:val="22"/>
        </w:rPr>
        <w:t xml:space="preserve">, </w:t>
      </w:r>
      <w:r w:rsidR="00F66847" w:rsidRPr="001E7AF5">
        <w:rPr>
          <w:szCs w:val="22"/>
        </w:rPr>
        <w:t xml:space="preserve">Madison </w:t>
      </w:r>
      <w:r w:rsidR="00F66847" w:rsidRPr="00613A98">
        <w:rPr>
          <w:szCs w:val="22"/>
        </w:rPr>
        <w:t>informed USAC that Madison had had discussions with NECA over its SVS</w:t>
      </w:r>
      <w:r w:rsidR="00457880">
        <w:rPr>
          <w:szCs w:val="22"/>
        </w:rPr>
        <w:t>,</w:t>
      </w:r>
      <w:r w:rsidR="00F66847" w:rsidRPr="00613A98">
        <w:rPr>
          <w:szCs w:val="22"/>
        </w:rPr>
        <w:t xml:space="preserve"> and there appeared to be disagreement over what data should have been used to calculate the index</w:t>
      </w:r>
      <w:r w:rsidR="00DB1C65" w:rsidRPr="00F16A2E">
        <w:rPr>
          <w:szCs w:val="22"/>
        </w:rPr>
        <w:t xml:space="preserve"> period</w:t>
      </w:r>
      <w:r w:rsidR="009C7E2B">
        <w:rPr>
          <w:szCs w:val="22"/>
        </w:rPr>
        <w:t>.</w:t>
      </w:r>
      <w:r w:rsidR="00457880">
        <w:rPr>
          <w:szCs w:val="22"/>
        </w:rPr>
        <w:t xml:space="preserve">  Madison </w:t>
      </w:r>
      <w:r w:rsidR="0085477F">
        <w:rPr>
          <w:szCs w:val="22"/>
        </w:rPr>
        <w:t>represents</w:t>
      </w:r>
      <w:r w:rsidR="00457880">
        <w:rPr>
          <w:szCs w:val="22"/>
        </w:rPr>
        <w:t xml:space="preserve"> that it</w:t>
      </w:r>
      <w:r w:rsidR="00AA45EC" w:rsidRPr="00F32D8C">
        <w:rPr>
          <w:szCs w:val="22"/>
        </w:rPr>
        <w:t xml:space="preserve"> asked USAC </w:t>
      </w:r>
      <w:r w:rsidR="00F66847" w:rsidRPr="001E7AF5">
        <w:rPr>
          <w:szCs w:val="22"/>
        </w:rPr>
        <w:t>to assist in resolving the issue</w:t>
      </w:r>
      <w:r w:rsidR="00457880">
        <w:rPr>
          <w:szCs w:val="22"/>
        </w:rPr>
        <w:t>,</w:t>
      </w:r>
      <w:r w:rsidR="00F66847">
        <w:rPr>
          <w:rStyle w:val="FootnoteReference"/>
          <w:szCs w:val="22"/>
        </w:rPr>
        <w:footnoteReference w:id="21"/>
      </w:r>
      <w:r w:rsidR="00685DDB" w:rsidRPr="001E7AF5">
        <w:rPr>
          <w:szCs w:val="22"/>
        </w:rPr>
        <w:t xml:space="preserve"> </w:t>
      </w:r>
      <w:r w:rsidR="00457880">
        <w:rPr>
          <w:szCs w:val="22"/>
        </w:rPr>
        <w:t xml:space="preserve">but </w:t>
      </w:r>
      <w:r w:rsidR="00AA45EC" w:rsidRPr="001E7AF5">
        <w:rPr>
          <w:szCs w:val="22"/>
        </w:rPr>
        <w:t xml:space="preserve"> it </w:t>
      </w:r>
      <w:r w:rsidR="00AE0B67" w:rsidRPr="001E7AF5">
        <w:rPr>
          <w:szCs w:val="22"/>
        </w:rPr>
        <w:t xml:space="preserve">never received any </w:t>
      </w:r>
      <w:r w:rsidR="00AA45EC" w:rsidRPr="00A62128">
        <w:rPr>
          <w:szCs w:val="22"/>
        </w:rPr>
        <w:t>response</w:t>
      </w:r>
      <w:r w:rsidR="00AE0B67" w:rsidRPr="00613A98">
        <w:rPr>
          <w:szCs w:val="22"/>
        </w:rPr>
        <w:t xml:space="preserve">.  </w:t>
      </w:r>
      <w:r w:rsidR="00685DDB" w:rsidRPr="00613A98">
        <w:rPr>
          <w:szCs w:val="22"/>
        </w:rPr>
        <w:t xml:space="preserve">Madison </w:t>
      </w:r>
      <w:r w:rsidR="006807B4">
        <w:rPr>
          <w:szCs w:val="22"/>
        </w:rPr>
        <w:t>claims</w:t>
      </w:r>
      <w:r w:rsidR="006807B4" w:rsidRPr="00613A98">
        <w:rPr>
          <w:szCs w:val="22"/>
        </w:rPr>
        <w:t xml:space="preserve"> </w:t>
      </w:r>
      <w:r w:rsidR="00685DDB" w:rsidRPr="00613A98">
        <w:rPr>
          <w:szCs w:val="22"/>
        </w:rPr>
        <w:t xml:space="preserve">that it </w:t>
      </w:r>
      <w:r w:rsidR="00702AAC">
        <w:rPr>
          <w:szCs w:val="22"/>
        </w:rPr>
        <w:t>believed</w:t>
      </w:r>
      <w:r w:rsidR="00702AAC" w:rsidRPr="00613A98">
        <w:rPr>
          <w:szCs w:val="22"/>
        </w:rPr>
        <w:t xml:space="preserve"> </w:t>
      </w:r>
      <w:r w:rsidR="00685DDB" w:rsidRPr="00613A98">
        <w:rPr>
          <w:szCs w:val="22"/>
        </w:rPr>
        <w:t>the matter had been resolved when Madison received its NECA disbursement statement data May 4, 2005 that showed the company would receive $2,480 in “Safety Valv</w:t>
      </w:r>
      <w:r w:rsidR="00685DDB" w:rsidRPr="00F16A2E">
        <w:rPr>
          <w:szCs w:val="22"/>
        </w:rPr>
        <w:t>e Additive.”</w:t>
      </w:r>
      <w:r w:rsidR="00685DDB">
        <w:rPr>
          <w:rStyle w:val="FootnoteReference"/>
          <w:szCs w:val="22"/>
        </w:rPr>
        <w:footnoteReference w:id="22"/>
      </w:r>
      <w:r w:rsidR="00DB1C65" w:rsidRPr="001E7AF5">
        <w:rPr>
          <w:szCs w:val="22"/>
        </w:rPr>
        <w:t xml:space="preserve">  However, Madison subsequently</w:t>
      </w:r>
      <w:r w:rsidR="00685DDB" w:rsidRPr="001E7AF5">
        <w:rPr>
          <w:szCs w:val="22"/>
        </w:rPr>
        <w:t xml:space="preserve"> received a revised NECA statement</w:t>
      </w:r>
      <w:r w:rsidR="00AE0B67" w:rsidRPr="001E7AF5">
        <w:rPr>
          <w:szCs w:val="22"/>
        </w:rPr>
        <w:t xml:space="preserve"> on May 31, 2005 showing that the $2,480 was rescinded.</w:t>
      </w:r>
      <w:r w:rsidR="00AE0B67">
        <w:rPr>
          <w:rStyle w:val="FootnoteReference"/>
          <w:szCs w:val="22"/>
        </w:rPr>
        <w:footnoteReference w:id="23"/>
      </w:r>
      <w:r w:rsidR="00E042A4" w:rsidRPr="001E7AF5">
        <w:rPr>
          <w:szCs w:val="22"/>
        </w:rPr>
        <w:t xml:space="preserve">  </w:t>
      </w:r>
      <w:r w:rsidR="00702AAC">
        <w:rPr>
          <w:szCs w:val="22"/>
        </w:rPr>
        <w:t>In the course</w:t>
      </w:r>
      <w:r w:rsidR="00AA45EC" w:rsidRPr="001E7AF5">
        <w:rPr>
          <w:szCs w:val="22"/>
        </w:rPr>
        <w:t xml:space="preserve"> of investigating the cause of the rescinded payment</w:t>
      </w:r>
      <w:r w:rsidR="00702AAC">
        <w:rPr>
          <w:szCs w:val="22"/>
        </w:rPr>
        <w:t>,</w:t>
      </w:r>
      <w:r w:rsidR="000311F8" w:rsidRPr="00A62128">
        <w:rPr>
          <w:szCs w:val="22"/>
        </w:rPr>
        <w:t xml:space="preserve"> </w:t>
      </w:r>
      <w:r w:rsidR="00E042A4" w:rsidRPr="00A62128">
        <w:rPr>
          <w:szCs w:val="22"/>
        </w:rPr>
        <w:t>Madison</w:t>
      </w:r>
      <w:r w:rsidR="00E042A4" w:rsidRPr="00613A98">
        <w:rPr>
          <w:szCs w:val="22"/>
        </w:rPr>
        <w:t xml:space="preserve"> discovered that the company </w:t>
      </w:r>
      <w:r w:rsidR="001E7AF5" w:rsidRPr="00F16A2E">
        <w:rPr>
          <w:szCs w:val="22"/>
        </w:rPr>
        <w:t xml:space="preserve">was </w:t>
      </w:r>
      <w:r w:rsidR="00E042A4" w:rsidRPr="00F32D8C">
        <w:rPr>
          <w:szCs w:val="22"/>
        </w:rPr>
        <w:t xml:space="preserve">qualified to begin receiving Safety Net Additive in 2006 in the amount of </w:t>
      </w:r>
      <w:r w:rsidR="00E042A4" w:rsidRPr="007F6518">
        <w:rPr>
          <w:szCs w:val="22"/>
        </w:rPr>
        <w:t>$2,445</w:t>
      </w:r>
      <w:r w:rsidR="00DB1C65" w:rsidRPr="00E75F80">
        <w:rPr>
          <w:szCs w:val="22"/>
        </w:rPr>
        <w:t xml:space="preserve"> </w:t>
      </w:r>
      <w:r w:rsidR="00115E38" w:rsidRPr="00BA0056">
        <w:rPr>
          <w:szCs w:val="22"/>
        </w:rPr>
        <w:t>per month</w:t>
      </w:r>
      <w:r w:rsidR="00E042A4" w:rsidRPr="00082C40">
        <w:rPr>
          <w:szCs w:val="22"/>
        </w:rPr>
        <w:t>.</w:t>
      </w:r>
      <w:r w:rsidR="00E042A4">
        <w:rPr>
          <w:rStyle w:val="FootnoteReference"/>
          <w:szCs w:val="22"/>
        </w:rPr>
        <w:footnoteReference w:id="24"/>
      </w:r>
      <w:r w:rsidR="00E042A4" w:rsidRPr="001E7AF5">
        <w:rPr>
          <w:szCs w:val="22"/>
        </w:rPr>
        <w:t xml:space="preserve">  </w:t>
      </w:r>
      <w:r w:rsidR="00E042A4" w:rsidRPr="00A62128">
        <w:rPr>
          <w:szCs w:val="22"/>
        </w:rPr>
        <w:t>Madison</w:t>
      </w:r>
      <w:r w:rsidR="001E7AF5" w:rsidRPr="00A62128">
        <w:rPr>
          <w:szCs w:val="22"/>
        </w:rPr>
        <w:t>, therefore,</w:t>
      </w:r>
      <w:r w:rsidR="00DB1C65" w:rsidRPr="00A62128">
        <w:rPr>
          <w:szCs w:val="22"/>
        </w:rPr>
        <w:t xml:space="preserve"> requested and</w:t>
      </w:r>
      <w:r w:rsidR="00E042A4" w:rsidRPr="00A62128">
        <w:rPr>
          <w:szCs w:val="22"/>
        </w:rPr>
        <w:t xml:space="preserve"> received </w:t>
      </w:r>
      <w:r w:rsidR="00DB1C65" w:rsidRPr="00A62128">
        <w:rPr>
          <w:szCs w:val="22"/>
        </w:rPr>
        <w:t>Safety Net Additive support</w:t>
      </w:r>
      <w:r w:rsidR="00E042A4" w:rsidRPr="00A62128">
        <w:rPr>
          <w:szCs w:val="22"/>
        </w:rPr>
        <w:t xml:space="preserve"> on a monthly basis from January 2006 until December 2010.</w:t>
      </w:r>
      <w:r w:rsidR="00E042A4">
        <w:rPr>
          <w:rStyle w:val="FootnoteReference"/>
          <w:szCs w:val="22"/>
        </w:rPr>
        <w:footnoteReference w:id="25"/>
      </w:r>
      <w:r w:rsidR="006D38A3">
        <w:rPr>
          <w:szCs w:val="22"/>
        </w:rPr>
        <w:t xml:space="preserve">  </w:t>
      </w:r>
      <w:r w:rsidR="00E042A4" w:rsidRPr="001E7AF5">
        <w:rPr>
          <w:szCs w:val="22"/>
        </w:rPr>
        <w:t>Madison</w:t>
      </w:r>
      <w:r w:rsidR="001E7AF5" w:rsidRPr="001E7AF5">
        <w:rPr>
          <w:szCs w:val="22"/>
        </w:rPr>
        <w:t xml:space="preserve"> </w:t>
      </w:r>
      <w:r w:rsidR="0085477F">
        <w:rPr>
          <w:szCs w:val="22"/>
        </w:rPr>
        <w:t xml:space="preserve">now claims </w:t>
      </w:r>
      <w:r w:rsidR="001E7AF5" w:rsidRPr="001E7AF5">
        <w:rPr>
          <w:szCs w:val="22"/>
        </w:rPr>
        <w:t xml:space="preserve">that </w:t>
      </w:r>
      <w:r w:rsidR="001E7AF5" w:rsidRPr="00E646A7">
        <w:rPr>
          <w:szCs w:val="22"/>
        </w:rPr>
        <w:t>it believed that the</w:t>
      </w:r>
      <w:r w:rsidR="00115E38" w:rsidRPr="00E646A7">
        <w:rPr>
          <w:szCs w:val="22"/>
        </w:rPr>
        <w:t xml:space="preserve"> </w:t>
      </w:r>
      <w:r w:rsidR="00E042A4" w:rsidRPr="00E646A7">
        <w:rPr>
          <w:szCs w:val="22"/>
        </w:rPr>
        <w:t xml:space="preserve">monthly Safety Net Additive payments </w:t>
      </w:r>
      <w:r w:rsidR="001E7AF5" w:rsidRPr="0093554B">
        <w:rPr>
          <w:szCs w:val="22"/>
        </w:rPr>
        <w:t xml:space="preserve">it received </w:t>
      </w:r>
      <w:r w:rsidR="00E042A4" w:rsidRPr="00083306">
        <w:rPr>
          <w:szCs w:val="22"/>
        </w:rPr>
        <w:t>from January 2006 until December 2010</w:t>
      </w:r>
      <w:r w:rsidR="001E7AF5" w:rsidRPr="00083306">
        <w:rPr>
          <w:szCs w:val="22"/>
        </w:rPr>
        <w:t xml:space="preserve"> were</w:t>
      </w:r>
      <w:r w:rsidR="00E042A4" w:rsidRPr="00083306">
        <w:rPr>
          <w:szCs w:val="22"/>
        </w:rPr>
        <w:t xml:space="preserve"> SVS payments</w:t>
      </w:r>
      <w:r w:rsidR="006D38A3">
        <w:rPr>
          <w:szCs w:val="22"/>
        </w:rPr>
        <w:t xml:space="preserve"> </w:t>
      </w:r>
      <w:r w:rsidR="00E042A4">
        <w:rPr>
          <w:rStyle w:val="FootnoteReference"/>
          <w:szCs w:val="22"/>
        </w:rPr>
        <w:footnoteReference w:id="26"/>
      </w:r>
      <w:r w:rsidR="00CB6860" w:rsidRPr="001E7AF5">
        <w:rPr>
          <w:szCs w:val="22"/>
        </w:rPr>
        <w:t xml:space="preserve"> </w:t>
      </w:r>
      <w:r w:rsidR="006D38A3">
        <w:rPr>
          <w:szCs w:val="22"/>
        </w:rPr>
        <w:t>and</w:t>
      </w:r>
      <w:r w:rsidR="00CB6860" w:rsidRPr="001E7AF5">
        <w:rPr>
          <w:szCs w:val="22"/>
        </w:rPr>
        <w:t xml:space="preserve"> </w:t>
      </w:r>
      <w:r w:rsidR="00A62128">
        <w:rPr>
          <w:szCs w:val="22"/>
        </w:rPr>
        <w:t>that it</w:t>
      </w:r>
      <w:r w:rsidR="006D38A3">
        <w:rPr>
          <w:szCs w:val="22"/>
        </w:rPr>
        <w:t>s calendar year SVS cost data annual filings were therefore consistent with the Commissio</w:t>
      </w:r>
      <w:r w:rsidR="00AB0897">
        <w:rPr>
          <w:szCs w:val="22"/>
        </w:rPr>
        <w:t>n</w:t>
      </w:r>
      <w:r w:rsidR="006D38A3">
        <w:rPr>
          <w:szCs w:val="22"/>
        </w:rPr>
        <w:t>’s rules</w:t>
      </w:r>
      <w:r w:rsidR="00CB6860" w:rsidRPr="001E7AF5">
        <w:rPr>
          <w:szCs w:val="22"/>
        </w:rPr>
        <w:t>.</w:t>
      </w:r>
      <w:r w:rsidR="00CB6860">
        <w:rPr>
          <w:rStyle w:val="FootnoteReference"/>
          <w:szCs w:val="22"/>
        </w:rPr>
        <w:footnoteReference w:id="27"/>
      </w:r>
    </w:p>
    <w:p w14:paraId="3637DB76" w14:textId="77777777" w:rsidR="00612937" w:rsidRPr="00405BF9" w:rsidRDefault="0085477F" w:rsidP="001E7AF5">
      <w:pPr>
        <w:pStyle w:val="ParaNum"/>
        <w:autoSpaceDE w:val="0"/>
        <w:autoSpaceDN w:val="0"/>
        <w:adjustRightInd w:val="0"/>
        <w:jc w:val="left"/>
        <w:rPr>
          <w:szCs w:val="22"/>
        </w:rPr>
      </w:pPr>
      <w:r>
        <w:rPr>
          <w:szCs w:val="22"/>
        </w:rPr>
        <w:t>More recentl</w:t>
      </w:r>
      <w:r w:rsidR="00056BB5">
        <w:rPr>
          <w:szCs w:val="22"/>
        </w:rPr>
        <w:t>y</w:t>
      </w:r>
      <w:r>
        <w:rPr>
          <w:szCs w:val="22"/>
        </w:rPr>
        <w:t xml:space="preserve">, </w:t>
      </w:r>
      <w:r w:rsidR="00A62128">
        <w:rPr>
          <w:szCs w:val="22"/>
        </w:rPr>
        <w:t>Madison</w:t>
      </w:r>
      <w:r w:rsidR="00D20D6C" w:rsidRPr="00A62128">
        <w:rPr>
          <w:szCs w:val="22"/>
        </w:rPr>
        <w:t xml:space="preserve"> complete</w:t>
      </w:r>
      <w:r w:rsidR="001C29C4">
        <w:rPr>
          <w:szCs w:val="22"/>
        </w:rPr>
        <w:t>d</w:t>
      </w:r>
      <w:r w:rsidR="00D20D6C" w:rsidRPr="00A62128">
        <w:rPr>
          <w:szCs w:val="22"/>
        </w:rPr>
        <w:t xml:space="preserve"> a five-year service quality improvement plan.</w:t>
      </w:r>
      <w:r w:rsidR="00D20D6C">
        <w:rPr>
          <w:rStyle w:val="FootnoteReference"/>
          <w:szCs w:val="22"/>
        </w:rPr>
        <w:footnoteReference w:id="28"/>
      </w:r>
      <w:r w:rsidR="00D20D6C" w:rsidRPr="001E7AF5">
        <w:rPr>
          <w:szCs w:val="22"/>
        </w:rPr>
        <w:t xml:space="preserve">  </w:t>
      </w:r>
      <w:r>
        <w:rPr>
          <w:szCs w:val="22"/>
        </w:rPr>
        <w:t>Madison claims that w</w:t>
      </w:r>
      <w:r w:rsidR="005E000D">
        <w:rPr>
          <w:szCs w:val="22"/>
        </w:rPr>
        <w:t>hile preparing</w:t>
      </w:r>
      <w:r w:rsidR="00613A98">
        <w:rPr>
          <w:szCs w:val="22"/>
        </w:rPr>
        <w:t xml:space="preserve"> its</w:t>
      </w:r>
      <w:r w:rsidR="00D20D6C" w:rsidRPr="001E7AF5">
        <w:rPr>
          <w:szCs w:val="22"/>
        </w:rPr>
        <w:t xml:space="preserve"> plan, </w:t>
      </w:r>
      <w:r>
        <w:rPr>
          <w:szCs w:val="22"/>
        </w:rPr>
        <w:t>it</w:t>
      </w:r>
      <w:r w:rsidR="00323DC2">
        <w:rPr>
          <w:szCs w:val="22"/>
        </w:rPr>
        <w:t xml:space="preserve"> </w:t>
      </w:r>
      <w:r w:rsidR="00D20D6C" w:rsidRPr="001E7AF5">
        <w:rPr>
          <w:szCs w:val="22"/>
        </w:rPr>
        <w:t xml:space="preserve">discovered that the monthly support it </w:t>
      </w:r>
      <w:r>
        <w:rPr>
          <w:szCs w:val="22"/>
        </w:rPr>
        <w:t xml:space="preserve">had </w:t>
      </w:r>
      <w:r w:rsidR="00D20D6C" w:rsidRPr="001E7AF5">
        <w:rPr>
          <w:szCs w:val="22"/>
        </w:rPr>
        <w:t xml:space="preserve">received from January 2006 until December 2010 </w:t>
      </w:r>
      <w:r w:rsidR="00DB1C65" w:rsidRPr="00A62128">
        <w:rPr>
          <w:szCs w:val="22"/>
        </w:rPr>
        <w:t>was actually</w:t>
      </w:r>
      <w:r w:rsidR="00D20D6C" w:rsidRPr="00A62128">
        <w:rPr>
          <w:szCs w:val="22"/>
        </w:rPr>
        <w:t xml:space="preserve"> Safety Net Additive support</w:t>
      </w:r>
      <w:r w:rsidR="00DB1C65" w:rsidRPr="00A62128">
        <w:rPr>
          <w:szCs w:val="22"/>
        </w:rPr>
        <w:t>, and not SVS</w:t>
      </w:r>
      <w:r w:rsidR="005E000D">
        <w:rPr>
          <w:szCs w:val="22"/>
        </w:rPr>
        <w:t>,</w:t>
      </w:r>
      <w:r w:rsidR="00DB1C65" w:rsidRPr="00A62128">
        <w:rPr>
          <w:szCs w:val="22"/>
        </w:rPr>
        <w:t xml:space="preserve"> as it had assumed</w:t>
      </w:r>
      <w:r w:rsidR="00D20D6C" w:rsidRPr="00A62128">
        <w:rPr>
          <w:szCs w:val="22"/>
        </w:rPr>
        <w:t>.</w:t>
      </w:r>
      <w:r w:rsidR="00D20D6C">
        <w:rPr>
          <w:rStyle w:val="FootnoteReference"/>
          <w:szCs w:val="22"/>
        </w:rPr>
        <w:footnoteReference w:id="29"/>
      </w:r>
      <w:r w:rsidR="00D20D6C" w:rsidRPr="001E7AF5">
        <w:rPr>
          <w:szCs w:val="22"/>
        </w:rPr>
        <w:t xml:space="preserve">  In total, Madison received $161,220</w:t>
      </w:r>
      <w:r w:rsidR="00DB1C65" w:rsidRPr="001E7AF5">
        <w:rPr>
          <w:szCs w:val="22"/>
        </w:rPr>
        <w:t xml:space="preserve"> </w:t>
      </w:r>
      <w:r w:rsidR="00D20D6C" w:rsidRPr="00A62128">
        <w:rPr>
          <w:szCs w:val="22"/>
        </w:rPr>
        <w:t>of Safety Net Additive from January 2006 until December 2010 that it thought was SVS.</w:t>
      </w:r>
      <w:r w:rsidR="00D20D6C">
        <w:rPr>
          <w:rStyle w:val="FootnoteReference"/>
          <w:szCs w:val="22"/>
        </w:rPr>
        <w:footnoteReference w:id="30"/>
      </w:r>
      <w:r w:rsidR="00982C13" w:rsidRPr="001E7AF5">
        <w:rPr>
          <w:szCs w:val="22"/>
        </w:rPr>
        <w:t xml:space="preserve">  </w:t>
      </w:r>
    </w:p>
    <w:p w14:paraId="17EAFF35" w14:textId="77777777" w:rsidR="00104B51" w:rsidRPr="00104B51" w:rsidRDefault="00B42008" w:rsidP="00BB73E9">
      <w:pPr>
        <w:pStyle w:val="ParaNum"/>
        <w:autoSpaceDE w:val="0"/>
        <w:autoSpaceDN w:val="0"/>
        <w:adjustRightInd w:val="0"/>
        <w:jc w:val="left"/>
        <w:rPr>
          <w:b/>
        </w:rPr>
      </w:pPr>
      <w:r>
        <w:rPr>
          <w:szCs w:val="22"/>
        </w:rPr>
        <w:t>On November 7, 2013, Madison submitted its Petiti</w:t>
      </w:r>
      <w:r w:rsidR="00612937">
        <w:rPr>
          <w:szCs w:val="22"/>
        </w:rPr>
        <w:t xml:space="preserve">on </w:t>
      </w:r>
      <w:r>
        <w:rPr>
          <w:szCs w:val="22"/>
        </w:rPr>
        <w:t xml:space="preserve">asking </w:t>
      </w:r>
      <w:r w:rsidR="00E646A7">
        <w:rPr>
          <w:szCs w:val="22"/>
        </w:rPr>
        <w:t>for a</w:t>
      </w:r>
      <w:r w:rsidR="00612937">
        <w:rPr>
          <w:szCs w:val="22"/>
        </w:rPr>
        <w:t xml:space="preserve"> waive</w:t>
      </w:r>
      <w:r w:rsidR="00E646A7">
        <w:rPr>
          <w:szCs w:val="22"/>
        </w:rPr>
        <w:t>r of</w:t>
      </w:r>
      <w:r w:rsidR="00612937">
        <w:rPr>
          <w:szCs w:val="22"/>
        </w:rPr>
        <w:t xml:space="preserve"> certain rules to allow Madison to collect the </w:t>
      </w:r>
      <w:r w:rsidR="00613A98">
        <w:rPr>
          <w:szCs w:val="22"/>
        </w:rPr>
        <w:t xml:space="preserve">$2,126,314 </w:t>
      </w:r>
      <w:r w:rsidR="00613A98" w:rsidRPr="00F33C68">
        <w:rPr>
          <w:szCs w:val="22"/>
        </w:rPr>
        <w:t>of</w:t>
      </w:r>
      <w:r w:rsidR="00613A98">
        <w:rPr>
          <w:b/>
          <w:szCs w:val="22"/>
        </w:rPr>
        <w:t xml:space="preserve"> </w:t>
      </w:r>
      <w:r w:rsidR="00612937">
        <w:rPr>
          <w:szCs w:val="22"/>
        </w:rPr>
        <w:t xml:space="preserve">SVS it claims it should have received from 2004 - 2012 </w:t>
      </w:r>
      <w:r w:rsidR="00104B51">
        <w:rPr>
          <w:szCs w:val="22"/>
        </w:rPr>
        <w:t xml:space="preserve">and </w:t>
      </w:r>
      <w:r w:rsidR="005E000D">
        <w:rPr>
          <w:szCs w:val="22"/>
        </w:rPr>
        <w:t xml:space="preserve">to </w:t>
      </w:r>
      <w:r w:rsidR="00104B51">
        <w:t>d</w:t>
      </w:r>
      <w:r w:rsidR="00104B51" w:rsidRPr="00104B51">
        <w:t xml:space="preserve">irect USAC to </w:t>
      </w:r>
      <w:r w:rsidR="00613A98">
        <w:t>begin distributing SVS support to Madison on a regular basis</w:t>
      </w:r>
      <w:r w:rsidR="00612937">
        <w:rPr>
          <w:szCs w:val="22"/>
        </w:rPr>
        <w:t>.</w:t>
      </w:r>
      <w:r w:rsidR="00612937">
        <w:rPr>
          <w:rStyle w:val="FootnoteReference"/>
          <w:szCs w:val="22"/>
        </w:rPr>
        <w:footnoteReference w:id="31"/>
      </w:r>
      <w:r w:rsidR="00612937">
        <w:rPr>
          <w:szCs w:val="22"/>
        </w:rPr>
        <w:t xml:space="preserve">  </w:t>
      </w:r>
      <w:r w:rsidR="00F16A2E">
        <w:rPr>
          <w:szCs w:val="22"/>
        </w:rPr>
        <w:t xml:space="preserve">Specifically Madison </w:t>
      </w:r>
      <w:r w:rsidR="0085477F">
        <w:rPr>
          <w:szCs w:val="22"/>
        </w:rPr>
        <w:t>asks</w:t>
      </w:r>
      <w:r w:rsidR="00612937">
        <w:rPr>
          <w:szCs w:val="22"/>
        </w:rPr>
        <w:t xml:space="preserve"> </w:t>
      </w:r>
      <w:r w:rsidR="00612937" w:rsidRPr="00612937">
        <w:t xml:space="preserve">to submit quarterly </w:t>
      </w:r>
      <w:r w:rsidR="00BB73E9">
        <w:t xml:space="preserve">cost </w:t>
      </w:r>
      <w:r w:rsidR="00612937" w:rsidRPr="00612937">
        <w:t xml:space="preserve">data for the previous years that the Company should have been receiving SVS, </w:t>
      </w:r>
      <w:r w:rsidR="00612937" w:rsidRPr="00612937">
        <w:rPr>
          <w:iCs/>
        </w:rPr>
        <w:t>or alternatively</w:t>
      </w:r>
      <w:r w:rsidR="00612937" w:rsidRPr="00BA0056">
        <w:rPr>
          <w:iCs/>
        </w:rPr>
        <w:t>,</w:t>
      </w:r>
      <w:r w:rsidR="00612937">
        <w:rPr>
          <w:i/>
          <w:iCs/>
        </w:rPr>
        <w:t xml:space="preserve"> </w:t>
      </w:r>
      <w:r w:rsidR="00612937" w:rsidRPr="00612937">
        <w:t xml:space="preserve">to resubmit its SVS eligibility and election notification pursuant to </w:t>
      </w:r>
      <w:r w:rsidR="0085477F">
        <w:t>s</w:t>
      </w:r>
      <w:r w:rsidR="00612937" w:rsidRPr="00612937">
        <w:t>ection 54.305(f) and establish a calendar index year of January 1 – December 31, 2002.</w:t>
      </w:r>
      <w:r w:rsidR="00612937">
        <w:rPr>
          <w:rStyle w:val="FootnoteReference"/>
        </w:rPr>
        <w:footnoteReference w:id="32"/>
      </w:r>
      <w:r w:rsidR="00612937">
        <w:t xml:space="preserve">  Additionally, if </w:t>
      </w:r>
      <w:r w:rsidR="00612937" w:rsidRPr="00013619">
        <w:t xml:space="preserve">permitted to re-establish its index year as a calendar year, </w:t>
      </w:r>
      <w:r w:rsidR="00612937">
        <w:t>Madison</w:t>
      </w:r>
      <w:r w:rsidR="00BB73E9">
        <w:t xml:space="preserve"> request</w:t>
      </w:r>
      <w:r w:rsidR="005E000D">
        <w:t>s</w:t>
      </w:r>
      <w:r w:rsidR="00104B51">
        <w:t xml:space="preserve"> that </w:t>
      </w:r>
      <w:r w:rsidR="00612937" w:rsidRPr="00013619">
        <w:t xml:space="preserve">the annual cost study data that Madison has submitted each year pursuant to </w:t>
      </w:r>
      <w:r w:rsidR="0085477F">
        <w:t>s</w:t>
      </w:r>
      <w:r w:rsidR="00612937" w:rsidRPr="00013619">
        <w:t xml:space="preserve">ection 36.611 </w:t>
      </w:r>
      <w:r w:rsidR="0085477F">
        <w:t xml:space="preserve">be accepted </w:t>
      </w:r>
      <w:r w:rsidR="00612937" w:rsidRPr="00013619">
        <w:t>for the purpose of calculating SVS.</w:t>
      </w:r>
      <w:r w:rsidR="00104B51">
        <w:rPr>
          <w:rStyle w:val="FootnoteReference"/>
        </w:rPr>
        <w:footnoteReference w:id="33"/>
      </w:r>
      <w:r w:rsidR="00104B51">
        <w:t xml:space="preserve">  </w:t>
      </w:r>
    </w:p>
    <w:p w14:paraId="2D4D56B7" w14:textId="77777777" w:rsidR="0002302F" w:rsidRDefault="0002302F">
      <w:pPr>
        <w:pStyle w:val="Heading1"/>
        <w:widowControl/>
        <w:rPr>
          <w:szCs w:val="22"/>
        </w:rPr>
      </w:pPr>
      <w:r>
        <w:rPr>
          <w:szCs w:val="22"/>
        </w:rPr>
        <w:t>DISCUSSION</w:t>
      </w:r>
    </w:p>
    <w:p w14:paraId="0B0488BE" w14:textId="77777777" w:rsidR="00A72E63" w:rsidRPr="00954541" w:rsidRDefault="002D3B03">
      <w:pPr>
        <w:pStyle w:val="ParaNum"/>
        <w:widowControl/>
        <w:jc w:val="left"/>
        <w:rPr>
          <w:szCs w:val="22"/>
        </w:rPr>
      </w:pPr>
      <w:r>
        <w:rPr>
          <w:szCs w:val="22"/>
          <w:shd w:val="clear" w:color="auto" w:fill="FFFFFF"/>
        </w:rPr>
        <w:t>The Bureau</w:t>
      </w:r>
      <w:r w:rsidR="0002302F">
        <w:rPr>
          <w:szCs w:val="22"/>
          <w:shd w:val="clear" w:color="auto" w:fill="FFFFFF"/>
        </w:rPr>
        <w:t xml:space="preserve"> find</w:t>
      </w:r>
      <w:r>
        <w:rPr>
          <w:szCs w:val="22"/>
          <w:shd w:val="clear" w:color="auto" w:fill="FFFFFF"/>
        </w:rPr>
        <w:t>s</w:t>
      </w:r>
      <w:r w:rsidR="0002302F">
        <w:rPr>
          <w:szCs w:val="22"/>
          <w:shd w:val="clear" w:color="auto" w:fill="FFFFFF"/>
        </w:rPr>
        <w:t xml:space="preserve"> that </w:t>
      </w:r>
      <w:r w:rsidR="00A72E63">
        <w:rPr>
          <w:szCs w:val="22"/>
          <w:shd w:val="clear" w:color="auto" w:fill="FFFFFF"/>
        </w:rPr>
        <w:t>Madison has</w:t>
      </w:r>
      <w:r w:rsidR="0002302F">
        <w:rPr>
          <w:szCs w:val="22"/>
          <w:shd w:val="clear" w:color="auto" w:fill="FFFFFF"/>
        </w:rPr>
        <w:t xml:space="preserve"> </w:t>
      </w:r>
      <w:r w:rsidR="008C5948">
        <w:rPr>
          <w:szCs w:val="22"/>
          <w:shd w:val="clear" w:color="auto" w:fill="FFFFFF"/>
        </w:rPr>
        <w:t xml:space="preserve">not </w:t>
      </w:r>
      <w:r w:rsidR="0002302F">
        <w:rPr>
          <w:szCs w:val="22"/>
          <w:shd w:val="clear" w:color="auto" w:fill="FFFFFF"/>
        </w:rPr>
        <w:t xml:space="preserve">demonstrated good cause </w:t>
      </w:r>
      <w:bookmarkStart w:id="1" w:name="FN[FN93]"/>
      <w:bookmarkEnd w:id="1"/>
      <w:r w:rsidR="00DE47F9">
        <w:rPr>
          <w:szCs w:val="22"/>
          <w:shd w:val="clear" w:color="auto" w:fill="FFFFFF"/>
        </w:rPr>
        <w:t>for a waiver</w:t>
      </w:r>
      <w:r w:rsidR="0002302F">
        <w:rPr>
          <w:szCs w:val="22"/>
          <w:shd w:val="clear" w:color="auto" w:fill="FFFFFF"/>
        </w:rPr>
        <w:t>.</w:t>
      </w:r>
      <w:r w:rsidR="0002302F">
        <w:rPr>
          <w:rStyle w:val="FootnoteReference"/>
          <w:szCs w:val="22"/>
          <w:shd w:val="clear" w:color="auto" w:fill="FFFFFF"/>
        </w:rPr>
        <w:footnoteReference w:id="34"/>
      </w:r>
      <w:r w:rsidR="00521FB6">
        <w:rPr>
          <w:szCs w:val="22"/>
          <w:shd w:val="clear" w:color="auto" w:fill="FFFFFF"/>
        </w:rPr>
        <w:t xml:space="preserve">  </w:t>
      </w:r>
      <w:r w:rsidR="000C7D74">
        <w:rPr>
          <w:szCs w:val="22"/>
          <w:shd w:val="clear" w:color="auto" w:fill="FFFFFF"/>
        </w:rPr>
        <w:t xml:space="preserve">Madison’s mistake in filing calendar-year </w:t>
      </w:r>
      <w:r w:rsidR="0061336A">
        <w:rPr>
          <w:szCs w:val="22"/>
          <w:shd w:val="clear" w:color="auto" w:fill="FFFFFF"/>
        </w:rPr>
        <w:t xml:space="preserve">rather than quarterly </w:t>
      </w:r>
      <w:r w:rsidR="000C7D74">
        <w:rPr>
          <w:szCs w:val="22"/>
          <w:shd w:val="clear" w:color="auto" w:fill="FFFFFF"/>
        </w:rPr>
        <w:t>SVS cost data</w:t>
      </w:r>
      <w:r w:rsidR="00521FB6">
        <w:rPr>
          <w:szCs w:val="22"/>
          <w:shd w:val="clear" w:color="auto" w:fill="FFFFFF"/>
        </w:rPr>
        <w:t xml:space="preserve"> and</w:t>
      </w:r>
      <w:r w:rsidR="0061336A">
        <w:rPr>
          <w:szCs w:val="22"/>
          <w:shd w:val="clear" w:color="auto" w:fill="FFFFFF"/>
        </w:rPr>
        <w:t>, more importantly,</w:t>
      </w:r>
      <w:r w:rsidR="00521FB6">
        <w:rPr>
          <w:szCs w:val="22"/>
          <w:shd w:val="clear" w:color="auto" w:fill="FFFFFF"/>
        </w:rPr>
        <w:t xml:space="preserve"> failing to recognize </w:t>
      </w:r>
      <w:r w:rsidR="0061336A">
        <w:rPr>
          <w:szCs w:val="22"/>
          <w:shd w:val="clear" w:color="auto" w:fill="FFFFFF"/>
        </w:rPr>
        <w:t>that it was not receiving SVS payments</w:t>
      </w:r>
      <w:r w:rsidR="000C7D74">
        <w:rPr>
          <w:szCs w:val="22"/>
          <w:shd w:val="clear" w:color="auto" w:fill="FFFFFF"/>
        </w:rPr>
        <w:t xml:space="preserve"> does not warrant deviation from the Commission’s rules</w:t>
      </w:r>
      <w:r w:rsidR="005E221B">
        <w:t>.</w:t>
      </w:r>
      <w:r w:rsidR="005E221B">
        <w:rPr>
          <w:rStyle w:val="FootnoteReference"/>
          <w:szCs w:val="22"/>
        </w:rPr>
        <w:footnoteReference w:id="35"/>
      </w:r>
      <w:r>
        <w:t xml:space="preserve">  </w:t>
      </w:r>
      <w:r w:rsidR="009C7E2B">
        <w:rPr>
          <w:szCs w:val="22"/>
          <w:shd w:val="clear" w:color="auto" w:fill="FFFFFF"/>
        </w:rPr>
        <w:t>I</w:t>
      </w:r>
      <w:r w:rsidR="00521FB6">
        <w:rPr>
          <w:szCs w:val="22"/>
          <w:shd w:val="clear" w:color="auto" w:fill="FFFFFF"/>
        </w:rPr>
        <w:t xml:space="preserve">n addition, we are not persuaded that </w:t>
      </w:r>
      <w:r w:rsidR="00097B78">
        <w:rPr>
          <w:szCs w:val="22"/>
          <w:shd w:val="clear" w:color="auto" w:fill="FFFFFF"/>
        </w:rPr>
        <w:t xml:space="preserve">waiver of the deadline is necessary for </w:t>
      </w:r>
      <w:r w:rsidR="00521FB6">
        <w:rPr>
          <w:szCs w:val="22"/>
          <w:shd w:val="clear" w:color="auto" w:fill="FFFFFF"/>
        </w:rPr>
        <w:t>Madison to provide quality service to its consumers.</w:t>
      </w:r>
      <w:r w:rsidR="00521FB6">
        <w:rPr>
          <w:rStyle w:val="FootnoteReference"/>
          <w:szCs w:val="22"/>
          <w:shd w:val="clear" w:color="auto" w:fill="FFFFFF"/>
        </w:rPr>
        <w:footnoteReference w:id="36"/>
      </w:r>
      <w:r w:rsidR="00521FB6">
        <w:rPr>
          <w:szCs w:val="22"/>
          <w:shd w:val="clear" w:color="auto" w:fill="FFFFFF"/>
        </w:rPr>
        <w:t xml:space="preserve">  Consequently, we deny Madison’s request for waiver. </w:t>
      </w:r>
    </w:p>
    <w:p w14:paraId="47FEA7D5" w14:textId="77777777" w:rsidR="00954541" w:rsidRPr="00A72E63" w:rsidRDefault="00937540">
      <w:pPr>
        <w:pStyle w:val="ParaNum"/>
        <w:widowControl/>
        <w:jc w:val="left"/>
        <w:rPr>
          <w:szCs w:val="22"/>
        </w:rPr>
      </w:pPr>
      <w:r>
        <w:rPr>
          <w:szCs w:val="22"/>
          <w:shd w:val="clear" w:color="auto" w:fill="FFFFFF"/>
        </w:rPr>
        <w:t>As discussed above, u</w:t>
      </w:r>
      <w:r w:rsidR="00303F6B">
        <w:rPr>
          <w:szCs w:val="22"/>
          <w:shd w:val="clear" w:color="auto" w:fill="FFFFFF"/>
        </w:rPr>
        <w:t>pon</w:t>
      </w:r>
      <w:r w:rsidR="00954541">
        <w:rPr>
          <w:szCs w:val="22"/>
          <w:shd w:val="clear" w:color="auto" w:fill="FFFFFF"/>
        </w:rPr>
        <w:t xml:space="preserve"> acquiring the two unaffiliated exchanges</w:t>
      </w:r>
      <w:r w:rsidR="00AD34A5">
        <w:rPr>
          <w:szCs w:val="22"/>
          <w:shd w:val="clear" w:color="auto" w:fill="FFFFFF"/>
        </w:rPr>
        <w:t xml:space="preserve"> in May 2001</w:t>
      </w:r>
      <w:r w:rsidR="00954541">
        <w:rPr>
          <w:szCs w:val="22"/>
          <w:shd w:val="clear" w:color="auto" w:fill="FFFFFF"/>
        </w:rPr>
        <w:t xml:space="preserve">, Madison </w:t>
      </w:r>
      <w:r w:rsidR="00303F6B">
        <w:rPr>
          <w:szCs w:val="22"/>
          <w:shd w:val="clear" w:color="auto" w:fill="FFFFFF"/>
        </w:rPr>
        <w:t>correctly</w:t>
      </w:r>
      <w:r w:rsidR="00954541">
        <w:rPr>
          <w:szCs w:val="22"/>
          <w:shd w:val="clear" w:color="auto" w:fill="FFFFFF"/>
        </w:rPr>
        <w:t xml:space="preserve"> recognized that i</w:t>
      </w:r>
      <w:r w:rsidR="007F6518">
        <w:rPr>
          <w:szCs w:val="22"/>
          <w:shd w:val="clear" w:color="auto" w:fill="FFFFFF"/>
        </w:rPr>
        <w:t>t</w:t>
      </w:r>
      <w:r w:rsidR="00954541">
        <w:rPr>
          <w:szCs w:val="22"/>
          <w:shd w:val="clear" w:color="auto" w:fill="FFFFFF"/>
        </w:rPr>
        <w:t xml:space="preserve"> qualified to receive SVS support.</w:t>
      </w:r>
      <w:r w:rsidR="00954541">
        <w:rPr>
          <w:rStyle w:val="FootnoteReference"/>
          <w:szCs w:val="22"/>
          <w:shd w:val="clear" w:color="auto" w:fill="FFFFFF"/>
        </w:rPr>
        <w:footnoteReference w:id="37"/>
      </w:r>
      <w:r w:rsidR="00303F6B">
        <w:rPr>
          <w:szCs w:val="22"/>
          <w:shd w:val="clear" w:color="auto" w:fill="FFFFFF"/>
        </w:rPr>
        <w:t xml:space="preserve">  </w:t>
      </w:r>
      <w:r w:rsidR="00DD2FC8">
        <w:rPr>
          <w:szCs w:val="22"/>
          <w:shd w:val="clear" w:color="auto" w:fill="FFFFFF"/>
        </w:rPr>
        <w:t>To</w:t>
      </w:r>
      <w:r w:rsidR="00B31E2E">
        <w:rPr>
          <w:color w:val="000000"/>
          <w:szCs w:val="22"/>
          <w:shd w:val="clear" w:color="auto" w:fill="FFFFFF"/>
        </w:rPr>
        <w:t xml:space="preserve"> </w:t>
      </w:r>
      <w:r w:rsidR="00B31E2E" w:rsidRPr="00344BB7">
        <w:rPr>
          <w:color w:val="000000"/>
          <w:szCs w:val="22"/>
          <w:shd w:val="clear" w:color="auto" w:fill="FFFFFF"/>
        </w:rPr>
        <w:t>begin receiving</w:t>
      </w:r>
      <w:r w:rsidR="00B31E2E">
        <w:rPr>
          <w:color w:val="000000"/>
          <w:szCs w:val="22"/>
          <w:shd w:val="clear" w:color="auto" w:fill="FFFFFF"/>
        </w:rPr>
        <w:t xml:space="preserve"> SVS</w:t>
      </w:r>
      <w:r w:rsidR="00B31E2E" w:rsidRPr="00344BB7">
        <w:rPr>
          <w:color w:val="000000"/>
          <w:szCs w:val="22"/>
          <w:shd w:val="clear" w:color="auto" w:fill="FFFFFF"/>
        </w:rPr>
        <w:t xml:space="preserve"> </w:t>
      </w:r>
      <w:r w:rsidR="00E912BC">
        <w:rPr>
          <w:color w:val="000000"/>
          <w:szCs w:val="22"/>
          <w:shd w:val="clear" w:color="auto" w:fill="FFFFFF"/>
        </w:rPr>
        <w:t>as soon as possible</w:t>
      </w:r>
      <w:r w:rsidR="00B31E2E">
        <w:rPr>
          <w:color w:val="000000"/>
          <w:szCs w:val="22"/>
          <w:shd w:val="clear" w:color="auto" w:fill="FFFFFF"/>
        </w:rPr>
        <w:t xml:space="preserve">, Madison </w:t>
      </w:r>
      <w:r w:rsidR="00B31E2E" w:rsidRPr="00344BB7">
        <w:rPr>
          <w:color w:val="000000"/>
          <w:szCs w:val="22"/>
          <w:shd w:val="clear" w:color="auto" w:fill="FFFFFF"/>
        </w:rPr>
        <w:t>establish</w:t>
      </w:r>
      <w:r w:rsidR="00E912BC">
        <w:rPr>
          <w:color w:val="000000"/>
          <w:szCs w:val="22"/>
          <w:shd w:val="clear" w:color="auto" w:fill="FFFFFF"/>
        </w:rPr>
        <w:t>ed</w:t>
      </w:r>
      <w:r w:rsidR="00B31E2E" w:rsidRPr="00344BB7">
        <w:rPr>
          <w:color w:val="000000"/>
          <w:szCs w:val="22"/>
          <w:shd w:val="clear" w:color="auto" w:fill="FFFFFF"/>
        </w:rPr>
        <w:t xml:space="preserve"> its index year expense </w:t>
      </w:r>
      <w:r w:rsidR="00B31E2E">
        <w:rPr>
          <w:szCs w:val="22"/>
        </w:rPr>
        <w:t xml:space="preserve">adjustment in the first quarter after the close of the acquisition of the two exchanges, </w:t>
      </w:r>
      <w:r w:rsidR="00DD2FC8">
        <w:rPr>
          <w:szCs w:val="22"/>
        </w:rPr>
        <w:t>from</w:t>
      </w:r>
      <w:r w:rsidR="00B31E2E">
        <w:rPr>
          <w:szCs w:val="22"/>
        </w:rPr>
        <w:t xml:space="preserve"> July 1, 2001 </w:t>
      </w:r>
      <w:r w:rsidR="00DD2FC8">
        <w:rPr>
          <w:szCs w:val="22"/>
        </w:rPr>
        <w:t>to</w:t>
      </w:r>
      <w:r w:rsidR="00B31E2E">
        <w:rPr>
          <w:szCs w:val="22"/>
        </w:rPr>
        <w:t xml:space="preserve"> June 30, 2002.</w:t>
      </w:r>
      <w:r w:rsidR="00B31E2E">
        <w:rPr>
          <w:rStyle w:val="FootnoteReference"/>
          <w:szCs w:val="22"/>
        </w:rPr>
        <w:footnoteReference w:id="38"/>
      </w:r>
      <w:r w:rsidR="001B6106">
        <w:rPr>
          <w:szCs w:val="22"/>
        </w:rPr>
        <w:t xml:space="preserve">  By electing to establish its index year beginning on July 1, rather than January 1 of the year following the acquisition of the exchanges, Madison demonstrated </w:t>
      </w:r>
      <w:r w:rsidR="00E912BC">
        <w:rPr>
          <w:szCs w:val="22"/>
        </w:rPr>
        <w:t xml:space="preserve">that it was familiar with </w:t>
      </w:r>
      <w:r w:rsidR="00781529">
        <w:rPr>
          <w:szCs w:val="22"/>
        </w:rPr>
        <w:t xml:space="preserve">Commission’s </w:t>
      </w:r>
      <w:r w:rsidR="001B6106">
        <w:rPr>
          <w:szCs w:val="22"/>
        </w:rPr>
        <w:t>rules pertaining to SVS.</w:t>
      </w:r>
      <w:r w:rsidR="00775961">
        <w:rPr>
          <w:szCs w:val="22"/>
        </w:rPr>
        <w:t xml:space="preserve">  </w:t>
      </w:r>
      <w:r w:rsidR="00E912BC">
        <w:rPr>
          <w:szCs w:val="22"/>
        </w:rPr>
        <w:t>In</w:t>
      </w:r>
      <w:r w:rsidR="00775961">
        <w:rPr>
          <w:szCs w:val="22"/>
        </w:rPr>
        <w:t xml:space="preserve"> establishing its index year on a calendar quarter pursuant to section</w:t>
      </w:r>
      <w:r w:rsidR="0017774B">
        <w:rPr>
          <w:szCs w:val="22"/>
        </w:rPr>
        <w:t>s</w:t>
      </w:r>
      <w:r w:rsidR="00775961">
        <w:rPr>
          <w:szCs w:val="22"/>
        </w:rPr>
        <w:t xml:space="preserve"> 36.612</w:t>
      </w:r>
      <w:r w:rsidR="0017774B">
        <w:rPr>
          <w:szCs w:val="22"/>
        </w:rPr>
        <w:t xml:space="preserve"> and 54.305(c)(2)</w:t>
      </w:r>
      <w:r w:rsidR="00775961">
        <w:rPr>
          <w:szCs w:val="22"/>
        </w:rPr>
        <w:t xml:space="preserve"> of the Commission’s rules, Madison was required to submit loop cost data to NECA on a quarterly basis.</w:t>
      </w:r>
      <w:r w:rsidR="00775961">
        <w:rPr>
          <w:rStyle w:val="FootnoteReference"/>
          <w:szCs w:val="22"/>
        </w:rPr>
        <w:footnoteReference w:id="39"/>
      </w:r>
      <w:r w:rsidR="00775961">
        <w:rPr>
          <w:szCs w:val="22"/>
        </w:rPr>
        <w:t xml:space="preserve">  </w:t>
      </w:r>
      <w:r>
        <w:rPr>
          <w:szCs w:val="22"/>
        </w:rPr>
        <w:t>I</w:t>
      </w:r>
      <w:r w:rsidR="00E5610E">
        <w:rPr>
          <w:szCs w:val="22"/>
        </w:rPr>
        <w:t>t is undisputed</w:t>
      </w:r>
      <w:r w:rsidR="00775961">
        <w:rPr>
          <w:szCs w:val="22"/>
        </w:rPr>
        <w:t xml:space="preserve"> that Madison </w:t>
      </w:r>
      <w:r w:rsidR="00BB73E9">
        <w:rPr>
          <w:szCs w:val="22"/>
        </w:rPr>
        <w:t>willingly chose</w:t>
      </w:r>
      <w:r w:rsidR="00775961">
        <w:rPr>
          <w:szCs w:val="22"/>
        </w:rPr>
        <w:t xml:space="preserve"> to establish its index year </w:t>
      </w:r>
      <w:r w:rsidR="00F324C0">
        <w:rPr>
          <w:szCs w:val="22"/>
        </w:rPr>
        <w:t>pursuant to section</w:t>
      </w:r>
      <w:r w:rsidR="0017774B">
        <w:rPr>
          <w:szCs w:val="22"/>
        </w:rPr>
        <w:t>s</w:t>
      </w:r>
      <w:r w:rsidR="00F324C0">
        <w:rPr>
          <w:szCs w:val="22"/>
        </w:rPr>
        <w:t xml:space="preserve"> 36.612</w:t>
      </w:r>
      <w:r w:rsidR="0017774B">
        <w:rPr>
          <w:szCs w:val="22"/>
        </w:rPr>
        <w:t xml:space="preserve"> and 54.305(c)(2) </w:t>
      </w:r>
      <w:r w:rsidR="00F324C0">
        <w:rPr>
          <w:szCs w:val="22"/>
        </w:rPr>
        <w:t xml:space="preserve">of the Commission’s rules and </w:t>
      </w:r>
      <w:r w:rsidR="0093554B">
        <w:rPr>
          <w:szCs w:val="22"/>
        </w:rPr>
        <w:t xml:space="preserve">subsequently </w:t>
      </w:r>
      <w:r w:rsidR="00F324C0">
        <w:rPr>
          <w:szCs w:val="22"/>
        </w:rPr>
        <w:t>did not comply with the associated quarterly cost data filing requirement.</w:t>
      </w:r>
      <w:r w:rsidR="00F324C0">
        <w:rPr>
          <w:rStyle w:val="FootnoteReference"/>
          <w:szCs w:val="22"/>
        </w:rPr>
        <w:footnoteReference w:id="40"/>
      </w:r>
      <w:r w:rsidR="00177742">
        <w:rPr>
          <w:szCs w:val="22"/>
        </w:rPr>
        <w:t xml:space="preserve">  </w:t>
      </w:r>
    </w:p>
    <w:p w14:paraId="0F7962CF" w14:textId="77777777" w:rsidR="00B86757" w:rsidRPr="00097B78" w:rsidRDefault="004A2E5C" w:rsidP="00097B78">
      <w:pPr>
        <w:pStyle w:val="ParaNum"/>
        <w:widowControl/>
        <w:jc w:val="left"/>
        <w:rPr>
          <w:szCs w:val="22"/>
        </w:rPr>
      </w:pPr>
      <w:bookmarkStart w:id="2" w:name="sp_999_7"/>
      <w:bookmarkStart w:id="3" w:name="SDU_7"/>
      <w:bookmarkEnd w:id="2"/>
      <w:bookmarkEnd w:id="3"/>
      <w:r w:rsidRPr="00097B78">
        <w:rPr>
          <w:szCs w:val="22"/>
        </w:rPr>
        <w:t>Confusion on the part of Madison regarding the filing requirements associated with the support it was seeking does not constitut</w:t>
      </w:r>
      <w:r w:rsidRPr="00CC5CAA">
        <w:rPr>
          <w:szCs w:val="22"/>
        </w:rPr>
        <w:t>e special circumstances warranting waiver of the filing deadlines.</w:t>
      </w:r>
      <w:r w:rsidR="0093554B">
        <w:rPr>
          <w:rStyle w:val="FootnoteReference"/>
          <w:szCs w:val="22"/>
        </w:rPr>
        <w:footnoteReference w:id="41"/>
      </w:r>
      <w:r w:rsidRPr="00CC5CAA">
        <w:rPr>
          <w:szCs w:val="22"/>
        </w:rPr>
        <w:t xml:space="preserve">  The </w:t>
      </w:r>
      <w:r w:rsidR="0093554B">
        <w:rPr>
          <w:szCs w:val="22"/>
        </w:rPr>
        <w:t xml:space="preserve">argument </w:t>
      </w:r>
      <w:r w:rsidRPr="00CC5CAA">
        <w:rPr>
          <w:szCs w:val="22"/>
        </w:rPr>
        <w:t>that</w:t>
      </w:r>
      <w:r w:rsidR="00B86757" w:rsidRPr="00CC5CAA">
        <w:rPr>
          <w:szCs w:val="22"/>
        </w:rPr>
        <w:t xml:space="preserve"> Madison did not realize </w:t>
      </w:r>
      <w:r w:rsidR="00BB73E9" w:rsidRPr="00CC5CAA">
        <w:rPr>
          <w:szCs w:val="22"/>
        </w:rPr>
        <w:t xml:space="preserve">that </w:t>
      </w:r>
      <w:r w:rsidR="00B86757" w:rsidRPr="00CC5CAA">
        <w:rPr>
          <w:szCs w:val="22"/>
        </w:rPr>
        <w:t xml:space="preserve">it was not receiving </w:t>
      </w:r>
      <w:r w:rsidR="00E912BC" w:rsidRPr="00CC5CAA">
        <w:rPr>
          <w:szCs w:val="22"/>
        </w:rPr>
        <w:t xml:space="preserve">the </w:t>
      </w:r>
      <w:r w:rsidR="00B86757" w:rsidRPr="00CC5CAA">
        <w:rPr>
          <w:szCs w:val="22"/>
        </w:rPr>
        <w:t>SVS</w:t>
      </w:r>
      <w:r w:rsidR="00E912BC" w:rsidRPr="00CC5CAA">
        <w:rPr>
          <w:szCs w:val="22"/>
        </w:rPr>
        <w:t xml:space="preserve"> it now claims it needs and that it confused SVS support with Safety Net Additive support</w:t>
      </w:r>
      <w:r w:rsidRPr="00CC5CAA">
        <w:rPr>
          <w:szCs w:val="22"/>
        </w:rPr>
        <w:t xml:space="preserve"> is not persuasive</w:t>
      </w:r>
      <w:r w:rsidR="00B86757" w:rsidRPr="00CC5CAA">
        <w:rPr>
          <w:szCs w:val="22"/>
        </w:rPr>
        <w:t>.</w:t>
      </w:r>
      <w:r w:rsidR="00B86757">
        <w:rPr>
          <w:rStyle w:val="FootnoteReference"/>
          <w:szCs w:val="22"/>
        </w:rPr>
        <w:footnoteReference w:id="42"/>
      </w:r>
      <w:r w:rsidR="00B86757" w:rsidRPr="00097B78">
        <w:rPr>
          <w:szCs w:val="22"/>
        </w:rPr>
        <w:t xml:space="preserve">  Safety Net Additive support</w:t>
      </w:r>
      <w:r w:rsidR="00794123" w:rsidRPr="00097B78">
        <w:rPr>
          <w:szCs w:val="22"/>
        </w:rPr>
        <w:t xml:space="preserve"> </w:t>
      </w:r>
      <w:r w:rsidR="00B86757" w:rsidRPr="00097B78">
        <w:rPr>
          <w:szCs w:val="22"/>
        </w:rPr>
        <w:t>“applie</w:t>
      </w:r>
      <w:r w:rsidR="00794123" w:rsidRPr="00097B78">
        <w:rPr>
          <w:szCs w:val="22"/>
        </w:rPr>
        <w:t>s</w:t>
      </w:r>
      <w:r w:rsidR="00B86757" w:rsidRPr="00097B78">
        <w:rPr>
          <w:szCs w:val="22"/>
        </w:rPr>
        <w:t xml:space="preserve"> to new investments in existing exchanges while Safety Valve Support applie</w:t>
      </w:r>
      <w:r w:rsidR="00794123" w:rsidRPr="00097B78">
        <w:rPr>
          <w:szCs w:val="22"/>
        </w:rPr>
        <w:t>s</w:t>
      </w:r>
      <w:r w:rsidR="00B86757" w:rsidRPr="00097B78">
        <w:rPr>
          <w:szCs w:val="22"/>
        </w:rPr>
        <w:t xml:space="preserve"> to new investments in acquired exchanges.”</w:t>
      </w:r>
      <w:r w:rsidR="00B86757">
        <w:rPr>
          <w:rStyle w:val="FootnoteReference"/>
          <w:szCs w:val="22"/>
        </w:rPr>
        <w:footnoteReference w:id="43"/>
      </w:r>
      <w:r w:rsidR="00B86757" w:rsidRPr="00097B78">
        <w:rPr>
          <w:szCs w:val="22"/>
        </w:rPr>
        <w:t xml:space="preserve">  </w:t>
      </w:r>
      <w:r w:rsidR="00E4240B" w:rsidRPr="00097B78">
        <w:rPr>
          <w:szCs w:val="22"/>
        </w:rPr>
        <w:t>T</w:t>
      </w:r>
      <w:r w:rsidR="003619F1" w:rsidRPr="00097B78">
        <w:rPr>
          <w:szCs w:val="22"/>
        </w:rPr>
        <w:t xml:space="preserve">o receive Safety Net Additive support, a </w:t>
      </w:r>
      <w:r w:rsidR="003619F1" w:rsidRPr="00CC5CAA">
        <w:rPr>
          <w:szCs w:val="22"/>
        </w:rPr>
        <w:t>carrier must provide written notice to USAC affirmative</w:t>
      </w:r>
      <w:r w:rsidR="0083522F" w:rsidRPr="00CC5CAA">
        <w:rPr>
          <w:szCs w:val="22"/>
        </w:rPr>
        <w:t>ly</w:t>
      </w:r>
      <w:r w:rsidR="003619F1" w:rsidRPr="00CC5CAA">
        <w:rPr>
          <w:szCs w:val="22"/>
        </w:rPr>
        <w:t xml:space="preserve"> stating that its study area meets the requirements to receive Safety Net Additive.</w:t>
      </w:r>
      <w:r w:rsidR="003619F1">
        <w:rPr>
          <w:rStyle w:val="FootnoteReference"/>
          <w:szCs w:val="22"/>
        </w:rPr>
        <w:footnoteReference w:id="44"/>
      </w:r>
      <w:r w:rsidR="0083522F" w:rsidRPr="00097B78">
        <w:rPr>
          <w:szCs w:val="22"/>
        </w:rPr>
        <w:t xml:space="preserve">  Having requested Safety Net Additive support, Madison clearly understood the</w:t>
      </w:r>
      <w:r w:rsidR="00B86757" w:rsidRPr="00CC5CAA">
        <w:rPr>
          <w:szCs w:val="22"/>
        </w:rPr>
        <w:t xml:space="preserve"> difference </w:t>
      </w:r>
      <w:r w:rsidR="00794123" w:rsidRPr="00CC5CAA">
        <w:rPr>
          <w:szCs w:val="22"/>
        </w:rPr>
        <w:t>between</w:t>
      </w:r>
      <w:r w:rsidR="00B86757" w:rsidRPr="00CC5CAA">
        <w:rPr>
          <w:szCs w:val="22"/>
        </w:rPr>
        <w:t xml:space="preserve"> SVS and Safety Net Additive</w:t>
      </w:r>
      <w:r w:rsidR="0083522F" w:rsidRPr="00CC5CAA">
        <w:rPr>
          <w:szCs w:val="22"/>
        </w:rPr>
        <w:t xml:space="preserve"> support</w:t>
      </w:r>
      <w:r w:rsidR="00E75F80" w:rsidRPr="00CC5CAA">
        <w:rPr>
          <w:szCs w:val="22"/>
        </w:rPr>
        <w:t xml:space="preserve"> and was responsible for using these funds in the appropriate exchanges</w:t>
      </w:r>
      <w:r w:rsidR="00B86757" w:rsidRPr="00CC5CAA">
        <w:rPr>
          <w:szCs w:val="22"/>
        </w:rPr>
        <w:t>.</w:t>
      </w:r>
      <w:r w:rsidR="00794123" w:rsidRPr="00CC5CAA">
        <w:rPr>
          <w:szCs w:val="22"/>
        </w:rPr>
        <w:t xml:space="preserve">  </w:t>
      </w:r>
      <w:r w:rsidR="004C01C2" w:rsidRPr="00CC5CAA">
        <w:rPr>
          <w:szCs w:val="22"/>
        </w:rPr>
        <w:t xml:space="preserve">Madison’s claim that it </w:t>
      </w:r>
      <w:r w:rsidR="00807FD7" w:rsidRPr="00CC5CAA">
        <w:rPr>
          <w:szCs w:val="22"/>
        </w:rPr>
        <w:t xml:space="preserve">failed to realize it was not receiving both SVS and Safety Net Additive is </w:t>
      </w:r>
      <w:r w:rsidR="0093554B">
        <w:rPr>
          <w:szCs w:val="22"/>
        </w:rPr>
        <w:t xml:space="preserve">surprising given </w:t>
      </w:r>
      <w:r w:rsidR="002B781B" w:rsidRPr="00097B78">
        <w:rPr>
          <w:szCs w:val="22"/>
        </w:rPr>
        <w:t xml:space="preserve">the </w:t>
      </w:r>
      <w:r w:rsidR="004C01C2" w:rsidRPr="00097B78">
        <w:rPr>
          <w:szCs w:val="22"/>
        </w:rPr>
        <w:t>vastly different amounts of each</w:t>
      </w:r>
      <w:r w:rsidR="0093554B">
        <w:rPr>
          <w:szCs w:val="22"/>
        </w:rPr>
        <w:t xml:space="preserve"> that it would have received had it properly filed its cost data.  </w:t>
      </w:r>
      <w:r w:rsidR="004C01C2" w:rsidRPr="00097B78">
        <w:rPr>
          <w:szCs w:val="22"/>
        </w:rPr>
        <w:t xml:space="preserve">  Madison received </w:t>
      </w:r>
      <w:r w:rsidR="002B781B" w:rsidRPr="00097B78">
        <w:rPr>
          <w:szCs w:val="22"/>
        </w:rPr>
        <w:t>$161,220</w:t>
      </w:r>
      <w:r w:rsidR="001821E4" w:rsidRPr="00097B78">
        <w:rPr>
          <w:szCs w:val="22"/>
        </w:rPr>
        <w:t xml:space="preserve"> </w:t>
      </w:r>
      <w:r w:rsidR="002B781B" w:rsidRPr="00097B78">
        <w:rPr>
          <w:szCs w:val="22"/>
        </w:rPr>
        <w:t>of Safety Net Additive support from January 2006 until December 2010,</w:t>
      </w:r>
      <w:r w:rsidR="00965599">
        <w:rPr>
          <w:rStyle w:val="FootnoteReference"/>
          <w:szCs w:val="22"/>
        </w:rPr>
        <w:footnoteReference w:id="45"/>
      </w:r>
      <w:r w:rsidR="00965599" w:rsidRPr="00097B78">
        <w:rPr>
          <w:szCs w:val="22"/>
        </w:rPr>
        <w:t xml:space="preserve"> </w:t>
      </w:r>
      <w:r w:rsidR="004C01C2" w:rsidRPr="00097B78">
        <w:rPr>
          <w:szCs w:val="22"/>
        </w:rPr>
        <w:t xml:space="preserve">but </w:t>
      </w:r>
      <w:r w:rsidRPr="00097B78">
        <w:rPr>
          <w:szCs w:val="22"/>
        </w:rPr>
        <w:t xml:space="preserve">now </w:t>
      </w:r>
      <w:r w:rsidR="004C01C2" w:rsidRPr="00097B78">
        <w:rPr>
          <w:szCs w:val="22"/>
        </w:rPr>
        <w:t>claims that it should have received</w:t>
      </w:r>
      <w:r w:rsidR="002B781B" w:rsidRPr="00097B78">
        <w:rPr>
          <w:szCs w:val="22"/>
        </w:rPr>
        <w:t xml:space="preserve"> $2,126,314 in SVS.</w:t>
      </w:r>
      <w:r w:rsidR="009016A7">
        <w:rPr>
          <w:rStyle w:val="FootnoteReference"/>
          <w:szCs w:val="22"/>
        </w:rPr>
        <w:footnoteReference w:id="46"/>
      </w:r>
      <w:r w:rsidR="002B781B" w:rsidRPr="00097B78">
        <w:rPr>
          <w:szCs w:val="22"/>
        </w:rPr>
        <w:t xml:space="preserve">  Reasonable diligence</w:t>
      </w:r>
      <w:r w:rsidR="003269F4" w:rsidRPr="00097B78">
        <w:rPr>
          <w:szCs w:val="22"/>
        </w:rPr>
        <w:t xml:space="preserve"> by Madison </w:t>
      </w:r>
      <w:r w:rsidR="004C01C2" w:rsidRPr="00097B78">
        <w:rPr>
          <w:szCs w:val="22"/>
        </w:rPr>
        <w:t xml:space="preserve">would have </w:t>
      </w:r>
      <w:r w:rsidRPr="00097B78">
        <w:rPr>
          <w:szCs w:val="22"/>
        </w:rPr>
        <w:t xml:space="preserve">revealed </w:t>
      </w:r>
      <w:r w:rsidR="004C01C2" w:rsidRPr="00097B78">
        <w:rPr>
          <w:szCs w:val="22"/>
        </w:rPr>
        <w:t xml:space="preserve">that the </w:t>
      </w:r>
      <w:r w:rsidR="00082C40" w:rsidRPr="00097B78">
        <w:rPr>
          <w:szCs w:val="22"/>
        </w:rPr>
        <w:t>company was not receiving even close to the total amount of SVS and Safety Net Additive support to which it was entitled</w:t>
      </w:r>
      <w:r w:rsidR="003269F4" w:rsidRPr="00097B78">
        <w:rPr>
          <w:szCs w:val="22"/>
        </w:rPr>
        <w:t>.</w:t>
      </w:r>
      <w:r w:rsidR="00BF2034">
        <w:rPr>
          <w:szCs w:val="22"/>
        </w:rPr>
        <w:t xml:space="preserve">  </w:t>
      </w:r>
      <w:r w:rsidR="00BF2034">
        <w:t>The magnitude of Madison’s delay in recognizing that it was not receiving SVS further supports our conclusion that good cause to waive the Commission’s rules has not been established.</w:t>
      </w:r>
      <w:r w:rsidR="009016A7">
        <w:rPr>
          <w:rStyle w:val="FootnoteReference"/>
        </w:rPr>
        <w:footnoteReference w:id="47"/>
      </w:r>
      <w:r w:rsidR="003269F4" w:rsidRPr="00097B78">
        <w:rPr>
          <w:szCs w:val="22"/>
        </w:rPr>
        <w:t xml:space="preserve">  </w:t>
      </w:r>
    </w:p>
    <w:p w14:paraId="3ED05D2A" w14:textId="77777777" w:rsidR="000662E0" w:rsidRPr="00097B78" w:rsidRDefault="00B44090" w:rsidP="00097B78">
      <w:pPr>
        <w:pStyle w:val="ParaNum"/>
        <w:widowControl/>
        <w:jc w:val="left"/>
        <w:rPr>
          <w:szCs w:val="22"/>
        </w:rPr>
      </w:pPr>
      <w:r w:rsidRPr="00097B78">
        <w:rPr>
          <w:szCs w:val="22"/>
        </w:rPr>
        <w:t>Finally</w:t>
      </w:r>
      <w:r w:rsidR="000662E0" w:rsidRPr="00097B78">
        <w:rPr>
          <w:szCs w:val="22"/>
        </w:rPr>
        <w:t>,</w:t>
      </w:r>
      <w:r w:rsidR="008D4BD9" w:rsidRPr="00097B78">
        <w:rPr>
          <w:szCs w:val="22"/>
        </w:rPr>
        <w:t xml:space="preserve"> </w:t>
      </w:r>
      <w:r w:rsidR="002D3B03">
        <w:rPr>
          <w:szCs w:val="22"/>
        </w:rPr>
        <w:t>the Bureau is</w:t>
      </w:r>
      <w:r w:rsidR="004A2E5C" w:rsidRPr="00097B78">
        <w:rPr>
          <w:szCs w:val="22"/>
        </w:rPr>
        <w:t xml:space="preserve"> not persuaded that the public interest would be served by waiving these deadlines </w:t>
      </w:r>
      <w:r w:rsidR="0093554B">
        <w:rPr>
          <w:szCs w:val="22"/>
        </w:rPr>
        <w:t xml:space="preserve">for a time period extending </w:t>
      </w:r>
      <w:r w:rsidR="004A2E5C" w:rsidRPr="00097B78">
        <w:rPr>
          <w:szCs w:val="22"/>
        </w:rPr>
        <w:t>longer th</w:t>
      </w:r>
      <w:r w:rsidR="004A2E5C" w:rsidRPr="00CC5CAA">
        <w:rPr>
          <w:szCs w:val="22"/>
        </w:rPr>
        <w:t xml:space="preserve">an a decade.  </w:t>
      </w:r>
      <w:r w:rsidR="00C60944" w:rsidRPr="00CC5CAA">
        <w:rPr>
          <w:szCs w:val="22"/>
        </w:rPr>
        <w:t xml:space="preserve">The argument </w:t>
      </w:r>
      <w:r w:rsidR="008D4BD9" w:rsidRPr="00CC5CAA">
        <w:rPr>
          <w:szCs w:val="22"/>
        </w:rPr>
        <w:t>the company faces substantial hardship in its ability “to provide quality service to consumers” in the absence of the requested SVS</w:t>
      </w:r>
      <w:r w:rsidR="00C60944" w:rsidRPr="00CC5CAA">
        <w:rPr>
          <w:szCs w:val="22"/>
        </w:rPr>
        <w:t xml:space="preserve"> is not persuasive</w:t>
      </w:r>
      <w:r w:rsidR="008D4BD9" w:rsidRPr="00CC5CAA">
        <w:rPr>
          <w:szCs w:val="22"/>
        </w:rPr>
        <w:t>.</w:t>
      </w:r>
      <w:r w:rsidR="008D4BD9">
        <w:rPr>
          <w:rStyle w:val="FootnoteReference"/>
          <w:szCs w:val="22"/>
        </w:rPr>
        <w:footnoteReference w:id="48"/>
      </w:r>
      <w:r w:rsidR="008D4BD9" w:rsidRPr="00097B78">
        <w:rPr>
          <w:szCs w:val="22"/>
        </w:rPr>
        <w:t xml:space="preserve">  </w:t>
      </w:r>
      <w:r w:rsidR="00CC5CAA">
        <w:rPr>
          <w:szCs w:val="22"/>
        </w:rPr>
        <w:t xml:space="preserve">Consistent with precedent, we decline to grant a waiver </w:t>
      </w:r>
      <w:r w:rsidR="0093554B">
        <w:rPr>
          <w:szCs w:val="22"/>
        </w:rPr>
        <w:t xml:space="preserve">of these filing deadlines </w:t>
      </w:r>
      <w:r w:rsidR="00CC5CAA">
        <w:rPr>
          <w:szCs w:val="22"/>
        </w:rPr>
        <w:t>merely because petitioner claims it needs the support.</w:t>
      </w:r>
      <w:r w:rsidR="00CC5CAA">
        <w:rPr>
          <w:rStyle w:val="FootnoteReference"/>
          <w:szCs w:val="22"/>
        </w:rPr>
        <w:footnoteReference w:id="49"/>
      </w:r>
      <w:r w:rsidR="00CC5CAA">
        <w:rPr>
          <w:szCs w:val="22"/>
        </w:rPr>
        <w:t xml:space="preserve">  </w:t>
      </w:r>
      <w:r w:rsidR="00C60944" w:rsidRPr="00CC5CAA">
        <w:rPr>
          <w:szCs w:val="22"/>
        </w:rPr>
        <w:t>We note in this instance</w:t>
      </w:r>
      <w:r w:rsidR="00CC5CAA">
        <w:rPr>
          <w:szCs w:val="22"/>
        </w:rPr>
        <w:t>,</w:t>
      </w:r>
      <w:r w:rsidR="002D3B03">
        <w:rPr>
          <w:szCs w:val="22"/>
        </w:rPr>
        <w:t xml:space="preserve"> </w:t>
      </w:r>
      <w:r w:rsidR="0018477B" w:rsidRPr="00CC5CAA">
        <w:rPr>
          <w:szCs w:val="22"/>
        </w:rPr>
        <w:t>even without receipt of SVS, Madison states that it “has made – and continues to make – significant investments to enhance the network infrastructure in its acquired exchanges. . . [that] have resulted in the deployment of an enhanced network capable of products and services that can accommodate the growing needs of business, residential, and anchor institution customers.”</w:t>
      </w:r>
      <w:r w:rsidR="0018477B">
        <w:rPr>
          <w:rStyle w:val="FootnoteReference"/>
          <w:szCs w:val="22"/>
        </w:rPr>
        <w:footnoteReference w:id="50"/>
      </w:r>
      <w:r w:rsidR="00897F6A" w:rsidRPr="00097B78">
        <w:rPr>
          <w:szCs w:val="22"/>
        </w:rPr>
        <w:t xml:space="preserve">  </w:t>
      </w:r>
    </w:p>
    <w:p w14:paraId="5A92F66A" w14:textId="77777777" w:rsidR="00B00E52" w:rsidRDefault="003E0D09">
      <w:pPr>
        <w:pStyle w:val="ParaNum"/>
        <w:jc w:val="left"/>
        <w:rPr>
          <w:szCs w:val="22"/>
        </w:rPr>
      </w:pPr>
      <w:r>
        <w:rPr>
          <w:szCs w:val="22"/>
        </w:rPr>
        <w:t xml:space="preserve">Therefore, </w:t>
      </w:r>
      <w:r w:rsidR="002D3B03">
        <w:rPr>
          <w:szCs w:val="22"/>
          <w:shd w:val="clear" w:color="auto" w:fill="FFFFFF"/>
        </w:rPr>
        <w:t xml:space="preserve">the Bureau </w:t>
      </w:r>
      <w:r w:rsidR="00B00E52">
        <w:rPr>
          <w:szCs w:val="22"/>
          <w:shd w:val="clear" w:color="auto" w:fill="FFFFFF"/>
        </w:rPr>
        <w:t>find</w:t>
      </w:r>
      <w:r w:rsidR="002D3B03">
        <w:rPr>
          <w:szCs w:val="22"/>
          <w:shd w:val="clear" w:color="auto" w:fill="FFFFFF"/>
        </w:rPr>
        <w:t>s</w:t>
      </w:r>
      <w:r w:rsidR="00B00E52">
        <w:rPr>
          <w:szCs w:val="22"/>
          <w:shd w:val="clear" w:color="auto" w:fill="FFFFFF"/>
        </w:rPr>
        <w:t xml:space="preserve"> that </w:t>
      </w:r>
      <w:r w:rsidR="003269F4">
        <w:rPr>
          <w:szCs w:val="22"/>
          <w:shd w:val="clear" w:color="auto" w:fill="FFFFFF"/>
        </w:rPr>
        <w:t>Madison has not shown</w:t>
      </w:r>
      <w:r w:rsidR="00B00E52">
        <w:rPr>
          <w:szCs w:val="22"/>
          <w:shd w:val="clear" w:color="auto" w:fill="FFFFFF"/>
        </w:rPr>
        <w:t xml:space="preserve"> </w:t>
      </w:r>
      <w:r w:rsidR="003269F4">
        <w:rPr>
          <w:szCs w:val="22"/>
        </w:rPr>
        <w:t>good cause for a waiver</w:t>
      </w:r>
      <w:r w:rsidR="0093554B">
        <w:rPr>
          <w:szCs w:val="22"/>
        </w:rPr>
        <w:t>.</w:t>
      </w:r>
      <w:r w:rsidR="003269F4">
        <w:rPr>
          <w:rStyle w:val="FootnoteReference"/>
          <w:szCs w:val="22"/>
        </w:rPr>
        <w:footnoteReference w:id="51"/>
      </w:r>
      <w:r w:rsidR="003269F4">
        <w:rPr>
          <w:szCs w:val="22"/>
        </w:rPr>
        <w:t xml:space="preserve"> </w:t>
      </w:r>
      <w:r w:rsidR="00B00E52">
        <w:rPr>
          <w:szCs w:val="22"/>
        </w:rPr>
        <w:t xml:space="preserve">  </w:t>
      </w:r>
      <w:r w:rsidR="000662E0">
        <w:rPr>
          <w:szCs w:val="22"/>
        </w:rPr>
        <w:t xml:space="preserve">  </w:t>
      </w:r>
    </w:p>
    <w:p w14:paraId="53041866" w14:textId="77777777" w:rsidR="0002302F" w:rsidRDefault="0002302F">
      <w:pPr>
        <w:pStyle w:val="Heading1"/>
        <w:widowControl/>
        <w:rPr>
          <w:szCs w:val="22"/>
        </w:rPr>
      </w:pPr>
      <w:r>
        <w:rPr>
          <w:szCs w:val="22"/>
        </w:rPr>
        <w:t>ORDERING CLAUSES</w:t>
      </w:r>
    </w:p>
    <w:p w14:paraId="5F28DD5D" w14:textId="77777777" w:rsidR="0002302F" w:rsidRDefault="0002302F">
      <w:pPr>
        <w:pStyle w:val="ParaNum"/>
        <w:widowControl/>
        <w:jc w:val="left"/>
        <w:rPr>
          <w:szCs w:val="22"/>
        </w:rPr>
      </w:pPr>
      <w:r>
        <w:rPr>
          <w:szCs w:val="22"/>
        </w:rPr>
        <w:t xml:space="preserve">Accordingly, IT IS ORDERED, pursuant to sections 1, 4(i), 5(c), 201, and 254 of the Communications Act of 1934, as amended, 47 U.S.C. §§ 151, 154(i), 155(c), 201, 254, </w:t>
      </w:r>
      <w:r w:rsidR="00C77FEB">
        <w:rPr>
          <w:szCs w:val="22"/>
        </w:rPr>
        <w:t xml:space="preserve">sections </w:t>
      </w:r>
      <w:r w:rsidR="00C77FEB">
        <w:t xml:space="preserve">0.91, 0.291, 1.3 </w:t>
      </w:r>
      <w:r w:rsidR="00C77FEB">
        <w:rPr>
          <w:szCs w:val="22"/>
        </w:rPr>
        <w:t xml:space="preserve">of the Commission’s rules, 47 C.F.R. §§ 0.91, 0.291, 1.3, </w:t>
      </w:r>
      <w:r>
        <w:rPr>
          <w:szCs w:val="22"/>
        </w:rPr>
        <w:t>that this Order IS ADOPTED.</w:t>
      </w:r>
    </w:p>
    <w:p w14:paraId="3DC13099" w14:textId="77777777" w:rsidR="0002302F" w:rsidRDefault="0002302F">
      <w:pPr>
        <w:pStyle w:val="ParaNum"/>
        <w:widowControl/>
        <w:jc w:val="left"/>
        <w:rPr>
          <w:szCs w:val="22"/>
        </w:rPr>
      </w:pPr>
      <w:r>
        <w:rPr>
          <w:szCs w:val="22"/>
        </w:rPr>
        <w:t>IT IS FURTHER ORDERED that the petition for waiver of section</w:t>
      </w:r>
      <w:r w:rsidR="00ED7FF8">
        <w:rPr>
          <w:szCs w:val="22"/>
        </w:rPr>
        <w:t>s</w:t>
      </w:r>
      <w:r>
        <w:rPr>
          <w:szCs w:val="22"/>
        </w:rPr>
        <w:t xml:space="preserve"> </w:t>
      </w:r>
      <w:r w:rsidR="00ED7FF8">
        <w:rPr>
          <w:szCs w:val="22"/>
        </w:rPr>
        <w:t xml:space="preserve">36.612(a)(2), 54.305(d)(2), and 54.305(f) </w:t>
      </w:r>
      <w:r>
        <w:rPr>
          <w:szCs w:val="22"/>
        </w:rPr>
        <w:t>of the Commission’s rules, 47 C.F.R. §</w:t>
      </w:r>
      <w:r w:rsidR="00ED7FF8">
        <w:rPr>
          <w:szCs w:val="22"/>
        </w:rPr>
        <w:t>§</w:t>
      </w:r>
      <w:r w:rsidR="00C77FEB">
        <w:rPr>
          <w:szCs w:val="22"/>
        </w:rPr>
        <w:t xml:space="preserve"> </w:t>
      </w:r>
      <w:r w:rsidR="00ED7FF8">
        <w:rPr>
          <w:szCs w:val="22"/>
        </w:rPr>
        <w:t>36.612(a)(2), 54.305(d)(2), and 54.305(f)</w:t>
      </w:r>
      <w:r>
        <w:rPr>
          <w:szCs w:val="22"/>
        </w:rPr>
        <w:t xml:space="preserve">, filed by </w:t>
      </w:r>
      <w:r w:rsidR="00ED7FF8">
        <w:rPr>
          <w:szCs w:val="22"/>
        </w:rPr>
        <w:t>Madison Telephone Company</w:t>
      </w:r>
      <w:r>
        <w:rPr>
          <w:szCs w:val="22"/>
        </w:rPr>
        <w:t xml:space="preserve">, IS </w:t>
      </w:r>
      <w:r w:rsidR="00BD6784">
        <w:rPr>
          <w:szCs w:val="22"/>
        </w:rPr>
        <w:t>DENIED</w:t>
      </w:r>
      <w:r>
        <w:rPr>
          <w:szCs w:val="22"/>
        </w:rPr>
        <w:t xml:space="preserve"> as described herein.</w:t>
      </w:r>
    </w:p>
    <w:p w14:paraId="37722211" w14:textId="77777777" w:rsidR="0002302F" w:rsidRDefault="0002302F">
      <w:pPr>
        <w:pStyle w:val="ParaNum"/>
        <w:widowControl/>
        <w:jc w:val="left"/>
        <w:rPr>
          <w:szCs w:val="22"/>
        </w:rPr>
      </w:pPr>
      <w:r>
        <w:rPr>
          <w:szCs w:val="22"/>
        </w:rPr>
        <w:t>IT IS FURTHER ORDERED that, pursuant to section 1.102(b)(1) of the Commission’s rules, 47 C.F.R. § 1.102(b)(1), this Order SHALL BE EFFECTIVE upon release.</w:t>
      </w:r>
    </w:p>
    <w:p w14:paraId="3091C0C4" w14:textId="77777777" w:rsidR="0002302F" w:rsidRDefault="0002302F">
      <w:pPr>
        <w:pStyle w:val="Header"/>
        <w:tabs>
          <w:tab w:val="clear" w:pos="4320"/>
          <w:tab w:val="clear" w:pos="8640"/>
        </w:tabs>
        <w:ind w:left="4320"/>
        <w:rPr>
          <w:szCs w:val="22"/>
        </w:rPr>
      </w:pPr>
    </w:p>
    <w:p w14:paraId="629CE9D4" w14:textId="77777777" w:rsidR="0002302F" w:rsidRDefault="0002302F">
      <w:pPr>
        <w:pStyle w:val="Header"/>
        <w:tabs>
          <w:tab w:val="clear" w:pos="4320"/>
          <w:tab w:val="clear" w:pos="8640"/>
        </w:tabs>
        <w:ind w:left="4320"/>
        <w:rPr>
          <w:szCs w:val="22"/>
        </w:rPr>
      </w:pPr>
      <w:r>
        <w:rPr>
          <w:szCs w:val="22"/>
        </w:rPr>
        <w:t>FEDERAL COMMUNICATIONS COMMISSION</w:t>
      </w:r>
    </w:p>
    <w:p w14:paraId="38C366EC" w14:textId="77777777" w:rsidR="0002302F" w:rsidRDefault="0002302F">
      <w:pPr>
        <w:pStyle w:val="Header"/>
        <w:tabs>
          <w:tab w:val="clear" w:pos="4320"/>
          <w:tab w:val="clear" w:pos="8640"/>
        </w:tabs>
        <w:rPr>
          <w:szCs w:val="22"/>
        </w:rPr>
      </w:pPr>
    </w:p>
    <w:p w14:paraId="3B503DB5" w14:textId="77777777" w:rsidR="0002302F" w:rsidRDefault="0002302F">
      <w:pPr>
        <w:pStyle w:val="Header"/>
        <w:tabs>
          <w:tab w:val="clear" w:pos="4320"/>
          <w:tab w:val="clear" w:pos="8640"/>
        </w:tabs>
        <w:rPr>
          <w:szCs w:val="22"/>
        </w:rPr>
      </w:pPr>
    </w:p>
    <w:p w14:paraId="105C17A8" w14:textId="77777777" w:rsidR="0002302F" w:rsidRDefault="0002302F">
      <w:pPr>
        <w:pStyle w:val="Header"/>
        <w:tabs>
          <w:tab w:val="clear" w:pos="4320"/>
          <w:tab w:val="clear" w:pos="8640"/>
        </w:tabs>
        <w:rPr>
          <w:szCs w:val="22"/>
        </w:rPr>
      </w:pPr>
    </w:p>
    <w:p w14:paraId="380445C6" w14:textId="77777777" w:rsidR="0002302F" w:rsidRDefault="0002302F">
      <w:pPr>
        <w:pStyle w:val="Header"/>
        <w:tabs>
          <w:tab w:val="clear" w:pos="4320"/>
          <w:tab w:val="clear" w:pos="8640"/>
        </w:tabs>
        <w:rPr>
          <w:szCs w:val="22"/>
        </w:rPr>
      </w:pPr>
    </w:p>
    <w:p w14:paraId="16F58A2F" w14:textId="77777777" w:rsidR="0002302F" w:rsidRDefault="0002302F">
      <w:pPr>
        <w:rPr>
          <w:szCs w:val="22"/>
        </w:rPr>
      </w:pPr>
      <w:r>
        <w:rPr>
          <w:szCs w:val="22"/>
        </w:rPr>
        <w:tab/>
      </w:r>
      <w:r>
        <w:rPr>
          <w:szCs w:val="22"/>
        </w:rPr>
        <w:tab/>
      </w:r>
      <w:r>
        <w:rPr>
          <w:szCs w:val="22"/>
        </w:rPr>
        <w:tab/>
      </w:r>
      <w:r>
        <w:rPr>
          <w:szCs w:val="22"/>
        </w:rPr>
        <w:tab/>
      </w:r>
      <w:r>
        <w:rPr>
          <w:szCs w:val="22"/>
        </w:rPr>
        <w:tab/>
      </w:r>
      <w:r>
        <w:rPr>
          <w:szCs w:val="22"/>
        </w:rPr>
        <w:tab/>
      </w:r>
      <w:r w:rsidR="008142EC">
        <w:rPr>
          <w:szCs w:val="22"/>
        </w:rPr>
        <w:t>Carol E. Mattey</w:t>
      </w:r>
      <w:r>
        <w:rPr>
          <w:szCs w:val="22"/>
        </w:rPr>
        <w:tab/>
      </w:r>
      <w:r>
        <w:rPr>
          <w:szCs w:val="22"/>
        </w:rPr>
        <w:tab/>
      </w:r>
      <w:r>
        <w:rPr>
          <w:szCs w:val="22"/>
        </w:rPr>
        <w:tab/>
      </w:r>
    </w:p>
    <w:p w14:paraId="64C2EAF7" w14:textId="77777777" w:rsidR="0002302F" w:rsidRDefault="0002302F">
      <w:pPr>
        <w:rPr>
          <w:szCs w:val="22"/>
        </w:rPr>
      </w:pPr>
      <w:r>
        <w:rPr>
          <w:szCs w:val="22"/>
        </w:rPr>
        <w:tab/>
      </w:r>
      <w:r>
        <w:rPr>
          <w:szCs w:val="22"/>
        </w:rPr>
        <w:tab/>
      </w:r>
      <w:r>
        <w:rPr>
          <w:szCs w:val="22"/>
        </w:rPr>
        <w:tab/>
      </w:r>
      <w:r>
        <w:rPr>
          <w:szCs w:val="22"/>
        </w:rPr>
        <w:tab/>
      </w:r>
      <w:r>
        <w:rPr>
          <w:szCs w:val="22"/>
        </w:rPr>
        <w:tab/>
      </w:r>
      <w:r>
        <w:rPr>
          <w:szCs w:val="22"/>
        </w:rPr>
        <w:tab/>
      </w:r>
      <w:r w:rsidR="008142EC">
        <w:rPr>
          <w:szCs w:val="22"/>
        </w:rPr>
        <w:t>Deputy Chief</w:t>
      </w:r>
    </w:p>
    <w:p w14:paraId="24BCE0EC" w14:textId="77777777" w:rsidR="0002302F" w:rsidRDefault="0002302F" w:rsidP="00ED7FF8">
      <w:pPr>
        <w:pStyle w:val="ParaNum"/>
        <w:numPr>
          <w:ilvl w:val="0"/>
          <w:numId w:val="0"/>
        </w:numPr>
        <w:spacing w:after="0"/>
        <w:ind w:firstLine="720"/>
        <w:jc w:val="left"/>
        <w:rPr>
          <w:szCs w:val="22"/>
        </w:rPr>
      </w:pPr>
      <w:r>
        <w:rPr>
          <w:szCs w:val="22"/>
        </w:rPr>
        <w:tab/>
      </w:r>
      <w:r>
        <w:rPr>
          <w:szCs w:val="22"/>
        </w:rPr>
        <w:tab/>
      </w:r>
      <w:r>
        <w:rPr>
          <w:szCs w:val="22"/>
        </w:rPr>
        <w:tab/>
      </w:r>
      <w:r>
        <w:rPr>
          <w:szCs w:val="22"/>
        </w:rPr>
        <w:tab/>
      </w:r>
      <w:r>
        <w:rPr>
          <w:szCs w:val="22"/>
        </w:rPr>
        <w:tab/>
      </w:r>
      <w:r w:rsidR="008142EC">
        <w:rPr>
          <w:szCs w:val="22"/>
        </w:rPr>
        <w:t>Wireline Competition Bureau</w:t>
      </w:r>
    </w:p>
    <w:sectPr w:rsidR="0002302F" w:rsidSect="00A279F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B892A6" w14:textId="77777777" w:rsidR="001E6F98" w:rsidRDefault="001E6F98">
      <w:r>
        <w:separator/>
      </w:r>
    </w:p>
  </w:endnote>
  <w:endnote w:type="continuationSeparator" w:id="0">
    <w:p w14:paraId="0065B028" w14:textId="77777777" w:rsidR="001E6F98" w:rsidRDefault="001E6F98">
      <w:r>
        <w:continuationSeparator/>
      </w:r>
    </w:p>
  </w:endnote>
  <w:endnote w:type="continuationNotice" w:id="1">
    <w:p w14:paraId="68B7C7A8" w14:textId="77777777" w:rsidR="001E6F98" w:rsidRDefault="001E6F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FF971" w14:textId="77777777" w:rsidR="003572B2" w:rsidRDefault="003572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759E9" w14:textId="77777777" w:rsidR="00B525F8" w:rsidRDefault="00B525F8">
    <w:pPr>
      <w:pStyle w:val="Footer"/>
      <w:jc w:val="center"/>
    </w:pPr>
    <w:r>
      <w:rPr>
        <w:rStyle w:val="PageNumber"/>
      </w:rPr>
      <w:fldChar w:fldCharType="begin"/>
    </w:r>
    <w:r>
      <w:rPr>
        <w:rStyle w:val="PageNumber"/>
      </w:rPr>
      <w:instrText xml:space="preserve"> PAGE </w:instrText>
    </w:r>
    <w:r>
      <w:rPr>
        <w:rStyle w:val="PageNumber"/>
      </w:rPr>
      <w:fldChar w:fldCharType="separate"/>
    </w:r>
    <w:r w:rsidR="00A279F6">
      <w:rPr>
        <w:rStyle w:val="PageNumber"/>
        <w:noProof/>
      </w:rPr>
      <w:t>6</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1543F" w14:textId="77777777" w:rsidR="003572B2" w:rsidRDefault="003572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72CE3B" w14:textId="77777777" w:rsidR="001E6F98" w:rsidRDefault="001E6F98">
      <w:pPr>
        <w:rPr>
          <w:sz w:val="20"/>
        </w:rPr>
      </w:pPr>
      <w:r>
        <w:rPr>
          <w:sz w:val="20"/>
        </w:rPr>
        <w:separator/>
      </w:r>
    </w:p>
  </w:footnote>
  <w:footnote w:type="continuationSeparator" w:id="0">
    <w:p w14:paraId="22EE094B" w14:textId="77777777" w:rsidR="001E6F98" w:rsidRDefault="001E6F98">
      <w:pPr>
        <w:rPr>
          <w:sz w:val="20"/>
        </w:rPr>
      </w:pPr>
      <w:r>
        <w:rPr>
          <w:sz w:val="20"/>
        </w:rPr>
        <w:t xml:space="preserve">(Continued from previous page) </w:t>
      </w:r>
      <w:r>
        <w:rPr>
          <w:sz w:val="20"/>
        </w:rPr>
        <w:separator/>
      </w:r>
    </w:p>
  </w:footnote>
  <w:footnote w:type="continuationNotice" w:id="1">
    <w:p w14:paraId="61274A53" w14:textId="77777777" w:rsidR="001E6F98" w:rsidRDefault="001E6F98">
      <w:pPr>
        <w:jc w:val="right"/>
        <w:rPr>
          <w:sz w:val="20"/>
        </w:rPr>
      </w:pPr>
      <w:r>
        <w:rPr>
          <w:sz w:val="20"/>
        </w:rPr>
        <w:t>(continued...)</w:t>
      </w:r>
    </w:p>
  </w:footnote>
  <w:footnote w:id="2">
    <w:p w14:paraId="7D0D7361" w14:textId="77777777" w:rsidR="00B525F8" w:rsidRPr="00747656" w:rsidRDefault="00B525F8" w:rsidP="00656311">
      <w:pPr>
        <w:pStyle w:val="FootnoteText"/>
        <w:jc w:val="left"/>
      </w:pPr>
      <w:r w:rsidRPr="00747656">
        <w:rPr>
          <w:rStyle w:val="FootnoteReference"/>
        </w:rPr>
        <w:footnoteRef/>
      </w:r>
      <w:r w:rsidRPr="00747656">
        <w:t xml:space="preserve"> Madison Telephone Company Petition for Waiver of 47 C.F.R. §§ 36.612(a)(2),  54.305(d)(2), 54.305(f) of the Commission’s Rules, WC Docket No. 08-71 (filed Nov. 7, 2013) (Madison Petition)</w:t>
      </w:r>
      <w:r w:rsidR="000C6055" w:rsidRPr="00747656">
        <w:t>.</w:t>
      </w:r>
      <w:r w:rsidRPr="00747656">
        <w:t xml:space="preserve"> </w:t>
      </w:r>
    </w:p>
  </w:footnote>
  <w:footnote w:id="3">
    <w:p w14:paraId="0810528B" w14:textId="77777777" w:rsidR="00B525F8" w:rsidRPr="00747656" w:rsidRDefault="00B525F8" w:rsidP="0005047D">
      <w:pPr>
        <w:autoSpaceDE w:val="0"/>
        <w:autoSpaceDN w:val="0"/>
        <w:adjustRightInd w:val="0"/>
        <w:spacing w:after="120"/>
        <w:rPr>
          <w:sz w:val="20"/>
        </w:rPr>
      </w:pPr>
      <w:r w:rsidRPr="00747656">
        <w:rPr>
          <w:rStyle w:val="FootnoteReference"/>
          <w:sz w:val="20"/>
        </w:rPr>
        <w:footnoteRef/>
      </w:r>
      <w:r w:rsidRPr="00747656">
        <w:rPr>
          <w:sz w:val="20"/>
        </w:rPr>
        <w:t xml:space="preserve"> </w:t>
      </w:r>
      <w:r w:rsidRPr="00747656">
        <w:rPr>
          <w:i/>
          <w:iCs/>
          <w:sz w:val="20"/>
        </w:rPr>
        <w:t xml:space="preserve">Northeast Cellular Telephone Co. v. FCC, </w:t>
      </w:r>
      <w:r w:rsidRPr="00747656">
        <w:rPr>
          <w:sz w:val="20"/>
        </w:rPr>
        <w:t xml:space="preserve">897 F.2d 1164, 1166 (D.C. Cir. 1990).   </w:t>
      </w:r>
    </w:p>
  </w:footnote>
  <w:footnote w:id="4">
    <w:p w14:paraId="753B4D2C" w14:textId="4EB9FFD8" w:rsidR="00B525F8" w:rsidRPr="00747656" w:rsidRDefault="00B525F8" w:rsidP="00BA0056">
      <w:pPr>
        <w:pStyle w:val="FootnoteText"/>
        <w:jc w:val="left"/>
      </w:pPr>
      <w:r w:rsidRPr="00747656">
        <w:rPr>
          <w:rStyle w:val="FootnoteReference"/>
        </w:rPr>
        <w:footnoteRef/>
      </w:r>
      <w:r w:rsidRPr="00747656">
        <w:t xml:space="preserve"> </w:t>
      </w:r>
      <w:r w:rsidR="00A80508" w:rsidRPr="00747656">
        <w:rPr>
          <w:i/>
        </w:rPr>
        <w:t xml:space="preserve">See </w:t>
      </w:r>
      <w:r w:rsidR="00A80508" w:rsidRPr="00747656">
        <w:rPr>
          <w:i/>
          <w:color w:val="000000"/>
          <w:shd w:val="clear" w:color="auto" w:fill="FFFFFF"/>
        </w:rPr>
        <w:t>Multi-Association Group (MAG) Plan for Regulation of Interstate Services of Non-Price Cap Incumbent Local Exchange Carriers and Interexchange Carriers</w:t>
      </w:r>
      <w:r w:rsidR="00A80508" w:rsidRPr="00747656">
        <w:rPr>
          <w:color w:val="000000"/>
          <w:shd w:val="clear" w:color="auto" w:fill="FFFFFF"/>
        </w:rPr>
        <w:t xml:space="preserve">, </w:t>
      </w:r>
      <w:r w:rsidR="00A46DD4" w:rsidRPr="00747656">
        <w:rPr>
          <w:color w:val="000000"/>
          <w:shd w:val="clear" w:color="auto" w:fill="FFFFFF"/>
        </w:rPr>
        <w:t>CC Docket No. 96-45 et al.,</w:t>
      </w:r>
      <w:r w:rsidR="00A46DD4">
        <w:rPr>
          <w:color w:val="000000"/>
          <w:shd w:val="clear" w:color="auto" w:fill="FFFFFF"/>
        </w:rPr>
        <w:t xml:space="preserve"> </w:t>
      </w:r>
      <w:r w:rsidR="00A80508" w:rsidRPr="00747656">
        <w:rPr>
          <w:color w:val="000000"/>
          <w:shd w:val="clear" w:color="auto" w:fill="FFFFFF"/>
        </w:rPr>
        <w:t xml:space="preserve">Fourteenth Report and Order, Twenty-Second Order on Reconsideration, and Further Notice of Proposed Rulemaking, </w:t>
      </w:r>
      <w:r w:rsidR="002D336E" w:rsidRPr="00747656">
        <w:rPr>
          <w:color w:val="000000"/>
          <w:shd w:val="clear" w:color="auto" w:fill="FFFFFF"/>
        </w:rPr>
        <w:t>16 FCC Rcd 11244,  11284-89</w:t>
      </w:r>
      <w:r w:rsidR="00A80508" w:rsidRPr="00747656">
        <w:rPr>
          <w:color w:val="000000"/>
          <w:shd w:val="clear" w:color="auto" w:fill="FFFFFF"/>
        </w:rPr>
        <w:t>, paras. 97-106 (2001) (</w:t>
      </w:r>
      <w:r w:rsidR="00A80508" w:rsidRPr="00747656">
        <w:rPr>
          <w:i/>
          <w:color w:val="000000"/>
          <w:shd w:val="clear" w:color="auto" w:fill="FFFFFF"/>
        </w:rPr>
        <w:t>Rural Task Force Order</w:t>
      </w:r>
      <w:r w:rsidR="00A80508" w:rsidRPr="00747656">
        <w:rPr>
          <w:color w:val="000000"/>
          <w:shd w:val="clear" w:color="auto" w:fill="FFFFFF"/>
        </w:rPr>
        <w:t>).</w:t>
      </w:r>
    </w:p>
  </w:footnote>
  <w:footnote w:id="5">
    <w:p w14:paraId="7F0C9767" w14:textId="77777777" w:rsidR="00B525F8" w:rsidRPr="00747656" w:rsidRDefault="00B525F8" w:rsidP="00BA0056">
      <w:pPr>
        <w:pStyle w:val="FootnoteText"/>
        <w:jc w:val="left"/>
      </w:pPr>
      <w:r w:rsidRPr="00747656">
        <w:rPr>
          <w:rStyle w:val="FootnoteReference"/>
        </w:rPr>
        <w:footnoteRef/>
      </w:r>
      <w:r w:rsidRPr="00747656">
        <w:t xml:space="preserve"> </w:t>
      </w:r>
      <w:r w:rsidRPr="00747656">
        <w:rPr>
          <w:i/>
        </w:rPr>
        <w:t>Id</w:t>
      </w:r>
      <w:r w:rsidRPr="00747656">
        <w:t xml:space="preserve">. at </w:t>
      </w:r>
      <w:r w:rsidR="00405BF9" w:rsidRPr="00747656">
        <w:t>11285-86</w:t>
      </w:r>
      <w:r w:rsidRPr="00747656">
        <w:t>, para. 99.</w:t>
      </w:r>
    </w:p>
  </w:footnote>
  <w:footnote w:id="6">
    <w:p w14:paraId="21194561" w14:textId="77777777" w:rsidR="00AC1A34" w:rsidRPr="00747656" w:rsidRDefault="00AC1A34" w:rsidP="00BA0056">
      <w:pPr>
        <w:pStyle w:val="FootnoteText"/>
        <w:jc w:val="left"/>
      </w:pPr>
      <w:r w:rsidRPr="00747656">
        <w:rPr>
          <w:rStyle w:val="FootnoteReference"/>
        </w:rPr>
        <w:footnoteRef/>
      </w:r>
      <w:r w:rsidRPr="00747656">
        <w:t xml:space="preserve"> </w:t>
      </w:r>
      <w:r w:rsidRPr="00747656">
        <w:rPr>
          <w:i/>
        </w:rPr>
        <w:t>See id.</w:t>
      </w:r>
    </w:p>
  </w:footnote>
  <w:footnote w:id="7">
    <w:p w14:paraId="6187508F" w14:textId="77777777" w:rsidR="00B525F8" w:rsidRPr="00747656" w:rsidRDefault="00B525F8" w:rsidP="00BA0056">
      <w:pPr>
        <w:pStyle w:val="FootnoteText"/>
        <w:jc w:val="left"/>
        <w:rPr>
          <w:i/>
        </w:rPr>
      </w:pPr>
      <w:r w:rsidRPr="00747656">
        <w:rPr>
          <w:rStyle w:val="FootnoteReference"/>
        </w:rPr>
        <w:footnoteRef/>
      </w:r>
      <w:r w:rsidRPr="00747656">
        <w:t xml:space="preserve"> </w:t>
      </w:r>
      <w:r w:rsidRPr="00747656">
        <w:rPr>
          <w:i/>
        </w:rPr>
        <w:t>See id.</w:t>
      </w:r>
      <w:r w:rsidRPr="00747656">
        <w:t>;</w:t>
      </w:r>
      <w:r w:rsidRPr="00747656">
        <w:rPr>
          <w:i/>
        </w:rPr>
        <w:t xml:space="preserve"> </w:t>
      </w:r>
      <w:r w:rsidRPr="00747656">
        <w:t>47 C.F.R. § 36.611.</w:t>
      </w:r>
    </w:p>
  </w:footnote>
  <w:footnote w:id="8">
    <w:p w14:paraId="1F2A723E" w14:textId="77777777" w:rsidR="00B525F8" w:rsidRPr="00747656" w:rsidRDefault="00B525F8" w:rsidP="00BA0056">
      <w:pPr>
        <w:pStyle w:val="FootnoteText"/>
        <w:jc w:val="left"/>
      </w:pPr>
      <w:r w:rsidRPr="00747656">
        <w:rPr>
          <w:rStyle w:val="FootnoteReference"/>
        </w:rPr>
        <w:footnoteRef/>
      </w:r>
      <w:r w:rsidRPr="00747656">
        <w:t xml:space="preserve"> </w:t>
      </w:r>
      <w:r w:rsidRPr="00747656">
        <w:rPr>
          <w:i/>
        </w:rPr>
        <w:t>See Rural Task Force Order</w:t>
      </w:r>
      <w:r w:rsidR="00927A18" w:rsidRPr="00927A18">
        <w:t>,</w:t>
      </w:r>
      <w:r w:rsidRPr="00747656">
        <w:rPr>
          <w:i/>
        </w:rPr>
        <w:t xml:space="preserve"> </w:t>
      </w:r>
      <w:r w:rsidR="00E66E97" w:rsidRPr="00747656">
        <w:rPr>
          <w:color w:val="000000"/>
          <w:shd w:val="clear" w:color="auto" w:fill="FFFFFF"/>
        </w:rPr>
        <w:t xml:space="preserve">16 FCC Rcd </w:t>
      </w:r>
      <w:r w:rsidRPr="00747656">
        <w:t xml:space="preserve">at </w:t>
      </w:r>
      <w:r w:rsidR="00405BF9" w:rsidRPr="00747656">
        <w:t>11285-86</w:t>
      </w:r>
      <w:r w:rsidRPr="00747656">
        <w:t>, para. 99;</w:t>
      </w:r>
      <w:r w:rsidRPr="00747656">
        <w:rPr>
          <w:i/>
        </w:rPr>
        <w:t xml:space="preserve"> </w:t>
      </w:r>
      <w:r w:rsidRPr="00747656">
        <w:t>47 C.F.R. § 36.612.</w:t>
      </w:r>
    </w:p>
  </w:footnote>
  <w:footnote w:id="9">
    <w:p w14:paraId="3A6D6467" w14:textId="77777777" w:rsidR="00B525F8" w:rsidRPr="00747656" w:rsidRDefault="00B525F8" w:rsidP="00BA0056">
      <w:pPr>
        <w:pStyle w:val="FootnoteText"/>
        <w:jc w:val="left"/>
      </w:pPr>
      <w:r w:rsidRPr="00747656">
        <w:rPr>
          <w:rStyle w:val="FootnoteReference"/>
        </w:rPr>
        <w:footnoteRef/>
      </w:r>
      <w:r w:rsidRPr="00747656">
        <w:t xml:space="preserve"> </w:t>
      </w:r>
      <w:r w:rsidRPr="00747656">
        <w:rPr>
          <w:i/>
        </w:rPr>
        <w:t>See id.</w:t>
      </w:r>
    </w:p>
  </w:footnote>
  <w:footnote w:id="10">
    <w:p w14:paraId="11B19FE2" w14:textId="77777777" w:rsidR="00B525F8" w:rsidRPr="00747656" w:rsidRDefault="00B525F8" w:rsidP="00BA0056">
      <w:pPr>
        <w:pStyle w:val="FootnoteText"/>
        <w:jc w:val="left"/>
      </w:pPr>
      <w:r w:rsidRPr="00747656">
        <w:rPr>
          <w:rStyle w:val="FootnoteReference"/>
        </w:rPr>
        <w:footnoteRef/>
      </w:r>
      <w:r w:rsidRPr="00747656">
        <w:t xml:space="preserve"> </w:t>
      </w:r>
      <w:r w:rsidRPr="00747656">
        <w:rPr>
          <w:i/>
        </w:rPr>
        <w:t>See id.</w:t>
      </w:r>
    </w:p>
  </w:footnote>
  <w:footnote w:id="11">
    <w:p w14:paraId="664F5A1F" w14:textId="77777777" w:rsidR="00B525F8" w:rsidRPr="00747656" w:rsidRDefault="00B525F8" w:rsidP="00BA0056">
      <w:pPr>
        <w:pStyle w:val="FootnoteText"/>
        <w:jc w:val="left"/>
      </w:pPr>
      <w:r w:rsidRPr="00747656">
        <w:rPr>
          <w:rStyle w:val="FootnoteReference"/>
        </w:rPr>
        <w:footnoteRef/>
      </w:r>
      <w:r w:rsidRPr="00747656">
        <w:t xml:space="preserve"> </w:t>
      </w:r>
      <w:r w:rsidRPr="00747656">
        <w:rPr>
          <w:i/>
        </w:rPr>
        <w:t>See id.</w:t>
      </w:r>
    </w:p>
  </w:footnote>
  <w:footnote w:id="12">
    <w:p w14:paraId="0D4139DF" w14:textId="77777777" w:rsidR="00457880" w:rsidRPr="00747656" w:rsidRDefault="00457880" w:rsidP="00457880">
      <w:pPr>
        <w:pStyle w:val="FootnoteText"/>
        <w:jc w:val="left"/>
      </w:pPr>
      <w:r w:rsidRPr="00747656">
        <w:rPr>
          <w:rStyle w:val="FootnoteReference"/>
        </w:rPr>
        <w:footnoteRef/>
      </w:r>
      <w:r w:rsidRPr="00747656">
        <w:t xml:space="preserve"> Madison Petition at 4.</w:t>
      </w:r>
    </w:p>
  </w:footnote>
  <w:footnote w:id="13">
    <w:p w14:paraId="1A55D4FD" w14:textId="5098EC2A" w:rsidR="00B525F8" w:rsidRPr="00747656" w:rsidRDefault="00B525F8" w:rsidP="00BA0056">
      <w:pPr>
        <w:pStyle w:val="FootnoteText"/>
        <w:jc w:val="left"/>
      </w:pPr>
      <w:r w:rsidRPr="00747656">
        <w:rPr>
          <w:rStyle w:val="FootnoteReference"/>
        </w:rPr>
        <w:footnoteRef/>
      </w:r>
      <w:r w:rsidRPr="00747656">
        <w:t xml:space="preserve"> </w:t>
      </w:r>
      <w:r w:rsidRPr="00747656">
        <w:rPr>
          <w:i/>
        </w:rPr>
        <w:t xml:space="preserve">See id. </w:t>
      </w:r>
      <w:r w:rsidR="001B595F">
        <w:t>at 5,</w:t>
      </w:r>
      <w:r w:rsidRPr="00747656">
        <w:t xml:space="preserve"> Attach. A.</w:t>
      </w:r>
    </w:p>
  </w:footnote>
  <w:footnote w:id="14">
    <w:p w14:paraId="69D8B17E" w14:textId="77777777" w:rsidR="00B525F8" w:rsidRPr="00747656" w:rsidRDefault="00B525F8" w:rsidP="00BA0056">
      <w:pPr>
        <w:pStyle w:val="FootnoteText"/>
        <w:jc w:val="left"/>
        <w:rPr>
          <w:i/>
        </w:rPr>
      </w:pPr>
      <w:r w:rsidRPr="00747656">
        <w:rPr>
          <w:rStyle w:val="FootnoteReference"/>
        </w:rPr>
        <w:footnoteRef/>
      </w:r>
      <w:r w:rsidRPr="00747656">
        <w:t xml:space="preserve"> </w:t>
      </w:r>
      <w:r w:rsidRPr="00747656">
        <w:rPr>
          <w:i/>
        </w:rPr>
        <w:t>See id.</w:t>
      </w:r>
      <w:r w:rsidRPr="00747656">
        <w:t xml:space="preserve"> Pursuant to section 54.305(d)(2), for carriers that opt to establish the first year of operation of the acquired exchanges at the beginning of the next calendar quarter following the transfer of the exchanges, the index year shall be determined using cost data in accordance with section 36.612.  </w:t>
      </w:r>
      <w:r w:rsidRPr="00747656">
        <w:rPr>
          <w:i/>
        </w:rPr>
        <w:t xml:space="preserve">See </w:t>
      </w:r>
      <w:r w:rsidRPr="00747656">
        <w:t>47 C.F.R. §§ 36.612, 54.305(d)(2).</w:t>
      </w:r>
    </w:p>
  </w:footnote>
  <w:footnote w:id="15">
    <w:p w14:paraId="391E28D5" w14:textId="15A8FA47" w:rsidR="00B525F8" w:rsidRPr="00747656" w:rsidRDefault="00B525F8" w:rsidP="00BA0056">
      <w:pPr>
        <w:pStyle w:val="FootnoteText"/>
        <w:jc w:val="left"/>
      </w:pPr>
      <w:r w:rsidRPr="00747656">
        <w:rPr>
          <w:rStyle w:val="FootnoteReference"/>
        </w:rPr>
        <w:footnoteRef/>
      </w:r>
      <w:r w:rsidRPr="00747656">
        <w:t xml:space="preserve"> </w:t>
      </w:r>
      <w:r w:rsidRPr="00747656">
        <w:rPr>
          <w:i/>
        </w:rPr>
        <w:t xml:space="preserve">See </w:t>
      </w:r>
      <w:r w:rsidRPr="00747656">
        <w:t>Madison Petition</w:t>
      </w:r>
      <w:r w:rsidRPr="00747656">
        <w:rPr>
          <w:i/>
        </w:rPr>
        <w:t xml:space="preserve"> </w:t>
      </w:r>
      <w:r w:rsidR="001B595F">
        <w:t>at 5,</w:t>
      </w:r>
      <w:r w:rsidRPr="00747656">
        <w:t xml:space="preserve"> Attach. A.</w:t>
      </w:r>
    </w:p>
  </w:footnote>
  <w:footnote w:id="16">
    <w:p w14:paraId="55114919" w14:textId="77777777" w:rsidR="00B525F8" w:rsidRPr="00747656" w:rsidRDefault="00B525F8" w:rsidP="00BA0056">
      <w:pPr>
        <w:pStyle w:val="FootnoteText"/>
        <w:jc w:val="left"/>
      </w:pPr>
      <w:r w:rsidRPr="00747656">
        <w:rPr>
          <w:rStyle w:val="FootnoteReference"/>
        </w:rPr>
        <w:footnoteRef/>
      </w:r>
      <w:r w:rsidRPr="00747656">
        <w:t xml:space="preserve"> </w:t>
      </w:r>
      <w:r w:rsidRPr="00747656">
        <w:rPr>
          <w:i/>
        </w:rPr>
        <w:t>See id.</w:t>
      </w:r>
    </w:p>
  </w:footnote>
  <w:footnote w:id="17">
    <w:p w14:paraId="132E1622" w14:textId="0E96224E" w:rsidR="00B525F8" w:rsidRPr="00747656" w:rsidRDefault="00B525F8" w:rsidP="00BA0056">
      <w:pPr>
        <w:pStyle w:val="FootnoteText"/>
        <w:jc w:val="left"/>
      </w:pPr>
      <w:r w:rsidRPr="00747656">
        <w:rPr>
          <w:rStyle w:val="FootnoteReference"/>
        </w:rPr>
        <w:footnoteRef/>
      </w:r>
      <w:r w:rsidRPr="00747656">
        <w:t xml:space="preserve"> </w:t>
      </w:r>
      <w:r w:rsidRPr="00747656">
        <w:rPr>
          <w:i/>
        </w:rPr>
        <w:t xml:space="preserve">See </w:t>
      </w:r>
      <w:r w:rsidRPr="00747656">
        <w:t>Madison Petition</w:t>
      </w:r>
      <w:r w:rsidRPr="00747656">
        <w:rPr>
          <w:i/>
        </w:rPr>
        <w:t xml:space="preserve"> </w:t>
      </w:r>
      <w:r w:rsidR="001B595F">
        <w:t>at 5-6,</w:t>
      </w:r>
      <w:r w:rsidRPr="00747656">
        <w:t xml:space="preserve"> Attach. C.</w:t>
      </w:r>
    </w:p>
  </w:footnote>
  <w:footnote w:id="18">
    <w:p w14:paraId="6A13C5DB" w14:textId="77777777" w:rsidR="00B525F8" w:rsidRPr="00747656" w:rsidRDefault="00B525F8" w:rsidP="00BA0056">
      <w:pPr>
        <w:pStyle w:val="FootnoteText"/>
        <w:jc w:val="left"/>
      </w:pPr>
      <w:r w:rsidRPr="00747656">
        <w:rPr>
          <w:rStyle w:val="FootnoteReference"/>
        </w:rPr>
        <w:footnoteRef/>
      </w:r>
      <w:r w:rsidRPr="00747656">
        <w:t xml:space="preserve"> </w:t>
      </w:r>
      <w:r w:rsidRPr="00747656">
        <w:rPr>
          <w:i/>
        </w:rPr>
        <w:t xml:space="preserve">See </w:t>
      </w:r>
      <w:r w:rsidRPr="00747656">
        <w:t>Madison Petition</w:t>
      </w:r>
      <w:r w:rsidRPr="00747656">
        <w:rPr>
          <w:i/>
        </w:rPr>
        <w:t xml:space="preserve"> </w:t>
      </w:r>
      <w:r w:rsidRPr="00747656">
        <w:t>at 6.</w:t>
      </w:r>
    </w:p>
  </w:footnote>
  <w:footnote w:id="19">
    <w:p w14:paraId="139A428B" w14:textId="77777777" w:rsidR="00B525F8" w:rsidRPr="00747656" w:rsidRDefault="00B525F8" w:rsidP="00BA0056">
      <w:pPr>
        <w:pStyle w:val="FootnoteText"/>
        <w:jc w:val="left"/>
      </w:pPr>
      <w:r w:rsidRPr="00747656">
        <w:rPr>
          <w:rStyle w:val="FootnoteReference"/>
        </w:rPr>
        <w:footnoteRef/>
      </w:r>
      <w:r w:rsidRPr="00747656">
        <w:t xml:space="preserve"> </w:t>
      </w:r>
      <w:r w:rsidRPr="00747656">
        <w:rPr>
          <w:i/>
        </w:rPr>
        <w:t>See id.</w:t>
      </w:r>
    </w:p>
  </w:footnote>
  <w:footnote w:id="20">
    <w:p w14:paraId="1FF79C20" w14:textId="30AEB9C4" w:rsidR="00B525F8" w:rsidRPr="00747656" w:rsidRDefault="00B525F8" w:rsidP="00BA0056">
      <w:pPr>
        <w:pStyle w:val="FootnoteText"/>
        <w:jc w:val="left"/>
      </w:pPr>
      <w:r w:rsidRPr="00747656">
        <w:rPr>
          <w:rStyle w:val="FootnoteReference"/>
        </w:rPr>
        <w:footnoteRef/>
      </w:r>
      <w:r w:rsidRPr="00747656">
        <w:t xml:space="preserve"> </w:t>
      </w:r>
      <w:r w:rsidRPr="00747656">
        <w:rPr>
          <w:i/>
        </w:rPr>
        <w:t xml:space="preserve">See </w:t>
      </w:r>
      <w:r w:rsidRPr="00747656">
        <w:t>Madison Petition</w:t>
      </w:r>
      <w:r w:rsidRPr="00747656">
        <w:rPr>
          <w:i/>
        </w:rPr>
        <w:t xml:space="preserve"> </w:t>
      </w:r>
      <w:r w:rsidR="001B595F">
        <w:t>at 6-7,</w:t>
      </w:r>
      <w:r w:rsidRPr="00747656">
        <w:t xml:space="preserve"> Attach. E</w:t>
      </w:r>
      <w:r w:rsidR="00AA45EC" w:rsidRPr="00747656">
        <w:t>, F</w:t>
      </w:r>
      <w:r w:rsidRPr="00747656">
        <w:t>.</w:t>
      </w:r>
    </w:p>
  </w:footnote>
  <w:footnote w:id="21">
    <w:p w14:paraId="792D31FE" w14:textId="77777777" w:rsidR="00B525F8" w:rsidRPr="00747656" w:rsidRDefault="00B525F8" w:rsidP="00BA0056">
      <w:pPr>
        <w:pStyle w:val="FootnoteText"/>
        <w:jc w:val="left"/>
      </w:pPr>
      <w:r w:rsidRPr="00747656">
        <w:rPr>
          <w:rStyle w:val="FootnoteReference"/>
        </w:rPr>
        <w:footnoteRef/>
      </w:r>
      <w:r w:rsidRPr="00747656">
        <w:t xml:space="preserve"> </w:t>
      </w:r>
      <w:r w:rsidRPr="00747656">
        <w:rPr>
          <w:i/>
        </w:rPr>
        <w:t xml:space="preserve">See </w:t>
      </w:r>
      <w:r w:rsidR="00DB1C65" w:rsidRPr="00747656">
        <w:rPr>
          <w:i/>
        </w:rPr>
        <w:t>id.</w:t>
      </w:r>
    </w:p>
  </w:footnote>
  <w:footnote w:id="22">
    <w:p w14:paraId="55E3CA38" w14:textId="3A196D38" w:rsidR="00B525F8" w:rsidRPr="00747656" w:rsidRDefault="00B525F8" w:rsidP="00BA0056">
      <w:pPr>
        <w:pStyle w:val="FootnoteText"/>
        <w:jc w:val="left"/>
      </w:pPr>
      <w:r w:rsidRPr="00747656">
        <w:rPr>
          <w:rStyle w:val="FootnoteReference"/>
        </w:rPr>
        <w:footnoteRef/>
      </w:r>
      <w:r w:rsidRPr="00747656">
        <w:t xml:space="preserve"> </w:t>
      </w:r>
      <w:r w:rsidRPr="00747656">
        <w:rPr>
          <w:i/>
        </w:rPr>
        <w:t xml:space="preserve">See </w:t>
      </w:r>
      <w:r w:rsidRPr="00747656">
        <w:t>Madison Petition</w:t>
      </w:r>
      <w:r w:rsidRPr="00747656">
        <w:rPr>
          <w:i/>
        </w:rPr>
        <w:t xml:space="preserve"> </w:t>
      </w:r>
      <w:r w:rsidR="001B595F">
        <w:t>at 7,</w:t>
      </w:r>
      <w:r w:rsidRPr="00747656">
        <w:t xml:space="preserve"> Attach. G</w:t>
      </w:r>
      <w:r w:rsidR="00E66E97" w:rsidRPr="00747656">
        <w:t>.</w:t>
      </w:r>
    </w:p>
  </w:footnote>
  <w:footnote w:id="23">
    <w:p w14:paraId="1ED1A43B" w14:textId="77777777" w:rsidR="00B525F8" w:rsidRPr="00747656" w:rsidRDefault="00B525F8" w:rsidP="00BA0056">
      <w:pPr>
        <w:pStyle w:val="FootnoteText"/>
        <w:jc w:val="left"/>
      </w:pPr>
      <w:r w:rsidRPr="00747656">
        <w:rPr>
          <w:rStyle w:val="FootnoteReference"/>
        </w:rPr>
        <w:footnoteRef/>
      </w:r>
      <w:r w:rsidRPr="00747656">
        <w:t xml:space="preserve"> </w:t>
      </w:r>
      <w:r w:rsidRPr="00747656">
        <w:rPr>
          <w:i/>
        </w:rPr>
        <w:t>See id.</w:t>
      </w:r>
    </w:p>
  </w:footnote>
  <w:footnote w:id="24">
    <w:p w14:paraId="6B9635C3" w14:textId="77777777" w:rsidR="00B525F8" w:rsidRPr="00747656" w:rsidRDefault="00B525F8" w:rsidP="00BA0056">
      <w:pPr>
        <w:pStyle w:val="FootnoteText"/>
        <w:jc w:val="left"/>
      </w:pPr>
      <w:r w:rsidRPr="00747656">
        <w:rPr>
          <w:rStyle w:val="FootnoteReference"/>
        </w:rPr>
        <w:footnoteRef/>
      </w:r>
      <w:r w:rsidRPr="00747656">
        <w:t xml:space="preserve"> </w:t>
      </w:r>
      <w:r w:rsidRPr="00747656">
        <w:rPr>
          <w:i/>
        </w:rPr>
        <w:t xml:space="preserve">See </w:t>
      </w:r>
      <w:r w:rsidRPr="00747656">
        <w:t>Madison Petition</w:t>
      </w:r>
      <w:r w:rsidRPr="00747656">
        <w:rPr>
          <w:i/>
        </w:rPr>
        <w:t xml:space="preserve"> </w:t>
      </w:r>
      <w:r w:rsidRPr="00747656">
        <w:t>at 8.</w:t>
      </w:r>
    </w:p>
  </w:footnote>
  <w:footnote w:id="25">
    <w:p w14:paraId="7C995ADE" w14:textId="77777777" w:rsidR="00B525F8" w:rsidRPr="00747656" w:rsidRDefault="00B525F8" w:rsidP="00BA0056">
      <w:pPr>
        <w:pStyle w:val="FootnoteText"/>
        <w:jc w:val="left"/>
      </w:pPr>
      <w:r w:rsidRPr="00747656">
        <w:rPr>
          <w:rStyle w:val="FootnoteReference"/>
        </w:rPr>
        <w:footnoteRef/>
      </w:r>
      <w:r w:rsidRPr="00747656">
        <w:t xml:space="preserve"> </w:t>
      </w:r>
      <w:r w:rsidRPr="00747656">
        <w:rPr>
          <w:i/>
        </w:rPr>
        <w:t>See id.</w:t>
      </w:r>
    </w:p>
  </w:footnote>
  <w:footnote w:id="26">
    <w:p w14:paraId="223FFF8B" w14:textId="77777777" w:rsidR="00B525F8" w:rsidRPr="00747656" w:rsidRDefault="00B525F8" w:rsidP="00BA0056">
      <w:pPr>
        <w:pStyle w:val="FootnoteText"/>
        <w:jc w:val="left"/>
      </w:pPr>
      <w:r w:rsidRPr="00747656">
        <w:rPr>
          <w:rStyle w:val="FootnoteReference"/>
        </w:rPr>
        <w:footnoteRef/>
      </w:r>
      <w:r w:rsidRPr="00747656">
        <w:t xml:space="preserve"> </w:t>
      </w:r>
      <w:r w:rsidRPr="00747656">
        <w:rPr>
          <w:i/>
        </w:rPr>
        <w:t>See id.</w:t>
      </w:r>
    </w:p>
  </w:footnote>
  <w:footnote w:id="27">
    <w:p w14:paraId="0C3B4BF2" w14:textId="77777777" w:rsidR="00B525F8" w:rsidRPr="00747656" w:rsidRDefault="00B525F8" w:rsidP="00BA0056">
      <w:pPr>
        <w:pStyle w:val="FootnoteText"/>
        <w:jc w:val="left"/>
      </w:pPr>
      <w:r w:rsidRPr="00747656">
        <w:rPr>
          <w:rStyle w:val="FootnoteReference"/>
        </w:rPr>
        <w:footnoteRef/>
      </w:r>
      <w:r w:rsidRPr="00747656">
        <w:t xml:space="preserve"> </w:t>
      </w:r>
      <w:r w:rsidRPr="00747656">
        <w:rPr>
          <w:i/>
        </w:rPr>
        <w:t>See id.</w:t>
      </w:r>
    </w:p>
  </w:footnote>
  <w:footnote w:id="28">
    <w:p w14:paraId="59DD2B39" w14:textId="7C7FCF16" w:rsidR="00B525F8" w:rsidRPr="00747656" w:rsidRDefault="00B525F8" w:rsidP="00BA0056">
      <w:pPr>
        <w:pStyle w:val="FootnoteText"/>
        <w:jc w:val="left"/>
      </w:pPr>
      <w:r w:rsidRPr="00747656">
        <w:rPr>
          <w:rStyle w:val="FootnoteReference"/>
        </w:rPr>
        <w:footnoteRef/>
      </w:r>
      <w:r w:rsidRPr="00747656">
        <w:t xml:space="preserve"> </w:t>
      </w:r>
      <w:r w:rsidRPr="00747656">
        <w:rPr>
          <w:i/>
        </w:rPr>
        <w:t>See</w:t>
      </w:r>
      <w:r w:rsidRPr="00747656">
        <w:t xml:space="preserve"> 47 C.F.R. §§ 54.202(a), 54.313(a)(1); Madison Petition</w:t>
      </w:r>
      <w:r w:rsidRPr="00747656">
        <w:rPr>
          <w:i/>
        </w:rPr>
        <w:t xml:space="preserve"> </w:t>
      </w:r>
      <w:r w:rsidRPr="00747656">
        <w:t>at 8-9.</w:t>
      </w:r>
    </w:p>
  </w:footnote>
  <w:footnote w:id="29">
    <w:p w14:paraId="14D01F46" w14:textId="77777777" w:rsidR="00B525F8" w:rsidRPr="00747656" w:rsidRDefault="00B525F8" w:rsidP="00BA0056">
      <w:pPr>
        <w:pStyle w:val="FootnoteText"/>
        <w:jc w:val="left"/>
      </w:pPr>
      <w:r w:rsidRPr="00747656">
        <w:rPr>
          <w:rStyle w:val="FootnoteReference"/>
        </w:rPr>
        <w:footnoteRef/>
      </w:r>
      <w:r w:rsidRPr="00747656">
        <w:t xml:space="preserve"> </w:t>
      </w:r>
      <w:r w:rsidRPr="00747656">
        <w:rPr>
          <w:i/>
        </w:rPr>
        <w:t xml:space="preserve">See </w:t>
      </w:r>
      <w:r w:rsidRPr="00747656">
        <w:t>Madison Petition</w:t>
      </w:r>
      <w:r w:rsidRPr="00747656">
        <w:rPr>
          <w:i/>
        </w:rPr>
        <w:t xml:space="preserve"> </w:t>
      </w:r>
      <w:r w:rsidRPr="00747656">
        <w:t>at 8-9.</w:t>
      </w:r>
    </w:p>
  </w:footnote>
  <w:footnote w:id="30">
    <w:p w14:paraId="0F4C73AF" w14:textId="77777777" w:rsidR="00B525F8" w:rsidRPr="00747656" w:rsidRDefault="00B525F8" w:rsidP="00BA0056">
      <w:pPr>
        <w:pStyle w:val="FootnoteText"/>
        <w:jc w:val="left"/>
      </w:pPr>
      <w:r w:rsidRPr="00747656">
        <w:rPr>
          <w:rStyle w:val="FootnoteReference"/>
        </w:rPr>
        <w:footnoteRef/>
      </w:r>
      <w:r w:rsidRPr="00747656">
        <w:t xml:space="preserve"> </w:t>
      </w:r>
      <w:r w:rsidRPr="00747656">
        <w:rPr>
          <w:i/>
        </w:rPr>
        <w:t xml:space="preserve">See id. </w:t>
      </w:r>
      <w:r w:rsidRPr="00747656">
        <w:t>at 8.</w:t>
      </w:r>
    </w:p>
  </w:footnote>
  <w:footnote w:id="31">
    <w:p w14:paraId="02FEBD58" w14:textId="4E3885B6" w:rsidR="00B525F8" w:rsidRPr="00747656" w:rsidRDefault="00B525F8" w:rsidP="00BA0056">
      <w:pPr>
        <w:pStyle w:val="FootnoteText"/>
        <w:jc w:val="left"/>
      </w:pPr>
      <w:r w:rsidRPr="00747656">
        <w:rPr>
          <w:rStyle w:val="FootnoteReference"/>
        </w:rPr>
        <w:footnoteRef/>
      </w:r>
      <w:r w:rsidRPr="00747656">
        <w:t xml:space="preserve"> Madison seeks waiver of sections 36.612(a)(2), 54.305(d)(2), and 54.305(f) of the Commission’s rules.  </w:t>
      </w:r>
      <w:r w:rsidRPr="00747656">
        <w:rPr>
          <w:i/>
        </w:rPr>
        <w:t xml:space="preserve">See </w:t>
      </w:r>
      <w:r w:rsidRPr="00747656">
        <w:t>Madison Petition</w:t>
      </w:r>
      <w:r w:rsidRPr="00747656">
        <w:rPr>
          <w:i/>
        </w:rPr>
        <w:t xml:space="preserve"> </w:t>
      </w:r>
      <w:r w:rsidR="001B595F">
        <w:t>at 1, 15-16,</w:t>
      </w:r>
      <w:r w:rsidRPr="00747656">
        <w:t xml:space="preserve"> Attach. B.  </w:t>
      </w:r>
    </w:p>
  </w:footnote>
  <w:footnote w:id="32">
    <w:p w14:paraId="01B2985D" w14:textId="77777777" w:rsidR="00B525F8" w:rsidRPr="00747656" w:rsidRDefault="00B525F8" w:rsidP="00BA0056">
      <w:pPr>
        <w:pStyle w:val="FootnoteText"/>
        <w:jc w:val="left"/>
      </w:pPr>
      <w:r w:rsidRPr="00747656">
        <w:rPr>
          <w:rStyle w:val="FootnoteReference"/>
        </w:rPr>
        <w:footnoteRef/>
      </w:r>
      <w:r w:rsidRPr="00747656">
        <w:t xml:space="preserve"> </w:t>
      </w:r>
      <w:r w:rsidRPr="00747656">
        <w:rPr>
          <w:i/>
        </w:rPr>
        <w:t xml:space="preserve">See </w:t>
      </w:r>
      <w:r w:rsidRPr="00747656">
        <w:t>Madison Petition</w:t>
      </w:r>
      <w:r w:rsidRPr="00747656">
        <w:rPr>
          <w:i/>
        </w:rPr>
        <w:t xml:space="preserve"> </w:t>
      </w:r>
      <w:r w:rsidRPr="00747656">
        <w:t>at 15-16.</w:t>
      </w:r>
    </w:p>
  </w:footnote>
  <w:footnote w:id="33">
    <w:p w14:paraId="3B8BCE87" w14:textId="77777777" w:rsidR="00B525F8" w:rsidRPr="00747656" w:rsidRDefault="00B525F8" w:rsidP="00BA0056">
      <w:pPr>
        <w:pStyle w:val="FootnoteText"/>
        <w:jc w:val="left"/>
      </w:pPr>
      <w:r w:rsidRPr="00747656">
        <w:rPr>
          <w:rStyle w:val="FootnoteReference"/>
        </w:rPr>
        <w:footnoteRef/>
      </w:r>
      <w:r w:rsidRPr="00747656">
        <w:t xml:space="preserve"> </w:t>
      </w:r>
      <w:r w:rsidRPr="00747656">
        <w:rPr>
          <w:i/>
        </w:rPr>
        <w:t>See id.</w:t>
      </w:r>
    </w:p>
  </w:footnote>
  <w:footnote w:id="34">
    <w:p w14:paraId="7D7ED7FE" w14:textId="77777777" w:rsidR="00B525F8" w:rsidRPr="00747656" w:rsidRDefault="00B525F8" w:rsidP="00656311">
      <w:pPr>
        <w:pStyle w:val="FootnoteText"/>
        <w:jc w:val="left"/>
      </w:pPr>
      <w:r w:rsidRPr="00747656">
        <w:rPr>
          <w:rStyle w:val="FootnoteReference"/>
        </w:rPr>
        <w:footnoteRef/>
      </w:r>
      <w:r w:rsidRPr="00747656">
        <w:t xml:space="preserve"> </w:t>
      </w:r>
      <w:r w:rsidRPr="00747656">
        <w:rPr>
          <w:shd w:val="clear" w:color="auto" w:fill="FFFFFF"/>
        </w:rPr>
        <w:t>Generally, the Commission’s rules may be waived for good cause shown.  47 C.F.R. § 1.3.  The Commission may exercise its discretion to waive a rule where the particular facts make strict compliance inconsistent with the public interest.  </w:t>
      </w:r>
      <w:r w:rsidRPr="00747656">
        <w:rPr>
          <w:i/>
          <w:iCs/>
          <w:shd w:val="clear" w:color="auto" w:fill="FFFFFF"/>
        </w:rPr>
        <w:t>Northeast Cellular Telephone Co. v. FCC</w:t>
      </w:r>
      <w:r w:rsidRPr="00747656">
        <w:rPr>
          <w:shd w:val="clear" w:color="auto" w:fill="FFFFFF"/>
        </w:rPr>
        <w:t>, 897 F.2d 1164, 1166 (D.C. Cir. 1990) (</w:t>
      </w:r>
      <w:r w:rsidRPr="00747656">
        <w:rPr>
          <w:i/>
          <w:iCs/>
          <w:shd w:val="clear" w:color="auto" w:fill="FFFFFF"/>
        </w:rPr>
        <w:t>Northeast Cellular</w:t>
      </w:r>
      <w:r w:rsidRPr="00747656">
        <w:rPr>
          <w:shd w:val="clear" w:color="auto" w:fill="FFFFFF"/>
        </w:rPr>
        <w:t xml:space="preserve">).  In addition, the Commission may take into account considerations of hardship, equity, or more effective implementation of overall policy on an individual basis.  </w:t>
      </w:r>
      <w:r w:rsidRPr="00747656">
        <w:rPr>
          <w:i/>
          <w:iCs/>
          <w:shd w:val="clear" w:color="auto" w:fill="FFFFFF"/>
        </w:rPr>
        <w:t>WAIT Radio v. FCC</w:t>
      </w:r>
      <w:r w:rsidRPr="00747656">
        <w:rPr>
          <w:shd w:val="clear" w:color="auto" w:fill="FFFFFF"/>
        </w:rPr>
        <w:t>, 418 F.2d 1153, 1159 (D.C. Cir. 1969)</w:t>
      </w:r>
      <w:r w:rsidR="00937540" w:rsidRPr="00747656">
        <w:rPr>
          <w:shd w:val="clear" w:color="auto" w:fill="FFFFFF"/>
        </w:rPr>
        <w:t xml:space="preserve">, </w:t>
      </w:r>
      <w:r w:rsidR="00937540" w:rsidRPr="00747656">
        <w:t xml:space="preserve">), </w:t>
      </w:r>
      <w:r w:rsidR="00937540" w:rsidRPr="00747656">
        <w:rPr>
          <w:i/>
          <w:iCs/>
        </w:rPr>
        <w:t xml:space="preserve">cert. denied, </w:t>
      </w:r>
      <w:r w:rsidR="00937540" w:rsidRPr="00747656">
        <w:t>409 U.S. 1027 (1972)</w:t>
      </w:r>
      <w:r w:rsidRPr="00747656">
        <w:rPr>
          <w:shd w:val="clear" w:color="auto" w:fill="FFFFFF"/>
        </w:rPr>
        <w:t xml:space="preserve">.  Waiver of the Commission’s rules is appropriate only if both (i) special circumstances warrant a deviation from the general rule, and (ii) such deviation will serve the public interest.  </w:t>
      </w:r>
      <w:r w:rsidRPr="00747656">
        <w:rPr>
          <w:i/>
          <w:iCs/>
          <w:shd w:val="clear" w:color="auto" w:fill="FFFFFF"/>
        </w:rPr>
        <w:t>NetworkIP, LLC v. FCC</w:t>
      </w:r>
      <w:r w:rsidRPr="00747656">
        <w:rPr>
          <w:shd w:val="clear" w:color="auto" w:fill="FFFFFF"/>
        </w:rPr>
        <w:t>, 548 F.3d 116, 125-28 (D.C. Cir. 2008).</w:t>
      </w:r>
      <w:r w:rsidR="00E646A7" w:rsidRPr="00747656">
        <w:rPr>
          <w:shd w:val="clear" w:color="auto" w:fill="FFFFFF"/>
        </w:rPr>
        <w:t xml:space="preserve">  </w:t>
      </w:r>
    </w:p>
  </w:footnote>
  <w:footnote w:id="35">
    <w:p w14:paraId="0631245D" w14:textId="278A759F" w:rsidR="005E221B" w:rsidRPr="00747656" w:rsidRDefault="005E221B" w:rsidP="005E221B">
      <w:pPr>
        <w:pStyle w:val="FootnoteText"/>
      </w:pPr>
      <w:r w:rsidRPr="00747656">
        <w:rPr>
          <w:rStyle w:val="FootnoteReference"/>
        </w:rPr>
        <w:footnoteRef/>
      </w:r>
      <w:r w:rsidRPr="00747656">
        <w:t xml:space="preserve"> </w:t>
      </w:r>
      <w:r w:rsidRPr="00747656">
        <w:rPr>
          <w:i/>
        </w:rPr>
        <w:t xml:space="preserve">See </w:t>
      </w:r>
      <w:r w:rsidR="00171EEA" w:rsidRPr="00747656">
        <w:rPr>
          <w:i/>
        </w:rPr>
        <w:t xml:space="preserve">SureWest Telephone, Petition for Waiver of 54.314(d) Filing Deadline, </w:t>
      </w:r>
      <w:r w:rsidR="00171EEA" w:rsidRPr="00747656">
        <w:t>WC Docket No. 08-71, Order, 28 FCC Rcd 14852, 14854-55, para. 6 (Wireline Comp. Bur. 2013);</w:t>
      </w:r>
      <w:r w:rsidRPr="00747656">
        <w:rPr>
          <w:i/>
        </w:rPr>
        <w:t xml:space="preserve"> South Slope Cooperative Telephone Company, Petition for Waiver of Filing Deadline in 47 C.F.R. Section 54.307(c)</w:t>
      </w:r>
      <w:r w:rsidRPr="00747656">
        <w:t>, CC Docket No. 96-45, Order, 19 FCC Rcd 17493, 17494, para. 5 (Wireline Comp. Bur. 2004) (</w:t>
      </w:r>
      <w:r w:rsidRPr="00747656">
        <w:rPr>
          <w:i/>
        </w:rPr>
        <w:t>South Slope</w:t>
      </w:r>
      <w:r w:rsidR="00927A18">
        <w:t>) (“A carrier’</w:t>
      </w:r>
      <w:r w:rsidRPr="00747656">
        <w:t xml:space="preserve">s confusion regarding the rules does not establish special circumstances that warrant </w:t>
      </w:r>
      <w:r w:rsidR="00927A18">
        <w:t>a deviation from the Commission’</w:t>
      </w:r>
      <w:r w:rsidRPr="00747656">
        <w:t>s rules</w:t>
      </w:r>
      <w:r w:rsidR="001B595F">
        <w:t>.</w:t>
      </w:r>
      <w:r w:rsidRPr="00747656">
        <w:t xml:space="preserve">”); </w:t>
      </w:r>
      <w:r w:rsidRPr="00747656">
        <w:rPr>
          <w:i/>
        </w:rPr>
        <w:t>Petitions for Waiver of Universal Service High-Cost Filing Deadlines, Grande Communications Networks, Inc. Petition for Waiver of Section 54.307(c) of the Commission's Rules et al.</w:t>
      </w:r>
      <w:r w:rsidRPr="00747656">
        <w:t>, WC Docket No. 08-71, CC Docket No. 96-45, Order, 26 FCC Rcd 6187, 6191, para. 12 (Wireline Comp. Bur. 2011) (“Carriers are responsible for reviewing and understanding the rules to ensure that submissions are filed in a timely manner</w:t>
      </w:r>
      <w:r w:rsidR="001B595F">
        <w:t>.</w:t>
      </w:r>
      <w:r w:rsidRPr="00747656">
        <w:t>”).</w:t>
      </w:r>
    </w:p>
  </w:footnote>
  <w:footnote w:id="36">
    <w:p w14:paraId="264CA548" w14:textId="77777777" w:rsidR="00521FB6" w:rsidRPr="00747656" w:rsidRDefault="00521FB6" w:rsidP="00BA0056">
      <w:pPr>
        <w:pStyle w:val="FootnoteText"/>
        <w:jc w:val="left"/>
      </w:pPr>
      <w:r w:rsidRPr="00747656">
        <w:rPr>
          <w:rStyle w:val="FootnoteReference"/>
        </w:rPr>
        <w:footnoteRef/>
      </w:r>
      <w:r w:rsidRPr="00747656">
        <w:t xml:space="preserve"> </w:t>
      </w:r>
      <w:r w:rsidRPr="00747656">
        <w:rPr>
          <w:i/>
        </w:rPr>
        <w:t xml:space="preserve">See </w:t>
      </w:r>
      <w:r w:rsidRPr="00747656">
        <w:t>Madison Petition</w:t>
      </w:r>
      <w:r w:rsidRPr="00747656">
        <w:rPr>
          <w:i/>
        </w:rPr>
        <w:t xml:space="preserve"> </w:t>
      </w:r>
      <w:r w:rsidRPr="00747656">
        <w:t>at 12.</w:t>
      </w:r>
    </w:p>
  </w:footnote>
  <w:footnote w:id="37">
    <w:p w14:paraId="656D760C" w14:textId="77777777" w:rsidR="00B525F8" w:rsidRPr="00747656" w:rsidRDefault="00B525F8" w:rsidP="00BA0056">
      <w:pPr>
        <w:pStyle w:val="FootnoteText"/>
        <w:jc w:val="left"/>
      </w:pPr>
      <w:r w:rsidRPr="00747656">
        <w:rPr>
          <w:rStyle w:val="FootnoteReference"/>
        </w:rPr>
        <w:footnoteRef/>
      </w:r>
      <w:r w:rsidRPr="00747656">
        <w:t xml:space="preserve"> </w:t>
      </w:r>
      <w:r w:rsidRPr="00747656">
        <w:rPr>
          <w:i/>
        </w:rPr>
        <w:t xml:space="preserve">See </w:t>
      </w:r>
      <w:r w:rsidR="0003022F" w:rsidRPr="00747656">
        <w:rPr>
          <w:i/>
        </w:rPr>
        <w:t xml:space="preserve">id. </w:t>
      </w:r>
      <w:r w:rsidRPr="00747656">
        <w:t>at 3-4.</w:t>
      </w:r>
    </w:p>
  </w:footnote>
  <w:footnote w:id="38">
    <w:p w14:paraId="3356A1B9" w14:textId="77777777" w:rsidR="00B525F8" w:rsidRPr="00747656" w:rsidRDefault="00B525F8" w:rsidP="00BA0056">
      <w:pPr>
        <w:pStyle w:val="FootnoteText"/>
        <w:jc w:val="left"/>
      </w:pPr>
      <w:r w:rsidRPr="00747656">
        <w:rPr>
          <w:rStyle w:val="FootnoteReference"/>
        </w:rPr>
        <w:footnoteRef/>
      </w:r>
      <w:r w:rsidRPr="00747656">
        <w:t xml:space="preserve"> </w:t>
      </w:r>
      <w:r w:rsidRPr="00747656">
        <w:rPr>
          <w:i/>
        </w:rPr>
        <w:t xml:space="preserve">See id. </w:t>
      </w:r>
      <w:r w:rsidRPr="00747656">
        <w:t>at 5.</w:t>
      </w:r>
    </w:p>
  </w:footnote>
  <w:footnote w:id="39">
    <w:p w14:paraId="1D86F73F" w14:textId="05CF2B28" w:rsidR="00B525F8" w:rsidRPr="00747656" w:rsidRDefault="00B525F8" w:rsidP="00656311">
      <w:pPr>
        <w:autoSpaceDE w:val="0"/>
        <w:autoSpaceDN w:val="0"/>
        <w:adjustRightInd w:val="0"/>
        <w:rPr>
          <w:sz w:val="20"/>
        </w:rPr>
      </w:pPr>
      <w:r w:rsidRPr="00747656">
        <w:rPr>
          <w:rStyle w:val="FootnoteReference"/>
          <w:sz w:val="20"/>
        </w:rPr>
        <w:footnoteRef/>
      </w:r>
      <w:r w:rsidR="001B595F">
        <w:rPr>
          <w:sz w:val="20"/>
        </w:rPr>
        <w:t xml:space="preserve"> 47 C.F.R. §§ 36.612, </w:t>
      </w:r>
      <w:r w:rsidRPr="00747656">
        <w:rPr>
          <w:sz w:val="20"/>
        </w:rPr>
        <w:t xml:space="preserve">54.305(c)(2); </w:t>
      </w:r>
      <w:r w:rsidR="00E912BC" w:rsidRPr="00747656">
        <w:rPr>
          <w:i/>
          <w:sz w:val="20"/>
        </w:rPr>
        <w:t xml:space="preserve">see </w:t>
      </w:r>
      <w:r w:rsidRPr="00747656">
        <w:rPr>
          <w:i/>
          <w:sz w:val="20"/>
        </w:rPr>
        <w:t>Rural Task Force Order</w:t>
      </w:r>
      <w:r w:rsidR="00927A18" w:rsidRPr="00927A18">
        <w:rPr>
          <w:sz w:val="20"/>
        </w:rPr>
        <w:t>,</w:t>
      </w:r>
      <w:r w:rsidRPr="00927A18">
        <w:rPr>
          <w:sz w:val="20"/>
        </w:rPr>
        <w:t xml:space="preserve"> </w:t>
      </w:r>
      <w:r w:rsidR="00927A18" w:rsidRPr="00927A18">
        <w:rPr>
          <w:sz w:val="20"/>
        </w:rPr>
        <w:t>16 FCC Rcd</w:t>
      </w:r>
      <w:r w:rsidR="00927A18" w:rsidRPr="00927A18">
        <w:rPr>
          <w:i/>
          <w:sz w:val="20"/>
        </w:rPr>
        <w:t xml:space="preserve"> </w:t>
      </w:r>
      <w:r w:rsidRPr="00747656">
        <w:rPr>
          <w:sz w:val="20"/>
        </w:rPr>
        <w:t xml:space="preserve">at </w:t>
      </w:r>
      <w:r w:rsidR="00F12DEA" w:rsidRPr="00747656">
        <w:rPr>
          <w:sz w:val="20"/>
        </w:rPr>
        <w:t>11285-86</w:t>
      </w:r>
      <w:r w:rsidRPr="00747656">
        <w:rPr>
          <w:sz w:val="20"/>
        </w:rPr>
        <w:t>, para. 99.</w:t>
      </w:r>
    </w:p>
    <w:p w14:paraId="5DC7F8D6" w14:textId="77777777" w:rsidR="00B525F8" w:rsidRPr="00747656" w:rsidRDefault="00B525F8" w:rsidP="00E3351E">
      <w:pPr>
        <w:autoSpaceDE w:val="0"/>
        <w:autoSpaceDN w:val="0"/>
        <w:adjustRightInd w:val="0"/>
        <w:rPr>
          <w:i/>
          <w:sz w:val="20"/>
        </w:rPr>
      </w:pPr>
    </w:p>
  </w:footnote>
  <w:footnote w:id="40">
    <w:p w14:paraId="5BA2187C" w14:textId="77777777" w:rsidR="00B525F8" w:rsidRPr="00747656" w:rsidRDefault="00B525F8" w:rsidP="00BA0056">
      <w:pPr>
        <w:pStyle w:val="FootnoteText"/>
        <w:jc w:val="left"/>
      </w:pPr>
      <w:r w:rsidRPr="00747656">
        <w:rPr>
          <w:rStyle w:val="FootnoteReference"/>
        </w:rPr>
        <w:footnoteRef/>
      </w:r>
      <w:r w:rsidRPr="00747656">
        <w:t xml:space="preserve"> </w:t>
      </w:r>
      <w:r w:rsidRPr="00747656">
        <w:rPr>
          <w:i/>
        </w:rPr>
        <w:t xml:space="preserve">See </w:t>
      </w:r>
      <w:r w:rsidRPr="00747656">
        <w:t>Madison Petition</w:t>
      </w:r>
      <w:r w:rsidRPr="00747656">
        <w:rPr>
          <w:i/>
        </w:rPr>
        <w:t xml:space="preserve"> </w:t>
      </w:r>
      <w:r w:rsidRPr="00747656">
        <w:t>at 6; 47 C.F.R. §§ 36.612. 54.305(c)(2).</w:t>
      </w:r>
    </w:p>
  </w:footnote>
  <w:footnote w:id="41">
    <w:p w14:paraId="749238B7" w14:textId="77777777" w:rsidR="0093554B" w:rsidRPr="00747656" w:rsidRDefault="0093554B">
      <w:pPr>
        <w:pStyle w:val="FootnoteText"/>
      </w:pPr>
      <w:r w:rsidRPr="00747656">
        <w:rPr>
          <w:rStyle w:val="FootnoteReference"/>
        </w:rPr>
        <w:footnoteRef/>
      </w:r>
      <w:r w:rsidRPr="00747656">
        <w:t xml:space="preserve"> </w:t>
      </w:r>
      <w:r w:rsidR="00171EEA" w:rsidRPr="00747656">
        <w:rPr>
          <w:i/>
        </w:rPr>
        <w:t xml:space="preserve">See supra </w:t>
      </w:r>
      <w:r w:rsidR="00171EEA" w:rsidRPr="00747656">
        <w:t>note 34.</w:t>
      </w:r>
    </w:p>
  </w:footnote>
  <w:footnote w:id="42">
    <w:p w14:paraId="2896C55C" w14:textId="77777777" w:rsidR="00B525F8" w:rsidRPr="00747656" w:rsidRDefault="00B525F8" w:rsidP="00BA0056">
      <w:pPr>
        <w:pStyle w:val="FootnoteText"/>
        <w:jc w:val="left"/>
      </w:pPr>
      <w:r w:rsidRPr="00747656">
        <w:rPr>
          <w:rStyle w:val="FootnoteReference"/>
        </w:rPr>
        <w:footnoteRef/>
      </w:r>
      <w:r w:rsidRPr="00747656">
        <w:t xml:space="preserve"> </w:t>
      </w:r>
      <w:r w:rsidRPr="00747656">
        <w:rPr>
          <w:i/>
        </w:rPr>
        <w:t xml:space="preserve">See </w:t>
      </w:r>
      <w:r w:rsidRPr="00747656">
        <w:t>Madison Petition</w:t>
      </w:r>
      <w:r w:rsidRPr="00747656">
        <w:rPr>
          <w:i/>
        </w:rPr>
        <w:t xml:space="preserve"> </w:t>
      </w:r>
      <w:r w:rsidRPr="00747656">
        <w:t>at 8.</w:t>
      </w:r>
    </w:p>
  </w:footnote>
  <w:footnote w:id="43">
    <w:p w14:paraId="3B1E1E15" w14:textId="77777777" w:rsidR="00B525F8" w:rsidRPr="00747656" w:rsidRDefault="00B525F8" w:rsidP="00BA0056">
      <w:pPr>
        <w:pStyle w:val="FootnoteText"/>
        <w:jc w:val="left"/>
      </w:pPr>
      <w:r w:rsidRPr="00747656">
        <w:rPr>
          <w:rStyle w:val="FootnoteReference"/>
        </w:rPr>
        <w:footnoteRef/>
      </w:r>
      <w:r w:rsidRPr="00747656">
        <w:t xml:space="preserve"> </w:t>
      </w:r>
      <w:r w:rsidRPr="00747656">
        <w:rPr>
          <w:i/>
        </w:rPr>
        <w:t>Rural Task Force Order</w:t>
      </w:r>
      <w:r w:rsidR="00927A18">
        <w:t xml:space="preserve">, </w:t>
      </w:r>
      <w:r w:rsidR="00927A18" w:rsidRPr="00747656">
        <w:rPr>
          <w:color w:val="000000"/>
          <w:shd w:val="clear" w:color="auto" w:fill="FFFFFF"/>
        </w:rPr>
        <w:t>16 FCC Rcd</w:t>
      </w:r>
      <w:r w:rsidRPr="00747656">
        <w:rPr>
          <w:i/>
        </w:rPr>
        <w:t xml:space="preserve"> </w:t>
      </w:r>
      <w:r w:rsidRPr="00747656">
        <w:t xml:space="preserve">at </w:t>
      </w:r>
      <w:r w:rsidR="00F12DEA" w:rsidRPr="00747656">
        <w:t>11288</w:t>
      </w:r>
      <w:r w:rsidRPr="00747656">
        <w:t>, para. 106.</w:t>
      </w:r>
    </w:p>
  </w:footnote>
  <w:footnote w:id="44">
    <w:p w14:paraId="0D74E64C" w14:textId="77B76190" w:rsidR="00B525F8" w:rsidRPr="00747656" w:rsidRDefault="00B525F8" w:rsidP="00BA0056">
      <w:pPr>
        <w:pStyle w:val="FootnoteText"/>
        <w:jc w:val="left"/>
      </w:pPr>
      <w:r w:rsidRPr="00747656">
        <w:rPr>
          <w:rStyle w:val="FootnoteReference"/>
        </w:rPr>
        <w:footnoteRef/>
      </w:r>
      <w:r w:rsidRPr="00747656">
        <w:t xml:space="preserve"> USAC, Filing Requirements – Safety Net Additive, http://usac.org/hc/legacy/telecom-carriers/step04/sna.aspx (last visited </w:t>
      </w:r>
      <w:r w:rsidR="001B595F">
        <w:t>Nov. 10</w:t>
      </w:r>
      <w:r w:rsidRPr="00747656">
        <w:t>, 2014).</w:t>
      </w:r>
    </w:p>
  </w:footnote>
  <w:footnote w:id="45">
    <w:p w14:paraId="58B39CD8" w14:textId="77777777" w:rsidR="00965599" w:rsidRPr="00747656" w:rsidRDefault="00965599">
      <w:pPr>
        <w:pStyle w:val="FootnoteText"/>
      </w:pPr>
      <w:r w:rsidRPr="00747656">
        <w:rPr>
          <w:rStyle w:val="FootnoteReference"/>
        </w:rPr>
        <w:footnoteRef/>
      </w:r>
      <w:r w:rsidRPr="00747656">
        <w:t xml:space="preserve"> </w:t>
      </w:r>
      <w:r w:rsidRPr="00747656">
        <w:rPr>
          <w:i/>
        </w:rPr>
        <w:t xml:space="preserve">See </w:t>
      </w:r>
      <w:r w:rsidRPr="00747656">
        <w:t>Madison Petition</w:t>
      </w:r>
      <w:r w:rsidRPr="00747656">
        <w:rPr>
          <w:i/>
        </w:rPr>
        <w:t xml:space="preserve"> </w:t>
      </w:r>
      <w:r w:rsidRPr="00747656">
        <w:t>at 8.</w:t>
      </w:r>
    </w:p>
  </w:footnote>
  <w:footnote w:id="46">
    <w:p w14:paraId="7D94DCE3" w14:textId="5126CED1" w:rsidR="009016A7" w:rsidRPr="00747656" w:rsidRDefault="009016A7">
      <w:pPr>
        <w:pStyle w:val="FootnoteText"/>
        <w:rPr>
          <w:i/>
        </w:rPr>
      </w:pPr>
      <w:r w:rsidRPr="00747656">
        <w:rPr>
          <w:rStyle w:val="FootnoteReference"/>
        </w:rPr>
        <w:footnoteRef/>
      </w:r>
      <w:r w:rsidRPr="00747656">
        <w:t xml:space="preserve"> </w:t>
      </w:r>
      <w:r w:rsidRPr="00747656">
        <w:rPr>
          <w:i/>
        </w:rPr>
        <w:t xml:space="preserve">See id. </w:t>
      </w:r>
      <w:r w:rsidRPr="00747656">
        <w:t>at 1, 15-</w:t>
      </w:r>
      <w:r w:rsidR="001B595F">
        <w:t>16,</w:t>
      </w:r>
      <w:r w:rsidRPr="00747656">
        <w:t xml:space="preserve"> Attach. B.  </w:t>
      </w:r>
    </w:p>
  </w:footnote>
  <w:footnote w:id="47">
    <w:p w14:paraId="52EAE92C" w14:textId="77777777" w:rsidR="009016A7" w:rsidRDefault="009016A7" w:rsidP="00747656">
      <w:pPr>
        <w:rPr>
          <w:sz w:val="20"/>
        </w:rPr>
      </w:pPr>
      <w:r w:rsidRPr="00747656">
        <w:rPr>
          <w:rStyle w:val="FootnoteReference"/>
          <w:sz w:val="20"/>
        </w:rPr>
        <w:footnoteRef/>
      </w:r>
      <w:r w:rsidRPr="00747656">
        <w:rPr>
          <w:sz w:val="20"/>
        </w:rPr>
        <w:t xml:space="preserve"> </w:t>
      </w:r>
      <w:r w:rsidR="00747656" w:rsidRPr="00747656">
        <w:rPr>
          <w:i/>
          <w:sz w:val="20"/>
        </w:rPr>
        <w:t>Compare Federal-State Board on Universal Service; NPCR, Inc. Petition for Waiver of Section 54.802(a) of the Commission’s Rules</w:t>
      </w:r>
      <w:r w:rsidR="00747656" w:rsidRPr="00747656">
        <w:rPr>
          <w:sz w:val="20"/>
        </w:rPr>
        <w:t xml:space="preserve">, CC Docket No. 96-45, Order, 22 FCC Rcd 560 (Wireline Comp. Bur. 2007) (granting waiver when line count data was received one business day after the filing deadline); </w:t>
      </w:r>
      <w:r w:rsidR="00747656" w:rsidRPr="00747656">
        <w:rPr>
          <w:i/>
          <w:sz w:val="20"/>
        </w:rPr>
        <w:t>Federal-State Board on Universal Service; Citizens Communications and Frontier Communications Petition for Waiver of Section 54.802(a) of the Commission’s Rules</w:t>
      </w:r>
      <w:r w:rsidR="00747656" w:rsidRPr="00747656">
        <w:rPr>
          <w:sz w:val="20"/>
        </w:rPr>
        <w:t xml:space="preserve">, CC Docket 96-45, Order, 20 FCC Rcd 16761 (Wireline Comp. Bur. 2005) (granting waiver when deadline was missed by two business days), </w:t>
      </w:r>
      <w:r w:rsidR="00747656" w:rsidRPr="00747656">
        <w:rPr>
          <w:i/>
          <w:sz w:val="20"/>
        </w:rPr>
        <w:t>with Federal-State Joint Board on Universal Service, Cedar Valley Communications, Inc. Petition for Waiver of 47 C.F.R. §§ 54.307(d), 54.314(a), and 54.904(d)</w:t>
      </w:r>
      <w:r w:rsidR="00747656" w:rsidRPr="00747656">
        <w:rPr>
          <w:sz w:val="20"/>
        </w:rPr>
        <w:t xml:space="preserve">, CC Docket 96-45, Order, 23 FCC Rcd 114 (Wireline Comp. Bur. 2008) (denying waiver because the filing deadline was missed by more than five months); </w:t>
      </w:r>
      <w:r w:rsidR="00747656" w:rsidRPr="00747656">
        <w:rPr>
          <w:i/>
          <w:sz w:val="20"/>
        </w:rPr>
        <w:t>NPI-Omnipoint Wireless, LLC Petition for Waiver of Sections 54.307(c), 54.802(a), and 54.903 of the Commission’s Rules</w:t>
      </w:r>
      <w:r w:rsidR="00747656" w:rsidRPr="00747656">
        <w:rPr>
          <w:sz w:val="20"/>
        </w:rPr>
        <w:t xml:space="preserve">; </w:t>
      </w:r>
      <w:r w:rsidR="00747656" w:rsidRPr="00747656">
        <w:rPr>
          <w:i/>
          <w:sz w:val="20"/>
        </w:rPr>
        <w:t>SouthEast Telephone, Inc. Petition of Waiver of Deadlines in 47 C.F.R. § 54.809(c); SEI Data, Inc. Petition for Waiver of Filing Deadline in 47 C.F.R. Section 54.802(a)</w:t>
      </w:r>
      <w:r w:rsidR="00747656" w:rsidRPr="00747656">
        <w:rPr>
          <w:sz w:val="20"/>
        </w:rPr>
        <w:t xml:space="preserve">, CC Docket 96-45, Order, 22 FCC Rcd 4946 (Wireline Comp. Bur. 2007) (denying NPI’s waiver because the data was filed six months late; denying SouthEast’s waiver because the data was filed two months late; denying SEI’s waiver because the data was filed three months late); </w:t>
      </w:r>
      <w:r w:rsidR="00747656" w:rsidRPr="00747656">
        <w:rPr>
          <w:i/>
          <w:sz w:val="20"/>
        </w:rPr>
        <w:t>South Slope</w:t>
      </w:r>
      <w:r w:rsidR="00927A18" w:rsidRPr="00927A18">
        <w:rPr>
          <w:sz w:val="20"/>
        </w:rPr>
        <w:t>,</w:t>
      </w:r>
      <w:r w:rsidR="00747656" w:rsidRPr="00927A18">
        <w:rPr>
          <w:sz w:val="20"/>
        </w:rPr>
        <w:t xml:space="preserve"> </w:t>
      </w:r>
      <w:r w:rsidR="00927A18" w:rsidRPr="00927A18">
        <w:rPr>
          <w:sz w:val="20"/>
        </w:rPr>
        <w:t xml:space="preserve">19 FCC Rcd </w:t>
      </w:r>
      <w:r w:rsidR="00927A18">
        <w:rPr>
          <w:sz w:val="20"/>
        </w:rPr>
        <w:t xml:space="preserve">at </w:t>
      </w:r>
      <w:r w:rsidR="00927A18" w:rsidRPr="00927A18">
        <w:rPr>
          <w:sz w:val="20"/>
        </w:rPr>
        <w:t>17493</w:t>
      </w:r>
      <w:r w:rsidR="00927A18" w:rsidRPr="00927A18">
        <w:rPr>
          <w:i/>
          <w:sz w:val="20"/>
        </w:rPr>
        <w:t xml:space="preserve"> </w:t>
      </w:r>
      <w:r w:rsidR="00747656" w:rsidRPr="00747656">
        <w:rPr>
          <w:sz w:val="20"/>
        </w:rPr>
        <w:t>(denying waiver because the data was filed more than a month late).</w:t>
      </w:r>
    </w:p>
    <w:p w14:paraId="19002ECE" w14:textId="77777777" w:rsidR="00747656" w:rsidRPr="00747656" w:rsidRDefault="00747656" w:rsidP="00747656">
      <w:pPr>
        <w:rPr>
          <w:sz w:val="20"/>
        </w:rPr>
      </w:pPr>
    </w:p>
  </w:footnote>
  <w:footnote w:id="48">
    <w:p w14:paraId="371044F1" w14:textId="77777777" w:rsidR="008D4BD9" w:rsidRPr="00747656" w:rsidRDefault="008D4BD9" w:rsidP="00BA0056">
      <w:pPr>
        <w:pStyle w:val="FootnoteText"/>
        <w:jc w:val="left"/>
      </w:pPr>
      <w:r w:rsidRPr="00747656">
        <w:rPr>
          <w:rStyle w:val="FootnoteReference"/>
        </w:rPr>
        <w:footnoteRef/>
      </w:r>
      <w:r w:rsidRPr="00747656">
        <w:t xml:space="preserve"> </w:t>
      </w:r>
      <w:r w:rsidRPr="00747656">
        <w:rPr>
          <w:i/>
        </w:rPr>
        <w:t xml:space="preserve">See </w:t>
      </w:r>
      <w:r w:rsidR="00747656" w:rsidRPr="00747656">
        <w:t>Madison Petition</w:t>
      </w:r>
      <w:r w:rsidR="00747656" w:rsidRPr="00747656">
        <w:rPr>
          <w:i/>
        </w:rPr>
        <w:t xml:space="preserve"> </w:t>
      </w:r>
      <w:r w:rsidR="00747656" w:rsidRPr="00747656">
        <w:t xml:space="preserve">at </w:t>
      </w:r>
      <w:r w:rsidRPr="00747656">
        <w:t>12.</w:t>
      </w:r>
    </w:p>
  </w:footnote>
  <w:footnote w:id="49">
    <w:p w14:paraId="06319C8F" w14:textId="58D90B5B" w:rsidR="00CC5CAA" w:rsidRPr="00747656" w:rsidRDefault="00CC5CAA" w:rsidP="00787CF6">
      <w:pPr>
        <w:pStyle w:val="FootnoteText"/>
      </w:pPr>
      <w:r w:rsidRPr="00747656">
        <w:rPr>
          <w:rStyle w:val="FootnoteReference"/>
        </w:rPr>
        <w:footnoteRef/>
      </w:r>
      <w:r w:rsidRPr="00747656">
        <w:t xml:space="preserve"> </w:t>
      </w:r>
      <w:r w:rsidR="00787CF6" w:rsidRPr="00747656">
        <w:t xml:space="preserve">Holding that the public interest prong of the waiver standard is met whenever a carrier is faced with a reduction in support would effectively negate the public interest requirement, as this criterion would be met any time application of a rule resulted in reduced support. Such an exception would swallow the rule.  </w:t>
      </w:r>
      <w:r w:rsidR="00927A18">
        <w:rPr>
          <w:i/>
        </w:rPr>
        <w:t xml:space="preserve">See </w:t>
      </w:r>
      <w:r w:rsidR="00787CF6" w:rsidRPr="00747656">
        <w:rPr>
          <w:i/>
        </w:rPr>
        <w:t>Federal-State Board on Universal Service; Coral Wireless d/b/a Mobi PCS and Cordova Wireless Petition for Review of USAC Decision</w:t>
      </w:r>
      <w:r w:rsidR="00787CF6" w:rsidRPr="00A279F6">
        <w:t>,</w:t>
      </w:r>
      <w:r w:rsidR="00787CF6" w:rsidRPr="00747656">
        <w:t xml:space="preserve"> CC Docket 96-45, WC Docket No. 05-337, Order, 29 FCC Rcd 9540, 9542, para. 8 (Wireline Comp. Bur. 2014)</w:t>
      </w:r>
    </w:p>
  </w:footnote>
  <w:footnote w:id="50">
    <w:p w14:paraId="384FC69B" w14:textId="77777777" w:rsidR="0018477B" w:rsidRPr="00747656" w:rsidRDefault="0018477B" w:rsidP="00BA0056">
      <w:pPr>
        <w:pStyle w:val="FootnoteText"/>
        <w:jc w:val="left"/>
      </w:pPr>
      <w:r w:rsidRPr="00747656">
        <w:rPr>
          <w:rStyle w:val="FootnoteReference"/>
        </w:rPr>
        <w:footnoteRef/>
      </w:r>
      <w:r w:rsidRPr="00747656">
        <w:t xml:space="preserve"> </w:t>
      </w:r>
      <w:r w:rsidRPr="00747656">
        <w:rPr>
          <w:i/>
        </w:rPr>
        <w:t xml:space="preserve">See </w:t>
      </w:r>
      <w:r w:rsidR="00747656" w:rsidRPr="00747656">
        <w:t>Madison Petition</w:t>
      </w:r>
      <w:r w:rsidR="00747656" w:rsidRPr="00747656">
        <w:rPr>
          <w:i/>
        </w:rPr>
        <w:t xml:space="preserve"> </w:t>
      </w:r>
      <w:r w:rsidR="00747656" w:rsidRPr="00747656">
        <w:t xml:space="preserve">at </w:t>
      </w:r>
      <w:r w:rsidRPr="00747656">
        <w:t>15.</w:t>
      </w:r>
    </w:p>
  </w:footnote>
  <w:footnote w:id="51">
    <w:p w14:paraId="67830C09" w14:textId="77777777" w:rsidR="004E55FA" w:rsidRPr="00747656" w:rsidRDefault="00B525F8">
      <w:pPr>
        <w:rPr>
          <w:sz w:val="20"/>
        </w:rPr>
      </w:pPr>
      <w:r w:rsidRPr="00747656">
        <w:rPr>
          <w:rStyle w:val="FootnoteReference"/>
          <w:sz w:val="20"/>
        </w:rPr>
        <w:footnoteRef/>
      </w:r>
      <w:r w:rsidRPr="00747656">
        <w:rPr>
          <w:sz w:val="20"/>
        </w:rPr>
        <w:t xml:space="preserve"> </w:t>
      </w:r>
      <w:r w:rsidRPr="00747656">
        <w:rPr>
          <w:i/>
          <w:iCs/>
          <w:sz w:val="20"/>
        </w:rPr>
        <w:t>Northeast Cellular Telephone Co. v. FCC</w:t>
      </w:r>
      <w:r w:rsidRPr="00A279F6">
        <w:rPr>
          <w:sz w:val="20"/>
        </w:rPr>
        <w:t>,</w:t>
      </w:r>
      <w:r w:rsidRPr="00747656">
        <w:rPr>
          <w:i/>
          <w:iCs/>
          <w:sz w:val="20"/>
        </w:rPr>
        <w:t xml:space="preserve"> </w:t>
      </w:r>
      <w:r w:rsidRPr="00747656">
        <w:rPr>
          <w:sz w:val="20"/>
        </w:rPr>
        <w:t xml:space="preserve">897 F.2d 1164, 1166 (D.C. Cir. 1990).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8AF03" w14:textId="77777777" w:rsidR="003572B2" w:rsidRDefault="003572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1AC68" w14:textId="3DD4A875" w:rsidR="00B525F8" w:rsidRDefault="00B525F8">
    <w:pPr>
      <w:pStyle w:val="Header"/>
      <w:tabs>
        <w:tab w:val="clear" w:pos="4320"/>
        <w:tab w:val="clear" w:pos="8640"/>
        <w:tab w:val="center" w:pos="4680"/>
        <w:tab w:val="right" w:pos="9360"/>
      </w:tabs>
      <w:rPr>
        <w:b/>
      </w:rPr>
    </w:pPr>
    <w:r>
      <w:rPr>
        <w:b/>
      </w:rPr>
      <w:tab/>
      <w:t>Federal Communications Commission</w:t>
    </w:r>
    <w:r>
      <w:rPr>
        <w:b/>
      </w:rPr>
      <w:tab/>
      <w:t xml:space="preserve">    </w:t>
    </w:r>
    <w:r w:rsidR="00A17220">
      <w:rPr>
        <w:b/>
      </w:rPr>
      <w:t xml:space="preserve">DA </w:t>
    </w:r>
    <w:r w:rsidR="00927A18" w:rsidRPr="00927A18">
      <w:rPr>
        <w:b/>
      </w:rPr>
      <w:t>14-1633</w:t>
    </w:r>
    <w:r>
      <w:rPr>
        <w:b/>
      </w:rPr>
      <w:t xml:space="preserve"> </w:t>
    </w:r>
  </w:p>
  <w:p w14:paraId="08EFE448" w14:textId="77777777" w:rsidR="00B525F8" w:rsidRDefault="00E66E97">
    <w:pPr>
      <w:pStyle w:val="Header"/>
      <w:tabs>
        <w:tab w:val="clear" w:pos="8640"/>
        <w:tab w:val="right" w:pos="9360"/>
      </w:tabs>
    </w:pPr>
    <w:r>
      <w:rPr>
        <w:noProof/>
      </w:rPr>
      <mc:AlternateContent>
        <mc:Choice Requires="wps">
          <w:drawing>
            <wp:anchor distT="4294967295" distB="4294967295" distL="114300" distR="114300" simplePos="0" relativeHeight="251658240" behindDoc="0" locked="0" layoutInCell="0" allowOverlap="1" wp14:anchorId="6D393C40" wp14:editId="47C95C42">
              <wp:simplePos x="0" y="0"/>
              <wp:positionH relativeFrom="column">
                <wp:posOffset>0</wp:posOffset>
              </wp:positionH>
              <wp:positionV relativeFrom="paragraph">
                <wp:posOffset>22224</wp:posOffset>
              </wp:positionV>
              <wp:extent cx="59436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14:paraId="7615511B" w14:textId="77777777" w:rsidR="00B525F8" w:rsidRDefault="00B525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4A844" w14:textId="5D36720D" w:rsidR="00B525F8" w:rsidRDefault="00B525F8">
    <w:pPr>
      <w:pStyle w:val="Header"/>
      <w:tabs>
        <w:tab w:val="clear" w:pos="4320"/>
        <w:tab w:val="clear" w:pos="8640"/>
        <w:tab w:val="center" w:pos="4680"/>
        <w:tab w:val="right" w:pos="9360"/>
      </w:tabs>
      <w:rPr>
        <w:b/>
      </w:rPr>
    </w:pPr>
    <w:r>
      <w:rPr>
        <w:b/>
      </w:rPr>
      <w:tab/>
      <w:t>Federal Communications Commission</w:t>
    </w:r>
    <w:r>
      <w:rPr>
        <w:b/>
      </w:rPr>
      <w:tab/>
      <w:t xml:space="preserve">    </w:t>
    </w:r>
    <w:r w:rsidR="00A17220">
      <w:rPr>
        <w:b/>
      </w:rPr>
      <w:t xml:space="preserve">DA </w:t>
    </w:r>
    <w:r w:rsidR="00927A18" w:rsidRPr="00927A18">
      <w:rPr>
        <w:b/>
      </w:rPr>
      <w:t>14-1633</w:t>
    </w:r>
  </w:p>
  <w:p w14:paraId="7DA7FBD6" w14:textId="77777777" w:rsidR="00B525F8" w:rsidRDefault="00E66E97">
    <w:pPr>
      <w:pStyle w:val="Header"/>
      <w:tabs>
        <w:tab w:val="clear" w:pos="8640"/>
        <w:tab w:val="right" w:pos="9360"/>
      </w:tabs>
    </w:pPr>
    <w:r>
      <w:rPr>
        <w:noProof/>
      </w:rPr>
      <mc:AlternateContent>
        <mc:Choice Requires="wps">
          <w:drawing>
            <wp:anchor distT="4294967295" distB="4294967295" distL="114300" distR="114300" simplePos="0" relativeHeight="251657216" behindDoc="0" locked="0" layoutInCell="0" allowOverlap="1" wp14:anchorId="12E5374E" wp14:editId="7E877151">
              <wp:simplePos x="0" y="0"/>
              <wp:positionH relativeFrom="column">
                <wp:posOffset>0</wp:posOffset>
              </wp:positionH>
              <wp:positionV relativeFrom="paragraph">
                <wp:posOffset>22224</wp:posOffset>
              </wp:positionV>
              <wp:extent cx="5943600" cy="0"/>
              <wp:effectExtent l="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2AA7"/>
    <w:multiLevelType w:val="hybridMultilevel"/>
    <w:tmpl w:val="B34AA8B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3">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4">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55C7178"/>
    <w:multiLevelType w:val="hybridMultilevel"/>
    <w:tmpl w:val="600ADA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8">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9">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0">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1">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2">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3">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4">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5">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6">
    <w:nsid w:val="4F4C4C32"/>
    <w:multiLevelType w:val="hybridMultilevel"/>
    <w:tmpl w:val="43D0F9DC"/>
    <w:lvl w:ilvl="0" w:tplc="08A4D2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8">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9">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0">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21">
    <w:nsid w:val="5C7427F5"/>
    <w:multiLevelType w:val="hybridMultilevel"/>
    <w:tmpl w:val="51EA08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3">
    <w:nsid w:val="5EE135FC"/>
    <w:multiLevelType w:val="hybridMultilevel"/>
    <w:tmpl w:val="E0ACD428"/>
    <w:lvl w:ilvl="0" w:tplc="4AD2C2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25">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4"/>
  </w:num>
  <w:num w:numId="2">
    <w:abstractNumId w:val="25"/>
  </w:num>
  <w:num w:numId="3">
    <w:abstractNumId w:val="4"/>
  </w:num>
  <w:num w:numId="4">
    <w:abstractNumId w:val="18"/>
  </w:num>
  <w:num w:numId="5">
    <w:abstractNumId w:val="6"/>
  </w:num>
  <w:num w:numId="6">
    <w:abstractNumId w:val="22"/>
  </w:num>
  <w:num w:numId="7">
    <w:abstractNumId w:val="14"/>
  </w:num>
  <w:num w:numId="8">
    <w:abstractNumId w:val="7"/>
  </w:num>
  <w:num w:numId="9">
    <w:abstractNumId w:val="20"/>
  </w:num>
  <w:num w:numId="10">
    <w:abstractNumId w:val="12"/>
  </w:num>
  <w:num w:numId="11">
    <w:abstractNumId w:val="11"/>
  </w:num>
  <w:num w:numId="12">
    <w:abstractNumId w:val="8"/>
  </w:num>
  <w:num w:numId="13">
    <w:abstractNumId w:val="13"/>
  </w:num>
  <w:num w:numId="14">
    <w:abstractNumId w:val="19"/>
  </w:num>
  <w:num w:numId="15">
    <w:abstractNumId w:val="2"/>
  </w:num>
  <w:num w:numId="16">
    <w:abstractNumId w:val="3"/>
  </w:num>
  <w:num w:numId="17">
    <w:abstractNumId w:val="9"/>
  </w:num>
  <w:num w:numId="18">
    <w:abstractNumId w:val="1"/>
  </w:num>
  <w:num w:numId="19">
    <w:abstractNumId w:val="10"/>
  </w:num>
  <w:num w:numId="20">
    <w:abstractNumId w:val="15"/>
  </w:num>
  <w:num w:numId="21">
    <w:abstractNumId w:val="17"/>
  </w:num>
  <w:num w:numId="22">
    <w:abstractNumId w:val="5"/>
  </w:num>
  <w:num w:numId="23">
    <w:abstractNumId w:val="0"/>
  </w:num>
  <w:num w:numId="24">
    <w:abstractNumId w:val="16"/>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13"/>
    <w:lvlOverride w:ilvl="0">
      <w:startOverride w:val="1"/>
    </w:lvlOverride>
  </w:num>
  <w:num w:numId="29">
    <w:abstractNumId w:val="13"/>
    <w:lvlOverride w:ilvl="0">
      <w:startOverride w:val="1"/>
    </w:lvlOverride>
  </w:num>
  <w:num w:numId="30">
    <w:abstractNumId w:val="13"/>
    <w:lvlOverride w:ilvl="0">
      <w:startOverride w:val="1"/>
    </w:lvlOverride>
  </w:num>
  <w:num w:numId="31">
    <w:abstractNumId w:val="13"/>
    <w:lvlOverride w:ilvl="0">
      <w:startOverride w:val="1"/>
    </w:lvlOverride>
  </w:num>
  <w:num w:numId="32">
    <w:abstractNumId w:val="13"/>
    <w:lvlOverride w:ilvl="0">
      <w:startOverride w:val="1"/>
    </w:lvlOverride>
  </w:num>
  <w:num w:numId="33">
    <w:abstractNumId w:val="13"/>
    <w:lvlOverride w:ilvl="0">
      <w:startOverride w:val="1"/>
    </w:lvlOverride>
  </w:num>
  <w:num w:numId="34">
    <w:abstractNumId w:val="13"/>
    <w:lvlOverride w:ilvl="0">
      <w:startOverride w:val="1"/>
    </w:lvlOverride>
  </w:num>
  <w:num w:numId="35">
    <w:abstractNumId w:val="13"/>
    <w:lvlOverride w:ilvl="0">
      <w:startOverride w:val="1"/>
    </w:lvlOverride>
  </w:num>
  <w:num w:numId="36">
    <w:abstractNumId w:val="23"/>
  </w:num>
  <w:num w:numId="37">
    <w:abstractNumId w:val="18"/>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875"/>
    <w:rsid w:val="0001121D"/>
    <w:rsid w:val="00013357"/>
    <w:rsid w:val="0002302F"/>
    <w:rsid w:val="00023A5F"/>
    <w:rsid w:val="0003022F"/>
    <w:rsid w:val="000311F8"/>
    <w:rsid w:val="0005047D"/>
    <w:rsid w:val="00051143"/>
    <w:rsid w:val="00056BB5"/>
    <w:rsid w:val="000662E0"/>
    <w:rsid w:val="00082C40"/>
    <w:rsid w:val="00083306"/>
    <w:rsid w:val="00091A3C"/>
    <w:rsid w:val="00097B78"/>
    <w:rsid w:val="000B606B"/>
    <w:rsid w:val="000C6055"/>
    <w:rsid w:val="000C7D74"/>
    <w:rsid w:val="000F07A7"/>
    <w:rsid w:val="00104B51"/>
    <w:rsid w:val="00115E38"/>
    <w:rsid w:val="001302B1"/>
    <w:rsid w:val="00136214"/>
    <w:rsid w:val="001437F6"/>
    <w:rsid w:val="00151756"/>
    <w:rsid w:val="0015399B"/>
    <w:rsid w:val="00153EB1"/>
    <w:rsid w:val="001550FE"/>
    <w:rsid w:val="00161001"/>
    <w:rsid w:val="00171EEA"/>
    <w:rsid w:val="00177742"/>
    <w:rsid w:val="0017774B"/>
    <w:rsid w:val="001821E4"/>
    <w:rsid w:val="001837A8"/>
    <w:rsid w:val="0018477B"/>
    <w:rsid w:val="001911EE"/>
    <w:rsid w:val="001A2198"/>
    <w:rsid w:val="001B595F"/>
    <w:rsid w:val="001B6106"/>
    <w:rsid w:val="001C29C4"/>
    <w:rsid w:val="001E6F98"/>
    <w:rsid w:val="001E7AF5"/>
    <w:rsid w:val="001F6517"/>
    <w:rsid w:val="002362CA"/>
    <w:rsid w:val="002441FE"/>
    <w:rsid w:val="002767A9"/>
    <w:rsid w:val="00277454"/>
    <w:rsid w:val="0028373F"/>
    <w:rsid w:val="002B781B"/>
    <w:rsid w:val="002D336E"/>
    <w:rsid w:val="002D3B03"/>
    <w:rsid w:val="002E1612"/>
    <w:rsid w:val="002F2B9A"/>
    <w:rsid w:val="00302575"/>
    <w:rsid w:val="00303F6B"/>
    <w:rsid w:val="00323DC2"/>
    <w:rsid w:val="003269F4"/>
    <w:rsid w:val="00344BB7"/>
    <w:rsid w:val="003572B2"/>
    <w:rsid w:val="003619F1"/>
    <w:rsid w:val="00377441"/>
    <w:rsid w:val="003848ED"/>
    <w:rsid w:val="003B6083"/>
    <w:rsid w:val="003E0D09"/>
    <w:rsid w:val="003F7CF0"/>
    <w:rsid w:val="00405BF9"/>
    <w:rsid w:val="004260F4"/>
    <w:rsid w:val="00457880"/>
    <w:rsid w:val="00481FFA"/>
    <w:rsid w:val="004921FB"/>
    <w:rsid w:val="004A2E5C"/>
    <w:rsid w:val="004C01C2"/>
    <w:rsid w:val="004C25AC"/>
    <w:rsid w:val="004D7511"/>
    <w:rsid w:val="004E55FA"/>
    <w:rsid w:val="004F614E"/>
    <w:rsid w:val="00514183"/>
    <w:rsid w:val="005218A8"/>
    <w:rsid w:val="00521FB6"/>
    <w:rsid w:val="00544FF4"/>
    <w:rsid w:val="005507F6"/>
    <w:rsid w:val="0058182C"/>
    <w:rsid w:val="00596073"/>
    <w:rsid w:val="005E000D"/>
    <w:rsid w:val="005E221B"/>
    <w:rsid w:val="00612937"/>
    <w:rsid w:val="0061336A"/>
    <w:rsid w:val="00613A98"/>
    <w:rsid w:val="00622B7F"/>
    <w:rsid w:val="00634A0F"/>
    <w:rsid w:val="00653BA1"/>
    <w:rsid w:val="00656311"/>
    <w:rsid w:val="00661875"/>
    <w:rsid w:val="006807B4"/>
    <w:rsid w:val="00685DDB"/>
    <w:rsid w:val="006A3228"/>
    <w:rsid w:val="006C4274"/>
    <w:rsid w:val="006D071F"/>
    <w:rsid w:val="006D38A3"/>
    <w:rsid w:val="006F52D3"/>
    <w:rsid w:val="00702AAC"/>
    <w:rsid w:val="00737643"/>
    <w:rsid w:val="00747656"/>
    <w:rsid w:val="0077139E"/>
    <w:rsid w:val="007752D4"/>
    <w:rsid w:val="00775961"/>
    <w:rsid w:val="00781529"/>
    <w:rsid w:val="00787CF6"/>
    <w:rsid w:val="00794123"/>
    <w:rsid w:val="007C4270"/>
    <w:rsid w:val="007F6518"/>
    <w:rsid w:val="00807FD7"/>
    <w:rsid w:val="008142EC"/>
    <w:rsid w:val="0083522F"/>
    <w:rsid w:val="0085477F"/>
    <w:rsid w:val="00884ED9"/>
    <w:rsid w:val="00897F6A"/>
    <w:rsid w:val="008C5948"/>
    <w:rsid w:val="008D4BD9"/>
    <w:rsid w:val="008D5406"/>
    <w:rsid w:val="009016A7"/>
    <w:rsid w:val="00927A18"/>
    <w:rsid w:val="0093554B"/>
    <w:rsid w:val="00937540"/>
    <w:rsid w:val="00954541"/>
    <w:rsid w:val="00965599"/>
    <w:rsid w:val="00982C13"/>
    <w:rsid w:val="00986E10"/>
    <w:rsid w:val="009C7E2B"/>
    <w:rsid w:val="00A015CB"/>
    <w:rsid w:val="00A17220"/>
    <w:rsid w:val="00A20C7E"/>
    <w:rsid w:val="00A279F6"/>
    <w:rsid w:val="00A46DD4"/>
    <w:rsid w:val="00A62128"/>
    <w:rsid w:val="00A67805"/>
    <w:rsid w:val="00A72919"/>
    <w:rsid w:val="00A72E63"/>
    <w:rsid w:val="00A80508"/>
    <w:rsid w:val="00A86458"/>
    <w:rsid w:val="00A916F4"/>
    <w:rsid w:val="00AA45EC"/>
    <w:rsid w:val="00AB0897"/>
    <w:rsid w:val="00AB7BA7"/>
    <w:rsid w:val="00AC103D"/>
    <w:rsid w:val="00AC1A34"/>
    <w:rsid w:val="00AD34A5"/>
    <w:rsid w:val="00AE0B67"/>
    <w:rsid w:val="00B00E52"/>
    <w:rsid w:val="00B31E2E"/>
    <w:rsid w:val="00B42008"/>
    <w:rsid w:val="00B44090"/>
    <w:rsid w:val="00B525F8"/>
    <w:rsid w:val="00B54A26"/>
    <w:rsid w:val="00B603CF"/>
    <w:rsid w:val="00B6322C"/>
    <w:rsid w:val="00B86757"/>
    <w:rsid w:val="00BA0056"/>
    <w:rsid w:val="00BB64F0"/>
    <w:rsid w:val="00BB73E9"/>
    <w:rsid w:val="00BC601C"/>
    <w:rsid w:val="00BD6784"/>
    <w:rsid w:val="00BD79AE"/>
    <w:rsid w:val="00BF0731"/>
    <w:rsid w:val="00BF2034"/>
    <w:rsid w:val="00C0138D"/>
    <w:rsid w:val="00C20E3D"/>
    <w:rsid w:val="00C22BA7"/>
    <w:rsid w:val="00C60944"/>
    <w:rsid w:val="00C65222"/>
    <w:rsid w:val="00C66903"/>
    <w:rsid w:val="00C77FEB"/>
    <w:rsid w:val="00CB6860"/>
    <w:rsid w:val="00CC5CAA"/>
    <w:rsid w:val="00D06902"/>
    <w:rsid w:val="00D204CC"/>
    <w:rsid w:val="00D20D6C"/>
    <w:rsid w:val="00D246E0"/>
    <w:rsid w:val="00D509C3"/>
    <w:rsid w:val="00DB1C65"/>
    <w:rsid w:val="00DD2FC8"/>
    <w:rsid w:val="00DE47F9"/>
    <w:rsid w:val="00E042A4"/>
    <w:rsid w:val="00E3351E"/>
    <w:rsid w:val="00E4240B"/>
    <w:rsid w:val="00E5610E"/>
    <w:rsid w:val="00E570F9"/>
    <w:rsid w:val="00E646A7"/>
    <w:rsid w:val="00E66E97"/>
    <w:rsid w:val="00E75F80"/>
    <w:rsid w:val="00E912BC"/>
    <w:rsid w:val="00E9261C"/>
    <w:rsid w:val="00EA1B23"/>
    <w:rsid w:val="00EB33CF"/>
    <w:rsid w:val="00ED7FF8"/>
    <w:rsid w:val="00F12DEA"/>
    <w:rsid w:val="00F16A2E"/>
    <w:rsid w:val="00F324C0"/>
    <w:rsid w:val="00F32D8C"/>
    <w:rsid w:val="00F33C68"/>
    <w:rsid w:val="00F44D2E"/>
    <w:rsid w:val="00F6571A"/>
    <w:rsid w:val="00F66847"/>
    <w:rsid w:val="00FD0ECA"/>
    <w:rsid w:val="00FE6477"/>
    <w:rsid w:val="00FF3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head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link w:val="Heading1Char"/>
    <w:uiPriority w:val="99"/>
    <w:qFormat/>
    <w:pPr>
      <w:keepNext/>
      <w:widowControl w:val="0"/>
      <w:numPr>
        <w:numId w:val="4"/>
      </w:numPr>
      <w:suppressAutoHyphens/>
      <w:spacing w:after="220"/>
      <w:jc w:val="both"/>
      <w:outlineLvl w:val="0"/>
    </w:pPr>
    <w:rPr>
      <w:b/>
      <w:caps/>
    </w:rPr>
  </w:style>
  <w:style w:type="paragraph" w:styleId="Heading2">
    <w:name w:val="heading 2"/>
    <w:basedOn w:val="Normal"/>
    <w:next w:val="ParaNum"/>
    <w:link w:val="Heading2Char"/>
    <w:uiPriority w:val="99"/>
    <w:qFormat/>
    <w:pPr>
      <w:keepNext/>
      <w:widowControl w:val="0"/>
      <w:numPr>
        <w:ilvl w:val="1"/>
        <w:numId w:val="4"/>
      </w:numPr>
      <w:spacing w:after="220"/>
      <w:jc w:val="both"/>
      <w:outlineLvl w:val="1"/>
    </w:pPr>
    <w:rPr>
      <w:b/>
    </w:rPr>
  </w:style>
  <w:style w:type="paragraph" w:styleId="Heading3">
    <w:name w:val="heading 3"/>
    <w:basedOn w:val="Normal"/>
    <w:next w:val="ParaNum"/>
    <w:uiPriority w:val="99"/>
    <w:qFormat/>
    <w:pPr>
      <w:keepNext/>
      <w:widowControl w:val="0"/>
      <w:numPr>
        <w:ilvl w:val="2"/>
        <w:numId w:val="4"/>
      </w:numPr>
      <w:spacing w:after="220"/>
      <w:jc w:val="both"/>
      <w:outlineLvl w:val="2"/>
    </w:pPr>
    <w:rPr>
      <w:b/>
    </w:rPr>
  </w:style>
  <w:style w:type="paragraph" w:styleId="Heading4">
    <w:name w:val="heading 4"/>
    <w:basedOn w:val="Normal"/>
    <w:next w:val="ParaNum"/>
    <w:uiPriority w:val="99"/>
    <w:qFormat/>
    <w:pPr>
      <w:keepNext/>
      <w:widowControl w:val="0"/>
      <w:numPr>
        <w:ilvl w:val="3"/>
        <w:numId w:val="4"/>
      </w:numPr>
      <w:spacing w:after="220"/>
      <w:jc w:val="both"/>
      <w:outlineLvl w:val="3"/>
    </w:pPr>
    <w:rPr>
      <w:b/>
    </w:rPr>
  </w:style>
  <w:style w:type="paragraph" w:styleId="Heading5">
    <w:name w:val="heading 5"/>
    <w:basedOn w:val="Normal"/>
    <w:next w:val="ParaNum"/>
    <w:uiPriority w:val="99"/>
    <w:qFormat/>
    <w:pPr>
      <w:keepNext/>
      <w:widowControl w:val="0"/>
      <w:numPr>
        <w:ilvl w:val="4"/>
        <w:numId w:val="4"/>
      </w:numPr>
      <w:suppressAutoHyphens/>
      <w:spacing w:after="220"/>
      <w:jc w:val="both"/>
      <w:outlineLvl w:val="4"/>
    </w:pPr>
    <w:rPr>
      <w:b/>
    </w:rPr>
  </w:style>
  <w:style w:type="paragraph" w:styleId="Heading6">
    <w:name w:val="heading 6"/>
    <w:basedOn w:val="Normal"/>
    <w:next w:val="ParaNum"/>
    <w:uiPriority w:val="99"/>
    <w:qFormat/>
    <w:pPr>
      <w:widowControl w:val="0"/>
      <w:numPr>
        <w:ilvl w:val="5"/>
        <w:numId w:val="4"/>
      </w:numPr>
      <w:spacing w:after="220"/>
      <w:jc w:val="both"/>
      <w:outlineLvl w:val="5"/>
    </w:pPr>
    <w:rPr>
      <w:b/>
    </w:rPr>
  </w:style>
  <w:style w:type="paragraph" w:styleId="Heading7">
    <w:name w:val="heading 7"/>
    <w:basedOn w:val="Normal"/>
    <w:next w:val="ParaNum"/>
    <w:uiPriority w:val="99"/>
    <w:qFormat/>
    <w:pPr>
      <w:widowControl w:val="0"/>
      <w:numPr>
        <w:ilvl w:val="6"/>
        <w:numId w:val="4"/>
      </w:numPr>
      <w:spacing w:after="220"/>
      <w:jc w:val="both"/>
      <w:outlineLvl w:val="6"/>
    </w:pPr>
    <w:rPr>
      <w:b/>
    </w:rPr>
  </w:style>
  <w:style w:type="paragraph" w:styleId="Heading8">
    <w:name w:val="heading 8"/>
    <w:basedOn w:val="Normal"/>
    <w:next w:val="ParaNum"/>
    <w:uiPriority w:val="99"/>
    <w:qFormat/>
    <w:pPr>
      <w:widowControl w:val="0"/>
      <w:numPr>
        <w:ilvl w:val="7"/>
        <w:numId w:val="4"/>
      </w:numPr>
      <w:spacing w:after="220"/>
      <w:jc w:val="both"/>
      <w:outlineLvl w:val="7"/>
    </w:pPr>
    <w:rPr>
      <w:b/>
    </w:rPr>
  </w:style>
  <w:style w:type="paragraph" w:styleId="Heading9">
    <w:name w:val="heading 9"/>
    <w:basedOn w:val="Normal"/>
    <w:next w:val="ParaNum"/>
    <w:uiPriority w:val="99"/>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uiPriority w:val="99"/>
    <w:pPr>
      <w:widowControl w:val="0"/>
      <w:numPr>
        <w:numId w:val="13"/>
      </w:numPr>
      <w:tabs>
        <w:tab w:val="clear" w:pos="1080"/>
        <w:tab w:val="left" w:pos="1440"/>
      </w:tabs>
      <w:spacing w:after="220"/>
      <w:jc w:val="both"/>
    </w:p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n Char,f,ALTS FOOTNOTE Cha"/>
    <w:basedOn w:val="Normal"/>
    <w:link w:val="FootnoteTextChar"/>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13,Appel note de bas de p,Style 12,(NECG) Footnote Reference,Style 124,o,fr,Style 3,FR,Style 17,Footnote Reference/,Style 6,Style 7"/>
    <w:rPr>
      <w:vertAlign w:val="superscript"/>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uiPriority w:val="99"/>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Hyperlink">
    <w:name w:val="Hyperlink"/>
    <w:uiPriority w:val="99"/>
    <w:rPr>
      <w:color w:val="0000FF"/>
      <w:u w:val="single"/>
    </w:rPr>
  </w:style>
  <w:style w:type="character" w:customStyle="1" w:styleId="FootnoteTextChar">
    <w:name w:val="Footnote Text Char"/>
    <w:aliases w:val="Footnote Text Char1 Char,Footnote Text Char Char Char,ALTS FOOTNOTE Char Char Char,fn Char Char Char,Footnote Text Char1 Char Char Char,Footnote Text Char Char Char Char Char,ALTS FOOTNOTE Char Char Char Char Char,fn Char1 Char,f Char"/>
    <w:link w:val="FootnoteText"/>
    <w:locked/>
  </w:style>
  <w:style w:type="character" w:customStyle="1" w:styleId="ParaNumChar">
    <w:name w:val="ParaNum Char"/>
    <w:link w:val="ParaNum"/>
    <w:uiPriority w:val="99"/>
    <w:locked/>
    <w:rPr>
      <w:sz w:val="22"/>
    </w:rPr>
  </w:style>
  <w:style w:type="character" w:customStyle="1" w:styleId="Heading1Char">
    <w:name w:val="Heading 1 Char"/>
    <w:link w:val="Heading1"/>
    <w:uiPriority w:val="99"/>
    <w:locked/>
    <w:rPr>
      <w:b/>
      <w:caps/>
      <w:sz w:val="22"/>
    </w:rPr>
  </w:style>
  <w:style w:type="character" w:customStyle="1" w:styleId="Heading2Char">
    <w:name w:val="Heading 2 Char"/>
    <w:link w:val="Heading2"/>
    <w:uiPriority w:val="99"/>
    <w:locked/>
    <w:rPr>
      <w:b/>
      <w:sz w:val="22"/>
    </w:rPr>
  </w:style>
  <w:style w:type="character" w:customStyle="1" w:styleId="HeaderChar">
    <w:name w:val="Header Char"/>
    <w:link w:val="Header"/>
    <w:uiPriority w:val="99"/>
    <w:locked/>
    <w:rPr>
      <w:sz w:val="22"/>
    </w:rPr>
  </w:style>
  <w:style w:type="character" w:customStyle="1" w:styleId="apple-converted-space">
    <w:name w:val="apple-converted-space"/>
  </w:style>
  <w:style w:type="character" w:customStyle="1" w:styleId="starpage">
    <w:name w:val="starpage"/>
  </w:style>
  <w:style w:type="character" w:customStyle="1" w:styleId="searchterm">
    <w:name w:val="searchterm"/>
    <w:rsid w:val="001437F6"/>
  </w:style>
  <w:style w:type="paragraph" w:styleId="ListParagraph">
    <w:name w:val="List Paragraph"/>
    <w:basedOn w:val="Normal"/>
    <w:uiPriority w:val="34"/>
    <w:qFormat/>
    <w:rsid w:val="00612937"/>
    <w:pPr>
      <w:spacing w:after="200" w:line="276" w:lineRule="auto"/>
      <w:ind w:left="720"/>
      <w:contextualSpacing/>
    </w:pPr>
    <w:rPr>
      <w:rFonts w:ascii="Calibri" w:eastAsia="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head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link w:val="Heading1Char"/>
    <w:uiPriority w:val="99"/>
    <w:qFormat/>
    <w:pPr>
      <w:keepNext/>
      <w:widowControl w:val="0"/>
      <w:numPr>
        <w:numId w:val="4"/>
      </w:numPr>
      <w:suppressAutoHyphens/>
      <w:spacing w:after="220"/>
      <w:jc w:val="both"/>
      <w:outlineLvl w:val="0"/>
    </w:pPr>
    <w:rPr>
      <w:b/>
      <w:caps/>
    </w:rPr>
  </w:style>
  <w:style w:type="paragraph" w:styleId="Heading2">
    <w:name w:val="heading 2"/>
    <w:basedOn w:val="Normal"/>
    <w:next w:val="ParaNum"/>
    <w:link w:val="Heading2Char"/>
    <w:uiPriority w:val="99"/>
    <w:qFormat/>
    <w:pPr>
      <w:keepNext/>
      <w:widowControl w:val="0"/>
      <w:numPr>
        <w:ilvl w:val="1"/>
        <w:numId w:val="4"/>
      </w:numPr>
      <w:spacing w:after="220"/>
      <w:jc w:val="both"/>
      <w:outlineLvl w:val="1"/>
    </w:pPr>
    <w:rPr>
      <w:b/>
    </w:rPr>
  </w:style>
  <w:style w:type="paragraph" w:styleId="Heading3">
    <w:name w:val="heading 3"/>
    <w:basedOn w:val="Normal"/>
    <w:next w:val="ParaNum"/>
    <w:uiPriority w:val="99"/>
    <w:qFormat/>
    <w:pPr>
      <w:keepNext/>
      <w:widowControl w:val="0"/>
      <w:numPr>
        <w:ilvl w:val="2"/>
        <w:numId w:val="4"/>
      </w:numPr>
      <w:spacing w:after="220"/>
      <w:jc w:val="both"/>
      <w:outlineLvl w:val="2"/>
    </w:pPr>
    <w:rPr>
      <w:b/>
    </w:rPr>
  </w:style>
  <w:style w:type="paragraph" w:styleId="Heading4">
    <w:name w:val="heading 4"/>
    <w:basedOn w:val="Normal"/>
    <w:next w:val="ParaNum"/>
    <w:uiPriority w:val="99"/>
    <w:qFormat/>
    <w:pPr>
      <w:keepNext/>
      <w:widowControl w:val="0"/>
      <w:numPr>
        <w:ilvl w:val="3"/>
        <w:numId w:val="4"/>
      </w:numPr>
      <w:spacing w:after="220"/>
      <w:jc w:val="both"/>
      <w:outlineLvl w:val="3"/>
    </w:pPr>
    <w:rPr>
      <w:b/>
    </w:rPr>
  </w:style>
  <w:style w:type="paragraph" w:styleId="Heading5">
    <w:name w:val="heading 5"/>
    <w:basedOn w:val="Normal"/>
    <w:next w:val="ParaNum"/>
    <w:uiPriority w:val="99"/>
    <w:qFormat/>
    <w:pPr>
      <w:keepNext/>
      <w:widowControl w:val="0"/>
      <w:numPr>
        <w:ilvl w:val="4"/>
        <w:numId w:val="4"/>
      </w:numPr>
      <w:suppressAutoHyphens/>
      <w:spacing w:after="220"/>
      <w:jc w:val="both"/>
      <w:outlineLvl w:val="4"/>
    </w:pPr>
    <w:rPr>
      <w:b/>
    </w:rPr>
  </w:style>
  <w:style w:type="paragraph" w:styleId="Heading6">
    <w:name w:val="heading 6"/>
    <w:basedOn w:val="Normal"/>
    <w:next w:val="ParaNum"/>
    <w:uiPriority w:val="99"/>
    <w:qFormat/>
    <w:pPr>
      <w:widowControl w:val="0"/>
      <w:numPr>
        <w:ilvl w:val="5"/>
        <w:numId w:val="4"/>
      </w:numPr>
      <w:spacing w:after="220"/>
      <w:jc w:val="both"/>
      <w:outlineLvl w:val="5"/>
    </w:pPr>
    <w:rPr>
      <w:b/>
    </w:rPr>
  </w:style>
  <w:style w:type="paragraph" w:styleId="Heading7">
    <w:name w:val="heading 7"/>
    <w:basedOn w:val="Normal"/>
    <w:next w:val="ParaNum"/>
    <w:uiPriority w:val="99"/>
    <w:qFormat/>
    <w:pPr>
      <w:widowControl w:val="0"/>
      <w:numPr>
        <w:ilvl w:val="6"/>
        <w:numId w:val="4"/>
      </w:numPr>
      <w:spacing w:after="220"/>
      <w:jc w:val="both"/>
      <w:outlineLvl w:val="6"/>
    </w:pPr>
    <w:rPr>
      <w:b/>
    </w:rPr>
  </w:style>
  <w:style w:type="paragraph" w:styleId="Heading8">
    <w:name w:val="heading 8"/>
    <w:basedOn w:val="Normal"/>
    <w:next w:val="ParaNum"/>
    <w:uiPriority w:val="99"/>
    <w:qFormat/>
    <w:pPr>
      <w:widowControl w:val="0"/>
      <w:numPr>
        <w:ilvl w:val="7"/>
        <w:numId w:val="4"/>
      </w:numPr>
      <w:spacing w:after="220"/>
      <w:jc w:val="both"/>
      <w:outlineLvl w:val="7"/>
    </w:pPr>
    <w:rPr>
      <w:b/>
    </w:rPr>
  </w:style>
  <w:style w:type="paragraph" w:styleId="Heading9">
    <w:name w:val="heading 9"/>
    <w:basedOn w:val="Normal"/>
    <w:next w:val="ParaNum"/>
    <w:uiPriority w:val="99"/>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uiPriority w:val="99"/>
    <w:pPr>
      <w:widowControl w:val="0"/>
      <w:numPr>
        <w:numId w:val="13"/>
      </w:numPr>
      <w:tabs>
        <w:tab w:val="clear" w:pos="1080"/>
        <w:tab w:val="left" w:pos="1440"/>
      </w:tabs>
      <w:spacing w:after="220"/>
      <w:jc w:val="both"/>
    </w:p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n Char,f,ALTS FOOTNOTE Cha"/>
    <w:basedOn w:val="Normal"/>
    <w:link w:val="FootnoteTextChar"/>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13,Appel note de bas de p,Style 12,(NECG) Footnote Reference,Style 124,o,fr,Style 3,FR,Style 17,Footnote Reference/,Style 6,Style 7"/>
    <w:rPr>
      <w:vertAlign w:val="superscript"/>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uiPriority w:val="99"/>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Hyperlink">
    <w:name w:val="Hyperlink"/>
    <w:uiPriority w:val="99"/>
    <w:rPr>
      <w:color w:val="0000FF"/>
      <w:u w:val="single"/>
    </w:rPr>
  </w:style>
  <w:style w:type="character" w:customStyle="1" w:styleId="FootnoteTextChar">
    <w:name w:val="Footnote Text Char"/>
    <w:aliases w:val="Footnote Text Char1 Char,Footnote Text Char Char Char,ALTS FOOTNOTE Char Char Char,fn Char Char Char,Footnote Text Char1 Char Char Char,Footnote Text Char Char Char Char Char,ALTS FOOTNOTE Char Char Char Char Char,fn Char1 Char,f Char"/>
    <w:link w:val="FootnoteText"/>
    <w:locked/>
  </w:style>
  <w:style w:type="character" w:customStyle="1" w:styleId="ParaNumChar">
    <w:name w:val="ParaNum Char"/>
    <w:link w:val="ParaNum"/>
    <w:uiPriority w:val="99"/>
    <w:locked/>
    <w:rPr>
      <w:sz w:val="22"/>
    </w:rPr>
  </w:style>
  <w:style w:type="character" w:customStyle="1" w:styleId="Heading1Char">
    <w:name w:val="Heading 1 Char"/>
    <w:link w:val="Heading1"/>
    <w:uiPriority w:val="99"/>
    <w:locked/>
    <w:rPr>
      <w:b/>
      <w:caps/>
      <w:sz w:val="22"/>
    </w:rPr>
  </w:style>
  <w:style w:type="character" w:customStyle="1" w:styleId="Heading2Char">
    <w:name w:val="Heading 2 Char"/>
    <w:link w:val="Heading2"/>
    <w:uiPriority w:val="99"/>
    <w:locked/>
    <w:rPr>
      <w:b/>
      <w:sz w:val="22"/>
    </w:rPr>
  </w:style>
  <w:style w:type="character" w:customStyle="1" w:styleId="HeaderChar">
    <w:name w:val="Header Char"/>
    <w:link w:val="Header"/>
    <w:uiPriority w:val="99"/>
    <w:locked/>
    <w:rPr>
      <w:sz w:val="22"/>
    </w:rPr>
  </w:style>
  <w:style w:type="character" w:customStyle="1" w:styleId="apple-converted-space">
    <w:name w:val="apple-converted-space"/>
  </w:style>
  <w:style w:type="character" w:customStyle="1" w:styleId="starpage">
    <w:name w:val="starpage"/>
  </w:style>
  <w:style w:type="character" w:customStyle="1" w:styleId="searchterm">
    <w:name w:val="searchterm"/>
    <w:rsid w:val="001437F6"/>
  </w:style>
  <w:style w:type="paragraph" w:styleId="ListParagraph">
    <w:name w:val="List Paragraph"/>
    <w:basedOn w:val="Normal"/>
    <w:uiPriority w:val="34"/>
    <w:qFormat/>
    <w:rsid w:val="00612937"/>
    <w:pPr>
      <w:spacing w:after="200" w:line="276" w:lineRule="auto"/>
      <w:ind w:left="720"/>
      <w:contextualSpacing/>
    </w:pPr>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382583">
      <w:bodyDiv w:val="1"/>
      <w:marLeft w:val="0"/>
      <w:marRight w:val="0"/>
      <w:marTop w:val="0"/>
      <w:marBottom w:val="0"/>
      <w:divBdr>
        <w:top w:val="none" w:sz="0" w:space="0" w:color="auto"/>
        <w:left w:val="none" w:sz="0" w:space="0" w:color="auto"/>
        <w:bottom w:val="none" w:sz="0" w:space="0" w:color="auto"/>
        <w:right w:val="none" w:sz="0" w:space="0" w:color="auto"/>
      </w:divBdr>
      <w:divsChild>
        <w:div w:id="269896197">
          <w:marLeft w:val="0"/>
          <w:marRight w:val="0"/>
          <w:marTop w:val="0"/>
          <w:marBottom w:val="48"/>
          <w:divBdr>
            <w:top w:val="none" w:sz="0" w:space="0" w:color="auto"/>
            <w:left w:val="none" w:sz="0" w:space="0" w:color="auto"/>
            <w:bottom w:val="none" w:sz="0" w:space="0" w:color="auto"/>
            <w:right w:val="none" w:sz="0" w:space="0" w:color="auto"/>
          </w:divBdr>
        </w:div>
        <w:div w:id="540828129">
          <w:marLeft w:val="0"/>
          <w:marRight w:val="0"/>
          <w:marTop w:val="0"/>
          <w:marBottom w:val="48"/>
          <w:divBdr>
            <w:top w:val="none" w:sz="0" w:space="0" w:color="auto"/>
            <w:left w:val="none" w:sz="0" w:space="0" w:color="auto"/>
            <w:bottom w:val="none" w:sz="0" w:space="0" w:color="auto"/>
            <w:right w:val="none" w:sz="0" w:space="0" w:color="auto"/>
          </w:divBdr>
        </w:div>
        <w:div w:id="607546975">
          <w:marLeft w:val="0"/>
          <w:marRight w:val="0"/>
          <w:marTop w:val="0"/>
          <w:marBottom w:val="48"/>
          <w:divBdr>
            <w:top w:val="none" w:sz="0" w:space="0" w:color="auto"/>
            <w:left w:val="none" w:sz="0" w:space="0" w:color="auto"/>
            <w:bottom w:val="none" w:sz="0" w:space="0" w:color="auto"/>
            <w:right w:val="none" w:sz="0" w:space="0" w:color="auto"/>
          </w:divBdr>
        </w:div>
        <w:div w:id="1331904854">
          <w:marLeft w:val="0"/>
          <w:marRight w:val="0"/>
          <w:marTop w:val="0"/>
          <w:marBottom w:val="48"/>
          <w:divBdr>
            <w:top w:val="none" w:sz="0" w:space="0" w:color="auto"/>
            <w:left w:val="none" w:sz="0" w:space="0" w:color="auto"/>
            <w:bottom w:val="none" w:sz="0" w:space="0" w:color="auto"/>
            <w:right w:val="none" w:sz="0" w:space="0" w:color="auto"/>
          </w:divBdr>
        </w:div>
      </w:divsChild>
    </w:div>
    <w:div w:id="1506045640">
      <w:bodyDiv w:val="1"/>
      <w:marLeft w:val="0"/>
      <w:marRight w:val="0"/>
      <w:marTop w:val="0"/>
      <w:marBottom w:val="0"/>
      <w:divBdr>
        <w:top w:val="none" w:sz="0" w:space="0" w:color="auto"/>
        <w:left w:val="none" w:sz="0" w:space="0" w:color="auto"/>
        <w:bottom w:val="none" w:sz="0" w:space="0" w:color="auto"/>
        <w:right w:val="none" w:sz="0" w:space="0" w:color="auto"/>
      </w:divBdr>
      <w:divsChild>
        <w:div w:id="2133086419">
          <w:marLeft w:val="0"/>
          <w:marRight w:val="0"/>
          <w:marTop w:val="0"/>
          <w:marBottom w:val="0"/>
          <w:divBdr>
            <w:top w:val="none" w:sz="0" w:space="0" w:color="auto"/>
            <w:left w:val="none" w:sz="0" w:space="0" w:color="auto"/>
            <w:bottom w:val="none" w:sz="0" w:space="0" w:color="auto"/>
            <w:right w:val="none" w:sz="0" w:space="0" w:color="auto"/>
          </w:divBdr>
          <w:divsChild>
            <w:div w:id="1597129869">
              <w:marLeft w:val="0"/>
              <w:marRight w:val="0"/>
              <w:marTop w:val="0"/>
              <w:marBottom w:val="0"/>
              <w:divBdr>
                <w:top w:val="none" w:sz="0" w:space="0" w:color="auto"/>
                <w:left w:val="none" w:sz="0" w:space="0" w:color="auto"/>
                <w:bottom w:val="none" w:sz="0" w:space="0" w:color="auto"/>
                <w:right w:val="none" w:sz="0" w:space="0" w:color="auto"/>
              </w:divBdr>
              <w:divsChild>
                <w:div w:id="68382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756915">
      <w:bodyDiv w:val="1"/>
      <w:marLeft w:val="0"/>
      <w:marRight w:val="0"/>
      <w:marTop w:val="0"/>
      <w:marBottom w:val="0"/>
      <w:divBdr>
        <w:top w:val="none" w:sz="0" w:space="0" w:color="auto"/>
        <w:left w:val="none" w:sz="0" w:space="0" w:color="auto"/>
        <w:bottom w:val="none" w:sz="0" w:space="0" w:color="auto"/>
        <w:right w:val="none" w:sz="0" w:space="0" w:color="auto"/>
      </w:divBdr>
      <w:divsChild>
        <w:div w:id="105003788">
          <w:marLeft w:val="0"/>
          <w:marRight w:val="0"/>
          <w:marTop w:val="0"/>
          <w:marBottom w:val="0"/>
          <w:divBdr>
            <w:top w:val="none" w:sz="0" w:space="0" w:color="auto"/>
            <w:left w:val="none" w:sz="0" w:space="0" w:color="auto"/>
            <w:bottom w:val="none" w:sz="0" w:space="0" w:color="auto"/>
            <w:right w:val="none" w:sz="0" w:space="0" w:color="auto"/>
          </w:divBdr>
          <w:divsChild>
            <w:div w:id="139292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86773">
      <w:bodyDiv w:val="1"/>
      <w:marLeft w:val="0"/>
      <w:marRight w:val="0"/>
      <w:marTop w:val="0"/>
      <w:marBottom w:val="0"/>
      <w:divBdr>
        <w:top w:val="none" w:sz="0" w:space="0" w:color="auto"/>
        <w:left w:val="none" w:sz="0" w:space="0" w:color="auto"/>
        <w:bottom w:val="none" w:sz="0" w:space="0" w:color="auto"/>
        <w:right w:val="none" w:sz="0" w:space="0" w:color="auto"/>
      </w:divBdr>
      <w:divsChild>
        <w:div w:id="1220436584">
          <w:marLeft w:val="0"/>
          <w:marRight w:val="0"/>
          <w:marTop w:val="0"/>
          <w:marBottom w:val="0"/>
          <w:divBdr>
            <w:top w:val="none" w:sz="0" w:space="0" w:color="auto"/>
            <w:left w:val="none" w:sz="0" w:space="0" w:color="auto"/>
            <w:bottom w:val="none" w:sz="0" w:space="0" w:color="auto"/>
            <w:right w:val="none" w:sz="0" w:space="0" w:color="auto"/>
          </w:divBdr>
          <w:divsChild>
            <w:div w:id="44986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87762">
      <w:bodyDiv w:val="1"/>
      <w:marLeft w:val="0"/>
      <w:marRight w:val="0"/>
      <w:marTop w:val="0"/>
      <w:marBottom w:val="0"/>
      <w:divBdr>
        <w:top w:val="none" w:sz="0" w:space="0" w:color="auto"/>
        <w:left w:val="none" w:sz="0" w:space="0" w:color="auto"/>
        <w:bottom w:val="none" w:sz="0" w:space="0" w:color="auto"/>
        <w:right w:val="none" w:sz="0" w:space="0" w:color="auto"/>
      </w:divBdr>
      <w:divsChild>
        <w:div w:id="701633337">
          <w:marLeft w:val="0"/>
          <w:marRight w:val="0"/>
          <w:marTop w:val="0"/>
          <w:marBottom w:val="0"/>
          <w:divBdr>
            <w:top w:val="none" w:sz="0" w:space="0" w:color="auto"/>
            <w:left w:val="none" w:sz="0" w:space="0" w:color="auto"/>
            <w:bottom w:val="none" w:sz="0" w:space="0" w:color="auto"/>
            <w:right w:val="none" w:sz="0" w:space="0" w:color="auto"/>
          </w:divBdr>
          <w:divsChild>
            <w:div w:id="132685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88405">
      <w:bodyDiv w:val="1"/>
      <w:marLeft w:val="0"/>
      <w:marRight w:val="0"/>
      <w:marTop w:val="0"/>
      <w:marBottom w:val="0"/>
      <w:divBdr>
        <w:top w:val="none" w:sz="0" w:space="0" w:color="auto"/>
        <w:left w:val="none" w:sz="0" w:space="0" w:color="auto"/>
        <w:bottom w:val="none" w:sz="0" w:space="0" w:color="auto"/>
        <w:right w:val="none" w:sz="0" w:space="0" w:color="auto"/>
      </w:divBdr>
      <w:divsChild>
        <w:div w:id="998191961">
          <w:marLeft w:val="0"/>
          <w:marRight w:val="0"/>
          <w:marTop w:val="0"/>
          <w:marBottom w:val="0"/>
          <w:divBdr>
            <w:top w:val="none" w:sz="0" w:space="0" w:color="auto"/>
            <w:left w:val="none" w:sz="0" w:space="0" w:color="auto"/>
            <w:bottom w:val="none" w:sz="0" w:space="0" w:color="auto"/>
            <w:right w:val="none" w:sz="0" w:space="0" w:color="auto"/>
          </w:divBdr>
          <w:divsChild>
            <w:div w:id="33317026">
              <w:marLeft w:val="0"/>
              <w:marRight w:val="0"/>
              <w:marTop w:val="0"/>
              <w:marBottom w:val="0"/>
              <w:divBdr>
                <w:top w:val="none" w:sz="0" w:space="0" w:color="auto"/>
                <w:left w:val="none" w:sz="0" w:space="0" w:color="auto"/>
                <w:bottom w:val="none" w:sz="0" w:space="0" w:color="auto"/>
                <w:right w:val="none" w:sz="0" w:space="0" w:color="auto"/>
              </w:divBdr>
              <w:divsChild>
                <w:div w:id="19811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2</Pages>
  <Words>1870</Words>
  <Characters>9954</Characters>
  <Application>Microsoft Office Word</Application>
  <DocSecurity>0</DocSecurity>
  <Lines>166</Lines>
  <Paragraphs>39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11883</CharactersWithSpaces>
  <SharedDoc>false</SharedDoc>
  <HyperlinkBase> </HyperlinkBase>
  <HLinks>
    <vt:vector size="6" baseType="variant">
      <vt:variant>
        <vt:i4>2031677</vt:i4>
      </vt:variant>
      <vt:variant>
        <vt:i4>0</vt:i4>
      </vt:variant>
      <vt:variant>
        <vt:i4>0</vt:i4>
      </vt:variant>
      <vt:variant>
        <vt:i4>5</vt:i4>
      </vt:variant>
      <vt:variant>
        <vt:lpwstr>http://web2.westlaw.com/find/default.wl?mt=Westlaw&amp;db=350&amp;tc=-1&amp;rp=%2ffind%2fdefault.wl&amp;findtype=Y&amp;ordoc=2021196419&amp;serialnum=1990047144&amp;vr=2.0&amp;fn=_top&amp;sv=Split&amp;tf=-1&amp;referencepositiontype=S&amp;pbc=4567567E&amp;referenceposition=1166&amp;rs=WLW13.10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2014-03-07T14:40:00Z</cp:lastPrinted>
  <dcterms:created xsi:type="dcterms:W3CDTF">2014-11-10T19:10:00Z</dcterms:created>
  <dcterms:modified xsi:type="dcterms:W3CDTF">2014-11-10T19:10:00Z</dcterms:modified>
  <cp:category> </cp:category>
  <cp:contentStatus> </cp:contentStatus>
</cp:coreProperties>
</file>