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73" w:rsidRDefault="00AE4B73">
      <w:pPr>
        <w:pStyle w:val="Header"/>
        <w:tabs>
          <w:tab w:val="clear" w:pos="4320"/>
          <w:tab w:val="clear" w:pos="8640"/>
        </w:tabs>
        <w:rPr>
          <w:szCs w:val="22"/>
        </w:rPr>
        <w:sectPr w:rsidR="00AE4B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AE4B73" w:rsidRDefault="00417809">
      <w:pPr>
        <w:spacing w:after="120"/>
        <w:jc w:val="right"/>
        <w:rPr>
          <w:b/>
          <w:szCs w:val="22"/>
        </w:rPr>
      </w:pPr>
      <w:r>
        <w:rPr>
          <w:b/>
          <w:szCs w:val="22"/>
        </w:rPr>
        <w:lastRenderedPageBreak/>
        <w:t>DA 14-1624</w:t>
      </w:r>
    </w:p>
    <w:p w:rsidR="00AE4B73" w:rsidRDefault="00AE4B73">
      <w:pPr>
        <w:jc w:val="right"/>
        <w:rPr>
          <w:b/>
          <w:szCs w:val="22"/>
        </w:rPr>
      </w:pPr>
      <w:r>
        <w:rPr>
          <w:b/>
          <w:szCs w:val="22"/>
        </w:rPr>
        <w:t xml:space="preserve">Released:  </w:t>
      </w:r>
      <w:r w:rsidR="00417809">
        <w:rPr>
          <w:b/>
          <w:szCs w:val="22"/>
        </w:rPr>
        <w:t>November 7, 2014</w:t>
      </w:r>
    </w:p>
    <w:p w:rsidR="00AE4B73" w:rsidRDefault="00AE4B73">
      <w:pPr>
        <w:rPr>
          <w:szCs w:val="22"/>
        </w:rPr>
      </w:pPr>
    </w:p>
    <w:p w:rsidR="00AE4B73" w:rsidRDefault="00AE4B73">
      <w:pPr>
        <w:jc w:val="center"/>
        <w:rPr>
          <w:b/>
          <w:szCs w:val="22"/>
        </w:rPr>
      </w:pPr>
      <w:r>
        <w:rPr>
          <w:b/>
          <w:szCs w:val="22"/>
        </w:rPr>
        <w:t xml:space="preserve">WIRELINE COMPETITION BUREAU SEEKS COMMENT ON </w:t>
      </w:r>
      <w:r w:rsidR="00282996">
        <w:rPr>
          <w:b/>
          <w:szCs w:val="22"/>
        </w:rPr>
        <w:t>TRACFONE WIRELESS</w:t>
      </w:r>
      <w:r>
        <w:rPr>
          <w:b/>
          <w:szCs w:val="22"/>
        </w:rPr>
        <w:t xml:space="preserve">, INC. </w:t>
      </w:r>
      <w:r w:rsidR="00282996">
        <w:rPr>
          <w:b/>
          <w:szCs w:val="22"/>
        </w:rPr>
        <w:t xml:space="preserve">EMERGENCY </w:t>
      </w:r>
      <w:r>
        <w:rPr>
          <w:b/>
          <w:szCs w:val="22"/>
        </w:rPr>
        <w:t xml:space="preserve">PETITION FOR </w:t>
      </w:r>
      <w:r w:rsidR="00282996">
        <w:rPr>
          <w:b/>
          <w:szCs w:val="22"/>
        </w:rPr>
        <w:t>DECLARATORY RULING</w:t>
      </w:r>
    </w:p>
    <w:p w:rsidR="00AE4B73" w:rsidRDefault="00AE4B73">
      <w:pPr>
        <w:jc w:val="center"/>
        <w:rPr>
          <w:b/>
          <w:szCs w:val="22"/>
        </w:rPr>
      </w:pPr>
    </w:p>
    <w:p w:rsidR="00AE4B73" w:rsidRDefault="00AE4B73">
      <w:pPr>
        <w:jc w:val="center"/>
        <w:rPr>
          <w:b/>
          <w:szCs w:val="22"/>
        </w:rPr>
      </w:pPr>
      <w:r>
        <w:rPr>
          <w:b/>
          <w:szCs w:val="22"/>
        </w:rPr>
        <w:t>WC Docket No. 11-42</w:t>
      </w:r>
    </w:p>
    <w:p w:rsidR="00AE4B73" w:rsidRDefault="00AE4B73"/>
    <w:p w:rsidR="00AE4B73" w:rsidRDefault="00AE4B73">
      <w:pPr>
        <w:rPr>
          <w:b/>
          <w:szCs w:val="22"/>
        </w:rPr>
      </w:pPr>
      <w:r>
        <w:rPr>
          <w:b/>
          <w:szCs w:val="22"/>
        </w:rPr>
        <w:t xml:space="preserve">Comment Date: </w:t>
      </w:r>
      <w:r w:rsidR="00417809">
        <w:rPr>
          <w:b/>
          <w:szCs w:val="22"/>
        </w:rPr>
        <w:t>December 8, 2014</w:t>
      </w:r>
    </w:p>
    <w:p w:rsidR="00AE4B73" w:rsidRDefault="00EF2F67">
      <w:pPr>
        <w:rPr>
          <w:b/>
          <w:szCs w:val="22"/>
        </w:rPr>
      </w:pPr>
      <w:r>
        <w:rPr>
          <w:b/>
          <w:szCs w:val="22"/>
        </w:rPr>
        <w:t xml:space="preserve">Reply Comment Date:  </w:t>
      </w:r>
      <w:r w:rsidR="00417809">
        <w:rPr>
          <w:b/>
          <w:szCs w:val="22"/>
        </w:rPr>
        <w:t>December 23, 2014</w:t>
      </w:r>
      <w:r>
        <w:rPr>
          <w:b/>
          <w:szCs w:val="22"/>
        </w:rPr>
        <w:t xml:space="preserve"> </w:t>
      </w:r>
    </w:p>
    <w:p w:rsidR="00AE4B73" w:rsidRDefault="00AE4B73"/>
    <w:p w:rsidR="00AE4B73" w:rsidRDefault="00AE4B73">
      <w:pPr>
        <w:ind w:firstLine="720"/>
      </w:pPr>
      <w:r>
        <w:t xml:space="preserve">By this Public Notice, the Wireline Competition Bureau seeks comment on a petition for </w:t>
      </w:r>
      <w:r w:rsidR="00EF2F67">
        <w:t>declaratory</w:t>
      </w:r>
      <w:r>
        <w:t xml:space="preserve"> filed by </w:t>
      </w:r>
      <w:r w:rsidR="00282996">
        <w:t>TracFone Wireless, Inc. (TracFone</w:t>
      </w:r>
      <w:r>
        <w:t>).</w:t>
      </w:r>
      <w:r>
        <w:rPr>
          <w:rStyle w:val="FootnoteReference"/>
        </w:rPr>
        <w:footnoteReference w:id="1"/>
      </w:r>
      <w:r>
        <w:t xml:space="preserve">  </w:t>
      </w:r>
      <w:r w:rsidR="004D6AF9">
        <w:t>In its petition, TracFone requests that the Commission issue a declaratory ruling on an emergency basis confirming</w:t>
      </w:r>
      <w:r w:rsidR="00EF2F67">
        <w:t xml:space="preserve"> that state laws and regulations</w:t>
      </w:r>
      <w:r w:rsidR="004D6AF9">
        <w:t xml:space="preserve"> that impose 911 taxes and fees on low-income Lifeline customers who receive no-charge (</w:t>
      </w:r>
      <w:r w:rsidR="004D6AF9" w:rsidRPr="004D6AF9">
        <w:rPr>
          <w:i/>
        </w:rPr>
        <w:t>i.e</w:t>
      </w:r>
      <w:r w:rsidR="004D6AF9">
        <w:t>., non-billed) wireless Lifeline service funded exclusively by the federal Universal Service Fund violate federal law.</w:t>
      </w:r>
      <w:r w:rsidR="004D6AF9">
        <w:rPr>
          <w:rStyle w:val="FootnoteReference"/>
        </w:rPr>
        <w:footnoteReference w:id="2"/>
      </w:r>
      <w:r w:rsidR="004D6AF9">
        <w:t xml:space="preserve"> </w:t>
      </w:r>
      <w:r w:rsidR="00EF2F67">
        <w:t xml:space="preserve"> TracFone asks the Commission to issue a declaratory ruling preempting enforcement of such laws and regulations pursuant to the Supremacy Clause of the U.S. Constitution and Section 253 of the Communications Act of 1934, as amended.</w:t>
      </w:r>
      <w:r w:rsidR="00EF2F67">
        <w:rPr>
          <w:rStyle w:val="FootnoteReference"/>
        </w:rPr>
        <w:footnoteReference w:id="3"/>
      </w:r>
      <w:r w:rsidR="00EF2F67">
        <w:t xml:space="preserve"> </w:t>
      </w:r>
    </w:p>
    <w:p w:rsidR="00B074DA" w:rsidRDefault="00B074DA">
      <w:pPr>
        <w:ind w:firstLine="720"/>
        <w:rPr>
          <w:szCs w:val="22"/>
        </w:rPr>
      </w:pPr>
    </w:p>
    <w:p w:rsidR="00AE4B73" w:rsidRDefault="00AE4B73">
      <w:pPr>
        <w:ind w:firstLine="720"/>
        <w:rPr>
          <w:szCs w:val="22"/>
        </w:rPr>
      </w:pPr>
      <w:r>
        <w:rPr>
          <w:szCs w:val="22"/>
        </w:rPr>
        <w:t>Pursuant to sections 1.415 and 1.419 of the Commission’s rules, interested parties may file comments and reply comments on or before the dates indicated above.  Comments may be filed using the Commission’s Electronic Comment Filing System (ECFS), or by filing paper copies.</w:t>
      </w:r>
      <w:r>
        <w:rPr>
          <w:rStyle w:val="FootnoteReference"/>
          <w:szCs w:val="22"/>
        </w:rPr>
        <w:footnoteReference w:id="4"/>
      </w:r>
      <w:r>
        <w:rPr>
          <w:szCs w:val="22"/>
        </w:rPr>
        <w:t xml:space="preserve">  </w:t>
      </w:r>
    </w:p>
    <w:p w:rsidR="00AE4B73" w:rsidRDefault="00AE4B73">
      <w:pPr>
        <w:rPr>
          <w:szCs w:val="22"/>
        </w:rPr>
      </w:pPr>
    </w:p>
    <w:p w:rsidR="00AE4B73" w:rsidRDefault="00AE4B73">
      <w:pPr>
        <w:numPr>
          <w:ilvl w:val="0"/>
          <w:numId w:val="19"/>
        </w:numPr>
        <w:rPr>
          <w:szCs w:val="22"/>
        </w:rPr>
      </w:pPr>
      <w:r>
        <w:rPr>
          <w:szCs w:val="22"/>
        </w:rPr>
        <w:t xml:space="preserve">Electronic Filers:  Comments may be filed electronically using the Internet by accessing the ECFS:  </w:t>
      </w:r>
      <w:hyperlink r:id="rId14" w:history="1">
        <w:r>
          <w:rPr>
            <w:rStyle w:val="Hyperlink"/>
            <w:szCs w:val="22"/>
          </w:rPr>
          <w:t>http://fjallfoss.fcc.gov/ecfs2/</w:t>
        </w:r>
      </w:hyperlink>
      <w:r>
        <w:rPr>
          <w:szCs w:val="22"/>
        </w:rPr>
        <w:t xml:space="preserve">.  </w:t>
      </w:r>
    </w:p>
    <w:p w:rsidR="00AE4B73" w:rsidRDefault="00AE4B73">
      <w:pPr>
        <w:rPr>
          <w:szCs w:val="22"/>
        </w:rPr>
      </w:pPr>
    </w:p>
    <w:p w:rsidR="00AE4B73" w:rsidRDefault="00AE4B73">
      <w:pPr>
        <w:numPr>
          <w:ilvl w:val="0"/>
          <w:numId w:val="19"/>
        </w:numPr>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AE4B73" w:rsidRDefault="00AE4B73">
      <w:pPr>
        <w:rPr>
          <w:szCs w:val="22"/>
        </w:rPr>
      </w:pPr>
    </w:p>
    <w:p w:rsidR="00AE4B73" w:rsidRDefault="00AE4B73">
      <w:pPr>
        <w:numPr>
          <w:ilvl w:val="0"/>
          <w:numId w:val="17"/>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w:t>
      </w:r>
      <w:r>
        <w:rPr>
          <w:szCs w:val="22"/>
        </w:rPr>
        <w:lastRenderedPageBreak/>
        <w:t xml:space="preserve">must be held together with rubber bands or fasteners.  Any envelopes and boxes must be disposed of </w:t>
      </w:r>
      <w:r>
        <w:rPr>
          <w:szCs w:val="22"/>
          <w:u w:val="single"/>
        </w:rPr>
        <w:t>before</w:t>
      </w:r>
      <w:r>
        <w:rPr>
          <w:szCs w:val="22"/>
        </w:rPr>
        <w:t xml:space="preserve"> entering the building.  </w:t>
      </w:r>
    </w:p>
    <w:p w:rsidR="00AE4B73" w:rsidRDefault="00AE4B73">
      <w:pPr>
        <w:ind w:left="1080"/>
        <w:rPr>
          <w:szCs w:val="22"/>
        </w:rPr>
      </w:pPr>
    </w:p>
    <w:p w:rsidR="00AE4B73" w:rsidRDefault="00AE4B73">
      <w:pPr>
        <w:numPr>
          <w:ilvl w:val="0"/>
          <w:numId w:val="17"/>
        </w:numPr>
        <w:rPr>
          <w:szCs w:val="22"/>
        </w:rPr>
      </w:pPr>
      <w:r>
        <w:rPr>
          <w:szCs w:val="22"/>
        </w:rPr>
        <w:t>Commercial overnight mail (other than U.S. Postal Service Express Mail and Priority Mail) must be sent to 9300 East Hampton Drive, Capitol Heights, MD  20743.</w:t>
      </w:r>
    </w:p>
    <w:p w:rsidR="00AE4B73" w:rsidRDefault="00AE4B73">
      <w:pPr>
        <w:rPr>
          <w:szCs w:val="22"/>
        </w:rPr>
      </w:pPr>
    </w:p>
    <w:p w:rsidR="00AE4B73" w:rsidRDefault="00AE4B73">
      <w:pPr>
        <w:numPr>
          <w:ilvl w:val="0"/>
          <w:numId w:val="17"/>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AE4B73" w:rsidRDefault="00AE4B73">
      <w:pPr>
        <w:rPr>
          <w:szCs w:val="22"/>
        </w:rPr>
      </w:pPr>
    </w:p>
    <w:p w:rsidR="00AE4B73" w:rsidRDefault="00AE4B73">
      <w:pPr>
        <w:rPr>
          <w:szCs w:val="22"/>
        </w:rPr>
      </w:pPr>
      <w:r>
        <w:rPr>
          <w:szCs w:val="22"/>
        </w:rPr>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rStyle w:val="Hyperlink"/>
          <w:szCs w:val="22"/>
        </w:rPr>
        <w:t>,</w:t>
      </w:r>
      <w:r>
        <w:rPr>
          <w:szCs w:val="22"/>
        </w:rPr>
        <w:t xml:space="preserve"> or call the Consumer &amp; Governmental Affairs Bureau at 202-418-0530 (voice), 202-418-0432 (TTY).</w:t>
      </w:r>
    </w:p>
    <w:p w:rsidR="00AE4B73" w:rsidRDefault="00AE4B73">
      <w:pPr>
        <w:rPr>
          <w:szCs w:val="22"/>
        </w:rPr>
      </w:pPr>
    </w:p>
    <w:p w:rsidR="00AE4B73" w:rsidRDefault="00AE4B73">
      <w:pPr>
        <w:rPr>
          <w:b/>
          <w:szCs w:val="22"/>
        </w:rPr>
      </w:pPr>
      <w:r>
        <w:rPr>
          <w:b/>
          <w:szCs w:val="22"/>
        </w:rPr>
        <w:t>In addition, one copy of each pleading must be sent to:</w:t>
      </w:r>
    </w:p>
    <w:p w:rsidR="00AE4B73" w:rsidRDefault="00AE4B73">
      <w:pPr>
        <w:rPr>
          <w:szCs w:val="22"/>
        </w:rPr>
      </w:pPr>
    </w:p>
    <w:p w:rsidR="00AE4B73" w:rsidRDefault="00AE4B73">
      <w:pPr>
        <w:ind w:left="720"/>
        <w:rPr>
          <w:szCs w:val="22"/>
        </w:rPr>
      </w:pPr>
      <w:r>
        <w:rPr>
          <w:szCs w:val="22"/>
        </w:rPr>
        <w:t>Charles Tyler, Telecommunications Access Policy Division, Wireline Competition Bureau, 445 12th Street, S.W., Room 5-A452, Washington, D.C. 20554; e-mail: Charles.Tyler@fcc.gov.</w:t>
      </w:r>
    </w:p>
    <w:p w:rsidR="00AE4B73" w:rsidRDefault="00AE4B73">
      <w:pPr>
        <w:ind w:firstLine="720"/>
        <w:rPr>
          <w:szCs w:val="22"/>
        </w:rPr>
      </w:pPr>
    </w:p>
    <w:p w:rsidR="00AE4B73" w:rsidRDefault="00AE4B73">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5"/>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AE4B73" w:rsidRDefault="00AE4B73">
      <w:pPr>
        <w:ind w:firstLine="720"/>
        <w:rPr>
          <w:szCs w:val="22"/>
        </w:rPr>
      </w:pPr>
    </w:p>
    <w:p w:rsidR="00AE4B73" w:rsidRDefault="00AE4B73">
      <w:pPr>
        <w:keepNext/>
        <w:spacing w:after="120"/>
        <w:ind w:firstLine="720"/>
        <w:rPr>
          <w:szCs w:val="22"/>
        </w:rPr>
      </w:pPr>
      <w:r>
        <w:rPr>
          <w:szCs w:val="22"/>
        </w:rPr>
        <w:t xml:space="preserve">For further information, please contact </w:t>
      </w:r>
      <w:r w:rsidR="00B074DA">
        <w:rPr>
          <w:szCs w:val="22"/>
        </w:rPr>
        <w:t>Christopher Cook</w:t>
      </w:r>
      <w:r>
        <w:rPr>
          <w:szCs w:val="22"/>
        </w:rPr>
        <w:t>, Telecommunications Access Policy Division, Wireline Comp</w:t>
      </w:r>
      <w:r w:rsidR="00B074DA">
        <w:rPr>
          <w:szCs w:val="22"/>
        </w:rPr>
        <w:t xml:space="preserve">etition Bureau at </w:t>
      </w:r>
      <w:hyperlink r:id="rId16" w:history="1">
        <w:r w:rsidR="00B074DA" w:rsidRPr="008140DD">
          <w:rPr>
            <w:rStyle w:val="Hyperlink"/>
            <w:szCs w:val="22"/>
          </w:rPr>
          <w:t>christopher.cook@fcc.gov</w:t>
        </w:r>
      </w:hyperlink>
      <w:r w:rsidR="0019704A">
        <w:rPr>
          <w:szCs w:val="22"/>
        </w:rPr>
        <w:t xml:space="preserve">, </w:t>
      </w:r>
      <w:r w:rsidR="00B074DA">
        <w:rPr>
          <w:szCs w:val="22"/>
        </w:rPr>
        <w:t>(202) 418-0756</w:t>
      </w:r>
      <w:r>
        <w:rPr>
          <w:szCs w:val="22"/>
        </w:rPr>
        <w:t xml:space="preserve"> or TTY (202) 418-0484.</w:t>
      </w:r>
    </w:p>
    <w:p w:rsidR="00AE4B73" w:rsidRDefault="00AE4B73">
      <w:pPr>
        <w:keepNext/>
        <w:ind w:firstLine="720"/>
        <w:rPr>
          <w:szCs w:val="22"/>
        </w:rPr>
      </w:pPr>
    </w:p>
    <w:p w:rsidR="00AE4B73" w:rsidRDefault="00AE4B73">
      <w:pPr>
        <w:jc w:val="center"/>
        <w:rPr>
          <w:b/>
          <w:szCs w:val="22"/>
        </w:rPr>
      </w:pPr>
      <w:r>
        <w:rPr>
          <w:b/>
        </w:rPr>
        <w:t>- FCC -</w:t>
      </w:r>
    </w:p>
    <w:sectPr w:rsidR="00AE4B73">
      <w:footerReference w:type="even" r:id="rId17"/>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75" w:rsidRDefault="00044375">
      <w:r>
        <w:separator/>
      </w:r>
    </w:p>
  </w:endnote>
  <w:endnote w:type="continuationSeparator" w:id="0">
    <w:p w:rsidR="00044375" w:rsidRDefault="000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73" w:rsidRDefault="00AE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4B73" w:rsidRDefault="00AE4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73" w:rsidRDefault="00AE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4B73" w:rsidRDefault="00AE4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8C" w:rsidRDefault="00B64A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73" w:rsidRDefault="00AE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4B73" w:rsidRDefault="00AE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73" w:rsidRDefault="00AE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C8B">
      <w:rPr>
        <w:rStyle w:val="PageNumber"/>
        <w:noProof/>
      </w:rPr>
      <w:t>2</w:t>
    </w:r>
    <w:r>
      <w:rPr>
        <w:rStyle w:val="PageNumber"/>
      </w:rPr>
      <w:fldChar w:fldCharType="end"/>
    </w:r>
  </w:p>
  <w:p w:rsidR="00AE4B73" w:rsidRDefault="00AE4B73">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75" w:rsidRDefault="00044375">
      <w:r>
        <w:separator/>
      </w:r>
    </w:p>
  </w:footnote>
  <w:footnote w:type="continuationSeparator" w:id="0">
    <w:p w:rsidR="00044375" w:rsidRDefault="00044375">
      <w:r>
        <w:continuationSeparator/>
      </w:r>
    </w:p>
  </w:footnote>
  <w:footnote w:id="1">
    <w:p w:rsidR="00AE4B73" w:rsidRDefault="00AE4B73">
      <w:pPr>
        <w:pStyle w:val="FootnoteText"/>
      </w:pPr>
      <w:r>
        <w:rPr>
          <w:rStyle w:val="FootnoteReference"/>
        </w:rPr>
        <w:footnoteRef/>
      </w:r>
      <w:r>
        <w:t xml:space="preserve"> </w:t>
      </w:r>
      <w:r w:rsidR="00282996">
        <w:t>TracFone Wireless</w:t>
      </w:r>
      <w:r>
        <w:t xml:space="preserve">, Inc. </w:t>
      </w:r>
      <w:r w:rsidR="00282996">
        <w:t xml:space="preserve">Emergency </w:t>
      </w:r>
      <w:r>
        <w:t xml:space="preserve">Petition for </w:t>
      </w:r>
      <w:r w:rsidR="00282996">
        <w:t>Declaratory Ruling</w:t>
      </w:r>
      <w:r>
        <w:t xml:space="preserve">, WC Docket No. 11-42 (filed </w:t>
      </w:r>
      <w:r w:rsidR="00282996">
        <w:t>Oct. 23</w:t>
      </w:r>
      <w:r>
        <w:t>, 2014) (</w:t>
      </w:r>
      <w:r w:rsidR="00282996">
        <w:t>TracFone</w:t>
      </w:r>
      <w:r>
        <w:t xml:space="preserve"> Petition), </w:t>
      </w:r>
      <w:r w:rsidR="004D6AF9">
        <w:t>http://apps</w:t>
      </w:r>
      <w:r w:rsidR="004D6AF9" w:rsidRPr="004D6AF9">
        <w:t>.fcc.gov/ecfs/document/view?id=60000975434</w:t>
      </w:r>
      <w:r>
        <w:t xml:space="preserve">.  </w:t>
      </w:r>
    </w:p>
  </w:footnote>
  <w:footnote w:id="2">
    <w:p w:rsidR="004D6AF9" w:rsidRPr="00B074DA" w:rsidRDefault="004D6AF9" w:rsidP="004D6AF9">
      <w:pPr>
        <w:pStyle w:val="FootnoteText"/>
      </w:pPr>
      <w:r>
        <w:rPr>
          <w:rStyle w:val="FootnoteReference"/>
        </w:rPr>
        <w:footnoteRef/>
      </w:r>
      <w:r>
        <w:t xml:space="preserve"> </w:t>
      </w:r>
      <w:r w:rsidR="00B074DA">
        <w:rPr>
          <w:i/>
        </w:rPr>
        <w:t xml:space="preserve">See generally </w:t>
      </w:r>
      <w:r w:rsidR="009A0B58">
        <w:t>TracFone Petition.</w:t>
      </w:r>
      <w:r w:rsidR="00B074DA">
        <w:t xml:space="preserve"> </w:t>
      </w:r>
    </w:p>
  </w:footnote>
  <w:footnote w:id="3">
    <w:p w:rsidR="00EF2F67" w:rsidRDefault="00EF2F67">
      <w:pPr>
        <w:pStyle w:val="FootnoteText"/>
      </w:pPr>
      <w:r>
        <w:rPr>
          <w:rStyle w:val="FootnoteReference"/>
        </w:rPr>
        <w:footnoteRef/>
      </w:r>
      <w:r>
        <w:t xml:space="preserve"> </w:t>
      </w:r>
      <w:r w:rsidRPr="00EF2F67">
        <w:rPr>
          <w:i/>
        </w:rPr>
        <w:t>See id</w:t>
      </w:r>
      <w:r>
        <w:t xml:space="preserve">.; </w:t>
      </w:r>
      <w:r>
        <w:rPr>
          <w:i/>
        </w:rPr>
        <w:t xml:space="preserve">see also </w:t>
      </w:r>
      <w:r>
        <w:t>47 U.S.C. §§ 151, 253; U.S. Const., Art. VI, cl. 2.</w:t>
      </w:r>
    </w:p>
  </w:footnote>
  <w:footnote w:id="4">
    <w:p w:rsidR="00AE4B73" w:rsidRDefault="00AE4B73">
      <w:pPr>
        <w:pStyle w:val="FootnoteText"/>
      </w:pPr>
      <w:r>
        <w:rPr>
          <w:rStyle w:val="FootnoteReference"/>
        </w:rPr>
        <w:footnoteRef/>
      </w:r>
      <w:r>
        <w:t xml:space="preserve"> </w:t>
      </w:r>
      <w:r>
        <w:rPr>
          <w:i/>
        </w:rPr>
        <w:t xml:space="preserve">See </w:t>
      </w:r>
      <w:r>
        <w:t xml:space="preserve">47 C.F.R. §§ 1.415, 1.419; </w:t>
      </w:r>
      <w:r>
        <w:rPr>
          <w:i/>
        </w:rPr>
        <w:t>Electronic Filing of Documents in Rulemaking Proceedings</w:t>
      </w:r>
      <w:r>
        <w:t>, 63 FR 24121 (1998).</w:t>
      </w:r>
    </w:p>
  </w:footnote>
  <w:footnote w:id="5">
    <w:p w:rsidR="00AE4B73" w:rsidRDefault="00AE4B73">
      <w:pPr>
        <w:pStyle w:val="FootnoteText"/>
        <w:rPr>
          <w:i/>
          <w:iCs/>
        </w:rPr>
      </w:pPr>
      <w:r>
        <w:rPr>
          <w:rStyle w:val="FootnoteReference"/>
        </w:rPr>
        <w:footnoteRef/>
      </w:r>
      <w:r>
        <w:t xml:space="preserve"> 47 C.F.R. §§ 1.1200 </w:t>
      </w:r>
      <w:r>
        <w:rPr>
          <w:i/>
          <w:iCs/>
        </w:rPr>
        <w:t>et seq.</w:t>
      </w:r>
    </w:p>
    <w:p w:rsidR="00AE4B73" w:rsidRDefault="00AE4B73">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8C" w:rsidRDefault="00B6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8C" w:rsidRDefault="00B64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73" w:rsidRDefault="00435615">
    <w:pPr>
      <w:pStyle w:val="Header"/>
      <w:tabs>
        <w:tab w:val="clear" w:pos="4320"/>
        <w:tab w:val="clear" w:pos="8640"/>
      </w:tabs>
      <w:spacing w:before="40"/>
      <w:ind w:firstLine="1080"/>
      <w:rPr>
        <w:rFonts w:ascii="Arial" w:hAnsi="Arial"/>
        <w:b/>
        <w:kern w:val="28"/>
        <w:sz w:val="96"/>
        <w:szCs w:val="96"/>
      </w:rPr>
    </w:pPr>
    <w:r>
      <w:rPr>
        <w:noProof/>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B73" w:rsidRDefault="00AE4B73">
                          <w:pPr>
                            <w:rPr>
                              <w:rFonts w:ascii="Arial" w:hAnsi="Arial"/>
                              <w:b/>
                            </w:rPr>
                          </w:pPr>
                          <w:r>
                            <w:rPr>
                              <w:rFonts w:ascii="Arial" w:hAnsi="Arial"/>
                              <w:b/>
                            </w:rPr>
                            <w:t>Federal Communications Commission</w:t>
                          </w:r>
                        </w:p>
                        <w:p w:rsidR="00AE4B73" w:rsidRDefault="00AE4B7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4B73" w:rsidRDefault="00AE4B7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iZR5&#10;wYMCAAAPBQAADgAAAAAAAAAAAAAAAAAuAgAAZHJzL2Uyb0RvYy54bWxQSwECLQAUAAYACAAAACEA&#10;YFnZv94AAAAKAQAADwAAAAAAAAAAAAAAAADdBAAAZHJzL2Rvd25yZXYueG1sUEsFBgAAAAAEAAQA&#10;8wAAAOgFAAAAAA==&#10;" o:allowincell="f" stroked="f">
              <v:textbox>
                <w:txbxContent>
                  <w:p w:rsidR="00AE4B73" w:rsidRDefault="00AE4B73">
                    <w:pPr>
                      <w:rPr>
                        <w:rFonts w:ascii="Arial" w:hAnsi="Arial"/>
                        <w:b/>
                      </w:rPr>
                    </w:pPr>
                    <w:r>
                      <w:rPr>
                        <w:rFonts w:ascii="Arial" w:hAnsi="Arial"/>
                        <w:b/>
                      </w:rPr>
                      <w:t>Federal Communications Commission</w:t>
                    </w:r>
                  </w:p>
                  <w:p w:rsidR="00AE4B73" w:rsidRDefault="00AE4B7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4B73" w:rsidRDefault="00AE4B73">
                    <w:pPr>
                      <w:rPr>
                        <w:rFonts w:ascii="Arial" w:hAnsi="Arial"/>
                        <w:sz w:val="24"/>
                      </w:rPr>
                    </w:pPr>
                    <w:r>
                      <w:rPr>
                        <w:rFonts w:ascii="Arial" w:hAnsi="Arial"/>
                        <w:b/>
                      </w:rPr>
                      <w:t>Washington, D.C. 20554</w:t>
                    </w:r>
                  </w:p>
                </w:txbxContent>
              </v:textbox>
            </v:shape>
          </w:pict>
        </mc:Fallback>
      </mc:AlternateContent>
    </w:r>
    <w:r w:rsidR="00AE4B73">
      <w:rPr>
        <w:rFonts w:ascii="Arial" w:hAnsi="Arial"/>
        <w:b/>
        <w:kern w:val="28"/>
        <w:sz w:val="96"/>
        <w:szCs w:val="96"/>
      </w:rPr>
      <w:t>PUBLIC NOTICE</w:t>
    </w:r>
  </w:p>
  <w:p w:rsidR="00AE4B73" w:rsidRDefault="0043561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B73" w:rsidRDefault="00AE4B73">
                          <w:pPr>
                            <w:spacing w:before="40"/>
                            <w:jc w:val="right"/>
                            <w:rPr>
                              <w:rFonts w:ascii="Arial" w:hAnsi="Arial"/>
                              <w:b/>
                              <w:sz w:val="16"/>
                            </w:rPr>
                          </w:pPr>
                          <w:r>
                            <w:rPr>
                              <w:rFonts w:ascii="Arial" w:hAnsi="Arial"/>
                              <w:b/>
                              <w:sz w:val="16"/>
                            </w:rPr>
                            <w:t>News Media Information 202 / 418-0500</w:t>
                          </w:r>
                        </w:p>
                        <w:p w:rsidR="00AE4B73" w:rsidRDefault="00AE4B7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E4B73" w:rsidRDefault="00AE4B73">
                          <w:pPr>
                            <w:jc w:val="right"/>
                            <w:rPr>
                              <w:rFonts w:ascii="Arial" w:hAnsi="Arial"/>
                              <w:b/>
                              <w:sz w:val="16"/>
                            </w:rPr>
                          </w:pPr>
                          <w:r>
                            <w:rPr>
                              <w:rFonts w:ascii="Arial" w:hAnsi="Arial"/>
                              <w:b/>
                              <w:sz w:val="16"/>
                            </w:rPr>
                            <w:t>TTY: 1-888-835-5322</w:t>
                          </w:r>
                        </w:p>
                        <w:p w:rsidR="00AE4B73" w:rsidRDefault="00AE4B7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u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p&#10;0axDiu7F4MkVDORV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RD1FjUS&#10;JLIB/oC6sIC0Ifn4mOCkBfuVkh4bs6Luy45ZQYl6q1FbRZYj+cTHBU7s093NcZfpGiEq6ikZp9d+&#10;7PqdsXLboodRxRouUYeNjBJ5jOagXmy6mMvhgQhd/XQdrR6fsdUP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cfKv7oEC&#10;AAAOBQAADgAAAAAAAAAAAAAAAAAuAgAAZHJzL2Uyb0RvYy54bWxQSwECLQAUAAYACAAAACEApE/5&#10;390AAAAJAQAADwAAAAAAAAAAAAAAAADbBAAAZHJzL2Rvd25yZXYueG1sUEsFBgAAAAAEAAQA8wAA&#10;AOUFAAAAAA==&#10;" stroked="f">
              <v:textbox inset=",0,,0">
                <w:txbxContent>
                  <w:p w:rsidR="00AE4B73" w:rsidRDefault="00AE4B73">
                    <w:pPr>
                      <w:spacing w:before="40"/>
                      <w:jc w:val="right"/>
                      <w:rPr>
                        <w:rFonts w:ascii="Arial" w:hAnsi="Arial"/>
                        <w:b/>
                        <w:sz w:val="16"/>
                      </w:rPr>
                    </w:pPr>
                    <w:r>
                      <w:rPr>
                        <w:rFonts w:ascii="Arial" w:hAnsi="Arial"/>
                        <w:b/>
                        <w:sz w:val="16"/>
                      </w:rPr>
                      <w:t>News Media Information 202 / 418-0500</w:t>
                    </w:r>
                  </w:p>
                  <w:p w:rsidR="00AE4B73" w:rsidRDefault="00AE4B7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E4B73" w:rsidRDefault="00AE4B73">
                    <w:pPr>
                      <w:jc w:val="right"/>
                      <w:rPr>
                        <w:rFonts w:ascii="Arial" w:hAnsi="Arial"/>
                        <w:b/>
                        <w:sz w:val="16"/>
                      </w:rPr>
                    </w:pPr>
                    <w:r>
                      <w:rPr>
                        <w:rFonts w:ascii="Arial" w:hAnsi="Arial"/>
                        <w:b/>
                        <w:sz w:val="16"/>
                      </w:rPr>
                      <w:t>TTY: 1-888-835-5322</w:t>
                    </w:r>
                  </w:p>
                  <w:p w:rsidR="00AE4B73" w:rsidRDefault="00AE4B73">
                    <w:pPr>
                      <w:jc w:val="right"/>
                    </w:pP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4W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EI0V6&#10;kGgjFEd56MxgXAkBtdraUBs9qRez0fS7Q0rXHVF7Hhm+ng2kZSEjeZMSNs4A/m74rBnEkIPXsU2n&#10;1vYBEhqATlGN810NfvKIwuFkXjxN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TkYeF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73" w:rsidRDefault="0043561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B73" w:rsidRDefault="00AE4B73">
                          <w:pPr>
                            <w:rPr>
                              <w:rFonts w:ascii="Arial" w:hAnsi="Arial"/>
                              <w:b/>
                            </w:rPr>
                          </w:pPr>
                          <w:r>
                            <w:rPr>
                              <w:rFonts w:ascii="Arial" w:hAnsi="Arial"/>
                              <w:b/>
                            </w:rPr>
                            <w:t>Federal Communications Commission</w:t>
                          </w:r>
                        </w:p>
                        <w:p w:rsidR="00AE4B73" w:rsidRDefault="00AE4B7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4B73" w:rsidRDefault="00AE4B7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AE4B73" w:rsidRDefault="00AE4B73">
                    <w:pPr>
                      <w:rPr>
                        <w:rFonts w:ascii="Arial" w:hAnsi="Arial"/>
                        <w:b/>
                      </w:rPr>
                    </w:pPr>
                    <w:r>
                      <w:rPr>
                        <w:rFonts w:ascii="Arial" w:hAnsi="Arial"/>
                        <w:b/>
                      </w:rPr>
                      <w:t>Federal Communications Commission</w:t>
                    </w:r>
                  </w:p>
                  <w:p w:rsidR="00AE4B73" w:rsidRDefault="00AE4B7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4B73" w:rsidRDefault="00AE4B73">
                    <w:pPr>
                      <w:rPr>
                        <w:rFonts w:ascii="Arial" w:hAnsi="Arial"/>
                        <w:sz w:val="24"/>
                      </w:rPr>
                    </w:pPr>
                    <w:r>
                      <w:rPr>
                        <w:rFonts w:ascii="Arial" w:hAnsi="Arial"/>
                        <w:b/>
                      </w:rPr>
                      <w:t>Washington, D.C. 20554</w:t>
                    </w:r>
                  </w:p>
                </w:txbxContent>
              </v:textbox>
            </v:shape>
          </w:pict>
        </mc:Fallback>
      </mc:AlternateContent>
    </w:r>
    <w:r w:rsidR="00AE4B73">
      <w:rPr>
        <w:rFonts w:ascii="News Gothic MT" w:hAnsi="News Gothic MT"/>
        <w:b/>
        <w:kern w:val="28"/>
        <w:sz w:val="96"/>
      </w:rPr>
      <w:t>PUBLIC NOTICE</w:t>
    </w:r>
  </w:p>
  <w:p w:rsidR="00AE4B73" w:rsidRDefault="0043561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B73" w:rsidRDefault="00AE4B73">
                          <w:pPr>
                            <w:spacing w:before="40"/>
                            <w:jc w:val="right"/>
                            <w:rPr>
                              <w:rFonts w:ascii="Arial" w:hAnsi="Arial"/>
                              <w:b/>
                              <w:sz w:val="16"/>
                            </w:rPr>
                          </w:pPr>
                          <w:r>
                            <w:rPr>
                              <w:rFonts w:ascii="Arial" w:hAnsi="Arial"/>
                              <w:b/>
                              <w:sz w:val="16"/>
                            </w:rPr>
                            <w:t>News Media Information 202 / 418-0500</w:t>
                          </w:r>
                        </w:p>
                        <w:p w:rsidR="00AE4B73" w:rsidRDefault="00AE4B73">
                          <w:pPr>
                            <w:jc w:val="right"/>
                            <w:rPr>
                              <w:rFonts w:ascii="Arial" w:hAnsi="Arial"/>
                              <w:b/>
                              <w:sz w:val="16"/>
                            </w:rPr>
                          </w:pPr>
                          <w:r>
                            <w:rPr>
                              <w:rFonts w:ascii="Arial" w:hAnsi="Arial"/>
                              <w:b/>
                              <w:sz w:val="16"/>
                            </w:rPr>
                            <w:tab/>
                            <w:t>Internet: http://www.fcc.gov</w:t>
                          </w:r>
                        </w:p>
                        <w:p w:rsidR="00AE4B73" w:rsidRDefault="00AE4B73">
                          <w:pPr>
                            <w:jc w:val="right"/>
                            <w:rPr>
                              <w:rFonts w:ascii="Arial" w:hAnsi="Arial"/>
                              <w:b/>
                              <w:sz w:val="16"/>
                            </w:rPr>
                          </w:pPr>
                          <w:r>
                            <w:rPr>
                              <w:rFonts w:ascii="Arial" w:hAnsi="Arial"/>
                              <w:b/>
                              <w:sz w:val="16"/>
                            </w:rPr>
                            <w:t>TTY: 1-888-835-5322</w:t>
                          </w:r>
                        </w:p>
                        <w:p w:rsidR="00AE4B73" w:rsidRDefault="00AE4B7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AE4B73" w:rsidRDefault="00AE4B73">
                    <w:pPr>
                      <w:spacing w:before="40"/>
                      <w:jc w:val="right"/>
                      <w:rPr>
                        <w:rFonts w:ascii="Arial" w:hAnsi="Arial"/>
                        <w:b/>
                        <w:sz w:val="16"/>
                      </w:rPr>
                    </w:pPr>
                    <w:r>
                      <w:rPr>
                        <w:rFonts w:ascii="Arial" w:hAnsi="Arial"/>
                        <w:b/>
                        <w:sz w:val="16"/>
                      </w:rPr>
                      <w:t>News Media Information 202 / 418-0500</w:t>
                    </w:r>
                  </w:p>
                  <w:p w:rsidR="00AE4B73" w:rsidRDefault="00AE4B73">
                    <w:pPr>
                      <w:jc w:val="right"/>
                      <w:rPr>
                        <w:rFonts w:ascii="Arial" w:hAnsi="Arial"/>
                        <w:b/>
                        <w:sz w:val="16"/>
                      </w:rPr>
                    </w:pPr>
                    <w:r>
                      <w:rPr>
                        <w:rFonts w:ascii="Arial" w:hAnsi="Arial"/>
                        <w:b/>
                        <w:sz w:val="16"/>
                      </w:rPr>
                      <w:tab/>
                      <w:t>Internet: http://www.fcc.gov</w:t>
                    </w:r>
                  </w:p>
                  <w:p w:rsidR="00AE4B73" w:rsidRDefault="00AE4B73">
                    <w:pPr>
                      <w:jc w:val="right"/>
                      <w:rPr>
                        <w:rFonts w:ascii="Arial" w:hAnsi="Arial"/>
                        <w:b/>
                        <w:sz w:val="16"/>
                      </w:rPr>
                    </w:pPr>
                    <w:r>
                      <w:rPr>
                        <w:rFonts w:ascii="Arial" w:hAnsi="Arial"/>
                        <w:b/>
                        <w:sz w:val="16"/>
                      </w:rPr>
                      <w:t>TTY: 1-888-835-5322</w:t>
                    </w:r>
                  </w:p>
                  <w:p w:rsidR="00AE4B73" w:rsidRDefault="00AE4B73">
                    <w:pPr>
                      <w:jc w:val="right"/>
                    </w:pPr>
                  </w:p>
                </w:txbxContent>
              </v:textbox>
            </v:shape>
          </w:pict>
        </mc:Fallback>
      </mc:AlternateContent>
    </w:r>
  </w:p>
  <w:p w:rsidR="00AE4B73" w:rsidRDefault="00AE4B7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50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1438F14E">
      <w:start w:val="1"/>
      <w:numFmt w:val="bullet"/>
      <w:lvlText w:val=""/>
      <w:lvlJc w:val="left"/>
      <w:pPr>
        <w:tabs>
          <w:tab w:val="num" w:pos="720"/>
        </w:tabs>
        <w:ind w:left="720" w:hanging="360"/>
      </w:pPr>
      <w:rPr>
        <w:rFonts w:ascii="Wingdings" w:hAnsi="Wingdings" w:hint="default"/>
      </w:rPr>
    </w:lvl>
    <w:lvl w:ilvl="1" w:tplc="D3944FB6">
      <w:start w:val="1"/>
      <w:numFmt w:val="decimal"/>
      <w:lvlText w:val="(%2)"/>
      <w:lvlJc w:val="left"/>
      <w:pPr>
        <w:tabs>
          <w:tab w:val="num" w:pos="1440"/>
        </w:tabs>
        <w:ind w:left="1440" w:hanging="360"/>
      </w:pPr>
      <w:rPr>
        <w:rFonts w:hint="default"/>
      </w:rPr>
    </w:lvl>
    <w:lvl w:ilvl="2" w:tplc="5C964C46">
      <w:start w:val="1"/>
      <w:numFmt w:val="lowerRoman"/>
      <w:lvlText w:val="%3."/>
      <w:lvlJc w:val="right"/>
      <w:pPr>
        <w:tabs>
          <w:tab w:val="num" w:pos="2160"/>
        </w:tabs>
        <w:ind w:left="2160" w:hanging="180"/>
      </w:pPr>
    </w:lvl>
    <w:lvl w:ilvl="3" w:tplc="8DB49F54" w:tentative="1">
      <w:start w:val="1"/>
      <w:numFmt w:val="decimal"/>
      <w:lvlText w:val="%4."/>
      <w:lvlJc w:val="left"/>
      <w:pPr>
        <w:tabs>
          <w:tab w:val="num" w:pos="2880"/>
        </w:tabs>
        <w:ind w:left="2880" w:hanging="360"/>
      </w:pPr>
    </w:lvl>
    <w:lvl w:ilvl="4" w:tplc="CBB8FAFC" w:tentative="1">
      <w:start w:val="1"/>
      <w:numFmt w:val="lowerLetter"/>
      <w:lvlText w:val="%5."/>
      <w:lvlJc w:val="left"/>
      <w:pPr>
        <w:tabs>
          <w:tab w:val="num" w:pos="3600"/>
        </w:tabs>
        <w:ind w:left="3600" w:hanging="360"/>
      </w:pPr>
    </w:lvl>
    <w:lvl w:ilvl="5" w:tplc="43F0A11E" w:tentative="1">
      <w:start w:val="1"/>
      <w:numFmt w:val="lowerRoman"/>
      <w:lvlText w:val="%6."/>
      <w:lvlJc w:val="right"/>
      <w:pPr>
        <w:tabs>
          <w:tab w:val="num" w:pos="4320"/>
        </w:tabs>
        <w:ind w:left="4320" w:hanging="180"/>
      </w:pPr>
    </w:lvl>
    <w:lvl w:ilvl="6" w:tplc="8D3E10E4" w:tentative="1">
      <w:start w:val="1"/>
      <w:numFmt w:val="decimal"/>
      <w:lvlText w:val="%7."/>
      <w:lvlJc w:val="left"/>
      <w:pPr>
        <w:tabs>
          <w:tab w:val="num" w:pos="5040"/>
        </w:tabs>
        <w:ind w:left="5040" w:hanging="360"/>
      </w:pPr>
    </w:lvl>
    <w:lvl w:ilvl="7" w:tplc="7416F19C" w:tentative="1">
      <w:start w:val="1"/>
      <w:numFmt w:val="lowerLetter"/>
      <w:lvlText w:val="%8."/>
      <w:lvlJc w:val="left"/>
      <w:pPr>
        <w:tabs>
          <w:tab w:val="num" w:pos="5760"/>
        </w:tabs>
        <w:ind w:left="5760" w:hanging="360"/>
      </w:pPr>
    </w:lvl>
    <w:lvl w:ilvl="8" w:tplc="7AB6293C"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8E888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824031F0">
      <w:start w:val="1"/>
      <w:numFmt w:val="bullet"/>
      <w:lvlText w:val=""/>
      <w:lvlJc w:val="left"/>
      <w:pPr>
        <w:tabs>
          <w:tab w:val="num" w:pos="720"/>
        </w:tabs>
        <w:ind w:left="720" w:hanging="360"/>
      </w:pPr>
      <w:rPr>
        <w:rFonts w:ascii="Wingdings" w:hAnsi="Wingdings" w:hint="default"/>
      </w:rPr>
    </w:lvl>
    <w:lvl w:ilvl="1" w:tplc="34228B86">
      <w:start w:val="1"/>
      <w:numFmt w:val="bullet"/>
      <w:lvlText w:val="o"/>
      <w:lvlJc w:val="left"/>
      <w:pPr>
        <w:tabs>
          <w:tab w:val="num" w:pos="720"/>
        </w:tabs>
        <w:ind w:left="720" w:hanging="360"/>
      </w:pPr>
      <w:rPr>
        <w:rFonts w:ascii="Courier New" w:hAnsi="Courier New" w:cs="Courier New" w:hint="default"/>
      </w:rPr>
    </w:lvl>
    <w:lvl w:ilvl="2" w:tplc="26FA9CF6">
      <w:start w:val="1"/>
      <w:numFmt w:val="bullet"/>
      <w:lvlText w:val=""/>
      <w:lvlJc w:val="left"/>
      <w:pPr>
        <w:tabs>
          <w:tab w:val="num" w:pos="1440"/>
        </w:tabs>
        <w:ind w:left="1440" w:hanging="360"/>
      </w:pPr>
      <w:rPr>
        <w:rFonts w:ascii="Wingdings" w:hAnsi="Wingdings" w:hint="default"/>
      </w:rPr>
    </w:lvl>
    <w:lvl w:ilvl="3" w:tplc="11DC75B4" w:tentative="1">
      <w:start w:val="1"/>
      <w:numFmt w:val="bullet"/>
      <w:lvlText w:val=""/>
      <w:lvlJc w:val="left"/>
      <w:pPr>
        <w:tabs>
          <w:tab w:val="num" w:pos="2160"/>
        </w:tabs>
        <w:ind w:left="2160" w:hanging="360"/>
      </w:pPr>
      <w:rPr>
        <w:rFonts w:ascii="Symbol" w:hAnsi="Symbol" w:hint="default"/>
      </w:rPr>
    </w:lvl>
    <w:lvl w:ilvl="4" w:tplc="005C02C2" w:tentative="1">
      <w:start w:val="1"/>
      <w:numFmt w:val="bullet"/>
      <w:lvlText w:val="o"/>
      <w:lvlJc w:val="left"/>
      <w:pPr>
        <w:tabs>
          <w:tab w:val="num" w:pos="2880"/>
        </w:tabs>
        <w:ind w:left="2880" w:hanging="360"/>
      </w:pPr>
      <w:rPr>
        <w:rFonts w:ascii="Courier New" w:hAnsi="Courier New" w:cs="Courier New" w:hint="default"/>
      </w:rPr>
    </w:lvl>
    <w:lvl w:ilvl="5" w:tplc="4118B06E" w:tentative="1">
      <w:start w:val="1"/>
      <w:numFmt w:val="bullet"/>
      <w:lvlText w:val=""/>
      <w:lvlJc w:val="left"/>
      <w:pPr>
        <w:tabs>
          <w:tab w:val="num" w:pos="3600"/>
        </w:tabs>
        <w:ind w:left="3600" w:hanging="360"/>
      </w:pPr>
      <w:rPr>
        <w:rFonts w:ascii="Wingdings" w:hAnsi="Wingdings" w:hint="default"/>
      </w:rPr>
    </w:lvl>
    <w:lvl w:ilvl="6" w:tplc="1BBC6662" w:tentative="1">
      <w:start w:val="1"/>
      <w:numFmt w:val="bullet"/>
      <w:lvlText w:val=""/>
      <w:lvlJc w:val="left"/>
      <w:pPr>
        <w:tabs>
          <w:tab w:val="num" w:pos="4320"/>
        </w:tabs>
        <w:ind w:left="4320" w:hanging="360"/>
      </w:pPr>
      <w:rPr>
        <w:rFonts w:ascii="Symbol" w:hAnsi="Symbol" w:hint="default"/>
      </w:rPr>
    </w:lvl>
    <w:lvl w:ilvl="7" w:tplc="5EB4B5CE" w:tentative="1">
      <w:start w:val="1"/>
      <w:numFmt w:val="bullet"/>
      <w:lvlText w:val="o"/>
      <w:lvlJc w:val="left"/>
      <w:pPr>
        <w:tabs>
          <w:tab w:val="num" w:pos="5040"/>
        </w:tabs>
        <w:ind w:left="5040" w:hanging="360"/>
      </w:pPr>
      <w:rPr>
        <w:rFonts w:ascii="Courier New" w:hAnsi="Courier New" w:cs="Courier New" w:hint="default"/>
      </w:rPr>
    </w:lvl>
    <w:lvl w:ilvl="8" w:tplc="4FDC44BE"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91286"/>
    <w:multiLevelType w:val="hybridMultilevel"/>
    <w:tmpl w:val="A072DFF6"/>
    <w:lvl w:ilvl="0" w:tplc="7A904D68">
      <w:start w:val="1"/>
      <w:numFmt w:val="bullet"/>
      <w:lvlText w:val=""/>
      <w:lvlJc w:val="left"/>
      <w:pPr>
        <w:tabs>
          <w:tab w:val="num" w:pos="720"/>
        </w:tabs>
        <w:ind w:left="720" w:hanging="360"/>
      </w:pPr>
      <w:rPr>
        <w:rFonts w:ascii="Wingdings" w:hAnsi="Wingdings" w:hint="default"/>
      </w:rPr>
    </w:lvl>
    <w:lvl w:ilvl="1" w:tplc="0C5C680C" w:tentative="1">
      <w:start w:val="1"/>
      <w:numFmt w:val="bullet"/>
      <w:lvlText w:val="o"/>
      <w:lvlJc w:val="left"/>
      <w:pPr>
        <w:tabs>
          <w:tab w:val="num" w:pos="1440"/>
        </w:tabs>
        <w:ind w:left="1440" w:hanging="360"/>
      </w:pPr>
      <w:rPr>
        <w:rFonts w:ascii="Courier New" w:hAnsi="Courier New" w:cs="Courier New" w:hint="default"/>
      </w:rPr>
    </w:lvl>
    <w:lvl w:ilvl="2" w:tplc="2684EA78" w:tentative="1">
      <w:start w:val="1"/>
      <w:numFmt w:val="bullet"/>
      <w:lvlText w:val=""/>
      <w:lvlJc w:val="left"/>
      <w:pPr>
        <w:tabs>
          <w:tab w:val="num" w:pos="2160"/>
        </w:tabs>
        <w:ind w:left="2160" w:hanging="360"/>
      </w:pPr>
      <w:rPr>
        <w:rFonts w:ascii="Wingdings" w:hAnsi="Wingdings" w:hint="default"/>
      </w:rPr>
    </w:lvl>
    <w:lvl w:ilvl="3" w:tplc="95905D72" w:tentative="1">
      <w:start w:val="1"/>
      <w:numFmt w:val="bullet"/>
      <w:lvlText w:val=""/>
      <w:lvlJc w:val="left"/>
      <w:pPr>
        <w:tabs>
          <w:tab w:val="num" w:pos="2880"/>
        </w:tabs>
        <w:ind w:left="2880" w:hanging="360"/>
      </w:pPr>
      <w:rPr>
        <w:rFonts w:ascii="Symbol" w:hAnsi="Symbol" w:hint="default"/>
      </w:rPr>
    </w:lvl>
    <w:lvl w:ilvl="4" w:tplc="619400E2" w:tentative="1">
      <w:start w:val="1"/>
      <w:numFmt w:val="bullet"/>
      <w:lvlText w:val="o"/>
      <w:lvlJc w:val="left"/>
      <w:pPr>
        <w:tabs>
          <w:tab w:val="num" w:pos="3600"/>
        </w:tabs>
        <w:ind w:left="3600" w:hanging="360"/>
      </w:pPr>
      <w:rPr>
        <w:rFonts w:ascii="Courier New" w:hAnsi="Courier New" w:cs="Courier New" w:hint="default"/>
      </w:rPr>
    </w:lvl>
    <w:lvl w:ilvl="5" w:tplc="5630C3EA" w:tentative="1">
      <w:start w:val="1"/>
      <w:numFmt w:val="bullet"/>
      <w:lvlText w:val=""/>
      <w:lvlJc w:val="left"/>
      <w:pPr>
        <w:tabs>
          <w:tab w:val="num" w:pos="4320"/>
        </w:tabs>
        <w:ind w:left="4320" w:hanging="360"/>
      </w:pPr>
      <w:rPr>
        <w:rFonts w:ascii="Wingdings" w:hAnsi="Wingdings" w:hint="default"/>
      </w:rPr>
    </w:lvl>
    <w:lvl w:ilvl="6" w:tplc="94DE7D62" w:tentative="1">
      <w:start w:val="1"/>
      <w:numFmt w:val="bullet"/>
      <w:lvlText w:val=""/>
      <w:lvlJc w:val="left"/>
      <w:pPr>
        <w:tabs>
          <w:tab w:val="num" w:pos="5040"/>
        </w:tabs>
        <w:ind w:left="5040" w:hanging="360"/>
      </w:pPr>
      <w:rPr>
        <w:rFonts w:ascii="Symbol" w:hAnsi="Symbol" w:hint="default"/>
      </w:rPr>
    </w:lvl>
    <w:lvl w:ilvl="7" w:tplc="8B082764" w:tentative="1">
      <w:start w:val="1"/>
      <w:numFmt w:val="bullet"/>
      <w:lvlText w:val="o"/>
      <w:lvlJc w:val="left"/>
      <w:pPr>
        <w:tabs>
          <w:tab w:val="num" w:pos="5760"/>
        </w:tabs>
        <w:ind w:left="5760" w:hanging="360"/>
      </w:pPr>
      <w:rPr>
        <w:rFonts w:ascii="Courier New" w:hAnsi="Courier New" w:cs="Courier New" w:hint="default"/>
      </w:rPr>
    </w:lvl>
    <w:lvl w:ilvl="8" w:tplc="AE103F26" w:tentative="1">
      <w:start w:val="1"/>
      <w:numFmt w:val="bullet"/>
      <w:lvlText w:val=""/>
      <w:lvlJc w:val="left"/>
      <w:pPr>
        <w:tabs>
          <w:tab w:val="num" w:pos="6480"/>
        </w:tabs>
        <w:ind w:left="6480" w:hanging="360"/>
      </w:pPr>
      <w:rPr>
        <w:rFonts w:ascii="Wingdings" w:hAnsi="Wingdings" w:hint="default"/>
      </w:rPr>
    </w:lvl>
  </w:abstractNum>
  <w:abstractNum w:abstractNumId="13">
    <w:nsid w:val="7F0406EE"/>
    <w:multiLevelType w:val="hybridMultilevel"/>
    <w:tmpl w:val="6CF682AE"/>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1"/>
  </w:num>
  <w:num w:numId="17">
    <w:abstractNumId w:val="13"/>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96"/>
    <w:rsid w:val="00044375"/>
    <w:rsid w:val="000B77FA"/>
    <w:rsid w:val="00157217"/>
    <w:rsid w:val="0019704A"/>
    <w:rsid w:val="00282996"/>
    <w:rsid w:val="002C4C8B"/>
    <w:rsid w:val="00316157"/>
    <w:rsid w:val="00417809"/>
    <w:rsid w:val="00435615"/>
    <w:rsid w:val="004932EE"/>
    <w:rsid w:val="004A6C36"/>
    <w:rsid w:val="004D6AF9"/>
    <w:rsid w:val="005078D1"/>
    <w:rsid w:val="009A0B58"/>
    <w:rsid w:val="009E68A7"/>
    <w:rsid w:val="00AE4B73"/>
    <w:rsid w:val="00B074DA"/>
    <w:rsid w:val="00B64A8C"/>
    <w:rsid w:val="00CF340E"/>
    <w:rsid w:val="00EF2F67"/>
    <w:rsid w:val="00FB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christopher.cook@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4228</Characters>
  <Application>Microsoft Office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4974</CharactersWithSpaces>
  <SharedDoc>false</SharedDoc>
  <HyperlinkBase> </HyperlinkBase>
  <HLinks>
    <vt:vector size="18" baseType="variant">
      <vt:variant>
        <vt:i4>1769570</vt:i4>
      </vt:variant>
      <vt:variant>
        <vt:i4>6</vt:i4>
      </vt:variant>
      <vt:variant>
        <vt:i4>0</vt:i4>
      </vt:variant>
      <vt:variant>
        <vt:i4>5</vt:i4>
      </vt:variant>
      <vt:variant>
        <vt:lpwstr>mailto:christopher.cook@fcc.gov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2012-07-11T21:12:00Z</cp:lastPrinted>
  <dcterms:created xsi:type="dcterms:W3CDTF">2014-11-07T18:45:00Z</dcterms:created>
  <dcterms:modified xsi:type="dcterms:W3CDTF">2014-11-07T18:45:00Z</dcterms:modified>
  <cp:category> </cp:category>
  <cp:contentStatus> </cp:contentStatus>
</cp:coreProperties>
</file>