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BE3" w:rsidRPr="00C56D4A" w:rsidRDefault="008F4BE3" w:rsidP="008F4BE3">
      <w:pPr>
        <w:pStyle w:val="Header"/>
        <w:tabs>
          <w:tab w:val="clear" w:pos="4320"/>
          <w:tab w:val="clear" w:pos="8640"/>
        </w:tabs>
        <w:jc w:val="center"/>
        <w:rPr>
          <w:b/>
          <w:sz w:val="22"/>
          <w:szCs w:val="22"/>
        </w:rPr>
      </w:pPr>
      <w:bookmarkStart w:id="0" w:name="_GoBack"/>
      <w:bookmarkEnd w:id="0"/>
    </w:p>
    <w:p w:rsidR="008F4BE3" w:rsidRPr="00C56D4A" w:rsidRDefault="008F4BE3" w:rsidP="008F4BE3">
      <w:pPr>
        <w:pStyle w:val="Header"/>
        <w:tabs>
          <w:tab w:val="clear" w:pos="4320"/>
          <w:tab w:val="clear" w:pos="8640"/>
        </w:tabs>
        <w:jc w:val="center"/>
        <w:rPr>
          <w:b/>
          <w:sz w:val="22"/>
          <w:szCs w:val="22"/>
        </w:rPr>
      </w:pPr>
      <w:r w:rsidRPr="00C56D4A">
        <w:rPr>
          <w:b/>
          <w:sz w:val="22"/>
          <w:szCs w:val="22"/>
        </w:rPr>
        <w:t>Before the</w:t>
      </w:r>
    </w:p>
    <w:p w:rsidR="008F4BE3" w:rsidRPr="00C56D4A" w:rsidRDefault="008F4BE3" w:rsidP="008F4BE3">
      <w:pPr>
        <w:pStyle w:val="Header"/>
        <w:tabs>
          <w:tab w:val="clear" w:pos="4320"/>
          <w:tab w:val="clear" w:pos="8640"/>
        </w:tabs>
        <w:jc w:val="center"/>
        <w:rPr>
          <w:b/>
          <w:sz w:val="22"/>
          <w:szCs w:val="22"/>
        </w:rPr>
      </w:pPr>
      <w:r w:rsidRPr="00C56D4A">
        <w:rPr>
          <w:b/>
          <w:sz w:val="22"/>
          <w:szCs w:val="22"/>
        </w:rPr>
        <w:t>Federal Communications Commission</w:t>
      </w:r>
    </w:p>
    <w:p w:rsidR="008F4BE3" w:rsidRPr="00C56D4A" w:rsidRDefault="008F4BE3" w:rsidP="008F4BE3">
      <w:pPr>
        <w:pStyle w:val="Header"/>
        <w:tabs>
          <w:tab w:val="clear" w:pos="4320"/>
          <w:tab w:val="clear" w:pos="8640"/>
        </w:tabs>
        <w:jc w:val="center"/>
        <w:rPr>
          <w:sz w:val="22"/>
          <w:szCs w:val="22"/>
        </w:rPr>
      </w:pPr>
      <w:r w:rsidRPr="00C56D4A">
        <w:rPr>
          <w:b/>
          <w:sz w:val="22"/>
          <w:szCs w:val="22"/>
        </w:rPr>
        <w:t>Washington, DC  20554</w:t>
      </w:r>
    </w:p>
    <w:p w:rsidR="008F4BE3" w:rsidRPr="00C56D4A" w:rsidRDefault="008F4BE3" w:rsidP="008F4BE3">
      <w:pPr>
        <w:pStyle w:val="Header"/>
        <w:tabs>
          <w:tab w:val="clear" w:pos="4320"/>
          <w:tab w:val="clear" w:pos="8640"/>
        </w:tabs>
        <w:rPr>
          <w:sz w:val="22"/>
          <w:szCs w:val="22"/>
        </w:rPr>
      </w:pPr>
    </w:p>
    <w:p w:rsidR="008F4BE3" w:rsidRPr="00C56D4A" w:rsidRDefault="008F4BE3" w:rsidP="008F4BE3">
      <w:pPr>
        <w:pStyle w:val="Header"/>
        <w:tabs>
          <w:tab w:val="clear" w:pos="4320"/>
          <w:tab w:val="clear" w:pos="8640"/>
        </w:tabs>
        <w:rPr>
          <w:sz w:val="22"/>
          <w:szCs w:val="22"/>
        </w:rPr>
      </w:pPr>
    </w:p>
    <w:p w:rsidR="008F4BE3" w:rsidRPr="00C56D4A" w:rsidRDefault="008F4BE3" w:rsidP="008F4BE3">
      <w:pPr>
        <w:pStyle w:val="Header"/>
        <w:tabs>
          <w:tab w:val="clear" w:pos="4320"/>
          <w:tab w:val="clear" w:pos="8640"/>
          <w:tab w:val="left" w:pos="4680"/>
        </w:tabs>
        <w:rPr>
          <w:sz w:val="22"/>
          <w:szCs w:val="22"/>
        </w:rPr>
      </w:pPr>
      <w:r w:rsidRPr="00C56D4A">
        <w:rPr>
          <w:sz w:val="22"/>
          <w:szCs w:val="22"/>
        </w:rPr>
        <w:t>In the Matter of</w:t>
      </w:r>
      <w:r w:rsidRPr="00C56D4A">
        <w:rPr>
          <w:sz w:val="22"/>
          <w:szCs w:val="22"/>
        </w:rPr>
        <w:tab/>
        <w:t>)</w:t>
      </w:r>
    </w:p>
    <w:p w:rsidR="008F4BE3" w:rsidRPr="00C56D4A" w:rsidRDefault="008F4BE3" w:rsidP="008F4BE3">
      <w:pPr>
        <w:pStyle w:val="Header"/>
        <w:tabs>
          <w:tab w:val="clear" w:pos="4320"/>
          <w:tab w:val="clear" w:pos="8640"/>
          <w:tab w:val="left" w:pos="4680"/>
        </w:tabs>
        <w:rPr>
          <w:sz w:val="22"/>
          <w:szCs w:val="22"/>
        </w:rPr>
      </w:pPr>
      <w:r w:rsidRPr="00C56D4A">
        <w:rPr>
          <w:sz w:val="22"/>
          <w:szCs w:val="22"/>
        </w:rPr>
        <w:tab/>
        <w:t>)</w:t>
      </w:r>
    </w:p>
    <w:p w:rsidR="008F4BE3" w:rsidRPr="00C56D4A" w:rsidRDefault="008F4BE3" w:rsidP="008F4BE3">
      <w:pPr>
        <w:pStyle w:val="Header"/>
        <w:tabs>
          <w:tab w:val="clear" w:pos="4320"/>
          <w:tab w:val="clear" w:pos="8640"/>
          <w:tab w:val="left" w:pos="4680"/>
        </w:tabs>
        <w:rPr>
          <w:sz w:val="22"/>
          <w:szCs w:val="22"/>
        </w:rPr>
      </w:pPr>
      <w:r w:rsidRPr="00C56D4A">
        <w:rPr>
          <w:sz w:val="22"/>
          <w:szCs w:val="22"/>
        </w:rPr>
        <w:t>Requests for Review</w:t>
      </w:r>
      <w:r w:rsidR="00C56D4A" w:rsidRPr="00C56D4A">
        <w:rPr>
          <w:sz w:val="22"/>
          <w:szCs w:val="22"/>
        </w:rPr>
        <w:t>/Waiver</w:t>
      </w:r>
      <w:r w:rsidRPr="00C56D4A">
        <w:rPr>
          <w:sz w:val="22"/>
          <w:szCs w:val="22"/>
        </w:rPr>
        <w:t xml:space="preserve"> of </w:t>
      </w:r>
      <w:r w:rsidR="000770B0">
        <w:rPr>
          <w:sz w:val="22"/>
          <w:szCs w:val="22"/>
        </w:rPr>
        <w:t>the</w:t>
      </w:r>
      <w:r w:rsidRPr="00C56D4A">
        <w:rPr>
          <w:sz w:val="22"/>
          <w:szCs w:val="22"/>
        </w:rPr>
        <w:tab/>
        <w:t>)</w:t>
      </w:r>
    </w:p>
    <w:p w:rsidR="008F4BE3" w:rsidRPr="00C56D4A" w:rsidRDefault="000770B0" w:rsidP="008F4BE3">
      <w:pPr>
        <w:pStyle w:val="Header"/>
        <w:tabs>
          <w:tab w:val="clear" w:pos="4320"/>
          <w:tab w:val="clear" w:pos="8640"/>
          <w:tab w:val="left" w:pos="4680"/>
        </w:tabs>
        <w:rPr>
          <w:sz w:val="22"/>
          <w:szCs w:val="22"/>
        </w:rPr>
      </w:pPr>
      <w:r>
        <w:rPr>
          <w:sz w:val="22"/>
          <w:szCs w:val="22"/>
        </w:rPr>
        <w:t>Decision</w:t>
      </w:r>
      <w:r w:rsidR="008F4BE3" w:rsidRPr="00C56D4A">
        <w:rPr>
          <w:sz w:val="22"/>
          <w:szCs w:val="22"/>
        </w:rPr>
        <w:t xml:space="preserve"> of the </w:t>
      </w:r>
      <w:r w:rsidR="008F4BE3" w:rsidRPr="00C56D4A">
        <w:rPr>
          <w:sz w:val="22"/>
          <w:szCs w:val="22"/>
        </w:rPr>
        <w:tab/>
        <w:t>)</w:t>
      </w:r>
      <w:r w:rsidR="008F4BE3" w:rsidRPr="00C56D4A">
        <w:rPr>
          <w:sz w:val="22"/>
          <w:szCs w:val="22"/>
        </w:rPr>
        <w:tab/>
      </w:r>
    </w:p>
    <w:p w:rsidR="008F4BE3" w:rsidRPr="00C56D4A" w:rsidRDefault="008F4BE3" w:rsidP="008F4BE3">
      <w:pPr>
        <w:pStyle w:val="Header"/>
        <w:tabs>
          <w:tab w:val="clear" w:pos="4320"/>
          <w:tab w:val="clear" w:pos="8640"/>
          <w:tab w:val="left" w:pos="4680"/>
        </w:tabs>
        <w:rPr>
          <w:sz w:val="22"/>
          <w:szCs w:val="22"/>
        </w:rPr>
      </w:pPr>
      <w:r w:rsidRPr="00C56D4A">
        <w:rPr>
          <w:sz w:val="22"/>
          <w:szCs w:val="22"/>
        </w:rPr>
        <w:t xml:space="preserve">Universal Service Administrator by </w:t>
      </w:r>
      <w:r w:rsidRPr="00C56D4A">
        <w:rPr>
          <w:sz w:val="22"/>
          <w:szCs w:val="22"/>
        </w:rPr>
        <w:tab/>
        <w:t>)</w:t>
      </w:r>
    </w:p>
    <w:p w:rsidR="008F4BE3" w:rsidRPr="00C56D4A" w:rsidRDefault="008F4BE3" w:rsidP="008F4BE3">
      <w:pPr>
        <w:pStyle w:val="Header"/>
        <w:tabs>
          <w:tab w:val="clear" w:pos="4320"/>
          <w:tab w:val="clear" w:pos="8640"/>
          <w:tab w:val="left" w:pos="4680"/>
        </w:tabs>
        <w:rPr>
          <w:sz w:val="22"/>
          <w:szCs w:val="22"/>
        </w:rPr>
      </w:pPr>
      <w:r w:rsidRPr="00C56D4A">
        <w:rPr>
          <w:sz w:val="22"/>
          <w:szCs w:val="22"/>
        </w:rPr>
        <w:tab/>
        <w:t>)</w:t>
      </w:r>
    </w:p>
    <w:p w:rsidR="008F4BE3" w:rsidRPr="00C56D4A" w:rsidRDefault="00EA0FE2" w:rsidP="008F4BE3">
      <w:pPr>
        <w:pStyle w:val="Header"/>
        <w:tabs>
          <w:tab w:val="clear" w:pos="4320"/>
          <w:tab w:val="clear" w:pos="8640"/>
          <w:tab w:val="left" w:pos="4680"/>
        </w:tabs>
        <w:rPr>
          <w:sz w:val="22"/>
          <w:szCs w:val="22"/>
        </w:rPr>
      </w:pPr>
      <w:r>
        <w:rPr>
          <w:sz w:val="22"/>
          <w:szCs w:val="22"/>
        </w:rPr>
        <w:t>Accelerated Charter</w:t>
      </w:r>
      <w:r w:rsidR="008F4BE3" w:rsidRPr="00C56D4A">
        <w:rPr>
          <w:sz w:val="22"/>
          <w:szCs w:val="22"/>
        </w:rPr>
        <w:tab/>
        <w:t xml:space="preserve">)                 </w:t>
      </w:r>
      <w:r w:rsidR="000D3B0F">
        <w:rPr>
          <w:sz w:val="22"/>
          <w:szCs w:val="22"/>
        </w:rPr>
        <w:t>File No. SLD-</w:t>
      </w:r>
      <w:r w:rsidR="000D3B0F" w:rsidRPr="000D3B0F">
        <w:rPr>
          <w:sz w:val="22"/>
          <w:szCs w:val="22"/>
        </w:rPr>
        <w:t>865371</w:t>
      </w:r>
      <w:r w:rsidR="002E13C7">
        <w:rPr>
          <w:sz w:val="22"/>
          <w:szCs w:val="22"/>
        </w:rPr>
        <w:t xml:space="preserve"> et al.</w:t>
      </w:r>
    </w:p>
    <w:p w:rsidR="00E85E94" w:rsidRDefault="008F4BE3" w:rsidP="008F4BE3">
      <w:pPr>
        <w:pStyle w:val="Header"/>
        <w:tabs>
          <w:tab w:val="clear" w:pos="4320"/>
          <w:tab w:val="clear" w:pos="8640"/>
          <w:tab w:val="left" w:pos="4680"/>
        </w:tabs>
        <w:rPr>
          <w:sz w:val="22"/>
          <w:szCs w:val="22"/>
        </w:rPr>
      </w:pPr>
      <w:r w:rsidRPr="00C56D4A">
        <w:rPr>
          <w:sz w:val="22"/>
          <w:szCs w:val="22"/>
        </w:rPr>
        <w:t>Los Angeles, California</w:t>
      </w:r>
      <w:r w:rsidR="002E13C7">
        <w:rPr>
          <w:sz w:val="22"/>
          <w:szCs w:val="22"/>
        </w:rPr>
        <w:t xml:space="preserve"> et al.</w:t>
      </w:r>
      <w:r w:rsidR="00E85E94">
        <w:rPr>
          <w:sz w:val="22"/>
          <w:szCs w:val="22"/>
        </w:rPr>
        <w:tab/>
        <w:t>)</w:t>
      </w:r>
    </w:p>
    <w:p w:rsidR="00E85E94" w:rsidRDefault="00E85E94" w:rsidP="008F4BE3">
      <w:pPr>
        <w:pStyle w:val="Header"/>
        <w:tabs>
          <w:tab w:val="clear" w:pos="4320"/>
          <w:tab w:val="clear" w:pos="8640"/>
          <w:tab w:val="left" w:pos="4680"/>
        </w:tabs>
        <w:rPr>
          <w:sz w:val="22"/>
          <w:szCs w:val="22"/>
        </w:rPr>
      </w:pPr>
      <w:r>
        <w:rPr>
          <w:sz w:val="22"/>
          <w:szCs w:val="22"/>
        </w:rPr>
        <w:tab/>
        <w:t>)</w:t>
      </w:r>
    </w:p>
    <w:p w:rsidR="008F4BE3" w:rsidRPr="00C56D4A" w:rsidRDefault="008F4BE3" w:rsidP="008F4BE3">
      <w:pPr>
        <w:pStyle w:val="Header"/>
        <w:tabs>
          <w:tab w:val="clear" w:pos="4320"/>
          <w:tab w:val="clear" w:pos="8640"/>
          <w:tab w:val="left" w:pos="4680"/>
        </w:tabs>
        <w:rPr>
          <w:sz w:val="22"/>
          <w:szCs w:val="22"/>
        </w:rPr>
      </w:pPr>
      <w:r w:rsidRPr="00C56D4A">
        <w:rPr>
          <w:sz w:val="22"/>
          <w:szCs w:val="22"/>
        </w:rPr>
        <w:t>Schools and Libraries Universal Service</w:t>
      </w:r>
      <w:r w:rsidRPr="00C56D4A">
        <w:rPr>
          <w:sz w:val="22"/>
          <w:szCs w:val="22"/>
        </w:rPr>
        <w:tab/>
        <w:t>)</w:t>
      </w:r>
      <w:r w:rsidRPr="00C56D4A">
        <w:rPr>
          <w:sz w:val="22"/>
          <w:szCs w:val="22"/>
        </w:rPr>
        <w:tab/>
      </w:r>
      <w:r w:rsidRPr="00C56D4A">
        <w:rPr>
          <w:sz w:val="22"/>
          <w:szCs w:val="22"/>
        </w:rPr>
        <w:tab/>
        <w:t>CC Docket No. 02-6</w:t>
      </w:r>
    </w:p>
    <w:p w:rsidR="008F4BE3" w:rsidRPr="00C56D4A" w:rsidRDefault="008F4BE3" w:rsidP="008F4BE3">
      <w:pPr>
        <w:pStyle w:val="Header"/>
        <w:tabs>
          <w:tab w:val="clear" w:pos="4320"/>
          <w:tab w:val="clear" w:pos="8640"/>
          <w:tab w:val="left" w:pos="4680"/>
        </w:tabs>
        <w:rPr>
          <w:sz w:val="22"/>
          <w:szCs w:val="22"/>
        </w:rPr>
      </w:pPr>
      <w:r w:rsidRPr="00C56D4A">
        <w:rPr>
          <w:sz w:val="22"/>
          <w:szCs w:val="22"/>
        </w:rPr>
        <w:t>Support Mechanism</w:t>
      </w:r>
      <w:r w:rsidRPr="00C56D4A">
        <w:rPr>
          <w:sz w:val="22"/>
          <w:szCs w:val="22"/>
        </w:rPr>
        <w:tab/>
        <w:t>)</w:t>
      </w:r>
      <w:r w:rsidRPr="00C56D4A">
        <w:rPr>
          <w:sz w:val="22"/>
          <w:szCs w:val="22"/>
        </w:rPr>
        <w:tab/>
      </w:r>
    </w:p>
    <w:p w:rsidR="008F4BE3" w:rsidRPr="00C56D4A" w:rsidRDefault="008F4BE3" w:rsidP="008F4BE3">
      <w:pPr>
        <w:pStyle w:val="Header"/>
        <w:tabs>
          <w:tab w:val="clear" w:pos="4320"/>
          <w:tab w:val="clear" w:pos="8640"/>
        </w:tabs>
        <w:rPr>
          <w:b/>
          <w:caps/>
          <w:sz w:val="22"/>
          <w:szCs w:val="22"/>
        </w:rPr>
      </w:pPr>
    </w:p>
    <w:p w:rsidR="008F4BE3" w:rsidRPr="00C56D4A" w:rsidRDefault="008F4BE3" w:rsidP="008F4BE3">
      <w:pPr>
        <w:pStyle w:val="Header"/>
        <w:tabs>
          <w:tab w:val="clear" w:pos="4320"/>
          <w:tab w:val="clear" w:pos="8640"/>
        </w:tabs>
        <w:rPr>
          <w:b/>
          <w:caps/>
          <w:sz w:val="22"/>
          <w:szCs w:val="22"/>
        </w:rPr>
      </w:pPr>
    </w:p>
    <w:p w:rsidR="008F4BE3" w:rsidRPr="00C56D4A" w:rsidRDefault="008F4BE3" w:rsidP="008F4BE3">
      <w:pPr>
        <w:pStyle w:val="Header"/>
        <w:tabs>
          <w:tab w:val="clear" w:pos="4320"/>
          <w:tab w:val="clear" w:pos="8640"/>
        </w:tabs>
        <w:jc w:val="center"/>
        <w:rPr>
          <w:caps/>
          <w:sz w:val="22"/>
          <w:szCs w:val="22"/>
        </w:rPr>
      </w:pPr>
      <w:r w:rsidRPr="00C56D4A">
        <w:rPr>
          <w:b/>
          <w:caps/>
          <w:sz w:val="22"/>
          <w:szCs w:val="22"/>
        </w:rPr>
        <w:t>order</w:t>
      </w:r>
    </w:p>
    <w:p w:rsidR="008F4BE3" w:rsidRPr="00C56D4A" w:rsidRDefault="008F4BE3" w:rsidP="008F4BE3">
      <w:pPr>
        <w:pStyle w:val="Header"/>
        <w:tabs>
          <w:tab w:val="clear" w:pos="4320"/>
          <w:tab w:val="clear" w:pos="8640"/>
          <w:tab w:val="left" w:pos="1515"/>
        </w:tabs>
        <w:rPr>
          <w:sz w:val="22"/>
          <w:szCs w:val="22"/>
        </w:rPr>
      </w:pPr>
      <w:r w:rsidRPr="00C56D4A">
        <w:rPr>
          <w:sz w:val="22"/>
          <w:szCs w:val="22"/>
        </w:rPr>
        <w:tab/>
      </w:r>
    </w:p>
    <w:p w:rsidR="008F4BE3" w:rsidRPr="00C56D4A" w:rsidRDefault="008F4BE3" w:rsidP="008F4BE3">
      <w:pPr>
        <w:pStyle w:val="Header"/>
        <w:tabs>
          <w:tab w:val="clear" w:pos="4320"/>
          <w:tab w:val="clear" w:pos="8640"/>
          <w:tab w:val="left" w:pos="1440"/>
          <w:tab w:val="left" w:pos="5760"/>
        </w:tabs>
        <w:rPr>
          <w:b/>
          <w:sz w:val="22"/>
          <w:szCs w:val="22"/>
        </w:rPr>
      </w:pPr>
      <w:r w:rsidRPr="00C56D4A">
        <w:rPr>
          <w:b/>
          <w:sz w:val="22"/>
          <w:szCs w:val="22"/>
        </w:rPr>
        <w:t xml:space="preserve">Adopted:  </w:t>
      </w:r>
      <w:r w:rsidR="003A190F">
        <w:rPr>
          <w:b/>
          <w:sz w:val="22"/>
          <w:szCs w:val="22"/>
        </w:rPr>
        <w:t>November 5</w:t>
      </w:r>
      <w:r w:rsidRPr="00C56D4A">
        <w:rPr>
          <w:b/>
          <w:sz w:val="22"/>
          <w:szCs w:val="22"/>
        </w:rPr>
        <w:t>, 2014</w:t>
      </w:r>
      <w:r w:rsidRPr="00C56D4A">
        <w:rPr>
          <w:b/>
          <w:sz w:val="22"/>
          <w:szCs w:val="22"/>
        </w:rPr>
        <w:tab/>
      </w:r>
      <w:r w:rsidRPr="00C56D4A">
        <w:rPr>
          <w:b/>
          <w:sz w:val="22"/>
          <w:szCs w:val="22"/>
        </w:rPr>
        <w:tab/>
        <w:t xml:space="preserve">Released:  </w:t>
      </w:r>
      <w:r w:rsidR="003A190F">
        <w:rPr>
          <w:b/>
          <w:sz w:val="22"/>
          <w:szCs w:val="22"/>
        </w:rPr>
        <w:t>November 5</w:t>
      </w:r>
      <w:r w:rsidRPr="00C56D4A">
        <w:rPr>
          <w:b/>
          <w:sz w:val="22"/>
          <w:szCs w:val="22"/>
        </w:rPr>
        <w:t>, 2014</w:t>
      </w:r>
    </w:p>
    <w:p w:rsidR="008F4BE3" w:rsidRPr="00C56D4A" w:rsidRDefault="008F4BE3" w:rsidP="008F4BE3">
      <w:pPr>
        <w:pStyle w:val="Titleinfo"/>
        <w:rPr>
          <w:szCs w:val="22"/>
        </w:rPr>
      </w:pPr>
    </w:p>
    <w:p w:rsidR="008F4BE3" w:rsidRPr="00C56D4A" w:rsidRDefault="008F4BE3" w:rsidP="008F4BE3">
      <w:pPr>
        <w:pStyle w:val="Titleinfo"/>
        <w:rPr>
          <w:szCs w:val="22"/>
        </w:rPr>
      </w:pPr>
    </w:p>
    <w:p w:rsidR="00B546F7" w:rsidRDefault="008F4BE3" w:rsidP="00B546F7">
      <w:pPr>
        <w:pStyle w:val="Titleinfo"/>
        <w:rPr>
          <w:szCs w:val="22"/>
        </w:rPr>
      </w:pPr>
      <w:r w:rsidRPr="00C56D4A">
        <w:rPr>
          <w:szCs w:val="22"/>
        </w:rPr>
        <w:t>By the Chief, Telecommuni</w:t>
      </w:r>
      <w:r w:rsidR="00B546F7">
        <w:rPr>
          <w:szCs w:val="22"/>
        </w:rPr>
        <w:t xml:space="preserve">cations Access Policy Division, </w:t>
      </w:r>
      <w:r w:rsidRPr="00C56D4A">
        <w:rPr>
          <w:szCs w:val="22"/>
        </w:rPr>
        <w:t>Wireline Competition Bureau:</w:t>
      </w:r>
      <w:bookmarkStart w:id="1" w:name="OLE_LINK2"/>
      <w:bookmarkStart w:id="2" w:name="OLE_LINK3"/>
    </w:p>
    <w:p w:rsidR="00B546F7" w:rsidRDefault="00B546F7" w:rsidP="00B546F7">
      <w:pPr>
        <w:pStyle w:val="Titleinfo"/>
        <w:rPr>
          <w:rStyle w:val="StyleNumberedparagraphs11ptChar"/>
          <w:szCs w:val="22"/>
        </w:rPr>
      </w:pPr>
    </w:p>
    <w:p w:rsidR="00F25620" w:rsidRDefault="008F4BE3" w:rsidP="00B546F7">
      <w:pPr>
        <w:pStyle w:val="ParaNum"/>
        <w:widowControl/>
        <w:numPr>
          <w:ilvl w:val="0"/>
          <w:numId w:val="1"/>
        </w:numPr>
        <w:tabs>
          <w:tab w:val="clear" w:pos="1260"/>
          <w:tab w:val="num" w:pos="5310"/>
        </w:tabs>
        <w:spacing w:after="240"/>
        <w:ind w:left="0"/>
        <w:jc w:val="left"/>
        <w:rPr>
          <w:rStyle w:val="StyleNumberedparagraphs11ptChar"/>
          <w:szCs w:val="22"/>
        </w:rPr>
      </w:pPr>
      <w:r w:rsidRPr="00C56D4A">
        <w:rPr>
          <w:rStyle w:val="StyleNumberedparagraphs11ptChar"/>
          <w:szCs w:val="22"/>
        </w:rPr>
        <w:t>Consistent with precedent,</w:t>
      </w:r>
      <w:r w:rsidRPr="00C56D4A">
        <w:rPr>
          <w:rStyle w:val="FootnoteReference"/>
          <w:sz w:val="22"/>
          <w:szCs w:val="22"/>
        </w:rPr>
        <w:footnoteReference w:id="2"/>
      </w:r>
      <w:r w:rsidRPr="00C56D4A">
        <w:rPr>
          <w:rStyle w:val="StyleNumberedparagraphs11ptChar"/>
          <w:szCs w:val="22"/>
        </w:rPr>
        <w:t xml:space="preserve"> </w:t>
      </w:r>
      <w:r w:rsidR="00C05B59">
        <w:rPr>
          <w:rStyle w:val="StyleNumberedparagraphs11ptChar"/>
          <w:szCs w:val="22"/>
        </w:rPr>
        <w:t xml:space="preserve">we </w:t>
      </w:r>
      <w:r w:rsidR="00A41684">
        <w:rPr>
          <w:rStyle w:val="StyleNumberedparagraphs11ptChar"/>
          <w:szCs w:val="22"/>
        </w:rPr>
        <w:t>grant</w:t>
      </w:r>
      <w:r w:rsidR="0009008E">
        <w:rPr>
          <w:rStyle w:val="StyleNumberedparagraphs11ptChar"/>
          <w:szCs w:val="22"/>
        </w:rPr>
        <w:t xml:space="preserve"> two and deny </w:t>
      </w:r>
      <w:r w:rsidR="00447C15">
        <w:rPr>
          <w:rStyle w:val="StyleNumberedparagraphs11ptChar"/>
          <w:szCs w:val="22"/>
        </w:rPr>
        <w:t>three</w:t>
      </w:r>
      <w:r w:rsidR="0009008E">
        <w:rPr>
          <w:rStyle w:val="StyleNumberedparagraphs11ptChar"/>
          <w:szCs w:val="22"/>
        </w:rPr>
        <w:t xml:space="preserve"> </w:t>
      </w:r>
      <w:r w:rsidR="00722D28">
        <w:rPr>
          <w:rStyle w:val="StyleNumberedparagraphs11ptChar"/>
          <w:szCs w:val="22"/>
        </w:rPr>
        <w:t xml:space="preserve">requests </w:t>
      </w:r>
      <w:r w:rsidR="0009008E">
        <w:rPr>
          <w:rStyle w:val="StyleNumberedparagraphs11ptChar"/>
          <w:szCs w:val="22"/>
        </w:rPr>
        <w:t xml:space="preserve">for </w:t>
      </w:r>
      <w:r w:rsidRPr="00C56D4A">
        <w:rPr>
          <w:rStyle w:val="StyleNumberedparagraphs11ptChar"/>
          <w:szCs w:val="22"/>
        </w:rPr>
        <w:t>review</w:t>
      </w:r>
      <w:r w:rsidR="00077513">
        <w:rPr>
          <w:rStyle w:val="StyleNumberedparagraphs11ptChar"/>
          <w:szCs w:val="22"/>
        </w:rPr>
        <w:t xml:space="preserve"> and/or </w:t>
      </w:r>
      <w:r w:rsidR="000C011A">
        <w:rPr>
          <w:rStyle w:val="StyleNumberedparagraphs11ptChar"/>
          <w:szCs w:val="22"/>
        </w:rPr>
        <w:t>waiver</w:t>
      </w:r>
      <w:r w:rsidRPr="00C56D4A">
        <w:rPr>
          <w:rStyle w:val="StyleNumberedparagraphs11ptChar"/>
          <w:szCs w:val="22"/>
        </w:rPr>
        <w:t xml:space="preserve"> of decision</w:t>
      </w:r>
      <w:r w:rsidR="00F66622">
        <w:rPr>
          <w:rStyle w:val="StyleNumberedparagraphs11ptChar"/>
          <w:szCs w:val="22"/>
        </w:rPr>
        <w:t>s</w:t>
      </w:r>
      <w:r w:rsidRPr="00C56D4A">
        <w:rPr>
          <w:rStyle w:val="StyleNumberedparagraphs11ptChar"/>
          <w:szCs w:val="22"/>
        </w:rPr>
        <w:t xml:space="preserve"> made by the Universal Service Administrative Company (USAC) under the E-rate program (more formally known as the schools and libraries universal service support program)</w:t>
      </w:r>
      <w:r w:rsidR="00EA0FE2">
        <w:rPr>
          <w:rStyle w:val="StyleNumberedparagraphs11ptChar"/>
          <w:szCs w:val="22"/>
        </w:rPr>
        <w:t>.</w:t>
      </w:r>
      <w:r w:rsidRPr="00C56D4A">
        <w:rPr>
          <w:rStyle w:val="FootnoteReference"/>
          <w:sz w:val="22"/>
          <w:szCs w:val="22"/>
        </w:rPr>
        <w:footnoteReference w:id="3"/>
      </w:r>
      <w:r w:rsidR="00CE2A6C">
        <w:rPr>
          <w:rStyle w:val="StyleNumberedparagraphs11ptChar"/>
          <w:szCs w:val="22"/>
        </w:rPr>
        <w:t xml:space="preserve"> </w:t>
      </w:r>
      <w:r w:rsidR="00EA0FE2">
        <w:rPr>
          <w:rStyle w:val="StyleNumberedparagraphs11ptChar"/>
          <w:szCs w:val="22"/>
        </w:rPr>
        <w:t xml:space="preserve"> </w:t>
      </w:r>
      <w:r w:rsidR="0009008E">
        <w:rPr>
          <w:rStyle w:val="StyleNumberedparagraphs11ptChar"/>
          <w:szCs w:val="22"/>
        </w:rPr>
        <w:t xml:space="preserve">In each case, </w:t>
      </w:r>
      <w:r w:rsidRPr="00C56D4A">
        <w:rPr>
          <w:rStyle w:val="StyleNumberedparagraphs11ptChar"/>
          <w:szCs w:val="22"/>
        </w:rPr>
        <w:t xml:space="preserve">USAC </w:t>
      </w:r>
      <w:r w:rsidR="0055755C">
        <w:rPr>
          <w:rStyle w:val="StyleNumberedparagraphs11ptChar"/>
          <w:szCs w:val="22"/>
        </w:rPr>
        <w:t xml:space="preserve">denied, as untimely, </w:t>
      </w:r>
      <w:r w:rsidR="00F66622">
        <w:rPr>
          <w:rStyle w:val="StyleNumberedparagraphs11ptChar"/>
          <w:szCs w:val="22"/>
        </w:rPr>
        <w:t>petitioners</w:t>
      </w:r>
      <w:r w:rsidR="00A41684">
        <w:rPr>
          <w:rStyle w:val="StyleNumberedparagraphs11ptChar"/>
          <w:szCs w:val="22"/>
        </w:rPr>
        <w:t>’</w:t>
      </w:r>
      <w:r w:rsidR="0055755C">
        <w:rPr>
          <w:rStyle w:val="StyleNumberedparagraphs11ptChar"/>
          <w:szCs w:val="22"/>
        </w:rPr>
        <w:t xml:space="preserve"> requests for an extension of the </w:t>
      </w:r>
      <w:r w:rsidR="00A41684">
        <w:rPr>
          <w:rStyle w:val="StyleNumberedparagraphs11ptChar"/>
          <w:szCs w:val="22"/>
        </w:rPr>
        <w:t xml:space="preserve">service implementation </w:t>
      </w:r>
      <w:r w:rsidRPr="00C56D4A">
        <w:rPr>
          <w:rStyle w:val="StyleNumberedparagraphs11ptChar"/>
          <w:szCs w:val="22"/>
        </w:rPr>
        <w:t>deadline</w:t>
      </w:r>
      <w:r w:rsidR="00A41684">
        <w:rPr>
          <w:rStyle w:val="StyleNumberedparagraphs11ptChar"/>
          <w:szCs w:val="22"/>
        </w:rPr>
        <w:t>.</w:t>
      </w:r>
      <w:r w:rsidRPr="00C56D4A">
        <w:rPr>
          <w:rStyle w:val="FootnoteReference"/>
          <w:sz w:val="22"/>
          <w:szCs w:val="22"/>
        </w:rPr>
        <w:footnoteReference w:id="4"/>
      </w:r>
      <w:r w:rsidRPr="00C56D4A">
        <w:rPr>
          <w:rStyle w:val="StyleNumberedparagraphs11ptChar"/>
          <w:szCs w:val="22"/>
        </w:rPr>
        <w:t xml:space="preserve">  </w:t>
      </w:r>
    </w:p>
    <w:p w:rsidR="006B5483" w:rsidRPr="00F25620" w:rsidRDefault="00611197" w:rsidP="00EA0FE2">
      <w:pPr>
        <w:pStyle w:val="ParaNum"/>
        <w:widowControl/>
        <w:numPr>
          <w:ilvl w:val="0"/>
          <w:numId w:val="1"/>
        </w:numPr>
        <w:tabs>
          <w:tab w:val="clear" w:pos="1260"/>
          <w:tab w:val="num" w:pos="5310"/>
        </w:tabs>
        <w:spacing w:after="240"/>
        <w:ind w:left="0"/>
        <w:jc w:val="left"/>
        <w:rPr>
          <w:szCs w:val="22"/>
        </w:rPr>
      </w:pPr>
      <w:r w:rsidRPr="00F25620">
        <w:rPr>
          <w:szCs w:val="22"/>
        </w:rPr>
        <w:t>Based on our review of the record, we find that</w:t>
      </w:r>
      <w:r w:rsidRPr="00F25620">
        <w:rPr>
          <w:rStyle w:val="StyleNumberedparagraphs11ptChar"/>
          <w:szCs w:val="22"/>
        </w:rPr>
        <w:t xml:space="preserve"> </w:t>
      </w:r>
      <w:r w:rsidR="002E13C7" w:rsidRPr="00F25620">
        <w:rPr>
          <w:rStyle w:val="StyleNumberedparagraphs11ptChar"/>
          <w:szCs w:val="22"/>
        </w:rPr>
        <w:t xml:space="preserve">the petitioners </w:t>
      </w:r>
      <w:r w:rsidR="00722D28" w:rsidRPr="00F25620">
        <w:rPr>
          <w:rStyle w:val="StyleNumberedparagraphs11ptChar"/>
          <w:szCs w:val="22"/>
        </w:rPr>
        <w:t xml:space="preserve">in Appendix A </w:t>
      </w:r>
      <w:r w:rsidR="002E13C7" w:rsidRPr="00F25620">
        <w:rPr>
          <w:szCs w:val="22"/>
        </w:rPr>
        <w:t xml:space="preserve">were </w:t>
      </w:r>
      <w:r w:rsidRPr="00F25620">
        <w:rPr>
          <w:szCs w:val="22"/>
        </w:rPr>
        <w:t xml:space="preserve">unable to complete implementation on time for reasons beyond the service providers’ control, one of the criteria </w:t>
      </w:r>
      <w:r w:rsidR="00B23885">
        <w:rPr>
          <w:szCs w:val="22"/>
        </w:rPr>
        <w:t xml:space="preserve">provided for </w:t>
      </w:r>
      <w:r w:rsidR="0009008E">
        <w:rPr>
          <w:szCs w:val="22"/>
        </w:rPr>
        <w:t xml:space="preserve">in our rules as a justification </w:t>
      </w:r>
      <w:r w:rsidRPr="00F25620">
        <w:rPr>
          <w:szCs w:val="22"/>
        </w:rPr>
        <w:t>for an extension of</w:t>
      </w:r>
      <w:r w:rsidR="00B23885">
        <w:rPr>
          <w:szCs w:val="22"/>
        </w:rPr>
        <w:t xml:space="preserve"> the</w:t>
      </w:r>
      <w:r w:rsidRPr="00F25620">
        <w:rPr>
          <w:szCs w:val="22"/>
        </w:rPr>
        <w:t xml:space="preserve"> services implementation</w:t>
      </w:r>
      <w:r w:rsidR="00A41684">
        <w:rPr>
          <w:szCs w:val="22"/>
        </w:rPr>
        <w:t xml:space="preserve"> </w:t>
      </w:r>
      <w:r w:rsidR="00A41684">
        <w:rPr>
          <w:szCs w:val="22"/>
        </w:rPr>
        <w:lastRenderedPageBreak/>
        <w:t>deadline</w:t>
      </w:r>
      <w:r w:rsidR="0009008E">
        <w:rPr>
          <w:szCs w:val="22"/>
        </w:rPr>
        <w:t>.</w:t>
      </w:r>
      <w:r w:rsidR="006909F6">
        <w:rPr>
          <w:rStyle w:val="FootnoteReference"/>
          <w:szCs w:val="22"/>
        </w:rPr>
        <w:footnoteReference w:id="5"/>
      </w:r>
      <w:r w:rsidRPr="00F25620">
        <w:rPr>
          <w:szCs w:val="22"/>
        </w:rPr>
        <w:t xml:space="preserve"> </w:t>
      </w:r>
      <w:r w:rsidR="00A41684">
        <w:rPr>
          <w:szCs w:val="22"/>
        </w:rPr>
        <w:t xml:space="preserve"> </w:t>
      </w:r>
      <w:r w:rsidR="0055755C">
        <w:rPr>
          <w:szCs w:val="22"/>
        </w:rPr>
        <w:t>Moreover, a</w:t>
      </w:r>
      <w:r w:rsidR="0009008E">
        <w:rPr>
          <w:szCs w:val="22"/>
        </w:rPr>
        <w:t>lthough they failed to</w:t>
      </w:r>
      <w:r w:rsidRPr="00F25620">
        <w:rPr>
          <w:szCs w:val="22"/>
        </w:rPr>
        <w:t xml:space="preserve"> timely</w:t>
      </w:r>
      <w:r w:rsidR="0055755C">
        <w:rPr>
          <w:szCs w:val="22"/>
        </w:rPr>
        <w:t xml:space="preserve"> submit requests to extend the implementation deadline, </w:t>
      </w:r>
      <w:r w:rsidR="0009008E">
        <w:rPr>
          <w:szCs w:val="22"/>
        </w:rPr>
        <w:t xml:space="preserve">the petitioners identified in Appendix A, </w:t>
      </w:r>
      <w:r w:rsidRPr="00F25620">
        <w:rPr>
          <w:szCs w:val="22"/>
        </w:rPr>
        <w:t>made significant efforts to secure the necessary extensions.</w:t>
      </w:r>
      <w:r w:rsidR="00B23885">
        <w:rPr>
          <w:rStyle w:val="FootnoteReference"/>
          <w:szCs w:val="22"/>
        </w:rPr>
        <w:footnoteReference w:id="6"/>
      </w:r>
      <w:r w:rsidRPr="00F25620">
        <w:rPr>
          <w:szCs w:val="22"/>
        </w:rPr>
        <w:t xml:space="preserve">  Furthermore, there is no evidence of waste, fraud and abuse in the record at this time.</w:t>
      </w:r>
      <w:bookmarkStart w:id="3" w:name="SR;545"/>
      <w:bookmarkEnd w:id="3"/>
      <w:r w:rsidR="00F25620">
        <w:rPr>
          <w:szCs w:val="22"/>
        </w:rPr>
        <w:t xml:space="preserve">  </w:t>
      </w:r>
      <w:r w:rsidR="008F4BE3" w:rsidRPr="00F25620">
        <w:rPr>
          <w:rStyle w:val="documentbody1"/>
          <w:rFonts w:ascii="Times New Roman" w:hAnsi="Times New Roman"/>
          <w:sz w:val="22"/>
          <w:szCs w:val="22"/>
        </w:rPr>
        <w:t xml:space="preserve">Therefore, we </w:t>
      </w:r>
      <w:r w:rsidR="00E124E6" w:rsidRPr="00F25620">
        <w:rPr>
          <w:rStyle w:val="documentbody1"/>
          <w:rFonts w:ascii="Times New Roman" w:hAnsi="Times New Roman"/>
          <w:sz w:val="22"/>
          <w:szCs w:val="22"/>
        </w:rPr>
        <w:t xml:space="preserve">grant </w:t>
      </w:r>
      <w:r w:rsidR="00A00A1E" w:rsidRPr="00F25620">
        <w:rPr>
          <w:rStyle w:val="documentbody1"/>
          <w:rFonts w:ascii="Times New Roman" w:hAnsi="Times New Roman"/>
          <w:sz w:val="22"/>
          <w:szCs w:val="22"/>
        </w:rPr>
        <w:t>the petition</w:t>
      </w:r>
      <w:r w:rsidR="0009008E">
        <w:rPr>
          <w:rStyle w:val="documentbody1"/>
          <w:rFonts w:ascii="Times New Roman" w:hAnsi="Times New Roman"/>
          <w:sz w:val="22"/>
          <w:szCs w:val="22"/>
        </w:rPr>
        <w:t xml:space="preserve">s </w:t>
      </w:r>
      <w:r w:rsidR="0055755C">
        <w:rPr>
          <w:rStyle w:val="documentbody1"/>
          <w:rFonts w:ascii="Times New Roman" w:hAnsi="Times New Roman"/>
          <w:sz w:val="22"/>
          <w:szCs w:val="22"/>
        </w:rPr>
        <w:t>identified</w:t>
      </w:r>
      <w:r w:rsidR="00E124E6" w:rsidRPr="00F25620">
        <w:rPr>
          <w:rStyle w:val="documentbody1"/>
          <w:rFonts w:ascii="Times New Roman" w:hAnsi="Times New Roman"/>
          <w:sz w:val="22"/>
          <w:szCs w:val="22"/>
        </w:rPr>
        <w:t xml:space="preserve"> </w:t>
      </w:r>
      <w:r w:rsidR="00722D28" w:rsidRPr="00F25620">
        <w:rPr>
          <w:rStyle w:val="documentbody1"/>
          <w:rFonts w:ascii="Times New Roman" w:hAnsi="Times New Roman"/>
          <w:sz w:val="22"/>
          <w:szCs w:val="22"/>
        </w:rPr>
        <w:t>in Appendix</w:t>
      </w:r>
      <w:r w:rsidR="00A41684">
        <w:rPr>
          <w:rStyle w:val="documentbody1"/>
          <w:rFonts w:ascii="Times New Roman" w:hAnsi="Times New Roman"/>
          <w:sz w:val="22"/>
          <w:szCs w:val="22"/>
        </w:rPr>
        <w:t xml:space="preserve"> A</w:t>
      </w:r>
      <w:r w:rsidR="00722D28" w:rsidRPr="00F25620">
        <w:rPr>
          <w:rStyle w:val="documentbody1"/>
          <w:rFonts w:ascii="Times New Roman" w:hAnsi="Times New Roman"/>
          <w:sz w:val="22"/>
          <w:szCs w:val="22"/>
        </w:rPr>
        <w:t xml:space="preserve"> </w:t>
      </w:r>
      <w:r w:rsidR="008F4BE3" w:rsidRPr="00F25620">
        <w:rPr>
          <w:szCs w:val="22"/>
        </w:rPr>
        <w:t xml:space="preserve">and </w:t>
      </w:r>
      <w:r w:rsidR="008F4BE3" w:rsidRPr="00F25620">
        <w:rPr>
          <w:rStyle w:val="documentbody1"/>
          <w:rFonts w:ascii="Times New Roman" w:hAnsi="Times New Roman"/>
          <w:sz w:val="22"/>
          <w:szCs w:val="22"/>
        </w:rPr>
        <w:t xml:space="preserve">remand </w:t>
      </w:r>
      <w:r w:rsidR="00C87401" w:rsidRPr="00F25620">
        <w:rPr>
          <w:rStyle w:val="documentbody1"/>
          <w:rFonts w:ascii="Times New Roman" w:hAnsi="Times New Roman"/>
          <w:sz w:val="22"/>
          <w:szCs w:val="22"/>
        </w:rPr>
        <w:t>the applications</w:t>
      </w:r>
      <w:r w:rsidR="00130B36" w:rsidRPr="00F25620">
        <w:rPr>
          <w:rStyle w:val="documentbody1"/>
          <w:rFonts w:ascii="Times New Roman" w:hAnsi="Times New Roman"/>
          <w:sz w:val="22"/>
          <w:szCs w:val="22"/>
        </w:rPr>
        <w:t xml:space="preserve"> </w:t>
      </w:r>
      <w:r w:rsidR="008F4BE3" w:rsidRPr="00F25620">
        <w:rPr>
          <w:rStyle w:val="documentbody1"/>
          <w:rFonts w:ascii="Times New Roman" w:hAnsi="Times New Roman"/>
          <w:sz w:val="22"/>
          <w:szCs w:val="22"/>
        </w:rPr>
        <w:t>to USAC for further action consistent with this Order</w:t>
      </w:r>
      <w:r w:rsidR="008F4BE3" w:rsidRPr="00F25620">
        <w:rPr>
          <w:rStyle w:val="StyleNumberedparagraphs11ptChar"/>
          <w:szCs w:val="22"/>
        </w:rPr>
        <w:t xml:space="preserve">. </w:t>
      </w:r>
      <w:r w:rsidR="00A41684">
        <w:rPr>
          <w:rStyle w:val="StyleNumberedparagraphs11ptChar"/>
          <w:szCs w:val="22"/>
        </w:rPr>
        <w:t xml:space="preserve"> </w:t>
      </w:r>
      <w:r w:rsidR="008F4BE3" w:rsidRPr="00F25620">
        <w:rPr>
          <w:rStyle w:val="StyleNumberedparagraphs11ptChar"/>
          <w:szCs w:val="22"/>
        </w:rPr>
        <w:t xml:space="preserve">To ensure that the </w:t>
      </w:r>
      <w:r w:rsidR="00E124E6" w:rsidRPr="00F25620">
        <w:rPr>
          <w:rStyle w:val="StyleNumberedparagraphs11ptChar"/>
          <w:szCs w:val="22"/>
        </w:rPr>
        <w:t>appeal</w:t>
      </w:r>
      <w:r w:rsidR="00A41684">
        <w:rPr>
          <w:rStyle w:val="StyleNumberedparagraphs11ptChar"/>
          <w:szCs w:val="22"/>
        </w:rPr>
        <w:t>s are</w:t>
      </w:r>
      <w:r w:rsidR="00E124E6" w:rsidRPr="00F25620">
        <w:rPr>
          <w:rStyle w:val="StyleNumberedparagraphs11ptChar"/>
          <w:szCs w:val="22"/>
        </w:rPr>
        <w:t xml:space="preserve"> </w:t>
      </w:r>
      <w:r w:rsidR="008F4BE3" w:rsidRPr="00F25620">
        <w:rPr>
          <w:rStyle w:val="StyleNumberedparagraphs11ptChar"/>
          <w:szCs w:val="22"/>
        </w:rPr>
        <w:t xml:space="preserve">resolved expeditiously, we direct USAC to complete its </w:t>
      </w:r>
      <w:r w:rsidR="00AB5A4A" w:rsidRPr="00F25620">
        <w:rPr>
          <w:rStyle w:val="StyleNumberedparagraphs11ptChar"/>
          <w:szCs w:val="22"/>
        </w:rPr>
        <w:t>review of the submitted invoice</w:t>
      </w:r>
      <w:r w:rsidR="00A41684">
        <w:rPr>
          <w:rStyle w:val="StyleNumberedparagraphs11ptChar"/>
          <w:szCs w:val="22"/>
        </w:rPr>
        <w:t>s</w:t>
      </w:r>
      <w:r w:rsidR="008F4BE3" w:rsidRPr="00F25620">
        <w:rPr>
          <w:rStyle w:val="StyleNumberedparagraphs11ptChar"/>
          <w:szCs w:val="22"/>
        </w:rPr>
        <w:t xml:space="preserve"> and issue an award or a denial based on a complete rev</w:t>
      </w:r>
      <w:r w:rsidR="00B5157C" w:rsidRPr="00F25620">
        <w:rPr>
          <w:rStyle w:val="StyleNumberedparagraphs11ptChar"/>
          <w:szCs w:val="22"/>
        </w:rPr>
        <w:t>iew and analysis no later than 6</w:t>
      </w:r>
      <w:r w:rsidR="008F4BE3" w:rsidRPr="00F25620">
        <w:rPr>
          <w:rStyle w:val="StyleNumberedparagraphs11ptChar"/>
          <w:szCs w:val="22"/>
        </w:rPr>
        <w:t xml:space="preserve">0 calendar days from its receipt of the submitted invoices.  </w:t>
      </w:r>
      <w:r w:rsidR="008F4BE3" w:rsidRPr="00F25620">
        <w:rPr>
          <w:szCs w:val="22"/>
        </w:rPr>
        <w:t>I</w:t>
      </w:r>
      <w:r w:rsidR="00E124E6" w:rsidRPr="00F25620">
        <w:rPr>
          <w:szCs w:val="22"/>
        </w:rPr>
        <w:t>n remanding th</w:t>
      </w:r>
      <w:r w:rsidR="00A41684">
        <w:rPr>
          <w:szCs w:val="22"/>
        </w:rPr>
        <w:t>ese</w:t>
      </w:r>
      <w:r w:rsidR="00E124E6" w:rsidRPr="00F25620">
        <w:rPr>
          <w:szCs w:val="22"/>
        </w:rPr>
        <w:t xml:space="preserve"> appeal</w:t>
      </w:r>
      <w:r w:rsidR="00A41684">
        <w:rPr>
          <w:szCs w:val="22"/>
        </w:rPr>
        <w:t>s</w:t>
      </w:r>
      <w:r w:rsidR="00E124E6" w:rsidRPr="00F25620">
        <w:rPr>
          <w:szCs w:val="22"/>
        </w:rPr>
        <w:t xml:space="preserve"> </w:t>
      </w:r>
      <w:r w:rsidR="008F4BE3" w:rsidRPr="00F25620">
        <w:rPr>
          <w:szCs w:val="22"/>
        </w:rPr>
        <w:t>to USAC, we make no finding as to the ultimate eligibility of the servic</w:t>
      </w:r>
      <w:r w:rsidR="00E124E6" w:rsidRPr="00F25620">
        <w:rPr>
          <w:szCs w:val="22"/>
        </w:rPr>
        <w:t>es requested or the petitioner</w:t>
      </w:r>
      <w:r w:rsidR="00A41684">
        <w:rPr>
          <w:szCs w:val="22"/>
        </w:rPr>
        <w:t>s’</w:t>
      </w:r>
      <w:r w:rsidR="008F4BE3" w:rsidRPr="00F25620">
        <w:rPr>
          <w:szCs w:val="22"/>
        </w:rPr>
        <w:t xml:space="preserve"> applications.</w:t>
      </w:r>
      <w:bookmarkEnd w:id="1"/>
      <w:bookmarkEnd w:id="2"/>
    </w:p>
    <w:p w:rsidR="00722D28" w:rsidRPr="00722D28" w:rsidRDefault="00722D28" w:rsidP="00EA0FE2">
      <w:pPr>
        <w:pStyle w:val="ParaNum"/>
        <w:numPr>
          <w:ilvl w:val="0"/>
          <w:numId w:val="1"/>
        </w:numPr>
        <w:tabs>
          <w:tab w:val="clear" w:pos="1260"/>
          <w:tab w:val="num" w:pos="5310"/>
        </w:tabs>
        <w:ind w:left="0"/>
        <w:jc w:val="left"/>
        <w:rPr>
          <w:rStyle w:val="StyleNumberedparagraphs11ptChar"/>
        </w:rPr>
      </w:pPr>
      <w:r w:rsidRPr="00781D37">
        <w:rPr>
          <w:rStyle w:val="StyleNumberedparagraphs11ptChar"/>
          <w:szCs w:val="22"/>
        </w:rPr>
        <w:t>We deny the request</w:t>
      </w:r>
      <w:r w:rsidR="00781D37" w:rsidRPr="00781D37">
        <w:rPr>
          <w:rStyle w:val="StyleNumberedparagraphs11ptChar"/>
          <w:szCs w:val="22"/>
        </w:rPr>
        <w:t xml:space="preserve"> from Eaton County Intermediate School District (Eaton County)</w:t>
      </w:r>
      <w:r w:rsidR="0055755C">
        <w:rPr>
          <w:rStyle w:val="StyleNumberedparagraphs11ptChar"/>
          <w:szCs w:val="22"/>
        </w:rPr>
        <w:t>, identified in Appendix B,</w:t>
      </w:r>
      <w:r w:rsidR="00781D37" w:rsidRPr="00781D37">
        <w:rPr>
          <w:rStyle w:val="StyleNumberedparagraphs11ptChar"/>
          <w:szCs w:val="22"/>
        </w:rPr>
        <w:t xml:space="preserve"> </w:t>
      </w:r>
      <w:r w:rsidRPr="00781D37">
        <w:rPr>
          <w:rStyle w:val="StyleNumberedparagraphs11ptChar"/>
          <w:szCs w:val="22"/>
        </w:rPr>
        <w:t>because</w:t>
      </w:r>
      <w:r w:rsidR="0055755C">
        <w:rPr>
          <w:rStyle w:val="StyleNumberedparagraphs11ptChar"/>
          <w:szCs w:val="22"/>
        </w:rPr>
        <w:t xml:space="preserve"> </w:t>
      </w:r>
      <w:r w:rsidRPr="00781D37">
        <w:rPr>
          <w:rStyle w:val="StyleNumberedparagraphs11ptChar"/>
          <w:szCs w:val="22"/>
        </w:rPr>
        <w:t xml:space="preserve">we find </w:t>
      </w:r>
      <w:r w:rsidR="00781D37" w:rsidRPr="00781D37">
        <w:rPr>
          <w:rStyle w:val="StyleNumberedparagraphs11ptChar"/>
          <w:szCs w:val="22"/>
        </w:rPr>
        <w:t>t</w:t>
      </w:r>
      <w:r w:rsidR="00A41684">
        <w:rPr>
          <w:rStyle w:val="StyleNumberedparagraphs11ptChar"/>
          <w:szCs w:val="22"/>
        </w:rPr>
        <w:t xml:space="preserve">hat Eaton County </w:t>
      </w:r>
      <w:r w:rsidR="00781D37" w:rsidRPr="00781D37">
        <w:rPr>
          <w:szCs w:val="22"/>
        </w:rPr>
        <w:t>failed to ma</w:t>
      </w:r>
      <w:r w:rsidR="00F25620">
        <w:rPr>
          <w:szCs w:val="22"/>
        </w:rPr>
        <w:t>k</w:t>
      </w:r>
      <w:r w:rsidR="00781D37" w:rsidRPr="00781D37">
        <w:rPr>
          <w:szCs w:val="22"/>
        </w:rPr>
        <w:t xml:space="preserve">e significant efforts to </w:t>
      </w:r>
      <w:r w:rsidR="00F25620">
        <w:rPr>
          <w:szCs w:val="22"/>
        </w:rPr>
        <w:t>notify USAC of its need to have an extension of the implementation deadline</w:t>
      </w:r>
      <w:r w:rsidR="00781D37" w:rsidRPr="00781D37">
        <w:rPr>
          <w:szCs w:val="22"/>
        </w:rPr>
        <w:t>.</w:t>
      </w:r>
      <w:r w:rsidR="00781D37">
        <w:rPr>
          <w:rStyle w:val="FootnoteReference"/>
          <w:szCs w:val="22"/>
        </w:rPr>
        <w:footnoteReference w:id="7"/>
      </w:r>
      <w:r w:rsidR="00781D37" w:rsidRPr="00781D37">
        <w:rPr>
          <w:szCs w:val="22"/>
        </w:rPr>
        <w:t xml:space="preserve">  </w:t>
      </w:r>
      <w:r w:rsidR="00CD497B">
        <w:rPr>
          <w:szCs w:val="22"/>
        </w:rPr>
        <w:t xml:space="preserve">We deny the request from </w:t>
      </w:r>
      <w:r w:rsidR="00CD497B">
        <w:t xml:space="preserve">Edgecombe County Schools, </w:t>
      </w:r>
      <w:r w:rsidR="00CD497B">
        <w:rPr>
          <w:rStyle w:val="StyleNumberedparagraphs11ptChar"/>
          <w:szCs w:val="22"/>
        </w:rPr>
        <w:t>identified in Appendix B,</w:t>
      </w:r>
      <w:r w:rsidR="00CD497B" w:rsidRPr="00781D37">
        <w:rPr>
          <w:rStyle w:val="StyleNumberedparagraphs11ptChar"/>
          <w:szCs w:val="22"/>
        </w:rPr>
        <w:t xml:space="preserve"> </w:t>
      </w:r>
      <w:r w:rsidR="00CD497B">
        <w:rPr>
          <w:rStyle w:val="StyleNumberedparagraphs11ptChar"/>
          <w:szCs w:val="22"/>
        </w:rPr>
        <w:t xml:space="preserve">because it </w:t>
      </w:r>
      <w:r w:rsidR="00B02E48">
        <w:rPr>
          <w:szCs w:val="22"/>
        </w:rPr>
        <w:t xml:space="preserve">did not demonstrate that it failed to </w:t>
      </w:r>
      <w:r w:rsidR="00B02E48" w:rsidRPr="00781D37">
        <w:rPr>
          <w:szCs w:val="22"/>
        </w:rPr>
        <w:t xml:space="preserve">complete implementation on time for </w:t>
      </w:r>
      <w:r w:rsidR="00B02E48">
        <w:rPr>
          <w:szCs w:val="22"/>
        </w:rPr>
        <w:t xml:space="preserve">any of the </w:t>
      </w:r>
      <w:r w:rsidR="00B02E48" w:rsidRPr="00781D37">
        <w:rPr>
          <w:szCs w:val="22"/>
        </w:rPr>
        <w:t xml:space="preserve">reasons that satisfy the Commission’s criteria for implementation deadline extensions </w:t>
      </w:r>
      <w:r w:rsidR="00B02E48">
        <w:rPr>
          <w:szCs w:val="22"/>
        </w:rPr>
        <w:t xml:space="preserve">and it </w:t>
      </w:r>
      <w:r w:rsidR="00CD497B" w:rsidRPr="00781D37">
        <w:rPr>
          <w:szCs w:val="22"/>
        </w:rPr>
        <w:t>failed to ma</w:t>
      </w:r>
      <w:r w:rsidR="00CD497B">
        <w:rPr>
          <w:szCs w:val="22"/>
        </w:rPr>
        <w:t>k</w:t>
      </w:r>
      <w:r w:rsidR="00CD497B" w:rsidRPr="00781D37">
        <w:rPr>
          <w:szCs w:val="22"/>
        </w:rPr>
        <w:t xml:space="preserve">e significant efforts to </w:t>
      </w:r>
      <w:r w:rsidR="00CD497B">
        <w:rPr>
          <w:szCs w:val="22"/>
        </w:rPr>
        <w:t>notify USAC of its need to have an extension of the implementation deadline.</w:t>
      </w:r>
      <w:r w:rsidR="00CD497B">
        <w:rPr>
          <w:rStyle w:val="FootnoteReference"/>
          <w:szCs w:val="22"/>
        </w:rPr>
        <w:footnoteReference w:id="8"/>
      </w:r>
      <w:r w:rsidR="00CD497B">
        <w:rPr>
          <w:szCs w:val="22"/>
        </w:rPr>
        <w:t xml:space="preserve"> </w:t>
      </w:r>
      <w:r w:rsidR="00CD497B">
        <w:t xml:space="preserve"> </w:t>
      </w:r>
      <w:r w:rsidR="00781D37" w:rsidRPr="00781D37">
        <w:rPr>
          <w:szCs w:val="22"/>
        </w:rPr>
        <w:t xml:space="preserve">We </w:t>
      </w:r>
      <w:r w:rsidR="0055755C">
        <w:rPr>
          <w:szCs w:val="22"/>
        </w:rPr>
        <w:t>d</w:t>
      </w:r>
      <w:r w:rsidR="00781D37" w:rsidRPr="00781D37">
        <w:rPr>
          <w:szCs w:val="22"/>
        </w:rPr>
        <w:t>eny the request of Many Farms School</w:t>
      </w:r>
      <w:r w:rsidR="0055755C">
        <w:rPr>
          <w:szCs w:val="22"/>
        </w:rPr>
        <w:t>, identified</w:t>
      </w:r>
      <w:r w:rsidR="00A41684">
        <w:rPr>
          <w:szCs w:val="22"/>
        </w:rPr>
        <w:t xml:space="preserve"> i</w:t>
      </w:r>
      <w:r w:rsidR="0055755C">
        <w:rPr>
          <w:szCs w:val="22"/>
        </w:rPr>
        <w:t>n Appendix B,</w:t>
      </w:r>
      <w:r w:rsidR="00781D37" w:rsidRPr="00781D37">
        <w:rPr>
          <w:szCs w:val="22"/>
        </w:rPr>
        <w:t xml:space="preserve"> because </w:t>
      </w:r>
      <w:r w:rsidR="0055755C">
        <w:rPr>
          <w:rStyle w:val="StyleNumberedparagraphs11ptChar"/>
          <w:szCs w:val="22"/>
        </w:rPr>
        <w:t>Many Farm</w:t>
      </w:r>
      <w:r w:rsidR="00A41684">
        <w:rPr>
          <w:rStyle w:val="StyleNumberedparagraphs11ptChar"/>
          <w:szCs w:val="22"/>
        </w:rPr>
        <w:t>s</w:t>
      </w:r>
      <w:r w:rsidR="0055755C">
        <w:rPr>
          <w:rStyle w:val="StyleNumberedparagraphs11ptChar"/>
          <w:szCs w:val="22"/>
        </w:rPr>
        <w:t xml:space="preserve"> School</w:t>
      </w:r>
      <w:r w:rsidR="00781D37">
        <w:rPr>
          <w:rStyle w:val="StyleNumberedparagraphs11ptChar"/>
          <w:szCs w:val="22"/>
        </w:rPr>
        <w:t xml:space="preserve"> </w:t>
      </w:r>
      <w:r w:rsidR="0055755C">
        <w:rPr>
          <w:szCs w:val="22"/>
        </w:rPr>
        <w:t xml:space="preserve">did not </w:t>
      </w:r>
      <w:r w:rsidR="00781D37">
        <w:rPr>
          <w:szCs w:val="22"/>
        </w:rPr>
        <w:t xml:space="preserve">demonstrate that it failed to </w:t>
      </w:r>
      <w:r w:rsidR="004C53F3" w:rsidRPr="00781D37">
        <w:rPr>
          <w:szCs w:val="22"/>
        </w:rPr>
        <w:t xml:space="preserve">complete implementation on time for </w:t>
      </w:r>
      <w:r w:rsidR="00A41684">
        <w:rPr>
          <w:szCs w:val="22"/>
        </w:rPr>
        <w:t xml:space="preserve">any of the </w:t>
      </w:r>
      <w:r w:rsidR="004C53F3" w:rsidRPr="00781D37">
        <w:rPr>
          <w:szCs w:val="22"/>
        </w:rPr>
        <w:t xml:space="preserve">reasons </w:t>
      </w:r>
      <w:r w:rsidR="00C05B59" w:rsidRPr="00781D37">
        <w:rPr>
          <w:szCs w:val="22"/>
        </w:rPr>
        <w:t>that satisfy the Commission’s criteria</w:t>
      </w:r>
      <w:r w:rsidR="00C87401" w:rsidRPr="00781D37">
        <w:rPr>
          <w:szCs w:val="22"/>
        </w:rPr>
        <w:t xml:space="preserve"> for implementation deadline extensions</w:t>
      </w:r>
      <w:r w:rsidR="00781D37">
        <w:rPr>
          <w:szCs w:val="22"/>
        </w:rPr>
        <w:t>.</w:t>
      </w:r>
      <w:r w:rsidR="00C05B59">
        <w:rPr>
          <w:rStyle w:val="FootnoteReference"/>
          <w:szCs w:val="22"/>
        </w:rPr>
        <w:footnoteReference w:id="9"/>
      </w:r>
      <w:r w:rsidR="00781D37" w:rsidRPr="00781D37">
        <w:rPr>
          <w:szCs w:val="22"/>
        </w:rPr>
        <w:t xml:space="preserve"> </w:t>
      </w:r>
    </w:p>
    <w:p w:rsidR="008F4BE3" w:rsidRDefault="008F4BE3" w:rsidP="008F4BE3">
      <w:pPr>
        <w:pStyle w:val="ParaNum"/>
        <w:numPr>
          <w:ilvl w:val="0"/>
          <w:numId w:val="1"/>
        </w:numPr>
        <w:tabs>
          <w:tab w:val="clear" w:pos="1260"/>
          <w:tab w:val="num" w:pos="5310"/>
        </w:tabs>
        <w:ind w:left="0"/>
        <w:jc w:val="left"/>
        <w:rPr>
          <w:rStyle w:val="StyleNumberedparagraphs11ptChar"/>
          <w:szCs w:val="22"/>
        </w:rPr>
      </w:pPr>
      <w:r w:rsidRPr="00C56D4A">
        <w:rPr>
          <w:rStyle w:val="StyleNumberedparagraphs11ptChar"/>
          <w:szCs w:val="22"/>
        </w:rPr>
        <w:t xml:space="preserve">ACCORDINGLY, IT IS ORDERED, pursuant to the authority contained in sections 1-4 and 254 of the Communications Act of 1934, as amended, 47 U.S.C. §§ 151-154 and 254, and </w:t>
      </w:r>
      <w:r w:rsidRPr="00C56D4A">
        <w:rPr>
          <w:szCs w:val="22"/>
        </w:rPr>
        <w:t xml:space="preserve">sections 0.91, 0.291 and 54.722(a) of the </w:t>
      </w:r>
      <w:r w:rsidRPr="00C56D4A">
        <w:rPr>
          <w:rStyle w:val="StyleNumberedparagraphs11ptChar"/>
          <w:szCs w:val="22"/>
        </w:rPr>
        <w:t>Commission’s</w:t>
      </w:r>
      <w:r w:rsidRPr="00C56D4A">
        <w:rPr>
          <w:szCs w:val="22"/>
        </w:rPr>
        <w:t xml:space="preserve"> rules, 47 C.F.R. §§ 0.91, 0.291 and 54.722(a), that </w:t>
      </w:r>
      <w:r w:rsidR="00130B36">
        <w:rPr>
          <w:rStyle w:val="StyleNumberedparagraphs11ptChar"/>
          <w:szCs w:val="22"/>
        </w:rPr>
        <w:t xml:space="preserve">the </w:t>
      </w:r>
      <w:r w:rsidR="00E124E6">
        <w:rPr>
          <w:rStyle w:val="StyleNumberedparagraphs11ptChar"/>
          <w:szCs w:val="22"/>
        </w:rPr>
        <w:t>r</w:t>
      </w:r>
      <w:r w:rsidR="00130B36">
        <w:rPr>
          <w:rStyle w:val="StyleNumberedparagraphs11ptChar"/>
          <w:szCs w:val="22"/>
        </w:rPr>
        <w:t>equest</w:t>
      </w:r>
      <w:r w:rsidR="00F25620">
        <w:rPr>
          <w:rStyle w:val="StyleNumberedparagraphs11ptChar"/>
          <w:szCs w:val="22"/>
        </w:rPr>
        <w:t>s</w:t>
      </w:r>
      <w:r w:rsidR="00130B36">
        <w:rPr>
          <w:rStyle w:val="StyleNumberedparagraphs11ptChar"/>
          <w:szCs w:val="22"/>
        </w:rPr>
        <w:t xml:space="preserve"> for </w:t>
      </w:r>
      <w:r w:rsidR="00E124E6">
        <w:rPr>
          <w:rStyle w:val="StyleNumberedparagraphs11ptChar"/>
          <w:szCs w:val="22"/>
        </w:rPr>
        <w:t>r</w:t>
      </w:r>
      <w:r w:rsidRPr="00C56D4A">
        <w:rPr>
          <w:rStyle w:val="StyleNumberedparagraphs11ptChar"/>
          <w:szCs w:val="22"/>
        </w:rPr>
        <w:t xml:space="preserve">eview filed by </w:t>
      </w:r>
      <w:r w:rsidR="00F25620">
        <w:rPr>
          <w:rStyle w:val="StyleNumberedparagraphs11ptChar"/>
          <w:szCs w:val="22"/>
        </w:rPr>
        <w:t xml:space="preserve">petitioners in Appendix A ARE </w:t>
      </w:r>
      <w:r w:rsidRPr="00C56D4A">
        <w:rPr>
          <w:rStyle w:val="StyleNumberedparagraphs11ptChar"/>
          <w:szCs w:val="22"/>
        </w:rPr>
        <w:t>GRANTED an</w:t>
      </w:r>
      <w:r w:rsidR="00130B36">
        <w:rPr>
          <w:rStyle w:val="StyleNumberedparagraphs11ptChar"/>
          <w:szCs w:val="22"/>
        </w:rPr>
        <w:t>d</w:t>
      </w:r>
      <w:r w:rsidR="00E124E6">
        <w:rPr>
          <w:rStyle w:val="StyleNumberedparagraphs11ptChar"/>
          <w:szCs w:val="22"/>
        </w:rPr>
        <w:t xml:space="preserve"> </w:t>
      </w:r>
      <w:r w:rsidR="00F25620">
        <w:rPr>
          <w:rStyle w:val="StyleNumberedparagraphs11ptChar"/>
          <w:szCs w:val="22"/>
        </w:rPr>
        <w:t xml:space="preserve">the applications ARE </w:t>
      </w:r>
      <w:r w:rsidRPr="00C56D4A">
        <w:rPr>
          <w:rStyle w:val="StyleNumberedparagraphs11ptChar"/>
          <w:szCs w:val="22"/>
        </w:rPr>
        <w:t>REMANDED to USAC for further consideration in accordance with the terms of this Order.</w:t>
      </w:r>
    </w:p>
    <w:p w:rsidR="00F25620" w:rsidRPr="00F25620" w:rsidRDefault="00F25620" w:rsidP="00F25620">
      <w:pPr>
        <w:pStyle w:val="ParaNum"/>
        <w:widowControl/>
        <w:numPr>
          <w:ilvl w:val="0"/>
          <w:numId w:val="1"/>
        </w:numPr>
        <w:ind w:left="0"/>
        <w:jc w:val="left"/>
        <w:rPr>
          <w:szCs w:val="22"/>
        </w:rPr>
      </w:pPr>
      <w:r>
        <w:rPr>
          <w:rStyle w:val="StyleNumberedparagraphs11ptChar"/>
          <w:szCs w:val="22"/>
        </w:rPr>
        <w:t xml:space="preserve">IT IS FURTHER ORDERED, pursuant to the authority contained in sections 1-4 and 254 of the Communications Act of 1934, as amended, 47 U.S.C. §§ 151-154 and 254, and </w:t>
      </w:r>
      <w:r>
        <w:t>sections 0.91, 0.291</w:t>
      </w:r>
      <w:r w:rsidR="001C6E97">
        <w:t xml:space="preserve"> </w:t>
      </w:r>
      <w:r>
        <w:t xml:space="preserve">and 54.722(a) of the </w:t>
      </w:r>
      <w:r>
        <w:rPr>
          <w:rStyle w:val="StyleNumberedparagraphs11ptChar"/>
          <w:szCs w:val="22"/>
        </w:rPr>
        <w:t>Commission’s</w:t>
      </w:r>
      <w:r>
        <w:t xml:space="preserve"> </w:t>
      </w:r>
      <w:r w:rsidR="001C6E97">
        <w:t>rules, 47 C.F.R. §§ 0.91, 0.291</w:t>
      </w:r>
      <w:r>
        <w:t xml:space="preserve"> and 54.722(a), </w:t>
      </w:r>
      <w:r>
        <w:rPr>
          <w:rStyle w:val="StyleNumberedparagraphs11ptChar"/>
          <w:szCs w:val="22"/>
        </w:rPr>
        <w:t xml:space="preserve">that the requests for </w:t>
      </w:r>
      <w:r w:rsidR="00E10551">
        <w:rPr>
          <w:rStyle w:val="StyleNumberedparagraphs11ptChar"/>
          <w:szCs w:val="22"/>
        </w:rPr>
        <w:t xml:space="preserve">review and </w:t>
      </w:r>
      <w:r>
        <w:rPr>
          <w:rStyle w:val="StyleNumberedparagraphs11ptChar"/>
          <w:szCs w:val="22"/>
        </w:rPr>
        <w:t>waiver filed by the petitioners listed in Appendix B ARE DENIED.</w:t>
      </w:r>
      <w:r w:rsidRPr="00972F74">
        <w:rPr>
          <w:rStyle w:val="StyleNumberedparagraphs11ptChar"/>
          <w:szCs w:val="22"/>
        </w:rPr>
        <w:t xml:space="preserve"> </w:t>
      </w:r>
    </w:p>
    <w:p w:rsidR="008F4BE3" w:rsidRPr="00C56D4A" w:rsidRDefault="008F4BE3" w:rsidP="008F4BE3">
      <w:pPr>
        <w:keepNext/>
        <w:tabs>
          <w:tab w:val="left" w:pos="-720"/>
        </w:tabs>
        <w:suppressAutoHyphens/>
        <w:ind w:left="4320"/>
        <w:outlineLvl w:val="0"/>
        <w:rPr>
          <w:sz w:val="22"/>
          <w:szCs w:val="22"/>
        </w:rPr>
      </w:pPr>
    </w:p>
    <w:p w:rsidR="008F4BE3" w:rsidRPr="00C56D4A" w:rsidRDefault="008F4BE3" w:rsidP="008F4BE3">
      <w:pPr>
        <w:keepNext/>
        <w:tabs>
          <w:tab w:val="left" w:pos="-720"/>
        </w:tabs>
        <w:suppressAutoHyphens/>
        <w:ind w:left="4320"/>
        <w:outlineLvl w:val="0"/>
        <w:rPr>
          <w:sz w:val="22"/>
          <w:szCs w:val="22"/>
        </w:rPr>
      </w:pPr>
      <w:r w:rsidRPr="00C56D4A">
        <w:rPr>
          <w:sz w:val="22"/>
          <w:szCs w:val="22"/>
        </w:rPr>
        <w:t>FEDERAL COMMUNICATIONS COMMISSION</w:t>
      </w:r>
    </w:p>
    <w:p w:rsidR="008F4BE3" w:rsidRPr="00C56D4A" w:rsidRDefault="008F4BE3" w:rsidP="008F4BE3">
      <w:pPr>
        <w:keepNext/>
        <w:tabs>
          <w:tab w:val="left" w:pos="-720"/>
        </w:tabs>
        <w:suppressAutoHyphens/>
        <w:ind w:left="4320"/>
        <w:rPr>
          <w:sz w:val="22"/>
          <w:szCs w:val="22"/>
        </w:rPr>
      </w:pPr>
    </w:p>
    <w:p w:rsidR="008F4BE3" w:rsidRPr="00C56D4A" w:rsidRDefault="008F4BE3" w:rsidP="008F4BE3">
      <w:pPr>
        <w:keepNext/>
        <w:keepLines/>
        <w:ind w:left="4320"/>
        <w:outlineLvl w:val="0"/>
        <w:rPr>
          <w:sz w:val="22"/>
          <w:szCs w:val="22"/>
        </w:rPr>
      </w:pPr>
    </w:p>
    <w:p w:rsidR="008F4BE3" w:rsidRPr="00C56D4A" w:rsidRDefault="008F4BE3" w:rsidP="008F4BE3">
      <w:pPr>
        <w:keepNext/>
        <w:keepLines/>
        <w:ind w:left="3600" w:firstLine="720"/>
        <w:outlineLvl w:val="0"/>
        <w:rPr>
          <w:sz w:val="22"/>
          <w:szCs w:val="22"/>
        </w:rPr>
      </w:pPr>
    </w:p>
    <w:p w:rsidR="008F4BE3" w:rsidRPr="00C56D4A" w:rsidRDefault="008F4BE3" w:rsidP="008F4BE3">
      <w:pPr>
        <w:keepNext/>
        <w:keepLines/>
        <w:ind w:left="3600" w:firstLine="720"/>
        <w:outlineLvl w:val="0"/>
        <w:rPr>
          <w:sz w:val="22"/>
          <w:szCs w:val="22"/>
        </w:rPr>
      </w:pPr>
    </w:p>
    <w:p w:rsidR="008F4BE3" w:rsidRPr="00C56D4A" w:rsidRDefault="00A00A1E" w:rsidP="008F4BE3">
      <w:pPr>
        <w:keepNext/>
        <w:keepLines/>
        <w:ind w:left="3600" w:firstLine="720"/>
        <w:outlineLvl w:val="0"/>
        <w:rPr>
          <w:sz w:val="22"/>
          <w:szCs w:val="22"/>
        </w:rPr>
      </w:pPr>
      <w:r>
        <w:rPr>
          <w:sz w:val="22"/>
          <w:szCs w:val="22"/>
        </w:rPr>
        <w:t>Ryan B. Palmer</w:t>
      </w:r>
      <w:r w:rsidR="008F4BE3" w:rsidRPr="00C56D4A">
        <w:rPr>
          <w:sz w:val="22"/>
          <w:szCs w:val="22"/>
        </w:rPr>
        <w:t xml:space="preserve"> </w:t>
      </w:r>
    </w:p>
    <w:p w:rsidR="008F4BE3" w:rsidRPr="00C56D4A" w:rsidRDefault="008F4BE3" w:rsidP="008F4BE3">
      <w:pPr>
        <w:keepNext/>
        <w:keepLines/>
        <w:ind w:left="3600" w:firstLine="720"/>
        <w:outlineLvl w:val="0"/>
        <w:rPr>
          <w:sz w:val="22"/>
          <w:szCs w:val="22"/>
        </w:rPr>
      </w:pPr>
      <w:r w:rsidRPr="00C56D4A">
        <w:rPr>
          <w:sz w:val="22"/>
          <w:szCs w:val="22"/>
        </w:rPr>
        <w:t>Chief</w:t>
      </w:r>
    </w:p>
    <w:p w:rsidR="008F4BE3" w:rsidRPr="00C56D4A" w:rsidRDefault="008F4BE3" w:rsidP="008F4BE3">
      <w:pPr>
        <w:keepNext/>
        <w:keepLines/>
        <w:ind w:left="4320"/>
        <w:outlineLvl w:val="0"/>
        <w:rPr>
          <w:sz w:val="22"/>
          <w:szCs w:val="22"/>
        </w:rPr>
      </w:pPr>
      <w:r w:rsidRPr="00C56D4A">
        <w:rPr>
          <w:sz w:val="22"/>
          <w:szCs w:val="22"/>
        </w:rPr>
        <w:t>Telecommunications Access Policy Division</w:t>
      </w:r>
    </w:p>
    <w:p w:rsidR="008F4BE3" w:rsidRPr="00C56D4A" w:rsidRDefault="008F4BE3" w:rsidP="008F4BE3">
      <w:pPr>
        <w:keepNext/>
        <w:keepLines/>
        <w:ind w:left="4320"/>
        <w:outlineLvl w:val="0"/>
        <w:rPr>
          <w:b/>
          <w:sz w:val="22"/>
          <w:szCs w:val="22"/>
        </w:rPr>
      </w:pPr>
      <w:r w:rsidRPr="00C56D4A">
        <w:rPr>
          <w:sz w:val="22"/>
          <w:szCs w:val="22"/>
        </w:rPr>
        <w:t>Wireline Competition Bureau</w:t>
      </w:r>
    </w:p>
    <w:p w:rsidR="0017609F" w:rsidRDefault="0017609F" w:rsidP="0017609F">
      <w:pPr>
        <w:widowControl w:val="0"/>
        <w:jc w:val="center"/>
        <w:outlineLvl w:val="0"/>
        <w:rPr>
          <w:b/>
          <w:sz w:val="22"/>
          <w:szCs w:val="22"/>
        </w:rPr>
      </w:pPr>
    </w:p>
    <w:p w:rsidR="0017609F" w:rsidRDefault="0017609F">
      <w:pPr>
        <w:spacing w:after="200" w:line="276" w:lineRule="auto"/>
        <w:rPr>
          <w:b/>
          <w:sz w:val="22"/>
          <w:szCs w:val="22"/>
        </w:rPr>
      </w:pPr>
      <w:r>
        <w:rPr>
          <w:b/>
          <w:sz w:val="22"/>
          <w:szCs w:val="22"/>
        </w:rPr>
        <w:br w:type="page"/>
      </w:r>
    </w:p>
    <w:p w:rsidR="0017609F" w:rsidRPr="0017609F" w:rsidRDefault="0017609F" w:rsidP="0017609F">
      <w:pPr>
        <w:widowControl w:val="0"/>
        <w:jc w:val="center"/>
        <w:outlineLvl w:val="0"/>
        <w:rPr>
          <w:b/>
          <w:sz w:val="22"/>
          <w:szCs w:val="22"/>
        </w:rPr>
      </w:pPr>
      <w:r w:rsidRPr="0017609F">
        <w:rPr>
          <w:b/>
          <w:sz w:val="22"/>
          <w:szCs w:val="22"/>
        </w:rPr>
        <w:t>APPENDIX A</w:t>
      </w:r>
    </w:p>
    <w:p w:rsidR="0017609F" w:rsidRPr="0017609F" w:rsidRDefault="0017609F" w:rsidP="0017609F">
      <w:pPr>
        <w:widowControl w:val="0"/>
        <w:jc w:val="center"/>
        <w:outlineLvl w:val="0"/>
        <w:rPr>
          <w:b/>
          <w:sz w:val="22"/>
          <w:szCs w:val="22"/>
        </w:rPr>
      </w:pPr>
    </w:p>
    <w:p w:rsidR="0017609F" w:rsidRPr="0017609F" w:rsidRDefault="0017609F" w:rsidP="0017609F">
      <w:pPr>
        <w:widowControl w:val="0"/>
        <w:jc w:val="center"/>
        <w:outlineLvl w:val="0"/>
        <w:rPr>
          <w:b/>
          <w:sz w:val="22"/>
          <w:szCs w:val="22"/>
        </w:rPr>
      </w:pPr>
      <w:r w:rsidRPr="0017609F">
        <w:rPr>
          <w:b/>
          <w:sz w:val="22"/>
          <w:szCs w:val="22"/>
        </w:rPr>
        <w:t>Requests for Review Granted</w:t>
      </w:r>
    </w:p>
    <w:p w:rsidR="0017609F" w:rsidRPr="0017609F" w:rsidRDefault="0017609F" w:rsidP="0017609F">
      <w:pPr>
        <w:keepNext/>
        <w:keepLines/>
        <w:widowControl w:val="0"/>
        <w:jc w:val="center"/>
        <w:outlineLvl w:val="0"/>
        <w:rPr>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890"/>
        <w:gridCol w:w="1260"/>
        <w:gridCol w:w="2070"/>
      </w:tblGrid>
      <w:tr w:rsidR="0017609F" w:rsidRPr="0017609F" w:rsidTr="0036708D">
        <w:trPr>
          <w:cantSplit/>
          <w:trHeight w:val="377"/>
          <w:tblHeader/>
        </w:trPr>
        <w:tc>
          <w:tcPr>
            <w:tcW w:w="4320" w:type="dxa"/>
          </w:tcPr>
          <w:p w:rsidR="0017609F" w:rsidRPr="0017609F" w:rsidRDefault="0017609F" w:rsidP="0036708D">
            <w:pPr>
              <w:keepNext/>
              <w:widowControl w:val="0"/>
              <w:jc w:val="center"/>
              <w:outlineLvl w:val="0"/>
              <w:rPr>
                <w:b/>
                <w:sz w:val="22"/>
                <w:szCs w:val="22"/>
              </w:rPr>
            </w:pPr>
            <w:r w:rsidRPr="0017609F">
              <w:rPr>
                <w:b/>
                <w:sz w:val="22"/>
                <w:szCs w:val="22"/>
              </w:rPr>
              <w:t>Petitioner</w:t>
            </w:r>
          </w:p>
        </w:tc>
        <w:tc>
          <w:tcPr>
            <w:tcW w:w="1890" w:type="dxa"/>
          </w:tcPr>
          <w:p w:rsidR="0017609F" w:rsidRPr="0017609F" w:rsidRDefault="0017609F" w:rsidP="0036708D">
            <w:pPr>
              <w:keepNext/>
              <w:widowControl w:val="0"/>
              <w:jc w:val="center"/>
              <w:outlineLvl w:val="0"/>
              <w:rPr>
                <w:b/>
                <w:sz w:val="22"/>
                <w:szCs w:val="22"/>
              </w:rPr>
            </w:pPr>
            <w:r w:rsidRPr="0017609F">
              <w:rPr>
                <w:b/>
                <w:sz w:val="22"/>
                <w:szCs w:val="22"/>
              </w:rPr>
              <w:t>Application</w:t>
            </w:r>
          </w:p>
          <w:p w:rsidR="0017609F" w:rsidRPr="0017609F" w:rsidRDefault="0017609F" w:rsidP="0036708D">
            <w:pPr>
              <w:keepNext/>
              <w:widowControl w:val="0"/>
              <w:jc w:val="center"/>
              <w:outlineLvl w:val="0"/>
              <w:rPr>
                <w:b/>
                <w:sz w:val="22"/>
                <w:szCs w:val="22"/>
              </w:rPr>
            </w:pPr>
            <w:r w:rsidRPr="0017609F">
              <w:rPr>
                <w:b/>
                <w:sz w:val="22"/>
                <w:szCs w:val="22"/>
              </w:rPr>
              <w:t>Number</w:t>
            </w:r>
          </w:p>
          <w:p w:rsidR="0017609F" w:rsidRPr="0017609F" w:rsidRDefault="0017609F" w:rsidP="0036708D">
            <w:pPr>
              <w:keepNext/>
              <w:widowControl w:val="0"/>
              <w:outlineLvl w:val="0"/>
              <w:rPr>
                <w:b/>
                <w:sz w:val="22"/>
                <w:szCs w:val="22"/>
              </w:rPr>
            </w:pPr>
          </w:p>
        </w:tc>
        <w:tc>
          <w:tcPr>
            <w:tcW w:w="1260" w:type="dxa"/>
          </w:tcPr>
          <w:p w:rsidR="0017609F" w:rsidRPr="0017609F" w:rsidRDefault="0017609F" w:rsidP="0036708D">
            <w:pPr>
              <w:keepNext/>
              <w:widowControl w:val="0"/>
              <w:jc w:val="center"/>
              <w:outlineLvl w:val="0"/>
              <w:rPr>
                <w:b/>
                <w:sz w:val="22"/>
                <w:szCs w:val="22"/>
              </w:rPr>
            </w:pPr>
            <w:r w:rsidRPr="0017609F">
              <w:rPr>
                <w:b/>
                <w:sz w:val="22"/>
                <w:szCs w:val="22"/>
              </w:rPr>
              <w:t>Funding</w:t>
            </w:r>
          </w:p>
          <w:p w:rsidR="0017609F" w:rsidRPr="0017609F" w:rsidRDefault="0017609F" w:rsidP="0036708D">
            <w:pPr>
              <w:keepNext/>
              <w:widowControl w:val="0"/>
              <w:jc w:val="center"/>
              <w:outlineLvl w:val="0"/>
              <w:rPr>
                <w:b/>
                <w:sz w:val="22"/>
                <w:szCs w:val="22"/>
              </w:rPr>
            </w:pPr>
            <w:r w:rsidRPr="0017609F">
              <w:rPr>
                <w:b/>
                <w:sz w:val="22"/>
                <w:szCs w:val="22"/>
              </w:rPr>
              <w:t>Year</w:t>
            </w:r>
          </w:p>
        </w:tc>
        <w:tc>
          <w:tcPr>
            <w:tcW w:w="2070" w:type="dxa"/>
          </w:tcPr>
          <w:p w:rsidR="0017609F" w:rsidRPr="0017609F" w:rsidRDefault="0017609F" w:rsidP="0017609F">
            <w:pPr>
              <w:keepNext/>
              <w:widowControl w:val="0"/>
              <w:jc w:val="center"/>
              <w:outlineLvl w:val="0"/>
              <w:rPr>
                <w:b/>
                <w:sz w:val="22"/>
                <w:szCs w:val="22"/>
              </w:rPr>
            </w:pPr>
            <w:r w:rsidRPr="0017609F">
              <w:rPr>
                <w:b/>
                <w:sz w:val="22"/>
                <w:szCs w:val="22"/>
              </w:rPr>
              <w:t xml:space="preserve">Date Request for Review Filed  </w:t>
            </w:r>
          </w:p>
        </w:tc>
      </w:tr>
      <w:tr w:rsidR="0017609F" w:rsidRPr="0017609F" w:rsidTr="001C6E97">
        <w:trPr>
          <w:cantSplit/>
        </w:trPr>
        <w:tc>
          <w:tcPr>
            <w:tcW w:w="4320" w:type="dxa"/>
          </w:tcPr>
          <w:p w:rsidR="0017609F" w:rsidRPr="0017609F" w:rsidRDefault="0017609F" w:rsidP="0036708D">
            <w:pPr>
              <w:outlineLvl w:val="0"/>
              <w:rPr>
                <w:sz w:val="22"/>
                <w:szCs w:val="22"/>
              </w:rPr>
            </w:pPr>
            <w:r w:rsidRPr="0017609F">
              <w:rPr>
                <w:sz w:val="22"/>
                <w:szCs w:val="22"/>
              </w:rPr>
              <w:t>Accelerated Charter</w:t>
            </w:r>
          </w:p>
          <w:p w:rsidR="0017609F" w:rsidRPr="0017609F" w:rsidRDefault="00995B0F" w:rsidP="00995B0F">
            <w:pPr>
              <w:outlineLvl w:val="0"/>
              <w:rPr>
                <w:sz w:val="22"/>
                <w:szCs w:val="22"/>
              </w:rPr>
            </w:pPr>
            <w:r w:rsidRPr="00C56D4A">
              <w:rPr>
                <w:sz w:val="22"/>
                <w:szCs w:val="22"/>
              </w:rPr>
              <w:t xml:space="preserve">Los Angeles, </w:t>
            </w:r>
            <w:r>
              <w:rPr>
                <w:sz w:val="22"/>
                <w:szCs w:val="22"/>
              </w:rPr>
              <w:t>CA</w:t>
            </w:r>
          </w:p>
        </w:tc>
        <w:tc>
          <w:tcPr>
            <w:tcW w:w="1890" w:type="dxa"/>
          </w:tcPr>
          <w:p w:rsidR="0017609F" w:rsidRPr="0017609F" w:rsidRDefault="0017609F" w:rsidP="0036708D">
            <w:pPr>
              <w:jc w:val="center"/>
              <w:outlineLvl w:val="0"/>
              <w:rPr>
                <w:sz w:val="22"/>
                <w:szCs w:val="22"/>
              </w:rPr>
            </w:pPr>
            <w:r w:rsidRPr="0017609F">
              <w:rPr>
                <w:sz w:val="22"/>
                <w:szCs w:val="22"/>
              </w:rPr>
              <w:t>865371</w:t>
            </w:r>
          </w:p>
        </w:tc>
        <w:tc>
          <w:tcPr>
            <w:tcW w:w="1260" w:type="dxa"/>
          </w:tcPr>
          <w:p w:rsidR="0017609F" w:rsidRPr="0017609F" w:rsidRDefault="0017609F" w:rsidP="0036708D">
            <w:pPr>
              <w:jc w:val="center"/>
              <w:outlineLvl w:val="0"/>
              <w:rPr>
                <w:sz w:val="22"/>
                <w:szCs w:val="22"/>
              </w:rPr>
            </w:pPr>
            <w:r w:rsidRPr="0017609F">
              <w:rPr>
                <w:sz w:val="22"/>
                <w:szCs w:val="22"/>
              </w:rPr>
              <w:t>2012</w:t>
            </w:r>
          </w:p>
        </w:tc>
        <w:tc>
          <w:tcPr>
            <w:tcW w:w="2070" w:type="dxa"/>
          </w:tcPr>
          <w:p w:rsidR="0017609F" w:rsidRPr="0017609F" w:rsidRDefault="0017609F" w:rsidP="003E18A8">
            <w:pPr>
              <w:jc w:val="center"/>
              <w:outlineLvl w:val="0"/>
              <w:rPr>
                <w:sz w:val="22"/>
                <w:szCs w:val="22"/>
              </w:rPr>
            </w:pPr>
            <w:r w:rsidRPr="0017609F">
              <w:rPr>
                <w:sz w:val="22"/>
                <w:szCs w:val="22"/>
              </w:rPr>
              <w:t>Jun</w:t>
            </w:r>
            <w:r w:rsidR="003E18A8">
              <w:rPr>
                <w:sz w:val="22"/>
                <w:szCs w:val="22"/>
              </w:rPr>
              <w:t>e</w:t>
            </w:r>
            <w:r w:rsidRPr="0017609F">
              <w:rPr>
                <w:sz w:val="22"/>
                <w:szCs w:val="22"/>
              </w:rPr>
              <w:t xml:space="preserve"> 25, 2014</w:t>
            </w:r>
          </w:p>
        </w:tc>
      </w:tr>
      <w:tr w:rsidR="0017609F" w:rsidRPr="0017609F" w:rsidTr="004C634D">
        <w:trPr>
          <w:cantSplit/>
        </w:trPr>
        <w:tc>
          <w:tcPr>
            <w:tcW w:w="4320" w:type="dxa"/>
          </w:tcPr>
          <w:p w:rsidR="0017609F" w:rsidRPr="0017609F" w:rsidRDefault="0017609F" w:rsidP="0036708D">
            <w:pPr>
              <w:outlineLvl w:val="0"/>
              <w:rPr>
                <w:sz w:val="22"/>
                <w:szCs w:val="22"/>
              </w:rPr>
            </w:pPr>
            <w:r w:rsidRPr="0017609F">
              <w:rPr>
                <w:sz w:val="22"/>
                <w:szCs w:val="22"/>
              </w:rPr>
              <w:t>AMIkids Acadiana</w:t>
            </w:r>
          </w:p>
          <w:p w:rsidR="0017609F" w:rsidRPr="0017609F" w:rsidRDefault="0017609F" w:rsidP="0036708D">
            <w:pPr>
              <w:outlineLvl w:val="0"/>
              <w:rPr>
                <w:sz w:val="22"/>
                <w:szCs w:val="22"/>
              </w:rPr>
            </w:pPr>
            <w:r w:rsidRPr="0017609F">
              <w:rPr>
                <w:sz w:val="22"/>
                <w:szCs w:val="22"/>
              </w:rPr>
              <w:t>Tampa, FL</w:t>
            </w:r>
          </w:p>
        </w:tc>
        <w:tc>
          <w:tcPr>
            <w:tcW w:w="1890" w:type="dxa"/>
          </w:tcPr>
          <w:p w:rsidR="0017609F" w:rsidRPr="0017609F" w:rsidRDefault="0017609F" w:rsidP="0036708D">
            <w:pPr>
              <w:jc w:val="center"/>
              <w:outlineLvl w:val="0"/>
              <w:rPr>
                <w:sz w:val="22"/>
                <w:szCs w:val="22"/>
              </w:rPr>
            </w:pPr>
            <w:r w:rsidRPr="0017609F">
              <w:rPr>
                <w:sz w:val="22"/>
                <w:szCs w:val="22"/>
              </w:rPr>
              <w:t>866041</w:t>
            </w:r>
          </w:p>
        </w:tc>
        <w:tc>
          <w:tcPr>
            <w:tcW w:w="1260" w:type="dxa"/>
          </w:tcPr>
          <w:p w:rsidR="0017609F" w:rsidRPr="0017609F" w:rsidRDefault="0017609F" w:rsidP="0036708D">
            <w:pPr>
              <w:jc w:val="center"/>
              <w:outlineLvl w:val="0"/>
              <w:rPr>
                <w:sz w:val="22"/>
                <w:szCs w:val="22"/>
              </w:rPr>
            </w:pPr>
            <w:r w:rsidRPr="0017609F">
              <w:rPr>
                <w:sz w:val="22"/>
                <w:szCs w:val="22"/>
              </w:rPr>
              <w:t>2012</w:t>
            </w:r>
          </w:p>
        </w:tc>
        <w:tc>
          <w:tcPr>
            <w:tcW w:w="2070" w:type="dxa"/>
          </w:tcPr>
          <w:p w:rsidR="0017609F" w:rsidRPr="0017609F" w:rsidRDefault="0017609F" w:rsidP="0036708D">
            <w:pPr>
              <w:jc w:val="center"/>
              <w:outlineLvl w:val="0"/>
              <w:rPr>
                <w:sz w:val="22"/>
                <w:szCs w:val="22"/>
              </w:rPr>
            </w:pPr>
            <w:r w:rsidRPr="0017609F">
              <w:rPr>
                <w:sz w:val="22"/>
                <w:szCs w:val="22"/>
              </w:rPr>
              <w:t>July 18, 2014</w:t>
            </w:r>
          </w:p>
        </w:tc>
      </w:tr>
    </w:tbl>
    <w:p w:rsidR="0017609F" w:rsidRPr="0017609F" w:rsidRDefault="0017609F" w:rsidP="0017609F">
      <w:pPr>
        <w:widowControl w:val="0"/>
        <w:jc w:val="center"/>
        <w:outlineLvl w:val="0"/>
        <w:rPr>
          <w:b/>
          <w:sz w:val="22"/>
          <w:szCs w:val="22"/>
        </w:rPr>
      </w:pPr>
    </w:p>
    <w:p w:rsidR="0017609F" w:rsidRPr="0017609F" w:rsidRDefault="0017609F" w:rsidP="0017609F">
      <w:pPr>
        <w:widowControl w:val="0"/>
        <w:jc w:val="center"/>
        <w:outlineLvl w:val="0"/>
        <w:rPr>
          <w:b/>
          <w:sz w:val="22"/>
          <w:szCs w:val="22"/>
        </w:rPr>
      </w:pPr>
      <w:r w:rsidRPr="0017609F">
        <w:rPr>
          <w:b/>
          <w:sz w:val="22"/>
          <w:szCs w:val="22"/>
        </w:rPr>
        <w:t>APPENDIX B</w:t>
      </w:r>
    </w:p>
    <w:p w:rsidR="0017609F" w:rsidRPr="0017609F" w:rsidRDefault="0017609F" w:rsidP="0017609F">
      <w:pPr>
        <w:widowControl w:val="0"/>
        <w:jc w:val="center"/>
        <w:outlineLvl w:val="0"/>
        <w:rPr>
          <w:b/>
          <w:sz w:val="22"/>
          <w:szCs w:val="22"/>
        </w:rPr>
      </w:pPr>
    </w:p>
    <w:p w:rsidR="0017609F" w:rsidRPr="0017609F" w:rsidRDefault="0017609F" w:rsidP="0017609F">
      <w:pPr>
        <w:widowControl w:val="0"/>
        <w:jc w:val="center"/>
        <w:outlineLvl w:val="0"/>
        <w:rPr>
          <w:b/>
          <w:sz w:val="22"/>
          <w:szCs w:val="22"/>
        </w:rPr>
      </w:pPr>
      <w:r w:rsidRPr="0017609F">
        <w:rPr>
          <w:b/>
          <w:sz w:val="22"/>
          <w:szCs w:val="22"/>
        </w:rPr>
        <w:t>Request</w:t>
      </w:r>
      <w:r w:rsidR="001C6E97">
        <w:rPr>
          <w:b/>
          <w:sz w:val="22"/>
          <w:szCs w:val="22"/>
        </w:rPr>
        <w:t>s</w:t>
      </w:r>
      <w:r w:rsidRPr="0017609F">
        <w:rPr>
          <w:b/>
          <w:sz w:val="22"/>
          <w:szCs w:val="22"/>
        </w:rPr>
        <w:t xml:space="preserve"> for </w:t>
      </w:r>
      <w:r w:rsidR="003E18A8">
        <w:rPr>
          <w:b/>
          <w:sz w:val="22"/>
          <w:szCs w:val="22"/>
        </w:rPr>
        <w:t>Review/</w:t>
      </w:r>
      <w:r w:rsidRPr="0017609F">
        <w:rPr>
          <w:b/>
          <w:sz w:val="22"/>
          <w:szCs w:val="22"/>
        </w:rPr>
        <w:t>Waiver Denied</w:t>
      </w:r>
    </w:p>
    <w:p w:rsidR="0017609F" w:rsidRPr="0017609F" w:rsidRDefault="0017609F" w:rsidP="0017609F">
      <w:pPr>
        <w:widowControl w:val="0"/>
        <w:jc w:val="center"/>
        <w:outlineLvl w:val="0"/>
        <w:rPr>
          <w:b/>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1890"/>
        <w:gridCol w:w="1260"/>
        <w:gridCol w:w="2070"/>
      </w:tblGrid>
      <w:tr w:rsidR="0017609F" w:rsidRPr="0017609F" w:rsidTr="0036708D">
        <w:trPr>
          <w:cantSplit/>
          <w:trHeight w:val="377"/>
          <w:tblHeader/>
        </w:trPr>
        <w:tc>
          <w:tcPr>
            <w:tcW w:w="4320" w:type="dxa"/>
          </w:tcPr>
          <w:p w:rsidR="0017609F" w:rsidRPr="0017609F" w:rsidRDefault="0017609F" w:rsidP="0036708D">
            <w:pPr>
              <w:keepNext/>
              <w:widowControl w:val="0"/>
              <w:jc w:val="center"/>
              <w:outlineLvl w:val="0"/>
              <w:rPr>
                <w:b/>
                <w:sz w:val="22"/>
                <w:szCs w:val="22"/>
              </w:rPr>
            </w:pPr>
            <w:r w:rsidRPr="0017609F">
              <w:rPr>
                <w:b/>
                <w:sz w:val="22"/>
                <w:szCs w:val="22"/>
              </w:rPr>
              <w:t>Petitioner</w:t>
            </w:r>
          </w:p>
        </w:tc>
        <w:tc>
          <w:tcPr>
            <w:tcW w:w="1890" w:type="dxa"/>
          </w:tcPr>
          <w:p w:rsidR="0017609F" w:rsidRPr="0017609F" w:rsidRDefault="0017609F" w:rsidP="0036708D">
            <w:pPr>
              <w:keepNext/>
              <w:widowControl w:val="0"/>
              <w:jc w:val="center"/>
              <w:outlineLvl w:val="0"/>
              <w:rPr>
                <w:b/>
                <w:sz w:val="22"/>
                <w:szCs w:val="22"/>
              </w:rPr>
            </w:pPr>
            <w:r w:rsidRPr="0017609F">
              <w:rPr>
                <w:b/>
                <w:sz w:val="22"/>
                <w:szCs w:val="22"/>
              </w:rPr>
              <w:t>Application</w:t>
            </w:r>
          </w:p>
          <w:p w:rsidR="0017609F" w:rsidRPr="0017609F" w:rsidRDefault="0017609F" w:rsidP="0036708D">
            <w:pPr>
              <w:keepNext/>
              <w:widowControl w:val="0"/>
              <w:jc w:val="center"/>
              <w:outlineLvl w:val="0"/>
              <w:rPr>
                <w:b/>
                <w:sz w:val="22"/>
                <w:szCs w:val="22"/>
              </w:rPr>
            </w:pPr>
            <w:r w:rsidRPr="0017609F">
              <w:rPr>
                <w:b/>
                <w:sz w:val="22"/>
                <w:szCs w:val="22"/>
              </w:rPr>
              <w:t>Number</w:t>
            </w:r>
          </w:p>
          <w:p w:rsidR="0017609F" w:rsidRPr="0017609F" w:rsidRDefault="0017609F" w:rsidP="0036708D">
            <w:pPr>
              <w:keepNext/>
              <w:widowControl w:val="0"/>
              <w:outlineLvl w:val="0"/>
              <w:rPr>
                <w:b/>
                <w:sz w:val="22"/>
                <w:szCs w:val="22"/>
              </w:rPr>
            </w:pPr>
          </w:p>
        </w:tc>
        <w:tc>
          <w:tcPr>
            <w:tcW w:w="1260" w:type="dxa"/>
          </w:tcPr>
          <w:p w:rsidR="0017609F" w:rsidRPr="0017609F" w:rsidRDefault="0017609F" w:rsidP="0036708D">
            <w:pPr>
              <w:keepNext/>
              <w:widowControl w:val="0"/>
              <w:jc w:val="center"/>
              <w:outlineLvl w:val="0"/>
              <w:rPr>
                <w:b/>
                <w:sz w:val="22"/>
                <w:szCs w:val="22"/>
              </w:rPr>
            </w:pPr>
            <w:r w:rsidRPr="0017609F">
              <w:rPr>
                <w:b/>
                <w:sz w:val="22"/>
                <w:szCs w:val="22"/>
              </w:rPr>
              <w:t>Funding</w:t>
            </w:r>
          </w:p>
          <w:p w:rsidR="0017609F" w:rsidRPr="0017609F" w:rsidRDefault="0017609F" w:rsidP="0036708D">
            <w:pPr>
              <w:keepNext/>
              <w:widowControl w:val="0"/>
              <w:jc w:val="center"/>
              <w:outlineLvl w:val="0"/>
              <w:rPr>
                <w:b/>
                <w:sz w:val="22"/>
                <w:szCs w:val="22"/>
              </w:rPr>
            </w:pPr>
            <w:r w:rsidRPr="0017609F">
              <w:rPr>
                <w:b/>
                <w:sz w:val="22"/>
                <w:szCs w:val="22"/>
              </w:rPr>
              <w:t>Year</w:t>
            </w:r>
          </w:p>
        </w:tc>
        <w:tc>
          <w:tcPr>
            <w:tcW w:w="2070" w:type="dxa"/>
          </w:tcPr>
          <w:p w:rsidR="0017609F" w:rsidRPr="0017609F" w:rsidRDefault="0017609F" w:rsidP="001C6E97">
            <w:pPr>
              <w:keepNext/>
              <w:widowControl w:val="0"/>
              <w:jc w:val="center"/>
              <w:outlineLvl w:val="0"/>
              <w:rPr>
                <w:b/>
                <w:sz w:val="22"/>
                <w:szCs w:val="22"/>
              </w:rPr>
            </w:pPr>
            <w:r w:rsidRPr="0017609F">
              <w:rPr>
                <w:b/>
                <w:sz w:val="22"/>
                <w:szCs w:val="22"/>
              </w:rPr>
              <w:t xml:space="preserve">Date Request for </w:t>
            </w:r>
            <w:r w:rsidR="001C6E97">
              <w:rPr>
                <w:b/>
                <w:sz w:val="22"/>
                <w:szCs w:val="22"/>
              </w:rPr>
              <w:t>Waiver</w:t>
            </w:r>
            <w:r w:rsidRPr="0017609F">
              <w:rPr>
                <w:b/>
                <w:sz w:val="22"/>
                <w:szCs w:val="22"/>
              </w:rPr>
              <w:t xml:space="preserve"> Filed  </w:t>
            </w:r>
          </w:p>
        </w:tc>
      </w:tr>
      <w:tr w:rsidR="0017609F" w:rsidRPr="0017609F" w:rsidTr="00693107">
        <w:trPr>
          <w:cantSplit/>
        </w:trPr>
        <w:tc>
          <w:tcPr>
            <w:tcW w:w="4320" w:type="dxa"/>
          </w:tcPr>
          <w:p w:rsidR="0017609F" w:rsidRPr="0017609F" w:rsidRDefault="0017609F" w:rsidP="0036708D">
            <w:pPr>
              <w:outlineLvl w:val="0"/>
              <w:rPr>
                <w:sz w:val="22"/>
                <w:szCs w:val="22"/>
              </w:rPr>
            </w:pPr>
            <w:r w:rsidRPr="0017609F">
              <w:rPr>
                <w:sz w:val="22"/>
                <w:szCs w:val="22"/>
              </w:rPr>
              <w:t>Eaton County Intermediate SD</w:t>
            </w:r>
          </w:p>
          <w:p w:rsidR="0017609F" w:rsidRPr="0017609F" w:rsidRDefault="0017609F" w:rsidP="0036708D">
            <w:pPr>
              <w:outlineLvl w:val="0"/>
              <w:rPr>
                <w:sz w:val="22"/>
                <w:szCs w:val="22"/>
              </w:rPr>
            </w:pPr>
            <w:r w:rsidRPr="0017609F">
              <w:rPr>
                <w:sz w:val="22"/>
                <w:szCs w:val="22"/>
              </w:rPr>
              <w:t>Charlotte, MI</w:t>
            </w:r>
          </w:p>
        </w:tc>
        <w:tc>
          <w:tcPr>
            <w:tcW w:w="1890" w:type="dxa"/>
          </w:tcPr>
          <w:p w:rsidR="0017609F" w:rsidRPr="0017609F" w:rsidRDefault="0017609F" w:rsidP="0036708D">
            <w:pPr>
              <w:jc w:val="center"/>
              <w:outlineLvl w:val="0"/>
              <w:rPr>
                <w:sz w:val="22"/>
                <w:szCs w:val="22"/>
              </w:rPr>
            </w:pPr>
            <w:r w:rsidRPr="0017609F">
              <w:rPr>
                <w:sz w:val="22"/>
                <w:szCs w:val="22"/>
              </w:rPr>
              <w:t>767357</w:t>
            </w:r>
          </w:p>
        </w:tc>
        <w:tc>
          <w:tcPr>
            <w:tcW w:w="1260" w:type="dxa"/>
          </w:tcPr>
          <w:p w:rsidR="0017609F" w:rsidRPr="0017609F" w:rsidRDefault="0017609F" w:rsidP="0036708D">
            <w:pPr>
              <w:jc w:val="center"/>
              <w:outlineLvl w:val="0"/>
              <w:rPr>
                <w:sz w:val="22"/>
                <w:szCs w:val="22"/>
              </w:rPr>
            </w:pPr>
            <w:r w:rsidRPr="0017609F">
              <w:rPr>
                <w:sz w:val="22"/>
                <w:szCs w:val="22"/>
              </w:rPr>
              <w:t>2010</w:t>
            </w:r>
          </w:p>
        </w:tc>
        <w:tc>
          <w:tcPr>
            <w:tcW w:w="2070" w:type="dxa"/>
          </w:tcPr>
          <w:p w:rsidR="0017609F" w:rsidRPr="0017609F" w:rsidRDefault="0017609F" w:rsidP="0036708D">
            <w:pPr>
              <w:jc w:val="center"/>
              <w:outlineLvl w:val="0"/>
              <w:rPr>
                <w:sz w:val="22"/>
                <w:szCs w:val="22"/>
              </w:rPr>
            </w:pPr>
            <w:r w:rsidRPr="0017609F">
              <w:rPr>
                <w:sz w:val="22"/>
                <w:szCs w:val="22"/>
              </w:rPr>
              <w:t>July 21, 2014</w:t>
            </w:r>
          </w:p>
        </w:tc>
      </w:tr>
      <w:tr w:rsidR="003E18A8" w:rsidRPr="0017609F" w:rsidTr="00693107">
        <w:trPr>
          <w:cantSplit/>
        </w:trPr>
        <w:tc>
          <w:tcPr>
            <w:tcW w:w="4320" w:type="dxa"/>
          </w:tcPr>
          <w:p w:rsidR="003E18A8" w:rsidRPr="00B02E48" w:rsidRDefault="003E18A8" w:rsidP="009A3370">
            <w:pPr>
              <w:outlineLvl w:val="0"/>
              <w:rPr>
                <w:sz w:val="22"/>
                <w:szCs w:val="22"/>
              </w:rPr>
            </w:pPr>
            <w:r w:rsidRPr="00B02E48">
              <w:rPr>
                <w:sz w:val="22"/>
                <w:szCs w:val="22"/>
              </w:rPr>
              <w:t>Edgecombe County Schools</w:t>
            </w:r>
          </w:p>
          <w:p w:rsidR="003E18A8" w:rsidRDefault="003E18A8" w:rsidP="009A3370">
            <w:pPr>
              <w:outlineLvl w:val="0"/>
            </w:pPr>
            <w:r w:rsidRPr="00B02E48">
              <w:rPr>
                <w:sz w:val="22"/>
                <w:szCs w:val="22"/>
              </w:rPr>
              <w:t>Tarboro, NC</w:t>
            </w:r>
          </w:p>
        </w:tc>
        <w:tc>
          <w:tcPr>
            <w:tcW w:w="1890" w:type="dxa"/>
          </w:tcPr>
          <w:p w:rsidR="003E18A8" w:rsidRPr="004435A1" w:rsidRDefault="003E18A8" w:rsidP="009A3370">
            <w:pPr>
              <w:jc w:val="center"/>
              <w:outlineLvl w:val="0"/>
              <w:rPr>
                <w:sz w:val="22"/>
                <w:szCs w:val="22"/>
              </w:rPr>
            </w:pPr>
            <w:r w:rsidRPr="004435A1">
              <w:rPr>
                <w:sz w:val="22"/>
                <w:szCs w:val="22"/>
              </w:rPr>
              <w:t>807540</w:t>
            </w:r>
          </w:p>
        </w:tc>
        <w:tc>
          <w:tcPr>
            <w:tcW w:w="1260" w:type="dxa"/>
          </w:tcPr>
          <w:p w:rsidR="003E18A8" w:rsidRPr="004435A1" w:rsidRDefault="003E18A8" w:rsidP="0036708D">
            <w:pPr>
              <w:jc w:val="center"/>
              <w:outlineLvl w:val="0"/>
              <w:rPr>
                <w:sz w:val="22"/>
                <w:szCs w:val="22"/>
              </w:rPr>
            </w:pPr>
            <w:r w:rsidRPr="004435A1">
              <w:rPr>
                <w:sz w:val="22"/>
                <w:szCs w:val="22"/>
              </w:rPr>
              <w:t>2011</w:t>
            </w:r>
          </w:p>
        </w:tc>
        <w:tc>
          <w:tcPr>
            <w:tcW w:w="2070" w:type="dxa"/>
          </w:tcPr>
          <w:p w:rsidR="003E18A8" w:rsidRPr="004435A1" w:rsidRDefault="003E18A8" w:rsidP="0036708D">
            <w:pPr>
              <w:jc w:val="center"/>
              <w:outlineLvl w:val="0"/>
              <w:rPr>
                <w:sz w:val="22"/>
                <w:szCs w:val="22"/>
              </w:rPr>
            </w:pPr>
            <w:r w:rsidRPr="004435A1">
              <w:rPr>
                <w:sz w:val="22"/>
                <w:szCs w:val="22"/>
              </w:rPr>
              <w:t>June 27, 2014</w:t>
            </w:r>
          </w:p>
        </w:tc>
      </w:tr>
      <w:tr w:rsidR="003E18A8" w:rsidRPr="0017609F" w:rsidTr="0036708D">
        <w:trPr>
          <w:cantSplit/>
        </w:trPr>
        <w:tc>
          <w:tcPr>
            <w:tcW w:w="4320" w:type="dxa"/>
          </w:tcPr>
          <w:p w:rsidR="003E18A8" w:rsidRPr="0017609F" w:rsidRDefault="003E18A8" w:rsidP="0036708D">
            <w:pPr>
              <w:outlineLvl w:val="0"/>
              <w:rPr>
                <w:sz w:val="22"/>
                <w:szCs w:val="22"/>
              </w:rPr>
            </w:pPr>
            <w:r w:rsidRPr="0017609F">
              <w:rPr>
                <w:sz w:val="22"/>
                <w:szCs w:val="22"/>
              </w:rPr>
              <w:t>Many Farms School</w:t>
            </w:r>
          </w:p>
          <w:p w:rsidR="003E18A8" w:rsidRPr="0017609F" w:rsidRDefault="003E18A8" w:rsidP="0036708D">
            <w:pPr>
              <w:outlineLvl w:val="0"/>
              <w:rPr>
                <w:sz w:val="22"/>
                <w:szCs w:val="22"/>
              </w:rPr>
            </w:pPr>
            <w:r w:rsidRPr="0017609F">
              <w:rPr>
                <w:sz w:val="22"/>
                <w:szCs w:val="22"/>
              </w:rPr>
              <w:t>Many Farms, AZ</w:t>
            </w:r>
          </w:p>
        </w:tc>
        <w:tc>
          <w:tcPr>
            <w:tcW w:w="1890" w:type="dxa"/>
          </w:tcPr>
          <w:p w:rsidR="003E18A8" w:rsidRPr="0017609F" w:rsidRDefault="003E18A8" w:rsidP="0036708D">
            <w:pPr>
              <w:jc w:val="center"/>
              <w:outlineLvl w:val="0"/>
              <w:rPr>
                <w:sz w:val="22"/>
                <w:szCs w:val="22"/>
              </w:rPr>
            </w:pPr>
            <w:r w:rsidRPr="0017609F">
              <w:rPr>
                <w:sz w:val="22"/>
                <w:szCs w:val="22"/>
              </w:rPr>
              <w:t>820074</w:t>
            </w:r>
          </w:p>
        </w:tc>
        <w:tc>
          <w:tcPr>
            <w:tcW w:w="1260" w:type="dxa"/>
          </w:tcPr>
          <w:p w:rsidR="003E18A8" w:rsidRPr="0017609F" w:rsidRDefault="003E18A8" w:rsidP="0036708D">
            <w:pPr>
              <w:jc w:val="center"/>
              <w:outlineLvl w:val="0"/>
              <w:rPr>
                <w:sz w:val="22"/>
                <w:szCs w:val="22"/>
              </w:rPr>
            </w:pPr>
            <w:r w:rsidRPr="0017609F">
              <w:rPr>
                <w:sz w:val="22"/>
                <w:szCs w:val="22"/>
              </w:rPr>
              <w:t>2011</w:t>
            </w:r>
          </w:p>
        </w:tc>
        <w:tc>
          <w:tcPr>
            <w:tcW w:w="2070" w:type="dxa"/>
          </w:tcPr>
          <w:p w:rsidR="003E18A8" w:rsidRPr="0017609F" w:rsidRDefault="003E18A8" w:rsidP="0036708D">
            <w:pPr>
              <w:jc w:val="center"/>
              <w:outlineLvl w:val="0"/>
              <w:rPr>
                <w:sz w:val="22"/>
                <w:szCs w:val="22"/>
              </w:rPr>
            </w:pPr>
            <w:r w:rsidRPr="0017609F">
              <w:rPr>
                <w:sz w:val="22"/>
                <w:szCs w:val="22"/>
              </w:rPr>
              <w:t>June 26, 2014</w:t>
            </w:r>
          </w:p>
        </w:tc>
      </w:tr>
    </w:tbl>
    <w:p w:rsidR="00611197" w:rsidRPr="0017609F" w:rsidRDefault="00611197" w:rsidP="008F4BE3">
      <w:pPr>
        <w:keepNext/>
        <w:keepLines/>
        <w:outlineLvl w:val="0"/>
        <w:rPr>
          <w:b/>
          <w:sz w:val="22"/>
          <w:szCs w:val="22"/>
        </w:rPr>
      </w:pPr>
    </w:p>
    <w:sectPr w:rsidR="00611197" w:rsidRPr="0017609F">
      <w:headerReference w:type="even" r:id="rId8"/>
      <w:headerReference w:type="default" r:id="rId9"/>
      <w:footerReference w:type="even" r:id="rId10"/>
      <w:footerReference w:type="default" r:id="rId11"/>
      <w:headerReference w:type="first" r:id="rId12"/>
      <w:footerReference w:type="first" r:id="rId13"/>
      <w:pgSz w:w="12240" w:h="15840"/>
      <w:pgMar w:top="1080" w:right="1440" w:bottom="108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0D" w:rsidRDefault="0069460D" w:rsidP="008F4BE3">
      <w:r>
        <w:separator/>
      </w:r>
    </w:p>
  </w:endnote>
  <w:endnote w:type="continuationSeparator" w:id="0">
    <w:p w:rsidR="0069460D" w:rsidRDefault="0069460D" w:rsidP="008F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97" w:rsidRDefault="006111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197" w:rsidRDefault="00611197">
    <w:pPr>
      <w:pStyle w:val="Footer"/>
    </w:pPr>
  </w:p>
  <w:p w:rsidR="00611197" w:rsidRDefault="0061119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97" w:rsidRDefault="00611197">
    <w:pPr>
      <w:pStyle w:val="Footer"/>
      <w:framePr w:wrap="around" w:vAnchor="text" w:hAnchor="margin" w:xAlign="center" w:y="1"/>
      <w:rPr>
        <w:rStyle w:val="PageNumber"/>
        <w:sz w:val="22"/>
        <w:szCs w:val="22"/>
      </w:rPr>
    </w:pPr>
    <w:r>
      <w:rPr>
        <w:rStyle w:val="PageNumber"/>
        <w:sz w:val="22"/>
        <w:szCs w:val="22"/>
      </w:rPr>
      <w:fldChar w:fldCharType="begin"/>
    </w:r>
    <w:r>
      <w:rPr>
        <w:rStyle w:val="PageNumber"/>
        <w:sz w:val="22"/>
        <w:szCs w:val="22"/>
      </w:rPr>
      <w:instrText xml:space="preserve">PAGE  </w:instrText>
    </w:r>
    <w:r>
      <w:rPr>
        <w:rStyle w:val="PageNumber"/>
        <w:sz w:val="22"/>
        <w:szCs w:val="22"/>
      </w:rPr>
      <w:fldChar w:fldCharType="separate"/>
    </w:r>
    <w:r w:rsidR="006A49A9">
      <w:rPr>
        <w:rStyle w:val="PageNumber"/>
        <w:noProof/>
        <w:sz w:val="22"/>
        <w:szCs w:val="22"/>
      </w:rPr>
      <w:t>4</w:t>
    </w:r>
    <w:r>
      <w:rPr>
        <w:rStyle w:val="PageNumber"/>
        <w:sz w:val="22"/>
        <w:szCs w:val="22"/>
      </w:rPr>
      <w:fldChar w:fldCharType="end"/>
    </w:r>
  </w:p>
  <w:p w:rsidR="00611197" w:rsidRDefault="00611197" w:rsidP="00F247D6">
    <w:pPr>
      <w:pStyle w:val="Footer"/>
      <w:tabs>
        <w:tab w:val="clear" w:pos="4320"/>
        <w:tab w:val="clear" w:pos="8640"/>
      </w:tabs>
    </w:pPr>
    <w:r>
      <w:tab/>
    </w:r>
    <w:r>
      <w:tab/>
    </w:r>
    <w:r>
      <w:tab/>
    </w: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A9" w:rsidRDefault="006A4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0D" w:rsidRDefault="0069460D" w:rsidP="008F4BE3">
      <w:r>
        <w:separator/>
      </w:r>
    </w:p>
  </w:footnote>
  <w:footnote w:type="continuationSeparator" w:id="0">
    <w:p w:rsidR="0069460D" w:rsidRPr="006909F6" w:rsidRDefault="0069460D" w:rsidP="006909F6">
      <w:pPr>
        <w:rPr>
          <w:sz w:val="20"/>
        </w:rPr>
      </w:pPr>
      <w:r>
        <w:rPr>
          <w:sz w:val="20"/>
        </w:rPr>
        <w:t xml:space="preserve">(Continued from previous page)  </w:t>
      </w:r>
      <w:r>
        <w:rPr>
          <w:sz w:val="20"/>
        </w:rPr>
        <w:separator/>
      </w:r>
    </w:p>
  </w:footnote>
  <w:footnote w:type="continuationNotice" w:id="1">
    <w:p w:rsidR="0069460D" w:rsidRPr="006909F6" w:rsidRDefault="0069460D" w:rsidP="006909F6">
      <w:pPr>
        <w:jc w:val="right"/>
        <w:rPr>
          <w:sz w:val="20"/>
        </w:rPr>
      </w:pPr>
      <w:r w:rsidRPr="00854CD1">
        <w:rPr>
          <w:sz w:val="20"/>
        </w:rPr>
        <w:t>(continued…)</w:t>
      </w:r>
    </w:p>
  </w:footnote>
  <w:footnote w:id="2">
    <w:p w:rsidR="00611197" w:rsidRDefault="00611197" w:rsidP="006909F6">
      <w:pPr>
        <w:pStyle w:val="FootnoteText"/>
        <w:spacing w:after="120"/>
      </w:pPr>
      <w:r>
        <w:rPr>
          <w:rStyle w:val="FootnoteReference"/>
        </w:rPr>
        <w:footnoteRef/>
      </w:r>
      <w:r>
        <w:t xml:space="preserve"> </w:t>
      </w:r>
      <w:r w:rsidR="00A02D9D" w:rsidRPr="00A02D9D">
        <w:rPr>
          <w:i/>
        </w:rPr>
        <w:t>Request for Waiver of the Funding Year Deadline for the Implementation of the Non-Recurring Services by Cleveland Municipal School District</w:t>
      </w:r>
      <w:r w:rsidR="00A02D9D">
        <w:rPr>
          <w:i/>
        </w:rPr>
        <w:t>;</w:t>
      </w:r>
      <w:r w:rsidR="00A02D9D">
        <w:t xml:space="preserve"> </w:t>
      </w:r>
      <w:r w:rsidR="00A02D9D">
        <w:rPr>
          <w:i/>
        </w:rPr>
        <w:t>Federal-State Joint Board on Universal Service</w:t>
      </w:r>
      <w:r w:rsidR="00A02D9D">
        <w:t xml:space="preserve">, CC Docket 96-45, Order, </w:t>
      </w:r>
      <w:r w:rsidR="00A02D9D" w:rsidRPr="00A02D9D">
        <w:t>17 FCC Rcd 3176</w:t>
      </w:r>
      <w:r w:rsidR="00A02D9D">
        <w:t xml:space="preserve"> (Com. Car. Bur. 2002) (denying an </w:t>
      </w:r>
      <w:r w:rsidR="00A02D9D">
        <w:rPr>
          <w:rStyle w:val="StyleNumberedparagraphs11ptChar"/>
          <w:sz w:val="20"/>
        </w:rPr>
        <w:t>extension</w:t>
      </w:r>
      <w:r w:rsidR="00A02D9D" w:rsidRPr="008F4BE3">
        <w:rPr>
          <w:rStyle w:val="StyleNumberedparagraphs11ptChar"/>
          <w:sz w:val="20"/>
        </w:rPr>
        <w:t xml:space="preserve"> of the services implemen</w:t>
      </w:r>
      <w:r w:rsidR="00A02D9D">
        <w:rPr>
          <w:rStyle w:val="StyleNumberedparagraphs11ptChar"/>
          <w:sz w:val="20"/>
        </w:rPr>
        <w:t>tation deadline when petitioner</w:t>
      </w:r>
      <w:r w:rsidR="00A02D9D" w:rsidRPr="008F4BE3">
        <w:rPr>
          <w:rStyle w:val="StyleNumberedparagraphs11ptChar"/>
          <w:sz w:val="20"/>
        </w:rPr>
        <w:t xml:space="preserve"> failed to</w:t>
      </w:r>
      <w:r w:rsidR="00A02D9D">
        <w:rPr>
          <w:rStyle w:val="StyleNumberedparagraphs11ptChar"/>
          <w:sz w:val="20"/>
        </w:rPr>
        <w:t xml:space="preserve"> </w:t>
      </w:r>
      <w:r w:rsidR="00A02D9D" w:rsidRPr="00A02D9D">
        <w:rPr>
          <w:rStyle w:val="StyleNumberedparagraphs11ptChar"/>
          <w:sz w:val="20"/>
        </w:rPr>
        <w:t xml:space="preserve">satisfy </w:t>
      </w:r>
      <w:r w:rsidR="00A02D9D">
        <w:rPr>
          <w:rStyle w:val="StyleNumberedparagraphs11ptChar"/>
          <w:sz w:val="20"/>
        </w:rPr>
        <w:t xml:space="preserve">the </w:t>
      </w:r>
      <w:r w:rsidR="00A02D9D" w:rsidRPr="00A02D9D">
        <w:rPr>
          <w:rStyle w:val="StyleNumberedparagraphs11ptChar"/>
          <w:sz w:val="20"/>
        </w:rPr>
        <w:t>grounds for an extension</w:t>
      </w:r>
      <w:r w:rsidR="00A41684">
        <w:rPr>
          <w:rStyle w:val="StyleNumberedparagraphs11ptChar"/>
          <w:sz w:val="20"/>
        </w:rPr>
        <w:t xml:space="preserve"> provided for by the Commission’s rules</w:t>
      </w:r>
      <w:r w:rsidR="00A02D9D">
        <w:rPr>
          <w:rStyle w:val="StyleNumberedparagraphs11ptChar"/>
          <w:sz w:val="20"/>
        </w:rPr>
        <w:t>)</w:t>
      </w:r>
      <w:r w:rsidR="00A02D9D">
        <w:t>;</w:t>
      </w:r>
      <w:r w:rsidR="00A02D9D">
        <w:rPr>
          <w:i/>
        </w:rPr>
        <w:t xml:space="preserve"> </w:t>
      </w:r>
      <w:r w:rsidRPr="008F4BE3">
        <w:rPr>
          <w:i/>
        </w:rPr>
        <w:t xml:space="preserve">Request for </w:t>
      </w:r>
      <w:r>
        <w:rPr>
          <w:i/>
        </w:rPr>
        <w:t>Review of</w:t>
      </w:r>
      <w:r w:rsidRPr="008F4BE3">
        <w:rPr>
          <w:i/>
        </w:rPr>
        <w:t xml:space="preserve"> Decision</w:t>
      </w:r>
      <w:r>
        <w:rPr>
          <w:i/>
        </w:rPr>
        <w:t>s</w:t>
      </w:r>
      <w:r w:rsidRPr="008F4BE3">
        <w:rPr>
          <w:i/>
        </w:rPr>
        <w:t xml:space="preserve"> of the Universal Service Administrator by Academy Charter School et al.</w:t>
      </w:r>
      <w:r w:rsidRPr="008F4BE3">
        <w:t xml:space="preserve">, CC Docket No. 02-6, Order, </w:t>
      </w:r>
      <w:r w:rsidR="00B95AD7">
        <w:t>29</w:t>
      </w:r>
      <w:r w:rsidR="00B95AD7" w:rsidRPr="008F4BE3">
        <w:t xml:space="preserve"> </w:t>
      </w:r>
      <w:r w:rsidRPr="008F4BE3">
        <w:t>FCC Rcd</w:t>
      </w:r>
      <w:r>
        <w:t xml:space="preserve"> </w:t>
      </w:r>
      <w:r w:rsidR="00B95AD7">
        <w:t xml:space="preserve">5820 </w:t>
      </w:r>
      <w:r>
        <w:t>(Wireline Comp. Bur. 2014</w:t>
      </w:r>
      <w:r w:rsidRPr="008F4BE3">
        <w:t xml:space="preserve">) (granting </w:t>
      </w:r>
      <w:r w:rsidRPr="008F4BE3">
        <w:rPr>
          <w:rStyle w:val="StyleNumberedparagraphs11ptChar"/>
          <w:sz w:val="20"/>
        </w:rPr>
        <w:t xml:space="preserve">extensions of the services implementation deadline when petitioners </w:t>
      </w:r>
      <w:r w:rsidR="00A02D9D">
        <w:rPr>
          <w:szCs w:val="22"/>
        </w:rPr>
        <w:t xml:space="preserve">were </w:t>
      </w:r>
      <w:r w:rsidR="00A02D9D" w:rsidRPr="00611197">
        <w:rPr>
          <w:szCs w:val="22"/>
        </w:rPr>
        <w:t>unable to complete implementation on time for reasons beyond the service providers’ control</w:t>
      </w:r>
      <w:r w:rsidR="00A02D9D" w:rsidRPr="008F4BE3">
        <w:rPr>
          <w:rStyle w:val="StyleNumberedparagraphs11ptChar"/>
          <w:sz w:val="20"/>
        </w:rPr>
        <w:t xml:space="preserve"> </w:t>
      </w:r>
      <w:r w:rsidR="00A02D9D">
        <w:rPr>
          <w:rStyle w:val="StyleNumberedparagraphs11ptChar"/>
          <w:sz w:val="20"/>
        </w:rPr>
        <w:t xml:space="preserve">and </w:t>
      </w:r>
      <w:r w:rsidR="00A02D9D" w:rsidRPr="00611197">
        <w:rPr>
          <w:szCs w:val="22"/>
        </w:rPr>
        <w:t>made significant efforts to secure the necessary extensions</w:t>
      </w:r>
      <w:r w:rsidRPr="008F4BE3">
        <w:t>).</w:t>
      </w:r>
    </w:p>
  </w:footnote>
  <w:footnote w:id="3">
    <w:p w:rsidR="00611197" w:rsidRDefault="00611197" w:rsidP="006909F6">
      <w:pPr>
        <w:pStyle w:val="FootnoteText"/>
        <w:spacing w:after="120"/>
      </w:pPr>
      <w:r>
        <w:rPr>
          <w:rStyle w:val="FootnoteReference"/>
        </w:rPr>
        <w:footnoteRef/>
      </w:r>
      <w:r>
        <w:t xml:space="preserve"> </w:t>
      </w:r>
      <w:r w:rsidR="00A41684">
        <w:t xml:space="preserve">The requests we grant are identified in Appendix A, and those that we deny are identified in Appendix B.  </w:t>
      </w:r>
      <w:r>
        <w:t>Section 54.719(c) of the Commission’s rules provides that any person aggrieved by an action taken by a division of USAC may seek review from the Commission.  47 C.F.R. § 54.719(c).</w:t>
      </w:r>
    </w:p>
  </w:footnote>
  <w:footnote w:id="4">
    <w:p w:rsidR="00611197" w:rsidRDefault="00611197" w:rsidP="006909F6">
      <w:pPr>
        <w:pStyle w:val="FootnoteText"/>
        <w:spacing w:after="120"/>
      </w:pPr>
      <w:r>
        <w:rPr>
          <w:rStyle w:val="FootnoteReference"/>
        </w:rPr>
        <w:footnoteRef/>
      </w:r>
      <w:r>
        <w:t xml:space="preserve"> 47 C.F.R. § 54.507(d) (requiring non-recurring services to be implemented by September 30 following the close of the funding year, and providing criteria for applicants to request an extension).  A request for an extension must be submitted to USAC on or before the September 30 deadline. </w:t>
      </w:r>
      <w:r w:rsidR="009B013A">
        <w:t xml:space="preserve"> </w:t>
      </w:r>
      <w:r>
        <w:rPr>
          <w:i/>
        </w:rPr>
        <w:t>See</w:t>
      </w:r>
      <w:r>
        <w:t xml:space="preserve"> USAC, Service Delivery Deadlines and Extension Requests, </w:t>
      </w:r>
      <w:hyperlink r:id="rId1" w:history="1">
        <w:r>
          <w:rPr>
            <w:rStyle w:val="Hyperlink"/>
          </w:rPr>
          <w:t>http://www.usac.org/sl/applicants/before-youre-done/delivery-extension.aspx</w:t>
        </w:r>
      </w:hyperlink>
      <w:r>
        <w:t xml:space="preserve"> (last visited </w:t>
      </w:r>
      <w:r w:rsidR="00C05B59">
        <w:t>Sept. 19</w:t>
      </w:r>
      <w:r>
        <w:t>, 2014).</w:t>
      </w:r>
    </w:p>
  </w:footnote>
  <w:footnote w:id="5">
    <w:p w:rsidR="006909F6" w:rsidRDefault="006909F6" w:rsidP="00400B7E">
      <w:pPr>
        <w:pStyle w:val="FootnoteText"/>
      </w:pPr>
      <w:r>
        <w:rPr>
          <w:rStyle w:val="FootnoteReference"/>
        </w:rPr>
        <w:footnoteRef/>
      </w:r>
      <w:r>
        <w:t xml:space="preserve"> The qualifying criteria are:  (1) the applicant’s funding commitment decision letter is issued by USAC on or after March 1 of the funding year for which discounts are authorized; (2) the applicant receives a service provider change authorization or service substitution authorization from USAC on or after March 1 of the funding year for which discounts are authorized; (3) the applicant’s service provider is unable to complete implementation for reasons beyond the service provider’s control; or (4) the applicant’s service provider is unwilling to complete installation because funding disbursements are delayed while USAC investigates the application for program compliance.  47 C.F.R. § 54.507(d)</w:t>
      </w:r>
      <w:r>
        <w:rPr>
          <w:color w:val="000000"/>
        </w:rPr>
        <w:t>.</w:t>
      </w:r>
      <w:r w:rsidR="00B23885" w:rsidRPr="00B23885">
        <w:t xml:space="preserve"> </w:t>
      </w:r>
      <w:r w:rsidR="00B23885">
        <w:t xml:space="preserve"> </w:t>
      </w:r>
      <w:r w:rsidR="000A5A57">
        <w:t>The service providers for both Accelerated Charter and AMIkids Acadiana realized toward the end of t</w:t>
      </w:r>
      <w:r w:rsidR="00C635AF">
        <w:t xml:space="preserve">he </w:t>
      </w:r>
      <w:r w:rsidR="000A5A57">
        <w:t xml:space="preserve">installation period that it would be impossible to timely complete </w:t>
      </w:r>
      <w:r w:rsidR="00E126E0">
        <w:t xml:space="preserve">their </w:t>
      </w:r>
      <w:r w:rsidR="000A5A57">
        <w:t>projects</w:t>
      </w:r>
      <w:r w:rsidR="00E126E0">
        <w:t xml:space="preserve"> due to circumstances beyond their control</w:t>
      </w:r>
      <w:r w:rsidR="000A5A57">
        <w:t xml:space="preserve">. </w:t>
      </w:r>
      <w:r w:rsidR="005F47FF">
        <w:rPr>
          <w:i/>
        </w:rPr>
        <w:t xml:space="preserve">See </w:t>
      </w:r>
      <w:r w:rsidR="005F47FF">
        <w:t>Accelerated Charter Request for Review at 2; AMIkids Acadiana Request for Review at 2.</w:t>
      </w:r>
    </w:p>
  </w:footnote>
  <w:footnote w:id="6">
    <w:p w:rsidR="00AE6AB9" w:rsidRPr="00691489" w:rsidRDefault="00B23885">
      <w:pPr>
        <w:pStyle w:val="FootnoteText"/>
      </w:pPr>
      <w:r>
        <w:rPr>
          <w:rStyle w:val="FootnoteReference"/>
        </w:rPr>
        <w:footnoteRef/>
      </w:r>
      <w:r w:rsidR="00AE6AB9">
        <w:t xml:space="preserve"> Both Accelerated Charter and AMIkids Acadiana notified USAC that their contract end dates were being extended beyond the service delivery deadline by</w:t>
      </w:r>
      <w:r w:rsidR="000A5A57">
        <w:t xml:space="preserve"> timely</w:t>
      </w:r>
      <w:r w:rsidR="00AE6AB9">
        <w:t xml:space="preserve"> filing FCC Forms 500.  When they realized a written request to extend the service delivery deadline was </w:t>
      </w:r>
      <w:r w:rsidR="000C011A">
        <w:t xml:space="preserve">also </w:t>
      </w:r>
      <w:r w:rsidR="00AE6AB9">
        <w:t>necessary, they promptly filed their extension requests with USAC.</w:t>
      </w:r>
      <w:r w:rsidR="00691489">
        <w:t xml:space="preserve">  </w:t>
      </w:r>
      <w:r w:rsidR="00691489">
        <w:rPr>
          <w:i/>
        </w:rPr>
        <w:t xml:space="preserve">See </w:t>
      </w:r>
      <w:r w:rsidR="00691489">
        <w:t>Accelerated Charter Request for Review at 2; AMIkids Acadiana Request for Review at 1-2.</w:t>
      </w:r>
    </w:p>
  </w:footnote>
  <w:footnote w:id="7">
    <w:p w:rsidR="00781D37" w:rsidRPr="00691489" w:rsidRDefault="00781D37" w:rsidP="001C6E97">
      <w:pPr>
        <w:pStyle w:val="FootnoteText"/>
        <w:spacing w:after="120"/>
      </w:pPr>
      <w:r>
        <w:rPr>
          <w:rStyle w:val="FootnoteReference"/>
        </w:rPr>
        <w:footnoteRef/>
      </w:r>
      <w:r>
        <w:t xml:space="preserve"> Eaton County waited more than five months after the implementation deadline to file an extension request with USAC, </w:t>
      </w:r>
      <w:r w:rsidR="00F25620">
        <w:t>noting that its technology director was leaving at the time and failed to inform other staff members of the need for an extension</w:t>
      </w:r>
      <w:r>
        <w:t>.</w:t>
      </w:r>
      <w:r w:rsidR="00691489">
        <w:t xml:space="preserve">  </w:t>
      </w:r>
      <w:r w:rsidR="00691489">
        <w:rPr>
          <w:i/>
        </w:rPr>
        <w:t xml:space="preserve">See </w:t>
      </w:r>
      <w:r w:rsidR="00691489" w:rsidRPr="003A190F">
        <w:t>Eaton</w:t>
      </w:r>
      <w:r w:rsidR="00691489">
        <w:rPr>
          <w:i/>
        </w:rPr>
        <w:t xml:space="preserve"> </w:t>
      </w:r>
      <w:r w:rsidR="00691489">
        <w:t>County Request for Waiver at 1.</w:t>
      </w:r>
    </w:p>
  </w:footnote>
  <w:footnote w:id="8">
    <w:p w:rsidR="00CD497B" w:rsidRDefault="00CD497B">
      <w:pPr>
        <w:pStyle w:val="FootnoteText"/>
      </w:pPr>
      <w:r>
        <w:rPr>
          <w:rStyle w:val="FootnoteReference"/>
        </w:rPr>
        <w:footnoteRef/>
      </w:r>
      <w:r>
        <w:t xml:space="preserve"> </w:t>
      </w:r>
      <w:r w:rsidR="00D74372">
        <w:rPr>
          <w:i/>
        </w:rPr>
        <w:t>See supra</w:t>
      </w:r>
      <w:r w:rsidR="00D74372">
        <w:t xml:space="preserve"> note 4.  </w:t>
      </w:r>
      <w:r>
        <w:t xml:space="preserve">Edgecombe County Schools </w:t>
      </w:r>
      <w:r w:rsidR="00D74372">
        <w:t>said it could not implement its services in a timely manner because it determined</w:t>
      </w:r>
      <w:r w:rsidR="00B02E48">
        <w:t>,</w:t>
      </w:r>
      <w:r w:rsidR="00D74372">
        <w:t xml:space="preserve"> after receiving its funding commitment</w:t>
      </w:r>
      <w:r w:rsidR="00B02E48">
        <w:t>,</w:t>
      </w:r>
      <w:r w:rsidR="00D74372">
        <w:t xml:space="preserve"> that </w:t>
      </w:r>
      <w:r w:rsidR="00B02E48">
        <w:t xml:space="preserve">it needed to install additional networking equipment </w:t>
      </w:r>
      <w:r w:rsidR="00D74372">
        <w:t xml:space="preserve">to accommodate the internal connections funding request.  It </w:t>
      </w:r>
      <w:r>
        <w:t xml:space="preserve">waited a year and a half after the implementation deadline to file an extension request with USAC, waiting until “it seemed prudent” after the completion of </w:t>
      </w:r>
      <w:r w:rsidR="00D74372">
        <w:t>the</w:t>
      </w:r>
      <w:r>
        <w:t xml:space="preserve"> separate infrastructure upgrade that would allow the internal connections project at issue to proceed.</w:t>
      </w:r>
      <w:r w:rsidR="00D74372">
        <w:t xml:space="preserve">  </w:t>
      </w:r>
      <w:r w:rsidR="00691489">
        <w:rPr>
          <w:i/>
        </w:rPr>
        <w:t xml:space="preserve">See </w:t>
      </w:r>
      <w:r w:rsidR="00691489">
        <w:t xml:space="preserve">Edgecombe County Schools Request for </w:t>
      </w:r>
      <w:r w:rsidR="005F47FF">
        <w:t xml:space="preserve">Review or </w:t>
      </w:r>
      <w:r w:rsidR="00691489">
        <w:t xml:space="preserve">Waiver </w:t>
      </w:r>
      <w:r w:rsidR="00BC3BF2">
        <w:t xml:space="preserve">at 1-2.  </w:t>
      </w:r>
      <w:r w:rsidR="00D74372">
        <w:t>Because we deny its request for an implementation deadline extension, its request for a service substitution and permission to file an FCC Form 486 are dismissed as moot.</w:t>
      </w:r>
    </w:p>
  </w:footnote>
  <w:footnote w:id="9">
    <w:p w:rsidR="00C05B59" w:rsidRPr="005F47FF" w:rsidRDefault="00C05B59" w:rsidP="001C6E97">
      <w:pPr>
        <w:pStyle w:val="FootnoteText"/>
        <w:spacing w:after="120"/>
      </w:pPr>
      <w:r>
        <w:rPr>
          <w:rStyle w:val="FootnoteReference"/>
        </w:rPr>
        <w:footnoteRef/>
      </w:r>
      <w:r>
        <w:t xml:space="preserve"> </w:t>
      </w:r>
      <w:r w:rsidR="006909F6">
        <w:rPr>
          <w:i/>
        </w:rPr>
        <w:t>See supra</w:t>
      </w:r>
      <w:r w:rsidR="00AE6AB9">
        <w:t xml:space="preserve"> note 4</w:t>
      </w:r>
      <w:r w:rsidR="0017609F">
        <w:t xml:space="preserve">.  </w:t>
      </w:r>
      <w:r w:rsidR="00781D37">
        <w:t xml:space="preserve">Many Farms School </w:t>
      </w:r>
      <w:r w:rsidR="00796E5D">
        <w:t xml:space="preserve">said </w:t>
      </w:r>
      <w:r w:rsidR="00781D37">
        <w:t>it could not implement its services in a timely manner</w:t>
      </w:r>
      <w:r w:rsidR="00796E5D">
        <w:t xml:space="preserve"> because of an unusually high turnover rate of staff members, including members on its IT management team.</w:t>
      </w:r>
      <w:r w:rsidR="005F47FF">
        <w:t xml:space="preserve">  </w:t>
      </w:r>
      <w:r w:rsidR="005F47FF">
        <w:rPr>
          <w:i/>
        </w:rPr>
        <w:t>See</w:t>
      </w:r>
      <w:r w:rsidR="005F47FF">
        <w:t xml:space="preserve"> Many Farms School Request for Waiver at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9A9" w:rsidRDefault="006A4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97" w:rsidRDefault="00611197">
    <w:pPr>
      <w:pStyle w:val="FirstPageHeader"/>
      <w:tabs>
        <w:tab w:val="clear" w:pos="4320"/>
        <w:tab w:val="clear" w:pos="8640"/>
        <w:tab w:val="center" w:pos="4680"/>
        <w:tab w:val="right" w:pos="9360"/>
      </w:tabs>
      <w:rPr>
        <w:sz w:val="22"/>
        <w:u w:val="single"/>
      </w:rPr>
    </w:pPr>
    <w:r>
      <w:rPr>
        <w:sz w:val="22"/>
        <w:u w:val="single"/>
      </w:rPr>
      <w:tab/>
      <w:t>Federal Communications Commission</w:t>
    </w:r>
    <w:r>
      <w:rPr>
        <w:sz w:val="22"/>
        <w:u w:val="single"/>
      </w:rPr>
      <w:tab/>
      <w:t xml:space="preserve">DA </w:t>
    </w:r>
    <w:r w:rsidR="00F247D6" w:rsidRPr="00F247D6">
      <w:rPr>
        <w:sz w:val="22"/>
        <w:u w:val="single"/>
      </w:rPr>
      <w:t>14-1607</w:t>
    </w:r>
    <w:r>
      <w:rPr>
        <w:sz w:val="22"/>
        <w:u w:val="single"/>
      </w:rPr>
      <w:t xml:space="preserve">  </w:t>
    </w:r>
  </w:p>
  <w:p w:rsidR="00611197" w:rsidRDefault="00611197">
    <w:pPr>
      <w:pStyle w:val="FirstPageHeader"/>
      <w:tabs>
        <w:tab w:val="clear" w:pos="4320"/>
        <w:tab w:val="clear" w:pos="8640"/>
        <w:tab w:val="center" w:pos="4680"/>
        <w:tab w:val="right" w:pos="936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197" w:rsidRDefault="00611197">
    <w:pPr>
      <w:pStyle w:val="FirstPageHeader"/>
      <w:tabs>
        <w:tab w:val="clear" w:pos="4320"/>
        <w:tab w:val="clear" w:pos="8640"/>
        <w:tab w:val="center" w:pos="4680"/>
        <w:tab w:val="right" w:pos="9360"/>
      </w:tabs>
      <w:rPr>
        <w:sz w:val="22"/>
        <w:u w:val="single"/>
      </w:rPr>
    </w:pPr>
    <w:r>
      <w:rPr>
        <w:sz w:val="22"/>
        <w:u w:val="single"/>
      </w:rPr>
      <w:tab/>
      <w:t>Federal Communications Commission</w:t>
    </w:r>
    <w:r>
      <w:rPr>
        <w:sz w:val="22"/>
        <w:u w:val="single"/>
      </w:rPr>
      <w:tab/>
      <w:t>DA 14-</w:t>
    </w:r>
    <w:r w:rsidR="00F247D6" w:rsidRPr="00F247D6">
      <w:rPr>
        <w:sz w:val="22"/>
        <w:u w:val="single"/>
      </w:rPr>
      <w:t>1607</w:t>
    </w:r>
  </w:p>
  <w:p w:rsidR="00611197" w:rsidRDefault="00611197">
    <w:pPr>
      <w:pStyle w:val="FirstPage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F1B3D"/>
    <w:multiLevelType w:val="multilevel"/>
    <w:tmpl w:val="E7BC9EA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shadow w:val="0"/>
        <w:emboss w:val="0"/>
        <w:imprint w:val="0"/>
        <w:vanish w:val="0"/>
        <w:sz w:val="22"/>
        <w:u w:val="none"/>
        <w:vertAlign w:val="baseline"/>
      </w:rPr>
    </w:lvl>
    <w:lvl w:ilvl="1">
      <w:start w:val="1"/>
      <w:numFmt w:val="upperLetter"/>
      <w:lvlText w:val="%2."/>
      <w:lvlJc w:val="left"/>
      <w:pPr>
        <w:tabs>
          <w:tab w:val="num" w:pos="1080"/>
        </w:tabs>
        <w:ind w:left="720" w:firstLine="0"/>
      </w:pPr>
    </w:lvl>
    <w:lvl w:ilvl="2">
      <w:start w:val="1"/>
      <w:numFmt w:val="decimal"/>
      <w:lvlRestart w:val="0"/>
      <w:lvlText w:val="%3."/>
      <w:lvlJc w:val="left"/>
      <w:pPr>
        <w:tabs>
          <w:tab w:val="num" w:pos="1440"/>
        </w:tabs>
        <w:ind w:left="360" w:firstLine="720"/>
      </w:pPr>
      <w:rPr>
        <w:rFonts w:ascii="Times New Roman" w:hAnsi="Times New Roman" w:hint="default"/>
        <w:b w:val="0"/>
        <w:i w:val="0"/>
        <w:color w:val="auto"/>
        <w:sz w:val="22"/>
      </w:r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BE3"/>
    <w:rsid w:val="000114BB"/>
    <w:rsid w:val="000122A7"/>
    <w:rsid w:val="000770B0"/>
    <w:rsid w:val="00077513"/>
    <w:rsid w:val="0009008E"/>
    <w:rsid w:val="000A5A57"/>
    <w:rsid w:val="000C011A"/>
    <w:rsid w:val="000D3B0F"/>
    <w:rsid w:val="000F256D"/>
    <w:rsid w:val="00130B36"/>
    <w:rsid w:val="0017609F"/>
    <w:rsid w:val="001B30B4"/>
    <w:rsid w:val="001C6E97"/>
    <w:rsid w:val="001D2C26"/>
    <w:rsid w:val="001D529F"/>
    <w:rsid w:val="00206030"/>
    <w:rsid w:val="00211144"/>
    <w:rsid w:val="002548A7"/>
    <w:rsid w:val="00261C72"/>
    <w:rsid w:val="002E13C7"/>
    <w:rsid w:val="002F7FEF"/>
    <w:rsid w:val="003962D3"/>
    <w:rsid w:val="003A190F"/>
    <w:rsid w:val="003E18A8"/>
    <w:rsid w:val="00400B7E"/>
    <w:rsid w:val="004435A1"/>
    <w:rsid w:val="00447C15"/>
    <w:rsid w:val="00464DAD"/>
    <w:rsid w:val="004C53F3"/>
    <w:rsid w:val="004D4407"/>
    <w:rsid w:val="0051250E"/>
    <w:rsid w:val="00541D0F"/>
    <w:rsid w:val="0055755C"/>
    <w:rsid w:val="005616B8"/>
    <w:rsid w:val="00562F7B"/>
    <w:rsid w:val="005E248E"/>
    <w:rsid w:val="005F47FF"/>
    <w:rsid w:val="00611197"/>
    <w:rsid w:val="00612DB4"/>
    <w:rsid w:val="0063767B"/>
    <w:rsid w:val="006909F6"/>
    <w:rsid w:val="00691489"/>
    <w:rsid w:val="0069460D"/>
    <w:rsid w:val="006A49A9"/>
    <w:rsid w:val="006B5483"/>
    <w:rsid w:val="007166AF"/>
    <w:rsid w:val="00722D28"/>
    <w:rsid w:val="00724BD3"/>
    <w:rsid w:val="00742CD8"/>
    <w:rsid w:val="00763C79"/>
    <w:rsid w:val="00781D37"/>
    <w:rsid w:val="00796E5D"/>
    <w:rsid w:val="007A6F3F"/>
    <w:rsid w:val="007B20BC"/>
    <w:rsid w:val="007B6E3A"/>
    <w:rsid w:val="007C1896"/>
    <w:rsid w:val="007C4164"/>
    <w:rsid w:val="00833F8B"/>
    <w:rsid w:val="008F20C3"/>
    <w:rsid w:val="008F4BE3"/>
    <w:rsid w:val="008F72CA"/>
    <w:rsid w:val="00995B0F"/>
    <w:rsid w:val="009A4868"/>
    <w:rsid w:val="009B013A"/>
    <w:rsid w:val="00A00A1E"/>
    <w:rsid w:val="00A02D9D"/>
    <w:rsid w:val="00A22717"/>
    <w:rsid w:val="00A22C38"/>
    <w:rsid w:val="00A2331F"/>
    <w:rsid w:val="00A41684"/>
    <w:rsid w:val="00A76A32"/>
    <w:rsid w:val="00AB5A4A"/>
    <w:rsid w:val="00AE6AB9"/>
    <w:rsid w:val="00AF0289"/>
    <w:rsid w:val="00B02E48"/>
    <w:rsid w:val="00B136BC"/>
    <w:rsid w:val="00B23885"/>
    <w:rsid w:val="00B3238C"/>
    <w:rsid w:val="00B5157C"/>
    <w:rsid w:val="00B546F7"/>
    <w:rsid w:val="00B610F3"/>
    <w:rsid w:val="00B74D81"/>
    <w:rsid w:val="00B95AD7"/>
    <w:rsid w:val="00BC3BF2"/>
    <w:rsid w:val="00C05B59"/>
    <w:rsid w:val="00C31DC3"/>
    <w:rsid w:val="00C32035"/>
    <w:rsid w:val="00C56D4A"/>
    <w:rsid w:val="00C635AF"/>
    <w:rsid w:val="00C87401"/>
    <w:rsid w:val="00CC3208"/>
    <w:rsid w:val="00CD497B"/>
    <w:rsid w:val="00CE2A6C"/>
    <w:rsid w:val="00D72BA7"/>
    <w:rsid w:val="00D74372"/>
    <w:rsid w:val="00D865FE"/>
    <w:rsid w:val="00DB418A"/>
    <w:rsid w:val="00E10551"/>
    <w:rsid w:val="00E124E6"/>
    <w:rsid w:val="00E126E0"/>
    <w:rsid w:val="00E35075"/>
    <w:rsid w:val="00E54A79"/>
    <w:rsid w:val="00E7030E"/>
    <w:rsid w:val="00E85E94"/>
    <w:rsid w:val="00EA0FE2"/>
    <w:rsid w:val="00F1673E"/>
    <w:rsid w:val="00F23246"/>
    <w:rsid w:val="00F247D6"/>
    <w:rsid w:val="00F25620"/>
    <w:rsid w:val="00F66622"/>
    <w:rsid w:val="00FE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BE3"/>
    <w:pPr>
      <w:tabs>
        <w:tab w:val="center" w:pos="4320"/>
        <w:tab w:val="right" w:pos="8640"/>
      </w:tabs>
    </w:pPr>
  </w:style>
  <w:style w:type="character" w:customStyle="1" w:styleId="HeaderChar">
    <w:name w:val="Header Char"/>
    <w:basedOn w:val="DefaultParagraphFont"/>
    <w:link w:val="Header"/>
    <w:rsid w:val="008F4BE3"/>
    <w:rPr>
      <w:rFonts w:ascii="Times New Roman" w:eastAsia="Times New Roman" w:hAnsi="Times New Roman" w:cs="Times New Roman"/>
      <w:sz w:val="24"/>
      <w:szCs w:val="20"/>
    </w:rPr>
  </w:style>
  <w:style w:type="paragraph" w:styleId="Footer">
    <w:name w:val="footer"/>
    <w:basedOn w:val="Normal"/>
    <w:link w:val="FooterChar"/>
    <w:rsid w:val="008F4BE3"/>
    <w:pPr>
      <w:tabs>
        <w:tab w:val="center" w:pos="4320"/>
        <w:tab w:val="right" w:pos="8640"/>
      </w:tabs>
    </w:pPr>
  </w:style>
  <w:style w:type="character" w:customStyle="1" w:styleId="FooterChar">
    <w:name w:val="Footer Char"/>
    <w:basedOn w:val="DefaultParagraphFont"/>
    <w:link w:val="Footer"/>
    <w:rsid w:val="008F4BE3"/>
    <w:rPr>
      <w:rFonts w:ascii="Times New Roman" w:eastAsia="Times New Roman" w:hAnsi="Times New Roman" w:cs="Times New Roman"/>
      <w:sz w:val="24"/>
      <w:szCs w:val="20"/>
    </w:rPr>
  </w:style>
  <w:style w:type="character" w:styleId="PageNumber">
    <w:name w:val="page number"/>
    <w:basedOn w:val="DefaultParagraphFont"/>
    <w:rsid w:val="008F4BE3"/>
  </w:style>
  <w:style w:type="paragraph" w:customStyle="1" w:styleId="FirstPageHeader">
    <w:name w:val="First Page Header"/>
    <w:basedOn w:val="Normal"/>
    <w:rsid w:val="008F4BE3"/>
    <w:pPr>
      <w:tabs>
        <w:tab w:val="center" w:pos="4320"/>
        <w:tab w:val="right" w:pos="8640"/>
      </w:tabs>
    </w:pPr>
    <w:rPr>
      <w:b/>
    </w:rPr>
  </w:style>
  <w:style w:type="paragraph" w:customStyle="1" w:styleId="Titleinfo">
    <w:name w:val="Title info"/>
    <w:basedOn w:val="Header"/>
    <w:rsid w:val="008F4BE3"/>
    <w:pPr>
      <w:tabs>
        <w:tab w:val="clear" w:pos="4320"/>
        <w:tab w:val="clear" w:pos="8640"/>
      </w:tabs>
    </w:pPr>
    <w:rPr>
      <w:sz w:val="22"/>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1"/>
    <w:semiHidden/>
    <w:rsid w:val="008F4BE3"/>
    <w:pPr>
      <w:spacing w:after="200"/>
    </w:pPr>
    <w:rPr>
      <w:sz w:val="20"/>
    </w:rPr>
  </w:style>
  <w:style w:type="character" w:customStyle="1" w:styleId="FootnoteTextChar">
    <w:name w:val="Footnote Text Char"/>
    <w:basedOn w:val="DefaultParagraphFont"/>
    <w:uiPriority w:val="99"/>
    <w:semiHidden/>
    <w:rsid w:val="008F4BE3"/>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Footnote Reference1,Style 17,Footnote Reference/,Style 6"/>
    <w:rsid w:val="008F4BE3"/>
    <w:rPr>
      <w:rFonts w:ascii="Times New Roman" w:hAnsi="Times New Roman"/>
      <w:sz w:val="20"/>
      <w:vertAlign w:val="superscript"/>
    </w:rPr>
  </w:style>
  <w:style w:type="character" w:styleId="Hyperlink">
    <w:name w:val="Hyperlink"/>
    <w:rsid w:val="008F4BE3"/>
    <w:rPr>
      <w:color w:val="0000FF"/>
      <w:u w:val="single"/>
    </w:rPr>
  </w:style>
  <w:style w:type="character" w:customStyle="1" w:styleId="documentbody1">
    <w:name w:val="documentbody1"/>
    <w:rsid w:val="008F4BE3"/>
    <w:rPr>
      <w:rFonts w:ascii="Verdana" w:hAnsi="Verdana" w:hint="default"/>
      <w:sz w:val="19"/>
      <w:szCs w:val="19"/>
    </w:rPr>
  </w:style>
  <w:style w:type="character" w:customStyle="1" w:styleId="StyleNumberedparagraphs11ptChar">
    <w:name w:val="Style Numbered paragraphs + 11 pt Char"/>
    <w:rsid w:val="008F4BE3"/>
    <w:rPr>
      <w:noProof w:val="0"/>
      <w:sz w:val="22"/>
      <w:lang w:val="en-US" w:eastAsia="en-US" w:bidi="ar-SA"/>
    </w:rPr>
  </w:style>
  <w:style w:type="paragraph" w:customStyle="1" w:styleId="ParaNum">
    <w:name w:val="ParaNum"/>
    <w:basedOn w:val="Normal"/>
    <w:rsid w:val="008F4BE3"/>
    <w:pPr>
      <w:widowControl w:val="0"/>
      <w:tabs>
        <w:tab w:val="left" w:pos="1440"/>
      </w:tabs>
      <w:spacing w:after="220"/>
      <w:jc w:val="both"/>
    </w:pPr>
    <w:rPr>
      <w:sz w:val="22"/>
    </w:rPr>
  </w:style>
  <w:style w:type="character" w:customStyle="1" w:styleId="FootnoteTextChar1">
    <w:name w:val="Footnote Text Char1"/>
    <w:aliases w:val="ALTS FOOTNOTE Char1,fn Char1,ALTS FOOTNOTE Char Char,fn Char Char,Footnote Text Char1 Char Char,Footnote Text Char Char Char Char,Footnote Text Char2 Char Char Char Char,Footnote Text Char1 Char1 Char Char Char Char,f Char"/>
    <w:link w:val="FootnoteText"/>
    <w:rsid w:val="008F4BE3"/>
    <w:rPr>
      <w:rFonts w:ascii="Times New Roman" w:eastAsia="Times New Roman" w:hAnsi="Times New Roman" w:cs="Times New Roman"/>
      <w:sz w:val="20"/>
      <w:szCs w:val="20"/>
    </w:rPr>
  </w:style>
  <w:style w:type="character" w:customStyle="1" w:styleId="DeltaViewDeletion">
    <w:name w:val="DeltaView Deletion"/>
    <w:uiPriority w:val="99"/>
    <w:rsid w:val="005616B8"/>
    <w:rPr>
      <w:strike/>
      <w:color w:val="FF0000"/>
    </w:rPr>
  </w:style>
  <w:style w:type="character" w:styleId="FollowedHyperlink">
    <w:name w:val="FollowedHyperlink"/>
    <w:basedOn w:val="DefaultParagraphFont"/>
    <w:uiPriority w:val="99"/>
    <w:semiHidden/>
    <w:unhideWhenUsed/>
    <w:rsid w:val="00C31DC3"/>
    <w:rPr>
      <w:color w:val="800080" w:themeColor="followedHyperlink"/>
      <w:u w:val="single"/>
    </w:rPr>
  </w:style>
  <w:style w:type="character" w:styleId="CommentReference">
    <w:name w:val="annotation reference"/>
    <w:basedOn w:val="DefaultParagraphFont"/>
    <w:uiPriority w:val="99"/>
    <w:semiHidden/>
    <w:unhideWhenUsed/>
    <w:rsid w:val="000D3B0F"/>
    <w:rPr>
      <w:sz w:val="16"/>
      <w:szCs w:val="16"/>
    </w:rPr>
  </w:style>
  <w:style w:type="paragraph" w:styleId="CommentText">
    <w:name w:val="annotation text"/>
    <w:basedOn w:val="Normal"/>
    <w:link w:val="CommentTextChar"/>
    <w:uiPriority w:val="99"/>
    <w:semiHidden/>
    <w:unhideWhenUsed/>
    <w:rsid w:val="000D3B0F"/>
    <w:rPr>
      <w:sz w:val="20"/>
    </w:rPr>
  </w:style>
  <w:style w:type="character" w:customStyle="1" w:styleId="CommentTextChar">
    <w:name w:val="Comment Text Char"/>
    <w:basedOn w:val="DefaultParagraphFont"/>
    <w:link w:val="CommentText"/>
    <w:uiPriority w:val="99"/>
    <w:semiHidden/>
    <w:rsid w:val="000D3B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3B0F"/>
    <w:rPr>
      <w:b/>
      <w:bCs/>
    </w:rPr>
  </w:style>
  <w:style w:type="character" w:customStyle="1" w:styleId="CommentSubjectChar">
    <w:name w:val="Comment Subject Char"/>
    <w:basedOn w:val="CommentTextChar"/>
    <w:link w:val="CommentSubject"/>
    <w:uiPriority w:val="99"/>
    <w:semiHidden/>
    <w:rsid w:val="000D3B0F"/>
    <w:rPr>
      <w:rFonts w:ascii="Times New Roman" w:eastAsia="Times New Roman" w:hAnsi="Times New Roman" w:cs="Times New Roman"/>
      <w:b/>
      <w:bCs/>
      <w:sz w:val="20"/>
      <w:szCs w:val="20"/>
    </w:rPr>
  </w:style>
  <w:style w:type="paragraph" w:styleId="Revision">
    <w:name w:val="Revision"/>
    <w:hidden/>
    <w:uiPriority w:val="99"/>
    <w:semiHidden/>
    <w:rsid w:val="000D3B0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3B0F"/>
    <w:rPr>
      <w:rFonts w:ascii="Tahoma" w:hAnsi="Tahoma" w:cs="Tahoma"/>
      <w:sz w:val="16"/>
      <w:szCs w:val="16"/>
    </w:rPr>
  </w:style>
  <w:style w:type="character" w:customStyle="1" w:styleId="BalloonTextChar">
    <w:name w:val="Balloon Text Char"/>
    <w:basedOn w:val="DefaultParagraphFont"/>
    <w:link w:val="BalloonText"/>
    <w:uiPriority w:val="99"/>
    <w:semiHidden/>
    <w:rsid w:val="000D3B0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4BE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4BE3"/>
    <w:pPr>
      <w:tabs>
        <w:tab w:val="center" w:pos="4320"/>
        <w:tab w:val="right" w:pos="8640"/>
      </w:tabs>
    </w:pPr>
  </w:style>
  <w:style w:type="character" w:customStyle="1" w:styleId="HeaderChar">
    <w:name w:val="Header Char"/>
    <w:basedOn w:val="DefaultParagraphFont"/>
    <w:link w:val="Header"/>
    <w:rsid w:val="008F4BE3"/>
    <w:rPr>
      <w:rFonts w:ascii="Times New Roman" w:eastAsia="Times New Roman" w:hAnsi="Times New Roman" w:cs="Times New Roman"/>
      <w:sz w:val="24"/>
      <w:szCs w:val="20"/>
    </w:rPr>
  </w:style>
  <w:style w:type="paragraph" w:styleId="Footer">
    <w:name w:val="footer"/>
    <w:basedOn w:val="Normal"/>
    <w:link w:val="FooterChar"/>
    <w:rsid w:val="008F4BE3"/>
    <w:pPr>
      <w:tabs>
        <w:tab w:val="center" w:pos="4320"/>
        <w:tab w:val="right" w:pos="8640"/>
      </w:tabs>
    </w:pPr>
  </w:style>
  <w:style w:type="character" w:customStyle="1" w:styleId="FooterChar">
    <w:name w:val="Footer Char"/>
    <w:basedOn w:val="DefaultParagraphFont"/>
    <w:link w:val="Footer"/>
    <w:rsid w:val="008F4BE3"/>
    <w:rPr>
      <w:rFonts w:ascii="Times New Roman" w:eastAsia="Times New Roman" w:hAnsi="Times New Roman" w:cs="Times New Roman"/>
      <w:sz w:val="24"/>
      <w:szCs w:val="20"/>
    </w:rPr>
  </w:style>
  <w:style w:type="character" w:styleId="PageNumber">
    <w:name w:val="page number"/>
    <w:basedOn w:val="DefaultParagraphFont"/>
    <w:rsid w:val="008F4BE3"/>
  </w:style>
  <w:style w:type="paragraph" w:customStyle="1" w:styleId="FirstPageHeader">
    <w:name w:val="First Page Header"/>
    <w:basedOn w:val="Normal"/>
    <w:rsid w:val="008F4BE3"/>
    <w:pPr>
      <w:tabs>
        <w:tab w:val="center" w:pos="4320"/>
        <w:tab w:val="right" w:pos="8640"/>
      </w:tabs>
    </w:pPr>
    <w:rPr>
      <w:b/>
    </w:rPr>
  </w:style>
  <w:style w:type="paragraph" w:customStyle="1" w:styleId="Titleinfo">
    <w:name w:val="Title info"/>
    <w:basedOn w:val="Header"/>
    <w:rsid w:val="008F4BE3"/>
    <w:pPr>
      <w:tabs>
        <w:tab w:val="clear" w:pos="4320"/>
        <w:tab w:val="clear" w:pos="8640"/>
      </w:tabs>
    </w:pPr>
    <w:rPr>
      <w:sz w:val="22"/>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
    <w:basedOn w:val="Normal"/>
    <w:link w:val="FootnoteTextChar1"/>
    <w:semiHidden/>
    <w:rsid w:val="008F4BE3"/>
    <w:pPr>
      <w:spacing w:after="200"/>
    </w:pPr>
    <w:rPr>
      <w:sz w:val="20"/>
    </w:rPr>
  </w:style>
  <w:style w:type="character" w:customStyle="1" w:styleId="FootnoteTextChar">
    <w:name w:val="Footnote Text Char"/>
    <w:basedOn w:val="DefaultParagraphFont"/>
    <w:uiPriority w:val="99"/>
    <w:semiHidden/>
    <w:rsid w:val="008F4BE3"/>
    <w:rPr>
      <w:rFonts w:ascii="Times New Roman" w:eastAsia="Times New Roman" w:hAnsi="Times New Roman" w:cs="Times New Roman"/>
      <w:sz w:val="20"/>
      <w:szCs w:val="20"/>
    </w:rPr>
  </w:style>
  <w:style w:type="character" w:styleId="FootnoteReference">
    <w:name w:val="footnote reference"/>
    <w:aliases w:val="Style 12,(NECG) Footnote Reference,Style 13,Appel note de bas de p,Style 124,fr,o,Style 3,FR,Footnote Reference1,Style 17,Footnote Reference/,Style 6"/>
    <w:rsid w:val="008F4BE3"/>
    <w:rPr>
      <w:rFonts w:ascii="Times New Roman" w:hAnsi="Times New Roman"/>
      <w:sz w:val="20"/>
      <w:vertAlign w:val="superscript"/>
    </w:rPr>
  </w:style>
  <w:style w:type="character" w:styleId="Hyperlink">
    <w:name w:val="Hyperlink"/>
    <w:rsid w:val="008F4BE3"/>
    <w:rPr>
      <w:color w:val="0000FF"/>
      <w:u w:val="single"/>
    </w:rPr>
  </w:style>
  <w:style w:type="character" w:customStyle="1" w:styleId="documentbody1">
    <w:name w:val="documentbody1"/>
    <w:rsid w:val="008F4BE3"/>
    <w:rPr>
      <w:rFonts w:ascii="Verdana" w:hAnsi="Verdana" w:hint="default"/>
      <w:sz w:val="19"/>
      <w:szCs w:val="19"/>
    </w:rPr>
  </w:style>
  <w:style w:type="character" w:customStyle="1" w:styleId="StyleNumberedparagraphs11ptChar">
    <w:name w:val="Style Numbered paragraphs + 11 pt Char"/>
    <w:rsid w:val="008F4BE3"/>
    <w:rPr>
      <w:noProof w:val="0"/>
      <w:sz w:val="22"/>
      <w:lang w:val="en-US" w:eastAsia="en-US" w:bidi="ar-SA"/>
    </w:rPr>
  </w:style>
  <w:style w:type="paragraph" w:customStyle="1" w:styleId="ParaNum">
    <w:name w:val="ParaNum"/>
    <w:basedOn w:val="Normal"/>
    <w:rsid w:val="008F4BE3"/>
    <w:pPr>
      <w:widowControl w:val="0"/>
      <w:tabs>
        <w:tab w:val="left" w:pos="1440"/>
      </w:tabs>
      <w:spacing w:after="220"/>
      <w:jc w:val="both"/>
    </w:pPr>
    <w:rPr>
      <w:sz w:val="22"/>
    </w:rPr>
  </w:style>
  <w:style w:type="character" w:customStyle="1" w:styleId="FootnoteTextChar1">
    <w:name w:val="Footnote Text Char1"/>
    <w:aliases w:val="ALTS FOOTNOTE Char1,fn Char1,ALTS FOOTNOTE Char Char,fn Char Char,Footnote Text Char1 Char Char,Footnote Text Char Char Char Char,Footnote Text Char2 Char Char Char Char,Footnote Text Char1 Char1 Char Char Char Char,f Char"/>
    <w:link w:val="FootnoteText"/>
    <w:rsid w:val="008F4BE3"/>
    <w:rPr>
      <w:rFonts w:ascii="Times New Roman" w:eastAsia="Times New Roman" w:hAnsi="Times New Roman" w:cs="Times New Roman"/>
      <w:sz w:val="20"/>
      <w:szCs w:val="20"/>
    </w:rPr>
  </w:style>
  <w:style w:type="character" w:customStyle="1" w:styleId="DeltaViewDeletion">
    <w:name w:val="DeltaView Deletion"/>
    <w:uiPriority w:val="99"/>
    <w:rsid w:val="005616B8"/>
    <w:rPr>
      <w:strike/>
      <w:color w:val="FF0000"/>
    </w:rPr>
  </w:style>
  <w:style w:type="character" w:styleId="FollowedHyperlink">
    <w:name w:val="FollowedHyperlink"/>
    <w:basedOn w:val="DefaultParagraphFont"/>
    <w:uiPriority w:val="99"/>
    <w:semiHidden/>
    <w:unhideWhenUsed/>
    <w:rsid w:val="00C31DC3"/>
    <w:rPr>
      <w:color w:val="800080" w:themeColor="followedHyperlink"/>
      <w:u w:val="single"/>
    </w:rPr>
  </w:style>
  <w:style w:type="character" w:styleId="CommentReference">
    <w:name w:val="annotation reference"/>
    <w:basedOn w:val="DefaultParagraphFont"/>
    <w:uiPriority w:val="99"/>
    <w:semiHidden/>
    <w:unhideWhenUsed/>
    <w:rsid w:val="000D3B0F"/>
    <w:rPr>
      <w:sz w:val="16"/>
      <w:szCs w:val="16"/>
    </w:rPr>
  </w:style>
  <w:style w:type="paragraph" w:styleId="CommentText">
    <w:name w:val="annotation text"/>
    <w:basedOn w:val="Normal"/>
    <w:link w:val="CommentTextChar"/>
    <w:uiPriority w:val="99"/>
    <w:semiHidden/>
    <w:unhideWhenUsed/>
    <w:rsid w:val="000D3B0F"/>
    <w:rPr>
      <w:sz w:val="20"/>
    </w:rPr>
  </w:style>
  <w:style w:type="character" w:customStyle="1" w:styleId="CommentTextChar">
    <w:name w:val="Comment Text Char"/>
    <w:basedOn w:val="DefaultParagraphFont"/>
    <w:link w:val="CommentText"/>
    <w:uiPriority w:val="99"/>
    <w:semiHidden/>
    <w:rsid w:val="000D3B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D3B0F"/>
    <w:rPr>
      <w:b/>
      <w:bCs/>
    </w:rPr>
  </w:style>
  <w:style w:type="character" w:customStyle="1" w:styleId="CommentSubjectChar">
    <w:name w:val="Comment Subject Char"/>
    <w:basedOn w:val="CommentTextChar"/>
    <w:link w:val="CommentSubject"/>
    <w:uiPriority w:val="99"/>
    <w:semiHidden/>
    <w:rsid w:val="000D3B0F"/>
    <w:rPr>
      <w:rFonts w:ascii="Times New Roman" w:eastAsia="Times New Roman" w:hAnsi="Times New Roman" w:cs="Times New Roman"/>
      <w:b/>
      <w:bCs/>
      <w:sz w:val="20"/>
      <w:szCs w:val="20"/>
    </w:rPr>
  </w:style>
  <w:style w:type="paragraph" w:styleId="Revision">
    <w:name w:val="Revision"/>
    <w:hidden/>
    <w:uiPriority w:val="99"/>
    <w:semiHidden/>
    <w:rsid w:val="000D3B0F"/>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3B0F"/>
    <w:rPr>
      <w:rFonts w:ascii="Tahoma" w:hAnsi="Tahoma" w:cs="Tahoma"/>
      <w:sz w:val="16"/>
      <w:szCs w:val="16"/>
    </w:rPr>
  </w:style>
  <w:style w:type="character" w:customStyle="1" w:styleId="BalloonTextChar">
    <w:name w:val="Balloon Text Char"/>
    <w:basedOn w:val="DefaultParagraphFont"/>
    <w:link w:val="BalloonText"/>
    <w:uiPriority w:val="99"/>
    <w:semiHidden/>
    <w:rsid w:val="000D3B0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usac.org/sl/applicants/before-youre-done/delivery-exten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3734</Characters>
  <Application>Microsoft Office Word</Application>
  <DocSecurity>0</DocSecurity>
  <Lines>124</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4411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2014-09-24T18:24:00Z</cp:lastPrinted>
  <dcterms:created xsi:type="dcterms:W3CDTF">2014-11-05T18:49:00Z</dcterms:created>
  <dcterms:modified xsi:type="dcterms:W3CDTF">2014-11-05T18:49:00Z</dcterms:modified>
  <cp:category> </cp:category>
  <cp:contentStatus> </cp:contentStatus>
</cp:coreProperties>
</file>