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39A2"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FDBEC9E" w14:textId="5B739D8A" w:rsidR="00602577" w:rsidRPr="00A2102C" w:rsidRDefault="00A2102C">
      <w:pPr>
        <w:jc w:val="right"/>
        <w:rPr>
          <w:b/>
          <w:sz w:val="24"/>
        </w:rPr>
      </w:pPr>
      <w:r w:rsidRPr="00A2102C">
        <w:rPr>
          <w:b/>
          <w:sz w:val="24"/>
        </w:rPr>
        <w:lastRenderedPageBreak/>
        <w:t>DA 14-</w:t>
      </w:r>
      <w:r w:rsidR="006119C2">
        <w:rPr>
          <w:b/>
          <w:sz w:val="24"/>
        </w:rPr>
        <w:t>1595</w:t>
      </w:r>
    </w:p>
    <w:p w14:paraId="73115179" w14:textId="24CAE78A" w:rsidR="00602577" w:rsidRPr="00A2102C" w:rsidRDefault="00A2102C">
      <w:pPr>
        <w:spacing w:before="60"/>
        <w:jc w:val="right"/>
        <w:rPr>
          <w:b/>
          <w:sz w:val="24"/>
        </w:rPr>
      </w:pPr>
      <w:r w:rsidRPr="00A2102C">
        <w:rPr>
          <w:b/>
          <w:sz w:val="24"/>
        </w:rPr>
        <w:t xml:space="preserve">Released: </w:t>
      </w:r>
      <w:r w:rsidR="002F5311">
        <w:rPr>
          <w:b/>
          <w:sz w:val="24"/>
        </w:rPr>
        <w:t>November 3,</w:t>
      </w:r>
      <w:r w:rsidRPr="00A2102C">
        <w:rPr>
          <w:b/>
          <w:sz w:val="24"/>
        </w:rPr>
        <w:t xml:space="preserve"> 2014</w:t>
      </w:r>
    </w:p>
    <w:p w14:paraId="7A6F7442" w14:textId="77777777" w:rsidR="00602577" w:rsidRDefault="00602577">
      <w:pPr>
        <w:jc w:val="right"/>
        <w:rPr>
          <w:sz w:val="24"/>
        </w:rPr>
      </w:pPr>
    </w:p>
    <w:p w14:paraId="23DCF487" w14:textId="72155577" w:rsidR="00BD349C" w:rsidRDefault="00A2102C" w:rsidP="00F95260">
      <w:pPr>
        <w:spacing w:after="240"/>
        <w:contextualSpacing/>
        <w:jc w:val="center"/>
        <w:rPr>
          <w:b/>
          <w:sz w:val="24"/>
        </w:rPr>
      </w:pPr>
      <w:r w:rsidRPr="00A2102C">
        <w:rPr>
          <w:b/>
          <w:sz w:val="24"/>
        </w:rPr>
        <w:t xml:space="preserve">INCENTIVE AUCTION TASK FORCE </w:t>
      </w:r>
      <w:r w:rsidR="00BD349C">
        <w:rPr>
          <w:b/>
          <w:sz w:val="24"/>
        </w:rPr>
        <w:t>RELEASES</w:t>
      </w:r>
      <w:r w:rsidR="003D5C37">
        <w:rPr>
          <w:b/>
          <w:sz w:val="24"/>
        </w:rPr>
        <w:t xml:space="preserve"> </w:t>
      </w:r>
      <w:r w:rsidR="00F95260">
        <w:rPr>
          <w:b/>
          <w:sz w:val="24"/>
        </w:rPr>
        <w:t xml:space="preserve">SOFTWARE TO GENERATE </w:t>
      </w:r>
    </w:p>
    <w:p w14:paraId="4BF5BA64" w14:textId="6E9D9404" w:rsidR="00A2102C" w:rsidRPr="00A2102C" w:rsidRDefault="00F95260" w:rsidP="00F95260">
      <w:pPr>
        <w:spacing w:after="240"/>
        <w:contextualSpacing/>
        <w:jc w:val="center"/>
        <w:rPr>
          <w:b/>
          <w:sz w:val="24"/>
        </w:rPr>
      </w:pPr>
      <w:r>
        <w:rPr>
          <w:b/>
          <w:sz w:val="24"/>
        </w:rPr>
        <w:t xml:space="preserve">PAIRWISE </w:t>
      </w:r>
      <w:r w:rsidR="009F2F32">
        <w:rPr>
          <w:b/>
          <w:sz w:val="24"/>
        </w:rPr>
        <w:t>CONSTRAINT</w:t>
      </w:r>
      <w:r w:rsidR="00582E4D">
        <w:rPr>
          <w:b/>
          <w:sz w:val="24"/>
        </w:rPr>
        <w:t xml:space="preserve"> </w:t>
      </w:r>
      <w:r w:rsidR="003D5C37">
        <w:rPr>
          <w:b/>
          <w:sz w:val="24"/>
        </w:rPr>
        <w:t xml:space="preserve">DATA </w:t>
      </w:r>
      <w:r>
        <w:rPr>
          <w:b/>
          <w:sz w:val="24"/>
        </w:rPr>
        <w:t>AND PERFORM FEASIBILITY CHECKING</w:t>
      </w:r>
    </w:p>
    <w:p w14:paraId="2CFC767B" w14:textId="77777777" w:rsidR="00973010" w:rsidRDefault="00973010" w:rsidP="00A95E4C">
      <w:pPr>
        <w:spacing w:after="240"/>
        <w:contextualSpacing/>
        <w:jc w:val="center"/>
        <w:rPr>
          <w:b/>
          <w:sz w:val="24"/>
        </w:rPr>
      </w:pPr>
    </w:p>
    <w:p w14:paraId="6C5A1297" w14:textId="77777777" w:rsidR="00A2102C" w:rsidRPr="00A2102C" w:rsidRDefault="00A2102C" w:rsidP="00A95E4C">
      <w:pPr>
        <w:spacing w:after="240"/>
        <w:contextualSpacing/>
        <w:jc w:val="center"/>
        <w:rPr>
          <w:b/>
          <w:sz w:val="24"/>
        </w:rPr>
      </w:pPr>
      <w:r w:rsidRPr="00A2102C">
        <w:rPr>
          <w:b/>
          <w:sz w:val="24"/>
        </w:rPr>
        <w:t>GN Docket No. 12-268</w:t>
      </w:r>
    </w:p>
    <w:p w14:paraId="568816C0" w14:textId="77777777" w:rsidR="00602577" w:rsidRDefault="00A2102C" w:rsidP="00A95E4C">
      <w:pPr>
        <w:spacing w:after="240"/>
        <w:contextualSpacing/>
        <w:jc w:val="center"/>
        <w:rPr>
          <w:b/>
          <w:sz w:val="24"/>
        </w:rPr>
      </w:pPr>
      <w:r w:rsidRPr="00A2102C">
        <w:rPr>
          <w:b/>
          <w:sz w:val="24"/>
        </w:rPr>
        <w:t>ET Docket No. 13-26</w:t>
      </w:r>
    </w:p>
    <w:p w14:paraId="3DDDB32B" w14:textId="77777777" w:rsidR="00602577" w:rsidRDefault="00602577">
      <w:pPr>
        <w:jc w:val="center"/>
        <w:rPr>
          <w:sz w:val="24"/>
        </w:rPr>
      </w:pPr>
    </w:p>
    <w:p w14:paraId="1AD40469" w14:textId="7916B2D9" w:rsidR="008D3B9A" w:rsidRDefault="008E7D48" w:rsidP="0002701B">
      <w:pPr>
        <w:pStyle w:val="Para"/>
        <w:widowControl/>
        <w:spacing w:after="120"/>
        <w:rPr>
          <w:color w:val="000000"/>
          <w:szCs w:val="22"/>
        </w:rPr>
      </w:pPr>
      <w:r>
        <w:rPr>
          <w:color w:val="000000"/>
          <w:szCs w:val="22"/>
        </w:rPr>
        <w:t>By t</w:t>
      </w:r>
      <w:r w:rsidR="00186AA8">
        <w:rPr>
          <w:color w:val="000000"/>
          <w:szCs w:val="22"/>
        </w:rPr>
        <w:t>his Public Notice</w:t>
      </w:r>
      <w:r>
        <w:rPr>
          <w:color w:val="000000"/>
          <w:szCs w:val="22"/>
        </w:rPr>
        <w:t>,</w:t>
      </w:r>
      <w:r w:rsidR="00186AA8">
        <w:rPr>
          <w:color w:val="000000"/>
          <w:szCs w:val="22"/>
        </w:rPr>
        <w:t xml:space="preserve"> the Incentive Auction Task Force</w:t>
      </w:r>
      <w:r w:rsidR="009C63FD">
        <w:rPr>
          <w:color w:val="000000"/>
          <w:szCs w:val="22"/>
        </w:rPr>
        <w:t xml:space="preserve"> (IATF)</w:t>
      </w:r>
      <w:r w:rsidR="00186AA8">
        <w:rPr>
          <w:color w:val="000000"/>
          <w:szCs w:val="22"/>
        </w:rPr>
        <w:t xml:space="preserve"> </w:t>
      </w:r>
      <w:r>
        <w:rPr>
          <w:color w:val="000000"/>
          <w:szCs w:val="22"/>
        </w:rPr>
        <w:t xml:space="preserve">is making available additional software </w:t>
      </w:r>
      <w:r w:rsidR="008D5F47">
        <w:rPr>
          <w:color w:val="000000"/>
          <w:szCs w:val="22"/>
        </w:rPr>
        <w:t>regard</w:t>
      </w:r>
      <w:r w:rsidR="00F95260">
        <w:rPr>
          <w:color w:val="000000"/>
          <w:szCs w:val="22"/>
        </w:rPr>
        <w:t xml:space="preserve">ing </w:t>
      </w:r>
      <w:r w:rsidR="00BD349C">
        <w:rPr>
          <w:color w:val="000000"/>
          <w:szCs w:val="22"/>
        </w:rPr>
        <w:t xml:space="preserve">technical </w:t>
      </w:r>
      <w:r w:rsidR="00F372DD">
        <w:rPr>
          <w:color w:val="000000"/>
          <w:szCs w:val="22"/>
        </w:rPr>
        <w:t xml:space="preserve">aspects of </w:t>
      </w:r>
      <w:r w:rsidR="00F95260">
        <w:rPr>
          <w:color w:val="000000"/>
          <w:szCs w:val="22"/>
        </w:rPr>
        <w:t>the</w:t>
      </w:r>
      <w:r w:rsidR="00186AA8">
        <w:rPr>
          <w:color w:val="000000"/>
          <w:szCs w:val="22"/>
        </w:rPr>
        <w:t xml:space="preserve"> repacking process</w:t>
      </w:r>
      <w:r w:rsidR="00BD349C">
        <w:rPr>
          <w:color w:val="000000"/>
          <w:szCs w:val="22"/>
        </w:rPr>
        <w:t xml:space="preserve"> in the upcoming broadcast television incentive auction</w:t>
      </w:r>
      <w:r>
        <w:rPr>
          <w:color w:val="000000"/>
          <w:szCs w:val="22"/>
        </w:rPr>
        <w:t>:</w:t>
      </w:r>
      <w:r w:rsidR="00F372DD" w:rsidRPr="00D35403">
        <w:rPr>
          <w:rStyle w:val="FootnoteReference"/>
          <w:color w:val="000000"/>
          <w:sz w:val="20"/>
          <w:szCs w:val="22"/>
        </w:rPr>
        <w:footnoteReference w:id="2"/>
      </w:r>
      <w:r w:rsidR="00F95260">
        <w:rPr>
          <w:color w:val="000000"/>
          <w:szCs w:val="22"/>
        </w:rPr>
        <w:t xml:space="preserve"> </w:t>
      </w:r>
      <w:r w:rsidR="00F372DD">
        <w:rPr>
          <w:color w:val="000000"/>
          <w:szCs w:val="22"/>
        </w:rPr>
        <w:t xml:space="preserve"> </w:t>
      </w:r>
    </w:p>
    <w:p w14:paraId="085BFEBD" w14:textId="5CBCB305" w:rsidR="008D3B9A" w:rsidRDefault="008E7D48" w:rsidP="008D3B9A">
      <w:pPr>
        <w:pStyle w:val="Para"/>
        <w:widowControl/>
        <w:numPr>
          <w:ilvl w:val="0"/>
          <w:numId w:val="18"/>
        </w:numPr>
        <w:spacing w:after="120"/>
        <w:rPr>
          <w:color w:val="000000"/>
          <w:szCs w:val="22"/>
        </w:rPr>
      </w:pPr>
      <w:r>
        <w:rPr>
          <w:color w:val="000000"/>
          <w:szCs w:val="22"/>
        </w:rPr>
        <w:t>The</w:t>
      </w:r>
      <w:r w:rsidR="008E7C19">
        <w:rPr>
          <w:color w:val="000000"/>
          <w:szCs w:val="22"/>
        </w:rPr>
        <w:t xml:space="preserve"> </w:t>
      </w:r>
      <w:r w:rsidR="008D3B9A">
        <w:rPr>
          <w:color w:val="000000"/>
          <w:szCs w:val="22"/>
        </w:rPr>
        <w:t xml:space="preserve">staff-developed “Constraint Generator” </w:t>
      </w:r>
      <w:r w:rsidR="008E7C19">
        <w:rPr>
          <w:color w:val="000000"/>
          <w:szCs w:val="22"/>
        </w:rPr>
        <w:t xml:space="preserve">software </w:t>
      </w:r>
      <w:r w:rsidR="006F2E95">
        <w:rPr>
          <w:color w:val="000000"/>
          <w:szCs w:val="22"/>
        </w:rPr>
        <w:t xml:space="preserve">used </w:t>
      </w:r>
      <w:r w:rsidR="008E7C19">
        <w:rPr>
          <w:color w:val="000000"/>
          <w:szCs w:val="22"/>
        </w:rPr>
        <w:t xml:space="preserve">to generate pairwise </w:t>
      </w:r>
      <w:r w:rsidR="008D3B9A">
        <w:rPr>
          <w:color w:val="000000"/>
          <w:szCs w:val="22"/>
        </w:rPr>
        <w:t xml:space="preserve">interference </w:t>
      </w:r>
      <w:r w:rsidR="008E7C19">
        <w:rPr>
          <w:color w:val="000000"/>
          <w:szCs w:val="22"/>
        </w:rPr>
        <w:t xml:space="preserve">constraint </w:t>
      </w:r>
      <w:r w:rsidR="00762636">
        <w:rPr>
          <w:color w:val="000000"/>
          <w:szCs w:val="22"/>
        </w:rPr>
        <w:t>files</w:t>
      </w:r>
      <w:r w:rsidR="008D3B9A">
        <w:rPr>
          <w:color w:val="000000"/>
          <w:szCs w:val="22"/>
        </w:rPr>
        <w:t>;</w:t>
      </w:r>
      <w:r w:rsidR="00F7537C">
        <w:rPr>
          <w:rStyle w:val="FootnoteReference"/>
          <w:color w:val="000000"/>
          <w:szCs w:val="22"/>
        </w:rPr>
        <w:footnoteReference w:id="3"/>
      </w:r>
      <w:r w:rsidR="008D3B9A">
        <w:rPr>
          <w:color w:val="000000"/>
          <w:szCs w:val="22"/>
        </w:rPr>
        <w:t xml:space="preserve"> and</w:t>
      </w:r>
    </w:p>
    <w:p w14:paraId="7EC67DF0" w14:textId="268E6BD2" w:rsidR="008D3B9A" w:rsidRDefault="00D470C6" w:rsidP="008D3B9A">
      <w:pPr>
        <w:pStyle w:val="Para"/>
        <w:widowControl/>
        <w:numPr>
          <w:ilvl w:val="0"/>
          <w:numId w:val="18"/>
        </w:numPr>
        <w:spacing w:after="120"/>
        <w:rPr>
          <w:color w:val="000000"/>
          <w:szCs w:val="22"/>
        </w:rPr>
      </w:pPr>
      <w:r>
        <w:rPr>
          <w:color w:val="000000"/>
          <w:szCs w:val="22"/>
        </w:rPr>
        <w:t>An o</w:t>
      </w:r>
      <w:r w:rsidR="008E7C19">
        <w:rPr>
          <w:color w:val="000000"/>
          <w:szCs w:val="22"/>
        </w:rPr>
        <w:t>pen-source</w:t>
      </w:r>
      <w:r w:rsidR="00762636">
        <w:rPr>
          <w:color w:val="000000"/>
          <w:szCs w:val="22"/>
        </w:rPr>
        <w:t>,</w:t>
      </w:r>
      <w:r w:rsidR="008E7C19">
        <w:rPr>
          <w:color w:val="000000"/>
          <w:szCs w:val="22"/>
        </w:rPr>
        <w:t xml:space="preserve"> satisfiability solv</w:t>
      </w:r>
      <w:r w:rsidR="008D3B9A">
        <w:rPr>
          <w:color w:val="000000"/>
          <w:szCs w:val="22"/>
        </w:rPr>
        <w:t xml:space="preserve">er-based </w:t>
      </w:r>
      <w:r>
        <w:rPr>
          <w:color w:val="000000"/>
          <w:szCs w:val="22"/>
        </w:rPr>
        <w:t xml:space="preserve">implementation of </w:t>
      </w:r>
      <w:r w:rsidR="008D3B9A">
        <w:rPr>
          <w:color w:val="000000"/>
          <w:szCs w:val="22"/>
        </w:rPr>
        <w:t>“Feasibility Checker”</w:t>
      </w:r>
      <w:r w:rsidR="008E7C19">
        <w:rPr>
          <w:color w:val="000000"/>
          <w:szCs w:val="22"/>
        </w:rPr>
        <w:t xml:space="preserve"> software</w:t>
      </w:r>
      <w:r w:rsidR="008D3B9A">
        <w:rPr>
          <w:color w:val="000000"/>
          <w:szCs w:val="22"/>
        </w:rPr>
        <w:t xml:space="preserve"> that can be used to evaluate the feasibility of assigning channels to stations</w:t>
      </w:r>
      <w:r w:rsidR="008E7C19">
        <w:rPr>
          <w:color w:val="000000"/>
          <w:szCs w:val="22"/>
        </w:rPr>
        <w:t xml:space="preserve"> during the repacking process</w:t>
      </w:r>
      <w:r w:rsidR="00762636">
        <w:rPr>
          <w:color w:val="000000"/>
          <w:szCs w:val="22"/>
        </w:rPr>
        <w:t>, consistent with the pairwise interference constraint files</w:t>
      </w:r>
      <w:r w:rsidR="008D3B9A">
        <w:rPr>
          <w:color w:val="000000"/>
          <w:szCs w:val="22"/>
        </w:rPr>
        <w:t>.</w:t>
      </w:r>
      <w:r w:rsidR="00F7537C">
        <w:rPr>
          <w:rStyle w:val="FootnoteReference"/>
          <w:color w:val="000000"/>
          <w:szCs w:val="22"/>
        </w:rPr>
        <w:footnoteReference w:id="4"/>
      </w:r>
    </w:p>
    <w:p w14:paraId="07F2BD8C" w14:textId="49CF7693" w:rsidR="008E7D48" w:rsidRDefault="008E7D48" w:rsidP="00D470C6">
      <w:pPr>
        <w:pStyle w:val="Para"/>
        <w:widowControl/>
        <w:spacing w:after="120"/>
        <w:ind w:firstLine="0"/>
        <w:rPr>
          <w:color w:val="000000"/>
          <w:szCs w:val="22"/>
        </w:rPr>
      </w:pPr>
      <w:r>
        <w:rPr>
          <w:color w:val="000000"/>
          <w:szCs w:val="22"/>
        </w:rPr>
        <w:t xml:space="preserve">The release of this software </w:t>
      </w:r>
      <w:r w:rsidR="004A366E">
        <w:rPr>
          <w:color w:val="000000"/>
          <w:szCs w:val="22"/>
        </w:rPr>
        <w:t>continues to fulfill</w:t>
      </w:r>
      <w:r>
        <w:rPr>
          <w:color w:val="000000"/>
          <w:szCs w:val="22"/>
        </w:rPr>
        <w:t xml:space="preserve"> the Commission’s</w:t>
      </w:r>
      <w:r w:rsidRPr="009C000F">
        <w:rPr>
          <w:color w:val="000000"/>
          <w:szCs w:val="22"/>
        </w:rPr>
        <w:t xml:space="preserve"> </w:t>
      </w:r>
      <w:r w:rsidR="004A366E">
        <w:rPr>
          <w:color w:val="000000"/>
          <w:szCs w:val="22"/>
        </w:rPr>
        <w:t>commitment to transparency in this proceeding.</w:t>
      </w:r>
      <w:r>
        <w:rPr>
          <w:rStyle w:val="FootnoteReference"/>
          <w:color w:val="000000"/>
          <w:szCs w:val="22"/>
        </w:rPr>
        <w:footnoteReference w:id="5"/>
      </w:r>
    </w:p>
    <w:p w14:paraId="799F34B8" w14:textId="35904E2F" w:rsidR="00F7537C" w:rsidRDefault="003778BC" w:rsidP="00DF1845">
      <w:pPr>
        <w:pStyle w:val="Para"/>
        <w:widowControl/>
        <w:spacing w:after="120"/>
        <w:rPr>
          <w:color w:val="000000"/>
          <w:szCs w:val="22"/>
        </w:rPr>
      </w:pPr>
      <w:r>
        <w:rPr>
          <w:color w:val="000000"/>
          <w:szCs w:val="22"/>
        </w:rPr>
        <w:t xml:space="preserve">In the </w:t>
      </w:r>
      <w:r>
        <w:rPr>
          <w:i/>
          <w:color w:val="000000"/>
          <w:szCs w:val="22"/>
        </w:rPr>
        <w:t>Incentive Auction R&amp;O</w:t>
      </w:r>
      <w:r>
        <w:rPr>
          <w:color w:val="000000"/>
          <w:szCs w:val="22"/>
        </w:rPr>
        <w:t>, the Commission adopted an approach to evaluating the feasibility of assigning television channels to stations that can be used in the context of a real-time descending clock reverse auction.</w:t>
      </w:r>
      <w:r>
        <w:rPr>
          <w:rStyle w:val="FootnoteReference"/>
          <w:color w:val="000000"/>
          <w:szCs w:val="22"/>
        </w:rPr>
        <w:footnoteReference w:id="6"/>
      </w:r>
      <w:r>
        <w:rPr>
          <w:color w:val="000000"/>
          <w:szCs w:val="22"/>
        </w:rPr>
        <w:t xml:space="preserve">  This approach </w:t>
      </w:r>
      <w:r w:rsidR="00591F0B">
        <w:rPr>
          <w:color w:val="000000"/>
          <w:szCs w:val="22"/>
        </w:rPr>
        <w:t>determines</w:t>
      </w:r>
      <w:r w:rsidR="00A17819">
        <w:rPr>
          <w:color w:val="000000"/>
          <w:szCs w:val="22"/>
        </w:rPr>
        <w:t xml:space="preserve"> </w:t>
      </w:r>
      <w:r w:rsidR="00591F0B">
        <w:rPr>
          <w:color w:val="000000"/>
          <w:szCs w:val="22"/>
        </w:rPr>
        <w:t xml:space="preserve">whether there exists at least one feasible channel assignment for a given set </w:t>
      </w:r>
      <w:r w:rsidR="00591F0B">
        <w:rPr>
          <w:color w:val="000000"/>
          <w:szCs w:val="22"/>
        </w:rPr>
        <w:lastRenderedPageBreak/>
        <w:t xml:space="preserve">of stations </w:t>
      </w:r>
      <w:r w:rsidR="00A17819">
        <w:rPr>
          <w:color w:val="000000"/>
          <w:szCs w:val="22"/>
        </w:rPr>
        <w:t xml:space="preserve">using </w:t>
      </w:r>
      <w:r>
        <w:rPr>
          <w:color w:val="000000"/>
          <w:szCs w:val="22"/>
        </w:rPr>
        <w:t xml:space="preserve">pairwise interference constraint files as first proposed in the </w:t>
      </w:r>
      <w:r w:rsidRPr="008E7C19">
        <w:rPr>
          <w:i/>
          <w:color w:val="000000"/>
          <w:szCs w:val="22"/>
        </w:rPr>
        <w:t>Repacking Data PN</w:t>
      </w:r>
      <w:r>
        <w:rPr>
          <w:color w:val="000000"/>
          <w:szCs w:val="22"/>
        </w:rPr>
        <w:t>.</w:t>
      </w:r>
      <w:r w:rsidRPr="00D35403">
        <w:rPr>
          <w:rStyle w:val="FootnoteReference"/>
          <w:color w:val="000000"/>
          <w:sz w:val="20"/>
          <w:szCs w:val="22"/>
        </w:rPr>
        <w:footnoteReference w:id="7"/>
      </w:r>
      <w:r>
        <w:rPr>
          <w:color w:val="000000"/>
          <w:szCs w:val="22"/>
        </w:rPr>
        <w:t xml:space="preserve">  </w:t>
      </w:r>
      <w:r w:rsidR="00813608">
        <w:rPr>
          <w:color w:val="000000"/>
          <w:szCs w:val="22"/>
        </w:rPr>
        <w:t xml:space="preserve">While the Constraint Generator and Feasibility Checker are distinct pieces of software, they are interrelated:  </w:t>
      </w:r>
      <w:r w:rsidR="00EF0246">
        <w:rPr>
          <w:color w:val="000000"/>
          <w:szCs w:val="22"/>
        </w:rPr>
        <w:t>evaluating</w:t>
      </w:r>
      <w:r w:rsidR="00813608">
        <w:rPr>
          <w:color w:val="000000"/>
          <w:szCs w:val="22"/>
        </w:rPr>
        <w:t xml:space="preserve"> feasibility requires solving a complex mathematical problem consistent with pairwise interference </w:t>
      </w:r>
      <w:r w:rsidR="00710271">
        <w:rPr>
          <w:color w:val="000000"/>
          <w:szCs w:val="22"/>
        </w:rPr>
        <w:t>limits</w:t>
      </w:r>
      <w:r w:rsidR="00813608">
        <w:rPr>
          <w:color w:val="000000"/>
          <w:szCs w:val="22"/>
        </w:rPr>
        <w:t xml:space="preserve">. </w:t>
      </w:r>
      <w:r w:rsidR="00D470C6">
        <w:rPr>
          <w:color w:val="000000"/>
          <w:szCs w:val="22"/>
        </w:rPr>
        <w:t xml:space="preserve"> B</w:t>
      </w:r>
      <w:r w:rsidR="00813608">
        <w:rPr>
          <w:color w:val="000000"/>
          <w:szCs w:val="22"/>
        </w:rPr>
        <w:t>uild</w:t>
      </w:r>
      <w:r w:rsidR="00FF2FD4">
        <w:rPr>
          <w:color w:val="000000"/>
          <w:szCs w:val="22"/>
        </w:rPr>
        <w:t>ing</w:t>
      </w:r>
      <w:r w:rsidR="00813608">
        <w:rPr>
          <w:color w:val="000000"/>
          <w:szCs w:val="22"/>
        </w:rPr>
        <w:t xml:space="preserve"> upon data output from </w:t>
      </w:r>
      <w:r w:rsidR="00813608" w:rsidRPr="008E7C19">
        <w:rPr>
          <w:i/>
          <w:color w:val="000000"/>
          <w:szCs w:val="22"/>
        </w:rPr>
        <w:t>TVStudy</w:t>
      </w:r>
      <w:r w:rsidR="00813608">
        <w:rPr>
          <w:color w:val="000000"/>
          <w:szCs w:val="22"/>
        </w:rPr>
        <w:t xml:space="preserve"> software </w:t>
      </w:r>
      <w:r w:rsidR="00D470C6">
        <w:rPr>
          <w:color w:val="000000"/>
          <w:szCs w:val="22"/>
        </w:rPr>
        <w:t>implementing</w:t>
      </w:r>
      <w:r w:rsidR="00FF2FD4">
        <w:rPr>
          <w:color w:val="000000"/>
          <w:szCs w:val="22"/>
        </w:rPr>
        <w:t xml:space="preserve"> </w:t>
      </w:r>
      <w:r w:rsidR="00813608">
        <w:rPr>
          <w:color w:val="000000"/>
          <w:szCs w:val="22"/>
        </w:rPr>
        <w:t>the methodology described in OET Bulletin No. 69</w:t>
      </w:r>
      <w:r w:rsidR="00D470C6">
        <w:rPr>
          <w:color w:val="000000"/>
          <w:szCs w:val="22"/>
        </w:rPr>
        <w:t>, the Constraint Generator</w:t>
      </w:r>
      <w:r w:rsidR="00813608">
        <w:rPr>
          <w:color w:val="000000"/>
          <w:szCs w:val="22"/>
        </w:rPr>
        <w:t xml:space="preserve"> create</w:t>
      </w:r>
      <w:r w:rsidR="00D470C6">
        <w:rPr>
          <w:color w:val="000000"/>
          <w:szCs w:val="22"/>
        </w:rPr>
        <w:t>s</w:t>
      </w:r>
      <w:r w:rsidR="00813608">
        <w:rPr>
          <w:color w:val="000000"/>
          <w:szCs w:val="22"/>
        </w:rPr>
        <w:t xml:space="preserve"> </w:t>
      </w:r>
      <w:r w:rsidR="000510F7">
        <w:rPr>
          <w:color w:val="000000"/>
          <w:szCs w:val="22"/>
        </w:rPr>
        <w:t xml:space="preserve">pairwise interference </w:t>
      </w:r>
      <w:r w:rsidR="00813608">
        <w:rPr>
          <w:color w:val="000000"/>
          <w:szCs w:val="22"/>
        </w:rPr>
        <w:t xml:space="preserve">constraint files </w:t>
      </w:r>
      <w:r w:rsidR="00EF0246">
        <w:rPr>
          <w:color w:val="000000"/>
          <w:szCs w:val="22"/>
        </w:rPr>
        <w:t>that pre-calculate all the channels a station could be assigned</w:t>
      </w:r>
      <w:r w:rsidR="005D36D3">
        <w:rPr>
          <w:color w:val="000000"/>
          <w:szCs w:val="22"/>
        </w:rPr>
        <w:t>,</w:t>
      </w:r>
      <w:r w:rsidR="00EF0246">
        <w:rPr>
          <w:color w:val="000000"/>
          <w:szCs w:val="22"/>
        </w:rPr>
        <w:t xml:space="preserve"> </w:t>
      </w:r>
      <w:r w:rsidR="00813608">
        <w:rPr>
          <w:color w:val="000000"/>
          <w:szCs w:val="22"/>
        </w:rPr>
        <w:t xml:space="preserve">consistent with the </w:t>
      </w:r>
      <w:r w:rsidR="00FF2FD4">
        <w:rPr>
          <w:color w:val="000000"/>
          <w:szCs w:val="22"/>
        </w:rPr>
        <w:t>Commission’s implementation of the statutory requirement to</w:t>
      </w:r>
      <w:r w:rsidR="002E5E4C">
        <w:rPr>
          <w:color w:val="000000"/>
          <w:szCs w:val="22"/>
        </w:rPr>
        <w:t xml:space="preserve"> </w:t>
      </w:r>
      <w:r w:rsidR="00D470C6">
        <w:rPr>
          <w:color w:val="000000"/>
          <w:szCs w:val="22"/>
        </w:rPr>
        <w:t xml:space="preserve">preserve </w:t>
      </w:r>
      <w:r w:rsidR="00F94844">
        <w:rPr>
          <w:color w:val="000000"/>
          <w:szCs w:val="22"/>
        </w:rPr>
        <w:t xml:space="preserve">coverage area and </w:t>
      </w:r>
      <w:r w:rsidR="00EF0246">
        <w:rPr>
          <w:color w:val="000000"/>
          <w:szCs w:val="22"/>
        </w:rPr>
        <w:t>population served</w:t>
      </w:r>
      <w:r w:rsidR="00813608">
        <w:rPr>
          <w:color w:val="000000"/>
          <w:szCs w:val="22"/>
        </w:rPr>
        <w:t>.</w:t>
      </w:r>
      <w:r w:rsidR="00813608" w:rsidRPr="00D35403">
        <w:rPr>
          <w:rStyle w:val="FootnoteReference"/>
          <w:color w:val="000000"/>
          <w:sz w:val="20"/>
          <w:szCs w:val="22"/>
        </w:rPr>
        <w:footnoteReference w:id="8"/>
      </w:r>
      <w:r w:rsidR="00813608">
        <w:rPr>
          <w:color w:val="000000"/>
          <w:szCs w:val="22"/>
        </w:rPr>
        <w:t xml:space="preserve">  </w:t>
      </w:r>
      <w:r w:rsidR="00EF0246">
        <w:rPr>
          <w:color w:val="000000"/>
          <w:szCs w:val="22"/>
        </w:rPr>
        <w:t>T</w:t>
      </w:r>
      <w:r w:rsidR="00813608">
        <w:rPr>
          <w:color w:val="000000"/>
          <w:szCs w:val="22"/>
        </w:rPr>
        <w:t xml:space="preserve">he Feasibility Checker can then be used to determine, within seconds, whether a given channel reassignment is feasible using the pairwise interference </w:t>
      </w:r>
      <w:r w:rsidR="00EF0246">
        <w:rPr>
          <w:color w:val="000000"/>
          <w:szCs w:val="22"/>
        </w:rPr>
        <w:t>constraint</w:t>
      </w:r>
      <w:r w:rsidR="00EB109F">
        <w:rPr>
          <w:color w:val="000000"/>
          <w:szCs w:val="22"/>
        </w:rPr>
        <w:t xml:space="preserve"> files</w:t>
      </w:r>
      <w:r w:rsidR="00813608">
        <w:rPr>
          <w:color w:val="000000"/>
          <w:szCs w:val="22"/>
        </w:rPr>
        <w:t>.</w:t>
      </w:r>
      <w:r w:rsidR="00813608">
        <w:rPr>
          <w:rStyle w:val="FootnoteReference"/>
          <w:color w:val="000000"/>
          <w:szCs w:val="22"/>
        </w:rPr>
        <w:footnoteReference w:id="9"/>
      </w:r>
      <w:r w:rsidR="00813608">
        <w:rPr>
          <w:color w:val="000000"/>
          <w:szCs w:val="22"/>
        </w:rPr>
        <w:t xml:space="preserve">  </w:t>
      </w:r>
      <w:r w:rsidR="00EB109F">
        <w:rPr>
          <w:color w:val="000000"/>
          <w:szCs w:val="22"/>
        </w:rPr>
        <w:t>Together, these software programs are</w:t>
      </w:r>
      <w:r w:rsidR="00EB109F" w:rsidRPr="00EF0246">
        <w:rPr>
          <w:color w:val="000000"/>
          <w:szCs w:val="22"/>
        </w:rPr>
        <w:t xml:space="preserve"> </w:t>
      </w:r>
      <w:r w:rsidR="00EB109F">
        <w:rPr>
          <w:color w:val="000000"/>
          <w:szCs w:val="22"/>
        </w:rPr>
        <w:t xml:space="preserve">designed to simulate the repacking approach adopted by the Commission in the </w:t>
      </w:r>
      <w:r w:rsidR="00EB109F" w:rsidRPr="005D2D5D">
        <w:rPr>
          <w:i/>
          <w:color w:val="000000"/>
          <w:szCs w:val="22"/>
        </w:rPr>
        <w:t>Incentive Auction R&amp;O</w:t>
      </w:r>
      <w:r w:rsidR="00EB109F">
        <w:rPr>
          <w:color w:val="000000"/>
          <w:szCs w:val="22"/>
        </w:rPr>
        <w:t>.</w:t>
      </w:r>
      <w:r w:rsidR="00EB109F">
        <w:rPr>
          <w:rStyle w:val="FootnoteReference"/>
          <w:color w:val="000000"/>
          <w:szCs w:val="22"/>
        </w:rPr>
        <w:footnoteReference w:id="10"/>
      </w:r>
    </w:p>
    <w:p w14:paraId="44B0BC32" w14:textId="2E44BEC5" w:rsidR="000451C7" w:rsidRDefault="00F7537C" w:rsidP="00DF1845">
      <w:pPr>
        <w:pStyle w:val="Para"/>
        <w:widowControl/>
        <w:spacing w:after="120"/>
        <w:rPr>
          <w:color w:val="000000"/>
          <w:szCs w:val="22"/>
        </w:rPr>
      </w:pPr>
      <w:r>
        <w:rPr>
          <w:color w:val="000000"/>
          <w:szCs w:val="22"/>
        </w:rPr>
        <w:t xml:space="preserve">We emphasize that </w:t>
      </w:r>
      <w:r w:rsidR="004A3BF0">
        <w:rPr>
          <w:color w:val="000000"/>
          <w:szCs w:val="22"/>
        </w:rPr>
        <w:t>t</w:t>
      </w:r>
      <w:r w:rsidR="005B44CD">
        <w:rPr>
          <w:color w:val="000000"/>
          <w:szCs w:val="22"/>
        </w:rPr>
        <w:t>he</w:t>
      </w:r>
      <w:r w:rsidR="00ED03CD">
        <w:rPr>
          <w:color w:val="000000"/>
          <w:szCs w:val="22"/>
        </w:rPr>
        <w:t xml:space="preserve"> software we are releasing today is the product of ongoing staff work</w:t>
      </w:r>
      <w:r w:rsidR="002E4CC6">
        <w:rPr>
          <w:color w:val="000000"/>
          <w:szCs w:val="22"/>
        </w:rPr>
        <w:t xml:space="preserve"> implementing decisions adopted by the Commission</w:t>
      </w:r>
      <w:r w:rsidR="00ED03CD">
        <w:rPr>
          <w:color w:val="000000"/>
          <w:szCs w:val="22"/>
        </w:rPr>
        <w:t xml:space="preserve"> and has not been </w:t>
      </w:r>
      <w:r w:rsidR="00A46E22">
        <w:rPr>
          <w:color w:val="000000"/>
          <w:szCs w:val="22"/>
        </w:rPr>
        <w:t>finalized</w:t>
      </w:r>
      <w:r w:rsidR="00ED03CD">
        <w:rPr>
          <w:color w:val="000000"/>
          <w:szCs w:val="22"/>
        </w:rPr>
        <w:t xml:space="preserve"> for use in the </w:t>
      </w:r>
      <w:r w:rsidR="00A46E22">
        <w:rPr>
          <w:color w:val="000000"/>
          <w:szCs w:val="22"/>
        </w:rPr>
        <w:t>incentive auction</w:t>
      </w:r>
      <w:r w:rsidR="00ED03CD">
        <w:rPr>
          <w:color w:val="000000"/>
          <w:szCs w:val="22"/>
        </w:rPr>
        <w:t>.  The</w:t>
      </w:r>
      <w:r w:rsidR="005B44CD">
        <w:rPr>
          <w:color w:val="000000"/>
          <w:szCs w:val="22"/>
        </w:rPr>
        <w:t xml:space="preserve"> full Commission will make </w:t>
      </w:r>
      <w:r w:rsidR="002E5E4C">
        <w:rPr>
          <w:color w:val="000000"/>
          <w:szCs w:val="22"/>
        </w:rPr>
        <w:t xml:space="preserve">all </w:t>
      </w:r>
      <w:r w:rsidR="005B44CD">
        <w:rPr>
          <w:color w:val="000000"/>
          <w:szCs w:val="22"/>
        </w:rPr>
        <w:t>final decisions regarding the repacking process and other matters relating to the incentive auction</w:t>
      </w:r>
      <w:r w:rsidR="004A3BF0">
        <w:rPr>
          <w:color w:val="000000"/>
          <w:szCs w:val="22"/>
        </w:rPr>
        <w:t xml:space="preserve"> at a later date.</w:t>
      </w:r>
      <w:r w:rsidR="000C3324">
        <w:rPr>
          <w:rStyle w:val="FootnoteReference"/>
          <w:color w:val="000000"/>
          <w:szCs w:val="22"/>
        </w:rPr>
        <w:footnoteReference w:id="11"/>
      </w:r>
      <w:r w:rsidR="004A3BF0">
        <w:rPr>
          <w:color w:val="000000"/>
          <w:szCs w:val="22"/>
        </w:rPr>
        <w:t xml:space="preserve">  </w:t>
      </w:r>
      <w:r w:rsidR="00A62433">
        <w:rPr>
          <w:color w:val="000000"/>
          <w:szCs w:val="22"/>
        </w:rPr>
        <w:t xml:space="preserve">Our goal in releasing this software is to allow interested parties to validate data previously released by the staff and to simulate their own repacking scenarios.  </w:t>
      </w:r>
      <w:r w:rsidR="00ED03CD">
        <w:rPr>
          <w:color w:val="000000"/>
          <w:szCs w:val="22"/>
        </w:rPr>
        <w:t>W</w:t>
      </w:r>
      <w:r w:rsidR="000C3324">
        <w:rPr>
          <w:color w:val="000000"/>
          <w:szCs w:val="22"/>
        </w:rPr>
        <w:t>e</w:t>
      </w:r>
      <w:r w:rsidR="00ED03CD">
        <w:rPr>
          <w:color w:val="000000"/>
          <w:szCs w:val="22"/>
        </w:rPr>
        <w:t xml:space="preserve"> also</w:t>
      </w:r>
      <w:r w:rsidR="000C3324">
        <w:rPr>
          <w:color w:val="000000"/>
          <w:szCs w:val="22"/>
        </w:rPr>
        <w:t xml:space="preserve"> emphasize that </w:t>
      </w:r>
      <w:r w:rsidR="00ED03CD">
        <w:rPr>
          <w:color w:val="000000"/>
          <w:szCs w:val="22"/>
        </w:rPr>
        <w:t xml:space="preserve">potential reverse or forward auction participants </w:t>
      </w:r>
      <w:r w:rsidR="000C3324">
        <w:rPr>
          <w:color w:val="000000"/>
          <w:szCs w:val="22"/>
        </w:rPr>
        <w:t>need not know or master the technical details</w:t>
      </w:r>
      <w:r w:rsidR="00ED03CD">
        <w:rPr>
          <w:color w:val="000000"/>
          <w:szCs w:val="22"/>
        </w:rPr>
        <w:t xml:space="preserve"> of </w:t>
      </w:r>
      <w:r w:rsidR="000C3324">
        <w:rPr>
          <w:color w:val="000000"/>
          <w:szCs w:val="22"/>
        </w:rPr>
        <w:t xml:space="preserve">the </w:t>
      </w:r>
      <w:r w:rsidR="00ED03CD">
        <w:rPr>
          <w:color w:val="000000"/>
          <w:szCs w:val="22"/>
        </w:rPr>
        <w:t xml:space="preserve">repacking process or the </w:t>
      </w:r>
      <w:r w:rsidR="000C3324">
        <w:rPr>
          <w:color w:val="000000"/>
          <w:szCs w:val="22"/>
        </w:rPr>
        <w:t>software released today</w:t>
      </w:r>
      <w:r w:rsidR="00ED03CD">
        <w:rPr>
          <w:color w:val="000000"/>
          <w:szCs w:val="22"/>
        </w:rPr>
        <w:t xml:space="preserve">:  on the contrary, the Commission has committed to making the reverse auction </w:t>
      </w:r>
      <w:r w:rsidR="00813608">
        <w:rPr>
          <w:color w:val="000000"/>
          <w:szCs w:val="22"/>
        </w:rPr>
        <w:t xml:space="preserve">as </w:t>
      </w:r>
      <w:r w:rsidR="00ED03CD">
        <w:rPr>
          <w:color w:val="000000"/>
          <w:szCs w:val="22"/>
        </w:rPr>
        <w:t>transparent and easy to participate in as possible for broadcasters.</w:t>
      </w:r>
      <w:r w:rsidR="00ED03CD">
        <w:rPr>
          <w:rStyle w:val="FootnoteReference"/>
          <w:color w:val="000000"/>
          <w:szCs w:val="22"/>
        </w:rPr>
        <w:footnoteReference w:id="12"/>
      </w:r>
    </w:p>
    <w:p w14:paraId="49749C13" w14:textId="356A8BD8" w:rsidR="003778BC" w:rsidRDefault="00C42E32" w:rsidP="0002701B">
      <w:pPr>
        <w:pStyle w:val="Para"/>
        <w:widowControl/>
        <w:spacing w:after="120"/>
        <w:rPr>
          <w:color w:val="000000"/>
          <w:szCs w:val="22"/>
        </w:rPr>
      </w:pPr>
      <w:r>
        <w:rPr>
          <w:color w:val="000000"/>
          <w:szCs w:val="22"/>
        </w:rPr>
        <w:t>In January 2014</w:t>
      </w:r>
      <w:r w:rsidR="00BD393F">
        <w:rPr>
          <w:color w:val="000000"/>
          <w:szCs w:val="22"/>
        </w:rPr>
        <w:t>,</w:t>
      </w:r>
      <w:r w:rsidR="00203C65">
        <w:rPr>
          <w:color w:val="000000"/>
          <w:szCs w:val="22"/>
        </w:rPr>
        <w:t xml:space="preserve"> </w:t>
      </w:r>
      <w:r w:rsidR="00A72A1C">
        <w:rPr>
          <w:color w:val="000000"/>
          <w:szCs w:val="22"/>
        </w:rPr>
        <w:t xml:space="preserve">the staff </w:t>
      </w:r>
      <w:r>
        <w:rPr>
          <w:color w:val="000000"/>
          <w:szCs w:val="22"/>
        </w:rPr>
        <w:t xml:space="preserve">released the </w:t>
      </w:r>
      <w:r w:rsidRPr="00C42E32">
        <w:rPr>
          <w:i/>
          <w:color w:val="000000"/>
          <w:szCs w:val="22"/>
        </w:rPr>
        <w:t>Feasibility Checking PN</w:t>
      </w:r>
      <w:r>
        <w:rPr>
          <w:color w:val="000000"/>
          <w:szCs w:val="22"/>
        </w:rPr>
        <w:t>, which</w:t>
      </w:r>
      <w:r w:rsidR="00841256">
        <w:rPr>
          <w:color w:val="000000"/>
          <w:szCs w:val="22"/>
        </w:rPr>
        <w:t xml:space="preserve"> </w:t>
      </w:r>
      <w:r w:rsidR="00203C65">
        <w:rPr>
          <w:color w:val="000000"/>
          <w:szCs w:val="22"/>
        </w:rPr>
        <w:t>explained</w:t>
      </w:r>
      <w:r w:rsidR="00841256">
        <w:rPr>
          <w:color w:val="000000"/>
          <w:szCs w:val="22"/>
        </w:rPr>
        <w:t xml:space="preserve"> </w:t>
      </w:r>
      <w:r w:rsidR="00A72A1C">
        <w:rPr>
          <w:color w:val="000000"/>
          <w:szCs w:val="22"/>
        </w:rPr>
        <w:t xml:space="preserve">how </w:t>
      </w:r>
      <w:r w:rsidR="00841256">
        <w:rPr>
          <w:color w:val="000000"/>
          <w:szCs w:val="22"/>
        </w:rPr>
        <w:t xml:space="preserve">the pairwise </w:t>
      </w:r>
      <w:r w:rsidR="00BD393F">
        <w:rPr>
          <w:color w:val="000000"/>
          <w:szCs w:val="22"/>
        </w:rPr>
        <w:t>interference constraint</w:t>
      </w:r>
      <w:r w:rsidR="009E07A2">
        <w:rPr>
          <w:color w:val="000000"/>
          <w:szCs w:val="22"/>
        </w:rPr>
        <w:t xml:space="preserve"> file</w:t>
      </w:r>
      <w:r w:rsidR="00BD393F">
        <w:rPr>
          <w:color w:val="000000"/>
          <w:szCs w:val="22"/>
        </w:rPr>
        <w:t>s</w:t>
      </w:r>
      <w:r w:rsidR="00841256">
        <w:rPr>
          <w:color w:val="000000"/>
          <w:szCs w:val="22"/>
        </w:rPr>
        <w:t xml:space="preserve"> could be used </w:t>
      </w:r>
      <w:r w:rsidR="00203C65">
        <w:rPr>
          <w:color w:val="000000"/>
          <w:szCs w:val="22"/>
        </w:rPr>
        <w:t>“</w:t>
      </w:r>
      <w:r w:rsidR="00203C65" w:rsidRPr="00203C65">
        <w:rPr>
          <w:color w:val="000000"/>
          <w:szCs w:val="22"/>
        </w:rPr>
        <w:t>to determine whether, if a given set of reverse auction bids from broadcasters were to be accepted, channels could be assigned to all broadcasters remaining on the air in a manner consistent with the applicable constraints</w:t>
      </w:r>
      <w:r w:rsidR="00203C65">
        <w:rPr>
          <w:color w:val="000000"/>
          <w:szCs w:val="22"/>
        </w:rPr>
        <w:t>.”</w:t>
      </w:r>
      <w:r w:rsidR="00143283" w:rsidRPr="00D35403">
        <w:rPr>
          <w:rStyle w:val="FootnoteReference"/>
          <w:color w:val="000000"/>
          <w:sz w:val="20"/>
          <w:szCs w:val="22"/>
        </w:rPr>
        <w:footnoteReference w:id="13"/>
      </w:r>
      <w:r w:rsidR="00203C65">
        <w:rPr>
          <w:color w:val="000000"/>
          <w:szCs w:val="22"/>
        </w:rPr>
        <w:t xml:space="preserve">  We detailed how “feasibility checking” software could perform these checks, specifically </w:t>
      </w:r>
      <w:r w:rsidR="007A1ED6">
        <w:rPr>
          <w:color w:val="000000"/>
          <w:szCs w:val="22"/>
        </w:rPr>
        <w:t xml:space="preserve">discussing </w:t>
      </w:r>
      <w:r w:rsidR="00203C65">
        <w:rPr>
          <w:color w:val="000000"/>
          <w:szCs w:val="22"/>
        </w:rPr>
        <w:t>two classes of mathematical solvers</w:t>
      </w:r>
      <w:r w:rsidR="007A1ED6">
        <w:rPr>
          <w:color w:val="000000"/>
          <w:szCs w:val="22"/>
        </w:rPr>
        <w:t xml:space="preserve">, but </w:t>
      </w:r>
      <w:r w:rsidR="009E07A2">
        <w:rPr>
          <w:color w:val="000000"/>
          <w:szCs w:val="22"/>
        </w:rPr>
        <w:t>did not</w:t>
      </w:r>
      <w:r w:rsidR="007A1ED6">
        <w:rPr>
          <w:color w:val="000000"/>
          <w:szCs w:val="22"/>
        </w:rPr>
        <w:t xml:space="preserve"> release software at </w:t>
      </w:r>
      <w:r w:rsidR="00A72A1C">
        <w:rPr>
          <w:color w:val="000000"/>
          <w:szCs w:val="22"/>
        </w:rPr>
        <w:t xml:space="preserve">that </w:t>
      </w:r>
      <w:r w:rsidR="007A1ED6">
        <w:rPr>
          <w:color w:val="000000"/>
          <w:szCs w:val="22"/>
        </w:rPr>
        <w:t>time</w:t>
      </w:r>
      <w:r w:rsidR="00203C65">
        <w:rPr>
          <w:color w:val="000000"/>
          <w:szCs w:val="22"/>
        </w:rPr>
        <w:t xml:space="preserve">.  </w:t>
      </w:r>
      <w:r w:rsidR="007A1ED6">
        <w:rPr>
          <w:color w:val="000000"/>
          <w:szCs w:val="22"/>
        </w:rPr>
        <w:t xml:space="preserve">In a subsequent workshop, we </w:t>
      </w:r>
      <w:r w:rsidR="00203C65">
        <w:rPr>
          <w:color w:val="000000"/>
          <w:szCs w:val="22"/>
        </w:rPr>
        <w:t xml:space="preserve">discussed preliminary performance results </w:t>
      </w:r>
      <w:r w:rsidR="00BD393F">
        <w:rPr>
          <w:color w:val="000000"/>
          <w:szCs w:val="22"/>
        </w:rPr>
        <w:t>in</w:t>
      </w:r>
      <w:r w:rsidR="007A1ED6">
        <w:rPr>
          <w:color w:val="000000"/>
          <w:szCs w:val="22"/>
        </w:rPr>
        <w:t xml:space="preserve"> </w:t>
      </w:r>
      <w:r w:rsidR="00203C65">
        <w:rPr>
          <w:color w:val="000000"/>
          <w:szCs w:val="22"/>
        </w:rPr>
        <w:t xml:space="preserve">using open-source satisfiability solvers </w:t>
      </w:r>
      <w:r w:rsidR="007A1ED6">
        <w:rPr>
          <w:color w:val="000000"/>
          <w:szCs w:val="22"/>
        </w:rPr>
        <w:t>with simulated repacking problems.</w:t>
      </w:r>
      <w:r w:rsidRPr="00D35403">
        <w:rPr>
          <w:rStyle w:val="FootnoteReference"/>
          <w:color w:val="000000"/>
          <w:sz w:val="20"/>
          <w:szCs w:val="22"/>
        </w:rPr>
        <w:footnoteReference w:id="14"/>
      </w:r>
      <w:r w:rsidR="00B37744">
        <w:rPr>
          <w:color w:val="000000"/>
          <w:szCs w:val="22"/>
        </w:rPr>
        <w:t xml:space="preserve">  </w:t>
      </w:r>
    </w:p>
    <w:p w14:paraId="63BF6210" w14:textId="1E574D22" w:rsidR="007A1ED6" w:rsidRDefault="007A1ED6" w:rsidP="0002701B">
      <w:pPr>
        <w:pStyle w:val="Para"/>
        <w:widowControl/>
        <w:spacing w:after="120"/>
        <w:rPr>
          <w:color w:val="000000"/>
          <w:szCs w:val="22"/>
        </w:rPr>
      </w:pPr>
      <w:r>
        <w:rPr>
          <w:color w:val="000000"/>
          <w:szCs w:val="22"/>
        </w:rPr>
        <w:t xml:space="preserve">While the </w:t>
      </w:r>
      <w:r w:rsidR="009E07A2">
        <w:rPr>
          <w:color w:val="000000"/>
          <w:szCs w:val="22"/>
        </w:rPr>
        <w:t xml:space="preserve">information </w:t>
      </w:r>
      <w:r>
        <w:rPr>
          <w:color w:val="000000"/>
          <w:szCs w:val="22"/>
        </w:rPr>
        <w:t xml:space="preserve">that </w:t>
      </w:r>
      <w:r w:rsidR="009C000F">
        <w:rPr>
          <w:color w:val="000000"/>
          <w:szCs w:val="22"/>
        </w:rPr>
        <w:t>that has been</w:t>
      </w:r>
      <w:r>
        <w:rPr>
          <w:color w:val="000000"/>
          <w:szCs w:val="22"/>
        </w:rPr>
        <w:t xml:space="preserve"> </w:t>
      </w:r>
      <w:r w:rsidR="009E07A2">
        <w:rPr>
          <w:color w:val="000000"/>
          <w:szCs w:val="22"/>
        </w:rPr>
        <w:t xml:space="preserve">provided </w:t>
      </w:r>
      <w:r w:rsidR="009C000F">
        <w:rPr>
          <w:color w:val="000000"/>
          <w:szCs w:val="22"/>
        </w:rPr>
        <w:t xml:space="preserve">publicly </w:t>
      </w:r>
      <w:r>
        <w:rPr>
          <w:color w:val="000000"/>
          <w:szCs w:val="22"/>
        </w:rPr>
        <w:t>was sufficient to allow interested parties to conduct their own repacking simulations,</w:t>
      </w:r>
      <w:r w:rsidR="00143283" w:rsidRPr="00D35403">
        <w:rPr>
          <w:rStyle w:val="FootnoteReference"/>
          <w:color w:val="000000"/>
          <w:sz w:val="20"/>
          <w:szCs w:val="22"/>
        </w:rPr>
        <w:footnoteReference w:id="15"/>
      </w:r>
      <w:r>
        <w:rPr>
          <w:color w:val="000000"/>
          <w:szCs w:val="22"/>
        </w:rPr>
        <w:t xml:space="preserve"> commenters </w:t>
      </w:r>
      <w:r w:rsidR="00F63F44">
        <w:rPr>
          <w:color w:val="000000"/>
          <w:szCs w:val="22"/>
        </w:rPr>
        <w:t xml:space="preserve">have </w:t>
      </w:r>
      <w:r w:rsidR="009E07A2">
        <w:rPr>
          <w:color w:val="000000"/>
          <w:szCs w:val="22"/>
        </w:rPr>
        <w:t>requested</w:t>
      </w:r>
      <w:r w:rsidR="00B37744">
        <w:rPr>
          <w:color w:val="000000"/>
          <w:szCs w:val="22"/>
        </w:rPr>
        <w:t xml:space="preserve"> </w:t>
      </w:r>
      <w:r w:rsidR="003778BC">
        <w:rPr>
          <w:color w:val="000000"/>
          <w:szCs w:val="22"/>
        </w:rPr>
        <w:t xml:space="preserve">that </w:t>
      </w:r>
      <w:r w:rsidR="009E07A2">
        <w:rPr>
          <w:color w:val="000000"/>
          <w:szCs w:val="22"/>
        </w:rPr>
        <w:t xml:space="preserve">the </w:t>
      </w:r>
      <w:r w:rsidR="00143283">
        <w:rPr>
          <w:color w:val="000000"/>
          <w:szCs w:val="22"/>
        </w:rPr>
        <w:t xml:space="preserve">staff </w:t>
      </w:r>
      <w:r w:rsidR="003778BC">
        <w:rPr>
          <w:color w:val="000000"/>
          <w:szCs w:val="22"/>
        </w:rPr>
        <w:t xml:space="preserve">also </w:t>
      </w:r>
      <w:r w:rsidR="002E5E4C">
        <w:rPr>
          <w:color w:val="000000"/>
          <w:szCs w:val="22"/>
        </w:rPr>
        <w:t xml:space="preserve">release </w:t>
      </w:r>
      <w:r w:rsidR="00143283">
        <w:rPr>
          <w:color w:val="000000"/>
          <w:szCs w:val="22"/>
        </w:rPr>
        <w:t>simulation software.</w:t>
      </w:r>
      <w:r w:rsidR="00143283" w:rsidRPr="00D35403">
        <w:rPr>
          <w:rStyle w:val="FootnoteReference"/>
          <w:color w:val="000000"/>
          <w:sz w:val="20"/>
          <w:szCs w:val="22"/>
        </w:rPr>
        <w:footnoteReference w:id="16"/>
      </w:r>
      <w:r w:rsidR="003778BC">
        <w:rPr>
          <w:color w:val="000000"/>
          <w:szCs w:val="22"/>
        </w:rPr>
        <w:t xml:space="preserve">  </w:t>
      </w:r>
      <w:r w:rsidR="00F723AE">
        <w:rPr>
          <w:color w:val="000000"/>
          <w:szCs w:val="22"/>
        </w:rPr>
        <w:t>With today’s releases, i</w:t>
      </w:r>
      <w:r w:rsidR="003778BC">
        <w:rPr>
          <w:color w:val="000000"/>
          <w:szCs w:val="22"/>
        </w:rPr>
        <w:t xml:space="preserve">nterested parties can use the Constraint Generator, in conjunction with previously-released </w:t>
      </w:r>
      <w:r w:rsidR="003778BC" w:rsidRPr="0002701B">
        <w:rPr>
          <w:i/>
          <w:color w:val="000000"/>
          <w:szCs w:val="22"/>
        </w:rPr>
        <w:t>TVStudy</w:t>
      </w:r>
      <w:r w:rsidR="003778BC">
        <w:rPr>
          <w:color w:val="000000"/>
          <w:szCs w:val="22"/>
        </w:rPr>
        <w:t xml:space="preserve"> software, to generate their own pairwise interference constraint files for simulation or validation purposes.</w:t>
      </w:r>
      <w:r w:rsidR="003778BC" w:rsidRPr="00D35403">
        <w:rPr>
          <w:rStyle w:val="FootnoteReference"/>
          <w:color w:val="000000"/>
          <w:sz w:val="20"/>
          <w:szCs w:val="22"/>
        </w:rPr>
        <w:footnoteReference w:id="17"/>
      </w:r>
      <w:r w:rsidR="003778BC">
        <w:rPr>
          <w:color w:val="000000"/>
          <w:szCs w:val="22"/>
        </w:rPr>
        <w:t xml:space="preserve">  </w:t>
      </w:r>
      <w:r w:rsidR="00F723AE">
        <w:rPr>
          <w:color w:val="000000"/>
          <w:szCs w:val="22"/>
        </w:rPr>
        <w:t>Using t</w:t>
      </w:r>
      <w:r w:rsidR="003778BC">
        <w:rPr>
          <w:color w:val="000000"/>
          <w:szCs w:val="22"/>
        </w:rPr>
        <w:t xml:space="preserve">he Feasibility Checker, released as open-source software by an outside software development team, </w:t>
      </w:r>
      <w:r w:rsidR="00F723AE">
        <w:rPr>
          <w:color w:val="000000"/>
          <w:szCs w:val="22"/>
        </w:rPr>
        <w:t xml:space="preserve">interested parties </w:t>
      </w:r>
      <w:r w:rsidR="003778BC">
        <w:rPr>
          <w:color w:val="000000"/>
          <w:szCs w:val="22"/>
        </w:rPr>
        <w:t>can then use the constraint files outputted from the Constraint Generator to perform feasibility checks in a manner similar to the approach the Commission adopted to evaluate feasibility during the real-time reverse auction.</w:t>
      </w:r>
      <w:r w:rsidR="003778BC" w:rsidRPr="00D35403">
        <w:rPr>
          <w:rStyle w:val="FootnoteReference"/>
          <w:color w:val="000000"/>
          <w:sz w:val="20"/>
          <w:szCs w:val="22"/>
        </w:rPr>
        <w:footnoteReference w:id="18"/>
      </w:r>
    </w:p>
    <w:p w14:paraId="7557CAD2" w14:textId="25E6C2F0" w:rsidR="00A2102C" w:rsidRPr="005A3E13" w:rsidRDefault="00A2102C" w:rsidP="00283747">
      <w:pPr>
        <w:pStyle w:val="Para"/>
        <w:widowControl/>
        <w:rPr>
          <w:color w:val="000000"/>
        </w:rPr>
      </w:pPr>
      <w:r w:rsidRPr="005A3E13">
        <w:rPr>
          <w:color w:val="000000"/>
        </w:rPr>
        <w:t xml:space="preserve">The Incentive Auction Task Force </w:t>
      </w:r>
      <w:r w:rsidR="00D11FAA" w:rsidRPr="005A3E13">
        <w:rPr>
          <w:color w:val="000000"/>
        </w:rPr>
        <w:t xml:space="preserve">invites interested parties to </w:t>
      </w:r>
      <w:r w:rsidR="00D35403">
        <w:rPr>
          <w:color w:val="000000"/>
        </w:rPr>
        <w:t>utilize</w:t>
      </w:r>
      <w:r w:rsidR="00D11FAA" w:rsidRPr="005A3E13">
        <w:rPr>
          <w:color w:val="000000"/>
        </w:rPr>
        <w:t xml:space="preserve"> the </w:t>
      </w:r>
      <w:r w:rsidR="00D35403">
        <w:rPr>
          <w:color w:val="000000"/>
        </w:rPr>
        <w:t>software</w:t>
      </w:r>
      <w:r w:rsidR="006D6D85">
        <w:rPr>
          <w:color w:val="000000"/>
        </w:rPr>
        <w:t xml:space="preserve"> </w:t>
      </w:r>
      <w:r w:rsidR="00D11FAA" w:rsidRPr="005A3E13">
        <w:rPr>
          <w:color w:val="000000"/>
        </w:rPr>
        <w:t xml:space="preserve">we </w:t>
      </w:r>
      <w:r w:rsidR="006D6D85">
        <w:rPr>
          <w:color w:val="000000"/>
        </w:rPr>
        <w:t>have made available</w:t>
      </w:r>
      <w:r w:rsidR="00D11FAA" w:rsidRPr="005A3E13">
        <w:rPr>
          <w:color w:val="000000"/>
        </w:rPr>
        <w:t xml:space="preserve"> in this</w:t>
      </w:r>
      <w:r w:rsidRPr="00374469">
        <w:t xml:space="preserve"> </w:t>
      </w:r>
      <w:r>
        <w:t>P</w:t>
      </w:r>
      <w:r w:rsidRPr="00374469">
        <w:t xml:space="preserve">ublic </w:t>
      </w:r>
      <w:r>
        <w:t>N</w:t>
      </w:r>
      <w:r w:rsidRPr="00374469">
        <w:t>otice</w:t>
      </w:r>
      <w:r w:rsidR="00D35403">
        <w:t xml:space="preserve"> to study or conduct their own repacking simulations</w:t>
      </w:r>
      <w:r w:rsidR="00274750">
        <w:t xml:space="preserve">.  </w:t>
      </w:r>
      <w:r w:rsidR="006D6D85">
        <w:t>A</w:t>
      </w:r>
      <w:r w:rsidR="00274750">
        <w:t>ll current and subsequent releases relating to the Incentive Auction will be posted to and available on</w:t>
      </w:r>
      <w:r w:rsidRPr="00374469">
        <w:t xml:space="preserve"> the LEARN website at: </w:t>
      </w:r>
      <w:hyperlink r:id="rId14" w:history="1">
        <w:r w:rsidRPr="005A3E13">
          <w:rPr>
            <w:rStyle w:val="Hyperlink"/>
            <w:szCs w:val="22"/>
          </w:rPr>
          <w:t>http://www.fcc.gov/learn</w:t>
        </w:r>
      </w:hyperlink>
      <w:r w:rsidRPr="00374469">
        <w:t>.</w:t>
      </w:r>
    </w:p>
    <w:p w14:paraId="440CBF38" w14:textId="77777777" w:rsidR="00A2102C" w:rsidRPr="007B621E" w:rsidRDefault="00A2102C" w:rsidP="00283747">
      <w:pPr>
        <w:spacing w:after="240"/>
        <w:jc w:val="center"/>
        <w:rPr>
          <w:szCs w:val="22"/>
        </w:rPr>
      </w:pPr>
      <w:r w:rsidRPr="007B621E">
        <w:rPr>
          <w:szCs w:val="22"/>
        </w:rPr>
        <w:t>***</w:t>
      </w:r>
    </w:p>
    <w:p w14:paraId="38109498" w14:textId="77777777" w:rsidR="00A2102C" w:rsidRPr="0085335F" w:rsidRDefault="00A2102C" w:rsidP="00283747">
      <w:pPr>
        <w:pStyle w:val="Para"/>
        <w:widowControl/>
      </w:pPr>
      <w:r w:rsidRPr="0085335F">
        <w:t>This Public Notice is being issued pursuant to sections 0.31, 0.51, 0.61, and 0.131 of the Commission’s rules by the Office of Engineering and Technology and the International, Media, and Wireless Telecommunications Bureaus, members of the Incentive Auction Task Force.</w:t>
      </w:r>
      <w:r w:rsidRPr="00D35403">
        <w:rPr>
          <w:rStyle w:val="FootnoteReference"/>
          <w:sz w:val="20"/>
          <w:szCs w:val="22"/>
        </w:rPr>
        <w:footnoteReference w:id="19"/>
      </w:r>
      <w:r w:rsidRPr="0085335F">
        <w:t xml:space="preserve"> </w:t>
      </w:r>
      <w:r>
        <w:t xml:space="preserve"> </w:t>
      </w:r>
      <w:r w:rsidRPr="0085335F">
        <w:t xml:space="preserve">Comments may be filed using the procedures for </w:t>
      </w:r>
      <w:r w:rsidRPr="0085335F">
        <w:rPr>
          <w:i/>
          <w:iCs/>
        </w:rPr>
        <w:t xml:space="preserve">ex parte </w:t>
      </w:r>
      <w:r w:rsidRPr="0085335F">
        <w:t>submissions in permit-but-disclose proceedings set forth in section 1.1206 of the Commission’s rules.</w:t>
      </w:r>
      <w:r w:rsidRPr="00D35403">
        <w:rPr>
          <w:rStyle w:val="FootnoteReference"/>
          <w:sz w:val="20"/>
          <w:szCs w:val="22"/>
        </w:rPr>
        <w:footnoteReference w:id="20"/>
      </w:r>
      <w:r w:rsidRPr="0085335F">
        <w:t xml:space="preserve"> </w:t>
      </w:r>
      <w:r>
        <w:t xml:space="preserve"> </w:t>
      </w:r>
      <w:r w:rsidRPr="0085335F">
        <w:t>When filing comments, please reference GN Docket No. 12-268</w:t>
      </w:r>
      <w:r w:rsidR="00730825">
        <w:t xml:space="preserve"> and ET Docket No. 13-26</w:t>
      </w:r>
      <w:r w:rsidRPr="0085335F">
        <w:t>.</w:t>
      </w:r>
    </w:p>
    <w:p w14:paraId="6F216F78" w14:textId="046CFF44" w:rsidR="00A2102C" w:rsidRDefault="00A2102C" w:rsidP="00283747">
      <w:pPr>
        <w:pStyle w:val="Para"/>
        <w:widowControl/>
      </w:pPr>
      <w:r w:rsidRPr="0085335F">
        <w:t xml:space="preserve">For further information, contact </w:t>
      </w:r>
      <w:r w:rsidRPr="007B621E">
        <w:t>Jonathan</w:t>
      </w:r>
      <w:r w:rsidRPr="0085335F">
        <w:t xml:space="preserve"> McCormack at 202-418-1065, or via e-mail at </w:t>
      </w:r>
      <w:hyperlink r:id="rId15" w:history="1">
        <w:r w:rsidRPr="0085335F">
          <w:rPr>
            <w:rStyle w:val="Hyperlink"/>
          </w:rPr>
          <w:t>Jonathan.McCormack@fcc.gov</w:t>
        </w:r>
      </w:hyperlink>
      <w:r w:rsidRPr="0085335F">
        <w:t>.</w:t>
      </w:r>
    </w:p>
    <w:p w14:paraId="49BDFD42" w14:textId="069B00C3" w:rsidR="008D3B9A" w:rsidRPr="008D3B9A" w:rsidRDefault="008D3B9A" w:rsidP="00CA4155">
      <w:pPr>
        <w:widowControl w:val="0"/>
        <w:autoSpaceDE w:val="0"/>
        <w:autoSpaceDN w:val="0"/>
        <w:adjustRightInd w:val="0"/>
        <w:spacing w:before="120" w:after="240"/>
        <w:jc w:val="center"/>
        <w:rPr>
          <w:sz w:val="20"/>
          <w:szCs w:val="24"/>
        </w:rPr>
      </w:pPr>
      <w:r w:rsidRPr="008D3B9A">
        <w:rPr>
          <w:b/>
          <w:bCs/>
          <w:szCs w:val="26"/>
        </w:rPr>
        <w:t>-FCC-</w:t>
      </w:r>
    </w:p>
    <w:sectPr w:rsidR="008D3B9A" w:rsidRPr="008D3B9A" w:rsidSect="00283747">
      <w:headerReference w:type="first" r:id="rId16"/>
      <w:type w:val="continuous"/>
      <w:pgSz w:w="12240" w:h="15840" w:code="1"/>
      <w:pgMar w:top="1440" w:right="1080" w:bottom="1440" w:left="108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46276" w14:textId="77777777" w:rsidR="00591F0B" w:rsidRDefault="00591F0B">
      <w:r>
        <w:separator/>
      </w:r>
    </w:p>
  </w:endnote>
  <w:endnote w:type="continuationSeparator" w:id="0">
    <w:p w14:paraId="17AE1567" w14:textId="77777777" w:rsidR="00591F0B" w:rsidRDefault="0059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1DA9" w14:textId="77777777" w:rsidR="00591F0B" w:rsidRDefault="00591F0B" w:rsidP="00D35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FC64C" w14:textId="77777777" w:rsidR="00591F0B" w:rsidRDefault="00591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479D" w14:textId="77777777" w:rsidR="00591F0B" w:rsidRDefault="00591F0B" w:rsidP="00D35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9C2">
      <w:rPr>
        <w:rStyle w:val="PageNumber"/>
        <w:noProof/>
      </w:rPr>
      <w:t>3</w:t>
    </w:r>
    <w:r>
      <w:rPr>
        <w:rStyle w:val="PageNumber"/>
      </w:rPr>
      <w:fldChar w:fldCharType="end"/>
    </w:r>
  </w:p>
  <w:p w14:paraId="1E3A754A" w14:textId="77777777" w:rsidR="00591F0B" w:rsidRDefault="00591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82B4" w14:textId="77777777" w:rsidR="002E0AA2" w:rsidRDefault="002E0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97975" w14:textId="77777777" w:rsidR="00591F0B" w:rsidRDefault="00591F0B">
      <w:r>
        <w:separator/>
      </w:r>
    </w:p>
  </w:footnote>
  <w:footnote w:type="continuationSeparator" w:id="0">
    <w:p w14:paraId="4774CE4D" w14:textId="293A7281" w:rsidR="00591F0B" w:rsidRPr="00A17819" w:rsidRDefault="00591F0B" w:rsidP="00A17819">
      <w:pPr>
        <w:spacing w:before="120"/>
        <w:rPr>
          <w:sz w:val="20"/>
        </w:rPr>
      </w:pPr>
      <w:r>
        <w:rPr>
          <w:sz w:val="20"/>
        </w:rPr>
        <w:t xml:space="preserve">(Continued from previous page)  </w:t>
      </w:r>
      <w:r>
        <w:rPr>
          <w:sz w:val="20"/>
        </w:rPr>
        <w:separator/>
      </w:r>
    </w:p>
  </w:footnote>
  <w:footnote w:type="continuationNotice" w:id="1">
    <w:p w14:paraId="4E97B020" w14:textId="3E436D62" w:rsidR="00591F0B" w:rsidRPr="00A17819" w:rsidRDefault="00591F0B" w:rsidP="00A17819">
      <w:pPr>
        <w:jc w:val="right"/>
        <w:rPr>
          <w:sz w:val="20"/>
        </w:rPr>
      </w:pPr>
      <w:r>
        <w:rPr>
          <w:sz w:val="20"/>
        </w:rPr>
        <w:t>(continued….)</w:t>
      </w:r>
    </w:p>
  </w:footnote>
  <w:footnote w:id="2">
    <w:p w14:paraId="2BE68C4C" w14:textId="46A689A8" w:rsidR="00591F0B" w:rsidRPr="00364DCA" w:rsidRDefault="00591F0B" w:rsidP="00A17819">
      <w:pPr>
        <w:pStyle w:val="FootnoteText"/>
        <w:spacing w:after="120"/>
      </w:pPr>
      <w:r>
        <w:rPr>
          <w:rStyle w:val="FootnoteReference"/>
        </w:rPr>
        <w:footnoteRef/>
      </w:r>
      <w:r>
        <w:t xml:space="preserve"> </w:t>
      </w:r>
      <w:r w:rsidRPr="00143283">
        <w:rPr>
          <w:i/>
        </w:rPr>
        <w:t>See</w:t>
      </w:r>
      <w:r>
        <w:t xml:space="preserve"> </w:t>
      </w:r>
      <w:r w:rsidRPr="00143283">
        <w:rPr>
          <w:i/>
          <w:iCs/>
        </w:rPr>
        <w:t>Incentive Auction Task Force Releases Information Related to Incentive Auction Repacking</w:t>
      </w:r>
      <w:r w:rsidRPr="00143283">
        <w:t>, GN Docket No. 12-268, ET Docket No. 13-26, Public Notice, 28 FCC Rcd 10370 (WTB 2013) (</w:t>
      </w:r>
      <w:r w:rsidRPr="00143283">
        <w:rPr>
          <w:i/>
          <w:iCs/>
        </w:rPr>
        <w:t>Repacking Data PN</w:t>
      </w:r>
      <w:r w:rsidRPr="00143283">
        <w:t>)</w:t>
      </w:r>
      <w:r>
        <w:t xml:space="preserve">; </w:t>
      </w:r>
      <w:r w:rsidRPr="00143283">
        <w:rPr>
          <w:i/>
          <w:iCs/>
        </w:rPr>
        <w:t>Incentive Auction Task Force Releases Information Related to Repacking; Announces Workshop/Webinar to Provide Additional Detail</w:t>
      </w:r>
      <w:r w:rsidRPr="00143283">
        <w:t>, GN Docket No. 12-268, ET Docket No. 13-26, Public Notice, 29 FCC Rcd 47 (WTB 2014) (</w:t>
      </w:r>
      <w:r w:rsidRPr="00143283">
        <w:rPr>
          <w:i/>
          <w:iCs/>
        </w:rPr>
        <w:t>Feasibility Checking PN</w:t>
      </w:r>
      <w:r w:rsidRPr="00143283">
        <w:t>)</w:t>
      </w:r>
      <w:r>
        <w:t xml:space="preserve">; </w:t>
      </w:r>
      <w:r w:rsidRPr="00143283">
        <w:rPr>
          <w:i/>
          <w:iCs/>
        </w:rPr>
        <w:t>Incentive Auction Task Force Releases Updated Constraint File Data Using Actual Channels and Staff Analysis Regarding Pairwise Approach to Preserving Population Served</w:t>
      </w:r>
      <w:r w:rsidRPr="00143283">
        <w:t>, GN Docket No. 12-268, ET Docket No. 13-26, Public Notice, 29 FCC Rcd 5687 (WTB 2014) (</w:t>
      </w:r>
      <w:r w:rsidRPr="00143283">
        <w:rPr>
          <w:i/>
          <w:iCs/>
        </w:rPr>
        <w:t>Aggregate Interference PN</w:t>
      </w:r>
      <w:r w:rsidRPr="00143283">
        <w:t>)</w:t>
      </w:r>
      <w:r>
        <w:t>.</w:t>
      </w:r>
    </w:p>
  </w:footnote>
  <w:footnote w:id="3">
    <w:p w14:paraId="2A17C3CB" w14:textId="2B7AFF1B" w:rsidR="00591F0B" w:rsidRPr="00B31EE9" w:rsidRDefault="00591F0B" w:rsidP="00A17819">
      <w:pPr>
        <w:pStyle w:val="FootnoteText"/>
        <w:spacing w:after="120"/>
        <w:rPr>
          <w:i/>
        </w:rPr>
      </w:pPr>
      <w:r>
        <w:rPr>
          <w:rStyle w:val="FootnoteReference"/>
        </w:rPr>
        <w:footnoteRef/>
      </w:r>
      <w:r>
        <w:t xml:space="preserve"> </w:t>
      </w:r>
      <w:r>
        <w:rPr>
          <w:i/>
        </w:rPr>
        <w:t xml:space="preserve">See </w:t>
      </w:r>
      <w:r w:rsidRPr="00143283">
        <w:rPr>
          <w:i/>
          <w:iCs/>
        </w:rPr>
        <w:t>Expanding the Economic and Innovation Opportunities of Spectrum Through Incentive Auctions, </w:t>
      </w:r>
      <w:r w:rsidRPr="00143283">
        <w:t>GN Docket No. 12-268,</w:t>
      </w:r>
      <w:r>
        <w:t xml:space="preserve"> Report &amp; Order, 29 FCC Rcd 6567, 6619-20, paras. 114-15 (2014) (</w:t>
      </w:r>
      <w:r>
        <w:rPr>
          <w:i/>
        </w:rPr>
        <w:t>Incentive Auction R&amp;O</w:t>
      </w:r>
      <w:r>
        <w:t>).</w:t>
      </w:r>
    </w:p>
  </w:footnote>
  <w:footnote w:id="4">
    <w:p w14:paraId="2AD63EF2" w14:textId="28998906" w:rsidR="00591F0B" w:rsidRPr="00F7537C" w:rsidRDefault="00591F0B" w:rsidP="00A17819">
      <w:pPr>
        <w:pStyle w:val="FootnoteText"/>
        <w:spacing w:after="120"/>
      </w:pPr>
      <w:r>
        <w:rPr>
          <w:rStyle w:val="FootnoteReference"/>
        </w:rPr>
        <w:footnoteRef/>
      </w:r>
      <w:r>
        <w:t xml:space="preserve"> </w:t>
      </w:r>
      <w:r>
        <w:rPr>
          <w:i/>
        </w:rPr>
        <w:t xml:space="preserve">See id. </w:t>
      </w:r>
      <w:r>
        <w:t>at 6621, para. 117.</w:t>
      </w:r>
    </w:p>
  </w:footnote>
  <w:footnote w:id="5">
    <w:p w14:paraId="6E2120C3" w14:textId="77777777" w:rsidR="00591F0B" w:rsidRDefault="00591F0B" w:rsidP="00A17819">
      <w:pPr>
        <w:pStyle w:val="FootnoteText"/>
        <w:spacing w:after="120"/>
      </w:pPr>
      <w:r>
        <w:rPr>
          <w:rStyle w:val="FootnoteReference"/>
        </w:rPr>
        <w:footnoteRef/>
      </w:r>
      <w:r>
        <w:t xml:space="preserve"> </w:t>
      </w:r>
      <w:r w:rsidRPr="00143283">
        <w:rPr>
          <w:i/>
        </w:rPr>
        <w:t>See</w:t>
      </w:r>
      <w:r>
        <w:t xml:space="preserve"> </w:t>
      </w:r>
      <w:r w:rsidRPr="00143283">
        <w:rPr>
          <w:i/>
          <w:iCs/>
        </w:rPr>
        <w:t>Expanding the Economic and Innovation Opportunities of Spectrum Through Incentive Auctions, </w:t>
      </w:r>
      <w:r w:rsidRPr="00143283">
        <w:t xml:space="preserve">GN Docket No. 12-268, </w:t>
      </w:r>
      <w:r>
        <w:t xml:space="preserve">Second </w:t>
      </w:r>
      <w:r w:rsidRPr="00143283">
        <w:t>Report &amp; Order</w:t>
      </w:r>
      <w:r>
        <w:t xml:space="preserve"> and Further Notice of Proposed Rulemaking</w:t>
      </w:r>
      <w:r w:rsidRPr="00143283">
        <w:t xml:space="preserve">, </w:t>
      </w:r>
      <w:r>
        <w:t>FCC 14-157, para. 13 n.49</w:t>
      </w:r>
      <w:r w:rsidRPr="00143283">
        <w:t xml:space="preserve"> (2014) (</w:t>
      </w:r>
      <w:r w:rsidRPr="00143283">
        <w:rPr>
          <w:i/>
          <w:iCs/>
        </w:rPr>
        <w:t>I</w:t>
      </w:r>
      <w:r>
        <w:rPr>
          <w:i/>
          <w:iCs/>
        </w:rPr>
        <w:t>SIX</w:t>
      </w:r>
      <w:r w:rsidRPr="00143283">
        <w:rPr>
          <w:i/>
          <w:iCs/>
        </w:rPr>
        <w:t xml:space="preserve"> R&amp;O</w:t>
      </w:r>
      <w:r w:rsidRPr="00143283">
        <w:t>)</w:t>
      </w:r>
      <w:r>
        <w:t>.</w:t>
      </w:r>
    </w:p>
  </w:footnote>
  <w:footnote w:id="6">
    <w:p w14:paraId="5BF8631C" w14:textId="77777777" w:rsidR="00591F0B" w:rsidRPr="00A72A1C" w:rsidRDefault="00591F0B" w:rsidP="00A17819">
      <w:pPr>
        <w:pStyle w:val="FootnoteText"/>
        <w:spacing w:after="120"/>
      </w:pPr>
      <w:r>
        <w:rPr>
          <w:rStyle w:val="FootnoteReference"/>
        </w:rPr>
        <w:footnoteRef/>
      </w:r>
      <w:r>
        <w:t xml:space="preserve"> </w:t>
      </w:r>
      <w:r>
        <w:rPr>
          <w:i/>
        </w:rPr>
        <w:t>See Incentive Auction R&amp;O</w:t>
      </w:r>
      <w:r>
        <w:t>, 29 FCC Rcd at 6756, para. 457 (“</w:t>
      </w:r>
      <w:r w:rsidRPr="00A72A1C">
        <w:t>We adopt the sequential approach</w:t>
      </w:r>
      <w:r>
        <w:t xml:space="preserve"> [using a feasibility checker]</w:t>
      </w:r>
      <w:r w:rsidRPr="00A72A1C">
        <w:t xml:space="preserve"> because it comports well with the descending clock auction format.</w:t>
      </w:r>
      <w:r>
        <w:t xml:space="preserve"> </w:t>
      </w:r>
      <w:r w:rsidRPr="00A72A1C">
        <w:t xml:space="preserve"> The descending clock auction format, because it has multiple rounds, requires that bid assignment procedures be run in every round, and run quickly, so as not</w:t>
      </w:r>
      <w:r>
        <w:t xml:space="preserve"> to unduly prolong the auction.”)</w:t>
      </w:r>
    </w:p>
  </w:footnote>
  <w:footnote w:id="7">
    <w:p w14:paraId="62FF0A34" w14:textId="0CC1DFBB" w:rsidR="00591F0B" w:rsidRPr="00143283" w:rsidRDefault="00591F0B" w:rsidP="00A17819">
      <w:pPr>
        <w:pStyle w:val="FootnoteText"/>
        <w:spacing w:after="120"/>
      </w:pPr>
      <w:r>
        <w:rPr>
          <w:rStyle w:val="FootnoteReference"/>
        </w:rPr>
        <w:footnoteRef/>
      </w:r>
      <w:r>
        <w:t xml:space="preserve"> </w:t>
      </w:r>
      <w:r>
        <w:rPr>
          <w:i/>
        </w:rPr>
        <w:t>Repacking Data PN</w:t>
      </w:r>
      <w:r>
        <w:t xml:space="preserve">, 28 FCC at 10371 (explaining that </w:t>
      </w:r>
      <w:r>
        <w:rPr>
          <w:color w:val="000000"/>
          <w:szCs w:val="22"/>
        </w:rPr>
        <w:t xml:space="preserve">constraint files illustrate “how one could pre-calculate which </w:t>
      </w:r>
      <w:r w:rsidRPr="008E7C19">
        <w:rPr>
          <w:color w:val="000000"/>
          <w:szCs w:val="22"/>
        </w:rPr>
        <w:t>stations could be assigned to which channels in the repacking process, and which stations cannot operate on the same channels or adjacent channels becaus</w:t>
      </w:r>
      <w:r>
        <w:rPr>
          <w:color w:val="000000"/>
          <w:szCs w:val="22"/>
        </w:rPr>
        <w:t>e of their geographic locations . . . .”</w:t>
      </w:r>
      <w:r>
        <w:t xml:space="preserve">).  </w:t>
      </w:r>
      <w:r>
        <w:rPr>
          <w:i/>
        </w:rPr>
        <w:t>See Incentive Auction R&amp;O</w:t>
      </w:r>
      <w:r>
        <w:t xml:space="preserve">, 29 FCC Rcd at paras. 114-15 (adopting the approach to developing constraint files first proposed in the </w:t>
      </w:r>
      <w:r>
        <w:rPr>
          <w:i/>
        </w:rPr>
        <w:t xml:space="preserve">Repacking Data PN </w:t>
      </w:r>
      <w:r>
        <w:t xml:space="preserve">and updated in the </w:t>
      </w:r>
      <w:r>
        <w:rPr>
          <w:i/>
        </w:rPr>
        <w:t>Aggregate Interference PN</w:t>
      </w:r>
      <w:r>
        <w:t xml:space="preserve">, 29 FCC Rcd at 5688-89).  The updated constraint files are available </w:t>
      </w:r>
      <w:r w:rsidRPr="000C70E5">
        <w:t xml:space="preserve">on the FCC’s LEARN website under the Repacking Section at: </w:t>
      </w:r>
      <w:r>
        <w:t xml:space="preserve"> </w:t>
      </w:r>
      <w:hyperlink r:id="rId1" w:history="1">
        <w:r w:rsidRPr="00186F52">
          <w:rPr>
            <w:rStyle w:val="Hyperlink"/>
          </w:rPr>
          <w:t>http://fcc.gov/learn</w:t>
        </w:r>
      </w:hyperlink>
      <w:r w:rsidRPr="000C70E5">
        <w:t xml:space="preserve">. </w:t>
      </w:r>
      <w:r>
        <w:t xml:space="preserve"> </w:t>
      </w:r>
      <w:r w:rsidRPr="000C70E5">
        <w:t xml:space="preserve">These files </w:t>
      </w:r>
      <w:r>
        <w:t>are also accessible</w:t>
      </w:r>
      <w:r w:rsidRPr="000C70E5">
        <w:t xml:space="preserve"> at: </w:t>
      </w:r>
      <w:r>
        <w:t xml:space="preserve"> </w:t>
      </w:r>
      <w:hyperlink r:id="rId2" w:history="1">
        <w:r w:rsidRPr="00186F52">
          <w:rPr>
            <w:rStyle w:val="Hyperlink"/>
          </w:rPr>
          <w:t>http://data.fcc.gov/download/incentive-auctions/Constraint_Files/</w:t>
        </w:r>
      </w:hyperlink>
      <w:r>
        <w:t xml:space="preserve">.  </w:t>
      </w:r>
      <w:r>
        <w:rPr>
          <w:color w:val="000000"/>
          <w:szCs w:val="22"/>
        </w:rPr>
        <w:t xml:space="preserve">These constraint files are not final:  the staff will release “a detailed summary of baseline coverage area and population served by each television station to be protected in the repacking process” </w:t>
      </w:r>
      <w:r w:rsidR="00CA7E70">
        <w:rPr>
          <w:color w:val="000000"/>
          <w:szCs w:val="22"/>
        </w:rPr>
        <w:t>prior to commencement of</w:t>
      </w:r>
      <w:r>
        <w:rPr>
          <w:color w:val="000000"/>
          <w:szCs w:val="22"/>
        </w:rPr>
        <w:t xml:space="preserve"> the broadcast television spectrum incentive auction.  </w:t>
      </w:r>
      <w:r>
        <w:rPr>
          <w:i/>
        </w:rPr>
        <w:t>See Incentive Auction R&amp;O</w:t>
      </w:r>
      <w:r>
        <w:t>, 29 FCC Rcd at 6635, para. 145.</w:t>
      </w:r>
    </w:p>
  </w:footnote>
  <w:footnote w:id="8">
    <w:p w14:paraId="274793EC" w14:textId="71C1CA6D" w:rsidR="00591F0B" w:rsidRPr="00F94844" w:rsidRDefault="00591F0B" w:rsidP="00A17819">
      <w:pPr>
        <w:pStyle w:val="FootnoteText"/>
        <w:spacing w:after="120"/>
      </w:pPr>
      <w:r>
        <w:rPr>
          <w:rStyle w:val="FootnoteReference"/>
        </w:rPr>
        <w:footnoteRef/>
      </w:r>
      <w:r>
        <w:t xml:space="preserve"> See Middle Class Tax Relief and Job Creation Act of 2012, Pub. L. No. 112-96, § 6403(b)(2) (codified at 47 U.S.C. § 1452), 126 Stat. 156 (2012) (Spectrum Act); </w:t>
      </w:r>
      <w:r w:rsidRPr="00FF2FD4">
        <w:rPr>
          <w:i/>
        </w:rPr>
        <w:t xml:space="preserve"> </w:t>
      </w:r>
      <w:r>
        <w:rPr>
          <w:i/>
        </w:rPr>
        <w:t>Incentive Auction R&amp;O</w:t>
      </w:r>
      <w:r>
        <w:rPr>
          <w:iCs/>
        </w:rPr>
        <w:t xml:space="preserve"> at </w:t>
      </w:r>
      <w:r>
        <w:t xml:space="preserve">6618-20, paras. 113-15; </w:t>
      </w:r>
      <w:r>
        <w:rPr>
          <w:i/>
        </w:rPr>
        <w:t>id.</w:t>
      </w:r>
      <w:r>
        <w:t xml:space="preserve"> at 6650, para. 179 (adopting an approach that “preserve[s] service to the same specific viewers for each eligible station, and [allows] no individual channel reassignment, considered alone, [to] reduce another station’s population served on February 22, 2012 by more than 0.5 percent.”).  </w:t>
      </w:r>
    </w:p>
  </w:footnote>
  <w:footnote w:id="9">
    <w:p w14:paraId="18B3278E" w14:textId="77777777" w:rsidR="00591F0B" w:rsidRDefault="00591F0B" w:rsidP="00A17819">
      <w:pPr>
        <w:pStyle w:val="FootnoteText"/>
        <w:spacing w:after="120"/>
      </w:pPr>
      <w:r>
        <w:rPr>
          <w:rStyle w:val="FootnoteReference"/>
        </w:rPr>
        <w:footnoteRef/>
      </w:r>
      <w:r>
        <w:t xml:space="preserve"> </w:t>
      </w:r>
      <w:r>
        <w:rPr>
          <w:color w:val="000000"/>
          <w:szCs w:val="22"/>
        </w:rPr>
        <w:t>As the Commission explained, to ensure that active bidders may drop out of bidding and be assigned a channel in their pre-auction band, “</w:t>
      </w:r>
      <w:r w:rsidRPr="00DF1845">
        <w:rPr>
          <w:color w:val="000000"/>
          <w:szCs w:val="22"/>
        </w:rPr>
        <w:t>the feasibility of assigning a channel in the pre-auction band must be checked for each non-participating station and each active b</w:t>
      </w:r>
      <w:r>
        <w:rPr>
          <w:color w:val="000000"/>
          <w:szCs w:val="22"/>
        </w:rPr>
        <w:t xml:space="preserve">idder before each auction round.”  </w:t>
      </w:r>
      <w:r w:rsidRPr="00DF1845">
        <w:rPr>
          <w:i/>
          <w:color w:val="000000"/>
          <w:szCs w:val="22"/>
        </w:rPr>
        <w:t>Incentive Auction R&amp;O</w:t>
      </w:r>
      <w:r>
        <w:rPr>
          <w:color w:val="000000"/>
          <w:szCs w:val="22"/>
        </w:rPr>
        <w:t>, 29 FCC Rcd at 6618, para. 110.</w:t>
      </w:r>
    </w:p>
  </w:footnote>
  <w:footnote w:id="10">
    <w:p w14:paraId="4F3A475E" w14:textId="77777777" w:rsidR="00591F0B" w:rsidRDefault="00591F0B" w:rsidP="00A17819">
      <w:pPr>
        <w:pStyle w:val="FootnoteText"/>
        <w:spacing w:after="120"/>
      </w:pPr>
      <w:r>
        <w:rPr>
          <w:rStyle w:val="FootnoteReference"/>
        </w:rPr>
        <w:footnoteRef/>
      </w:r>
      <w:r>
        <w:t xml:space="preserve"> </w:t>
      </w:r>
      <w:r w:rsidRPr="00143283">
        <w:rPr>
          <w:i/>
        </w:rPr>
        <w:t>See</w:t>
      </w:r>
      <w:r>
        <w:t xml:space="preserve"> </w:t>
      </w:r>
      <w:r>
        <w:rPr>
          <w:i/>
        </w:rPr>
        <w:t>id.</w:t>
      </w:r>
      <w:r>
        <w:t xml:space="preserve"> at 6618-21, paras. 113-18.</w:t>
      </w:r>
    </w:p>
  </w:footnote>
  <w:footnote w:id="11">
    <w:p w14:paraId="33184379" w14:textId="4772C49D" w:rsidR="00591F0B" w:rsidRPr="00ED03CD" w:rsidRDefault="00591F0B" w:rsidP="00A17819">
      <w:pPr>
        <w:pStyle w:val="FootnoteText"/>
        <w:spacing w:after="120"/>
      </w:pPr>
      <w:r>
        <w:rPr>
          <w:rStyle w:val="FootnoteReference"/>
        </w:rPr>
        <w:footnoteRef/>
      </w:r>
      <w:r>
        <w:t xml:space="preserve"> </w:t>
      </w:r>
      <w:r>
        <w:rPr>
          <w:i/>
        </w:rPr>
        <w:t>See id.</w:t>
      </w:r>
      <w:r>
        <w:t xml:space="preserve"> at 6574, paras. 15-16.</w:t>
      </w:r>
    </w:p>
  </w:footnote>
  <w:footnote w:id="12">
    <w:p w14:paraId="2BC7CBAA" w14:textId="19759B8A" w:rsidR="00591F0B" w:rsidRPr="00ED03CD" w:rsidRDefault="00591F0B" w:rsidP="00A17819">
      <w:pPr>
        <w:pStyle w:val="FootnoteText"/>
        <w:spacing w:after="120"/>
      </w:pPr>
      <w:r>
        <w:rPr>
          <w:rStyle w:val="FootnoteReference"/>
        </w:rPr>
        <w:footnoteRef/>
      </w:r>
      <w:r>
        <w:t xml:space="preserve"> </w:t>
      </w:r>
      <w:r>
        <w:rPr>
          <w:i/>
        </w:rPr>
        <w:t xml:space="preserve">See id. </w:t>
      </w:r>
      <w:r>
        <w:t>at 6570, para. 2.</w:t>
      </w:r>
    </w:p>
  </w:footnote>
  <w:footnote w:id="13">
    <w:p w14:paraId="4123F2D2" w14:textId="5172C0AC" w:rsidR="00591F0B" w:rsidRPr="00C42E32" w:rsidRDefault="00591F0B" w:rsidP="00A17819">
      <w:pPr>
        <w:pStyle w:val="FootnoteText"/>
        <w:spacing w:after="120"/>
      </w:pPr>
      <w:r>
        <w:rPr>
          <w:rStyle w:val="FootnoteReference"/>
        </w:rPr>
        <w:footnoteRef/>
      </w:r>
      <w:r>
        <w:t xml:space="preserve"> </w:t>
      </w:r>
      <w:r>
        <w:rPr>
          <w:i/>
        </w:rPr>
        <w:t>Feasibility Checking PN</w:t>
      </w:r>
      <w:r>
        <w:t>, 29 FCC Rcd at 48.</w:t>
      </w:r>
    </w:p>
  </w:footnote>
  <w:footnote w:id="14">
    <w:p w14:paraId="0FCF91A1" w14:textId="6EFDCCC2" w:rsidR="00591F0B" w:rsidRDefault="00591F0B" w:rsidP="00A17819">
      <w:pPr>
        <w:pStyle w:val="FootnoteText"/>
        <w:spacing w:after="120"/>
      </w:pPr>
      <w:r>
        <w:rPr>
          <w:rStyle w:val="FootnoteReference"/>
        </w:rPr>
        <w:footnoteRef/>
      </w:r>
      <w:r>
        <w:t xml:space="preserve"> LEARN Workshop on Feasibility Checking During Repacking Process, FCC (Feb. 21, 2014), </w:t>
      </w:r>
      <w:r w:rsidRPr="00687E88">
        <w:rPr>
          <w:i/>
        </w:rPr>
        <w:t>available at</w:t>
      </w:r>
      <w:r>
        <w:t xml:space="preserve"> </w:t>
      </w:r>
      <w:hyperlink r:id="rId3" w:history="1">
        <w:r w:rsidRPr="00186F52">
          <w:rPr>
            <w:rStyle w:val="Hyperlink"/>
          </w:rPr>
          <w:t>http://www.fcc.gov/events/learn-workshop-feasibility-checking-during-repacking-process</w:t>
        </w:r>
      </w:hyperlink>
      <w:r>
        <w:t>.</w:t>
      </w:r>
    </w:p>
  </w:footnote>
  <w:footnote w:id="15">
    <w:p w14:paraId="0D7111BC" w14:textId="5B87AB5E" w:rsidR="00591F0B" w:rsidRDefault="00591F0B" w:rsidP="00A17819">
      <w:pPr>
        <w:pStyle w:val="FootnoteText"/>
        <w:spacing w:after="120"/>
      </w:pPr>
      <w:r>
        <w:rPr>
          <w:rStyle w:val="FootnoteReference"/>
        </w:rPr>
        <w:footnoteRef/>
      </w:r>
      <w:r>
        <w:t xml:space="preserve"> Letter from Brian J. Benison, Director, Federal Regulatory, AT&amp;T, to Marlene H. Dortch, Secretary, FCC, GN Docket No. 12-268 (filed June 17, 2014); Letter from Trey Hanbury, Counsel for T-Mobile, to Marlene H. Dortch, Secretary, FCC, GN Docket No. 12-268 (filed September 9, 2014).</w:t>
      </w:r>
    </w:p>
  </w:footnote>
  <w:footnote w:id="16">
    <w:p w14:paraId="426CAE12" w14:textId="6BCBB1A6" w:rsidR="00591F0B" w:rsidRDefault="00591F0B" w:rsidP="00A17819">
      <w:pPr>
        <w:pStyle w:val="FootnoteText"/>
        <w:spacing w:after="120"/>
      </w:pPr>
      <w:r>
        <w:rPr>
          <w:rStyle w:val="FootnoteReference"/>
        </w:rPr>
        <w:footnoteRef/>
      </w:r>
      <w:r>
        <w:t xml:space="preserve"> </w:t>
      </w:r>
      <w:r w:rsidRPr="00C42E32">
        <w:rPr>
          <w:i/>
        </w:rPr>
        <w:t>See</w:t>
      </w:r>
      <w:r>
        <w:t xml:space="preserve"> Letter from Patrick McFadden, Vice President, Strategic Planning, NAB, to Marlene H. Dortch, Secretary, FCC, GN Docket No. 12-268, Attachment at 2 (filed October 9, 2014); Letter from Preston Padden, Executive Director, Expanding Opportunities for Broadcasters Coalition, to Marlene H. Dortch, Secretary, FCC, GN Docket No. 12-268 (filed June 30, 2014); </w:t>
      </w:r>
      <w:r w:rsidRPr="00F63F44">
        <w:rPr>
          <w:i/>
        </w:rPr>
        <w:t>see also</w:t>
      </w:r>
      <w:r>
        <w:t xml:space="preserve"> Comment of the National Association of Broadcasters at 9 (filed July 2, 2014); Reply Comments of Cohen, Dippell, and Everist, P.C. (filed July 22, 2014); </w:t>
      </w:r>
    </w:p>
  </w:footnote>
  <w:footnote w:id="17">
    <w:p w14:paraId="0A8CB9FA" w14:textId="303A056A" w:rsidR="00591F0B" w:rsidRDefault="00591F0B" w:rsidP="00A17819">
      <w:pPr>
        <w:pStyle w:val="FootnoteText"/>
        <w:spacing w:after="120"/>
      </w:pPr>
      <w:r>
        <w:rPr>
          <w:rStyle w:val="FootnoteReference"/>
        </w:rPr>
        <w:footnoteRef/>
      </w:r>
      <w:r>
        <w:t xml:space="preserve"> Software packages for multiple platforms, including Microsoft Windows, </w:t>
      </w:r>
      <w:r w:rsidR="002F5311">
        <w:t>Mac</w:t>
      </w:r>
      <w:r>
        <w:t xml:space="preserve"> OS X, and Linux, are available on the FCC’s LEARN website under the Repacking Section at:</w:t>
      </w:r>
      <w:r w:rsidR="00CA7E70">
        <w:t xml:space="preserve"> </w:t>
      </w:r>
      <w:r>
        <w:t xml:space="preserve"> </w:t>
      </w:r>
      <w:hyperlink r:id="rId4" w:history="1">
        <w:r w:rsidR="00CA7E70" w:rsidRPr="00186F52">
          <w:rPr>
            <w:rStyle w:val="Hyperlink"/>
          </w:rPr>
          <w:t>http://fcc.gov/learn</w:t>
        </w:r>
      </w:hyperlink>
      <w:r>
        <w:t>.</w:t>
      </w:r>
    </w:p>
  </w:footnote>
  <w:footnote w:id="18">
    <w:p w14:paraId="53C7734D" w14:textId="09572102" w:rsidR="00591F0B" w:rsidRDefault="00591F0B" w:rsidP="00A17819">
      <w:pPr>
        <w:pStyle w:val="FootnoteText"/>
        <w:spacing w:after="120"/>
      </w:pPr>
      <w:r>
        <w:rPr>
          <w:rStyle w:val="FootnoteReference"/>
        </w:rPr>
        <w:footnoteRef/>
      </w:r>
      <w:r>
        <w:t xml:space="preserve"> The source code for the Feasibility Checker is being released and maintained by the outside software development team.  In order to expand access, we have mirrored the code on the FCC’s own repository,</w:t>
      </w:r>
      <w:r w:rsidR="00CA7E70">
        <w:t xml:space="preserve"> along with that of the Constraint Generator,</w:t>
      </w:r>
      <w:r>
        <w:t xml:space="preserve"> available at:</w:t>
      </w:r>
      <w:r w:rsidR="00CA7E70">
        <w:t xml:space="preserve"> </w:t>
      </w:r>
      <w:r>
        <w:t xml:space="preserve"> </w:t>
      </w:r>
      <w:hyperlink r:id="rId5" w:history="1">
        <w:r w:rsidR="00CA7E70" w:rsidRPr="00CA7E70">
          <w:rPr>
            <w:rStyle w:val="Hyperlink"/>
          </w:rPr>
          <w:t>http://github.com/fcc</w:t>
        </w:r>
      </w:hyperlink>
      <w:r>
        <w:t>.</w:t>
      </w:r>
    </w:p>
  </w:footnote>
  <w:footnote w:id="19">
    <w:p w14:paraId="7A1FA885" w14:textId="77777777" w:rsidR="00591F0B" w:rsidRPr="00820467" w:rsidRDefault="00591F0B" w:rsidP="00A17819">
      <w:pPr>
        <w:pStyle w:val="FootnoteText"/>
        <w:spacing w:after="120"/>
      </w:pPr>
      <w:r w:rsidRPr="00820467">
        <w:rPr>
          <w:rStyle w:val="FootnoteReference"/>
        </w:rPr>
        <w:footnoteRef/>
      </w:r>
      <w:r w:rsidRPr="00820467">
        <w:t xml:space="preserve"> 47 C</w:t>
      </w:r>
      <w:r>
        <w:t>.</w:t>
      </w:r>
      <w:r w:rsidRPr="00820467">
        <w:t>F</w:t>
      </w:r>
      <w:r>
        <w:t>.</w:t>
      </w:r>
      <w:r w:rsidRPr="00820467">
        <w:t>R</w:t>
      </w:r>
      <w:r>
        <w:t>.</w:t>
      </w:r>
      <w:r w:rsidRPr="00820467">
        <w:t xml:space="preserve"> §§ 0.31, 0.51, 0.61, 0.131.</w:t>
      </w:r>
    </w:p>
  </w:footnote>
  <w:footnote w:id="20">
    <w:p w14:paraId="2B90DCAC" w14:textId="77777777" w:rsidR="00591F0B" w:rsidRPr="00820467" w:rsidRDefault="00591F0B" w:rsidP="00A17819">
      <w:pPr>
        <w:pStyle w:val="FootnoteText"/>
        <w:spacing w:after="120"/>
      </w:pPr>
      <w:r w:rsidRPr="00820467">
        <w:rPr>
          <w:rStyle w:val="FootnoteReference"/>
        </w:rPr>
        <w:footnoteRef/>
      </w:r>
      <w:r w:rsidRPr="00820467">
        <w:t xml:space="preserve"> </w:t>
      </w:r>
      <w:r w:rsidRPr="00820467">
        <w:rPr>
          <w:i/>
        </w:rPr>
        <w:t xml:space="preserve">See </w:t>
      </w:r>
      <w:r w:rsidRPr="00820467">
        <w:t>47 C</w:t>
      </w:r>
      <w:r>
        <w:t>.</w:t>
      </w:r>
      <w:r w:rsidRPr="00820467">
        <w:t>F</w:t>
      </w:r>
      <w:r>
        <w:t>.</w:t>
      </w:r>
      <w:r w:rsidRPr="00820467">
        <w:t>R</w:t>
      </w:r>
      <w:r>
        <w:t>.</w:t>
      </w:r>
      <w:r w:rsidRPr="00820467">
        <w:t xml:space="preserve"> § 1.1206(b)(2).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028F" w14:textId="77777777" w:rsidR="002E0AA2" w:rsidRDefault="002E0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67F6F" w14:textId="77777777" w:rsidR="002E0AA2" w:rsidRDefault="002E0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E807" w14:textId="77777777" w:rsidR="00591F0B" w:rsidRDefault="00591F0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41F59CE" wp14:editId="31C4F314">
          <wp:simplePos x="0" y="0"/>
          <wp:positionH relativeFrom="column">
            <wp:posOffset>443865</wp:posOffset>
          </wp:positionH>
          <wp:positionV relativeFrom="paragraph">
            <wp:posOffset>107950</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9C5CDA">
      <w:rPr>
        <w:rFonts w:ascii="Arial" w:hAnsi="Arial" w:cs="Arial"/>
        <w:b/>
        <w:kern w:val="28"/>
        <w:sz w:val="96"/>
      </w:rPr>
      <w:t>PUBLIC NOTICE</w:t>
    </w:r>
  </w:p>
  <w:p w14:paraId="78BF4B73" w14:textId="77777777" w:rsidR="00591F0B" w:rsidRDefault="00591F0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BAE056E" wp14:editId="0E132B86">
              <wp:simplePos x="0" y="0"/>
              <wp:positionH relativeFrom="column">
                <wp:posOffset>477520</wp:posOffset>
              </wp:positionH>
              <wp:positionV relativeFrom="paragraph">
                <wp:posOffset>697865</wp:posOffset>
              </wp:positionV>
              <wp:extent cx="5886450" cy="25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K/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yvx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0797026" wp14:editId="1DD02BB0">
              <wp:simplePos x="0" y="0"/>
              <wp:positionH relativeFrom="column">
                <wp:posOffset>381000</wp:posOffset>
              </wp:positionH>
              <wp:positionV relativeFrom="paragraph">
                <wp:posOffset>5080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57C2" w14:textId="77777777" w:rsidR="00591F0B" w:rsidRDefault="00591F0B">
                          <w:pPr>
                            <w:rPr>
                              <w:rFonts w:ascii="Arial" w:hAnsi="Arial"/>
                              <w:b/>
                            </w:rPr>
                          </w:pPr>
                          <w:r>
                            <w:rPr>
                              <w:rFonts w:ascii="Arial" w:hAnsi="Arial"/>
                              <w:b/>
                            </w:rPr>
                            <w:t>Federal Communications Commission</w:t>
                          </w:r>
                        </w:p>
                        <w:p w14:paraId="46EDB22D" w14:textId="77777777" w:rsidR="00591F0B" w:rsidRDefault="00591F0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D93633" w14:textId="77777777" w:rsidR="00591F0B" w:rsidRDefault="00591F0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cex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" o:allowincell="f" stroked="f">
              <v:textbox>
                <w:txbxContent>
                  <w:p w14:paraId="7A0257C2" w14:textId="77777777" w:rsidR="00591F0B" w:rsidRDefault="00591F0B">
                    <w:pPr>
                      <w:rPr>
                        <w:rFonts w:ascii="Arial" w:hAnsi="Arial"/>
                        <w:b/>
                      </w:rPr>
                    </w:pPr>
                    <w:r>
                      <w:rPr>
                        <w:rFonts w:ascii="Arial" w:hAnsi="Arial"/>
                        <w:b/>
                      </w:rPr>
                      <w:t>Federal Communications Commission</w:t>
                    </w:r>
                  </w:p>
                  <w:p w14:paraId="46EDB22D" w14:textId="77777777" w:rsidR="00591F0B" w:rsidRDefault="00591F0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7D93633" w14:textId="77777777" w:rsidR="00591F0B" w:rsidRDefault="00591F0B">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628B629" wp14:editId="72E117B6">
              <wp:simplePos x="0" y="0"/>
              <wp:positionH relativeFrom="column">
                <wp:posOffset>3829050</wp:posOffset>
              </wp:positionH>
              <wp:positionV relativeFrom="paragraph">
                <wp:posOffset>130175</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C60E" w14:textId="77777777" w:rsidR="00591F0B" w:rsidRDefault="00591F0B">
                          <w:pPr>
                            <w:spacing w:before="40"/>
                            <w:jc w:val="right"/>
                            <w:rPr>
                              <w:rFonts w:ascii="Arial" w:hAnsi="Arial"/>
                              <w:b/>
                              <w:sz w:val="16"/>
                            </w:rPr>
                          </w:pPr>
                          <w:r>
                            <w:rPr>
                              <w:rFonts w:ascii="Arial" w:hAnsi="Arial"/>
                              <w:b/>
                              <w:sz w:val="16"/>
                            </w:rPr>
                            <w:t>News Media Information 202 / 418-0500</w:t>
                          </w:r>
                        </w:p>
                        <w:p w14:paraId="16FEE619" w14:textId="77777777" w:rsidR="00591F0B" w:rsidRDefault="00591F0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BCE0CD8" w14:textId="77777777" w:rsidR="00591F0B" w:rsidRDefault="00591F0B">
                          <w:pPr>
                            <w:jc w:val="right"/>
                            <w:rPr>
                              <w:rFonts w:ascii="Arial" w:hAnsi="Arial"/>
                              <w:b/>
                              <w:sz w:val="16"/>
                            </w:rPr>
                          </w:pPr>
                          <w:r>
                            <w:rPr>
                              <w:rFonts w:ascii="Arial" w:hAnsi="Arial"/>
                              <w:b/>
                              <w:sz w:val="16"/>
                            </w:rPr>
                            <w:t>TTY: 1-888-835-5322</w:t>
                          </w:r>
                        </w:p>
                        <w:p w14:paraId="3ACFAA6A" w14:textId="77777777" w:rsidR="00591F0B" w:rsidRDefault="00591F0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" o:allowincell="f" stroked="f">
              <v:textbox inset=",0,,0">
                <w:txbxContent>
                  <w:p w14:paraId="6B14C60E" w14:textId="77777777" w:rsidR="00591F0B" w:rsidRDefault="00591F0B">
                    <w:pPr>
                      <w:spacing w:before="40"/>
                      <w:jc w:val="right"/>
                      <w:rPr>
                        <w:rFonts w:ascii="Arial" w:hAnsi="Arial"/>
                        <w:b/>
                        <w:sz w:val="16"/>
                      </w:rPr>
                    </w:pPr>
                    <w:r>
                      <w:rPr>
                        <w:rFonts w:ascii="Arial" w:hAnsi="Arial"/>
                        <w:b/>
                        <w:sz w:val="16"/>
                      </w:rPr>
                      <w:t>News Media Information 202 / 418-0500</w:t>
                    </w:r>
                  </w:p>
                  <w:p w14:paraId="16FEE619" w14:textId="77777777" w:rsidR="00591F0B" w:rsidRDefault="00591F0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BCE0CD8" w14:textId="77777777" w:rsidR="00591F0B" w:rsidRDefault="00591F0B">
                    <w:pPr>
                      <w:jc w:val="right"/>
                      <w:rPr>
                        <w:rFonts w:ascii="Arial" w:hAnsi="Arial"/>
                        <w:b/>
                        <w:sz w:val="16"/>
                      </w:rPr>
                    </w:pPr>
                    <w:r>
                      <w:rPr>
                        <w:rFonts w:ascii="Arial" w:hAnsi="Arial"/>
                        <w:b/>
                        <w:sz w:val="16"/>
                      </w:rPr>
                      <w:t>TTY: 1-888-835-5322</w:t>
                    </w:r>
                  </w:p>
                  <w:p w14:paraId="3ACFAA6A" w14:textId="77777777" w:rsidR="00591F0B" w:rsidRDefault="00591F0B">
                    <w:pPr>
                      <w:jc w:val="right"/>
                    </w:pPr>
                  </w:p>
                </w:txbxContent>
              </v:textbox>
            </v:shape>
          </w:pict>
        </mc:Fallback>
      </mc:AlternateContent>
    </w:r>
  </w:p>
  <w:p w14:paraId="5DBE852B" w14:textId="77777777" w:rsidR="00591F0B" w:rsidRDefault="00591F0B">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8BF3" w14:textId="77777777" w:rsidR="00591F0B" w:rsidRPr="00BF0730" w:rsidRDefault="00591F0B" w:rsidP="00E07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0E9"/>
    <w:multiLevelType w:val="hybridMultilevel"/>
    <w:tmpl w:val="42EA9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76872"/>
    <w:multiLevelType w:val="hybridMultilevel"/>
    <w:tmpl w:val="494424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4DF021E"/>
    <w:multiLevelType w:val="hybridMultilevel"/>
    <w:tmpl w:val="8650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E65CA"/>
    <w:multiLevelType w:val="hybridMultilevel"/>
    <w:tmpl w:val="7F4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20A6F96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533726C"/>
    <w:multiLevelType w:val="hybridMultilevel"/>
    <w:tmpl w:val="FB64C9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3"/>
  </w:num>
  <w:num w:numId="14">
    <w:abstractNumId w:val="1"/>
  </w:num>
  <w:num w:numId="15">
    <w:abstractNumId w:val="4"/>
  </w:num>
  <w:num w:numId="16">
    <w:abstractNumId w:val="5"/>
    <w:lvlOverride w:ilvl="0">
      <w:startOverride w:val="1"/>
    </w:lvlOverride>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2C"/>
    <w:rsid w:val="00005AD3"/>
    <w:rsid w:val="00012581"/>
    <w:rsid w:val="00014B13"/>
    <w:rsid w:val="000265AE"/>
    <w:rsid w:val="0002701B"/>
    <w:rsid w:val="00031A7E"/>
    <w:rsid w:val="000451C7"/>
    <w:rsid w:val="000510F7"/>
    <w:rsid w:val="00065378"/>
    <w:rsid w:val="000758D3"/>
    <w:rsid w:val="000761ED"/>
    <w:rsid w:val="000B0FA0"/>
    <w:rsid w:val="000C0144"/>
    <w:rsid w:val="000C3324"/>
    <w:rsid w:val="000C70E5"/>
    <w:rsid w:val="000C7525"/>
    <w:rsid w:val="000D61F2"/>
    <w:rsid w:val="000E0AE5"/>
    <w:rsid w:val="000E4775"/>
    <w:rsid w:val="000E49F1"/>
    <w:rsid w:val="000E4A1E"/>
    <w:rsid w:val="000F040C"/>
    <w:rsid w:val="00102709"/>
    <w:rsid w:val="00122DCB"/>
    <w:rsid w:val="00133134"/>
    <w:rsid w:val="00143283"/>
    <w:rsid w:val="00145EF5"/>
    <w:rsid w:val="00151928"/>
    <w:rsid w:val="00166DD7"/>
    <w:rsid w:val="00185721"/>
    <w:rsid w:val="00185DB4"/>
    <w:rsid w:val="00186AA8"/>
    <w:rsid w:val="00187DDF"/>
    <w:rsid w:val="001917AF"/>
    <w:rsid w:val="00195239"/>
    <w:rsid w:val="001A223D"/>
    <w:rsid w:val="001B40A0"/>
    <w:rsid w:val="001B6771"/>
    <w:rsid w:val="001C1664"/>
    <w:rsid w:val="001D334B"/>
    <w:rsid w:val="001D7145"/>
    <w:rsid w:val="001D79D5"/>
    <w:rsid w:val="001F1DCB"/>
    <w:rsid w:val="00203C65"/>
    <w:rsid w:val="00207694"/>
    <w:rsid w:val="002306F6"/>
    <w:rsid w:val="002404B5"/>
    <w:rsid w:val="00243540"/>
    <w:rsid w:val="00274750"/>
    <w:rsid w:val="00276382"/>
    <w:rsid w:val="002810D5"/>
    <w:rsid w:val="00283747"/>
    <w:rsid w:val="00287E5E"/>
    <w:rsid w:val="002B52EB"/>
    <w:rsid w:val="002C3EC6"/>
    <w:rsid w:val="002E0AA2"/>
    <w:rsid w:val="002E4CC6"/>
    <w:rsid w:val="002E5E4C"/>
    <w:rsid w:val="002E7AB0"/>
    <w:rsid w:val="002F5311"/>
    <w:rsid w:val="00303E7E"/>
    <w:rsid w:val="00316CF0"/>
    <w:rsid w:val="00364DCA"/>
    <w:rsid w:val="00365A7A"/>
    <w:rsid w:val="00376B08"/>
    <w:rsid w:val="003778BC"/>
    <w:rsid w:val="00381CDA"/>
    <w:rsid w:val="00390011"/>
    <w:rsid w:val="003907DA"/>
    <w:rsid w:val="003A4C9F"/>
    <w:rsid w:val="003C1EBC"/>
    <w:rsid w:val="003D5C37"/>
    <w:rsid w:val="003E2B37"/>
    <w:rsid w:val="003F4045"/>
    <w:rsid w:val="003F416E"/>
    <w:rsid w:val="00403290"/>
    <w:rsid w:val="004106E0"/>
    <w:rsid w:val="0042681C"/>
    <w:rsid w:val="0043255D"/>
    <w:rsid w:val="00435810"/>
    <w:rsid w:val="00470DBD"/>
    <w:rsid w:val="00472EF7"/>
    <w:rsid w:val="00474E93"/>
    <w:rsid w:val="00475253"/>
    <w:rsid w:val="00494574"/>
    <w:rsid w:val="004A366E"/>
    <w:rsid w:val="004A3BF0"/>
    <w:rsid w:val="004A4495"/>
    <w:rsid w:val="004C4095"/>
    <w:rsid w:val="004C4540"/>
    <w:rsid w:val="004F2417"/>
    <w:rsid w:val="004F4AC3"/>
    <w:rsid w:val="00503E31"/>
    <w:rsid w:val="00506519"/>
    <w:rsid w:val="00511343"/>
    <w:rsid w:val="005203D5"/>
    <w:rsid w:val="005207D0"/>
    <w:rsid w:val="005313D0"/>
    <w:rsid w:val="00531E3C"/>
    <w:rsid w:val="00545BF3"/>
    <w:rsid w:val="00566D43"/>
    <w:rsid w:val="00571D07"/>
    <w:rsid w:val="00573A61"/>
    <w:rsid w:val="00582E4D"/>
    <w:rsid w:val="00583D5F"/>
    <w:rsid w:val="00590952"/>
    <w:rsid w:val="00591F0B"/>
    <w:rsid w:val="00596982"/>
    <w:rsid w:val="005A0DE1"/>
    <w:rsid w:val="005A3E13"/>
    <w:rsid w:val="005B44CD"/>
    <w:rsid w:val="005C264F"/>
    <w:rsid w:val="005D2D5D"/>
    <w:rsid w:val="005D36D3"/>
    <w:rsid w:val="005D3CBC"/>
    <w:rsid w:val="005D6522"/>
    <w:rsid w:val="005E7D09"/>
    <w:rsid w:val="00602577"/>
    <w:rsid w:val="006119C2"/>
    <w:rsid w:val="00613C12"/>
    <w:rsid w:val="00623848"/>
    <w:rsid w:val="00641E21"/>
    <w:rsid w:val="00656AD1"/>
    <w:rsid w:val="00663CA3"/>
    <w:rsid w:val="0067036D"/>
    <w:rsid w:val="00670E71"/>
    <w:rsid w:val="00682A01"/>
    <w:rsid w:val="0069348A"/>
    <w:rsid w:val="006A1744"/>
    <w:rsid w:val="006B1701"/>
    <w:rsid w:val="006B2D32"/>
    <w:rsid w:val="006C1106"/>
    <w:rsid w:val="006C1344"/>
    <w:rsid w:val="006D03A1"/>
    <w:rsid w:val="006D27E1"/>
    <w:rsid w:val="006D6D85"/>
    <w:rsid w:val="006F2E95"/>
    <w:rsid w:val="00710271"/>
    <w:rsid w:val="00730825"/>
    <w:rsid w:val="00732ACA"/>
    <w:rsid w:val="00733572"/>
    <w:rsid w:val="00762636"/>
    <w:rsid w:val="00781C49"/>
    <w:rsid w:val="00791CF3"/>
    <w:rsid w:val="007A1ED6"/>
    <w:rsid w:val="007A5116"/>
    <w:rsid w:val="007C0F0A"/>
    <w:rsid w:val="007E4870"/>
    <w:rsid w:val="007F3E1A"/>
    <w:rsid w:val="0080464A"/>
    <w:rsid w:val="00813608"/>
    <w:rsid w:val="00820467"/>
    <w:rsid w:val="00823262"/>
    <w:rsid w:val="008271D8"/>
    <w:rsid w:val="00831384"/>
    <w:rsid w:val="00835895"/>
    <w:rsid w:val="00841256"/>
    <w:rsid w:val="00860615"/>
    <w:rsid w:val="00893065"/>
    <w:rsid w:val="008A4E09"/>
    <w:rsid w:val="008B6447"/>
    <w:rsid w:val="008D3B9A"/>
    <w:rsid w:val="008D4389"/>
    <w:rsid w:val="008D44DE"/>
    <w:rsid w:val="008D5F47"/>
    <w:rsid w:val="008E7C19"/>
    <w:rsid w:val="008E7D48"/>
    <w:rsid w:val="008F144B"/>
    <w:rsid w:val="009048E3"/>
    <w:rsid w:val="00904FEC"/>
    <w:rsid w:val="009160E1"/>
    <w:rsid w:val="009162A4"/>
    <w:rsid w:val="00917EFA"/>
    <w:rsid w:val="00921EDB"/>
    <w:rsid w:val="0092766E"/>
    <w:rsid w:val="00927981"/>
    <w:rsid w:val="00934B2F"/>
    <w:rsid w:val="00934B5F"/>
    <w:rsid w:val="00950668"/>
    <w:rsid w:val="00956F3C"/>
    <w:rsid w:val="00964189"/>
    <w:rsid w:val="009723A1"/>
    <w:rsid w:val="00973010"/>
    <w:rsid w:val="00991A88"/>
    <w:rsid w:val="00994BF9"/>
    <w:rsid w:val="00996E89"/>
    <w:rsid w:val="009B0F82"/>
    <w:rsid w:val="009C000F"/>
    <w:rsid w:val="009C0973"/>
    <w:rsid w:val="009C5CDA"/>
    <w:rsid w:val="009C63FD"/>
    <w:rsid w:val="009D089A"/>
    <w:rsid w:val="009E07A2"/>
    <w:rsid w:val="009F2F32"/>
    <w:rsid w:val="009F6A96"/>
    <w:rsid w:val="00A03F96"/>
    <w:rsid w:val="00A06B52"/>
    <w:rsid w:val="00A10371"/>
    <w:rsid w:val="00A17819"/>
    <w:rsid w:val="00A2102C"/>
    <w:rsid w:val="00A25552"/>
    <w:rsid w:val="00A274C3"/>
    <w:rsid w:val="00A3197E"/>
    <w:rsid w:val="00A41015"/>
    <w:rsid w:val="00A46E22"/>
    <w:rsid w:val="00A62433"/>
    <w:rsid w:val="00A66394"/>
    <w:rsid w:val="00A72A1C"/>
    <w:rsid w:val="00A76FF7"/>
    <w:rsid w:val="00A834AC"/>
    <w:rsid w:val="00A84ADE"/>
    <w:rsid w:val="00A90242"/>
    <w:rsid w:val="00A95E4C"/>
    <w:rsid w:val="00AB11F3"/>
    <w:rsid w:val="00AB2BB3"/>
    <w:rsid w:val="00AB4E36"/>
    <w:rsid w:val="00AB6F12"/>
    <w:rsid w:val="00AC3ABD"/>
    <w:rsid w:val="00AD2D8C"/>
    <w:rsid w:val="00AD555A"/>
    <w:rsid w:val="00AE4463"/>
    <w:rsid w:val="00B03E5F"/>
    <w:rsid w:val="00B10FEC"/>
    <w:rsid w:val="00B12A01"/>
    <w:rsid w:val="00B143F6"/>
    <w:rsid w:val="00B2706E"/>
    <w:rsid w:val="00B31EE9"/>
    <w:rsid w:val="00B37744"/>
    <w:rsid w:val="00B519DA"/>
    <w:rsid w:val="00B52FE1"/>
    <w:rsid w:val="00B5723E"/>
    <w:rsid w:val="00B6509A"/>
    <w:rsid w:val="00B86D76"/>
    <w:rsid w:val="00B96243"/>
    <w:rsid w:val="00BA55A6"/>
    <w:rsid w:val="00BB2678"/>
    <w:rsid w:val="00BB4E5B"/>
    <w:rsid w:val="00BB67EC"/>
    <w:rsid w:val="00BC10C9"/>
    <w:rsid w:val="00BD0F53"/>
    <w:rsid w:val="00BD349C"/>
    <w:rsid w:val="00BD393F"/>
    <w:rsid w:val="00BD7AAD"/>
    <w:rsid w:val="00BE5FBC"/>
    <w:rsid w:val="00BF4A69"/>
    <w:rsid w:val="00C06408"/>
    <w:rsid w:val="00C34585"/>
    <w:rsid w:val="00C42E32"/>
    <w:rsid w:val="00C47588"/>
    <w:rsid w:val="00C51B5D"/>
    <w:rsid w:val="00C73815"/>
    <w:rsid w:val="00C82FEE"/>
    <w:rsid w:val="00C8332D"/>
    <w:rsid w:val="00C944D5"/>
    <w:rsid w:val="00CA4155"/>
    <w:rsid w:val="00CA52F5"/>
    <w:rsid w:val="00CA7E70"/>
    <w:rsid w:val="00CB01C2"/>
    <w:rsid w:val="00CC59FD"/>
    <w:rsid w:val="00CD4599"/>
    <w:rsid w:val="00D11FAA"/>
    <w:rsid w:val="00D17DC0"/>
    <w:rsid w:val="00D26967"/>
    <w:rsid w:val="00D35403"/>
    <w:rsid w:val="00D470C6"/>
    <w:rsid w:val="00D517C4"/>
    <w:rsid w:val="00D60EFF"/>
    <w:rsid w:val="00D61680"/>
    <w:rsid w:val="00D81157"/>
    <w:rsid w:val="00D8702D"/>
    <w:rsid w:val="00D94C58"/>
    <w:rsid w:val="00DB66A4"/>
    <w:rsid w:val="00DB753F"/>
    <w:rsid w:val="00DC643E"/>
    <w:rsid w:val="00DD6D45"/>
    <w:rsid w:val="00DD7767"/>
    <w:rsid w:val="00DE2DF4"/>
    <w:rsid w:val="00DE6272"/>
    <w:rsid w:val="00DF05F8"/>
    <w:rsid w:val="00DF1845"/>
    <w:rsid w:val="00E01F87"/>
    <w:rsid w:val="00E079EE"/>
    <w:rsid w:val="00E13C60"/>
    <w:rsid w:val="00E32A7B"/>
    <w:rsid w:val="00E34F0D"/>
    <w:rsid w:val="00E65ECB"/>
    <w:rsid w:val="00E662E4"/>
    <w:rsid w:val="00E70F53"/>
    <w:rsid w:val="00E91243"/>
    <w:rsid w:val="00EA5825"/>
    <w:rsid w:val="00EB05E6"/>
    <w:rsid w:val="00EB109F"/>
    <w:rsid w:val="00EC1F87"/>
    <w:rsid w:val="00EC67DC"/>
    <w:rsid w:val="00ED03CD"/>
    <w:rsid w:val="00ED7A7F"/>
    <w:rsid w:val="00EF0246"/>
    <w:rsid w:val="00F20C35"/>
    <w:rsid w:val="00F21245"/>
    <w:rsid w:val="00F24F3C"/>
    <w:rsid w:val="00F253DE"/>
    <w:rsid w:val="00F30807"/>
    <w:rsid w:val="00F3626C"/>
    <w:rsid w:val="00F372DD"/>
    <w:rsid w:val="00F420D9"/>
    <w:rsid w:val="00F51912"/>
    <w:rsid w:val="00F614E5"/>
    <w:rsid w:val="00F63F44"/>
    <w:rsid w:val="00F643C1"/>
    <w:rsid w:val="00F723AE"/>
    <w:rsid w:val="00F7537C"/>
    <w:rsid w:val="00F94844"/>
    <w:rsid w:val="00F95260"/>
    <w:rsid w:val="00FB6D11"/>
    <w:rsid w:val="00FC1117"/>
    <w:rsid w:val="00FC3C2C"/>
    <w:rsid w:val="00FD1255"/>
    <w:rsid w:val="00FD72EC"/>
    <w:rsid w:val="00FE0F4A"/>
    <w:rsid w:val="00FF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30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8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uiPriority w:val="9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5E7D0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5E7D09"/>
  </w:style>
  <w:style w:type="character" w:customStyle="1" w:styleId="HeaderChar">
    <w:name w:val="Header Char"/>
    <w:link w:val="Header"/>
    <w:locked/>
    <w:rsid w:val="00A95E4C"/>
    <w:rPr>
      <w:sz w:val="22"/>
    </w:rPr>
  </w:style>
  <w:style w:type="paragraph" w:styleId="ListParagraph">
    <w:name w:val="List Paragraph"/>
    <w:basedOn w:val="Normal"/>
    <w:uiPriority w:val="34"/>
    <w:qFormat/>
    <w:rsid w:val="00A95E4C"/>
    <w:pPr>
      <w:widowControl w:val="0"/>
      <w:ind w:left="720"/>
    </w:pPr>
    <w:rPr>
      <w:snapToGrid w:val="0"/>
      <w:kern w:val="28"/>
      <w:szCs w:val="24"/>
    </w:rPr>
  </w:style>
  <w:style w:type="paragraph" w:styleId="BalloonText">
    <w:name w:val="Balloon Text"/>
    <w:basedOn w:val="Normal"/>
    <w:link w:val="BalloonTextChar"/>
    <w:uiPriority w:val="99"/>
    <w:semiHidden/>
    <w:unhideWhenUsed/>
    <w:rsid w:val="00A95E4C"/>
    <w:rPr>
      <w:rFonts w:ascii="Tahoma" w:hAnsi="Tahoma" w:cs="Tahoma"/>
      <w:sz w:val="16"/>
      <w:szCs w:val="16"/>
    </w:rPr>
  </w:style>
  <w:style w:type="character" w:customStyle="1" w:styleId="BalloonTextChar">
    <w:name w:val="Balloon Text Char"/>
    <w:basedOn w:val="DefaultParagraphFont"/>
    <w:link w:val="BalloonText"/>
    <w:uiPriority w:val="99"/>
    <w:semiHidden/>
    <w:rsid w:val="00A95E4C"/>
    <w:rPr>
      <w:rFonts w:ascii="Tahoma" w:hAnsi="Tahoma" w:cs="Tahoma"/>
      <w:sz w:val="16"/>
      <w:szCs w:val="16"/>
    </w:rPr>
  </w:style>
  <w:style w:type="paragraph" w:customStyle="1" w:styleId="Para">
    <w:name w:val="Para"/>
    <w:basedOn w:val="Normal"/>
    <w:qFormat/>
    <w:rsid w:val="00E01F87"/>
    <w:pPr>
      <w:widowControl w:val="0"/>
      <w:spacing w:after="220"/>
      <w:ind w:firstLine="720"/>
      <w:jc w:val="both"/>
    </w:pPr>
  </w:style>
  <w:style w:type="character" w:styleId="CommentReference">
    <w:name w:val="annotation reference"/>
    <w:basedOn w:val="DefaultParagraphFont"/>
    <w:uiPriority w:val="99"/>
    <w:semiHidden/>
    <w:unhideWhenUsed/>
    <w:rsid w:val="008271D8"/>
    <w:rPr>
      <w:sz w:val="16"/>
      <w:szCs w:val="16"/>
    </w:rPr>
  </w:style>
  <w:style w:type="paragraph" w:styleId="CommentText">
    <w:name w:val="annotation text"/>
    <w:basedOn w:val="Normal"/>
    <w:link w:val="CommentTextChar"/>
    <w:uiPriority w:val="99"/>
    <w:semiHidden/>
    <w:unhideWhenUsed/>
    <w:rsid w:val="008271D8"/>
    <w:rPr>
      <w:sz w:val="20"/>
    </w:rPr>
  </w:style>
  <w:style w:type="character" w:customStyle="1" w:styleId="CommentTextChar">
    <w:name w:val="Comment Text Char"/>
    <w:basedOn w:val="DefaultParagraphFont"/>
    <w:link w:val="CommentText"/>
    <w:uiPriority w:val="99"/>
    <w:semiHidden/>
    <w:rsid w:val="008271D8"/>
  </w:style>
  <w:style w:type="paragraph" w:styleId="CommentSubject">
    <w:name w:val="annotation subject"/>
    <w:basedOn w:val="CommentText"/>
    <w:next w:val="CommentText"/>
    <w:link w:val="CommentSubjectChar"/>
    <w:uiPriority w:val="99"/>
    <w:semiHidden/>
    <w:unhideWhenUsed/>
    <w:rsid w:val="008271D8"/>
    <w:rPr>
      <w:b/>
      <w:bCs/>
    </w:rPr>
  </w:style>
  <w:style w:type="character" w:customStyle="1" w:styleId="CommentSubjectChar">
    <w:name w:val="Comment Subject Char"/>
    <w:basedOn w:val="CommentTextChar"/>
    <w:link w:val="CommentSubject"/>
    <w:uiPriority w:val="99"/>
    <w:semiHidden/>
    <w:rsid w:val="008271D8"/>
    <w:rPr>
      <w:b/>
      <w:bCs/>
    </w:rPr>
  </w:style>
  <w:style w:type="paragraph" w:styleId="Revision">
    <w:name w:val="Revision"/>
    <w:hidden/>
    <w:uiPriority w:val="99"/>
    <w:semiHidden/>
    <w:rsid w:val="008F144B"/>
    <w:rPr>
      <w:sz w:val="22"/>
    </w:rPr>
  </w:style>
  <w:style w:type="character" w:styleId="PageNumber">
    <w:name w:val="page number"/>
    <w:basedOn w:val="DefaultParagraphFont"/>
    <w:uiPriority w:val="99"/>
    <w:semiHidden/>
    <w:unhideWhenUsed/>
    <w:rsid w:val="00D35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8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uiPriority w:val="99"/>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iPriority w:val="99"/>
    <w:rsid w:val="005E7D09"/>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5E7D09"/>
  </w:style>
  <w:style w:type="character" w:customStyle="1" w:styleId="HeaderChar">
    <w:name w:val="Header Char"/>
    <w:link w:val="Header"/>
    <w:locked/>
    <w:rsid w:val="00A95E4C"/>
    <w:rPr>
      <w:sz w:val="22"/>
    </w:rPr>
  </w:style>
  <w:style w:type="paragraph" w:styleId="ListParagraph">
    <w:name w:val="List Paragraph"/>
    <w:basedOn w:val="Normal"/>
    <w:uiPriority w:val="34"/>
    <w:qFormat/>
    <w:rsid w:val="00A95E4C"/>
    <w:pPr>
      <w:widowControl w:val="0"/>
      <w:ind w:left="720"/>
    </w:pPr>
    <w:rPr>
      <w:snapToGrid w:val="0"/>
      <w:kern w:val="28"/>
      <w:szCs w:val="24"/>
    </w:rPr>
  </w:style>
  <w:style w:type="paragraph" w:styleId="BalloonText">
    <w:name w:val="Balloon Text"/>
    <w:basedOn w:val="Normal"/>
    <w:link w:val="BalloonTextChar"/>
    <w:uiPriority w:val="99"/>
    <w:semiHidden/>
    <w:unhideWhenUsed/>
    <w:rsid w:val="00A95E4C"/>
    <w:rPr>
      <w:rFonts w:ascii="Tahoma" w:hAnsi="Tahoma" w:cs="Tahoma"/>
      <w:sz w:val="16"/>
      <w:szCs w:val="16"/>
    </w:rPr>
  </w:style>
  <w:style w:type="character" w:customStyle="1" w:styleId="BalloonTextChar">
    <w:name w:val="Balloon Text Char"/>
    <w:basedOn w:val="DefaultParagraphFont"/>
    <w:link w:val="BalloonText"/>
    <w:uiPriority w:val="99"/>
    <w:semiHidden/>
    <w:rsid w:val="00A95E4C"/>
    <w:rPr>
      <w:rFonts w:ascii="Tahoma" w:hAnsi="Tahoma" w:cs="Tahoma"/>
      <w:sz w:val="16"/>
      <w:szCs w:val="16"/>
    </w:rPr>
  </w:style>
  <w:style w:type="paragraph" w:customStyle="1" w:styleId="Para">
    <w:name w:val="Para"/>
    <w:basedOn w:val="Normal"/>
    <w:qFormat/>
    <w:rsid w:val="00E01F87"/>
    <w:pPr>
      <w:widowControl w:val="0"/>
      <w:spacing w:after="220"/>
      <w:ind w:firstLine="720"/>
      <w:jc w:val="both"/>
    </w:pPr>
  </w:style>
  <w:style w:type="character" w:styleId="CommentReference">
    <w:name w:val="annotation reference"/>
    <w:basedOn w:val="DefaultParagraphFont"/>
    <w:uiPriority w:val="99"/>
    <w:semiHidden/>
    <w:unhideWhenUsed/>
    <w:rsid w:val="008271D8"/>
    <w:rPr>
      <w:sz w:val="16"/>
      <w:szCs w:val="16"/>
    </w:rPr>
  </w:style>
  <w:style w:type="paragraph" w:styleId="CommentText">
    <w:name w:val="annotation text"/>
    <w:basedOn w:val="Normal"/>
    <w:link w:val="CommentTextChar"/>
    <w:uiPriority w:val="99"/>
    <w:semiHidden/>
    <w:unhideWhenUsed/>
    <w:rsid w:val="008271D8"/>
    <w:rPr>
      <w:sz w:val="20"/>
    </w:rPr>
  </w:style>
  <w:style w:type="character" w:customStyle="1" w:styleId="CommentTextChar">
    <w:name w:val="Comment Text Char"/>
    <w:basedOn w:val="DefaultParagraphFont"/>
    <w:link w:val="CommentText"/>
    <w:uiPriority w:val="99"/>
    <w:semiHidden/>
    <w:rsid w:val="008271D8"/>
  </w:style>
  <w:style w:type="paragraph" w:styleId="CommentSubject">
    <w:name w:val="annotation subject"/>
    <w:basedOn w:val="CommentText"/>
    <w:next w:val="CommentText"/>
    <w:link w:val="CommentSubjectChar"/>
    <w:uiPriority w:val="99"/>
    <w:semiHidden/>
    <w:unhideWhenUsed/>
    <w:rsid w:val="008271D8"/>
    <w:rPr>
      <w:b/>
      <w:bCs/>
    </w:rPr>
  </w:style>
  <w:style w:type="character" w:customStyle="1" w:styleId="CommentSubjectChar">
    <w:name w:val="Comment Subject Char"/>
    <w:basedOn w:val="CommentTextChar"/>
    <w:link w:val="CommentSubject"/>
    <w:uiPriority w:val="99"/>
    <w:semiHidden/>
    <w:rsid w:val="008271D8"/>
    <w:rPr>
      <w:b/>
      <w:bCs/>
    </w:rPr>
  </w:style>
  <w:style w:type="paragraph" w:styleId="Revision">
    <w:name w:val="Revision"/>
    <w:hidden/>
    <w:uiPriority w:val="99"/>
    <w:semiHidden/>
    <w:rsid w:val="008F144B"/>
    <w:rPr>
      <w:sz w:val="22"/>
    </w:rPr>
  </w:style>
  <w:style w:type="character" w:styleId="PageNumber">
    <w:name w:val="page number"/>
    <w:basedOn w:val="DefaultParagraphFont"/>
    <w:uiPriority w:val="99"/>
    <w:semiHidden/>
    <w:unhideWhenUsed/>
    <w:rsid w:val="00D3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9860">
      <w:bodyDiv w:val="1"/>
      <w:marLeft w:val="0"/>
      <w:marRight w:val="0"/>
      <w:marTop w:val="0"/>
      <w:marBottom w:val="0"/>
      <w:divBdr>
        <w:top w:val="none" w:sz="0" w:space="0" w:color="auto"/>
        <w:left w:val="none" w:sz="0" w:space="0" w:color="auto"/>
        <w:bottom w:val="none" w:sz="0" w:space="0" w:color="auto"/>
        <w:right w:val="none" w:sz="0" w:space="0" w:color="auto"/>
      </w:divBdr>
    </w:div>
    <w:div w:id="372341548">
      <w:bodyDiv w:val="1"/>
      <w:marLeft w:val="0"/>
      <w:marRight w:val="0"/>
      <w:marTop w:val="0"/>
      <w:marBottom w:val="0"/>
      <w:divBdr>
        <w:top w:val="none" w:sz="0" w:space="0" w:color="auto"/>
        <w:left w:val="none" w:sz="0" w:space="0" w:color="auto"/>
        <w:bottom w:val="none" w:sz="0" w:space="0" w:color="auto"/>
        <w:right w:val="none" w:sz="0" w:space="0" w:color="auto"/>
      </w:divBdr>
    </w:div>
    <w:div w:id="730806490">
      <w:bodyDiv w:val="1"/>
      <w:marLeft w:val="0"/>
      <w:marRight w:val="0"/>
      <w:marTop w:val="0"/>
      <w:marBottom w:val="0"/>
      <w:divBdr>
        <w:top w:val="none" w:sz="0" w:space="0" w:color="auto"/>
        <w:left w:val="none" w:sz="0" w:space="0" w:color="auto"/>
        <w:bottom w:val="none" w:sz="0" w:space="0" w:color="auto"/>
        <w:right w:val="none" w:sz="0" w:space="0" w:color="auto"/>
      </w:divBdr>
    </w:div>
    <w:div w:id="874268823">
      <w:bodyDiv w:val="1"/>
      <w:marLeft w:val="0"/>
      <w:marRight w:val="0"/>
      <w:marTop w:val="0"/>
      <w:marBottom w:val="0"/>
      <w:divBdr>
        <w:top w:val="none" w:sz="0" w:space="0" w:color="auto"/>
        <w:left w:val="none" w:sz="0" w:space="0" w:color="auto"/>
        <w:bottom w:val="none" w:sz="0" w:space="0" w:color="auto"/>
        <w:right w:val="none" w:sz="0" w:space="0" w:color="auto"/>
      </w:divBdr>
    </w:div>
    <w:div w:id="15731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nathan.McCormack@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ear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cc.gov/events/learn-workshop-feasibility-checking-during-repacking-process" TargetMode="External"/><Relationship Id="rId2" Type="http://schemas.openxmlformats.org/officeDocument/2006/relationships/hyperlink" Target="http://data.fcc.gov/download/incentive-auctions/Constraint_Files/" TargetMode="External"/><Relationship Id="rId1" Type="http://schemas.openxmlformats.org/officeDocument/2006/relationships/hyperlink" Target="http://fcc.gov/learn" TargetMode="External"/><Relationship Id="rId5" Type="http://schemas.openxmlformats.org/officeDocument/2006/relationships/hyperlink" Target="http://github.com/fcc" TargetMode="External"/><Relationship Id="rId4" Type="http://schemas.openxmlformats.org/officeDocument/2006/relationships/hyperlink" Target="http://fcc.gov/lear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793</Words>
  <Characters>4778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 14-XXXX</vt:lpstr>
    </vt:vector>
  </TitlesOfParts>
  <Manager/>
  <Company/>
  <LinksUpToDate>false</LinksUpToDate>
  <CharactersWithSpaces>5573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2014-11-03T20:10:00Z</cp:lastPrinted>
  <dcterms:created xsi:type="dcterms:W3CDTF">2014-11-03T20:18:00Z</dcterms:created>
  <dcterms:modified xsi:type="dcterms:W3CDTF">2014-11-03T20:18:00Z</dcterms:modified>
  <cp:category> </cp:category>
  <cp:contentStatus> </cp:contentStatus>
</cp:coreProperties>
</file>