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F924" w14:textId="77777777" w:rsidR="00624552" w:rsidRDefault="00624552">
      <w:pPr>
        <w:widowControl/>
        <w:tabs>
          <w:tab w:val="center" w:pos="4680"/>
          <w:tab w:val="right" w:pos="9360"/>
        </w:tabs>
        <w:rPr>
          <w:b/>
          <w:szCs w:val="22"/>
        </w:rPr>
      </w:pPr>
      <w:bookmarkStart w:id="0" w:name="_GoBack"/>
      <w:bookmarkEnd w:id="0"/>
      <w:r>
        <w:rPr>
          <w:rFonts w:ascii="Times New Roman Bold" w:hAnsi="Times New Roman Bold"/>
          <w:b/>
          <w:kern w:val="0"/>
          <w:szCs w:val="22"/>
        </w:rPr>
        <w:tab/>
        <w:t>Before</w:t>
      </w:r>
      <w:r>
        <w:rPr>
          <w:b/>
          <w:szCs w:val="22"/>
        </w:rPr>
        <w:t xml:space="preserve"> the</w:t>
      </w:r>
      <w:r>
        <w:rPr>
          <w:b/>
          <w:szCs w:val="22"/>
        </w:rPr>
        <w:tab/>
      </w:r>
    </w:p>
    <w:p w14:paraId="3BDFA17C" w14:textId="77777777" w:rsidR="00624552" w:rsidRDefault="00624552">
      <w:pPr>
        <w:pStyle w:val="StyleBoldCentered"/>
        <w:widowControl/>
      </w:pPr>
      <w:r>
        <w:t>F</w:t>
      </w:r>
      <w:r>
        <w:rPr>
          <w:caps w:val="0"/>
        </w:rPr>
        <w:t>ederal Communications Commission</w:t>
      </w:r>
    </w:p>
    <w:p w14:paraId="0D42EFDC" w14:textId="77777777" w:rsidR="00624552" w:rsidRDefault="00624552">
      <w:pPr>
        <w:pStyle w:val="StyleBoldCentered"/>
        <w:widowControl/>
      </w:pPr>
      <w:r>
        <w:t>W</w:t>
      </w:r>
      <w:r>
        <w:rPr>
          <w:caps w:val="0"/>
        </w:rPr>
        <w:t>ashington</w:t>
      </w:r>
      <w:r>
        <w:t>, D.C. 20554</w:t>
      </w:r>
    </w:p>
    <w:p w14:paraId="5BF88E48" w14:textId="77777777" w:rsidR="00624552" w:rsidRDefault="00624552">
      <w:pPr>
        <w:pStyle w:val="StyleBoldCentered"/>
        <w:widowControl/>
        <w:rPr>
          <w:i/>
        </w:rPr>
      </w:pPr>
    </w:p>
    <w:p w14:paraId="6977454F" w14:textId="77777777" w:rsidR="00624552" w:rsidRDefault="00624552">
      <w:pPr>
        <w:widowControl/>
        <w:rPr>
          <w:szCs w:val="22"/>
        </w:rPr>
      </w:pPr>
    </w:p>
    <w:p w14:paraId="1FAAC9C8" w14:textId="77777777" w:rsidR="00624552" w:rsidRDefault="00624552">
      <w:pPr>
        <w:widowControl/>
        <w:rPr>
          <w:szCs w:val="22"/>
        </w:rPr>
      </w:pPr>
    </w:p>
    <w:tbl>
      <w:tblPr>
        <w:tblW w:w="0" w:type="auto"/>
        <w:tblLayout w:type="fixed"/>
        <w:tblLook w:val="0000" w:firstRow="0" w:lastRow="0" w:firstColumn="0" w:lastColumn="0" w:noHBand="0" w:noVBand="0"/>
      </w:tblPr>
      <w:tblGrid>
        <w:gridCol w:w="4698"/>
        <w:gridCol w:w="630"/>
        <w:gridCol w:w="4248"/>
      </w:tblGrid>
      <w:tr w:rsidR="00624552" w14:paraId="770C7F1C" w14:textId="77777777">
        <w:tc>
          <w:tcPr>
            <w:tcW w:w="4698" w:type="dxa"/>
          </w:tcPr>
          <w:p w14:paraId="760BCE93" w14:textId="77777777" w:rsidR="00624552" w:rsidRDefault="00624552">
            <w:pPr>
              <w:widowControl/>
              <w:tabs>
                <w:tab w:val="center" w:pos="4680"/>
              </w:tabs>
              <w:suppressAutoHyphens/>
              <w:rPr>
                <w:spacing w:val="-2"/>
                <w:szCs w:val="22"/>
              </w:rPr>
            </w:pPr>
            <w:r>
              <w:rPr>
                <w:spacing w:val="-2"/>
                <w:szCs w:val="22"/>
              </w:rPr>
              <w:t>In the Matter of</w:t>
            </w:r>
          </w:p>
          <w:p w14:paraId="3E00E433" w14:textId="77777777" w:rsidR="00624552" w:rsidRDefault="00624552">
            <w:pPr>
              <w:widowControl/>
              <w:tabs>
                <w:tab w:val="center" w:pos="4680"/>
              </w:tabs>
              <w:suppressAutoHyphens/>
              <w:rPr>
                <w:spacing w:val="-2"/>
                <w:szCs w:val="22"/>
              </w:rPr>
            </w:pPr>
          </w:p>
          <w:p w14:paraId="433F49AD" w14:textId="77777777" w:rsidR="00624552" w:rsidRDefault="00624552">
            <w:pPr>
              <w:widowControl/>
              <w:tabs>
                <w:tab w:val="center" w:pos="4680"/>
              </w:tabs>
              <w:suppressAutoHyphens/>
              <w:rPr>
                <w:spacing w:val="-2"/>
                <w:szCs w:val="22"/>
              </w:rPr>
            </w:pPr>
            <w:r>
              <w:rPr>
                <w:spacing w:val="-2"/>
                <w:szCs w:val="22"/>
              </w:rPr>
              <w:t>Schools and Libraries Universal Service</w:t>
            </w:r>
          </w:p>
          <w:p w14:paraId="6DFA40D2" w14:textId="77777777" w:rsidR="00624552" w:rsidRDefault="00624552">
            <w:pPr>
              <w:widowControl/>
              <w:tabs>
                <w:tab w:val="center" w:pos="4680"/>
              </w:tabs>
              <w:suppressAutoHyphens/>
              <w:rPr>
                <w:spacing w:val="-2"/>
                <w:szCs w:val="22"/>
              </w:rPr>
            </w:pPr>
            <w:r>
              <w:rPr>
                <w:spacing w:val="-2"/>
                <w:szCs w:val="22"/>
              </w:rPr>
              <w:t>Support Mechanism</w:t>
            </w:r>
          </w:p>
          <w:p w14:paraId="3495A35D" w14:textId="77777777" w:rsidR="00624552" w:rsidRDefault="00624552">
            <w:pPr>
              <w:widowControl/>
              <w:tabs>
                <w:tab w:val="center" w:pos="4680"/>
              </w:tabs>
              <w:suppressAutoHyphens/>
              <w:rPr>
                <w:spacing w:val="-2"/>
                <w:szCs w:val="22"/>
              </w:rPr>
            </w:pPr>
          </w:p>
          <w:p w14:paraId="6BA8EFFD" w14:textId="77777777" w:rsidR="00624552" w:rsidRDefault="00624552">
            <w:pPr>
              <w:widowControl/>
              <w:tabs>
                <w:tab w:val="center" w:pos="4680"/>
              </w:tabs>
              <w:suppressAutoHyphens/>
              <w:rPr>
                <w:snapToGrid w:val="0"/>
                <w:szCs w:val="22"/>
              </w:rPr>
            </w:pPr>
            <w:r>
              <w:rPr>
                <w:snapToGrid w:val="0"/>
                <w:szCs w:val="22"/>
              </w:rPr>
              <w:t>A National Broadband Plan for Our Future</w:t>
            </w:r>
          </w:p>
          <w:p w14:paraId="4B0BA882" w14:textId="77777777" w:rsidR="00DE1778" w:rsidRDefault="00DE1778">
            <w:pPr>
              <w:widowControl/>
              <w:tabs>
                <w:tab w:val="center" w:pos="4680"/>
              </w:tabs>
              <w:suppressAutoHyphens/>
              <w:rPr>
                <w:snapToGrid w:val="0"/>
                <w:szCs w:val="22"/>
              </w:rPr>
            </w:pPr>
          </w:p>
          <w:p w14:paraId="194C56C6" w14:textId="77777777" w:rsidR="00DE1778" w:rsidRDefault="00DE1778">
            <w:pPr>
              <w:widowControl/>
              <w:tabs>
                <w:tab w:val="center" w:pos="4680"/>
              </w:tabs>
              <w:suppressAutoHyphens/>
              <w:rPr>
                <w:snapToGrid w:val="0"/>
                <w:szCs w:val="22"/>
              </w:rPr>
            </w:pPr>
            <w:r>
              <w:rPr>
                <w:snapToGrid w:val="0"/>
                <w:szCs w:val="22"/>
              </w:rPr>
              <w:t>Modernizing the E-rate Program for</w:t>
            </w:r>
          </w:p>
          <w:p w14:paraId="20A9B1B7" w14:textId="77777777" w:rsidR="00DE1778" w:rsidRDefault="00DE1778">
            <w:pPr>
              <w:widowControl/>
              <w:tabs>
                <w:tab w:val="center" w:pos="4680"/>
              </w:tabs>
              <w:suppressAutoHyphens/>
              <w:rPr>
                <w:spacing w:val="-2"/>
                <w:szCs w:val="22"/>
              </w:rPr>
            </w:pPr>
            <w:r>
              <w:rPr>
                <w:snapToGrid w:val="0"/>
                <w:szCs w:val="22"/>
              </w:rPr>
              <w:t>Schools and Libraries</w:t>
            </w:r>
          </w:p>
        </w:tc>
        <w:tc>
          <w:tcPr>
            <w:tcW w:w="630" w:type="dxa"/>
          </w:tcPr>
          <w:p w14:paraId="29136D68" w14:textId="77777777" w:rsidR="00624552" w:rsidRDefault="00624552">
            <w:pPr>
              <w:widowControl/>
              <w:tabs>
                <w:tab w:val="center" w:pos="4680"/>
              </w:tabs>
              <w:suppressAutoHyphens/>
              <w:rPr>
                <w:b/>
                <w:spacing w:val="-2"/>
                <w:szCs w:val="22"/>
              </w:rPr>
            </w:pPr>
            <w:r>
              <w:rPr>
                <w:b/>
                <w:spacing w:val="-2"/>
                <w:szCs w:val="22"/>
              </w:rPr>
              <w:t>)</w:t>
            </w:r>
          </w:p>
          <w:p w14:paraId="695903E6" w14:textId="77777777" w:rsidR="00624552" w:rsidRDefault="00624552">
            <w:pPr>
              <w:widowControl/>
              <w:tabs>
                <w:tab w:val="center" w:pos="4680"/>
              </w:tabs>
              <w:suppressAutoHyphens/>
              <w:rPr>
                <w:b/>
                <w:spacing w:val="-2"/>
                <w:szCs w:val="22"/>
              </w:rPr>
            </w:pPr>
            <w:r>
              <w:rPr>
                <w:b/>
                <w:spacing w:val="-2"/>
                <w:szCs w:val="22"/>
              </w:rPr>
              <w:t>)</w:t>
            </w:r>
          </w:p>
          <w:p w14:paraId="16F77595" w14:textId="77777777" w:rsidR="00624552" w:rsidRDefault="00624552">
            <w:pPr>
              <w:widowControl/>
              <w:tabs>
                <w:tab w:val="center" w:pos="4680"/>
              </w:tabs>
              <w:suppressAutoHyphens/>
              <w:rPr>
                <w:b/>
                <w:spacing w:val="-2"/>
                <w:szCs w:val="22"/>
              </w:rPr>
            </w:pPr>
            <w:r>
              <w:rPr>
                <w:b/>
                <w:spacing w:val="-2"/>
                <w:szCs w:val="22"/>
              </w:rPr>
              <w:t>)</w:t>
            </w:r>
          </w:p>
          <w:p w14:paraId="2E66A59A" w14:textId="77777777" w:rsidR="00624552" w:rsidRDefault="00624552">
            <w:pPr>
              <w:widowControl/>
              <w:tabs>
                <w:tab w:val="center" w:pos="4680"/>
              </w:tabs>
              <w:suppressAutoHyphens/>
              <w:rPr>
                <w:b/>
                <w:spacing w:val="-2"/>
                <w:szCs w:val="22"/>
              </w:rPr>
            </w:pPr>
            <w:r>
              <w:rPr>
                <w:b/>
                <w:spacing w:val="-2"/>
                <w:szCs w:val="22"/>
              </w:rPr>
              <w:t>)</w:t>
            </w:r>
          </w:p>
          <w:p w14:paraId="32EBE1EF" w14:textId="77777777" w:rsidR="00624552" w:rsidRDefault="00624552">
            <w:pPr>
              <w:widowControl/>
              <w:tabs>
                <w:tab w:val="center" w:pos="4680"/>
              </w:tabs>
              <w:suppressAutoHyphens/>
              <w:rPr>
                <w:b/>
                <w:spacing w:val="-2"/>
                <w:szCs w:val="22"/>
              </w:rPr>
            </w:pPr>
            <w:r>
              <w:rPr>
                <w:b/>
                <w:spacing w:val="-2"/>
                <w:szCs w:val="22"/>
              </w:rPr>
              <w:t>)</w:t>
            </w:r>
          </w:p>
          <w:p w14:paraId="1E475143" w14:textId="77777777" w:rsidR="00624552" w:rsidRDefault="00624552">
            <w:pPr>
              <w:widowControl/>
              <w:tabs>
                <w:tab w:val="center" w:pos="4680"/>
              </w:tabs>
              <w:suppressAutoHyphens/>
              <w:rPr>
                <w:b/>
                <w:spacing w:val="-2"/>
                <w:szCs w:val="22"/>
              </w:rPr>
            </w:pPr>
            <w:r>
              <w:rPr>
                <w:b/>
                <w:spacing w:val="-2"/>
                <w:szCs w:val="22"/>
              </w:rPr>
              <w:t>)</w:t>
            </w:r>
          </w:p>
          <w:p w14:paraId="31053D19" w14:textId="77777777" w:rsidR="00624552" w:rsidRDefault="00624552">
            <w:pPr>
              <w:widowControl/>
              <w:tabs>
                <w:tab w:val="center" w:pos="4680"/>
              </w:tabs>
              <w:suppressAutoHyphens/>
              <w:rPr>
                <w:b/>
                <w:spacing w:val="-2"/>
                <w:szCs w:val="22"/>
              </w:rPr>
            </w:pPr>
            <w:r>
              <w:rPr>
                <w:b/>
                <w:spacing w:val="-2"/>
                <w:szCs w:val="22"/>
              </w:rPr>
              <w:t>)</w:t>
            </w:r>
          </w:p>
          <w:p w14:paraId="3105C60B" w14:textId="77777777" w:rsidR="00DE1778" w:rsidRDefault="00DE1778">
            <w:pPr>
              <w:widowControl/>
              <w:tabs>
                <w:tab w:val="center" w:pos="4680"/>
              </w:tabs>
              <w:suppressAutoHyphens/>
              <w:rPr>
                <w:b/>
                <w:spacing w:val="-2"/>
                <w:szCs w:val="22"/>
              </w:rPr>
            </w:pPr>
            <w:r>
              <w:rPr>
                <w:b/>
                <w:spacing w:val="-2"/>
                <w:szCs w:val="22"/>
              </w:rPr>
              <w:t>)</w:t>
            </w:r>
          </w:p>
          <w:p w14:paraId="458B654B" w14:textId="77777777" w:rsidR="00DE1778" w:rsidRDefault="00DE1778">
            <w:pPr>
              <w:widowControl/>
              <w:tabs>
                <w:tab w:val="center" w:pos="4680"/>
              </w:tabs>
              <w:suppressAutoHyphens/>
              <w:rPr>
                <w:b/>
                <w:spacing w:val="-2"/>
                <w:szCs w:val="22"/>
              </w:rPr>
            </w:pPr>
            <w:r>
              <w:rPr>
                <w:b/>
                <w:spacing w:val="-2"/>
                <w:szCs w:val="22"/>
              </w:rPr>
              <w:t>)</w:t>
            </w:r>
          </w:p>
          <w:p w14:paraId="0FB9CB29" w14:textId="77777777" w:rsidR="00DE1778" w:rsidRDefault="00DE1778">
            <w:pPr>
              <w:widowControl/>
              <w:tabs>
                <w:tab w:val="center" w:pos="4680"/>
              </w:tabs>
              <w:suppressAutoHyphens/>
              <w:rPr>
                <w:b/>
                <w:spacing w:val="-2"/>
                <w:szCs w:val="22"/>
              </w:rPr>
            </w:pPr>
          </w:p>
          <w:p w14:paraId="65B3A05C" w14:textId="77777777" w:rsidR="00DE1778" w:rsidRDefault="00DE1778">
            <w:pPr>
              <w:widowControl/>
              <w:tabs>
                <w:tab w:val="center" w:pos="4680"/>
              </w:tabs>
              <w:suppressAutoHyphens/>
              <w:rPr>
                <w:b/>
                <w:spacing w:val="-2"/>
                <w:szCs w:val="22"/>
              </w:rPr>
            </w:pPr>
          </w:p>
        </w:tc>
        <w:tc>
          <w:tcPr>
            <w:tcW w:w="4248" w:type="dxa"/>
          </w:tcPr>
          <w:p w14:paraId="371BD9AA" w14:textId="77777777" w:rsidR="00624552" w:rsidRDefault="00624552">
            <w:pPr>
              <w:widowControl/>
              <w:tabs>
                <w:tab w:val="center" w:pos="4680"/>
              </w:tabs>
              <w:suppressAutoHyphens/>
              <w:rPr>
                <w:spacing w:val="-2"/>
                <w:szCs w:val="22"/>
                <w:lang w:val="sv-SE"/>
              </w:rPr>
            </w:pPr>
          </w:p>
          <w:p w14:paraId="427A2C58" w14:textId="77777777" w:rsidR="00624552" w:rsidRDefault="00624552">
            <w:pPr>
              <w:pStyle w:val="TOAHeading"/>
              <w:widowControl/>
              <w:tabs>
                <w:tab w:val="clear" w:pos="9360"/>
                <w:tab w:val="center" w:pos="4680"/>
              </w:tabs>
              <w:rPr>
                <w:spacing w:val="-2"/>
                <w:szCs w:val="22"/>
                <w:lang w:val="sv-SE"/>
              </w:rPr>
            </w:pPr>
          </w:p>
          <w:p w14:paraId="640400C9" w14:textId="77777777" w:rsidR="00624552" w:rsidRDefault="00624552">
            <w:pPr>
              <w:widowControl/>
              <w:tabs>
                <w:tab w:val="center" w:pos="4680"/>
              </w:tabs>
              <w:suppressAutoHyphens/>
              <w:rPr>
                <w:spacing w:val="-2"/>
                <w:szCs w:val="22"/>
                <w:lang w:val="sv-SE"/>
              </w:rPr>
            </w:pPr>
            <w:r>
              <w:rPr>
                <w:spacing w:val="-2"/>
                <w:szCs w:val="22"/>
                <w:lang w:val="sv-SE"/>
              </w:rPr>
              <w:t>CC Docket No. 02-6</w:t>
            </w:r>
          </w:p>
          <w:p w14:paraId="089F108A" w14:textId="77777777" w:rsidR="00624552" w:rsidRDefault="00624552">
            <w:pPr>
              <w:widowControl/>
              <w:tabs>
                <w:tab w:val="center" w:pos="4680"/>
              </w:tabs>
              <w:suppressAutoHyphens/>
              <w:rPr>
                <w:spacing w:val="-2"/>
                <w:szCs w:val="22"/>
                <w:lang w:val="sv-SE"/>
              </w:rPr>
            </w:pPr>
          </w:p>
          <w:p w14:paraId="594A38BA" w14:textId="77777777" w:rsidR="00624552" w:rsidRDefault="00624552">
            <w:pPr>
              <w:widowControl/>
              <w:tabs>
                <w:tab w:val="center" w:pos="4680"/>
              </w:tabs>
              <w:suppressAutoHyphens/>
              <w:rPr>
                <w:spacing w:val="-2"/>
                <w:szCs w:val="22"/>
                <w:lang w:val="sv-SE"/>
              </w:rPr>
            </w:pPr>
          </w:p>
          <w:p w14:paraId="0F6F1310" w14:textId="77777777" w:rsidR="00624552" w:rsidRDefault="00624552">
            <w:pPr>
              <w:widowControl/>
              <w:tabs>
                <w:tab w:val="center" w:pos="4680"/>
              </w:tabs>
              <w:suppressAutoHyphens/>
              <w:rPr>
                <w:spacing w:val="-2"/>
                <w:szCs w:val="22"/>
                <w:lang w:val="sv-SE"/>
              </w:rPr>
            </w:pPr>
            <w:r>
              <w:rPr>
                <w:spacing w:val="-2"/>
                <w:szCs w:val="22"/>
                <w:lang w:val="sv-SE"/>
              </w:rPr>
              <w:t>GN Docket No. 09-51</w:t>
            </w:r>
          </w:p>
          <w:p w14:paraId="333AF7F9" w14:textId="77777777" w:rsidR="00DE1778" w:rsidRDefault="00DE1778">
            <w:pPr>
              <w:widowControl/>
              <w:tabs>
                <w:tab w:val="center" w:pos="4680"/>
              </w:tabs>
              <w:suppressAutoHyphens/>
              <w:rPr>
                <w:spacing w:val="-2"/>
                <w:szCs w:val="22"/>
                <w:lang w:val="sv-SE"/>
              </w:rPr>
            </w:pPr>
          </w:p>
          <w:p w14:paraId="7847D6E8" w14:textId="77777777" w:rsidR="00DE1778" w:rsidRPr="00DE1778" w:rsidRDefault="00DE1778">
            <w:pPr>
              <w:widowControl/>
              <w:tabs>
                <w:tab w:val="center" w:pos="4680"/>
              </w:tabs>
              <w:suppressAutoHyphens/>
              <w:rPr>
                <w:spacing w:val="-2"/>
                <w:szCs w:val="22"/>
                <w:lang w:val="sv-SE"/>
              </w:rPr>
            </w:pPr>
            <w:r w:rsidRPr="00DE1778">
              <w:rPr>
                <w:spacing w:val="-2"/>
                <w:szCs w:val="22"/>
                <w:lang w:val="sv-SE"/>
              </w:rPr>
              <w:t>WC Docket No. 13-184</w:t>
            </w:r>
          </w:p>
        </w:tc>
      </w:tr>
    </w:tbl>
    <w:p w14:paraId="357546B0" w14:textId="77777777" w:rsidR="00624552" w:rsidRDefault="00624552">
      <w:pPr>
        <w:widowControl/>
        <w:rPr>
          <w:szCs w:val="22"/>
          <w:lang w:val="sv-SE"/>
        </w:rPr>
      </w:pPr>
    </w:p>
    <w:p w14:paraId="6F25AEF8" w14:textId="77777777" w:rsidR="00624552" w:rsidRDefault="00624552">
      <w:pPr>
        <w:pStyle w:val="StyleBoldCentered"/>
        <w:widowControl/>
        <w:rPr>
          <w:rFonts w:ascii="Times New Roman" w:hAnsi="Times New Roman"/>
        </w:rPr>
      </w:pPr>
      <w:r>
        <w:rPr>
          <w:rFonts w:ascii="Times New Roman" w:hAnsi="Times New Roman"/>
        </w:rPr>
        <w:t>ORDER</w:t>
      </w:r>
    </w:p>
    <w:p w14:paraId="13B6428D" w14:textId="77777777" w:rsidR="00624552" w:rsidRDefault="00624552">
      <w:pPr>
        <w:widowControl/>
        <w:tabs>
          <w:tab w:val="left" w:pos="-720"/>
        </w:tabs>
        <w:suppressAutoHyphens/>
        <w:spacing w:line="227" w:lineRule="auto"/>
        <w:rPr>
          <w:spacing w:val="-2"/>
          <w:szCs w:val="22"/>
        </w:rPr>
      </w:pPr>
    </w:p>
    <w:p w14:paraId="5223E8C6" w14:textId="780E7C2C" w:rsidR="00624552" w:rsidRDefault="00624552">
      <w:pPr>
        <w:widowControl/>
        <w:tabs>
          <w:tab w:val="left" w:pos="720"/>
          <w:tab w:val="left" w:pos="5760"/>
        </w:tabs>
        <w:suppressAutoHyphens/>
        <w:spacing w:line="227" w:lineRule="auto"/>
        <w:rPr>
          <w:spacing w:val="-2"/>
          <w:szCs w:val="22"/>
        </w:rPr>
      </w:pPr>
      <w:r>
        <w:rPr>
          <w:b/>
          <w:spacing w:val="-2"/>
          <w:szCs w:val="22"/>
        </w:rPr>
        <w:t xml:space="preserve">Adopted:  </w:t>
      </w:r>
      <w:r w:rsidR="00A514C1">
        <w:rPr>
          <w:b/>
          <w:spacing w:val="-2"/>
          <w:szCs w:val="22"/>
        </w:rPr>
        <w:t>October 28</w:t>
      </w:r>
      <w:r w:rsidR="00DC6E94">
        <w:rPr>
          <w:b/>
          <w:spacing w:val="-2"/>
          <w:szCs w:val="22"/>
        </w:rPr>
        <w:t>, 2014</w:t>
      </w:r>
      <w:r>
        <w:rPr>
          <w:b/>
          <w:spacing w:val="-2"/>
          <w:szCs w:val="22"/>
        </w:rPr>
        <w:tab/>
        <w:t xml:space="preserve">               Released:  </w:t>
      </w:r>
      <w:r w:rsidR="00A514C1">
        <w:rPr>
          <w:b/>
          <w:spacing w:val="-2"/>
          <w:szCs w:val="22"/>
        </w:rPr>
        <w:t>October 28</w:t>
      </w:r>
      <w:r>
        <w:rPr>
          <w:b/>
          <w:spacing w:val="-2"/>
          <w:szCs w:val="22"/>
        </w:rPr>
        <w:t>, 201</w:t>
      </w:r>
      <w:r w:rsidR="00DC6E94">
        <w:rPr>
          <w:b/>
          <w:spacing w:val="-2"/>
          <w:szCs w:val="22"/>
        </w:rPr>
        <w:t>4</w:t>
      </w:r>
    </w:p>
    <w:p w14:paraId="46A5CDB2" w14:textId="77777777" w:rsidR="00624552" w:rsidRDefault="00624552">
      <w:pPr>
        <w:widowControl/>
        <w:rPr>
          <w:szCs w:val="22"/>
        </w:rPr>
      </w:pPr>
    </w:p>
    <w:p w14:paraId="61D0F05E" w14:textId="77777777" w:rsidR="00624552" w:rsidRDefault="00624552">
      <w:pPr>
        <w:widowControl/>
        <w:tabs>
          <w:tab w:val="left" w:pos="5760"/>
        </w:tabs>
      </w:pPr>
      <w:r>
        <w:t xml:space="preserve">By the Chief, Wireline Competition Bureau:  </w:t>
      </w:r>
      <w:bookmarkStart w:id="1" w:name="_Toc258503736"/>
      <w:bookmarkStart w:id="2" w:name="_Toc258510337"/>
      <w:bookmarkStart w:id="3" w:name="_Toc258510668"/>
      <w:bookmarkStart w:id="4" w:name="_Toc259193814"/>
      <w:bookmarkStart w:id="5" w:name="_Toc259450980"/>
      <w:bookmarkStart w:id="6" w:name="_Toc259617240"/>
      <w:bookmarkStart w:id="7" w:name="_Toc259800175"/>
      <w:bookmarkStart w:id="8" w:name="_Toc260063408"/>
      <w:bookmarkStart w:id="9" w:name="_Toc268620727"/>
    </w:p>
    <w:p w14:paraId="27A223A9" w14:textId="77777777" w:rsidR="00624552" w:rsidRDefault="00624552">
      <w:pPr>
        <w:widowControl/>
        <w:tabs>
          <w:tab w:val="left" w:pos="5760"/>
        </w:tabs>
        <w:rPr>
          <w:color w:val="010101"/>
          <w:kern w:val="0"/>
        </w:rPr>
      </w:pPr>
    </w:p>
    <w:p w14:paraId="123ED840" w14:textId="77777777" w:rsidR="00624552" w:rsidRDefault="00624552">
      <w:pPr>
        <w:pStyle w:val="Heading1"/>
        <w:widowControl/>
        <w:rPr>
          <w:rFonts w:ascii="Times New Roman" w:hAnsi="Times New Roman"/>
          <w:szCs w:val="22"/>
        </w:rPr>
      </w:pPr>
      <w:bookmarkStart w:id="10" w:name="_Toc270432556"/>
      <w:bookmarkStart w:id="11" w:name="_Toc270433453"/>
      <w:bookmarkStart w:id="12" w:name="_Toc270953007"/>
      <w:bookmarkStart w:id="13" w:name="_Toc271115898"/>
      <w:bookmarkStart w:id="14" w:name="_Toc271118046"/>
      <w:bookmarkStart w:id="15" w:name="_Toc271123816"/>
      <w:bookmarkStart w:id="16" w:name="_Toc271183899"/>
      <w:bookmarkStart w:id="17" w:name="_Toc271183974"/>
      <w:bookmarkStart w:id="18" w:name="_Toc271184019"/>
      <w:bookmarkStart w:id="19" w:name="_Toc271215489"/>
      <w:bookmarkStart w:id="20" w:name="_Toc271729299"/>
      <w:bookmarkStart w:id="21" w:name="_Toc273001272"/>
      <w:bookmarkStart w:id="22" w:name="_Toc273001353"/>
      <w:bookmarkStart w:id="23" w:name="_Toc273028920"/>
      <w:bookmarkStart w:id="24" w:name="_Toc273363534"/>
      <w:bookmarkStart w:id="25" w:name="_Toc269222968"/>
      <w:bookmarkStart w:id="26" w:name="_Toc270336076"/>
      <w:r>
        <w:rPr>
          <w:rFonts w:ascii="Times New Roman" w:hAnsi="Times New Roman"/>
          <w:szCs w:val="22"/>
        </w:rPr>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End w:id="1"/>
    <w:bookmarkEnd w:id="2"/>
    <w:bookmarkEnd w:id="3"/>
    <w:bookmarkEnd w:id="4"/>
    <w:bookmarkEnd w:id="5"/>
    <w:bookmarkEnd w:id="6"/>
    <w:bookmarkEnd w:id="7"/>
    <w:bookmarkEnd w:id="8"/>
    <w:bookmarkEnd w:id="9"/>
    <w:bookmarkEnd w:id="25"/>
    <w:bookmarkEnd w:id="26"/>
    <w:p w14:paraId="0FFAB82A" w14:textId="12924A77" w:rsidR="00624552" w:rsidRDefault="00624552">
      <w:pPr>
        <w:pStyle w:val="ParaNum"/>
        <w:numPr>
          <w:ilvl w:val="0"/>
          <w:numId w:val="13"/>
        </w:numPr>
        <w:rPr>
          <w:szCs w:val="22"/>
        </w:rPr>
      </w:pPr>
      <w:r>
        <w:t xml:space="preserve">In this Order, the Wireline Competition Bureau (Bureau) releases the eligible services </w:t>
      </w:r>
      <w:r w:rsidR="00DC6E94">
        <w:t>list (ESL) for funding year 2015</w:t>
      </w:r>
      <w:r>
        <w:t xml:space="preserve"> for the schools and libraries universal service support program (more commonly referred to as the E-rate program)</w:t>
      </w:r>
      <w:r>
        <w:rPr>
          <w:rStyle w:val="FootnoteReference"/>
          <w:szCs w:val="22"/>
        </w:rPr>
        <w:footnoteReference w:id="2"/>
      </w:r>
      <w:r>
        <w:t xml:space="preserve"> and authorizes the Universal Service Administrative Company (USAC) to open the annual application filing window no earlier than </w:t>
      </w:r>
      <w:r w:rsidR="00F201DD" w:rsidRPr="00363320">
        <w:t>December 29, 2014</w:t>
      </w:r>
      <w:r>
        <w:t>.</w:t>
      </w:r>
      <w:r>
        <w:rPr>
          <w:rStyle w:val="FootnoteReference"/>
        </w:rPr>
        <w:footnoteReference w:id="3"/>
      </w:r>
      <w:r>
        <w:t xml:space="preserve">  In this Order, we adopt the proposals made in the </w:t>
      </w:r>
      <w:r>
        <w:rPr>
          <w:i/>
        </w:rPr>
        <w:t>ESL Public Notice</w:t>
      </w:r>
      <w:r>
        <w:t>, with modifications as described herein.</w:t>
      </w:r>
      <w:r w:rsidR="00F201DD">
        <w:rPr>
          <w:rStyle w:val="FootnoteReference"/>
        </w:rPr>
        <w:footnoteReference w:id="4"/>
      </w:r>
      <w:r w:rsidR="00280F29">
        <w:t xml:space="preserve">  In so doing we streamline the structure of the ESL to provide guidance on the services the Commission found to be eligible for E-rate support</w:t>
      </w:r>
      <w:r w:rsidR="00280F29">
        <w:rPr>
          <w:szCs w:val="22"/>
        </w:rPr>
        <w:t xml:space="preserve"> in the recent </w:t>
      </w:r>
      <w:r w:rsidR="00280F29">
        <w:rPr>
          <w:i/>
          <w:szCs w:val="22"/>
        </w:rPr>
        <w:t>E-rate Modernization Order</w:t>
      </w:r>
      <w:r w:rsidR="00280F29">
        <w:rPr>
          <w:szCs w:val="22"/>
        </w:rPr>
        <w:t>.</w:t>
      </w:r>
      <w:r w:rsidR="00280F29">
        <w:rPr>
          <w:rStyle w:val="FootnoteReference"/>
          <w:szCs w:val="22"/>
        </w:rPr>
        <w:footnoteReference w:id="5"/>
      </w:r>
      <w:r w:rsidR="00280F29">
        <w:t xml:space="preserve">  </w:t>
      </w:r>
    </w:p>
    <w:p w14:paraId="2077DD7B" w14:textId="77777777" w:rsidR="00624552" w:rsidRDefault="00624552">
      <w:pPr>
        <w:pStyle w:val="Heading1"/>
        <w:widowControl/>
        <w:rPr>
          <w:szCs w:val="22"/>
        </w:rPr>
      </w:pPr>
      <w:bookmarkStart w:id="27" w:name="_Toc270336078"/>
      <w:bookmarkStart w:id="28" w:name="_Toc258510351"/>
      <w:bookmarkStart w:id="29" w:name="_Toc258510682"/>
      <w:bookmarkStart w:id="30" w:name="_Toc259193826"/>
      <w:bookmarkStart w:id="31" w:name="_Toc259450991"/>
      <w:bookmarkStart w:id="32" w:name="_Toc259617251"/>
      <w:bookmarkStart w:id="33" w:name="_Toc259800176"/>
      <w:bookmarkStart w:id="34" w:name="_Toc260063409"/>
      <w:bookmarkStart w:id="35" w:name="_Toc268620728"/>
      <w:bookmarkStart w:id="36" w:name="_Toc269222969"/>
      <w:r>
        <w:t>BACKGround</w:t>
      </w:r>
      <w:bookmarkEnd w:id="27"/>
    </w:p>
    <w:p w14:paraId="31787055" w14:textId="77777777" w:rsidR="00624552" w:rsidRDefault="00586F28">
      <w:pPr>
        <w:pStyle w:val="ParaNum"/>
        <w:widowControl/>
        <w:numPr>
          <w:ilvl w:val="0"/>
          <w:numId w:val="13"/>
        </w:numPr>
      </w:pPr>
      <w:bookmarkStart w:id="37" w:name="_Toc259193822"/>
      <w:bookmarkStart w:id="38" w:name="_Ref259617056"/>
      <w:bookmarkEnd w:id="28"/>
      <w:bookmarkEnd w:id="29"/>
      <w:bookmarkEnd w:id="30"/>
      <w:bookmarkEnd w:id="31"/>
      <w:bookmarkEnd w:id="32"/>
      <w:bookmarkEnd w:id="33"/>
      <w:bookmarkEnd w:id="34"/>
      <w:bookmarkEnd w:id="35"/>
      <w:bookmarkEnd w:id="36"/>
      <w:bookmarkEnd w:id="37"/>
      <w:r>
        <w:t>S</w:t>
      </w:r>
      <w:r w:rsidRPr="00870474">
        <w:t>ections 254</w:t>
      </w:r>
      <w:r w:rsidRPr="00436913">
        <w:t>(c)(1)</w:t>
      </w:r>
      <w:r w:rsidRPr="006E3AC9">
        <w:t>,</w:t>
      </w:r>
      <w:r w:rsidRPr="00870474">
        <w:t xml:space="preserve"> (c)(3), (h)(1)(B), and (h)(2) of the </w:t>
      </w:r>
      <w:r>
        <w:t xml:space="preserve">Communications </w:t>
      </w:r>
      <w:r w:rsidRPr="00870474">
        <w:t>Act</w:t>
      </w:r>
      <w:r>
        <w:t xml:space="preserve"> collectively grant the Commission authority to </w:t>
      </w:r>
      <w:r w:rsidR="000C2E63">
        <w:t xml:space="preserve">specify the </w:t>
      </w:r>
      <w:r>
        <w:t>services that will be supported for eligible schools and libraries</w:t>
      </w:r>
      <w:r w:rsidR="000C2E63">
        <w:t xml:space="preserve"> and </w:t>
      </w:r>
      <w:r>
        <w:t>to design the specific mechanisms of support.</w:t>
      </w:r>
      <w:r>
        <w:rPr>
          <w:rStyle w:val="FootnoteReference"/>
        </w:rPr>
        <w:footnoteReference w:id="6"/>
      </w:r>
      <w:r w:rsidR="009A28EA">
        <w:t xml:space="preserve">  Pursuant to</w:t>
      </w:r>
      <w:r>
        <w:t xml:space="preserve"> this authority, i</w:t>
      </w:r>
      <w:r w:rsidRPr="00586F28">
        <w:rPr>
          <w:kern w:val="0"/>
          <w:szCs w:val="22"/>
        </w:rPr>
        <w:t xml:space="preserve">n the </w:t>
      </w:r>
      <w:r w:rsidRPr="00586F28">
        <w:rPr>
          <w:i/>
          <w:kern w:val="0"/>
          <w:szCs w:val="22"/>
        </w:rPr>
        <w:t xml:space="preserve">E-rate Modernization </w:t>
      </w:r>
      <w:r w:rsidRPr="00586F28">
        <w:rPr>
          <w:i/>
          <w:kern w:val="0"/>
          <w:szCs w:val="22"/>
        </w:rPr>
        <w:lastRenderedPageBreak/>
        <w:t>Order</w:t>
      </w:r>
      <w:r w:rsidRPr="00586F28">
        <w:rPr>
          <w:kern w:val="0"/>
          <w:szCs w:val="22"/>
        </w:rPr>
        <w:t xml:space="preserve">, the Commission </w:t>
      </w:r>
      <w:r>
        <w:rPr>
          <w:kern w:val="0"/>
          <w:szCs w:val="22"/>
        </w:rPr>
        <w:t xml:space="preserve">made the following changes to the eligible services framework </w:t>
      </w:r>
      <w:r w:rsidR="000C2E63">
        <w:rPr>
          <w:kern w:val="0"/>
          <w:szCs w:val="22"/>
        </w:rPr>
        <w:t>of</w:t>
      </w:r>
      <w:r>
        <w:rPr>
          <w:kern w:val="0"/>
          <w:szCs w:val="22"/>
        </w:rPr>
        <w:t xml:space="preserve"> the E-rate program: </w:t>
      </w:r>
      <w:r w:rsidR="000C2E63">
        <w:rPr>
          <w:kern w:val="0"/>
          <w:szCs w:val="22"/>
        </w:rPr>
        <w:t xml:space="preserve"> </w:t>
      </w:r>
      <w:r>
        <w:rPr>
          <w:kern w:val="0"/>
          <w:szCs w:val="22"/>
        </w:rPr>
        <w:t xml:space="preserve">(1) </w:t>
      </w:r>
      <w:r w:rsidR="002F512F">
        <w:rPr>
          <w:snapToGrid w:val="0"/>
        </w:rPr>
        <w:t>re</w:t>
      </w:r>
      <w:r w:rsidR="00C71067">
        <w:rPr>
          <w:snapToGrid w:val="0"/>
        </w:rPr>
        <w:t>structured</w:t>
      </w:r>
      <w:r w:rsidR="00BC2BA1">
        <w:rPr>
          <w:snapToGrid w:val="0"/>
        </w:rPr>
        <w:t xml:space="preserve"> the former Priority O</w:t>
      </w:r>
      <w:r w:rsidR="002F512F">
        <w:rPr>
          <w:snapToGrid w:val="0"/>
        </w:rPr>
        <w:t xml:space="preserve">ne and </w:t>
      </w:r>
      <w:r w:rsidR="00BC2BA1">
        <w:rPr>
          <w:snapToGrid w:val="0"/>
        </w:rPr>
        <w:t>Priority T</w:t>
      </w:r>
      <w:r w:rsidR="002F512F">
        <w:rPr>
          <w:snapToGrid w:val="0"/>
        </w:rPr>
        <w:t xml:space="preserve">wo categories into </w:t>
      </w:r>
      <w:r w:rsidR="00BC2BA1">
        <w:rPr>
          <w:snapToGrid w:val="0"/>
        </w:rPr>
        <w:t>Category</w:t>
      </w:r>
      <w:r w:rsidR="002F512F">
        <w:rPr>
          <w:snapToGrid w:val="0"/>
        </w:rPr>
        <w:t xml:space="preserve"> </w:t>
      </w:r>
      <w:r w:rsidR="00BC2BA1">
        <w:rPr>
          <w:snapToGrid w:val="0"/>
        </w:rPr>
        <w:t>One</w:t>
      </w:r>
      <w:r w:rsidR="002F512F">
        <w:rPr>
          <w:snapToGrid w:val="0"/>
        </w:rPr>
        <w:t xml:space="preserve"> and </w:t>
      </w:r>
      <w:r w:rsidR="00BC2BA1">
        <w:rPr>
          <w:snapToGrid w:val="0"/>
        </w:rPr>
        <w:t>Category T</w:t>
      </w:r>
      <w:r w:rsidR="002F512F">
        <w:rPr>
          <w:snapToGrid w:val="0"/>
        </w:rPr>
        <w:t>wo; (2)</w:t>
      </w:r>
      <w:r w:rsidR="00C71067">
        <w:rPr>
          <w:rFonts w:eastAsia="Calibri"/>
          <w:bCs/>
          <w:szCs w:val="22"/>
        </w:rPr>
        <w:t xml:space="preserve"> </w:t>
      </w:r>
      <w:r w:rsidR="000C2E63">
        <w:rPr>
          <w:rFonts w:eastAsia="Calibri"/>
          <w:bCs/>
          <w:szCs w:val="22"/>
        </w:rPr>
        <w:t xml:space="preserve">eliminated Category One (former Priority One) </w:t>
      </w:r>
      <w:r w:rsidR="002F512F">
        <w:rPr>
          <w:rFonts w:eastAsia="Calibri"/>
          <w:bCs/>
          <w:szCs w:val="22"/>
        </w:rPr>
        <w:t xml:space="preserve">support for outdated, legacy, and other </w:t>
      </w:r>
      <w:r w:rsidR="000C2E63">
        <w:rPr>
          <w:rFonts w:eastAsia="Calibri"/>
          <w:bCs/>
          <w:szCs w:val="22"/>
        </w:rPr>
        <w:t xml:space="preserve">non-broadband </w:t>
      </w:r>
      <w:r w:rsidR="002F512F">
        <w:rPr>
          <w:rFonts w:eastAsia="Calibri"/>
          <w:bCs/>
          <w:szCs w:val="22"/>
        </w:rPr>
        <w:t>services including web hosting,</w:t>
      </w:r>
      <w:r w:rsidR="000C2E63">
        <w:rPr>
          <w:rFonts w:eastAsia="Calibri"/>
          <w:bCs/>
          <w:szCs w:val="22"/>
        </w:rPr>
        <w:t xml:space="preserve"> email</w:t>
      </w:r>
      <w:r w:rsidR="00F61307">
        <w:rPr>
          <w:rFonts w:eastAsia="Calibri"/>
          <w:bCs/>
          <w:szCs w:val="22"/>
        </w:rPr>
        <w:t>,</w:t>
      </w:r>
      <w:r w:rsidR="000C2E63">
        <w:rPr>
          <w:rFonts w:eastAsia="Calibri"/>
          <w:bCs/>
          <w:szCs w:val="22"/>
        </w:rPr>
        <w:t xml:space="preserve"> and paging; (3) adopted a phase out of support for Category One voice services; and (4</w:t>
      </w:r>
      <w:r w:rsidR="00C71067">
        <w:rPr>
          <w:rFonts w:eastAsia="Calibri"/>
          <w:bCs/>
          <w:szCs w:val="22"/>
        </w:rPr>
        <w:t xml:space="preserve">) limited </w:t>
      </w:r>
      <w:r w:rsidR="00BC2BA1">
        <w:rPr>
          <w:rFonts w:eastAsia="Calibri"/>
          <w:bCs/>
          <w:szCs w:val="22"/>
        </w:rPr>
        <w:t>Category T</w:t>
      </w:r>
      <w:r w:rsidR="002F512F">
        <w:rPr>
          <w:rFonts w:eastAsia="Calibri"/>
          <w:bCs/>
          <w:szCs w:val="22"/>
        </w:rPr>
        <w:t>wo</w:t>
      </w:r>
      <w:r w:rsidR="00C71067">
        <w:rPr>
          <w:rFonts w:eastAsia="Calibri"/>
          <w:bCs/>
          <w:szCs w:val="22"/>
        </w:rPr>
        <w:t xml:space="preserve"> support</w:t>
      </w:r>
      <w:r w:rsidR="002F512F">
        <w:rPr>
          <w:rFonts w:eastAsia="Calibri"/>
          <w:bCs/>
          <w:szCs w:val="22"/>
        </w:rPr>
        <w:t xml:space="preserve"> to the </w:t>
      </w:r>
      <w:r w:rsidR="002F512F">
        <w:t xml:space="preserve">internal connections </w:t>
      </w:r>
      <w:r w:rsidR="002F512F" w:rsidRPr="00B13230">
        <w:t>needed to enable high-speed broadband connectivity</w:t>
      </w:r>
      <w:r w:rsidR="002F512F">
        <w:t xml:space="preserve"> within schools and librari</w:t>
      </w:r>
      <w:r w:rsidR="00376C6E">
        <w:t>es</w:t>
      </w:r>
      <w:r w:rsidR="00F61307">
        <w:t>, specifically</w:t>
      </w:r>
      <w:r w:rsidR="00376C6E">
        <w:t xml:space="preserve"> </w:t>
      </w:r>
      <w:r w:rsidR="002F512F">
        <w:rPr>
          <w:snapToGrid w:val="0"/>
        </w:rPr>
        <w:t>LAN/WLAN (local area networks/wireless local area networks)-focused</w:t>
      </w:r>
      <w:r w:rsidR="002F512F">
        <w:rPr>
          <w:rFonts w:eastAsia="Calibri"/>
          <w:bCs/>
          <w:szCs w:val="22"/>
        </w:rPr>
        <w:t xml:space="preserve"> components (broadband intern</w:t>
      </w:r>
      <w:r w:rsidR="00376C6E">
        <w:rPr>
          <w:rFonts w:eastAsia="Calibri"/>
          <w:bCs/>
          <w:szCs w:val="22"/>
        </w:rPr>
        <w:t xml:space="preserve">al connections components), </w:t>
      </w:r>
      <w:r w:rsidR="002F512F">
        <w:rPr>
          <w:rFonts w:eastAsia="Calibri"/>
          <w:bCs/>
          <w:szCs w:val="22"/>
        </w:rPr>
        <w:t xml:space="preserve">basic maintenance of eligible broadband </w:t>
      </w:r>
      <w:r w:rsidR="00376C6E">
        <w:rPr>
          <w:rFonts w:eastAsia="Calibri"/>
          <w:bCs/>
          <w:szCs w:val="22"/>
        </w:rPr>
        <w:t>internal connections components, and</w:t>
      </w:r>
      <w:r w:rsidR="002F512F">
        <w:rPr>
          <w:rFonts w:eastAsia="Calibri"/>
          <w:bCs/>
          <w:szCs w:val="22"/>
        </w:rPr>
        <w:t xml:space="preserve"> managed internal broadband services</w:t>
      </w:r>
      <w:r w:rsidR="009A28EA">
        <w:rPr>
          <w:snapToGrid w:val="0"/>
        </w:rPr>
        <w:t>.</w:t>
      </w:r>
      <w:r w:rsidR="009A28EA" w:rsidRPr="00586F28">
        <w:rPr>
          <w:kern w:val="0"/>
          <w:szCs w:val="22"/>
          <w:vertAlign w:val="superscript"/>
        </w:rPr>
        <w:footnoteReference w:id="7"/>
      </w:r>
    </w:p>
    <w:p w14:paraId="747A2CA4" w14:textId="77777777" w:rsidR="00624552" w:rsidRDefault="000C2E63" w:rsidP="00C71067">
      <w:pPr>
        <w:pStyle w:val="ParaNum"/>
        <w:widowControl/>
        <w:numPr>
          <w:ilvl w:val="0"/>
          <w:numId w:val="13"/>
        </w:numPr>
      </w:pPr>
      <w:r>
        <w:t xml:space="preserve">In </w:t>
      </w:r>
      <w:r w:rsidR="00624552">
        <w:t xml:space="preserve">the </w:t>
      </w:r>
      <w:r w:rsidR="00C71067">
        <w:rPr>
          <w:i/>
        </w:rPr>
        <w:t xml:space="preserve">ESL </w:t>
      </w:r>
      <w:r w:rsidR="00624552">
        <w:rPr>
          <w:i/>
        </w:rPr>
        <w:t>Public Notice</w:t>
      </w:r>
      <w:r>
        <w:t>,</w:t>
      </w:r>
      <w:r w:rsidR="00624552">
        <w:t xml:space="preserve"> </w:t>
      </w:r>
      <w:r>
        <w:t xml:space="preserve">we sought comment on </w:t>
      </w:r>
      <w:r w:rsidR="00F61307">
        <w:t xml:space="preserve">revisions to </w:t>
      </w:r>
      <w:r w:rsidR="00F93B4E">
        <w:t xml:space="preserve">the </w:t>
      </w:r>
      <w:r>
        <w:t>ESL for funding year 2015 that would</w:t>
      </w:r>
      <w:r w:rsidR="00066C80">
        <w:t xml:space="preserve"> streamline the ESL,</w:t>
      </w:r>
      <w:r w:rsidR="00280F29">
        <w:t xml:space="preserve"> </w:t>
      </w:r>
      <w:r w:rsidR="00647716">
        <w:t xml:space="preserve">implement the decisions made by the Commission in the </w:t>
      </w:r>
      <w:r w:rsidR="00647716" w:rsidRPr="00C71067">
        <w:rPr>
          <w:i/>
          <w:kern w:val="0"/>
          <w:szCs w:val="22"/>
        </w:rPr>
        <w:t>E-rate Modernization Order</w:t>
      </w:r>
      <w:r w:rsidR="00647716">
        <w:t xml:space="preserve"> to restructure the ESL</w:t>
      </w:r>
      <w:r w:rsidR="00376C6E">
        <w:t>, and eliminate services and components specifically identified by the Commission</w:t>
      </w:r>
      <w:r w:rsidR="00647716">
        <w:t>.</w:t>
      </w:r>
      <w:r w:rsidR="00647716">
        <w:rPr>
          <w:rStyle w:val="FootnoteReference"/>
        </w:rPr>
        <w:footnoteReference w:id="8"/>
      </w:r>
      <w:r w:rsidR="00647716">
        <w:t xml:space="preserve">  We also sought comment on defining caching </w:t>
      </w:r>
      <w:r w:rsidR="00647716" w:rsidRPr="00C71067">
        <w:rPr>
          <w:rFonts w:eastAsiaTheme="minorHAnsi"/>
          <w:szCs w:val="22"/>
        </w:rPr>
        <w:t xml:space="preserve">and allowing applicants to seek E-rate funding for installation </w:t>
      </w:r>
      <w:r w:rsidR="00647716">
        <w:t>from vendors that are different from the vendors of the eligible equipment to be installed.</w:t>
      </w:r>
      <w:r w:rsidR="00647716">
        <w:rPr>
          <w:rStyle w:val="FootnoteReference"/>
        </w:rPr>
        <w:footnoteReference w:id="9"/>
      </w:r>
      <w:r w:rsidR="00624552">
        <w:t xml:space="preserve">  </w:t>
      </w:r>
      <w:r w:rsidR="00C71067">
        <w:t>The comment cycle closed on September 18, 2014.</w:t>
      </w:r>
      <w:r w:rsidR="00C71067">
        <w:rPr>
          <w:rStyle w:val="FootnoteReference"/>
        </w:rPr>
        <w:footnoteReference w:id="10"/>
      </w:r>
    </w:p>
    <w:p w14:paraId="0E0F7F86" w14:textId="77777777" w:rsidR="00624552" w:rsidRDefault="00624552">
      <w:pPr>
        <w:pStyle w:val="Heading1"/>
        <w:widowControl/>
        <w:rPr>
          <w:szCs w:val="22"/>
        </w:rPr>
      </w:pPr>
      <w:bookmarkStart w:id="39" w:name="_Toc269222984"/>
      <w:bookmarkEnd w:id="38"/>
      <w:r>
        <w:t>DISCUSSION</w:t>
      </w:r>
      <w:bookmarkEnd w:id="39"/>
    </w:p>
    <w:p w14:paraId="039BF98C" w14:textId="77777777" w:rsidR="00624552" w:rsidRPr="00BC2BA1" w:rsidRDefault="00C71067" w:rsidP="00BC2BA1">
      <w:pPr>
        <w:pStyle w:val="ParaNum"/>
        <w:widowControl/>
        <w:numPr>
          <w:ilvl w:val="0"/>
          <w:numId w:val="13"/>
        </w:numPr>
        <w:rPr>
          <w:szCs w:val="22"/>
        </w:rPr>
      </w:pPr>
      <w:r>
        <w:rPr>
          <w:szCs w:val="22"/>
        </w:rPr>
        <w:t xml:space="preserve">Upon consideration of </w:t>
      </w:r>
      <w:r w:rsidR="00624552">
        <w:rPr>
          <w:szCs w:val="22"/>
        </w:rPr>
        <w:t xml:space="preserve">the record, we adopt most of the </w:t>
      </w:r>
      <w:r w:rsidR="0071240A">
        <w:rPr>
          <w:szCs w:val="22"/>
        </w:rPr>
        <w:t xml:space="preserve">formatting and substantive changes to the ESL proposed in </w:t>
      </w:r>
      <w:r w:rsidR="00020AD5">
        <w:rPr>
          <w:szCs w:val="22"/>
        </w:rPr>
        <w:t xml:space="preserve">the </w:t>
      </w:r>
      <w:r w:rsidR="00624552">
        <w:rPr>
          <w:i/>
          <w:szCs w:val="22"/>
        </w:rPr>
        <w:t xml:space="preserve">ESL Public </w:t>
      </w:r>
      <w:r w:rsidR="00624552" w:rsidRPr="00107B74">
        <w:rPr>
          <w:i/>
          <w:szCs w:val="22"/>
        </w:rPr>
        <w:t>Notice</w:t>
      </w:r>
      <w:r w:rsidR="00107B74">
        <w:rPr>
          <w:szCs w:val="22"/>
        </w:rPr>
        <w:t>, with some alterations as</w:t>
      </w:r>
      <w:r w:rsidR="006D2997">
        <w:rPr>
          <w:szCs w:val="22"/>
        </w:rPr>
        <w:t xml:space="preserve"> described herein</w:t>
      </w:r>
      <w:r w:rsidR="00624552">
        <w:rPr>
          <w:szCs w:val="22"/>
        </w:rPr>
        <w:t xml:space="preserve">.  We make these changes to </w:t>
      </w:r>
      <w:r w:rsidR="00D72C7F">
        <w:rPr>
          <w:szCs w:val="22"/>
        </w:rPr>
        <w:t>clarify</w:t>
      </w:r>
      <w:r w:rsidR="00280F29">
        <w:rPr>
          <w:szCs w:val="22"/>
        </w:rPr>
        <w:t xml:space="preserve"> for applicants</w:t>
      </w:r>
      <w:r w:rsidR="00A70313">
        <w:rPr>
          <w:szCs w:val="22"/>
        </w:rPr>
        <w:t xml:space="preserve"> and vendors what services </w:t>
      </w:r>
      <w:r w:rsidR="00D85A79">
        <w:rPr>
          <w:szCs w:val="22"/>
        </w:rPr>
        <w:t>are eligible for E-rate support and</w:t>
      </w:r>
      <w:r w:rsidR="00A70313">
        <w:rPr>
          <w:szCs w:val="22"/>
        </w:rPr>
        <w:t xml:space="preserve"> </w:t>
      </w:r>
      <w:r w:rsidR="00F93B4E">
        <w:rPr>
          <w:szCs w:val="22"/>
        </w:rPr>
        <w:t xml:space="preserve">certain </w:t>
      </w:r>
      <w:r w:rsidR="00A70313">
        <w:rPr>
          <w:szCs w:val="22"/>
        </w:rPr>
        <w:t>conditions</w:t>
      </w:r>
      <w:r w:rsidR="00F93B4E">
        <w:rPr>
          <w:szCs w:val="22"/>
        </w:rPr>
        <w:t xml:space="preserve"> for eligibility</w:t>
      </w:r>
      <w:r w:rsidR="00A70313">
        <w:rPr>
          <w:szCs w:val="22"/>
        </w:rPr>
        <w:t>,</w:t>
      </w:r>
      <w:r w:rsidR="00D72C7F">
        <w:rPr>
          <w:szCs w:val="22"/>
        </w:rPr>
        <w:t xml:space="preserve"> </w:t>
      </w:r>
      <w:r w:rsidR="00624552">
        <w:rPr>
          <w:szCs w:val="22"/>
        </w:rPr>
        <w:t xml:space="preserve">and to guide USAC in implementing </w:t>
      </w:r>
      <w:r w:rsidR="006D2997">
        <w:rPr>
          <w:szCs w:val="22"/>
        </w:rPr>
        <w:t xml:space="preserve">the </w:t>
      </w:r>
      <w:r w:rsidR="006D2997">
        <w:rPr>
          <w:i/>
          <w:szCs w:val="22"/>
        </w:rPr>
        <w:t>E-rate Modernization Order</w:t>
      </w:r>
      <w:r w:rsidR="00624552">
        <w:rPr>
          <w:i/>
          <w:szCs w:val="22"/>
        </w:rPr>
        <w:t xml:space="preserve">.  </w:t>
      </w:r>
    </w:p>
    <w:p w14:paraId="11C11660" w14:textId="77777777" w:rsidR="00280F29" w:rsidRDefault="00280F29" w:rsidP="00280F29">
      <w:pPr>
        <w:pStyle w:val="Heading2"/>
      </w:pPr>
      <w:r>
        <w:t>ESL Format and Content</w:t>
      </w:r>
    </w:p>
    <w:p w14:paraId="3784224A" w14:textId="0E906407" w:rsidR="002075DB" w:rsidRPr="00020AD5" w:rsidRDefault="00A70313" w:rsidP="005A4ADD">
      <w:pPr>
        <w:pStyle w:val="ParaNum"/>
        <w:widowControl/>
        <w:numPr>
          <w:ilvl w:val="0"/>
          <w:numId w:val="13"/>
        </w:numPr>
        <w:rPr>
          <w:szCs w:val="22"/>
          <w:u w:val="single"/>
        </w:rPr>
      </w:pPr>
      <w:r>
        <w:t xml:space="preserve">Consistent with the Commission’s decisions in the </w:t>
      </w:r>
      <w:r w:rsidRPr="005A4ADD">
        <w:rPr>
          <w:i/>
        </w:rPr>
        <w:t>E-rate Modernization Order</w:t>
      </w:r>
      <w:r>
        <w:t xml:space="preserve">, the 2015 ESL renames the Priority One section </w:t>
      </w:r>
      <w:r w:rsidR="00F93B4E">
        <w:t>as Category One</w:t>
      </w:r>
      <w:r>
        <w:t xml:space="preserve"> and </w:t>
      </w:r>
      <w:r w:rsidRPr="005A4ADD">
        <w:rPr>
          <w:szCs w:val="22"/>
        </w:rPr>
        <w:t xml:space="preserve">the Priority Two section as Category Two and, as discussed in detail below, identifies those services that are now eligible for Category </w:t>
      </w:r>
      <w:r w:rsidR="0071240A" w:rsidRPr="005A4ADD">
        <w:rPr>
          <w:szCs w:val="22"/>
        </w:rPr>
        <w:t xml:space="preserve">One and </w:t>
      </w:r>
      <w:r w:rsidR="005A4ADD">
        <w:rPr>
          <w:szCs w:val="22"/>
        </w:rPr>
        <w:t>C</w:t>
      </w:r>
      <w:r w:rsidR="0071240A" w:rsidRPr="005A4ADD">
        <w:rPr>
          <w:szCs w:val="22"/>
        </w:rPr>
        <w:t xml:space="preserve">ategory </w:t>
      </w:r>
      <w:r w:rsidRPr="005A4ADD">
        <w:rPr>
          <w:szCs w:val="22"/>
        </w:rPr>
        <w:t>Two support.</w:t>
      </w:r>
      <w:r>
        <w:rPr>
          <w:rStyle w:val="FootnoteReference"/>
          <w:szCs w:val="22"/>
        </w:rPr>
        <w:footnoteReference w:id="11"/>
      </w:r>
      <w:r w:rsidR="0071240A" w:rsidRPr="005A4ADD">
        <w:rPr>
          <w:szCs w:val="22"/>
        </w:rPr>
        <w:t xml:space="preserve">  </w:t>
      </w:r>
      <w:r>
        <w:t xml:space="preserve">We also adopt the streamlined approach to the ESL proposed in the </w:t>
      </w:r>
      <w:r w:rsidRPr="00020AD5">
        <w:rPr>
          <w:i/>
        </w:rPr>
        <w:t>ESL Public Notice</w:t>
      </w:r>
      <w:r w:rsidR="0071240A">
        <w:t>.</w:t>
      </w:r>
      <w:r w:rsidR="00CF3E14">
        <w:rPr>
          <w:rStyle w:val="FootnoteReference"/>
        </w:rPr>
        <w:footnoteReference w:id="12"/>
      </w:r>
      <w:r w:rsidR="0071240A">
        <w:t xml:space="preserve">  W</w:t>
      </w:r>
      <w:r>
        <w:t>e agree with commenters that past version</w:t>
      </w:r>
      <w:r w:rsidR="00030AC9">
        <w:t>s</w:t>
      </w:r>
      <w:r>
        <w:t xml:space="preserve"> of the </w:t>
      </w:r>
      <w:r w:rsidR="005A4ADD">
        <w:t>ESL</w:t>
      </w:r>
      <w:r>
        <w:t xml:space="preserve"> were too long, difficult to understand</w:t>
      </w:r>
      <w:r w:rsidR="00030AC9">
        <w:t>,</w:t>
      </w:r>
      <w:r>
        <w:t xml:space="preserve"> and confusing to work with.</w:t>
      </w:r>
      <w:r>
        <w:rPr>
          <w:rStyle w:val="FootnoteReference"/>
        </w:rPr>
        <w:footnoteReference w:id="13"/>
      </w:r>
      <w:r>
        <w:t xml:space="preserve">  Therefore, unlike previous ESLs, the 2015 ESL does not include </w:t>
      </w:r>
      <w:r w:rsidR="00280F29" w:rsidRPr="005A4ADD">
        <w:rPr>
          <w:rFonts w:eastAsia="Calibri"/>
          <w:bCs/>
          <w:kern w:val="0"/>
          <w:szCs w:val="22"/>
        </w:rPr>
        <w:t>the ESL Glossary, Special Eligibility Conditions</w:t>
      </w:r>
      <w:r w:rsidR="00F61307">
        <w:rPr>
          <w:rFonts w:eastAsia="Calibri"/>
          <w:bCs/>
          <w:kern w:val="0"/>
          <w:szCs w:val="22"/>
        </w:rPr>
        <w:t>,</w:t>
      </w:r>
      <w:r w:rsidR="00280F29" w:rsidRPr="005A4ADD">
        <w:rPr>
          <w:rFonts w:eastAsia="Calibri"/>
          <w:bCs/>
          <w:kern w:val="0"/>
          <w:szCs w:val="22"/>
        </w:rPr>
        <w:t xml:space="preserve"> and </w:t>
      </w:r>
      <w:r w:rsidR="00280F29">
        <w:t xml:space="preserve">list of ineligible services that had been posted at the end of each category of service. </w:t>
      </w:r>
      <w:r w:rsidR="00280F29" w:rsidRPr="003E5A55">
        <w:t xml:space="preserve"> </w:t>
      </w:r>
    </w:p>
    <w:p w14:paraId="63243A50" w14:textId="4F0E1873" w:rsidR="005A4ADD" w:rsidRPr="00030AC9" w:rsidRDefault="005A4ADD" w:rsidP="005A4ADD">
      <w:pPr>
        <w:pStyle w:val="ParaNum"/>
        <w:widowControl/>
        <w:numPr>
          <w:ilvl w:val="0"/>
          <w:numId w:val="13"/>
        </w:numPr>
        <w:rPr>
          <w:szCs w:val="22"/>
          <w:u w:val="single"/>
        </w:rPr>
      </w:pPr>
      <w:r>
        <w:t>S</w:t>
      </w:r>
      <w:r w:rsidR="00A70313">
        <w:t>ome commenters</w:t>
      </w:r>
      <w:r>
        <w:t xml:space="preserve"> expressed</w:t>
      </w:r>
      <w:r w:rsidR="00A70313">
        <w:t xml:space="preserve"> concern about uncertainty among some applicants </w:t>
      </w:r>
      <w:r w:rsidR="00030AC9">
        <w:t>regarding</w:t>
      </w:r>
      <w:r w:rsidR="00F61307">
        <w:t xml:space="preserve"> </w:t>
      </w:r>
      <w:r w:rsidR="00A70313">
        <w:t xml:space="preserve">services that are no longer eligible for E-rate support.  </w:t>
      </w:r>
      <w:r>
        <w:t xml:space="preserve">To address that possibility, </w:t>
      </w:r>
      <w:r w:rsidR="00280F29">
        <w:t xml:space="preserve">we include </w:t>
      </w:r>
      <w:r>
        <w:t xml:space="preserve">as </w:t>
      </w:r>
      <w:r w:rsidR="00832D18">
        <w:t>A</w:t>
      </w:r>
      <w:r>
        <w:t>ppendix</w:t>
      </w:r>
      <w:r w:rsidR="00832D18">
        <w:t xml:space="preserve"> B</w:t>
      </w:r>
      <w:r>
        <w:t xml:space="preserve"> to this order </w:t>
      </w:r>
      <w:r w:rsidR="00280F29">
        <w:t xml:space="preserve">a chart </w:t>
      </w:r>
      <w:r>
        <w:t xml:space="preserve">identifying </w:t>
      </w:r>
      <w:r w:rsidR="00280F29">
        <w:t xml:space="preserve">the </w:t>
      </w:r>
      <w:r w:rsidR="00280F29" w:rsidRPr="007B4F09">
        <w:t>equipment and services</w:t>
      </w:r>
      <w:r w:rsidR="00280F29">
        <w:t xml:space="preserve"> that were </w:t>
      </w:r>
      <w:r w:rsidR="002075DB">
        <w:t xml:space="preserve">eligible for E-rate support in funding year 2014, but </w:t>
      </w:r>
      <w:r w:rsidR="00280F29">
        <w:t>are no longer eligible as of funding year 2015.</w:t>
      </w:r>
      <w:r w:rsidR="00280F29">
        <w:rPr>
          <w:rStyle w:val="FootnoteReference"/>
        </w:rPr>
        <w:footnoteReference w:id="14"/>
      </w:r>
      <w:r w:rsidR="00280F29">
        <w:t xml:space="preserve">  The chart </w:t>
      </w:r>
      <w:r>
        <w:t xml:space="preserve">does </w:t>
      </w:r>
      <w:r w:rsidR="00280F29">
        <w:t xml:space="preserve">not identify services that were previously ineligible and will remain ineligible for 2015.  </w:t>
      </w:r>
    </w:p>
    <w:p w14:paraId="7FDDE933" w14:textId="7D5BBD60" w:rsidR="00280F29" w:rsidRPr="00F93B4E" w:rsidRDefault="005A4ADD" w:rsidP="00F93B4E">
      <w:pPr>
        <w:pStyle w:val="ParaNum"/>
        <w:widowControl/>
        <w:numPr>
          <w:ilvl w:val="0"/>
          <w:numId w:val="13"/>
        </w:numPr>
      </w:pPr>
      <w:r>
        <w:t xml:space="preserve">To provide further guidance for applicants and vendors, </w:t>
      </w:r>
      <w:r w:rsidR="00CF3E14">
        <w:t>w</w:t>
      </w:r>
      <w:r w:rsidR="002075DB">
        <w:t xml:space="preserve">e </w:t>
      </w:r>
      <w:r w:rsidR="00280F29">
        <w:t xml:space="preserve">direct USAC to include </w:t>
      </w:r>
      <w:r w:rsidR="00B311CD">
        <w:t>an</w:t>
      </w:r>
      <w:r w:rsidR="00280F29">
        <w:t xml:space="preserve"> ESL Glossary on its webpage.</w:t>
      </w:r>
      <w:r w:rsidR="00280F29">
        <w:rPr>
          <w:rStyle w:val="FootnoteReference"/>
        </w:rPr>
        <w:footnoteReference w:id="15"/>
      </w:r>
      <w:r w:rsidR="00280F29">
        <w:t xml:space="preserve">  Although some commenters suggest we specify eligibility conditions in the ESL to allow the ESL to serve as a hub for past Bureau and Commission decisions on eligibility and related determinations,</w:t>
      </w:r>
      <w:r w:rsidR="00280F29">
        <w:rPr>
          <w:rStyle w:val="FootnoteReference"/>
        </w:rPr>
        <w:footnoteReference w:id="16"/>
      </w:r>
      <w:r w:rsidR="00280F29">
        <w:t xml:space="preserve"> doing so goes beyond the core purpose of the </w:t>
      </w:r>
      <w:r w:rsidR="00280F29" w:rsidRPr="00F93B4E">
        <w:rPr>
          <w:szCs w:val="22"/>
        </w:rPr>
        <w:t>ESL which is to</w:t>
      </w:r>
      <w:r w:rsidR="00280F29" w:rsidRPr="00F93B4E">
        <w:rPr>
          <w:color w:val="000000"/>
          <w:szCs w:val="22"/>
        </w:rPr>
        <w:t xml:space="preserve"> facilitate the ability of both vendors and applicants to determine what services are eligible for discounts</w:t>
      </w:r>
      <w:r w:rsidR="00280F29" w:rsidRPr="00F93B4E">
        <w:rPr>
          <w:i/>
        </w:rPr>
        <w:t>.</w:t>
      </w:r>
      <w:r w:rsidR="00280F29" w:rsidRPr="007601BE">
        <w:rPr>
          <w:rStyle w:val="FootnoteReference"/>
        </w:rPr>
        <w:footnoteReference w:id="17"/>
      </w:r>
      <w:r w:rsidR="00280F29" w:rsidRPr="00F93B4E">
        <w:rPr>
          <w:i/>
        </w:rPr>
        <w:t xml:space="preserve">  </w:t>
      </w:r>
      <w:r w:rsidR="00280F29">
        <w:t xml:space="preserve">The ESL is not intended to serve as the central collection for all E-rate </w:t>
      </w:r>
      <w:r w:rsidR="007D4596">
        <w:t xml:space="preserve">program </w:t>
      </w:r>
      <w:r w:rsidR="00280F29">
        <w:t>rules and policies.  Even the current ESL is not dispositive of all of the precedent related to E-rate program eligibility</w:t>
      </w:r>
      <w:r w:rsidR="00034AB6">
        <w:t xml:space="preserve">. </w:t>
      </w:r>
      <w:r w:rsidR="00DF1FB6">
        <w:t xml:space="preserve"> </w:t>
      </w:r>
      <w:r w:rsidR="00034AB6">
        <w:t>I</w:t>
      </w:r>
      <w:r w:rsidR="00280F29">
        <w:t>t would be</w:t>
      </w:r>
      <w:r w:rsidR="00DF1FB6">
        <w:t xml:space="preserve"> inappropriate</w:t>
      </w:r>
      <w:r w:rsidR="00280F29">
        <w:t xml:space="preserve"> to </w:t>
      </w:r>
      <w:r w:rsidR="00DF1FB6">
        <w:t xml:space="preserve">leave </w:t>
      </w:r>
      <w:r w:rsidR="00280F29">
        <w:t xml:space="preserve">applicants </w:t>
      </w:r>
      <w:r w:rsidR="00DF1FB6">
        <w:t>and service providers with the impression that the</w:t>
      </w:r>
      <w:r w:rsidR="00280F29">
        <w:t xml:space="preserve"> ESL </w:t>
      </w:r>
      <w:r w:rsidR="00DF1FB6">
        <w:t xml:space="preserve">is a comprehensive source of </w:t>
      </w:r>
      <w:r w:rsidR="00280F29">
        <w:t xml:space="preserve">all information pertaining to </w:t>
      </w:r>
      <w:r w:rsidR="00DF1FB6">
        <w:t xml:space="preserve">E-rate </w:t>
      </w:r>
      <w:r w:rsidR="00280F29">
        <w:t>eligibility</w:t>
      </w:r>
      <w:r w:rsidR="00DF1FB6">
        <w:t xml:space="preserve">.  </w:t>
      </w:r>
      <w:r w:rsidR="00C3258B">
        <w:t>As we have emphasized, applicants and service providers are required to know the relevant rules of the E-rate program and are ultimately responsible for compliance with them.</w:t>
      </w:r>
      <w:r w:rsidR="00C3258B">
        <w:rPr>
          <w:rStyle w:val="FootnoteReference"/>
        </w:rPr>
        <w:footnoteReference w:id="18"/>
      </w:r>
    </w:p>
    <w:p w14:paraId="7F483712" w14:textId="6CB75323" w:rsidR="004D386B" w:rsidRDefault="00BB31A6" w:rsidP="00BB31A6">
      <w:pPr>
        <w:pStyle w:val="Heading2"/>
      </w:pPr>
      <w:r w:rsidRPr="00BB31A6">
        <w:t>Eligibility Cha</w:t>
      </w:r>
      <w:r w:rsidR="00B75933">
        <w:t>n</w:t>
      </w:r>
      <w:r w:rsidRPr="00BB31A6">
        <w:t xml:space="preserve">ges </w:t>
      </w:r>
      <w:r w:rsidR="00BC2BA1">
        <w:t xml:space="preserve">in </w:t>
      </w:r>
      <w:r w:rsidR="00084292">
        <w:t xml:space="preserve">the </w:t>
      </w:r>
      <w:r w:rsidR="004D386B" w:rsidRPr="00BB31A6">
        <w:rPr>
          <w:i/>
        </w:rPr>
        <w:t>E-rate Modernization Order</w:t>
      </w:r>
      <w:r w:rsidRPr="00BB31A6">
        <w:t xml:space="preserve"> and </w:t>
      </w:r>
      <w:r w:rsidR="00BC2BA1">
        <w:t>Additional C</w:t>
      </w:r>
      <w:r w:rsidRPr="00BB31A6">
        <w:t>lar</w:t>
      </w:r>
      <w:r w:rsidR="00B75933">
        <w:t>i</w:t>
      </w:r>
      <w:r w:rsidRPr="00BB31A6">
        <w:t>fications</w:t>
      </w:r>
    </w:p>
    <w:p w14:paraId="10759CF6" w14:textId="77777777" w:rsidR="007F02CA" w:rsidRPr="005A4ADD" w:rsidRDefault="007F02CA" w:rsidP="00844A09">
      <w:pPr>
        <w:pStyle w:val="ParaNum"/>
        <w:numPr>
          <w:ilvl w:val="0"/>
          <w:numId w:val="13"/>
        </w:numPr>
      </w:pPr>
      <w:r>
        <w:t xml:space="preserve">We also adopt the substantive changes to the ESL </w:t>
      </w:r>
      <w:r w:rsidR="0071240A">
        <w:t xml:space="preserve">proposed in the </w:t>
      </w:r>
      <w:r w:rsidR="0071240A" w:rsidRPr="00844A09">
        <w:rPr>
          <w:i/>
        </w:rPr>
        <w:t>ESL Public Notic</w:t>
      </w:r>
      <w:r w:rsidR="0071240A">
        <w:t xml:space="preserve">e </w:t>
      </w:r>
      <w:r>
        <w:t xml:space="preserve">based on the direction provided by the Commission in the </w:t>
      </w:r>
      <w:r w:rsidRPr="00B866F4">
        <w:rPr>
          <w:i/>
        </w:rPr>
        <w:t>E-rate Modernization Order</w:t>
      </w:r>
      <w:r>
        <w:t xml:space="preserve">, and provide some additional information to address comments we received in response to the </w:t>
      </w:r>
      <w:r w:rsidRPr="00844A09">
        <w:rPr>
          <w:i/>
        </w:rPr>
        <w:t>ESL Public Notice</w:t>
      </w:r>
      <w:r>
        <w:t>.</w:t>
      </w:r>
      <w:r w:rsidR="0071240A">
        <w:t xml:space="preserve">  </w:t>
      </w:r>
    </w:p>
    <w:p w14:paraId="0B1340BE" w14:textId="77777777" w:rsidR="00624552" w:rsidRDefault="00471E69" w:rsidP="00471E69">
      <w:pPr>
        <w:pStyle w:val="Heading3"/>
      </w:pPr>
      <w:r>
        <w:t>Category One</w:t>
      </w:r>
    </w:p>
    <w:p w14:paraId="7CA7756A" w14:textId="269A0406" w:rsidR="008C5BD7" w:rsidRPr="00FC51D2" w:rsidRDefault="00F13BDE" w:rsidP="00F57808">
      <w:pPr>
        <w:pStyle w:val="ParaNum"/>
        <w:widowControl/>
        <w:numPr>
          <w:ilvl w:val="0"/>
          <w:numId w:val="13"/>
        </w:numPr>
      </w:pPr>
      <w:r>
        <w:t>The ESL first identifies the</w:t>
      </w:r>
      <w:r w:rsidR="007D4596">
        <w:t xml:space="preserve"> Category One</w:t>
      </w:r>
      <w:r>
        <w:t xml:space="preserve"> </w:t>
      </w:r>
      <w:r w:rsidRPr="00B415B5">
        <w:t xml:space="preserve">telecommunications services, telecommunications, and Internet access services for which E-rate applicants may seek </w:t>
      </w:r>
      <w:r>
        <w:t xml:space="preserve">support.  </w:t>
      </w:r>
      <w:r w:rsidR="00CF3E14">
        <w:t xml:space="preserve">Category One services are listed in the entries for digital transmission services and Internet access services, and voice services.  </w:t>
      </w:r>
      <w:r w:rsidR="007F02CA">
        <w:t xml:space="preserve">Pursuant to </w:t>
      </w:r>
      <w:r w:rsidR="00746587">
        <w:t xml:space="preserve">the </w:t>
      </w:r>
      <w:r w:rsidR="00746587" w:rsidRPr="005A4ADD">
        <w:rPr>
          <w:i/>
        </w:rPr>
        <w:t>E-rate Modernization Order</w:t>
      </w:r>
      <w:r w:rsidR="000E44AD">
        <w:t xml:space="preserve">, </w:t>
      </w:r>
      <w:r w:rsidR="00746587">
        <w:t xml:space="preserve">we remove from the ESL </w:t>
      </w:r>
      <w:r w:rsidR="00311F6F" w:rsidRPr="005A4ADD">
        <w:rPr>
          <w:szCs w:val="22"/>
        </w:rPr>
        <w:t>w</w:t>
      </w:r>
      <w:r w:rsidR="00311F6F" w:rsidRPr="005A4ADD">
        <w:rPr>
          <w:rFonts w:eastAsia="Calibri"/>
          <w:bCs/>
          <w:szCs w:val="22"/>
        </w:rPr>
        <w:t xml:space="preserve">eb hosting, voice mail, email, </w:t>
      </w:r>
      <w:r w:rsidR="00311F6F" w:rsidRPr="004140E7">
        <w:t>paging, directory assistance charges, text messaging, custom calling services, direct inward dialing, 900/976 call blocking</w:t>
      </w:r>
      <w:r w:rsidR="00311F6F">
        <w:t xml:space="preserve">, </w:t>
      </w:r>
      <w:r w:rsidR="00311F6F" w:rsidRPr="004140E7">
        <w:t>an</w:t>
      </w:r>
      <w:r w:rsidR="00311F6F">
        <w:t>d inside wire maintenance plans.</w:t>
      </w:r>
      <w:r w:rsidR="00311F6F">
        <w:rPr>
          <w:rStyle w:val="FootnoteReference"/>
        </w:rPr>
        <w:footnoteReference w:id="19"/>
      </w:r>
      <w:r w:rsidR="00311F6F">
        <w:t xml:space="preserve">  </w:t>
      </w:r>
      <w:r w:rsidR="00455845">
        <w:t>In response to</w:t>
      </w:r>
      <w:r w:rsidR="0071240A">
        <w:t xml:space="preserve"> requests from</w:t>
      </w:r>
      <w:r w:rsidR="00455845">
        <w:t xml:space="preserve"> comment</w:t>
      </w:r>
      <w:r w:rsidR="0071240A">
        <w:t>ers</w:t>
      </w:r>
      <w:r w:rsidR="006E3454">
        <w:t xml:space="preserve">, we </w:t>
      </w:r>
      <w:r w:rsidR="00170D97">
        <w:t xml:space="preserve">also </w:t>
      </w:r>
      <w:r w:rsidR="006E3454">
        <w:t xml:space="preserve">clarify </w:t>
      </w:r>
      <w:r w:rsidR="00455845">
        <w:t>in the ESL that</w:t>
      </w:r>
      <w:r w:rsidR="006E3454">
        <w:t xml:space="preserve"> multi-p</w:t>
      </w:r>
      <w:r w:rsidR="00455845">
        <w:t>rotocol label switching (MPLS) i</w:t>
      </w:r>
      <w:r w:rsidR="006E3454">
        <w:t xml:space="preserve">s eligible </w:t>
      </w:r>
      <w:r w:rsidR="00084292">
        <w:t xml:space="preserve">for </w:t>
      </w:r>
      <w:r w:rsidR="006E3454">
        <w:t xml:space="preserve">Category One </w:t>
      </w:r>
      <w:r w:rsidR="00084292">
        <w:t xml:space="preserve">E-rate support and explain that </w:t>
      </w:r>
      <w:r w:rsidR="00084292">
        <w:rPr>
          <w:szCs w:val="22"/>
        </w:rPr>
        <w:t>telecommunications transmission and Internet access used for distance learning and video conferencing remains eligible</w:t>
      </w:r>
      <w:r w:rsidR="00A73079">
        <w:t>.</w:t>
      </w:r>
      <w:r w:rsidR="00746587">
        <w:t xml:space="preserve">  </w:t>
      </w:r>
    </w:p>
    <w:p w14:paraId="3F504CC8" w14:textId="77777777" w:rsidR="008C5BD7" w:rsidRPr="00FC51D2" w:rsidRDefault="008C5BD7" w:rsidP="008C5BD7">
      <w:pPr>
        <w:pStyle w:val="Heading4"/>
      </w:pPr>
      <w:r w:rsidRPr="00FC51D2">
        <w:t>Multi-Protocol Label Switching (MPLS)</w:t>
      </w:r>
    </w:p>
    <w:p w14:paraId="069E7671" w14:textId="2FB6694B" w:rsidR="00FC51D2" w:rsidRPr="00A3300C" w:rsidRDefault="00170D97" w:rsidP="00FC51D2">
      <w:pPr>
        <w:pStyle w:val="ParaNum"/>
        <w:widowControl/>
        <w:numPr>
          <w:ilvl w:val="0"/>
          <w:numId w:val="13"/>
        </w:numPr>
        <w:rPr>
          <w:i/>
          <w:u w:val="single"/>
        </w:rPr>
      </w:pPr>
      <w:r>
        <w:t>In response to comments we received,</w:t>
      </w:r>
      <w:r w:rsidR="00CF3E14">
        <w:rPr>
          <w:rStyle w:val="FootnoteReference"/>
        </w:rPr>
        <w:footnoteReference w:id="20"/>
      </w:r>
      <w:r>
        <w:t xml:space="preserve"> w</w:t>
      </w:r>
      <w:r w:rsidR="005E262E">
        <w:t xml:space="preserve">e </w:t>
      </w:r>
      <w:r w:rsidR="00DF1FB6">
        <w:t xml:space="preserve">add </w:t>
      </w:r>
      <w:r w:rsidR="005E262E">
        <w:t xml:space="preserve">MPLS </w:t>
      </w:r>
      <w:r w:rsidR="008E69A7">
        <w:t xml:space="preserve">to </w:t>
      </w:r>
      <w:r>
        <w:t xml:space="preserve">Category One </w:t>
      </w:r>
      <w:r w:rsidR="00DF1FB6">
        <w:t>in order to clarify that MPLS is eligible for Category One E-rate support</w:t>
      </w:r>
      <w:r w:rsidR="005E262E">
        <w:t xml:space="preserve">.  </w:t>
      </w:r>
      <w:r w:rsidR="00FC51D2">
        <w:t xml:space="preserve">MPLS </w:t>
      </w:r>
      <w:r w:rsidR="00FC51D2" w:rsidRPr="0050032F">
        <w:rPr>
          <w:color w:val="000000"/>
          <w:szCs w:val="22"/>
        </w:rPr>
        <w:t>allows providers to create a single integrated network infrastructure that can be used to provide multiple services to the enterprise customer</w:t>
      </w:r>
      <w:r w:rsidR="00FC51D2">
        <w:rPr>
          <w:color w:val="000000"/>
          <w:szCs w:val="22"/>
        </w:rPr>
        <w:t>,</w:t>
      </w:r>
      <w:r w:rsidR="00FC51D2" w:rsidRPr="0050032F">
        <w:rPr>
          <w:color w:val="000000"/>
          <w:szCs w:val="22"/>
        </w:rPr>
        <w:t xml:space="preserve"> </w:t>
      </w:r>
      <w:r w:rsidR="00660CD5">
        <w:rPr>
          <w:color w:val="000000"/>
          <w:szCs w:val="22"/>
        </w:rPr>
        <w:t>and m</w:t>
      </w:r>
      <w:r w:rsidR="00FC51D2">
        <w:rPr>
          <w:color w:val="000000"/>
          <w:szCs w:val="22"/>
        </w:rPr>
        <w:t>any service providers us</w:t>
      </w:r>
      <w:r w:rsidR="00090E08">
        <w:rPr>
          <w:color w:val="000000"/>
          <w:szCs w:val="22"/>
        </w:rPr>
        <w:t>e</w:t>
      </w:r>
      <w:r w:rsidR="00FC51D2">
        <w:rPr>
          <w:color w:val="000000"/>
          <w:szCs w:val="22"/>
        </w:rPr>
        <w:t xml:space="preserve"> MPLS in their networks to facilitate Internet protocol (IP) transport.</w:t>
      </w:r>
      <w:r w:rsidR="00FC51D2">
        <w:rPr>
          <w:rStyle w:val="FootnoteReference"/>
          <w:szCs w:val="22"/>
        </w:rPr>
        <w:footnoteReference w:id="21"/>
      </w:r>
      <w:r w:rsidR="00FC51D2">
        <w:rPr>
          <w:color w:val="000000"/>
          <w:szCs w:val="22"/>
        </w:rPr>
        <w:t xml:space="preserve">  </w:t>
      </w:r>
      <w:r w:rsidR="005E262E">
        <w:rPr>
          <w:color w:val="000000"/>
          <w:szCs w:val="22"/>
        </w:rPr>
        <w:t xml:space="preserve">Although </w:t>
      </w:r>
      <w:r w:rsidR="00090E08">
        <w:rPr>
          <w:color w:val="000000"/>
          <w:szCs w:val="22"/>
        </w:rPr>
        <w:t xml:space="preserve">MPLS was </w:t>
      </w:r>
      <w:r w:rsidR="005E262E">
        <w:rPr>
          <w:color w:val="000000"/>
          <w:szCs w:val="22"/>
        </w:rPr>
        <w:t xml:space="preserve">not specifically </w:t>
      </w:r>
      <w:r w:rsidR="00090E08">
        <w:rPr>
          <w:color w:val="000000"/>
          <w:szCs w:val="22"/>
        </w:rPr>
        <w:t>identified as supported on previous ESLs, USAC treat</w:t>
      </w:r>
      <w:r w:rsidR="0031521A">
        <w:rPr>
          <w:color w:val="000000"/>
          <w:szCs w:val="22"/>
        </w:rPr>
        <w:t>ed</w:t>
      </w:r>
      <w:r w:rsidR="00090E08">
        <w:rPr>
          <w:color w:val="000000"/>
          <w:szCs w:val="22"/>
        </w:rPr>
        <w:t xml:space="preserve"> </w:t>
      </w:r>
      <w:r w:rsidR="00CF3E14">
        <w:rPr>
          <w:color w:val="000000"/>
          <w:szCs w:val="22"/>
        </w:rPr>
        <w:t xml:space="preserve">MPLS </w:t>
      </w:r>
      <w:r w:rsidR="0031521A">
        <w:rPr>
          <w:color w:val="000000"/>
          <w:szCs w:val="22"/>
        </w:rPr>
        <w:t xml:space="preserve">as </w:t>
      </w:r>
      <w:r w:rsidR="00DF1FB6">
        <w:rPr>
          <w:color w:val="000000"/>
          <w:szCs w:val="22"/>
        </w:rPr>
        <w:t xml:space="preserve">an </w:t>
      </w:r>
      <w:r w:rsidR="0031521A">
        <w:rPr>
          <w:color w:val="000000"/>
          <w:szCs w:val="22"/>
        </w:rPr>
        <w:t xml:space="preserve">eligible transport </w:t>
      </w:r>
      <w:r w:rsidR="00DF1FB6">
        <w:rPr>
          <w:color w:val="000000"/>
          <w:szCs w:val="22"/>
        </w:rPr>
        <w:t xml:space="preserve">service </w:t>
      </w:r>
      <w:r w:rsidR="00CF3E14">
        <w:rPr>
          <w:color w:val="000000"/>
          <w:szCs w:val="22"/>
        </w:rPr>
        <w:t>because</w:t>
      </w:r>
      <w:r w:rsidR="0031521A">
        <w:rPr>
          <w:color w:val="000000"/>
          <w:szCs w:val="22"/>
        </w:rPr>
        <w:t xml:space="preserve"> MPLS is a reasonable extension of the existing specified list </w:t>
      </w:r>
      <w:r w:rsidR="00CF3E14">
        <w:rPr>
          <w:color w:val="000000"/>
          <w:szCs w:val="22"/>
        </w:rPr>
        <w:t xml:space="preserve">of </w:t>
      </w:r>
      <w:r w:rsidR="0031521A">
        <w:rPr>
          <w:color w:val="000000"/>
          <w:szCs w:val="22"/>
        </w:rPr>
        <w:t xml:space="preserve">eligible transmission services </w:t>
      </w:r>
      <w:r w:rsidR="00CF3E14">
        <w:rPr>
          <w:color w:val="000000"/>
          <w:szCs w:val="22"/>
        </w:rPr>
        <w:t xml:space="preserve">by </w:t>
      </w:r>
      <w:r w:rsidR="0031521A">
        <w:rPr>
          <w:lang w:val="en"/>
        </w:rPr>
        <w:t>allow</w:t>
      </w:r>
      <w:r w:rsidR="00CF3E14">
        <w:rPr>
          <w:lang w:val="en"/>
        </w:rPr>
        <w:t>ing</w:t>
      </w:r>
      <w:r w:rsidR="0031521A">
        <w:rPr>
          <w:lang w:val="en"/>
        </w:rPr>
        <w:t xml:space="preserve"> service providers to create end-to-end circuits across any type of transport medium, using any protocol.</w:t>
      </w:r>
      <w:r w:rsidR="0031521A">
        <w:rPr>
          <w:rStyle w:val="FootnoteReference"/>
          <w:lang w:val="en"/>
        </w:rPr>
        <w:footnoteReference w:id="22"/>
      </w:r>
      <w:r w:rsidR="0031521A">
        <w:rPr>
          <w:color w:val="000000"/>
          <w:szCs w:val="22"/>
        </w:rPr>
        <w:t xml:space="preserve">  P</w:t>
      </w:r>
      <w:r w:rsidR="00090E08">
        <w:rPr>
          <w:color w:val="000000"/>
          <w:szCs w:val="22"/>
        </w:rPr>
        <w:t xml:space="preserve">ast ESLs explained that </w:t>
      </w:r>
      <w:r w:rsidR="00FC51D2">
        <w:rPr>
          <w:color w:val="000000"/>
          <w:szCs w:val="22"/>
        </w:rPr>
        <w:t xml:space="preserve">eligible digital transmission technologies </w:t>
      </w:r>
      <w:r w:rsidR="00CF3E14">
        <w:rPr>
          <w:color w:val="000000"/>
          <w:szCs w:val="22"/>
        </w:rPr>
        <w:t>and basic conduit Internet access “</w:t>
      </w:r>
      <w:r w:rsidR="00FC51D2">
        <w:rPr>
          <w:color w:val="000000"/>
          <w:szCs w:val="22"/>
        </w:rPr>
        <w:t>include</w:t>
      </w:r>
      <w:r>
        <w:rPr>
          <w:color w:val="000000"/>
          <w:szCs w:val="22"/>
        </w:rPr>
        <w:t>, but are not limited to . . . .</w:t>
      </w:r>
      <w:r w:rsidR="00FC51D2">
        <w:rPr>
          <w:color w:val="000000"/>
          <w:szCs w:val="22"/>
        </w:rPr>
        <w:t>”</w:t>
      </w:r>
      <w:r w:rsidR="00090E08">
        <w:rPr>
          <w:color w:val="000000"/>
          <w:szCs w:val="22"/>
        </w:rPr>
        <w:t xml:space="preserve"> the specifically identified services</w:t>
      </w:r>
      <w:r w:rsidR="00CF3E14">
        <w:rPr>
          <w:color w:val="000000"/>
          <w:szCs w:val="22"/>
        </w:rPr>
        <w:t>, providing flexibility to fund substantially similar transport services that may not yet have been identified by name on the ESL</w:t>
      </w:r>
      <w:r w:rsidR="00090E08">
        <w:rPr>
          <w:color w:val="000000"/>
          <w:szCs w:val="22"/>
        </w:rPr>
        <w:t>.</w:t>
      </w:r>
      <w:r w:rsidR="00FC51D2">
        <w:rPr>
          <w:rStyle w:val="FootnoteReference"/>
          <w:szCs w:val="22"/>
        </w:rPr>
        <w:footnoteReference w:id="23"/>
      </w:r>
      <w:r w:rsidR="0031521A">
        <w:rPr>
          <w:color w:val="000000"/>
          <w:szCs w:val="22"/>
        </w:rPr>
        <w:t xml:space="preserve">  </w:t>
      </w:r>
      <w:r w:rsidR="00DF1FB6">
        <w:rPr>
          <w:color w:val="000000"/>
          <w:szCs w:val="22"/>
        </w:rPr>
        <w:t>C</w:t>
      </w:r>
      <w:r w:rsidR="00CF3E14">
        <w:rPr>
          <w:color w:val="000000"/>
          <w:szCs w:val="22"/>
        </w:rPr>
        <w:t xml:space="preserve">larifying that MPLS as one of the eligible Category One services is akin to </w:t>
      </w:r>
      <w:r w:rsidR="00DF1FB6">
        <w:rPr>
          <w:color w:val="000000"/>
          <w:szCs w:val="22"/>
        </w:rPr>
        <w:t>the Commission’s decision in 2009 to add Ethernet to the ESL as an</w:t>
      </w:r>
      <w:r w:rsidR="00CF3E14">
        <w:rPr>
          <w:color w:val="000000"/>
          <w:szCs w:val="22"/>
        </w:rPr>
        <w:t xml:space="preserve"> eligible digital transmission service</w:t>
      </w:r>
      <w:r w:rsidR="00DF1FB6">
        <w:rPr>
          <w:color w:val="000000"/>
          <w:szCs w:val="22"/>
        </w:rPr>
        <w:t>, while recognizing that USAC appropriately funded Ethernet in previous years as a Priority One service.</w:t>
      </w:r>
      <w:r w:rsidR="00CF3E14">
        <w:rPr>
          <w:rStyle w:val="FootnoteReference"/>
          <w:szCs w:val="22"/>
        </w:rPr>
        <w:footnoteReference w:id="24"/>
      </w:r>
      <w:r w:rsidR="00CF3E14">
        <w:rPr>
          <w:color w:val="000000"/>
          <w:szCs w:val="22"/>
        </w:rPr>
        <w:t xml:space="preserve">  </w:t>
      </w:r>
    </w:p>
    <w:p w14:paraId="0832821B" w14:textId="03F230B3" w:rsidR="002E5E58" w:rsidRPr="00B75933" w:rsidRDefault="00090E08" w:rsidP="002E5E58">
      <w:pPr>
        <w:pStyle w:val="ParaNum"/>
        <w:widowControl/>
        <w:numPr>
          <w:ilvl w:val="0"/>
          <w:numId w:val="13"/>
        </w:numPr>
      </w:pPr>
      <w:r>
        <w:t>Con</w:t>
      </w:r>
      <w:r w:rsidR="00D85A79">
        <w:t xml:space="preserve">sistent with </w:t>
      </w:r>
      <w:r>
        <w:t>the Commission</w:t>
      </w:r>
      <w:r w:rsidR="00224012">
        <w:t xml:space="preserve">’s goal </w:t>
      </w:r>
      <w:r>
        <w:t>of ensu</w:t>
      </w:r>
      <w:r w:rsidR="00660CD5">
        <w:t>r</w:t>
      </w:r>
      <w:r>
        <w:t xml:space="preserve">ing </w:t>
      </w:r>
      <w:r w:rsidR="00B65548">
        <w:t>“</w:t>
      </w:r>
      <w:r>
        <w:t xml:space="preserve">access to high-speed broadband sufficient to support digital learning in schools and robust connectivity for all libraries,” we recognize the </w:t>
      </w:r>
      <w:r w:rsidR="004F36D3">
        <w:t xml:space="preserve">need for </w:t>
      </w:r>
      <w:r w:rsidR="005E262E">
        <w:t xml:space="preserve">flexibility </w:t>
      </w:r>
      <w:r>
        <w:t xml:space="preserve">in providing support for services that </w:t>
      </w:r>
      <w:r w:rsidR="007D4596">
        <w:t xml:space="preserve">facilitate </w:t>
      </w:r>
      <w:r>
        <w:t>high-speed connectivity.</w:t>
      </w:r>
      <w:r w:rsidR="00B65548">
        <w:rPr>
          <w:rStyle w:val="FootnoteReference"/>
          <w:szCs w:val="22"/>
        </w:rPr>
        <w:footnoteReference w:id="25"/>
      </w:r>
      <w:r>
        <w:t xml:space="preserve">  Therefore, </w:t>
      </w:r>
      <w:r w:rsidR="00F36023">
        <w:t xml:space="preserve">we </w:t>
      </w:r>
      <w:r w:rsidR="00480F8E">
        <w:t>rephrase</w:t>
      </w:r>
      <w:r w:rsidR="00F36023">
        <w:t xml:space="preserve"> the wording pr</w:t>
      </w:r>
      <w:r w:rsidR="00480F8E">
        <w:t>o</w:t>
      </w:r>
      <w:r w:rsidR="00F36023">
        <w:t xml:space="preserve">posed for the introduction to </w:t>
      </w:r>
      <w:r w:rsidR="009B6A6A">
        <w:t>d</w:t>
      </w:r>
      <w:r w:rsidR="00CF3E14">
        <w:t>igital</w:t>
      </w:r>
      <w:r w:rsidR="009B6A6A">
        <w:t xml:space="preserve"> transmission and Internet access services</w:t>
      </w:r>
      <w:r w:rsidR="00F36023">
        <w:t xml:space="preserve"> </w:t>
      </w:r>
      <w:r w:rsidR="00480F8E">
        <w:t xml:space="preserve">to </w:t>
      </w:r>
      <w:r>
        <w:t xml:space="preserve">read </w:t>
      </w:r>
      <w:r w:rsidR="00480F8E">
        <w:t>“</w:t>
      </w:r>
      <w:r w:rsidR="00F93B4E" w:rsidRPr="00F553F3">
        <w:rPr>
          <w:szCs w:val="22"/>
        </w:rPr>
        <w:t>D</w:t>
      </w:r>
      <w:r w:rsidR="00CF3E14">
        <w:rPr>
          <w:szCs w:val="22"/>
        </w:rPr>
        <w:t>igital</w:t>
      </w:r>
      <w:r w:rsidR="00F93B4E" w:rsidRPr="00F553F3">
        <w:rPr>
          <w:szCs w:val="22"/>
        </w:rPr>
        <w:t xml:space="preserve"> transmission services and Internet access services are eligible in Category One.  These services include:</w:t>
      </w:r>
      <w:r w:rsidR="00660CD5">
        <w:rPr>
          <w:szCs w:val="22"/>
        </w:rPr>
        <w:t xml:space="preserve"> . . .</w:t>
      </w:r>
      <w:r w:rsidR="00F93B4E">
        <w:rPr>
          <w:szCs w:val="22"/>
        </w:rPr>
        <w:t xml:space="preserve">” </w:t>
      </w:r>
      <w:r w:rsidR="00480F8E">
        <w:t xml:space="preserve">to </w:t>
      </w:r>
      <w:r w:rsidR="00F36023">
        <w:t>indicate</w:t>
      </w:r>
      <w:r w:rsidR="00A23ECF">
        <w:t xml:space="preserve"> that there may be other high-speed broadband services that fall within the rubric of eligible d</w:t>
      </w:r>
      <w:r w:rsidR="00CF3E14">
        <w:t>igital</w:t>
      </w:r>
      <w:r w:rsidR="00A23ECF">
        <w:t xml:space="preserve"> transmission </w:t>
      </w:r>
      <w:r w:rsidR="009B6A6A">
        <w:t xml:space="preserve">and Internet access </w:t>
      </w:r>
      <w:r w:rsidR="00A23ECF">
        <w:t>services</w:t>
      </w:r>
      <w:r w:rsidR="00727A26">
        <w:t xml:space="preserve">.  With the addition of MPLS, we conclude that the </w:t>
      </w:r>
      <w:r w:rsidR="00660CD5">
        <w:t>ESL</w:t>
      </w:r>
      <w:r w:rsidR="00727A26">
        <w:t xml:space="preserve"> should cover all or most of</w:t>
      </w:r>
      <w:r w:rsidR="00480F8E">
        <w:t xml:space="preserve"> </w:t>
      </w:r>
      <w:r w:rsidR="00F36023">
        <w:t>the ser</w:t>
      </w:r>
      <w:r w:rsidR="00480F8E">
        <w:t xml:space="preserve">vices, physical media, and technologies sought by applicants for </w:t>
      </w:r>
      <w:r w:rsidR="004F36D3">
        <w:t xml:space="preserve">high-speed </w:t>
      </w:r>
      <w:r w:rsidR="00480F8E">
        <w:t>data t</w:t>
      </w:r>
      <w:r w:rsidR="00727A26">
        <w:t>ransmission and Internet access.  However,</w:t>
      </w:r>
      <w:r w:rsidR="00480F8E">
        <w:t xml:space="preserve"> we direct USAC</w:t>
      </w:r>
      <w:r w:rsidR="00727A26">
        <w:t xml:space="preserve"> to bring to our attention </w:t>
      </w:r>
      <w:r w:rsidR="00CF3E14">
        <w:t xml:space="preserve">for our or the Commission’s consideration </w:t>
      </w:r>
      <w:r w:rsidR="00727A26">
        <w:t>any</w:t>
      </w:r>
      <w:r w:rsidR="00480F8E">
        <w:t xml:space="preserve"> </w:t>
      </w:r>
      <w:r w:rsidR="0031521A">
        <w:t xml:space="preserve">high-speed </w:t>
      </w:r>
      <w:r w:rsidR="00480F8E">
        <w:t xml:space="preserve">services </w:t>
      </w:r>
      <w:r w:rsidR="00727A26">
        <w:t xml:space="preserve">put forth in applicant funding requests </w:t>
      </w:r>
      <w:r w:rsidR="00480F8E">
        <w:t>that may not specifically be listed or covered by one of the terms on the list of eligible Category One services</w:t>
      </w:r>
      <w:r w:rsidR="00F13BDE">
        <w:t>.</w:t>
      </w:r>
      <w:r w:rsidR="00480F8E" w:rsidRPr="004F36D3">
        <w:rPr>
          <w:color w:val="000000"/>
          <w:szCs w:val="22"/>
        </w:rPr>
        <w:t xml:space="preserve">  </w:t>
      </w:r>
    </w:p>
    <w:p w14:paraId="14B5EA00" w14:textId="77777777" w:rsidR="008C5BD7" w:rsidRPr="002E5E58" w:rsidRDefault="00942210" w:rsidP="002E5E58">
      <w:pPr>
        <w:pStyle w:val="Heading4"/>
        <w:rPr>
          <w:i/>
        </w:rPr>
      </w:pPr>
      <w:r w:rsidRPr="00B75933">
        <w:t>Telecommunications</w:t>
      </w:r>
      <w:r w:rsidR="002E5E58" w:rsidRPr="00B75933">
        <w:t xml:space="preserve"> and Internet Access Used for Distance</w:t>
      </w:r>
      <w:r w:rsidR="002E5E58">
        <w:t xml:space="preserve"> Learning</w:t>
      </w:r>
      <w:r w:rsidR="00727A26">
        <w:t xml:space="preserve"> </w:t>
      </w:r>
    </w:p>
    <w:p w14:paraId="21DED193" w14:textId="7D42FD51" w:rsidR="00CE031F" w:rsidRDefault="00224012" w:rsidP="00E94AB5">
      <w:pPr>
        <w:pStyle w:val="ParaNum"/>
        <w:widowControl/>
        <w:numPr>
          <w:ilvl w:val="0"/>
          <w:numId w:val="13"/>
        </w:numPr>
        <w:rPr>
          <w:szCs w:val="22"/>
        </w:rPr>
      </w:pPr>
      <w:r>
        <w:rPr>
          <w:szCs w:val="22"/>
        </w:rPr>
        <w:t>Consistent with the draft ESL, w</w:t>
      </w:r>
      <w:r w:rsidR="002E5E58">
        <w:rPr>
          <w:szCs w:val="22"/>
        </w:rPr>
        <w:t>e</w:t>
      </w:r>
      <w:r w:rsidR="00EE5C97">
        <w:rPr>
          <w:szCs w:val="22"/>
        </w:rPr>
        <w:t xml:space="preserve"> </w:t>
      </w:r>
      <w:r>
        <w:rPr>
          <w:szCs w:val="22"/>
        </w:rPr>
        <w:t xml:space="preserve">decline to include in the current ESL language that was in </w:t>
      </w:r>
      <w:r w:rsidR="00B75933">
        <w:rPr>
          <w:szCs w:val="22"/>
        </w:rPr>
        <w:t>previous ESLs</w:t>
      </w:r>
      <w:r w:rsidR="002E5E58">
        <w:rPr>
          <w:szCs w:val="22"/>
        </w:rPr>
        <w:t xml:space="preserve"> </w:t>
      </w:r>
      <w:r w:rsidR="00E94AB5">
        <w:rPr>
          <w:szCs w:val="22"/>
        </w:rPr>
        <w:t xml:space="preserve">explaining </w:t>
      </w:r>
      <w:r w:rsidR="00B04F49">
        <w:rPr>
          <w:szCs w:val="22"/>
        </w:rPr>
        <w:t xml:space="preserve">that </w:t>
      </w:r>
      <w:r w:rsidR="00942210">
        <w:rPr>
          <w:szCs w:val="22"/>
        </w:rPr>
        <w:t>telecommunications</w:t>
      </w:r>
      <w:r w:rsidR="002E5E58">
        <w:rPr>
          <w:szCs w:val="22"/>
        </w:rPr>
        <w:t xml:space="preserve"> and Internet access used for distance learning, video conferencing</w:t>
      </w:r>
      <w:r w:rsidR="006B49D1">
        <w:rPr>
          <w:szCs w:val="22"/>
        </w:rPr>
        <w:t>,</w:t>
      </w:r>
      <w:r w:rsidR="002E5E58">
        <w:rPr>
          <w:szCs w:val="22"/>
        </w:rPr>
        <w:t xml:space="preserve"> and interactive television (</w:t>
      </w:r>
      <w:r w:rsidR="0031521A">
        <w:rPr>
          <w:szCs w:val="22"/>
        </w:rPr>
        <w:t xml:space="preserve">often </w:t>
      </w:r>
      <w:r w:rsidR="002E5E58">
        <w:rPr>
          <w:szCs w:val="22"/>
        </w:rPr>
        <w:t xml:space="preserve">referred to </w:t>
      </w:r>
      <w:r w:rsidR="009C5F2E">
        <w:rPr>
          <w:szCs w:val="22"/>
        </w:rPr>
        <w:t xml:space="preserve">individually and collectively </w:t>
      </w:r>
      <w:r w:rsidR="002E5E58">
        <w:rPr>
          <w:szCs w:val="22"/>
        </w:rPr>
        <w:t xml:space="preserve">as distance learning), are eligible for E-rate funding.  </w:t>
      </w:r>
      <w:r w:rsidR="00942210">
        <w:rPr>
          <w:szCs w:val="22"/>
        </w:rPr>
        <w:t>Telecommunications</w:t>
      </w:r>
      <w:r w:rsidR="002E5E58">
        <w:rPr>
          <w:szCs w:val="22"/>
        </w:rPr>
        <w:t xml:space="preserve"> transmission used for distance learning has been eligible from the start of the E-rate program.</w:t>
      </w:r>
      <w:r w:rsidR="002E5E58">
        <w:rPr>
          <w:rStyle w:val="FootnoteReference"/>
          <w:szCs w:val="22"/>
        </w:rPr>
        <w:footnoteReference w:id="26"/>
      </w:r>
      <w:r w:rsidR="00E94AB5">
        <w:rPr>
          <w:szCs w:val="22"/>
        </w:rPr>
        <w:t xml:space="preserve"> </w:t>
      </w:r>
      <w:r w:rsidR="00D26385">
        <w:rPr>
          <w:szCs w:val="22"/>
        </w:rPr>
        <w:t xml:space="preserve"> In 2007, t</w:t>
      </w:r>
      <w:r w:rsidR="002E5E58">
        <w:rPr>
          <w:szCs w:val="22"/>
        </w:rPr>
        <w:t xml:space="preserve">he Commission </w:t>
      </w:r>
      <w:r w:rsidR="00D26385">
        <w:rPr>
          <w:szCs w:val="22"/>
        </w:rPr>
        <w:t xml:space="preserve">specified </w:t>
      </w:r>
      <w:r w:rsidR="00540CF7">
        <w:rPr>
          <w:szCs w:val="22"/>
        </w:rPr>
        <w:t xml:space="preserve">that basic </w:t>
      </w:r>
      <w:r w:rsidR="00942210">
        <w:rPr>
          <w:szCs w:val="22"/>
        </w:rPr>
        <w:t>conduit</w:t>
      </w:r>
      <w:r w:rsidR="00540CF7">
        <w:rPr>
          <w:szCs w:val="22"/>
        </w:rPr>
        <w:t xml:space="preserve"> access to the Internet for the purpose of </w:t>
      </w:r>
      <w:r w:rsidR="00FA1519">
        <w:rPr>
          <w:szCs w:val="22"/>
        </w:rPr>
        <w:t>accessing</w:t>
      </w:r>
      <w:r w:rsidR="00540CF7">
        <w:rPr>
          <w:szCs w:val="22"/>
        </w:rPr>
        <w:t xml:space="preserve"> distance learning and video conferencing service </w:t>
      </w:r>
      <w:r w:rsidR="009C5F2E">
        <w:rPr>
          <w:szCs w:val="22"/>
        </w:rPr>
        <w:t>is</w:t>
      </w:r>
      <w:r w:rsidR="00540CF7">
        <w:rPr>
          <w:szCs w:val="22"/>
        </w:rPr>
        <w:t xml:space="preserve"> eligible.</w:t>
      </w:r>
      <w:r w:rsidR="00E94AB5">
        <w:rPr>
          <w:rStyle w:val="FootnoteReference"/>
          <w:szCs w:val="22"/>
        </w:rPr>
        <w:footnoteReference w:id="27"/>
      </w:r>
      <w:r w:rsidR="00540CF7">
        <w:rPr>
          <w:szCs w:val="22"/>
        </w:rPr>
        <w:t xml:space="preserve">  </w:t>
      </w:r>
    </w:p>
    <w:p w14:paraId="7C1ACA7E" w14:textId="1545C554" w:rsidR="00CD677B" w:rsidRPr="00826ABD" w:rsidRDefault="00676E39" w:rsidP="00826ABD">
      <w:pPr>
        <w:pStyle w:val="ParaNum"/>
        <w:widowControl/>
        <w:numPr>
          <w:ilvl w:val="0"/>
          <w:numId w:val="13"/>
        </w:numPr>
        <w:rPr>
          <w:szCs w:val="22"/>
        </w:rPr>
      </w:pPr>
      <w:r>
        <w:rPr>
          <w:szCs w:val="22"/>
        </w:rPr>
        <w:t>We r</w:t>
      </w:r>
      <w:r w:rsidR="00540CF7">
        <w:rPr>
          <w:szCs w:val="22"/>
        </w:rPr>
        <w:t>emove</w:t>
      </w:r>
      <w:r>
        <w:rPr>
          <w:szCs w:val="22"/>
        </w:rPr>
        <w:t>d</w:t>
      </w:r>
      <w:r w:rsidR="00B84001">
        <w:rPr>
          <w:szCs w:val="22"/>
        </w:rPr>
        <w:t xml:space="preserve"> the</w:t>
      </w:r>
      <w:r w:rsidR="00540CF7">
        <w:rPr>
          <w:szCs w:val="22"/>
        </w:rPr>
        <w:t xml:space="preserve"> language</w:t>
      </w:r>
      <w:r w:rsidR="00B84001">
        <w:rPr>
          <w:szCs w:val="22"/>
        </w:rPr>
        <w:t xml:space="preserve"> pertaining to distance learning</w:t>
      </w:r>
      <w:r w:rsidR="00540CF7">
        <w:rPr>
          <w:szCs w:val="22"/>
        </w:rPr>
        <w:t xml:space="preserve"> </w:t>
      </w:r>
      <w:r w:rsidR="00660CD5">
        <w:rPr>
          <w:szCs w:val="22"/>
        </w:rPr>
        <w:t xml:space="preserve">and video conferencing </w:t>
      </w:r>
      <w:r w:rsidR="00540CF7">
        <w:rPr>
          <w:szCs w:val="22"/>
        </w:rPr>
        <w:t>from</w:t>
      </w:r>
      <w:r w:rsidR="00CE031F">
        <w:rPr>
          <w:szCs w:val="22"/>
        </w:rPr>
        <w:t xml:space="preserve"> the </w:t>
      </w:r>
      <w:r>
        <w:rPr>
          <w:szCs w:val="22"/>
        </w:rPr>
        <w:t xml:space="preserve">draft </w:t>
      </w:r>
      <w:r w:rsidR="00CE031F">
        <w:rPr>
          <w:szCs w:val="22"/>
        </w:rPr>
        <w:t xml:space="preserve">ESL because </w:t>
      </w:r>
      <w:r w:rsidR="00660CD5">
        <w:rPr>
          <w:szCs w:val="22"/>
        </w:rPr>
        <w:t xml:space="preserve">we view this as language that </w:t>
      </w:r>
      <w:r w:rsidR="00CE031F">
        <w:rPr>
          <w:szCs w:val="22"/>
        </w:rPr>
        <w:t>provide</w:t>
      </w:r>
      <w:r w:rsidR="00660CD5">
        <w:rPr>
          <w:szCs w:val="22"/>
        </w:rPr>
        <w:t>s</w:t>
      </w:r>
      <w:r w:rsidR="00CE031F">
        <w:rPr>
          <w:szCs w:val="22"/>
        </w:rPr>
        <w:t xml:space="preserve"> </w:t>
      </w:r>
      <w:r w:rsidR="00540CF7">
        <w:rPr>
          <w:szCs w:val="22"/>
        </w:rPr>
        <w:t xml:space="preserve">an example of an eligible educational purpose – </w:t>
      </w:r>
      <w:r w:rsidR="00540CF7" w:rsidRPr="008E69A7">
        <w:rPr>
          <w:i/>
          <w:szCs w:val="22"/>
        </w:rPr>
        <w:t>i.e.</w:t>
      </w:r>
      <w:r w:rsidR="00540CF7">
        <w:rPr>
          <w:szCs w:val="22"/>
        </w:rPr>
        <w:t xml:space="preserve">, for accessing distance learning, rather than </w:t>
      </w:r>
      <w:r w:rsidR="00224012">
        <w:rPr>
          <w:szCs w:val="22"/>
        </w:rPr>
        <w:t xml:space="preserve">identifying </w:t>
      </w:r>
      <w:r w:rsidR="00540CF7">
        <w:rPr>
          <w:szCs w:val="22"/>
        </w:rPr>
        <w:t xml:space="preserve">an eligible service itself.  </w:t>
      </w:r>
      <w:r w:rsidR="00660CD5">
        <w:rPr>
          <w:szCs w:val="22"/>
        </w:rPr>
        <w:t xml:space="preserve">Distance learning is important for education, especially in remote areas where there may be a lack of qualified teachers and educational resources.  </w:t>
      </w:r>
      <w:r w:rsidR="00540CF7">
        <w:rPr>
          <w:szCs w:val="22"/>
        </w:rPr>
        <w:t xml:space="preserve">However, </w:t>
      </w:r>
      <w:r w:rsidR="00B0498B">
        <w:rPr>
          <w:szCs w:val="22"/>
        </w:rPr>
        <w:t xml:space="preserve">we </w:t>
      </w:r>
      <w:r w:rsidR="00660CD5">
        <w:rPr>
          <w:szCs w:val="22"/>
        </w:rPr>
        <w:t>find it unnecessary to label distance learning as a valid educational purpose for seeking telecommunications transmission or Internet access services over other important educational purposes, such as student online research or access to educational videos or other content.  We dis</w:t>
      </w:r>
      <w:r w:rsidR="00B0498B">
        <w:rPr>
          <w:szCs w:val="22"/>
        </w:rPr>
        <w:t xml:space="preserve">agree </w:t>
      </w:r>
      <w:r w:rsidR="00660CD5">
        <w:rPr>
          <w:szCs w:val="22"/>
        </w:rPr>
        <w:t>with those</w:t>
      </w:r>
      <w:r w:rsidR="00B0498B">
        <w:rPr>
          <w:szCs w:val="22"/>
        </w:rPr>
        <w:t xml:space="preserve"> commenters that</w:t>
      </w:r>
      <w:r w:rsidR="00540CF7">
        <w:rPr>
          <w:szCs w:val="22"/>
        </w:rPr>
        <w:t xml:space="preserve"> </w:t>
      </w:r>
      <w:r w:rsidR="00D26385">
        <w:rPr>
          <w:szCs w:val="22"/>
        </w:rPr>
        <w:t xml:space="preserve">express concern </w:t>
      </w:r>
      <w:r w:rsidR="00660CD5">
        <w:rPr>
          <w:szCs w:val="22"/>
        </w:rPr>
        <w:t>over</w:t>
      </w:r>
      <w:r w:rsidR="00540CF7">
        <w:rPr>
          <w:szCs w:val="22"/>
        </w:rPr>
        <w:t xml:space="preserve"> </w:t>
      </w:r>
      <w:r w:rsidR="00B0498B">
        <w:rPr>
          <w:szCs w:val="22"/>
        </w:rPr>
        <w:t xml:space="preserve">removal of this explanation </w:t>
      </w:r>
      <w:r w:rsidR="00660CD5">
        <w:rPr>
          <w:szCs w:val="22"/>
        </w:rPr>
        <w:t>because we do not view this as a change in the status of funding eligibility for telecommunications transmission or Internet access used for distance learning</w:t>
      </w:r>
      <w:r w:rsidR="00B0498B">
        <w:rPr>
          <w:szCs w:val="22"/>
        </w:rPr>
        <w:t>.</w:t>
      </w:r>
      <w:r w:rsidR="00B0498B">
        <w:rPr>
          <w:rStyle w:val="FootnoteReference"/>
          <w:szCs w:val="22"/>
        </w:rPr>
        <w:footnoteReference w:id="28"/>
      </w:r>
      <w:r w:rsidR="00B0498B">
        <w:rPr>
          <w:szCs w:val="22"/>
        </w:rPr>
        <w:t xml:space="preserve">  </w:t>
      </w:r>
      <w:r w:rsidR="00660CD5">
        <w:rPr>
          <w:szCs w:val="22"/>
        </w:rPr>
        <w:t>Although no longer highlighted in the ESL itself, telecommunications transmission and Internet access used for these purposes remains eligible.  W</w:t>
      </w:r>
      <w:r w:rsidR="00B0498B">
        <w:rPr>
          <w:szCs w:val="22"/>
        </w:rPr>
        <w:t xml:space="preserve">e </w:t>
      </w:r>
      <w:r w:rsidR="00660CD5">
        <w:rPr>
          <w:szCs w:val="22"/>
        </w:rPr>
        <w:t xml:space="preserve">also </w:t>
      </w:r>
      <w:r w:rsidR="00B0498B">
        <w:rPr>
          <w:szCs w:val="22"/>
        </w:rPr>
        <w:t xml:space="preserve">caution </w:t>
      </w:r>
      <w:r w:rsidR="009B75F3">
        <w:rPr>
          <w:szCs w:val="22"/>
        </w:rPr>
        <w:t>applicants</w:t>
      </w:r>
      <w:r w:rsidR="00B0498B">
        <w:rPr>
          <w:szCs w:val="22"/>
        </w:rPr>
        <w:t xml:space="preserve"> that </w:t>
      </w:r>
      <w:r w:rsidR="00FA1519">
        <w:rPr>
          <w:szCs w:val="22"/>
        </w:rPr>
        <w:t xml:space="preserve">only the underlying transmission providing access to distance learning, video conferencing and interactive television are eligible, and that </w:t>
      </w:r>
      <w:r w:rsidR="00B0498B">
        <w:rPr>
          <w:szCs w:val="22"/>
        </w:rPr>
        <w:t xml:space="preserve">all of the components that have been ineligible in prior years </w:t>
      </w:r>
      <w:r w:rsidR="009B75F3">
        <w:rPr>
          <w:szCs w:val="22"/>
        </w:rPr>
        <w:t>remain</w:t>
      </w:r>
      <w:r w:rsidR="00B0498B">
        <w:rPr>
          <w:szCs w:val="22"/>
        </w:rPr>
        <w:t xml:space="preserve"> ineligible including non-telecommunications </w:t>
      </w:r>
      <w:r w:rsidR="009B75F3">
        <w:rPr>
          <w:szCs w:val="22"/>
        </w:rPr>
        <w:t>components</w:t>
      </w:r>
      <w:r w:rsidR="00B0498B">
        <w:rPr>
          <w:szCs w:val="22"/>
        </w:rPr>
        <w:t xml:space="preserve"> such as scheduling services, services for creation, maintenance and storage of content, </w:t>
      </w:r>
      <w:r w:rsidR="009B75F3">
        <w:rPr>
          <w:szCs w:val="22"/>
        </w:rPr>
        <w:t>and</w:t>
      </w:r>
      <w:r w:rsidR="00B0498B">
        <w:rPr>
          <w:szCs w:val="22"/>
        </w:rPr>
        <w:t xml:space="preserve"> charges for distance learning or video conferencing utilities such as web meetings or</w:t>
      </w:r>
      <w:r w:rsidR="00CE031F">
        <w:rPr>
          <w:szCs w:val="22"/>
        </w:rPr>
        <w:t xml:space="preserve"> online collaboration solutions</w:t>
      </w:r>
      <w:r w:rsidR="00727A26">
        <w:rPr>
          <w:szCs w:val="22"/>
        </w:rPr>
        <w:t>.</w:t>
      </w:r>
      <w:r w:rsidR="00CE031F">
        <w:rPr>
          <w:rStyle w:val="FootnoteReference"/>
          <w:szCs w:val="22"/>
        </w:rPr>
        <w:footnoteReference w:id="29"/>
      </w:r>
      <w:r w:rsidR="00CE031F">
        <w:rPr>
          <w:szCs w:val="22"/>
        </w:rPr>
        <w:t xml:space="preserve">  </w:t>
      </w:r>
    </w:p>
    <w:p w14:paraId="2AD738AA" w14:textId="77777777" w:rsidR="00471E69" w:rsidRDefault="00471E69">
      <w:pPr>
        <w:pStyle w:val="Heading3"/>
      </w:pPr>
      <w:r>
        <w:t xml:space="preserve">Category Two </w:t>
      </w:r>
    </w:p>
    <w:p w14:paraId="1DA59306" w14:textId="51E6F531" w:rsidR="001836D3" w:rsidRPr="001836D3" w:rsidRDefault="00EE5C97">
      <w:pPr>
        <w:pStyle w:val="ParaNum"/>
        <w:widowControl/>
        <w:numPr>
          <w:ilvl w:val="0"/>
          <w:numId w:val="13"/>
        </w:numPr>
        <w:rPr>
          <w:szCs w:val="22"/>
        </w:rPr>
      </w:pPr>
      <w:r>
        <w:t xml:space="preserve">The 2015 ESL reflects the Commission’s determination </w:t>
      </w:r>
      <w:r w:rsidR="00B84001">
        <w:t xml:space="preserve">in the </w:t>
      </w:r>
      <w:r w:rsidR="00B84001" w:rsidRPr="00285CF7">
        <w:rPr>
          <w:i/>
        </w:rPr>
        <w:t xml:space="preserve">E-rate Modernization </w:t>
      </w:r>
      <w:r w:rsidRPr="00285CF7">
        <w:rPr>
          <w:i/>
        </w:rPr>
        <w:t>O</w:t>
      </w:r>
      <w:r>
        <w:rPr>
          <w:i/>
        </w:rPr>
        <w:t>r</w:t>
      </w:r>
      <w:r w:rsidRPr="00285CF7">
        <w:rPr>
          <w:i/>
        </w:rPr>
        <w:t>de</w:t>
      </w:r>
      <w:r>
        <w:rPr>
          <w:i/>
        </w:rPr>
        <w:t xml:space="preserve">r </w:t>
      </w:r>
      <w:r>
        <w:t>that Category Two support should be limited to</w:t>
      </w:r>
      <w:r w:rsidR="00B84001">
        <w:t xml:space="preserve"> </w:t>
      </w:r>
      <w:r w:rsidR="00471E69">
        <w:rPr>
          <w:snapToGrid w:val="0"/>
        </w:rPr>
        <w:t>LAN/WLAN (local area networks/wireless local area networks)-focused</w:t>
      </w:r>
      <w:r w:rsidR="00471E69">
        <w:rPr>
          <w:rFonts w:eastAsia="Calibri"/>
          <w:bCs/>
          <w:szCs w:val="22"/>
        </w:rPr>
        <w:t xml:space="preserve"> components (</w:t>
      </w:r>
      <w:r w:rsidR="00551BAE">
        <w:rPr>
          <w:rFonts w:eastAsia="Calibri"/>
          <w:bCs/>
          <w:szCs w:val="22"/>
        </w:rPr>
        <w:t>called “</w:t>
      </w:r>
      <w:r w:rsidR="00471E69">
        <w:rPr>
          <w:rFonts w:eastAsia="Calibri"/>
          <w:bCs/>
          <w:szCs w:val="22"/>
        </w:rPr>
        <w:t>broadband internal connections components</w:t>
      </w:r>
      <w:r w:rsidR="00551BAE">
        <w:rPr>
          <w:rFonts w:eastAsia="Calibri"/>
          <w:bCs/>
          <w:szCs w:val="22"/>
        </w:rPr>
        <w:t>” on the ESL</w:t>
      </w:r>
      <w:r w:rsidR="00471E69">
        <w:rPr>
          <w:rFonts w:eastAsia="Calibri"/>
          <w:bCs/>
          <w:szCs w:val="22"/>
        </w:rPr>
        <w:t>), basic maintenance of eligible broadband internal connections components, and managed internal broadband services</w:t>
      </w:r>
      <w:r w:rsidR="00471E69">
        <w:rPr>
          <w:snapToGrid w:val="0"/>
        </w:rPr>
        <w:t xml:space="preserve">.  The </w:t>
      </w:r>
      <w:r w:rsidR="00306D00">
        <w:rPr>
          <w:snapToGrid w:val="0"/>
        </w:rPr>
        <w:t xml:space="preserve">eligible </w:t>
      </w:r>
      <w:r w:rsidR="00471E69">
        <w:rPr>
          <w:snapToGrid w:val="0"/>
        </w:rPr>
        <w:t>broadband internal connections components</w:t>
      </w:r>
      <w:r w:rsidR="00551BAE">
        <w:rPr>
          <w:snapToGrid w:val="0"/>
        </w:rPr>
        <w:t xml:space="preserve"> are</w:t>
      </w:r>
      <w:r w:rsidR="00274586">
        <w:rPr>
          <w:snapToGrid w:val="0"/>
        </w:rPr>
        <w:t>:</w:t>
      </w:r>
      <w:r w:rsidR="00CF3E14" w:rsidRPr="00CF3E14">
        <w:rPr>
          <w:rStyle w:val="FootnoteReference"/>
          <w:bCs/>
          <w:szCs w:val="22"/>
        </w:rPr>
        <w:t xml:space="preserve"> </w:t>
      </w:r>
      <w:r w:rsidR="00CF3E14">
        <w:rPr>
          <w:rStyle w:val="FootnoteReference"/>
          <w:bCs/>
          <w:szCs w:val="22"/>
        </w:rPr>
        <w:footnoteReference w:id="30"/>
      </w:r>
      <w:r w:rsidR="00274586">
        <w:rPr>
          <w:snapToGrid w:val="0"/>
        </w:rPr>
        <w:t xml:space="preserve"> </w:t>
      </w:r>
      <w:r w:rsidR="00551BAE">
        <w:rPr>
          <w:snapToGrid w:val="0"/>
        </w:rPr>
        <w:t xml:space="preserve"> </w:t>
      </w:r>
      <w:r w:rsidR="00CF3E14">
        <w:rPr>
          <w:snapToGrid w:val="0"/>
        </w:rPr>
        <w:t xml:space="preserve">routers, switches, wireless </w:t>
      </w:r>
      <w:r w:rsidR="00551BAE">
        <w:rPr>
          <w:snapToGrid w:val="0"/>
        </w:rPr>
        <w:t>a</w:t>
      </w:r>
      <w:r w:rsidR="00471E69" w:rsidRPr="006410C1">
        <w:rPr>
          <w:szCs w:val="22"/>
        </w:rPr>
        <w:t>ccess points</w:t>
      </w:r>
      <w:r w:rsidR="00471E69">
        <w:rPr>
          <w:szCs w:val="22"/>
        </w:rPr>
        <w:t>;</w:t>
      </w:r>
      <w:r w:rsidR="00CF3E14">
        <w:rPr>
          <w:rStyle w:val="FootnoteReference"/>
          <w:szCs w:val="22"/>
        </w:rPr>
        <w:footnoteReference w:id="31"/>
      </w:r>
      <w:r w:rsidR="00471E69">
        <w:rPr>
          <w:szCs w:val="22"/>
        </w:rPr>
        <w:t xml:space="preserve"> </w:t>
      </w:r>
      <w:r w:rsidR="00CF3E14">
        <w:rPr>
          <w:szCs w:val="22"/>
        </w:rPr>
        <w:t xml:space="preserve">antennas, </w:t>
      </w:r>
      <w:r w:rsidR="00471E69">
        <w:rPr>
          <w:szCs w:val="22"/>
        </w:rPr>
        <w:t>c</w:t>
      </w:r>
      <w:r w:rsidR="00471E69" w:rsidRPr="006410C1">
        <w:rPr>
          <w:szCs w:val="22"/>
        </w:rPr>
        <w:t xml:space="preserve">abling, connectors, and related components </w:t>
      </w:r>
      <w:r w:rsidR="00471E69">
        <w:rPr>
          <w:szCs w:val="22"/>
        </w:rPr>
        <w:t xml:space="preserve">used for internal broadband connections; </w:t>
      </w:r>
      <w:r w:rsidR="00CF3E14">
        <w:rPr>
          <w:szCs w:val="22"/>
        </w:rPr>
        <w:t xml:space="preserve">racks; wireless controller systems; firewall services and </w:t>
      </w:r>
      <w:r w:rsidR="003F0F05">
        <w:rPr>
          <w:szCs w:val="22"/>
        </w:rPr>
        <w:t>components</w:t>
      </w:r>
      <w:r w:rsidR="00CF3E14">
        <w:rPr>
          <w:szCs w:val="22"/>
        </w:rPr>
        <w:t>;</w:t>
      </w:r>
      <w:r w:rsidR="00CF3E14">
        <w:rPr>
          <w:rStyle w:val="FootnoteReference"/>
          <w:szCs w:val="22"/>
        </w:rPr>
        <w:footnoteReference w:id="32"/>
      </w:r>
      <w:r w:rsidR="00CF3E14">
        <w:rPr>
          <w:szCs w:val="22"/>
        </w:rPr>
        <w:t xml:space="preserve"> </w:t>
      </w:r>
      <w:r w:rsidR="00471E69">
        <w:rPr>
          <w:szCs w:val="22"/>
        </w:rPr>
        <w:t>uninterruptible power supply</w:t>
      </w:r>
      <w:r w:rsidR="00D5789C">
        <w:rPr>
          <w:szCs w:val="22"/>
        </w:rPr>
        <w:t>/battery backup</w:t>
      </w:r>
      <w:r w:rsidR="00471E69">
        <w:rPr>
          <w:szCs w:val="22"/>
        </w:rPr>
        <w:t>; s</w:t>
      </w:r>
      <w:r w:rsidR="00471E69" w:rsidRPr="006410C1">
        <w:rPr>
          <w:szCs w:val="22"/>
        </w:rPr>
        <w:t xml:space="preserve">oftware </w:t>
      </w:r>
      <w:r w:rsidR="00CF3E14">
        <w:rPr>
          <w:szCs w:val="22"/>
        </w:rPr>
        <w:t>supporting each of these components</w:t>
      </w:r>
      <w:r w:rsidR="00CF3E14">
        <w:rPr>
          <w:bCs/>
          <w:szCs w:val="22"/>
        </w:rPr>
        <w:t xml:space="preserve">; and </w:t>
      </w:r>
      <w:r w:rsidR="00CF3E14">
        <w:rPr>
          <w:szCs w:val="22"/>
        </w:rPr>
        <w:t>caching.</w:t>
      </w:r>
      <w:r w:rsidR="00551BAE" w:rsidRPr="00274586">
        <w:rPr>
          <w:bCs/>
          <w:szCs w:val="22"/>
        </w:rPr>
        <w:t xml:space="preserve">  </w:t>
      </w:r>
      <w:r w:rsidR="00355C78" w:rsidDel="00355C78">
        <w:rPr>
          <w:rStyle w:val="FootnoteReference"/>
          <w:bCs/>
          <w:szCs w:val="22"/>
        </w:rPr>
        <w:t xml:space="preserve"> </w:t>
      </w:r>
      <w:r w:rsidR="00355C78">
        <w:rPr>
          <w:bCs/>
          <w:szCs w:val="22"/>
        </w:rPr>
        <w:t>T</w:t>
      </w:r>
      <w:r w:rsidR="00274586" w:rsidRPr="00274586">
        <w:rPr>
          <w:bCs/>
          <w:szCs w:val="22"/>
        </w:rPr>
        <w:t xml:space="preserve">he components </w:t>
      </w:r>
      <w:r w:rsidR="008B34F9">
        <w:rPr>
          <w:bCs/>
          <w:szCs w:val="22"/>
        </w:rPr>
        <w:t xml:space="preserve">that </w:t>
      </w:r>
      <w:r w:rsidR="00306D00">
        <w:rPr>
          <w:bCs/>
          <w:szCs w:val="22"/>
        </w:rPr>
        <w:t>are no longer eligible for E-rate support</w:t>
      </w:r>
      <w:r w:rsidR="008B34F9">
        <w:rPr>
          <w:bCs/>
          <w:szCs w:val="22"/>
        </w:rPr>
        <w:t xml:space="preserve"> include </w:t>
      </w:r>
      <w:r w:rsidR="0031521A">
        <w:rPr>
          <w:bCs/>
          <w:szCs w:val="22"/>
        </w:rPr>
        <w:t>all components listed in the entr</w:t>
      </w:r>
      <w:r w:rsidR="00566562">
        <w:rPr>
          <w:bCs/>
          <w:szCs w:val="22"/>
        </w:rPr>
        <w:t>ies</w:t>
      </w:r>
      <w:r w:rsidR="0031521A">
        <w:rPr>
          <w:bCs/>
          <w:szCs w:val="22"/>
        </w:rPr>
        <w:t xml:space="preserve"> for </w:t>
      </w:r>
      <w:r w:rsidR="008B34F9">
        <w:rPr>
          <w:szCs w:val="22"/>
        </w:rPr>
        <w:t>C</w:t>
      </w:r>
      <w:r w:rsidR="00A60AE6">
        <w:rPr>
          <w:szCs w:val="22"/>
        </w:rPr>
        <w:t>ircuit C</w:t>
      </w:r>
      <w:r w:rsidR="0010243D">
        <w:rPr>
          <w:szCs w:val="22"/>
        </w:rPr>
        <w:t>ards/Components,</w:t>
      </w:r>
      <w:r w:rsidR="008B34F9">
        <w:rPr>
          <w:szCs w:val="22"/>
        </w:rPr>
        <w:t xml:space="preserve"> </w:t>
      </w:r>
      <w:r w:rsidR="00CF3E14">
        <w:rPr>
          <w:szCs w:val="22"/>
        </w:rPr>
        <w:t>Storage Devices, Telephone Components, and, V</w:t>
      </w:r>
      <w:r w:rsidR="00CF3E14" w:rsidRPr="00274586">
        <w:rPr>
          <w:szCs w:val="22"/>
        </w:rPr>
        <w:t xml:space="preserve">ideo </w:t>
      </w:r>
      <w:r w:rsidR="00CF3E14">
        <w:rPr>
          <w:szCs w:val="22"/>
        </w:rPr>
        <w:t>Components.</w:t>
      </w:r>
      <w:r w:rsidR="00566562">
        <w:rPr>
          <w:rStyle w:val="FootnoteReference"/>
          <w:szCs w:val="22"/>
        </w:rPr>
        <w:footnoteReference w:id="33"/>
      </w:r>
      <w:r w:rsidR="00CF3E14">
        <w:rPr>
          <w:szCs w:val="22"/>
        </w:rPr>
        <w:t xml:space="preserve">  V</w:t>
      </w:r>
      <w:r w:rsidR="00A60AE6">
        <w:rPr>
          <w:szCs w:val="22"/>
        </w:rPr>
        <w:t>oice over IP and video IP components</w:t>
      </w:r>
      <w:r w:rsidR="0031521A">
        <w:rPr>
          <w:szCs w:val="22"/>
        </w:rPr>
        <w:t xml:space="preserve"> </w:t>
      </w:r>
      <w:r w:rsidR="00CF3E14">
        <w:rPr>
          <w:szCs w:val="22"/>
        </w:rPr>
        <w:t>are also ineligible.</w:t>
      </w:r>
      <w:r w:rsidR="00CF3E14">
        <w:rPr>
          <w:rStyle w:val="FootnoteReference"/>
          <w:szCs w:val="22"/>
        </w:rPr>
        <w:footnoteReference w:id="34"/>
      </w:r>
      <w:r w:rsidR="00CF3E14">
        <w:rPr>
          <w:szCs w:val="22"/>
        </w:rPr>
        <w:t xml:space="preserve">  A</w:t>
      </w:r>
      <w:r w:rsidR="0031521A">
        <w:rPr>
          <w:szCs w:val="22"/>
        </w:rPr>
        <w:t xml:space="preserve">ll components that had been in </w:t>
      </w:r>
      <w:r w:rsidR="0010243D">
        <w:rPr>
          <w:szCs w:val="22"/>
        </w:rPr>
        <w:t xml:space="preserve">the entry </w:t>
      </w:r>
      <w:r w:rsidR="00A60AE6">
        <w:rPr>
          <w:szCs w:val="22"/>
        </w:rPr>
        <w:t xml:space="preserve">Data Protection </w:t>
      </w:r>
      <w:r w:rsidR="00355C78">
        <w:rPr>
          <w:szCs w:val="22"/>
        </w:rPr>
        <w:t xml:space="preserve">except for firewall and </w:t>
      </w:r>
      <w:r w:rsidR="00355C78" w:rsidRPr="0087637A">
        <w:rPr>
          <w:kern w:val="0"/>
        </w:rPr>
        <w:t>uninterruptible power supply/battery back-up</w:t>
      </w:r>
      <w:r w:rsidR="00CF3E14">
        <w:rPr>
          <w:kern w:val="0"/>
        </w:rPr>
        <w:t xml:space="preserve"> are ineligible.</w:t>
      </w:r>
      <w:r w:rsidR="00566562">
        <w:rPr>
          <w:rStyle w:val="FootnoteReference"/>
          <w:kern w:val="0"/>
        </w:rPr>
        <w:footnoteReference w:id="35"/>
      </w:r>
      <w:r w:rsidR="00A60AE6">
        <w:rPr>
          <w:szCs w:val="22"/>
        </w:rPr>
        <w:t xml:space="preserve"> </w:t>
      </w:r>
      <w:r w:rsidR="00CF3E14">
        <w:rPr>
          <w:szCs w:val="22"/>
        </w:rPr>
        <w:t xml:space="preserve"> A</w:t>
      </w:r>
      <w:r w:rsidR="0031521A">
        <w:rPr>
          <w:szCs w:val="22"/>
        </w:rPr>
        <w:t>ll components</w:t>
      </w:r>
      <w:r w:rsidR="0010243D">
        <w:rPr>
          <w:szCs w:val="22"/>
        </w:rPr>
        <w:t xml:space="preserve"> that had been</w:t>
      </w:r>
      <w:r w:rsidR="0031521A">
        <w:rPr>
          <w:szCs w:val="22"/>
        </w:rPr>
        <w:t xml:space="preserve"> listed in the entry for </w:t>
      </w:r>
      <w:r w:rsidR="008B34F9">
        <w:rPr>
          <w:szCs w:val="22"/>
        </w:rPr>
        <w:t>Interfaces, G</w:t>
      </w:r>
      <w:r w:rsidR="00D17593">
        <w:rPr>
          <w:szCs w:val="22"/>
        </w:rPr>
        <w:t xml:space="preserve">ateways, </w:t>
      </w:r>
      <w:r w:rsidR="00A60AE6">
        <w:rPr>
          <w:szCs w:val="22"/>
        </w:rPr>
        <w:t>Antennas</w:t>
      </w:r>
      <w:r w:rsidR="0031521A">
        <w:rPr>
          <w:szCs w:val="22"/>
        </w:rPr>
        <w:t xml:space="preserve"> </w:t>
      </w:r>
      <w:r w:rsidR="00CF3E14">
        <w:rPr>
          <w:szCs w:val="22"/>
        </w:rPr>
        <w:t xml:space="preserve">are ineligible </w:t>
      </w:r>
      <w:r w:rsidR="0010243D">
        <w:rPr>
          <w:szCs w:val="22"/>
        </w:rPr>
        <w:t>except for</w:t>
      </w:r>
      <w:r w:rsidR="0031521A">
        <w:rPr>
          <w:szCs w:val="22"/>
        </w:rPr>
        <w:t xml:space="preserve"> antennas </w:t>
      </w:r>
      <w:r w:rsidR="0010243D">
        <w:rPr>
          <w:szCs w:val="22"/>
        </w:rPr>
        <w:t xml:space="preserve">that are </w:t>
      </w:r>
      <w:r w:rsidR="0031521A">
        <w:rPr>
          <w:szCs w:val="22"/>
        </w:rPr>
        <w:t>integral to LAN or WLAN internal broadband networks</w:t>
      </w:r>
      <w:r w:rsidR="00CF3E14">
        <w:rPr>
          <w:szCs w:val="22"/>
        </w:rPr>
        <w:t>.</w:t>
      </w:r>
      <w:r w:rsidR="00566562">
        <w:rPr>
          <w:rStyle w:val="FootnoteReference"/>
          <w:szCs w:val="22"/>
        </w:rPr>
        <w:footnoteReference w:id="36"/>
      </w:r>
      <w:r w:rsidR="00A60AE6">
        <w:rPr>
          <w:szCs w:val="22"/>
        </w:rPr>
        <w:t xml:space="preserve"> </w:t>
      </w:r>
      <w:r w:rsidR="00CF3E14">
        <w:rPr>
          <w:szCs w:val="22"/>
        </w:rPr>
        <w:t xml:space="preserve"> A</w:t>
      </w:r>
      <w:r w:rsidR="0031521A">
        <w:rPr>
          <w:szCs w:val="22"/>
        </w:rPr>
        <w:t xml:space="preserve">ll components </w:t>
      </w:r>
      <w:r w:rsidR="0010243D">
        <w:rPr>
          <w:szCs w:val="22"/>
        </w:rPr>
        <w:t xml:space="preserve">that had been </w:t>
      </w:r>
      <w:r w:rsidR="0031521A">
        <w:rPr>
          <w:szCs w:val="22"/>
        </w:rPr>
        <w:t xml:space="preserve">listed in the entry for </w:t>
      </w:r>
      <w:r w:rsidR="00A60AE6">
        <w:rPr>
          <w:szCs w:val="22"/>
        </w:rPr>
        <w:t>Servers</w:t>
      </w:r>
      <w:r w:rsidR="00355C78">
        <w:rPr>
          <w:szCs w:val="22"/>
        </w:rPr>
        <w:t xml:space="preserve"> </w:t>
      </w:r>
      <w:r w:rsidR="0010243D">
        <w:rPr>
          <w:szCs w:val="22"/>
        </w:rPr>
        <w:t xml:space="preserve">are ineligible </w:t>
      </w:r>
      <w:r w:rsidR="0031521A">
        <w:rPr>
          <w:szCs w:val="22"/>
        </w:rPr>
        <w:t xml:space="preserve">except those </w:t>
      </w:r>
      <w:r w:rsidR="00CF3E14">
        <w:rPr>
          <w:szCs w:val="22"/>
        </w:rPr>
        <w:t xml:space="preserve">servers </w:t>
      </w:r>
      <w:r w:rsidR="0031521A">
        <w:rPr>
          <w:szCs w:val="22"/>
        </w:rPr>
        <w:t xml:space="preserve">necessary for </w:t>
      </w:r>
      <w:r w:rsidR="00CF3E14">
        <w:rPr>
          <w:szCs w:val="22"/>
        </w:rPr>
        <w:t xml:space="preserve">the provision of </w:t>
      </w:r>
      <w:r w:rsidR="0031521A">
        <w:rPr>
          <w:szCs w:val="22"/>
        </w:rPr>
        <w:t>caching</w:t>
      </w:r>
      <w:r w:rsidR="00CF3E14">
        <w:rPr>
          <w:szCs w:val="22"/>
        </w:rPr>
        <w:t>.</w:t>
      </w:r>
      <w:r w:rsidR="00355C78">
        <w:rPr>
          <w:rStyle w:val="FootnoteReference"/>
          <w:bCs/>
          <w:szCs w:val="22"/>
        </w:rPr>
        <w:footnoteReference w:id="37"/>
      </w:r>
      <w:r w:rsidR="00A60AE6">
        <w:rPr>
          <w:szCs w:val="22"/>
        </w:rPr>
        <w:t xml:space="preserve"> </w:t>
      </w:r>
      <w:r w:rsidR="00CF3E14">
        <w:rPr>
          <w:szCs w:val="22"/>
        </w:rPr>
        <w:t xml:space="preserve"> A</w:t>
      </w:r>
      <w:r w:rsidR="0031521A">
        <w:rPr>
          <w:szCs w:val="22"/>
        </w:rPr>
        <w:t>ll components that had been listed in “</w:t>
      </w:r>
      <w:r w:rsidR="00A60AE6">
        <w:rPr>
          <w:szCs w:val="22"/>
        </w:rPr>
        <w:t>Software</w:t>
      </w:r>
      <w:r w:rsidR="0031521A">
        <w:rPr>
          <w:szCs w:val="22"/>
        </w:rPr>
        <w:t>”</w:t>
      </w:r>
      <w:r w:rsidR="00355C78">
        <w:rPr>
          <w:szCs w:val="22"/>
        </w:rPr>
        <w:t xml:space="preserve"> </w:t>
      </w:r>
      <w:r w:rsidR="00CF3E14">
        <w:rPr>
          <w:szCs w:val="22"/>
        </w:rPr>
        <w:t xml:space="preserve">are ineligible </w:t>
      </w:r>
      <w:r w:rsidR="00355C78" w:rsidRPr="0087637A">
        <w:rPr>
          <w:kern w:val="0"/>
        </w:rPr>
        <w:t xml:space="preserve">except for software </w:t>
      </w:r>
      <w:r w:rsidR="0031521A">
        <w:rPr>
          <w:kern w:val="0"/>
        </w:rPr>
        <w:t xml:space="preserve">that </w:t>
      </w:r>
      <w:r w:rsidR="00355C78" w:rsidRPr="0087637A">
        <w:rPr>
          <w:kern w:val="0"/>
        </w:rPr>
        <w:t>suppor</w:t>
      </w:r>
      <w:r w:rsidR="0031521A">
        <w:rPr>
          <w:kern w:val="0"/>
        </w:rPr>
        <w:t>ts</w:t>
      </w:r>
      <w:r w:rsidR="00355C78" w:rsidRPr="0087637A">
        <w:rPr>
          <w:kern w:val="0"/>
        </w:rPr>
        <w:t xml:space="preserve"> </w:t>
      </w:r>
      <w:r w:rsidR="00CF3E14">
        <w:rPr>
          <w:kern w:val="0"/>
        </w:rPr>
        <w:t xml:space="preserve">each of </w:t>
      </w:r>
      <w:r w:rsidR="0031521A">
        <w:rPr>
          <w:kern w:val="0"/>
        </w:rPr>
        <w:t xml:space="preserve">the eligible </w:t>
      </w:r>
      <w:r w:rsidR="00CF3E14">
        <w:rPr>
          <w:kern w:val="0"/>
        </w:rPr>
        <w:t xml:space="preserve">broadband internal connections </w:t>
      </w:r>
      <w:r w:rsidR="0031521A">
        <w:rPr>
          <w:kern w:val="0"/>
        </w:rPr>
        <w:t xml:space="preserve">components </w:t>
      </w:r>
      <w:r w:rsidR="00224012">
        <w:rPr>
          <w:kern w:val="0"/>
        </w:rPr>
        <w:t xml:space="preserve">identified </w:t>
      </w:r>
      <w:r w:rsidR="00CF3E14">
        <w:rPr>
          <w:kern w:val="0"/>
        </w:rPr>
        <w:t>by the Commission</w:t>
      </w:r>
      <w:r w:rsidR="00224012">
        <w:rPr>
          <w:kern w:val="0"/>
        </w:rPr>
        <w:t xml:space="preserve"> as eligible for E-rate support</w:t>
      </w:r>
      <w:r w:rsidR="00274586" w:rsidRPr="00274586">
        <w:rPr>
          <w:szCs w:val="22"/>
        </w:rPr>
        <w:t>.</w:t>
      </w:r>
      <w:r w:rsidR="00274586">
        <w:rPr>
          <w:rStyle w:val="FootnoteReference"/>
          <w:szCs w:val="22"/>
        </w:rPr>
        <w:footnoteReference w:id="38"/>
      </w:r>
      <w:r w:rsidR="00D17593">
        <w:rPr>
          <w:szCs w:val="22"/>
        </w:rPr>
        <w:t xml:space="preserve">  </w:t>
      </w:r>
      <w:r w:rsidR="0010243D">
        <w:rPr>
          <w:szCs w:val="22"/>
        </w:rPr>
        <w:t>T</w:t>
      </w:r>
      <w:r w:rsidR="00D17593">
        <w:rPr>
          <w:szCs w:val="22"/>
        </w:rPr>
        <w:t xml:space="preserve">he </w:t>
      </w:r>
      <w:r w:rsidR="00306D00">
        <w:rPr>
          <w:szCs w:val="22"/>
        </w:rPr>
        <w:t xml:space="preserve">2015 </w:t>
      </w:r>
      <w:r w:rsidR="00D17593">
        <w:rPr>
          <w:szCs w:val="22"/>
        </w:rPr>
        <w:t xml:space="preserve">ESL does not alter the eligibility of basic maintenance, </w:t>
      </w:r>
      <w:r w:rsidR="0010243D">
        <w:rPr>
          <w:szCs w:val="22"/>
        </w:rPr>
        <w:t xml:space="preserve">but </w:t>
      </w:r>
      <w:r w:rsidR="00D17593">
        <w:rPr>
          <w:szCs w:val="22"/>
        </w:rPr>
        <w:t xml:space="preserve">adds managed internal broadband services to Category Two </w:t>
      </w:r>
      <w:r w:rsidR="00D17593">
        <w:rPr>
          <w:snapToGrid w:val="0"/>
        </w:rPr>
        <w:t>to allow applicants to seek services provided by a third party for the operation, management, and monitoring of eligible broadband internal connections components.</w:t>
      </w:r>
      <w:r w:rsidR="00B84001">
        <w:rPr>
          <w:rStyle w:val="FootnoteReference"/>
          <w:snapToGrid w:val="0"/>
        </w:rPr>
        <w:footnoteReference w:id="39"/>
      </w:r>
      <w:r w:rsidR="00D17593">
        <w:rPr>
          <w:snapToGrid w:val="0"/>
        </w:rPr>
        <w:t xml:space="preserve">  </w:t>
      </w:r>
    </w:p>
    <w:p w14:paraId="740608AB" w14:textId="0DFD18C5" w:rsidR="00624552" w:rsidRDefault="007C5ACC">
      <w:pPr>
        <w:pStyle w:val="ParaNum"/>
        <w:widowControl/>
        <w:numPr>
          <w:ilvl w:val="0"/>
          <w:numId w:val="13"/>
        </w:numPr>
        <w:rPr>
          <w:szCs w:val="22"/>
        </w:rPr>
      </w:pPr>
      <w:r>
        <w:t>The Commission also found that caching should be eligible as a Category Two service and delegated authority to the Bureau to define caching for purposes of E-rate support.</w:t>
      </w:r>
      <w:r>
        <w:rPr>
          <w:rStyle w:val="FootnoteReference"/>
        </w:rPr>
        <w:footnoteReference w:id="40"/>
      </w:r>
      <w:r>
        <w:t xml:space="preserve">  </w:t>
      </w:r>
      <w:r w:rsidR="00224012">
        <w:t>Upon consideration of the record, we</w:t>
      </w:r>
      <w:r>
        <w:t xml:space="preserve"> adopt a definition of caching for </w:t>
      </w:r>
      <w:r w:rsidR="00B84001">
        <w:t>funding year 2015</w:t>
      </w:r>
      <w:r>
        <w:t xml:space="preserve">.  </w:t>
      </w:r>
      <w:r w:rsidR="00B84001">
        <w:t xml:space="preserve">In response to comments, we </w:t>
      </w:r>
      <w:r w:rsidR="00BB31A6">
        <w:t xml:space="preserve">also clarify the </w:t>
      </w:r>
      <w:r w:rsidR="00224012">
        <w:t xml:space="preserve">extent to which </w:t>
      </w:r>
      <w:r w:rsidR="00DD3843">
        <w:t xml:space="preserve">antennas </w:t>
      </w:r>
      <w:r w:rsidR="00224012">
        <w:t xml:space="preserve">are eligible for E-rate support.  We also clarify </w:t>
      </w:r>
      <w:r w:rsidR="00951CFB">
        <w:t>the eligibility for</w:t>
      </w:r>
      <w:r w:rsidR="00224012">
        <w:t xml:space="preserve"> </w:t>
      </w:r>
      <w:r w:rsidR="00484B6A">
        <w:t>installation performed by a vendor that is separate from the vendor providing an internal connection</w:t>
      </w:r>
      <w:r w:rsidR="00DD3843">
        <w:t xml:space="preserve">.  Finally, we </w:t>
      </w:r>
      <w:r w:rsidR="00045893">
        <w:t xml:space="preserve">reject a proposal from commenters </w:t>
      </w:r>
      <w:r w:rsidR="008643B7">
        <w:t xml:space="preserve">that we extend </w:t>
      </w:r>
      <w:r w:rsidR="00045893">
        <w:t>the maximum length of time for</w:t>
      </w:r>
      <w:r w:rsidR="008643B7">
        <w:t xml:space="preserve"> manufacturers</w:t>
      </w:r>
      <w:r w:rsidR="00045893">
        <w:t>’</w:t>
      </w:r>
      <w:r w:rsidR="008643B7">
        <w:t xml:space="preserve"> warranties</w:t>
      </w:r>
      <w:r w:rsidR="00045893">
        <w:t xml:space="preserve"> from three years to five years</w:t>
      </w:r>
      <w:r w:rsidR="008643B7">
        <w:t>.</w:t>
      </w:r>
    </w:p>
    <w:p w14:paraId="268790DE" w14:textId="77777777" w:rsidR="00624552" w:rsidRPr="00BB31A6" w:rsidRDefault="00BB31A6" w:rsidP="00BB31A6">
      <w:pPr>
        <w:pStyle w:val="Heading4"/>
      </w:pPr>
      <w:r>
        <w:t>Caching</w:t>
      </w:r>
      <w:r w:rsidR="009577D9">
        <w:t xml:space="preserve"> </w:t>
      </w:r>
    </w:p>
    <w:p w14:paraId="181EC2BB" w14:textId="7D873670" w:rsidR="00660CD5" w:rsidRDefault="00045893" w:rsidP="00660CD5">
      <w:pPr>
        <w:pStyle w:val="ParaNum"/>
        <w:widowControl/>
        <w:numPr>
          <w:ilvl w:val="0"/>
          <w:numId w:val="13"/>
        </w:numPr>
        <w:rPr>
          <w:szCs w:val="22"/>
        </w:rPr>
      </w:pPr>
      <w:r>
        <w:t>Upon consideration of the</w:t>
      </w:r>
      <w:r w:rsidR="00A07EA2">
        <w:t xml:space="preserve"> record</w:t>
      </w:r>
      <w:r>
        <w:t xml:space="preserve">, </w:t>
      </w:r>
      <w:r w:rsidR="000006EB">
        <w:t xml:space="preserve">we </w:t>
      </w:r>
      <w:r w:rsidR="00DD3843">
        <w:t xml:space="preserve">adopt </w:t>
      </w:r>
      <w:r w:rsidR="00D85A79">
        <w:t xml:space="preserve">an </w:t>
      </w:r>
      <w:r w:rsidR="00061414">
        <w:t xml:space="preserve">ESL </w:t>
      </w:r>
      <w:r>
        <w:t>definition of caching</w:t>
      </w:r>
      <w:r w:rsidR="00A07EA2">
        <w:t xml:space="preserve"> </w:t>
      </w:r>
      <w:r w:rsidR="00DD3843">
        <w:t xml:space="preserve">that is </w:t>
      </w:r>
      <w:r w:rsidR="00D85A79">
        <w:t xml:space="preserve">based on previous ESL definitions </w:t>
      </w:r>
      <w:r w:rsidR="00566562">
        <w:t>of caching</w:t>
      </w:r>
      <w:r w:rsidR="00D26385">
        <w:t>.</w:t>
      </w:r>
      <w:r w:rsidR="00BF4EC1">
        <w:rPr>
          <w:rStyle w:val="FootnoteReference"/>
        </w:rPr>
        <w:footnoteReference w:id="41"/>
      </w:r>
      <w:r w:rsidR="0015429A">
        <w:t xml:space="preserve">  </w:t>
      </w:r>
      <w:r w:rsidR="00951CFB">
        <w:t>W</w:t>
      </w:r>
      <w:r w:rsidR="00D26385">
        <w:t>e define ca</w:t>
      </w:r>
      <w:r w:rsidR="00616DA3">
        <w:t>c</w:t>
      </w:r>
      <w:r w:rsidR="00D26385">
        <w:t>hing as “</w:t>
      </w:r>
      <w:r>
        <w:t>a method that stores recently accessed information.  Caching store</w:t>
      </w:r>
      <w:r w:rsidR="00E344F5">
        <w:t>s</w:t>
      </w:r>
      <w:r>
        <w:t xml:space="preserve"> information locally so that the information is accessible more quickly than if it must be transmitted across a network from a distan</w:t>
      </w:r>
      <w:r w:rsidR="00E344F5">
        <w:t>ce</w:t>
      </w:r>
      <w:r>
        <w:t>.”</w:t>
      </w:r>
      <w:r w:rsidR="00832D18">
        <w:rPr>
          <w:rStyle w:val="FootnoteReference"/>
        </w:rPr>
        <w:footnoteReference w:id="42"/>
      </w:r>
      <w:r>
        <w:t xml:space="preserve">  </w:t>
      </w:r>
      <w:r w:rsidR="00E344F5" w:rsidRPr="007925E3">
        <w:rPr>
          <w:szCs w:val="22"/>
        </w:rPr>
        <w:t xml:space="preserve">A caching service, or </w:t>
      </w:r>
      <w:r w:rsidR="00DD3843">
        <w:rPr>
          <w:szCs w:val="22"/>
        </w:rPr>
        <w:t xml:space="preserve">caching </w:t>
      </w:r>
      <w:r w:rsidR="00E344F5" w:rsidRPr="007925E3">
        <w:rPr>
          <w:szCs w:val="22"/>
        </w:rPr>
        <w:t>equipment or components</w:t>
      </w:r>
      <w:r w:rsidR="00CF3E14">
        <w:rPr>
          <w:szCs w:val="22"/>
        </w:rPr>
        <w:t>, including servers</w:t>
      </w:r>
      <w:r w:rsidR="00E344F5" w:rsidRPr="007925E3">
        <w:rPr>
          <w:szCs w:val="22"/>
        </w:rPr>
        <w:t xml:space="preserve"> that provide caching</w:t>
      </w:r>
      <w:r w:rsidR="00CF3E14">
        <w:rPr>
          <w:szCs w:val="22"/>
        </w:rPr>
        <w:t>,</w:t>
      </w:r>
      <w:r w:rsidR="00E344F5" w:rsidRPr="007925E3">
        <w:rPr>
          <w:szCs w:val="22"/>
        </w:rPr>
        <w:t xml:space="preserve"> are eligible for funding.</w:t>
      </w:r>
      <w:r w:rsidR="00E344F5">
        <w:rPr>
          <w:rStyle w:val="FootnoteReference"/>
          <w:szCs w:val="22"/>
        </w:rPr>
        <w:footnoteReference w:id="43"/>
      </w:r>
      <w:r w:rsidR="00E344F5">
        <w:rPr>
          <w:szCs w:val="22"/>
        </w:rPr>
        <w:t xml:space="preserve">  </w:t>
      </w:r>
      <w:r w:rsidR="00DD3843">
        <w:rPr>
          <w:szCs w:val="22"/>
        </w:rPr>
        <w:t xml:space="preserve">In the </w:t>
      </w:r>
      <w:r w:rsidR="00DD3843">
        <w:rPr>
          <w:i/>
          <w:szCs w:val="22"/>
        </w:rPr>
        <w:t xml:space="preserve">E-rate Modernization Order, </w:t>
      </w:r>
      <w:r w:rsidR="00DD3843">
        <w:rPr>
          <w:szCs w:val="22"/>
        </w:rPr>
        <w:t xml:space="preserve">the Commission </w:t>
      </w:r>
      <w:r w:rsidR="00224012">
        <w:rPr>
          <w:szCs w:val="22"/>
        </w:rPr>
        <w:t xml:space="preserve">recognized </w:t>
      </w:r>
      <w:r w:rsidR="00DD3843">
        <w:rPr>
          <w:szCs w:val="22"/>
        </w:rPr>
        <w:t>that caching can serve to optimize network resources and potentially result in more efficient use of E-rate funding.</w:t>
      </w:r>
      <w:r w:rsidR="00DD3843">
        <w:rPr>
          <w:rStyle w:val="FootnoteReference"/>
          <w:szCs w:val="22"/>
        </w:rPr>
        <w:footnoteReference w:id="44"/>
      </w:r>
      <w:r w:rsidR="00DD3843">
        <w:rPr>
          <w:szCs w:val="22"/>
        </w:rPr>
        <w:t xml:space="preserve">  Therefore, our objective in this proceeding is to define caching in a way that provides applicants with ample flexibility to purchase the caching services, technology or components that best optimizes their network resources and results in more efficient use of E-rate funds.  A few commenters provided </w:t>
      </w:r>
      <w:r w:rsidR="002B57AE">
        <w:t xml:space="preserve">recommendations </w:t>
      </w:r>
      <w:r w:rsidR="00BC0310">
        <w:t xml:space="preserve">for </w:t>
      </w:r>
      <w:r w:rsidR="00061414">
        <w:t xml:space="preserve">a </w:t>
      </w:r>
      <w:r w:rsidR="002B57AE">
        <w:t>caching</w:t>
      </w:r>
      <w:r w:rsidR="00BC0310">
        <w:t xml:space="preserve"> definition</w:t>
      </w:r>
      <w:r w:rsidR="001B3489">
        <w:t xml:space="preserve"> and on the breadth of services and equipment that should be supported as part of caching</w:t>
      </w:r>
      <w:r w:rsidR="00DD3843">
        <w:t>.</w:t>
      </w:r>
      <w:r w:rsidR="00DD3843">
        <w:rPr>
          <w:rStyle w:val="FootnoteReference"/>
        </w:rPr>
        <w:footnoteReference w:id="45"/>
      </w:r>
      <w:r w:rsidR="00DD3843">
        <w:t xml:space="preserve">  The definition we adopt today reflects the intent and character of the commenters’ recommendations while allowing applicants maximum flexibility to select the caching solution most appropriate for their individual needs.  </w:t>
      </w:r>
      <w:r w:rsidR="00BC0310">
        <w:t>T</w:t>
      </w:r>
      <w:r w:rsidR="002B57AE">
        <w:rPr>
          <w:szCs w:val="22"/>
        </w:rPr>
        <w:t xml:space="preserve">he </w:t>
      </w:r>
      <w:r w:rsidR="00BB31A6">
        <w:rPr>
          <w:szCs w:val="22"/>
        </w:rPr>
        <w:t>definition</w:t>
      </w:r>
      <w:r w:rsidR="002B57AE">
        <w:rPr>
          <w:szCs w:val="22"/>
        </w:rPr>
        <w:t xml:space="preserve"> of caching</w:t>
      </w:r>
      <w:r w:rsidR="00BC0310">
        <w:rPr>
          <w:szCs w:val="22"/>
        </w:rPr>
        <w:t xml:space="preserve"> </w:t>
      </w:r>
      <w:r w:rsidR="009A7C0E">
        <w:rPr>
          <w:szCs w:val="22"/>
        </w:rPr>
        <w:t xml:space="preserve">is listed in the </w:t>
      </w:r>
      <w:r w:rsidR="009A7C0E" w:rsidRPr="00061414">
        <w:rPr>
          <w:szCs w:val="22"/>
        </w:rPr>
        <w:t xml:space="preserve">2015 ESL </w:t>
      </w:r>
      <w:r w:rsidR="00BC0310">
        <w:rPr>
          <w:szCs w:val="22"/>
        </w:rPr>
        <w:t xml:space="preserve">in the </w:t>
      </w:r>
      <w:r w:rsidR="009A7C0E">
        <w:rPr>
          <w:szCs w:val="22"/>
        </w:rPr>
        <w:t>“notes” following the list of eligible internal broadband components</w:t>
      </w:r>
      <w:r w:rsidR="00BC0310">
        <w:rPr>
          <w:szCs w:val="22"/>
        </w:rPr>
        <w:t>.</w:t>
      </w:r>
      <w:r w:rsidR="00A07EA2">
        <w:rPr>
          <w:szCs w:val="22"/>
        </w:rPr>
        <w:t xml:space="preserve">  We remind applicants that in the </w:t>
      </w:r>
      <w:r w:rsidR="00A07EA2">
        <w:rPr>
          <w:i/>
          <w:szCs w:val="22"/>
        </w:rPr>
        <w:t xml:space="preserve">E-rate Modernization </w:t>
      </w:r>
      <w:r w:rsidR="00A07EA2" w:rsidRPr="00A07EA2">
        <w:rPr>
          <w:i/>
          <w:szCs w:val="22"/>
        </w:rPr>
        <w:t>Order</w:t>
      </w:r>
      <w:r w:rsidR="00A07EA2">
        <w:rPr>
          <w:szCs w:val="22"/>
        </w:rPr>
        <w:t xml:space="preserve">, </w:t>
      </w:r>
      <w:r w:rsidR="00A07EA2">
        <w:t xml:space="preserve">the Commission determined, as it did for the core components of broadband internal connections, </w:t>
      </w:r>
      <w:r w:rsidR="00A07EA2" w:rsidRPr="00100F31">
        <w:t xml:space="preserve">that equipment that combines caching functionality with other </w:t>
      </w:r>
      <w:r w:rsidR="006E6AE2">
        <w:t xml:space="preserve">eligible </w:t>
      </w:r>
      <w:r w:rsidR="00A07EA2" w:rsidRPr="00100F31">
        <w:t xml:space="preserve">functionalities is </w:t>
      </w:r>
      <w:r w:rsidR="00845F0E">
        <w:t xml:space="preserve">eligible but that </w:t>
      </w:r>
      <w:r w:rsidR="00A07EA2">
        <w:t>equipment that combines caching functionality with an ineligible functionality must be cost allocated.</w:t>
      </w:r>
      <w:r w:rsidR="00845F0E">
        <w:rPr>
          <w:rStyle w:val="FootnoteReference"/>
        </w:rPr>
        <w:footnoteReference w:id="46"/>
      </w:r>
      <w:r w:rsidR="00660CD5" w:rsidRPr="00660CD5">
        <w:t xml:space="preserve"> </w:t>
      </w:r>
    </w:p>
    <w:p w14:paraId="6F213667" w14:textId="27ACD629" w:rsidR="00660CD5" w:rsidRPr="00BB31A6" w:rsidRDefault="00660CD5" w:rsidP="00660CD5">
      <w:pPr>
        <w:pStyle w:val="Heading4"/>
      </w:pPr>
      <w:r>
        <w:t>Antennas</w:t>
      </w:r>
    </w:p>
    <w:p w14:paraId="39CD5B28" w14:textId="5A4FB878" w:rsidR="00624552" w:rsidRPr="00BC0310" w:rsidRDefault="00660CD5" w:rsidP="00660CD5">
      <w:pPr>
        <w:pStyle w:val="ParaNum"/>
        <w:widowControl/>
        <w:numPr>
          <w:ilvl w:val="0"/>
          <w:numId w:val="13"/>
        </w:numPr>
        <w:rPr>
          <w:szCs w:val="22"/>
        </w:rPr>
      </w:pPr>
      <w:r>
        <w:t>Upon consideration of the record, we clarify the eligibility of antennas.  Antennas used</w:t>
      </w:r>
      <w:r w:rsidRPr="00660CD5">
        <w:t xml:space="preserve"> </w:t>
      </w:r>
      <w:r>
        <w:t xml:space="preserve">in and in conjunction with the internal connections </w:t>
      </w:r>
      <w:r w:rsidRPr="00B13230">
        <w:t>needed to enable high-speed broadband connectivity</w:t>
      </w:r>
      <w:r>
        <w:t xml:space="preserve"> within schools and libraries, are eligible.  In the </w:t>
      </w:r>
      <w:r>
        <w:rPr>
          <w:i/>
        </w:rPr>
        <w:t xml:space="preserve">E-rate Modernization Order, </w:t>
      </w:r>
      <w:r>
        <w:t xml:space="preserve">the Commission </w:t>
      </w:r>
      <w:r w:rsidR="00224012">
        <w:t>was clear in its support for funding internal broadband connections.</w:t>
      </w:r>
      <w:r w:rsidR="00224012">
        <w:rPr>
          <w:rStyle w:val="FootnoteReference"/>
        </w:rPr>
        <w:footnoteReference w:id="47"/>
      </w:r>
      <w:r w:rsidR="00224012">
        <w:t xml:space="preserve">  It </w:t>
      </w:r>
      <w:r>
        <w:t>indicated that some components that had been listed in the ESL under Priority Two may be relocated or described in updated or more generic terminology in the 2015 ESL.</w:t>
      </w:r>
      <w:r>
        <w:rPr>
          <w:rStyle w:val="FootnoteReference"/>
        </w:rPr>
        <w:footnoteReference w:id="48"/>
      </w:r>
      <w:r>
        <w:t xml:space="preserve">  It stated that, for example the ESL entry for</w:t>
      </w:r>
      <w:r w:rsidRPr="00840251">
        <w:t xml:space="preserve"> “Interfaces, Gateways, Antennas” names some components in outdated terms such as “bridges”, or terms such as “cable modem” that are interchangeable or subsumed by other components such as “routers” or “switches” </w:t>
      </w:r>
      <w:r>
        <w:t xml:space="preserve">and </w:t>
      </w:r>
      <w:r w:rsidRPr="00840251">
        <w:t>remain eligible for E-rate funding in funding year 2015</w:t>
      </w:r>
      <w:r>
        <w:t xml:space="preserve"> under the newer </w:t>
      </w:r>
      <w:r w:rsidR="00C3258B">
        <w:t xml:space="preserve">or more generic </w:t>
      </w:r>
      <w:r>
        <w:t>terminology.</w:t>
      </w:r>
      <w:r>
        <w:rPr>
          <w:rStyle w:val="FootnoteReference"/>
        </w:rPr>
        <w:footnoteReference w:id="49"/>
      </w:r>
      <w:r>
        <w:t xml:space="preserve">  Similarly, </w:t>
      </w:r>
      <w:r w:rsidR="00C3258B">
        <w:t>w</w:t>
      </w:r>
      <w:r>
        <w:t>e agree with commenters that antennas that are an integral part of the LAN or WLAN are eligible for Category Two funding</w:t>
      </w:r>
      <w:r w:rsidR="00C3258B">
        <w:t>, because they are subsumed by or essential to the components necessary to distribute internal broadband services within a school or library</w:t>
      </w:r>
      <w:r>
        <w:t>.</w:t>
      </w:r>
      <w:r>
        <w:rPr>
          <w:rStyle w:val="FootnoteReference"/>
        </w:rPr>
        <w:footnoteReference w:id="50"/>
      </w:r>
      <w:r>
        <w:t xml:space="preserve">  </w:t>
      </w:r>
      <w:r w:rsidR="00C3258B">
        <w:t>We add antennas to the list of eligible internal broadband components.</w:t>
      </w:r>
      <w:r>
        <w:t xml:space="preserve">  </w:t>
      </w:r>
      <w:r w:rsidR="00C3258B">
        <w:t xml:space="preserve">Clarifying the list of Category Two components to include antennas is a logical extension of the Commission’s decision in the </w:t>
      </w:r>
      <w:r w:rsidR="00C3258B">
        <w:rPr>
          <w:i/>
        </w:rPr>
        <w:t xml:space="preserve">E-rate Modernization Order </w:t>
      </w:r>
      <w:r w:rsidR="00C3258B">
        <w:t>to fund distribution components such as cabling, connectors and similar distribution equipment.</w:t>
      </w:r>
      <w:r w:rsidR="00C3258B">
        <w:rPr>
          <w:rStyle w:val="FootnoteReference"/>
        </w:rPr>
        <w:footnoteReference w:id="51"/>
      </w:r>
      <w:r w:rsidR="00C3258B">
        <w:t xml:space="preserve"> </w:t>
      </w:r>
    </w:p>
    <w:p w14:paraId="162EE473" w14:textId="77777777" w:rsidR="00624552" w:rsidRDefault="009577D9" w:rsidP="00FB4435">
      <w:pPr>
        <w:pStyle w:val="Heading4"/>
      </w:pPr>
      <w:r>
        <w:t>Installation</w:t>
      </w:r>
    </w:p>
    <w:p w14:paraId="1FFEDE3B" w14:textId="73AEF023" w:rsidR="009D5B9C" w:rsidRPr="004A23DF" w:rsidRDefault="00BB31A6">
      <w:pPr>
        <w:pStyle w:val="ParaNum"/>
        <w:widowControl/>
        <w:numPr>
          <w:ilvl w:val="0"/>
          <w:numId w:val="13"/>
        </w:numPr>
        <w:rPr>
          <w:szCs w:val="22"/>
        </w:rPr>
      </w:pPr>
      <w:r>
        <w:t>We also take the opportunity to clarify the ESL to allow for E-rate funding for installation of equipment that is provided separately, and may be in a separate contract or bid, from the equipment itself.</w:t>
      </w:r>
      <w:r w:rsidR="0058627F">
        <w:t xml:space="preserve">  </w:t>
      </w:r>
      <w:r w:rsidR="00BE4EE0" w:rsidRPr="00BE4EE0">
        <w:rPr>
          <w:rFonts w:eastAsiaTheme="minorHAnsi"/>
          <w:kern w:val="0"/>
          <w:szCs w:val="22"/>
        </w:rPr>
        <w:t xml:space="preserve">The ESL removes phrasing from the “Installation, activation, and initial configuration” description </w:t>
      </w:r>
      <w:r w:rsidR="00BE4EE0">
        <w:rPr>
          <w:rFonts w:eastAsiaTheme="minorHAnsi"/>
          <w:kern w:val="0"/>
          <w:szCs w:val="22"/>
        </w:rPr>
        <w:t xml:space="preserve">that had indicated </w:t>
      </w:r>
      <w:r w:rsidR="00BE4EE0" w:rsidRPr="00BE4EE0">
        <w:rPr>
          <w:kern w:val="0"/>
        </w:rPr>
        <w:t>that installation must be part of a contract or bid for the components.</w:t>
      </w:r>
      <w:r w:rsidR="00BE4EE0">
        <w:rPr>
          <w:rStyle w:val="FootnoteReference"/>
          <w:kern w:val="0"/>
        </w:rPr>
        <w:footnoteReference w:id="52"/>
      </w:r>
      <w:r w:rsidR="00BE4EE0" w:rsidRPr="00BE4EE0">
        <w:rPr>
          <w:kern w:val="0"/>
        </w:rPr>
        <w:t xml:space="preserve">  </w:t>
      </w:r>
      <w:r w:rsidR="00DD3843">
        <w:rPr>
          <w:kern w:val="0"/>
        </w:rPr>
        <w:t xml:space="preserve">In some cases, it might be preferable and more cost effective for applicants to have installation services as part of the same contract or bid for the components to be installed.  However, commenters </w:t>
      </w:r>
      <w:r w:rsidR="00951CFB">
        <w:rPr>
          <w:kern w:val="0"/>
        </w:rPr>
        <w:t>strongly suggest</w:t>
      </w:r>
      <w:r w:rsidR="00DD3843">
        <w:rPr>
          <w:kern w:val="0"/>
        </w:rPr>
        <w:t xml:space="preserve"> that requiring applicants to use the same vendor for the equipment and installation in some instances is c</w:t>
      </w:r>
      <w:r w:rsidR="0010243D">
        <w:rPr>
          <w:kern w:val="0"/>
        </w:rPr>
        <w:t xml:space="preserve">ost prohibitive.  For example, </w:t>
      </w:r>
      <w:r w:rsidR="00DD3843">
        <w:rPr>
          <w:kern w:val="0"/>
        </w:rPr>
        <w:t>t</w:t>
      </w:r>
      <w:r w:rsidR="00BE4EE0">
        <w:rPr>
          <w:kern w:val="0"/>
        </w:rPr>
        <w:t>here are some s</w:t>
      </w:r>
      <w:r w:rsidR="00BE4EE0" w:rsidRPr="00BE4EE0">
        <w:rPr>
          <w:rFonts w:eastAsiaTheme="minorHAnsi"/>
          <w:kern w:val="0"/>
          <w:szCs w:val="22"/>
        </w:rPr>
        <w:t xml:space="preserve">chools and libraries, especially </w:t>
      </w:r>
      <w:r w:rsidR="00306D00">
        <w:rPr>
          <w:rFonts w:eastAsiaTheme="minorHAnsi"/>
          <w:kern w:val="0"/>
          <w:szCs w:val="22"/>
        </w:rPr>
        <w:t xml:space="preserve">in </w:t>
      </w:r>
      <w:r w:rsidR="00BE4EE0" w:rsidRPr="00BE4EE0">
        <w:rPr>
          <w:rFonts w:eastAsiaTheme="minorHAnsi"/>
          <w:kern w:val="0"/>
          <w:szCs w:val="22"/>
        </w:rPr>
        <w:t xml:space="preserve">rural </w:t>
      </w:r>
      <w:r w:rsidR="00306D00">
        <w:rPr>
          <w:rFonts w:eastAsiaTheme="minorHAnsi"/>
          <w:kern w:val="0"/>
          <w:szCs w:val="22"/>
        </w:rPr>
        <w:t>areas,</w:t>
      </w:r>
      <w:r w:rsidR="00BE4EE0" w:rsidRPr="00BE4EE0">
        <w:rPr>
          <w:rFonts w:eastAsiaTheme="minorHAnsi"/>
          <w:kern w:val="0"/>
          <w:szCs w:val="22"/>
        </w:rPr>
        <w:t xml:space="preserve"> that do not have local or regional equipment manufacturers that both sell </w:t>
      </w:r>
      <w:r w:rsidR="00306D00">
        <w:rPr>
          <w:rFonts w:eastAsiaTheme="minorHAnsi"/>
          <w:kern w:val="0"/>
          <w:szCs w:val="22"/>
        </w:rPr>
        <w:t xml:space="preserve">and install </w:t>
      </w:r>
      <w:r w:rsidR="00BE4EE0" w:rsidRPr="00BE4EE0">
        <w:rPr>
          <w:rFonts w:eastAsiaTheme="minorHAnsi"/>
          <w:kern w:val="0"/>
          <w:szCs w:val="22"/>
        </w:rPr>
        <w:t>networking equipment</w:t>
      </w:r>
      <w:r w:rsidR="00BE4EE0">
        <w:rPr>
          <w:rFonts w:eastAsiaTheme="minorHAnsi"/>
          <w:kern w:val="0"/>
          <w:szCs w:val="22"/>
        </w:rPr>
        <w:t xml:space="preserve">.  These entities often </w:t>
      </w:r>
      <w:r w:rsidR="00BE4EE0" w:rsidRPr="00BE4EE0">
        <w:rPr>
          <w:rFonts w:eastAsiaTheme="minorHAnsi"/>
          <w:kern w:val="0"/>
          <w:szCs w:val="22"/>
        </w:rPr>
        <w:t>need flexibility to contract with local firms to provide installation that is separate from the equipment.</w:t>
      </w:r>
      <w:r w:rsidR="009D5B9C">
        <w:rPr>
          <w:rFonts w:eastAsiaTheme="minorHAnsi"/>
          <w:kern w:val="0"/>
          <w:szCs w:val="22"/>
        </w:rPr>
        <w:t xml:space="preserve">  Also, </w:t>
      </w:r>
      <w:r w:rsidR="009D5B9C" w:rsidRPr="009D5B9C">
        <w:rPr>
          <w:szCs w:val="22"/>
        </w:rPr>
        <w:t xml:space="preserve">schools and libraries often </w:t>
      </w:r>
      <w:r w:rsidR="009D5B9C">
        <w:rPr>
          <w:szCs w:val="22"/>
        </w:rPr>
        <w:t xml:space="preserve">purchase equipment from a </w:t>
      </w:r>
      <w:r w:rsidR="009D5B9C" w:rsidRPr="009D5B9C">
        <w:rPr>
          <w:szCs w:val="22"/>
        </w:rPr>
        <w:t>manufacturer or reseller o</w:t>
      </w:r>
      <w:r w:rsidR="009D5B9C">
        <w:rPr>
          <w:szCs w:val="22"/>
        </w:rPr>
        <w:t xml:space="preserve">nline, </w:t>
      </w:r>
      <w:r w:rsidR="009D5B9C" w:rsidRPr="009D5B9C">
        <w:rPr>
          <w:szCs w:val="22"/>
        </w:rPr>
        <w:t xml:space="preserve">have it drop-shipped, and then contract </w:t>
      </w:r>
      <w:r w:rsidR="0071251F">
        <w:rPr>
          <w:szCs w:val="22"/>
        </w:rPr>
        <w:t xml:space="preserve">for installation </w:t>
      </w:r>
      <w:r w:rsidR="009D5B9C" w:rsidRPr="009D5B9C">
        <w:rPr>
          <w:szCs w:val="22"/>
        </w:rPr>
        <w:t>with a local firm</w:t>
      </w:r>
      <w:r w:rsidR="009D5B9C">
        <w:rPr>
          <w:szCs w:val="22"/>
        </w:rPr>
        <w:t>.</w:t>
      </w:r>
      <w:r w:rsidR="00F83688" w:rsidRPr="00F83688">
        <w:rPr>
          <w:rFonts w:eastAsiaTheme="minorHAnsi"/>
          <w:kern w:val="0"/>
          <w:szCs w:val="22"/>
          <w:vertAlign w:val="superscript"/>
        </w:rPr>
        <w:t xml:space="preserve"> </w:t>
      </w:r>
      <w:r w:rsidR="00F83688" w:rsidRPr="00BE4EE0">
        <w:rPr>
          <w:rFonts w:eastAsiaTheme="minorHAnsi"/>
          <w:kern w:val="0"/>
          <w:szCs w:val="22"/>
          <w:vertAlign w:val="superscript"/>
        </w:rPr>
        <w:footnoteReference w:id="53"/>
      </w:r>
      <w:r w:rsidR="009D5B9C">
        <w:rPr>
          <w:szCs w:val="22"/>
        </w:rPr>
        <w:t xml:space="preserve">  </w:t>
      </w:r>
      <w:r w:rsidR="00DD3843">
        <w:rPr>
          <w:kern w:val="0"/>
        </w:rPr>
        <w:t>Therefore rigid application of the previous ESL language regarding installation could result in prohibiting some applicants from being able to select the most cost effective service offering as required by the Commission’s rules.</w:t>
      </w:r>
      <w:r w:rsidR="00DD3843">
        <w:rPr>
          <w:rStyle w:val="FootnoteReference"/>
          <w:kern w:val="0"/>
        </w:rPr>
        <w:footnoteReference w:id="54"/>
      </w:r>
      <w:r w:rsidR="00DD3843">
        <w:rPr>
          <w:kern w:val="0"/>
        </w:rPr>
        <w:t xml:space="preserve">  </w:t>
      </w:r>
      <w:r w:rsidR="009D5B9C">
        <w:rPr>
          <w:szCs w:val="22"/>
        </w:rPr>
        <w:t xml:space="preserve">We modify </w:t>
      </w:r>
      <w:r w:rsidR="007C5ACC">
        <w:rPr>
          <w:szCs w:val="22"/>
        </w:rPr>
        <w:t xml:space="preserve">the language of the </w:t>
      </w:r>
      <w:r w:rsidR="009D5B9C">
        <w:rPr>
          <w:szCs w:val="22"/>
        </w:rPr>
        <w:t xml:space="preserve">ESL </w:t>
      </w:r>
      <w:r w:rsidR="007C5ACC">
        <w:rPr>
          <w:szCs w:val="22"/>
        </w:rPr>
        <w:t xml:space="preserve">to clarify </w:t>
      </w:r>
      <w:r w:rsidR="009D5B9C">
        <w:rPr>
          <w:szCs w:val="22"/>
        </w:rPr>
        <w:t>that it does not bar applicants from purchas</w:t>
      </w:r>
      <w:r w:rsidR="007C5ACC">
        <w:rPr>
          <w:szCs w:val="22"/>
        </w:rPr>
        <w:t>ing</w:t>
      </w:r>
      <w:r w:rsidR="009D5B9C">
        <w:rPr>
          <w:szCs w:val="22"/>
        </w:rPr>
        <w:t xml:space="preserve"> equipment and </w:t>
      </w:r>
      <w:r w:rsidR="007C5ACC">
        <w:rPr>
          <w:szCs w:val="22"/>
        </w:rPr>
        <w:t xml:space="preserve">separately </w:t>
      </w:r>
      <w:r w:rsidR="009D5B9C">
        <w:rPr>
          <w:szCs w:val="22"/>
        </w:rPr>
        <w:t>secur</w:t>
      </w:r>
      <w:r w:rsidR="007C5ACC">
        <w:rPr>
          <w:szCs w:val="22"/>
        </w:rPr>
        <w:t xml:space="preserve">ing </w:t>
      </w:r>
      <w:r w:rsidR="009D5B9C">
        <w:rPr>
          <w:szCs w:val="22"/>
        </w:rPr>
        <w:t xml:space="preserve">installation </w:t>
      </w:r>
      <w:r w:rsidR="007C5ACC">
        <w:rPr>
          <w:szCs w:val="22"/>
        </w:rPr>
        <w:t>of that equipment</w:t>
      </w:r>
      <w:r w:rsidR="009D5B9C">
        <w:rPr>
          <w:rFonts w:eastAsiaTheme="minorHAnsi"/>
          <w:kern w:val="0"/>
          <w:szCs w:val="22"/>
        </w:rPr>
        <w:t>.  For many schools and libraries, this may be the most cost effective approach to obtaining needed equipment and components.</w:t>
      </w:r>
      <w:r w:rsidR="00951CFB">
        <w:rPr>
          <w:rStyle w:val="FootnoteReference"/>
          <w:rFonts w:eastAsiaTheme="minorHAnsi"/>
          <w:kern w:val="0"/>
          <w:szCs w:val="22"/>
        </w:rPr>
        <w:footnoteReference w:id="55"/>
      </w:r>
      <w:r w:rsidR="0058627F">
        <w:rPr>
          <w:rFonts w:eastAsiaTheme="minorHAnsi"/>
          <w:kern w:val="0"/>
          <w:szCs w:val="22"/>
        </w:rPr>
        <w:t xml:space="preserve">  </w:t>
      </w:r>
    </w:p>
    <w:p w14:paraId="0FA037BB" w14:textId="044CE31B" w:rsidR="004A23DF" w:rsidRDefault="00B04F49" w:rsidP="004A23DF">
      <w:pPr>
        <w:pStyle w:val="Heading4"/>
      </w:pPr>
      <w:r>
        <w:t>Manufacturer</w:t>
      </w:r>
      <w:r w:rsidR="0005537A">
        <w:t>s</w:t>
      </w:r>
      <w:r>
        <w:t>’</w:t>
      </w:r>
      <w:r w:rsidR="0005537A">
        <w:t xml:space="preserve"> </w:t>
      </w:r>
      <w:r w:rsidR="004A23DF">
        <w:t>Warranties</w:t>
      </w:r>
    </w:p>
    <w:p w14:paraId="1086C08D" w14:textId="14B13EE7" w:rsidR="004A23DF" w:rsidRPr="00673A6A" w:rsidRDefault="00845F0E" w:rsidP="004A23DF">
      <w:pPr>
        <w:pStyle w:val="ParaNum"/>
        <w:widowControl/>
        <w:numPr>
          <w:ilvl w:val="0"/>
          <w:numId w:val="13"/>
        </w:numPr>
        <w:rPr>
          <w:szCs w:val="22"/>
        </w:rPr>
      </w:pPr>
      <w:r>
        <w:t>W</w:t>
      </w:r>
      <w:r w:rsidR="004A23DF">
        <w:t xml:space="preserve">e decline to </w:t>
      </w:r>
      <w:r w:rsidR="007C5ACC">
        <w:t xml:space="preserve">modify the ESL to make </w:t>
      </w:r>
      <w:r>
        <w:t xml:space="preserve">manufacturers’ warranties that are longer than three years </w:t>
      </w:r>
      <w:r w:rsidR="007C5ACC">
        <w:t xml:space="preserve">eligible for E-rate support.  Two commenters recommend providing E-rate support for </w:t>
      </w:r>
      <w:r>
        <w:t>manufacturers</w:t>
      </w:r>
      <w:r w:rsidR="007C5ACC">
        <w:t>’</w:t>
      </w:r>
      <w:r>
        <w:t xml:space="preserve"> warrant</w:t>
      </w:r>
      <w:r w:rsidR="007C5ACC">
        <w:t xml:space="preserve">ies that are as long as </w:t>
      </w:r>
      <w:r>
        <w:t>five years.</w:t>
      </w:r>
      <w:r w:rsidR="00673A6A">
        <w:rPr>
          <w:rStyle w:val="FootnoteReference"/>
        </w:rPr>
        <w:footnoteReference w:id="56"/>
      </w:r>
      <w:r>
        <w:t xml:space="preserve">  </w:t>
      </w:r>
      <w:r w:rsidR="007C5ACC">
        <w:t>To do so would be beyond the scope of the Bureau’s authority.  In 201</w:t>
      </w:r>
      <w:r w:rsidR="00673A6A">
        <w:t>0</w:t>
      </w:r>
      <w:r w:rsidR="007C5ACC">
        <w:t xml:space="preserve">, the Commission considered the eligibility of </w:t>
      </w:r>
      <w:r w:rsidR="004A07A8">
        <w:t>manufacturers</w:t>
      </w:r>
      <w:r w:rsidR="007C5ACC">
        <w:t>’ warranties</w:t>
      </w:r>
      <w:r w:rsidR="0071251F">
        <w:t xml:space="preserve"> and</w:t>
      </w:r>
      <w:r w:rsidR="007C5ACC">
        <w:t xml:space="preserve"> specifically found that</w:t>
      </w:r>
      <w:r w:rsidR="0071251F">
        <w:t>,</w:t>
      </w:r>
      <w:r w:rsidR="007C5ACC">
        <w:t xml:space="preserve"> </w:t>
      </w:r>
      <w:r w:rsidR="004A07A8" w:rsidRPr="004A07A8">
        <w:rPr>
          <w:szCs w:val="22"/>
        </w:rPr>
        <w:t>“</w:t>
      </w:r>
      <w:r w:rsidR="004A07A8" w:rsidRPr="004A07A8">
        <w:rPr>
          <w:color w:val="000000"/>
          <w:szCs w:val="22"/>
        </w:rPr>
        <w:t>A manufacturer</w:t>
      </w:r>
      <w:r w:rsidR="00B04F49">
        <w:rPr>
          <w:color w:val="000000"/>
          <w:szCs w:val="22"/>
        </w:rPr>
        <w:t>’</w:t>
      </w:r>
      <w:r w:rsidR="004A07A8" w:rsidRPr="004A07A8">
        <w:rPr>
          <w:color w:val="000000"/>
          <w:szCs w:val="22"/>
        </w:rPr>
        <w:t>s multi-year warranty for a period up to three years and provided as an integral part of an eligible component without separately identifiable cost can be included in the cost of the component.”</w:t>
      </w:r>
      <w:r w:rsidR="004A07A8">
        <w:rPr>
          <w:rStyle w:val="FootnoteReference"/>
          <w:szCs w:val="22"/>
        </w:rPr>
        <w:footnoteReference w:id="57"/>
      </w:r>
      <w:r w:rsidR="004A07A8">
        <w:rPr>
          <w:color w:val="000000"/>
          <w:sz w:val="20"/>
        </w:rPr>
        <w:t xml:space="preserve">  </w:t>
      </w:r>
      <w:r w:rsidR="004A07A8">
        <w:rPr>
          <w:color w:val="000000"/>
          <w:szCs w:val="22"/>
        </w:rPr>
        <w:t xml:space="preserve">The </w:t>
      </w:r>
      <w:r w:rsidR="0071251F">
        <w:rPr>
          <w:color w:val="000000"/>
          <w:szCs w:val="22"/>
        </w:rPr>
        <w:t xml:space="preserve">2015 </w:t>
      </w:r>
      <w:r w:rsidR="004A07A8">
        <w:rPr>
          <w:color w:val="000000"/>
          <w:szCs w:val="22"/>
        </w:rPr>
        <w:t>ESL will continue to use this language.</w:t>
      </w:r>
    </w:p>
    <w:p w14:paraId="1C959CDE" w14:textId="77777777" w:rsidR="00CD677B" w:rsidRDefault="0071240A" w:rsidP="00CE7990">
      <w:pPr>
        <w:pStyle w:val="ParaNum"/>
        <w:widowControl/>
        <w:numPr>
          <w:ilvl w:val="0"/>
          <w:numId w:val="13"/>
        </w:numPr>
      </w:pPr>
      <w:r>
        <w:t>W</w:t>
      </w:r>
      <w:r w:rsidR="009B1683">
        <w:t xml:space="preserve">e make no other changes to the ESL for funding year 2015 because the primary focus of this proceeding is </w:t>
      </w:r>
      <w:r w:rsidR="008C5BD7">
        <w:t>implem</w:t>
      </w:r>
      <w:r w:rsidR="009B1683">
        <w:t>enting the specific eligibility</w:t>
      </w:r>
      <w:r w:rsidR="008C5BD7">
        <w:t xml:space="preserve"> decisions</w:t>
      </w:r>
      <w:r w:rsidR="009B1683">
        <w:t xml:space="preserve"> of the Commission in the </w:t>
      </w:r>
      <w:r w:rsidR="009B1683" w:rsidRPr="00CE7990">
        <w:rPr>
          <w:i/>
        </w:rPr>
        <w:t>E-rate Modernization Order</w:t>
      </w:r>
      <w:r w:rsidR="008C5BD7">
        <w:t xml:space="preserve">.  </w:t>
      </w:r>
      <w:r w:rsidR="009B1683">
        <w:t xml:space="preserve">Although some </w:t>
      </w:r>
      <w:r w:rsidR="008C5BD7">
        <w:t xml:space="preserve">commenters in this proceeding recommended </w:t>
      </w:r>
      <w:r w:rsidR="009B1683">
        <w:t xml:space="preserve">additional </w:t>
      </w:r>
      <w:r w:rsidR="008C5BD7">
        <w:t>clarifications</w:t>
      </w:r>
      <w:r w:rsidR="009B1683">
        <w:t>,</w:t>
      </w:r>
      <w:r w:rsidR="008C5BD7">
        <w:rPr>
          <w:rStyle w:val="FootnoteReference"/>
        </w:rPr>
        <w:footnoteReference w:id="58"/>
      </w:r>
      <w:r w:rsidR="009B1683">
        <w:t xml:space="preserve"> </w:t>
      </w:r>
      <w:r w:rsidR="008C5BD7">
        <w:t>requested that we add certain services to the list</w:t>
      </w:r>
      <w:r w:rsidR="009B1683">
        <w:t xml:space="preserve">, </w:t>
      </w:r>
      <w:r w:rsidR="008C5BD7">
        <w:t>or that we reexamine the Commission’s decision</w:t>
      </w:r>
      <w:r w:rsidR="009B1683">
        <w:t>s</w:t>
      </w:r>
      <w:r w:rsidR="008C5BD7">
        <w:t xml:space="preserve"> in the </w:t>
      </w:r>
      <w:r w:rsidR="008C5BD7" w:rsidRPr="00CE7990">
        <w:rPr>
          <w:i/>
        </w:rPr>
        <w:t>E-rate Modernization Order</w:t>
      </w:r>
      <w:r w:rsidR="009B1683">
        <w:t>,</w:t>
      </w:r>
      <w:r w:rsidR="008C5BD7">
        <w:rPr>
          <w:rStyle w:val="FootnoteReference"/>
        </w:rPr>
        <w:footnoteReference w:id="59"/>
      </w:r>
      <w:r w:rsidR="008C5BD7" w:rsidRPr="00CE7990">
        <w:rPr>
          <w:i/>
        </w:rPr>
        <w:t xml:space="preserve"> </w:t>
      </w:r>
      <w:r w:rsidR="009B1683">
        <w:t>we decline to address or consider these requests at this time.  Reexamination of</w:t>
      </w:r>
      <w:r w:rsidR="008C5BD7">
        <w:t xml:space="preserve"> the recent </w:t>
      </w:r>
      <w:r w:rsidR="009B1683">
        <w:t xml:space="preserve">Commission </w:t>
      </w:r>
      <w:r w:rsidR="008C5BD7">
        <w:t xml:space="preserve">decisions in the </w:t>
      </w:r>
      <w:r w:rsidR="008C5BD7" w:rsidRPr="00CE7990">
        <w:rPr>
          <w:i/>
        </w:rPr>
        <w:t>E-rate Modernization Order</w:t>
      </w:r>
      <w:r w:rsidR="009B1683">
        <w:t xml:space="preserve"> is outside the scope of this proceeding</w:t>
      </w:r>
      <w:r w:rsidR="008C5BD7">
        <w:t>.</w:t>
      </w:r>
      <w:r w:rsidR="00C63BE0">
        <w:rPr>
          <w:rStyle w:val="FootnoteReference"/>
        </w:rPr>
        <w:footnoteReference w:id="60"/>
      </w:r>
      <w:r w:rsidR="008C5BD7">
        <w:t xml:space="preserve"> </w:t>
      </w:r>
      <w:r w:rsidR="00CD677B">
        <w:t xml:space="preserve">   </w:t>
      </w:r>
    </w:p>
    <w:p w14:paraId="32AFBA9B" w14:textId="77777777" w:rsidR="00624552" w:rsidRDefault="00624552">
      <w:pPr>
        <w:pStyle w:val="Heading1"/>
        <w:widowControl/>
        <w:rPr>
          <w:szCs w:val="22"/>
        </w:rPr>
      </w:pPr>
      <w:r>
        <w:t>ORDERING CLAUSE</w:t>
      </w:r>
      <w:bookmarkStart w:id="52" w:name="_Toc535910027"/>
      <w:bookmarkStart w:id="53" w:name="_Toc502988441"/>
    </w:p>
    <w:p w14:paraId="1A968A80" w14:textId="77777777" w:rsidR="00624552" w:rsidRDefault="00624552">
      <w:pPr>
        <w:pStyle w:val="ParaNum"/>
        <w:keepNext/>
        <w:widowControl/>
        <w:numPr>
          <w:ilvl w:val="0"/>
          <w:numId w:val="13"/>
        </w:numPr>
        <w:tabs>
          <w:tab w:val="left" w:pos="1440"/>
        </w:tabs>
      </w:pPr>
      <w:r>
        <w:rPr>
          <w:kern w:val="0"/>
        </w:rPr>
        <w:t>ACCORDINGLY, IT IS ORDERED, that pursuant to the authority contained in sections 1 through 4, 254, 303(r), and 403 of the Communications Act of 1934, as amended, 47 U.S.C. §§ 151-154, 254, 303(r), and 403,</w:t>
      </w:r>
      <w:r>
        <w:rPr>
          <w:rStyle w:val="StyleNumberedparagraphs11ptChar"/>
        </w:rPr>
        <w:t xml:space="preserve"> and sections </w:t>
      </w:r>
      <w:r w:rsidR="00D85A79">
        <w:rPr>
          <w:rStyle w:val="StyleNumberedparagraphs11ptChar"/>
          <w:szCs w:val="22"/>
        </w:rPr>
        <w:t>0.91 and 54.502</w:t>
      </w:r>
      <w:r>
        <w:rPr>
          <w:rStyle w:val="StyleNumberedparagraphs11ptChar"/>
          <w:szCs w:val="22"/>
        </w:rPr>
        <w:t xml:space="preserve"> of the Commission’s rules,</w:t>
      </w:r>
      <w:r w:rsidR="00D85A79">
        <w:rPr>
          <w:rStyle w:val="StyleNumberedparagraphs11ptChar"/>
          <w:szCs w:val="22"/>
        </w:rPr>
        <w:t xml:space="preserve"> 47 C.F.R. §§ 0.91 and 54.502</w:t>
      </w:r>
      <w:r>
        <w:rPr>
          <w:rStyle w:val="StyleNumberedparagraphs11ptChar"/>
          <w:szCs w:val="22"/>
        </w:rPr>
        <w:t>,</w:t>
      </w:r>
      <w:r>
        <w:rPr>
          <w:kern w:val="0"/>
        </w:rPr>
        <w:t xml:space="preserve"> this Order IS ADOPTED.</w:t>
      </w:r>
      <w:bookmarkEnd w:id="52"/>
      <w:bookmarkEnd w:id="53"/>
    </w:p>
    <w:p w14:paraId="1C4C2133" w14:textId="77777777" w:rsidR="00624552" w:rsidRDefault="00624552">
      <w:pPr>
        <w:pStyle w:val="ParaNum"/>
        <w:keepNext/>
        <w:widowControl/>
        <w:tabs>
          <w:tab w:val="left" w:pos="1440"/>
        </w:tabs>
        <w:ind w:left="360"/>
        <w:rPr>
          <w:rStyle w:val="StyleNumberedparagraphs11ptChar"/>
        </w:rPr>
      </w:pPr>
    </w:p>
    <w:p w14:paraId="2FA26D0E" w14:textId="77777777" w:rsidR="00624552" w:rsidRDefault="00624552">
      <w:pPr>
        <w:pStyle w:val="ParaNum"/>
        <w:keepNext/>
        <w:widowControl/>
        <w:ind w:firstLine="720"/>
        <w:rPr>
          <w:szCs w:val="22"/>
        </w:rPr>
      </w:pPr>
      <w:r>
        <w:rPr>
          <w:szCs w:val="22"/>
        </w:rPr>
        <w:tab/>
      </w:r>
      <w:r>
        <w:rPr>
          <w:szCs w:val="22"/>
        </w:rPr>
        <w:tab/>
      </w:r>
      <w:r>
        <w:rPr>
          <w:szCs w:val="22"/>
        </w:rPr>
        <w:tab/>
      </w:r>
      <w:r>
        <w:rPr>
          <w:szCs w:val="22"/>
        </w:rPr>
        <w:tab/>
      </w:r>
      <w:r>
        <w:rPr>
          <w:szCs w:val="22"/>
        </w:rPr>
        <w:tab/>
        <w:t>FEDERAL COMMUNICATIONS COMMISSION</w:t>
      </w:r>
    </w:p>
    <w:p w14:paraId="053E8F87" w14:textId="77777777" w:rsidR="00624552" w:rsidRDefault="00624552">
      <w:pPr>
        <w:pStyle w:val="ParaNum"/>
        <w:keepNext/>
        <w:widowControl/>
        <w:rPr>
          <w:szCs w:val="22"/>
        </w:rPr>
      </w:pPr>
    </w:p>
    <w:p w14:paraId="4C14CE90" w14:textId="77777777" w:rsidR="00624552" w:rsidRDefault="00624552">
      <w:pPr>
        <w:pStyle w:val="ParaNum"/>
        <w:keepNext/>
        <w:widowControl/>
        <w:rPr>
          <w:szCs w:val="22"/>
        </w:rPr>
      </w:pPr>
    </w:p>
    <w:p w14:paraId="55453DB5" w14:textId="77777777" w:rsidR="00624552" w:rsidRDefault="00624552">
      <w:pPr>
        <w:pStyle w:val="ParaNum"/>
        <w:widowControl/>
        <w:spacing w:after="0"/>
        <w:ind w:firstLine="720"/>
        <w:rPr>
          <w:szCs w:val="22"/>
        </w:rPr>
      </w:pPr>
      <w:r>
        <w:rPr>
          <w:szCs w:val="22"/>
        </w:rPr>
        <w:tab/>
      </w:r>
      <w:r>
        <w:rPr>
          <w:szCs w:val="22"/>
        </w:rPr>
        <w:tab/>
      </w:r>
      <w:r>
        <w:rPr>
          <w:szCs w:val="22"/>
        </w:rPr>
        <w:tab/>
      </w:r>
      <w:r>
        <w:rPr>
          <w:szCs w:val="22"/>
        </w:rPr>
        <w:tab/>
      </w:r>
      <w:r>
        <w:rPr>
          <w:szCs w:val="22"/>
        </w:rPr>
        <w:tab/>
        <w:t>Julie A. Veach</w:t>
      </w:r>
    </w:p>
    <w:p w14:paraId="5C5D28F6" w14:textId="77777777" w:rsidR="00624552" w:rsidRDefault="00624552">
      <w:pPr>
        <w:widowControl/>
      </w:pPr>
      <w:r>
        <w:tab/>
      </w:r>
      <w:r>
        <w:tab/>
      </w:r>
      <w:r>
        <w:tab/>
      </w:r>
      <w:r>
        <w:tab/>
      </w:r>
      <w:r>
        <w:tab/>
      </w:r>
      <w:r>
        <w:tab/>
        <w:t>Chief</w:t>
      </w:r>
    </w:p>
    <w:p w14:paraId="7CF947E5" w14:textId="77777777" w:rsidR="00624552" w:rsidRDefault="00624552">
      <w:pPr>
        <w:widowControl/>
      </w:pPr>
      <w:r>
        <w:tab/>
      </w:r>
      <w:r>
        <w:tab/>
      </w:r>
      <w:r>
        <w:tab/>
      </w:r>
      <w:r>
        <w:tab/>
      </w:r>
      <w:r>
        <w:tab/>
      </w:r>
      <w:r>
        <w:tab/>
        <w:t>Wireline Competition Bureau</w:t>
      </w:r>
      <w:r>
        <w:tab/>
      </w:r>
    </w:p>
    <w:p w14:paraId="024816EE" w14:textId="77777777" w:rsidR="00624552" w:rsidRDefault="00624552" w:rsidP="0041372F">
      <w:pPr>
        <w:pStyle w:val="ParaNum"/>
        <w:widowControl/>
        <w:spacing w:after="480"/>
        <w:jc w:val="center"/>
        <w:rPr>
          <w:b/>
          <w:kern w:val="0"/>
        </w:rPr>
      </w:pPr>
      <w:r>
        <w:rPr>
          <w:szCs w:val="22"/>
        </w:rPr>
        <w:br w:type="page"/>
      </w:r>
      <w:r>
        <w:rPr>
          <w:b/>
          <w:kern w:val="0"/>
        </w:rPr>
        <w:t>APPENDIX A</w:t>
      </w:r>
    </w:p>
    <w:p w14:paraId="22A449F5" w14:textId="77777777" w:rsidR="00624552" w:rsidRDefault="00624552">
      <w:pPr>
        <w:widowControl/>
        <w:jc w:val="center"/>
        <w:rPr>
          <w:b/>
        </w:rPr>
      </w:pPr>
      <w:r>
        <w:rPr>
          <w:b/>
        </w:rPr>
        <w:t>List of Commenters</w:t>
      </w:r>
    </w:p>
    <w:p w14:paraId="13B5F6E7" w14:textId="77777777" w:rsidR="00624552" w:rsidRDefault="00624552">
      <w:pPr>
        <w:widowControl/>
        <w:jc w:val="center"/>
        <w:rPr>
          <w:b/>
          <w:szCs w:val="22"/>
        </w:rPr>
      </w:pPr>
    </w:p>
    <w:p w14:paraId="46CDBD8E" w14:textId="77777777" w:rsidR="00624552" w:rsidRDefault="00624552">
      <w:pPr>
        <w:jc w:val="center"/>
        <w:rPr>
          <w:b/>
          <w:szCs w:val="22"/>
        </w:rPr>
      </w:pPr>
      <w:r>
        <w:rPr>
          <w:b/>
          <w:szCs w:val="22"/>
        </w:rPr>
        <w:t>Comments and Reply Comments in Response to the</w:t>
      </w:r>
    </w:p>
    <w:p w14:paraId="5DEDCEEB" w14:textId="587C7501" w:rsidR="00624552" w:rsidRDefault="0041372F">
      <w:pPr>
        <w:jc w:val="center"/>
        <w:rPr>
          <w:b/>
          <w:i/>
          <w:szCs w:val="22"/>
        </w:rPr>
      </w:pPr>
      <w:r>
        <w:rPr>
          <w:b/>
          <w:i/>
          <w:szCs w:val="22"/>
        </w:rPr>
        <w:t>E</w:t>
      </w:r>
      <w:r w:rsidR="00624552">
        <w:rPr>
          <w:b/>
          <w:i/>
          <w:szCs w:val="22"/>
        </w:rPr>
        <w:t>SL Public Notice</w:t>
      </w:r>
    </w:p>
    <w:p w14:paraId="07280184" w14:textId="77777777" w:rsidR="00624552" w:rsidRDefault="00624552">
      <w:pPr>
        <w:widowControl/>
        <w:jc w:val="center"/>
        <w:rPr>
          <w:b/>
          <w:szCs w:val="22"/>
          <w:lang w:val="sv-SE"/>
        </w:rPr>
      </w:pPr>
    </w:p>
    <w:p w14:paraId="24CEC6E6" w14:textId="77777777" w:rsidR="00624552" w:rsidRDefault="00624552">
      <w:pPr>
        <w:widowControl/>
        <w:jc w:val="center"/>
        <w:rPr>
          <w:b/>
          <w:szCs w:val="22"/>
          <w:lang w:val="sv-SE"/>
        </w:rPr>
      </w:pPr>
      <w:r>
        <w:rPr>
          <w:b/>
          <w:szCs w:val="22"/>
          <w:lang w:val="sv-SE"/>
        </w:rPr>
        <w:t>CC Docket No. 02-6; GN Docket No. 09-51</w:t>
      </w:r>
      <w:r w:rsidR="00285439">
        <w:rPr>
          <w:b/>
          <w:szCs w:val="22"/>
          <w:lang w:val="sv-SE"/>
        </w:rPr>
        <w:t xml:space="preserve">; </w:t>
      </w:r>
      <w:r w:rsidR="00285439" w:rsidRPr="00285439">
        <w:rPr>
          <w:b/>
          <w:spacing w:val="-2"/>
          <w:szCs w:val="22"/>
          <w:lang w:val="sv-SE"/>
        </w:rPr>
        <w:t>WC Docket No. 13-184</w:t>
      </w:r>
    </w:p>
    <w:p w14:paraId="2BB123E6" w14:textId="77777777" w:rsidR="00624552" w:rsidRDefault="00624552">
      <w:pPr>
        <w:widowControl/>
        <w:jc w:val="center"/>
        <w:rPr>
          <w:b/>
          <w:szCs w:val="22"/>
        </w:rPr>
      </w:pPr>
    </w:p>
    <w:p w14:paraId="45BAE6D3" w14:textId="77777777" w:rsidR="00624552" w:rsidRDefault="00624552">
      <w:pPr>
        <w:widowControl/>
        <w:tabs>
          <w:tab w:val="left" w:pos="0"/>
          <w:tab w:val="left" w:pos="720"/>
          <w:tab w:val="left" w:pos="5760"/>
          <w:tab w:val="left" w:pos="6660"/>
        </w:tabs>
        <w:suppressAutoHyphens/>
        <w:rPr>
          <w:b/>
          <w:szCs w:val="22"/>
          <w:u w:val="single"/>
        </w:rPr>
      </w:pPr>
      <w:r>
        <w:rPr>
          <w:b/>
          <w:szCs w:val="22"/>
          <w:u w:val="single"/>
        </w:rPr>
        <w:t>Commenters</w:t>
      </w:r>
      <w:r>
        <w:rPr>
          <w:b/>
          <w:szCs w:val="22"/>
        </w:rPr>
        <w:tab/>
      </w:r>
      <w:r>
        <w:rPr>
          <w:b/>
          <w:szCs w:val="22"/>
        </w:rPr>
        <w:tab/>
      </w:r>
      <w:r>
        <w:rPr>
          <w:b/>
          <w:szCs w:val="22"/>
        </w:rPr>
        <w:tab/>
      </w:r>
    </w:p>
    <w:p w14:paraId="2E36164D" w14:textId="77777777" w:rsidR="00624552" w:rsidRDefault="00624552">
      <w:pPr>
        <w:widowControl/>
        <w:tabs>
          <w:tab w:val="left" w:pos="0"/>
          <w:tab w:val="left" w:pos="720"/>
          <w:tab w:val="left" w:pos="5760"/>
        </w:tabs>
        <w:suppressAutoHyphens/>
        <w:rPr>
          <w:b/>
          <w:szCs w:val="22"/>
          <w:u w:val="single"/>
        </w:rPr>
      </w:pPr>
    </w:p>
    <w:p w14:paraId="6C026628" w14:textId="77777777" w:rsidR="00624552" w:rsidRDefault="00624552">
      <w:pPr>
        <w:numPr>
          <w:ilvl w:val="0"/>
          <w:numId w:val="4"/>
        </w:numPr>
        <w:tabs>
          <w:tab w:val="clear" w:pos="720"/>
          <w:tab w:val="left" w:pos="0"/>
          <w:tab w:val="num" w:pos="360"/>
          <w:tab w:val="left" w:pos="5760"/>
        </w:tabs>
        <w:suppressAutoHyphens/>
        <w:ind w:left="360"/>
        <w:rPr>
          <w:szCs w:val="22"/>
        </w:rPr>
        <w:sectPr w:rsidR="0062455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720" w:left="1440" w:header="720" w:footer="720" w:gutter="0"/>
          <w:pgNumType w:start="1"/>
          <w:cols w:space="720"/>
          <w:noEndnote/>
          <w:titlePg/>
        </w:sectPr>
      </w:pPr>
    </w:p>
    <w:p w14:paraId="3315F2BC" w14:textId="77777777" w:rsidR="009D5B9C" w:rsidRPr="00E03B88" w:rsidRDefault="009D5B9C" w:rsidP="009D5B9C">
      <w:r w:rsidRPr="00E03B88">
        <w:t>1.</w:t>
      </w:r>
      <w:r w:rsidRPr="00E03B88">
        <w:tab/>
        <w:t>AdTec</w:t>
      </w:r>
    </w:p>
    <w:p w14:paraId="6C0DE6D8" w14:textId="77777777" w:rsidR="009D5B9C" w:rsidRPr="00E03B88" w:rsidRDefault="009D5B9C" w:rsidP="009D5B9C">
      <w:r w:rsidRPr="00E03B88">
        <w:t>2.</w:t>
      </w:r>
      <w:r w:rsidRPr="00E03B88">
        <w:tab/>
        <w:t>ADTRAN, Inc.</w:t>
      </w:r>
    </w:p>
    <w:p w14:paraId="6C5DD06C" w14:textId="77777777" w:rsidR="009D5B9C" w:rsidRPr="00E03B88" w:rsidRDefault="009D5B9C" w:rsidP="009D5B9C">
      <w:r w:rsidRPr="00E03B88">
        <w:t>3.</w:t>
      </w:r>
      <w:r w:rsidRPr="00E03B88">
        <w:tab/>
        <w:t>Affiniti</w:t>
      </w:r>
    </w:p>
    <w:p w14:paraId="6611A50F" w14:textId="78640C02" w:rsidR="009D5B9C" w:rsidRPr="00E03B88" w:rsidRDefault="009D5B9C" w:rsidP="009D5B9C">
      <w:r w:rsidRPr="00E03B88">
        <w:t>4.</w:t>
      </w:r>
      <w:r w:rsidRPr="00E03B88">
        <w:tab/>
        <w:t>Bridge</w:t>
      </w:r>
      <w:r w:rsidR="00B67BB7">
        <w:t>r</w:t>
      </w:r>
      <w:r w:rsidRPr="00E03B88">
        <w:t xml:space="preserve"> Partners</w:t>
      </w:r>
    </w:p>
    <w:p w14:paraId="4DF62AF5" w14:textId="77777777" w:rsidR="009D5B9C" w:rsidRPr="00E03B88" w:rsidRDefault="009D5B9C" w:rsidP="009D5B9C">
      <w:r w:rsidRPr="00E03B88">
        <w:t>5.</w:t>
      </w:r>
      <w:r w:rsidRPr="00E03B88">
        <w:tab/>
        <w:t xml:space="preserve">Brocade Communications </w:t>
      </w:r>
    </w:p>
    <w:p w14:paraId="77DAD22A" w14:textId="77777777" w:rsidR="009D5B9C" w:rsidRPr="00E03B88" w:rsidRDefault="009D5B9C" w:rsidP="009D5B9C">
      <w:r w:rsidRPr="00E03B88">
        <w:t>6.</w:t>
      </w:r>
      <w:r w:rsidRPr="00E03B88">
        <w:tab/>
        <w:t>Buonassissi, Henning &amp; Lash</w:t>
      </w:r>
    </w:p>
    <w:p w14:paraId="20BD9B4F" w14:textId="4EF52FFC" w:rsidR="009D5B9C" w:rsidRPr="00E03B88" w:rsidRDefault="009D5B9C" w:rsidP="009D5B9C">
      <w:r w:rsidRPr="00E03B88">
        <w:t>7.</w:t>
      </w:r>
      <w:r w:rsidRPr="00E03B88">
        <w:tab/>
        <w:t>Education Networks of America</w:t>
      </w:r>
      <w:r w:rsidR="00B67BB7">
        <w:t xml:space="preserve"> (ENA)</w:t>
      </w:r>
    </w:p>
    <w:p w14:paraId="24FBD787" w14:textId="77777777" w:rsidR="009D5B9C" w:rsidRPr="00E03B88" w:rsidRDefault="009D5B9C" w:rsidP="009D5B9C">
      <w:r w:rsidRPr="00E03B88">
        <w:t>8.</w:t>
      </w:r>
      <w:r w:rsidRPr="00E03B88">
        <w:tab/>
        <w:t>EducationSuperHighway</w:t>
      </w:r>
    </w:p>
    <w:p w14:paraId="6C8827DD" w14:textId="193F59CA" w:rsidR="009D5B9C" w:rsidRPr="00E03B88" w:rsidRDefault="00B67BB7" w:rsidP="00B67BB7">
      <w:pPr>
        <w:ind w:left="720" w:hanging="720"/>
      </w:pPr>
      <w:r>
        <w:t>9.</w:t>
      </w:r>
      <w:r>
        <w:tab/>
        <w:t>E-Rate Management Professionals Association</w:t>
      </w:r>
      <w:r w:rsidR="00A31821">
        <w:t xml:space="preserve"> (E</w:t>
      </w:r>
      <w:r w:rsidR="008523A0">
        <w:t>-mpa</w:t>
      </w:r>
      <w:r>
        <w:t>)</w:t>
      </w:r>
    </w:p>
    <w:p w14:paraId="3E6E309D" w14:textId="77777777" w:rsidR="009D5B9C" w:rsidRPr="00E03B88" w:rsidRDefault="009D5B9C" w:rsidP="009D5B9C">
      <w:r w:rsidRPr="00E03B88">
        <w:t>10.</w:t>
      </w:r>
      <w:r w:rsidRPr="00E03B88">
        <w:tab/>
        <w:t>E-Rate Provider Services</w:t>
      </w:r>
    </w:p>
    <w:p w14:paraId="244BBD18" w14:textId="149A48AD" w:rsidR="009D5B9C" w:rsidRPr="00E03B88" w:rsidRDefault="00B67BB7" w:rsidP="00B67BB7">
      <w:pPr>
        <w:ind w:left="720" w:hanging="720"/>
      </w:pPr>
      <w:r>
        <w:t>11.</w:t>
      </w:r>
      <w:r>
        <w:tab/>
        <w:t>Florida Department of Management Services</w:t>
      </w:r>
    </w:p>
    <w:p w14:paraId="08A21531" w14:textId="77777777" w:rsidR="009D5B9C" w:rsidRDefault="009D5B9C" w:rsidP="009D5B9C">
      <w:r w:rsidRPr="00E03B88">
        <w:t>12.</w:t>
      </w:r>
      <w:r w:rsidRPr="00E03B88">
        <w:tab/>
        <w:t>Funds for Learning</w:t>
      </w:r>
    </w:p>
    <w:p w14:paraId="312DB332" w14:textId="4140526A" w:rsidR="00B67BB7" w:rsidRPr="00E03B88" w:rsidRDefault="00B67BB7" w:rsidP="009D5B9C">
      <w:r>
        <w:t>13.</w:t>
      </w:r>
      <w:r>
        <w:tab/>
        <w:t>Information Transport Solutions</w:t>
      </w:r>
    </w:p>
    <w:p w14:paraId="4D13B99D" w14:textId="2D625AD3" w:rsidR="009D5B9C" w:rsidRPr="00E03B88" w:rsidRDefault="00B67BB7" w:rsidP="009D5B9C">
      <w:r>
        <w:t>14</w:t>
      </w:r>
      <w:r w:rsidR="009D5B9C" w:rsidRPr="00E03B88">
        <w:t>.</w:t>
      </w:r>
      <w:r w:rsidR="009D5B9C" w:rsidRPr="00E03B88">
        <w:tab/>
        <w:t>James Idol</w:t>
      </w:r>
    </w:p>
    <w:p w14:paraId="08C49A73" w14:textId="5BBD896C" w:rsidR="009D5B9C" w:rsidRPr="00E03B88" w:rsidRDefault="00B67BB7" w:rsidP="009D5B9C">
      <w:r>
        <w:t>15</w:t>
      </w:r>
      <w:r w:rsidR="009D5B9C" w:rsidRPr="00E03B88">
        <w:t>.</w:t>
      </w:r>
      <w:r w:rsidR="009D5B9C" w:rsidRPr="00E03B88">
        <w:tab/>
        <w:t>Jim Cox</w:t>
      </w:r>
    </w:p>
    <w:p w14:paraId="7965DC28" w14:textId="36823DC7" w:rsidR="009D5B9C" w:rsidRPr="00E03B88" w:rsidRDefault="00B67BB7" w:rsidP="009D5B9C">
      <w:r>
        <w:t>16</w:t>
      </w:r>
      <w:r w:rsidR="009D5B9C" w:rsidRPr="00E03B88">
        <w:t>.</w:t>
      </w:r>
      <w:r w:rsidR="009D5B9C" w:rsidRPr="00E03B88">
        <w:tab/>
        <w:t>Jim White</w:t>
      </w:r>
    </w:p>
    <w:p w14:paraId="53BBD514" w14:textId="73AE7C40" w:rsidR="009D5B9C" w:rsidRPr="00E03B88" w:rsidRDefault="00B67BB7" w:rsidP="009D5B9C">
      <w:r>
        <w:t>17</w:t>
      </w:r>
      <w:r w:rsidR="009D5B9C" w:rsidRPr="00E03B88">
        <w:t>.</w:t>
      </w:r>
      <w:r w:rsidR="009D5B9C" w:rsidRPr="00E03B88">
        <w:tab/>
        <w:t>Joe St. Sauver</w:t>
      </w:r>
    </w:p>
    <w:p w14:paraId="67EA457E" w14:textId="1BE4A659" w:rsidR="009D5B9C" w:rsidRPr="00E03B88" w:rsidRDefault="00B67BB7" w:rsidP="009D5B9C">
      <w:r>
        <w:t>18.</w:t>
      </w:r>
      <w:r>
        <w:tab/>
        <w:t xml:space="preserve">MetComm.Net </w:t>
      </w:r>
    </w:p>
    <w:p w14:paraId="2178DBD3" w14:textId="356DA51A" w:rsidR="009D5B9C" w:rsidRPr="00E03B88" w:rsidRDefault="00B67BB7" w:rsidP="009D5B9C">
      <w:r>
        <w:t>19</w:t>
      </w:r>
      <w:r w:rsidR="009D5B9C" w:rsidRPr="00E03B88">
        <w:t>.</w:t>
      </w:r>
      <w:r w:rsidR="009D5B9C" w:rsidRPr="00E03B88">
        <w:tab/>
        <w:t>Mitel Netsolutions</w:t>
      </w:r>
    </w:p>
    <w:p w14:paraId="3495FA74" w14:textId="278982CC" w:rsidR="009D5B9C" w:rsidRPr="00E03B88" w:rsidRDefault="00B67BB7" w:rsidP="00B67BB7">
      <w:pPr>
        <w:ind w:left="720" w:hanging="720"/>
      </w:pPr>
      <w:r>
        <w:t>20.</w:t>
      </w:r>
      <w:r>
        <w:tab/>
        <w:t>Minority Media and Telecommunications Council and the Rainbow Push Coalition</w:t>
      </w:r>
      <w:r w:rsidR="00A31821">
        <w:t xml:space="preserve"> (MMTC)</w:t>
      </w:r>
    </w:p>
    <w:p w14:paraId="78B614F2" w14:textId="3E1634C1" w:rsidR="009D5B9C" w:rsidRPr="00E03B88" w:rsidRDefault="00B67BB7" w:rsidP="009D5B9C">
      <w:r>
        <w:t>21</w:t>
      </w:r>
      <w:r w:rsidR="009D5B9C" w:rsidRPr="00E03B88">
        <w:t>.</w:t>
      </w:r>
      <w:r w:rsidR="009D5B9C" w:rsidRPr="00E03B88">
        <w:tab/>
        <w:t>NetDiverse</w:t>
      </w:r>
    </w:p>
    <w:p w14:paraId="7C4E7BD3" w14:textId="29EC982B" w:rsidR="009D5B9C" w:rsidRPr="00E03B88" w:rsidRDefault="00B67BB7" w:rsidP="00B67BB7">
      <w:pPr>
        <w:ind w:left="720" w:hanging="720"/>
      </w:pPr>
      <w:r>
        <w:t>22</w:t>
      </w:r>
      <w:r w:rsidR="009D5B9C" w:rsidRPr="00E03B88">
        <w:t>.</w:t>
      </w:r>
      <w:r w:rsidR="009D5B9C" w:rsidRPr="00E03B88">
        <w:tab/>
      </w:r>
      <w:r>
        <w:t>New York City Department</w:t>
      </w:r>
      <w:r w:rsidRPr="00E03B88">
        <w:t xml:space="preserve"> of Ed</w:t>
      </w:r>
      <w:r>
        <w:t>ucation</w:t>
      </w:r>
    </w:p>
    <w:p w14:paraId="69F14DDA" w14:textId="1784DF24" w:rsidR="009D5B9C" w:rsidRPr="00E03B88" w:rsidRDefault="00B67BB7" w:rsidP="00BD2E64">
      <w:pPr>
        <w:ind w:left="720" w:hanging="720"/>
      </w:pPr>
      <w:r>
        <w:t>23</w:t>
      </w:r>
      <w:r w:rsidR="00BD2E64">
        <w:t>.</w:t>
      </w:r>
      <w:r w:rsidR="00BD2E64">
        <w:tab/>
      </w:r>
      <w:r w:rsidRPr="00E03B88">
        <w:t>North Carolina</w:t>
      </w:r>
      <w:r>
        <w:t xml:space="preserve"> Department of Education </w:t>
      </w:r>
    </w:p>
    <w:p w14:paraId="69449C4E" w14:textId="0B9DDEE6" w:rsidR="009D5B9C" w:rsidRPr="00E03B88" w:rsidRDefault="00B67BB7" w:rsidP="009D5B9C">
      <w:r>
        <w:t>24</w:t>
      </w:r>
      <w:r w:rsidR="009D5B9C" w:rsidRPr="00E03B88">
        <w:t>.</w:t>
      </w:r>
      <w:r w:rsidR="009D5B9C" w:rsidRPr="00E03B88">
        <w:tab/>
        <w:t>Pat Cassella</w:t>
      </w:r>
    </w:p>
    <w:p w14:paraId="082D3CB3" w14:textId="10765EAF" w:rsidR="009D5B9C" w:rsidRPr="00E03B88" w:rsidRDefault="00B67BB7" w:rsidP="009D5B9C">
      <w:r>
        <w:t>25</w:t>
      </w:r>
      <w:r w:rsidR="009D5B9C" w:rsidRPr="00E03B88">
        <w:t>.</w:t>
      </w:r>
      <w:r w:rsidR="009D5B9C" w:rsidRPr="00E03B88">
        <w:tab/>
        <w:t>Randy Gibbs</w:t>
      </w:r>
    </w:p>
    <w:p w14:paraId="68D44BB1" w14:textId="6D9182AE" w:rsidR="009D5B9C" w:rsidRPr="00E03B88" w:rsidRDefault="00B67BB7" w:rsidP="009D5B9C">
      <w:r>
        <w:t>26</w:t>
      </w:r>
      <w:r w:rsidR="009D5B9C" w:rsidRPr="00E03B88">
        <w:t>.</w:t>
      </w:r>
      <w:r w:rsidR="009D5B9C" w:rsidRPr="00E03B88">
        <w:tab/>
        <w:t>Safari Montage</w:t>
      </w:r>
      <w:r w:rsidR="00BD2E64">
        <w:t xml:space="preserve"> (Safari)</w:t>
      </w:r>
    </w:p>
    <w:p w14:paraId="1038DB95" w14:textId="61407837" w:rsidR="00BD2E64" w:rsidRPr="00E03B88" w:rsidRDefault="009D5B9C" w:rsidP="009D5B9C">
      <w:r w:rsidRPr="00E03B88">
        <w:t>27.</w:t>
      </w:r>
      <w:r w:rsidRPr="00E03B88">
        <w:tab/>
        <w:t>Sprint</w:t>
      </w:r>
      <w:r w:rsidR="00BD2E64">
        <w:t xml:space="preserve"> Corporation (Sprint)</w:t>
      </w:r>
    </w:p>
    <w:p w14:paraId="475CBCE9" w14:textId="79F90DAB" w:rsidR="00BD2E64" w:rsidRDefault="009D5B9C" w:rsidP="00BD2E64">
      <w:pPr>
        <w:ind w:left="720" w:hanging="720"/>
      </w:pPr>
      <w:r w:rsidRPr="00E03B88">
        <w:t>28.</w:t>
      </w:r>
      <w:r w:rsidRPr="00E03B88">
        <w:tab/>
      </w:r>
      <w:r w:rsidR="00BD2E64">
        <w:t>State E-rate Coordinators’ Alliance (SECA)</w:t>
      </w:r>
    </w:p>
    <w:p w14:paraId="024F5236" w14:textId="07CEE73B" w:rsidR="00B67BB7" w:rsidRDefault="00A31821" w:rsidP="00BD2E64">
      <w:pPr>
        <w:ind w:left="720" w:hanging="720"/>
      </w:pPr>
      <w:r>
        <w:t>29.</w:t>
      </w:r>
      <w:r>
        <w:tab/>
      </w:r>
      <w:r w:rsidR="00B67BB7">
        <w:t>The PSC Group</w:t>
      </w:r>
    </w:p>
    <w:p w14:paraId="52D2D58A" w14:textId="244F05F4" w:rsidR="009D5B9C" w:rsidRDefault="00B67BB7" w:rsidP="009D5B9C">
      <w:r>
        <w:t>30</w:t>
      </w:r>
      <w:r w:rsidR="00BD2E64">
        <w:t>.</w:t>
      </w:r>
      <w:r w:rsidR="00BD2E64">
        <w:tab/>
      </w:r>
      <w:r w:rsidR="009D5B9C" w:rsidRPr="00E03B88">
        <w:t>Urban Libraries Council</w:t>
      </w:r>
    </w:p>
    <w:p w14:paraId="628E6144" w14:textId="1C8E1422" w:rsidR="00BD2E64" w:rsidRPr="00E03B88" w:rsidRDefault="00B67BB7" w:rsidP="00B67BB7">
      <w:pPr>
        <w:ind w:left="720" w:hanging="720"/>
      </w:pPr>
      <w:r>
        <w:t>31</w:t>
      </w:r>
      <w:r w:rsidR="00BD2E64">
        <w:t>.</w:t>
      </w:r>
      <w:r w:rsidR="00BD2E64">
        <w:tab/>
        <w:t>Wis</w:t>
      </w:r>
      <w:r>
        <w:t>c</w:t>
      </w:r>
      <w:r w:rsidR="00BD2E64">
        <w:t xml:space="preserve">onsin </w:t>
      </w:r>
      <w:r>
        <w:t>Department of Public Instruction</w:t>
      </w:r>
    </w:p>
    <w:p w14:paraId="7D56E586" w14:textId="77777777" w:rsidR="00624552" w:rsidRDefault="00624552">
      <w:pPr>
        <w:tabs>
          <w:tab w:val="left" w:pos="0"/>
          <w:tab w:val="left" w:pos="360"/>
          <w:tab w:val="left" w:pos="450"/>
        </w:tabs>
        <w:suppressAutoHyphens/>
        <w:rPr>
          <w:szCs w:val="22"/>
        </w:rPr>
      </w:pPr>
    </w:p>
    <w:p w14:paraId="09B03015" w14:textId="77777777" w:rsidR="00624552" w:rsidRDefault="00624552">
      <w:pPr>
        <w:tabs>
          <w:tab w:val="left" w:pos="0"/>
          <w:tab w:val="left" w:pos="360"/>
          <w:tab w:val="left" w:pos="450"/>
        </w:tabs>
        <w:suppressAutoHyphens/>
        <w:rPr>
          <w:szCs w:val="22"/>
        </w:rPr>
      </w:pPr>
    </w:p>
    <w:p w14:paraId="47314668" w14:textId="77777777" w:rsidR="00624552" w:rsidRDefault="00624552">
      <w:pPr>
        <w:pStyle w:val="ParaNum"/>
        <w:widowControl/>
        <w:tabs>
          <w:tab w:val="num" w:pos="360"/>
        </w:tabs>
        <w:spacing w:before="100" w:beforeAutospacing="1" w:after="0"/>
        <w:ind w:left="360" w:hanging="360"/>
        <w:rPr>
          <w:b/>
          <w:szCs w:val="22"/>
        </w:rPr>
      </w:pPr>
    </w:p>
    <w:p w14:paraId="4866E723" w14:textId="77777777" w:rsidR="00624552" w:rsidRDefault="00624552">
      <w:pPr>
        <w:pStyle w:val="ParaNum"/>
        <w:widowControl/>
        <w:spacing w:after="0"/>
        <w:rPr>
          <w:b/>
          <w:szCs w:val="22"/>
          <w:u w:val="single"/>
        </w:rPr>
        <w:sectPr w:rsidR="00624552">
          <w:endnotePr>
            <w:numFmt w:val="decimal"/>
          </w:endnotePr>
          <w:type w:val="continuous"/>
          <w:pgSz w:w="12240" w:h="15840"/>
          <w:pgMar w:top="1440" w:right="1440" w:bottom="720" w:left="1440" w:header="720" w:footer="720" w:gutter="0"/>
          <w:cols w:num="2" w:space="720" w:equalWidth="0">
            <w:col w:w="4320" w:space="720"/>
            <w:col w:w="4320"/>
          </w:cols>
          <w:noEndnote/>
          <w:titlePg/>
        </w:sectPr>
      </w:pPr>
    </w:p>
    <w:p w14:paraId="2EBDFE03" w14:textId="77777777" w:rsidR="00624552" w:rsidRDefault="00624552">
      <w:pPr>
        <w:pStyle w:val="ParaNum"/>
        <w:widowControl/>
        <w:spacing w:after="0"/>
        <w:rPr>
          <w:b/>
          <w:szCs w:val="22"/>
          <w:u w:val="single"/>
        </w:rPr>
      </w:pPr>
    </w:p>
    <w:p w14:paraId="49C679D4" w14:textId="77777777" w:rsidR="00624552" w:rsidRDefault="00624552">
      <w:pPr>
        <w:pStyle w:val="ParaNum"/>
        <w:widowControl/>
        <w:spacing w:after="0"/>
        <w:rPr>
          <w:b/>
          <w:szCs w:val="22"/>
          <w:u w:val="single"/>
        </w:rPr>
      </w:pPr>
    </w:p>
    <w:p w14:paraId="5E3C9175" w14:textId="77777777" w:rsidR="00624552" w:rsidRPr="004E5CBA" w:rsidRDefault="00624552">
      <w:pPr>
        <w:pStyle w:val="ParaNum"/>
        <w:widowControl/>
        <w:spacing w:after="0"/>
        <w:rPr>
          <w:b/>
          <w:szCs w:val="22"/>
        </w:rPr>
      </w:pPr>
      <w:r w:rsidRPr="004E5CBA">
        <w:rPr>
          <w:b/>
          <w:szCs w:val="22"/>
          <w:u w:val="single"/>
        </w:rPr>
        <w:t>Reply Commenters</w:t>
      </w:r>
      <w:r w:rsidRPr="004E5CBA">
        <w:rPr>
          <w:b/>
          <w:szCs w:val="22"/>
        </w:rPr>
        <w:tab/>
      </w:r>
      <w:r w:rsidRPr="004E5CBA">
        <w:rPr>
          <w:b/>
          <w:szCs w:val="22"/>
        </w:rPr>
        <w:tab/>
      </w:r>
      <w:r w:rsidRPr="004E5CBA">
        <w:rPr>
          <w:b/>
          <w:szCs w:val="22"/>
        </w:rPr>
        <w:tab/>
      </w:r>
      <w:r w:rsidRPr="004E5CBA">
        <w:rPr>
          <w:b/>
          <w:szCs w:val="22"/>
        </w:rPr>
        <w:tab/>
      </w:r>
      <w:r w:rsidRPr="004E5CBA">
        <w:rPr>
          <w:b/>
          <w:szCs w:val="22"/>
        </w:rPr>
        <w:tab/>
      </w:r>
      <w:r w:rsidRPr="004E5CBA">
        <w:rPr>
          <w:b/>
          <w:szCs w:val="22"/>
        </w:rPr>
        <w:tab/>
      </w:r>
      <w:r w:rsidRPr="004E5CBA">
        <w:rPr>
          <w:b/>
          <w:szCs w:val="22"/>
        </w:rPr>
        <w:tab/>
      </w:r>
    </w:p>
    <w:p w14:paraId="54A50E5E" w14:textId="77777777" w:rsidR="00624552" w:rsidRPr="004E5CBA" w:rsidRDefault="00624552">
      <w:pPr>
        <w:pStyle w:val="ParaNum"/>
        <w:widowControl/>
        <w:spacing w:after="0"/>
        <w:rPr>
          <w:b/>
          <w:szCs w:val="22"/>
        </w:rPr>
      </w:pPr>
    </w:p>
    <w:p w14:paraId="5B251652" w14:textId="77777777" w:rsidR="009D5B9C" w:rsidRPr="004E5CBA" w:rsidRDefault="00DE1778" w:rsidP="009D5B9C">
      <w:pPr>
        <w:rPr>
          <w:szCs w:val="22"/>
        </w:rPr>
      </w:pPr>
      <w:r w:rsidRPr="00E344F5">
        <w:rPr>
          <w:szCs w:val="22"/>
        </w:rPr>
        <w:t>1.</w:t>
      </w:r>
      <w:r w:rsidRPr="00E344F5">
        <w:rPr>
          <w:szCs w:val="22"/>
        </w:rPr>
        <w:tab/>
      </w:r>
      <w:r w:rsidR="003C0757" w:rsidRPr="004E5CBA">
        <w:rPr>
          <w:szCs w:val="22"/>
        </w:rPr>
        <w:t>Alcatel-Lucent</w:t>
      </w:r>
    </w:p>
    <w:p w14:paraId="38D63064" w14:textId="77777777" w:rsidR="00DE1778" w:rsidRPr="004E5CBA" w:rsidRDefault="009D5B9C" w:rsidP="00DE1778">
      <w:pPr>
        <w:rPr>
          <w:szCs w:val="22"/>
        </w:rPr>
      </w:pPr>
      <w:r w:rsidRPr="004E5CBA">
        <w:rPr>
          <w:szCs w:val="22"/>
        </w:rPr>
        <w:t>2.</w:t>
      </w:r>
      <w:r w:rsidRPr="004E5CBA">
        <w:rPr>
          <w:szCs w:val="22"/>
        </w:rPr>
        <w:tab/>
      </w:r>
      <w:r w:rsidR="003C0757" w:rsidRPr="004E5CBA">
        <w:rPr>
          <w:szCs w:val="22"/>
        </w:rPr>
        <w:t>Ericsson</w:t>
      </w:r>
    </w:p>
    <w:p w14:paraId="0C0B35B0" w14:textId="77777777" w:rsidR="003C0757" w:rsidRPr="004E5CBA" w:rsidRDefault="003C0757" w:rsidP="00DE1778">
      <w:pPr>
        <w:rPr>
          <w:szCs w:val="22"/>
        </w:rPr>
      </w:pPr>
      <w:r w:rsidRPr="004E5CBA">
        <w:rPr>
          <w:szCs w:val="22"/>
        </w:rPr>
        <w:t>3.</w:t>
      </w:r>
      <w:r w:rsidRPr="004E5CBA">
        <w:rPr>
          <w:szCs w:val="22"/>
        </w:rPr>
        <w:tab/>
        <w:t>General Communication, Inc.</w:t>
      </w:r>
    </w:p>
    <w:p w14:paraId="25174DBF" w14:textId="77777777" w:rsidR="003C0757" w:rsidRPr="004E5CBA" w:rsidRDefault="003C0757" w:rsidP="00DE1778">
      <w:pPr>
        <w:rPr>
          <w:szCs w:val="22"/>
        </w:rPr>
      </w:pPr>
      <w:r w:rsidRPr="004E5CBA">
        <w:rPr>
          <w:szCs w:val="22"/>
        </w:rPr>
        <w:t>4.</w:t>
      </w:r>
      <w:r w:rsidRPr="004E5CBA">
        <w:rPr>
          <w:szCs w:val="22"/>
        </w:rPr>
        <w:tab/>
        <w:t>Kellogg &amp; Sovereign® Consulting, LLC</w:t>
      </w:r>
    </w:p>
    <w:p w14:paraId="0A0E63B1" w14:textId="77777777" w:rsidR="003C0757" w:rsidRPr="004E5CBA" w:rsidRDefault="003C0757" w:rsidP="00DE1778">
      <w:pPr>
        <w:rPr>
          <w:szCs w:val="22"/>
        </w:rPr>
      </w:pPr>
      <w:r w:rsidRPr="004E5CBA">
        <w:rPr>
          <w:szCs w:val="22"/>
        </w:rPr>
        <w:t>5</w:t>
      </w:r>
      <w:r w:rsidRPr="004E5CBA">
        <w:rPr>
          <w:szCs w:val="22"/>
        </w:rPr>
        <w:tab/>
        <w:t>LGBT Technology Partnership</w:t>
      </w:r>
    </w:p>
    <w:p w14:paraId="651345D4" w14:textId="77777777" w:rsidR="003C0757" w:rsidRPr="004E5CBA" w:rsidRDefault="003C0757" w:rsidP="00DE1778">
      <w:pPr>
        <w:rPr>
          <w:szCs w:val="22"/>
        </w:rPr>
      </w:pPr>
      <w:r w:rsidRPr="004E5CBA">
        <w:rPr>
          <w:szCs w:val="22"/>
        </w:rPr>
        <w:t>6.</w:t>
      </w:r>
      <w:r w:rsidRPr="004E5CBA">
        <w:rPr>
          <w:szCs w:val="22"/>
        </w:rPr>
        <w:tab/>
        <w:t>National Association of State Chief Information Officers</w:t>
      </w:r>
    </w:p>
    <w:p w14:paraId="2F6ACFA0" w14:textId="77777777" w:rsidR="003C0757" w:rsidRPr="004E5CBA" w:rsidRDefault="003C0757" w:rsidP="00DE1778">
      <w:pPr>
        <w:rPr>
          <w:szCs w:val="22"/>
        </w:rPr>
      </w:pPr>
      <w:r w:rsidRPr="004E5CBA">
        <w:rPr>
          <w:szCs w:val="22"/>
        </w:rPr>
        <w:t>7.</w:t>
      </w:r>
      <w:r w:rsidRPr="004E5CBA">
        <w:rPr>
          <w:szCs w:val="22"/>
        </w:rPr>
        <w:tab/>
        <w:t>NTCA–The Rural Broadband Association</w:t>
      </w:r>
    </w:p>
    <w:p w14:paraId="2FABFF66" w14:textId="77777777" w:rsidR="003C0757" w:rsidRPr="004E5CBA" w:rsidRDefault="003C0757" w:rsidP="00DE1778">
      <w:pPr>
        <w:rPr>
          <w:szCs w:val="22"/>
        </w:rPr>
      </w:pPr>
      <w:r w:rsidRPr="004E5CBA">
        <w:rPr>
          <w:szCs w:val="22"/>
        </w:rPr>
        <w:t>8.</w:t>
      </w:r>
      <w:r w:rsidRPr="004E5CBA">
        <w:rPr>
          <w:szCs w:val="22"/>
        </w:rPr>
        <w:tab/>
        <w:t>Philip B. Gieseler</w:t>
      </w:r>
    </w:p>
    <w:p w14:paraId="7471B076" w14:textId="77777777" w:rsidR="009D5B9C" w:rsidRPr="004E5CBA" w:rsidRDefault="003C0757" w:rsidP="003C0757">
      <w:pPr>
        <w:autoSpaceDE w:val="0"/>
        <w:autoSpaceDN w:val="0"/>
        <w:adjustRightInd w:val="0"/>
        <w:rPr>
          <w:rFonts w:eastAsiaTheme="minorHAnsi"/>
          <w:kern w:val="0"/>
          <w:szCs w:val="22"/>
        </w:rPr>
      </w:pPr>
      <w:r w:rsidRPr="004E5CBA">
        <w:rPr>
          <w:szCs w:val="22"/>
        </w:rPr>
        <w:t>9.</w:t>
      </w:r>
      <w:r w:rsidRPr="004E5CBA">
        <w:rPr>
          <w:szCs w:val="22"/>
        </w:rPr>
        <w:tab/>
      </w:r>
      <w:r w:rsidRPr="004E5CBA">
        <w:rPr>
          <w:rFonts w:eastAsiaTheme="minorHAnsi"/>
          <w:kern w:val="0"/>
          <w:szCs w:val="22"/>
        </w:rPr>
        <w:t>Telepak Networks, Inc. and Cellular South, Inc. (C Spire)</w:t>
      </w:r>
    </w:p>
    <w:p w14:paraId="488B98DA" w14:textId="77777777" w:rsidR="003C0757" w:rsidRPr="004E5CBA" w:rsidRDefault="003C0757" w:rsidP="003C0757">
      <w:pPr>
        <w:autoSpaceDE w:val="0"/>
        <w:autoSpaceDN w:val="0"/>
        <w:adjustRightInd w:val="0"/>
        <w:rPr>
          <w:szCs w:val="22"/>
        </w:rPr>
      </w:pPr>
      <w:r w:rsidRPr="004E5CBA">
        <w:rPr>
          <w:rFonts w:eastAsiaTheme="minorHAnsi"/>
          <w:kern w:val="0"/>
          <w:szCs w:val="22"/>
        </w:rPr>
        <w:t>10.</w:t>
      </w:r>
      <w:r w:rsidRPr="004E5CBA">
        <w:rPr>
          <w:rFonts w:eastAsiaTheme="minorHAnsi"/>
          <w:kern w:val="0"/>
          <w:szCs w:val="22"/>
        </w:rPr>
        <w:tab/>
      </w:r>
      <w:r w:rsidRPr="004E5CBA">
        <w:rPr>
          <w:szCs w:val="22"/>
        </w:rPr>
        <w:t>TV Band Service, LLC</w:t>
      </w:r>
    </w:p>
    <w:p w14:paraId="2E73B1F2" w14:textId="77777777" w:rsidR="00624552" w:rsidRDefault="00D25184" w:rsidP="00D25184">
      <w:pPr>
        <w:autoSpaceDE w:val="0"/>
        <w:autoSpaceDN w:val="0"/>
        <w:adjustRightInd w:val="0"/>
        <w:rPr>
          <w:szCs w:val="22"/>
        </w:rPr>
      </w:pPr>
      <w:r w:rsidRPr="004E5CBA">
        <w:rPr>
          <w:szCs w:val="22"/>
        </w:rPr>
        <w:t>11.</w:t>
      </w:r>
      <w:r w:rsidRPr="004E5CBA">
        <w:rPr>
          <w:szCs w:val="22"/>
        </w:rPr>
        <w:tab/>
        <w:t>Verizon</w:t>
      </w:r>
    </w:p>
    <w:p w14:paraId="277E6715" w14:textId="77777777" w:rsidR="00376C6E" w:rsidRDefault="00624552" w:rsidP="0041372F">
      <w:pPr>
        <w:pStyle w:val="ParaNum"/>
        <w:widowControl/>
        <w:spacing w:after="480"/>
        <w:jc w:val="center"/>
        <w:rPr>
          <w:b/>
          <w:kern w:val="0"/>
        </w:rPr>
      </w:pPr>
      <w:r>
        <w:rPr>
          <w:szCs w:val="22"/>
        </w:rPr>
        <w:br w:type="page"/>
      </w:r>
      <w:r>
        <w:rPr>
          <w:b/>
          <w:kern w:val="0"/>
        </w:rPr>
        <w:t>APPENDIX B</w:t>
      </w:r>
    </w:p>
    <w:p w14:paraId="3745661F" w14:textId="0052E3B5" w:rsidR="0087637A" w:rsidRPr="0087637A" w:rsidRDefault="0087637A" w:rsidP="0087637A">
      <w:pPr>
        <w:widowControl/>
        <w:jc w:val="center"/>
        <w:rPr>
          <w:b/>
          <w:kern w:val="0"/>
          <w:sz w:val="24"/>
          <w:szCs w:val="24"/>
          <w:u w:val="single"/>
        </w:rPr>
      </w:pPr>
      <w:r w:rsidRPr="0041372F">
        <w:rPr>
          <w:b/>
          <w:kern w:val="0"/>
          <w:sz w:val="24"/>
          <w:szCs w:val="24"/>
        </w:rPr>
        <w:t>Services and Components No Longer Eligible for Support (Effective Funding Year 2015)</w:t>
      </w:r>
      <w:r w:rsidRPr="00F50229">
        <w:rPr>
          <w:rStyle w:val="FootnoteReference"/>
          <w:kern w:val="0"/>
        </w:rPr>
        <w:footnoteReference w:id="61"/>
      </w:r>
    </w:p>
    <w:p w14:paraId="7C6B96C3" w14:textId="77777777" w:rsidR="0087637A" w:rsidRPr="0087637A" w:rsidRDefault="0087637A" w:rsidP="0087637A">
      <w:pPr>
        <w:widowControl/>
        <w:jc w:val="center"/>
        <w:rPr>
          <w:b/>
          <w:kern w:val="0"/>
          <w:szCs w:val="22"/>
          <w:u w:val="single"/>
        </w:rPr>
      </w:pPr>
    </w:p>
    <w:tbl>
      <w:tblPr>
        <w:tblStyle w:val="TableGrid"/>
        <w:tblW w:w="0" w:type="auto"/>
        <w:tblLook w:val="04A0" w:firstRow="1" w:lastRow="0" w:firstColumn="1" w:lastColumn="0" w:noHBand="0" w:noVBand="1"/>
      </w:tblPr>
      <w:tblGrid>
        <w:gridCol w:w="4788"/>
        <w:gridCol w:w="4788"/>
      </w:tblGrid>
      <w:tr w:rsidR="0087637A" w:rsidRPr="0087637A" w14:paraId="78689722" w14:textId="77777777" w:rsidTr="006E3382">
        <w:tc>
          <w:tcPr>
            <w:tcW w:w="4788" w:type="dxa"/>
            <w:shd w:val="clear" w:color="auto" w:fill="8DB3E2" w:themeFill="text2" w:themeFillTint="66"/>
          </w:tcPr>
          <w:p w14:paraId="4683BF6F" w14:textId="77777777" w:rsidR="0087637A" w:rsidRPr="0087637A" w:rsidRDefault="0087637A" w:rsidP="0087637A">
            <w:pPr>
              <w:widowControl/>
              <w:jc w:val="center"/>
              <w:rPr>
                <w:rFonts w:ascii="Times New Roman" w:hAnsi="Times New Roman" w:cs="Times New Roman"/>
                <w:b/>
                <w:kern w:val="0"/>
              </w:rPr>
            </w:pPr>
            <w:r w:rsidRPr="0087637A">
              <w:rPr>
                <w:rFonts w:ascii="Times New Roman" w:hAnsi="Times New Roman" w:cs="Times New Roman"/>
                <w:b/>
                <w:kern w:val="0"/>
              </w:rPr>
              <w:t>Category One (Priority One)</w:t>
            </w:r>
          </w:p>
        </w:tc>
        <w:tc>
          <w:tcPr>
            <w:tcW w:w="4788" w:type="dxa"/>
            <w:shd w:val="clear" w:color="auto" w:fill="8DB3E2" w:themeFill="text2" w:themeFillTint="66"/>
          </w:tcPr>
          <w:p w14:paraId="4753E442" w14:textId="77777777" w:rsidR="0087637A" w:rsidRPr="0087637A" w:rsidRDefault="0087637A" w:rsidP="0087637A">
            <w:pPr>
              <w:widowControl/>
              <w:jc w:val="center"/>
              <w:rPr>
                <w:rFonts w:ascii="Times New Roman" w:hAnsi="Times New Roman" w:cs="Times New Roman"/>
                <w:b/>
                <w:kern w:val="0"/>
              </w:rPr>
            </w:pPr>
            <w:r w:rsidRPr="0087637A">
              <w:rPr>
                <w:rFonts w:ascii="Times New Roman" w:hAnsi="Times New Roman" w:cs="Times New Roman"/>
                <w:b/>
                <w:kern w:val="0"/>
              </w:rPr>
              <w:t>Category Two (Priority Two)</w:t>
            </w:r>
          </w:p>
        </w:tc>
      </w:tr>
      <w:tr w:rsidR="0087637A" w:rsidRPr="0087637A" w14:paraId="6841598D" w14:textId="77777777" w:rsidTr="006E3382">
        <w:tc>
          <w:tcPr>
            <w:tcW w:w="4788" w:type="dxa"/>
          </w:tcPr>
          <w:p w14:paraId="5F7AE76A" w14:textId="00003E81" w:rsidR="0087637A" w:rsidRDefault="0087637A" w:rsidP="0087637A">
            <w:pPr>
              <w:widowControl/>
              <w:rPr>
                <w:rFonts w:ascii="Times New Roman" w:hAnsi="Times New Roman" w:cs="Times New Roman"/>
                <w:kern w:val="0"/>
              </w:rPr>
            </w:pPr>
            <w:r w:rsidRPr="0087637A">
              <w:rPr>
                <w:rFonts w:ascii="Times New Roman" w:hAnsi="Times New Roman" w:cs="Times New Roman"/>
                <w:kern w:val="0"/>
              </w:rPr>
              <w:t xml:space="preserve">Services and telephone components that were listed as eligible in the former Priority One category: </w:t>
            </w:r>
          </w:p>
          <w:p w14:paraId="090CB54A" w14:textId="77777777" w:rsidR="0087637A" w:rsidRPr="0087637A" w:rsidRDefault="0087637A" w:rsidP="0087637A">
            <w:pPr>
              <w:widowControl/>
              <w:rPr>
                <w:rFonts w:ascii="Times New Roman" w:hAnsi="Times New Roman" w:cs="Times New Roman"/>
                <w:kern w:val="0"/>
              </w:rPr>
            </w:pPr>
          </w:p>
          <w:p w14:paraId="47937AF3"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900/976 call blocking </w:t>
            </w:r>
          </w:p>
          <w:p w14:paraId="7FE0966A"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custom calling services </w:t>
            </w:r>
          </w:p>
          <w:p w14:paraId="65F74E0D"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direct inward dialing </w:t>
            </w:r>
          </w:p>
          <w:p w14:paraId="5B7A3824" w14:textId="77777777" w:rsidR="0087637A" w:rsidRPr="0087637A" w:rsidRDefault="0087637A" w:rsidP="0087637A">
            <w:pPr>
              <w:widowControl/>
              <w:numPr>
                <w:ilvl w:val="0"/>
                <w:numId w:val="15"/>
              </w:numPr>
              <w:contextualSpacing/>
              <w:rPr>
                <w:rFonts w:ascii="Times New Roman" w:eastAsia="Times New Roman" w:hAnsi="Times New Roman" w:cs="Times New Roman"/>
                <w:b/>
                <w:kern w:val="0"/>
                <w:u w:val="single"/>
              </w:rPr>
            </w:pPr>
            <w:r w:rsidRPr="0087637A">
              <w:rPr>
                <w:rFonts w:ascii="Times New Roman" w:hAnsi="Times New Roman" w:cs="Times New Roman"/>
                <w:kern w:val="0"/>
              </w:rPr>
              <w:t xml:space="preserve">directory assistance charges </w:t>
            </w:r>
          </w:p>
          <w:p w14:paraId="7AC89ABC"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bCs/>
                <w:kern w:val="0"/>
              </w:rPr>
              <w:t>email</w:t>
            </w:r>
            <w:r w:rsidRPr="0087637A">
              <w:rPr>
                <w:rFonts w:ascii="Times New Roman" w:hAnsi="Times New Roman" w:cs="Times New Roman"/>
                <w:kern w:val="0"/>
              </w:rPr>
              <w:t xml:space="preserve"> </w:t>
            </w:r>
          </w:p>
          <w:p w14:paraId="7CE52072"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inside wire maintenance plans </w:t>
            </w:r>
          </w:p>
          <w:p w14:paraId="7D1AA2E2"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paging </w:t>
            </w:r>
          </w:p>
          <w:p w14:paraId="01E7A07B"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text messaging </w:t>
            </w:r>
          </w:p>
          <w:p w14:paraId="2E044336" w14:textId="77777777" w:rsidR="0087637A" w:rsidRPr="0087637A" w:rsidRDefault="0087637A" w:rsidP="0087637A">
            <w:pPr>
              <w:widowControl/>
              <w:numPr>
                <w:ilvl w:val="0"/>
                <w:numId w:val="15"/>
              </w:numPr>
              <w:contextualSpacing/>
              <w:rPr>
                <w:rFonts w:ascii="Times New Roman" w:eastAsia="Times New Roman" w:hAnsi="Times New Roman" w:cs="Times New Roman"/>
                <w:b/>
                <w:kern w:val="0"/>
                <w:u w:val="single"/>
              </w:rPr>
            </w:pPr>
            <w:r w:rsidRPr="0087637A">
              <w:rPr>
                <w:rFonts w:ascii="Times New Roman" w:hAnsi="Times New Roman" w:cs="Times New Roman"/>
                <w:bCs/>
                <w:kern w:val="0"/>
              </w:rPr>
              <w:t xml:space="preserve">voice mail </w:t>
            </w:r>
          </w:p>
          <w:p w14:paraId="74932EC1" w14:textId="77777777" w:rsidR="0087637A" w:rsidRPr="0087637A" w:rsidRDefault="0087637A" w:rsidP="0087637A">
            <w:pPr>
              <w:widowControl/>
              <w:numPr>
                <w:ilvl w:val="0"/>
                <w:numId w:val="15"/>
              </w:numPr>
              <w:contextualSpacing/>
              <w:rPr>
                <w:rFonts w:ascii="Times New Roman" w:eastAsia="Times New Roman" w:hAnsi="Times New Roman" w:cs="Times New Roman"/>
                <w:b/>
                <w:kern w:val="0"/>
                <w:u w:val="single"/>
              </w:rPr>
            </w:pPr>
            <w:r w:rsidRPr="0087637A">
              <w:rPr>
                <w:rFonts w:ascii="Times New Roman" w:hAnsi="Times New Roman" w:cs="Times New Roman"/>
                <w:kern w:val="0"/>
              </w:rPr>
              <w:t>w</w:t>
            </w:r>
            <w:r w:rsidRPr="0087637A">
              <w:rPr>
                <w:rFonts w:ascii="Times New Roman" w:hAnsi="Times New Roman" w:cs="Times New Roman"/>
                <w:bCs/>
                <w:kern w:val="0"/>
              </w:rPr>
              <w:t xml:space="preserve">eb hosting </w:t>
            </w:r>
          </w:p>
          <w:p w14:paraId="4D75A589" w14:textId="77777777" w:rsidR="0087637A" w:rsidRPr="0087637A" w:rsidRDefault="0087637A" w:rsidP="0087637A">
            <w:pPr>
              <w:widowControl/>
              <w:ind w:left="720"/>
              <w:contextualSpacing/>
              <w:rPr>
                <w:rFonts w:ascii="Times New Roman" w:hAnsi="Times New Roman" w:cs="Times New Roman"/>
                <w:b/>
                <w:kern w:val="0"/>
                <w:u w:val="single"/>
              </w:rPr>
            </w:pPr>
          </w:p>
        </w:tc>
        <w:tc>
          <w:tcPr>
            <w:tcW w:w="4788" w:type="dxa"/>
          </w:tcPr>
          <w:p w14:paraId="355C69B0" w14:textId="246A8C9E" w:rsidR="0087637A" w:rsidRDefault="0087637A" w:rsidP="0087637A">
            <w:pPr>
              <w:widowControl/>
              <w:rPr>
                <w:rFonts w:ascii="Times New Roman" w:hAnsi="Times New Roman" w:cs="Times New Roman"/>
                <w:kern w:val="0"/>
              </w:rPr>
            </w:pPr>
            <w:r w:rsidRPr="0087637A">
              <w:rPr>
                <w:rFonts w:ascii="Times New Roman" w:hAnsi="Times New Roman" w:cs="Times New Roman"/>
                <w:kern w:val="0"/>
              </w:rPr>
              <w:t xml:space="preserve">Components </w:t>
            </w:r>
            <w:r w:rsidR="003000C1">
              <w:rPr>
                <w:rFonts w:ascii="Times New Roman" w:hAnsi="Times New Roman" w:cs="Times New Roman"/>
                <w:kern w:val="0"/>
              </w:rPr>
              <w:t xml:space="preserve">included </w:t>
            </w:r>
            <w:r w:rsidRPr="0087637A">
              <w:rPr>
                <w:rFonts w:ascii="Times New Roman" w:hAnsi="Times New Roman" w:cs="Times New Roman"/>
                <w:kern w:val="0"/>
              </w:rPr>
              <w:t>in these former Priority Two entries:</w:t>
            </w:r>
          </w:p>
          <w:p w14:paraId="354F5483" w14:textId="77777777" w:rsidR="0087637A" w:rsidRPr="0087637A" w:rsidRDefault="0087637A" w:rsidP="0087637A">
            <w:pPr>
              <w:widowControl/>
              <w:rPr>
                <w:rFonts w:ascii="Times New Roman" w:hAnsi="Times New Roman" w:cs="Times New Roman"/>
                <w:kern w:val="0"/>
              </w:rPr>
            </w:pPr>
          </w:p>
          <w:p w14:paraId="3F69FBAF"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Circuit Cards/Components</w:t>
            </w:r>
          </w:p>
          <w:p w14:paraId="10F3A1B6" w14:textId="188B6AA8"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Data Protection (all except for firewall and uninterruptible power supply/battery back-up)</w:t>
            </w:r>
          </w:p>
          <w:p w14:paraId="6D8F7E9C" w14:textId="06F640DF"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Interfaces, Gateways, Antennas</w:t>
            </w:r>
            <w:r w:rsidR="00F50229">
              <w:rPr>
                <w:rFonts w:ascii="Times New Roman" w:hAnsi="Times New Roman" w:cs="Times New Roman"/>
                <w:kern w:val="0"/>
              </w:rPr>
              <w:t xml:space="preserve"> (other than as specified in this Order)</w:t>
            </w:r>
          </w:p>
          <w:p w14:paraId="34F9090E" w14:textId="0C6A447F"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 xml:space="preserve">Servers </w:t>
            </w:r>
            <w:r w:rsidR="00DD3843">
              <w:rPr>
                <w:rFonts w:ascii="Times New Roman" w:hAnsi="Times New Roman" w:cs="Times New Roman"/>
                <w:kern w:val="0"/>
              </w:rPr>
              <w:t>(other than servers necessary for caching)</w:t>
            </w:r>
          </w:p>
          <w:p w14:paraId="50DD2498" w14:textId="33EEE164"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Software (</w:t>
            </w:r>
            <w:r w:rsidR="00DD3843">
              <w:rPr>
                <w:rFonts w:ascii="Times New Roman" w:hAnsi="Times New Roman" w:cs="Times New Roman"/>
                <w:kern w:val="0"/>
              </w:rPr>
              <w:t xml:space="preserve">other than the </w:t>
            </w:r>
            <w:r w:rsidRPr="0087637A">
              <w:rPr>
                <w:rFonts w:ascii="Times New Roman" w:hAnsi="Times New Roman" w:cs="Times New Roman"/>
                <w:kern w:val="0"/>
              </w:rPr>
              <w:t xml:space="preserve">software </w:t>
            </w:r>
            <w:r w:rsidR="00DD3843">
              <w:rPr>
                <w:rFonts w:ascii="Times New Roman" w:hAnsi="Times New Roman" w:cs="Times New Roman"/>
                <w:kern w:val="0"/>
              </w:rPr>
              <w:t xml:space="preserve">that </w:t>
            </w:r>
            <w:r w:rsidRPr="0087637A">
              <w:rPr>
                <w:rFonts w:ascii="Times New Roman" w:hAnsi="Times New Roman" w:cs="Times New Roman"/>
                <w:kern w:val="0"/>
              </w:rPr>
              <w:t>support</w:t>
            </w:r>
            <w:r w:rsidR="00DD3843">
              <w:rPr>
                <w:rFonts w:ascii="Times New Roman" w:hAnsi="Times New Roman" w:cs="Times New Roman"/>
                <w:kern w:val="0"/>
              </w:rPr>
              <w:t>s</w:t>
            </w:r>
            <w:r w:rsidRPr="0087637A">
              <w:rPr>
                <w:rFonts w:ascii="Times New Roman" w:hAnsi="Times New Roman" w:cs="Times New Roman"/>
                <w:kern w:val="0"/>
              </w:rPr>
              <w:t xml:space="preserve"> eligible broadband internal connections) </w:t>
            </w:r>
          </w:p>
          <w:p w14:paraId="4ED1B223"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Storage Devices</w:t>
            </w:r>
          </w:p>
          <w:p w14:paraId="5DABB72A" w14:textId="77777777" w:rsidR="0087637A" w:rsidRPr="0087637A"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Telephone Components</w:t>
            </w:r>
          </w:p>
          <w:p w14:paraId="1F9EA6EB" w14:textId="77777777" w:rsidR="0087637A" w:rsidRPr="00175099" w:rsidRDefault="0087637A" w:rsidP="0087637A">
            <w:pPr>
              <w:widowControl/>
              <w:numPr>
                <w:ilvl w:val="0"/>
                <w:numId w:val="15"/>
              </w:numPr>
              <w:contextualSpacing/>
              <w:rPr>
                <w:rFonts w:ascii="Times New Roman" w:hAnsi="Times New Roman" w:cs="Times New Roman"/>
                <w:b/>
                <w:kern w:val="0"/>
                <w:u w:val="single"/>
              </w:rPr>
            </w:pPr>
            <w:r w:rsidRPr="0087637A">
              <w:rPr>
                <w:rFonts w:ascii="Times New Roman" w:hAnsi="Times New Roman" w:cs="Times New Roman"/>
                <w:kern w:val="0"/>
              </w:rPr>
              <w:t>Video Components</w:t>
            </w:r>
          </w:p>
          <w:p w14:paraId="45F9594B" w14:textId="6E4976FE" w:rsidR="00DD3843" w:rsidRPr="0087637A" w:rsidRDefault="00DD3843" w:rsidP="0087637A">
            <w:pPr>
              <w:widowControl/>
              <w:numPr>
                <w:ilvl w:val="0"/>
                <w:numId w:val="15"/>
              </w:numPr>
              <w:contextualSpacing/>
              <w:rPr>
                <w:rFonts w:ascii="Times New Roman" w:hAnsi="Times New Roman" w:cs="Times New Roman"/>
                <w:b/>
                <w:kern w:val="0"/>
                <w:u w:val="single"/>
              </w:rPr>
            </w:pPr>
            <w:r>
              <w:rPr>
                <w:rFonts w:ascii="Times New Roman" w:hAnsi="Times New Roman" w:cs="Times New Roman"/>
                <w:kern w:val="0"/>
              </w:rPr>
              <w:t>V</w:t>
            </w:r>
            <w:r w:rsidRPr="0087637A">
              <w:rPr>
                <w:rFonts w:ascii="Times New Roman" w:hAnsi="Times New Roman" w:cs="Times New Roman"/>
                <w:kern w:val="0"/>
              </w:rPr>
              <w:t xml:space="preserve">oice/video IP components </w:t>
            </w:r>
            <w:r>
              <w:rPr>
                <w:rFonts w:ascii="Times New Roman" w:hAnsi="Times New Roman" w:cs="Times New Roman"/>
                <w:kern w:val="0"/>
              </w:rPr>
              <w:t>(</w:t>
            </w:r>
            <w:r w:rsidR="00175099">
              <w:rPr>
                <w:rFonts w:ascii="Times New Roman" w:hAnsi="Times New Roman" w:cs="Times New Roman"/>
                <w:kern w:val="0"/>
              </w:rPr>
              <w:t xml:space="preserve">that </w:t>
            </w:r>
            <w:r>
              <w:rPr>
                <w:rFonts w:ascii="Times New Roman" w:hAnsi="Times New Roman" w:cs="Times New Roman"/>
                <w:kern w:val="0"/>
              </w:rPr>
              <w:t>had been listed in the Data Distribution entry</w:t>
            </w:r>
            <w:r w:rsidRPr="0087637A">
              <w:rPr>
                <w:rFonts w:ascii="Times New Roman" w:hAnsi="Times New Roman" w:cs="Times New Roman"/>
                <w:kern w:val="0"/>
              </w:rPr>
              <w:t>)</w:t>
            </w:r>
          </w:p>
          <w:p w14:paraId="247644FD" w14:textId="77777777" w:rsidR="0087637A" w:rsidRPr="0087637A" w:rsidRDefault="0087637A" w:rsidP="0087637A">
            <w:pPr>
              <w:widowControl/>
              <w:ind w:left="720"/>
              <w:contextualSpacing/>
              <w:rPr>
                <w:rFonts w:ascii="Times New Roman" w:hAnsi="Times New Roman" w:cs="Times New Roman"/>
                <w:b/>
                <w:kern w:val="0"/>
                <w:u w:val="single"/>
              </w:rPr>
            </w:pPr>
          </w:p>
        </w:tc>
      </w:tr>
    </w:tbl>
    <w:p w14:paraId="2E15668B" w14:textId="77777777" w:rsidR="0087637A" w:rsidRPr="0087637A" w:rsidRDefault="0087637A" w:rsidP="0087637A">
      <w:pPr>
        <w:widowControl/>
        <w:jc w:val="center"/>
        <w:rPr>
          <w:b/>
          <w:kern w:val="0"/>
          <w:sz w:val="24"/>
          <w:szCs w:val="24"/>
          <w:u w:val="single"/>
        </w:rPr>
      </w:pPr>
    </w:p>
    <w:p w14:paraId="060BA0B1" w14:textId="77777777" w:rsidR="0087637A" w:rsidRDefault="0087637A" w:rsidP="00376C6E">
      <w:pPr>
        <w:pStyle w:val="ParaNum"/>
        <w:widowControl/>
        <w:spacing w:line="480" w:lineRule="auto"/>
        <w:jc w:val="center"/>
        <w:rPr>
          <w:b/>
          <w:kern w:val="0"/>
        </w:rPr>
      </w:pPr>
    </w:p>
    <w:p w14:paraId="072050A4" w14:textId="77777777" w:rsidR="00376C6E" w:rsidRDefault="00376C6E">
      <w:pPr>
        <w:widowControl/>
        <w:rPr>
          <w:b/>
          <w:kern w:val="0"/>
        </w:rPr>
      </w:pPr>
      <w:r>
        <w:rPr>
          <w:b/>
          <w:kern w:val="0"/>
        </w:rPr>
        <w:br w:type="page"/>
      </w:r>
    </w:p>
    <w:p w14:paraId="7DC248BD" w14:textId="77777777" w:rsidR="00624552" w:rsidRDefault="00376C6E" w:rsidP="0041372F">
      <w:pPr>
        <w:pStyle w:val="ParaNum"/>
        <w:widowControl/>
        <w:spacing w:after="480"/>
        <w:jc w:val="center"/>
        <w:rPr>
          <w:b/>
          <w:kern w:val="0"/>
        </w:rPr>
      </w:pPr>
      <w:r>
        <w:rPr>
          <w:b/>
          <w:kern w:val="0"/>
        </w:rPr>
        <w:t>APPENDIX C</w:t>
      </w:r>
    </w:p>
    <w:p w14:paraId="216D7E76" w14:textId="77777777" w:rsidR="00624552" w:rsidRPr="0041372F" w:rsidRDefault="00624552">
      <w:pPr>
        <w:pStyle w:val="FootnoteText"/>
        <w:jc w:val="center"/>
        <w:rPr>
          <w:b/>
          <w:sz w:val="22"/>
          <w:szCs w:val="22"/>
        </w:rPr>
      </w:pPr>
      <w:r w:rsidRPr="0041372F">
        <w:rPr>
          <w:b/>
          <w:sz w:val="22"/>
          <w:szCs w:val="22"/>
        </w:rPr>
        <w:t>Eligible Services List for Funding Year 201</w:t>
      </w:r>
      <w:r w:rsidR="0087637A" w:rsidRPr="0041372F">
        <w:rPr>
          <w:b/>
          <w:sz w:val="22"/>
          <w:szCs w:val="22"/>
        </w:rPr>
        <w:t>5</w:t>
      </w:r>
      <w:r w:rsidRPr="0041372F">
        <w:rPr>
          <w:b/>
          <w:sz w:val="22"/>
          <w:szCs w:val="22"/>
        </w:rPr>
        <w:t xml:space="preserve"> </w:t>
      </w:r>
    </w:p>
    <w:p w14:paraId="515046D6" w14:textId="77777777" w:rsidR="006E3382" w:rsidRDefault="006E3382">
      <w:pPr>
        <w:widowControl/>
        <w:rPr>
          <w:b/>
          <w:kern w:val="0"/>
          <w:szCs w:val="22"/>
        </w:rPr>
        <w:sectPr w:rsidR="006E3382">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720" w:left="1440" w:header="720" w:footer="720" w:gutter="0"/>
          <w:cols w:space="720"/>
          <w:noEndnote/>
          <w:titlePg/>
        </w:sectPr>
      </w:pPr>
    </w:p>
    <w:p w14:paraId="00993BD4" w14:textId="7B4CEDEB" w:rsidR="006E3382" w:rsidRDefault="006E3382">
      <w:pPr>
        <w:widowControl/>
        <w:rPr>
          <w:b/>
          <w:kern w:val="0"/>
          <w:szCs w:val="22"/>
        </w:rPr>
      </w:pPr>
    </w:p>
    <w:p w14:paraId="6A538866" w14:textId="77777777" w:rsidR="006E3382" w:rsidRPr="006E3382" w:rsidRDefault="006E3382" w:rsidP="006E3382">
      <w:pPr>
        <w:widowControl/>
        <w:jc w:val="both"/>
        <w:rPr>
          <w:b/>
          <w:kern w:val="0"/>
          <w:szCs w:val="22"/>
        </w:rPr>
      </w:pPr>
    </w:p>
    <w:p w14:paraId="21A4A80B" w14:textId="77777777" w:rsidR="006E3382" w:rsidRPr="006E3382" w:rsidRDefault="006E3382" w:rsidP="006E3382">
      <w:pPr>
        <w:widowControl/>
        <w:jc w:val="both"/>
        <w:rPr>
          <w:b/>
          <w:kern w:val="0"/>
          <w:sz w:val="24"/>
          <w:szCs w:val="24"/>
        </w:rPr>
      </w:pPr>
    </w:p>
    <w:p w14:paraId="44CF728E" w14:textId="77777777" w:rsidR="006E3382" w:rsidRPr="006E3382" w:rsidRDefault="006E3382" w:rsidP="006E3382">
      <w:pPr>
        <w:widowControl/>
        <w:jc w:val="center"/>
        <w:rPr>
          <w:b/>
          <w:kern w:val="0"/>
          <w:sz w:val="24"/>
          <w:szCs w:val="24"/>
        </w:rPr>
      </w:pPr>
      <w:r w:rsidRPr="006E3382">
        <w:rPr>
          <w:b/>
          <w:kern w:val="0"/>
          <w:sz w:val="24"/>
          <w:szCs w:val="24"/>
        </w:rPr>
        <w:t>Schools and Libraries Universal Service Support Mechanism – Eligible Services List</w:t>
      </w:r>
    </w:p>
    <w:p w14:paraId="656A9324" w14:textId="77777777" w:rsidR="006E3382" w:rsidRPr="006E3382" w:rsidRDefault="006E3382" w:rsidP="006E3382">
      <w:pPr>
        <w:widowControl/>
        <w:jc w:val="center"/>
        <w:rPr>
          <w:kern w:val="0"/>
          <w:szCs w:val="22"/>
          <w:u w:val="single"/>
        </w:rPr>
      </w:pPr>
    </w:p>
    <w:p w14:paraId="449BB8F3" w14:textId="77777777" w:rsidR="006E3382" w:rsidRPr="006E3382" w:rsidRDefault="006E3382" w:rsidP="006E3382">
      <w:pPr>
        <w:widowControl/>
        <w:jc w:val="center"/>
        <w:rPr>
          <w:bCs/>
          <w:kern w:val="0"/>
          <w:szCs w:val="22"/>
        </w:rPr>
      </w:pPr>
      <w:r w:rsidRPr="006E3382">
        <w:rPr>
          <w:bCs/>
          <w:kern w:val="0"/>
          <w:szCs w:val="22"/>
        </w:rPr>
        <w:t>(WC Docket No. 13-184; CC Docket No. 02-6; GN Docket No. 09-51)</w:t>
      </w:r>
    </w:p>
    <w:p w14:paraId="25131932" w14:textId="77777777" w:rsidR="006E3382" w:rsidRPr="006E3382" w:rsidRDefault="006E3382" w:rsidP="006E3382">
      <w:pPr>
        <w:widowControl/>
        <w:jc w:val="both"/>
        <w:rPr>
          <w:bCs/>
          <w:kern w:val="0"/>
          <w:szCs w:val="22"/>
        </w:rPr>
      </w:pPr>
    </w:p>
    <w:p w14:paraId="68BA619D" w14:textId="77777777" w:rsidR="006E3382" w:rsidRPr="006E3382" w:rsidRDefault="006E3382" w:rsidP="006E3382">
      <w:pPr>
        <w:widowControl/>
        <w:jc w:val="both"/>
        <w:rPr>
          <w:kern w:val="0"/>
          <w:szCs w:val="22"/>
        </w:rPr>
      </w:pPr>
      <w:r w:rsidRPr="006E3382">
        <w:rPr>
          <w:kern w:val="0"/>
          <w:szCs w:val="22"/>
        </w:rPr>
        <w:t xml:space="preserve">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w:t>
      </w:r>
      <w:r w:rsidRPr="006E3382">
        <w:rPr>
          <w:snapToGrid w:val="0"/>
          <w:color w:val="000000"/>
          <w:szCs w:val="22"/>
        </w:rPr>
        <w:t xml:space="preserve">The E-rate program </w:t>
      </w:r>
      <w:r w:rsidRPr="006E3382">
        <w:rPr>
          <w:kern w:val="0"/>
          <w:szCs w:val="22"/>
        </w:rPr>
        <w:t>provides eligible schools and libraries discounts for eligible services and components.  This ESL identifies the Category One telecommunications services, telecommunications, and Internet access services and Category Two internal connections, basic maintenance, and managed internal broadband services, for which eligible applicants may seek E-rate support</w:t>
      </w:r>
      <w:r w:rsidRPr="006E3382" w:rsidDel="00907FA5">
        <w:rPr>
          <w:snapToGrid w:val="0"/>
          <w:szCs w:val="22"/>
        </w:rPr>
        <w:t xml:space="preserve">.  </w:t>
      </w:r>
      <w:r w:rsidRPr="006E3382">
        <w:rPr>
          <w:snapToGrid w:val="0"/>
          <w:szCs w:val="22"/>
        </w:rPr>
        <w:t>47 C.F.R. §§ 54.5, 54.500, and 54.502(a).</w:t>
      </w:r>
      <w:r w:rsidRPr="006E3382">
        <w:rPr>
          <w:kern w:val="0"/>
          <w:szCs w:val="22"/>
        </w:rPr>
        <w:t xml:space="preserve">  </w:t>
      </w:r>
    </w:p>
    <w:p w14:paraId="513FA4B1" w14:textId="77777777" w:rsidR="006E3382" w:rsidRPr="006E3382" w:rsidRDefault="006E3382" w:rsidP="006E3382">
      <w:pPr>
        <w:widowControl/>
        <w:jc w:val="both"/>
        <w:rPr>
          <w:kern w:val="0"/>
          <w:szCs w:val="22"/>
        </w:rPr>
      </w:pPr>
    </w:p>
    <w:p w14:paraId="119E0048" w14:textId="7EA550A2" w:rsidR="006E3382" w:rsidRPr="006E3382" w:rsidRDefault="006E3382" w:rsidP="006E3382">
      <w:pPr>
        <w:widowControl/>
        <w:jc w:val="both"/>
        <w:rPr>
          <w:kern w:val="0"/>
          <w:szCs w:val="22"/>
        </w:rPr>
      </w:pPr>
      <w:r w:rsidRPr="006E3382">
        <w:rPr>
          <w:kern w:val="0"/>
          <w:szCs w:val="22"/>
        </w:rPr>
        <w:t xml:space="preserve">Additional guidance from USAC about the E-rate application process and about eligible services, including a glossary of terms, is available at USAC’s website at </w:t>
      </w:r>
      <w:hyperlink r:id="rId19" w:history="1">
        <w:r w:rsidRPr="006E3382">
          <w:rPr>
            <w:color w:val="0000FF"/>
            <w:kern w:val="0"/>
            <w:szCs w:val="22"/>
            <w:u w:val="single"/>
          </w:rPr>
          <w:t>http://www.usac.org/sl/</w:t>
        </w:r>
      </w:hyperlink>
      <w:r w:rsidRPr="006E3382">
        <w:rPr>
          <w:kern w:val="0"/>
          <w:szCs w:val="22"/>
        </w:rPr>
        <w:t>.  Those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dated</w:t>
      </w:r>
      <w:r w:rsidR="004B7971">
        <w:rPr>
          <w:kern w:val="0"/>
          <w:szCs w:val="22"/>
        </w:rPr>
        <w:t xml:space="preserve"> October 2</w:t>
      </w:r>
      <w:r w:rsidR="00F83688">
        <w:rPr>
          <w:kern w:val="0"/>
          <w:szCs w:val="22"/>
        </w:rPr>
        <w:t>8</w:t>
      </w:r>
      <w:r w:rsidRPr="006E3382">
        <w:rPr>
          <w:kern w:val="0"/>
          <w:szCs w:val="22"/>
        </w:rPr>
        <w:t>,</w:t>
      </w:r>
      <w:r w:rsidR="004B7971">
        <w:rPr>
          <w:kern w:val="0"/>
          <w:szCs w:val="22"/>
        </w:rPr>
        <w:t xml:space="preserve"> 2014,</w:t>
      </w:r>
      <w:r w:rsidRPr="006E3382">
        <w:rPr>
          <w:kern w:val="0"/>
          <w:szCs w:val="22"/>
        </w:rPr>
        <w:t xml:space="preserve"> implements changes adopted in the </w:t>
      </w:r>
      <w:r w:rsidRPr="006E3382">
        <w:rPr>
          <w:i/>
          <w:kern w:val="0"/>
          <w:szCs w:val="22"/>
        </w:rPr>
        <w:t xml:space="preserve">E-rate Modernization Order </w:t>
      </w:r>
      <w:r w:rsidRPr="006E3382">
        <w:rPr>
          <w:kern w:val="0"/>
          <w:szCs w:val="22"/>
        </w:rPr>
        <w:t>(FCC 14-99), and therefore represents a change from prior funding years.  This ESL applies to funding requests for Funding Year 2015.</w:t>
      </w:r>
    </w:p>
    <w:p w14:paraId="757D85CC" w14:textId="77777777" w:rsidR="006E3382" w:rsidRPr="006E3382" w:rsidRDefault="006E3382" w:rsidP="006E3382">
      <w:pPr>
        <w:widowControl/>
        <w:jc w:val="both"/>
        <w:rPr>
          <w:kern w:val="0"/>
          <w:szCs w:val="22"/>
        </w:rPr>
      </w:pPr>
    </w:p>
    <w:p w14:paraId="6B82D36D" w14:textId="77777777" w:rsidR="006E3382" w:rsidRPr="006E3382" w:rsidRDefault="006E3382" w:rsidP="006E3382">
      <w:pPr>
        <w:widowControl/>
        <w:jc w:val="both"/>
        <w:rPr>
          <w:kern w:val="0"/>
          <w:szCs w:val="22"/>
        </w:rPr>
      </w:pPr>
      <w:r w:rsidRPr="006E3382">
        <w:rPr>
          <w:kern w:val="0"/>
          <w:szCs w:val="22"/>
        </w:rPr>
        <w:br w:type="page"/>
      </w:r>
    </w:p>
    <w:p w14:paraId="14F5E13B" w14:textId="77777777" w:rsidR="006E3382" w:rsidRPr="006E3382" w:rsidRDefault="006E3382" w:rsidP="006E3382">
      <w:pPr>
        <w:widowControl/>
        <w:jc w:val="both"/>
        <w:rPr>
          <w:b/>
          <w:kern w:val="0"/>
          <w:szCs w:val="22"/>
          <w:u w:val="single"/>
        </w:rPr>
      </w:pPr>
      <w:r w:rsidRPr="006E3382">
        <w:rPr>
          <w:b/>
          <w:kern w:val="0"/>
          <w:u w:val="single"/>
        </w:rPr>
        <w:t>Category One</w:t>
      </w:r>
    </w:p>
    <w:p w14:paraId="37CE45D0" w14:textId="77777777" w:rsidR="006E3382" w:rsidRPr="006E3382" w:rsidRDefault="006E3382" w:rsidP="006E3382">
      <w:pPr>
        <w:widowControl/>
        <w:ind w:left="1080"/>
        <w:contextualSpacing/>
        <w:jc w:val="both"/>
        <w:rPr>
          <w:kern w:val="0"/>
        </w:rPr>
      </w:pPr>
    </w:p>
    <w:p w14:paraId="7F590AEF" w14:textId="77777777" w:rsidR="006E3382" w:rsidRPr="006E3382" w:rsidRDefault="006E3382" w:rsidP="006E3382">
      <w:pPr>
        <w:widowControl/>
        <w:jc w:val="both"/>
        <w:rPr>
          <w:bCs/>
          <w:kern w:val="0"/>
        </w:rPr>
      </w:pPr>
      <w:r w:rsidRPr="006E3382">
        <w:rPr>
          <w:kern w:val="0"/>
          <w:szCs w:val="22"/>
        </w:rPr>
        <w:t xml:space="preserve">The first category of supported services, Category One, includes the services needed to support broadband connectivity to schools and libraries.  </w:t>
      </w:r>
      <w:r w:rsidRPr="006E3382">
        <w:rPr>
          <w:kern w:val="0"/>
        </w:rPr>
        <w:t>Category One lists the telecommunications services, telecommunications, and Internet access services for which E-rate applicants may seek discounts.  Eligible Category One services are listed in the entries for digital transmission services and Internet access services, and voice services</w:t>
      </w:r>
      <w:r w:rsidRPr="006E3382">
        <w:rPr>
          <w:bCs/>
          <w:kern w:val="0"/>
        </w:rPr>
        <w:t xml:space="preserve">.  This category consists of the services that provide broadband to eligible locations including data links that connect multiple points, services used to </w:t>
      </w:r>
      <w:r w:rsidRPr="006E3382">
        <w:rPr>
          <w:kern w:val="0"/>
        </w:rPr>
        <w:t>connect eligible locations to the Internet, and services that provide basic conduit access to the Internet.  M</w:t>
      </w:r>
      <w:r w:rsidRPr="006E3382">
        <w:rPr>
          <w:bCs/>
          <w:kern w:val="0"/>
        </w:rPr>
        <w:t xml:space="preserve">aintenance and technical support appropriate to maintain reliable operation are eligible for support when provided as a component of these services.  Voice services, as described below, </w:t>
      </w:r>
      <w:r w:rsidRPr="006E3382">
        <w:rPr>
          <w:kern w:val="0"/>
        </w:rPr>
        <w:t xml:space="preserve">are subject to a phase down of support beginning in funding year 2015.  </w:t>
      </w:r>
      <w:r w:rsidRPr="006E3382">
        <w:rPr>
          <w:rFonts w:eastAsia="Calibri"/>
          <w:bCs/>
          <w:kern w:val="0"/>
          <w:szCs w:val="22"/>
        </w:rPr>
        <w:t xml:space="preserve">Applicants must identify the Category One service type on the FCC Form 471, as telecommunications services, Internet access, or voice.  </w:t>
      </w:r>
    </w:p>
    <w:p w14:paraId="160572E1" w14:textId="77777777" w:rsidR="006E3382" w:rsidRPr="006E3382" w:rsidRDefault="006E3382" w:rsidP="006E3382">
      <w:pPr>
        <w:widowControl/>
        <w:jc w:val="both"/>
        <w:rPr>
          <w:bCs/>
          <w:kern w:val="0"/>
        </w:rPr>
      </w:pPr>
      <w:r w:rsidRPr="006E3382">
        <w:rPr>
          <w:bCs/>
          <w:kern w:val="0"/>
        </w:rPr>
        <w:tab/>
      </w:r>
    </w:p>
    <w:tbl>
      <w:tblPr>
        <w:tblStyle w:val="TableGrid1"/>
        <w:tblW w:w="0" w:type="auto"/>
        <w:tblInd w:w="780" w:type="dxa"/>
        <w:tblLook w:val="04A0" w:firstRow="1" w:lastRow="0" w:firstColumn="1" w:lastColumn="0" w:noHBand="0" w:noVBand="1"/>
      </w:tblPr>
      <w:tblGrid>
        <w:gridCol w:w="5868"/>
      </w:tblGrid>
      <w:tr w:rsidR="006E3382" w:rsidRPr="006E3382" w14:paraId="53A7AE23" w14:textId="77777777" w:rsidTr="006E3382">
        <w:tc>
          <w:tcPr>
            <w:tcW w:w="5868" w:type="dxa"/>
          </w:tcPr>
          <w:p w14:paraId="6A14E58C" w14:textId="77777777" w:rsidR="006E3382" w:rsidRPr="006E3382" w:rsidRDefault="006E3382" w:rsidP="006E3382">
            <w:pPr>
              <w:widowControl/>
              <w:jc w:val="both"/>
              <w:rPr>
                <w:b/>
                <w:kern w:val="0"/>
                <w:sz w:val="20"/>
              </w:rPr>
            </w:pPr>
          </w:p>
          <w:p w14:paraId="3EB71476" w14:textId="5C4D5D16" w:rsidR="006E3382" w:rsidRPr="006E3382" w:rsidRDefault="006E3382" w:rsidP="006E3382">
            <w:pPr>
              <w:widowControl/>
              <w:jc w:val="both"/>
              <w:rPr>
                <w:b/>
                <w:kern w:val="0"/>
                <w:szCs w:val="22"/>
              </w:rPr>
            </w:pPr>
            <w:r w:rsidRPr="006E3382">
              <w:rPr>
                <w:b/>
                <w:kern w:val="0"/>
                <w:szCs w:val="22"/>
              </w:rPr>
              <w:t>D</w:t>
            </w:r>
            <w:r w:rsidR="003151D3">
              <w:rPr>
                <w:b/>
                <w:kern w:val="0"/>
                <w:szCs w:val="22"/>
              </w:rPr>
              <w:t>igital</w:t>
            </w:r>
            <w:r w:rsidRPr="006E3382">
              <w:rPr>
                <w:b/>
                <w:kern w:val="0"/>
                <w:szCs w:val="22"/>
              </w:rPr>
              <w:t xml:space="preserve"> transmission services and Internet access services.</w:t>
            </w:r>
          </w:p>
          <w:p w14:paraId="1098BC3A" w14:textId="77777777" w:rsidR="006E3382" w:rsidRPr="006E3382" w:rsidRDefault="006E3382" w:rsidP="006E3382">
            <w:pPr>
              <w:widowControl/>
              <w:jc w:val="both"/>
              <w:rPr>
                <w:b/>
                <w:kern w:val="0"/>
                <w:szCs w:val="22"/>
              </w:rPr>
            </w:pPr>
          </w:p>
          <w:p w14:paraId="4E79A9E0" w14:textId="1EF90EE7" w:rsidR="006E3382" w:rsidRPr="006E3382" w:rsidRDefault="006E3382" w:rsidP="006E3382">
            <w:pPr>
              <w:widowControl/>
              <w:jc w:val="both"/>
              <w:rPr>
                <w:kern w:val="0"/>
                <w:szCs w:val="22"/>
              </w:rPr>
            </w:pPr>
            <w:r w:rsidRPr="006E3382">
              <w:rPr>
                <w:kern w:val="0"/>
                <w:szCs w:val="22"/>
              </w:rPr>
              <w:t>D</w:t>
            </w:r>
            <w:r w:rsidR="003151D3">
              <w:rPr>
                <w:kern w:val="0"/>
                <w:szCs w:val="22"/>
              </w:rPr>
              <w:t>igital</w:t>
            </w:r>
            <w:r w:rsidRPr="006E3382">
              <w:rPr>
                <w:kern w:val="0"/>
                <w:szCs w:val="22"/>
              </w:rPr>
              <w:t xml:space="preserve"> transmission services and Internet access services are eligible in Category One.  These services include:</w:t>
            </w:r>
          </w:p>
          <w:p w14:paraId="2C76E80B"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Asynchronous Transfer Mode (ATM) </w:t>
            </w:r>
          </w:p>
          <w:p w14:paraId="68B0B686"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Broadband over Power Lines </w:t>
            </w:r>
          </w:p>
          <w:p w14:paraId="5E572C49" w14:textId="77777777" w:rsidR="006E3382" w:rsidRPr="006E3382" w:rsidRDefault="006E3382" w:rsidP="006E3382">
            <w:pPr>
              <w:widowControl/>
              <w:numPr>
                <w:ilvl w:val="0"/>
                <w:numId w:val="19"/>
              </w:numPr>
              <w:contextualSpacing/>
              <w:jc w:val="both"/>
              <w:rPr>
                <w:kern w:val="0"/>
                <w:szCs w:val="22"/>
              </w:rPr>
            </w:pPr>
            <w:r w:rsidRPr="006E3382">
              <w:rPr>
                <w:kern w:val="0"/>
                <w:szCs w:val="22"/>
              </w:rPr>
              <w:t>Cable Modem</w:t>
            </w:r>
          </w:p>
          <w:p w14:paraId="514AE527" w14:textId="77777777" w:rsidR="006E3382" w:rsidRPr="006E3382" w:rsidRDefault="006E3382" w:rsidP="006E3382">
            <w:pPr>
              <w:widowControl/>
              <w:numPr>
                <w:ilvl w:val="0"/>
                <w:numId w:val="19"/>
              </w:numPr>
              <w:contextualSpacing/>
              <w:jc w:val="both"/>
              <w:rPr>
                <w:kern w:val="0"/>
                <w:szCs w:val="22"/>
              </w:rPr>
            </w:pPr>
            <w:r w:rsidRPr="006E3382">
              <w:rPr>
                <w:kern w:val="0"/>
                <w:szCs w:val="22"/>
              </w:rPr>
              <w:t>Digital Subscriber Line (DSL)</w:t>
            </w:r>
          </w:p>
          <w:p w14:paraId="4145F3F1" w14:textId="77777777" w:rsidR="006E3382" w:rsidRPr="006E3382" w:rsidRDefault="006E3382" w:rsidP="006E3382">
            <w:pPr>
              <w:widowControl/>
              <w:numPr>
                <w:ilvl w:val="0"/>
                <w:numId w:val="19"/>
              </w:numPr>
              <w:contextualSpacing/>
              <w:jc w:val="both"/>
              <w:rPr>
                <w:kern w:val="0"/>
                <w:szCs w:val="22"/>
              </w:rPr>
            </w:pPr>
            <w:r w:rsidRPr="006E3382">
              <w:rPr>
                <w:kern w:val="0"/>
                <w:szCs w:val="22"/>
              </w:rPr>
              <w:t>DS-1 (T-1), DS-3 (T-3), and Fractional T-1 or T-3</w:t>
            </w:r>
          </w:p>
          <w:p w14:paraId="33AC382C"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Ethernet </w:t>
            </w:r>
          </w:p>
          <w:p w14:paraId="70F3BEBB"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Fiber (Lit and Dark) </w:t>
            </w:r>
          </w:p>
          <w:p w14:paraId="51E90877"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Frame Relay </w:t>
            </w:r>
          </w:p>
          <w:p w14:paraId="73F692DF" w14:textId="77777777" w:rsidR="006E3382" w:rsidRPr="006E3382" w:rsidRDefault="006E3382" w:rsidP="006E3382">
            <w:pPr>
              <w:widowControl/>
              <w:numPr>
                <w:ilvl w:val="0"/>
                <w:numId w:val="19"/>
              </w:numPr>
              <w:contextualSpacing/>
              <w:jc w:val="both"/>
              <w:rPr>
                <w:kern w:val="0"/>
                <w:szCs w:val="22"/>
              </w:rPr>
            </w:pPr>
            <w:r w:rsidRPr="006E3382">
              <w:rPr>
                <w:kern w:val="0"/>
                <w:szCs w:val="22"/>
              </w:rPr>
              <w:t>Integrated Services Digital Network</w:t>
            </w:r>
          </w:p>
          <w:p w14:paraId="556D6674"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Multi-Protocol Label Switching (MPLS) </w:t>
            </w:r>
          </w:p>
          <w:p w14:paraId="61004A47"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OC-1, OC-3, OC-12, OC-n </w:t>
            </w:r>
          </w:p>
          <w:p w14:paraId="632E7356"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Satellite Service </w:t>
            </w:r>
          </w:p>
          <w:p w14:paraId="080B9984" w14:textId="77777777" w:rsidR="006E3382" w:rsidRPr="006E3382" w:rsidRDefault="006E3382" w:rsidP="006E3382">
            <w:pPr>
              <w:widowControl/>
              <w:numPr>
                <w:ilvl w:val="0"/>
                <w:numId w:val="19"/>
              </w:numPr>
              <w:contextualSpacing/>
              <w:jc w:val="both"/>
              <w:rPr>
                <w:kern w:val="0"/>
                <w:szCs w:val="22"/>
              </w:rPr>
            </w:pPr>
            <w:r w:rsidRPr="006E3382">
              <w:rPr>
                <w:kern w:val="0"/>
                <w:szCs w:val="22"/>
              </w:rPr>
              <w:t xml:space="preserve">Switched Multimegabit Data Service </w:t>
            </w:r>
          </w:p>
          <w:p w14:paraId="400D0650" w14:textId="77777777" w:rsidR="006E3382" w:rsidRPr="006E3382" w:rsidRDefault="006E3382" w:rsidP="006E3382">
            <w:pPr>
              <w:widowControl/>
              <w:numPr>
                <w:ilvl w:val="0"/>
                <w:numId w:val="19"/>
              </w:numPr>
              <w:contextualSpacing/>
              <w:jc w:val="both"/>
              <w:rPr>
                <w:kern w:val="0"/>
                <w:szCs w:val="22"/>
              </w:rPr>
            </w:pPr>
            <w:r w:rsidRPr="006E3382">
              <w:rPr>
                <w:kern w:val="0"/>
                <w:szCs w:val="22"/>
              </w:rPr>
              <w:t>Telephone dial-up</w:t>
            </w:r>
          </w:p>
          <w:p w14:paraId="4EB80F17" w14:textId="77777777" w:rsidR="006E3382" w:rsidRPr="006E3382" w:rsidRDefault="006E3382" w:rsidP="006E3382">
            <w:pPr>
              <w:widowControl/>
              <w:numPr>
                <w:ilvl w:val="0"/>
                <w:numId w:val="19"/>
              </w:numPr>
              <w:contextualSpacing/>
              <w:jc w:val="both"/>
              <w:rPr>
                <w:kern w:val="0"/>
                <w:sz w:val="20"/>
                <w:szCs w:val="22"/>
              </w:rPr>
            </w:pPr>
            <w:r w:rsidRPr="006E3382">
              <w:rPr>
                <w:kern w:val="0"/>
                <w:szCs w:val="22"/>
              </w:rPr>
              <w:t>Wireless services (e.g., microwave)</w:t>
            </w:r>
          </w:p>
          <w:p w14:paraId="0627D201" w14:textId="77777777" w:rsidR="006E3382" w:rsidRPr="006E3382" w:rsidRDefault="006E3382" w:rsidP="006E3382">
            <w:pPr>
              <w:widowControl/>
              <w:jc w:val="both"/>
              <w:rPr>
                <w:kern w:val="0"/>
                <w:sz w:val="20"/>
                <w:szCs w:val="22"/>
              </w:rPr>
            </w:pPr>
          </w:p>
          <w:p w14:paraId="40B03260" w14:textId="77777777" w:rsidR="006E3382" w:rsidRPr="006E3382" w:rsidRDefault="006E3382" w:rsidP="006E3382">
            <w:pPr>
              <w:widowControl/>
              <w:jc w:val="both"/>
              <w:rPr>
                <w:kern w:val="0"/>
                <w:szCs w:val="22"/>
              </w:rPr>
            </w:pPr>
            <w:r w:rsidRPr="006E3382">
              <w:rPr>
                <w:kern w:val="0"/>
                <w:szCs w:val="22"/>
              </w:rPr>
              <w:t xml:space="preserve">Data plans and air cards for mobile devices are </w:t>
            </w:r>
            <w:r w:rsidRPr="006E3382" w:rsidDel="008839FB">
              <w:rPr>
                <w:kern w:val="0"/>
                <w:szCs w:val="22"/>
              </w:rPr>
              <w:t xml:space="preserve">eligible </w:t>
            </w:r>
            <w:r w:rsidRPr="006E3382">
              <w:rPr>
                <w:kern w:val="0"/>
                <w:szCs w:val="22"/>
              </w:rPr>
              <w:t xml:space="preserve">only in instances when the school or library seeking support demonstrates that the individual data plans are the most </w:t>
            </w:r>
            <w:r w:rsidRPr="006E3382" w:rsidDel="008839FB">
              <w:rPr>
                <w:kern w:val="0"/>
                <w:szCs w:val="22"/>
              </w:rPr>
              <w:t>cost</w:t>
            </w:r>
            <w:r w:rsidRPr="006E3382">
              <w:rPr>
                <w:kern w:val="0"/>
                <w:szCs w:val="22"/>
              </w:rPr>
              <w:t>-</w:t>
            </w:r>
            <w:r w:rsidRPr="006E3382" w:rsidDel="008839FB">
              <w:rPr>
                <w:kern w:val="0"/>
                <w:szCs w:val="22"/>
              </w:rPr>
              <w:t xml:space="preserve">effective </w:t>
            </w:r>
            <w:r w:rsidRPr="006E3382">
              <w:rPr>
                <w:kern w:val="0"/>
                <w:szCs w:val="22"/>
              </w:rPr>
              <w:t xml:space="preserve">option for providing internal broadband access for mobile devices </w:t>
            </w:r>
            <w:r w:rsidRPr="006E3382" w:rsidDel="008839FB">
              <w:rPr>
                <w:kern w:val="0"/>
                <w:szCs w:val="22"/>
              </w:rPr>
              <w:t xml:space="preserve">as required in </w:t>
            </w:r>
            <w:r w:rsidRPr="006E3382">
              <w:rPr>
                <w:kern w:val="0"/>
                <w:szCs w:val="22"/>
              </w:rPr>
              <w:t xml:space="preserve">the </w:t>
            </w:r>
            <w:r w:rsidRPr="006E3382">
              <w:rPr>
                <w:i/>
                <w:kern w:val="0"/>
                <w:szCs w:val="22"/>
              </w:rPr>
              <w:t>E-rate Modernization Order</w:t>
            </w:r>
            <w:r w:rsidRPr="006E3382" w:rsidDel="008839FB">
              <w:rPr>
                <w:kern w:val="0"/>
                <w:szCs w:val="22"/>
              </w:rPr>
              <w:t xml:space="preserve">. </w:t>
            </w:r>
            <w:r w:rsidRPr="006E3382">
              <w:rPr>
                <w:kern w:val="0"/>
                <w:szCs w:val="22"/>
              </w:rPr>
              <w:t xml:space="preserve"> </w:t>
            </w:r>
          </w:p>
          <w:p w14:paraId="428967B0" w14:textId="77777777" w:rsidR="006E3382" w:rsidRPr="006E3382" w:rsidRDefault="006E3382" w:rsidP="006E3382">
            <w:pPr>
              <w:widowControl/>
              <w:jc w:val="both"/>
              <w:rPr>
                <w:kern w:val="0"/>
                <w:szCs w:val="22"/>
              </w:rPr>
            </w:pPr>
          </w:p>
          <w:p w14:paraId="2C5BAA79" w14:textId="77777777" w:rsidR="006E3382" w:rsidRPr="006E3382" w:rsidRDefault="006E3382" w:rsidP="006E3382">
            <w:pPr>
              <w:widowControl/>
              <w:jc w:val="both"/>
              <w:rPr>
                <w:kern w:val="0"/>
                <w:szCs w:val="22"/>
              </w:rPr>
            </w:pPr>
            <w:r w:rsidRPr="006E3382" w:rsidDel="008839FB">
              <w:rPr>
                <w:kern w:val="0"/>
                <w:szCs w:val="22"/>
              </w:rPr>
              <w:t>Off-campus use</w:t>
            </w:r>
            <w:r w:rsidRPr="006E3382">
              <w:rPr>
                <w:kern w:val="0"/>
                <w:szCs w:val="22"/>
              </w:rPr>
              <w:t xml:space="preserve">, even if used for an educational purpose, is ineligible for support and </w:t>
            </w:r>
            <w:r w:rsidRPr="006E3382" w:rsidDel="008839FB">
              <w:rPr>
                <w:kern w:val="0"/>
                <w:szCs w:val="22"/>
              </w:rPr>
              <w:t>must be cost allocated</w:t>
            </w:r>
            <w:r w:rsidRPr="006E3382">
              <w:rPr>
                <w:kern w:val="0"/>
                <w:szCs w:val="22"/>
              </w:rPr>
              <w:t xml:space="preserve"> out of any funding request</w:t>
            </w:r>
            <w:r w:rsidRPr="006E3382" w:rsidDel="008839FB">
              <w:rPr>
                <w:kern w:val="0"/>
                <w:szCs w:val="22"/>
              </w:rPr>
              <w:t>.</w:t>
            </w:r>
          </w:p>
        </w:tc>
      </w:tr>
    </w:tbl>
    <w:p w14:paraId="62D047CF" w14:textId="77777777" w:rsidR="006E3382" w:rsidRPr="006E3382" w:rsidRDefault="006E3382" w:rsidP="006E3382">
      <w:pPr>
        <w:widowControl/>
        <w:jc w:val="both"/>
        <w:rPr>
          <w:bCs/>
          <w:kern w:val="0"/>
          <w:szCs w:val="22"/>
          <w:u w:val="single"/>
        </w:rPr>
      </w:pPr>
    </w:p>
    <w:p w14:paraId="6B5FBAE5" w14:textId="77777777" w:rsidR="006E3382" w:rsidRPr="006E3382" w:rsidRDefault="006E3382" w:rsidP="006E3382">
      <w:pPr>
        <w:widowControl/>
        <w:spacing w:after="200" w:line="276" w:lineRule="auto"/>
        <w:rPr>
          <w:bCs/>
          <w:kern w:val="0"/>
          <w:szCs w:val="22"/>
          <w:u w:val="single"/>
        </w:rPr>
      </w:pPr>
      <w:r w:rsidRPr="006E3382">
        <w:rPr>
          <w:bCs/>
          <w:kern w:val="0"/>
          <w:szCs w:val="22"/>
          <w:u w:val="single"/>
        </w:rPr>
        <w:br w:type="page"/>
      </w:r>
    </w:p>
    <w:tbl>
      <w:tblPr>
        <w:tblStyle w:val="TableGrid1"/>
        <w:tblW w:w="0" w:type="auto"/>
        <w:tblInd w:w="780" w:type="dxa"/>
        <w:tblLook w:val="04A0" w:firstRow="1" w:lastRow="0" w:firstColumn="1" w:lastColumn="0" w:noHBand="0" w:noVBand="1"/>
      </w:tblPr>
      <w:tblGrid>
        <w:gridCol w:w="5868"/>
      </w:tblGrid>
      <w:tr w:rsidR="006E3382" w:rsidRPr="006E3382" w14:paraId="36B8B2A2" w14:textId="77777777" w:rsidTr="006E3382">
        <w:tc>
          <w:tcPr>
            <w:tcW w:w="5868" w:type="dxa"/>
          </w:tcPr>
          <w:p w14:paraId="5291D635" w14:textId="77777777" w:rsidR="006E3382" w:rsidRPr="006E3382" w:rsidRDefault="006E3382" w:rsidP="006E3382">
            <w:pPr>
              <w:widowControl/>
              <w:jc w:val="both"/>
              <w:rPr>
                <w:b/>
                <w:kern w:val="0"/>
                <w:szCs w:val="22"/>
              </w:rPr>
            </w:pPr>
            <w:r w:rsidRPr="006E3382">
              <w:rPr>
                <w:bCs/>
                <w:kern w:val="0"/>
                <w:sz w:val="20"/>
              </w:rPr>
              <w:br w:type="page"/>
            </w:r>
            <w:r w:rsidRPr="006E3382">
              <w:rPr>
                <w:b/>
                <w:kern w:val="0"/>
                <w:szCs w:val="22"/>
              </w:rPr>
              <w:t>Eligible voice services.</w:t>
            </w:r>
          </w:p>
          <w:p w14:paraId="3FD38233" w14:textId="77777777" w:rsidR="006E3382" w:rsidRPr="006E3382" w:rsidRDefault="006E3382" w:rsidP="006E3382">
            <w:pPr>
              <w:widowControl/>
              <w:jc w:val="both"/>
              <w:rPr>
                <w:b/>
                <w:kern w:val="0"/>
                <w:szCs w:val="22"/>
              </w:rPr>
            </w:pPr>
          </w:p>
          <w:p w14:paraId="3036BB4A" w14:textId="77777777" w:rsidR="006E3382" w:rsidRPr="006E3382" w:rsidRDefault="006E3382" w:rsidP="006E3382">
            <w:pPr>
              <w:widowControl/>
              <w:jc w:val="both"/>
              <w:rPr>
                <w:kern w:val="0"/>
                <w:szCs w:val="22"/>
              </w:rPr>
            </w:pPr>
            <w:r w:rsidRPr="006E3382">
              <w:rPr>
                <w:kern w:val="0"/>
                <w:szCs w:val="22"/>
              </w:rPr>
              <w:t xml:space="preserve">Eligible voice services are subject to an annual 20 percentage point phase down of E-rate support beginning in funding year 2015, as described in the </w:t>
            </w:r>
            <w:r w:rsidRPr="006E3382">
              <w:rPr>
                <w:i/>
                <w:kern w:val="0"/>
                <w:szCs w:val="22"/>
              </w:rPr>
              <w:t>E-rate Modernization Order</w:t>
            </w:r>
            <w:r w:rsidRPr="006E3382">
              <w:rPr>
                <w:kern w:val="0"/>
                <w:szCs w:val="22"/>
              </w:rPr>
              <w:t>.  The reduced discount rate for voice services will apply to all applicants and all costs for the provision of telephone services and circuit capacity dedicated to providing voice services including:</w:t>
            </w:r>
          </w:p>
          <w:p w14:paraId="3EBBDAC7" w14:textId="77777777" w:rsidR="006E3382" w:rsidRPr="006E3382" w:rsidRDefault="006E3382" w:rsidP="006E3382">
            <w:pPr>
              <w:widowControl/>
              <w:jc w:val="both"/>
              <w:rPr>
                <w:kern w:val="0"/>
                <w:szCs w:val="22"/>
              </w:rPr>
            </w:pPr>
          </w:p>
          <w:p w14:paraId="47C4D66A" w14:textId="77777777" w:rsidR="006E3382" w:rsidRPr="006E3382" w:rsidRDefault="006E3382" w:rsidP="006E3382">
            <w:pPr>
              <w:widowControl/>
              <w:numPr>
                <w:ilvl w:val="0"/>
                <w:numId w:val="20"/>
              </w:numPr>
              <w:contextualSpacing/>
              <w:jc w:val="both"/>
              <w:rPr>
                <w:kern w:val="0"/>
                <w:szCs w:val="22"/>
              </w:rPr>
            </w:pPr>
            <w:r w:rsidRPr="006E3382">
              <w:rPr>
                <w:kern w:val="0"/>
                <w:szCs w:val="22"/>
              </w:rPr>
              <w:t>Centrex</w:t>
            </w:r>
          </w:p>
          <w:p w14:paraId="65627D58" w14:textId="77777777" w:rsidR="006E3382" w:rsidRPr="006E3382" w:rsidRDefault="006E3382" w:rsidP="006E3382">
            <w:pPr>
              <w:widowControl/>
              <w:numPr>
                <w:ilvl w:val="0"/>
                <w:numId w:val="20"/>
              </w:numPr>
              <w:contextualSpacing/>
              <w:jc w:val="both"/>
              <w:rPr>
                <w:kern w:val="0"/>
                <w:szCs w:val="22"/>
              </w:rPr>
            </w:pPr>
            <w:r w:rsidRPr="006E3382">
              <w:rPr>
                <w:kern w:val="0"/>
                <w:szCs w:val="22"/>
              </w:rPr>
              <w:t>Interconnected voice over Internet protocol (VoIP)</w:t>
            </w:r>
          </w:p>
          <w:p w14:paraId="0E6F74D6" w14:textId="77777777" w:rsidR="006E3382" w:rsidRPr="006E3382" w:rsidRDefault="006E3382" w:rsidP="006E3382">
            <w:pPr>
              <w:widowControl/>
              <w:numPr>
                <w:ilvl w:val="0"/>
                <w:numId w:val="20"/>
              </w:numPr>
              <w:contextualSpacing/>
              <w:jc w:val="both"/>
              <w:rPr>
                <w:kern w:val="0"/>
                <w:szCs w:val="22"/>
              </w:rPr>
            </w:pPr>
            <w:r w:rsidRPr="006E3382">
              <w:rPr>
                <w:kern w:val="0"/>
                <w:szCs w:val="22"/>
              </w:rPr>
              <w:t>Local, long distance, and 800 service, e.g., a toll-free telephone number for students to contact school regarding questions about homework</w:t>
            </w:r>
          </w:p>
          <w:p w14:paraId="64E1DD61" w14:textId="77777777" w:rsidR="006E3382" w:rsidRPr="006E3382" w:rsidRDefault="006E3382" w:rsidP="006E3382">
            <w:pPr>
              <w:widowControl/>
              <w:numPr>
                <w:ilvl w:val="0"/>
                <w:numId w:val="20"/>
              </w:numPr>
              <w:contextualSpacing/>
              <w:jc w:val="both"/>
              <w:rPr>
                <w:kern w:val="0"/>
                <w:szCs w:val="22"/>
              </w:rPr>
            </w:pPr>
            <w:r w:rsidRPr="006E3382">
              <w:rPr>
                <w:kern w:val="0"/>
                <w:szCs w:val="22"/>
              </w:rPr>
              <w:t>Plain old telephone service (POTS)</w:t>
            </w:r>
          </w:p>
          <w:p w14:paraId="47F6AF73" w14:textId="77777777" w:rsidR="006E3382" w:rsidRPr="006E3382" w:rsidRDefault="006E3382" w:rsidP="006E3382">
            <w:pPr>
              <w:widowControl/>
              <w:numPr>
                <w:ilvl w:val="0"/>
                <w:numId w:val="20"/>
              </w:numPr>
              <w:contextualSpacing/>
              <w:jc w:val="both"/>
              <w:rPr>
                <w:kern w:val="0"/>
                <w:szCs w:val="22"/>
              </w:rPr>
            </w:pPr>
            <w:r w:rsidRPr="006E3382">
              <w:rPr>
                <w:kern w:val="0"/>
                <w:szCs w:val="22"/>
              </w:rPr>
              <w:t>Radio loop</w:t>
            </w:r>
          </w:p>
          <w:p w14:paraId="5DB5A71E" w14:textId="77777777" w:rsidR="006E3382" w:rsidRPr="006E3382" w:rsidRDefault="006E3382" w:rsidP="006E3382">
            <w:pPr>
              <w:widowControl/>
              <w:numPr>
                <w:ilvl w:val="0"/>
                <w:numId w:val="20"/>
              </w:numPr>
              <w:contextualSpacing/>
              <w:jc w:val="both"/>
              <w:rPr>
                <w:kern w:val="0"/>
                <w:szCs w:val="22"/>
              </w:rPr>
            </w:pPr>
            <w:r w:rsidRPr="006E3382">
              <w:rPr>
                <w:kern w:val="0"/>
                <w:szCs w:val="22"/>
              </w:rPr>
              <w:t xml:space="preserve">Satellite telephone service </w:t>
            </w:r>
          </w:p>
          <w:p w14:paraId="1CD909A9" w14:textId="77777777" w:rsidR="006E3382" w:rsidRPr="006E3382" w:rsidRDefault="006E3382" w:rsidP="006E3382">
            <w:pPr>
              <w:widowControl/>
              <w:numPr>
                <w:ilvl w:val="0"/>
                <w:numId w:val="20"/>
              </w:numPr>
              <w:contextualSpacing/>
              <w:jc w:val="both"/>
              <w:rPr>
                <w:kern w:val="0"/>
                <w:szCs w:val="22"/>
              </w:rPr>
            </w:pPr>
            <w:r w:rsidRPr="006E3382">
              <w:rPr>
                <w:kern w:val="0"/>
                <w:szCs w:val="22"/>
              </w:rPr>
              <w:t>Shared telephone service (only the portion of the shared services relating to the eligible use and location may receive discounts)</w:t>
            </w:r>
          </w:p>
          <w:p w14:paraId="4D54511D" w14:textId="77777777" w:rsidR="006E3382" w:rsidRPr="006E3382" w:rsidRDefault="006E3382" w:rsidP="006E3382">
            <w:pPr>
              <w:widowControl/>
              <w:numPr>
                <w:ilvl w:val="0"/>
                <w:numId w:val="20"/>
              </w:numPr>
              <w:contextualSpacing/>
              <w:jc w:val="both"/>
              <w:rPr>
                <w:kern w:val="0"/>
                <w:sz w:val="20"/>
              </w:rPr>
            </w:pPr>
            <w:r w:rsidRPr="006E3382">
              <w:rPr>
                <w:kern w:val="0"/>
                <w:szCs w:val="22"/>
              </w:rPr>
              <w:t>Wireless telephone service including cellular voice and excluding data and text messaging</w:t>
            </w:r>
          </w:p>
        </w:tc>
      </w:tr>
    </w:tbl>
    <w:p w14:paraId="66A9B64F" w14:textId="77777777" w:rsidR="006E3382" w:rsidRPr="006E3382" w:rsidRDefault="006E3382" w:rsidP="006E3382">
      <w:pPr>
        <w:widowControl/>
        <w:jc w:val="both"/>
        <w:rPr>
          <w:bCs/>
          <w:kern w:val="0"/>
          <w:szCs w:val="22"/>
          <w:u w:val="single"/>
        </w:rPr>
      </w:pPr>
    </w:p>
    <w:p w14:paraId="17C3DD27" w14:textId="77777777" w:rsidR="006E3382" w:rsidRPr="006E3382" w:rsidRDefault="006E3382" w:rsidP="006E3382">
      <w:pPr>
        <w:widowControl/>
        <w:jc w:val="both"/>
        <w:rPr>
          <w:kern w:val="0"/>
          <w:szCs w:val="22"/>
        </w:rPr>
      </w:pPr>
      <w:r w:rsidRPr="006E3382" w:rsidDel="00CE5FC4">
        <w:rPr>
          <w:kern w:val="0"/>
          <w:szCs w:val="22"/>
        </w:rPr>
        <w:t xml:space="preserve"> </w:t>
      </w:r>
    </w:p>
    <w:p w14:paraId="5007DC96" w14:textId="77777777" w:rsidR="006E3382" w:rsidRPr="006E3382" w:rsidRDefault="006E3382" w:rsidP="006E3382">
      <w:pPr>
        <w:widowControl/>
        <w:spacing w:after="200" w:line="276" w:lineRule="auto"/>
        <w:rPr>
          <w:kern w:val="0"/>
          <w:szCs w:val="22"/>
        </w:rPr>
      </w:pPr>
      <w:r w:rsidRPr="006E3382">
        <w:rPr>
          <w:kern w:val="0"/>
          <w:szCs w:val="22"/>
        </w:rPr>
        <w:br w:type="page"/>
      </w:r>
    </w:p>
    <w:p w14:paraId="58A641E7" w14:textId="77777777" w:rsidR="006E3382" w:rsidRPr="006E3382" w:rsidRDefault="006E3382" w:rsidP="006E3382">
      <w:pPr>
        <w:widowControl/>
        <w:jc w:val="both"/>
        <w:rPr>
          <w:bCs/>
          <w:kern w:val="0"/>
          <w:szCs w:val="22"/>
          <w:u w:val="single"/>
        </w:rPr>
      </w:pPr>
    </w:p>
    <w:p w14:paraId="7D3B2BD5" w14:textId="77777777" w:rsidR="006E3382" w:rsidRPr="006E3382" w:rsidRDefault="006E3382" w:rsidP="006E3382">
      <w:pPr>
        <w:widowControl/>
        <w:jc w:val="both"/>
        <w:rPr>
          <w:b/>
          <w:bCs/>
          <w:kern w:val="0"/>
          <w:szCs w:val="22"/>
        </w:rPr>
      </w:pPr>
      <w:r w:rsidRPr="006E3382">
        <w:rPr>
          <w:b/>
          <w:bCs/>
          <w:kern w:val="0"/>
          <w:szCs w:val="22"/>
        </w:rPr>
        <w:t xml:space="preserve">Eligibility limitations for certain Category One services: </w:t>
      </w:r>
    </w:p>
    <w:p w14:paraId="620D8050" w14:textId="77777777" w:rsidR="006E3382" w:rsidRPr="006E3382" w:rsidRDefault="006E3382" w:rsidP="006E3382">
      <w:pPr>
        <w:widowControl/>
        <w:jc w:val="both"/>
        <w:rPr>
          <w:b/>
          <w:kern w:val="0"/>
        </w:rPr>
      </w:pPr>
    </w:p>
    <w:tbl>
      <w:tblPr>
        <w:tblStyle w:val="TableGrid1"/>
        <w:tblW w:w="0" w:type="auto"/>
        <w:tblInd w:w="720" w:type="dxa"/>
        <w:tblLook w:val="04A0" w:firstRow="1" w:lastRow="0" w:firstColumn="1" w:lastColumn="0" w:noHBand="0" w:noVBand="1"/>
      </w:tblPr>
      <w:tblGrid>
        <w:gridCol w:w="8856"/>
      </w:tblGrid>
      <w:tr w:rsidR="006E3382" w:rsidRPr="006E3382" w14:paraId="05167C7A" w14:textId="77777777" w:rsidTr="006E3382">
        <w:tc>
          <w:tcPr>
            <w:tcW w:w="8856" w:type="dxa"/>
          </w:tcPr>
          <w:p w14:paraId="3B0079AB" w14:textId="77777777" w:rsidR="006E3382" w:rsidRPr="006E3382" w:rsidRDefault="006E3382" w:rsidP="006E3382">
            <w:pPr>
              <w:widowControl/>
              <w:jc w:val="both"/>
              <w:rPr>
                <w:b/>
                <w:kern w:val="0"/>
                <w:szCs w:val="22"/>
              </w:rPr>
            </w:pPr>
          </w:p>
          <w:p w14:paraId="1C487196" w14:textId="77777777" w:rsidR="006E3382" w:rsidRPr="006E3382" w:rsidRDefault="006E3382" w:rsidP="006E3382">
            <w:pPr>
              <w:widowControl/>
              <w:jc w:val="both"/>
              <w:rPr>
                <w:color w:val="010101"/>
                <w:kern w:val="0"/>
                <w:szCs w:val="22"/>
              </w:rPr>
            </w:pPr>
            <w:r w:rsidRPr="006E3382">
              <w:rPr>
                <w:b/>
                <w:kern w:val="0"/>
                <w:szCs w:val="22"/>
              </w:rPr>
              <w:t>Fiber</w:t>
            </w:r>
            <w:r w:rsidRPr="006E3382">
              <w:rPr>
                <w:kern w:val="0"/>
                <w:szCs w:val="22"/>
              </w:rPr>
              <w:t xml:space="preserve"> – </w:t>
            </w:r>
            <w:r w:rsidRPr="006E3382">
              <w:rPr>
                <w:bCs/>
                <w:kern w:val="0"/>
                <w:szCs w:val="22"/>
              </w:rPr>
              <w:t>E-rate s</w:t>
            </w:r>
            <w:r w:rsidRPr="006E3382">
              <w:rPr>
                <w:kern w:val="0"/>
                <w:szCs w:val="22"/>
              </w:rPr>
              <w:t>upport</w:t>
            </w:r>
            <w:r w:rsidRPr="006E3382">
              <w:rPr>
                <w:bCs/>
                <w:kern w:val="0"/>
                <w:szCs w:val="22"/>
              </w:rPr>
              <w:t xml:space="preserve"> is available for leased lit and dark</w:t>
            </w:r>
            <w:r w:rsidRPr="006E3382">
              <w:rPr>
                <w:rFonts w:cs="Verdana"/>
                <w:bCs/>
                <w:kern w:val="0"/>
                <w:szCs w:val="22"/>
              </w:rPr>
              <w:t xml:space="preserve"> fiber as described </w:t>
            </w:r>
            <w:r w:rsidRPr="006E3382">
              <w:rPr>
                <w:color w:val="010101"/>
                <w:kern w:val="0"/>
                <w:szCs w:val="22"/>
              </w:rPr>
              <w:t xml:space="preserve">in the </w:t>
            </w:r>
            <w:r w:rsidRPr="006E3382">
              <w:rPr>
                <w:i/>
                <w:color w:val="010101"/>
                <w:kern w:val="0"/>
                <w:szCs w:val="22"/>
              </w:rPr>
              <w:t xml:space="preserve">Schools and Libraries Sixth Report and Order </w:t>
            </w:r>
            <w:r w:rsidRPr="006E3382">
              <w:rPr>
                <w:color w:val="010101"/>
                <w:kern w:val="0"/>
                <w:szCs w:val="22"/>
              </w:rPr>
              <w:t>(FCC 10-175) and the subsequent “Frequently Asked Questions” (DA 10-2356).</w:t>
            </w:r>
          </w:p>
          <w:p w14:paraId="223A4084" w14:textId="77777777" w:rsidR="006E3382" w:rsidRPr="006E3382" w:rsidRDefault="006E3382" w:rsidP="006E3382">
            <w:pPr>
              <w:widowControl/>
              <w:jc w:val="both"/>
              <w:rPr>
                <w:color w:val="010101"/>
                <w:kern w:val="0"/>
                <w:szCs w:val="22"/>
              </w:rPr>
            </w:pPr>
          </w:p>
          <w:p w14:paraId="2FC9C432" w14:textId="77777777" w:rsidR="006E3382" w:rsidRPr="006E3382" w:rsidRDefault="006E3382" w:rsidP="006E3382">
            <w:pPr>
              <w:widowControl/>
              <w:numPr>
                <w:ilvl w:val="0"/>
                <w:numId w:val="18"/>
              </w:numPr>
              <w:contextualSpacing/>
              <w:jc w:val="both"/>
              <w:rPr>
                <w:rFonts w:cs="Verdana"/>
                <w:bCs/>
                <w:kern w:val="0"/>
                <w:szCs w:val="22"/>
              </w:rPr>
            </w:pPr>
            <w:r w:rsidRPr="006E3382">
              <w:rPr>
                <w:b/>
                <w:color w:val="010101"/>
                <w:kern w:val="0"/>
                <w:szCs w:val="22"/>
              </w:rPr>
              <w:t xml:space="preserve">Leased Lit Fiber </w:t>
            </w:r>
            <w:r w:rsidRPr="006E3382">
              <w:rPr>
                <w:kern w:val="0"/>
                <w:szCs w:val="22"/>
              </w:rPr>
              <w:t>–</w:t>
            </w:r>
            <w:r w:rsidRPr="006E3382">
              <w:rPr>
                <w:color w:val="010101"/>
                <w:kern w:val="0"/>
                <w:szCs w:val="22"/>
              </w:rPr>
              <w:t xml:space="preserve"> Monthly charges, special construction, and maintenance charges are eligible.  When lit fiber is leased as a Category One service, modulating electronics can be included as a part of that eligible service.</w:t>
            </w:r>
            <w:r w:rsidRPr="006E3382">
              <w:rPr>
                <w:rFonts w:cs="Verdana"/>
                <w:bCs/>
                <w:kern w:val="0"/>
                <w:szCs w:val="22"/>
              </w:rPr>
              <w:t xml:space="preserve">  </w:t>
            </w:r>
          </w:p>
          <w:p w14:paraId="6A788D80" w14:textId="77777777" w:rsidR="006E3382" w:rsidRPr="006E3382" w:rsidRDefault="006E3382" w:rsidP="006E3382">
            <w:pPr>
              <w:widowControl/>
              <w:numPr>
                <w:ilvl w:val="0"/>
                <w:numId w:val="18"/>
              </w:numPr>
              <w:contextualSpacing/>
              <w:jc w:val="both"/>
              <w:rPr>
                <w:rFonts w:cs="Verdana"/>
                <w:bCs/>
                <w:kern w:val="0"/>
                <w:szCs w:val="22"/>
              </w:rPr>
            </w:pPr>
            <w:r w:rsidRPr="006E3382">
              <w:rPr>
                <w:b/>
                <w:kern w:val="0"/>
                <w:szCs w:val="22"/>
              </w:rPr>
              <w:t>Leased Dark Fiber</w:t>
            </w:r>
            <w:r w:rsidRPr="006E3382">
              <w:rPr>
                <w:kern w:val="0"/>
                <w:szCs w:val="22"/>
              </w:rPr>
              <w:t xml:space="preserve"> – Within the eligible entity’s property line, maintenance and special construction costs to connect the fiber to the eligible entity’s facilities are eligible.  Beyond the eligible entity’s property line, special construction charges are not eligible, but monthly charges and maintenance provided as a component of leased dark fiber to maintain reliable operation are eligible.  Re-routing of fiber is considered construction, not maintenance.  If other customers are served by the leased dark fiber, only the pro rata costs of maintenance incurred by the eligible entity will be eligible for E-rate support.  </w:t>
            </w:r>
            <w:r w:rsidRPr="006E3382">
              <w:rPr>
                <w:bCs/>
                <w:kern w:val="0"/>
                <w:szCs w:val="22"/>
              </w:rPr>
              <w:t xml:space="preserve">The purchase and ownership of modulating electronics associated with lighting dark fiber and modulating electronics on applicant-leased dark fiber leaving the </w:t>
            </w:r>
            <w:r w:rsidRPr="006E3382">
              <w:rPr>
                <w:kern w:val="0"/>
                <w:szCs w:val="22"/>
              </w:rPr>
              <w:t>eligible entity</w:t>
            </w:r>
            <w:r w:rsidRPr="006E3382">
              <w:rPr>
                <w:bCs/>
                <w:kern w:val="0"/>
                <w:szCs w:val="22"/>
              </w:rPr>
              <w:t>’s premises are not eligible.</w:t>
            </w:r>
            <w:r w:rsidRPr="006E3382">
              <w:rPr>
                <w:kern w:val="0"/>
                <w:szCs w:val="22"/>
              </w:rPr>
              <w:t xml:space="preserve"> </w:t>
            </w:r>
          </w:p>
          <w:p w14:paraId="2DD95173" w14:textId="77777777" w:rsidR="006E3382" w:rsidRPr="006E3382" w:rsidRDefault="006E3382" w:rsidP="006E3382">
            <w:pPr>
              <w:widowControl/>
              <w:numPr>
                <w:ilvl w:val="0"/>
                <w:numId w:val="18"/>
              </w:numPr>
              <w:contextualSpacing/>
              <w:jc w:val="both"/>
              <w:rPr>
                <w:rFonts w:cs="Verdana"/>
                <w:bCs/>
                <w:kern w:val="0"/>
                <w:szCs w:val="22"/>
              </w:rPr>
            </w:pPr>
            <w:r w:rsidRPr="006E3382">
              <w:rPr>
                <w:b/>
                <w:kern w:val="0"/>
                <w:szCs w:val="22"/>
              </w:rPr>
              <w:t>IRUs</w:t>
            </w:r>
            <w:r w:rsidRPr="006E3382">
              <w:rPr>
                <w:kern w:val="0"/>
                <w:szCs w:val="22"/>
              </w:rPr>
              <w:t xml:space="preserve"> – An Indefeasible Rights of Use (IRU) purchase arrangement will be considered a lease of dark fiber for E-rate program purposes.  If the IRU contains significant upfront charges, the charges may need to be amortized.</w:t>
            </w:r>
          </w:p>
        </w:tc>
      </w:tr>
      <w:tr w:rsidR="006E3382" w:rsidRPr="006E3382" w14:paraId="07718810" w14:textId="77777777" w:rsidTr="006E3382">
        <w:tc>
          <w:tcPr>
            <w:tcW w:w="8856" w:type="dxa"/>
          </w:tcPr>
          <w:p w14:paraId="4AB203AD" w14:textId="77777777" w:rsidR="006E3382" w:rsidRPr="006E3382" w:rsidRDefault="006E3382" w:rsidP="006E3382">
            <w:pPr>
              <w:widowControl/>
              <w:contextualSpacing/>
              <w:jc w:val="both"/>
              <w:rPr>
                <w:b/>
                <w:kern w:val="0"/>
                <w:szCs w:val="22"/>
              </w:rPr>
            </w:pPr>
          </w:p>
          <w:p w14:paraId="2A43D5E5" w14:textId="77777777" w:rsidR="006E3382" w:rsidRPr="006E3382" w:rsidRDefault="006E3382" w:rsidP="006E3382">
            <w:pPr>
              <w:widowControl/>
              <w:contextualSpacing/>
              <w:jc w:val="both"/>
              <w:rPr>
                <w:bCs/>
                <w:kern w:val="0"/>
                <w:szCs w:val="22"/>
                <w:u w:val="single"/>
              </w:rPr>
            </w:pPr>
            <w:r w:rsidRPr="006E3382">
              <w:rPr>
                <w:b/>
                <w:kern w:val="0"/>
                <w:szCs w:val="22"/>
              </w:rPr>
              <w:t>Internet access</w:t>
            </w:r>
            <w:r w:rsidRPr="006E3382">
              <w:rPr>
                <w:kern w:val="0"/>
                <w:szCs w:val="22"/>
              </w:rPr>
              <w:t xml:space="preserve"> – Eligible Internet access may include features such as basic firewall protection, domain name service, and dynamic host configuration when these features are provided as a standard component of a vendor’s Internet access service.  </w:t>
            </w:r>
            <w:r w:rsidRPr="006E3382">
              <w:rPr>
                <w:color w:val="010101"/>
                <w:kern w:val="0"/>
                <w:szCs w:val="22"/>
              </w:rPr>
              <w:t xml:space="preserve">Firewall protection may not be provided by a vendor other than the Internet access provider and may not be priced out separately. </w:t>
            </w:r>
            <w:r w:rsidRPr="006E3382">
              <w:rPr>
                <w:b/>
                <w:color w:val="010101"/>
                <w:kern w:val="0"/>
                <w:szCs w:val="22"/>
              </w:rPr>
              <w:t xml:space="preserve"> </w:t>
            </w:r>
            <w:r w:rsidRPr="006E3382">
              <w:rPr>
                <w:kern w:val="0"/>
                <w:szCs w:val="22"/>
              </w:rPr>
              <w:t>Examples of items that are ineligible components of Internet access include applications, content, e-mail, and equipment such as computers, laptops, tablets, and all other end-user devices.</w:t>
            </w:r>
          </w:p>
        </w:tc>
      </w:tr>
      <w:tr w:rsidR="006E3382" w:rsidRPr="006E3382" w14:paraId="4C969D02" w14:textId="77777777" w:rsidTr="006E3382">
        <w:tc>
          <w:tcPr>
            <w:tcW w:w="8856" w:type="dxa"/>
          </w:tcPr>
          <w:p w14:paraId="297D876F" w14:textId="77777777" w:rsidR="006E3382" w:rsidRPr="006E3382" w:rsidRDefault="006E3382" w:rsidP="006E3382">
            <w:pPr>
              <w:widowControl/>
              <w:contextualSpacing/>
              <w:jc w:val="both"/>
              <w:rPr>
                <w:b/>
                <w:kern w:val="0"/>
                <w:szCs w:val="22"/>
              </w:rPr>
            </w:pPr>
          </w:p>
          <w:p w14:paraId="4FC17AF3" w14:textId="77777777" w:rsidR="006E3382" w:rsidRPr="006E3382" w:rsidRDefault="006E3382" w:rsidP="006E3382">
            <w:pPr>
              <w:widowControl/>
              <w:contextualSpacing/>
              <w:jc w:val="both"/>
              <w:rPr>
                <w:b/>
                <w:kern w:val="0"/>
                <w:szCs w:val="22"/>
              </w:rPr>
            </w:pPr>
            <w:r w:rsidRPr="006E3382">
              <w:rPr>
                <w:b/>
                <w:kern w:val="0"/>
                <w:szCs w:val="22"/>
              </w:rPr>
              <w:t>Wireless services</w:t>
            </w:r>
            <w:r w:rsidRPr="006E3382">
              <w:rPr>
                <w:kern w:val="0"/>
                <w:szCs w:val="22"/>
              </w:rPr>
              <w:t xml:space="preserve"> </w:t>
            </w:r>
            <w:r w:rsidRPr="006E3382">
              <w:rPr>
                <w:b/>
                <w:kern w:val="0"/>
                <w:szCs w:val="22"/>
              </w:rPr>
              <w:t>and wireless Internet access services</w:t>
            </w:r>
            <w:r w:rsidRPr="006E3382">
              <w:rPr>
                <w:kern w:val="0"/>
                <w:szCs w:val="22"/>
              </w:rPr>
              <w:t xml:space="preserve"> –Managed internal broadband services, such as managed Wi-Fi, are eligible only for Category Two support.  </w:t>
            </w:r>
          </w:p>
        </w:tc>
      </w:tr>
    </w:tbl>
    <w:p w14:paraId="491242AC" w14:textId="77777777" w:rsidR="006E3382" w:rsidRPr="006E3382" w:rsidRDefault="006E3382" w:rsidP="006E3382">
      <w:pPr>
        <w:widowControl/>
        <w:ind w:left="720"/>
        <w:contextualSpacing/>
        <w:jc w:val="both"/>
        <w:rPr>
          <w:bCs/>
          <w:kern w:val="0"/>
          <w:szCs w:val="22"/>
          <w:u w:val="single"/>
        </w:rPr>
      </w:pPr>
    </w:p>
    <w:p w14:paraId="5C949E5E" w14:textId="77777777" w:rsidR="006E3382" w:rsidRPr="006E3382" w:rsidRDefault="006E3382" w:rsidP="006E3382">
      <w:pPr>
        <w:widowControl/>
        <w:ind w:left="720"/>
        <w:contextualSpacing/>
        <w:jc w:val="both"/>
        <w:rPr>
          <w:kern w:val="0"/>
        </w:rPr>
      </w:pPr>
    </w:p>
    <w:p w14:paraId="4C8C6CD7" w14:textId="77777777" w:rsidR="006E3382" w:rsidRPr="006E3382" w:rsidRDefault="006E3382" w:rsidP="006E3382">
      <w:pPr>
        <w:widowControl/>
        <w:jc w:val="both"/>
        <w:rPr>
          <w:kern w:val="0"/>
        </w:rPr>
      </w:pPr>
    </w:p>
    <w:p w14:paraId="42385523" w14:textId="77777777" w:rsidR="006E3382" w:rsidRPr="006E3382" w:rsidRDefault="006E3382" w:rsidP="006E3382">
      <w:pPr>
        <w:widowControl/>
        <w:jc w:val="both"/>
        <w:rPr>
          <w:kern w:val="0"/>
        </w:rPr>
      </w:pPr>
    </w:p>
    <w:p w14:paraId="0627022D" w14:textId="77777777" w:rsidR="006E3382" w:rsidRPr="006E3382" w:rsidRDefault="006E3382" w:rsidP="006E3382">
      <w:pPr>
        <w:widowControl/>
        <w:jc w:val="both"/>
        <w:rPr>
          <w:kern w:val="0"/>
        </w:rPr>
      </w:pPr>
      <w:r w:rsidRPr="006E3382">
        <w:rPr>
          <w:kern w:val="0"/>
        </w:rPr>
        <w:br w:type="page"/>
      </w:r>
    </w:p>
    <w:p w14:paraId="218B1F63" w14:textId="77777777" w:rsidR="006E3382" w:rsidRPr="006E3382" w:rsidRDefault="006E3382" w:rsidP="006E3382">
      <w:pPr>
        <w:widowControl/>
        <w:contextualSpacing/>
        <w:jc w:val="both"/>
        <w:rPr>
          <w:b/>
          <w:kern w:val="0"/>
        </w:rPr>
      </w:pPr>
      <w:r w:rsidRPr="006E3382">
        <w:rPr>
          <w:b/>
          <w:kern w:val="0"/>
          <w:u w:val="single"/>
        </w:rPr>
        <w:t>Category Two</w:t>
      </w:r>
    </w:p>
    <w:p w14:paraId="713FE4CA" w14:textId="77777777" w:rsidR="006E3382" w:rsidRPr="006E3382" w:rsidRDefault="006E3382" w:rsidP="006E3382">
      <w:pPr>
        <w:widowControl/>
        <w:ind w:left="1080"/>
        <w:contextualSpacing/>
        <w:jc w:val="both"/>
        <w:rPr>
          <w:kern w:val="0"/>
        </w:rPr>
      </w:pPr>
    </w:p>
    <w:p w14:paraId="3B3912B1" w14:textId="77777777" w:rsidR="006E3382" w:rsidRPr="006E3382" w:rsidRDefault="006E3382" w:rsidP="006E3382">
      <w:pPr>
        <w:widowControl/>
        <w:jc w:val="both"/>
        <w:rPr>
          <w:rFonts w:ascii="Verdana" w:hAnsi="Verdana"/>
          <w:bCs/>
          <w:kern w:val="0"/>
          <w:szCs w:val="22"/>
        </w:rPr>
      </w:pPr>
      <w:r w:rsidRPr="006E3382">
        <w:rPr>
          <w:kern w:val="0"/>
        </w:rPr>
        <w:t xml:space="preserve">The second category of equipment and services eligible for E-rate support, Category Two, includes </w:t>
      </w:r>
      <w:r w:rsidRPr="006E3382" w:rsidDel="00907FA5">
        <w:rPr>
          <w:kern w:val="0"/>
          <w:szCs w:val="22"/>
        </w:rPr>
        <w:t xml:space="preserve">the internal connections </w:t>
      </w:r>
      <w:r w:rsidRPr="006E3382">
        <w:rPr>
          <w:kern w:val="0"/>
          <w:szCs w:val="22"/>
        </w:rPr>
        <w:t xml:space="preserve">and services </w:t>
      </w:r>
      <w:r w:rsidRPr="006E3382" w:rsidDel="00907FA5">
        <w:rPr>
          <w:kern w:val="0"/>
          <w:szCs w:val="22"/>
        </w:rPr>
        <w:t>needed for broadband connectivity within schools and libraries</w:t>
      </w:r>
      <w:r w:rsidRPr="006E3382">
        <w:rPr>
          <w:kern w:val="0"/>
        </w:rPr>
        <w:t xml:space="preserve">.  Support is limited to the </w:t>
      </w:r>
      <w:r w:rsidRPr="006E3382">
        <w:rPr>
          <w:bCs/>
          <w:kern w:val="0"/>
        </w:rPr>
        <w:t xml:space="preserve">internal </w:t>
      </w:r>
      <w:r w:rsidRPr="006E3382">
        <w:rPr>
          <w:snapToGrid w:val="0"/>
        </w:rPr>
        <w:t xml:space="preserve">connections </w:t>
      </w:r>
      <w:r w:rsidRPr="006E3382">
        <w:rPr>
          <w:kern w:val="0"/>
        </w:rPr>
        <w:t xml:space="preserve">equipment or services necessary to </w:t>
      </w:r>
      <w:r w:rsidRPr="006E3382">
        <w:rPr>
          <w:snapToGrid w:val="0"/>
        </w:rPr>
        <w:t>bring broadband into, and provide it throughout, schools and libraries</w:t>
      </w:r>
      <w:r w:rsidRPr="006E3382">
        <w:rPr>
          <w:kern w:val="0"/>
        </w:rPr>
        <w:t>.  These are broadband connections used for educational purposes within, between, or among instructional buildings that comprise a school campus or library branch, and basic maintenance of these connections, as well as s</w:t>
      </w:r>
      <w:r w:rsidRPr="006E3382">
        <w:rPr>
          <w:snapToGrid w:val="0"/>
        </w:rPr>
        <w:t>ervices that manage and operate owned or leased broadband internal connections (e.g.,</w:t>
      </w:r>
      <w:r w:rsidRPr="006E3382">
        <w:rPr>
          <w:i/>
          <w:snapToGrid w:val="0"/>
        </w:rPr>
        <w:t xml:space="preserve"> </w:t>
      </w:r>
      <w:r w:rsidRPr="006E3382">
        <w:rPr>
          <w:snapToGrid w:val="0"/>
        </w:rPr>
        <w:t xml:space="preserve">managed internal broadband services or managed Wi-Fi).  </w:t>
      </w:r>
      <w:r w:rsidRPr="006E3382">
        <w:rPr>
          <w:kern w:val="0"/>
          <w:szCs w:val="22"/>
        </w:rPr>
        <w:t xml:space="preserve">Support for components and services in this category are subject to the funding, budgetary, and other requirements and limitations set forth in the </w:t>
      </w:r>
      <w:r w:rsidRPr="006E3382">
        <w:rPr>
          <w:i/>
          <w:kern w:val="0"/>
          <w:szCs w:val="22"/>
        </w:rPr>
        <w:t xml:space="preserve">E-rate Modernization Order </w:t>
      </w:r>
      <w:r w:rsidRPr="006E3382">
        <w:rPr>
          <w:kern w:val="0"/>
          <w:szCs w:val="22"/>
        </w:rPr>
        <w:t>and the Commission’s rules.</w:t>
      </w:r>
      <w:r w:rsidRPr="006E3382">
        <w:rPr>
          <w:rFonts w:ascii="Verdana" w:hAnsi="Verdana"/>
          <w:bCs/>
          <w:kern w:val="0"/>
          <w:szCs w:val="22"/>
        </w:rPr>
        <w:t xml:space="preserve">  </w:t>
      </w:r>
      <w:r w:rsidRPr="006E3382">
        <w:rPr>
          <w:kern w:val="0"/>
          <w:szCs w:val="22"/>
        </w:rPr>
        <w:t>The eligible components and services in Category Two are:</w:t>
      </w:r>
    </w:p>
    <w:p w14:paraId="178EED24" w14:textId="77777777" w:rsidR="006E3382" w:rsidRPr="006E3382" w:rsidRDefault="006E3382" w:rsidP="006E3382">
      <w:pPr>
        <w:widowControl/>
        <w:ind w:left="720"/>
        <w:jc w:val="both"/>
        <w:rPr>
          <w:kern w:val="0"/>
          <w:szCs w:val="22"/>
        </w:rPr>
      </w:pPr>
    </w:p>
    <w:tbl>
      <w:tblPr>
        <w:tblStyle w:val="TableGrid1"/>
        <w:tblW w:w="0" w:type="auto"/>
        <w:tblInd w:w="795" w:type="dxa"/>
        <w:tblLook w:val="04A0" w:firstRow="1" w:lastRow="0" w:firstColumn="1" w:lastColumn="0" w:noHBand="0" w:noVBand="1"/>
      </w:tblPr>
      <w:tblGrid>
        <w:gridCol w:w="5868"/>
      </w:tblGrid>
      <w:tr w:rsidR="006E3382" w:rsidRPr="006E3382" w14:paraId="576102F4" w14:textId="77777777" w:rsidTr="006E3382">
        <w:tc>
          <w:tcPr>
            <w:tcW w:w="5868" w:type="dxa"/>
          </w:tcPr>
          <w:p w14:paraId="612C3393" w14:textId="77777777" w:rsidR="006E3382" w:rsidRPr="006E3382" w:rsidRDefault="006E3382" w:rsidP="006E3382">
            <w:pPr>
              <w:widowControl/>
              <w:jc w:val="both"/>
              <w:rPr>
                <w:b/>
                <w:kern w:val="0"/>
                <w:sz w:val="20"/>
                <w:szCs w:val="22"/>
              </w:rPr>
            </w:pPr>
          </w:p>
          <w:p w14:paraId="77C382C3" w14:textId="77777777" w:rsidR="006E3382" w:rsidRPr="006E3382" w:rsidRDefault="006E3382" w:rsidP="006E3382">
            <w:pPr>
              <w:widowControl/>
              <w:jc w:val="both"/>
              <w:rPr>
                <w:kern w:val="0"/>
                <w:szCs w:val="22"/>
              </w:rPr>
            </w:pPr>
            <w:r w:rsidRPr="006E3382">
              <w:rPr>
                <w:b/>
                <w:kern w:val="0"/>
                <w:szCs w:val="22"/>
              </w:rPr>
              <w:t xml:space="preserve">Eligible Broadband Internal Connections Components </w:t>
            </w:r>
          </w:p>
          <w:p w14:paraId="227C766B"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Access points used in a local area network (LAN) or wireless local area network (WLAN) environment (such as wireless access points) </w:t>
            </w:r>
          </w:p>
          <w:p w14:paraId="1BD798DA" w14:textId="77777777" w:rsidR="006E3382" w:rsidRPr="006E3382" w:rsidRDefault="006E3382" w:rsidP="006E3382">
            <w:pPr>
              <w:widowControl/>
              <w:numPr>
                <w:ilvl w:val="0"/>
                <w:numId w:val="16"/>
              </w:numPr>
              <w:contextualSpacing/>
              <w:jc w:val="both"/>
              <w:rPr>
                <w:kern w:val="0"/>
                <w:szCs w:val="22"/>
              </w:rPr>
            </w:pPr>
            <w:r w:rsidRPr="006E3382">
              <w:rPr>
                <w:kern w:val="0"/>
                <w:szCs w:val="22"/>
              </w:rPr>
              <w:t xml:space="preserve">Antennas, cabling, connectors, and related components used for internal broadband connections </w:t>
            </w:r>
          </w:p>
          <w:p w14:paraId="390F9C97"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Caching </w:t>
            </w:r>
          </w:p>
          <w:p w14:paraId="26F72BF1"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Firewall services and components</w:t>
            </w:r>
          </w:p>
          <w:p w14:paraId="735D8348"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Switches </w:t>
            </w:r>
          </w:p>
          <w:p w14:paraId="65824CFA"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Routers </w:t>
            </w:r>
          </w:p>
          <w:p w14:paraId="52CFFB58"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Racks </w:t>
            </w:r>
          </w:p>
          <w:p w14:paraId="0FEA47B9"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Uninterruptible Power Supply (UPS)/Battery Backup </w:t>
            </w:r>
          </w:p>
          <w:p w14:paraId="29CE3523"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Wireless controller systems </w:t>
            </w:r>
          </w:p>
          <w:p w14:paraId="66D94AA4" w14:textId="77777777" w:rsidR="006E3382" w:rsidRPr="006E3382" w:rsidRDefault="006E3382" w:rsidP="006E3382">
            <w:pPr>
              <w:widowControl/>
              <w:numPr>
                <w:ilvl w:val="0"/>
                <w:numId w:val="16"/>
              </w:numPr>
              <w:contextualSpacing/>
              <w:jc w:val="both"/>
              <w:rPr>
                <w:rFonts w:ascii="Verdana" w:hAnsi="Verdana"/>
                <w:bCs/>
                <w:kern w:val="0"/>
                <w:szCs w:val="22"/>
              </w:rPr>
            </w:pPr>
            <w:r w:rsidRPr="006E3382">
              <w:rPr>
                <w:kern w:val="0"/>
                <w:szCs w:val="22"/>
              </w:rPr>
              <w:t xml:space="preserve">Software supporting each of the components on this list used to distribute high-speed broadband throughout school buildings and libraries </w:t>
            </w:r>
          </w:p>
          <w:p w14:paraId="391167FF" w14:textId="77777777" w:rsidR="006E3382" w:rsidRPr="006E3382" w:rsidRDefault="006E3382" w:rsidP="006E3382">
            <w:pPr>
              <w:widowControl/>
              <w:jc w:val="both"/>
              <w:rPr>
                <w:bCs/>
                <w:kern w:val="0"/>
                <w:szCs w:val="22"/>
              </w:rPr>
            </w:pPr>
          </w:p>
          <w:p w14:paraId="6BCF631F" w14:textId="77777777" w:rsidR="006E3382" w:rsidRPr="006E3382" w:rsidRDefault="006E3382" w:rsidP="006E3382">
            <w:pPr>
              <w:widowControl/>
              <w:jc w:val="both"/>
              <w:rPr>
                <w:kern w:val="0"/>
                <w:szCs w:val="22"/>
              </w:rPr>
            </w:pPr>
            <w:r w:rsidRPr="006E3382">
              <w:rPr>
                <w:i/>
                <w:kern w:val="0"/>
                <w:szCs w:val="22"/>
              </w:rPr>
              <w:t>Notes</w:t>
            </w:r>
            <w:r w:rsidRPr="006E3382">
              <w:rPr>
                <w:kern w:val="0"/>
                <w:szCs w:val="22"/>
              </w:rPr>
              <w:t xml:space="preserve">: </w:t>
            </w:r>
            <w:r w:rsidRPr="006E3382">
              <w:rPr>
                <w:kern w:val="0"/>
                <w:szCs w:val="22"/>
              </w:rPr>
              <w:tab/>
              <w:t>(1) Functionalities listed above that can be virtualized in the cloud, and equipment that combines eligible functionalities, like routing and switching, are also eligible.</w:t>
            </w:r>
          </w:p>
          <w:p w14:paraId="0E1A9307" w14:textId="77777777" w:rsidR="006E3382" w:rsidRPr="006E3382" w:rsidRDefault="006E3382" w:rsidP="006E3382">
            <w:pPr>
              <w:widowControl/>
              <w:jc w:val="both"/>
              <w:rPr>
                <w:kern w:val="0"/>
                <w:szCs w:val="22"/>
              </w:rPr>
            </w:pPr>
            <w:r w:rsidRPr="006E3382">
              <w:rPr>
                <w:kern w:val="0"/>
                <w:szCs w:val="22"/>
              </w:rPr>
              <w:t xml:space="preserve">(2) </w:t>
            </w:r>
            <w:r w:rsidRPr="006E3382">
              <w:rPr>
                <w:bCs/>
                <w:kern w:val="0"/>
                <w:szCs w:val="22"/>
              </w:rPr>
              <w:t>A manufacturer’s multi-year warranty for a period up to three years that is provided as an integral part of an eligible component, without a separately identifiable cost, may be incl</w:t>
            </w:r>
            <w:r w:rsidRPr="006E3382">
              <w:rPr>
                <w:kern w:val="0"/>
                <w:szCs w:val="22"/>
              </w:rPr>
              <w:t>uded in the cost of the component.</w:t>
            </w:r>
          </w:p>
          <w:p w14:paraId="2C872346" w14:textId="77777777" w:rsidR="006E3382" w:rsidRPr="006E3382" w:rsidRDefault="006E3382" w:rsidP="006E3382">
            <w:pPr>
              <w:widowControl/>
              <w:jc w:val="both"/>
              <w:rPr>
                <w:b/>
                <w:kern w:val="0"/>
                <w:szCs w:val="22"/>
              </w:rPr>
            </w:pPr>
            <w:r w:rsidRPr="006E3382">
              <w:rPr>
                <w:kern w:val="0"/>
                <w:szCs w:val="22"/>
              </w:rPr>
              <w:t>(3) For funding year 2015,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bl>
    <w:p w14:paraId="3FBB3244" w14:textId="77777777" w:rsidR="006E3382" w:rsidRPr="006E3382" w:rsidRDefault="006E3382" w:rsidP="006E3382">
      <w:pPr>
        <w:widowControl/>
        <w:jc w:val="both"/>
        <w:rPr>
          <w:kern w:val="0"/>
          <w:szCs w:val="22"/>
        </w:rPr>
      </w:pPr>
    </w:p>
    <w:p w14:paraId="0B843C90" w14:textId="77777777" w:rsidR="006E3382" w:rsidRPr="006E3382" w:rsidRDefault="006E3382" w:rsidP="006E3382">
      <w:pPr>
        <w:widowControl/>
        <w:ind w:left="360"/>
        <w:jc w:val="both"/>
        <w:rPr>
          <w:rFonts w:eastAsia="Calibri"/>
          <w:kern w:val="0"/>
          <w:szCs w:val="22"/>
        </w:rPr>
      </w:pPr>
      <w:r w:rsidRPr="006E3382">
        <w:rPr>
          <w:rFonts w:eastAsia="Calibri"/>
          <w:kern w:val="0"/>
          <w:szCs w:val="22"/>
        </w:rPr>
        <w:br w:type="page"/>
      </w:r>
    </w:p>
    <w:tbl>
      <w:tblPr>
        <w:tblStyle w:val="TableGrid1"/>
        <w:tblW w:w="0" w:type="auto"/>
        <w:tblInd w:w="770" w:type="dxa"/>
        <w:tblLook w:val="04A0" w:firstRow="1" w:lastRow="0" w:firstColumn="1" w:lastColumn="0" w:noHBand="0" w:noVBand="1"/>
      </w:tblPr>
      <w:tblGrid>
        <w:gridCol w:w="5958"/>
      </w:tblGrid>
      <w:tr w:rsidR="006E3382" w:rsidRPr="006E3382" w14:paraId="0358F8C9" w14:textId="77777777" w:rsidTr="006E3382">
        <w:tc>
          <w:tcPr>
            <w:tcW w:w="5958" w:type="dxa"/>
          </w:tcPr>
          <w:p w14:paraId="6B141C54" w14:textId="77777777" w:rsidR="006E3382" w:rsidRPr="006E3382" w:rsidRDefault="006E3382" w:rsidP="006E3382">
            <w:pPr>
              <w:keepLines/>
              <w:widowControl/>
              <w:jc w:val="both"/>
              <w:rPr>
                <w:b/>
                <w:snapToGrid w:val="0"/>
                <w:sz w:val="20"/>
              </w:rPr>
            </w:pPr>
          </w:p>
          <w:p w14:paraId="7D8FAF4F" w14:textId="77777777" w:rsidR="006E3382" w:rsidRPr="006E3382" w:rsidRDefault="006E3382" w:rsidP="006E3382">
            <w:pPr>
              <w:keepNext/>
              <w:keepLines/>
              <w:widowControl/>
              <w:jc w:val="both"/>
              <w:rPr>
                <w:kern w:val="0"/>
                <w:szCs w:val="22"/>
              </w:rPr>
            </w:pPr>
            <w:r w:rsidRPr="006E3382">
              <w:rPr>
                <w:b/>
                <w:snapToGrid w:val="0"/>
                <w:szCs w:val="22"/>
              </w:rPr>
              <w:t xml:space="preserve">Eligible Managed Internal Broadband Services </w:t>
            </w:r>
          </w:p>
          <w:p w14:paraId="0C456004" w14:textId="77777777" w:rsidR="006E3382" w:rsidRPr="006E3382" w:rsidRDefault="006E3382" w:rsidP="006E3382">
            <w:pPr>
              <w:keepNext/>
              <w:keepLines/>
              <w:widowControl/>
              <w:numPr>
                <w:ilvl w:val="0"/>
                <w:numId w:val="24"/>
              </w:numPr>
              <w:contextualSpacing/>
              <w:jc w:val="both"/>
              <w:rPr>
                <w:snapToGrid w:val="0"/>
                <w:szCs w:val="22"/>
              </w:rPr>
            </w:pPr>
            <w:r w:rsidRPr="006E3382">
              <w:rPr>
                <w:snapToGrid w:val="0"/>
                <w:szCs w:val="22"/>
              </w:rPr>
              <w:t>Services provided by a third party for the operation, management, and monitoring of eligible broadband internal connections components are eligible managed internal broadband services (e.g., managed Wi-Fi).</w:t>
            </w:r>
          </w:p>
          <w:p w14:paraId="5C8125BC" w14:textId="77777777" w:rsidR="006E3382" w:rsidRPr="006E3382" w:rsidRDefault="006E3382" w:rsidP="006E3382">
            <w:pPr>
              <w:keepLines/>
              <w:widowControl/>
              <w:numPr>
                <w:ilvl w:val="0"/>
                <w:numId w:val="24"/>
              </w:numPr>
              <w:contextualSpacing/>
              <w:jc w:val="both"/>
              <w:rPr>
                <w:kern w:val="0"/>
                <w:szCs w:val="22"/>
              </w:rPr>
            </w:pPr>
            <w:r w:rsidRPr="006E3382">
              <w:rPr>
                <w:snapToGrid w:val="0"/>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r w:rsidRPr="006E3382">
              <w:rPr>
                <w:snapToGrid w:val="0"/>
                <w:sz w:val="20"/>
                <w:szCs w:val="22"/>
              </w:rPr>
              <w:t xml:space="preserve"> </w:t>
            </w:r>
            <w:r w:rsidRPr="006E3382">
              <w:rPr>
                <w:kern w:val="0"/>
                <w:sz w:val="20"/>
                <w:szCs w:val="22"/>
              </w:rPr>
              <w:t xml:space="preserve">  </w:t>
            </w:r>
          </w:p>
          <w:p w14:paraId="2696D43D" w14:textId="77777777" w:rsidR="006E3382" w:rsidRPr="006E3382" w:rsidRDefault="006E3382" w:rsidP="006E3382">
            <w:pPr>
              <w:keepLines/>
              <w:widowControl/>
              <w:numPr>
                <w:ilvl w:val="0"/>
                <w:numId w:val="24"/>
              </w:numPr>
              <w:contextualSpacing/>
              <w:jc w:val="both"/>
              <w:rPr>
                <w:snapToGrid w:val="0"/>
                <w:sz w:val="20"/>
              </w:rPr>
            </w:pPr>
            <w:r w:rsidRPr="006E3382">
              <w:rPr>
                <w:snapToGrid w:val="0"/>
                <w:szCs w:val="22"/>
              </w:rPr>
              <w:t xml:space="preserve">In some managed services models, the third party manager owns and installs the equipment and school and library applicants lease the equipment as part of the managed services contract.  </w:t>
            </w:r>
            <w:r w:rsidRPr="006E3382">
              <w:rPr>
                <w:kern w:val="0"/>
                <w:szCs w:val="22"/>
              </w:rPr>
              <w:t>In other cases, the school or library may own the equipment, but have a third party manage it for them</w:t>
            </w:r>
            <w:r w:rsidRPr="006E3382">
              <w:rPr>
                <w:kern w:val="0"/>
                <w:sz w:val="20"/>
                <w:szCs w:val="22"/>
              </w:rPr>
              <w:t xml:space="preserve">.    </w:t>
            </w:r>
          </w:p>
        </w:tc>
      </w:tr>
    </w:tbl>
    <w:p w14:paraId="074CFB95" w14:textId="77777777" w:rsidR="006E3382" w:rsidRPr="006E3382" w:rsidRDefault="006E3382" w:rsidP="006E3382">
      <w:pPr>
        <w:widowControl/>
        <w:contextualSpacing/>
        <w:jc w:val="both"/>
        <w:rPr>
          <w:b/>
          <w:bCs/>
          <w:kern w:val="0"/>
          <w:szCs w:val="22"/>
        </w:rPr>
      </w:pPr>
    </w:p>
    <w:p w14:paraId="2F5C3E53" w14:textId="77777777" w:rsidR="006E3382" w:rsidRPr="006E3382" w:rsidRDefault="006E3382" w:rsidP="006E3382">
      <w:pPr>
        <w:widowControl/>
        <w:jc w:val="both"/>
        <w:rPr>
          <w:kern w:val="0"/>
          <w:szCs w:val="22"/>
        </w:rPr>
      </w:pPr>
    </w:p>
    <w:tbl>
      <w:tblPr>
        <w:tblStyle w:val="TableGrid1"/>
        <w:tblW w:w="0" w:type="auto"/>
        <w:tblInd w:w="760" w:type="dxa"/>
        <w:tblLook w:val="04A0" w:firstRow="1" w:lastRow="0" w:firstColumn="1" w:lastColumn="0" w:noHBand="0" w:noVBand="1"/>
      </w:tblPr>
      <w:tblGrid>
        <w:gridCol w:w="5868"/>
      </w:tblGrid>
      <w:tr w:rsidR="006E3382" w:rsidRPr="006E3382" w14:paraId="5B15107A" w14:textId="77777777" w:rsidTr="006E3382">
        <w:tc>
          <w:tcPr>
            <w:tcW w:w="5868" w:type="dxa"/>
          </w:tcPr>
          <w:p w14:paraId="00CFBCAA" w14:textId="77777777" w:rsidR="006E3382" w:rsidRPr="006E3382" w:rsidRDefault="006E3382" w:rsidP="006E3382">
            <w:pPr>
              <w:widowControl/>
              <w:jc w:val="both"/>
              <w:rPr>
                <w:b/>
                <w:kern w:val="0"/>
                <w:sz w:val="20"/>
                <w:szCs w:val="22"/>
              </w:rPr>
            </w:pPr>
          </w:p>
          <w:p w14:paraId="3C857650" w14:textId="77777777" w:rsidR="006E3382" w:rsidRPr="006E3382" w:rsidRDefault="006E3382" w:rsidP="006E3382">
            <w:pPr>
              <w:widowControl/>
              <w:jc w:val="both"/>
              <w:rPr>
                <w:kern w:val="0"/>
                <w:szCs w:val="22"/>
              </w:rPr>
            </w:pPr>
            <w:r w:rsidRPr="006E3382">
              <w:rPr>
                <w:b/>
                <w:kern w:val="0"/>
                <w:szCs w:val="22"/>
              </w:rPr>
              <w:t xml:space="preserve">Basic Maintenance of Eligible Broadband Internal Connections Components </w:t>
            </w:r>
          </w:p>
          <w:p w14:paraId="6718A983" w14:textId="77777777" w:rsidR="006E3382" w:rsidRPr="006E3382" w:rsidRDefault="006E3382" w:rsidP="006E3382">
            <w:pPr>
              <w:widowControl/>
              <w:jc w:val="both"/>
              <w:rPr>
                <w:b/>
                <w:kern w:val="0"/>
                <w:szCs w:val="22"/>
              </w:rPr>
            </w:pPr>
          </w:p>
          <w:p w14:paraId="382BF2B6" w14:textId="77777777" w:rsidR="006E3382" w:rsidRPr="006E3382" w:rsidRDefault="006E3382" w:rsidP="006E3382">
            <w:pPr>
              <w:widowControl/>
              <w:jc w:val="both"/>
              <w:rPr>
                <w:bCs/>
                <w:kern w:val="0"/>
                <w:szCs w:val="22"/>
              </w:rPr>
            </w:pPr>
            <w:r w:rsidRPr="006E3382">
              <w:rPr>
                <w:kern w:val="0"/>
                <w:szCs w:val="22"/>
              </w:rPr>
              <w:t>E-rate support is available for basic m</w:t>
            </w:r>
            <w:r w:rsidRPr="006E3382">
              <w:rPr>
                <w:bCs/>
                <w:kern w:val="0"/>
                <w:szCs w:val="22"/>
              </w:rPr>
              <w:t xml:space="preserve">aintenance and technical support appropriate to maintain reliable operation when provided for an eligible broadband internal connections component.  </w:t>
            </w:r>
          </w:p>
          <w:p w14:paraId="090B0E15" w14:textId="77777777" w:rsidR="006E3382" w:rsidRPr="006E3382" w:rsidRDefault="006E3382" w:rsidP="006E3382">
            <w:pPr>
              <w:widowControl/>
              <w:jc w:val="both"/>
              <w:rPr>
                <w:bCs/>
                <w:kern w:val="0"/>
                <w:szCs w:val="22"/>
              </w:rPr>
            </w:pPr>
          </w:p>
          <w:p w14:paraId="0827E691" w14:textId="77777777" w:rsidR="006E3382" w:rsidRPr="006E3382" w:rsidRDefault="006E3382" w:rsidP="006E3382">
            <w:pPr>
              <w:widowControl/>
              <w:jc w:val="both"/>
              <w:rPr>
                <w:bCs/>
                <w:kern w:val="0"/>
                <w:szCs w:val="22"/>
              </w:rPr>
            </w:pPr>
            <w:r w:rsidRPr="006E3382">
              <w:rPr>
                <w:bCs/>
                <w:kern w:val="0"/>
                <w:szCs w:val="22"/>
              </w:rPr>
              <w:t>The following basic maintenance services are eligible:</w:t>
            </w:r>
          </w:p>
          <w:p w14:paraId="7DC4FF38" w14:textId="77777777" w:rsidR="006E3382" w:rsidRPr="006E3382" w:rsidRDefault="006E3382" w:rsidP="006E3382">
            <w:pPr>
              <w:widowControl/>
              <w:numPr>
                <w:ilvl w:val="0"/>
                <w:numId w:val="23"/>
              </w:numPr>
              <w:contextualSpacing/>
              <w:jc w:val="both"/>
              <w:rPr>
                <w:kern w:val="0"/>
                <w:szCs w:val="22"/>
              </w:rPr>
            </w:pPr>
            <w:r w:rsidRPr="006E3382">
              <w:rPr>
                <w:kern w:val="0"/>
                <w:szCs w:val="22"/>
              </w:rPr>
              <w:t>Repair and upkeep of eligible hardware</w:t>
            </w:r>
          </w:p>
          <w:p w14:paraId="0980108B" w14:textId="77777777" w:rsidR="006E3382" w:rsidRPr="006E3382" w:rsidRDefault="006E3382" w:rsidP="006E3382">
            <w:pPr>
              <w:widowControl/>
              <w:numPr>
                <w:ilvl w:val="0"/>
                <w:numId w:val="23"/>
              </w:numPr>
              <w:contextualSpacing/>
              <w:jc w:val="both"/>
              <w:rPr>
                <w:kern w:val="0"/>
                <w:szCs w:val="22"/>
              </w:rPr>
            </w:pPr>
            <w:r w:rsidRPr="006E3382">
              <w:rPr>
                <w:kern w:val="0"/>
                <w:szCs w:val="22"/>
              </w:rPr>
              <w:t>Wire and cable maintenance</w:t>
            </w:r>
          </w:p>
          <w:p w14:paraId="11074817" w14:textId="77777777" w:rsidR="006E3382" w:rsidRPr="006E3382" w:rsidRDefault="006E3382" w:rsidP="006E3382">
            <w:pPr>
              <w:widowControl/>
              <w:numPr>
                <w:ilvl w:val="0"/>
                <w:numId w:val="23"/>
              </w:numPr>
              <w:contextualSpacing/>
              <w:jc w:val="both"/>
              <w:rPr>
                <w:kern w:val="0"/>
                <w:szCs w:val="22"/>
              </w:rPr>
            </w:pPr>
            <w:r w:rsidRPr="006E3382">
              <w:rPr>
                <w:kern w:val="0"/>
                <w:szCs w:val="22"/>
              </w:rPr>
              <w:t xml:space="preserve">Configuration changes </w:t>
            </w:r>
          </w:p>
          <w:p w14:paraId="5F65588B" w14:textId="77777777" w:rsidR="006E3382" w:rsidRPr="006E3382" w:rsidRDefault="006E3382" w:rsidP="006E3382">
            <w:pPr>
              <w:widowControl/>
              <w:numPr>
                <w:ilvl w:val="0"/>
                <w:numId w:val="23"/>
              </w:numPr>
              <w:contextualSpacing/>
              <w:jc w:val="both"/>
              <w:rPr>
                <w:kern w:val="0"/>
                <w:szCs w:val="22"/>
              </w:rPr>
            </w:pPr>
            <w:r w:rsidRPr="006E3382">
              <w:rPr>
                <w:kern w:val="0"/>
                <w:szCs w:val="22"/>
              </w:rPr>
              <w:t xml:space="preserve">Basic technical support including online and telephone based technical support </w:t>
            </w:r>
          </w:p>
          <w:p w14:paraId="4E02C38E" w14:textId="77777777" w:rsidR="006E3382" w:rsidRPr="006E3382" w:rsidRDefault="006E3382" w:rsidP="006E3382">
            <w:pPr>
              <w:widowControl/>
              <w:numPr>
                <w:ilvl w:val="0"/>
                <w:numId w:val="23"/>
              </w:numPr>
              <w:contextualSpacing/>
              <w:jc w:val="both"/>
              <w:rPr>
                <w:b/>
                <w:kern w:val="0"/>
                <w:sz w:val="20"/>
                <w:szCs w:val="22"/>
              </w:rPr>
            </w:pPr>
            <w:r w:rsidRPr="006E3382">
              <w:rPr>
                <w:rFonts w:eastAsia="Calibri"/>
                <w:kern w:val="0"/>
                <w:szCs w:val="22"/>
              </w:rPr>
              <w:t>Software upgrades and patches</w:t>
            </w:r>
            <w:r w:rsidRPr="006E3382">
              <w:rPr>
                <w:kern w:val="0"/>
                <w:szCs w:val="22"/>
              </w:rPr>
              <w:t xml:space="preserve"> including b</w:t>
            </w:r>
            <w:r w:rsidRPr="006E3382">
              <w:rPr>
                <w:rFonts w:eastAsia="Calibri"/>
                <w:kern w:val="0"/>
                <w:szCs w:val="22"/>
              </w:rPr>
              <w:t>ug fixes and security patches</w:t>
            </w:r>
          </w:p>
        </w:tc>
      </w:tr>
    </w:tbl>
    <w:p w14:paraId="5225F5C1" w14:textId="77777777" w:rsidR="006E3382" w:rsidRPr="006E3382" w:rsidRDefault="006E3382" w:rsidP="006E3382">
      <w:pPr>
        <w:widowControl/>
        <w:jc w:val="both"/>
        <w:rPr>
          <w:kern w:val="0"/>
          <w:szCs w:val="22"/>
          <w:u w:val="single"/>
        </w:rPr>
      </w:pPr>
    </w:p>
    <w:p w14:paraId="1551DA5D" w14:textId="77777777" w:rsidR="006E3382" w:rsidRPr="006E3382" w:rsidRDefault="006E3382" w:rsidP="006E3382">
      <w:pPr>
        <w:widowControl/>
        <w:spacing w:after="200" w:line="276" w:lineRule="auto"/>
        <w:rPr>
          <w:b/>
          <w:bCs/>
          <w:kern w:val="0"/>
          <w:szCs w:val="22"/>
        </w:rPr>
      </w:pPr>
      <w:r w:rsidRPr="006E3382">
        <w:rPr>
          <w:b/>
          <w:bCs/>
          <w:kern w:val="0"/>
          <w:szCs w:val="22"/>
        </w:rPr>
        <w:br w:type="page"/>
      </w:r>
    </w:p>
    <w:p w14:paraId="0032CED2" w14:textId="77777777" w:rsidR="006E3382" w:rsidRPr="006E3382" w:rsidRDefault="006E3382" w:rsidP="006E3382">
      <w:pPr>
        <w:widowControl/>
        <w:contextualSpacing/>
        <w:jc w:val="both"/>
        <w:rPr>
          <w:b/>
          <w:bCs/>
          <w:kern w:val="0"/>
          <w:szCs w:val="22"/>
        </w:rPr>
      </w:pPr>
    </w:p>
    <w:p w14:paraId="38350822" w14:textId="77777777" w:rsidR="006E3382" w:rsidRPr="006E3382" w:rsidRDefault="006E3382" w:rsidP="006E3382">
      <w:pPr>
        <w:widowControl/>
        <w:contextualSpacing/>
        <w:jc w:val="both"/>
        <w:rPr>
          <w:b/>
          <w:bCs/>
          <w:kern w:val="0"/>
          <w:szCs w:val="22"/>
        </w:rPr>
      </w:pPr>
      <w:r w:rsidRPr="006E3382">
        <w:rPr>
          <w:b/>
          <w:bCs/>
          <w:kern w:val="0"/>
          <w:szCs w:val="22"/>
        </w:rPr>
        <w:t>Eligibility limitations for Category Two components and services:</w:t>
      </w:r>
    </w:p>
    <w:p w14:paraId="6585E2E2" w14:textId="77777777" w:rsidR="006E3382" w:rsidRPr="006E3382" w:rsidRDefault="006E3382" w:rsidP="006E3382">
      <w:pPr>
        <w:widowControl/>
        <w:contextualSpacing/>
        <w:jc w:val="both"/>
        <w:rPr>
          <w:b/>
          <w:bCs/>
          <w:kern w:val="0"/>
          <w:szCs w:val="22"/>
        </w:rPr>
      </w:pPr>
    </w:p>
    <w:tbl>
      <w:tblPr>
        <w:tblStyle w:val="TableGrid1"/>
        <w:tblW w:w="0" w:type="auto"/>
        <w:tblLook w:val="04A0" w:firstRow="1" w:lastRow="0" w:firstColumn="1" w:lastColumn="0" w:noHBand="0" w:noVBand="1"/>
      </w:tblPr>
      <w:tblGrid>
        <w:gridCol w:w="9576"/>
      </w:tblGrid>
      <w:tr w:rsidR="006E3382" w:rsidRPr="006E3382" w14:paraId="3A078916" w14:textId="77777777" w:rsidTr="006E3382">
        <w:tc>
          <w:tcPr>
            <w:tcW w:w="9576" w:type="dxa"/>
          </w:tcPr>
          <w:p w14:paraId="5C5DDADB" w14:textId="77777777" w:rsidR="006E3382" w:rsidRPr="006E3382" w:rsidRDefault="006E3382" w:rsidP="006E3382">
            <w:pPr>
              <w:widowControl/>
              <w:contextualSpacing/>
              <w:jc w:val="both"/>
              <w:rPr>
                <w:b/>
                <w:bCs/>
                <w:kern w:val="0"/>
                <w:szCs w:val="22"/>
              </w:rPr>
            </w:pPr>
          </w:p>
          <w:p w14:paraId="17A1ECD6" w14:textId="77777777" w:rsidR="006E3382" w:rsidRPr="006E3382" w:rsidRDefault="006E3382" w:rsidP="006E3382">
            <w:pPr>
              <w:widowControl/>
              <w:contextualSpacing/>
              <w:jc w:val="both"/>
              <w:rPr>
                <w:b/>
                <w:bCs/>
                <w:kern w:val="0"/>
                <w:szCs w:val="22"/>
              </w:rPr>
            </w:pPr>
            <w:r w:rsidRPr="006E3382">
              <w:rPr>
                <w:b/>
                <w:bCs/>
                <w:kern w:val="0"/>
                <w:szCs w:val="22"/>
              </w:rPr>
              <w:t>Eligibility limitations for managed internal broadband services</w:t>
            </w:r>
            <w:r w:rsidRPr="006E3382">
              <w:rPr>
                <w:bCs/>
                <w:kern w:val="0"/>
                <w:szCs w:val="22"/>
              </w:rPr>
              <w:t xml:space="preserve"> - </w:t>
            </w:r>
            <w:r w:rsidRPr="006E3382">
              <w:rPr>
                <w:snapToGrid w:val="0"/>
                <w:szCs w:val="22"/>
              </w:rPr>
              <w:t>The equipment eligible for support as part of a managed internal broadband service may include only equipment listed as a broadband internal connections component above.</w:t>
            </w:r>
            <w:r w:rsidRPr="006E3382">
              <w:rPr>
                <w:kern w:val="0"/>
                <w:szCs w:val="22"/>
              </w:rPr>
              <w:t xml:space="preserve">  Upfront charges that are part of a managed service contract are eligible for E-rate support except to the extent that the upfront charges are for any ineligible internal connections components (e.g.</w:t>
            </w:r>
            <w:r w:rsidRPr="006E3382">
              <w:rPr>
                <w:i/>
                <w:kern w:val="0"/>
                <w:szCs w:val="22"/>
              </w:rPr>
              <w:t>,</w:t>
            </w:r>
            <w:r w:rsidRPr="006E3382">
              <w:rPr>
                <w:kern w:val="0"/>
                <w:szCs w:val="22"/>
              </w:rPr>
              <w:t xml:space="preserve"> servers other than those that are necessary to provide caching) which, if included in the contract, must be cost allocated out of any funding request. </w:t>
            </w:r>
          </w:p>
        </w:tc>
      </w:tr>
      <w:tr w:rsidR="006E3382" w:rsidRPr="006E3382" w14:paraId="1D108AF1" w14:textId="77777777" w:rsidTr="006E3382">
        <w:tc>
          <w:tcPr>
            <w:tcW w:w="9576" w:type="dxa"/>
          </w:tcPr>
          <w:p w14:paraId="4E22E570" w14:textId="77777777" w:rsidR="006E3382" w:rsidRPr="006E3382" w:rsidRDefault="006E3382" w:rsidP="006E3382">
            <w:pPr>
              <w:widowControl/>
              <w:contextualSpacing/>
              <w:jc w:val="both"/>
              <w:rPr>
                <w:b/>
                <w:kern w:val="0"/>
                <w:szCs w:val="22"/>
              </w:rPr>
            </w:pPr>
          </w:p>
          <w:p w14:paraId="2BC8C85D" w14:textId="77777777" w:rsidR="006E3382" w:rsidRPr="006E3382" w:rsidRDefault="006E3382" w:rsidP="006E3382">
            <w:pPr>
              <w:widowControl/>
              <w:contextualSpacing/>
              <w:jc w:val="both"/>
              <w:rPr>
                <w:rFonts w:ascii="Verdana" w:hAnsi="Verdana"/>
                <w:bCs/>
                <w:kern w:val="0"/>
                <w:szCs w:val="22"/>
              </w:rPr>
            </w:pPr>
            <w:r w:rsidRPr="006E3382">
              <w:rPr>
                <w:b/>
                <w:kern w:val="0"/>
                <w:szCs w:val="22"/>
              </w:rPr>
              <w:t>Eligibility limitations for basic maintenance</w:t>
            </w:r>
            <w:r w:rsidRPr="006E3382">
              <w:rPr>
                <w:kern w:val="0"/>
                <w:szCs w:val="22"/>
              </w:rPr>
              <w:t xml:space="preserve"> – Basic maintenance is eligible for support only if it is a component of a maintenance agreement or contract for eligible broadband internal connections components.  The agreement or contract must specifically identify the eligible components covered, including product name, model number, and location.  Support for basic maintenance will be paid for the actual work performed under the agreement or contract.  Basic maintenance does not include:</w:t>
            </w:r>
          </w:p>
          <w:p w14:paraId="50BB66FC" w14:textId="77777777" w:rsidR="006E3382" w:rsidRPr="006E3382" w:rsidRDefault="006E3382" w:rsidP="006E3382">
            <w:pPr>
              <w:widowControl/>
              <w:numPr>
                <w:ilvl w:val="0"/>
                <w:numId w:val="17"/>
              </w:numPr>
              <w:contextualSpacing/>
              <w:jc w:val="both"/>
              <w:rPr>
                <w:rFonts w:ascii="Verdana" w:hAnsi="Verdana"/>
                <w:bCs/>
                <w:kern w:val="0"/>
                <w:szCs w:val="22"/>
              </w:rPr>
            </w:pPr>
            <w:r w:rsidRPr="006E3382">
              <w:rPr>
                <w:kern w:val="0"/>
                <w:szCs w:val="22"/>
              </w:rPr>
              <w:t>Services that maintain ineligible equipment</w:t>
            </w:r>
          </w:p>
          <w:p w14:paraId="406AAB29" w14:textId="77777777" w:rsidR="006E3382" w:rsidRPr="006E3382" w:rsidRDefault="006E3382" w:rsidP="006E3382">
            <w:pPr>
              <w:widowControl/>
              <w:numPr>
                <w:ilvl w:val="0"/>
                <w:numId w:val="17"/>
              </w:numPr>
              <w:contextualSpacing/>
              <w:jc w:val="both"/>
              <w:rPr>
                <w:rFonts w:ascii="Verdana" w:hAnsi="Verdana"/>
                <w:bCs/>
                <w:kern w:val="0"/>
                <w:szCs w:val="22"/>
              </w:rPr>
            </w:pPr>
            <w:r w:rsidRPr="006E3382">
              <w:rPr>
                <w:kern w:val="0"/>
                <w:szCs w:val="22"/>
              </w:rPr>
              <w:t xml:space="preserve">Upfront estimates that cover the full cost of every piece of eligible equipment  </w:t>
            </w:r>
          </w:p>
          <w:p w14:paraId="57352706" w14:textId="77777777" w:rsidR="006E3382" w:rsidRPr="006E3382" w:rsidRDefault="006E3382" w:rsidP="006E3382">
            <w:pPr>
              <w:widowControl/>
              <w:numPr>
                <w:ilvl w:val="0"/>
                <w:numId w:val="17"/>
              </w:numPr>
              <w:contextualSpacing/>
              <w:jc w:val="both"/>
              <w:rPr>
                <w:rFonts w:ascii="Verdana" w:hAnsi="Verdana"/>
                <w:bCs/>
                <w:kern w:val="0"/>
                <w:szCs w:val="22"/>
              </w:rPr>
            </w:pPr>
            <w:r w:rsidRPr="006E3382">
              <w:rPr>
                <w:kern w:val="0"/>
                <w:szCs w:val="22"/>
              </w:rPr>
              <w:t>Services that enhance the utility of equipment beyond the transport of information, or diagnostic services in excess of those necessary to maintain the equipment’s ability to transport information</w:t>
            </w:r>
          </w:p>
          <w:p w14:paraId="2D26F6EF" w14:textId="77777777" w:rsidR="006E3382" w:rsidRPr="006E3382" w:rsidRDefault="006E3382" w:rsidP="006E3382">
            <w:pPr>
              <w:widowControl/>
              <w:numPr>
                <w:ilvl w:val="0"/>
                <w:numId w:val="17"/>
              </w:numPr>
              <w:contextualSpacing/>
              <w:jc w:val="both"/>
              <w:rPr>
                <w:rFonts w:ascii="Verdana" w:hAnsi="Verdana"/>
                <w:bCs/>
                <w:kern w:val="0"/>
                <w:szCs w:val="22"/>
              </w:rPr>
            </w:pPr>
            <w:r w:rsidRPr="006E3382">
              <w:rPr>
                <w:kern w:val="0"/>
                <w:szCs w:val="22"/>
              </w:rPr>
              <w:t>Network management services, including 24-hour network monitoring</w:t>
            </w:r>
          </w:p>
          <w:p w14:paraId="4ADBFBED" w14:textId="77777777" w:rsidR="006E3382" w:rsidRPr="006E3382" w:rsidRDefault="006E3382" w:rsidP="006E3382">
            <w:pPr>
              <w:widowControl/>
              <w:numPr>
                <w:ilvl w:val="0"/>
                <w:numId w:val="17"/>
              </w:numPr>
              <w:contextualSpacing/>
              <w:jc w:val="both"/>
              <w:rPr>
                <w:rFonts w:ascii="Verdana" w:hAnsi="Verdana"/>
                <w:bCs/>
                <w:kern w:val="0"/>
                <w:szCs w:val="22"/>
              </w:rPr>
            </w:pPr>
            <w:r w:rsidRPr="006E3382">
              <w:rPr>
                <w:bCs/>
                <w:kern w:val="0"/>
                <w:szCs w:val="22"/>
              </w:rPr>
              <w:t>On</w:t>
            </w:r>
            <w:r w:rsidRPr="006E3382">
              <w:rPr>
                <w:kern w:val="0"/>
                <w:szCs w:val="22"/>
              </w:rPr>
              <w:t>-site technical support (i.e., contractor duty station at the applicant site) unless applicants present sufficient evidence of cost-effectiveness</w:t>
            </w:r>
          </w:p>
          <w:p w14:paraId="745C896A" w14:textId="77777777" w:rsidR="006E3382" w:rsidRPr="006E3382" w:rsidRDefault="006E3382" w:rsidP="006E3382">
            <w:pPr>
              <w:widowControl/>
              <w:numPr>
                <w:ilvl w:val="0"/>
                <w:numId w:val="17"/>
              </w:numPr>
              <w:contextualSpacing/>
              <w:jc w:val="both"/>
              <w:rPr>
                <w:b/>
                <w:bCs/>
                <w:kern w:val="0"/>
                <w:sz w:val="20"/>
                <w:szCs w:val="22"/>
              </w:rPr>
            </w:pPr>
            <w:r w:rsidRPr="006E3382">
              <w:rPr>
                <w:kern w:val="0"/>
                <w:szCs w:val="22"/>
              </w:rPr>
              <w:t>Unbundled warranties</w:t>
            </w:r>
          </w:p>
        </w:tc>
      </w:tr>
    </w:tbl>
    <w:p w14:paraId="1EAEF487" w14:textId="77777777" w:rsidR="006E3382" w:rsidRPr="006E3382" w:rsidRDefault="006E3382" w:rsidP="006E3382">
      <w:pPr>
        <w:widowControl/>
        <w:contextualSpacing/>
        <w:jc w:val="both"/>
        <w:rPr>
          <w:b/>
          <w:bCs/>
          <w:kern w:val="0"/>
          <w:szCs w:val="22"/>
        </w:rPr>
      </w:pPr>
    </w:p>
    <w:p w14:paraId="38E7A2A1" w14:textId="77777777" w:rsidR="006E3382" w:rsidRPr="006E3382" w:rsidRDefault="006E3382" w:rsidP="006E3382">
      <w:pPr>
        <w:widowControl/>
        <w:jc w:val="both"/>
        <w:rPr>
          <w:kern w:val="0"/>
          <w:szCs w:val="22"/>
        </w:rPr>
      </w:pPr>
    </w:p>
    <w:p w14:paraId="2956CE2F" w14:textId="77777777" w:rsidR="006E3382" w:rsidRPr="006E3382" w:rsidRDefault="006E3382" w:rsidP="006E3382">
      <w:pPr>
        <w:widowControl/>
        <w:spacing w:after="200" w:line="276" w:lineRule="auto"/>
        <w:jc w:val="both"/>
        <w:rPr>
          <w:kern w:val="0"/>
          <w:szCs w:val="22"/>
        </w:rPr>
      </w:pPr>
      <w:r w:rsidRPr="006E3382">
        <w:rPr>
          <w:kern w:val="0"/>
          <w:szCs w:val="22"/>
        </w:rPr>
        <w:br w:type="page"/>
      </w:r>
    </w:p>
    <w:p w14:paraId="0230B6CC" w14:textId="77777777" w:rsidR="006E3382" w:rsidRPr="006E3382" w:rsidRDefault="006E3382" w:rsidP="006E3382">
      <w:pPr>
        <w:widowControl/>
        <w:jc w:val="both"/>
        <w:rPr>
          <w:b/>
          <w:bCs/>
          <w:kern w:val="0"/>
          <w:szCs w:val="22"/>
          <w:u w:val="single"/>
        </w:rPr>
      </w:pPr>
      <w:r w:rsidRPr="006E3382">
        <w:rPr>
          <w:b/>
          <w:bCs/>
          <w:kern w:val="0"/>
          <w:szCs w:val="22"/>
          <w:u w:val="single"/>
        </w:rPr>
        <w:t xml:space="preserve">Miscellaneous </w:t>
      </w:r>
    </w:p>
    <w:p w14:paraId="21E15BCB" w14:textId="77777777" w:rsidR="006E3382" w:rsidRPr="006E3382" w:rsidRDefault="006E3382" w:rsidP="006E3382">
      <w:pPr>
        <w:widowControl/>
        <w:ind w:left="360"/>
        <w:jc w:val="both"/>
        <w:rPr>
          <w:bCs/>
          <w:kern w:val="0"/>
          <w:szCs w:val="22"/>
          <w:u w:val="single"/>
        </w:rPr>
      </w:pPr>
    </w:p>
    <w:p w14:paraId="5D8B509D" w14:textId="77777777" w:rsidR="006E3382" w:rsidRPr="006E3382" w:rsidRDefault="006E3382" w:rsidP="006E3382">
      <w:pPr>
        <w:widowControl/>
        <w:jc w:val="both"/>
        <w:rPr>
          <w:kern w:val="0"/>
        </w:rPr>
      </w:pPr>
      <w:r w:rsidRPr="006E3382">
        <w:rPr>
          <w:kern w:val="0"/>
        </w:rPr>
        <w:t>As described below, various miscellaneous services associated with the eligible services and components above are eligible for support.  Applicants should request miscellaneous services in the same category as the associated service being obtained or installed.</w:t>
      </w:r>
    </w:p>
    <w:p w14:paraId="44A08E05" w14:textId="77777777" w:rsidR="006E3382" w:rsidRPr="006E3382" w:rsidRDefault="006E3382" w:rsidP="006E3382">
      <w:pPr>
        <w:widowControl/>
        <w:jc w:val="both"/>
        <w:rPr>
          <w:bCs/>
          <w:kern w:val="0"/>
        </w:rPr>
      </w:pPr>
      <w:r w:rsidRPr="006E3382">
        <w:rPr>
          <w:bCs/>
          <w:kern w:val="0"/>
        </w:rPr>
        <w:tab/>
      </w:r>
    </w:p>
    <w:tbl>
      <w:tblPr>
        <w:tblStyle w:val="TableGrid1"/>
        <w:tblW w:w="0" w:type="auto"/>
        <w:tblInd w:w="795" w:type="dxa"/>
        <w:tblLook w:val="04A0" w:firstRow="1" w:lastRow="0" w:firstColumn="1" w:lastColumn="0" w:noHBand="0" w:noVBand="1"/>
      </w:tblPr>
      <w:tblGrid>
        <w:gridCol w:w="5868"/>
      </w:tblGrid>
      <w:tr w:rsidR="006E3382" w:rsidRPr="006E3382" w14:paraId="246B9425" w14:textId="77777777" w:rsidTr="006E3382">
        <w:tc>
          <w:tcPr>
            <w:tcW w:w="5868" w:type="dxa"/>
          </w:tcPr>
          <w:p w14:paraId="5E7540BD" w14:textId="77777777" w:rsidR="006E3382" w:rsidRPr="006E3382" w:rsidRDefault="006E3382" w:rsidP="006E3382">
            <w:pPr>
              <w:widowControl/>
              <w:jc w:val="both"/>
              <w:rPr>
                <w:b/>
                <w:kern w:val="0"/>
                <w:szCs w:val="22"/>
              </w:rPr>
            </w:pPr>
          </w:p>
          <w:p w14:paraId="53417437" w14:textId="77777777" w:rsidR="006E3382" w:rsidRPr="006E3382" w:rsidRDefault="006E3382" w:rsidP="006E3382">
            <w:pPr>
              <w:widowControl/>
              <w:jc w:val="both"/>
              <w:rPr>
                <w:b/>
                <w:kern w:val="0"/>
                <w:szCs w:val="22"/>
              </w:rPr>
            </w:pPr>
            <w:r w:rsidRPr="006E3382">
              <w:rPr>
                <w:b/>
                <w:kern w:val="0"/>
                <w:szCs w:val="22"/>
              </w:rPr>
              <w:t>Fees</w:t>
            </w:r>
          </w:p>
          <w:p w14:paraId="11144EDB" w14:textId="77777777" w:rsidR="006E3382" w:rsidRPr="006E3382" w:rsidRDefault="006E3382" w:rsidP="006E3382">
            <w:pPr>
              <w:widowControl/>
              <w:jc w:val="both"/>
              <w:rPr>
                <w:rFonts w:eastAsiaTheme="minorHAnsi"/>
                <w:bCs/>
                <w:kern w:val="0"/>
                <w:szCs w:val="22"/>
              </w:rPr>
            </w:pPr>
            <w:r w:rsidRPr="006E3382">
              <w:rPr>
                <w:bCs/>
                <w:kern w:val="0"/>
                <w:szCs w:val="22"/>
              </w:rPr>
              <w:t>Fees and charges that are a necessary component of an eligible product or service are eligible including:</w:t>
            </w:r>
          </w:p>
          <w:p w14:paraId="5321D81C"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Change fees</w:t>
            </w:r>
          </w:p>
          <w:p w14:paraId="546C9EFC"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Contingency fees are eligible if they are reasonable and a regular business practice of the service provider.  Contingency fees will be reimbursed only if the work is performed.</w:t>
            </w:r>
          </w:p>
          <w:p w14:paraId="661C0A34"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Freight assurance fees</w:t>
            </w:r>
          </w:p>
          <w:p w14:paraId="5CC052DE"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 xml:space="preserve">Lease fees to rent or lease eligible components </w:t>
            </w:r>
          </w:p>
          <w:p w14:paraId="5937F0A7"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Per diem and/or travel time costs are eligible only if a contract with a vendor for the eligible product or services specifically provides for these costs</w:t>
            </w:r>
          </w:p>
          <w:p w14:paraId="521826FC" w14:textId="77777777" w:rsidR="006E3382" w:rsidRPr="006E3382" w:rsidRDefault="006E3382" w:rsidP="006E3382">
            <w:pPr>
              <w:widowControl/>
              <w:numPr>
                <w:ilvl w:val="0"/>
                <w:numId w:val="21"/>
              </w:numPr>
              <w:contextualSpacing/>
              <w:jc w:val="both"/>
              <w:rPr>
                <w:rFonts w:eastAsiaTheme="minorHAnsi"/>
                <w:bCs/>
                <w:kern w:val="0"/>
                <w:szCs w:val="22"/>
              </w:rPr>
            </w:pPr>
            <w:r w:rsidRPr="006E3382">
              <w:rPr>
                <w:rFonts w:eastAsiaTheme="minorHAnsi"/>
                <w:bCs/>
                <w:kern w:val="0"/>
                <w:szCs w:val="22"/>
              </w:rPr>
              <w:t>Shipping charges</w:t>
            </w:r>
          </w:p>
          <w:p w14:paraId="039C761B" w14:textId="77777777" w:rsidR="006E3382" w:rsidRPr="006E3382" w:rsidRDefault="006E3382" w:rsidP="006E3382">
            <w:pPr>
              <w:widowControl/>
              <w:numPr>
                <w:ilvl w:val="0"/>
                <w:numId w:val="21"/>
              </w:numPr>
              <w:contextualSpacing/>
              <w:jc w:val="both"/>
              <w:rPr>
                <w:b/>
                <w:bCs/>
                <w:kern w:val="0"/>
                <w:sz w:val="20"/>
                <w:szCs w:val="22"/>
              </w:rPr>
            </w:pPr>
            <w:r w:rsidRPr="006E3382">
              <w:rPr>
                <w:rFonts w:eastAsiaTheme="minorHAnsi"/>
                <w:bCs/>
                <w:kern w:val="0"/>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tc>
      </w:tr>
      <w:tr w:rsidR="006E3382" w:rsidRPr="006E3382" w14:paraId="1C5532C7" w14:textId="77777777" w:rsidTr="006E3382">
        <w:trPr>
          <w:trHeight w:val="3554"/>
        </w:trPr>
        <w:tc>
          <w:tcPr>
            <w:tcW w:w="5868" w:type="dxa"/>
          </w:tcPr>
          <w:p w14:paraId="4E1F1AF8" w14:textId="77777777" w:rsidR="006E3382" w:rsidRPr="006E3382" w:rsidRDefault="006E3382" w:rsidP="006E3382">
            <w:pPr>
              <w:widowControl/>
              <w:jc w:val="both"/>
              <w:rPr>
                <w:b/>
                <w:bCs/>
                <w:kern w:val="0"/>
                <w:szCs w:val="22"/>
              </w:rPr>
            </w:pPr>
          </w:p>
          <w:p w14:paraId="1A5A7988" w14:textId="77777777" w:rsidR="006E3382" w:rsidRPr="006E3382" w:rsidRDefault="006E3382" w:rsidP="006E3382">
            <w:pPr>
              <w:widowControl/>
              <w:jc w:val="both"/>
              <w:rPr>
                <w:b/>
                <w:bCs/>
                <w:kern w:val="0"/>
                <w:szCs w:val="22"/>
              </w:rPr>
            </w:pPr>
            <w:r w:rsidRPr="006E3382">
              <w:rPr>
                <w:b/>
                <w:bCs/>
                <w:kern w:val="0"/>
                <w:szCs w:val="22"/>
              </w:rPr>
              <w:t>Installation, activation, and initial configuration</w:t>
            </w:r>
          </w:p>
          <w:p w14:paraId="1BF51D4A" w14:textId="77777777" w:rsidR="006E3382" w:rsidRPr="006E3382" w:rsidRDefault="006E3382" w:rsidP="006E3382">
            <w:pPr>
              <w:widowControl/>
              <w:jc w:val="both"/>
              <w:rPr>
                <w:bCs/>
                <w:kern w:val="0"/>
                <w:szCs w:val="22"/>
              </w:rPr>
            </w:pPr>
            <w:r w:rsidRPr="006E3382">
              <w:rPr>
                <w:bCs/>
                <w:kern w:val="0"/>
                <w:szCs w:val="22"/>
              </w:rPr>
              <w:t>Installation, activation, and initial configuration of eligible components are eligible.  These services may include:</w:t>
            </w:r>
          </w:p>
          <w:p w14:paraId="25717348" w14:textId="77777777" w:rsidR="006E3382" w:rsidRPr="006E3382" w:rsidRDefault="006E3382" w:rsidP="006E3382">
            <w:pPr>
              <w:widowControl/>
              <w:numPr>
                <w:ilvl w:val="0"/>
                <w:numId w:val="22"/>
              </w:numPr>
              <w:contextualSpacing/>
              <w:jc w:val="both"/>
              <w:rPr>
                <w:bCs/>
                <w:kern w:val="0"/>
                <w:szCs w:val="22"/>
              </w:rPr>
            </w:pPr>
            <w:r w:rsidRPr="006E3382">
              <w:rPr>
                <w:bCs/>
                <w:kern w:val="0"/>
                <w:szCs w:val="22"/>
              </w:rPr>
              <w:t>Basic design and engineering costs if these services are provided as an integral component of the installation of the relevant services</w:t>
            </w:r>
          </w:p>
          <w:p w14:paraId="0C604B01" w14:textId="77777777" w:rsidR="006E3382" w:rsidRPr="006E3382" w:rsidRDefault="006E3382" w:rsidP="006E3382">
            <w:pPr>
              <w:widowControl/>
              <w:numPr>
                <w:ilvl w:val="0"/>
                <w:numId w:val="22"/>
              </w:numPr>
              <w:contextualSpacing/>
              <w:jc w:val="both"/>
              <w:rPr>
                <w:bCs/>
                <w:kern w:val="0"/>
                <w:szCs w:val="22"/>
              </w:rPr>
            </w:pPr>
            <w:r w:rsidRPr="006E3382">
              <w:rPr>
                <w:bCs/>
                <w:kern w:val="0"/>
                <w:szCs w:val="22"/>
              </w:rPr>
              <w:t>Basic project management costs if these services are provided as an integral component of the installation of the relevant services</w:t>
            </w:r>
          </w:p>
          <w:p w14:paraId="652A2187" w14:textId="77777777" w:rsidR="006E3382" w:rsidRPr="006E3382" w:rsidRDefault="006E3382" w:rsidP="006E3382">
            <w:pPr>
              <w:widowControl/>
              <w:numPr>
                <w:ilvl w:val="0"/>
                <w:numId w:val="22"/>
              </w:numPr>
              <w:contextualSpacing/>
              <w:jc w:val="both"/>
              <w:rPr>
                <w:bCs/>
                <w:kern w:val="0"/>
                <w:sz w:val="20"/>
                <w:szCs w:val="22"/>
              </w:rPr>
            </w:pPr>
            <w:r w:rsidRPr="006E3382">
              <w:rPr>
                <w:bCs/>
                <w:kern w:val="0"/>
                <w:szCs w:val="22"/>
              </w:rPr>
              <w:t>On-site training is eligible as a part of installation services</w:t>
            </w:r>
            <w:r w:rsidRPr="006E3382">
              <w:rPr>
                <w:kern w:val="0"/>
                <w:szCs w:val="22"/>
              </w:rPr>
              <w:t xml:space="preserve"> but only if it is basic instruction on the use of eligible equipment, directly associated with equipment installation, and is part of the contract or agreement for the equipment.</w:t>
            </w:r>
            <w:r w:rsidRPr="006E3382">
              <w:rPr>
                <w:bCs/>
                <w:kern w:val="0"/>
                <w:szCs w:val="22"/>
              </w:rPr>
              <w:t xml:space="preserve">  Training must occur coincidently or </w:t>
            </w:r>
            <w:r w:rsidRPr="006E3382">
              <w:rPr>
                <w:kern w:val="0"/>
                <w:szCs w:val="22"/>
              </w:rPr>
              <w:t>within a reasonable time after installation.</w:t>
            </w:r>
          </w:p>
        </w:tc>
      </w:tr>
    </w:tbl>
    <w:p w14:paraId="0B89C401" w14:textId="77777777" w:rsidR="006E3382" w:rsidRPr="006E3382" w:rsidRDefault="006E3382" w:rsidP="006E3382">
      <w:pPr>
        <w:widowControl/>
        <w:jc w:val="both"/>
        <w:rPr>
          <w:kern w:val="0"/>
        </w:rPr>
      </w:pPr>
    </w:p>
    <w:p w14:paraId="2B8662F5" w14:textId="77777777" w:rsidR="00624552" w:rsidRDefault="00624552">
      <w:pPr>
        <w:pStyle w:val="FootnoteText"/>
        <w:jc w:val="center"/>
        <w:rPr>
          <w:b/>
          <w:sz w:val="22"/>
          <w:szCs w:val="22"/>
        </w:rPr>
      </w:pPr>
    </w:p>
    <w:sectPr w:rsidR="00624552" w:rsidSect="001A68C3">
      <w:footerReference w:type="default" r:id="rId20"/>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B636" w14:textId="77777777" w:rsidR="00011321" w:rsidRDefault="00011321">
      <w:r>
        <w:separator/>
      </w:r>
    </w:p>
  </w:endnote>
  <w:endnote w:type="continuationSeparator" w:id="0">
    <w:p w14:paraId="2D7F9752" w14:textId="77777777" w:rsidR="00011321" w:rsidRDefault="00011321">
      <w:r>
        <w:continuationSeparator/>
      </w:r>
    </w:p>
  </w:endnote>
  <w:endnote w:type="continuationNotice" w:id="1">
    <w:p w14:paraId="422FC306" w14:textId="77777777" w:rsidR="00011321" w:rsidRDefault="0001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Garamond LightCondensed">
    <w:altName w:val="Garamond Light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FADA" w14:textId="77777777" w:rsidR="006E3382" w:rsidRDefault="006E3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D48E0" w14:textId="77777777" w:rsidR="006E3382" w:rsidRDefault="006E3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C074" w14:textId="40A4248E" w:rsidR="006E3382" w:rsidRDefault="006E3382" w:rsidP="0041372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3A40">
      <w:rPr>
        <w:rStyle w:val="PageNumber"/>
        <w:noProof/>
      </w:rPr>
      <w:t>2</w:t>
    </w:r>
    <w:r>
      <w:rPr>
        <w:rStyle w:val="PageNumber"/>
      </w:rPr>
      <w:fldChar w:fldCharType="end"/>
    </w:r>
  </w:p>
  <w:p w14:paraId="2E9DFB4F" w14:textId="77777777" w:rsidR="006E3382" w:rsidRDefault="006E3382">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BDEA" w14:textId="77777777" w:rsidR="004A3A40" w:rsidRDefault="004A3A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E212" w14:textId="77777777" w:rsidR="006E3382" w:rsidRDefault="006E3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BC63A" w14:textId="77777777" w:rsidR="006E3382" w:rsidRDefault="006E3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9792" w14:textId="77777777" w:rsidR="006E3382" w:rsidRDefault="006E3382">
    <w:pPr>
      <w:pStyle w:val="Footer"/>
      <w:framePr w:w="361"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sidR="00CD23E6">
      <w:rPr>
        <w:rStyle w:val="PageNumber"/>
        <w:noProof/>
      </w:rPr>
      <w:t>13</w:t>
    </w:r>
    <w:r>
      <w:rPr>
        <w:rStyle w:val="PageNumber"/>
      </w:rPr>
      <w:fldChar w:fldCharType="end"/>
    </w:r>
  </w:p>
  <w:p w14:paraId="1E977523" w14:textId="77777777" w:rsidR="006E3382" w:rsidRDefault="006E3382">
    <w:pPr>
      <w:suppressAutoHyphens/>
      <w:spacing w:line="227" w:lineRule="auto"/>
      <w:jc w:val="center"/>
    </w:pPr>
  </w:p>
  <w:p w14:paraId="337582ED" w14:textId="77777777" w:rsidR="006E3382" w:rsidRDefault="006E338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AD69" w14:textId="77777777" w:rsidR="00861F8F" w:rsidRDefault="00861F8F">
    <w:pPr>
      <w:pStyle w:val="Footer"/>
      <w:jc w:val="center"/>
      <w:rPr>
        <w:sz w:val="20"/>
      </w:rPr>
    </w:pPr>
    <w:r w:rsidRPr="00557EAB">
      <w:rPr>
        <w:sz w:val="20"/>
      </w:rPr>
      <w:t>Schools and Libraries Eligible Services List – Funding Year 2015</w:t>
    </w:r>
  </w:p>
  <w:p w14:paraId="61E077B8" w14:textId="32BB7AD3" w:rsidR="006E3382" w:rsidRDefault="006E3382">
    <w:pPr>
      <w:pStyle w:val="Footer"/>
      <w:jc w:val="center"/>
    </w:pPr>
    <w:r>
      <w:rPr>
        <w:rStyle w:val="PageNumber"/>
      </w:rPr>
      <w:fldChar w:fldCharType="begin"/>
    </w:r>
    <w:r>
      <w:rPr>
        <w:rStyle w:val="PageNumber"/>
      </w:rPr>
      <w:instrText xml:space="preserve"> PAGE </w:instrText>
    </w:r>
    <w:r>
      <w:rPr>
        <w:rStyle w:val="PageNumber"/>
      </w:rPr>
      <w:fldChar w:fldCharType="separate"/>
    </w:r>
    <w:r w:rsidR="00CD23E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CAB1" w14:textId="77777777" w:rsidR="00861F8F" w:rsidRDefault="00861F8F">
    <w:pPr>
      <w:pStyle w:val="Footer"/>
      <w:framePr w:w="361" w:wrap="around" w:vAnchor="text" w:hAnchor="margin" w:xAlign="center" w:y="-2"/>
      <w:rPr>
        <w:rStyle w:val="PageNumber"/>
      </w:rPr>
    </w:pPr>
  </w:p>
  <w:p w14:paraId="15623EA4" w14:textId="77777777" w:rsidR="00861F8F" w:rsidRDefault="00861F8F">
    <w:pPr>
      <w:pStyle w:val="Footer"/>
      <w:framePr w:w="361"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sidR="00CD23E6">
      <w:rPr>
        <w:rStyle w:val="PageNumber"/>
        <w:noProof/>
      </w:rPr>
      <w:t>6</w:t>
    </w:r>
    <w:r>
      <w:rPr>
        <w:rStyle w:val="PageNumber"/>
      </w:rPr>
      <w:fldChar w:fldCharType="end"/>
    </w:r>
  </w:p>
  <w:p w14:paraId="157C5335" w14:textId="4E3ACA02" w:rsidR="00861F8F" w:rsidRDefault="00861F8F" w:rsidP="00861F8F">
    <w:pPr>
      <w:jc w:val="center"/>
    </w:pPr>
    <w:r w:rsidRPr="00557EAB">
      <w:rPr>
        <w:sz w:val="20"/>
      </w:rPr>
      <w:t>Schools and Libraries Eligible Services List – Funding Year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41243" w14:textId="77777777" w:rsidR="00011321" w:rsidRDefault="00011321">
      <w:r>
        <w:separator/>
      </w:r>
    </w:p>
  </w:footnote>
  <w:footnote w:type="continuationSeparator" w:id="0">
    <w:p w14:paraId="18318E36" w14:textId="77777777" w:rsidR="00011321" w:rsidRDefault="00011321">
      <w:pPr>
        <w:pStyle w:val="Footer"/>
      </w:pPr>
      <w:r>
        <w:rPr>
          <w:sz w:val="20"/>
        </w:rPr>
        <w:t xml:space="preserve">(Continued from previous page)  </w:t>
      </w:r>
      <w:r>
        <w:rPr>
          <w:sz w:val="20"/>
        </w:rPr>
        <w:separator/>
      </w:r>
    </w:p>
  </w:footnote>
  <w:footnote w:type="continuationNotice" w:id="1">
    <w:p w14:paraId="1252DB4B" w14:textId="77777777" w:rsidR="00011321" w:rsidRDefault="00011321">
      <w:pPr>
        <w:rPr>
          <w:sz w:val="20"/>
        </w:rPr>
      </w:pPr>
      <w:r>
        <w:rPr>
          <w:sz w:val="20"/>
        </w:rPr>
        <w:t>(continued….)</w:t>
      </w:r>
    </w:p>
  </w:footnote>
  <w:footnote w:id="2">
    <w:p w14:paraId="1198E805" w14:textId="6DF93198" w:rsidR="006E3382" w:rsidRDefault="006E3382">
      <w:pPr>
        <w:pStyle w:val="FootnoteText"/>
      </w:pPr>
      <w:r>
        <w:rPr>
          <w:rStyle w:val="FootnoteReference"/>
        </w:rPr>
        <w:footnoteRef/>
      </w:r>
      <w:r>
        <w:t xml:space="preserve"> </w:t>
      </w:r>
      <w:r>
        <w:rPr>
          <w:i/>
        </w:rPr>
        <w:t xml:space="preserve">See Schools and Libraries Universal Service Support Mechanism, </w:t>
      </w:r>
      <w:r>
        <w:rPr>
          <w:i/>
          <w:color w:val="000000"/>
        </w:rPr>
        <w:t>Eligible Services List for Funding Year 2015</w:t>
      </w:r>
      <w:r>
        <w:rPr>
          <w:color w:val="000000"/>
        </w:rPr>
        <w:t xml:space="preserve"> (rel. October 28, 2014) (</w:t>
      </w:r>
      <w:r w:rsidRPr="00420BFC">
        <w:rPr>
          <w:color w:val="000000"/>
        </w:rPr>
        <w:t>2015 ESL</w:t>
      </w:r>
      <w:r>
        <w:rPr>
          <w:color w:val="000000"/>
        </w:rPr>
        <w:t xml:space="preserve">) (Appendix C).  </w:t>
      </w:r>
      <w:r>
        <w:t>T</w:t>
      </w:r>
      <w:r>
        <w:rPr>
          <w:szCs w:val="22"/>
        </w:rPr>
        <w:t>he ESL specifies the services and products that are eligible for E-rate discounts.</w:t>
      </w:r>
    </w:p>
  </w:footnote>
  <w:footnote w:id="3">
    <w:p w14:paraId="3209BD8B" w14:textId="41C28558" w:rsidR="006E3382" w:rsidRDefault="006E3382">
      <w:pPr>
        <w:pStyle w:val="FootnoteText"/>
      </w:pPr>
      <w:r>
        <w:rPr>
          <w:rStyle w:val="FootnoteReference"/>
        </w:rPr>
        <w:footnoteRef/>
      </w:r>
      <w:r>
        <w:t xml:space="preserve"> 47 C.F.R. § 54.502(d) (requiring the </w:t>
      </w:r>
      <w:r w:rsidRPr="00F201DD">
        <w:t xml:space="preserve">final </w:t>
      </w:r>
      <w:r>
        <w:t>ESL</w:t>
      </w:r>
      <w:r w:rsidRPr="00F201DD">
        <w:t xml:space="preserve"> </w:t>
      </w:r>
      <w:r>
        <w:t>to</w:t>
      </w:r>
      <w:r w:rsidRPr="00F201DD">
        <w:t xml:space="preserve"> be released at least 60 days prior to the opening of the application filing window</w:t>
      </w:r>
      <w:r>
        <w:t>).</w:t>
      </w:r>
    </w:p>
  </w:footnote>
  <w:footnote w:id="4">
    <w:p w14:paraId="3822D9CB" w14:textId="11343BBA" w:rsidR="006E3382" w:rsidRDefault="006E3382">
      <w:pPr>
        <w:pStyle w:val="FootnoteText"/>
      </w:pPr>
      <w:r>
        <w:rPr>
          <w:rStyle w:val="FootnoteReference"/>
        </w:rPr>
        <w:footnoteRef/>
      </w:r>
      <w:r>
        <w:t xml:space="preserve"> </w:t>
      </w:r>
      <w:r w:rsidRPr="00D308FC">
        <w:rPr>
          <w:i/>
          <w:color w:val="000000"/>
        </w:rPr>
        <w:t>Wireline Competition Bureau Seeks Comment on Draft Eligible Services List for Schools and Libraries Universal Service Program</w:t>
      </w:r>
      <w:r w:rsidRPr="00D308FC">
        <w:rPr>
          <w:color w:val="000000"/>
        </w:rPr>
        <w:t>, CC Docket No. 02-6, GN Docket No. 09-51</w:t>
      </w:r>
      <w:r>
        <w:rPr>
          <w:color w:val="000000"/>
        </w:rPr>
        <w:t>, WC Docket No. 13-184, Public Notice, 29</w:t>
      </w:r>
      <w:r w:rsidRPr="00D308FC">
        <w:rPr>
          <w:color w:val="000000"/>
        </w:rPr>
        <w:t xml:space="preserve"> FCC Rcd 9474</w:t>
      </w:r>
      <w:r>
        <w:rPr>
          <w:color w:val="000000"/>
        </w:rPr>
        <w:t xml:space="preserve"> (Wireline Comp. Bur. 2014</w:t>
      </w:r>
      <w:r w:rsidRPr="00D308FC">
        <w:rPr>
          <w:color w:val="000000"/>
        </w:rPr>
        <w:t xml:space="preserve">) </w:t>
      </w:r>
      <w:r w:rsidRPr="00F93B4E">
        <w:rPr>
          <w:color w:val="000000"/>
        </w:rPr>
        <w:t>(</w:t>
      </w:r>
      <w:r w:rsidRPr="00D308FC">
        <w:rPr>
          <w:i/>
          <w:color w:val="000000"/>
        </w:rPr>
        <w:t>ESL Public Notice</w:t>
      </w:r>
      <w:r w:rsidRPr="00D308FC">
        <w:rPr>
          <w:color w:val="000000"/>
        </w:rPr>
        <w:t>).</w:t>
      </w:r>
      <w:r>
        <w:rPr>
          <w:color w:val="000000"/>
        </w:rPr>
        <w:t xml:space="preserve">  </w:t>
      </w:r>
    </w:p>
  </w:footnote>
  <w:footnote w:id="5">
    <w:p w14:paraId="3AB9458A" w14:textId="52DF5E5D" w:rsidR="006E3382" w:rsidRDefault="006E3382" w:rsidP="00280F29">
      <w:pPr>
        <w:pStyle w:val="FootnoteText"/>
      </w:pPr>
      <w:r>
        <w:rPr>
          <w:rStyle w:val="FootnoteReference"/>
        </w:rPr>
        <w:footnoteRef/>
      </w:r>
      <w:r>
        <w:t xml:space="preserve"> </w:t>
      </w:r>
      <w:r>
        <w:rPr>
          <w:i/>
        </w:rPr>
        <w:t xml:space="preserve">See </w:t>
      </w:r>
      <w:r w:rsidRPr="0054746E">
        <w:rPr>
          <w:i/>
        </w:rPr>
        <w:t>Modernizing the E-rate Program for Schools and Libraries</w:t>
      </w:r>
      <w:r w:rsidRPr="0054746E">
        <w:t>, WC Docket No. 13-184, Order</w:t>
      </w:r>
      <w:r>
        <w:t xml:space="preserve">, 29 FCC Rcd 8870 </w:t>
      </w:r>
      <w:r w:rsidRPr="0054746E">
        <w:t>(2014) (</w:t>
      </w:r>
      <w:r w:rsidRPr="0054746E">
        <w:rPr>
          <w:i/>
        </w:rPr>
        <w:t>E-rate Modernization Order</w:t>
      </w:r>
      <w:r w:rsidRPr="0054746E">
        <w:t>).</w:t>
      </w:r>
    </w:p>
  </w:footnote>
  <w:footnote w:id="6">
    <w:p w14:paraId="70AD9EA0" w14:textId="53BD7BB3" w:rsidR="006E3382" w:rsidRPr="00586F28" w:rsidRDefault="006E3382" w:rsidP="00586F28">
      <w:pPr>
        <w:pStyle w:val="FootnoteText"/>
        <w:rPr>
          <w:i/>
        </w:rPr>
      </w:pPr>
      <w:r w:rsidRPr="002D0D29">
        <w:rPr>
          <w:rStyle w:val="FootnoteReference"/>
        </w:rPr>
        <w:footnoteRef/>
      </w:r>
      <w:r w:rsidRPr="002D0D29">
        <w:t xml:space="preserve"> 47 U.S.C. §§ 254(c)(1), 254(c)(3), 254(h)(1)(B), 254(h)(2).</w:t>
      </w:r>
      <w:r>
        <w:t xml:space="preserve">  </w:t>
      </w:r>
      <w:r>
        <w:rPr>
          <w:i/>
        </w:rPr>
        <w:t xml:space="preserve">See also </w:t>
      </w:r>
      <w:r w:rsidRPr="0054746E">
        <w:rPr>
          <w:i/>
        </w:rPr>
        <w:t>E-rate Modernization Order</w:t>
      </w:r>
      <w:r>
        <w:t>, 29 FCC Rcd at 8895-98, paras. 67-75.</w:t>
      </w:r>
    </w:p>
  </w:footnote>
  <w:footnote w:id="7">
    <w:p w14:paraId="4FAB6067" w14:textId="54AAE073" w:rsidR="006E3382" w:rsidRPr="0054746E" w:rsidRDefault="006E3382" w:rsidP="009A28EA">
      <w:pPr>
        <w:pStyle w:val="FootnoteText"/>
      </w:pPr>
      <w:r w:rsidRPr="0054746E">
        <w:rPr>
          <w:rStyle w:val="FootnoteReference"/>
        </w:rPr>
        <w:footnoteRef/>
      </w:r>
      <w:r>
        <w:rPr>
          <w:i/>
        </w:rPr>
        <w:t xml:space="preserve"> E-rate Modernization Order</w:t>
      </w:r>
      <w:r w:rsidRPr="00363320">
        <w:t>,</w:t>
      </w:r>
      <w:r>
        <w:rPr>
          <w:i/>
        </w:rPr>
        <w:t xml:space="preserve"> </w:t>
      </w:r>
      <w:r>
        <w:t>29 FCC Rcd</w:t>
      </w:r>
      <w:r>
        <w:rPr>
          <w:i/>
        </w:rPr>
        <w:t xml:space="preserve"> </w:t>
      </w:r>
      <w:r>
        <w:t>at 8895-98, paras. 67-75, 8898-99, para. 77, 8917-19, paras. 119-124, 8920-21, para. 130, 8922-33, paras. 135-153</w:t>
      </w:r>
      <w:r w:rsidRPr="0054746E">
        <w:t>.</w:t>
      </w:r>
    </w:p>
  </w:footnote>
  <w:footnote w:id="8">
    <w:p w14:paraId="7C9E280E" w14:textId="0C5DDC2D" w:rsidR="006E3382" w:rsidRPr="00647716" w:rsidRDefault="006E3382">
      <w:pPr>
        <w:pStyle w:val="FootnoteText"/>
      </w:pPr>
      <w:r>
        <w:rPr>
          <w:rStyle w:val="FootnoteReference"/>
        </w:rPr>
        <w:footnoteRef/>
      </w:r>
      <w:r>
        <w:t xml:space="preserve"> </w:t>
      </w:r>
      <w:r>
        <w:rPr>
          <w:i/>
        </w:rPr>
        <w:t>ESL Public Notice</w:t>
      </w:r>
      <w:r w:rsidRPr="00363320">
        <w:t xml:space="preserve">, </w:t>
      </w:r>
      <w:r>
        <w:rPr>
          <w:color w:val="000000"/>
        </w:rPr>
        <w:t>29</w:t>
      </w:r>
      <w:r w:rsidRPr="00D308FC">
        <w:rPr>
          <w:color w:val="000000"/>
        </w:rPr>
        <w:t xml:space="preserve"> FCC Rcd </w:t>
      </w:r>
      <w:r>
        <w:t>at 9474-75.</w:t>
      </w:r>
    </w:p>
  </w:footnote>
  <w:footnote w:id="9">
    <w:p w14:paraId="5A739CB7" w14:textId="0D17898E" w:rsidR="006E3382" w:rsidRDefault="006E3382">
      <w:pPr>
        <w:pStyle w:val="FootnoteText"/>
      </w:pPr>
      <w:r>
        <w:rPr>
          <w:rStyle w:val="FootnoteReference"/>
        </w:rPr>
        <w:footnoteRef/>
      </w:r>
      <w:r>
        <w:t xml:space="preserve"> </w:t>
      </w:r>
      <w:r>
        <w:rPr>
          <w:i/>
        </w:rPr>
        <w:t xml:space="preserve">Id. </w:t>
      </w:r>
      <w:r>
        <w:t>at 9475-77.</w:t>
      </w:r>
    </w:p>
  </w:footnote>
  <w:footnote w:id="10">
    <w:p w14:paraId="20500D98" w14:textId="6095CE5A" w:rsidR="006E3382" w:rsidRDefault="006E3382" w:rsidP="00C71067">
      <w:pPr>
        <w:pStyle w:val="FootnoteText"/>
        <w:rPr>
          <w:i/>
        </w:rPr>
      </w:pPr>
      <w:r>
        <w:rPr>
          <w:rStyle w:val="FootnoteReference"/>
        </w:rPr>
        <w:footnoteRef/>
      </w:r>
      <w:r>
        <w:t xml:space="preserve"> </w:t>
      </w:r>
      <w:r>
        <w:rPr>
          <w:i/>
          <w:color w:val="000000"/>
        </w:rPr>
        <w:t xml:space="preserve">Id. </w:t>
      </w:r>
      <w:r w:rsidRPr="00363320">
        <w:rPr>
          <w:color w:val="000000"/>
        </w:rPr>
        <w:t>at 9474</w:t>
      </w:r>
      <w:r>
        <w:rPr>
          <w:i/>
          <w:color w:val="000000"/>
        </w:rPr>
        <w:t>.</w:t>
      </w:r>
    </w:p>
  </w:footnote>
  <w:footnote w:id="11">
    <w:p w14:paraId="3A265663" w14:textId="105A2DDC" w:rsidR="006E3382" w:rsidRDefault="006E3382">
      <w:pPr>
        <w:pStyle w:val="FootnoteText"/>
      </w:pPr>
      <w:r>
        <w:rPr>
          <w:rStyle w:val="FootnoteReference"/>
        </w:rPr>
        <w:footnoteRef/>
      </w:r>
      <w:r>
        <w:t xml:space="preserve"> </w:t>
      </w:r>
      <w:r>
        <w:rPr>
          <w:i/>
        </w:rPr>
        <w:t>E-rate Modernization Order</w:t>
      </w:r>
      <w:r w:rsidRPr="00363320">
        <w:t>,</w:t>
      </w:r>
      <w:r>
        <w:rPr>
          <w:i/>
        </w:rPr>
        <w:t xml:space="preserve"> </w:t>
      </w:r>
      <w:r>
        <w:t>29 FCC Rcd</w:t>
      </w:r>
      <w:r>
        <w:rPr>
          <w:i/>
        </w:rPr>
        <w:t xml:space="preserve"> </w:t>
      </w:r>
      <w:r>
        <w:t>at 8898-99, para. 77, 8917-21, paras. 119-130, 8922-32, paras. 135-150.</w:t>
      </w:r>
    </w:p>
  </w:footnote>
  <w:footnote w:id="12">
    <w:p w14:paraId="545A1E95" w14:textId="4223F3BD" w:rsidR="006E3382" w:rsidRDefault="006E3382">
      <w:pPr>
        <w:pStyle w:val="FootnoteText"/>
      </w:pPr>
      <w:r>
        <w:rPr>
          <w:rStyle w:val="FootnoteReference"/>
        </w:rPr>
        <w:footnoteRef/>
      </w:r>
      <w:r>
        <w:t xml:space="preserve"> For example, we merge the list of eligible “Digital Transmission Services” and “Internet Access” services that had been separated in previous ESLs into one box in Category One.</w:t>
      </w:r>
    </w:p>
  </w:footnote>
  <w:footnote w:id="13">
    <w:p w14:paraId="6BCCE975" w14:textId="4ADF0A61" w:rsidR="006E3382" w:rsidRPr="00821C9E" w:rsidRDefault="006E3382" w:rsidP="00A70313">
      <w:pPr>
        <w:pStyle w:val="FootnoteText"/>
      </w:pPr>
      <w:r>
        <w:rPr>
          <w:rStyle w:val="FootnoteReference"/>
        </w:rPr>
        <w:footnoteRef/>
      </w:r>
      <w:r>
        <w:t xml:space="preserve"> </w:t>
      </w:r>
      <w:r>
        <w:rPr>
          <w:i/>
        </w:rPr>
        <w:t xml:space="preserve">See </w:t>
      </w:r>
      <w:r>
        <w:t>North Carolina Department of Education Comments at 1 (previously published long lists that also included ineligible products and services, the Special Eligibility Considerations section, and the glossary of terms tended to get confusing and virtually impossible for applicants and vendors alike to understand); Wisconsin Department of Public Instruction Comments at 1 (agreeing with and finding useful the focus on listing only what services are eligible – as opposed to listing both ineligible and eligible services).</w:t>
      </w:r>
    </w:p>
  </w:footnote>
  <w:footnote w:id="14">
    <w:p w14:paraId="2F251103" w14:textId="44C5648B" w:rsidR="006E3382" w:rsidRDefault="006E3382" w:rsidP="00280F29">
      <w:pPr>
        <w:pStyle w:val="FootnoteText"/>
      </w:pPr>
      <w:r>
        <w:rPr>
          <w:rStyle w:val="FootnoteReference"/>
        </w:rPr>
        <w:footnoteRef/>
      </w:r>
      <w:r>
        <w:t xml:space="preserve"> </w:t>
      </w:r>
      <w:r>
        <w:rPr>
          <w:i/>
        </w:rPr>
        <w:t xml:space="preserve">See, e.g., </w:t>
      </w:r>
      <w:r>
        <w:t xml:space="preserve">SECA Comments at </w:t>
      </w:r>
      <w:r w:rsidRPr="007B4F09">
        <w:t>2</w:t>
      </w:r>
      <w:r>
        <w:t xml:space="preserve"> (</w:t>
      </w:r>
      <w:r w:rsidRPr="007B4F09">
        <w:t xml:space="preserve">the </w:t>
      </w:r>
      <w:r w:rsidR="00C86C35">
        <w:t xml:space="preserve">funding year </w:t>
      </w:r>
      <w:r w:rsidRPr="007B4F09">
        <w:t xml:space="preserve">2015 ESL should note services that were eligible in </w:t>
      </w:r>
      <w:r w:rsidR="00C86C35">
        <w:t xml:space="preserve">funding year </w:t>
      </w:r>
      <w:r w:rsidRPr="007B4F09">
        <w:t>2014 but are no longer eligible</w:t>
      </w:r>
      <w:r>
        <w:t>); North Carolina Department of Education Comments at 2; Wisconsin Department of Public Instruction Comments at 1.</w:t>
      </w:r>
    </w:p>
  </w:footnote>
  <w:footnote w:id="15">
    <w:p w14:paraId="7476A4DC" w14:textId="0B89AD28" w:rsidR="006E3382" w:rsidRDefault="006E3382" w:rsidP="00280F29">
      <w:pPr>
        <w:pStyle w:val="FootnoteText"/>
      </w:pPr>
      <w:r>
        <w:rPr>
          <w:rStyle w:val="FootnoteReference"/>
        </w:rPr>
        <w:footnoteRef/>
      </w:r>
      <w:r>
        <w:t xml:space="preserve"> </w:t>
      </w:r>
      <w:r w:rsidR="00D5789C">
        <w:rPr>
          <w:i/>
        </w:rPr>
        <w:t>See. e.g.</w:t>
      </w:r>
      <w:r w:rsidR="00D5789C">
        <w:t xml:space="preserve">, </w:t>
      </w:r>
      <w:r>
        <w:t>New York City Department of Education</w:t>
      </w:r>
      <w:r w:rsidRPr="007B4F09">
        <w:t xml:space="preserve"> Comments at 2</w:t>
      </w:r>
      <w:r>
        <w:t xml:space="preserve"> (t</w:t>
      </w:r>
      <w:r w:rsidRPr="007B4F09">
        <w:t>here is value to retaining some of the removed guidance on the USAC website, such as the ESL glossary, even if it can only be used</w:t>
      </w:r>
      <w:r>
        <w:t xml:space="preserve"> for informational assistance</w:t>
      </w:r>
      <w:r w:rsidRPr="007B4F09">
        <w:t>)</w:t>
      </w:r>
      <w:r>
        <w:t>.</w:t>
      </w:r>
    </w:p>
  </w:footnote>
  <w:footnote w:id="16">
    <w:p w14:paraId="069F8A7B" w14:textId="3BC49AF8" w:rsidR="006E3382" w:rsidRDefault="006E3382" w:rsidP="00280F29">
      <w:pPr>
        <w:pStyle w:val="FootnoteText"/>
      </w:pPr>
      <w:r>
        <w:rPr>
          <w:rStyle w:val="FootnoteReference"/>
        </w:rPr>
        <w:footnoteRef/>
      </w:r>
      <w:r>
        <w:t xml:space="preserve"> </w:t>
      </w:r>
      <w:r>
        <w:rPr>
          <w:i/>
        </w:rPr>
        <w:t>See, e.g.</w:t>
      </w:r>
      <w:r>
        <w:t xml:space="preserve">, </w:t>
      </w:r>
      <w:r w:rsidRPr="007B4F09">
        <w:t>Affiniti Comments at 1</w:t>
      </w:r>
      <w:r w:rsidR="00D5789C">
        <w:t xml:space="preserve"> </w:t>
      </w:r>
      <w:r>
        <w:t>(stating that t</w:t>
      </w:r>
      <w:r w:rsidRPr="007B4F09">
        <w:t>he ESL should be a clear and comprehensive guide to the procedural and substantive</w:t>
      </w:r>
      <w:r>
        <w:t xml:space="preserve"> requirements of the program and that b</w:t>
      </w:r>
      <w:r w:rsidRPr="007B4F09">
        <w:t xml:space="preserve">ecause many areas of E-rate policy are not reflected in </w:t>
      </w:r>
      <w:r w:rsidR="00D5789C">
        <w:t>Commission</w:t>
      </w:r>
      <w:r w:rsidRPr="007B4F09">
        <w:t xml:space="preserve"> rules but were developed through common law precedent, the current ESL provides many explanatory note</w:t>
      </w:r>
      <w:r>
        <w:t>s, definitions, and summaries).</w:t>
      </w:r>
    </w:p>
  </w:footnote>
  <w:footnote w:id="17">
    <w:p w14:paraId="31903C38" w14:textId="77777777" w:rsidR="006E3382" w:rsidRDefault="006E3382" w:rsidP="00280F29">
      <w:pPr>
        <w:pStyle w:val="FootnoteText"/>
      </w:pPr>
      <w:r>
        <w:rPr>
          <w:rStyle w:val="FootnoteReference"/>
        </w:rPr>
        <w:footnoteRef/>
      </w:r>
      <w:r>
        <w:t xml:space="preserve"> </w:t>
      </w:r>
      <w:r>
        <w:rPr>
          <w:i/>
          <w:iCs/>
          <w:color w:val="000000"/>
        </w:rPr>
        <w:t>S</w:t>
      </w:r>
      <w:r w:rsidRPr="0051546B">
        <w:rPr>
          <w:i/>
          <w:iCs/>
          <w:color w:val="000000"/>
        </w:rPr>
        <w:t>ee Schools and Libraries Universal Service Support Mechanism</w:t>
      </w:r>
      <w:r w:rsidRPr="0051546B">
        <w:rPr>
          <w:color w:val="000000"/>
        </w:rPr>
        <w:t xml:space="preserve">, CC Docket No. 02-6, Third Report and Order and Second Further Notice of Proposed Rulemaking, </w:t>
      </w:r>
      <w:r>
        <w:rPr>
          <w:color w:val="000000"/>
        </w:rPr>
        <w:t>18 FCC Rcd 26912, 26929, para. 40 (2003) (</w:t>
      </w:r>
      <w:r>
        <w:rPr>
          <w:i/>
          <w:color w:val="000000"/>
        </w:rPr>
        <w:t>Schools and Libraries Third Report and Order</w:t>
      </w:r>
      <w:r>
        <w:rPr>
          <w:color w:val="000000"/>
        </w:rPr>
        <w:t xml:space="preserve">) (deciding that the formalized process for releasing the ESL </w:t>
      </w:r>
      <w:r w:rsidRPr="0081038A">
        <w:rPr>
          <w:color w:val="000000"/>
        </w:rPr>
        <w:t>will simplify program administration and facilitate the ability of both vendors and applicants to determine what services are eligible for discounts</w:t>
      </w:r>
      <w:r>
        <w:rPr>
          <w:color w:val="000000"/>
        </w:rPr>
        <w:t xml:space="preserve">).  </w:t>
      </w:r>
    </w:p>
  </w:footnote>
  <w:footnote w:id="18">
    <w:p w14:paraId="361614AF" w14:textId="0079E1DB" w:rsidR="006E3382" w:rsidRDefault="006E3382">
      <w:pPr>
        <w:pStyle w:val="FootnoteText"/>
      </w:pPr>
      <w:r>
        <w:rPr>
          <w:rStyle w:val="FootnoteReference"/>
        </w:rPr>
        <w:footnoteRef/>
      </w:r>
      <w:r>
        <w:t xml:space="preserve"> </w:t>
      </w:r>
      <w:r w:rsidRPr="00840251">
        <w:rPr>
          <w:i/>
          <w:iCs/>
          <w:color w:val="000000"/>
        </w:rPr>
        <w:t>See</w:t>
      </w:r>
      <w:r>
        <w:rPr>
          <w:i/>
          <w:iCs/>
          <w:color w:val="000000"/>
        </w:rPr>
        <w:t>, e.g.</w:t>
      </w:r>
      <w:r w:rsidRPr="00363320">
        <w:rPr>
          <w:iCs/>
          <w:color w:val="000000"/>
        </w:rPr>
        <w:t>,</w:t>
      </w:r>
      <w:r>
        <w:rPr>
          <w:i/>
          <w:iCs/>
          <w:color w:val="000000"/>
        </w:rPr>
        <w:t xml:space="preserve"> Request </w:t>
      </w:r>
      <w:r w:rsidRPr="00840251">
        <w:rPr>
          <w:i/>
          <w:iCs/>
          <w:color w:val="000000"/>
        </w:rPr>
        <w:t xml:space="preserve">for Review </w:t>
      </w:r>
      <w:r>
        <w:rPr>
          <w:i/>
          <w:iCs/>
          <w:color w:val="000000"/>
        </w:rPr>
        <w:t xml:space="preserve">or Waiver </w:t>
      </w:r>
      <w:r w:rsidRPr="00840251">
        <w:rPr>
          <w:i/>
          <w:iCs/>
          <w:color w:val="000000"/>
        </w:rPr>
        <w:t xml:space="preserve">of </w:t>
      </w:r>
      <w:r>
        <w:rPr>
          <w:i/>
          <w:iCs/>
          <w:color w:val="000000"/>
        </w:rPr>
        <w:t xml:space="preserve">a Decision </w:t>
      </w:r>
      <w:r w:rsidRPr="00840251">
        <w:rPr>
          <w:i/>
          <w:iCs/>
          <w:color w:val="000000"/>
        </w:rPr>
        <w:t xml:space="preserve">of the Universal Service Administrator by </w:t>
      </w:r>
      <w:r>
        <w:rPr>
          <w:i/>
          <w:iCs/>
          <w:color w:val="000000"/>
        </w:rPr>
        <w:t>RECtec Technology and Communications (Colcord Public Schools)</w:t>
      </w:r>
      <w:r w:rsidRPr="00840251">
        <w:rPr>
          <w:i/>
          <w:iCs/>
          <w:color w:val="000000"/>
        </w:rPr>
        <w:t>, Schools and Libraries Universal Service Support Mechanism</w:t>
      </w:r>
      <w:r w:rsidRPr="00840251">
        <w:rPr>
          <w:color w:val="000000"/>
        </w:rPr>
        <w:t xml:space="preserve">, CC Docket No. 02-6, Order, </w:t>
      </w:r>
      <w:r>
        <w:rPr>
          <w:color w:val="000000"/>
        </w:rPr>
        <w:t xml:space="preserve">29 FCC Rcd 8180 (Wireline Comp. Bur. 2014); </w:t>
      </w:r>
      <w:r w:rsidRPr="00840251">
        <w:rPr>
          <w:i/>
          <w:iCs/>
          <w:color w:val="000000"/>
        </w:rPr>
        <w:t>Requests for Review of Decisions of the Universal Service Administrator by Agra Public Schools I-394, et al.</w:t>
      </w:r>
      <w:r w:rsidRPr="00B311CD">
        <w:rPr>
          <w:i/>
          <w:iCs/>
          <w:color w:val="000000"/>
        </w:rPr>
        <w:t>,</w:t>
      </w:r>
      <w:r w:rsidRPr="00840251">
        <w:rPr>
          <w:i/>
          <w:iCs/>
          <w:color w:val="000000"/>
        </w:rPr>
        <w:t xml:space="preserve"> Schools and Libraries Universal Service Support Mechanism</w:t>
      </w:r>
      <w:r w:rsidRPr="00840251">
        <w:rPr>
          <w:color w:val="000000"/>
        </w:rPr>
        <w:t xml:space="preserve">, CC Docket No. 02-6, Order, </w:t>
      </w:r>
      <w:r>
        <w:rPr>
          <w:color w:val="000000"/>
        </w:rPr>
        <w:t>25 FCC Rcd 5684 (Wireline Comp. Bur. 2010)</w:t>
      </w:r>
      <w:r w:rsidRPr="00840251">
        <w:rPr>
          <w:color w:val="000000"/>
        </w:rPr>
        <w:t xml:space="preserve"> (denying appeals wherein the appellant claimed that E-rate violations resulted from the lack of awareness of E-rate rules)</w:t>
      </w:r>
      <w:r>
        <w:rPr>
          <w:color w:val="000000"/>
        </w:rPr>
        <w:t>.</w:t>
      </w:r>
    </w:p>
  </w:footnote>
  <w:footnote w:id="19">
    <w:p w14:paraId="0562F847" w14:textId="5EDA4627" w:rsidR="006E3382" w:rsidRPr="00311F6F" w:rsidRDefault="006E3382">
      <w:pPr>
        <w:pStyle w:val="FootnoteText"/>
      </w:pPr>
      <w:r>
        <w:rPr>
          <w:rStyle w:val="FootnoteReference"/>
        </w:rPr>
        <w:footnoteRef/>
      </w:r>
      <w:r>
        <w:t xml:space="preserve"> </w:t>
      </w:r>
      <w:r>
        <w:rPr>
          <w:i/>
        </w:rPr>
        <w:t xml:space="preserve">E-rate Modernization Order, </w:t>
      </w:r>
      <w:r>
        <w:t>29 FCC Rcd</w:t>
      </w:r>
      <w:r>
        <w:rPr>
          <w:i/>
        </w:rPr>
        <w:t xml:space="preserve"> </w:t>
      </w:r>
      <w:r>
        <w:t>at 8928-32, paras. 144-150.</w:t>
      </w:r>
    </w:p>
  </w:footnote>
  <w:footnote w:id="20">
    <w:p w14:paraId="20062F8E" w14:textId="76C23DD4" w:rsidR="006E3382" w:rsidRDefault="006E3382">
      <w:pPr>
        <w:pStyle w:val="FootnoteText"/>
      </w:pPr>
      <w:r>
        <w:rPr>
          <w:rStyle w:val="FootnoteReference"/>
        </w:rPr>
        <w:footnoteRef/>
      </w:r>
      <w:r>
        <w:t xml:space="preserve"> </w:t>
      </w:r>
      <w:r>
        <w:rPr>
          <w:i/>
        </w:rPr>
        <w:t>See, e.g.</w:t>
      </w:r>
      <w:r w:rsidRPr="0015429A">
        <w:t>,</w:t>
      </w:r>
      <w:r>
        <w:rPr>
          <w:i/>
        </w:rPr>
        <w:t xml:space="preserve"> </w:t>
      </w:r>
      <w:r w:rsidR="008523A0">
        <w:t>E-mpa</w:t>
      </w:r>
      <w:r w:rsidRPr="00ED3D60">
        <w:t xml:space="preserve"> Comments at 5</w:t>
      </w:r>
      <w:r>
        <w:t xml:space="preserve">; </w:t>
      </w:r>
      <w:r w:rsidRPr="00ED3D60">
        <w:t>SECA Comments at 5</w:t>
      </w:r>
      <w:r>
        <w:t xml:space="preserve">; Verizon Reply Comments at 2.  </w:t>
      </w:r>
    </w:p>
  </w:footnote>
  <w:footnote w:id="21">
    <w:p w14:paraId="558F460E" w14:textId="3CE896D8" w:rsidR="006E3382" w:rsidRPr="00660CD5" w:rsidRDefault="006E3382" w:rsidP="00FC51D2">
      <w:pPr>
        <w:pStyle w:val="FootnoteText"/>
      </w:pPr>
      <w:r>
        <w:rPr>
          <w:rStyle w:val="FootnoteReference"/>
        </w:rPr>
        <w:footnoteRef/>
      </w:r>
      <w:r>
        <w:t xml:space="preserve"> Wireline Competition Bureau Evaluation of Rural Health Care Pilot Program Staff Report, WC Docket No. 02-60, </w:t>
      </w:r>
      <w:r>
        <w:rPr>
          <w:color w:val="000000"/>
        </w:rPr>
        <w:t xml:space="preserve">27 FCC Rcd 9387, 9413, para. 45, n.133 (Wireline Comp. Bur. 2012), </w:t>
      </w:r>
      <w:r>
        <w:t xml:space="preserve">citing </w:t>
      </w:r>
      <w:r w:rsidRPr="00347A1A">
        <w:rPr>
          <w:color w:val="000000"/>
        </w:rPr>
        <w:t xml:space="preserve">Telecommunications Industry Association, </w:t>
      </w:r>
      <w:r w:rsidRPr="00347A1A">
        <w:rPr>
          <w:i/>
          <w:iCs/>
          <w:color w:val="000000"/>
        </w:rPr>
        <w:t>2012 ICT Market Review and Forecast</w:t>
      </w:r>
      <w:r w:rsidRPr="00347A1A">
        <w:rPr>
          <w:color w:val="000000"/>
        </w:rPr>
        <w:t>, at 3-8, 3-40</w:t>
      </w:r>
      <w:r>
        <w:t xml:space="preserve"> (noting </w:t>
      </w:r>
      <w:r w:rsidRPr="00347A1A">
        <w:rPr>
          <w:color w:val="000000"/>
        </w:rPr>
        <w:t>that carriers are converting to</w:t>
      </w:r>
      <w:bookmarkStart w:id="40" w:name="SR;28340"/>
      <w:bookmarkEnd w:id="40"/>
      <w:r w:rsidRPr="00347A1A">
        <w:rPr>
          <w:color w:val="000000"/>
        </w:rPr>
        <w:t xml:space="preserve"> MPLS in their core networks to facilitate IP transport, that</w:t>
      </w:r>
      <w:bookmarkStart w:id="41" w:name="SR;28351"/>
      <w:bookmarkEnd w:id="41"/>
      <w:r w:rsidRPr="00347A1A">
        <w:rPr>
          <w:color w:val="000000"/>
        </w:rPr>
        <w:t xml:space="preserve"> MPLS-enabled networks can establish different classes of services and offer guarantees of service without dedicated circuits, and that carriers charge less for MPLS than for other technologies because the costs for provisioning and supporting it are lower</w:t>
      </w:r>
      <w:r>
        <w:rPr>
          <w:color w:val="000000"/>
        </w:rPr>
        <w:t>)</w:t>
      </w:r>
      <w:r w:rsidRPr="00347A1A">
        <w:rPr>
          <w:color w:val="000000"/>
        </w:rPr>
        <w:t xml:space="preserve">.  </w:t>
      </w:r>
      <w:r>
        <w:rPr>
          <w:color w:val="000000"/>
        </w:rPr>
        <w:t xml:space="preserve"> </w:t>
      </w:r>
    </w:p>
  </w:footnote>
  <w:footnote w:id="22">
    <w:p w14:paraId="1E6D12E1" w14:textId="22421B4C" w:rsidR="006E3382" w:rsidRPr="0031521A" w:rsidRDefault="006E3382">
      <w:pPr>
        <w:pStyle w:val="FootnoteText"/>
      </w:pPr>
      <w:r>
        <w:rPr>
          <w:rStyle w:val="FootnoteReference"/>
        </w:rPr>
        <w:footnoteRef/>
      </w:r>
      <w:r>
        <w:t xml:space="preserve"> </w:t>
      </w:r>
      <w:r>
        <w:rPr>
          <w:i/>
        </w:rPr>
        <w:t xml:space="preserve">See </w:t>
      </w:r>
      <w:r>
        <w:t xml:space="preserve">Multiprotocol Label Switching, </w:t>
      </w:r>
      <w:hyperlink r:id="rId1" w:history="1">
        <w:r w:rsidRPr="00F73D5F">
          <w:rPr>
            <w:rStyle w:val="Hyperlink"/>
          </w:rPr>
          <w:t>http://en.wikipedia.org/wiki/Multiprotocol_Label_Switching</w:t>
        </w:r>
      </w:hyperlink>
      <w:r>
        <w:t xml:space="preserve"> (last visited Oct. 28, 2014).  </w:t>
      </w:r>
    </w:p>
  </w:footnote>
  <w:footnote w:id="23">
    <w:p w14:paraId="747F76E0" w14:textId="23995B4D" w:rsidR="006E3382" w:rsidRPr="009D304E" w:rsidRDefault="006E3382" w:rsidP="00FC51D2">
      <w:pPr>
        <w:pStyle w:val="FootnoteText"/>
      </w:pPr>
      <w:r>
        <w:rPr>
          <w:rStyle w:val="FootnoteReference"/>
        </w:rPr>
        <w:footnoteRef/>
      </w:r>
      <w:r>
        <w:t xml:space="preserve"> </w:t>
      </w:r>
      <w:r>
        <w:rPr>
          <w:i/>
        </w:rPr>
        <w:t>See, e.g.</w:t>
      </w:r>
      <w:r>
        <w:t xml:space="preserve">, </w:t>
      </w:r>
      <w:r w:rsidRPr="00BF4EC1">
        <w:rPr>
          <w:bCs/>
          <w:i/>
          <w:color w:val="333333"/>
        </w:rPr>
        <w:t>Schools and Libraries Universal Service Support Mechanism/A National Broadband Plan for Our Future</w:t>
      </w:r>
      <w:r>
        <w:rPr>
          <w:bCs/>
          <w:i/>
          <w:color w:val="333333"/>
        </w:rPr>
        <w:t xml:space="preserve">, </w:t>
      </w:r>
      <w:r w:rsidRPr="00D308FC">
        <w:rPr>
          <w:color w:val="000000"/>
        </w:rPr>
        <w:t>CC Docket No. 02-6, GN Docket No. 09-51</w:t>
      </w:r>
      <w:r>
        <w:rPr>
          <w:color w:val="000000"/>
        </w:rPr>
        <w:t>, Order, 28 FCC Rcd 14534, 14536-38 (Wireline Comp. Bur. 2013</w:t>
      </w:r>
      <w:r w:rsidRPr="00D308FC">
        <w:rPr>
          <w:color w:val="000000"/>
        </w:rPr>
        <w:t>)</w:t>
      </w:r>
      <w:r>
        <w:rPr>
          <w:color w:val="000000"/>
        </w:rPr>
        <w:t xml:space="preserve"> (</w:t>
      </w:r>
      <w:r>
        <w:rPr>
          <w:i/>
          <w:color w:val="000000"/>
        </w:rPr>
        <w:t>2014 ESL and Order</w:t>
      </w:r>
      <w:r>
        <w:rPr>
          <w:color w:val="000000"/>
        </w:rPr>
        <w:t>)</w:t>
      </w:r>
      <w:r>
        <w:t>.</w:t>
      </w:r>
    </w:p>
  </w:footnote>
  <w:footnote w:id="24">
    <w:p w14:paraId="0CD30C06" w14:textId="448F9537" w:rsidR="006E3382" w:rsidRPr="008E69A7" w:rsidRDefault="006E3382" w:rsidP="00CF3E14">
      <w:pPr>
        <w:pStyle w:val="FootnoteText"/>
        <w:rPr>
          <w:i/>
        </w:rPr>
      </w:pPr>
      <w:r>
        <w:rPr>
          <w:rStyle w:val="FootnoteReference"/>
        </w:rPr>
        <w:footnoteRef/>
      </w:r>
      <w:r>
        <w:t xml:space="preserve"> </w:t>
      </w:r>
      <w:r>
        <w:rPr>
          <w:i/>
          <w:color w:val="000000"/>
        </w:rPr>
        <w:t>See Schools and Libraries Universal Service Support Mechanism</w:t>
      </w:r>
      <w:r w:rsidRPr="00C3494B">
        <w:rPr>
          <w:color w:val="000000"/>
        </w:rPr>
        <w:t>,</w:t>
      </w:r>
      <w:r>
        <w:rPr>
          <w:i/>
          <w:color w:val="000000"/>
        </w:rPr>
        <w:t xml:space="preserve"> </w:t>
      </w:r>
      <w:r>
        <w:rPr>
          <w:color w:val="000000"/>
        </w:rPr>
        <w:t xml:space="preserve">CC Docket No. 02-6, Report and Order and Further Notice of Proposed Rulemaking, </w:t>
      </w:r>
      <w:r w:rsidRPr="004D7175">
        <w:t>25 FCC Rcd 6562</w:t>
      </w:r>
      <w:r>
        <w:t>, para. 21 (2009) (</w:t>
      </w:r>
      <w:r>
        <w:rPr>
          <w:szCs w:val="22"/>
        </w:rPr>
        <w:t>although it was not specifically listed in the ESL for funding year 2009, Ethernet is a type of digital transmission service that has been eligible for E-rate discounts when purchased as a Priority 1 telecommunications service</w:t>
      </w:r>
      <w:r>
        <w:t xml:space="preserve">).  </w:t>
      </w:r>
      <w:r>
        <w:rPr>
          <w:color w:val="000000"/>
        </w:rPr>
        <w:t xml:space="preserve">Clarifying that MPLS is </w:t>
      </w:r>
      <w:r>
        <w:t xml:space="preserve">on the list of Category One services does not pre-judge the treatment of MPLS for any other proceeding that is before the Bureau or Commission.  </w:t>
      </w:r>
      <w:r>
        <w:rPr>
          <w:i/>
        </w:rPr>
        <w:t>See, e.g.</w:t>
      </w:r>
      <w:r w:rsidRPr="00C3494B">
        <w:t xml:space="preserve">, </w:t>
      </w:r>
      <w:r>
        <w:rPr>
          <w:i/>
        </w:rPr>
        <w:t>Wireline Competition Bureau Seeks Comment on IVANS, Inc., Request for Review of a Decision by the Universal Service Administrative Company and Petition for Declaratory Ruling</w:t>
      </w:r>
      <w:r w:rsidRPr="00C3494B">
        <w:t>,</w:t>
      </w:r>
      <w:r>
        <w:rPr>
          <w:i/>
        </w:rPr>
        <w:t xml:space="preserve"> </w:t>
      </w:r>
      <w:r>
        <w:rPr>
          <w:color w:val="000000"/>
        </w:rPr>
        <w:t>WC Docket No. 06-122, Public Notice, 28 FCC Rcd 12271 (Wireline Comp. Bur. 2013</w:t>
      </w:r>
      <w:r w:rsidRPr="00D308FC">
        <w:rPr>
          <w:color w:val="000000"/>
        </w:rPr>
        <w:t>)</w:t>
      </w:r>
      <w:r>
        <w:rPr>
          <w:color w:val="000000"/>
        </w:rPr>
        <w:t xml:space="preserve">.  </w:t>
      </w:r>
      <w:r>
        <w:t xml:space="preserve">We need not state definitively whether MPLS or components thereof are considered telecommunications services or advanced information services, nor would such a determination be within the scope of this proceeding.  For purposes of the E-rate program, applicants need only seek funding for MPLS based on the type of provider they select to provide the service.  </w:t>
      </w:r>
      <w:r>
        <w:rPr>
          <w:i/>
        </w:rPr>
        <w:t xml:space="preserve">See </w:t>
      </w:r>
      <w:r w:rsidRPr="004A07A8">
        <w:rPr>
          <w:i/>
        </w:rPr>
        <w:t>Schools and Libraries Universal Service Support Mechanism, A National Broadband Plan for our Future</w:t>
      </w:r>
      <w:r w:rsidRPr="004A07A8">
        <w:t>, CC Docket No. 02-6, GN Docket No. 09-51, O</w:t>
      </w:r>
      <w:r>
        <w:t>rder, 25 FCC Rcd 18762, 18766-67</w:t>
      </w:r>
      <w:r w:rsidRPr="004A07A8">
        <w:t xml:space="preserve">, para. </w:t>
      </w:r>
      <w:r>
        <w:t xml:space="preserve">9 </w:t>
      </w:r>
      <w:r w:rsidRPr="004A07A8">
        <w:t>(2010) (</w:t>
      </w:r>
      <w:r w:rsidRPr="004A07A8">
        <w:rPr>
          <w:i/>
        </w:rPr>
        <w:t>Schools and Libraries Sixth Report and Order</w:t>
      </w:r>
      <w:r w:rsidRPr="004A07A8">
        <w:t>)</w:t>
      </w:r>
      <w:r>
        <w:t xml:space="preserve"> (providing directions to applicants regarding selecting the appropriate category of service for dark fiber on the FCC Form 471).  If they select a telecommunications carrier to provide MPLS</w:t>
      </w:r>
      <w:r w:rsidR="00B65548">
        <w:t>, they should</w:t>
      </w:r>
      <w:r>
        <w:t xml:space="preserve"> select the telecommunications service category on the FCC Form 471.  </w:t>
      </w:r>
      <w:r>
        <w:rPr>
          <w:i/>
        </w:rPr>
        <w:t xml:space="preserve">Id. </w:t>
      </w:r>
      <w:r>
        <w:t xml:space="preserve">n.14.  In all other cases, the applicant should select the Internet access category on the form.  </w:t>
      </w:r>
      <w:r>
        <w:rPr>
          <w:i/>
        </w:rPr>
        <w:t>Id.</w:t>
      </w:r>
    </w:p>
  </w:footnote>
  <w:footnote w:id="25">
    <w:p w14:paraId="3DBFF2FD" w14:textId="0AF610A5" w:rsidR="00B65548" w:rsidRDefault="00B65548" w:rsidP="00B65548">
      <w:pPr>
        <w:pStyle w:val="FootnoteText"/>
      </w:pPr>
      <w:r>
        <w:rPr>
          <w:rStyle w:val="FootnoteReference"/>
        </w:rPr>
        <w:footnoteRef/>
      </w:r>
      <w:r>
        <w:t xml:space="preserve"> </w:t>
      </w:r>
      <w:r>
        <w:rPr>
          <w:i/>
        </w:rPr>
        <w:t xml:space="preserve">E-rate Modernization Order, </w:t>
      </w:r>
      <w:r>
        <w:t>29 FCC Rcd</w:t>
      </w:r>
      <w:r>
        <w:rPr>
          <w:i/>
        </w:rPr>
        <w:t xml:space="preserve"> </w:t>
      </w:r>
      <w:r>
        <w:t xml:space="preserve">at 8881, para. 26.  In the </w:t>
      </w:r>
      <w:r>
        <w:rPr>
          <w:i/>
        </w:rPr>
        <w:t xml:space="preserve">E-rate Modernization Order </w:t>
      </w:r>
      <w:r>
        <w:t xml:space="preserve">the Commission began to transition </w:t>
      </w:r>
      <w:r w:rsidRPr="006B5B29">
        <w:t xml:space="preserve">E-rate support to focus specifically on those telecommunications and information </w:t>
      </w:r>
      <w:r>
        <w:t xml:space="preserve">services </w:t>
      </w:r>
      <w:r w:rsidRPr="006B5B29">
        <w:t xml:space="preserve">necessary to support broadband to and within schools and libraries. </w:t>
      </w:r>
      <w:r>
        <w:t xml:space="preserve"> </w:t>
      </w:r>
      <w:r>
        <w:rPr>
          <w:i/>
        </w:rPr>
        <w:t xml:space="preserve">E-rate Modernization Order, </w:t>
      </w:r>
      <w:r>
        <w:t>29 FCC Rcd</w:t>
      </w:r>
      <w:r>
        <w:rPr>
          <w:i/>
        </w:rPr>
        <w:t xml:space="preserve"> </w:t>
      </w:r>
      <w:r>
        <w:t xml:space="preserve">at 8896, para. 70 (stating that the </w:t>
      </w:r>
      <w:r w:rsidRPr="006B5B29">
        <w:t xml:space="preserve">Commission has long supported these types of services, and </w:t>
      </w:r>
      <w:r>
        <w:t>that s</w:t>
      </w:r>
      <w:r w:rsidRPr="006B5B29">
        <w:t>ection 254(c)(1) and (c)(3) each provide ample authority for the support of broadband telecommunications services, and sections 254(c)(3), (h)(1)(B), and (h)(2) provide authority to support advanced telecommunications and information services</w:t>
      </w:r>
      <w:r>
        <w:t xml:space="preserve">).  </w:t>
      </w:r>
    </w:p>
  </w:footnote>
  <w:footnote w:id="26">
    <w:p w14:paraId="00D0D200" w14:textId="5AE74BA6" w:rsidR="006E3382" w:rsidRPr="00540CF7" w:rsidRDefault="006E3382">
      <w:pPr>
        <w:pStyle w:val="FootnoteText"/>
        <w:rPr>
          <w:b/>
        </w:rPr>
      </w:pPr>
      <w:r>
        <w:rPr>
          <w:rStyle w:val="FootnoteReference"/>
        </w:rPr>
        <w:footnoteRef/>
      </w:r>
      <w:r>
        <w:t xml:space="preserve"> In some funding years, the ESL indicated that “distance learning circuits” were eligible if provided as a telecommunications service.  </w:t>
      </w:r>
      <w:r>
        <w:rPr>
          <w:i/>
        </w:rPr>
        <w:t>See, e.g.</w:t>
      </w:r>
      <w:r>
        <w:t>,</w:t>
      </w:r>
      <w:r>
        <w:rPr>
          <w:i/>
        </w:rPr>
        <w:t xml:space="preserve"> Release of Funding Year 2005 </w:t>
      </w:r>
      <w:r w:rsidRPr="009739A1">
        <w:rPr>
          <w:i/>
        </w:rPr>
        <w:t>Eligible Services List for Schools and Libraries Universal Service Mechanism</w:t>
      </w:r>
      <w:r>
        <w:t>,</w:t>
      </w:r>
      <w:r>
        <w:rPr>
          <w:i/>
          <w:color w:val="000000"/>
        </w:rPr>
        <w:t xml:space="preserve"> </w:t>
      </w:r>
      <w:r>
        <w:rPr>
          <w:color w:val="000000"/>
        </w:rPr>
        <w:t>CC Docket No. 02-6, Public Notice,</w:t>
      </w:r>
      <w:r w:rsidRPr="00CD6C81">
        <w:t xml:space="preserve"> 19 FCC Rcd 20221</w:t>
      </w:r>
      <w:r>
        <w:rPr>
          <w:i/>
        </w:rPr>
        <w:t xml:space="preserve"> </w:t>
      </w:r>
      <w:r>
        <w:t>(2004).</w:t>
      </w:r>
    </w:p>
  </w:footnote>
  <w:footnote w:id="27">
    <w:p w14:paraId="6614F382" w14:textId="618A9164" w:rsidR="006E3382" w:rsidRDefault="006E3382">
      <w:pPr>
        <w:pStyle w:val="FootnoteText"/>
      </w:pPr>
      <w:r>
        <w:rPr>
          <w:rStyle w:val="FootnoteReference"/>
        </w:rPr>
        <w:footnoteRef/>
      </w:r>
      <w:r>
        <w:t xml:space="preserve"> </w:t>
      </w:r>
      <w:r>
        <w:rPr>
          <w:i/>
          <w:color w:val="000000"/>
        </w:rPr>
        <w:t xml:space="preserve">See </w:t>
      </w:r>
      <w:r w:rsidRPr="009739A1">
        <w:rPr>
          <w:i/>
        </w:rPr>
        <w:t>Release of Funding Year 2008 Eligible Services List for Schools and Libraries Universal Service Mechanism</w:t>
      </w:r>
      <w:r>
        <w:t>,</w:t>
      </w:r>
      <w:r>
        <w:rPr>
          <w:i/>
          <w:color w:val="000000"/>
        </w:rPr>
        <w:t xml:space="preserve"> </w:t>
      </w:r>
      <w:r>
        <w:rPr>
          <w:color w:val="000000"/>
        </w:rPr>
        <w:t xml:space="preserve">CC Docket No. 02-6, Public Notice, </w:t>
      </w:r>
      <w:r w:rsidRPr="00C74C23">
        <w:rPr>
          <w:rFonts w:cs="Helvetica"/>
          <w:iCs/>
          <w:szCs w:val="18"/>
        </w:rPr>
        <w:t>22 FCC Rcd 18751</w:t>
      </w:r>
      <w:r w:rsidRPr="00C74C23">
        <w:t xml:space="preserve"> </w:t>
      </w:r>
      <w:r>
        <w:t>(2007) (</w:t>
      </w:r>
      <w:r>
        <w:rPr>
          <w:i/>
        </w:rPr>
        <w:t>2008 ESL</w:t>
      </w:r>
      <w:r>
        <w:t>).</w:t>
      </w:r>
    </w:p>
  </w:footnote>
  <w:footnote w:id="28">
    <w:p w14:paraId="4CCEB431" w14:textId="535C457B" w:rsidR="006E3382" w:rsidRPr="00B0498B" w:rsidRDefault="006E3382">
      <w:pPr>
        <w:pStyle w:val="FootnoteText"/>
        <w:rPr>
          <w:b/>
        </w:rPr>
      </w:pPr>
      <w:r>
        <w:rPr>
          <w:rStyle w:val="FootnoteReference"/>
        </w:rPr>
        <w:footnoteRef/>
      </w:r>
      <w:r>
        <w:t xml:space="preserve"> </w:t>
      </w:r>
      <w:r>
        <w:rPr>
          <w:i/>
        </w:rPr>
        <w:t>See, e.g.</w:t>
      </w:r>
      <w:r w:rsidRPr="00C3494B">
        <w:t>,</w:t>
      </w:r>
      <w:r>
        <w:rPr>
          <w:i/>
        </w:rPr>
        <w:t xml:space="preserve"> </w:t>
      </w:r>
      <w:r w:rsidRPr="007B4F09">
        <w:t>SECA Comments at 2</w:t>
      </w:r>
      <w:r>
        <w:t xml:space="preserve">; </w:t>
      </w:r>
      <w:r w:rsidRPr="007B4F09">
        <w:t xml:space="preserve">North Carolina </w:t>
      </w:r>
      <w:r w:rsidR="00B65548">
        <w:t xml:space="preserve">Department of Education </w:t>
      </w:r>
      <w:r w:rsidRPr="007B4F09">
        <w:t>Comments at 2</w:t>
      </w:r>
      <w:r>
        <w:t>; General Communication, Inc. Reply Comments at 1-4.</w:t>
      </w:r>
    </w:p>
  </w:footnote>
  <w:footnote w:id="29">
    <w:p w14:paraId="30E3ABAC" w14:textId="7A6BA7FD" w:rsidR="006E3382" w:rsidRDefault="006E3382">
      <w:pPr>
        <w:pStyle w:val="FootnoteText"/>
      </w:pPr>
      <w:r>
        <w:rPr>
          <w:rStyle w:val="FootnoteReference"/>
        </w:rPr>
        <w:footnoteRef/>
      </w:r>
      <w:r>
        <w:t xml:space="preserve"> </w:t>
      </w:r>
      <w:r>
        <w:rPr>
          <w:i/>
        </w:rPr>
        <w:t>See, e.g.</w:t>
      </w:r>
      <w:r w:rsidRPr="00C3494B">
        <w:t>,</w:t>
      </w:r>
      <w:r>
        <w:rPr>
          <w:i/>
        </w:rPr>
        <w:t xml:space="preserve"> 2008 ESL.</w:t>
      </w:r>
    </w:p>
  </w:footnote>
  <w:footnote w:id="30">
    <w:p w14:paraId="3C7C9CAD" w14:textId="2EBC1EE8" w:rsidR="006E3382" w:rsidRDefault="006E3382" w:rsidP="00CF3E14">
      <w:pPr>
        <w:pStyle w:val="FootnoteText"/>
      </w:pPr>
      <w:r>
        <w:rPr>
          <w:rStyle w:val="FootnoteReference"/>
        </w:rPr>
        <w:footnoteRef/>
      </w:r>
      <w:r>
        <w:t xml:space="preserve"> </w:t>
      </w:r>
      <w:r>
        <w:rPr>
          <w:i/>
        </w:rPr>
        <w:t>E-rate Modernization Order</w:t>
      </w:r>
      <w:r w:rsidRPr="00C3494B">
        <w:t>,</w:t>
      </w:r>
      <w:r>
        <w:rPr>
          <w:i/>
        </w:rPr>
        <w:t xml:space="preserve"> </w:t>
      </w:r>
      <w:r>
        <w:t xml:space="preserve">29 FCC Rcd </w:t>
      </w:r>
      <w:r w:rsidRPr="00CB4FFE">
        <w:t>at</w:t>
      </w:r>
      <w:r>
        <w:t xml:space="preserve"> 8917, paras</w:t>
      </w:r>
      <w:r w:rsidRPr="00CB4FFE">
        <w:t xml:space="preserve">. </w:t>
      </w:r>
      <w:r>
        <w:t>119-120.</w:t>
      </w:r>
    </w:p>
  </w:footnote>
  <w:footnote w:id="31">
    <w:p w14:paraId="49633024" w14:textId="20D3069E" w:rsidR="006E3382" w:rsidRPr="00CF3E14" w:rsidRDefault="006E3382">
      <w:pPr>
        <w:pStyle w:val="FootnoteText"/>
      </w:pPr>
      <w:r>
        <w:rPr>
          <w:rStyle w:val="FootnoteReference"/>
        </w:rPr>
        <w:footnoteRef/>
      </w:r>
      <w:r>
        <w:t xml:space="preserve"> Because the </w:t>
      </w:r>
      <w:r>
        <w:rPr>
          <w:i/>
        </w:rPr>
        <w:t xml:space="preserve">E-rate Modernization Order </w:t>
      </w:r>
      <w:r>
        <w:t xml:space="preserve">instructs that the eligible core components of broadband internal connections are the ones that help deploy LANs and WLANs, the ESL will indicate that access points used in a LAN or WLAN environment are eligible.  </w:t>
      </w:r>
      <w:r>
        <w:rPr>
          <w:i/>
        </w:rPr>
        <w:t>E-rate Modernization Order</w:t>
      </w:r>
      <w:r w:rsidRPr="00C3494B">
        <w:t>,</w:t>
      </w:r>
      <w:r>
        <w:rPr>
          <w:i/>
        </w:rPr>
        <w:t xml:space="preserve"> </w:t>
      </w:r>
      <w:r>
        <w:t xml:space="preserve">29 FCC Rcd </w:t>
      </w:r>
      <w:r w:rsidRPr="00CB4FFE">
        <w:t>at</w:t>
      </w:r>
      <w:r>
        <w:t xml:space="preserve"> 8917, para</w:t>
      </w:r>
      <w:r w:rsidRPr="00CB4FFE">
        <w:t xml:space="preserve">. </w:t>
      </w:r>
      <w:r>
        <w:t>119.</w:t>
      </w:r>
    </w:p>
  </w:footnote>
  <w:footnote w:id="32">
    <w:p w14:paraId="047A8A80" w14:textId="15E26C1C" w:rsidR="006E3382" w:rsidRPr="00CF3E14" w:rsidRDefault="006E3382">
      <w:pPr>
        <w:pStyle w:val="FootnoteText"/>
      </w:pPr>
      <w:r>
        <w:rPr>
          <w:rStyle w:val="FootnoteReference"/>
        </w:rPr>
        <w:footnoteRef/>
      </w:r>
      <w:r>
        <w:t xml:space="preserve"> Although the </w:t>
      </w:r>
      <w:r>
        <w:rPr>
          <w:i/>
        </w:rPr>
        <w:t xml:space="preserve">E-rate Modernization Order </w:t>
      </w:r>
      <w:r>
        <w:t xml:space="preserve">indicated eligibility for “firewall services”, we list “firewall services and equipment” on the ESL because there may be practical reasons for applicants to seek firewall components only.  </w:t>
      </w:r>
      <w:r>
        <w:rPr>
          <w:i/>
        </w:rPr>
        <w:t>E-rate Modernization Order</w:t>
      </w:r>
      <w:r w:rsidRPr="00C3494B">
        <w:t>,</w:t>
      </w:r>
      <w:r>
        <w:rPr>
          <w:i/>
        </w:rPr>
        <w:t xml:space="preserve"> </w:t>
      </w:r>
      <w:r>
        <w:t xml:space="preserve">29 FCC Rcd </w:t>
      </w:r>
      <w:r w:rsidRPr="00CB4FFE">
        <w:t>at</w:t>
      </w:r>
      <w:r>
        <w:t xml:space="preserve"> 8917, para</w:t>
      </w:r>
      <w:r w:rsidRPr="00CB4FFE">
        <w:t xml:space="preserve">. </w:t>
      </w:r>
      <w:r>
        <w:t>119.  There is no implication in the Commission’s decision that the use of the term “firewall services” was meant to preclude such flexibility.</w:t>
      </w:r>
    </w:p>
  </w:footnote>
  <w:footnote w:id="33">
    <w:p w14:paraId="577D6940" w14:textId="0124B786" w:rsidR="006E3382" w:rsidRDefault="006E3382">
      <w:pPr>
        <w:pStyle w:val="FootnoteText"/>
      </w:pPr>
      <w:r>
        <w:rPr>
          <w:rStyle w:val="FootnoteReference"/>
        </w:rPr>
        <w:footnoteRef/>
      </w:r>
      <w:r>
        <w:t xml:space="preserve"> </w:t>
      </w:r>
      <w:r>
        <w:rPr>
          <w:i/>
        </w:rPr>
        <w:t>E-rate Modernization Order</w:t>
      </w:r>
      <w:r w:rsidRPr="00C3494B">
        <w:t>,</w:t>
      </w:r>
      <w:r>
        <w:rPr>
          <w:i/>
        </w:rPr>
        <w:t xml:space="preserve"> </w:t>
      </w:r>
      <w:r>
        <w:t xml:space="preserve">29 FCC Rcd </w:t>
      </w:r>
      <w:r w:rsidRPr="00CB4FFE">
        <w:t>at</w:t>
      </w:r>
      <w:r>
        <w:t xml:space="preserve"> 8917, para</w:t>
      </w:r>
      <w:r w:rsidRPr="00CB4FFE">
        <w:t xml:space="preserve">. </w:t>
      </w:r>
      <w:r>
        <w:t>120.</w:t>
      </w:r>
    </w:p>
  </w:footnote>
  <w:footnote w:id="34">
    <w:p w14:paraId="140ABBC3" w14:textId="78A140D4" w:rsidR="006E3382" w:rsidRDefault="006E3382">
      <w:pPr>
        <w:pStyle w:val="FootnoteText"/>
      </w:pPr>
      <w:r>
        <w:rPr>
          <w:rStyle w:val="FootnoteReference"/>
        </w:rPr>
        <w:footnoteRef/>
      </w:r>
      <w:r>
        <w:t xml:space="preserve"> </w:t>
      </w:r>
      <w:r>
        <w:rPr>
          <w:i/>
        </w:rPr>
        <w:t xml:space="preserve">Id.  </w:t>
      </w:r>
      <w:r>
        <w:rPr>
          <w:szCs w:val="22"/>
        </w:rPr>
        <w:t>Voice over IP and video IP components had been listed in the entry for Data Distribution.</w:t>
      </w:r>
    </w:p>
  </w:footnote>
  <w:footnote w:id="35">
    <w:p w14:paraId="4E366659" w14:textId="23580823" w:rsidR="006E3382" w:rsidRDefault="006E3382">
      <w:pPr>
        <w:pStyle w:val="FootnoteText"/>
      </w:pPr>
      <w:r>
        <w:rPr>
          <w:rStyle w:val="FootnoteReference"/>
        </w:rPr>
        <w:footnoteRef/>
      </w:r>
      <w:r>
        <w:t xml:space="preserve"> </w:t>
      </w:r>
      <w:r>
        <w:rPr>
          <w:i/>
        </w:rPr>
        <w:t>E-rate Modernization Order</w:t>
      </w:r>
      <w:r w:rsidRPr="00C3494B">
        <w:t>,</w:t>
      </w:r>
      <w:r>
        <w:rPr>
          <w:i/>
        </w:rPr>
        <w:t xml:space="preserve"> </w:t>
      </w:r>
      <w:r>
        <w:t xml:space="preserve">29 FCC Rcd </w:t>
      </w:r>
      <w:r w:rsidRPr="00CB4FFE">
        <w:t>at</w:t>
      </w:r>
      <w:r>
        <w:t xml:space="preserve"> 8917, para</w:t>
      </w:r>
      <w:r w:rsidRPr="00CB4FFE">
        <w:t xml:space="preserve">. </w:t>
      </w:r>
      <w:r>
        <w:t>120.</w:t>
      </w:r>
    </w:p>
  </w:footnote>
  <w:footnote w:id="36">
    <w:p w14:paraId="32C5B373" w14:textId="42286F5A" w:rsidR="006E3382" w:rsidRPr="00566562" w:rsidRDefault="006E3382">
      <w:pPr>
        <w:pStyle w:val="FootnoteText"/>
        <w:rPr>
          <w:i/>
        </w:rPr>
      </w:pPr>
      <w:r>
        <w:rPr>
          <w:rStyle w:val="FootnoteReference"/>
        </w:rPr>
        <w:footnoteRef/>
      </w:r>
      <w:r>
        <w:t xml:space="preserve"> </w:t>
      </w:r>
      <w:r>
        <w:rPr>
          <w:i/>
        </w:rPr>
        <w:t xml:space="preserve">Infra </w:t>
      </w:r>
      <w:r w:rsidRPr="00566562">
        <w:t>para. 17.</w:t>
      </w:r>
    </w:p>
  </w:footnote>
  <w:footnote w:id="37">
    <w:p w14:paraId="08B384BC" w14:textId="5E772057" w:rsidR="006E3382" w:rsidRPr="00061414" w:rsidRDefault="006E3382" w:rsidP="00355C78">
      <w:pPr>
        <w:pStyle w:val="FootnoteText"/>
        <w:rPr>
          <w:u w:val="single"/>
        </w:rPr>
      </w:pPr>
      <w:r>
        <w:rPr>
          <w:rStyle w:val="FootnoteReference"/>
        </w:rPr>
        <w:footnoteRef/>
      </w:r>
      <w:r>
        <w:t xml:space="preserve"> </w:t>
      </w:r>
      <w:r>
        <w:rPr>
          <w:i/>
        </w:rPr>
        <w:t>E-rate Modernization Order</w:t>
      </w:r>
      <w:r w:rsidRPr="00566562">
        <w:t>,</w:t>
      </w:r>
      <w:r>
        <w:rPr>
          <w:i/>
        </w:rPr>
        <w:t xml:space="preserve"> </w:t>
      </w:r>
      <w:r>
        <w:t>29 FCC Rcd</w:t>
      </w:r>
      <w:r w:rsidRPr="00D85A79">
        <w:t xml:space="preserve"> at 8917, n.271.</w:t>
      </w:r>
    </w:p>
  </w:footnote>
  <w:footnote w:id="38">
    <w:p w14:paraId="1E8DCC13" w14:textId="0CDC6EF5" w:rsidR="006E3382" w:rsidRDefault="006E3382">
      <w:pPr>
        <w:pStyle w:val="FootnoteText"/>
      </w:pPr>
      <w:r>
        <w:rPr>
          <w:rStyle w:val="FootnoteReference"/>
        </w:rPr>
        <w:footnoteRef/>
      </w:r>
      <w:r>
        <w:t xml:space="preserve"> </w:t>
      </w:r>
      <w:r>
        <w:rPr>
          <w:i/>
        </w:rPr>
        <w:t xml:space="preserve">Id. </w:t>
      </w:r>
      <w:r>
        <w:t>at 8917, paras. 119-120.</w:t>
      </w:r>
      <w:r w:rsidRPr="00274586">
        <w:rPr>
          <w:sz w:val="22"/>
          <w:szCs w:val="22"/>
        </w:rPr>
        <w:t xml:space="preserve"> </w:t>
      </w:r>
    </w:p>
  </w:footnote>
  <w:footnote w:id="39">
    <w:p w14:paraId="40DAC454" w14:textId="2A5A1B48" w:rsidR="006E3382" w:rsidRPr="00B84001" w:rsidRDefault="006E3382">
      <w:pPr>
        <w:pStyle w:val="FootnoteText"/>
      </w:pPr>
      <w:r>
        <w:rPr>
          <w:rStyle w:val="FootnoteReference"/>
        </w:rPr>
        <w:footnoteRef/>
      </w:r>
      <w:r>
        <w:t xml:space="preserve"> </w:t>
      </w:r>
      <w:r>
        <w:rPr>
          <w:i/>
        </w:rPr>
        <w:t xml:space="preserve">Id. </w:t>
      </w:r>
      <w:r>
        <w:t>at 8918-20, paras. 122-129.</w:t>
      </w:r>
    </w:p>
  </w:footnote>
  <w:footnote w:id="40">
    <w:p w14:paraId="23AA92AC" w14:textId="3E62CCCA" w:rsidR="006E3382" w:rsidRDefault="006E3382">
      <w:pPr>
        <w:pStyle w:val="FootnoteText"/>
      </w:pPr>
      <w:r>
        <w:rPr>
          <w:rStyle w:val="FootnoteReference"/>
        </w:rPr>
        <w:footnoteRef/>
      </w:r>
      <w:r>
        <w:t xml:space="preserve"> </w:t>
      </w:r>
      <w:r w:rsidR="009721A4" w:rsidRPr="009721A4">
        <w:rPr>
          <w:i/>
        </w:rPr>
        <w:t>Id</w:t>
      </w:r>
      <w:r w:rsidR="009721A4">
        <w:t xml:space="preserve">. </w:t>
      </w:r>
      <w:r w:rsidRPr="00CB4FFE">
        <w:t>at</w:t>
      </w:r>
      <w:r>
        <w:t xml:space="preserve"> 8920-21, paras</w:t>
      </w:r>
      <w:r w:rsidRPr="00CB4FFE">
        <w:t xml:space="preserve">. </w:t>
      </w:r>
      <w:r>
        <w:t>130-131.</w:t>
      </w:r>
      <w:r w:rsidDel="00A31A5D">
        <w:t xml:space="preserve"> </w:t>
      </w:r>
    </w:p>
  </w:footnote>
  <w:footnote w:id="41">
    <w:p w14:paraId="61C9A740" w14:textId="0A903F2B" w:rsidR="006E3382" w:rsidRDefault="006E3382">
      <w:pPr>
        <w:pStyle w:val="FootnoteText"/>
      </w:pPr>
      <w:r>
        <w:rPr>
          <w:rStyle w:val="FootnoteReference"/>
        </w:rPr>
        <w:footnoteRef/>
      </w:r>
      <w:r>
        <w:t xml:space="preserve"> </w:t>
      </w:r>
      <w:r>
        <w:rPr>
          <w:i/>
        </w:rPr>
        <w:t xml:space="preserve">See </w:t>
      </w:r>
      <w:r>
        <w:rPr>
          <w:i/>
          <w:color w:val="000000"/>
        </w:rPr>
        <w:t xml:space="preserve">2014 ESL and </w:t>
      </w:r>
      <w:r w:rsidRPr="0015429A">
        <w:rPr>
          <w:i/>
          <w:color w:val="000000"/>
        </w:rPr>
        <w:t>Order</w:t>
      </w:r>
      <w:r>
        <w:rPr>
          <w:color w:val="000000"/>
        </w:rPr>
        <w:t>, 28 FCC Rcd at 14563 (providing a definition of “caching” and “caching service”)</w:t>
      </w:r>
      <w:r>
        <w:t>.</w:t>
      </w:r>
    </w:p>
  </w:footnote>
  <w:footnote w:id="42">
    <w:p w14:paraId="2641CA62" w14:textId="140B78AE" w:rsidR="006E3382" w:rsidRPr="0015429A" w:rsidRDefault="006E3382">
      <w:pPr>
        <w:pStyle w:val="FootnoteText"/>
      </w:pPr>
      <w:r>
        <w:rPr>
          <w:rStyle w:val="FootnoteReference"/>
        </w:rPr>
        <w:footnoteRef/>
      </w:r>
      <w:r>
        <w:t xml:space="preserve"> </w:t>
      </w:r>
      <w:r>
        <w:rPr>
          <w:i/>
        </w:rPr>
        <w:t>Id.</w:t>
      </w:r>
    </w:p>
  </w:footnote>
  <w:footnote w:id="43">
    <w:p w14:paraId="7FC167F1" w14:textId="2346CA89" w:rsidR="006E3382" w:rsidRPr="001A3EFF" w:rsidRDefault="006E3382">
      <w:pPr>
        <w:pStyle w:val="FootnoteText"/>
      </w:pPr>
      <w:r>
        <w:rPr>
          <w:rStyle w:val="FootnoteReference"/>
        </w:rPr>
        <w:footnoteRef/>
      </w:r>
      <w:r>
        <w:t xml:space="preserve"> Previous ESLs defined a “caching service” as a special high-speed storage mechanism at the border of a network and the Internet that holds frequently accessed Internet information, thereby reducing retrieval times for information often requested from the Internet.  </w:t>
      </w:r>
      <w:r w:rsidRPr="001A3EFF">
        <w:rPr>
          <w:i/>
        </w:rPr>
        <w:t>See, e.g.</w:t>
      </w:r>
      <w:r>
        <w:t xml:space="preserve">, </w:t>
      </w:r>
      <w:r w:rsidRPr="00420BFC">
        <w:rPr>
          <w:bCs/>
          <w:i/>
        </w:rPr>
        <w:t>Schools and Libraries Universal Service Support Mechanism/A National Broadband Plan for Our Future,</w:t>
      </w:r>
      <w:r>
        <w:rPr>
          <w:bCs/>
          <w:i/>
          <w:color w:val="333333"/>
        </w:rPr>
        <w:t xml:space="preserve"> </w:t>
      </w:r>
      <w:r w:rsidRPr="00D308FC">
        <w:rPr>
          <w:color w:val="000000"/>
        </w:rPr>
        <w:t>CC Docket No. 02-6, GN Docket No. 09-51</w:t>
      </w:r>
      <w:r>
        <w:rPr>
          <w:color w:val="000000"/>
        </w:rPr>
        <w:t>, Report and Order, 27 FCC Rcd 11348, 11386 (Wireline Comp. Bur. 2012</w:t>
      </w:r>
      <w:r w:rsidRPr="00D308FC">
        <w:rPr>
          <w:color w:val="000000"/>
        </w:rPr>
        <w:t>)</w:t>
      </w:r>
      <w:r>
        <w:rPr>
          <w:color w:val="000000"/>
        </w:rPr>
        <w:t xml:space="preserve">; </w:t>
      </w:r>
      <w:r>
        <w:rPr>
          <w:i/>
          <w:color w:val="000000"/>
        </w:rPr>
        <w:t xml:space="preserve">2014 ESL and </w:t>
      </w:r>
      <w:r w:rsidRPr="0015429A">
        <w:rPr>
          <w:i/>
          <w:color w:val="000000"/>
        </w:rPr>
        <w:t>Order</w:t>
      </w:r>
      <w:r>
        <w:rPr>
          <w:color w:val="000000"/>
        </w:rPr>
        <w:t>, 28 FCC Rcd at 14563</w:t>
      </w:r>
      <w:r>
        <w:t>.</w:t>
      </w:r>
    </w:p>
  </w:footnote>
  <w:footnote w:id="44">
    <w:p w14:paraId="6DE634C4" w14:textId="6F572411" w:rsidR="006E3382" w:rsidRDefault="006E3382">
      <w:pPr>
        <w:pStyle w:val="FootnoteText"/>
      </w:pPr>
      <w:r>
        <w:rPr>
          <w:rStyle w:val="FootnoteReference"/>
        </w:rPr>
        <w:footnoteRef/>
      </w:r>
      <w:r>
        <w:t xml:space="preserve"> </w:t>
      </w:r>
      <w:r>
        <w:rPr>
          <w:i/>
        </w:rPr>
        <w:t>E-rate Modernization Order</w:t>
      </w:r>
      <w:r w:rsidRPr="001A3EFF">
        <w:t>,</w:t>
      </w:r>
      <w:r>
        <w:rPr>
          <w:i/>
        </w:rPr>
        <w:t xml:space="preserve"> </w:t>
      </w:r>
      <w:r>
        <w:t xml:space="preserve">29 FCC Rcd </w:t>
      </w:r>
      <w:r w:rsidRPr="00CB4FFE">
        <w:t>at</w:t>
      </w:r>
      <w:r>
        <w:t xml:space="preserve"> 8920-21, para</w:t>
      </w:r>
      <w:r w:rsidRPr="00CB4FFE">
        <w:t xml:space="preserve">. </w:t>
      </w:r>
      <w:r>
        <w:t>130.</w:t>
      </w:r>
    </w:p>
  </w:footnote>
  <w:footnote w:id="45">
    <w:p w14:paraId="70BCBF36" w14:textId="5994517D" w:rsidR="006E3382" w:rsidRPr="002B57AE" w:rsidRDefault="006E3382" w:rsidP="00DD3843">
      <w:pPr>
        <w:pStyle w:val="FootnoteText"/>
      </w:pPr>
      <w:r>
        <w:rPr>
          <w:rStyle w:val="FootnoteReference"/>
        </w:rPr>
        <w:footnoteRef/>
      </w:r>
      <w:r>
        <w:t xml:space="preserve"> </w:t>
      </w:r>
      <w:r>
        <w:rPr>
          <w:i/>
        </w:rPr>
        <w:t>See e.g.</w:t>
      </w:r>
      <w:r>
        <w:t xml:space="preserve">, </w:t>
      </w:r>
      <w:r w:rsidR="008523A0">
        <w:t>E-mpa</w:t>
      </w:r>
      <w:r w:rsidRPr="007B4F09">
        <w:t xml:space="preserve"> Comments at 8-9</w:t>
      </w:r>
      <w:r>
        <w:t xml:space="preserve">; </w:t>
      </w:r>
      <w:r w:rsidRPr="007B4F09">
        <w:t>SAFAR</w:t>
      </w:r>
      <w:r>
        <w:t xml:space="preserve">I Comments at 5; </w:t>
      </w:r>
      <w:r w:rsidRPr="007B4F09">
        <w:t xml:space="preserve">E-rate </w:t>
      </w:r>
      <w:r>
        <w:t xml:space="preserve">Provider Services Comments at 3.  </w:t>
      </w:r>
      <w:r>
        <w:rPr>
          <w:i/>
        </w:rPr>
        <w:t xml:space="preserve">See also </w:t>
      </w:r>
      <w:r w:rsidR="00B65548">
        <w:t>New York City Department of Education</w:t>
      </w:r>
      <w:r w:rsidRPr="007B4F09">
        <w:t xml:space="preserve"> Comments at 2</w:t>
      </w:r>
      <w:r>
        <w:t>; EducationSuperHighway Comments at 2</w:t>
      </w:r>
      <w:r w:rsidRPr="007B4F09">
        <w:t>.</w:t>
      </w:r>
      <w:r>
        <w:t xml:space="preserve">  </w:t>
      </w:r>
    </w:p>
  </w:footnote>
  <w:footnote w:id="46">
    <w:p w14:paraId="09909987" w14:textId="77777777" w:rsidR="006E3382" w:rsidRDefault="006E3382">
      <w:pPr>
        <w:pStyle w:val="FootnoteText"/>
      </w:pPr>
      <w:r>
        <w:rPr>
          <w:rStyle w:val="FootnoteReference"/>
        </w:rPr>
        <w:footnoteRef/>
      </w:r>
      <w:r>
        <w:rPr>
          <w:i/>
        </w:rPr>
        <w:t xml:space="preserve"> E-rate Modernization Order</w:t>
      </w:r>
      <w:r w:rsidRPr="00C3494B">
        <w:t>,</w:t>
      </w:r>
      <w:r>
        <w:rPr>
          <w:i/>
        </w:rPr>
        <w:t xml:space="preserve"> </w:t>
      </w:r>
      <w:r>
        <w:t xml:space="preserve">29 FCC Rcd </w:t>
      </w:r>
      <w:r w:rsidRPr="00CB4FFE">
        <w:t>at</w:t>
      </w:r>
      <w:r>
        <w:t xml:space="preserve"> 8921, para</w:t>
      </w:r>
      <w:r w:rsidRPr="00CB4FFE">
        <w:t xml:space="preserve">. </w:t>
      </w:r>
      <w:r>
        <w:t>130.</w:t>
      </w:r>
    </w:p>
  </w:footnote>
  <w:footnote w:id="47">
    <w:p w14:paraId="6ADC9900" w14:textId="6F97AA58" w:rsidR="006E3382" w:rsidRDefault="006E3382">
      <w:pPr>
        <w:pStyle w:val="FootnoteText"/>
      </w:pPr>
      <w:r>
        <w:rPr>
          <w:rStyle w:val="FootnoteReference"/>
        </w:rPr>
        <w:footnoteRef/>
      </w:r>
      <w:r>
        <w:t xml:space="preserve"> </w:t>
      </w:r>
      <w:r>
        <w:rPr>
          <w:i/>
        </w:rPr>
        <w:t xml:space="preserve">Id. </w:t>
      </w:r>
      <w:r w:rsidRPr="00CB4FFE">
        <w:t>at</w:t>
      </w:r>
      <w:r>
        <w:t xml:space="preserve"> 8898-99, para. 77, 8917-18, paras. 119-121.</w:t>
      </w:r>
    </w:p>
  </w:footnote>
  <w:footnote w:id="48">
    <w:p w14:paraId="1D536539" w14:textId="64419CB7" w:rsidR="006E3382" w:rsidRDefault="006E3382">
      <w:pPr>
        <w:pStyle w:val="FootnoteText"/>
      </w:pPr>
      <w:r>
        <w:rPr>
          <w:rStyle w:val="FootnoteReference"/>
        </w:rPr>
        <w:footnoteRef/>
      </w:r>
      <w:r>
        <w:rPr>
          <w:i/>
        </w:rPr>
        <w:t xml:space="preserve"> Id.</w:t>
      </w:r>
      <w:r>
        <w:t xml:space="preserve"> </w:t>
      </w:r>
      <w:r w:rsidRPr="00CB4FFE">
        <w:t>at</w:t>
      </w:r>
      <w:r>
        <w:t xml:space="preserve"> 8917-8918, para</w:t>
      </w:r>
      <w:r w:rsidRPr="00CB4FFE">
        <w:t xml:space="preserve">. </w:t>
      </w:r>
      <w:r>
        <w:t>120.</w:t>
      </w:r>
    </w:p>
  </w:footnote>
  <w:footnote w:id="49">
    <w:p w14:paraId="548A0699" w14:textId="66E7FBD9" w:rsidR="006E3382" w:rsidRPr="00660CD5" w:rsidRDefault="006E3382">
      <w:pPr>
        <w:pStyle w:val="FootnoteText"/>
      </w:pPr>
      <w:r>
        <w:rPr>
          <w:rStyle w:val="FootnoteReference"/>
        </w:rPr>
        <w:footnoteRef/>
      </w:r>
      <w:r>
        <w:t xml:space="preserve"> </w:t>
      </w:r>
      <w:r>
        <w:rPr>
          <w:i/>
        </w:rPr>
        <w:t xml:space="preserve">Id. </w:t>
      </w:r>
      <w:r>
        <w:t>at 8918 n.274.</w:t>
      </w:r>
    </w:p>
  </w:footnote>
  <w:footnote w:id="50">
    <w:p w14:paraId="20CB555E" w14:textId="2A06FD02" w:rsidR="006E3382" w:rsidRDefault="006E3382" w:rsidP="00660CD5">
      <w:pPr>
        <w:pStyle w:val="FootnoteText"/>
      </w:pPr>
      <w:r>
        <w:rPr>
          <w:rStyle w:val="FootnoteReference"/>
        </w:rPr>
        <w:footnoteRef/>
      </w:r>
      <w:r>
        <w:t xml:space="preserve"> </w:t>
      </w:r>
      <w:r>
        <w:rPr>
          <w:i/>
        </w:rPr>
        <w:t>See, e.g.</w:t>
      </w:r>
      <w:r w:rsidRPr="00C3494B">
        <w:t xml:space="preserve">, </w:t>
      </w:r>
      <w:r w:rsidR="008523A0">
        <w:t>E-mpa</w:t>
      </w:r>
      <w:r w:rsidRPr="007B4F09">
        <w:t xml:space="preserve"> Comments at 7-8</w:t>
      </w:r>
      <w:r>
        <w:t>; PSC Group Comments at 1.</w:t>
      </w:r>
    </w:p>
  </w:footnote>
  <w:footnote w:id="51">
    <w:p w14:paraId="0328CBC1" w14:textId="28A93B77" w:rsidR="006E3382" w:rsidRDefault="006E3382">
      <w:pPr>
        <w:pStyle w:val="FootnoteText"/>
      </w:pPr>
      <w:r>
        <w:rPr>
          <w:rStyle w:val="FootnoteReference"/>
        </w:rPr>
        <w:footnoteRef/>
      </w:r>
      <w:r>
        <w:t xml:space="preserve"> </w:t>
      </w:r>
      <w:r>
        <w:rPr>
          <w:i/>
        </w:rPr>
        <w:t>E-rate Modernization Order</w:t>
      </w:r>
      <w:r w:rsidRPr="00C3494B">
        <w:t>,</w:t>
      </w:r>
      <w:r>
        <w:rPr>
          <w:i/>
        </w:rPr>
        <w:t xml:space="preserve"> </w:t>
      </w:r>
      <w:r>
        <w:t xml:space="preserve">29 FCC Rcd </w:t>
      </w:r>
      <w:r w:rsidRPr="00CB4FFE">
        <w:t>at</w:t>
      </w:r>
      <w:r>
        <w:t xml:space="preserve"> 8917, para</w:t>
      </w:r>
      <w:r w:rsidRPr="00CB4FFE">
        <w:t xml:space="preserve">. </w:t>
      </w:r>
      <w:r>
        <w:t>119.</w:t>
      </w:r>
    </w:p>
  </w:footnote>
  <w:footnote w:id="52">
    <w:p w14:paraId="0B5E8EE9" w14:textId="3414F5A3" w:rsidR="006E3382" w:rsidRPr="005A01BA" w:rsidRDefault="006E3382">
      <w:pPr>
        <w:pStyle w:val="FootnoteText"/>
      </w:pPr>
      <w:r>
        <w:rPr>
          <w:rStyle w:val="FootnoteReference"/>
        </w:rPr>
        <w:footnoteRef/>
      </w:r>
      <w:r>
        <w:t xml:space="preserve"> </w:t>
      </w:r>
      <w:r>
        <w:rPr>
          <w:i/>
        </w:rPr>
        <w:t>See 2014 ESL and Order</w:t>
      </w:r>
      <w:r>
        <w:t xml:space="preserve">, </w:t>
      </w:r>
      <w:r>
        <w:rPr>
          <w:color w:val="000000"/>
        </w:rPr>
        <w:t>28 FCC Rcd at 14554</w:t>
      </w:r>
      <w:r>
        <w:t>.</w:t>
      </w:r>
    </w:p>
  </w:footnote>
  <w:footnote w:id="53">
    <w:p w14:paraId="1A0C915E" w14:textId="77777777" w:rsidR="00F83688" w:rsidRDefault="00F83688" w:rsidP="00F83688">
      <w:pPr>
        <w:pStyle w:val="FootnoteText"/>
      </w:pPr>
      <w:r>
        <w:rPr>
          <w:rStyle w:val="FootnoteReference"/>
        </w:rPr>
        <w:footnoteRef/>
      </w:r>
      <w:r>
        <w:t xml:space="preserve"> </w:t>
      </w:r>
      <w:r>
        <w:rPr>
          <w:i/>
        </w:rPr>
        <w:t>See, e.g.</w:t>
      </w:r>
      <w:r w:rsidRPr="00C3494B">
        <w:t>,</w:t>
      </w:r>
      <w:r>
        <w:rPr>
          <w:i/>
        </w:rPr>
        <w:t xml:space="preserve"> </w:t>
      </w:r>
      <w:r w:rsidRPr="00D341A4">
        <w:t>Comments of State E-rate Coordinators Alliance to Public Notice (DA 13-1513) Draft Eligible Services List for Schools and Libraries Universal Service Program</w:t>
      </w:r>
      <w:r>
        <w:t xml:space="preserve">, CC Docket No. 02-6, at </w:t>
      </w:r>
      <w:r w:rsidRPr="00756AE0">
        <w:t>5</w:t>
      </w:r>
      <w:r>
        <w:t xml:space="preserve"> (filed Aug. 2, 2013) (</w:t>
      </w:r>
      <w:r w:rsidRPr="00756AE0">
        <w:t>stating that schools</w:t>
      </w:r>
      <w:r w:rsidRPr="009C63C7">
        <w:t xml:space="preserve"> and libraries </w:t>
      </w:r>
      <w:r>
        <w:t xml:space="preserve">often </w:t>
      </w:r>
      <w:r w:rsidRPr="009C63C7">
        <w:t>purchase the equipment from the manufacturer or reseller o</w:t>
      </w:r>
      <w:r>
        <w:t xml:space="preserve">nline and have it drop-shipped, and then contract with </w:t>
      </w:r>
      <w:r w:rsidRPr="009C63C7">
        <w:t>a local firm to perform the installation</w:t>
      </w:r>
      <w:r>
        <w:t>).</w:t>
      </w:r>
    </w:p>
  </w:footnote>
  <w:footnote w:id="54">
    <w:p w14:paraId="71726CE2" w14:textId="77777777" w:rsidR="006E3382" w:rsidRDefault="006E3382" w:rsidP="00DD3843">
      <w:pPr>
        <w:pStyle w:val="FootnoteText"/>
      </w:pPr>
      <w:r>
        <w:rPr>
          <w:rStyle w:val="FootnoteReference"/>
        </w:rPr>
        <w:footnoteRef/>
      </w:r>
      <w:r>
        <w:t xml:space="preserve"> 47 C.F.R. § 54.511(a).</w:t>
      </w:r>
    </w:p>
  </w:footnote>
  <w:footnote w:id="55">
    <w:p w14:paraId="6CF4BD6A" w14:textId="569B1590" w:rsidR="00951CFB" w:rsidRPr="00951CFB" w:rsidRDefault="00951CFB">
      <w:pPr>
        <w:pStyle w:val="FootnoteText"/>
      </w:pPr>
      <w:r>
        <w:rPr>
          <w:rStyle w:val="FootnoteReference"/>
        </w:rPr>
        <w:footnoteRef/>
      </w:r>
      <w:r>
        <w:t xml:space="preserve"> </w:t>
      </w:r>
      <w:r>
        <w:rPr>
          <w:i/>
        </w:rPr>
        <w:t>See, e.g.</w:t>
      </w:r>
      <w:r>
        <w:t xml:space="preserve">, E-mpa Comments at 7; SECA Comments at 4; Funds for Learning Comments at </w:t>
      </w:r>
      <w:r w:rsidR="00F83688">
        <w:t>8; Florida Department of Management Services Comments at 4.</w:t>
      </w:r>
    </w:p>
  </w:footnote>
  <w:footnote w:id="56">
    <w:p w14:paraId="7DB45404" w14:textId="77777777" w:rsidR="006E3382" w:rsidRDefault="006E3382">
      <w:pPr>
        <w:pStyle w:val="FootnoteText"/>
      </w:pPr>
      <w:r>
        <w:rPr>
          <w:rStyle w:val="FootnoteReference"/>
        </w:rPr>
        <w:footnoteRef/>
      </w:r>
      <w:r>
        <w:t xml:space="preserve"> Brocade Comments at 5; ENA Comments at 2. </w:t>
      </w:r>
    </w:p>
  </w:footnote>
  <w:footnote w:id="57">
    <w:p w14:paraId="0A08115F" w14:textId="5A07CACC" w:rsidR="006E3382" w:rsidRPr="00C3494B" w:rsidRDefault="006E3382">
      <w:pPr>
        <w:pStyle w:val="FootnoteText"/>
      </w:pPr>
      <w:r>
        <w:rPr>
          <w:rStyle w:val="FootnoteReference"/>
        </w:rPr>
        <w:footnoteRef/>
      </w:r>
      <w:r>
        <w:t xml:space="preserve"> In the </w:t>
      </w:r>
      <w:r>
        <w:rPr>
          <w:i/>
        </w:rPr>
        <w:t xml:space="preserve">Schools and Libraries Sixth Report and Order, </w:t>
      </w:r>
      <w:r>
        <w:t>t</w:t>
      </w:r>
      <w:r>
        <w:rPr>
          <w:color w:val="000000"/>
        </w:rPr>
        <w:t>he Commission addressed a perceived misu</w:t>
      </w:r>
      <w:r w:rsidRPr="00944859">
        <w:rPr>
          <w:color w:val="000000"/>
        </w:rPr>
        <w:t>nderstand</w:t>
      </w:r>
      <w:r>
        <w:rPr>
          <w:color w:val="000000"/>
        </w:rPr>
        <w:t>ing</w:t>
      </w:r>
      <w:r w:rsidRPr="00944859">
        <w:rPr>
          <w:color w:val="000000"/>
        </w:rPr>
        <w:t xml:space="preserve"> about the eligibility </w:t>
      </w:r>
      <w:r w:rsidRPr="004A07A8">
        <w:rPr>
          <w:color w:val="000000"/>
        </w:rPr>
        <w:t>of</w:t>
      </w:r>
      <w:r>
        <w:rPr>
          <w:color w:val="000000"/>
        </w:rPr>
        <w:t xml:space="preserve"> manufacturers’ warranties.</w:t>
      </w:r>
      <w:bookmarkStart w:id="42" w:name="SR;18535"/>
      <w:bookmarkStart w:id="43" w:name="SR;18536"/>
      <w:bookmarkStart w:id="44" w:name="FN[FN321]"/>
      <w:bookmarkStart w:id="45" w:name="SearchTerm"/>
      <w:bookmarkEnd w:id="42"/>
      <w:bookmarkEnd w:id="43"/>
      <w:bookmarkEnd w:id="44"/>
      <w:r>
        <w:rPr>
          <w:color w:val="000000"/>
        </w:rPr>
        <w:t xml:space="preserve"> </w:t>
      </w:r>
      <w:r w:rsidRPr="004A07A8">
        <w:rPr>
          <w:color w:val="000000"/>
        </w:rPr>
        <w:t xml:space="preserve"> </w:t>
      </w:r>
      <w:r w:rsidR="00D5789C">
        <w:rPr>
          <w:i/>
        </w:rPr>
        <w:t xml:space="preserve">Schools and Libraries Sixth Report and </w:t>
      </w:r>
      <w:r w:rsidR="00D5789C" w:rsidRPr="00D5789C">
        <w:rPr>
          <w:i/>
        </w:rPr>
        <w:t>Order</w:t>
      </w:r>
      <w:r w:rsidR="00D5789C">
        <w:t>,</w:t>
      </w:r>
      <w:r>
        <w:t xml:space="preserve"> 25 FCC Rcd </w:t>
      </w:r>
      <w:r w:rsidR="00D5789C">
        <w:t>at</w:t>
      </w:r>
      <w:r>
        <w:t xml:space="preserve"> 18809-10</w:t>
      </w:r>
      <w:r w:rsidRPr="004A07A8">
        <w:t xml:space="preserve">, para. </w:t>
      </w:r>
      <w:r>
        <w:t>108</w:t>
      </w:r>
      <w:r w:rsidR="00D5789C">
        <w:t>.</w:t>
      </w:r>
      <w:r>
        <w:t xml:space="preserve">  </w:t>
      </w:r>
      <w:r w:rsidRPr="004A07A8">
        <w:rPr>
          <w:color w:val="000000"/>
        </w:rPr>
        <w:t xml:space="preserve">The </w:t>
      </w:r>
      <w:r>
        <w:rPr>
          <w:color w:val="000000"/>
        </w:rPr>
        <w:t xml:space="preserve">Commission </w:t>
      </w:r>
      <w:bookmarkStart w:id="46" w:name="sp_1511_18810"/>
      <w:bookmarkStart w:id="47" w:name="SDU_18810"/>
      <w:bookmarkStart w:id="48" w:name="citeas((Cite_as:_25_F.C.C.R._18762,_*188"/>
      <w:bookmarkStart w:id="49" w:name="FN[FN322]"/>
      <w:bookmarkEnd w:id="46"/>
      <w:bookmarkEnd w:id="47"/>
      <w:bookmarkEnd w:id="48"/>
      <w:bookmarkEnd w:id="49"/>
      <w:r>
        <w:rPr>
          <w:color w:val="000000"/>
        </w:rPr>
        <w:t xml:space="preserve">agreed </w:t>
      </w:r>
      <w:r w:rsidRPr="004A07A8">
        <w:rPr>
          <w:color w:val="000000"/>
        </w:rPr>
        <w:t xml:space="preserve">with commenters </w:t>
      </w:r>
      <w:r>
        <w:rPr>
          <w:color w:val="000000"/>
        </w:rPr>
        <w:t>in that proceeding that the eligibility of a manufacturer’s warranty</w:t>
      </w:r>
      <w:bookmarkStart w:id="50" w:name="SR;18589"/>
      <w:bookmarkStart w:id="51" w:name="SR;18590"/>
      <w:bookmarkEnd w:id="45"/>
      <w:bookmarkEnd w:id="50"/>
      <w:bookmarkEnd w:id="51"/>
      <w:r w:rsidRPr="004A07A8">
        <w:rPr>
          <w:color w:val="000000"/>
        </w:rPr>
        <w:t xml:space="preserve"> </w:t>
      </w:r>
      <w:r>
        <w:rPr>
          <w:color w:val="000000"/>
        </w:rPr>
        <w:t xml:space="preserve">meeting this description should be limited to </w:t>
      </w:r>
      <w:r w:rsidRPr="004A07A8">
        <w:rPr>
          <w:color w:val="000000"/>
        </w:rPr>
        <w:t>three years</w:t>
      </w:r>
      <w:r>
        <w:rPr>
          <w:color w:val="000000"/>
        </w:rPr>
        <w:t xml:space="preserve">.  </w:t>
      </w:r>
      <w:r>
        <w:rPr>
          <w:i/>
          <w:color w:val="000000"/>
        </w:rPr>
        <w:t xml:space="preserve">Id.  </w:t>
      </w:r>
      <w:r>
        <w:rPr>
          <w:color w:val="000000"/>
        </w:rPr>
        <w:t>This</w:t>
      </w:r>
      <w:r w:rsidRPr="004A07A8">
        <w:rPr>
          <w:color w:val="000000"/>
        </w:rPr>
        <w:t xml:space="preserve"> clarification of the three year period </w:t>
      </w:r>
      <w:r>
        <w:rPr>
          <w:color w:val="000000"/>
        </w:rPr>
        <w:t>was included in</w:t>
      </w:r>
      <w:r w:rsidRPr="004A07A8">
        <w:rPr>
          <w:color w:val="000000"/>
        </w:rPr>
        <w:t xml:space="preserve"> the ESL</w:t>
      </w:r>
      <w:r>
        <w:rPr>
          <w:color w:val="000000"/>
        </w:rPr>
        <w:t xml:space="preserve">.  </w:t>
      </w:r>
      <w:r>
        <w:rPr>
          <w:i/>
          <w:color w:val="000000"/>
        </w:rPr>
        <w:t xml:space="preserve">Id. </w:t>
      </w:r>
      <w:r>
        <w:rPr>
          <w:color w:val="000000"/>
        </w:rPr>
        <w:t>at 18853.</w:t>
      </w:r>
    </w:p>
  </w:footnote>
  <w:footnote w:id="58">
    <w:p w14:paraId="728F1CFC" w14:textId="6621A181" w:rsidR="006E3382" w:rsidRDefault="006E3382" w:rsidP="008C5BD7">
      <w:pPr>
        <w:pStyle w:val="FootnoteText"/>
      </w:pPr>
      <w:r>
        <w:rPr>
          <w:rStyle w:val="FootnoteReference"/>
        </w:rPr>
        <w:footnoteRef/>
      </w:r>
      <w:r>
        <w:t xml:space="preserve"> </w:t>
      </w:r>
      <w:r>
        <w:rPr>
          <w:i/>
        </w:rPr>
        <w:t>See, e.g.</w:t>
      </w:r>
      <w:r w:rsidRPr="00C3494B">
        <w:t>,</w:t>
      </w:r>
      <w:r>
        <w:rPr>
          <w:i/>
        </w:rPr>
        <w:t xml:space="preserve"> </w:t>
      </w:r>
      <w:r w:rsidR="008523A0">
        <w:t>E-mpa</w:t>
      </w:r>
      <w:r w:rsidRPr="007B4F09">
        <w:t xml:space="preserve"> Comments at 4</w:t>
      </w:r>
      <w:r>
        <w:t xml:space="preserve"> (provide</w:t>
      </w:r>
      <w:r w:rsidRPr="007B4F09">
        <w:t xml:space="preserve"> guidance on how associated surcharges and fees should be allocated and how bundled produ</w:t>
      </w:r>
      <w:r>
        <w:t>cts should be cost allocated to</w:t>
      </w:r>
      <w:r w:rsidRPr="007B4F09">
        <w:t xml:space="preserve"> e</w:t>
      </w:r>
      <w:r>
        <w:t>ase administrative burden</w:t>
      </w:r>
      <w:r w:rsidR="00F83688">
        <w:t>s</w:t>
      </w:r>
      <w:r>
        <w:t xml:space="preserve">); </w:t>
      </w:r>
      <w:r w:rsidRPr="007B4F09">
        <w:t>SECA Comments at 4</w:t>
      </w:r>
      <w:r>
        <w:t xml:space="preserve"> and C Spire Reply Comments at 2-3 (clarify </w:t>
      </w:r>
      <w:r w:rsidRPr="007B4F09">
        <w:t>when, or if, cost allocation of broadband circuits is required depending on ho</w:t>
      </w:r>
      <w:r>
        <w:t xml:space="preserve">w broadband circuits are used; </w:t>
      </w:r>
      <w:r w:rsidRPr="007B4F09">
        <w:t xml:space="preserve">SECA believes that </w:t>
      </w:r>
      <w:r>
        <w:t xml:space="preserve">it is the Commission’s </w:t>
      </w:r>
      <w:r w:rsidRPr="007B4F09">
        <w:t>intent to promote, without penalty, the shared use of broadband for numerous applications, including voice</w:t>
      </w:r>
      <w:r>
        <w:t xml:space="preserve">); </w:t>
      </w:r>
      <w:r w:rsidR="008523A0">
        <w:t>E-mpa</w:t>
      </w:r>
      <w:r w:rsidRPr="007B4F09">
        <w:t xml:space="preserve"> Comments at 11</w:t>
      </w:r>
      <w:r>
        <w:t xml:space="preserve"> and </w:t>
      </w:r>
      <w:r w:rsidRPr="007B4F09">
        <w:t>Mitel Comments at 6</w:t>
      </w:r>
      <w:r>
        <w:t xml:space="preserve"> (a</w:t>
      </w:r>
      <w:r w:rsidRPr="007B4F09">
        <w:t>pplicants should not have to cost allocate voice services from integrated or bundled services that include data</w:t>
      </w:r>
      <w:r>
        <w:t>, video, and voice components because “v</w:t>
      </w:r>
      <w:r w:rsidRPr="007B4F09">
        <w:t xml:space="preserve">oice” is not billed separately </w:t>
      </w:r>
      <w:r>
        <w:t xml:space="preserve">for these services and it will </w:t>
      </w:r>
      <w:r w:rsidRPr="007B4F09">
        <w:t>be difficult for applicants</w:t>
      </w:r>
      <w:r>
        <w:t xml:space="preserve"> to separate costs</w:t>
      </w:r>
      <w:r w:rsidRPr="007B4F09">
        <w:t>)</w:t>
      </w:r>
      <w:r>
        <w:t>; Funds for Learning Comments at 2-5 (c</w:t>
      </w:r>
      <w:r w:rsidRPr="007B4F09">
        <w:t>ost allocation will occupy more of applicants’ time as techno</w:t>
      </w:r>
      <w:r>
        <w:t xml:space="preserve">logies become more integrated and </w:t>
      </w:r>
      <w:r w:rsidRPr="007B4F09">
        <w:t xml:space="preserve">can also penalize purchasers of “future-proof” equipment </w:t>
      </w:r>
      <w:r w:rsidR="00F83688">
        <w:t>that provide</w:t>
      </w:r>
      <w:r w:rsidRPr="007B4F09">
        <w:t xml:space="preserve"> more integrated</w:t>
      </w:r>
      <w:r>
        <w:t xml:space="preserve"> features</w:t>
      </w:r>
      <w:r w:rsidRPr="007B4F09">
        <w:t>)</w:t>
      </w:r>
      <w:r>
        <w:t>;</w:t>
      </w:r>
      <w:r w:rsidRPr="00DC3284">
        <w:t xml:space="preserve"> </w:t>
      </w:r>
      <w:r w:rsidRPr="007B4F09">
        <w:t xml:space="preserve">North Carolina </w:t>
      </w:r>
      <w:r w:rsidR="00B65548">
        <w:t xml:space="preserve">Department of Education </w:t>
      </w:r>
      <w:r w:rsidRPr="007B4F09">
        <w:t>Comments at 2</w:t>
      </w:r>
      <w:r>
        <w:t xml:space="preserve"> and Verizon Reply Comments at 5 (instead of requiring cost allocation, t</w:t>
      </w:r>
      <w:r w:rsidRPr="007B4F09">
        <w:t>elephone co</w:t>
      </w:r>
      <w:r>
        <w:t>mponents such as voice mail, direct inward dialing, inside wire</w:t>
      </w:r>
      <w:r w:rsidRPr="007B4F09">
        <w:t xml:space="preserve"> maintenance, and related serv</w:t>
      </w:r>
      <w:r>
        <w:t>ices should be subject to the annual 20 percentage point phase out</w:t>
      </w:r>
      <w:r w:rsidRPr="007B4F09">
        <w:t>)</w:t>
      </w:r>
      <w:r>
        <w:t xml:space="preserve">; </w:t>
      </w:r>
      <w:r w:rsidR="00F83688">
        <w:t>EducationSuperHighway</w:t>
      </w:r>
      <w:r w:rsidR="00F83688" w:rsidRPr="007B4F09" w:rsidDel="00F83688">
        <w:t xml:space="preserve"> </w:t>
      </w:r>
      <w:r w:rsidRPr="007B4F09">
        <w:t>Comments at 3</w:t>
      </w:r>
      <w:r>
        <w:t xml:space="preserve"> (r</w:t>
      </w:r>
      <w:r w:rsidRPr="007B4F09">
        <w:t>etain a simplified version of the explanatory language from the FY2014 ESL to help applicants with complicated t</w:t>
      </w:r>
      <w:r>
        <w:t>opics such as cost allocation</w:t>
      </w:r>
      <w:r w:rsidRPr="007B4F09">
        <w:t>)</w:t>
      </w:r>
      <w:r>
        <w:t>.</w:t>
      </w:r>
    </w:p>
  </w:footnote>
  <w:footnote w:id="59">
    <w:p w14:paraId="7757E794" w14:textId="77777777" w:rsidR="006E3382" w:rsidRPr="00BC4728" w:rsidRDefault="006E3382" w:rsidP="008C5BD7">
      <w:pPr>
        <w:pStyle w:val="FootnoteText"/>
        <w:rPr>
          <w:b/>
        </w:rPr>
      </w:pPr>
      <w:r>
        <w:rPr>
          <w:rStyle w:val="FootnoteReference"/>
        </w:rPr>
        <w:footnoteRef/>
      </w:r>
      <w:r>
        <w:t xml:space="preserve"> </w:t>
      </w:r>
      <w:r>
        <w:rPr>
          <w:i/>
        </w:rPr>
        <w:t>See, e.g.</w:t>
      </w:r>
      <w:r w:rsidRPr="00C3494B">
        <w:t xml:space="preserve">, </w:t>
      </w:r>
      <w:r>
        <w:t>EducationSuperHighway</w:t>
      </w:r>
      <w:r w:rsidRPr="00ED3D60">
        <w:t xml:space="preserve"> Comments at 3</w:t>
      </w:r>
      <w:r>
        <w:t xml:space="preserve"> (r</w:t>
      </w:r>
      <w:r w:rsidRPr="00ED3D60">
        <w:t>emove items no longer generally offered on the market such as Telephone Dial-Up, Fractional T-1s (for data), and SMDS</w:t>
      </w:r>
      <w:r>
        <w:t xml:space="preserve">); </w:t>
      </w:r>
      <w:r w:rsidRPr="007B4F09">
        <w:t xml:space="preserve">ENA Comments at </w:t>
      </w:r>
      <w:r>
        <w:t>1-</w:t>
      </w:r>
      <w:r w:rsidRPr="007B4F09">
        <w:t>2</w:t>
      </w:r>
      <w:r>
        <w:t xml:space="preserve"> (r</w:t>
      </w:r>
      <w:r w:rsidRPr="00ED3D60">
        <w:t xml:space="preserve">enew eligibility of voicemail, direct inward dialing and 900/976 service and make them subject to phase </w:t>
      </w:r>
      <w:r>
        <w:t>out with other voice services</w:t>
      </w:r>
      <w:r w:rsidRPr="007B4F09">
        <w:t>)</w:t>
      </w:r>
      <w:r>
        <w:t xml:space="preserve">; </w:t>
      </w:r>
      <w:r w:rsidRPr="007B4F09">
        <w:t>ENA Comments at 2</w:t>
      </w:r>
      <w:r>
        <w:t xml:space="preserve"> (allow caching as</w:t>
      </w:r>
      <w:r w:rsidRPr="007B4F09">
        <w:t xml:space="preserve"> </w:t>
      </w:r>
      <w:r>
        <w:t xml:space="preserve">an eligible </w:t>
      </w:r>
      <w:r w:rsidRPr="007B4F09">
        <w:t>par</w:t>
      </w:r>
      <w:r>
        <w:t>t of a Category One Internet access service because m</w:t>
      </w:r>
      <w:r w:rsidRPr="007B4F09">
        <w:t>any ISPs offer cloud-based caching that manages the amount of bandwidth needed t</w:t>
      </w:r>
      <w:r>
        <w:t>o deliver broadband solutions</w:t>
      </w:r>
      <w:r w:rsidRPr="007B4F09">
        <w:t>)</w:t>
      </w:r>
      <w:r>
        <w:t xml:space="preserve">; </w:t>
      </w:r>
      <w:r w:rsidRPr="00ED3D60">
        <w:t xml:space="preserve">AdTec Comments at </w:t>
      </w:r>
      <w:r>
        <w:t>1 (r</w:t>
      </w:r>
      <w:r w:rsidRPr="00ED3D60">
        <w:t>equiring applicants to deduct text messaging, directory assistance, custom calling services, direct inward dialing, 900/976 call blocking, and inside wire maintenance as part of Category One telephone service components increases administrative burden</w:t>
      </w:r>
      <w:r>
        <w:t>s; b</w:t>
      </w:r>
      <w:r w:rsidRPr="00ED3D60">
        <w:t>ecause of the marginal cost of these services and there is inconsistency among service providers in listing them as line items on their monthly invoices or as part of a bundled service, these se</w:t>
      </w:r>
      <w:r>
        <w:t>rvices should remain eligible</w:t>
      </w:r>
      <w:r w:rsidRPr="00ED3D60">
        <w:t>)</w:t>
      </w:r>
      <w:r>
        <w:t>.</w:t>
      </w:r>
    </w:p>
  </w:footnote>
  <w:footnote w:id="60">
    <w:p w14:paraId="025C18AC" w14:textId="49192EB5" w:rsidR="006E3382" w:rsidRDefault="006E3382">
      <w:pPr>
        <w:pStyle w:val="FootnoteText"/>
      </w:pPr>
      <w:r>
        <w:rPr>
          <w:rStyle w:val="FootnoteReference"/>
        </w:rPr>
        <w:footnoteRef/>
      </w:r>
      <w:r>
        <w:t xml:space="preserve"> We note that the Commission has several petitions for reconsideration and/or clarification of the </w:t>
      </w:r>
      <w:r w:rsidRPr="00D85A79">
        <w:rPr>
          <w:i/>
        </w:rPr>
        <w:t>E-rate Modernization Order</w:t>
      </w:r>
      <w:r>
        <w:t xml:space="preserve"> pending before it, and those petitions raise some of the same issues which we decline to address here.  </w:t>
      </w:r>
      <w:r>
        <w:rPr>
          <w:i/>
        </w:rPr>
        <w:t>See, e.g.</w:t>
      </w:r>
      <w:r w:rsidRPr="00C3494B">
        <w:t>,</w:t>
      </w:r>
      <w:r>
        <w:rPr>
          <w:i/>
        </w:rPr>
        <w:t xml:space="preserve"> </w:t>
      </w:r>
      <w:r w:rsidRPr="00304538">
        <w:t>Petition of Verizon for Reconsideration And/Or Clarification, WC 13-184, at 4 (filed Sept. 18, 2014) (</w:t>
      </w:r>
      <w:r>
        <w:t xml:space="preserve">urging </w:t>
      </w:r>
      <w:r w:rsidRPr="00304538">
        <w:t xml:space="preserve">the Commission </w:t>
      </w:r>
      <w:r>
        <w:t>to</w:t>
      </w:r>
      <w:r w:rsidRPr="00304538">
        <w:t xml:space="preserve"> clarify and provide guidance on how to compare a “wireless local area network solution” with wireless data plans that do not merely provide connectivity within the school building but also provide external connectivity to the Internet); Petition for Reconsideration or Clarification of the West Virginia Department of Education, WC 13-184, at 3-4 (filed Sept. 18, 2014) (recommend</w:t>
      </w:r>
      <w:r>
        <w:t>ing</w:t>
      </w:r>
      <w:r w:rsidRPr="00304538">
        <w:t xml:space="preserve"> that telephone components be treated as part of normal voice services so that they may be phased out as part of the annual 20 percentage poin</w:t>
      </w:r>
      <w:r>
        <w:t>t phase out for voice services)</w:t>
      </w:r>
      <w:r w:rsidRPr="00304538">
        <w:t>.</w:t>
      </w:r>
    </w:p>
  </w:footnote>
  <w:footnote w:id="61">
    <w:p w14:paraId="222B345C" w14:textId="77777777" w:rsidR="006E3382" w:rsidRDefault="006E3382" w:rsidP="0087637A">
      <w:pPr>
        <w:pStyle w:val="FootnoteText"/>
      </w:pPr>
      <w:r>
        <w:rPr>
          <w:rStyle w:val="FootnoteReference"/>
        </w:rPr>
        <w:footnoteRef/>
      </w:r>
      <w:r>
        <w:t xml:space="preserve"> This list does not include the services and products that were ineligible in funding year 2014 and previous years.  Unless these services were specifically added to the ESL for funding year 2015, these services remain ineligible.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6BAC" w14:textId="77777777" w:rsidR="004A3A40" w:rsidRDefault="004A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7123" w14:textId="0EC9F52F" w:rsidR="00AE1BDA" w:rsidRDefault="00AE1BDA" w:rsidP="00AE1BDA">
    <w:pPr>
      <w:pStyle w:val="Header"/>
      <w:rPr>
        <w:b w:val="0"/>
      </w:rPr>
    </w:pPr>
    <w:r>
      <w:rPr>
        <w:noProof/>
      </w:rPr>
      <mc:AlternateContent>
        <mc:Choice Requires="wps">
          <w:drawing>
            <wp:anchor distT="0" distB="0" distL="114300" distR="114300" simplePos="0" relativeHeight="251661312" behindDoc="1" locked="0" layoutInCell="0" allowOverlap="1" wp14:anchorId="01871332" wp14:editId="35F81C6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CD23E6">
      <w:rPr>
        <w:spacing w:val="-2"/>
      </w:rPr>
      <w:t>DA</w:t>
    </w:r>
    <w:r>
      <w:rPr>
        <w:spacing w:val="-2"/>
      </w:rPr>
      <w:t xml:space="preserve"> 14-1556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7EFC" w14:textId="364E3870" w:rsidR="00AE1BDA" w:rsidRDefault="00AE1BDA" w:rsidP="00AE1BDA">
    <w:pPr>
      <w:pStyle w:val="Header"/>
      <w:rPr>
        <w:b w:val="0"/>
      </w:rPr>
    </w:pPr>
    <w:r>
      <w:rPr>
        <w:noProof/>
      </w:rPr>
      <mc:AlternateContent>
        <mc:Choice Requires="wps">
          <w:drawing>
            <wp:anchor distT="0" distB="0" distL="114300" distR="114300" simplePos="0" relativeHeight="251659264" behindDoc="1" locked="0" layoutInCell="0" allowOverlap="1" wp14:anchorId="778468F5" wp14:editId="4BD2F5DC">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CD23E6">
      <w:rPr>
        <w:spacing w:val="-2"/>
      </w:rPr>
      <w:t>DA</w:t>
    </w:r>
    <w:r>
      <w:rPr>
        <w:spacing w:val="-2"/>
      </w:rPr>
      <w:t xml:space="preserve"> 14-1556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560B" w14:textId="641678CA" w:rsidR="006E3382" w:rsidRDefault="006E3382">
    <w:pPr>
      <w:pStyle w:val="FirstPageHeader"/>
      <w:pBdr>
        <w:bottom w:val="single" w:sz="12" w:space="1" w:color="auto"/>
      </w:pBdr>
      <w:tabs>
        <w:tab w:val="clear" w:pos="4320"/>
        <w:tab w:val="clear" w:pos="8640"/>
        <w:tab w:val="center" w:pos="4680"/>
        <w:tab w:val="right" w:pos="9360"/>
      </w:tabs>
    </w:pPr>
    <w:r>
      <w:tab/>
      <w:t>Federal Communications Commission</w:t>
    </w:r>
    <w:r>
      <w:tab/>
      <w:t>DA 14-</w:t>
    </w:r>
    <w:r w:rsidR="0006108C" w:rsidRPr="0006108C">
      <w:t>1556</w:t>
    </w:r>
    <w:r>
      <w:fldChar w:fldCharType="begin"/>
    </w:r>
    <w:r>
      <w:instrText xml:space="preserve"> AUTOTEXTLIST  \* MERGEFORMAT </w:instrText>
    </w:r>
    <w:r>
      <w:fldChar w:fldCharType="end"/>
    </w:r>
    <w:r>
      <w:fldChar w:fldCharType="begin"/>
    </w:r>
    <w:r>
      <w:instrText xml:space="preserve"> AUTOTEXTLIST  \* MERGEFORMAT </w:instrText>
    </w:r>
    <w:r>
      <w:fldChar w:fldCharType="end"/>
    </w:r>
  </w:p>
  <w:p w14:paraId="60AAEC37" w14:textId="77777777" w:rsidR="006E3382" w:rsidRDefault="006E3382" w:rsidP="00DC6E94">
    <w:pPr>
      <w:pStyle w:val="Header"/>
    </w:pPr>
    <w:r>
      <w:tab/>
    </w:r>
  </w:p>
  <w:p w14:paraId="1834DC84" w14:textId="77777777" w:rsidR="006E3382" w:rsidRDefault="006E3382" w:rsidP="00DC6E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32A0" w14:textId="00BA19A1" w:rsidR="001A68C3" w:rsidRDefault="007C5ACC" w:rsidP="001A68C3">
    <w:pPr>
      <w:pStyle w:val="FirstPageHeader"/>
      <w:pBdr>
        <w:bottom w:val="single" w:sz="12" w:space="1" w:color="auto"/>
      </w:pBdr>
      <w:tabs>
        <w:tab w:val="clear" w:pos="4320"/>
        <w:tab w:val="clear" w:pos="8640"/>
        <w:tab w:val="center" w:pos="4680"/>
        <w:tab w:val="right" w:pos="9360"/>
      </w:tabs>
    </w:pPr>
    <w:r>
      <w:tab/>
    </w:r>
    <w:r w:rsidR="001A68C3">
      <w:t>Federal Communications Commission</w:t>
    </w:r>
    <w:r w:rsidR="001A68C3">
      <w:tab/>
      <w:t>DA 14-</w:t>
    </w:r>
    <w:r w:rsidR="0006108C">
      <w:rPr>
        <w:color w:val="000000"/>
      </w:rPr>
      <w:t>1556</w:t>
    </w:r>
    <w:r w:rsidR="001A68C3">
      <w:fldChar w:fldCharType="begin"/>
    </w:r>
    <w:r w:rsidR="001A68C3">
      <w:instrText xml:space="preserve"> AUTOTEXTLIST  \* MERGEFORMAT </w:instrText>
    </w:r>
    <w:r w:rsidR="001A68C3">
      <w:fldChar w:fldCharType="end"/>
    </w:r>
    <w:r w:rsidR="001A68C3">
      <w:fldChar w:fldCharType="begin"/>
    </w:r>
    <w:r w:rsidR="001A68C3">
      <w:instrText xml:space="preserve"> AUTOTEXTLIST  \* MERGEFORMAT </w:instrText>
    </w:r>
    <w:r w:rsidR="001A68C3">
      <w:fldChar w:fldCharType="end"/>
    </w:r>
  </w:p>
  <w:p w14:paraId="1C78FBDE" w14:textId="77777777" w:rsidR="001A68C3" w:rsidRDefault="001A68C3" w:rsidP="001A68C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2AB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96BA3"/>
    <w:multiLevelType w:val="hybridMultilevel"/>
    <w:tmpl w:val="20C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3161"/>
    <w:multiLevelType w:val="hybridMultilevel"/>
    <w:tmpl w:val="2E22588A"/>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71235"/>
    <w:multiLevelType w:val="hybridMultilevel"/>
    <w:tmpl w:val="6BFC2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302DC"/>
    <w:multiLevelType w:val="hybridMultilevel"/>
    <w:tmpl w:val="9C0641D0"/>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20C0F"/>
    <w:multiLevelType w:val="multilevel"/>
    <w:tmpl w:val="D338B390"/>
    <w:lvl w:ilvl="0">
      <w:start w:val="1"/>
      <w:numFmt w:val="decimal"/>
      <w:lvlText w:val="%1."/>
      <w:lvlJc w:val="left"/>
      <w:pPr>
        <w:tabs>
          <w:tab w:val="num" w:pos="432"/>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B44DDD"/>
    <w:multiLevelType w:val="hybridMultilevel"/>
    <w:tmpl w:val="9A38ED5C"/>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95EED"/>
    <w:multiLevelType w:val="hybridMultilevel"/>
    <w:tmpl w:val="D338B390"/>
    <w:lvl w:ilvl="0" w:tplc="D11CBDEA">
      <w:start w:val="1"/>
      <w:numFmt w:val="decimal"/>
      <w:lvlText w:val="%1."/>
      <w:lvlJc w:val="left"/>
      <w:pPr>
        <w:tabs>
          <w:tab w:val="num" w:pos="432"/>
        </w:tabs>
        <w:ind w:left="0"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742C4"/>
    <w:multiLevelType w:val="hybridMultilevel"/>
    <w:tmpl w:val="B9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06CBB"/>
    <w:multiLevelType w:val="multilevel"/>
    <w:tmpl w:val="98E89F6A"/>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i w:val="0"/>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i w:val="0"/>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B8D6F75"/>
    <w:multiLevelType w:val="hybridMultilevel"/>
    <w:tmpl w:val="0342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642D9"/>
    <w:multiLevelType w:val="hybridMultilevel"/>
    <w:tmpl w:val="EF7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C2EC0"/>
    <w:multiLevelType w:val="hybridMultilevel"/>
    <w:tmpl w:val="78F491B8"/>
    <w:lvl w:ilvl="0" w:tplc="728CD5CE">
      <w:start w:val="3"/>
      <w:numFmt w:val="decimal"/>
      <w:lvlText w:val="%1."/>
      <w:lvlJc w:val="left"/>
      <w:pPr>
        <w:tabs>
          <w:tab w:val="num" w:pos="1440"/>
        </w:tabs>
        <w:ind w:left="108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A231833"/>
    <w:multiLevelType w:val="multilevel"/>
    <w:tmpl w:val="78F491B8"/>
    <w:lvl w:ilvl="0">
      <w:start w:val="3"/>
      <w:numFmt w:val="decimal"/>
      <w:lvlText w:val="%1."/>
      <w:lvlJc w:val="left"/>
      <w:pPr>
        <w:tabs>
          <w:tab w:val="num" w:pos="1440"/>
        </w:tabs>
        <w:ind w:left="1080" w:firstLine="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AD12788"/>
    <w:multiLevelType w:val="hybridMultilevel"/>
    <w:tmpl w:val="8A4E37E2"/>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C83870"/>
    <w:multiLevelType w:val="hybridMultilevel"/>
    <w:tmpl w:val="944A66CC"/>
    <w:lvl w:ilvl="0" w:tplc="67F81BD4">
      <w:start w:val="1"/>
      <w:numFmt w:val="decimal"/>
      <w:lvlText w:val="%1."/>
      <w:lvlJc w:val="left"/>
      <w:pPr>
        <w:tabs>
          <w:tab w:val="num" w:pos="936"/>
        </w:tabs>
        <w:ind w:left="0" w:firstLine="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E2714"/>
    <w:multiLevelType w:val="hybridMultilevel"/>
    <w:tmpl w:val="D76280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0CC45D7"/>
    <w:multiLevelType w:val="hybridMultilevel"/>
    <w:tmpl w:val="FF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4EEE"/>
    <w:multiLevelType w:val="hybridMultilevel"/>
    <w:tmpl w:val="ABD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E5006"/>
    <w:multiLevelType w:val="multilevel"/>
    <w:tmpl w:val="2034C24C"/>
    <w:lvl w:ilvl="0">
      <w:start w:val="9"/>
      <w:numFmt w:val="upperRoman"/>
      <w:lvlText w:val="%1."/>
      <w:lvlJc w:val="left"/>
      <w:pPr>
        <w:tabs>
          <w:tab w:val="num" w:pos="720"/>
        </w:tabs>
        <w:ind w:left="720" w:hanging="720"/>
      </w:pPr>
      <w:rPr>
        <w:rFonts w:hint="default"/>
        <w:b w:val="0"/>
        <w:i w:val="0"/>
        <w:sz w:val="22"/>
        <w:szCs w:val="22"/>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815D2B"/>
    <w:multiLevelType w:val="hybridMultilevel"/>
    <w:tmpl w:val="EF5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12A23"/>
    <w:multiLevelType w:val="hybridMultilevel"/>
    <w:tmpl w:val="87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16"/>
  </w:num>
  <w:num w:numId="5">
    <w:abstractNumId w:val="14"/>
  </w:num>
  <w:num w:numId="6">
    <w:abstractNumId w:val="2"/>
  </w:num>
  <w:num w:numId="7">
    <w:abstractNumId w:val="6"/>
  </w:num>
  <w:num w:numId="8">
    <w:abstractNumId w:val="4"/>
  </w:num>
  <w:num w:numId="9">
    <w:abstractNumId w:val="12"/>
  </w:num>
  <w:num w:numId="10">
    <w:abstractNumId w:val="13"/>
  </w:num>
  <w:num w:numId="11">
    <w:abstractNumId w:val="7"/>
  </w:num>
  <w:num w:numId="12">
    <w:abstractNumId w:val="5"/>
  </w:num>
  <w:num w:numId="13">
    <w:abstractNumId w:val="15"/>
  </w:num>
  <w:num w:numId="14">
    <w:abstractNumId w:val="0"/>
  </w:num>
  <w:num w:numId="15">
    <w:abstractNumId w:val="11"/>
  </w:num>
  <w:num w:numId="16">
    <w:abstractNumId w:val="10"/>
  </w:num>
  <w:num w:numId="17">
    <w:abstractNumId w:val="20"/>
  </w:num>
  <w:num w:numId="18">
    <w:abstractNumId w:val="17"/>
  </w:num>
  <w:num w:numId="19">
    <w:abstractNumId w:val="23"/>
  </w:num>
  <w:num w:numId="20">
    <w:abstractNumId w:val="1"/>
  </w:num>
  <w:num w:numId="21">
    <w:abstractNumId w:val="21"/>
  </w:num>
  <w:num w:numId="22">
    <w:abstractNumId w:val="2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A0"/>
    <w:rsid w:val="000006EB"/>
    <w:rsid w:val="00006E1D"/>
    <w:rsid w:val="00011321"/>
    <w:rsid w:val="0001158F"/>
    <w:rsid w:val="00020AD5"/>
    <w:rsid w:val="00026E96"/>
    <w:rsid w:val="00030AC9"/>
    <w:rsid w:val="00034AB6"/>
    <w:rsid w:val="000361B7"/>
    <w:rsid w:val="00045893"/>
    <w:rsid w:val="0005537A"/>
    <w:rsid w:val="0006108C"/>
    <w:rsid w:val="00061414"/>
    <w:rsid w:val="00066C80"/>
    <w:rsid w:val="00084292"/>
    <w:rsid w:val="00090E08"/>
    <w:rsid w:val="000C2E63"/>
    <w:rsid w:val="000E44AD"/>
    <w:rsid w:val="000E65AF"/>
    <w:rsid w:val="0010243D"/>
    <w:rsid w:val="00107B74"/>
    <w:rsid w:val="0013041E"/>
    <w:rsid w:val="00152E51"/>
    <w:rsid w:val="0015429A"/>
    <w:rsid w:val="001643A6"/>
    <w:rsid w:val="00170D97"/>
    <w:rsid w:val="00175099"/>
    <w:rsid w:val="001836D3"/>
    <w:rsid w:val="001956B5"/>
    <w:rsid w:val="001A3EFF"/>
    <w:rsid w:val="001A68C3"/>
    <w:rsid w:val="001B1575"/>
    <w:rsid w:val="001B3489"/>
    <w:rsid w:val="001D65C9"/>
    <w:rsid w:val="001E4285"/>
    <w:rsid w:val="002075DB"/>
    <w:rsid w:val="00224012"/>
    <w:rsid w:val="00274586"/>
    <w:rsid w:val="00280F29"/>
    <w:rsid w:val="00285439"/>
    <w:rsid w:val="00285CF7"/>
    <w:rsid w:val="002923CD"/>
    <w:rsid w:val="002B57AE"/>
    <w:rsid w:val="002C790D"/>
    <w:rsid w:val="002D59F0"/>
    <w:rsid w:val="002E1615"/>
    <w:rsid w:val="002E5E58"/>
    <w:rsid w:val="002F4794"/>
    <w:rsid w:val="002F512F"/>
    <w:rsid w:val="003000C1"/>
    <w:rsid w:val="00306D00"/>
    <w:rsid w:val="00310474"/>
    <w:rsid w:val="00311F6F"/>
    <w:rsid w:val="00313424"/>
    <w:rsid w:val="003151D3"/>
    <w:rsid w:val="0031521A"/>
    <w:rsid w:val="003370BA"/>
    <w:rsid w:val="00347A1A"/>
    <w:rsid w:val="00352B19"/>
    <w:rsid w:val="00355C78"/>
    <w:rsid w:val="00363320"/>
    <w:rsid w:val="00374F74"/>
    <w:rsid w:val="00376C6E"/>
    <w:rsid w:val="0039218B"/>
    <w:rsid w:val="003934F6"/>
    <w:rsid w:val="003C0757"/>
    <w:rsid w:val="003E4844"/>
    <w:rsid w:val="003F0F05"/>
    <w:rsid w:val="0041372F"/>
    <w:rsid w:val="00420BFC"/>
    <w:rsid w:val="0044213A"/>
    <w:rsid w:val="00444344"/>
    <w:rsid w:val="0044555C"/>
    <w:rsid w:val="00455845"/>
    <w:rsid w:val="00471E69"/>
    <w:rsid w:val="00480F8E"/>
    <w:rsid w:val="00483533"/>
    <w:rsid w:val="00484B6A"/>
    <w:rsid w:val="004930AE"/>
    <w:rsid w:val="004A07A8"/>
    <w:rsid w:val="004A23DF"/>
    <w:rsid w:val="004A3A40"/>
    <w:rsid w:val="004B7971"/>
    <w:rsid w:val="004C4768"/>
    <w:rsid w:val="004C605E"/>
    <w:rsid w:val="004D1D57"/>
    <w:rsid w:val="004D386B"/>
    <w:rsid w:val="004D5A94"/>
    <w:rsid w:val="004E5CBA"/>
    <w:rsid w:val="004F36D3"/>
    <w:rsid w:val="0051002D"/>
    <w:rsid w:val="00540CF7"/>
    <w:rsid w:val="00544B66"/>
    <w:rsid w:val="00551BAE"/>
    <w:rsid w:val="00566562"/>
    <w:rsid w:val="00580926"/>
    <w:rsid w:val="005860C4"/>
    <w:rsid w:val="0058627F"/>
    <w:rsid w:val="00586F28"/>
    <w:rsid w:val="005948A0"/>
    <w:rsid w:val="005A01BA"/>
    <w:rsid w:val="005A4ADD"/>
    <w:rsid w:val="005B3E40"/>
    <w:rsid w:val="005E262E"/>
    <w:rsid w:val="00616DA3"/>
    <w:rsid w:val="00620178"/>
    <w:rsid w:val="00621734"/>
    <w:rsid w:val="00624552"/>
    <w:rsid w:val="00641441"/>
    <w:rsid w:val="00647716"/>
    <w:rsid w:val="00647720"/>
    <w:rsid w:val="00660CD5"/>
    <w:rsid w:val="00673A6A"/>
    <w:rsid w:val="00673C71"/>
    <w:rsid w:val="006743AC"/>
    <w:rsid w:val="00676E39"/>
    <w:rsid w:val="006B49D1"/>
    <w:rsid w:val="006C5666"/>
    <w:rsid w:val="006D2997"/>
    <w:rsid w:val="006E3382"/>
    <w:rsid w:val="006E3454"/>
    <w:rsid w:val="006E6AE2"/>
    <w:rsid w:val="006F0BA9"/>
    <w:rsid w:val="007017C7"/>
    <w:rsid w:val="0071240A"/>
    <w:rsid w:val="0071251F"/>
    <w:rsid w:val="00727A26"/>
    <w:rsid w:val="007321DB"/>
    <w:rsid w:val="0074149E"/>
    <w:rsid w:val="00746587"/>
    <w:rsid w:val="007474C2"/>
    <w:rsid w:val="007601BE"/>
    <w:rsid w:val="00770364"/>
    <w:rsid w:val="007708C8"/>
    <w:rsid w:val="00781177"/>
    <w:rsid w:val="007A6B6A"/>
    <w:rsid w:val="007C5ACC"/>
    <w:rsid w:val="007D4596"/>
    <w:rsid w:val="007F02CA"/>
    <w:rsid w:val="00803FCF"/>
    <w:rsid w:val="00805D7E"/>
    <w:rsid w:val="00821C9E"/>
    <w:rsid w:val="00826ABD"/>
    <w:rsid w:val="00832D18"/>
    <w:rsid w:val="00844A09"/>
    <w:rsid w:val="00845F0E"/>
    <w:rsid w:val="008523A0"/>
    <w:rsid w:val="00861F8F"/>
    <w:rsid w:val="008643B7"/>
    <w:rsid w:val="008672B4"/>
    <w:rsid w:val="0087637A"/>
    <w:rsid w:val="008A71E9"/>
    <w:rsid w:val="008B34F9"/>
    <w:rsid w:val="008B4B6B"/>
    <w:rsid w:val="008B5D58"/>
    <w:rsid w:val="008B6CEE"/>
    <w:rsid w:val="008C179C"/>
    <w:rsid w:val="008C5BD7"/>
    <w:rsid w:val="008D138A"/>
    <w:rsid w:val="008D3727"/>
    <w:rsid w:val="008E69A7"/>
    <w:rsid w:val="0091231E"/>
    <w:rsid w:val="00942210"/>
    <w:rsid w:val="00951CFB"/>
    <w:rsid w:val="009577D9"/>
    <w:rsid w:val="00970416"/>
    <w:rsid w:val="009721A4"/>
    <w:rsid w:val="009739A1"/>
    <w:rsid w:val="00981997"/>
    <w:rsid w:val="00987EDB"/>
    <w:rsid w:val="009A0EC2"/>
    <w:rsid w:val="009A28EA"/>
    <w:rsid w:val="009A4C64"/>
    <w:rsid w:val="009A7C0E"/>
    <w:rsid w:val="009B1683"/>
    <w:rsid w:val="009B3239"/>
    <w:rsid w:val="009B6A6A"/>
    <w:rsid w:val="009B75F3"/>
    <w:rsid w:val="009C5F2E"/>
    <w:rsid w:val="009D304E"/>
    <w:rsid w:val="009D512D"/>
    <w:rsid w:val="009D5B9C"/>
    <w:rsid w:val="009F2628"/>
    <w:rsid w:val="009F3A8E"/>
    <w:rsid w:val="00A02811"/>
    <w:rsid w:val="00A07EA2"/>
    <w:rsid w:val="00A23ECF"/>
    <w:rsid w:val="00A31821"/>
    <w:rsid w:val="00A31A5D"/>
    <w:rsid w:val="00A3300C"/>
    <w:rsid w:val="00A34DCD"/>
    <w:rsid w:val="00A514C1"/>
    <w:rsid w:val="00A60AE6"/>
    <w:rsid w:val="00A70313"/>
    <w:rsid w:val="00A73079"/>
    <w:rsid w:val="00AB42E0"/>
    <w:rsid w:val="00AC5061"/>
    <w:rsid w:val="00AD072B"/>
    <w:rsid w:val="00AE1BDA"/>
    <w:rsid w:val="00AE5940"/>
    <w:rsid w:val="00AE6922"/>
    <w:rsid w:val="00B0498B"/>
    <w:rsid w:val="00B04F49"/>
    <w:rsid w:val="00B1656B"/>
    <w:rsid w:val="00B311CD"/>
    <w:rsid w:val="00B413A0"/>
    <w:rsid w:val="00B65548"/>
    <w:rsid w:val="00B67BB7"/>
    <w:rsid w:val="00B75933"/>
    <w:rsid w:val="00B84001"/>
    <w:rsid w:val="00B866F4"/>
    <w:rsid w:val="00B91CA1"/>
    <w:rsid w:val="00B94662"/>
    <w:rsid w:val="00BB31A6"/>
    <w:rsid w:val="00BC0310"/>
    <w:rsid w:val="00BC2BA1"/>
    <w:rsid w:val="00BC2C51"/>
    <w:rsid w:val="00BC4728"/>
    <w:rsid w:val="00BD2E64"/>
    <w:rsid w:val="00BD7E01"/>
    <w:rsid w:val="00BE4EE0"/>
    <w:rsid w:val="00BF4EC1"/>
    <w:rsid w:val="00C3258B"/>
    <w:rsid w:val="00C3494B"/>
    <w:rsid w:val="00C40A2E"/>
    <w:rsid w:val="00C63AC2"/>
    <w:rsid w:val="00C63BE0"/>
    <w:rsid w:val="00C65905"/>
    <w:rsid w:val="00C71067"/>
    <w:rsid w:val="00C74C23"/>
    <w:rsid w:val="00C8405B"/>
    <w:rsid w:val="00C86C35"/>
    <w:rsid w:val="00CB3D6D"/>
    <w:rsid w:val="00CC084D"/>
    <w:rsid w:val="00CD23E6"/>
    <w:rsid w:val="00CD677B"/>
    <w:rsid w:val="00CD6C81"/>
    <w:rsid w:val="00CE031F"/>
    <w:rsid w:val="00CE7990"/>
    <w:rsid w:val="00CF3E14"/>
    <w:rsid w:val="00D17593"/>
    <w:rsid w:val="00D25184"/>
    <w:rsid w:val="00D26385"/>
    <w:rsid w:val="00D308FC"/>
    <w:rsid w:val="00D5789C"/>
    <w:rsid w:val="00D72C7F"/>
    <w:rsid w:val="00D85A79"/>
    <w:rsid w:val="00DA776C"/>
    <w:rsid w:val="00DA7847"/>
    <w:rsid w:val="00DC3284"/>
    <w:rsid w:val="00DC6E94"/>
    <w:rsid w:val="00DD002D"/>
    <w:rsid w:val="00DD3843"/>
    <w:rsid w:val="00DD3859"/>
    <w:rsid w:val="00DE1778"/>
    <w:rsid w:val="00DF1FB6"/>
    <w:rsid w:val="00E17627"/>
    <w:rsid w:val="00E20921"/>
    <w:rsid w:val="00E25027"/>
    <w:rsid w:val="00E25317"/>
    <w:rsid w:val="00E3188E"/>
    <w:rsid w:val="00E344F5"/>
    <w:rsid w:val="00E41FA3"/>
    <w:rsid w:val="00E8555D"/>
    <w:rsid w:val="00E94AB5"/>
    <w:rsid w:val="00EE5C97"/>
    <w:rsid w:val="00F072CF"/>
    <w:rsid w:val="00F13BDE"/>
    <w:rsid w:val="00F201DD"/>
    <w:rsid w:val="00F3480A"/>
    <w:rsid w:val="00F36023"/>
    <w:rsid w:val="00F3622F"/>
    <w:rsid w:val="00F459FC"/>
    <w:rsid w:val="00F50229"/>
    <w:rsid w:val="00F57808"/>
    <w:rsid w:val="00F61307"/>
    <w:rsid w:val="00F62855"/>
    <w:rsid w:val="00F77C3B"/>
    <w:rsid w:val="00F83688"/>
    <w:rsid w:val="00F93B4E"/>
    <w:rsid w:val="00FA1519"/>
    <w:rsid w:val="00FA4A68"/>
    <w:rsid w:val="00FA734A"/>
    <w:rsid w:val="00FB4435"/>
    <w:rsid w:val="00FC51D2"/>
    <w:rsid w:val="00FC6421"/>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aliases w:val="Heading 2 Char"/>
    <w:basedOn w:val="Normal"/>
    <w:next w:val="ParaNum"/>
    <w:autoRedefine/>
    <w:qFormat/>
    <w:rsid w:val="00BB31A6"/>
    <w:pPr>
      <w:keepNext/>
      <w:numPr>
        <w:ilvl w:val="1"/>
        <w:numId w:val="2"/>
      </w:numPr>
      <w:spacing w:after="120"/>
      <w:outlineLvl w:val="1"/>
    </w:pPr>
    <w:rPr>
      <w:b/>
    </w:rPr>
  </w:style>
  <w:style w:type="paragraph" w:styleId="Heading3">
    <w:name w:val="heading 3"/>
    <w:basedOn w:val="Normal"/>
    <w:next w:val="ParaNum"/>
    <w:link w:val="Heading3Char"/>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spacing w:after="120"/>
    </w:pPr>
    <w:rPr>
      <w:kern w:val="0"/>
      <w:sz w:val="20"/>
    </w:rPr>
  </w:style>
  <w:style w:type="character" w:styleId="FootnoteReference">
    <w:name w:val="footnote reference"/>
    <w:aliases w:val="Style 12,(NECG) Footnote Reference,Style 13,Appel note de bas de p,Style 124,fr,o,Style 3,FR,Style 6,Style 17,Footnote Reference/,Style 7,Footnote Reference1"/>
    <w:rPr>
      <w:rFonts w:ascii="Times New Roman" w:hAnsi="Times New Roman" w:cs="Times New Roman"/>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rsid w:val="00DC6E9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rFonts w:cs="Times New Roman"/>
      <w:color w:val="0000FF"/>
      <w:u w:val="single"/>
    </w:rPr>
  </w:style>
  <w:style w:type="character" w:customStyle="1" w:styleId="Heading1Char">
    <w:name w:val="Heading 1 Char"/>
    <w:link w:val="Heading1"/>
    <w:locked/>
    <w:rPr>
      <w:rFonts w:ascii="Times New Roman Bold" w:hAnsi="Times New Roman Bold"/>
      <w:b/>
      <w:caps/>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Pr>
      <w:lang w:val="en-US" w:eastAsia="en-US" w:bidi="ar-SA"/>
    </w:rPr>
  </w:style>
  <w:style w:type="character" w:customStyle="1" w:styleId="StyleNumberedparagraphs11ptChar">
    <w:name w:val="Style Numbered paragraphs + 11 pt Char"/>
    <w:rPr>
      <w:rFonts w:cs="Times New Roman"/>
      <w:sz w:val="22"/>
      <w:lang w:val="en-US" w:eastAsia="en-US" w:bidi="ar-SA"/>
    </w:rPr>
  </w:style>
  <w:style w:type="character" w:customStyle="1" w:styleId="ParaNumChar">
    <w:name w:val="ParaNum Char"/>
    <w:link w:val="ParaNum"/>
    <w:locked/>
    <w:rPr>
      <w:kern w:val="28"/>
      <w:sz w:val="22"/>
      <w:lang w:val="en-US" w:eastAsia="en-US" w:bidi="ar-SA"/>
    </w:rPr>
  </w:style>
  <w:style w:type="character" w:customStyle="1" w:styleId="documentbody">
    <w:name w:val="documentbody"/>
    <w:rPr>
      <w:rFonts w:cs="Times New Roman"/>
    </w:rPr>
  </w:style>
  <w:style w:type="character" w:customStyle="1" w:styleId="searchterm">
    <w:name w:val="searchterm"/>
    <w:rPr>
      <w:rFonts w:cs="Times New Roman"/>
    </w:rPr>
  </w:style>
  <w:style w:type="character" w:customStyle="1" w:styleId="italics1">
    <w:name w:val="italics1"/>
    <w:rPr>
      <w:rFonts w:cs="Times New Roman"/>
      <w:i/>
      <w:iCs/>
    </w:rPr>
  </w:style>
  <w:style w:type="character" w:styleId="Emphasis">
    <w:name w:val="Emphasis"/>
    <w:qFormat/>
    <w:rPr>
      <w:rFonts w:cs="Times New Roman"/>
      <w:i/>
      <w:iCs/>
    </w:rPr>
  </w:style>
  <w:style w:type="character" w:customStyle="1" w:styleId="A3">
    <w:name w:val="A3"/>
    <w:rPr>
      <w:rFonts w:cs="Garamond LightCondensed"/>
      <w:color w:val="000000"/>
      <w:sz w:val="64"/>
      <w:szCs w:val="64"/>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kern w:val="28"/>
      <w:sz w:val="22"/>
    </w:rPr>
  </w:style>
  <w:style w:type="character" w:customStyle="1" w:styleId="Heading3Char">
    <w:name w:val="Heading 3 Char"/>
    <w:link w:val="Heading3"/>
    <w:rPr>
      <w:b/>
      <w:kern w:val="28"/>
      <w:sz w:val="22"/>
      <w:lang w:val="en-US" w:eastAsia="en-US" w:bidi="ar-SA"/>
    </w:rPr>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character" w:customStyle="1" w:styleId="fChar">
    <w:name w:val="f Char"/>
    <w:semiHidden/>
    <w:locked/>
    <w:rPr>
      <w:rFonts w:cs="Times New Roman"/>
      <w:lang w:val="en-US" w:eastAsia="en-US" w:bidi="ar-SA"/>
    </w:rPr>
  </w:style>
  <w:style w:type="character" w:customStyle="1" w:styleId="documentbody1">
    <w:name w:val="documentbody1"/>
    <w:rPr>
      <w:rFonts w:ascii="Verdana" w:hAnsi="Verdana" w:cs="Times New Roman"/>
      <w:sz w:val="19"/>
      <w:szCs w:val="19"/>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70416"/>
    <w:rPr>
      <w:kern w:val="28"/>
      <w:sz w:val="22"/>
    </w:rPr>
  </w:style>
  <w:style w:type="table" w:styleId="TableGrid">
    <w:name w:val="Table Grid"/>
    <w:basedOn w:val="TableNormal"/>
    <w:uiPriority w:val="59"/>
    <w:rsid w:val="008763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3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aliases w:val="Heading 2 Char"/>
    <w:basedOn w:val="Normal"/>
    <w:next w:val="ParaNum"/>
    <w:autoRedefine/>
    <w:qFormat/>
    <w:rsid w:val="00BB31A6"/>
    <w:pPr>
      <w:keepNext/>
      <w:numPr>
        <w:ilvl w:val="1"/>
        <w:numId w:val="2"/>
      </w:numPr>
      <w:spacing w:after="120"/>
      <w:outlineLvl w:val="1"/>
    </w:pPr>
    <w:rPr>
      <w:b/>
    </w:rPr>
  </w:style>
  <w:style w:type="paragraph" w:styleId="Heading3">
    <w:name w:val="heading 3"/>
    <w:basedOn w:val="Normal"/>
    <w:next w:val="ParaNum"/>
    <w:link w:val="Heading3Char"/>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spacing w:after="120"/>
    </w:pPr>
    <w:rPr>
      <w:kern w:val="0"/>
      <w:sz w:val="20"/>
    </w:rPr>
  </w:style>
  <w:style w:type="character" w:styleId="FootnoteReference">
    <w:name w:val="footnote reference"/>
    <w:aliases w:val="Style 12,(NECG) Footnote Reference,Style 13,Appel note de bas de p,Style 124,fr,o,Style 3,FR,Style 6,Style 17,Footnote Reference/,Style 7,Footnote Reference1"/>
    <w:rPr>
      <w:rFonts w:ascii="Times New Roman" w:hAnsi="Times New Roman" w:cs="Times New Roman"/>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rsid w:val="00DC6E9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rFonts w:cs="Times New Roman"/>
      <w:color w:val="0000FF"/>
      <w:u w:val="single"/>
    </w:rPr>
  </w:style>
  <w:style w:type="character" w:customStyle="1" w:styleId="Heading1Char">
    <w:name w:val="Heading 1 Char"/>
    <w:link w:val="Heading1"/>
    <w:locked/>
    <w:rPr>
      <w:rFonts w:ascii="Times New Roman Bold" w:hAnsi="Times New Roman Bold"/>
      <w:b/>
      <w:caps/>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Pr>
      <w:lang w:val="en-US" w:eastAsia="en-US" w:bidi="ar-SA"/>
    </w:rPr>
  </w:style>
  <w:style w:type="character" w:customStyle="1" w:styleId="StyleNumberedparagraphs11ptChar">
    <w:name w:val="Style Numbered paragraphs + 11 pt Char"/>
    <w:rPr>
      <w:rFonts w:cs="Times New Roman"/>
      <w:sz w:val="22"/>
      <w:lang w:val="en-US" w:eastAsia="en-US" w:bidi="ar-SA"/>
    </w:rPr>
  </w:style>
  <w:style w:type="character" w:customStyle="1" w:styleId="ParaNumChar">
    <w:name w:val="ParaNum Char"/>
    <w:link w:val="ParaNum"/>
    <w:locked/>
    <w:rPr>
      <w:kern w:val="28"/>
      <w:sz w:val="22"/>
      <w:lang w:val="en-US" w:eastAsia="en-US" w:bidi="ar-SA"/>
    </w:rPr>
  </w:style>
  <w:style w:type="character" w:customStyle="1" w:styleId="documentbody">
    <w:name w:val="documentbody"/>
    <w:rPr>
      <w:rFonts w:cs="Times New Roman"/>
    </w:rPr>
  </w:style>
  <w:style w:type="character" w:customStyle="1" w:styleId="searchterm">
    <w:name w:val="searchterm"/>
    <w:rPr>
      <w:rFonts w:cs="Times New Roman"/>
    </w:rPr>
  </w:style>
  <w:style w:type="character" w:customStyle="1" w:styleId="italics1">
    <w:name w:val="italics1"/>
    <w:rPr>
      <w:rFonts w:cs="Times New Roman"/>
      <w:i/>
      <w:iCs/>
    </w:rPr>
  </w:style>
  <w:style w:type="character" w:styleId="Emphasis">
    <w:name w:val="Emphasis"/>
    <w:qFormat/>
    <w:rPr>
      <w:rFonts w:cs="Times New Roman"/>
      <w:i/>
      <w:iCs/>
    </w:rPr>
  </w:style>
  <w:style w:type="character" w:customStyle="1" w:styleId="A3">
    <w:name w:val="A3"/>
    <w:rPr>
      <w:rFonts w:cs="Garamond LightCondensed"/>
      <w:color w:val="000000"/>
      <w:sz w:val="64"/>
      <w:szCs w:val="64"/>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kern w:val="28"/>
      <w:sz w:val="22"/>
    </w:rPr>
  </w:style>
  <w:style w:type="character" w:customStyle="1" w:styleId="Heading3Char">
    <w:name w:val="Heading 3 Char"/>
    <w:link w:val="Heading3"/>
    <w:rPr>
      <w:b/>
      <w:kern w:val="28"/>
      <w:sz w:val="22"/>
      <w:lang w:val="en-US" w:eastAsia="en-US" w:bidi="ar-SA"/>
    </w:rPr>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character" w:customStyle="1" w:styleId="fChar">
    <w:name w:val="f Char"/>
    <w:semiHidden/>
    <w:locked/>
    <w:rPr>
      <w:rFonts w:cs="Times New Roman"/>
      <w:lang w:val="en-US" w:eastAsia="en-US" w:bidi="ar-SA"/>
    </w:rPr>
  </w:style>
  <w:style w:type="character" w:customStyle="1" w:styleId="documentbody1">
    <w:name w:val="documentbody1"/>
    <w:rPr>
      <w:rFonts w:ascii="Verdana" w:hAnsi="Verdana" w:cs="Times New Roman"/>
      <w:sz w:val="19"/>
      <w:szCs w:val="19"/>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70416"/>
    <w:rPr>
      <w:kern w:val="28"/>
      <w:sz w:val="22"/>
    </w:rPr>
  </w:style>
  <w:style w:type="table" w:styleId="TableGrid">
    <w:name w:val="Table Grid"/>
    <w:basedOn w:val="TableNormal"/>
    <w:uiPriority w:val="59"/>
    <w:rsid w:val="008763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3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22">
      <w:bodyDiv w:val="1"/>
      <w:marLeft w:val="0"/>
      <w:marRight w:val="0"/>
      <w:marTop w:val="0"/>
      <w:marBottom w:val="0"/>
      <w:divBdr>
        <w:top w:val="none" w:sz="0" w:space="0" w:color="auto"/>
        <w:left w:val="none" w:sz="0" w:space="0" w:color="auto"/>
        <w:bottom w:val="none" w:sz="0" w:space="0" w:color="auto"/>
        <w:right w:val="none" w:sz="0" w:space="0" w:color="auto"/>
      </w:divBdr>
    </w:div>
    <w:div w:id="2002848479">
      <w:bodyDiv w:val="1"/>
      <w:marLeft w:val="0"/>
      <w:marRight w:val="0"/>
      <w:marTop w:val="0"/>
      <w:marBottom w:val="0"/>
      <w:divBdr>
        <w:top w:val="none" w:sz="0" w:space="0" w:color="auto"/>
        <w:left w:val="none" w:sz="0" w:space="0" w:color="auto"/>
        <w:bottom w:val="none" w:sz="0" w:space="0" w:color="auto"/>
        <w:right w:val="none" w:sz="0" w:space="0" w:color="auto"/>
      </w:divBdr>
    </w:div>
    <w:div w:id="21431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sac.org/s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Multiprotocol_Label_Swit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5570</Words>
  <Characters>32356</Characters>
  <Application>Microsoft Office Word</Application>
  <DocSecurity>0</DocSecurity>
  <Lines>683</Lines>
  <Paragraphs>234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38055</CharactersWithSpaces>
  <SharedDoc>false</SharedDoc>
  <HyperlinkBase> </HyperlinkBase>
  <HLinks>
    <vt:vector size="90" baseType="variant">
      <vt:variant>
        <vt:i4>5439501</vt:i4>
      </vt:variant>
      <vt:variant>
        <vt:i4>42</vt:i4>
      </vt:variant>
      <vt:variant>
        <vt:i4>0</vt:i4>
      </vt:variant>
      <vt:variant>
        <vt:i4>5</vt:i4>
      </vt:variant>
      <vt:variant>
        <vt:lpwstr>http://www.usac.org/sl/applicants/beforeyoubegin/eligible-services/cost-allocations.aspx</vt:lpwstr>
      </vt:variant>
      <vt:variant>
        <vt:lpwstr/>
      </vt:variant>
      <vt:variant>
        <vt:i4>1638465</vt:i4>
      </vt:variant>
      <vt:variant>
        <vt:i4>39</vt:i4>
      </vt:variant>
      <vt:variant>
        <vt:i4>0</vt:i4>
      </vt:variant>
      <vt:variant>
        <vt:i4>5</vt:i4>
      </vt:variant>
      <vt:variant>
        <vt:lpwstr>http://www.usac.org/_res/documents/sl/pdf/ESL_archive/EligibleServicesList-2013.pdf</vt:lpwstr>
      </vt:variant>
      <vt:variant>
        <vt:lpwstr/>
      </vt:variant>
      <vt:variant>
        <vt:i4>2752515</vt:i4>
      </vt:variant>
      <vt:variant>
        <vt:i4>36</vt:i4>
      </vt:variant>
      <vt:variant>
        <vt:i4>0</vt:i4>
      </vt:variant>
      <vt:variant>
        <vt:i4>5</vt:i4>
      </vt:variant>
      <vt:variant>
        <vt:lpwstr>http://www.usac.org/_res/documents/sl/pdf/ESL_archive/EligibleServicesList_101003.pdf</vt:lpwstr>
      </vt:variant>
      <vt:variant>
        <vt:lpwstr/>
      </vt:variant>
      <vt:variant>
        <vt:i4>2162791</vt:i4>
      </vt:variant>
      <vt:variant>
        <vt:i4>33</vt:i4>
      </vt:variant>
      <vt:variant>
        <vt:i4>0</vt:i4>
      </vt:variant>
      <vt:variant>
        <vt:i4>5</vt:i4>
      </vt:variant>
      <vt:variant>
        <vt:lpwstr>http://www.westlaw.com/Find/Default.wl?rs=dfa1.0&amp;vr=2.0&amp;DB=4493&amp;FindType=Y&amp;SerialNum=1997261843</vt:lpwstr>
      </vt:variant>
      <vt:variant>
        <vt:lpwstr/>
      </vt:variant>
      <vt:variant>
        <vt:i4>2162791</vt:i4>
      </vt:variant>
      <vt:variant>
        <vt:i4>30</vt:i4>
      </vt:variant>
      <vt:variant>
        <vt:i4>0</vt:i4>
      </vt:variant>
      <vt:variant>
        <vt:i4>5</vt:i4>
      </vt:variant>
      <vt:variant>
        <vt:lpwstr>http://www.westlaw.com/Find/Default.wl?rs=dfa1.0&amp;vr=2.0&amp;DB=4493&amp;FindType=Y&amp;SerialNum=1997261843</vt:lpwstr>
      </vt:variant>
      <vt:variant>
        <vt:lpwstr/>
      </vt:variant>
      <vt:variant>
        <vt:i4>1179694</vt:i4>
      </vt:variant>
      <vt:variant>
        <vt:i4>27</vt:i4>
      </vt:variant>
      <vt:variant>
        <vt:i4>0</vt:i4>
      </vt:variant>
      <vt:variant>
        <vt:i4>5</vt:i4>
      </vt:variant>
      <vt:variant>
        <vt:lpwstr>http://www.westlaw.com/Find/Default.wl?rs=dfa1.0&amp;vr=2.0&amp;DB=1000546&amp;DocName=47USCAS254&amp;FindType=L&amp;ReferencePositionType=T&amp;ReferencePosition=SP_b1b5000051ac5</vt:lpwstr>
      </vt:variant>
      <vt:variant>
        <vt:lpwstr/>
      </vt:variant>
      <vt:variant>
        <vt:i4>4587563</vt:i4>
      </vt:variant>
      <vt:variant>
        <vt:i4>24</vt:i4>
      </vt:variant>
      <vt:variant>
        <vt:i4>0</vt:i4>
      </vt:variant>
      <vt:variant>
        <vt:i4>5</vt:i4>
      </vt:variant>
      <vt:variant>
        <vt:lpwstr>http://www.westlaw.com/Find/Default.wl?rs=dfa1.0&amp;vr=2.0&amp;DB=1000546&amp;DocName=47USCAS254&amp;FindType=L&amp;ReferencePositionType=T&amp;ReferencePosition=SP_10c0000001331</vt:lpwstr>
      </vt:variant>
      <vt:variant>
        <vt:lpwstr/>
      </vt:variant>
      <vt:variant>
        <vt:i4>3342448</vt:i4>
      </vt:variant>
      <vt:variant>
        <vt:i4>21</vt:i4>
      </vt:variant>
      <vt:variant>
        <vt:i4>0</vt:i4>
      </vt:variant>
      <vt:variant>
        <vt:i4>5</vt:i4>
      </vt:variant>
      <vt:variant>
        <vt:lpwstr>http://www.westlaw.com/Find/Default.wl?rs=dfa1.0&amp;vr=2.0&amp;DB=506&amp;FindType=Y&amp;SerialNum=1999179523</vt:lpwstr>
      </vt:variant>
      <vt:variant>
        <vt:lpwstr/>
      </vt:variant>
      <vt:variant>
        <vt:i4>3342448</vt:i4>
      </vt:variant>
      <vt:variant>
        <vt:i4>18</vt:i4>
      </vt:variant>
      <vt:variant>
        <vt:i4>0</vt:i4>
      </vt:variant>
      <vt:variant>
        <vt:i4>5</vt:i4>
      </vt:variant>
      <vt:variant>
        <vt:lpwstr>http://www.westlaw.com/Find/Default.wl?rs=dfa1.0&amp;vr=2.0&amp;DB=506&amp;FindType=Y&amp;SerialNum=1999179523</vt:lpwstr>
      </vt:variant>
      <vt:variant>
        <vt:lpwstr/>
      </vt:variant>
      <vt:variant>
        <vt:i4>2162791</vt:i4>
      </vt:variant>
      <vt:variant>
        <vt:i4>15</vt:i4>
      </vt:variant>
      <vt:variant>
        <vt:i4>0</vt:i4>
      </vt:variant>
      <vt:variant>
        <vt:i4>5</vt:i4>
      </vt:variant>
      <vt:variant>
        <vt:lpwstr>http://www.westlaw.com/Find/Default.wl?rs=dfa1.0&amp;vr=2.0&amp;DB=4493&amp;FindType=Y&amp;SerialNum=1997261843</vt:lpwstr>
      </vt:variant>
      <vt:variant>
        <vt:lpwstr/>
      </vt:variant>
      <vt:variant>
        <vt:i4>1179694</vt:i4>
      </vt:variant>
      <vt:variant>
        <vt:i4>12</vt:i4>
      </vt:variant>
      <vt:variant>
        <vt:i4>0</vt:i4>
      </vt:variant>
      <vt:variant>
        <vt:i4>5</vt:i4>
      </vt:variant>
      <vt:variant>
        <vt:lpwstr>http://www.westlaw.com/Find/Default.wl?rs=dfa1.0&amp;vr=2.0&amp;DB=1000546&amp;DocName=47USCAS254&amp;FindType=L&amp;ReferencePositionType=T&amp;ReferencePosition=SP_b1b5000051ac5</vt:lpwstr>
      </vt:variant>
      <vt:variant>
        <vt:lpwstr/>
      </vt:variant>
      <vt:variant>
        <vt:i4>4259965</vt:i4>
      </vt:variant>
      <vt:variant>
        <vt:i4>9</vt:i4>
      </vt:variant>
      <vt:variant>
        <vt:i4>0</vt:i4>
      </vt:variant>
      <vt:variant>
        <vt:i4>5</vt:i4>
      </vt:variant>
      <vt:variant>
        <vt:lpwstr>http://www.westlaw.com/Find/Default.wl?rs=dfa1.0&amp;vr=2.0&amp;DB=1000546&amp;DocName=47USCAS254&amp;FindType=L&amp;ReferencePositionType=T&amp;ReferencePosition=SP_1d410000745d2</vt:lpwstr>
      </vt:variant>
      <vt:variant>
        <vt:lpwstr/>
      </vt:variant>
      <vt:variant>
        <vt:i4>1179695</vt:i4>
      </vt:variant>
      <vt:variant>
        <vt:i4>6</vt:i4>
      </vt:variant>
      <vt:variant>
        <vt:i4>0</vt:i4>
      </vt:variant>
      <vt:variant>
        <vt:i4>5</vt:i4>
      </vt:variant>
      <vt:variant>
        <vt:lpwstr>http://www.westlaw.com/Find/Default.wl?rs=dfa1.0&amp;vr=2.0&amp;DB=1000546&amp;DocName=47USCAS254&amp;FindType=L&amp;ReferencePositionType=T&amp;ReferencePosition=SP_555800003bf97</vt:lpwstr>
      </vt:variant>
      <vt:variant>
        <vt:lpwstr/>
      </vt:variant>
      <vt:variant>
        <vt:i4>1179694</vt:i4>
      </vt:variant>
      <vt:variant>
        <vt:i4>3</vt:i4>
      </vt:variant>
      <vt:variant>
        <vt:i4>0</vt:i4>
      </vt:variant>
      <vt:variant>
        <vt:i4>5</vt:i4>
      </vt:variant>
      <vt:variant>
        <vt:lpwstr>http://www.westlaw.com/Find/Default.wl?rs=dfa1.0&amp;vr=2.0&amp;DB=1000546&amp;DocName=47USCAS254&amp;FindType=L&amp;ReferencePositionType=T&amp;ReferencePosition=SP_b1b5000051ac5</vt:lpwstr>
      </vt:variant>
      <vt:variant>
        <vt:lpwstr/>
      </vt:variant>
      <vt:variant>
        <vt:i4>4587563</vt:i4>
      </vt:variant>
      <vt:variant>
        <vt:i4>0</vt:i4>
      </vt:variant>
      <vt:variant>
        <vt:i4>0</vt:i4>
      </vt:variant>
      <vt:variant>
        <vt:i4>5</vt:i4>
      </vt:variant>
      <vt:variant>
        <vt:lpwstr>http://www.westlaw.com/Find/Default.wl?rs=dfa1.0&amp;vr=2.0&amp;DB=1000546&amp;DocName=47USCAS254&amp;FindType=L&amp;ReferencePositionType=T&amp;ReferencePosition=SP_10c0000001331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2013-10-18T16:44:00Z</cp:lastPrinted>
  <dcterms:created xsi:type="dcterms:W3CDTF">2014-10-28T21:09:00Z</dcterms:created>
  <dcterms:modified xsi:type="dcterms:W3CDTF">2014-10-28T21:09:00Z</dcterms:modified>
  <cp:category> </cp:category>
  <cp:contentStatus> </cp:contentStatus>
</cp:coreProperties>
</file>