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E03" w:rsidRPr="00BB7D44" w:rsidRDefault="00371E03" w:rsidP="00BB7D44">
      <w:pPr>
        <w:tabs>
          <w:tab w:val="left" w:pos="1440"/>
        </w:tabs>
        <w:jc w:val="center"/>
        <w:rPr>
          <w:b/>
          <w:szCs w:val="22"/>
        </w:rPr>
      </w:pPr>
      <w:bookmarkStart w:id="0" w:name="_GoBack"/>
      <w:bookmarkEnd w:id="0"/>
      <w:r w:rsidRPr="00BB7D44">
        <w:rPr>
          <w:b/>
          <w:szCs w:val="22"/>
        </w:rPr>
        <w:t>Before the</w:t>
      </w:r>
    </w:p>
    <w:p w:rsidR="00371E03" w:rsidRPr="00BB7D44" w:rsidRDefault="00371E03" w:rsidP="00BB7D44">
      <w:pPr>
        <w:tabs>
          <w:tab w:val="left" w:pos="1440"/>
        </w:tabs>
        <w:jc w:val="center"/>
        <w:rPr>
          <w:b/>
          <w:szCs w:val="22"/>
        </w:rPr>
      </w:pPr>
      <w:r w:rsidRPr="00BB7D44">
        <w:rPr>
          <w:b/>
          <w:szCs w:val="22"/>
        </w:rPr>
        <w:t>Federal Communications Commission</w:t>
      </w:r>
    </w:p>
    <w:p w:rsidR="00371E03" w:rsidRPr="00BB7D44" w:rsidRDefault="00371E03" w:rsidP="00BB7D44">
      <w:pPr>
        <w:tabs>
          <w:tab w:val="left" w:pos="1440"/>
        </w:tabs>
        <w:jc w:val="center"/>
        <w:rPr>
          <w:b/>
          <w:szCs w:val="22"/>
        </w:rPr>
      </w:pPr>
      <w:r w:rsidRPr="00BB7D44">
        <w:rPr>
          <w:b/>
          <w:szCs w:val="22"/>
        </w:rPr>
        <w:t xml:space="preserve">Washington, D.C. </w:t>
      </w:r>
      <w:r w:rsidR="00B17248" w:rsidRPr="00BB7D44">
        <w:rPr>
          <w:b/>
          <w:szCs w:val="22"/>
        </w:rPr>
        <w:t xml:space="preserve"> </w:t>
      </w:r>
      <w:r w:rsidRPr="00BB7D44">
        <w:rPr>
          <w:b/>
          <w:szCs w:val="22"/>
        </w:rPr>
        <w:t>20554</w:t>
      </w:r>
    </w:p>
    <w:p w:rsidR="00371E03" w:rsidRPr="00BB7D44" w:rsidRDefault="00371E03" w:rsidP="00BB7D44">
      <w:pPr>
        <w:tabs>
          <w:tab w:val="left" w:pos="1440"/>
        </w:tabs>
        <w:rPr>
          <w:szCs w:val="22"/>
        </w:rPr>
      </w:pPr>
    </w:p>
    <w:p w:rsidR="00371E03" w:rsidRPr="00BB7D44" w:rsidRDefault="00371E03" w:rsidP="00BB7D44">
      <w:pPr>
        <w:tabs>
          <w:tab w:val="left" w:pos="1440"/>
        </w:tabs>
        <w:rPr>
          <w:szCs w:val="22"/>
        </w:rPr>
      </w:pPr>
    </w:p>
    <w:tbl>
      <w:tblPr>
        <w:tblW w:w="0" w:type="auto"/>
        <w:tblLayout w:type="fixed"/>
        <w:tblLook w:val="0000" w:firstRow="0" w:lastRow="0" w:firstColumn="0" w:lastColumn="0" w:noHBand="0" w:noVBand="0"/>
      </w:tblPr>
      <w:tblGrid>
        <w:gridCol w:w="4698"/>
        <w:gridCol w:w="720"/>
        <w:gridCol w:w="4230"/>
      </w:tblGrid>
      <w:tr w:rsidR="00371E03" w:rsidRPr="00BB7D44">
        <w:tc>
          <w:tcPr>
            <w:tcW w:w="4698" w:type="dxa"/>
          </w:tcPr>
          <w:p w:rsidR="00371E03" w:rsidRPr="00BB7D44" w:rsidRDefault="00371E03" w:rsidP="00BB7D44">
            <w:pPr>
              <w:tabs>
                <w:tab w:val="left" w:pos="1440"/>
              </w:tabs>
              <w:ind w:right="-18"/>
              <w:rPr>
                <w:szCs w:val="22"/>
              </w:rPr>
            </w:pPr>
            <w:r w:rsidRPr="00BB7D44">
              <w:rPr>
                <w:szCs w:val="22"/>
              </w:rPr>
              <w:t xml:space="preserve">In the </w:t>
            </w:r>
            <w:r w:rsidR="00BD66AB" w:rsidRPr="00BB7D44">
              <w:rPr>
                <w:szCs w:val="22"/>
              </w:rPr>
              <w:t>M</w:t>
            </w:r>
            <w:r w:rsidRPr="00BB7D44">
              <w:rPr>
                <w:szCs w:val="22"/>
              </w:rPr>
              <w:t>atter of</w:t>
            </w:r>
          </w:p>
          <w:p w:rsidR="00371E03" w:rsidRPr="00BB7D44" w:rsidRDefault="00371E03" w:rsidP="00BB7D44">
            <w:pPr>
              <w:tabs>
                <w:tab w:val="left" w:pos="1440"/>
              </w:tabs>
              <w:ind w:right="-18"/>
              <w:rPr>
                <w:szCs w:val="22"/>
              </w:rPr>
            </w:pPr>
          </w:p>
          <w:p w:rsidR="00371E03" w:rsidRPr="00BB7D44" w:rsidRDefault="00371E03" w:rsidP="00BB7D44">
            <w:pPr>
              <w:tabs>
                <w:tab w:val="left" w:pos="1440"/>
              </w:tabs>
              <w:ind w:right="-18"/>
              <w:rPr>
                <w:szCs w:val="22"/>
              </w:rPr>
            </w:pPr>
            <w:r w:rsidRPr="00BB7D44">
              <w:rPr>
                <w:szCs w:val="22"/>
              </w:rPr>
              <w:t xml:space="preserve">First Baptist Church, Jonesboro, </w:t>
            </w:r>
            <w:r w:rsidR="00BB6298" w:rsidRPr="00BB7D44">
              <w:rPr>
                <w:szCs w:val="22"/>
              </w:rPr>
              <w:t>Arkansas</w:t>
            </w:r>
          </w:p>
          <w:p w:rsidR="00371E03" w:rsidRPr="00BB7D44" w:rsidRDefault="00371E03" w:rsidP="00BB7D44">
            <w:pPr>
              <w:tabs>
                <w:tab w:val="left" w:pos="1440"/>
              </w:tabs>
              <w:ind w:right="-18"/>
              <w:rPr>
                <w:szCs w:val="22"/>
              </w:rPr>
            </w:pPr>
          </w:p>
          <w:p w:rsidR="00BB7D44" w:rsidRDefault="00371E03" w:rsidP="00BB7D44">
            <w:pPr>
              <w:tabs>
                <w:tab w:val="left" w:pos="1440"/>
              </w:tabs>
              <w:ind w:right="-18"/>
              <w:rPr>
                <w:szCs w:val="22"/>
              </w:rPr>
            </w:pPr>
            <w:r w:rsidRPr="00BB7D44">
              <w:rPr>
                <w:szCs w:val="22"/>
              </w:rPr>
              <w:t xml:space="preserve">Request for Exemption from </w:t>
            </w:r>
            <w:r w:rsidR="00BB7D44">
              <w:rPr>
                <w:szCs w:val="22"/>
              </w:rPr>
              <w:t>the</w:t>
            </w:r>
          </w:p>
          <w:p w:rsidR="00371E03" w:rsidRPr="00BB7D44" w:rsidRDefault="00371E03" w:rsidP="00BB7D44">
            <w:pPr>
              <w:tabs>
                <w:tab w:val="left" w:pos="1440"/>
              </w:tabs>
              <w:ind w:right="-18"/>
              <w:rPr>
                <w:szCs w:val="22"/>
              </w:rPr>
            </w:pPr>
            <w:r w:rsidRPr="00BB7D44">
              <w:rPr>
                <w:szCs w:val="22"/>
              </w:rPr>
              <w:t xml:space="preserve">Closed Captioning </w:t>
            </w:r>
            <w:r w:rsidR="00BB7D44">
              <w:rPr>
                <w:szCs w:val="22"/>
              </w:rPr>
              <w:t>Requirements</w:t>
            </w:r>
          </w:p>
        </w:tc>
        <w:tc>
          <w:tcPr>
            <w:tcW w:w="720" w:type="dxa"/>
          </w:tcPr>
          <w:p w:rsidR="00371E03" w:rsidRPr="00BB7D44" w:rsidRDefault="00371E03" w:rsidP="00BB7D44">
            <w:pPr>
              <w:tabs>
                <w:tab w:val="left" w:pos="1440"/>
              </w:tabs>
              <w:rPr>
                <w:b/>
                <w:szCs w:val="22"/>
              </w:rPr>
            </w:pPr>
            <w:r w:rsidRPr="00BB7D44">
              <w:rPr>
                <w:b/>
                <w:szCs w:val="22"/>
              </w:rPr>
              <w:t>)</w:t>
            </w:r>
          </w:p>
          <w:p w:rsidR="00371E03" w:rsidRPr="00BB7D44" w:rsidRDefault="00371E03" w:rsidP="00BB7D44">
            <w:pPr>
              <w:tabs>
                <w:tab w:val="left" w:pos="1440"/>
              </w:tabs>
              <w:rPr>
                <w:b/>
                <w:szCs w:val="22"/>
              </w:rPr>
            </w:pPr>
            <w:r w:rsidRPr="00BB7D44">
              <w:rPr>
                <w:b/>
                <w:szCs w:val="22"/>
              </w:rPr>
              <w:t>)</w:t>
            </w:r>
          </w:p>
          <w:p w:rsidR="00371E03" w:rsidRPr="00BB7D44" w:rsidRDefault="00371E03" w:rsidP="00BB7D44">
            <w:pPr>
              <w:tabs>
                <w:tab w:val="left" w:pos="1440"/>
              </w:tabs>
              <w:rPr>
                <w:b/>
                <w:szCs w:val="22"/>
              </w:rPr>
            </w:pPr>
            <w:r w:rsidRPr="00BB7D44">
              <w:rPr>
                <w:b/>
                <w:szCs w:val="22"/>
              </w:rPr>
              <w:t>)</w:t>
            </w:r>
          </w:p>
          <w:p w:rsidR="00371E03" w:rsidRPr="00BB7D44" w:rsidRDefault="00371E03" w:rsidP="00BB7D44">
            <w:pPr>
              <w:tabs>
                <w:tab w:val="left" w:pos="1440"/>
              </w:tabs>
              <w:rPr>
                <w:b/>
                <w:szCs w:val="22"/>
              </w:rPr>
            </w:pPr>
            <w:r w:rsidRPr="00BB7D44">
              <w:rPr>
                <w:b/>
                <w:szCs w:val="22"/>
              </w:rPr>
              <w:t>)</w:t>
            </w:r>
          </w:p>
          <w:p w:rsidR="00371E03" w:rsidRPr="00BB7D44" w:rsidRDefault="00371E03" w:rsidP="00BB7D44">
            <w:pPr>
              <w:tabs>
                <w:tab w:val="left" w:pos="1440"/>
              </w:tabs>
              <w:rPr>
                <w:b/>
                <w:szCs w:val="22"/>
              </w:rPr>
            </w:pPr>
            <w:r w:rsidRPr="00BB7D44">
              <w:rPr>
                <w:b/>
                <w:szCs w:val="22"/>
              </w:rPr>
              <w:t>)</w:t>
            </w:r>
          </w:p>
          <w:p w:rsidR="00371E03" w:rsidRPr="00BB7D44" w:rsidRDefault="00371E03" w:rsidP="00BB7D44">
            <w:pPr>
              <w:tabs>
                <w:tab w:val="left" w:pos="1440"/>
              </w:tabs>
              <w:rPr>
                <w:b/>
                <w:szCs w:val="22"/>
              </w:rPr>
            </w:pPr>
            <w:r w:rsidRPr="00BB7D44">
              <w:rPr>
                <w:b/>
                <w:szCs w:val="22"/>
              </w:rPr>
              <w:t>)</w:t>
            </w:r>
          </w:p>
          <w:p w:rsidR="00371E03" w:rsidRPr="00BB7D44" w:rsidRDefault="00371E03" w:rsidP="00BB7D44">
            <w:pPr>
              <w:tabs>
                <w:tab w:val="left" w:pos="1440"/>
              </w:tabs>
              <w:rPr>
                <w:b/>
                <w:szCs w:val="22"/>
              </w:rPr>
            </w:pPr>
          </w:p>
        </w:tc>
        <w:tc>
          <w:tcPr>
            <w:tcW w:w="4230" w:type="dxa"/>
          </w:tcPr>
          <w:p w:rsidR="00371E03" w:rsidRPr="00BB7D44" w:rsidRDefault="00371E03" w:rsidP="00BB7D44">
            <w:pPr>
              <w:tabs>
                <w:tab w:val="left" w:pos="1440"/>
              </w:tabs>
              <w:rPr>
                <w:szCs w:val="22"/>
              </w:rPr>
            </w:pPr>
          </w:p>
          <w:p w:rsidR="00371E03" w:rsidRPr="00BB7D44" w:rsidRDefault="00371E03" w:rsidP="00BB7D44">
            <w:pPr>
              <w:tabs>
                <w:tab w:val="left" w:pos="1440"/>
              </w:tabs>
              <w:rPr>
                <w:szCs w:val="22"/>
              </w:rPr>
            </w:pPr>
          </w:p>
          <w:p w:rsidR="00371E03" w:rsidRPr="00BB7D44" w:rsidRDefault="0005623A" w:rsidP="00BB7D44">
            <w:pPr>
              <w:tabs>
                <w:tab w:val="left" w:pos="1440"/>
              </w:tabs>
              <w:rPr>
                <w:spacing w:val="-2"/>
                <w:szCs w:val="22"/>
              </w:rPr>
            </w:pPr>
            <w:r w:rsidRPr="00BB7D44">
              <w:rPr>
                <w:spacing w:val="-2"/>
                <w:szCs w:val="22"/>
              </w:rPr>
              <w:t>CGB-CC-0303</w:t>
            </w:r>
          </w:p>
          <w:p w:rsidR="0005623A" w:rsidRPr="00BB7D44" w:rsidRDefault="0005623A" w:rsidP="00BB7D44">
            <w:pPr>
              <w:tabs>
                <w:tab w:val="left" w:pos="1440"/>
              </w:tabs>
              <w:rPr>
                <w:szCs w:val="22"/>
              </w:rPr>
            </w:pPr>
          </w:p>
          <w:p w:rsidR="00371E03" w:rsidRPr="00BB7D44" w:rsidRDefault="00371E03" w:rsidP="00BB7D44">
            <w:pPr>
              <w:tabs>
                <w:tab w:val="left" w:pos="1440"/>
              </w:tabs>
              <w:rPr>
                <w:spacing w:val="-2"/>
                <w:szCs w:val="22"/>
              </w:rPr>
            </w:pPr>
            <w:r w:rsidRPr="00BB7D44">
              <w:rPr>
                <w:spacing w:val="-2"/>
                <w:szCs w:val="22"/>
              </w:rPr>
              <w:t>CG Docket No. 06-181</w:t>
            </w:r>
          </w:p>
          <w:p w:rsidR="00371E03" w:rsidRPr="00BB7D44" w:rsidRDefault="00371E03" w:rsidP="00BB7D44">
            <w:pPr>
              <w:tabs>
                <w:tab w:val="left" w:pos="1440"/>
              </w:tabs>
              <w:rPr>
                <w:spacing w:val="-2"/>
                <w:szCs w:val="22"/>
              </w:rPr>
            </w:pPr>
          </w:p>
          <w:p w:rsidR="00371E03" w:rsidRPr="00BB7D44" w:rsidRDefault="00371E03" w:rsidP="00BB7D44">
            <w:pPr>
              <w:tabs>
                <w:tab w:val="left" w:pos="1440"/>
              </w:tabs>
              <w:rPr>
                <w:szCs w:val="22"/>
              </w:rPr>
            </w:pPr>
          </w:p>
        </w:tc>
      </w:tr>
    </w:tbl>
    <w:p w:rsidR="00371E03" w:rsidRPr="00BB7D44" w:rsidRDefault="00371E03" w:rsidP="00BB7D44">
      <w:pPr>
        <w:tabs>
          <w:tab w:val="left" w:pos="1440"/>
        </w:tabs>
        <w:jc w:val="center"/>
        <w:rPr>
          <w:b/>
          <w:szCs w:val="22"/>
        </w:rPr>
      </w:pPr>
      <w:r w:rsidRPr="00BB7D44">
        <w:rPr>
          <w:b/>
          <w:spacing w:val="-2"/>
          <w:szCs w:val="22"/>
        </w:rPr>
        <w:t>MEMORANDUM OPINION AND ORDER</w:t>
      </w:r>
    </w:p>
    <w:p w:rsidR="00371E03" w:rsidRPr="00BB7D44" w:rsidRDefault="00371E03" w:rsidP="00BB7D44">
      <w:pPr>
        <w:tabs>
          <w:tab w:val="left" w:pos="1440"/>
        </w:tabs>
        <w:rPr>
          <w:szCs w:val="22"/>
        </w:rPr>
      </w:pPr>
    </w:p>
    <w:p w:rsidR="00371E03" w:rsidRPr="00BB7D44" w:rsidRDefault="00371E03" w:rsidP="00BB7D44">
      <w:pPr>
        <w:tabs>
          <w:tab w:val="left" w:pos="1440"/>
          <w:tab w:val="right" w:pos="9360"/>
        </w:tabs>
        <w:rPr>
          <w:b/>
          <w:szCs w:val="22"/>
        </w:rPr>
      </w:pPr>
      <w:r w:rsidRPr="00BB7D44">
        <w:rPr>
          <w:b/>
          <w:szCs w:val="22"/>
        </w:rPr>
        <w:t>Adopted:</w:t>
      </w:r>
      <w:r w:rsidR="00BD6771">
        <w:rPr>
          <w:b/>
          <w:szCs w:val="22"/>
        </w:rPr>
        <w:t xml:space="preserve">  October 24, 2014</w:t>
      </w:r>
      <w:r w:rsidRPr="00BB7D44">
        <w:rPr>
          <w:b/>
          <w:szCs w:val="22"/>
        </w:rPr>
        <w:tab/>
        <w:t xml:space="preserve">Released:  </w:t>
      </w:r>
      <w:r w:rsidR="00BD6771">
        <w:rPr>
          <w:b/>
          <w:spacing w:val="-2"/>
          <w:szCs w:val="22"/>
        </w:rPr>
        <w:t>October 24, 2014</w:t>
      </w:r>
    </w:p>
    <w:p w:rsidR="00371E03" w:rsidRPr="00BB7D44" w:rsidRDefault="00371E03" w:rsidP="00BB7D44">
      <w:pPr>
        <w:tabs>
          <w:tab w:val="left" w:pos="1440"/>
          <w:tab w:val="left" w:pos="5760"/>
        </w:tabs>
        <w:rPr>
          <w:b/>
          <w:szCs w:val="22"/>
        </w:rPr>
      </w:pPr>
    </w:p>
    <w:p w:rsidR="00371E03" w:rsidRPr="00BB7D44" w:rsidRDefault="00371E03" w:rsidP="00BB7D44">
      <w:pPr>
        <w:tabs>
          <w:tab w:val="left" w:pos="1440"/>
          <w:tab w:val="left" w:pos="5760"/>
        </w:tabs>
        <w:rPr>
          <w:szCs w:val="22"/>
        </w:rPr>
      </w:pPr>
      <w:r w:rsidRPr="00BB7D44">
        <w:rPr>
          <w:szCs w:val="22"/>
        </w:rPr>
        <w:t xml:space="preserve">By the </w:t>
      </w:r>
      <w:r w:rsidR="009F3096" w:rsidRPr="00BB7D44">
        <w:rPr>
          <w:szCs w:val="22"/>
        </w:rPr>
        <w:t>Deputy</w:t>
      </w:r>
      <w:r w:rsidR="00664651" w:rsidRPr="00BB7D44">
        <w:rPr>
          <w:szCs w:val="22"/>
        </w:rPr>
        <w:t xml:space="preserve"> </w:t>
      </w:r>
      <w:r w:rsidRPr="00BB7D44">
        <w:rPr>
          <w:spacing w:val="-2"/>
          <w:szCs w:val="22"/>
        </w:rPr>
        <w:t>Chief, Consumer and Governmental Affairs Bureau:</w:t>
      </w:r>
    </w:p>
    <w:p w:rsidR="00371E03" w:rsidRPr="00BB7D44" w:rsidRDefault="00371E03" w:rsidP="00BB7D44">
      <w:pPr>
        <w:tabs>
          <w:tab w:val="left" w:pos="1440"/>
        </w:tabs>
        <w:rPr>
          <w:szCs w:val="22"/>
        </w:rPr>
      </w:pPr>
    </w:p>
    <w:p w:rsidR="00EF249F" w:rsidRPr="00BB7D44" w:rsidRDefault="00EF249F" w:rsidP="00BB7D44">
      <w:pPr>
        <w:tabs>
          <w:tab w:val="left" w:pos="1440"/>
        </w:tabs>
        <w:rPr>
          <w:szCs w:val="22"/>
        </w:rPr>
      </w:pPr>
    </w:p>
    <w:p w:rsidR="00371E03" w:rsidRPr="00BB7D44" w:rsidRDefault="00371E03" w:rsidP="00BB7D44">
      <w:pPr>
        <w:pStyle w:val="Heading1"/>
        <w:keepNext w:val="0"/>
        <w:widowControl/>
        <w:tabs>
          <w:tab w:val="left" w:pos="1440"/>
        </w:tabs>
        <w:spacing w:after="120"/>
        <w:jc w:val="left"/>
        <w:rPr>
          <w:b w:val="0"/>
          <w:szCs w:val="22"/>
        </w:rPr>
      </w:pPr>
      <w:r w:rsidRPr="00BB7D44">
        <w:rPr>
          <w:szCs w:val="22"/>
        </w:rPr>
        <w:t>INTRODUCTION</w:t>
      </w:r>
    </w:p>
    <w:p w:rsidR="009F3096" w:rsidRPr="00BB7D44" w:rsidRDefault="005B3ECF" w:rsidP="00BB7D44">
      <w:pPr>
        <w:pStyle w:val="ParaNum"/>
        <w:widowControl/>
        <w:tabs>
          <w:tab w:val="clear" w:pos="1440"/>
          <w:tab w:val="clear" w:pos="2340"/>
        </w:tabs>
        <w:spacing w:after="120"/>
        <w:ind w:left="0"/>
        <w:jc w:val="left"/>
        <w:rPr>
          <w:szCs w:val="22"/>
        </w:rPr>
      </w:pPr>
      <w:r w:rsidRPr="00BB7D44">
        <w:rPr>
          <w:szCs w:val="22"/>
        </w:rPr>
        <w:t xml:space="preserve">In this </w:t>
      </w:r>
      <w:r w:rsidR="005262A5" w:rsidRPr="00BB7D44">
        <w:rPr>
          <w:szCs w:val="22"/>
        </w:rPr>
        <w:t xml:space="preserve">Memorandum Opinion and </w:t>
      </w:r>
      <w:r w:rsidR="00456D01" w:rsidRPr="00BB7D44">
        <w:rPr>
          <w:szCs w:val="22"/>
        </w:rPr>
        <w:t>Order</w:t>
      </w:r>
      <w:r w:rsidR="005262A5" w:rsidRPr="00BB7D44">
        <w:rPr>
          <w:szCs w:val="22"/>
        </w:rPr>
        <w:t xml:space="preserve"> (Order)</w:t>
      </w:r>
      <w:r w:rsidRPr="00BB7D44">
        <w:rPr>
          <w:szCs w:val="22"/>
        </w:rPr>
        <w:t xml:space="preserve">, we </w:t>
      </w:r>
      <w:r w:rsidR="00456D01" w:rsidRPr="00BB7D44">
        <w:rPr>
          <w:szCs w:val="22"/>
        </w:rPr>
        <w:t>address a petition</w:t>
      </w:r>
      <w:r w:rsidR="007D7716" w:rsidRPr="00BB7D44">
        <w:rPr>
          <w:szCs w:val="22"/>
        </w:rPr>
        <w:t xml:space="preserve"> </w:t>
      </w:r>
      <w:r w:rsidR="0021541C" w:rsidRPr="00BB7D44">
        <w:rPr>
          <w:szCs w:val="22"/>
        </w:rPr>
        <w:t>filed by First Baptist Church (FBC)</w:t>
      </w:r>
      <w:r w:rsidR="00BB6298" w:rsidRPr="00BB7D44">
        <w:rPr>
          <w:szCs w:val="22"/>
        </w:rPr>
        <w:t>,</w:t>
      </w:r>
      <w:r w:rsidR="00384BF8" w:rsidRPr="00BB7D44">
        <w:rPr>
          <w:szCs w:val="22"/>
        </w:rPr>
        <w:t xml:space="preserve"> Jonesboro, Arkansas,</w:t>
      </w:r>
      <w:r w:rsidR="0021541C" w:rsidRPr="00BB7D44">
        <w:rPr>
          <w:szCs w:val="22"/>
        </w:rPr>
        <w:t xml:space="preserve"> </w:t>
      </w:r>
      <w:r w:rsidR="00456D01" w:rsidRPr="00BB7D44">
        <w:rPr>
          <w:szCs w:val="22"/>
        </w:rPr>
        <w:t>for</w:t>
      </w:r>
      <w:r w:rsidR="00080ADB" w:rsidRPr="00BB7D44">
        <w:rPr>
          <w:szCs w:val="22"/>
        </w:rPr>
        <w:t xml:space="preserve"> an</w:t>
      </w:r>
      <w:r w:rsidR="00456D01" w:rsidRPr="00BB7D44">
        <w:rPr>
          <w:szCs w:val="22"/>
        </w:rPr>
        <w:t xml:space="preserve"> exemption from the </w:t>
      </w:r>
      <w:r w:rsidR="009F3096" w:rsidRPr="00BB7D44">
        <w:rPr>
          <w:szCs w:val="22"/>
        </w:rPr>
        <w:t xml:space="preserve">Federal Communication </w:t>
      </w:r>
      <w:r w:rsidR="00456D01" w:rsidRPr="00BB7D44">
        <w:rPr>
          <w:szCs w:val="22"/>
        </w:rPr>
        <w:t xml:space="preserve">Commission’s </w:t>
      </w:r>
      <w:r w:rsidR="009F3096" w:rsidRPr="00BB7D44">
        <w:rPr>
          <w:szCs w:val="22"/>
        </w:rPr>
        <w:t xml:space="preserve">(FCC’s or Commission’s) </w:t>
      </w:r>
      <w:r w:rsidR="00456D01" w:rsidRPr="00BB7D44">
        <w:rPr>
          <w:szCs w:val="22"/>
        </w:rPr>
        <w:t xml:space="preserve">closed captioning </w:t>
      </w:r>
      <w:r w:rsidR="003E18AA" w:rsidRPr="00BB7D44">
        <w:rPr>
          <w:szCs w:val="22"/>
        </w:rPr>
        <w:t>requirements</w:t>
      </w:r>
      <w:r w:rsidRPr="00BB7D44">
        <w:rPr>
          <w:szCs w:val="22"/>
        </w:rPr>
        <w:t xml:space="preserve"> </w:t>
      </w:r>
      <w:r w:rsidR="00A25261" w:rsidRPr="00BB7D44">
        <w:rPr>
          <w:szCs w:val="22"/>
        </w:rPr>
        <w:t xml:space="preserve">for </w:t>
      </w:r>
      <w:r w:rsidR="001C4F43">
        <w:rPr>
          <w:szCs w:val="22"/>
        </w:rPr>
        <w:t>FBC’s</w:t>
      </w:r>
      <w:r w:rsidRPr="00BB7D44">
        <w:rPr>
          <w:szCs w:val="22"/>
        </w:rPr>
        <w:t xml:space="preserve"> </w:t>
      </w:r>
      <w:r w:rsidR="003100CA">
        <w:rPr>
          <w:szCs w:val="22"/>
        </w:rPr>
        <w:t>weekly worship service broadcast on Sunday morning</w:t>
      </w:r>
      <w:r w:rsidR="009F3096" w:rsidRPr="00BB7D44">
        <w:rPr>
          <w:szCs w:val="22"/>
        </w:rPr>
        <w:t xml:space="preserve">.  Because we conclude that FBC has not demonstrated that its compliance with the Commission’s closed captioning requirements </w:t>
      </w:r>
      <w:r w:rsidR="003100CA">
        <w:rPr>
          <w:szCs w:val="22"/>
        </w:rPr>
        <w:t xml:space="preserve">for this program </w:t>
      </w:r>
      <w:r w:rsidR="009F3096" w:rsidRPr="00BB7D44">
        <w:rPr>
          <w:szCs w:val="22"/>
        </w:rPr>
        <w:t>would be economically burdensome to it, we deny the Petition.  In light of our action, FBC must provide closed captioning</w:t>
      </w:r>
      <w:r w:rsidR="00BD6771">
        <w:rPr>
          <w:szCs w:val="22"/>
        </w:rPr>
        <w:t xml:space="preserve"> for its program no later than January 22, 2015</w:t>
      </w:r>
      <w:r w:rsidR="009F3096" w:rsidRPr="00BB7D44">
        <w:rPr>
          <w:szCs w:val="22"/>
        </w:rPr>
        <w:t>, which is 90 days from the date of the release of this Order.</w:t>
      </w:r>
    </w:p>
    <w:p w:rsidR="00FA50A5" w:rsidRPr="00BB7D44" w:rsidRDefault="00FA50A5" w:rsidP="00BB7D44">
      <w:pPr>
        <w:pStyle w:val="Heading1"/>
        <w:keepNext w:val="0"/>
        <w:widowControl/>
        <w:spacing w:after="120"/>
        <w:jc w:val="left"/>
        <w:rPr>
          <w:szCs w:val="22"/>
        </w:rPr>
      </w:pPr>
      <w:r w:rsidRPr="00BB7D44">
        <w:rPr>
          <w:szCs w:val="22"/>
        </w:rPr>
        <w:t>Background</w:t>
      </w:r>
    </w:p>
    <w:p w:rsidR="00FA50A5" w:rsidRPr="00BB7D44" w:rsidRDefault="00FA50A5" w:rsidP="00BB7D44">
      <w:pPr>
        <w:pStyle w:val="ParaNum"/>
        <w:widowControl/>
        <w:tabs>
          <w:tab w:val="clear" w:pos="2340"/>
        </w:tabs>
        <w:spacing w:after="120"/>
        <w:ind w:left="0"/>
        <w:jc w:val="left"/>
        <w:rPr>
          <w:szCs w:val="22"/>
        </w:rPr>
      </w:pPr>
      <w:r w:rsidRPr="00BB7D44">
        <w:rPr>
          <w:szCs w:val="22"/>
        </w:rPr>
        <w:t>In 1996, Congress added section 713 to the Communications Act of 1934, as amended (Communications Act), establishing requirements for closed captioning of video programming to ensure access to such programming by people who are deaf or hard of hearing,</w:t>
      </w:r>
      <w:r w:rsidRPr="00BB7D44">
        <w:rPr>
          <w:szCs w:val="22"/>
          <w:vertAlign w:val="superscript"/>
        </w:rPr>
        <w:footnoteReference w:id="2"/>
      </w:r>
      <w:r w:rsidRPr="00BB7D44">
        <w:rPr>
          <w:szCs w:val="22"/>
        </w:rPr>
        <w:t xml:space="preserve"> and directing the Commission to prescribe rules to carry out this mandate.</w:t>
      </w:r>
      <w:r w:rsidRPr="00BB7D44">
        <w:rPr>
          <w:szCs w:val="22"/>
          <w:vertAlign w:val="superscript"/>
        </w:rPr>
        <w:footnoteReference w:id="3"/>
      </w:r>
      <w:r w:rsidRPr="00BB7D44">
        <w:rPr>
          <w:szCs w:val="22"/>
        </w:rPr>
        <w:t xml:space="preserve">  In 1997, the Commission adopted rules and implementation schedules for closed captioning, which became effective on January 1, 1998.</w:t>
      </w:r>
      <w:r w:rsidRPr="00BB7D44">
        <w:rPr>
          <w:szCs w:val="22"/>
          <w:vertAlign w:val="superscript"/>
        </w:rPr>
        <w:footnoteReference w:id="4"/>
      </w:r>
      <w:r w:rsidRPr="00BB7D44">
        <w:rPr>
          <w:szCs w:val="22"/>
        </w:rPr>
        <w:t xml:space="preserve">  The Commission’s closed </w:t>
      </w:r>
      <w:r w:rsidRPr="00BB7D44">
        <w:rPr>
          <w:szCs w:val="22"/>
        </w:rPr>
        <w:lastRenderedPageBreak/>
        <w:t>captioning rules currently require video programming distributors, absent an exemption, to caption 100% of all new, English and Spanish language programming.</w:t>
      </w:r>
      <w:r w:rsidRPr="00BB7D44">
        <w:rPr>
          <w:szCs w:val="22"/>
          <w:vertAlign w:val="superscript"/>
        </w:rPr>
        <w:footnoteReference w:id="5"/>
      </w:r>
      <w:r w:rsidRPr="00BB7D44">
        <w:rPr>
          <w:szCs w:val="22"/>
        </w:rPr>
        <w:t xml:space="preserve">  </w:t>
      </w:r>
    </w:p>
    <w:p w:rsidR="00FA50A5" w:rsidRPr="00BB7D44" w:rsidRDefault="00FA50A5" w:rsidP="00BB7D44">
      <w:pPr>
        <w:pStyle w:val="ParaNum"/>
        <w:tabs>
          <w:tab w:val="clear" w:pos="2340"/>
        </w:tabs>
        <w:spacing w:after="120"/>
        <w:ind w:left="0"/>
        <w:jc w:val="left"/>
        <w:rPr>
          <w:szCs w:val="22"/>
        </w:rPr>
      </w:pPr>
      <w:r w:rsidRPr="00BB7D44">
        <w:rPr>
          <w:szCs w:val="22"/>
        </w:rPr>
        <w:t>Section 713(d)(3) of the Communications Act authorizes the Commission to grant individual exemptions from the television closed captioning requirements</w:t>
      </w:r>
      <w:r w:rsidRPr="00BB7D44">
        <w:rPr>
          <w:b/>
          <w:caps/>
          <w:szCs w:val="22"/>
        </w:rPr>
        <w:t xml:space="preserve"> </w:t>
      </w:r>
      <w:r w:rsidRPr="00BB7D44">
        <w:rPr>
          <w:szCs w:val="22"/>
        </w:rPr>
        <w:t>upon a showing that the requirements would be economically burdensome, defined as imposing on the petitioner a “significant difficulty or expense.”</w:t>
      </w:r>
      <w:r w:rsidRPr="00BB7D44">
        <w:rPr>
          <w:szCs w:val="22"/>
          <w:vertAlign w:val="superscript"/>
        </w:rPr>
        <w:footnoteReference w:id="6"/>
      </w:r>
      <w:r w:rsidRPr="00BB7D44">
        <w:rPr>
          <w:szCs w:val="22"/>
        </w:rPr>
        <w:t xml:space="preserve">  Any entity in the programming distribution chain, including the owner, provider, or distributor of the programming, may petition the Commission for such an exemption under section 79.1(f) of the Commission’s rules.</w:t>
      </w:r>
      <w:r w:rsidRPr="00BB7D44">
        <w:rPr>
          <w:szCs w:val="22"/>
          <w:vertAlign w:val="superscript"/>
        </w:rPr>
        <w:footnoteReference w:id="7"/>
      </w:r>
      <w:r w:rsidRPr="00BB7D44">
        <w:rPr>
          <w:szCs w:val="22"/>
        </w:rPr>
        <w:t xml:space="preserve">  When making its determination as to whether a petitioner has made the required showing, the Commission, in accordance with section 713(e) of the Communications Act and section 79.1(f)(2) of the Commission’s rules, considers the following factors on a case-by-case basis:  (1) the nature and cost of the closed captions for the programming; (2) the impact on the operation of the provider or program owner; (3) the financial resources of the provider or program owner; and (4) the type of operations of the provider or program owner.</w:t>
      </w:r>
      <w:r w:rsidRPr="00BB7D44">
        <w:rPr>
          <w:szCs w:val="22"/>
          <w:vertAlign w:val="superscript"/>
        </w:rPr>
        <w:footnoteReference w:id="8"/>
      </w:r>
    </w:p>
    <w:p w:rsidR="00FA50A5" w:rsidRPr="00BB7D44" w:rsidRDefault="00FA50A5" w:rsidP="00BB7D44">
      <w:pPr>
        <w:pStyle w:val="ParaNum"/>
        <w:widowControl/>
        <w:tabs>
          <w:tab w:val="clear" w:pos="2340"/>
        </w:tabs>
        <w:spacing w:after="120"/>
        <w:ind w:left="0"/>
        <w:jc w:val="left"/>
        <w:rPr>
          <w:szCs w:val="22"/>
        </w:rPr>
      </w:pPr>
      <w:r w:rsidRPr="00BB7D44">
        <w:rPr>
          <w:szCs w:val="22"/>
        </w:rPr>
        <w:t xml:space="preserve">The Commission requires the following information and documentation to be submitted with closed captioning exemption petitions to enable its consideration of the above factors:  </w:t>
      </w:r>
    </w:p>
    <w:p w:rsidR="00FA50A5" w:rsidRPr="00BB7D44" w:rsidRDefault="00FA50A5" w:rsidP="00BB7D44">
      <w:pPr>
        <w:numPr>
          <w:ilvl w:val="0"/>
          <w:numId w:val="25"/>
        </w:numPr>
        <w:spacing w:after="120"/>
        <w:rPr>
          <w:szCs w:val="22"/>
        </w:rPr>
      </w:pPr>
      <w:r w:rsidRPr="00BB7D44">
        <w:rPr>
          <w:snapToGrid w:val="0"/>
          <w:kern w:val="28"/>
          <w:szCs w:val="22"/>
        </w:rPr>
        <w:t>the name of the programming (or channel of programming) for which an exemption is requested;</w:t>
      </w:r>
    </w:p>
    <w:p w:rsidR="00FA50A5" w:rsidRPr="00BB7D44" w:rsidRDefault="00FA50A5" w:rsidP="00BB7D44">
      <w:pPr>
        <w:numPr>
          <w:ilvl w:val="0"/>
          <w:numId w:val="25"/>
        </w:numPr>
        <w:spacing w:after="120"/>
        <w:rPr>
          <w:szCs w:val="22"/>
        </w:rPr>
      </w:pPr>
      <w:r w:rsidRPr="00BB7D44">
        <w:rPr>
          <w:snapToGrid w:val="0"/>
          <w:kern w:val="28"/>
          <w:szCs w:val="22"/>
        </w:rPr>
        <w:t xml:space="preserve">information and documentation about the petitioner’s costs associated with closed captioning each program and efforts to find companies that can provide captioning at a reasonable cost; </w:t>
      </w:r>
    </w:p>
    <w:p w:rsidR="00FA50A5" w:rsidRPr="00BB7D44" w:rsidRDefault="00FA50A5" w:rsidP="00BB7D44">
      <w:pPr>
        <w:numPr>
          <w:ilvl w:val="0"/>
          <w:numId w:val="25"/>
        </w:numPr>
        <w:spacing w:after="120"/>
        <w:rPr>
          <w:szCs w:val="22"/>
        </w:rPr>
      </w:pPr>
      <w:r w:rsidRPr="00BB7D44">
        <w:rPr>
          <w:snapToGrid w:val="0"/>
          <w:kern w:val="28"/>
          <w:szCs w:val="22"/>
        </w:rPr>
        <w:t xml:space="preserve">an explanation of the impact that having to provide closed captioning will have on the petitioner’s programming activities; </w:t>
      </w:r>
    </w:p>
    <w:p w:rsidR="00FA50A5" w:rsidRPr="00BB7D44" w:rsidRDefault="00FA50A5" w:rsidP="00BB7D44">
      <w:pPr>
        <w:numPr>
          <w:ilvl w:val="0"/>
          <w:numId w:val="25"/>
        </w:numPr>
        <w:spacing w:after="120"/>
        <w:rPr>
          <w:szCs w:val="22"/>
        </w:rPr>
      </w:pPr>
      <w:r w:rsidRPr="00BB7D44">
        <w:rPr>
          <w:snapToGrid w:val="0"/>
          <w:kern w:val="28"/>
          <w:szCs w:val="22"/>
        </w:rPr>
        <w:t>information and documentation of the petitioner’s financial resources, including its income, expenses, current assets, and current liabilities for the two most recent completed calendar or fiscal years;</w:t>
      </w:r>
    </w:p>
    <w:p w:rsidR="00FA50A5" w:rsidRPr="00BB7D44" w:rsidRDefault="00FA50A5" w:rsidP="00BB7D44">
      <w:pPr>
        <w:numPr>
          <w:ilvl w:val="0"/>
          <w:numId w:val="25"/>
        </w:numPr>
        <w:spacing w:after="120"/>
        <w:rPr>
          <w:szCs w:val="22"/>
        </w:rPr>
      </w:pPr>
      <w:r w:rsidRPr="00BB7D44">
        <w:rPr>
          <w:snapToGrid w:val="0"/>
          <w:kern w:val="28"/>
          <w:szCs w:val="22"/>
        </w:rPr>
        <w:t>verification that the petitioner has sought closed captioning assistance from its video programming distributor(s); and</w:t>
      </w:r>
    </w:p>
    <w:p w:rsidR="00FA50A5" w:rsidRPr="00BB7D44" w:rsidRDefault="00FA50A5" w:rsidP="00BB7D44">
      <w:pPr>
        <w:numPr>
          <w:ilvl w:val="0"/>
          <w:numId w:val="25"/>
        </w:numPr>
        <w:spacing w:after="120"/>
        <w:rPr>
          <w:szCs w:val="22"/>
        </w:rPr>
      </w:pPr>
      <w:r w:rsidRPr="00BB7D44">
        <w:rPr>
          <w:snapToGrid w:val="0"/>
          <w:kern w:val="28"/>
          <w:szCs w:val="22"/>
        </w:rPr>
        <w:t>verification that the petitioner has sought additional sponsorships (other than from its video programming distributor(s)), or other sources of revenue for captioning.</w:t>
      </w:r>
      <w:r w:rsidRPr="00BB7D44">
        <w:rPr>
          <w:snapToGrid w:val="0"/>
          <w:kern w:val="28"/>
          <w:szCs w:val="22"/>
          <w:vertAlign w:val="superscript"/>
        </w:rPr>
        <w:footnoteReference w:id="9"/>
      </w:r>
      <w:r w:rsidRPr="00BB7D44">
        <w:rPr>
          <w:snapToGrid w:val="0"/>
          <w:kern w:val="28"/>
          <w:szCs w:val="22"/>
        </w:rPr>
        <w:t xml:space="preserve">  </w:t>
      </w:r>
    </w:p>
    <w:p w:rsidR="002C1EE7" w:rsidRPr="00BB7D44" w:rsidRDefault="00FA50A5" w:rsidP="00BB7D44">
      <w:pPr>
        <w:pStyle w:val="ParaNum"/>
        <w:widowControl/>
        <w:tabs>
          <w:tab w:val="clear" w:pos="2340"/>
        </w:tabs>
        <w:spacing w:after="120"/>
        <w:ind w:left="0"/>
        <w:jc w:val="left"/>
        <w:rPr>
          <w:szCs w:val="22"/>
        </w:rPr>
      </w:pPr>
      <w:r w:rsidRPr="00BB7D44">
        <w:rPr>
          <w:snapToGrid w:val="0"/>
          <w:szCs w:val="22"/>
        </w:rPr>
        <w:t xml:space="preserve">Each petition must </w:t>
      </w:r>
      <w:r w:rsidRPr="00BB7D44">
        <w:rPr>
          <w:szCs w:val="22"/>
        </w:rPr>
        <w:t>contain a detailed, full showing of any facts or considerations relied upon, supported by affidavit</w:t>
      </w:r>
      <w:r w:rsidRPr="00BB7D44">
        <w:rPr>
          <w:snapToGrid w:val="0"/>
          <w:szCs w:val="22"/>
        </w:rPr>
        <w:t>.</w:t>
      </w:r>
      <w:r w:rsidRPr="00BB7D44">
        <w:rPr>
          <w:szCs w:val="22"/>
          <w:vertAlign w:val="superscript"/>
        </w:rPr>
        <w:footnoteReference w:id="10"/>
      </w:r>
      <w:r w:rsidRPr="00BB7D44">
        <w:rPr>
          <w:snapToGrid w:val="0"/>
          <w:szCs w:val="22"/>
        </w:rPr>
        <w:t xml:space="preserve">  Failure to support an exemption request with adequate explanation and evidence may result in the dismissal of the request.</w:t>
      </w:r>
      <w:r w:rsidRPr="00BB7D44">
        <w:rPr>
          <w:snapToGrid w:val="0"/>
          <w:szCs w:val="22"/>
          <w:vertAlign w:val="superscript"/>
        </w:rPr>
        <w:footnoteReference w:id="11"/>
      </w:r>
      <w:r w:rsidRPr="00BB7D44">
        <w:rPr>
          <w:snapToGrid w:val="0"/>
          <w:szCs w:val="22"/>
        </w:rPr>
        <w:t xml:space="preserve">  While a petition is pending, the programming subject to the request for exemption is considered exempt from the closed captioning requirements.</w:t>
      </w:r>
      <w:r w:rsidRPr="00BB7D44">
        <w:rPr>
          <w:snapToGrid w:val="0"/>
          <w:kern w:val="28"/>
          <w:szCs w:val="22"/>
          <w:vertAlign w:val="superscript"/>
        </w:rPr>
        <w:footnoteReference w:id="12"/>
      </w:r>
    </w:p>
    <w:p w:rsidR="00371E03" w:rsidRPr="00BB7D44" w:rsidRDefault="002C1EE7" w:rsidP="00BB7D44">
      <w:pPr>
        <w:pStyle w:val="ParaNum"/>
        <w:widowControl/>
        <w:tabs>
          <w:tab w:val="clear" w:pos="2340"/>
        </w:tabs>
        <w:spacing w:after="120"/>
        <w:ind w:left="0"/>
        <w:jc w:val="left"/>
        <w:rPr>
          <w:szCs w:val="22"/>
        </w:rPr>
      </w:pPr>
      <w:r w:rsidRPr="00BB7D44">
        <w:rPr>
          <w:szCs w:val="22"/>
        </w:rPr>
        <w:t>FBC initially filed a petition for exemption</w:t>
      </w:r>
      <w:r w:rsidR="00153DAA" w:rsidRPr="00BB7D44">
        <w:rPr>
          <w:szCs w:val="22"/>
        </w:rPr>
        <w:t xml:space="preserve"> by letter dated December 23, 2005</w:t>
      </w:r>
      <w:r w:rsidR="00BB7D44" w:rsidRPr="00BB7D44">
        <w:rPr>
          <w:szCs w:val="22"/>
        </w:rPr>
        <w:t xml:space="preserve">, which was </w:t>
      </w:r>
      <w:r w:rsidR="00153DAA" w:rsidRPr="00BB7D44">
        <w:rPr>
          <w:szCs w:val="22"/>
        </w:rPr>
        <w:t>received by the Commission on January 10,</w:t>
      </w:r>
      <w:r w:rsidRPr="00BB7D44">
        <w:rPr>
          <w:szCs w:val="22"/>
        </w:rPr>
        <w:t xml:space="preserve"> 2006.</w:t>
      </w:r>
      <w:r w:rsidRPr="00BB7D44">
        <w:rPr>
          <w:rStyle w:val="FootnoteReference"/>
          <w:szCs w:val="22"/>
        </w:rPr>
        <w:footnoteReference w:id="13"/>
      </w:r>
      <w:r w:rsidRPr="00BB7D44">
        <w:rPr>
          <w:szCs w:val="22"/>
        </w:rPr>
        <w:t xml:space="preserve">  The Consumer and Governmental Affairs Bureau (CGB or Bureau) granted the petition and issued an exemption to FBC by letter order dated September 11, 2006.</w:t>
      </w:r>
      <w:r w:rsidRPr="00BB7D44">
        <w:rPr>
          <w:rStyle w:val="FootnoteReference"/>
          <w:szCs w:val="22"/>
        </w:rPr>
        <w:footnoteReference w:id="14"/>
      </w:r>
      <w:r w:rsidRPr="00BB7D44">
        <w:rPr>
          <w:szCs w:val="22"/>
        </w:rPr>
        <w:t xml:space="preserve">  On November 7, 2006, the Bureau issued a Public Notice </w:t>
      </w:r>
      <w:r w:rsidR="005A3D43">
        <w:rPr>
          <w:szCs w:val="22"/>
        </w:rPr>
        <w:t xml:space="preserve">that </w:t>
      </w:r>
      <w:r w:rsidRPr="00BB7D44">
        <w:rPr>
          <w:szCs w:val="22"/>
        </w:rPr>
        <w:t>h</w:t>
      </w:r>
      <w:r w:rsidR="005A3D43">
        <w:rPr>
          <w:szCs w:val="22"/>
        </w:rPr>
        <w:t>e</w:t>
      </w:r>
      <w:r w:rsidRPr="00BB7D44">
        <w:rPr>
          <w:szCs w:val="22"/>
        </w:rPr>
        <w:t>ld in abeyance various letter orders granting exemptions, including th</w:t>
      </w:r>
      <w:r w:rsidR="005A3D43">
        <w:rPr>
          <w:szCs w:val="22"/>
        </w:rPr>
        <w:t xml:space="preserve">e letter order that had granted an exemption </w:t>
      </w:r>
      <w:r w:rsidRPr="00BB7D44">
        <w:rPr>
          <w:szCs w:val="22"/>
        </w:rPr>
        <w:t>to FBC, and invit</w:t>
      </w:r>
      <w:r w:rsidR="005A3D43">
        <w:rPr>
          <w:szCs w:val="22"/>
        </w:rPr>
        <w:t>ed</w:t>
      </w:r>
      <w:r w:rsidRPr="00BB7D44">
        <w:rPr>
          <w:szCs w:val="22"/>
        </w:rPr>
        <w:t xml:space="preserve"> comments on certain exemption petitions, including FBC’s.</w:t>
      </w:r>
      <w:r w:rsidRPr="00BB7D44">
        <w:rPr>
          <w:rStyle w:val="FootnoteReference"/>
          <w:szCs w:val="22"/>
        </w:rPr>
        <w:footnoteReference w:id="15"/>
      </w:r>
      <w:r w:rsidRPr="00BB7D44">
        <w:rPr>
          <w:szCs w:val="22"/>
        </w:rPr>
        <w:t xml:space="preserve">  In 2011, the Commission reversed </w:t>
      </w:r>
      <w:r w:rsidR="005A3D43">
        <w:rPr>
          <w:szCs w:val="22"/>
        </w:rPr>
        <w:t xml:space="preserve">FBC’s </w:t>
      </w:r>
      <w:r w:rsidRPr="00BB7D44">
        <w:rPr>
          <w:szCs w:val="22"/>
        </w:rPr>
        <w:t>grant of exemption.</w:t>
      </w:r>
      <w:r w:rsidRPr="00BB7D44">
        <w:rPr>
          <w:rStyle w:val="FootnoteReference"/>
          <w:szCs w:val="22"/>
        </w:rPr>
        <w:footnoteReference w:id="16"/>
      </w:r>
      <w:r w:rsidRPr="00BB7D44">
        <w:rPr>
          <w:szCs w:val="22"/>
        </w:rPr>
        <w:t xml:space="preserve">  </w:t>
      </w:r>
      <w:r w:rsidR="001B45E4" w:rsidRPr="00BB7D44">
        <w:rPr>
          <w:szCs w:val="22"/>
        </w:rPr>
        <w:t>By letter dated October 25, 2011, the Bureau notified FBC of this reversal and explained that FBC would need to file a new exemption petition and supplement the record with up-to-date information, supported by affidavit, about its inability to provide closed captioning if it wished to receive a closed captioning exemption.</w:t>
      </w:r>
      <w:r w:rsidR="001B45E4" w:rsidRPr="00BB7D44">
        <w:rPr>
          <w:rStyle w:val="FootnoteReference"/>
          <w:szCs w:val="22"/>
        </w:rPr>
        <w:footnoteReference w:id="17"/>
      </w:r>
      <w:r w:rsidR="001B45E4" w:rsidRPr="00BB7D44">
        <w:rPr>
          <w:szCs w:val="22"/>
        </w:rPr>
        <w:t xml:space="preserve">  FBC filed a new petition </w:t>
      </w:r>
      <w:r w:rsidR="002A2908" w:rsidRPr="00BB7D44">
        <w:rPr>
          <w:szCs w:val="22"/>
        </w:rPr>
        <w:t xml:space="preserve">dated </w:t>
      </w:r>
      <w:r w:rsidR="001B45E4" w:rsidRPr="00BB7D44">
        <w:rPr>
          <w:szCs w:val="22"/>
        </w:rPr>
        <w:t>January 1</w:t>
      </w:r>
      <w:r w:rsidR="00D6746B" w:rsidRPr="00BB7D44">
        <w:rPr>
          <w:szCs w:val="22"/>
        </w:rPr>
        <w:t>2</w:t>
      </w:r>
      <w:r w:rsidR="001B45E4" w:rsidRPr="00BB7D44">
        <w:rPr>
          <w:szCs w:val="22"/>
        </w:rPr>
        <w:t>, 201</w:t>
      </w:r>
      <w:r w:rsidR="00D6746B" w:rsidRPr="00BB7D44">
        <w:rPr>
          <w:szCs w:val="22"/>
        </w:rPr>
        <w:t>2</w:t>
      </w:r>
      <w:r w:rsidR="001B45E4" w:rsidRPr="00BB7D44">
        <w:rPr>
          <w:szCs w:val="22"/>
        </w:rPr>
        <w:t xml:space="preserve"> (hereinafter Petition).</w:t>
      </w:r>
      <w:r w:rsidR="001B45E4" w:rsidRPr="00BB7D44">
        <w:rPr>
          <w:rStyle w:val="FootnoteReference"/>
          <w:szCs w:val="22"/>
        </w:rPr>
        <w:footnoteReference w:id="18"/>
      </w:r>
      <w:r w:rsidR="001B45E4" w:rsidRPr="00BB7D44">
        <w:rPr>
          <w:szCs w:val="22"/>
        </w:rPr>
        <w:t xml:space="preserve">  </w:t>
      </w:r>
      <w:r w:rsidR="00DD7350" w:rsidRPr="00BB7D44">
        <w:rPr>
          <w:szCs w:val="22"/>
        </w:rPr>
        <w:t xml:space="preserve">On </w:t>
      </w:r>
      <w:r w:rsidRPr="00BB7D44">
        <w:rPr>
          <w:szCs w:val="22"/>
        </w:rPr>
        <w:t>March 1, 2012,</w:t>
      </w:r>
      <w:r w:rsidR="00DD7350" w:rsidRPr="00BB7D44">
        <w:rPr>
          <w:szCs w:val="22"/>
        </w:rPr>
        <w:t xml:space="preserve"> the Bureau invited comment on the Petition.</w:t>
      </w:r>
      <w:r w:rsidRPr="00BB7D44">
        <w:rPr>
          <w:rStyle w:val="FootnoteReference"/>
          <w:szCs w:val="22"/>
        </w:rPr>
        <w:footnoteReference w:id="19"/>
      </w:r>
      <w:r w:rsidRPr="00BB7D44">
        <w:rPr>
          <w:szCs w:val="22"/>
        </w:rPr>
        <w:t xml:space="preserve"> </w:t>
      </w:r>
      <w:r w:rsidR="00DD7350" w:rsidRPr="00BB7D44">
        <w:rPr>
          <w:szCs w:val="22"/>
        </w:rPr>
        <w:t xml:space="preserve"> </w:t>
      </w:r>
      <w:r w:rsidRPr="00BB7D44">
        <w:rPr>
          <w:szCs w:val="22"/>
        </w:rPr>
        <w:t>Consumer Groups jointly filed an opposition</w:t>
      </w:r>
      <w:r w:rsidR="00DD7350" w:rsidRPr="00BB7D44">
        <w:rPr>
          <w:szCs w:val="22"/>
        </w:rPr>
        <w:t xml:space="preserve"> to the Petition</w:t>
      </w:r>
      <w:r w:rsidRPr="00BB7D44">
        <w:rPr>
          <w:szCs w:val="22"/>
        </w:rPr>
        <w:t>.</w:t>
      </w:r>
      <w:r w:rsidRPr="00BB7D44">
        <w:rPr>
          <w:rStyle w:val="FootnoteReference"/>
          <w:szCs w:val="22"/>
        </w:rPr>
        <w:footnoteReference w:id="20"/>
      </w:r>
      <w:r w:rsidRPr="00BB7D44">
        <w:rPr>
          <w:szCs w:val="22"/>
        </w:rPr>
        <w:t xml:space="preserve">  Subsequently, the Bureau determined that it required additional and updated information to enable it to determine whether the programming that was the subject of th</w:t>
      </w:r>
      <w:r w:rsidR="00DD7350" w:rsidRPr="00BB7D44">
        <w:rPr>
          <w:szCs w:val="22"/>
        </w:rPr>
        <w:t>e</w:t>
      </w:r>
      <w:r w:rsidRPr="00BB7D44">
        <w:rPr>
          <w:szCs w:val="22"/>
        </w:rPr>
        <w:t xml:space="preserve"> Petition should be exempt</w:t>
      </w:r>
      <w:r w:rsidR="00DD7350" w:rsidRPr="00BB7D44">
        <w:rPr>
          <w:szCs w:val="22"/>
        </w:rPr>
        <w:t xml:space="preserve"> from the Commission’s closed captioning obligations</w:t>
      </w:r>
      <w:r w:rsidRPr="00BB7D44">
        <w:rPr>
          <w:szCs w:val="22"/>
        </w:rPr>
        <w:t>.</w:t>
      </w:r>
      <w:r w:rsidR="00285760" w:rsidRPr="00BB7D44">
        <w:rPr>
          <w:rStyle w:val="FootnoteReference"/>
          <w:szCs w:val="22"/>
        </w:rPr>
        <w:footnoteReference w:id="21"/>
      </w:r>
      <w:r w:rsidRPr="00BB7D44">
        <w:rPr>
          <w:szCs w:val="22"/>
        </w:rPr>
        <w:t xml:space="preserve"> </w:t>
      </w:r>
      <w:r w:rsidR="00D9121F" w:rsidRPr="00BB7D44">
        <w:rPr>
          <w:szCs w:val="22"/>
        </w:rPr>
        <w:t xml:space="preserve"> </w:t>
      </w:r>
      <w:r w:rsidR="00DD7350" w:rsidRPr="00BB7D44">
        <w:rPr>
          <w:szCs w:val="22"/>
        </w:rPr>
        <w:t>In response to a Bureau letter dated</w:t>
      </w:r>
      <w:r w:rsidRPr="00BB7D44">
        <w:rPr>
          <w:szCs w:val="22"/>
        </w:rPr>
        <w:t xml:space="preserve"> September 27, 2013, FBC </w:t>
      </w:r>
      <w:r w:rsidR="00DD7350" w:rsidRPr="00BB7D44">
        <w:rPr>
          <w:szCs w:val="22"/>
        </w:rPr>
        <w:t>supplemented its Petition.</w:t>
      </w:r>
      <w:r w:rsidR="00DD7350" w:rsidRPr="00BB7D44">
        <w:rPr>
          <w:rStyle w:val="FootnoteReference"/>
          <w:szCs w:val="22"/>
        </w:rPr>
        <w:footnoteReference w:id="22"/>
      </w:r>
      <w:r w:rsidRPr="00BB7D44">
        <w:rPr>
          <w:szCs w:val="22"/>
        </w:rPr>
        <w:t xml:space="preserve">  </w:t>
      </w:r>
      <w:r w:rsidR="00DD7350" w:rsidRPr="00BB7D44">
        <w:rPr>
          <w:szCs w:val="22"/>
        </w:rPr>
        <w:t>T</w:t>
      </w:r>
      <w:r w:rsidRPr="00BB7D44">
        <w:rPr>
          <w:szCs w:val="22"/>
        </w:rPr>
        <w:t xml:space="preserve">he Bureau again placed </w:t>
      </w:r>
      <w:r w:rsidR="00DD7350" w:rsidRPr="00BB7D44">
        <w:rPr>
          <w:szCs w:val="22"/>
        </w:rPr>
        <w:t>the</w:t>
      </w:r>
      <w:r w:rsidRPr="00BB7D44">
        <w:rPr>
          <w:szCs w:val="22"/>
        </w:rPr>
        <w:t xml:space="preserve"> Petition on Public Notice</w:t>
      </w:r>
      <w:r w:rsidR="00DD7350" w:rsidRPr="00BB7D44">
        <w:rPr>
          <w:szCs w:val="22"/>
        </w:rPr>
        <w:t xml:space="preserve"> for comment on December 26, 2013</w:t>
      </w:r>
      <w:r w:rsidRPr="00BB7D44">
        <w:rPr>
          <w:szCs w:val="22"/>
        </w:rPr>
        <w:t>.</w:t>
      </w:r>
      <w:r w:rsidRPr="00BB7D44">
        <w:rPr>
          <w:rStyle w:val="FootnoteReference"/>
          <w:szCs w:val="22"/>
        </w:rPr>
        <w:footnoteReference w:id="23"/>
      </w:r>
      <w:r w:rsidRPr="00BB7D44">
        <w:rPr>
          <w:szCs w:val="22"/>
        </w:rPr>
        <w:t xml:space="preserve">  </w:t>
      </w:r>
      <w:r w:rsidR="00DD7350" w:rsidRPr="00BB7D44">
        <w:rPr>
          <w:szCs w:val="22"/>
        </w:rPr>
        <w:t xml:space="preserve">Again, </w:t>
      </w:r>
      <w:r w:rsidRPr="00BB7D44">
        <w:rPr>
          <w:szCs w:val="22"/>
        </w:rPr>
        <w:t>Consumer Groups jointly filed an opposition to the Petition.</w:t>
      </w:r>
      <w:r w:rsidRPr="00BB7D44">
        <w:rPr>
          <w:rStyle w:val="FootnoteReference"/>
          <w:szCs w:val="22"/>
        </w:rPr>
        <w:footnoteReference w:id="24"/>
      </w:r>
    </w:p>
    <w:p w:rsidR="00371E03" w:rsidRPr="00BB7D44" w:rsidRDefault="00371E03" w:rsidP="00BB7D44">
      <w:pPr>
        <w:pStyle w:val="Heading1"/>
        <w:keepNext w:val="0"/>
        <w:widowControl/>
        <w:tabs>
          <w:tab w:val="left" w:pos="1440"/>
        </w:tabs>
        <w:spacing w:after="120"/>
        <w:jc w:val="left"/>
        <w:rPr>
          <w:szCs w:val="22"/>
        </w:rPr>
      </w:pPr>
      <w:r w:rsidRPr="00BB7D44">
        <w:rPr>
          <w:szCs w:val="22"/>
        </w:rPr>
        <w:t>discussion</w:t>
      </w:r>
    </w:p>
    <w:p w:rsidR="00D20F31" w:rsidRPr="00BB7D44" w:rsidRDefault="00FC3B94" w:rsidP="00BB7D44">
      <w:pPr>
        <w:pStyle w:val="ParaNum"/>
        <w:widowControl/>
        <w:tabs>
          <w:tab w:val="clear" w:pos="1440"/>
          <w:tab w:val="clear" w:pos="2340"/>
        </w:tabs>
        <w:spacing w:after="120"/>
        <w:ind w:left="0"/>
        <w:jc w:val="left"/>
        <w:rPr>
          <w:szCs w:val="22"/>
        </w:rPr>
      </w:pPr>
      <w:r w:rsidRPr="00BB7D44">
        <w:rPr>
          <w:szCs w:val="22"/>
        </w:rPr>
        <w:t>FBC</w:t>
      </w:r>
      <w:r w:rsidR="006213A4" w:rsidRPr="00BB7D44">
        <w:rPr>
          <w:szCs w:val="22"/>
        </w:rPr>
        <w:t xml:space="preserve"> produces a one</w:t>
      </w:r>
      <w:r w:rsidR="007868C7" w:rsidRPr="00BB7D44">
        <w:rPr>
          <w:szCs w:val="22"/>
        </w:rPr>
        <w:t>-</w:t>
      </w:r>
      <w:r w:rsidR="006213A4" w:rsidRPr="00BB7D44">
        <w:rPr>
          <w:szCs w:val="22"/>
        </w:rPr>
        <w:t xml:space="preserve">hour </w:t>
      </w:r>
      <w:r w:rsidR="005A2975" w:rsidRPr="00BB7D44">
        <w:rPr>
          <w:szCs w:val="22"/>
        </w:rPr>
        <w:t xml:space="preserve">program </w:t>
      </w:r>
      <w:r w:rsidR="00C3722D">
        <w:rPr>
          <w:szCs w:val="22"/>
        </w:rPr>
        <w:t xml:space="preserve">of a religious nature </w:t>
      </w:r>
      <w:r w:rsidR="006213A4" w:rsidRPr="00BB7D44">
        <w:rPr>
          <w:szCs w:val="22"/>
        </w:rPr>
        <w:t xml:space="preserve">that is broadcast weekly on </w:t>
      </w:r>
      <w:r w:rsidR="00D20F31" w:rsidRPr="00BB7D44">
        <w:rPr>
          <w:szCs w:val="22"/>
        </w:rPr>
        <w:t xml:space="preserve">Station </w:t>
      </w:r>
      <w:r w:rsidR="006213A4" w:rsidRPr="00BB7D44">
        <w:rPr>
          <w:szCs w:val="22"/>
        </w:rPr>
        <w:t>KAIT</w:t>
      </w:r>
      <w:r w:rsidR="00597B7F" w:rsidRPr="00BB7D44">
        <w:rPr>
          <w:szCs w:val="22"/>
        </w:rPr>
        <w:t>(TV)</w:t>
      </w:r>
      <w:r w:rsidR="00B808A9" w:rsidRPr="00BB7D44">
        <w:rPr>
          <w:szCs w:val="22"/>
        </w:rPr>
        <w:t xml:space="preserve">, </w:t>
      </w:r>
      <w:r w:rsidR="00D20F31" w:rsidRPr="00BB7D44">
        <w:rPr>
          <w:szCs w:val="22"/>
        </w:rPr>
        <w:t>Channel 8</w:t>
      </w:r>
      <w:r w:rsidR="006213A4" w:rsidRPr="00BB7D44">
        <w:rPr>
          <w:szCs w:val="22"/>
        </w:rPr>
        <w:t>, Jonesboro, Arkansas</w:t>
      </w:r>
      <w:r w:rsidR="00B808A9" w:rsidRPr="00BB7D44">
        <w:rPr>
          <w:szCs w:val="22"/>
        </w:rPr>
        <w:t xml:space="preserve"> (KAIT)</w:t>
      </w:r>
      <w:r w:rsidR="00D20F31" w:rsidRPr="00BB7D44">
        <w:rPr>
          <w:szCs w:val="22"/>
        </w:rPr>
        <w:t>, on Sunday mornings</w:t>
      </w:r>
      <w:r w:rsidR="006213A4" w:rsidRPr="00BB7D44">
        <w:rPr>
          <w:szCs w:val="22"/>
        </w:rPr>
        <w:t>.</w:t>
      </w:r>
      <w:r w:rsidRPr="00BB7D44">
        <w:rPr>
          <w:rStyle w:val="FootnoteReference"/>
          <w:szCs w:val="22"/>
        </w:rPr>
        <w:footnoteReference w:id="25"/>
      </w:r>
      <w:r w:rsidRPr="00BB7D44">
        <w:rPr>
          <w:szCs w:val="22"/>
        </w:rPr>
        <w:t xml:space="preserve">  </w:t>
      </w:r>
      <w:r w:rsidR="00D20F31" w:rsidRPr="00BB7D44">
        <w:rPr>
          <w:szCs w:val="22"/>
        </w:rPr>
        <w:t>FBC broadcasts its program live from 11:00 a.m. until noon Central Standard Time each week, except for the week of the Indianapolis 500 car race.</w:t>
      </w:r>
      <w:r w:rsidR="00D20F31" w:rsidRPr="00BB7D44">
        <w:rPr>
          <w:rStyle w:val="FootnoteReference"/>
          <w:szCs w:val="22"/>
        </w:rPr>
        <w:footnoteReference w:id="26"/>
      </w:r>
      <w:r w:rsidR="00D20F31" w:rsidRPr="00BB7D44">
        <w:rPr>
          <w:szCs w:val="22"/>
        </w:rPr>
        <w:t xml:space="preserve">  </w:t>
      </w:r>
      <w:r w:rsidR="00C3722D" w:rsidRPr="0053093C">
        <w:t xml:space="preserve">FBC </w:t>
      </w:r>
      <w:r w:rsidR="00E82A4D">
        <w:t xml:space="preserve">reports that it </w:t>
      </w:r>
      <w:r w:rsidR="00C3722D" w:rsidRPr="0053093C">
        <w:t>has broadcast its services since the 1970s</w:t>
      </w:r>
      <w:r w:rsidR="007F30F7" w:rsidRPr="00BB7D44">
        <w:rPr>
          <w:szCs w:val="22"/>
        </w:rPr>
        <w:t>.</w:t>
      </w:r>
      <w:r w:rsidR="007F30F7" w:rsidRPr="00BB7D44">
        <w:rPr>
          <w:rStyle w:val="FootnoteReference"/>
          <w:szCs w:val="22"/>
        </w:rPr>
        <w:footnoteReference w:id="27"/>
      </w:r>
      <w:r w:rsidR="007F30F7" w:rsidRPr="00BB7D44">
        <w:rPr>
          <w:szCs w:val="22"/>
        </w:rPr>
        <w:t xml:space="preserve">  FBC contends that it is unable to afford closed captioning for its program.</w:t>
      </w:r>
      <w:r w:rsidR="007F30F7" w:rsidRPr="00BB7D44">
        <w:rPr>
          <w:rStyle w:val="FootnoteReference"/>
          <w:szCs w:val="22"/>
        </w:rPr>
        <w:footnoteReference w:id="28"/>
      </w:r>
    </w:p>
    <w:p w:rsidR="00B24639" w:rsidRPr="00BB7D44" w:rsidRDefault="00C30A5D" w:rsidP="00BB7D44">
      <w:pPr>
        <w:pStyle w:val="ParaNum"/>
        <w:widowControl/>
        <w:tabs>
          <w:tab w:val="clear" w:pos="1440"/>
          <w:tab w:val="clear" w:pos="2340"/>
        </w:tabs>
        <w:spacing w:after="120"/>
        <w:ind w:left="0"/>
        <w:jc w:val="left"/>
        <w:rPr>
          <w:szCs w:val="22"/>
        </w:rPr>
      </w:pPr>
      <w:r w:rsidRPr="00BB7D44">
        <w:rPr>
          <w:szCs w:val="22"/>
        </w:rPr>
        <w:t>FBC obtained two quotes to caption its program</w:t>
      </w:r>
      <w:r w:rsidR="003356CC" w:rsidRPr="00BB7D44">
        <w:rPr>
          <w:szCs w:val="22"/>
        </w:rPr>
        <w:t>, one for $</w:t>
      </w:r>
      <w:r w:rsidR="000D2310" w:rsidRPr="00BB7D44">
        <w:rPr>
          <w:szCs w:val="22"/>
        </w:rPr>
        <w:t>120 per week</w:t>
      </w:r>
      <w:r w:rsidR="003356CC" w:rsidRPr="00BB7D44">
        <w:rPr>
          <w:szCs w:val="22"/>
        </w:rPr>
        <w:t xml:space="preserve"> from KAIT,</w:t>
      </w:r>
      <w:r w:rsidR="000D2310" w:rsidRPr="00BB7D44">
        <w:rPr>
          <w:rStyle w:val="FootnoteReference"/>
          <w:szCs w:val="22"/>
        </w:rPr>
        <w:footnoteReference w:id="29"/>
      </w:r>
      <w:r w:rsidR="000D2310" w:rsidRPr="00BB7D44">
        <w:rPr>
          <w:szCs w:val="22"/>
        </w:rPr>
        <w:t xml:space="preserve"> and another for $110 per week</w:t>
      </w:r>
      <w:r w:rsidR="003356CC" w:rsidRPr="00BB7D44">
        <w:rPr>
          <w:szCs w:val="22"/>
        </w:rPr>
        <w:t xml:space="preserve"> from Aberdeen Captioning</w:t>
      </w:r>
      <w:r w:rsidR="000D2310" w:rsidRPr="00BB7D44">
        <w:rPr>
          <w:szCs w:val="22"/>
        </w:rPr>
        <w:t>.</w:t>
      </w:r>
      <w:r w:rsidR="000D2310" w:rsidRPr="00BB7D44">
        <w:rPr>
          <w:rStyle w:val="FootnoteReference"/>
          <w:szCs w:val="22"/>
        </w:rPr>
        <w:footnoteReference w:id="30"/>
      </w:r>
      <w:r w:rsidR="000D2310" w:rsidRPr="00BB7D44">
        <w:rPr>
          <w:szCs w:val="22"/>
        </w:rPr>
        <w:t xml:space="preserve">  </w:t>
      </w:r>
      <w:r w:rsidR="003356CC" w:rsidRPr="00BB7D44">
        <w:rPr>
          <w:szCs w:val="22"/>
        </w:rPr>
        <w:t>Based on these quotes, FBC states that the cost of captioning services for a full year of its program (</w:t>
      </w:r>
      <w:r w:rsidR="003356CC" w:rsidRPr="00BB7D44">
        <w:rPr>
          <w:i/>
          <w:szCs w:val="22"/>
        </w:rPr>
        <w:t>i.e.</w:t>
      </w:r>
      <w:r w:rsidR="00597B7F" w:rsidRPr="00BB7D44">
        <w:rPr>
          <w:szCs w:val="22"/>
        </w:rPr>
        <w:t>,</w:t>
      </w:r>
      <w:r w:rsidR="003356CC" w:rsidRPr="00BB7D44">
        <w:rPr>
          <w:szCs w:val="22"/>
        </w:rPr>
        <w:t xml:space="preserve"> 51 programs) would be $6,120 and $5,610, respectively.</w:t>
      </w:r>
      <w:r w:rsidR="00B24639" w:rsidRPr="00BB7D44">
        <w:rPr>
          <w:rStyle w:val="FootnoteReference"/>
          <w:szCs w:val="22"/>
        </w:rPr>
        <w:footnoteReference w:id="31"/>
      </w:r>
      <w:r w:rsidR="00B24639" w:rsidRPr="00BB7D44">
        <w:rPr>
          <w:szCs w:val="22"/>
        </w:rPr>
        <w:t xml:space="preserve">  </w:t>
      </w:r>
      <w:r w:rsidR="003356CC" w:rsidRPr="00BB7D44">
        <w:rPr>
          <w:szCs w:val="22"/>
        </w:rPr>
        <w:t>FBC also reports that it contacted Link Electronics regarding the cost of purchasing closed captioning equipment and software to provide closed captioning in-house.</w:t>
      </w:r>
      <w:r w:rsidR="003356CC" w:rsidRPr="00BB7D44">
        <w:rPr>
          <w:rStyle w:val="FootnoteReference"/>
          <w:szCs w:val="22"/>
        </w:rPr>
        <w:footnoteReference w:id="32"/>
      </w:r>
      <w:r w:rsidR="003356CC" w:rsidRPr="00BB7D44">
        <w:rPr>
          <w:szCs w:val="22"/>
        </w:rPr>
        <w:t xml:space="preserve">  FBC states that Link Electronics recommended closed captioning equipment that costs</w:t>
      </w:r>
      <w:r w:rsidR="000D2310" w:rsidRPr="00BB7D44">
        <w:rPr>
          <w:szCs w:val="22"/>
        </w:rPr>
        <w:t xml:space="preserve"> $2,550</w:t>
      </w:r>
      <w:r w:rsidR="003100CA">
        <w:rPr>
          <w:szCs w:val="22"/>
        </w:rPr>
        <w:t>, along with</w:t>
      </w:r>
      <w:r w:rsidR="00B44DB3" w:rsidRPr="00BB7D44">
        <w:rPr>
          <w:szCs w:val="22"/>
        </w:rPr>
        <w:t xml:space="preserve"> two types of closed </w:t>
      </w:r>
      <w:r w:rsidR="001744A3" w:rsidRPr="00BB7D44">
        <w:rPr>
          <w:szCs w:val="22"/>
        </w:rPr>
        <w:t xml:space="preserve">captioning </w:t>
      </w:r>
      <w:r w:rsidR="000D2310" w:rsidRPr="00BB7D44">
        <w:rPr>
          <w:szCs w:val="22"/>
        </w:rPr>
        <w:t>software</w:t>
      </w:r>
      <w:r w:rsidR="001744A3" w:rsidRPr="00BB7D44">
        <w:rPr>
          <w:szCs w:val="22"/>
        </w:rPr>
        <w:t>, one</w:t>
      </w:r>
      <w:r w:rsidR="000D2310" w:rsidRPr="00BB7D44">
        <w:rPr>
          <w:szCs w:val="22"/>
        </w:rPr>
        <w:t xml:space="preserve"> </w:t>
      </w:r>
      <w:r w:rsidR="00B44DB3" w:rsidRPr="00BB7D44">
        <w:rPr>
          <w:szCs w:val="22"/>
        </w:rPr>
        <w:t>that costs</w:t>
      </w:r>
      <w:r w:rsidR="000D2310" w:rsidRPr="00BB7D44">
        <w:rPr>
          <w:szCs w:val="22"/>
        </w:rPr>
        <w:t xml:space="preserve"> </w:t>
      </w:r>
      <w:r w:rsidR="001744A3" w:rsidRPr="00BB7D44">
        <w:rPr>
          <w:szCs w:val="22"/>
        </w:rPr>
        <w:t xml:space="preserve">$3,600 and the other </w:t>
      </w:r>
      <w:r w:rsidR="00B44DB3" w:rsidRPr="00BB7D44">
        <w:rPr>
          <w:szCs w:val="22"/>
        </w:rPr>
        <w:t>that costs</w:t>
      </w:r>
      <w:r w:rsidR="001744A3" w:rsidRPr="00BB7D44">
        <w:rPr>
          <w:szCs w:val="22"/>
        </w:rPr>
        <w:t xml:space="preserve"> </w:t>
      </w:r>
      <w:r w:rsidR="000D2310" w:rsidRPr="00BB7D44">
        <w:rPr>
          <w:szCs w:val="22"/>
        </w:rPr>
        <w:t>$8,500.</w:t>
      </w:r>
      <w:r w:rsidR="000D2310" w:rsidRPr="00BB7D44">
        <w:rPr>
          <w:rStyle w:val="FootnoteReference"/>
          <w:szCs w:val="22"/>
        </w:rPr>
        <w:footnoteReference w:id="33"/>
      </w:r>
      <w:r w:rsidR="000D2310" w:rsidRPr="00BB7D44">
        <w:rPr>
          <w:szCs w:val="22"/>
        </w:rPr>
        <w:t xml:space="preserve">  </w:t>
      </w:r>
      <w:r w:rsidR="00B44DB3" w:rsidRPr="00BB7D44">
        <w:rPr>
          <w:szCs w:val="22"/>
        </w:rPr>
        <w:t xml:space="preserve">FBC did not provide information </w:t>
      </w:r>
      <w:r w:rsidR="00B44DB3" w:rsidRPr="00BB7D44">
        <w:rPr>
          <w:spacing w:val="-1"/>
          <w:szCs w:val="22"/>
        </w:rPr>
        <w:t>regarding the</w:t>
      </w:r>
      <w:r w:rsidR="00B44DB3" w:rsidRPr="00BB7D44">
        <w:rPr>
          <w:spacing w:val="-2"/>
          <w:szCs w:val="22"/>
        </w:rPr>
        <w:t xml:space="preserve"> annual </w:t>
      </w:r>
      <w:r w:rsidR="00B44DB3" w:rsidRPr="00BB7D44">
        <w:rPr>
          <w:spacing w:val="-1"/>
          <w:szCs w:val="22"/>
        </w:rPr>
        <w:t>c</w:t>
      </w:r>
      <w:r w:rsidR="00B44DB3" w:rsidRPr="00BB7D44">
        <w:rPr>
          <w:szCs w:val="22"/>
        </w:rPr>
        <w:t xml:space="preserve">osts </w:t>
      </w:r>
      <w:r w:rsidR="00B44DB3" w:rsidRPr="00BB7D44">
        <w:rPr>
          <w:spacing w:val="-1"/>
          <w:szCs w:val="22"/>
        </w:rPr>
        <w:t>a</w:t>
      </w:r>
      <w:r w:rsidR="00B44DB3" w:rsidRPr="00BB7D44">
        <w:rPr>
          <w:szCs w:val="22"/>
        </w:rPr>
        <w:t>sso</w:t>
      </w:r>
      <w:r w:rsidR="00B44DB3" w:rsidRPr="00BB7D44">
        <w:rPr>
          <w:spacing w:val="-1"/>
          <w:szCs w:val="22"/>
        </w:rPr>
        <w:t>c</w:t>
      </w:r>
      <w:r w:rsidR="00B44DB3" w:rsidRPr="00BB7D44">
        <w:rPr>
          <w:szCs w:val="22"/>
        </w:rPr>
        <w:t>i</w:t>
      </w:r>
      <w:r w:rsidR="00B44DB3" w:rsidRPr="00BB7D44">
        <w:rPr>
          <w:spacing w:val="-1"/>
          <w:szCs w:val="22"/>
        </w:rPr>
        <w:t>a</w:t>
      </w:r>
      <w:r w:rsidR="00B44DB3" w:rsidRPr="00BB7D44">
        <w:rPr>
          <w:szCs w:val="22"/>
        </w:rPr>
        <w:t>t</w:t>
      </w:r>
      <w:r w:rsidR="00B44DB3" w:rsidRPr="00BB7D44">
        <w:rPr>
          <w:spacing w:val="-1"/>
          <w:szCs w:val="22"/>
        </w:rPr>
        <w:t>e</w:t>
      </w:r>
      <w:r w:rsidR="00B44DB3" w:rsidRPr="00BB7D44">
        <w:rPr>
          <w:szCs w:val="22"/>
        </w:rPr>
        <w:t>d with hi</w:t>
      </w:r>
      <w:r w:rsidR="00B44DB3" w:rsidRPr="00BB7D44">
        <w:rPr>
          <w:spacing w:val="-1"/>
          <w:szCs w:val="22"/>
        </w:rPr>
        <w:t>r</w:t>
      </w:r>
      <w:r w:rsidR="00B44DB3" w:rsidRPr="00BB7D44">
        <w:rPr>
          <w:szCs w:val="22"/>
        </w:rPr>
        <w:t>i</w:t>
      </w:r>
      <w:r w:rsidR="00B44DB3" w:rsidRPr="00BB7D44">
        <w:rPr>
          <w:spacing w:val="2"/>
          <w:szCs w:val="22"/>
        </w:rPr>
        <w:t>n</w:t>
      </w:r>
      <w:r w:rsidR="00B44DB3" w:rsidRPr="00BB7D44">
        <w:rPr>
          <w:szCs w:val="22"/>
        </w:rPr>
        <w:t>g</w:t>
      </w:r>
      <w:r w:rsidR="00B44DB3" w:rsidRPr="00BB7D44">
        <w:rPr>
          <w:spacing w:val="-2"/>
          <w:szCs w:val="22"/>
        </w:rPr>
        <w:t xml:space="preserve"> </w:t>
      </w:r>
      <w:r w:rsidR="00B44DB3" w:rsidRPr="00BB7D44">
        <w:rPr>
          <w:szCs w:val="22"/>
        </w:rPr>
        <w:t>p</w:t>
      </w:r>
      <w:r w:rsidR="00B44DB3" w:rsidRPr="00BB7D44">
        <w:rPr>
          <w:spacing w:val="1"/>
          <w:szCs w:val="22"/>
        </w:rPr>
        <w:t>e</w:t>
      </w:r>
      <w:r w:rsidR="00B44DB3" w:rsidRPr="00BB7D44">
        <w:rPr>
          <w:spacing w:val="-1"/>
          <w:szCs w:val="22"/>
        </w:rPr>
        <w:t>r</w:t>
      </w:r>
      <w:r w:rsidR="00B44DB3" w:rsidRPr="00BB7D44">
        <w:rPr>
          <w:szCs w:val="22"/>
        </w:rPr>
        <w:t>sonn</w:t>
      </w:r>
      <w:r w:rsidR="00B44DB3" w:rsidRPr="00BB7D44">
        <w:rPr>
          <w:spacing w:val="-1"/>
          <w:szCs w:val="22"/>
        </w:rPr>
        <w:t>e</w:t>
      </w:r>
      <w:r w:rsidR="00B44DB3" w:rsidRPr="00BB7D44">
        <w:rPr>
          <w:szCs w:val="22"/>
        </w:rPr>
        <w:t>l to op</w:t>
      </w:r>
      <w:r w:rsidR="00B44DB3" w:rsidRPr="00BB7D44">
        <w:rPr>
          <w:spacing w:val="-1"/>
          <w:szCs w:val="22"/>
        </w:rPr>
        <w:t>era</w:t>
      </w:r>
      <w:r w:rsidR="00B44DB3" w:rsidRPr="00BB7D44">
        <w:rPr>
          <w:szCs w:val="22"/>
        </w:rPr>
        <w:t>te</w:t>
      </w:r>
      <w:r w:rsidR="00B44DB3" w:rsidRPr="00BB7D44">
        <w:rPr>
          <w:spacing w:val="-1"/>
          <w:szCs w:val="22"/>
        </w:rPr>
        <w:t xml:space="preserve"> e</w:t>
      </w:r>
      <w:r w:rsidR="00B44DB3" w:rsidRPr="00BB7D44">
        <w:rPr>
          <w:spacing w:val="2"/>
          <w:szCs w:val="22"/>
        </w:rPr>
        <w:t>q</w:t>
      </w:r>
      <w:r w:rsidR="00B44DB3" w:rsidRPr="00BB7D44">
        <w:rPr>
          <w:szCs w:val="22"/>
        </w:rPr>
        <w:t>uipm</w:t>
      </w:r>
      <w:r w:rsidR="00B44DB3" w:rsidRPr="00BB7D44">
        <w:rPr>
          <w:spacing w:val="-1"/>
          <w:szCs w:val="22"/>
        </w:rPr>
        <w:t>e</w:t>
      </w:r>
      <w:r w:rsidR="00B44DB3" w:rsidRPr="00BB7D44">
        <w:rPr>
          <w:szCs w:val="22"/>
        </w:rPr>
        <w:t>nt necessary to provide closed captioning in-house</w:t>
      </w:r>
      <w:r w:rsidR="00B44DB3" w:rsidRPr="00BB7D44">
        <w:rPr>
          <w:spacing w:val="-1"/>
          <w:szCs w:val="22"/>
        </w:rPr>
        <w:t>.</w:t>
      </w:r>
      <w:r w:rsidR="00D9121F" w:rsidRPr="00BB7D44">
        <w:rPr>
          <w:rStyle w:val="FootnoteReference"/>
          <w:spacing w:val="-1"/>
          <w:szCs w:val="22"/>
        </w:rPr>
        <w:footnoteReference w:id="34"/>
      </w:r>
    </w:p>
    <w:p w:rsidR="00B44DB3" w:rsidRPr="00BB7D44" w:rsidRDefault="00B44DB3" w:rsidP="00BB7D44">
      <w:pPr>
        <w:pStyle w:val="ParaNum"/>
        <w:widowControl/>
        <w:tabs>
          <w:tab w:val="clear" w:pos="1440"/>
          <w:tab w:val="clear" w:pos="2340"/>
        </w:tabs>
        <w:spacing w:after="120"/>
        <w:ind w:left="0"/>
        <w:jc w:val="left"/>
        <w:rPr>
          <w:szCs w:val="22"/>
        </w:rPr>
      </w:pPr>
      <w:r w:rsidRPr="00BB7D44">
        <w:rPr>
          <w:szCs w:val="22"/>
        </w:rPr>
        <w:t xml:space="preserve">FBC submitted </w:t>
      </w:r>
      <w:r w:rsidR="00B808A9" w:rsidRPr="00BB7D44">
        <w:rPr>
          <w:szCs w:val="22"/>
        </w:rPr>
        <w:t>financial</w:t>
      </w:r>
      <w:r w:rsidRPr="00BB7D44">
        <w:rPr>
          <w:szCs w:val="22"/>
        </w:rPr>
        <w:t xml:space="preserve"> statement</w:t>
      </w:r>
      <w:r w:rsidR="00561A77" w:rsidRPr="00BB7D44">
        <w:rPr>
          <w:szCs w:val="22"/>
        </w:rPr>
        <w:t>s</w:t>
      </w:r>
      <w:r w:rsidRPr="00BB7D44">
        <w:rPr>
          <w:szCs w:val="22"/>
        </w:rPr>
        <w:t xml:space="preserve"> for 2011 and 2012.</w:t>
      </w:r>
      <w:r w:rsidRPr="00BB7D44">
        <w:rPr>
          <w:rStyle w:val="FootnoteReference"/>
          <w:szCs w:val="22"/>
        </w:rPr>
        <w:footnoteReference w:id="35"/>
      </w:r>
      <w:r w:rsidRPr="00BB7D44">
        <w:rPr>
          <w:szCs w:val="22"/>
        </w:rPr>
        <w:t xml:space="preserve">  For 2011, </w:t>
      </w:r>
      <w:r w:rsidR="00B24639" w:rsidRPr="00BB7D44">
        <w:rPr>
          <w:szCs w:val="22"/>
        </w:rPr>
        <w:t>FBC reports total income of $</w:t>
      </w:r>
      <w:r w:rsidR="00AC7112" w:rsidRPr="00BB7D44">
        <w:rPr>
          <w:szCs w:val="22"/>
        </w:rPr>
        <w:t>2,925,814</w:t>
      </w:r>
      <w:r w:rsidR="00B24639" w:rsidRPr="00BB7D44">
        <w:rPr>
          <w:szCs w:val="22"/>
        </w:rPr>
        <w:t xml:space="preserve">, </w:t>
      </w:r>
      <w:r w:rsidRPr="00BB7D44">
        <w:rPr>
          <w:szCs w:val="22"/>
        </w:rPr>
        <w:t>total expenses of $2,565,779, and excess of revenues over expenses of $360,035.</w:t>
      </w:r>
      <w:r w:rsidRPr="00BB7D44">
        <w:rPr>
          <w:rStyle w:val="FootnoteReference"/>
          <w:szCs w:val="22"/>
        </w:rPr>
        <w:footnoteReference w:id="36"/>
      </w:r>
      <w:r w:rsidRPr="00BB7D44">
        <w:rPr>
          <w:szCs w:val="22"/>
        </w:rPr>
        <w:t xml:space="preserve">  For 2012, FBC reports </w:t>
      </w:r>
      <w:r w:rsidR="00130F4B" w:rsidRPr="00BB7D44">
        <w:rPr>
          <w:szCs w:val="22"/>
        </w:rPr>
        <w:t xml:space="preserve">total </w:t>
      </w:r>
      <w:r w:rsidR="00B24639" w:rsidRPr="00BB7D44">
        <w:rPr>
          <w:szCs w:val="22"/>
        </w:rPr>
        <w:t xml:space="preserve">income of </w:t>
      </w:r>
      <w:r w:rsidR="00AC7112" w:rsidRPr="00BB7D44">
        <w:rPr>
          <w:szCs w:val="22"/>
        </w:rPr>
        <w:t xml:space="preserve">$2,862,435, </w:t>
      </w:r>
      <w:r w:rsidR="00E0543C" w:rsidRPr="00BB7D44">
        <w:rPr>
          <w:szCs w:val="22"/>
        </w:rPr>
        <w:t xml:space="preserve">total </w:t>
      </w:r>
      <w:r w:rsidR="00AC7112" w:rsidRPr="00BB7D44">
        <w:rPr>
          <w:szCs w:val="22"/>
        </w:rPr>
        <w:t>expenses of $2,540,276</w:t>
      </w:r>
      <w:r w:rsidRPr="00BB7D44">
        <w:rPr>
          <w:szCs w:val="22"/>
        </w:rPr>
        <w:t>, and excess of revenues over expenses of $322,159</w:t>
      </w:r>
      <w:r w:rsidR="00AC7112" w:rsidRPr="00BB7D44">
        <w:rPr>
          <w:szCs w:val="22"/>
        </w:rPr>
        <w:t>.</w:t>
      </w:r>
      <w:r w:rsidR="00AC7112" w:rsidRPr="00BB7D44">
        <w:rPr>
          <w:rStyle w:val="FootnoteReference"/>
          <w:szCs w:val="22"/>
        </w:rPr>
        <w:footnoteReference w:id="37"/>
      </w:r>
      <w:r w:rsidR="00B24639" w:rsidRPr="00BB7D44">
        <w:rPr>
          <w:szCs w:val="22"/>
        </w:rPr>
        <w:t xml:space="preserve"> </w:t>
      </w:r>
      <w:r w:rsidR="000E6AF4" w:rsidRPr="00BB7D44">
        <w:rPr>
          <w:szCs w:val="22"/>
        </w:rPr>
        <w:t xml:space="preserve"> </w:t>
      </w:r>
    </w:p>
    <w:p w:rsidR="003441FE" w:rsidRPr="00BB7D44" w:rsidRDefault="000E6AF4" w:rsidP="00BB7D44">
      <w:pPr>
        <w:pStyle w:val="ParaNum"/>
        <w:widowControl/>
        <w:tabs>
          <w:tab w:val="clear" w:pos="1440"/>
          <w:tab w:val="clear" w:pos="2340"/>
        </w:tabs>
        <w:spacing w:after="120"/>
        <w:ind w:left="0"/>
        <w:jc w:val="left"/>
        <w:rPr>
          <w:szCs w:val="22"/>
        </w:rPr>
      </w:pPr>
      <w:r w:rsidRPr="00BB7D44">
        <w:rPr>
          <w:szCs w:val="22"/>
        </w:rPr>
        <w:t>FBC reports current</w:t>
      </w:r>
      <w:r w:rsidR="00AC7112" w:rsidRPr="00BB7D44">
        <w:rPr>
          <w:szCs w:val="22"/>
        </w:rPr>
        <w:t xml:space="preserve"> assets </w:t>
      </w:r>
      <w:r w:rsidR="003441FE" w:rsidRPr="00BB7D44">
        <w:rPr>
          <w:szCs w:val="22"/>
        </w:rPr>
        <w:t>as of December 31, 2011, of</w:t>
      </w:r>
      <w:r w:rsidR="00AC7112" w:rsidRPr="00BB7D44">
        <w:rPr>
          <w:szCs w:val="22"/>
        </w:rPr>
        <w:t xml:space="preserve"> $</w:t>
      </w:r>
      <w:r w:rsidR="00D9121F" w:rsidRPr="00BB7D44">
        <w:rPr>
          <w:szCs w:val="22"/>
        </w:rPr>
        <w:t>1,128,4</w:t>
      </w:r>
      <w:r w:rsidRPr="00BB7D44">
        <w:rPr>
          <w:szCs w:val="22"/>
        </w:rPr>
        <w:t>90</w:t>
      </w:r>
      <w:r w:rsidR="00D9121F" w:rsidRPr="00BB7D44">
        <w:rPr>
          <w:rStyle w:val="FootnoteReference"/>
          <w:szCs w:val="22"/>
        </w:rPr>
        <w:footnoteReference w:id="38"/>
      </w:r>
      <w:r w:rsidR="003441FE" w:rsidRPr="00BB7D44">
        <w:rPr>
          <w:szCs w:val="22"/>
        </w:rPr>
        <w:t xml:space="preserve"> </w:t>
      </w:r>
      <w:r w:rsidR="00284C27" w:rsidRPr="00BB7D44">
        <w:rPr>
          <w:szCs w:val="22"/>
        </w:rPr>
        <w:t xml:space="preserve">and </w:t>
      </w:r>
      <w:r w:rsidR="003441FE" w:rsidRPr="00BB7D44">
        <w:rPr>
          <w:szCs w:val="22"/>
        </w:rPr>
        <w:t xml:space="preserve">current liabilities </w:t>
      </w:r>
      <w:r w:rsidR="00357B2D" w:rsidRPr="00BB7D44">
        <w:rPr>
          <w:szCs w:val="22"/>
        </w:rPr>
        <w:t xml:space="preserve">of </w:t>
      </w:r>
      <w:r w:rsidR="003441FE" w:rsidRPr="00BB7D44">
        <w:rPr>
          <w:szCs w:val="22"/>
        </w:rPr>
        <w:t>$</w:t>
      </w:r>
      <w:r w:rsidR="0053093C">
        <w:rPr>
          <w:szCs w:val="22"/>
        </w:rPr>
        <w:t>327,137</w:t>
      </w:r>
      <w:r w:rsidR="003441FE" w:rsidRPr="00BB7D44">
        <w:rPr>
          <w:szCs w:val="22"/>
        </w:rPr>
        <w:t>,</w:t>
      </w:r>
      <w:r w:rsidR="00284C27" w:rsidRPr="00BB7D44">
        <w:rPr>
          <w:rStyle w:val="FootnoteReference"/>
          <w:szCs w:val="22"/>
        </w:rPr>
        <w:footnoteReference w:id="39"/>
      </w:r>
      <w:r w:rsidR="003441FE" w:rsidRPr="00BB7D44">
        <w:rPr>
          <w:szCs w:val="22"/>
        </w:rPr>
        <w:t xml:space="preserve"> </w:t>
      </w:r>
      <w:r w:rsidR="00284C27" w:rsidRPr="00BB7D44">
        <w:rPr>
          <w:szCs w:val="22"/>
        </w:rPr>
        <w:t>resulting in</w:t>
      </w:r>
      <w:r w:rsidR="003441FE" w:rsidRPr="00BB7D44">
        <w:rPr>
          <w:szCs w:val="22"/>
        </w:rPr>
        <w:t xml:space="preserve"> net current </w:t>
      </w:r>
      <w:r w:rsidR="005C0CC6" w:rsidRPr="00BB7D44">
        <w:rPr>
          <w:szCs w:val="22"/>
        </w:rPr>
        <w:t>assets</w:t>
      </w:r>
      <w:r w:rsidR="003441FE" w:rsidRPr="00BB7D44">
        <w:rPr>
          <w:szCs w:val="22"/>
        </w:rPr>
        <w:t xml:space="preserve"> of </w:t>
      </w:r>
      <w:r w:rsidR="00284C27" w:rsidRPr="00BB7D44">
        <w:rPr>
          <w:szCs w:val="22"/>
        </w:rPr>
        <w:t>$</w:t>
      </w:r>
      <w:r w:rsidR="0053093C">
        <w:rPr>
          <w:szCs w:val="22"/>
        </w:rPr>
        <w:t>801,353</w:t>
      </w:r>
      <w:r w:rsidR="00284C27" w:rsidRPr="00BB7D44">
        <w:rPr>
          <w:szCs w:val="22"/>
        </w:rPr>
        <w:t>.</w:t>
      </w:r>
      <w:r w:rsidR="003441FE" w:rsidRPr="00BB7D44">
        <w:rPr>
          <w:rStyle w:val="FootnoteReference"/>
          <w:szCs w:val="22"/>
        </w:rPr>
        <w:footnoteReference w:id="40"/>
      </w:r>
      <w:r w:rsidR="003441FE" w:rsidRPr="00BB7D44">
        <w:rPr>
          <w:szCs w:val="22"/>
        </w:rPr>
        <w:t xml:space="preserve">  FBC reports current assets as of December 31, 2012, of </w:t>
      </w:r>
      <w:r w:rsidR="00AC7112" w:rsidRPr="00BB7D44">
        <w:rPr>
          <w:szCs w:val="22"/>
        </w:rPr>
        <w:t>$1,</w:t>
      </w:r>
      <w:r w:rsidR="00130F4B" w:rsidRPr="00BB7D44">
        <w:rPr>
          <w:szCs w:val="22"/>
        </w:rPr>
        <w:t>0</w:t>
      </w:r>
      <w:r w:rsidRPr="00BB7D44">
        <w:rPr>
          <w:szCs w:val="22"/>
        </w:rPr>
        <w:t>58</w:t>
      </w:r>
      <w:r w:rsidR="00130F4B" w:rsidRPr="00BB7D44">
        <w:rPr>
          <w:szCs w:val="22"/>
        </w:rPr>
        <w:t>,</w:t>
      </w:r>
      <w:r w:rsidR="00D9121F" w:rsidRPr="00BB7D44">
        <w:rPr>
          <w:szCs w:val="22"/>
        </w:rPr>
        <w:t>67</w:t>
      </w:r>
      <w:r w:rsidRPr="00BB7D44">
        <w:rPr>
          <w:szCs w:val="22"/>
        </w:rPr>
        <w:t>8</w:t>
      </w:r>
      <w:r w:rsidR="00284C27" w:rsidRPr="00BB7D44">
        <w:rPr>
          <w:rStyle w:val="FootnoteReference"/>
          <w:szCs w:val="22"/>
        </w:rPr>
        <w:footnoteReference w:id="41"/>
      </w:r>
      <w:r w:rsidR="00AC7112" w:rsidRPr="00BB7D44">
        <w:rPr>
          <w:szCs w:val="22"/>
        </w:rPr>
        <w:t xml:space="preserve"> </w:t>
      </w:r>
      <w:r w:rsidR="00284C27" w:rsidRPr="00BB7D44">
        <w:rPr>
          <w:szCs w:val="22"/>
        </w:rPr>
        <w:t xml:space="preserve">and </w:t>
      </w:r>
      <w:r w:rsidR="007E1C94" w:rsidRPr="00BB7D44">
        <w:rPr>
          <w:szCs w:val="22"/>
        </w:rPr>
        <w:t xml:space="preserve">current </w:t>
      </w:r>
      <w:r w:rsidR="00AC7112" w:rsidRPr="00BB7D44">
        <w:rPr>
          <w:szCs w:val="22"/>
        </w:rPr>
        <w:t xml:space="preserve">liabilities </w:t>
      </w:r>
      <w:r w:rsidR="003441FE" w:rsidRPr="00BB7D44">
        <w:rPr>
          <w:szCs w:val="22"/>
        </w:rPr>
        <w:t>of</w:t>
      </w:r>
      <w:r w:rsidR="00AC7112" w:rsidRPr="00BB7D44">
        <w:rPr>
          <w:szCs w:val="22"/>
        </w:rPr>
        <w:t xml:space="preserve"> $</w:t>
      </w:r>
      <w:r w:rsidR="0053093C">
        <w:rPr>
          <w:szCs w:val="22"/>
        </w:rPr>
        <w:t>381,285</w:t>
      </w:r>
      <w:r w:rsidR="003441FE" w:rsidRPr="00BB7D44">
        <w:rPr>
          <w:szCs w:val="22"/>
        </w:rPr>
        <w:t>,</w:t>
      </w:r>
      <w:r w:rsidR="00284C27" w:rsidRPr="00BB7D44">
        <w:rPr>
          <w:rStyle w:val="FootnoteReference"/>
          <w:szCs w:val="22"/>
        </w:rPr>
        <w:footnoteReference w:id="42"/>
      </w:r>
      <w:r w:rsidR="003441FE" w:rsidRPr="00BB7D44">
        <w:rPr>
          <w:szCs w:val="22"/>
        </w:rPr>
        <w:t xml:space="preserve"> </w:t>
      </w:r>
      <w:r w:rsidR="00284C27" w:rsidRPr="00BB7D44">
        <w:rPr>
          <w:szCs w:val="22"/>
        </w:rPr>
        <w:t>resulting in</w:t>
      </w:r>
      <w:r w:rsidR="003441FE" w:rsidRPr="00BB7D44">
        <w:rPr>
          <w:szCs w:val="22"/>
        </w:rPr>
        <w:t xml:space="preserve"> net current assets of </w:t>
      </w:r>
      <w:r w:rsidR="00284C27" w:rsidRPr="00BB7D44">
        <w:rPr>
          <w:szCs w:val="22"/>
        </w:rPr>
        <w:t>$</w:t>
      </w:r>
      <w:r w:rsidR="0053093C">
        <w:rPr>
          <w:szCs w:val="22"/>
        </w:rPr>
        <w:t>677,393</w:t>
      </w:r>
      <w:r w:rsidR="00AC7112" w:rsidRPr="00BB7D44">
        <w:rPr>
          <w:szCs w:val="22"/>
        </w:rPr>
        <w:t>.</w:t>
      </w:r>
      <w:r w:rsidR="00AC7112" w:rsidRPr="00BB7D44">
        <w:rPr>
          <w:rStyle w:val="FootnoteReference"/>
          <w:szCs w:val="22"/>
        </w:rPr>
        <w:footnoteReference w:id="43"/>
      </w:r>
      <w:r w:rsidR="00AC7112" w:rsidRPr="00BB7D44">
        <w:rPr>
          <w:szCs w:val="22"/>
        </w:rPr>
        <w:t xml:space="preserve">  </w:t>
      </w:r>
    </w:p>
    <w:p w:rsidR="00FC3B94" w:rsidRPr="00BB7D44" w:rsidRDefault="003441FE" w:rsidP="00BB7D44">
      <w:pPr>
        <w:pStyle w:val="ParaNum"/>
        <w:widowControl/>
        <w:tabs>
          <w:tab w:val="clear" w:pos="1440"/>
          <w:tab w:val="clear" w:pos="2340"/>
        </w:tabs>
        <w:spacing w:after="120"/>
        <w:ind w:left="0"/>
        <w:jc w:val="left"/>
        <w:rPr>
          <w:szCs w:val="22"/>
        </w:rPr>
      </w:pPr>
      <w:r w:rsidRPr="00BB7D44">
        <w:rPr>
          <w:szCs w:val="22"/>
        </w:rPr>
        <w:t xml:space="preserve">FBC reports that it requested captioning assistance from its video programming distributor KAIT; KAIT offered </w:t>
      </w:r>
      <w:r w:rsidR="00051DC6">
        <w:rPr>
          <w:szCs w:val="22"/>
        </w:rPr>
        <w:t>such</w:t>
      </w:r>
      <w:r w:rsidRPr="00BB7D44">
        <w:rPr>
          <w:szCs w:val="22"/>
        </w:rPr>
        <w:t xml:space="preserve"> assistance </w:t>
      </w:r>
      <w:r w:rsidR="00791CD1">
        <w:rPr>
          <w:szCs w:val="22"/>
        </w:rPr>
        <w:t xml:space="preserve">by extending an </w:t>
      </w:r>
      <w:r w:rsidR="00C3722D">
        <w:rPr>
          <w:szCs w:val="22"/>
        </w:rPr>
        <w:t xml:space="preserve">offer </w:t>
      </w:r>
      <w:r w:rsidR="00791CD1">
        <w:rPr>
          <w:szCs w:val="22"/>
        </w:rPr>
        <w:t xml:space="preserve">to </w:t>
      </w:r>
      <w:r w:rsidRPr="00BB7D44">
        <w:rPr>
          <w:szCs w:val="22"/>
        </w:rPr>
        <w:t>provid</w:t>
      </w:r>
      <w:r w:rsidR="00791CD1">
        <w:rPr>
          <w:szCs w:val="22"/>
        </w:rPr>
        <w:t>e</w:t>
      </w:r>
      <w:r w:rsidRPr="00BB7D44">
        <w:rPr>
          <w:szCs w:val="22"/>
        </w:rPr>
        <w:t xml:space="preserve"> closed captioning for FBC’s program at cost, which was $120 per week.</w:t>
      </w:r>
      <w:r w:rsidRPr="00BB7D44">
        <w:rPr>
          <w:rStyle w:val="FootnoteReference"/>
          <w:szCs w:val="22"/>
        </w:rPr>
        <w:footnoteReference w:id="44"/>
      </w:r>
      <w:r w:rsidRPr="00BB7D44">
        <w:rPr>
          <w:szCs w:val="22"/>
        </w:rPr>
        <w:t xml:space="preserve">  </w:t>
      </w:r>
      <w:r w:rsidR="000E6AF4" w:rsidRPr="00BB7D44">
        <w:rPr>
          <w:szCs w:val="22"/>
        </w:rPr>
        <w:t>FBC reports that its 2014 budget does not include funds for closed captioning.</w:t>
      </w:r>
      <w:r w:rsidR="000E6AF4" w:rsidRPr="00BB7D44">
        <w:rPr>
          <w:rStyle w:val="FootnoteReference"/>
          <w:szCs w:val="22"/>
        </w:rPr>
        <w:footnoteReference w:id="45"/>
      </w:r>
      <w:r w:rsidR="000E6AF4" w:rsidRPr="00BB7D44">
        <w:rPr>
          <w:szCs w:val="22"/>
        </w:rPr>
        <w:t xml:space="preserve">  </w:t>
      </w:r>
      <w:r w:rsidR="00AC7112" w:rsidRPr="00BB7D44">
        <w:rPr>
          <w:szCs w:val="22"/>
        </w:rPr>
        <w:t xml:space="preserve">FBC asserts that, absent an exemption from the captioning requirements, it </w:t>
      </w:r>
      <w:r w:rsidR="00CB2624" w:rsidRPr="00BB7D44">
        <w:rPr>
          <w:szCs w:val="22"/>
        </w:rPr>
        <w:t>would have to implement savings in other areas, resulting in the elimination of or reduction in existing ministries and programs</w:t>
      </w:r>
      <w:r w:rsidR="0008092F" w:rsidRPr="00BB7D44">
        <w:rPr>
          <w:szCs w:val="22"/>
        </w:rPr>
        <w:t>.</w:t>
      </w:r>
      <w:r w:rsidR="00CB2624" w:rsidRPr="00BB7D44">
        <w:rPr>
          <w:rStyle w:val="FootnoteReference"/>
          <w:szCs w:val="22"/>
        </w:rPr>
        <w:footnoteReference w:id="46"/>
      </w:r>
      <w:r w:rsidR="00CB2624" w:rsidRPr="00BB7D44">
        <w:rPr>
          <w:szCs w:val="22"/>
        </w:rPr>
        <w:t xml:space="preserve"> </w:t>
      </w:r>
      <w:r w:rsidR="0008092F" w:rsidRPr="00BB7D44">
        <w:rPr>
          <w:szCs w:val="22"/>
        </w:rPr>
        <w:t xml:space="preserve"> </w:t>
      </w:r>
      <w:r w:rsidR="006A6731" w:rsidRPr="00BB7D44">
        <w:rPr>
          <w:szCs w:val="22"/>
        </w:rPr>
        <w:t xml:space="preserve">Because the cost of closed captioning was not included in its 2014 budget, </w:t>
      </w:r>
      <w:r w:rsidR="0008092F" w:rsidRPr="00BB7D44">
        <w:rPr>
          <w:szCs w:val="22"/>
        </w:rPr>
        <w:t>FBC claims that it does not know how it will be able to continue its Sunday morning broadcast if it must provide closed captioning</w:t>
      </w:r>
      <w:r w:rsidR="00CB2624" w:rsidRPr="00BB7D44">
        <w:rPr>
          <w:szCs w:val="22"/>
        </w:rPr>
        <w:t>.</w:t>
      </w:r>
      <w:r w:rsidR="00AC7112" w:rsidRPr="00BB7D44">
        <w:rPr>
          <w:rStyle w:val="FootnoteReference"/>
          <w:szCs w:val="22"/>
        </w:rPr>
        <w:footnoteReference w:id="47"/>
      </w:r>
    </w:p>
    <w:p w:rsidR="00C7771D" w:rsidRPr="00BB7D44" w:rsidRDefault="001E611E" w:rsidP="00BB7D44">
      <w:pPr>
        <w:pStyle w:val="ParaNum"/>
        <w:widowControl/>
        <w:tabs>
          <w:tab w:val="clear" w:pos="1440"/>
          <w:tab w:val="clear" w:pos="2340"/>
        </w:tabs>
        <w:spacing w:after="120"/>
        <w:ind w:left="0"/>
        <w:jc w:val="left"/>
        <w:rPr>
          <w:szCs w:val="22"/>
        </w:rPr>
      </w:pPr>
      <w:r w:rsidRPr="00BB7D44">
        <w:rPr>
          <w:szCs w:val="22"/>
        </w:rPr>
        <w:t>Consumer Groups</w:t>
      </w:r>
      <w:r w:rsidR="00284C27" w:rsidRPr="00BB7D44">
        <w:rPr>
          <w:szCs w:val="22"/>
        </w:rPr>
        <w:t xml:space="preserve">, which were the only parties to comment on the Petition in response to the </w:t>
      </w:r>
      <w:r w:rsidR="00284C27" w:rsidRPr="00BB7D44">
        <w:rPr>
          <w:i/>
          <w:szCs w:val="22"/>
        </w:rPr>
        <w:t>2013 Public Notice</w:t>
      </w:r>
      <w:r w:rsidR="00284C27" w:rsidRPr="00BB7D44">
        <w:rPr>
          <w:szCs w:val="22"/>
        </w:rPr>
        <w:t>,</w:t>
      </w:r>
      <w:r w:rsidRPr="00BB7D44">
        <w:rPr>
          <w:szCs w:val="22"/>
        </w:rPr>
        <w:t xml:space="preserve"> contend that </w:t>
      </w:r>
      <w:r w:rsidR="00633A07" w:rsidRPr="00BB7D44">
        <w:rPr>
          <w:szCs w:val="22"/>
        </w:rPr>
        <w:t xml:space="preserve">FBC failed to satisfy the statutory and regulatory requirements to demonstrate a </w:t>
      </w:r>
      <w:r w:rsidR="00284C27" w:rsidRPr="00BB7D44">
        <w:rPr>
          <w:szCs w:val="22"/>
        </w:rPr>
        <w:t>that captioning would be economically</w:t>
      </w:r>
      <w:r w:rsidR="00633A07" w:rsidRPr="00BB7D44">
        <w:rPr>
          <w:szCs w:val="22"/>
        </w:rPr>
        <w:t xml:space="preserve"> burden</w:t>
      </w:r>
      <w:r w:rsidR="00284C27" w:rsidRPr="00BB7D44">
        <w:rPr>
          <w:szCs w:val="22"/>
        </w:rPr>
        <w:t>some on several grounds.</w:t>
      </w:r>
      <w:r w:rsidR="00D65198" w:rsidRPr="00BB7D44">
        <w:rPr>
          <w:szCs w:val="22"/>
        </w:rPr>
        <w:t xml:space="preserve"> </w:t>
      </w:r>
      <w:r w:rsidR="008A7C4C" w:rsidRPr="00BB7D44">
        <w:rPr>
          <w:szCs w:val="22"/>
        </w:rPr>
        <w:t xml:space="preserve"> First, Consumer Groups acknowledge that FBC obtained captioning quotes from multiple providers, but argue that it did not provide documentation that it</w:t>
      </w:r>
      <w:r w:rsidR="00275649" w:rsidRPr="00BB7D44">
        <w:rPr>
          <w:szCs w:val="22"/>
        </w:rPr>
        <w:t xml:space="preserve"> bargain</w:t>
      </w:r>
      <w:r w:rsidR="008A7C4C" w:rsidRPr="00BB7D44">
        <w:rPr>
          <w:szCs w:val="22"/>
        </w:rPr>
        <w:t>ed with those</w:t>
      </w:r>
      <w:r w:rsidR="00275649" w:rsidRPr="00BB7D44">
        <w:rPr>
          <w:szCs w:val="22"/>
        </w:rPr>
        <w:t xml:space="preserve"> providers</w:t>
      </w:r>
      <w:r w:rsidR="00D65198" w:rsidRPr="00BB7D44">
        <w:rPr>
          <w:szCs w:val="22"/>
        </w:rPr>
        <w:t xml:space="preserve"> </w:t>
      </w:r>
      <w:r w:rsidR="008A7C4C" w:rsidRPr="00BB7D44">
        <w:rPr>
          <w:szCs w:val="22"/>
        </w:rPr>
        <w:t>for lower costs or to identify the most affordable provider or most reasonable rates</w:t>
      </w:r>
      <w:r w:rsidR="00275649" w:rsidRPr="00BB7D44">
        <w:rPr>
          <w:szCs w:val="22"/>
        </w:rPr>
        <w:t>.</w:t>
      </w:r>
      <w:r w:rsidR="00275649" w:rsidRPr="00BB7D44">
        <w:rPr>
          <w:rStyle w:val="FootnoteReference"/>
          <w:szCs w:val="22"/>
        </w:rPr>
        <w:footnoteReference w:id="48"/>
      </w:r>
      <w:r w:rsidR="00275649" w:rsidRPr="00BB7D44">
        <w:rPr>
          <w:szCs w:val="22"/>
        </w:rPr>
        <w:t xml:space="preserve">  </w:t>
      </w:r>
      <w:r w:rsidR="008A7C4C" w:rsidRPr="00BB7D44">
        <w:rPr>
          <w:szCs w:val="22"/>
        </w:rPr>
        <w:t>Second, Consumer</w:t>
      </w:r>
      <w:r w:rsidR="00275649" w:rsidRPr="00BB7D44">
        <w:rPr>
          <w:szCs w:val="22"/>
        </w:rPr>
        <w:t xml:space="preserve"> Groups acknowledge that FBC </w:t>
      </w:r>
      <w:r w:rsidR="008A7C4C" w:rsidRPr="00BB7D44">
        <w:rPr>
          <w:szCs w:val="22"/>
        </w:rPr>
        <w:t>sought closed</w:t>
      </w:r>
      <w:r w:rsidR="00275649" w:rsidRPr="00BB7D44">
        <w:rPr>
          <w:szCs w:val="22"/>
        </w:rPr>
        <w:t xml:space="preserve"> captioning assistance from </w:t>
      </w:r>
      <w:r w:rsidR="008A7C4C" w:rsidRPr="00BB7D44">
        <w:rPr>
          <w:szCs w:val="22"/>
        </w:rPr>
        <w:t>the</w:t>
      </w:r>
      <w:r w:rsidR="00275649" w:rsidRPr="00BB7D44">
        <w:rPr>
          <w:szCs w:val="22"/>
        </w:rPr>
        <w:t xml:space="preserve"> broadcast station</w:t>
      </w:r>
      <w:r w:rsidR="008A7C4C" w:rsidRPr="00BB7D44">
        <w:rPr>
          <w:szCs w:val="22"/>
        </w:rPr>
        <w:t xml:space="preserve"> that airs its program, but argue that FBC</w:t>
      </w:r>
      <w:r w:rsidR="00275649" w:rsidRPr="00BB7D44">
        <w:rPr>
          <w:szCs w:val="22"/>
        </w:rPr>
        <w:t xml:space="preserve"> failed to seek out sponsors specifically for closed captioning “either because it is unwilling to accept commercial sponsorship or does not believe that it will be successful in finding sponsors” and that this justification is insufficient to support an exemption.</w:t>
      </w:r>
      <w:r w:rsidR="004C28CF" w:rsidRPr="00BB7D44">
        <w:rPr>
          <w:rStyle w:val="FootnoteReference"/>
          <w:szCs w:val="22"/>
        </w:rPr>
        <w:footnoteReference w:id="49"/>
      </w:r>
      <w:r w:rsidR="00275649" w:rsidRPr="00BB7D44">
        <w:rPr>
          <w:szCs w:val="22"/>
        </w:rPr>
        <w:t xml:space="preserve">  </w:t>
      </w:r>
      <w:r w:rsidR="008A7C4C" w:rsidRPr="00BB7D44">
        <w:rPr>
          <w:szCs w:val="22"/>
        </w:rPr>
        <w:t>Third, with regard to FBC’s financial resources</w:t>
      </w:r>
      <w:r w:rsidR="00275649" w:rsidRPr="00BB7D44">
        <w:rPr>
          <w:szCs w:val="22"/>
        </w:rPr>
        <w:t xml:space="preserve">, Consumer Groups </w:t>
      </w:r>
      <w:r w:rsidR="008A7C4C" w:rsidRPr="00BB7D44">
        <w:rPr>
          <w:szCs w:val="22"/>
        </w:rPr>
        <w:t>argue</w:t>
      </w:r>
      <w:r w:rsidR="00275649" w:rsidRPr="00BB7D44">
        <w:rPr>
          <w:szCs w:val="22"/>
        </w:rPr>
        <w:t xml:space="preserve"> that FBC’s </w:t>
      </w:r>
      <w:r w:rsidR="008A7C4C" w:rsidRPr="00BB7D44">
        <w:rPr>
          <w:szCs w:val="22"/>
        </w:rPr>
        <w:t>estimated closed captioning costs of $6,120 represents 0.1% of its annual budget of</w:t>
      </w:r>
      <w:r w:rsidR="00275649" w:rsidRPr="00BB7D44">
        <w:rPr>
          <w:szCs w:val="22"/>
        </w:rPr>
        <w:t xml:space="preserve"> </w:t>
      </w:r>
      <w:r w:rsidR="008A7C4C" w:rsidRPr="00BB7D44">
        <w:rPr>
          <w:szCs w:val="22"/>
        </w:rPr>
        <w:t>“</w:t>
      </w:r>
      <w:r w:rsidR="00275649" w:rsidRPr="00BB7D44">
        <w:rPr>
          <w:szCs w:val="22"/>
        </w:rPr>
        <w:t>nearly $3 million</w:t>
      </w:r>
      <w:r w:rsidR="008A7C4C" w:rsidRPr="00BB7D44">
        <w:rPr>
          <w:szCs w:val="22"/>
        </w:rPr>
        <w:t>”</w:t>
      </w:r>
      <w:r w:rsidR="00275649" w:rsidRPr="00BB7D44">
        <w:rPr>
          <w:szCs w:val="22"/>
        </w:rPr>
        <w:t xml:space="preserve"> in 2012 and 2011.</w:t>
      </w:r>
      <w:r w:rsidR="00275649" w:rsidRPr="00BB7D44">
        <w:rPr>
          <w:rStyle w:val="FootnoteReference"/>
          <w:szCs w:val="22"/>
        </w:rPr>
        <w:footnoteReference w:id="50"/>
      </w:r>
      <w:r w:rsidR="00275649" w:rsidRPr="00BB7D44">
        <w:rPr>
          <w:szCs w:val="22"/>
        </w:rPr>
        <w:t xml:space="preserve">  </w:t>
      </w:r>
      <w:r w:rsidR="004F0EBD" w:rsidRPr="00BB7D44">
        <w:rPr>
          <w:szCs w:val="22"/>
        </w:rPr>
        <w:t>Th</w:t>
      </w:r>
      <w:r w:rsidR="008A7C4C" w:rsidRPr="00BB7D44">
        <w:rPr>
          <w:szCs w:val="22"/>
        </w:rPr>
        <w:t>us</w:t>
      </w:r>
      <w:r w:rsidR="004F0EBD" w:rsidRPr="00BB7D44">
        <w:rPr>
          <w:szCs w:val="22"/>
        </w:rPr>
        <w:t xml:space="preserve">, Consumer Groups </w:t>
      </w:r>
      <w:r w:rsidR="008A7C4C" w:rsidRPr="00BB7D44">
        <w:rPr>
          <w:szCs w:val="22"/>
        </w:rPr>
        <w:t>conclude, requiring</w:t>
      </w:r>
      <w:r w:rsidR="004F0EBD" w:rsidRPr="00BB7D44">
        <w:rPr>
          <w:szCs w:val="22"/>
        </w:rPr>
        <w:t xml:space="preserve"> FBC</w:t>
      </w:r>
      <w:r w:rsidR="008A7C4C" w:rsidRPr="00BB7D44">
        <w:rPr>
          <w:szCs w:val="22"/>
        </w:rPr>
        <w:t xml:space="preserve"> to caption its program cannot be considered economically burdensome.</w:t>
      </w:r>
      <w:r w:rsidR="004F0EBD" w:rsidRPr="00BB7D44">
        <w:rPr>
          <w:rStyle w:val="FootnoteReference"/>
          <w:szCs w:val="22"/>
        </w:rPr>
        <w:footnoteReference w:id="51"/>
      </w:r>
      <w:r w:rsidR="00DB7EAC" w:rsidRPr="00BB7D44">
        <w:rPr>
          <w:szCs w:val="22"/>
        </w:rPr>
        <w:t xml:space="preserve"> </w:t>
      </w:r>
    </w:p>
    <w:p w:rsidR="00DC33E7" w:rsidRPr="00BB7D44" w:rsidRDefault="00C7771D" w:rsidP="00BB7D44">
      <w:pPr>
        <w:pStyle w:val="ParaNum"/>
        <w:widowControl/>
        <w:tabs>
          <w:tab w:val="clear" w:pos="1440"/>
          <w:tab w:val="clear" w:pos="2340"/>
        </w:tabs>
        <w:spacing w:after="120"/>
        <w:ind w:left="0"/>
        <w:jc w:val="left"/>
        <w:rPr>
          <w:szCs w:val="22"/>
        </w:rPr>
      </w:pPr>
      <w:r w:rsidRPr="00BB7D44">
        <w:rPr>
          <w:i/>
          <w:szCs w:val="22"/>
        </w:rPr>
        <w:t>Determination.</w:t>
      </w:r>
      <w:r w:rsidRPr="00BB7D44">
        <w:rPr>
          <w:szCs w:val="22"/>
        </w:rPr>
        <w:t xml:space="preserve">  </w:t>
      </w:r>
      <w:r w:rsidR="00DC33E7" w:rsidRPr="00BB7D44">
        <w:rPr>
          <w:szCs w:val="22"/>
        </w:rPr>
        <w:t xml:space="preserve">After </w:t>
      </w:r>
      <w:r w:rsidR="008A7C4C" w:rsidRPr="00BB7D44">
        <w:rPr>
          <w:szCs w:val="22"/>
        </w:rPr>
        <w:t>a careful review of the record, the Bureau</w:t>
      </w:r>
      <w:r w:rsidR="00DC33E7" w:rsidRPr="00BB7D44">
        <w:rPr>
          <w:szCs w:val="22"/>
        </w:rPr>
        <w:t xml:space="preserve"> find</w:t>
      </w:r>
      <w:r w:rsidR="008A7C4C" w:rsidRPr="00BB7D44">
        <w:rPr>
          <w:szCs w:val="22"/>
        </w:rPr>
        <w:t>s</w:t>
      </w:r>
      <w:r w:rsidR="00DC33E7" w:rsidRPr="00BB7D44">
        <w:rPr>
          <w:szCs w:val="22"/>
        </w:rPr>
        <w:t xml:space="preserve"> that FBC has not demonstrated that the provision of closed captioning </w:t>
      </w:r>
      <w:r w:rsidR="008A7C4C" w:rsidRPr="00BB7D44">
        <w:rPr>
          <w:szCs w:val="22"/>
        </w:rPr>
        <w:t>for</w:t>
      </w:r>
      <w:r w:rsidR="00DC33E7" w:rsidRPr="00BB7D44">
        <w:rPr>
          <w:szCs w:val="22"/>
        </w:rPr>
        <w:t xml:space="preserve"> its program would be economically burdensome</w:t>
      </w:r>
      <w:r w:rsidR="008A7C4C" w:rsidRPr="00BB7D44">
        <w:rPr>
          <w:szCs w:val="22"/>
        </w:rPr>
        <w:t>.  According to the information and documentation it has provided, FBC has been operating with an excess of revenue over expenses for at least two out of the last three years:  $360,035 for 2011; and $322,159 for 2012.</w:t>
      </w:r>
      <w:r w:rsidR="008A7C4C" w:rsidRPr="00BB7D44">
        <w:rPr>
          <w:rStyle w:val="FootnoteReference"/>
          <w:szCs w:val="22"/>
        </w:rPr>
        <w:footnoteReference w:id="52"/>
      </w:r>
      <w:r w:rsidR="008A7C4C" w:rsidRPr="00BB7D44">
        <w:rPr>
          <w:szCs w:val="22"/>
        </w:rPr>
        <w:t xml:space="preserve">  </w:t>
      </w:r>
      <w:r w:rsidR="003107FA">
        <w:rPr>
          <w:szCs w:val="22"/>
        </w:rPr>
        <w:t>When we c</w:t>
      </w:r>
      <w:r w:rsidR="008A7C4C" w:rsidRPr="00BB7D44">
        <w:rPr>
          <w:szCs w:val="22"/>
        </w:rPr>
        <w:t>ompare the closed captioning estimate submitted by FBC of</w:t>
      </w:r>
      <w:r w:rsidR="00312E8C" w:rsidRPr="00BB7D44">
        <w:rPr>
          <w:szCs w:val="22"/>
        </w:rPr>
        <w:t xml:space="preserve"> </w:t>
      </w:r>
      <w:r w:rsidR="00DC33E7" w:rsidRPr="00BB7D44">
        <w:rPr>
          <w:szCs w:val="22"/>
        </w:rPr>
        <w:t>$5,610 annually</w:t>
      </w:r>
      <w:r w:rsidR="00DC33E7" w:rsidRPr="00BB7D44">
        <w:rPr>
          <w:rStyle w:val="FootnoteReference"/>
          <w:szCs w:val="22"/>
        </w:rPr>
        <w:footnoteReference w:id="53"/>
      </w:r>
      <w:r w:rsidR="00DC33E7" w:rsidRPr="00BB7D44">
        <w:rPr>
          <w:szCs w:val="22"/>
        </w:rPr>
        <w:t xml:space="preserve"> </w:t>
      </w:r>
      <w:r w:rsidR="003107FA">
        <w:rPr>
          <w:szCs w:val="22"/>
        </w:rPr>
        <w:t>to</w:t>
      </w:r>
      <w:r w:rsidR="00312E8C" w:rsidRPr="00BB7D44">
        <w:rPr>
          <w:szCs w:val="22"/>
        </w:rPr>
        <w:t xml:space="preserve"> FBC’s excesses of revenue over expenses </w:t>
      </w:r>
      <w:r w:rsidR="00311774" w:rsidRPr="00BB7D44">
        <w:rPr>
          <w:szCs w:val="22"/>
        </w:rPr>
        <w:t>in 2011 and 2012</w:t>
      </w:r>
      <w:r w:rsidR="003107FA">
        <w:rPr>
          <w:szCs w:val="22"/>
        </w:rPr>
        <w:t>, we conclude that such revenue was</w:t>
      </w:r>
      <w:r w:rsidR="00134173">
        <w:rPr>
          <w:szCs w:val="22"/>
        </w:rPr>
        <w:t xml:space="preserve"> </w:t>
      </w:r>
      <w:r w:rsidR="00312E8C" w:rsidRPr="00BB7D44">
        <w:rPr>
          <w:szCs w:val="22"/>
        </w:rPr>
        <w:t xml:space="preserve">sufficient to cover the cost </w:t>
      </w:r>
      <w:r w:rsidR="003107FA">
        <w:rPr>
          <w:szCs w:val="22"/>
        </w:rPr>
        <w:t xml:space="preserve">of </w:t>
      </w:r>
      <w:r w:rsidR="00312E8C" w:rsidRPr="00BB7D44">
        <w:rPr>
          <w:szCs w:val="22"/>
        </w:rPr>
        <w:t>caption</w:t>
      </w:r>
      <w:r w:rsidR="003107FA">
        <w:rPr>
          <w:szCs w:val="22"/>
        </w:rPr>
        <w:t>ing FBC’s</w:t>
      </w:r>
      <w:r w:rsidR="00361960">
        <w:rPr>
          <w:szCs w:val="22"/>
        </w:rPr>
        <w:t xml:space="preserve"> </w:t>
      </w:r>
      <w:r w:rsidR="003107FA">
        <w:rPr>
          <w:szCs w:val="22"/>
        </w:rPr>
        <w:t>Sunday morning</w:t>
      </w:r>
      <w:r w:rsidR="00312E8C" w:rsidRPr="00BB7D44">
        <w:rPr>
          <w:szCs w:val="22"/>
        </w:rPr>
        <w:t xml:space="preserve"> program.  </w:t>
      </w:r>
      <w:r w:rsidR="00361960">
        <w:rPr>
          <w:szCs w:val="22"/>
        </w:rPr>
        <w:t xml:space="preserve">Specifically, </w:t>
      </w:r>
      <w:r w:rsidR="00312E8C" w:rsidRPr="00BB7D44">
        <w:rPr>
          <w:szCs w:val="22"/>
        </w:rPr>
        <w:t>FBC could have provid</w:t>
      </w:r>
      <w:r w:rsidR="00361960">
        <w:rPr>
          <w:szCs w:val="22"/>
        </w:rPr>
        <w:t>ed</w:t>
      </w:r>
      <w:r w:rsidR="00312E8C" w:rsidRPr="00BB7D44">
        <w:rPr>
          <w:szCs w:val="22"/>
        </w:rPr>
        <w:t xml:space="preserve"> closed captioning and still operated with an excess of revenue o</w:t>
      </w:r>
      <w:r w:rsidR="00361960">
        <w:rPr>
          <w:szCs w:val="22"/>
        </w:rPr>
        <w:t>ver</w:t>
      </w:r>
      <w:r w:rsidR="00312E8C" w:rsidRPr="00BB7D44">
        <w:rPr>
          <w:szCs w:val="22"/>
        </w:rPr>
        <w:t xml:space="preserve"> expenses of $354,425 in 2011 </w:t>
      </w:r>
      <w:r w:rsidR="0008092F" w:rsidRPr="00BB7D44">
        <w:rPr>
          <w:szCs w:val="22"/>
        </w:rPr>
        <w:t>and</w:t>
      </w:r>
      <w:r w:rsidR="00312E8C" w:rsidRPr="00BB7D44">
        <w:rPr>
          <w:szCs w:val="22"/>
        </w:rPr>
        <w:t xml:space="preserve"> $316,549 in 2012.</w:t>
      </w:r>
      <w:r w:rsidR="00DC33E7" w:rsidRPr="00BB7D44">
        <w:rPr>
          <w:szCs w:val="22"/>
        </w:rPr>
        <w:t xml:space="preserve"> </w:t>
      </w:r>
      <w:r w:rsidR="00312E8C" w:rsidRPr="00BB7D44">
        <w:rPr>
          <w:szCs w:val="22"/>
        </w:rPr>
        <w:t xml:space="preserve"> In addition, FBC had net current assets of</w:t>
      </w:r>
      <w:r w:rsidR="005C0CC6" w:rsidRPr="00BB7D44">
        <w:rPr>
          <w:szCs w:val="22"/>
        </w:rPr>
        <w:t xml:space="preserve"> $</w:t>
      </w:r>
      <w:r w:rsidR="0053093C">
        <w:rPr>
          <w:szCs w:val="22"/>
        </w:rPr>
        <w:t>801,353</w:t>
      </w:r>
      <w:r w:rsidR="009B59FB">
        <w:rPr>
          <w:szCs w:val="22"/>
        </w:rPr>
        <w:t xml:space="preserve"> and $677,393</w:t>
      </w:r>
      <w:r w:rsidR="0053093C">
        <w:rPr>
          <w:szCs w:val="22"/>
        </w:rPr>
        <w:t xml:space="preserve"> </w:t>
      </w:r>
      <w:r w:rsidR="005C0CC6" w:rsidRPr="00BB7D44">
        <w:rPr>
          <w:szCs w:val="22"/>
        </w:rPr>
        <w:t>as of December 31, 2011 and</w:t>
      </w:r>
      <w:r w:rsidR="00312E8C" w:rsidRPr="00BB7D44">
        <w:rPr>
          <w:szCs w:val="22"/>
        </w:rPr>
        <w:t xml:space="preserve"> December 31, 2012,</w:t>
      </w:r>
      <w:r w:rsidR="009B59FB">
        <w:rPr>
          <w:szCs w:val="22"/>
        </w:rPr>
        <w:t xml:space="preserve"> respectively,</w:t>
      </w:r>
      <w:r w:rsidR="00312E8C" w:rsidRPr="00BB7D44">
        <w:rPr>
          <w:szCs w:val="22"/>
        </w:rPr>
        <w:t xml:space="preserve"> which provides further evidence that the provision of closed captioning </w:t>
      </w:r>
      <w:r w:rsidR="00361960">
        <w:rPr>
          <w:szCs w:val="22"/>
        </w:rPr>
        <w:t>is</w:t>
      </w:r>
      <w:r w:rsidR="00312E8C" w:rsidRPr="00BB7D44">
        <w:rPr>
          <w:szCs w:val="22"/>
        </w:rPr>
        <w:t xml:space="preserve"> not economically burdensome</w:t>
      </w:r>
      <w:r w:rsidR="00361960">
        <w:rPr>
          <w:szCs w:val="22"/>
        </w:rPr>
        <w:t xml:space="preserve"> for FBC</w:t>
      </w:r>
      <w:r w:rsidR="00312E8C" w:rsidRPr="00BB7D44">
        <w:rPr>
          <w:szCs w:val="22"/>
        </w:rPr>
        <w:t>.</w:t>
      </w:r>
      <w:r w:rsidR="00426840" w:rsidRPr="00BB7D44">
        <w:rPr>
          <w:rStyle w:val="FootnoteReference"/>
          <w:szCs w:val="22"/>
        </w:rPr>
        <w:footnoteReference w:id="54"/>
      </w:r>
      <w:r w:rsidR="00312E8C" w:rsidRPr="00BB7D44">
        <w:rPr>
          <w:szCs w:val="22"/>
        </w:rPr>
        <w:t xml:space="preserve">  Based on </w:t>
      </w:r>
      <w:r w:rsidR="00DC33E7" w:rsidRPr="00BB7D44">
        <w:rPr>
          <w:szCs w:val="22"/>
        </w:rPr>
        <w:t xml:space="preserve">our review and analysis, we conclude that closed captioning </w:t>
      </w:r>
      <w:r w:rsidR="00312E8C" w:rsidRPr="00BB7D44">
        <w:rPr>
          <w:szCs w:val="22"/>
        </w:rPr>
        <w:t>would not be economically burdensome for FBC at this time</w:t>
      </w:r>
      <w:r w:rsidR="00DC33E7" w:rsidRPr="00BB7D44">
        <w:rPr>
          <w:szCs w:val="22"/>
        </w:rPr>
        <w:t>.</w:t>
      </w:r>
      <w:r w:rsidR="00DC33E7" w:rsidRPr="00BB7D44">
        <w:rPr>
          <w:rStyle w:val="FootnoteReference"/>
          <w:szCs w:val="22"/>
        </w:rPr>
        <w:footnoteReference w:id="55"/>
      </w:r>
      <w:r w:rsidR="00DC33E7" w:rsidRPr="00BB7D44">
        <w:rPr>
          <w:szCs w:val="22"/>
        </w:rPr>
        <w:t xml:space="preserve">  </w:t>
      </w:r>
    </w:p>
    <w:p w:rsidR="00A24AD2" w:rsidRPr="00BB7D44" w:rsidRDefault="00A43358" w:rsidP="00BB7D44">
      <w:pPr>
        <w:pStyle w:val="ParaNum"/>
        <w:widowControl/>
        <w:tabs>
          <w:tab w:val="clear" w:pos="1440"/>
          <w:tab w:val="clear" w:pos="2340"/>
        </w:tabs>
        <w:spacing w:after="120"/>
        <w:ind w:left="0"/>
        <w:jc w:val="left"/>
        <w:rPr>
          <w:szCs w:val="22"/>
        </w:rPr>
      </w:pPr>
      <w:r w:rsidRPr="00BB7D44">
        <w:rPr>
          <w:szCs w:val="22"/>
        </w:rPr>
        <w:t>FBC asserts that</w:t>
      </w:r>
      <w:r w:rsidR="00254B8E" w:rsidRPr="00BB7D44">
        <w:rPr>
          <w:szCs w:val="22"/>
        </w:rPr>
        <w:t>,</w:t>
      </w:r>
      <w:r w:rsidRPr="00BB7D44">
        <w:rPr>
          <w:szCs w:val="22"/>
        </w:rPr>
        <w:t xml:space="preserve"> if not granted a captioning exemption, it would have to implement savings in other areas and that this would result in the elimination of or reduction in existing ministries and programs.</w:t>
      </w:r>
      <w:r w:rsidRPr="00BB7D44">
        <w:rPr>
          <w:rStyle w:val="FootnoteReference"/>
          <w:szCs w:val="22"/>
        </w:rPr>
        <w:footnoteReference w:id="56"/>
      </w:r>
      <w:r w:rsidRPr="00BB7D44">
        <w:rPr>
          <w:szCs w:val="22"/>
        </w:rPr>
        <w:t xml:space="preserve">  </w:t>
      </w:r>
      <w:r w:rsidR="002A4ADC" w:rsidRPr="00BB7D44">
        <w:rPr>
          <w:szCs w:val="22"/>
        </w:rPr>
        <w:t>The Commission may consider additional factors besides those set forth in section 713(e) of the Act when making a determination for an individual closed captioning exemption.</w:t>
      </w:r>
      <w:r w:rsidR="002A4ADC" w:rsidRPr="00BB7D44">
        <w:rPr>
          <w:rStyle w:val="FootnoteReference"/>
          <w:szCs w:val="22"/>
        </w:rPr>
        <w:footnoteReference w:id="57"/>
      </w:r>
      <w:r w:rsidR="002A4ADC" w:rsidRPr="00BB7D44">
        <w:rPr>
          <w:szCs w:val="22"/>
        </w:rPr>
        <w:t xml:space="preserve">  However, t</w:t>
      </w:r>
      <w:r w:rsidRPr="00BB7D44">
        <w:rPr>
          <w:szCs w:val="22"/>
        </w:rPr>
        <w:t xml:space="preserve">he Commission </w:t>
      </w:r>
      <w:r w:rsidR="002A4ADC" w:rsidRPr="00BB7D44">
        <w:rPr>
          <w:szCs w:val="22"/>
        </w:rPr>
        <w:t xml:space="preserve">has </w:t>
      </w:r>
      <w:r w:rsidRPr="00BB7D44">
        <w:rPr>
          <w:szCs w:val="22"/>
        </w:rPr>
        <w:t xml:space="preserve">previously explained that </w:t>
      </w:r>
      <w:r w:rsidR="002A4ADC" w:rsidRPr="00BB7D44">
        <w:rPr>
          <w:szCs w:val="22"/>
        </w:rPr>
        <w:t xml:space="preserve">any additional factors that </w:t>
      </w:r>
      <w:r w:rsidR="007A0318" w:rsidRPr="00BB7D44">
        <w:rPr>
          <w:szCs w:val="22"/>
        </w:rPr>
        <w:t>it</w:t>
      </w:r>
      <w:r w:rsidR="002A4ADC" w:rsidRPr="00BB7D44">
        <w:rPr>
          <w:szCs w:val="22"/>
        </w:rPr>
        <w:t xml:space="preserve"> considers “must focus on the impact that captioning will have on the petitioner’s programming activities – for example the extent to which </w:t>
      </w:r>
      <w:r w:rsidR="002A4ADC" w:rsidRPr="00BB7D44">
        <w:rPr>
          <w:i/>
          <w:szCs w:val="22"/>
        </w:rPr>
        <w:t xml:space="preserve">programming </w:t>
      </w:r>
      <w:r w:rsidR="002A4ADC" w:rsidRPr="00BB7D44">
        <w:rPr>
          <w:szCs w:val="22"/>
        </w:rPr>
        <w:t>might not be shown if program owners or providers are required to provide captions – not other activities or missions that are unrelated to that programming.”</w:t>
      </w:r>
      <w:r w:rsidR="002A4ADC" w:rsidRPr="00BB7D44">
        <w:rPr>
          <w:rStyle w:val="FootnoteReference"/>
          <w:szCs w:val="22"/>
        </w:rPr>
        <w:footnoteReference w:id="58"/>
      </w:r>
      <w:r w:rsidR="002A4ADC" w:rsidRPr="00BB7D44">
        <w:rPr>
          <w:szCs w:val="22"/>
        </w:rPr>
        <w:t xml:space="preserve">  For this reason, we do not consider FBC’s assertion that a denial of </w:t>
      </w:r>
      <w:r w:rsidR="00872F2D" w:rsidRPr="00BB7D44">
        <w:rPr>
          <w:szCs w:val="22"/>
        </w:rPr>
        <w:t>the</w:t>
      </w:r>
      <w:r w:rsidR="002A4ADC" w:rsidRPr="00BB7D44">
        <w:rPr>
          <w:szCs w:val="22"/>
        </w:rPr>
        <w:t xml:space="preserve"> Petition would result in the elimination of or reduction in existing ministries and programs besides its television program</w:t>
      </w:r>
      <w:r w:rsidR="00134173">
        <w:rPr>
          <w:szCs w:val="22"/>
        </w:rPr>
        <w:t xml:space="preserve"> as a factor in making our determination of whether the costs of captioning would be economically burdensome for FBC</w:t>
      </w:r>
      <w:r w:rsidR="002A4ADC" w:rsidRPr="00BB7D44">
        <w:rPr>
          <w:szCs w:val="22"/>
        </w:rPr>
        <w:t xml:space="preserve">.  Additionally, because </w:t>
      </w:r>
      <w:r w:rsidR="007A0318" w:rsidRPr="00BB7D44">
        <w:rPr>
          <w:szCs w:val="22"/>
        </w:rPr>
        <w:t xml:space="preserve">we </w:t>
      </w:r>
      <w:r w:rsidR="002A4ADC" w:rsidRPr="00BB7D44">
        <w:rPr>
          <w:szCs w:val="22"/>
        </w:rPr>
        <w:t xml:space="preserve">conclude, based on the information provided by FBC, that FBC has adequate financial resources to enable it to afford the </w:t>
      </w:r>
      <w:r w:rsidR="00134173">
        <w:rPr>
          <w:szCs w:val="22"/>
        </w:rPr>
        <w:t xml:space="preserve">costs of </w:t>
      </w:r>
      <w:r w:rsidR="002A4ADC" w:rsidRPr="00BB7D44">
        <w:rPr>
          <w:szCs w:val="22"/>
        </w:rPr>
        <w:t>captioning its television program,</w:t>
      </w:r>
      <w:r w:rsidR="007A0318" w:rsidRPr="00BB7D44">
        <w:rPr>
          <w:rStyle w:val="FootnoteReference"/>
          <w:szCs w:val="22"/>
        </w:rPr>
        <w:footnoteReference w:id="59"/>
      </w:r>
      <w:r w:rsidR="002A4ADC" w:rsidRPr="00BB7D44">
        <w:rPr>
          <w:szCs w:val="22"/>
        </w:rPr>
        <w:t xml:space="preserve"> we </w:t>
      </w:r>
      <w:r w:rsidR="006A6731" w:rsidRPr="00BB7D44">
        <w:rPr>
          <w:szCs w:val="22"/>
        </w:rPr>
        <w:t>do not find credible FBC’s</w:t>
      </w:r>
      <w:r w:rsidR="00061776" w:rsidRPr="00BB7D44">
        <w:rPr>
          <w:szCs w:val="22"/>
        </w:rPr>
        <w:t xml:space="preserve"> claimed</w:t>
      </w:r>
      <w:r w:rsidR="006A6731" w:rsidRPr="00BB7D44">
        <w:rPr>
          <w:szCs w:val="22"/>
        </w:rPr>
        <w:t xml:space="preserve"> uncertainty about continuing its program if it must provide closed captioning</w:t>
      </w:r>
      <w:r w:rsidR="002A4ADC" w:rsidRPr="00BB7D44">
        <w:rPr>
          <w:szCs w:val="22"/>
        </w:rPr>
        <w:t>.</w:t>
      </w:r>
      <w:r w:rsidR="006A6731" w:rsidRPr="00BB7D44">
        <w:rPr>
          <w:rStyle w:val="FootnoteReference"/>
          <w:szCs w:val="22"/>
        </w:rPr>
        <w:footnoteReference w:id="60"/>
      </w:r>
      <w:r w:rsidR="002A4ADC" w:rsidRPr="00BB7D44">
        <w:rPr>
          <w:szCs w:val="22"/>
        </w:rPr>
        <w:t xml:space="preserve">  </w:t>
      </w:r>
      <w:r w:rsidR="00C27C93" w:rsidRPr="00BB7D44">
        <w:rPr>
          <w:szCs w:val="22"/>
        </w:rPr>
        <w:t xml:space="preserve">Accordingly, we find that it would </w:t>
      </w:r>
      <w:r w:rsidR="0008092F" w:rsidRPr="00BB7D44">
        <w:rPr>
          <w:szCs w:val="22"/>
        </w:rPr>
        <w:t xml:space="preserve">not </w:t>
      </w:r>
      <w:r w:rsidR="00C27C93" w:rsidRPr="00BB7D44">
        <w:rPr>
          <w:szCs w:val="22"/>
        </w:rPr>
        <w:t xml:space="preserve">be “economically burdensome” for </w:t>
      </w:r>
      <w:r w:rsidR="002972A2" w:rsidRPr="00BB7D44">
        <w:rPr>
          <w:szCs w:val="22"/>
        </w:rPr>
        <w:t>FBC</w:t>
      </w:r>
      <w:r w:rsidR="00C27C93" w:rsidRPr="00BB7D44">
        <w:rPr>
          <w:szCs w:val="22"/>
        </w:rPr>
        <w:t xml:space="preserve"> to caption its program within the meaning of the Communications Act or the Commission’s rules.</w:t>
      </w:r>
    </w:p>
    <w:p w:rsidR="0056081C" w:rsidRPr="00BB7D44" w:rsidRDefault="00A75E94" w:rsidP="00BB7D44">
      <w:pPr>
        <w:pStyle w:val="Heading1"/>
        <w:keepNext w:val="0"/>
        <w:widowControl/>
        <w:tabs>
          <w:tab w:val="left" w:pos="1440"/>
        </w:tabs>
        <w:spacing w:after="120"/>
        <w:jc w:val="left"/>
        <w:rPr>
          <w:szCs w:val="22"/>
        </w:rPr>
      </w:pPr>
      <w:r w:rsidRPr="00BB7D44">
        <w:rPr>
          <w:szCs w:val="22"/>
        </w:rPr>
        <w:t>ordering clauses</w:t>
      </w:r>
    </w:p>
    <w:p w:rsidR="00F37BC8" w:rsidRPr="00BB7D44" w:rsidRDefault="00F37BC8" w:rsidP="00BB7D44">
      <w:pPr>
        <w:pStyle w:val="ParaNum"/>
        <w:widowControl/>
        <w:tabs>
          <w:tab w:val="clear" w:pos="1440"/>
          <w:tab w:val="clear" w:pos="2340"/>
        </w:tabs>
        <w:spacing w:after="120"/>
        <w:ind w:left="0"/>
        <w:jc w:val="left"/>
        <w:rPr>
          <w:szCs w:val="22"/>
        </w:rPr>
      </w:pPr>
      <w:r w:rsidRPr="00BB7D44">
        <w:rPr>
          <w:szCs w:val="22"/>
        </w:rPr>
        <w:t>Accordingly,</w:t>
      </w:r>
      <w:r w:rsidR="002972A2" w:rsidRPr="00BB7D44">
        <w:rPr>
          <w:szCs w:val="22"/>
        </w:rPr>
        <w:t xml:space="preserve"> pursuant to section 713 of the Communications Act of 1934, as amended, and sections 0.141(f) and 79.1(f) of the Commission’s rules,</w:t>
      </w:r>
      <w:r w:rsidR="002972A2" w:rsidRPr="00BB7D44">
        <w:rPr>
          <w:rStyle w:val="FootnoteReference"/>
          <w:szCs w:val="22"/>
        </w:rPr>
        <w:footnoteReference w:id="61"/>
      </w:r>
      <w:r w:rsidRPr="00BB7D44">
        <w:rPr>
          <w:szCs w:val="22"/>
        </w:rPr>
        <w:t xml:space="preserve"> IT IS ORDERED</w:t>
      </w:r>
      <w:r w:rsidRPr="00BB7D44">
        <w:rPr>
          <w:b/>
          <w:szCs w:val="22"/>
        </w:rPr>
        <w:t xml:space="preserve"> </w:t>
      </w:r>
      <w:r w:rsidRPr="00BB7D44">
        <w:rPr>
          <w:szCs w:val="22"/>
        </w:rPr>
        <w:t xml:space="preserve">that the Petition filed by </w:t>
      </w:r>
      <w:r w:rsidR="002972A2" w:rsidRPr="00BB7D44">
        <w:rPr>
          <w:szCs w:val="22"/>
        </w:rPr>
        <w:t>FBC</w:t>
      </w:r>
      <w:r w:rsidRPr="00BB7D44">
        <w:rPr>
          <w:szCs w:val="22"/>
        </w:rPr>
        <w:t>, requesting an exemption from the Commission’s closed captioning rules, IS DENIED</w:t>
      </w:r>
      <w:r w:rsidRPr="00BB7D44">
        <w:rPr>
          <w:b/>
          <w:szCs w:val="22"/>
        </w:rPr>
        <w:t>.</w:t>
      </w:r>
      <w:r w:rsidRPr="00BB7D44">
        <w:rPr>
          <w:szCs w:val="22"/>
        </w:rPr>
        <w:t xml:space="preserve">  </w:t>
      </w:r>
    </w:p>
    <w:p w:rsidR="00F37BC8" w:rsidRDefault="00F37BC8" w:rsidP="00BB7D44">
      <w:pPr>
        <w:pStyle w:val="ParaNum"/>
        <w:widowControl/>
        <w:tabs>
          <w:tab w:val="clear" w:pos="1440"/>
          <w:tab w:val="clear" w:pos="2340"/>
        </w:tabs>
        <w:spacing w:after="120"/>
        <w:ind w:left="0"/>
        <w:jc w:val="left"/>
        <w:rPr>
          <w:szCs w:val="22"/>
        </w:rPr>
      </w:pPr>
      <w:r w:rsidRPr="00BB7D44">
        <w:rPr>
          <w:szCs w:val="22"/>
        </w:rPr>
        <w:t xml:space="preserve">IT IS FURTHER ORDERED that </w:t>
      </w:r>
      <w:r w:rsidR="002972A2" w:rsidRPr="00BB7D44">
        <w:rPr>
          <w:szCs w:val="22"/>
        </w:rPr>
        <w:t>FBC shall</w:t>
      </w:r>
      <w:r w:rsidRPr="00BB7D44">
        <w:rPr>
          <w:szCs w:val="22"/>
        </w:rPr>
        <w:t xml:space="preserve"> commence closed captioning of the programming that is the subject of its Petition no l</w:t>
      </w:r>
      <w:r w:rsidR="00BD6771">
        <w:rPr>
          <w:szCs w:val="22"/>
        </w:rPr>
        <w:t xml:space="preserve">ater than </w:t>
      </w:r>
      <w:r w:rsidR="00BD6771" w:rsidRPr="00BD6771">
        <w:rPr>
          <w:szCs w:val="22"/>
        </w:rPr>
        <w:t>January 22, 2015</w:t>
      </w:r>
      <w:r w:rsidRPr="00BB7D44">
        <w:rPr>
          <w:szCs w:val="22"/>
        </w:rPr>
        <w:t xml:space="preserve">, which is 90 days from the </w:t>
      </w:r>
      <w:r w:rsidR="002972A2" w:rsidRPr="00BB7D44">
        <w:rPr>
          <w:szCs w:val="22"/>
        </w:rPr>
        <w:t xml:space="preserve">date of the </w:t>
      </w:r>
      <w:r w:rsidRPr="00BB7D44">
        <w:rPr>
          <w:szCs w:val="22"/>
        </w:rPr>
        <w:t>release of this Order.</w:t>
      </w:r>
    </w:p>
    <w:p w:rsidR="009C516F" w:rsidRDefault="009C516F" w:rsidP="009C516F">
      <w:pPr>
        <w:pStyle w:val="ParaNum"/>
        <w:widowControl/>
        <w:numPr>
          <w:ilvl w:val="0"/>
          <w:numId w:val="0"/>
        </w:numPr>
        <w:tabs>
          <w:tab w:val="clear" w:pos="1440"/>
        </w:tabs>
        <w:spacing w:after="120"/>
        <w:ind w:left="1260" w:firstLine="720"/>
        <w:jc w:val="left"/>
        <w:rPr>
          <w:szCs w:val="22"/>
        </w:rPr>
      </w:pPr>
    </w:p>
    <w:p w:rsidR="009C516F" w:rsidRDefault="009C516F" w:rsidP="009C516F">
      <w:pPr>
        <w:pStyle w:val="ParaNum"/>
        <w:widowControl/>
        <w:numPr>
          <w:ilvl w:val="0"/>
          <w:numId w:val="0"/>
        </w:numPr>
        <w:tabs>
          <w:tab w:val="clear" w:pos="1440"/>
        </w:tabs>
        <w:spacing w:after="120"/>
        <w:ind w:left="1260" w:firstLine="720"/>
        <w:jc w:val="left"/>
        <w:rPr>
          <w:szCs w:val="22"/>
        </w:rPr>
      </w:pPr>
    </w:p>
    <w:p w:rsidR="009C516F" w:rsidRDefault="009C516F" w:rsidP="009C516F">
      <w:pPr>
        <w:pStyle w:val="ParaNum"/>
        <w:widowControl/>
        <w:numPr>
          <w:ilvl w:val="0"/>
          <w:numId w:val="0"/>
        </w:numPr>
        <w:tabs>
          <w:tab w:val="clear" w:pos="1440"/>
        </w:tabs>
        <w:spacing w:after="120"/>
        <w:ind w:left="1260" w:firstLine="720"/>
        <w:jc w:val="left"/>
        <w:rPr>
          <w:szCs w:val="22"/>
        </w:rPr>
      </w:pPr>
    </w:p>
    <w:p w:rsidR="009C516F" w:rsidRPr="00BB7D44" w:rsidRDefault="009C516F" w:rsidP="009C516F">
      <w:pPr>
        <w:pStyle w:val="ParaNum"/>
        <w:widowControl/>
        <w:numPr>
          <w:ilvl w:val="0"/>
          <w:numId w:val="0"/>
        </w:numPr>
        <w:tabs>
          <w:tab w:val="clear" w:pos="1440"/>
        </w:tabs>
        <w:spacing w:after="120"/>
        <w:ind w:left="1260" w:firstLine="720"/>
        <w:jc w:val="left"/>
        <w:rPr>
          <w:szCs w:val="22"/>
        </w:rPr>
      </w:pPr>
    </w:p>
    <w:p w:rsidR="009C516F" w:rsidRDefault="00F37BC8" w:rsidP="00BB7D44">
      <w:pPr>
        <w:pStyle w:val="ParaNum"/>
        <w:widowControl/>
        <w:tabs>
          <w:tab w:val="clear" w:pos="2340"/>
        </w:tabs>
        <w:spacing w:after="120"/>
        <w:ind w:left="0"/>
        <w:jc w:val="left"/>
        <w:rPr>
          <w:szCs w:val="22"/>
        </w:rPr>
      </w:pPr>
      <w:r w:rsidRPr="00BB7D44">
        <w:rPr>
          <w:szCs w:val="22"/>
        </w:rPr>
        <w:t xml:space="preserve">IT IS FURTHER ORDERED that </w:t>
      </w:r>
      <w:r w:rsidR="002972A2" w:rsidRPr="00BB7D44">
        <w:rPr>
          <w:szCs w:val="22"/>
        </w:rPr>
        <w:t>FBC</w:t>
      </w:r>
      <w:r w:rsidRPr="00BB7D44">
        <w:rPr>
          <w:szCs w:val="22"/>
        </w:rPr>
        <w:t xml:space="preserve"> must inform the Commission of the date on which it commences closed captioning of its programming in accordance with this Order and the Commission’s rules by e-mail to </w:t>
      </w:r>
      <w:hyperlink r:id="rId9" w:history="1">
        <w:r w:rsidRPr="00BB7D44">
          <w:rPr>
            <w:rStyle w:val="Hyperlink"/>
            <w:szCs w:val="22"/>
          </w:rPr>
          <w:t>captioningexemption@fcc.gov</w:t>
        </w:r>
      </w:hyperlink>
      <w:r w:rsidRPr="00BB7D44">
        <w:rPr>
          <w:szCs w:val="22"/>
        </w:rPr>
        <w:t>.</w:t>
      </w:r>
      <w:r w:rsidRPr="00BB7D44">
        <w:rPr>
          <w:rStyle w:val="FootnoteReference"/>
          <w:szCs w:val="22"/>
        </w:rPr>
        <w:footnoteReference w:id="62"/>
      </w:r>
      <w:r w:rsidRPr="00BB7D44">
        <w:rPr>
          <w:szCs w:val="22"/>
        </w:rPr>
        <w:t xml:space="preserve">  The e-mail must reference Case Identifier CGB-CC-</w:t>
      </w:r>
      <w:r w:rsidR="00F505C6" w:rsidRPr="00BB7D44">
        <w:rPr>
          <w:szCs w:val="22"/>
        </w:rPr>
        <w:t>0303</w:t>
      </w:r>
      <w:r w:rsidRPr="00BB7D44">
        <w:rPr>
          <w:szCs w:val="22"/>
        </w:rPr>
        <w:t xml:space="preserve">.  </w:t>
      </w:r>
      <w:r w:rsidR="00734991" w:rsidRPr="00BB7D44">
        <w:rPr>
          <w:szCs w:val="22"/>
        </w:rPr>
        <w:tab/>
      </w:r>
    </w:p>
    <w:p w:rsidR="00734991" w:rsidRPr="00BB7D44" w:rsidRDefault="00734991" w:rsidP="00EB307B">
      <w:pPr>
        <w:ind w:left="4680"/>
        <w:rPr>
          <w:szCs w:val="22"/>
        </w:rPr>
      </w:pPr>
      <w:r w:rsidRPr="00BB7D44">
        <w:rPr>
          <w:szCs w:val="22"/>
        </w:rPr>
        <w:t>FEDERAL COMMUNICATIONS COMMISSION</w:t>
      </w:r>
    </w:p>
    <w:p w:rsidR="00311774" w:rsidRPr="00BB7D44" w:rsidRDefault="00311774" w:rsidP="00EB307B">
      <w:pPr>
        <w:ind w:left="4680"/>
        <w:rPr>
          <w:szCs w:val="22"/>
        </w:rPr>
      </w:pPr>
    </w:p>
    <w:p w:rsidR="00311774" w:rsidRPr="00BB7D44" w:rsidRDefault="00311774" w:rsidP="00EB307B">
      <w:pPr>
        <w:ind w:left="4680"/>
        <w:rPr>
          <w:szCs w:val="22"/>
        </w:rPr>
      </w:pPr>
    </w:p>
    <w:p w:rsidR="00734991" w:rsidRPr="00BB7D44" w:rsidRDefault="00734991" w:rsidP="00EB307B">
      <w:pPr>
        <w:ind w:left="4680"/>
        <w:rPr>
          <w:szCs w:val="22"/>
        </w:rPr>
      </w:pPr>
    </w:p>
    <w:p w:rsidR="00734991" w:rsidRPr="00BB7D44" w:rsidRDefault="009F3096" w:rsidP="00EB307B">
      <w:pPr>
        <w:ind w:left="4680"/>
        <w:rPr>
          <w:szCs w:val="22"/>
        </w:rPr>
      </w:pPr>
      <w:r w:rsidRPr="00BB7D44">
        <w:rPr>
          <w:szCs w:val="22"/>
        </w:rPr>
        <w:t>Karen Peltz Strauss</w:t>
      </w:r>
    </w:p>
    <w:p w:rsidR="00734991" w:rsidRPr="00BB7D44" w:rsidRDefault="009F3096" w:rsidP="00EB307B">
      <w:pPr>
        <w:ind w:left="4680"/>
        <w:rPr>
          <w:szCs w:val="22"/>
        </w:rPr>
      </w:pPr>
      <w:r w:rsidRPr="00BB7D44">
        <w:rPr>
          <w:szCs w:val="22"/>
        </w:rPr>
        <w:t>Deputy</w:t>
      </w:r>
      <w:r w:rsidR="00734991" w:rsidRPr="00BB7D44">
        <w:rPr>
          <w:szCs w:val="22"/>
        </w:rPr>
        <w:t xml:space="preserve"> Chief</w:t>
      </w:r>
    </w:p>
    <w:p w:rsidR="002C218F" w:rsidRPr="00BB7D44" w:rsidRDefault="00734991" w:rsidP="00EB307B">
      <w:pPr>
        <w:ind w:left="4680"/>
        <w:rPr>
          <w:szCs w:val="22"/>
        </w:rPr>
      </w:pPr>
      <w:r w:rsidRPr="00BB7D44">
        <w:rPr>
          <w:szCs w:val="22"/>
        </w:rPr>
        <w:t>Consumer and Governmental Affairs Bureau</w:t>
      </w:r>
    </w:p>
    <w:sectPr w:rsidR="002C218F" w:rsidRPr="00BB7D44" w:rsidSect="0053093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553"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11D" w:rsidRDefault="00AC711D">
      <w:r>
        <w:separator/>
      </w:r>
    </w:p>
  </w:endnote>
  <w:endnote w:type="continuationSeparator" w:id="0">
    <w:p w:rsidR="00AC711D" w:rsidRDefault="00AC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E98" w:rsidRDefault="00406E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2BF" w:rsidRDefault="00DF02BF">
    <w:pPr>
      <w:pStyle w:val="Footer"/>
      <w:jc w:val="center"/>
    </w:pPr>
    <w:r>
      <w:rPr>
        <w:rStyle w:val="PageNumber"/>
      </w:rPr>
      <w:fldChar w:fldCharType="begin"/>
    </w:r>
    <w:r>
      <w:rPr>
        <w:rStyle w:val="PageNumber"/>
      </w:rPr>
      <w:instrText xml:space="preserve"> PAGE </w:instrText>
    </w:r>
    <w:r>
      <w:rPr>
        <w:rStyle w:val="PageNumber"/>
      </w:rPr>
      <w:fldChar w:fldCharType="separate"/>
    </w:r>
    <w:r w:rsidR="00F44DB5">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E98" w:rsidRDefault="00406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11D" w:rsidRDefault="00AC711D">
      <w:pPr>
        <w:rPr>
          <w:sz w:val="20"/>
        </w:rPr>
      </w:pPr>
      <w:r>
        <w:rPr>
          <w:sz w:val="20"/>
        </w:rPr>
        <w:separator/>
      </w:r>
    </w:p>
  </w:footnote>
  <w:footnote w:type="continuationSeparator" w:id="0">
    <w:p w:rsidR="00AC711D" w:rsidRDefault="00AC711D">
      <w:pPr>
        <w:rPr>
          <w:sz w:val="20"/>
        </w:rPr>
      </w:pPr>
      <w:r>
        <w:rPr>
          <w:sz w:val="20"/>
        </w:rPr>
        <w:separator/>
      </w:r>
    </w:p>
    <w:p w:rsidR="00AC711D" w:rsidRDefault="00AC711D">
      <w:pPr>
        <w:rPr>
          <w:sz w:val="20"/>
        </w:rPr>
      </w:pPr>
      <w:r>
        <w:rPr>
          <w:sz w:val="20"/>
        </w:rPr>
        <w:t>(...continued from previous page)</w:t>
      </w:r>
    </w:p>
  </w:footnote>
  <w:footnote w:type="continuationNotice" w:id="1">
    <w:p w:rsidR="00AC711D" w:rsidRDefault="00AC711D">
      <w:pPr>
        <w:jc w:val="right"/>
        <w:rPr>
          <w:sz w:val="20"/>
        </w:rPr>
      </w:pPr>
      <w:r>
        <w:rPr>
          <w:sz w:val="20"/>
        </w:rPr>
        <w:t>(continued....)</w:t>
      </w:r>
    </w:p>
  </w:footnote>
  <w:footnote w:id="2">
    <w:p w:rsidR="00FA50A5" w:rsidRPr="0053093C" w:rsidRDefault="00FA50A5"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Section 305 of the Telecommunications Act of 1996, Pub. L. No. 104-104, 110 Stat. 56 (codified at 47 U.S.C. § 613).  As recognized by Congress, the goal in captioning video programming is “to ensure that all Americans ultimately have access to video services and programs, particularly as video programming becomes an increasingly important part of the home, school and workplace.”  H.R. Rep. 104-458 (Conf. Rep.) at 183-184, 104</w:t>
      </w:r>
      <w:r w:rsidRPr="0053093C">
        <w:rPr>
          <w:vertAlign w:val="superscript"/>
        </w:rPr>
        <w:t>th</w:t>
      </w:r>
      <w:r w:rsidRPr="0053093C">
        <w:t xml:space="preserve"> Cong., 2d Sess. (1996).  “Video programming” means “programming by, or generally considered comparable to programming provided by a television broadcast station.”  47 U.S.C. § 613(h)(2).</w:t>
      </w:r>
    </w:p>
  </w:footnote>
  <w:footnote w:id="3">
    <w:p w:rsidR="00FA50A5" w:rsidRPr="0053093C" w:rsidRDefault="00FA50A5"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47 U.S.C. §§ 613(b), (c).</w:t>
      </w:r>
    </w:p>
  </w:footnote>
  <w:footnote w:id="4">
    <w:p w:rsidR="00FA50A5" w:rsidRPr="0053093C" w:rsidRDefault="00FA50A5"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Pr="0053093C">
        <w:rPr>
          <w:i/>
        </w:rPr>
        <w:t>See</w:t>
      </w:r>
      <w:r w:rsidRPr="0053093C">
        <w:t xml:space="preserve"> 47 C.F.R. § 79.1; </w:t>
      </w:r>
      <w:r w:rsidRPr="0053093C">
        <w:rPr>
          <w:i/>
        </w:rPr>
        <w:t>Closed Captioning and Video Description of Video Programming, Implementation of Section 305 of the Telecommunications Act of 1996, Video Programming Accessibility</w:t>
      </w:r>
      <w:r w:rsidRPr="0053093C">
        <w:t xml:space="preserve">, </w:t>
      </w:r>
      <w:r w:rsidR="002B331C" w:rsidRPr="0053093C">
        <w:t xml:space="preserve">MM Docket No. 95-176, </w:t>
      </w:r>
      <w:r w:rsidRPr="0053093C">
        <w:t>Report and Order, 13 FCC Rcd 3272 (1997) (</w:t>
      </w:r>
      <w:r w:rsidRPr="0053093C">
        <w:rPr>
          <w:i/>
        </w:rPr>
        <w:t xml:space="preserve">Closed Captioning Report and Order); </w:t>
      </w:r>
      <w:r w:rsidRPr="0053093C">
        <w:rPr>
          <w:i/>
          <w:iCs/>
        </w:rPr>
        <w:t>Closed Captioning and Video Description of Video Programming, Implementation of Section 305 of the Telecommunications Act of 1996, Video Programming Accessibility</w:t>
      </w:r>
      <w:r w:rsidRPr="0053093C">
        <w:rPr>
          <w:iCs/>
        </w:rPr>
        <w:t xml:space="preserve">, </w:t>
      </w:r>
      <w:r w:rsidR="002B331C" w:rsidRPr="0053093C">
        <w:t xml:space="preserve">MM Docket No. 95-176, </w:t>
      </w:r>
      <w:r w:rsidRPr="0053093C">
        <w:t>Order on Reconsideration, 13 FCC Rcd 19973 (1998) (</w:t>
      </w:r>
      <w:r w:rsidRPr="0053093C">
        <w:rPr>
          <w:i/>
        </w:rPr>
        <w:t>Closed Captioning Reconsideration Order</w:t>
      </w:r>
      <w:r w:rsidRPr="0053093C">
        <w:t>)</w:t>
      </w:r>
      <w:r w:rsidRPr="0053093C">
        <w:rPr>
          <w:i/>
          <w:iCs/>
        </w:rPr>
        <w:t>.</w:t>
      </w:r>
      <w:r w:rsidRPr="0053093C">
        <w:t xml:space="preserve">  </w:t>
      </w:r>
    </w:p>
  </w:footnote>
  <w:footnote w:id="5">
    <w:p w:rsidR="00FA50A5" w:rsidRPr="0053093C" w:rsidRDefault="00FA50A5"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47 C.F.R. §§ 79.1(b)(1)(iv), (b)(3)(iv).  A “video programming distributor” is defined as (1) any television broadcast station licensed by the Commission; (2) any multichannel video programming distributor (MVPD) as defined in section 76.1000(e); and (3) any other distributor of video programming for residential reception that delivers such programming directly to the home and is subject to the jurisdiction of the Commission.  47 C.F.R. § 79.1(a)(2).  The Commission’s rules also require closed captioning of 75% of a programming distributor’s pre-rule, nonexempt English and Spanish language programming that is distributed and exhibited on each channel during each calendar quarter.  47 C.F.R. §§ 79.1(b)(2)(ii), (b)(4)(ii).  “Pre-rule” programming refers to analog video programming first published or exhibited before January 1, 1998, or digital video programing first published or exhibited before July 1, 2002.  47 C.F.R. § 79.1(a)(6).  Bilingual English-Spanish language programming is subject to the same closed captioning requirements for new and pre-rule programming.  </w:t>
      </w:r>
      <w:r w:rsidRPr="0053093C">
        <w:rPr>
          <w:i/>
        </w:rPr>
        <w:t>See Closed Captioning of Video Programming; Telecommunications for the Deaf and Hard of Hearing, Inc., Petition for Rulemaking</w:t>
      </w:r>
      <w:r w:rsidRPr="0053093C">
        <w:t xml:space="preserve">, </w:t>
      </w:r>
      <w:r w:rsidR="002B331C" w:rsidRPr="0053093C">
        <w:t xml:space="preserve">CG Docket No. 05-231, </w:t>
      </w:r>
      <w:r w:rsidRPr="0053093C">
        <w:t>Report and Order, Declaratory Ruling, and Further Notice of Proposed Rulemaking, 29 FCC Rcd 2221, 2288-89, ¶ 115 (2014).</w:t>
      </w:r>
    </w:p>
  </w:footnote>
  <w:footnote w:id="6">
    <w:p w:rsidR="00FA50A5" w:rsidRPr="0053093C" w:rsidRDefault="00FA50A5"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Pr="0053093C">
        <w:rPr>
          <w:i/>
        </w:rPr>
        <w:t>See</w:t>
      </w:r>
      <w:r w:rsidRPr="0053093C">
        <w:t xml:space="preserve"> 47 U.S.C. §§ 613(d)(3),(e)</w:t>
      </w:r>
      <w:r w:rsidR="005F50EA" w:rsidRPr="0053093C">
        <w:t>.</w:t>
      </w:r>
      <w:r w:rsidRPr="0053093C">
        <w:t xml:space="preserve"> </w:t>
      </w:r>
      <w:r w:rsidR="005F50EA" w:rsidRPr="0053093C">
        <w:t xml:space="preserve"> </w:t>
      </w:r>
      <w:r w:rsidR="005F50EA" w:rsidRPr="0053093C">
        <w:rPr>
          <w:i/>
        </w:rPr>
        <w:t>S</w:t>
      </w:r>
      <w:r w:rsidRPr="0053093C">
        <w:rPr>
          <w:i/>
        </w:rPr>
        <w:t>ee also</w:t>
      </w:r>
      <w:r w:rsidRPr="0053093C">
        <w:t xml:space="preserve"> 47 C.F.R. § 79.1(f)(2).  As originally enacted in 1996, section 713 of the Communications Act authorized the Commission to grant individual closed captioning exemptions upon a showing that providing closed captioning would “result in an undue burden.”  Pub. L. No. 104-104, § 305, 110 Stat. 126 (1996).  Section 202(c) of the Twenty-First Century Communications and Video Accessibility Act of 2010 (CVAA) replaced the term “undue burden” with the term “economically burdensome.”  Pub. L. No. 111-260, § 202(c), 124 Stat. 2771, amending 47 U.S.C. § 613(d)(3).  For purposes of evaluating individual exemptions, the Commission has determined that Congress intended the term “economically burdensome” to be synonymous with the term “undue burden” as defined by section 713(e) of the Communications Act and section 79.1(f)(2) of the Commission’s rules.  </w:t>
      </w:r>
      <w:r w:rsidRPr="0053093C">
        <w:rPr>
          <w:i/>
        </w:rPr>
        <w:t>See Interpretation of Economically Burdensome Standard, Amendment of Section 79.1(f) of the Commission’s Rules, Video Programming Accessibility</w:t>
      </w:r>
      <w:r w:rsidRPr="0053093C">
        <w:t xml:space="preserve">, </w:t>
      </w:r>
      <w:r w:rsidR="002B331C" w:rsidRPr="0053093C">
        <w:t xml:space="preserve">CG Docket No. 11-175, </w:t>
      </w:r>
      <w:r w:rsidRPr="0053093C">
        <w:t>Report and Order, 27 FCC Rcd 8831, 8834, ¶ 7 (2012) (</w:t>
      </w:r>
      <w:r w:rsidRPr="0053093C">
        <w:rPr>
          <w:i/>
        </w:rPr>
        <w:t>Economically Burdensome Standard Order</w:t>
      </w:r>
      <w:r w:rsidRPr="0053093C">
        <w:t>).</w:t>
      </w:r>
    </w:p>
  </w:footnote>
  <w:footnote w:id="7">
    <w:p w:rsidR="00FA50A5" w:rsidRPr="0053093C" w:rsidRDefault="00FA50A5"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47 C.F.R. § 79.1(f)(1).  A “video programming provider” is defined as “[a]ny video programming distributor and any other entity that provides video programming that is intended for distribution to residential households including, but not limited to broadcast or nonbroadcast television network and the owners of such programming.”  47 C.F.R. § 79.1(a)(3).  </w:t>
      </w:r>
      <w:r w:rsidRPr="0053093C">
        <w:rPr>
          <w:i/>
        </w:rPr>
        <w:t xml:space="preserve">See also </w:t>
      </w:r>
      <w:r w:rsidRPr="0053093C">
        <w:t xml:space="preserve">n.4, </w:t>
      </w:r>
      <w:r w:rsidRPr="0053093C">
        <w:rPr>
          <w:i/>
        </w:rPr>
        <w:t>supra</w:t>
      </w:r>
      <w:r w:rsidRPr="0053093C">
        <w:t xml:space="preserve"> (for definition of “video programming distributor”).  A petitioner may seek an exemption for “a channel of video programming, a category or type of video programming, an individual video service, a specific video program or a video programming provider.”  47 C.F.R. § 79.1(f)(1).  </w:t>
      </w:r>
    </w:p>
  </w:footnote>
  <w:footnote w:id="8">
    <w:p w:rsidR="00FA50A5" w:rsidRPr="0053093C" w:rsidRDefault="00FA50A5"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47 U.S.C. § 613(e); 47 C.F.R. § 79.1(f)(2).  A petitioner may also present for the Commission’s consideration “any other factors the petitioner deems relevant to the Commission’s final determination,” including alternatives that might constitute a reasonable substitute for closed captioning.  47 C.F.R. § 79.1(f)(3).  The Commission has delegated the responsibility for evaluating and ruling on these petitions to the Consumer and Governmental Affairs Bureau.  </w:t>
      </w:r>
      <w:r w:rsidRPr="0053093C">
        <w:rPr>
          <w:i/>
        </w:rPr>
        <w:t>Economically Burdensome Standard Order</w:t>
      </w:r>
      <w:r w:rsidRPr="0053093C">
        <w:t>, 27 FCC Rcd at 8834-35, ¶ 8.</w:t>
      </w:r>
      <w:r w:rsidRPr="0053093C">
        <w:rPr>
          <w:i/>
        </w:rPr>
        <w:t xml:space="preserve">  </w:t>
      </w:r>
    </w:p>
  </w:footnote>
  <w:footnote w:id="9">
    <w:p w:rsidR="00FA50A5" w:rsidRPr="0053093C" w:rsidRDefault="00FA50A5" w:rsidP="0053093C">
      <w:pPr>
        <w:suppressAutoHyphens/>
        <w:spacing w:after="120"/>
        <w:rPr>
          <w:sz w:val="20"/>
        </w:rPr>
      </w:pPr>
      <w:r w:rsidRPr="0053093C">
        <w:rPr>
          <w:rStyle w:val="FootnoteReference"/>
          <w:sz w:val="20"/>
        </w:rPr>
        <w:footnoteRef/>
      </w:r>
      <w:r w:rsidRPr="0053093C">
        <w:rPr>
          <w:sz w:val="20"/>
        </w:rPr>
        <w:t xml:space="preserve"> This is a summary of the list of “Required Information to Provide in Filing a New Petition to be Exempt from the Closed Captioning Requirements,” provided by the staff to captioning exemption petitioners and available at </w:t>
      </w:r>
      <w:hyperlink r:id="rId1" w:history="1">
        <w:r w:rsidRPr="0053093C">
          <w:rPr>
            <w:rStyle w:val="Hyperlink"/>
            <w:sz w:val="20"/>
          </w:rPr>
          <w:t>http://hraunfoss.fcc.gov/edocs_public/attachmatch/DOC-323421A1.pdf</w:t>
        </w:r>
      </w:hyperlink>
      <w:r w:rsidRPr="0053093C">
        <w:rPr>
          <w:rStyle w:val="Hyperlink"/>
          <w:color w:val="auto"/>
          <w:sz w:val="20"/>
          <w:u w:val="none"/>
        </w:rPr>
        <w:t>, which the Bureau developed, based on the Communications Act, the Commission’s rules, and Commission history and experience evaluating such petitions</w:t>
      </w:r>
      <w:r w:rsidRPr="0053093C">
        <w:rPr>
          <w:sz w:val="20"/>
        </w:rPr>
        <w:t xml:space="preserve">.  </w:t>
      </w:r>
      <w:r w:rsidRPr="0053093C">
        <w:rPr>
          <w:i/>
          <w:sz w:val="20"/>
        </w:rPr>
        <w:t>See Anglers for Christ Ministries, Inc., et al.; Amendment of Section 79.1(f) of the Commission’s Rules; Video Programming Accessibility</w:t>
      </w:r>
      <w:r w:rsidRPr="0053093C">
        <w:rPr>
          <w:sz w:val="20"/>
        </w:rPr>
        <w:t xml:space="preserve">, </w:t>
      </w:r>
      <w:r w:rsidR="002B331C" w:rsidRPr="0053093C">
        <w:rPr>
          <w:sz w:val="20"/>
        </w:rPr>
        <w:t xml:space="preserve">CG Docket Nos. 06-181 and 11-175, </w:t>
      </w:r>
      <w:r w:rsidRPr="0053093C">
        <w:rPr>
          <w:sz w:val="20"/>
        </w:rPr>
        <w:t>Memorandum Opinion and Order, Order, and Notice of Proposed Rulemaking, 26 FCC Rcd 14941, 14955-56, ¶ 28 (2011) (</w:t>
      </w:r>
      <w:r w:rsidRPr="0053093C">
        <w:rPr>
          <w:i/>
          <w:sz w:val="20"/>
        </w:rPr>
        <w:t>Anglers Reversal MO&amp;O</w:t>
      </w:r>
      <w:r w:rsidRPr="0053093C">
        <w:rPr>
          <w:sz w:val="20"/>
        </w:rPr>
        <w:t>).</w:t>
      </w:r>
    </w:p>
  </w:footnote>
  <w:footnote w:id="10">
    <w:p w:rsidR="00FA50A5" w:rsidRPr="0053093C" w:rsidRDefault="00FA50A5" w:rsidP="0053093C">
      <w:pPr>
        <w:spacing w:after="120"/>
        <w:rPr>
          <w:sz w:val="20"/>
        </w:rPr>
      </w:pPr>
      <w:r w:rsidRPr="0053093C">
        <w:rPr>
          <w:rStyle w:val="FootnoteReference"/>
          <w:sz w:val="20"/>
        </w:rPr>
        <w:footnoteRef/>
      </w:r>
      <w:r w:rsidRPr="0053093C">
        <w:rPr>
          <w:sz w:val="20"/>
        </w:rPr>
        <w:t xml:space="preserve"> 47 C.F.R. § 79.1(f)(9).  A petition for exemption may also be supported by an </w:t>
      </w:r>
      <w:r w:rsidRPr="0053093C">
        <w:rPr>
          <w:rStyle w:val="contents"/>
          <w:sz w:val="20"/>
        </w:rPr>
        <w:t>unsworn written statement signed by a declarant under penalty of perjury.  47 C.F.R. § 1.16.</w:t>
      </w:r>
    </w:p>
  </w:footnote>
  <w:footnote w:id="11">
    <w:p w:rsidR="00FA50A5" w:rsidRPr="0053093C" w:rsidRDefault="00FA50A5"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Pr="0053093C">
        <w:rPr>
          <w:i/>
        </w:rPr>
        <w:t>Anglers Reversal MO&amp;O</w:t>
      </w:r>
      <w:r w:rsidRPr="0053093C">
        <w:t>,</w:t>
      </w:r>
      <w:r w:rsidRPr="0053093C">
        <w:rPr>
          <w:i/>
        </w:rPr>
        <w:t xml:space="preserve"> </w:t>
      </w:r>
      <w:r w:rsidRPr="0053093C">
        <w:t xml:space="preserve">26 FCC Rcd at 14955-56, ¶ 28 (citing </w:t>
      </w:r>
      <w:r w:rsidRPr="0053093C">
        <w:rPr>
          <w:i/>
        </w:rPr>
        <w:t>The Wild Outdoors</w:t>
      </w:r>
      <w:r w:rsidRPr="0053093C">
        <w:t xml:space="preserve">, </w:t>
      </w:r>
      <w:r w:rsidRPr="0053093C">
        <w:rPr>
          <w:i/>
        </w:rPr>
        <w:t>Video Programming Accessibility, Petition for Waiver of Closed Captioning Requirements</w:t>
      </w:r>
      <w:r w:rsidRPr="0053093C">
        <w:t>, Memorandum Opinion and Order, 16 FCC Rcd 13611, 13614, ¶ 12 (Cable Services Bureau, 2001) (</w:t>
      </w:r>
      <w:r w:rsidRPr="0053093C">
        <w:rPr>
          <w:i/>
        </w:rPr>
        <w:t>Wild Outdoors 2001</w:t>
      </w:r>
      <w:r w:rsidRPr="0053093C">
        <w:t xml:space="preserve">)).  </w:t>
      </w:r>
    </w:p>
  </w:footnote>
  <w:footnote w:id="12">
    <w:p w:rsidR="00FA50A5" w:rsidRPr="0053093C" w:rsidRDefault="00FA50A5"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47 U.S.C. § 613(d)(3); 47 C.F.R. § 79.1(f)(11).</w:t>
      </w:r>
    </w:p>
  </w:footnote>
  <w:footnote w:id="13">
    <w:p w:rsidR="002C1EE7" w:rsidRPr="0053093C" w:rsidRDefault="002C1EE7"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Pr="0053093C">
        <w:rPr>
          <w:i/>
        </w:rPr>
        <w:t xml:space="preserve">See </w:t>
      </w:r>
      <w:r w:rsidRPr="0053093C">
        <w:t>Letter from Bruce Tippit, Senior Pastor, First Baptist Church, Jonesboro, AR, to Federal Communications Commission (</w:t>
      </w:r>
      <w:r w:rsidR="00043387" w:rsidRPr="0053093C">
        <w:t>Dec. 23, 2005</w:t>
      </w:r>
      <w:r w:rsidRPr="0053093C">
        <w:t>).</w:t>
      </w:r>
    </w:p>
  </w:footnote>
  <w:footnote w:id="14">
    <w:p w:rsidR="002C1EE7" w:rsidRPr="0053093C" w:rsidRDefault="002C1EE7"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Pr="0053093C">
        <w:rPr>
          <w:i/>
        </w:rPr>
        <w:t xml:space="preserve">See </w:t>
      </w:r>
      <w:r w:rsidRPr="0053093C">
        <w:t>Letter from Thomas E. Chandler, Chief, Disability Rights Office, Consumer and Governmental Affairs Bureau, to Bruce Tippit, Senior Pastor, First Baptist Church (Sept. 11, 2006).</w:t>
      </w:r>
    </w:p>
  </w:footnote>
  <w:footnote w:id="15">
    <w:p w:rsidR="002C1EE7" w:rsidRPr="0053093C" w:rsidRDefault="002C1EE7"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Pr="0053093C">
        <w:rPr>
          <w:i/>
        </w:rPr>
        <w:t>Consumer and Governmental Affairs Bureau Action Request for Exemption from Commission’s Closed Captioning Rules</w:t>
      </w:r>
      <w:r w:rsidRPr="0053093C">
        <w:t xml:space="preserve">, </w:t>
      </w:r>
      <w:r w:rsidR="002B331C" w:rsidRPr="0053093C">
        <w:t xml:space="preserve">CG Docket No. 06-181, </w:t>
      </w:r>
      <w:r w:rsidRPr="0053093C">
        <w:t>Public Notice, DA 06-2287 (Nov. 7, 2006).</w:t>
      </w:r>
    </w:p>
  </w:footnote>
  <w:footnote w:id="16">
    <w:p w:rsidR="002C1EE7" w:rsidRPr="0053093C" w:rsidRDefault="002C1EE7"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Pr="0053093C">
        <w:rPr>
          <w:i/>
        </w:rPr>
        <w:t>Anglers Reversal MO&amp;O</w:t>
      </w:r>
      <w:r w:rsidRPr="0053093C">
        <w:t>, 26 FCC Rcd at 14949, ¶ 25.  The Commission reversed this and other Bureau letter orders that had failed to analyze the individual circumstances of the petitioners under the “undue burden” criteria</w:t>
      </w:r>
      <w:r w:rsidRPr="0053093C">
        <w:rPr>
          <w:rStyle w:val="Emphasis"/>
        </w:rPr>
        <w:t xml:space="preserve">, </w:t>
      </w:r>
      <w:r w:rsidRPr="0053093C">
        <w:rPr>
          <w:rStyle w:val="Emphasis"/>
          <w:i w:val="0"/>
        </w:rPr>
        <w:t>as required under the Communications Act and the Commission’s rules.</w:t>
      </w:r>
      <w:r w:rsidRPr="0053093C">
        <w:rPr>
          <w:rStyle w:val="Emphasis"/>
        </w:rPr>
        <w:t xml:space="preserve">  Id.,</w:t>
      </w:r>
      <w:r w:rsidRPr="0053093C">
        <w:t xml:space="preserve"> 26 FCC Rcd at 14949, ¶ 26.  </w:t>
      </w:r>
      <w:r w:rsidRPr="0053093C">
        <w:rPr>
          <w:rStyle w:val="Emphasis"/>
          <w:i w:val="0"/>
        </w:rPr>
        <w:t xml:space="preserve">As explained earlier, the economically burdensome criteria now used by the Commission to evaluate closed captioning exemption requests are identical to the undue burden criteria. </w:t>
      </w:r>
      <w:r w:rsidRPr="0053093C">
        <w:rPr>
          <w:rStyle w:val="Emphasis"/>
        </w:rPr>
        <w:t xml:space="preserve"> See </w:t>
      </w:r>
      <w:r w:rsidRPr="0053093C">
        <w:rPr>
          <w:rStyle w:val="Emphasis"/>
          <w:i w:val="0"/>
        </w:rPr>
        <w:t>n.5,</w:t>
      </w:r>
      <w:r w:rsidRPr="0053093C">
        <w:rPr>
          <w:rStyle w:val="Emphasis"/>
        </w:rPr>
        <w:t xml:space="preserve"> supra.</w:t>
      </w:r>
    </w:p>
  </w:footnote>
  <w:footnote w:id="17">
    <w:p w:rsidR="001B45E4" w:rsidRPr="0053093C" w:rsidRDefault="001B45E4"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Pr="0053093C">
        <w:rPr>
          <w:i/>
        </w:rPr>
        <w:t xml:space="preserve">See </w:t>
      </w:r>
      <w:r w:rsidRPr="0053093C">
        <w:t xml:space="preserve">Letter from Joel Gurin, Chief, Consumer and Governmental Affairs Bureau, to First Baptist Church (Oct. 25, 2011).  </w:t>
      </w:r>
      <w:r w:rsidRPr="0053093C">
        <w:rPr>
          <w:i/>
        </w:rPr>
        <w:t xml:space="preserve">See also </w:t>
      </w:r>
      <w:r w:rsidRPr="0053093C">
        <w:t xml:space="preserve">47 C.F.R. § 79.1(f)(11); </w:t>
      </w:r>
      <w:r w:rsidRPr="0053093C">
        <w:rPr>
          <w:i/>
        </w:rPr>
        <w:t>Anglers Reversal MO&amp;O</w:t>
      </w:r>
      <w:r w:rsidRPr="0053093C">
        <w:t>,</w:t>
      </w:r>
      <w:r w:rsidRPr="0053093C">
        <w:rPr>
          <w:i/>
        </w:rPr>
        <w:t xml:space="preserve"> </w:t>
      </w:r>
      <w:r w:rsidRPr="0053093C">
        <w:t>26 FCC Rcd at 14949, ¶ 16, n.60.</w:t>
      </w:r>
    </w:p>
  </w:footnote>
  <w:footnote w:id="18">
    <w:p w:rsidR="001B45E4" w:rsidRPr="0053093C" w:rsidRDefault="001B45E4"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00DD7350" w:rsidRPr="0053093C">
        <w:t>Letter from Bruce Tippit, Pastor, First Baptist Church, to Office of the Secretary, Federal Communications Commission, Attention:  Disability Rights Office (Jan. 1</w:t>
      </w:r>
      <w:r w:rsidR="00D6746B" w:rsidRPr="0053093C">
        <w:t>2</w:t>
      </w:r>
      <w:r w:rsidR="00DD7350" w:rsidRPr="0053093C">
        <w:t>, 201</w:t>
      </w:r>
      <w:r w:rsidR="00D6746B" w:rsidRPr="0053093C">
        <w:t>2</w:t>
      </w:r>
      <w:r w:rsidR="00DD7350" w:rsidRPr="0053093C">
        <w:t>) (Petition).</w:t>
      </w:r>
    </w:p>
  </w:footnote>
  <w:footnote w:id="19">
    <w:p w:rsidR="002C1EE7" w:rsidRPr="0053093C" w:rsidRDefault="002C1EE7"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Pr="0053093C">
        <w:rPr>
          <w:i/>
        </w:rPr>
        <w:t>Request for Comment</w:t>
      </w:r>
      <w:r w:rsidR="00C710A2" w:rsidRPr="0053093C">
        <w:rPr>
          <w:i/>
        </w:rPr>
        <w:t xml:space="preserve">, </w:t>
      </w:r>
      <w:r w:rsidRPr="0053093C">
        <w:rPr>
          <w:i/>
        </w:rPr>
        <w:t>Request for Exemption from Commission’s Closed Captioning Rules</w:t>
      </w:r>
      <w:r w:rsidR="00C710A2" w:rsidRPr="0053093C">
        <w:rPr>
          <w:i/>
        </w:rPr>
        <w:t xml:space="preserve">, </w:t>
      </w:r>
      <w:r w:rsidR="00C710A2" w:rsidRPr="0053093C">
        <w:t>CGB-CC-0303</w:t>
      </w:r>
      <w:r w:rsidRPr="0053093C">
        <w:t xml:space="preserve">, </w:t>
      </w:r>
      <w:r w:rsidR="002B331C" w:rsidRPr="0053093C">
        <w:t xml:space="preserve">CG Docket No. 06-181, </w:t>
      </w:r>
      <w:r w:rsidRPr="0053093C">
        <w:t>Public Notice, 27 FCC Rcd 2207 (</w:t>
      </w:r>
      <w:r w:rsidR="00E23E4E" w:rsidRPr="0053093C">
        <w:t xml:space="preserve">CGB </w:t>
      </w:r>
      <w:r w:rsidRPr="0053093C">
        <w:t>2012).</w:t>
      </w:r>
    </w:p>
  </w:footnote>
  <w:footnote w:id="20">
    <w:p w:rsidR="002C1EE7" w:rsidRPr="0053093C" w:rsidRDefault="002C1EE7"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00DD7350" w:rsidRPr="0053093C">
        <w:rPr>
          <w:i/>
        </w:rPr>
        <w:t xml:space="preserve">See </w:t>
      </w:r>
      <w:r w:rsidRPr="0053093C">
        <w:t>Opposition of Telecommunications for the Deaf and Hard of Hearing, Inc., National Association of the Deaf, Deaf and Hard of Hearing Consumer Advocacy Network, Hearing Loss Association of America, the Association of Late-Deafened Adults, and Cerebral Palsy and Deaf Organization (collectively, Consumer Groups)</w:t>
      </w:r>
      <w:r w:rsidR="00E23E4E" w:rsidRPr="0053093C">
        <w:t xml:space="preserve"> (</w:t>
      </w:r>
      <w:r w:rsidRPr="0053093C">
        <w:t>Mar</w:t>
      </w:r>
      <w:r w:rsidR="00E23E4E" w:rsidRPr="0053093C">
        <w:t>.</w:t>
      </w:r>
      <w:r w:rsidRPr="0053093C">
        <w:t xml:space="preserve"> 16, 2012</w:t>
      </w:r>
      <w:r w:rsidR="00E23E4E" w:rsidRPr="0053093C">
        <w:t>)</w:t>
      </w:r>
      <w:r w:rsidRPr="0053093C">
        <w:t xml:space="preserve">. </w:t>
      </w:r>
    </w:p>
  </w:footnote>
  <w:footnote w:id="21">
    <w:p w:rsidR="00285760" w:rsidRPr="0053093C" w:rsidRDefault="00285760"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Pr="0053093C">
        <w:rPr>
          <w:i/>
        </w:rPr>
        <w:t>See</w:t>
      </w:r>
      <w:r w:rsidRPr="0053093C">
        <w:t xml:space="preserve"> Letter from Cheryl J. King, Attorney, Disability Rights Office, Consumer and Governmental Affairs Bureau, to First Baptist Church – Jonesboro, AR, Attn:  Bruce Tippit (Sept. 27, 2013).</w:t>
      </w:r>
    </w:p>
  </w:footnote>
  <w:footnote w:id="22">
    <w:p w:rsidR="00DD7350" w:rsidRPr="0053093C" w:rsidRDefault="00DD7350"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Pr="0053093C">
        <w:rPr>
          <w:i/>
        </w:rPr>
        <w:t>See</w:t>
      </w:r>
      <w:r w:rsidRPr="0053093C">
        <w:t xml:space="preserve"> Letter from Ross Burton, Minister of Administration, First Baptist Church, to Office of the Secretary, Federal Communications Commission, Attention:  Disability Rights Office (Oct. 29, 2013)</w:t>
      </w:r>
      <w:r w:rsidR="00C710A2" w:rsidRPr="0053093C">
        <w:t xml:space="preserve"> (Petition Supplement)</w:t>
      </w:r>
      <w:r w:rsidRPr="0053093C">
        <w:t>.</w:t>
      </w:r>
    </w:p>
  </w:footnote>
  <w:footnote w:id="23">
    <w:p w:rsidR="002C1EE7" w:rsidRPr="0053093C" w:rsidRDefault="002C1EE7"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Pr="0053093C">
        <w:rPr>
          <w:i/>
        </w:rPr>
        <w:t>Request for Comment</w:t>
      </w:r>
      <w:r w:rsidR="00C710A2" w:rsidRPr="0053093C">
        <w:rPr>
          <w:i/>
        </w:rPr>
        <w:t xml:space="preserve">, </w:t>
      </w:r>
      <w:r w:rsidRPr="0053093C">
        <w:rPr>
          <w:i/>
        </w:rPr>
        <w:t>Request for Exemption from Commission’s Closed Caption Rules</w:t>
      </w:r>
      <w:r w:rsidRPr="0053093C">
        <w:t xml:space="preserve">, </w:t>
      </w:r>
      <w:r w:rsidR="002B331C" w:rsidRPr="0053093C">
        <w:t xml:space="preserve">CG Docket No. 06-181, </w:t>
      </w:r>
      <w:r w:rsidRPr="0053093C">
        <w:t xml:space="preserve">Public Notice, </w:t>
      </w:r>
      <w:r w:rsidR="00DD7350" w:rsidRPr="0053093C">
        <w:t>28 FCC Rcd 17100</w:t>
      </w:r>
      <w:r w:rsidRPr="0053093C">
        <w:t xml:space="preserve"> (</w:t>
      </w:r>
      <w:r w:rsidR="00C710A2" w:rsidRPr="0053093C">
        <w:t xml:space="preserve">CGB </w:t>
      </w:r>
      <w:r w:rsidRPr="0053093C">
        <w:t>2013)</w:t>
      </w:r>
      <w:r w:rsidR="00DD7350" w:rsidRPr="0053093C">
        <w:t xml:space="preserve"> (</w:t>
      </w:r>
      <w:r w:rsidR="00DD7350" w:rsidRPr="0053093C">
        <w:rPr>
          <w:i/>
        </w:rPr>
        <w:t>2013 Public Notice</w:t>
      </w:r>
      <w:r w:rsidR="00DD7350" w:rsidRPr="0053093C">
        <w:t>)</w:t>
      </w:r>
      <w:r w:rsidRPr="0053093C">
        <w:t>.</w:t>
      </w:r>
    </w:p>
  </w:footnote>
  <w:footnote w:id="24">
    <w:p w:rsidR="002C1EE7" w:rsidRPr="0053093C" w:rsidRDefault="002C1EE7"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00C710A2" w:rsidRPr="0053093C">
        <w:rPr>
          <w:i/>
        </w:rPr>
        <w:t xml:space="preserve">See </w:t>
      </w:r>
      <w:r w:rsidRPr="0053093C">
        <w:t>Opposition to Petitions for Exemption from the Commission’s Closed Captioning Rules, Telecommunications for the Deaf and Hard of Hearing, Inc., Deaf and Hard of Hearing Consumer Advocacy Network, Cerebral Palsy and Deaf Organization, California Coalition of Agencies Serving the Deaf and Hard of Hearing, National Association of the Deaf, and the Asso</w:t>
      </w:r>
      <w:r w:rsidR="004F274F" w:rsidRPr="0053093C">
        <w:t xml:space="preserve">ciation of Late-Deafened Adults (collectively, Consumer Groups) at </w:t>
      </w:r>
      <w:r w:rsidR="00F67A42" w:rsidRPr="0053093C">
        <w:t>2, 11-12 (</w:t>
      </w:r>
      <w:r w:rsidRPr="0053093C">
        <w:t>Jan</w:t>
      </w:r>
      <w:r w:rsidR="00F67A42" w:rsidRPr="0053093C">
        <w:t>.</w:t>
      </w:r>
      <w:r w:rsidRPr="0053093C">
        <w:t xml:space="preserve"> 27, 2014</w:t>
      </w:r>
      <w:r w:rsidR="00F67A42" w:rsidRPr="0053093C">
        <w:t>)</w:t>
      </w:r>
      <w:r w:rsidRPr="0053093C">
        <w:t xml:space="preserve"> (Consumer Groups </w:t>
      </w:r>
      <w:r w:rsidR="00F67A42" w:rsidRPr="0053093C">
        <w:t>Comments</w:t>
      </w:r>
      <w:r w:rsidRPr="0053093C">
        <w:t xml:space="preserve">). </w:t>
      </w:r>
    </w:p>
  </w:footnote>
  <w:footnote w:id="25">
    <w:p w:rsidR="00DF02BF" w:rsidRPr="0053093C" w:rsidRDefault="00DF02BF"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Petition at 1</w:t>
      </w:r>
      <w:r w:rsidR="00C3722D">
        <w:t>-2</w:t>
      </w:r>
      <w:r w:rsidRPr="0053093C">
        <w:t>.</w:t>
      </w:r>
      <w:r w:rsidR="00275649" w:rsidRPr="0053093C">
        <w:t xml:space="preserve">  </w:t>
      </w:r>
      <w:r w:rsidR="00D20F31" w:rsidRPr="0053093C" w:rsidDel="003100CA">
        <w:t>FBC refers to it</w:t>
      </w:r>
      <w:r w:rsidR="00F33E6B" w:rsidRPr="0053093C" w:rsidDel="003100CA">
        <w:t>s program</w:t>
      </w:r>
      <w:r w:rsidR="00D20F31" w:rsidRPr="0053093C" w:rsidDel="003100CA">
        <w:t xml:space="preserve"> as “our weekly worship service broadcast.”  Petition Supplement at 1</w:t>
      </w:r>
      <w:r w:rsidR="00D20F31" w:rsidRPr="0053093C">
        <w:t>.</w:t>
      </w:r>
    </w:p>
  </w:footnote>
  <w:footnote w:id="26">
    <w:p w:rsidR="00D20F31" w:rsidRPr="0053093C" w:rsidRDefault="00D20F31"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Petition Supplement at 1.  </w:t>
      </w:r>
    </w:p>
  </w:footnote>
  <w:footnote w:id="27">
    <w:p w:rsidR="007F30F7" w:rsidRPr="0053093C" w:rsidRDefault="007F30F7"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00561A77" w:rsidRPr="0053093C">
        <w:t>Petition at 1.</w:t>
      </w:r>
    </w:p>
  </w:footnote>
  <w:footnote w:id="28">
    <w:p w:rsidR="007F30F7" w:rsidRPr="0053093C" w:rsidRDefault="007F30F7"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Petition at 2; Petition Supplement at 1.</w:t>
      </w:r>
    </w:p>
  </w:footnote>
  <w:footnote w:id="29">
    <w:p w:rsidR="000D2310" w:rsidRPr="0053093C" w:rsidRDefault="000D2310"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008F210C" w:rsidRPr="0053093C">
        <w:t xml:space="preserve">Petition Supplement </w:t>
      </w:r>
      <w:r w:rsidRPr="0053093C">
        <w:t>at 1</w:t>
      </w:r>
      <w:r w:rsidR="003356CC" w:rsidRPr="0053093C">
        <w:t>, 34</w:t>
      </w:r>
      <w:r w:rsidR="00367B78" w:rsidRPr="0053093C">
        <w:t>.</w:t>
      </w:r>
    </w:p>
  </w:footnote>
  <w:footnote w:id="30">
    <w:p w:rsidR="000D2310" w:rsidRPr="0053093C" w:rsidRDefault="000D2310"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Pr="0053093C">
        <w:rPr>
          <w:i/>
        </w:rPr>
        <w:t>Id.</w:t>
      </w:r>
      <w:r w:rsidRPr="0053093C">
        <w:t xml:space="preserve"> </w:t>
      </w:r>
      <w:r w:rsidR="003356CC" w:rsidRPr="0053093C">
        <w:t>at 1, 33.</w:t>
      </w:r>
    </w:p>
  </w:footnote>
  <w:footnote w:id="31">
    <w:p w:rsidR="00B24639" w:rsidRPr="0053093C" w:rsidRDefault="00B24639" w:rsidP="0053093C">
      <w:pPr>
        <w:pStyle w:val="FootnoteText"/>
        <w:tabs>
          <w:tab w:val="clear" w:pos="180"/>
          <w:tab w:val="clear" w:pos="720"/>
          <w:tab w:val="clear" w:pos="1440"/>
          <w:tab w:val="clear" w:pos="2160"/>
        </w:tabs>
        <w:jc w:val="left"/>
        <w:rPr>
          <w:i/>
        </w:rPr>
      </w:pPr>
      <w:r w:rsidRPr="0053093C">
        <w:rPr>
          <w:rStyle w:val="FootnoteReference"/>
        </w:rPr>
        <w:footnoteRef/>
      </w:r>
      <w:r w:rsidRPr="0053093C">
        <w:t xml:space="preserve"> </w:t>
      </w:r>
      <w:r w:rsidRPr="0053093C">
        <w:rPr>
          <w:i/>
        </w:rPr>
        <w:t>Id.</w:t>
      </w:r>
    </w:p>
  </w:footnote>
  <w:footnote w:id="32">
    <w:p w:rsidR="003356CC" w:rsidRPr="0053093C" w:rsidRDefault="003356CC"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0053093C" w:rsidRPr="0053093C">
        <w:rPr>
          <w:i/>
        </w:rPr>
        <w:t>Id.</w:t>
      </w:r>
      <w:r w:rsidRPr="0053093C">
        <w:t xml:space="preserve"> at 1.</w:t>
      </w:r>
    </w:p>
  </w:footnote>
  <w:footnote w:id="33">
    <w:p w:rsidR="000D2310" w:rsidRPr="0053093C" w:rsidRDefault="000D2310"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Pr="0053093C">
        <w:rPr>
          <w:i/>
        </w:rPr>
        <w:t>Id.</w:t>
      </w:r>
      <w:r w:rsidRPr="0053093C">
        <w:t xml:space="preserve"> </w:t>
      </w:r>
      <w:r w:rsidR="003356CC" w:rsidRPr="0053093C">
        <w:t>at 1</w:t>
      </w:r>
      <w:r w:rsidR="00B44DB3" w:rsidRPr="0053093C">
        <w:t>, 35</w:t>
      </w:r>
      <w:r w:rsidR="003356CC" w:rsidRPr="0053093C">
        <w:t>.</w:t>
      </w:r>
    </w:p>
  </w:footnote>
  <w:footnote w:id="34">
    <w:p w:rsidR="00D9121F" w:rsidRPr="0053093C" w:rsidRDefault="00D9121F"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In its Petition, FBC states, “The additional staff burdens for closed captioning </w:t>
      </w:r>
      <w:r w:rsidR="00357B2D" w:rsidRPr="0053093C">
        <w:t xml:space="preserve">[are] </w:t>
      </w:r>
      <w:r w:rsidRPr="0053093C">
        <w:t>unknown to FBC at this time.  However, any additional labor associated with closed captioning would most likely cause FBC to incur additional labor costs since time constraints and conflicts of volunteers makes it difficult to rely upon volunteers exclusively.”  Petition at 2.</w:t>
      </w:r>
    </w:p>
  </w:footnote>
  <w:footnote w:id="35">
    <w:p w:rsidR="00B44DB3" w:rsidRPr="0053093C" w:rsidRDefault="00B44DB3"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Petition Supplement</w:t>
      </w:r>
      <w:r w:rsidR="008678FC" w:rsidRPr="0053093C">
        <w:t xml:space="preserve"> at 18-30</w:t>
      </w:r>
      <w:r w:rsidRPr="0053093C">
        <w:t xml:space="preserve"> </w:t>
      </w:r>
      <w:r w:rsidR="008678FC" w:rsidRPr="0053093C">
        <w:t>(“</w:t>
      </w:r>
      <w:r w:rsidRPr="0053093C">
        <w:t>Financial Statements, December 31, 2011</w:t>
      </w:r>
      <w:r w:rsidR="008678FC" w:rsidRPr="0053093C">
        <w:t>”),</w:t>
      </w:r>
      <w:r w:rsidRPr="0053093C">
        <w:t xml:space="preserve"> </w:t>
      </w:r>
      <w:r w:rsidR="008678FC" w:rsidRPr="0053093C">
        <w:t xml:space="preserve">4-17 (“Financial Statements, </w:t>
      </w:r>
      <w:r w:rsidRPr="0053093C">
        <w:t>December 31, 2012</w:t>
      </w:r>
      <w:r w:rsidR="00357B2D" w:rsidRPr="0053093C">
        <w:t>”</w:t>
      </w:r>
      <w:r w:rsidR="008678FC" w:rsidRPr="0053093C">
        <w:t>)</w:t>
      </w:r>
      <w:r w:rsidRPr="0053093C">
        <w:t>.</w:t>
      </w:r>
    </w:p>
  </w:footnote>
  <w:footnote w:id="36">
    <w:p w:rsidR="00B44DB3" w:rsidRPr="0053093C" w:rsidRDefault="00B44DB3"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0053093C" w:rsidRPr="0053093C">
        <w:rPr>
          <w:i/>
        </w:rPr>
        <w:t>Id</w:t>
      </w:r>
      <w:r w:rsidR="0053093C" w:rsidRPr="0053093C">
        <w:t>.</w:t>
      </w:r>
      <w:r w:rsidR="008678FC" w:rsidRPr="0053093C">
        <w:t xml:space="preserve"> at 22</w:t>
      </w:r>
      <w:r w:rsidRPr="0053093C">
        <w:t>.</w:t>
      </w:r>
    </w:p>
  </w:footnote>
  <w:footnote w:id="37">
    <w:p w:rsidR="00AC7112" w:rsidRPr="0053093C" w:rsidRDefault="00AC7112"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00357B2D" w:rsidRPr="0053093C">
        <w:rPr>
          <w:i/>
        </w:rPr>
        <w:t>Id.</w:t>
      </w:r>
      <w:r w:rsidR="008678FC" w:rsidRPr="0053093C">
        <w:t xml:space="preserve"> at </w:t>
      </w:r>
      <w:r w:rsidR="00357B2D" w:rsidRPr="0053093C">
        <w:t>8</w:t>
      </w:r>
      <w:r w:rsidRPr="0053093C">
        <w:t>.</w:t>
      </w:r>
    </w:p>
  </w:footnote>
  <w:footnote w:id="38">
    <w:p w:rsidR="00D9121F" w:rsidRPr="0053093C" w:rsidRDefault="00D9121F"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00284C27" w:rsidRPr="0053093C">
        <w:rPr>
          <w:i/>
        </w:rPr>
        <w:t xml:space="preserve">See </w:t>
      </w:r>
      <w:r w:rsidR="00357B2D" w:rsidRPr="0053093C">
        <w:rPr>
          <w:i/>
        </w:rPr>
        <w:t xml:space="preserve">id. </w:t>
      </w:r>
      <w:r w:rsidR="00357B2D" w:rsidRPr="0053093C">
        <w:t xml:space="preserve">at 21 </w:t>
      </w:r>
      <w:r w:rsidR="00284C27" w:rsidRPr="0053093C">
        <w:t>(reporting “Cash on Hand” of $200 and “Cash in Bank” of $1,128,290 as of December 31, 2011).</w:t>
      </w:r>
    </w:p>
  </w:footnote>
  <w:footnote w:id="39">
    <w:p w:rsidR="00284C27" w:rsidRPr="0053093C" w:rsidRDefault="00284C27" w:rsidP="0053093C">
      <w:pPr>
        <w:spacing w:after="120"/>
        <w:rPr>
          <w:sz w:val="20"/>
        </w:rPr>
      </w:pPr>
      <w:r w:rsidRPr="0053093C">
        <w:rPr>
          <w:rStyle w:val="FootnoteReference"/>
          <w:sz w:val="20"/>
        </w:rPr>
        <w:footnoteRef/>
      </w:r>
      <w:r w:rsidRPr="0053093C">
        <w:rPr>
          <w:sz w:val="20"/>
        </w:rPr>
        <w:t xml:space="preserve"> </w:t>
      </w:r>
      <w:r w:rsidR="003541EA" w:rsidRPr="003541EA">
        <w:rPr>
          <w:sz w:val="20"/>
        </w:rPr>
        <w:t>Current liabilities are obligations (or debts) as of the last day of the calendar or fiscal year that must be paid within the following year</w:t>
      </w:r>
      <w:r w:rsidR="003541EA" w:rsidRPr="003541EA">
        <w:rPr>
          <w:color w:val="1F497D"/>
          <w:sz w:val="20"/>
        </w:rPr>
        <w:t>.</w:t>
      </w:r>
      <w:r w:rsidR="003541EA">
        <w:rPr>
          <w:color w:val="1F497D"/>
        </w:rPr>
        <w:t xml:space="preserve">  </w:t>
      </w:r>
      <w:r w:rsidR="0053093C" w:rsidRPr="0053093C">
        <w:rPr>
          <w:sz w:val="20"/>
        </w:rPr>
        <w:t xml:space="preserve">FBC reports “Total Liabilities” of $1,702,867 as of December 31, 2011, consisting of $327,137 in “Accounts Payable” and $1,375,730 in “Notes Payable.”  </w:t>
      </w:r>
      <w:r w:rsidR="0053093C" w:rsidRPr="0053093C">
        <w:rPr>
          <w:i/>
          <w:sz w:val="20"/>
        </w:rPr>
        <w:t xml:space="preserve">See id. </w:t>
      </w:r>
      <w:r w:rsidR="0053093C" w:rsidRPr="0053093C">
        <w:rPr>
          <w:sz w:val="20"/>
        </w:rPr>
        <w:t xml:space="preserve">at 21, 7. </w:t>
      </w:r>
      <w:r w:rsidR="0053093C" w:rsidRPr="0053093C">
        <w:rPr>
          <w:i/>
          <w:sz w:val="20"/>
        </w:rPr>
        <w:t xml:space="preserve"> </w:t>
      </w:r>
      <w:r w:rsidR="0053093C" w:rsidRPr="0053093C">
        <w:rPr>
          <w:sz w:val="20"/>
        </w:rPr>
        <w:t xml:space="preserve">The Notes Payable amount represents the remaining balance as of December 31, 2011 on a loan secured by FBC through a local bank, originally in the amount of $5,700,000.  </w:t>
      </w:r>
      <w:r w:rsidR="0053093C" w:rsidRPr="0053093C">
        <w:rPr>
          <w:i/>
          <w:sz w:val="20"/>
        </w:rPr>
        <w:t>Id.</w:t>
      </w:r>
      <w:r w:rsidR="0053093C" w:rsidRPr="0053093C">
        <w:rPr>
          <w:sz w:val="20"/>
        </w:rPr>
        <w:t xml:space="preserve"> at 11, 25.  The note requires interest-only payments.  </w:t>
      </w:r>
      <w:r w:rsidR="0053093C" w:rsidRPr="0053093C">
        <w:rPr>
          <w:i/>
          <w:sz w:val="20"/>
        </w:rPr>
        <w:t>Id</w:t>
      </w:r>
      <w:r w:rsidR="0053093C" w:rsidRPr="0053093C">
        <w:rPr>
          <w:sz w:val="20"/>
        </w:rPr>
        <w:t xml:space="preserve">.  FBC </w:t>
      </w:r>
      <w:r w:rsidR="003100CA">
        <w:rPr>
          <w:sz w:val="20"/>
        </w:rPr>
        <w:t xml:space="preserve">reports that it </w:t>
      </w:r>
      <w:r w:rsidR="0053093C" w:rsidRPr="0053093C">
        <w:rPr>
          <w:sz w:val="20"/>
        </w:rPr>
        <w:t>“is servicing the interest expense as a regular budget item, and is paying all receipts to the capital campaign directly on note princip</w:t>
      </w:r>
      <w:r w:rsidR="001D75AC">
        <w:rPr>
          <w:sz w:val="20"/>
        </w:rPr>
        <w:t>a</w:t>
      </w:r>
      <w:r w:rsidR="0053093C" w:rsidRPr="0053093C">
        <w:rPr>
          <w:sz w:val="20"/>
        </w:rPr>
        <w:t xml:space="preserve">l.”  </w:t>
      </w:r>
      <w:r w:rsidR="0053093C" w:rsidRPr="0053093C">
        <w:rPr>
          <w:i/>
          <w:sz w:val="20"/>
        </w:rPr>
        <w:t>Id.</w:t>
      </w:r>
      <w:r w:rsidR="0053093C" w:rsidRPr="0053093C">
        <w:rPr>
          <w:sz w:val="20"/>
        </w:rPr>
        <w:t xml:space="preserve">  Over time, FBC has reduced the balance of th</w:t>
      </w:r>
      <w:r w:rsidR="001C4F43">
        <w:rPr>
          <w:sz w:val="20"/>
        </w:rPr>
        <w:t>is</w:t>
      </w:r>
      <w:r w:rsidR="0053093C" w:rsidRPr="0053093C">
        <w:rPr>
          <w:sz w:val="20"/>
        </w:rPr>
        <w:t xml:space="preserve"> loan through payments on princip</w:t>
      </w:r>
      <w:r w:rsidR="001D75AC">
        <w:rPr>
          <w:sz w:val="20"/>
        </w:rPr>
        <w:t>a</w:t>
      </w:r>
      <w:r w:rsidR="0053093C" w:rsidRPr="0053093C">
        <w:rPr>
          <w:sz w:val="20"/>
        </w:rPr>
        <w:t>l.  In 2011, FBC applied $786,457 to the princip</w:t>
      </w:r>
      <w:r w:rsidR="001D75AC">
        <w:rPr>
          <w:sz w:val="20"/>
        </w:rPr>
        <w:t>a</w:t>
      </w:r>
      <w:r w:rsidR="0053093C" w:rsidRPr="0053093C">
        <w:rPr>
          <w:sz w:val="20"/>
        </w:rPr>
        <w:t xml:space="preserve">l of the loan, reducing the balance to $1,375,730 as of December 31, 2011.  </w:t>
      </w:r>
      <w:r w:rsidR="0053093C" w:rsidRPr="0053093C">
        <w:rPr>
          <w:i/>
          <w:sz w:val="20"/>
        </w:rPr>
        <w:t>Id.</w:t>
      </w:r>
      <w:r w:rsidR="0053093C" w:rsidRPr="0053093C">
        <w:rPr>
          <w:sz w:val="20"/>
        </w:rPr>
        <w:t xml:space="preserve">  </w:t>
      </w:r>
      <w:r w:rsidR="00F1233B">
        <w:rPr>
          <w:sz w:val="20"/>
        </w:rPr>
        <w:t>Because</w:t>
      </w:r>
      <w:r w:rsidR="0053093C" w:rsidRPr="0053093C">
        <w:rPr>
          <w:sz w:val="20"/>
        </w:rPr>
        <w:t xml:space="preserve"> the amount categorized as Notes Payable is the remaining princip</w:t>
      </w:r>
      <w:r w:rsidR="001D75AC">
        <w:rPr>
          <w:sz w:val="20"/>
        </w:rPr>
        <w:t>a</w:t>
      </w:r>
      <w:r w:rsidR="0053093C" w:rsidRPr="0053093C">
        <w:rPr>
          <w:sz w:val="20"/>
        </w:rPr>
        <w:t xml:space="preserve">l balance of an interest-only loan, </w:t>
      </w:r>
      <w:r w:rsidR="00F1233B">
        <w:rPr>
          <w:sz w:val="20"/>
        </w:rPr>
        <w:t xml:space="preserve">and </w:t>
      </w:r>
      <w:r w:rsidR="003541EA">
        <w:rPr>
          <w:sz w:val="20"/>
        </w:rPr>
        <w:t>the princip</w:t>
      </w:r>
      <w:r w:rsidR="001D75AC">
        <w:rPr>
          <w:sz w:val="20"/>
        </w:rPr>
        <w:t>al</w:t>
      </w:r>
      <w:r w:rsidR="00C3722D">
        <w:rPr>
          <w:sz w:val="20"/>
        </w:rPr>
        <w:t xml:space="preserve"> is not an obligation </w:t>
      </w:r>
      <w:r w:rsidR="003541EA">
        <w:rPr>
          <w:sz w:val="20"/>
        </w:rPr>
        <w:t>that must be paid</w:t>
      </w:r>
      <w:r w:rsidR="00C3722D">
        <w:rPr>
          <w:sz w:val="20"/>
        </w:rPr>
        <w:t xml:space="preserve"> within the </w:t>
      </w:r>
      <w:r w:rsidR="003541EA">
        <w:rPr>
          <w:sz w:val="20"/>
        </w:rPr>
        <w:t xml:space="preserve">following </w:t>
      </w:r>
      <w:r w:rsidR="00C3722D">
        <w:rPr>
          <w:sz w:val="20"/>
        </w:rPr>
        <w:t>year</w:t>
      </w:r>
      <w:r w:rsidR="00F1233B">
        <w:rPr>
          <w:sz w:val="20"/>
        </w:rPr>
        <w:t>, we conclude that the</w:t>
      </w:r>
      <w:r w:rsidR="00F1233B" w:rsidRPr="00F1233B">
        <w:rPr>
          <w:sz w:val="20"/>
        </w:rPr>
        <w:t xml:space="preserve"> </w:t>
      </w:r>
      <w:r w:rsidR="00F1233B" w:rsidRPr="0053093C">
        <w:rPr>
          <w:sz w:val="20"/>
        </w:rPr>
        <w:t>amount categorized as Notes Payable</w:t>
      </w:r>
      <w:r w:rsidR="00F1233B">
        <w:rPr>
          <w:sz w:val="20"/>
        </w:rPr>
        <w:t xml:space="preserve"> is not a current liability</w:t>
      </w:r>
      <w:r w:rsidR="0053093C" w:rsidRPr="0053093C">
        <w:rPr>
          <w:sz w:val="20"/>
        </w:rPr>
        <w:t>.  Accordingly, FBC’s current liabilities as of December 31, 2011 consist only of the amount categorized as Accounts Payable.</w:t>
      </w:r>
      <w:r w:rsidR="00804C55" w:rsidRPr="0053093C">
        <w:rPr>
          <w:sz w:val="20"/>
        </w:rPr>
        <w:t xml:space="preserve"> </w:t>
      </w:r>
    </w:p>
  </w:footnote>
  <w:footnote w:id="40">
    <w:p w:rsidR="003441FE" w:rsidRPr="0053093C" w:rsidRDefault="003441FE"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00284C27" w:rsidRPr="0053093C">
        <w:t xml:space="preserve">FBC’s net current </w:t>
      </w:r>
      <w:r w:rsidR="0068030C" w:rsidRPr="0053093C">
        <w:t xml:space="preserve">assets </w:t>
      </w:r>
      <w:r w:rsidR="00284C27" w:rsidRPr="0053093C">
        <w:t>as of December 31, 2011, are computed as follows:  $1,128,490 (FBC current assets) minus $</w:t>
      </w:r>
      <w:r w:rsidR="0053093C" w:rsidRPr="0053093C">
        <w:t xml:space="preserve">327,137 </w:t>
      </w:r>
      <w:r w:rsidR="00284C27" w:rsidRPr="0053093C">
        <w:t xml:space="preserve">(FBC current liabilities) = </w:t>
      </w:r>
      <w:r w:rsidR="008F4CCF" w:rsidRPr="0053093C">
        <w:t>$</w:t>
      </w:r>
      <w:r w:rsidR="0053093C" w:rsidRPr="0053093C">
        <w:t>801,353</w:t>
      </w:r>
      <w:r w:rsidR="00284C27" w:rsidRPr="0053093C">
        <w:t>.</w:t>
      </w:r>
    </w:p>
  </w:footnote>
  <w:footnote w:id="41">
    <w:p w:rsidR="00284C27" w:rsidRPr="0053093C" w:rsidRDefault="00284C27"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Pr="0053093C">
        <w:rPr>
          <w:i/>
        </w:rPr>
        <w:t xml:space="preserve">See </w:t>
      </w:r>
      <w:r w:rsidRPr="0053093C">
        <w:t>Petition Supplement</w:t>
      </w:r>
      <w:r w:rsidR="00804C55" w:rsidRPr="0053093C">
        <w:t xml:space="preserve"> </w:t>
      </w:r>
      <w:r w:rsidR="00243ABC" w:rsidRPr="0053093C">
        <w:t xml:space="preserve">at 7 </w:t>
      </w:r>
      <w:r w:rsidRPr="0053093C">
        <w:t>(reporting “Cash on Hand” of $150 and “Cash in Bank” of $1,058,528 as of December 31, 201</w:t>
      </w:r>
      <w:r w:rsidR="00243ABC" w:rsidRPr="0053093C">
        <w:t>2</w:t>
      </w:r>
      <w:r w:rsidRPr="0053093C">
        <w:t>).</w:t>
      </w:r>
    </w:p>
  </w:footnote>
  <w:footnote w:id="42">
    <w:p w:rsidR="00284C27" w:rsidRPr="0053093C" w:rsidRDefault="00284C27" w:rsidP="0053093C">
      <w:pPr>
        <w:pStyle w:val="FootnoteText"/>
        <w:tabs>
          <w:tab w:val="clear" w:pos="180"/>
          <w:tab w:val="clear" w:pos="720"/>
          <w:tab w:val="clear" w:pos="1440"/>
          <w:tab w:val="clear" w:pos="2160"/>
        </w:tabs>
        <w:jc w:val="left"/>
      </w:pPr>
      <w:r w:rsidRPr="0053093C">
        <w:rPr>
          <w:rStyle w:val="FootnoteReference"/>
        </w:rPr>
        <w:footnoteRef/>
      </w:r>
      <w:r w:rsidR="0053093C" w:rsidRPr="0053093C">
        <w:t xml:space="preserve"> FBC reports “Total Liabilities” of $1,006,562 as of December 31, 2012, consisting of $381,285 in “Accounts Payable” and $625,277 in “Notes Payable.”  </w:t>
      </w:r>
      <w:r w:rsidR="0053093C" w:rsidRPr="0053093C">
        <w:rPr>
          <w:i/>
        </w:rPr>
        <w:t xml:space="preserve">Id.  </w:t>
      </w:r>
      <w:r w:rsidR="0053093C" w:rsidRPr="0053093C">
        <w:t>In 2012, FBC applied $750,453 to the princip</w:t>
      </w:r>
      <w:r w:rsidR="001D75AC">
        <w:t>a</w:t>
      </w:r>
      <w:r w:rsidR="0053093C" w:rsidRPr="0053093C">
        <w:t>l of the loan</w:t>
      </w:r>
      <w:r w:rsidR="00D33125">
        <w:t xml:space="preserve"> discussed in n.38, </w:t>
      </w:r>
      <w:r w:rsidR="00D33125" w:rsidRPr="00D33125">
        <w:rPr>
          <w:i/>
        </w:rPr>
        <w:t>supra</w:t>
      </w:r>
      <w:r w:rsidR="0053093C" w:rsidRPr="0053093C">
        <w:t>, reducing the Notes Payable balance from $1,375,730 to $625,277 as of December 31, 2012.</w:t>
      </w:r>
      <w:r w:rsidR="00736C14">
        <w:t xml:space="preserve"> </w:t>
      </w:r>
      <w:r w:rsidR="00D33125">
        <w:t xml:space="preserve"> </w:t>
      </w:r>
      <w:r w:rsidR="0053093C" w:rsidRPr="0053093C">
        <w:rPr>
          <w:i/>
        </w:rPr>
        <w:t>Id</w:t>
      </w:r>
      <w:r w:rsidR="0053093C" w:rsidRPr="0053093C">
        <w:t xml:space="preserve">. at 11.  For the reasons stated in n.38, </w:t>
      </w:r>
      <w:r w:rsidR="0053093C" w:rsidRPr="0053093C">
        <w:rPr>
          <w:i/>
        </w:rPr>
        <w:t>supra</w:t>
      </w:r>
      <w:r w:rsidR="0053093C" w:rsidRPr="0053093C">
        <w:t>, we conclude that the amount categorized as Notes Payable is not a current liability.  Accordingly, FBC’s current liabilities as of December 31, 201</w:t>
      </w:r>
      <w:r w:rsidR="005664CE">
        <w:t>2</w:t>
      </w:r>
      <w:r w:rsidR="0053093C" w:rsidRPr="0053093C">
        <w:t xml:space="preserve"> consist only of the amount categorized as Accounts Payable.</w:t>
      </w:r>
    </w:p>
  </w:footnote>
  <w:footnote w:id="43">
    <w:p w:rsidR="00AC7112" w:rsidRPr="0053093C" w:rsidRDefault="00AC7112"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00284C27" w:rsidRPr="0053093C">
        <w:t xml:space="preserve">FBC’s net current </w:t>
      </w:r>
      <w:r w:rsidR="008F4CCF" w:rsidRPr="0053093C">
        <w:t xml:space="preserve">assets </w:t>
      </w:r>
      <w:r w:rsidR="00284C27" w:rsidRPr="0053093C">
        <w:t>as of December 31, 2012, are computed as follows:  $1,058,678 (FBC current assets) minus $</w:t>
      </w:r>
      <w:r w:rsidR="0053093C">
        <w:t>381,285</w:t>
      </w:r>
      <w:r w:rsidR="0053093C" w:rsidRPr="009A7791">
        <w:t xml:space="preserve"> </w:t>
      </w:r>
      <w:r w:rsidR="00284C27" w:rsidRPr="0053093C">
        <w:t>(FBC current liabilities) = $</w:t>
      </w:r>
      <w:r w:rsidR="0053093C">
        <w:t>677,393</w:t>
      </w:r>
      <w:r w:rsidR="00284C27" w:rsidRPr="0053093C">
        <w:t>.</w:t>
      </w:r>
    </w:p>
  </w:footnote>
  <w:footnote w:id="44">
    <w:p w:rsidR="003441FE" w:rsidRPr="0053093C" w:rsidRDefault="003441FE"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Pr="0053093C">
        <w:rPr>
          <w:i/>
        </w:rPr>
        <w:t>Id.</w:t>
      </w:r>
      <w:r w:rsidRPr="0053093C">
        <w:t xml:space="preserve"> at 2.  FBC did not solicit captioning assistance from other sources.  </w:t>
      </w:r>
      <w:r w:rsidRPr="0053093C">
        <w:rPr>
          <w:i/>
        </w:rPr>
        <w:t>Id.</w:t>
      </w:r>
      <w:r w:rsidRPr="0053093C">
        <w:t xml:space="preserve">  It explains, “We avoid appeals for special offerings, as these tend to reduce the amount given to the general operating fund, which supports our normal, day to day operations.  Because of this, we have not sought additional sponsorships.”  </w:t>
      </w:r>
      <w:r w:rsidRPr="0053093C">
        <w:rPr>
          <w:i/>
        </w:rPr>
        <w:t>Id.</w:t>
      </w:r>
      <w:r w:rsidRPr="0053093C">
        <w:t xml:space="preserve"> </w:t>
      </w:r>
    </w:p>
  </w:footnote>
  <w:footnote w:id="45">
    <w:p w:rsidR="000E6AF4" w:rsidRPr="0053093C" w:rsidRDefault="000E6AF4"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0053093C">
        <w:rPr>
          <w:i/>
        </w:rPr>
        <w:t>Id.</w:t>
      </w:r>
      <w:r w:rsidR="008F210C" w:rsidRPr="0053093C">
        <w:t xml:space="preserve"> </w:t>
      </w:r>
      <w:r w:rsidRPr="0053093C">
        <w:t>at 1.</w:t>
      </w:r>
    </w:p>
  </w:footnote>
  <w:footnote w:id="46">
    <w:p w:rsidR="00CB2624" w:rsidRPr="0053093C" w:rsidRDefault="00CB2624"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Petition at 2.</w:t>
      </w:r>
    </w:p>
  </w:footnote>
  <w:footnote w:id="47">
    <w:p w:rsidR="00AC7112" w:rsidRPr="0053093C" w:rsidRDefault="00AC7112"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008F210C" w:rsidRPr="0053093C">
        <w:t xml:space="preserve">Petition Supplement </w:t>
      </w:r>
      <w:r w:rsidRPr="0053093C">
        <w:t>at 1.</w:t>
      </w:r>
    </w:p>
  </w:footnote>
  <w:footnote w:id="48">
    <w:p w:rsidR="00275649" w:rsidRPr="0053093C" w:rsidRDefault="00275649"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005072B6" w:rsidRPr="0053093C">
        <w:t>Consumer Groups Opposition at 12.</w:t>
      </w:r>
    </w:p>
  </w:footnote>
  <w:footnote w:id="49">
    <w:p w:rsidR="0053093C" w:rsidRPr="0053093C" w:rsidRDefault="004C28CF" w:rsidP="0053093C">
      <w:pPr>
        <w:pStyle w:val="FootnoteText"/>
        <w:tabs>
          <w:tab w:val="clear" w:pos="180"/>
          <w:tab w:val="clear" w:pos="720"/>
          <w:tab w:val="clear" w:pos="1440"/>
          <w:tab w:val="clear" w:pos="2160"/>
        </w:tabs>
        <w:jc w:val="left"/>
        <w:rPr>
          <w:i/>
        </w:rPr>
      </w:pPr>
      <w:r w:rsidRPr="0053093C">
        <w:rPr>
          <w:rStyle w:val="FootnoteReference"/>
        </w:rPr>
        <w:footnoteRef/>
      </w:r>
      <w:r w:rsidRPr="0053093C">
        <w:t xml:space="preserve"> </w:t>
      </w:r>
      <w:r w:rsidR="008B7113" w:rsidRPr="0053093C">
        <w:rPr>
          <w:i/>
        </w:rPr>
        <w:t>Id.</w:t>
      </w:r>
    </w:p>
  </w:footnote>
  <w:footnote w:id="50">
    <w:p w:rsidR="00275649" w:rsidRPr="0053093C" w:rsidRDefault="00275649" w:rsidP="0053093C">
      <w:pPr>
        <w:pStyle w:val="FootnoteText"/>
        <w:tabs>
          <w:tab w:val="clear" w:pos="180"/>
          <w:tab w:val="clear" w:pos="720"/>
          <w:tab w:val="clear" w:pos="1440"/>
          <w:tab w:val="clear" w:pos="2160"/>
        </w:tabs>
        <w:jc w:val="left"/>
        <w:rPr>
          <w:i/>
        </w:rPr>
      </w:pPr>
      <w:r w:rsidRPr="0053093C">
        <w:rPr>
          <w:rStyle w:val="FootnoteReference"/>
        </w:rPr>
        <w:footnoteRef/>
      </w:r>
      <w:r w:rsidRPr="0053093C">
        <w:t xml:space="preserve"> </w:t>
      </w:r>
      <w:r w:rsidRPr="0053093C">
        <w:rPr>
          <w:i/>
        </w:rPr>
        <w:t>Id.</w:t>
      </w:r>
    </w:p>
  </w:footnote>
  <w:footnote w:id="51">
    <w:p w:rsidR="004F0EBD" w:rsidRPr="0053093C" w:rsidRDefault="004F0EBD" w:rsidP="0053093C">
      <w:pPr>
        <w:pStyle w:val="FootnoteText"/>
        <w:tabs>
          <w:tab w:val="clear" w:pos="180"/>
          <w:tab w:val="clear" w:pos="720"/>
          <w:tab w:val="clear" w:pos="1440"/>
          <w:tab w:val="clear" w:pos="2160"/>
        </w:tabs>
        <w:jc w:val="left"/>
        <w:rPr>
          <w:i/>
        </w:rPr>
      </w:pPr>
      <w:r w:rsidRPr="0053093C">
        <w:rPr>
          <w:rStyle w:val="FootnoteReference"/>
        </w:rPr>
        <w:footnoteRef/>
      </w:r>
      <w:r w:rsidRPr="0053093C">
        <w:t xml:space="preserve"> </w:t>
      </w:r>
      <w:r w:rsidRPr="0053093C">
        <w:rPr>
          <w:i/>
        </w:rPr>
        <w:t>Id.</w:t>
      </w:r>
    </w:p>
  </w:footnote>
  <w:footnote w:id="52">
    <w:p w:rsidR="008A7C4C" w:rsidRPr="0053093C" w:rsidRDefault="008A7C4C" w:rsidP="0053093C">
      <w:pPr>
        <w:pStyle w:val="FootnoteText"/>
        <w:tabs>
          <w:tab w:val="clear" w:pos="180"/>
          <w:tab w:val="clear" w:pos="720"/>
          <w:tab w:val="clear" w:pos="1440"/>
          <w:tab w:val="clear" w:pos="2160"/>
        </w:tabs>
        <w:jc w:val="left"/>
        <w:rPr>
          <w:i/>
        </w:rPr>
      </w:pPr>
      <w:r w:rsidRPr="0053093C">
        <w:rPr>
          <w:rStyle w:val="FootnoteReference"/>
        </w:rPr>
        <w:footnoteRef/>
      </w:r>
      <w:r w:rsidRPr="0053093C">
        <w:t xml:space="preserve"> </w:t>
      </w:r>
      <w:r w:rsidR="00312E8C" w:rsidRPr="0053093C">
        <w:rPr>
          <w:i/>
        </w:rPr>
        <w:t xml:space="preserve">See ¶ </w:t>
      </w:r>
      <w:r w:rsidR="00312E8C" w:rsidRPr="0053093C">
        <w:t xml:space="preserve">9, </w:t>
      </w:r>
      <w:r w:rsidR="00312E8C" w:rsidRPr="0053093C">
        <w:rPr>
          <w:i/>
        </w:rPr>
        <w:t>supra.</w:t>
      </w:r>
    </w:p>
  </w:footnote>
  <w:footnote w:id="53">
    <w:p w:rsidR="00DC33E7" w:rsidRPr="0053093C" w:rsidRDefault="00DC33E7"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00312E8C" w:rsidRPr="0053093C">
        <w:rPr>
          <w:i/>
        </w:rPr>
        <w:t xml:space="preserve">See ¶ </w:t>
      </w:r>
      <w:r w:rsidR="00312E8C" w:rsidRPr="0053093C">
        <w:t xml:space="preserve">8, </w:t>
      </w:r>
      <w:r w:rsidR="00312E8C" w:rsidRPr="0053093C">
        <w:rPr>
          <w:i/>
        </w:rPr>
        <w:t>supra</w:t>
      </w:r>
      <w:r w:rsidRPr="0053093C">
        <w:t>.</w:t>
      </w:r>
      <w:r w:rsidR="00312E8C" w:rsidRPr="0053093C">
        <w:t xml:space="preserve">  </w:t>
      </w:r>
      <w:r w:rsidR="00721167" w:rsidRPr="0053093C">
        <w:t xml:space="preserve">In addition to providing two closed captioning quotes, </w:t>
      </w:r>
      <w:r w:rsidR="00051DC6">
        <w:t xml:space="preserve">as noted above, </w:t>
      </w:r>
      <w:r w:rsidR="00721167" w:rsidRPr="0053093C">
        <w:t xml:space="preserve">FBC provided information about the costs of purchasing equipment and software to provide captioning in house.  </w:t>
      </w:r>
      <w:r w:rsidR="00051DC6">
        <w:rPr>
          <w:i/>
        </w:rPr>
        <w:t>I</w:t>
      </w:r>
      <w:r w:rsidR="00051DC6" w:rsidRPr="0053093C">
        <w:rPr>
          <w:i/>
        </w:rPr>
        <w:t>d</w:t>
      </w:r>
      <w:r w:rsidR="00721167" w:rsidRPr="0053093C">
        <w:rPr>
          <w:i/>
        </w:rPr>
        <w:t xml:space="preserve">.  </w:t>
      </w:r>
      <w:r w:rsidR="00721167" w:rsidRPr="0053093C">
        <w:t xml:space="preserve">However, </w:t>
      </w:r>
      <w:r w:rsidR="003107FA">
        <w:t xml:space="preserve">because </w:t>
      </w:r>
      <w:r w:rsidR="00312E8C" w:rsidRPr="0053093C">
        <w:t xml:space="preserve">FBC did not provide information </w:t>
      </w:r>
      <w:r w:rsidR="00312E8C" w:rsidRPr="0053093C">
        <w:rPr>
          <w:spacing w:val="-1"/>
        </w:rPr>
        <w:t>regarding the</w:t>
      </w:r>
      <w:r w:rsidR="00312E8C" w:rsidRPr="0053093C">
        <w:rPr>
          <w:spacing w:val="-2"/>
        </w:rPr>
        <w:t xml:space="preserve"> annual </w:t>
      </w:r>
      <w:r w:rsidR="00312E8C" w:rsidRPr="0053093C">
        <w:rPr>
          <w:spacing w:val="-1"/>
        </w:rPr>
        <w:t>c</w:t>
      </w:r>
      <w:r w:rsidR="00312E8C" w:rsidRPr="0053093C">
        <w:t xml:space="preserve">osts </w:t>
      </w:r>
      <w:r w:rsidR="00312E8C" w:rsidRPr="0053093C">
        <w:rPr>
          <w:spacing w:val="-1"/>
        </w:rPr>
        <w:t>a</w:t>
      </w:r>
      <w:r w:rsidR="00312E8C" w:rsidRPr="0053093C">
        <w:t>sso</w:t>
      </w:r>
      <w:r w:rsidR="00312E8C" w:rsidRPr="0053093C">
        <w:rPr>
          <w:spacing w:val="-1"/>
        </w:rPr>
        <w:t>c</w:t>
      </w:r>
      <w:r w:rsidR="00312E8C" w:rsidRPr="0053093C">
        <w:t>i</w:t>
      </w:r>
      <w:r w:rsidR="00312E8C" w:rsidRPr="0053093C">
        <w:rPr>
          <w:spacing w:val="-1"/>
        </w:rPr>
        <w:t>a</w:t>
      </w:r>
      <w:r w:rsidR="00312E8C" w:rsidRPr="0053093C">
        <w:t>t</w:t>
      </w:r>
      <w:r w:rsidR="00312E8C" w:rsidRPr="0053093C">
        <w:rPr>
          <w:spacing w:val="-1"/>
        </w:rPr>
        <w:t>e</w:t>
      </w:r>
      <w:r w:rsidR="00312E8C" w:rsidRPr="0053093C">
        <w:t>d with hi</w:t>
      </w:r>
      <w:r w:rsidR="00312E8C" w:rsidRPr="0053093C">
        <w:rPr>
          <w:spacing w:val="-1"/>
        </w:rPr>
        <w:t>r</w:t>
      </w:r>
      <w:r w:rsidR="00312E8C" w:rsidRPr="0053093C">
        <w:t>i</w:t>
      </w:r>
      <w:r w:rsidR="00312E8C" w:rsidRPr="0053093C">
        <w:rPr>
          <w:spacing w:val="2"/>
        </w:rPr>
        <w:t>n</w:t>
      </w:r>
      <w:r w:rsidR="00312E8C" w:rsidRPr="0053093C">
        <w:t>g</w:t>
      </w:r>
      <w:r w:rsidR="00312E8C" w:rsidRPr="0053093C">
        <w:rPr>
          <w:spacing w:val="-2"/>
        </w:rPr>
        <w:t xml:space="preserve"> </w:t>
      </w:r>
      <w:r w:rsidR="00312E8C" w:rsidRPr="0053093C">
        <w:t>p</w:t>
      </w:r>
      <w:r w:rsidR="00312E8C" w:rsidRPr="0053093C">
        <w:rPr>
          <w:spacing w:val="1"/>
        </w:rPr>
        <w:t>e</w:t>
      </w:r>
      <w:r w:rsidR="00312E8C" w:rsidRPr="0053093C">
        <w:rPr>
          <w:spacing w:val="-1"/>
        </w:rPr>
        <w:t>r</w:t>
      </w:r>
      <w:r w:rsidR="00312E8C" w:rsidRPr="0053093C">
        <w:t>sonn</w:t>
      </w:r>
      <w:r w:rsidR="00312E8C" w:rsidRPr="0053093C">
        <w:rPr>
          <w:spacing w:val="-1"/>
        </w:rPr>
        <w:t>e</w:t>
      </w:r>
      <w:r w:rsidR="00312E8C" w:rsidRPr="0053093C">
        <w:t>l to op</w:t>
      </w:r>
      <w:r w:rsidR="00312E8C" w:rsidRPr="0053093C">
        <w:rPr>
          <w:spacing w:val="-1"/>
        </w:rPr>
        <w:t>era</w:t>
      </w:r>
      <w:r w:rsidR="00312E8C" w:rsidRPr="0053093C">
        <w:t>te</w:t>
      </w:r>
      <w:r w:rsidR="00312E8C" w:rsidRPr="0053093C">
        <w:rPr>
          <w:spacing w:val="-1"/>
        </w:rPr>
        <w:t xml:space="preserve"> e</w:t>
      </w:r>
      <w:r w:rsidR="00312E8C" w:rsidRPr="0053093C">
        <w:rPr>
          <w:spacing w:val="2"/>
        </w:rPr>
        <w:t>q</w:t>
      </w:r>
      <w:r w:rsidR="00312E8C" w:rsidRPr="0053093C">
        <w:t>uipm</w:t>
      </w:r>
      <w:r w:rsidR="00312E8C" w:rsidRPr="0053093C">
        <w:rPr>
          <w:spacing w:val="-1"/>
        </w:rPr>
        <w:t>e</w:t>
      </w:r>
      <w:r w:rsidR="00312E8C" w:rsidRPr="0053093C">
        <w:t>nt necessary to provide closed captioning in-house</w:t>
      </w:r>
      <w:r w:rsidR="003107FA">
        <w:t>,</w:t>
      </w:r>
      <w:r w:rsidR="00312E8C" w:rsidRPr="0053093C">
        <w:t xml:space="preserve"> we</w:t>
      </w:r>
      <w:r w:rsidR="00721167" w:rsidRPr="0053093C">
        <w:t xml:space="preserve"> </w:t>
      </w:r>
      <w:r w:rsidR="00AF50E4">
        <w:t>are unable to</w:t>
      </w:r>
      <w:r w:rsidR="00721167" w:rsidRPr="0053093C">
        <w:t xml:space="preserve"> determine the total estimated cost of providing</w:t>
      </w:r>
      <w:r w:rsidR="00312E8C" w:rsidRPr="0053093C">
        <w:t xml:space="preserve"> </w:t>
      </w:r>
      <w:r w:rsidR="00721167" w:rsidRPr="0053093C">
        <w:t xml:space="preserve">captions in-house, and, accordingly, we </w:t>
      </w:r>
      <w:r w:rsidR="00AF50E4">
        <w:t>can</w:t>
      </w:r>
      <w:r w:rsidR="00721167" w:rsidRPr="0053093C">
        <w:t>not consider whether providing closed captioning in-house</w:t>
      </w:r>
      <w:r w:rsidR="00312E8C" w:rsidRPr="0053093C">
        <w:t xml:space="preserve"> would be economically burdensome for FBC.</w:t>
      </w:r>
      <w:r w:rsidR="00721167" w:rsidRPr="0053093C">
        <w:t xml:space="preserve">  </w:t>
      </w:r>
      <w:r w:rsidR="00721167" w:rsidRPr="0053093C">
        <w:rPr>
          <w:i/>
        </w:rPr>
        <w:t>See Anglers Reversal MO&amp;O</w:t>
      </w:r>
      <w:r w:rsidR="00721167" w:rsidRPr="0053093C">
        <w:t>,</w:t>
      </w:r>
      <w:r w:rsidR="00426840">
        <w:t xml:space="preserve"> </w:t>
      </w:r>
      <w:r w:rsidR="00721167" w:rsidRPr="0053093C">
        <w:t xml:space="preserve">26 FCC Rcd at 14955, ¶ 28 (stating the criteria for determining whether providing closed captioning would be economically burdensome, including “the nature and cost of the closed captions for the program”).  </w:t>
      </w:r>
      <w:r w:rsidR="003107FA">
        <w:t xml:space="preserve">In any event, </w:t>
      </w:r>
      <w:r w:rsidR="00721167" w:rsidRPr="0053093C">
        <w:t>according to the closed captioning quotes that FBC provided, obtaining closed captioning from Aberdeen Captioning or KAIT would be less expensive than purchasing equipment and software to provide captioning in-house, even without considering any costs associated with hiring personnel to operate the equipment.</w:t>
      </w:r>
    </w:p>
  </w:footnote>
  <w:footnote w:id="54">
    <w:p w:rsidR="00426840" w:rsidRPr="00F1233B" w:rsidRDefault="00426840" w:rsidP="00F1233B">
      <w:pPr>
        <w:spacing w:after="120"/>
        <w:rPr>
          <w:sz w:val="20"/>
        </w:rPr>
      </w:pPr>
      <w:r w:rsidRPr="00F1233B">
        <w:rPr>
          <w:rStyle w:val="FootnoteReference"/>
          <w:sz w:val="20"/>
        </w:rPr>
        <w:footnoteRef/>
      </w:r>
      <w:r w:rsidRPr="00F1233B">
        <w:rPr>
          <w:sz w:val="20"/>
        </w:rPr>
        <w:t xml:space="preserve"> </w:t>
      </w:r>
      <w:r w:rsidRPr="00F1233B">
        <w:rPr>
          <w:i/>
          <w:sz w:val="20"/>
        </w:rPr>
        <w:t xml:space="preserve">See ¶ </w:t>
      </w:r>
      <w:r w:rsidRPr="00F1233B">
        <w:rPr>
          <w:sz w:val="20"/>
        </w:rPr>
        <w:t xml:space="preserve">10, </w:t>
      </w:r>
      <w:r w:rsidRPr="00F1233B">
        <w:rPr>
          <w:i/>
          <w:sz w:val="20"/>
        </w:rPr>
        <w:t>supra.</w:t>
      </w:r>
      <w:r w:rsidRPr="00F1233B">
        <w:rPr>
          <w:sz w:val="20"/>
        </w:rPr>
        <w:t xml:space="preserve">  As explained above, we conclude that FBC’s current liabilities as of December 31, 2011 and December 31, 2012 consist only of the amounts categorized as Accounts Payable, and do not include the amounts categorized as Notes Payable.  </w:t>
      </w:r>
      <w:r w:rsidRPr="00F1233B">
        <w:rPr>
          <w:i/>
          <w:sz w:val="20"/>
        </w:rPr>
        <w:t xml:space="preserve">See </w:t>
      </w:r>
      <w:r w:rsidRPr="00F1233B">
        <w:rPr>
          <w:sz w:val="20"/>
        </w:rPr>
        <w:t xml:space="preserve">nn.38 and 41, </w:t>
      </w:r>
      <w:r w:rsidRPr="00F1233B">
        <w:rPr>
          <w:i/>
          <w:sz w:val="20"/>
        </w:rPr>
        <w:t>supra</w:t>
      </w:r>
      <w:r w:rsidRPr="00F1233B">
        <w:rPr>
          <w:sz w:val="20"/>
        </w:rPr>
        <w:t>.</w:t>
      </w:r>
      <w:r w:rsidR="00F1233B" w:rsidRPr="00F1233B">
        <w:rPr>
          <w:sz w:val="20"/>
        </w:rPr>
        <w:t xml:space="preserve">  </w:t>
      </w:r>
      <w:r w:rsidR="00EE3CEF" w:rsidRPr="00F1233B">
        <w:rPr>
          <w:sz w:val="20"/>
        </w:rPr>
        <w:t xml:space="preserve">However, even if we were to categorize FBC’s Notes Payable as a current liability, our conclusion that closed captioning is not economically burdensome for FBC would remain the same. </w:t>
      </w:r>
      <w:r w:rsidR="00EE3CEF">
        <w:rPr>
          <w:sz w:val="20"/>
        </w:rPr>
        <w:t xml:space="preserve"> </w:t>
      </w:r>
      <w:r w:rsidR="00EE3CEF" w:rsidRPr="00F1233B">
        <w:rPr>
          <w:sz w:val="20"/>
        </w:rPr>
        <w:t>FBC</w:t>
      </w:r>
      <w:r w:rsidR="00EE3CEF">
        <w:rPr>
          <w:sz w:val="20"/>
        </w:rPr>
        <w:t>’s</w:t>
      </w:r>
      <w:r w:rsidR="00EE3CEF" w:rsidRPr="00F1233B">
        <w:rPr>
          <w:sz w:val="20"/>
        </w:rPr>
        <w:t xml:space="preserve"> current liabilit</w:t>
      </w:r>
      <w:r w:rsidR="00EE3CEF">
        <w:rPr>
          <w:sz w:val="20"/>
        </w:rPr>
        <w:t>ies</w:t>
      </w:r>
      <w:r w:rsidR="00EE3CEF" w:rsidRPr="00F1233B">
        <w:rPr>
          <w:sz w:val="20"/>
        </w:rPr>
        <w:t xml:space="preserve"> as of December 31, 2011, </w:t>
      </w:r>
      <w:r w:rsidR="00EE3CEF">
        <w:rPr>
          <w:sz w:val="20"/>
        </w:rPr>
        <w:t xml:space="preserve">including FBC’s Notes Payable, </w:t>
      </w:r>
      <w:r w:rsidR="00EE3CEF" w:rsidRPr="00F1233B">
        <w:rPr>
          <w:sz w:val="20"/>
        </w:rPr>
        <w:t>would</w:t>
      </w:r>
      <w:r w:rsidR="00EE3CEF">
        <w:rPr>
          <w:sz w:val="20"/>
        </w:rPr>
        <w:t xml:space="preserve"> </w:t>
      </w:r>
      <w:r w:rsidR="00EE3CEF" w:rsidRPr="00F1233B">
        <w:rPr>
          <w:sz w:val="20"/>
        </w:rPr>
        <w:t xml:space="preserve">be computed as follows:  </w:t>
      </w:r>
      <w:r w:rsidR="00EE3CEF">
        <w:rPr>
          <w:sz w:val="20"/>
        </w:rPr>
        <w:t xml:space="preserve">$327,137 (accounts payable) plus $1,375,730 (notes payable) = $1,702,867 (total liabilities).  Accordingly, FBC’s net </w:t>
      </w:r>
      <w:r w:rsidR="00E543A8">
        <w:rPr>
          <w:sz w:val="20"/>
        </w:rPr>
        <w:t xml:space="preserve">current </w:t>
      </w:r>
      <w:r w:rsidR="00E543A8" w:rsidRPr="00C1656E">
        <w:rPr>
          <w:sz w:val="20"/>
        </w:rPr>
        <w:t>assets/liabilities</w:t>
      </w:r>
      <w:r w:rsidR="00E543A8">
        <w:rPr>
          <w:sz w:val="20"/>
        </w:rPr>
        <w:t xml:space="preserve"> </w:t>
      </w:r>
      <w:r w:rsidR="00EE3CEF">
        <w:rPr>
          <w:sz w:val="20"/>
        </w:rPr>
        <w:t xml:space="preserve">as of December 31, 2011, would be computed as follows:  </w:t>
      </w:r>
      <w:r w:rsidR="00EE3CEF" w:rsidRPr="00F1233B">
        <w:rPr>
          <w:sz w:val="20"/>
        </w:rPr>
        <w:t>$1,128,490 (current assets) minus $1,702,867 (total liabilities) = $574,377</w:t>
      </w:r>
      <w:r w:rsidR="00E543A8">
        <w:rPr>
          <w:sz w:val="20"/>
        </w:rPr>
        <w:t xml:space="preserve"> </w:t>
      </w:r>
      <w:r w:rsidR="00E543A8" w:rsidRPr="00C1656E">
        <w:rPr>
          <w:sz w:val="20"/>
        </w:rPr>
        <w:t>net current liabilities</w:t>
      </w:r>
      <w:r w:rsidR="00EE3CEF" w:rsidRPr="00F1233B">
        <w:rPr>
          <w:sz w:val="20"/>
        </w:rPr>
        <w:t xml:space="preserve">.  </w:t>
      </w:r>
      <w:r w:rsidR="00EE3CEF">
        <w:rPr>
          <w:sz w:val="20"/>
        </w:rPr>
        <w:t xml:space="preserve">FBC’s </w:t>
      </w:r>
      <w:r w:rsidR="00EE3CEF" w:rsidRPr="00F1233B">
        <w:rPr>
          <w:sz w:val="20"/>
        </w:rPr>
        <w:t>current liabilit</w:t>
      </w:r>
      <w:r w:rsidR="00EE3CEF">
        <w:rPr>
          <w:sz w:val="20"/>
        </w:rPr>
        <w:t>ies</w:t>
      </w:r>
      <w:r w:rsidR="00EE3CEF" w:rsidRPr="00F1233B">
        <w:rPr>
          <w:sz w:val="20"/>
        </w:rPr>
        <w:t xml:space="preserve"> as of December 31, 201</w:t>
      </w:r>
      <w:r w:rsidR="00E543A8">
        <w:rPr>
          <w:sz w:val="20"/>
        </w:rPr>
        <w:t>2</w:t>
      </w:r>
      <w:r w:rsidR="00EE3CEF" w:rsidRPr="00F1233B">
        <w:rPr>
          <w:sz w:val="20"/>
        </w:rPr>
        <w:t xml:space="preserve">, </w:t>
      </w:r>
      <w:r w:rsidR="00EE3CEF">
        <w:rPr>
          <w:sz w:val="20"/>
        </w:rPr>
        <w:t xml:space="preserve">including FBC’s Notes Payable, </w:t>
      </w:r>
      <w:r w:rsidR="00EE3CEF" w:rsidRPr="00F1233B">
        <w:rPr>
          <w:sz w:val="20"/>
        </w:rPr>
        <w:t xml:space="preserve">would be computed as follows:  </w:t>
      </w:r>
      <w:r w:rsidR="00EE3CEF">
        <w:rPr>
          <w:sz w:val="20"/>
        </w:rPr>
        <w:t>$381,285 (accounts payable) plus $625,277 (notes payable) = $1,006,56</w:t>
      </w:r>
      <w:r w:rsidR="0069683B">
        <w:rPr>
          <w:sz w:val="20"/>
        </w:rPr>
        <w:t>2</w:t>
      </w:r>
      <w:r w:rsidR="00EE3CEF">
        <w:rPr>
          <w:sz w:val="20"/>
        </w:rPr>
        <w:t xml:space="preserve">.  Accordingly, FBC’s net current </w:t>
      </w:r>
      <w:r w:rsidR="00EE3CEF" w:rsidRPr="00C1656E">
        <w:rPr>
          <w:sz w:val="20"/>
        </w:rPr>
        <w:t>assets</w:t>
      </w:r>
      <w:r w:rsidR="00E543A8" w:rsidRPr="00C1656E">
        <w:rPr>
          <w:sz w:val="20"/>
        </w:rPr>
        <w:t>/liabilities</w:t>
      </w:r>
      <w:r w:rsidR="00EE3CEF">
        <w:rPr>
          <w:sz w:val="20"/>
        </w:rPr>
        <w:t xml:space="preserve"> as of December 31, 2012, would be computed as follows:  </w:t>
      </w:r>
      <w:r w:rsidR="00EE3CEF" w:rsidRPr="00F1233B">
        <w:rPr>
          <w:sz w:val="20"/>
        </w:rPr>
        <w:t>$1,058,678 (current assets) minus $1,006,562 (total liabilities) = $52,116</w:t>
      </w:r>
      <w:r w:rsidR="00E543A8">
        <w:rPr>
          <w:sz w:val="20"/>
        </w:rPr>
        <w:t xml:space="preserve"> </w:t>
      </w:r>
      <w:r w:rsidR="00E543A8" w:rsidRPr="00C1656E">
        <w:rPr>
          <w:sz w:val="20"/>
        </w:rPr>
        <w:t>net current assets</w:t>
      </w:r>
      <w:r w:rsidR="00EE3CEF" w:rsidRPr="00F1233B">
        <w:rPr>
          <w:sz w:val="20"/>
        </w:rPr>
        <w:t xml:space="preserve">.  Like FBC’s net current assets that were computed </w:t>
      </w:r>
      <w:r w:rsidR="00EE3CEF" w:rsidRPr="00F1233B">
        <w:rPr>
          <w:i/>
          <w:sz w:val="20"/>
        </w:rPr>
        <w:t>without</w:t>
      </w:r>
      <w:r w:rsidR="00EE3CEF" w:rsidRPr="00F1233B">
        <w:rPr>
          <w:sz w:val="20"/>
        </w:rPr>
        <w:t xml:space="preserve"> its Notes Payable amounts, FBC’s net current assets of $52,116 as of December 31, 2012, computed </w:t>
      </w:r>
      <w:r w:rsidR="00EE3CEF" w:rsidRPr="00F1233B">
        <w:rPr>
          <w:i/>
          <w:sz w:val="20"/>
        </w:rPr>
        <w:t>with</w:t>
      </w:r>
      <w:r w:rsidR="00EE3CEF" w:rsidRPr="00F1233B">
        <w:rPr>
          <w:sz w:val="20"/>
        </w:rPr>
        <w:t xml:space="preserve"> its Notes Payable amount, demonstrates not only a</w:t>
      </w:r>
      <w:r w:rsidR="00EE3CEF">
        <w:rPr>
          <w:sz w:val="20"/>
        </w:rPr>
        <w:t>n</w:t>
      </w:r>
      <w:r w:rsidR="00EE3CEF" w:rsidRPr="00F1233B">
        <w:rPr>
          <w:sz w:val="20"/>
        </w:rPr>
        <w:t xml:space="preserve"> improvement in its financial position over its net current liabilities of $574,377 as of December 31, 2011</w:t>
      </w:r>
      <w:r w:rsidR="00EE3CEF">
        <w:rPr>
          <w:sz w:val="20"/>
        </w:rPr>
        <w:t xml:space="preserve"> (a net gain of $626,493)</w:t>
      </w:r>
      <w:r w:rsidR="00EE3CEF" w:rsidRPr="00F1233B">
        <w:rPr>
          <w:sz w:val="20"/>
        </w:rPr>
        <w:t xml:space="preserve">, </w:t>
      </w:r>
      <w:r w:rsidR="00EE3CEF" w:rsidRPr="00204968">
        <w:rPr>
          <w:sz w:val="20"/>
        </w:rPr>
        <w:t>it provides further evidence that the provision of closed captioning is not economically burdensome for FBC.</w:t>
      </w:r>
    </w:p>
  </w:footnote>
  <w:footnote w:id="55">
    <w:p w:rsidR="00DC33E7" w:rsidRPr="0053093C" w:rsidRDefault="00DC33E7" w:rsidP="0053093C">
      <w:pPr>
        <w:pStyle w:val="FootnoteText"/>
        <w:tabs>
          <w:tab w:val="clear" w:pos="180"/>
          <w:tab w:val="clear" w:pos="720"/>
          <w:tab w:val="clear" w:pos="1440"/>
          <w:tab w:val="clear" w:pos="2160"/>
        </w:tabs>
        <w:jc w:val="left"/>
      </w:pPr>
      <w:r w:rsidRPr="0053093C">
        <w:rPr>
          <w:rStyle w:val="FootnoteReference"/>
        </w:rPr>
        <w:footnoteRef/>
      </w:r>
      <w:r w:rsidR="00824217" w:rsidRPr="0053093C">
        <w:t xml:space="preserve"> </w:t>
      </w:r>
      <w:r w:rsidRPr="0053093C">
        <w:t xml:space="preserve">Contrary to </w:t>
      </w:r>
      <w:r w:rsidR="00312E8C" w:rsidRPr="0053093C">
        <w:t xml:space="preserve">the suggestion by </w:t>
      </w:r>
      <w:r w:rsidRPr="0053093C">
        <w:t xml:space="preserve">Consumer Groups, we do not </w:t>
      </w:r>
      <w:r w:rsidR="00312E8C" w:rsidRPr="0053093C">
        <w:t xml:space="preserve">require petitioners to demonstrate that they </w:t>
      </w:r>
      <w:r w:rsidRPr="0053093C">
        <w:t xml:space="preserve">negotiated with closed captioning service providers for captioning costs </w:t>
      </w:r>
      <w:r w:rsidR="00312E8C" w:rsidRPr="0053093C">
        <w:t xml:space="preserve">that are lower </w:t>
      </w:r>
      <w:r w:rsidRPr="0053093C">
        <w:t xml:space="preserve">than the quotes </w:t>
      </w:r>
      <w:r w:rsidR="00312E8C" w:rsidRPr="0053093C">
        <w:t xml:space="preserve">they provide to the Commission, or to identify the most affordable provider or most reasonable rates.  </w:t>
      </w:r>
      <w:r w:rsidR="00312E8C" w:rsidRPr="0053093C">
        <w:rPr>
          <w:i/>
        </w:rPr>
        <w:t xml:space="preserve">See ¶ </w:t>
      </w:r>
      <w:r w:rsidR="00312E8C" w:rsidRPr="0053093C">
        <w:t xml:space="preserve">12, </w:t>
      </w:r>
      <w:r w:rsidR="00312E8C" w:rsidRPr="0053093C">
        <w:rPr>
          <w:i/>
        </w:rPr>
        <w:t>supra</w:t>
      </w:r>
      <w:r w:rsidR="00312E8C" w:rsidRPr="0053093C">
        <w:t xml:space="preserve">.  </w:t>
      </w:r>
      <w:r w:rsidRPr="0053093C">
        <w:t xml:space="preserve">Consumer Groups do not cite to any authority in support of </w:t>
      </w:r>
      <w:r w:rsidR="002972A2" w:rsidRPr="0053093C">
        <w:t>such a requirement, and generally information on captioning costs from multiple sources has been sufficient to aid the Bureau in its analysis of the impact that closed captioning obligations can have on a petitioner’s programming operations</w:t>
      </w:r>
      <w:r w:rsidRPr="0053093C">
        <w:t xml:space="preserve">. </w:t>
      </w:r>
      <w:r w:rsidR="002972A2" w:rsidRPr="0053093C">
        <w:t xml:space="preserve"> </w:t>
      </w:r>
      <w:r w:rsidR="002972A2" w:rsidRPr="0053093C">
        <w:rPr>
          <w:i/>
        </w:rPr>
        <w:t xml:space="preserve">See Anglers Reversal </w:t>
      </w:r>
      <w:r w:rsidR="00857345" w:rsidRPr="0053093C">
        <w:rPr>
          <w:i/>
        </w:rPr>
        <w:t>MO&amp;O</w:t>
      </w:r>
      <w:r w:rsidR="002972A2" w:rsidRPr="0053093C">
        <w:t>, 26 FCC Rcd at 14955-56, ¶ 28, n.101 (</w:t>
      </w:r>
      <w:r w:rsidR="002972A2" w:rsidRPr="0053093C">
        <w:rPr>
          <w:iCs/>
          <w:color w:val="010101"/>
        </w:rPr>
        <w:t>citing</w:t>
      </w:r>
      <w:r w:rsidR="002972A2" w:rsidRPr="0053093C">
        <w:rPr>
          <w:i/>
          <w:iCs/>
          <w:color w:val="010101"/>
        </w:rPr>
        <w:t>, e.g.</w:t>
      </w:r>
      <w:r w:rsidR="002972A2" w:rsidRPr="0053093C">
        <w:rPr>
          <w:iCs/>
          <w:color w:val="010101"/>
        </w:rPr>
        <w:t>,</w:t>
      </w:r>
      <w:r w:rsidR="002972A2" w:rsidRPr="0053093C">
        <w:rPr>
          <w:color w:val="010101"/>
        </w:rPr>
        <w:t xml:space="preserve"> </w:t>
      </w:r>
      <w:r w:rsidR="002972A2" w:rsidRPr="0053093C">
        <w:rPr>
          <w:i/>
          <w:iCs/>
          <w:color w:val="010101"/>
        </w:rPr>
        <w:t>Outland Sports</w:t>
      </w:r>
      <w:r w:rsidR="002972A2" w:rsidRPr="0053093C">
        <w:rPr>
          <w:iCs/>
          <w:color w:val="010101"/>
        </w:rPr>
        <w:t xml:space="preserve">, Memorandum Opinion and Order, </w:t>
      </w:r>
      <w:r w:rsidR="002972A2" w:rsidRPr="0053093C">
        <w:rPr>
          <w:color w:val="010101"/>
        </w:rPr>
        <w:t>16 FCC Rcd 13605, 13607, ¶ 7 (noting the importance of demonstrating efforts “to seek information from various sources on the cost of captioning”)</w:t>
      </w:r>
      <w:r w:rsidR="002972A2" w:rsidRPr="0053093C">
        <w:t xml:space="preserve">; </w:t>
      </w:r>
      <w:r w:rsidR="002972A2" w:rsidRPr="0053093C">
        <w:rPr>
          <w:i/>
        </w:rPr>
        <w:t xml:space="preserve">Wild Outdoors 2001, </w:t>
      </w:r>
      <w:r w:rsidR="002972A2" w:rsidRPr="0053093C">
        <w:t xml:space="preserve">16 FCC Rcd at 13614, ¶ 7 (noting the need for “a listing of various prices quoted” as evidence of “their efforts to find companies that provide captioning at a reasonable cost”)).  Further, we do not reach the question of whether FBC can avoid its closed captioning obligations because it is unwilling </w:t>
      </w:r>
      <w:r w:rsidRPr="0053093C">
        <w:t xml:space="preserve">to </w:t>
      </w:r>
      <w:r w:rsidR="002972A2" w:rsidRPr="0053093C">
        <w:t>seek additional sponsorships (other than from its program distributor)</w:t>
      </w:r>
      <w:r w:rsidRPr="0053093C">
        <w:t xml:space="preserve"> </w:t>
      </w:r>
      <w:r w:rsidR="002972A2" w:rsidRPr="0053093C">
        <w:t xml:space="preserve">or other sources of revenue to caption its program, because we conclude that providing closed captioning for its program, even without this effort, would not be economically burdensome to it.  </w:t>
      </w:r>
      <w:r w:rsidR="002972A2" w:rsidRPr="0053093C">
        <w:rPr>
          <w:i/>
        </w:rPr>
        <w:t>Id.</w:t>
      </w:r>
      <w:r w:rsidR="002972A2" w:rsidRPr="0053093C">
        <w:t xml:space="preserve">  </w:t>
      </w:r>
    </w:p>
  </w:footnote>
  <w:footnote w:id="56">
    <w:p w:rsidR="00A43358" w:rsidRPr="0053093C" w:rsidRDefault="00A43358" w:rsidP="0053093C">
      <w:pPr>
        <w:pStyle w:val="FootnoteText"/>
        <w:tabs>
          <w:tab w:val="clear" w:pos="180"/>
          <w:tab w:val="clear" w:pos="720"/>
          <w:tab w:val="clear" w:pos="1440"/>
          <w:tab w:val="clear" w:pos="2160"/>
        </w:tabs>
        <w:jc w:val="left"/>
      </w:pPr>
      <w:r w:rsidRPr="0053093C">
        <w:rPr>
          <w:rStyle w:val="FootnoteReference"/>
        </w:rPr>
        <w:footnoteRef/>
      </w:r>
      <w:r w:rsidR="002972A2" w:rsidRPr="0053093C">
        <w:rPr>
          <w:i/>
        </w:rPr>
        <w:t xml:space="preserve"> See </w:t>
      </w:r>
      <w:r w:rsidR="002972A2" w:rsidRPr="0053093C">
        <w:t xml:space="preserve">¶ 11, </w:t>
      </w:r>
      <w:r w:rsidR="002972A2" w:rsidRPr="0053093C">
        <w:rPr>
          <w:i/>
        </w:rPr>
        <w:t>supra</w:t>
      </w:r>
      <w:r w:rsidRPr="0053093C">
        <w:t>.</w:t>
      </w:r>
    </w:p>
  </w:footnote>
  <w:footnote w:id="57">
    <w:p w:rsidR="002A4ADC" w:rsidRPr="0053093C" w:rsidRDefault="002A4ADC"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Pr="0053093C">
        <w:rPr>
          <w:i/>
        </w:rPr>
        <w:t xml:space="preserve">Anglers </w:t>
      </w:r>
      <w:r w:rsidR="002972A2" w:rsidRPr="0053093C">
        <w:rPr>
          <w:i/>
        </w:rPr>
        <w:t xml:space="preserve">Reversal </w:t>
      </w:r>
      <w:r w:rsidR="00857345" w:rsidRPr="0053093C">
        <w:rPr>
          <w:i/>
        </w:rPr>
        <w:t>MO&amp;O</w:t>
      </w:r>
      <w:r w:rsidRPr="0053093C">
        <w:t>, 26 FCC Rcd at 14951-52, ¶ 20 (citing 47 C.F.R. § 79.1(f)(3)).</w:t>
      </w:r>
    </w:p>
  </w:footnote>
  <w:footnote w:id="58">
    <w:p w:rsidR="002A4ADC" w:rsidRPr="0053093C" w:rsidRDefault="002A4ADC"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Pr="0053093C">
        <w:rPr>
          <w:i/>
        </w:rPr>
        <w:t xml:space="preserve">Anglers </w:t>
      </w:r>
      <w:r w:rsidR="002972A2" w:rsidRPr="0053093C">
        <w:rPr>
          <w:i/>
        </w:rPr>
        <w:t xml:space="preserve">Reversal </w:t>
      </w:r>
      <w:r w:rsidR="00857345" w:rsidRPr="0053093C">
        <w:rPr>
          <w:i/>
        </w:rPr>
        <w:t>MO&amp;O</w:t>
      </w:r>
      <w:r w:rsidRPr="0053093C">
        <w:t>, 26 FCC Rcd at 14952, ¶ 20.</w:t>
      </w:r>
    </w:p>
  </w:footnote>
  <w:footnote w:id="59">
    <w:p w:rsidR="007A0318" w:rsidRPr="0053093C" w:rsidRDefault="007A0318"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Pr="0053093C">
        <w:rPr>
          <w:i/>
        </w:rPr>
        <w:t xml:space="preserve">See </w:t>
      </w:r>
      <w:r w:rsidRPr="0053093C">
        <w:t xml:space="preserve">¶ </w:t>
      </w:r>
      <w:r w:rsidR="002972A2" w:rsidRPr="0053093C">
        <w:t xml:space="preserve">13, </w:t>
      </w:r>
      <w:r w:rsidR="002972A2" w:rsidRPr="0053093C">
        <w:rPr>
          <w:i/>
        </w:rPr>
        <w:t>supra</w:t>
      </w:r>
      <w:r w:rsidRPr="0053093C">
        <w:t>.</w:t>
      </w:r>
    </w:p>
  </w:footnote>
  <w:footnote w:id="60">
    <w:p w:rsidR="006A6731" w:rsidRPr="0053093C" w:rsidRDefault="006A6731"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Pr="0053093C">
        <w:rPr>
          <w:i/>
        </w:rPr>
        <w:t xml:space="preserve">See </w:t>
      </w:r>
      <w:r w:rsidRPr="0053093C">
        <w:t xml:space="preserve">¶ 11, </w:t>
      </w:r>
      <w:r w:rsidRPr="0053093C">
        <w:rPr>
          <w:i/>
        </w:rPr>
        <w:t>supra</w:t>
      </w:r>
      <w:r w:rsidRPr="0053093C">
        <w:t>.</w:t>
      </w:r>
    </w:p>
  </w:footnote>
  <w:footnote w:id="61">
    <w:p w:rsidR="002972A2" w:rsidRPr="0053093C" w:rsidRDefault="002972A2" w:rsidP="0053093C">
      <w:pPr>
        <w:pStyle w:val="FootnoteText"/>
        <w:tabs>
          <w:tab w:val="clear" w:pos="180"/>
          <w:tab w:val="clear" w:pos="720"/>
          <w:tab w:val="clear" w:pos="1440"/>
          <w:tab w:val="clear" w:pos="2160"/>
        </w:tabs>
        <w:jc w:val="left"/>
      </w:pPr>
      <w:r w:rsidRPr="0053093C">
        <w:rPr>
          <w:rStyle w:val="FootnoteReference"/>
        </w:rPr>
        <w:footnoteRef/>
      </w:r>
      <w:r w:rsidRPr="0053093C">
        <w:t xml:space="preserve"> 47 U.S.C. § 613</w:t>
      </w:r>
      <w:r w:rsidR="009A3D01">
        <w:t>;</w:t>
      </w:r>
      <w:r w:rsidRPr="0053093C">
        <w:t xml:space="preserve"> 47 C.F.R. §§ 0.141(f), 79.1(f).</w:t>
      </w:r>
    </w:p>
  </w:footnote>
  <w:footnote w:id="62">
    <w:p w:rsidR="00F37BC8" w:rsidRPr="0053093C" w:rsidRDefault="00F37BC8" w:rsidP="0053093C">
      <w:pPr>
        <w:pStyle w:val="FootnoteText"/>
        <w:tabs>
          <w:tab w:val="clear" w:pos="180"/>
          <w:tab w:val="clear" w:pos="720"/>
          <w:tab w:val="clear" w:pos="1440"/>
          <w:tab w:val="clear" w:pos="2160"/>
        </w:tabs>
        <w:jc w:val="left"/>
      </w:pPr>
      <w:r w:rsidRPr="0053093C">
        <w:rPr>
          <w:rStyle w:val="FootnoteReference"/>
        </w:rPr>
        <w:footnoteRef/>
      </w:r>
      <w:r w:rsidR="00263430" w:rsidRPr="0053093C">
        <w:t xml:space="preserve"> </w:t>
      </w:r>
      <w:r w:rsidR="007654EE" w:rsidRPr="0053093C">
        <w:rPr>
          <w:i/>
        </w:rPr>
        <w:t>See</w:t>
      </w:r>
      <w:r w:rsidR="007654EE" w:rsidRPr="0053093C">
        <w:t xml:space="preserve"> </w:t>
      </w:r>
      <w:r w:rsidR="007654EE" w:rsidRPr="0053093C">
        <w:rPr>
          <w:i/>
        </w:rPr>
        <w:t>Notice of New Electronic Filing Procedures for Television Closed Captioning Exemption Requests</w:t>
      </w:r>
      <w:r w:rsidR="007654EE" w:rsidRPr="0053093C">
        <w:t xml:space="preserve">, </w:t>
      </w:r>
      <w:r w:rsidR="002B331C" w:rsidRPr="0053093C">
        <w:t xml:space="preserve">CG Docket Nos. 06-181 and 05-231, </w:t>
      </w:r>
      <w:r w:rsidR="007654EE" w:rsidRPr="0053093C">
        <w:t>Public Notice,</w:t>
      </w:r>
      <w:r w:rsidR="002972A2" w:rsidRPr="0053093C">
        <w:t xml:space="preserve"> 29 FCC Rcd 3960 (CGB 2014</w:t>
      </w:r>
      <w:r w:rsidR="007654EE" w:rsidRPr="0053093C">
        <w:t>)</w:t>
      </w:r>
      <w:r w:rsidR="00263430" w:rsidRPr="0053093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E98" w:rsidRDefault="00406E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2BF" w:rsidRDefault="00DF02BF">
    <w:pPr>
      <w:pStyle w:val="Header"/>
      <w:tabs>
        <w:tab w:val="clear" w:pos="4320"/>
        <w:tab w:val="clear" w:pos="8640"/>
        <w:tab w:val="center" w:pos="4680"/>
        <w:tab w:val="right" w:pos="9360"/>
      </w:tabs>
      <w:rPr>
        <w:b/>
      </w:rPr>
    </w:pPr>
    <w:r>
      <w:rPr>
        <w:b/>
      </w:rPr>
      <w:tab/>
      <w:t>Federal Communications Commission</w:t>
    </w:r>
    <w:r>
      <w:rPr>
        <w:b/>
      </w:rPr>
      <w:tab/>
    </w:r>
    <w:r w:rsidR="00BB7D44">
      <w:rPr>
        <w:b/>
      </w:rPr>
      <w:t>DA 14</w:t>
    </w:r>
    <w:r w:rsidR="00FE33F3">
      <w:rPr>
        <w:b/>
      </w:rPr>
      <w:t>-</w:t>
    </w:r>
    <w:r w:rsidR="003E503E">
      <w:rPr>
        <w:b/>
      </w:rPr>
      <w:t>1542</w:t>
    </w:r>
  </w:p>
  <w:p w:rsidR="00DF02BF" w:rsidRDefault="00DF02BF">
    <w:pPr>
      <w:pStyle w:val="Header"/>
      <w:tabs>
        <w:tab w:val="clear" w:pos="8640"/>
        <w:tab w:val="right" w:pos="9360"/>
      </w:tabs>
    </w:pPr>
    <w:r>
      <w:rPr>
        <w:noProof/>
      </w:rPr>
      <mc:AlternateContent>
        <mc:Choice Requires="wps">
          <w:drawing>
            <wp:anchor distT="4294967293" distB="4294967293" distL="114300" distR="114300" simplePos="0" relativeHeight="251658240" behindDoc="0" locked="0" layoutInCell="0" allowOverlap="1" wp14:anchorId="0598155C" wp14:editId="36781B6D">
              <wp:simplePos x="0" y="0"/>
              <wp:positionH relativeFrom="column">
                <wp:posOffset>0</wp:posOffset>
              </wp:positionH>
              <wp:positionV relativeFrom="paragraph">
                <wp:posOffset>22224</wp:posOffset>
              </wp:positionV>
              <wp:extent cx="5943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DF02BF" w:rsidRDefault="00DF02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2BF" w:rsidRDefault="00DF02BF">
    <w:pPr>
      <w:pStyle w:val="Header"/>
      <w:tabs>
        <w:tab w:val="clear" w:pos="4320"/>
        <w:tab w:val="clear" w:pos="8640"/>
        <w:tab w:val="center" w:pos="4680"/>
        <w:tab w:val="right" w:pos="9360"/>
      </w:tabs>
      <w:rPr>
        <w:b/>
      </w:rPr>
    </w:pPr>
    <w:r>
      <w:rPr>
        <w:b/>
      </w:rPr>
      <w:tab/>
      <w:t>Federal Communications Commission</w:t>
    </w:r>
    <w:r>
      <w:rPr>
        <w:b/>
      </w:rPr>
      <w:tab/>
    </w:r>
    <w:r w:rsidR="0005623A">
      <w:rPr>
        <w:b/>
      </w:rPr>
      <w:t>DA 14-</w:t>
    </w:r>
    <w:r w:rsidR="004D157C">
      <w:rPr>
        <w:b/>
      </w:rPr>
      <w:t>1542</w:t>
    </w:r>
  </w:p>
  <w:p w:rsidR="00DF02BF" w:rsidRDefault="00DF02BF">
    <w:pPr>
      <w:pStyle w:val="Header"/>
      <w:tabs>
        <w:tab w:val="clear" w:pos="8640"/>
        <w:tab w:val="right" w:pos="9360"/>
      </w:tabs>
    </w:pPr>
    <w:r>
      <w:rPr>
        <w:noProof/>
      </w:rPr>
      <mc:AlternateContent>
        <mc:Choice Requires="wps">
          <w:drawing>
            <wp:anchor distT="4294967293" distB="4294967293" distL="114300" distR="114300" simplePos="0" relativeHeight="251657216" behindDoc="0" locked="0" layoutInCell="0" allowOverlap="1" wp14:anchorId="1E6CCD33" wp14:editId="4F08EC5A">
              <wp:simplePos x="0" y="0"/>
              <wp:positionH relativeFrom="column">
                <wp:posOffset>0</wp:posOffset>
              </wp:positionH>
              <wp:positionV relativeFrom="paragraph">
                <wp:posOffset>22224</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4">
    <w:nsid w:val="28F56F6E"/>
    <w:multiLevelType w:val="hybridMultilevel"/>
    <w:tmpl w:val="02246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9">
    <w:nsid w:val="31E25FD5"/>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0">
    <w:nsid w:val="345E437F"/>
    <w:multiLevelType w:val="singleLevel"/>
    <w:tmpl w:val="50EE1B60"/>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1">
    <w:nsid w:val="3694121E"/>
    <w:multiLevelType w:val="hybridMultilevel"/>
    <w:tmpl w:val="F62CA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DC0271"/>
    <w:multiLevelType w:val="hybridMultilevel"/>
    <w:tmpl w:val="94005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3D0F1B3D"/>
    <w:multiLevelType w:val="singleLevel"/>
    <w:tmpl w:val="8AE04442"/>
    <w:lvl w:ilvl="0">
      <w:start w:val="1"/>
      <w:numFmt w:val="decimal"/>
      <w:pStyle w:val="ParaNum"/>
      <w:lvlText w:val="%1."/>
      <w:lvlJc w:val="left"/>
      <w:pPr>
        <w:tabs>
          <w:tab w:val="num" w:pos="2340"/>
        </w:tabs>
        <w:ind w:left="1260"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5">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466018E3"/>
    <w:multiLevelType w:val="hybridMultilevel"/>
    <w:tmpl w:val="E5EC1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9">
    <w:nsid w:val="541F6B38"/>
    <w:multiLevelType w:val="multilevel"/>
    <w:tmpl w:val="3FAC3CF4"/>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20">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1">
    <w:nsid w:val="57DF4301"/>
    <w:multiLevelType w:val="hybridMultilevel"/>
    <w:tmpl w:val="60D2B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3">
    <w:nsid w:val="5D2B06DD"/>
    <w:multiLevelType w:val="multilevel"/>
    <w:tmpl w:val="5636CE50"/>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24">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25">
    <w:nsid w:val="76FA2B00"/>
    <w:multiLevelType w:val="multilevel"/>
    <w:tmpl w:val="66C40B3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num w:numId="1">
    <w:abstractNumId w:val="24"/>
  </w:num>
  <w:num w:numId="2">
    <w:abstractNumId w:val="25"/>
  </w:num>
  <w:num w:numId="3">
    <w:abstractNumId w:val="3"/>
  </w:num>
  <w:num w:numId="4">
    <w:abstractNumId w:val="19"/>
  </w:num>
  <w:num w:numId="5">
    <w:abstractNumId w:val="5"/>
  </w:num>
  <w:num w:numId="6">
    <w:abstractNumId w:val="23"/>
  </w:num>
  <w:num w:numId="7">
    <w:abstractNumId w:val="15"/>
  </w:num>
  <w:num w:numId="8">
    <w:abstractNumId w:val="6"/>
  </w:num>
  <w:num w:numId="9">
    <w:abstractNumId w:val="22"/>
  </w:num>
  <w:num w:numId="10">
    <w:abstractNumId w:val="13"/>
  </w:num>
  <w:num w:numId="11">
    <w:abstractNumId w:val="10"/>
  </w:num>
  <w:num w:numId="12">
    <w:abstractNumId w:val="7"/>
  </w:num>
  <w:num w:numId="13">
    <w:abstractNumId w:val="14"/>
  </w:num>
  <w:num w:numId="14">
    <w:abstractNumId w:val="20"/>
  </w:num>
  <w:num w:numId="15">
    <w:abstractNumId w:val="1"/>
  </w:num>
  <w:num w:numId="16">
    <w:abstractNumId w:val="2"/>
  </w:num>
  <w:num w:numId="17">
    <w:abstractNumId w:val="8"/>
  </w:num>
  <w:num w:numId="18">
    <w:abstractNumId w:val="0"/>
  </w:num>
  <w:num w:numId="19">
    <w:abstractNumId w:val="9"/>
  </w:num>
  <w:num w:numId="20">
    <w:abstractNumId w:val="17"/>
  </w:num>
  <w:num w:numId="21">
    <w:abstractNumId w:val="18"/>
  </w:num>
  <w:num w:numId="22">
    <w:abstractNumId w:val="14"/>
    <w:lvlOverride w:ilvl="0">
      <w:startOverride w:val="1"/>
    </w:lvlOverride>
  </w:num>
  <w:num w:numId="23">
    <w:abstractNumId w:val="16"/>
  </w:num>
  <w:num w:numId="24">
    <w:abstractNumId w:val="21"/>
  </w:num>
  <w:num w:numId="25">
    <w:abstractNumId w:val="12"/>
  </w:num>
  <w:num w:numId="26">
    <w:abstractNumId w:val="14"/>
    <w:lvlOverride w:ilvl="0">
      <w:startOverride w:val="7"/>
    </w:lvlOverride>
  </w:num>
  <w:num w:numId="27">
    <w:abstractNumId w:val="14"/>
    <w:lvlOverride w:ilvl="0">
      <w:startOverride w:val="1"/>
    </w:lvlOverride>
  </w:num>
  <w:num w:numId="28">
    <w:abstractNumId w:val="1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EF3"/>
    <w:rsid w:val="00001F48"/>
    <w:rsid w:val="00006B24"/>
    <w:rsid w:val="00007B5C"/>
    <w:rsid w:val="000101F4"/>
    <w:rsid w:val="000111FB"/>
    <w:rsid w:val="00012A78"/>
    <w:rsid w:val="00030C97"/>
    <w:rsid w:val="000323D5"/>
    <w:rsid w:val="00043387"/>
    <w:rsid w:val="00051DC6"/>
    <w:rsid w:val="0005623A"/>
    <w:rsid w:val="00061776"/>
    <w:rsid w:val="0006639B"/>
    <w:rsid w:val="00067AA0"/>
    <w:rsid w:val="000715D6"/>
    <w:rsid w:val="0007182D"/>
    <w:rsid w:val="00075C3D"/>
    <w:rsid w:val="0008092F"/>
    <w:rsid w:val="00080ADB"/>
    <w:rsid w:val="00086C7B"/>
    <w:rsid w:val="00094694"/>
    <w:rsid w:val="00096B0C"/>
    <w:rsid w:val="000A2324"/>
    <w:rsid w:val="000A4712"/>
    <w:rsid w:val="000A5C48"/>
    <w:rsid w:val="000B0585"/>
    <w:rsid w:val="000B2D8D"/>
    <w:rsid w:val="000C4A62"/>
    <w:rsid w:val="000C65E5"/>
    <w:rsid w:val="000D2310"/>
    <w:rsid w:val="000D5EFD"/>
    <w:rsid w:val="000E06F5"/>
    <w:rsid w:val="000E6AF4"/>
    <w:rsid w:val="000F5012"/>
    <w:rsid w:val="0010533C"/>
    <w:rsid w:val="00106DA4"/>
    <w:rsid w:val="00113AA0"/>
    <w:rsid w:val="00114D39"/>
    <w:rsid w:val="0011596C"/>
    <w:rsid w:val="00120450"/>
    <w:rsid w:val="00122BFE"/>
    <w:rsid w:val="00122CC5"/>
    <w:rsid w:val="00130F4B"/>
    <w:rsid w:val="00134173"/>
    <w:rsid w:val="00136B63"/>
    <w:rsid w:val="00136F8F"/>
    <w:rsid w:val="00141B40"/>
    <w:rsid w:val="00142A9D"/>
    <w:rsid w:val="00142ABC"/>
    <w:rsid w:val="00144AD8"/>
    <w:rsid w:val="00145E57"/>
    <w:rsid w:val="00151FAF"/>
    <w:rsid w:val="00152BE6"/>
    <w:rsid w:val="001538DE"/>
    <w:rsid w:val="00153DAA"/>
    <w:rsid w:val="001542B8"/>
    <w:rsid w:val="0015569E"/>
    <w:rsid w:val="001639C8"/>
    <w:rsid w:val="00166C87"/>
    <w:rsid w:val="00171DED"/>
    <w:rsid w:val="0017259C"/>
    <w:rsid w:val="001744A3"/>
    <w:rsid w:val="001746F3"/>
    <w:rsid w:val="00174B95"/>
    <w:rsid w:val="00184BC6"/>
    <w:rsid w:val="00184E38"/>
    <w:rsid w:val="00192BDB"/>
    <w:rsid w:val="001A03A3"/>
    <w:rsid w:val="001B45E4"/>
    <w:rsid w:val="001B65A7"/>
    <w:rsid w:val="001B6895"/>
    <w:rsid w:val="001C2B38"/>
    <w:rsid w:val="001C4F43"/>
    <w:rsid w:val="001C501E"/>
    <w:rsid w:val="001D2CB1"/>
    <w:rsid w:val="001D3EA7"/>
    <w:rsid w:val="001D75AC"/>
    <w:rsid w:val="001E611E"/>
    <w:rsid w:val="001F3139"/>
    <w:rsid w:val="001F44B6"/>
    <w:rsid w:val="001F77F2"/>
    <w:rsid w:val="00200105"/>
    <w:rsid w:val="0020098D"/>
    <w:rsid w:val="002024D8"/>
    <w:rsid w:val="00204968"/>
    <w:rsid w:val="00210DF0"/>
    <w:rsid w:val="002113E6"/>
    <w:rsid w:val="002133A6"/>
    <w:rsid w:val="00213FD3"/>
    <w:rsid w:val="0021427C"/>
    <w:rsid w:val="0021541C"/>
    <w:rsid w:val="00225D83"/>
    <w:rsid w:val="00234E89"/>
    <w:rsid w:val="00243091"/>
    <w:rsid w:val="002437DC"/>
    <w:rsid w:val="00243910"/>
    <w:rsid w:val="00243ABC"/>
    <w:rsid w:val="0024409E"/>
    <w:rsid w:val="00245D0C"/>
    <w:rsid w:val="00250BFD"/>
    <w:rsid w:val="00254B8E"/>
    <w:rsid w:val="00256D42"/>
    <w:rsid w:val="00263430"/>
    <w:rsid w:val="00265A03"/>
    <w:rsid w:val="00275649"/>
    <w:rsid w:val="00280B21"/>
    <w:rsid w:val="00283478"/>
    <w:rsid w:val="00283669"/>
    <w:rsid w:val="00284C27"/>
    <w:rsid w:val="00285760"/>
    <w:rsid w:val="00285F88"/>
    <w:rsid w:val="00285FD5"/>
    <w:rsid w:val="002961BE"/>
    <w:rsid w:val="002972A2"/>
    <w:rsid w:val="002A2908"/>
    <w:rsid w:val="002A4034"/>
    <w:rsid w:val="002A4ADC"/>
    <w:rsid w:val="002A604B"/>
    <w:rsid w:val="002A73F2"/>
    <w:rsid w:val="002B2C1A"/>
    <w:rsid w:val="002B331C"/>
    <w:rsid w:val="002B6FC4"/>
    <w:rsid w:val="002C1EE7"/>
    <w:rsid w:val="002C218F"/>
    <w:rsid w:val="002C52FC"/>
    <w:rsid w:val="002C5C32"/>
    <w:rsid w:val="002D119C"/>
    <w:rsid w:val="002D6E14"/>
    <w:rsid w:val="002D7BB1"/>
    <w:rsid w:val="002F13C7"/>
    <w:rsid w:val="00304E36"/>
    <w:rsid w:val="00307211"/>
    <w:rsid w:val="003100CA"/>
    <w:rsid w:val="003107FA"/>
    <w:rsid w:val="00311774"/>
    <w:rsid w:val="00312E8C"/>
    <w:rsid w:val="003356CC"/>
    <w:rsid w:val="00335FC7"/>
    <w:rsid w:val="003378F0"/>
    <w:rsid w:val="00341A34"/>
    <w:rsid w:val="003436A3"/>
    <w:rsid w:val="003441FE"/>
    <w:rsid w:val="00347DAD"/>
    <w:rsid w:val="003541EA"/>
    <w:rsid w:val="00357B2D"/>
    <w:rsid w:val="0036168B"/>
    <w:rsid w:val="00361960"/>
    <w:rsid w:val="003672E5"/>
    <w:rsid w:val="00367945"/>
    <w:rsid w:val="00367B78"/>
    <w:rsid w:val="00367FFD"/>
    <w:rsid w:val="00371E03"/>
    <w:rsid w:val="00373600"/>
    <w:rsid w:val="00377F16"/>
    <w:rsid w:val="00384BF8"/>
    <w:rsid w:val="00384CF4"/>
    <w:rsid w:val="00385A11"/>
    <w:rsid w:val="003B0274"/>
    <w:rsid w:val="003B569C"/>
    <w:rsid w:val="003B783F"/>
    <w:rsid w:val="003C1647"/>
    <w:rsid w:val="003C33DD"/>
    <w:rsid w:val="003C38AC"/>
    <w:rsid w:val="003C4A67"/>
    <w:rsid w:val="003C776E"/>
    <w:rsid w:val="003D5454"/>
    <w:rsid w:val="003D7EA9"/>
    <w:rsid w:val="003E18AA"/>
    <w:rsid w:val="003E2F7B"/>
    <w:rsid w:val="003E4605"/>
    <w:rsid w:val="003E503E"/>
    <w:rsid w:val="003E52D8"/>
    <w:rsid w:val="003F29AA"/>
    <w:rsid w:val="003F2F72"/>
    <w:rsid w:val="003F4558"/>
    <w:rsid w:val="00401B9B"/>
    <w:rsid w:val="00406835"/>
    <w:rsid w:val="00406E98"/>
    <w:rsid w:val="00407481"/>
    <w:rsid w:val="00411467"/>
    <w:rsid w:val="004136C8"/>
    <w:rsid w:val="00413FD2"/>
    <w:rsid w:val="004203EF"/>
    <w:rsid w:val="0042055D"/>
    <w:rsid w:val="00423123"/>
    <w:rsid w:val="00426840"/>
    <w:rsid w:val="00431C18"/>
    <w:rsid w:val="004338F0"/>
    <w:rsid w:val="004351FF"/>
    <w:rsid w:val="00437EEC"/>
    <w:rsid w:val="0044047A"/>
    <w:rsid w:val="00442243"/>
    <w:rsid w:val="00443031"/>
    <w:rsid w:val="0044400C"/>
    <w:rsid w:val="00446409"/>
    <w:rsid w:val="0045107D"/>
    <w:rsid w:val="00451EDF"/>
    <w:rsid w:val="00456D01"/>
    <w:rsid w:val="0046321D"/>
    <w:rsid w:val="0047170D"/>
    <w:rsid w:val="00473DA4"/>
    <w:rsid w:val="00474161"/>
    <w:rsid w:val="00474D34"/>
    <w:rsid w:val="004765B4"/>
    <w:rsid w:val="00483BAF"/>
    <w:rsid w:val="00485BCB"/>
    <w:rsid w:val="004921D9"/>
    <w:rsid w:val="0049604D"/>
    <w:rsid w:val="004C1E8E"/>
    <w:rsid w:val="004C28CF"/>
    <w:rsid w:val="004C5CB0"/>
    <w:rsid w:val="004D157C"/>
    <w:rsid w:val="004D1958"/>
    <w:rsid w:val="004D4A51"/>
    <w:rsid w:val="004F0B9C"/>
    <w:rsid w:val="004F0EBD"/>
    <w:rsid w:val="004F1CBF"/>
    <w:rsid w:val="004F274F"/>
    <w:rsid w:val="004F7FE5"/>
    <w:rsid w:val="005024A2"/>
    <w:rsid w:val="005072B6"/>
    <w:rsid w:val="005100FB"/>
    <w:rsid w:val="005141ED"/>
    <w:rsid w:val="005213CE"/>
    <w:rsid w:val="005262A5"/>
    <w:rsid w:val="0053093C"/>
    <w:rsid w:val="005359EC"/>
    <w:rsid w:val="005361A1"/>
    <w:rsid w:val="00537320"/>
    <w:rsid w:val="00547E82"/>
    <w:rsid w:val="00554D18"/>
    <w:rsid w:val="0056081C"/>
    <w:rsid w:val="00561A77"/>
    <w:rsid w:val="005621E6"/>
    <w:rsid w:val="00562F04"/>
    <w:rsid w:val="005630A4"/>
    <w:rsid w:val="005664CE"/>
    <w:rsid w:val="00567DD5"/>
    <w:rsid w:val="00574EAD"/>
    <w:rsid w:val="0057686C"/>
    <w:rsid w:val="0057687F"/>
    <w:rsid w:val="00577D20"/>
    <w:rsid w:val="005828F0"/>
    <w:rsid w:val="005837CD"/>
    <w:rsid w:val="00585DCB"/>
    <w:rsid w:val="0058683D"/>
    <w:rsid w:val="00586BA1"/>
    <w:rsid w:val="005870CA"/>
    <w:rsid w:val="00590AFC"/>
    <w:rsid w:val="00592004"/>
    <w:rsid w:val="005920DF"/>
    <w:rsid w:val="005928B7"/>
    <w:rsid w:val="00593811"/>
    <w:rsid w:val="00594D89"/>
    <w:rsid w:val="00596BC7"/>
    <w:rsid w:val="00596D30"/>
    <w:rsid w:val="00597B7F"/>
    <w:rsid w:val="005A2975"/>
    <w:rsid w:val="005A3D43"/>
    <w:rsid w:val="005B3ECF"/>
    <w:rsid w:val="005B4C6D"/>
    <w:rsid w:val="005B6EF8"/>
    <w:rsid w:val="005C0CC6"/>
    <w:rsid w:val="005D5C2C"/>
    <w:rsid w:val="005D6603"/>
    <w:rsid w:val="005D7B8B"/>
    <w:rsid w:val="005E1EF3"/>
    <w:rsid w:val="005E2399"/>
    <w:rsid w:val="005E51AB"/>
    <w:rsid w:val="005F0028"/>
    <w:rsid w:val="005F50EA"/>
    <w:rsid w:val="00603174"/>
    <w:rsid w:val="00613F4D"/>
    <w:rsid w:val="00617A87"/>
    <w:rsid w:val="0062000C"/>
    <w:rsid w:val="006213A4"/>
    <w:rsid w:val="00625041"/>
    <w:rsid w:val="00632D5B"/>
    <w:rsid w:val="00633A07"/>
    <w:rsid w:val="0064046A"/>
    <w:rsid w:val="0064055C"/>
    <w:rsid w:val="0064165E"/>
    <w:rsid w:val="00641A89"/>
    <w:rsid w:val="006443C9"/>
    <w:rsid w:val="00645335"/>
    <w:rsid w:val="00646BB9"/>
    <w:rsid w:val="00652CA0"/>
    <w:rsid w:val="00655334"/>
    <w:rsid w:val="006627D7"/>
    <w:rsid w:val="006643EA"/>
    <w:rsid w:val="00664651"/>
    <w:rsid w:val="00673F2A"/>
    <w:rsid w:val="00677485"/>
    <w:rsid w:val="0068030C"/>
    <w:rsid w:val="0068299A"/>
    <w:rsid w:val="00682D0E"/>
    <w:rsid w:val="0068328C"/>
    <w:rsid w:val="00686D5A"/>
    <w:rsid w:val="00686EC7"/>
    <w:rsid w:val="0069443A"/>
    <w:rsid w:val="0069683B"/>
    <w:rsid w:val="006A4C84"/>
    <w:rsid w:val="006A6700"/>
    <w:rsid w:val="006A6731"/>
    <w:rsid w:val="006B59A3"/>
    <w:rsid w:val="006B5F92"/>
    <w:rsid w:val="006C1860"/>
    <w:rsid w:val="006C7AE2"/>
    <w:rsid w:val="006D612A"/>
    <w:rsid w:val="006E373D"/>
    <w:rsid w:val="006F3FFD"/>
    <w:rsid w:val="00701C5B"/>
    <w:rsid w:val="007027A3"/>
    <w:rsid w:val="00712960"/>
    <w:rsid w:val="00717062"/>
    <w:rsid w:val="00721167"/>
    <w:rsid w:val="00727899"/>
    <w:rsid w:val="007345EA"/>
    <w:rsid w:val="00734991"/>
    <w:rsid w:val="00735ADC"/>
    <w:rsid w:val="00735CC3"/>
    <w:rsid w:val="00736C14"/>
    <w:rsid w:val="00736C7B"/>
    <w:rsid w:val="00745FF0"/>
    <w:rsid w:val="00746D95"/>
    <w:rsid w:val="0074722B"/>
    <w:rsid w:val="0075170B"/>
    <w:rsid w:val="00753EC6"/>
    <w:rsid w:val="0075486F"/>
    <w:rsid w:val="0076022C"/>
    <w:rsid w:val="007615FE"/>
    <w:rsid w:val="007654EE"/>
    <w:rsid w:val="0077223C"/>
    <w:rsid w:val="007724DB"/>
    <w:rsid w:val="00773479"/>
    <w:rsid w:val="00773E2B"/>
    <w:rsid w:val="00775F22"/>
    <w:rsid w:val="00776530"/>
    <w:rsid w:val="0078610B"/>
    <w:rsid w:val="007868C7"/>
    <w:rsid w:val="00791CD1"/>
    <w:rsid w:val="00795621"/>
    <w:rsid w:val="00797ACE"/>
    <w:rsid w:val="007A0318"/>
    <w:rsid w:val="007A2912"/>
    <w:rsid w:val="007B06A5"/>
    <w:rsid w:val="007B467D"/>
    <w:rsid w:val="007C3415"/>
    <w:rsid w:val="007C55AD"/>
    <w:rsid w:val="007C72FC"/>
    <w:rsid w:val="007D435D"/>
    <w:rsid w:val="007D7716"/>
    <w:rsid w:val="007E1C94"/>
    <w:rsid w:val="007E22EB"/>
    <w:rsid w:val="007E23E3"/>
    <w:rsid w:val="007E2496"/>
    <w:rsid w:val="007F028C"/>
    <w:rsid w:val="007F30F7"/>
    <w:rsid w:val="007F4A38"/>
    <w:rsid w:val="007F6381"/>
    <w:rsid w:val="008043D7"/>
    <w:rsid w:val="00804C55"/>
    <w:rsid w:val="00810D8F"/>
    <w:rsid w:val="0081326B"/>
    <w:rsid w:val="00813452"/>
    <w:rsid w:val="00814A95"/>
    <w:rsid w:val="0082020F"/>
    <w:rsid w:val="00824217"/>
    <w:rsid w:val="0082529A"/>
    <w:rsid w:val="00830A3C"/>
    <w:rsid w:val="00835935"/>
    <w:rsid w:val="00837189"/>
    <w:rsid w:val="00841BDC"/>
    <w:rsid w:val="00843432"/>
    <w:rsid w:val="00857345"/>
    <w:rsid w:val="00857C3B"/>
    <w:rsid w:val="00861146"/>
    <w:rsid w:val="00861BDE"/>
    <w:rsid w:val="00865687"/>
    <w:rsid w:val="008678FC"/>
    <w:rsid w:val="008701A9"/>
    <w:rsid w:val="00872F2D"/>
    <w:rsid w:val="008739A8"/>
    <w:rsid w:val="00874195"/>
    <w:rsid w:val="00875775"/>
    <w:rsid w:val="008775C9"/>
    <w:rsid w:val="00884044"/>
    <w:rsid w:val="0089035A"/>
    <w:rsid w:val="00895392"/>
    <w:rsid w:val="008969F6"/>
    <w:rsid w:val="008A1368"/>
    <w:rsid w:val="008A1747"/>
    <w:rsid w:val="008A182C"/>
    <w:rsid w:val="008A2C41"/>
    <w:rsid w:val="008A435B"/>
    <w:rsid w:val="008A4EE1"/>
    <w:rsid w:val="008A5736"/>
    <w:rsid w:val="008A7C4C"/>
    <w:rsid w:val="008B40D4"/>
    <w:rsid w:val="008B5B20"/>
    <w:rsid w:val="008B62F0"/>
    <w:rsid w:val="008B6D45"/>
    <w:rsid w:val="008B7113"/>
    <w:rsid w:val="008B732B"/>
    <w:rsid w:val="008F0894"/>
    <w:rsid w:val="008F210C"/>
    <w:rsid w:val="008F4CCF"/>
    <w:rsid w:val="008F65AB"/>
    <w:rsid w:val="00901F1C"/>
    <w:rsid w:val="009042D7"/>
    <w:rsid w:val="009109A3"/>
    <w:rsid w:val="009115B7"/>
    <w:rsid w:val="00912764"/>
    <w:rsid w:val="009137B7"/>
    <w:rsid w:val="009152C5"/>
    <w:rsid w:val="00917169"/>
    <w:rsid w:val="00921725"/>
    <w:rsid w:val="00921BEA"/>
    <w:rsid w:val="009257B2"/>
    <w:rsid w:val="00927BCA"/>
    <w:rsid w:val="00931AE3"/>
    <w:rsid w:val="00933C38"/>
    <w:rsid w:val="00933CDB"/>
    <w:rsid w:val="00936DBC"/>
    <w:rsid w:val="0093768E"/>
    <w:rsid w:val="009400EE"/>
    <w:rsid w:val="009417E6"/>
    <w:rsid w:val="00942D93"/>
    <w:rsid w:val="009443B8"/>
    <w:rsid w:val="00945F41"/>
    <w:rsid w:val="00952F0D"/>
    <w:rsid w:val="00954B10"/>
    <w:rsid w:val="0095612E"/>
    <w:rsid w:val="00957975"/>
    <w:rsid w:val="00961539"/>
    <w:rsid w:val="00964331"/>
    <w:rsid w:val="009656A0"/>
    <w:rsid w:val="0097168C"/>
    <w:rsid w:val="009718F1"/>
    <w:rsid w:val="00973313"/>
    <w:rsid w:val="0097526F"/>
    <w:rsid w:val="0098052C"/>
    <w:rsid w:val="0098142C"/>
    <w:rsid w:val="009859CC"/>
    <w:rsid w:val="00985FA4"/>
    <w:rsid w:val="0098688D"/>
    <w:rsid w:val="0099512F"/>
    <w:rsid w:val="00996CC4"/>
    <w:rsid w:val="00996E9F"/>
    <w:rsid w:val="009A07DC"/>
    <w:rsid w:val="009A1B33"/>
    <w:rsid w:val="009A3C0B"/>
    <w:rsid w:val="009A3D01"/>
    <w:rsid w:val="009A7791"/>
    <w:rsid w:val="009B2FF4"/>
    <w:rsid w:val="009B4F02"/>
    <w:rsid w:val="009B5525"/>
    <w:rsid w:val="009B59FB"/>
    <w:rsid w:val="009C0F46"/>
    <w:rsid w:val="009C20C1"/>
    <w:rsid w:val="009C2E13"/>
    <w:rsid w:val="009C516F"/>
    <w:rsid w:val="009C5B52"/>
    <w:rsid w:val="009D11BE"/>
    <w:rsid w:val="009D3942"/>
    <w:rsid w:val="009D4AC9"/>
    <w:rsid w:val="009D749B"/>
    <w:rsid w:val="009E57F9"/>
    <w:rsid w:val="009E6DD3"/>
    <w:rsid w:val="009F3096"/>
    <w:rsid w:val="00A01154"/>
    <w:rsid w:val="00A0247F"/>
    <w:rsid w:val="00A034AE"/>
    <w:rsid w:val="00A10339"/>
    <w:rsid w:val="00A133E9"/>
    <w:rsid w:val="00A16552"/>
    <w:rsid w:val="00A16AC7"/>
    <w:rsid w:val="00A22085"/>
    <w:rsid w:val="00A226FB"/>
    <w:rsid w:val="00A24AD2"/>
    <w:rsid w:val="00A25261"/>
    <w:rsid w:val="00A26C54"/>
    <w:rsid w:val="00A273F0"/>
    <w:rsid w:val="00A37788"/>
    <w:rsid w:val="00A37D97"/>
    <w:rsid w:val="00A40152"/>
    <w:rsid w:val="00A41606"/>
    <w:rsid w:val="00A43358"/>
    <w:rsid w:val="00A471BF"/>
    <w:rsid w:val="00A55F7F"/>
    <w:rsid w:val="00A751DF"/>
    <w:rsid w:val="00A75E94"/>
    <w:rsid w:val="00A76CDB"/>
    <w:rsid w:val="00A8664D"/>
    <w:rsid w:val="00A91093"/>
    <w:rsid w:val="00A92D04"/>
    <w:rsid w:val="00A94C75"/>
    <w:rsid w:val="00A95281"/>
    <w:rsid w:val="00AA0062"/>
    <w:rsid w:val="00AA4563"/>
    <w:rsid w:val="00AA66B8"/>
    <w:rsid w:val="00AA772A"/>
    <w:rsid w:val="00AB0281"/>
    <w:rsid w:val="00AC496C"/>
    <w:rsid w:val="00AC7112"/>
    <w:rsid w:val="00AC711D"/>
    <w:rsid w:val="00AD200E"/>
    <w:rsid w:val="00AE23E8"/>
    <w:rsid w:val="00AE5B51"/>
    <w:rsid w:val="00AF0ABE"/>
    <w:rsid w:val="00AF0C89"/>
    <w:rsid w:val="00AF19AE"/>
    <w:rsid w:val="00AF2C53"/>
    <w:rsid w:val="00AF50E4"/>
    <w:rsid w:val="00B03879"/>
    <w:rsid w:val="00B066E4"/>
    <w:rsid w:val="00B1078E"/>
    <w:rsid w:val="00B12899"/>
    <w:rsid w:val="00B14BBA"/>
    <w:rsid w:val="00B14F99"/>
    <w:rsid w:val="00B17248"/>
    <w:rsid w:val="00B205B4"/>
    <w:rsid w:val="00B21A1E"/>
    <w:rsid w:val="00B23100"/>
    <w:rsid w:val="00B24639"/>
    <w:rsid w:val="00B27953"/>
    <w:rsid w:val="00B27FB8"/>
    <w:rsid w:val="00B32B2D"/>
    <w:rsid w:val="00B36BA7"/>
    <w:rsid w:val="00B42AF3"/>
    <w:rsid w:val="00B44086"/>
    <w:rsid w:val="00B44DB3"/>
    <w:rsid w:val="00B45991"/>
    <w:rsid w:val="00B53BD9"/>
    <w:rsid w:val="00B556BA"/>
    <w:rsid w:val="00B55ACD"/>
    <w:rsid w:val="00B6361C"/>
    <w:rsid w:val="00B70CFB"/>
    <w:rsid w:val="00B7314D"/>
    <w:rsid w:val="00B76A03"/>
    <w:rsid w:val="00B800A3"/>
    <w:rsid w:val="00B808A9"/>
    <w:rsid w:val="00B81A2A"/>
    <w:rsid w:val="00B843F1"/>
    <w:rsid w:val="00B85E24"/>
    <w:rsid w:val="00B90BF9"/>
    <w:rsid w:val="00B91D52"/>
    <w:rsid w:val="00B95706"/>
    <w:rsid w:val="00BA28C8"/>
    <w:rsid w:val="00BA4C44"/>
    <w:rsid w:val="00BA7804"/>
    <w:rsid w:val="00BB1EE4"/>
    <w:rsid w:val="00BB5E41"/>
    <w:rsid w:val="00BB6298"/>
    <w:rsid w:val="00BB7D44"/>
    <w:rsid w:val="00BC6B3D"/>
    <w:rsid w:val="00BD329A"/>
    <w:rsid w:val="00BD385D"/>
    <w:rsid w:val="00BD5C08"/>
    <w:rsid w:val="00BD66AB"/>
    <w:rsid w:val="00BD6771"/>
    <w:rsid w:val="00BE0584"/>
    <w:rsid w:val="00BE4344"/>
    <w:rsid w:val="00BF0904"/>
    <w:rsid w:val="00C010FA"/>
    <w:rsid w:val="00C01BAB"/>
    <w:rsid w:val="00C0548B"/>
    <w:rsid w:val="00C140AA"/>
    <w:rsid w:val="00C1656E"/>
    <w:rsid w:val="00C16F14"/>
    <w:rsid w:val="00C1709A"/>
    <w:rsid w:val="00C21588"/>
    <w:rsid w:val="00C27C93"/>
    <w:rsid w:val="00C30A5D"/>
    <w:rsid w:val="00C3722D"/>
    <w:rsid w:val="00C46764"/>
    <w:rsid w:val="00C4705A"/>
    <w:rsid w:val="00C470DF"/>
    <w:rsid w:val="00C51AEC"/>
    <w:rsid w:val="00C60477"/>
    <w:rsid w:val="00C61905"/>
    <w:rsid w:val="00C627AA"/>
    <w:rsid w:val="00C67B38"/>
    <w:rsid w:val="00C710A2"/>
    <w:rsid w:val="00C71F50"/>
    <w:rsid w:val="00C73484"/>
    <w:rsid w:val="00C76FA1"/>
    <w:rsid w:val="00C7771D"/>
    <w:rsid w:val="00C8405B"/>
    <w:rsid w:val="00C93280"/>
    <w:rsid w:val="00C934C6"/>
    <w:rsid w:val="00C95354"/>
    <w:rsid w:val="00C95C08"/>
    <w:rsid w:val="00CA52D8"/>
    <w:rsid w:val="00CB2624"/>
    <w:rsid w:val="00CB38CB"/>
    <w:rsid w:val="00CC441F"/>
    <w:rsid w:val="00CC57D6"/>
    <w:rsid w:val="00CD7F99"/>
    <w:rsid w:val="00CE44A6"/>
    <w:rsid w:val="00CF0AE8"/>
    <w:rsid w:val="00CF0B5D"/>
    <w:rsid w:val="00CF24BD"/>
    <w:rsid w:val="00CF68B9"/>
    <w:rsid w:val="00D0049A"/>
    <w:rsid w:val="00D018EB"/>
    <w:rsid w:val="00D02377"/>
    <w:rsid w:val="00D04640"/>
    <w:rsid w:val="00D1015B"/>
    <w:rsid w:val="00D101CA"/>
    <w:rsid w:val="00D20F31"/>
    <w:rsid w:val="00D244C1"/>
    <w:rsid w:val="00D24A53"/>
    <w:rsid w:val="00D26F63"/>
    <w:rsid w:val="00D27AF2"/>
    <w:rsid w:val="00D33125"/>
    <w:rsid w:val="00D435B7"/>
    <w:rsid w:val="00D43AB7"/>
    <w:rsid w:val="00D44B19"/>
    <w:rsid w:val="00D44DA0"/>
    <w:rsid w:val="00D52777"/>
    <w:rsid w:val="00D54020"/>
    <w:rsid w:val="00D54534"/>
    <w:rsid w:val="00D57CCB"/>
    <w:rsid w:val="00D57E7B"/>
    <w:rsid w:val="00D64EF6"/>
    <w:rsid w:val="00D65198"/>
    <w:rsid w:val="00D6746B"/>
    <w:rsid w:val="00D679E6"/>
    <w:rsid w:val="00D73041"/>
    <w:rsid w:val="00D735BE"/>
    <w:rsid w:val="00D8247A"/>
    <w:rsid w:val="00D841C5"/>
    <w:rsid w:val="00D87155"/>
    <w:rsid w:val="00D9121F"/>
    <w:rsid w:val="00D9163B"/>
    <w:rsid w:val="00D91F84"/>
    <w:rsid w:val="00DB3593"/>
    <w:rsid w:val="00DB6D29"/>
    <w:rsid w:val="00DB7EAC"/>
    <w:rsid w:val="00DC3364"/>
    <w:rsid w:val="00DC33E7"/>
    <w:rsid w:val="00DD2512"/>
    <w:rsid w:val="00DD7350"/>
    <w:rsid w:val="00DD792B"/>
    <w:rsid w:val="00DE0AEA"/>
    <w:rsid w:val="00DF02BF"/>
    <w:rsid w:val="00DF17ED"/>
    <w:rsid w:val="00DF306A"/>
    <w:rsid w:val="00DF4ABC"/>
    <w:rsid w:val="00E00FB6"/>
    <w:rsid w:val="00E0121A"/>
    <w:rsid w:val="00E0402A"/>
    <w:rsid w:val="00E0543C"/>
    <w:rsid w:val="00E07179"/>
    <w:rsid w:val="00E072C7"/>
    <w:rsid w:val="00E10FD2"/>
    <w:rsid w:val="00E12DF3"/>
    <w:rsid w:val="00E168F9"/>
    <w:rsid w:val="00E2140A"/>
    <w:rsid w:val="00E23E4E"/>
    <w:rsid w:val="00E23EE8"/>
    <w:rsid w:val="00E26435"/>
    <w:rsid w:val="00E30917"/>
    <w:rsid w:val="00E3121E"/>
    <w:rsid w:val="00E36925"/>
    <w:rsid w:val="00E369DC"/>
    <w:rsid w:val="00E41D84"/>
    <w:rsid w:val="00E43F13"/>
    <w:rsid w:val="00E53C42"/>
    <w:rsid w:val="00E543A8"/>
    <w:rsid w:val="00E63341"/>
    <w:rsid w:val="00E63822"/>
    <w:rsid w:val="00E666CC"/>
    <w:rsid w:val="00E7165D"/>
    <w:rsid w:val="00E73585"/>
    <w:rsid w:val="00E81369"/>
    <w:rsid w:val="00E815B7"/>
    <w:rsid w:val="00E82A4D"/>
    <w:rsid w:val="00E8542C"/>
    <w:rsid w:val="00EA01A8"/>
    <w:rsid w:val="00EB229A"/>
    <w:rsid w:val="00EB2719"/>
    <w:rsid w:val="00EB307B"/>
    <w:rsid w:val="00EB4BF2"/>
    <w:rsid w:val="00EB52D9"/>
    <w:rsid w:val="00EB74F7"/>
    <w:rsid w:val="00EC61D1"/>
    <w:rsid w:val="00ED074A"/>
    <w:rsid w:val="00ED73A4"/>
    <w:rsid w:val="00EE15F9"/>
    <w:rsid w:val="00EE3688"/>
    <w:rsid w:val="00EE3CEF"/>
    <w:rsid w:val="00EE748F"/>
    <w:rsid w:val="00EF249F"/>
    <w:rsid w:val="00EF2A8F"/>
    <w:rsid w:val="00EF2A96"/>
    <w:rsid w:val="00F12156"/>
    <w:rsid w:val="00F1233B"/>
    <w:rsid w:val="00F17DB0"/>
    <w:rsid w:val="00F22155"/>
    <w:rsid w:val="00F24471"/>
    <w:rsid w:val="00F25E65"/>
    <w:rsid w:val="00F32C50"/>
    <w:rsid w:val="00F33875"/>
    <w:rsid w:val="00F33E6B"/>
    <w:rsid w:val="00F3593C"/>
    <w:rsid w:val="00F35EF8"/>
    <w:rsid w:val="00F37BC8"/>
    <w:rsid w:val="00F416A4"/>
    <w:rsid w:val="00F44DB5"/>
    <w:rsid w:val="00F45219"/>
    <w:rsid w:val="00F473CC"/>
    <w:rsid w:val="00F505C6"/>
    <w:rsid w:val="00F51AC9"/>
    <w:rsid w:val="00F5304D"/>
    <w:rsid w:val="00F57086"/>
    <w:rsid w:val="00F663F4"/>
    <w:rsid w:val="00F67A42"/>
    <w:rsid w:val="00F70F84"/>
    <w:rsid w:val="00F838E3"/>
    <w:rsid w:val="00F8467C"/>
    <w:rsid w:val="00F944F9"/>
    <w:rsid w:val="00FA50A5"/>
    <w:rsid w:val="00FA5263"/>
    <w:rsid w:val="00FA6CB4"/>
    <w:rsid w:val="00FB5386"/>
    <w:rsid w:val="00FC0589"/>
    <w:rsid w:val="00FC3B94"/>
    <w:rsid w:val="00FC4562"/>
    <w:rsid w:val="00FD2EA2"/>
    <w:rsid w:val="00FD442E"/>
    <w:rsid w:val="00FD799E"/>
    <w:rsid w:val="00FE13DE"/>
    <w:rsid w:val="00FE230C"/>
    <w:rsid w:val="00FE33F3"/>
    <w:rsid w:val="00FE3FBF"/>
    <w:rsid w:val="00FE4716"/>
    <w:rsid w:val="00FF0808"/>
    <w:rsid w:val="00FF45A6"/>
    <w:rsid w:val="00FF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F028C"/>
    <w:rPr>
      <w:sz w:val="22"/>
    </w:rPr>
  </w:style>
  <w:style w:type="paragraph" w:styleId="Heading1">
    <w:name w:val="heading 1"/>
    <w:basedOn w:val="Normal"/>
    <w:next w:val="ParaNum"/>
    <w:link w:val="Heading1Char"/>
    <w:uiPriority w:val="99"/>
    <w:qFormat/>
    <w:rsid w:val="007F028C"/>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rsid w:val="007F028C"/>
    <w:pPr>
      <w:keepNext/>
      <w:widowControl w:val="0"/>
      <w:numPr>
        <w:ilvl w:val="1"/>
        <w:numId w:val="4"/>
      </w:numPr>
      <w:spacing w:after="220"/>
      <w:jc w:val="both"/>
      <w:outlineLvl w:val="1"/>
    </w:pPr>
    <w:rPr>
      <w:b/>
    </w:rPr>
  </w:style>
  <w:style w:type="paragraph" w:styleId="Heading3">
    <w:name w:val="heading 3"/>
    <w:basedOn w:val="Normal"/>
    <w:next w:val="ParaNum"/>
    <w:link w:val="Heading3Char"/>
    <w:uiPriority w:val="99"/>
    <w:qFormat/>
    <w:rsid w:val="007F028C"/>
    <w:pPr>
      <w:keepNext/>
      <w:widowControl w:val="0"/>
      <w:numPr>
        <w:ilvl w:val="2"/>
        <w:numId w:val="4"/>
      </w:numPr>
      <w:spacing w:after="220"/>
      <w:jc w:val="both"/>
      <w:outlineLvl w:val="2"/>
    </w:pPr>
    <w:rPr>
      <w:b/>
    </w:rPr>
  </w:style>
  <w:style w:type="paragraph" w:styleId="Heading4">
    <w:name w:val="heading 4"/>
    <w:basedOn w:val="Normal"/>
    <w:next w:val="ParaNum"/>
    <w:link w:val="Heading4Char"/>
    <w:uiPriority w:val="99"/>
    <w:qFormat/>
    <w:rsid w:val="007F028C"/>
    <w:pPr>
      <w:keepNext/>
      <w:widowControl w:val="0"/>
      <w:numPr>
        <w:ilvl w:val="3"/>
        <w:numId w:val="4"/>
      </w:numPr>
      <w:spacing w:after="220"/>
      <w:jc w:val="both"/>
      <w:outlineLvl w:val="3"/>
    </w:pPr>
    <w:rPr>
      <w:b/>
    </w:rPr>
  </w:style>
  <w:style w:type="paragraph" w:styleId="Heading5">
    <w:name w:val="heading 5"/>
    <w:basedOn w:val="Normal"/>
    <w:next w:val="ParaNum"/>
    <w:link w:val="Heading5Char"/>
    <w:uiPriority w:val="99"/>
    <w:qFormat/>
    <w:rsid w:val="007F028C"/>
    <w:pPr>
      <w:keepNext/>
      <w:widowControl w:val="0"/>
      <w:numPr>
        <w:ilvl w:val="4"/>
        <w:numId w:val="4"/>
      </w:numPr>
      <w:suppressAutoHyphens/>
      <w:spacing w:after="220"/>
      <w:jc w:val="both"/>
      <w:outlineLvl w:val="4"/>
    </w:pPr>
    <w:rPr>
      <w:b/>
    </w:rPr>
  </w:style>
  <w:style w:type="paragraph" w:styleId="Heading6">
    <w:name w:val="heading 6"/>
    <w:basedOn w:val="Normal"/>
    <w:next w:val="ParaNum"/>
    <w:link w:val="Heading6Char"/>
    <w:uiPriority w:val="99"/>
    <w:qFormat/>
    <w:rsid w:val="007F028C"/>
    <w:pPr>
      <w:widowControl w:val="0"/>
      <w:numPr>
        <w:ilvl w:val="5"/>
        <w:numId w:val="4"/>
      </w:numPr>
      <w:spacing w:after="220"/>
      <w:jc w:val="both"/>
      <w:outlineLvl w:val="5"/>
    </w:pPr>
    <w:rPr>
      <w:b/>
    </w:rPr>
  </w:style>
  <w:style w:type="paragraph" w:styleId="Heading7">
    <w:name w:val="heading 7"/>
    <w:basedOn w:val="Normal"/>
    <w:next w:val="ParaNum"/>
    <w:link w:val="Heading7Char"/>
    <w:uiPriority w:val="99"/>
    <w:qFormat/>
    <w:rsid w:val="007F028C"/>
    <w:pPr>
      <w:widowControl w:val="0"/>
      <w:numPr>
        <w:ilvl w:val="6"/>
        <w:numId w:val="4"/>
      </w:numPr>
      <w:spacing w:after="220"/>
      <w:jc w:val="both"/>
      <w:outlineLvl w:val="6"/>
    </w:pPr>
    <w:rPr>
      <w:b/>
    </w:rPr>
  </w:style>
  <w:style w:type="paragraph" w:styleId="Heading8">
    <w:name w:val="heading 8"/>
    <w:basedOn w:val="Normal"/>
    <w:next w:val="ParaNum"/>
    <w:link w:val="Heading8Char"/>
    <w:uiPriority w:val="99"/>
    <w:qFormat/>
    <w:rsid w:val="007F028C"/>
    <w:pPr>
      <w:widowControl w:val="0"/>
      <w:numPr>
        <w:ilvl w:val="7"/>
        <w:numId w:val="4"/>
      </w:numPr>
      <w:spacing w:after="220"/>
      <w:jc w:val="both"/>
      <w:outlineLvl w:val="7"/>
    </w:pPr>
    <w:rPr>
      <w:b/>
    </w:rPr>
  </w:style>
  <w:style w:type="paragraph" w:styleId="Heading9">
    <w:name w:val="heading 9"/>
    <w:basedOn w:val="Normal"/>
    <w:next w:val="ParaNum"/>
    <w:link w:val="Heading9Char"/>
    <w:uiPriority w:val="99"/>
    <w:qFormat/>
    <w:rsid w:val="007F028C"/>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7526F"/>
    <w:rPr>
      <w:b/>
      <w:caps/>
      <w:sz w:val="22"/>
    </w:rPr>
  </w:style>
  <w:style w:type="character" w:customStyle="1" w:styleId="Heading2Char">
    <w:name w:val="Heading 2 Char"/>
    <w:link w:val="Heading2"/>
    <w:uiPriority w:val="99"/>
    <w:locked/>
    <w:rsid w:val="0097526F"/>
    <w:rPr>
      <w:b/>
      <w:sz w:val="22"/>
    </w:rPr>
  </w:style>
  <w:style w:type="character" w:customStyle="1" w:styleId="Heading3Char">
    <w:name w:val="Heading 3 Char"/>
    <w:link w:val="Heading3"/>
    <w:uiPriority w:val="99"/>
    <w:locked/>
    <w:rsid w:val="0097526F"/>
    <w:rPr>
      <w:b/>
      <w:sz w:val="22"/>
    </w:rPr>
  </w:style>
  <w:style w:type="character" w:customStyle="1" w:styleId="Heading4Char">
    <w:name w:val="Heading 4 Char"/>
    <w:link w:val="Heading4"/>
    <w:uiPriority w:val="99"/>
    <w:locked/>
    <w:rsid w:val="0097526F"/>
    <w:rPr>
      <w:b/>
      <w:sz w:val="22"/>
    </w:rPr>
  </w:style>
  <w:style w:type="character" w:customStyle="1" w:styleId="Heading5Char">
    <w:name w:val="Heading 5 Char"/>
    <w:link w:val="Heading5"/>
    <w:uiPriority w:val="99"/>
    <w:locked/>
    <w:rsid w:val="0097526F"/>
    <w:rPr>
      <w:b/>
      <w:sz w:val="22"/>
    </w:rPr>
  </w:style>
  <w:style w:type="character" w:customStyle="1" w:styleId="Heading6Char">
    <w:name w:val="Heading 6 Char"/>
    <w:link w:val="Heading6"/>
    <w:uiPriority w:val="99"/>
    <w:locked/>
    <w:rsid w:val="0097526F"/>
    <w:rPr>
      <w:b/>
      <w:sz w:val="22"/>
    </w:rPr>
  </w:style>
  <w:style w:type="character" w:customStyle="1" w:styleId="Heading7Char">
    <w:name w:val="Heading 7 Char"/>
    <w:link w:val="Heading7"/>
    <w:uiPriority w:val="99"/>
    <w:locked/>
    <w:rsid w:val="0097526F"/>
    <w:rPr>
      <w:b/>
      <w:sz w:val="22"/>
    </w:rPr>
  </w:style>
  <w:style w:type="character" w:customStyle="1" w:styleId="Heading8Char">
    <w:name w:val="Heading 8 Char"/>
    <w:link w:val="Heading8"/>
    <w:uiPriority w:val="99"/>
    <w:locked/>
    <w:rsid w:val="0097526F"/>
    <w:rPr>
      <w:b/>
      <w:sz w:val="22"/>
    </w:rPr>
  </w:style>
  <w:style w:type="character" w:customStyle="1" w:styleId="Heading9Char">
    <w:name w:val="Heading 9 Char"/>
    <w:link w:val="Heading9"/>
    <w:uiPriority w:val="99"/>
    <w:locked/>
    <w:rsid w:val="0097526F"/>
    <w:rPr>
      <w:b/>
      <w:sz w:val="22"/>
    </w:rPr>
  </w:style>
  <w:style w:type="paragraph" w:styleId="Caption">
    <w:name w:val="caption"/>
    <w:basedOn w:val="Normal"/>
    <w:next w:val="Normal"/>
    <w:uiPriority w:val="99"/>
    <w:qFormat/>
    <w:rsid w:val="007F028C"/>
    <w:pPr>
      <w:spacing w:before="120" w:after="120"/>
    </w:pPr>
    <w:rPr>
      <w:b/>
    </w:rPr>
  </w:style>
  <w:style w:type="paragraph" w:customStyle="1" w:styleId="ParaNum">
    <w:name w:val="ParaNum"/>
    <w:basedOn w:val="Normal"/>
    <w:link w:val="ParaNumChar1"/>
    <w:uiPriority w:val="99"/>
    <w:rsid w:val="007F028C"/>
    <w:pPr>
      <w:widowControl w:val="0"/>
      <w:numPr>
        <w:numId w:val="13"/>
      </w:numPr>
      <w:tabs>
        <w:tab w:val="left" w:pos="1440"/>
      </w:tabs>
      <w:spacing w:after="220"/>
      <w:jc w:val="both"/>
    </w:pPr>
  </w:style>
  <w:style w:type="paragraph" w:styleId="FootnoteText">
    <w:name w:val="footnote text"/>
    <w:aliases w:val="Footnote Text Char2,Footnote Text Char1 Char1,Footnote Text Char2 Char1 Char,Footnote Text Char1 Char1 Char1 Char,Footnote Text Char3 Char1 Char Char Char1 Char,Footnote Text Char1 Char2 Char Char Char Char1 Char,Footnote Text Char1"/>
    <w:basedOn w:val="Normal"/>
    <w:link w:val="FootnoteTextChar"/>
    <w:uiPriority w:val="99"/>
    <w:semiHidden/>
    <w:rsid w:val="007F028C"/>
    <w:pPr>
      <w:tabs>
        <w:tab w:val="left" w:pos="180"/>
        <w:tab w:val="left" w:pos="720"/>
        <w:tab w:val="left" w:pos="1440"/>
        <w:tab w:val="left" w:pos="2160"/>
      </w:tabs>
      <w:spacing w:after="120"/>
      <w:jc w:val="both"/>
    </w:pPr>
    <w:rPr>
      <w:sz w:val="20"/>
    </w:rPr>
  </w:style>
  <w:style w:type="character" w:customStyle="1" w:styleId="FootnoteTextChar">
    <w:name w:val="Footnote Text Char"/>
    <w:aliases w:val="Footnote Text Char2 Char,Footnote Text Char1 Char1 Char,Footnote Text Char2 Char1 Char Char,Footnote Text Char1 Char1 Char1 Char Char,Footnote Text Char3 Char1 Char Char Char1 Char Char,Footnote Text Char1 Char"/>
    <w:link w:val="FootnoteText"/>
    <w:uiPriority w:val="99"/>
    <w:semiHidden/>
    <w:locked/>
    <w:rsid w:val="00D54020"/>
    <w:rPr>
      <w:rFonts w:cs="Times New Roman"/>
    </w:rPr>
  </w:style>
  <w:style w:type="paragraph" w:customStyle="1" w:styleId="Bullet">
    <w:name w:val="Bullet"/>
    <w:basedOn w:val="Normal"/>
    <w:uiPriority w:val="99"/>
    <w:rsid w:val="007F028C"/>
    <w:pPr>
      <w:widowControl w:val="0"/>
      <w:numPr>
        <w:numId w:val="9"/>
      </w:numPr>
      <w:spacing w:after="220"/>
      <w:ind w:left="2160" w:hanging="720"/>
      <w:jc w:val="both"/>
    </w:pPr>
  </w:style>
  <w:style w:type="paragraph" w:styleId="BlockText">
    <w:name w:val="Block Text"/>
    <w:basedOn w:val="Normal"/>
    <w:uiPriority w:val="99"/>
    <w:rsid w:val="007F028C"/>
    <w:pPr>
      <w:widowControl w:val="0"/>
      <w:spacing w:after="220"/>
      <w:ind w:left="1440" w:right="1440"/>
      <w:jc w:val="both"/>
    </w:pPr>
  </w:style>
  <w:style w:type="paragraph" w:customStyle="1" w:styleId="TableFormat">
    <w:name w:val="TableFormat"/>
    <w:basedOn w:val="Normal"/>
    <w:uiPriority w:val="99"/>
    <w:rsid w:val="007F028C"/>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Style 13,fr,o,Style 3,FR,Style 17,Style 6,Footnote Reference/"/>
    <w:semiHidden/>
    <w:rsid w:val="007F028C"/>
    <w:rPr>
      <w:rFonts w:cs="Times New Roman"/>
      <w:vertAlign w:val="superscript"/>
    </w:rPr>
  </w:style>
  <w:style w:type="paragraph" w:styleId="Header">
    <w:name w:val="header"/>
    <w:basedOn w:val="Normal"/>
    <w:link w:val="HeaderChar"/>
    <w:uiPriority w:val="99"/>
    <w:rsid w:val="007F028C"/>
    <w:pPr>
      <w:tabs>
        <w:tab w:val="center" w:pos="4320"/>
        <w:tab w:val="right" w:pos="8640"/>
      </w:tabs>
    </w:pPr>
  </w:style>
  <w:style w:type="character" w:customStyle="1" w:styleId="HeaderChar">
    <w:name w:val="Header Char"/>
    <w:link w:val="Header"/>
    <w:uiPriority w:val="99"/>
    <w:semiHidden/>
    <w:locked/>
    <w:rsid w:val="0097526F"/>
    <w:rPr>
      <w:rFonts w:cs="Times New Roman"/>
      <w:sz w:val="20"/>
      <w:szCs w:val="20"/>
    </w:rPr>
  </w:style>
  <w:style w:type="paragraph" w:styleId="Footer">
    <w:name w:val="footer"/>
    <w:basedOn w:val="Normal"/>
    <w:link w:val="FooterChar"/>
    <w:uiPriority w:val="99"/>
    <w:rsid w:val="007F028C"/>
    <w:pPr>
      <w:tabs>
        <w:tab w:val="center" w:pos="4320"/>
        <w:tab w:val="right" w:pos="8640"/>
      </w:tabs>
    </w:pPr>
  </w:style>
  <w:style w:type="character" w:customStyle="1" w:styleId="FooterChar">
    <w:name w:val="Footer Char"/>
    <w:link w:val="Footer"/>
    <w:uiPriority w:val="99"/>
    <w:semiHidden/>
    <w:locked/>
    <w:rsid w:val="0097526F"/>
    <w:rPr>
      <w:rFonts w:cs="Times New Roman"/>
      <w:sz w:val="20"/>
      <w:szCs w:val="20"/>
    </w:rPr>
  </w:style>
  <w:style w:type="paragraph" w:styleId="TOC2">
    <w:name w:val="toc 2"/>
    <w:basedOn w:val="Normal"/>
    <w:next w:val="Normal"/>
    <w:uiPriority w:val="99"/>
    <w:semiHidden/>
    <w:rsid w:val="007F028C"/>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7F028C"/>
    <w:pPr>
      <w:numPr>
        <w:numId w:val="21"/>
      </w:numPr>
      <w:spacing w:after="220"/>
    </w:pPr>
  </w:style>
  <w:style w:type="paragraph" w:styleId="TOC1">
    <w:name w:val="toc 1"/>
    <w:basedOn w:val="Normal"/>
    <w:next w:val="Normal"/>
    <w:uiPriority w:val="99"/>
    <w:semiHidden/>
    <w:rsid w:val="007F028C"/>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rsid w:val="007F028C"/>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rsid w:val="007F028C"/>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rsid w:val="007F028C"/>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rsid w:val="007F028C"/>
    <w:pPr>
      <w:widowControl w:val="0"/>
      <w:tabs>
        <w:tab w:val="left" w:leader="dot" w:pos="9360"/>
      </w:tabs>
      <w:suppressAutoHyphens/>
      <w:ind w:left="720" w:hanging="720"/>
      <w:jc w:val="both"/>
    </w:pPr>
  </w:style>
  <w:style w:type="paragraph" w:styleId="TOC7">
    <w:name w:val="toc 7"/>
    <w:basedOn w:val="Normal"/>
    <w:next w:val="Normal"/>
    <w:uiPriority w:val="99"/>
    <w:semiHidden/>
    <w:rsid w:val="007F028C"/>
    <w:pPr>
      <w:widowControl w:val="0"/>
      <w:tabs>
        <w:tab w:val="left" w:leader="dot" w:pos="9360"/>
      </w:tabs>
      <w:suppressAutoHyphens/>
      <w:ind w:left="720" w:hanging="720"/>
      <w:jc w:val="both"/>
    </w:pPr>
  </w:style>
  <w:style w:type="paragraph" w:styleId="TOC8">
    <w:name w:val="toc 8"/>
    <w:basedOn w:val="Normal"/>
    <w:next w:val="Normal"/>
    <w:uiPriority w:val="99"/>
    <w:semiHidden/>
    <w:rsid w:val="007F028C"/>
    <w:pPr>
      <w:widowControl w:val="0"/>
      <w:tabs>
        <w:tab w:val="left" w:leader="dot" w:pos="9360"/>
      </w:tabs>
      <w:suppressAutoHyphens/>
      <w:ind w:left="720" w:hanging="720"/>
      <w:jc w:val="both"/>
    </w:pPr>
  </w:style>
  <w:style w:type="paragraph" w:styleId="TOC9">
    <w:name w:val="toc 9"/>
    <w:basedOn w:val="Normal"/>
    <w:next w:val="Normal"/>
    <w:uiPriority w:val="99"/>
    <w:semiHidden/>
    <w:rsid w:val="007F028C"/>
    <w:pPr>
      <w:tabs>
        <w:tab w:val="left" w:leader="dot" w:pos="9360"/>
      </w:tabs>
      <w:ind w:left="720" w:hanging="720"/>
      <w:jc w:val="both"/>
    </w:pPr>
  </w:style>
  <w:style w:type="character" w:styleId="PageNumber">
    <w:name w:val="page number"/>
    <w:uiPriority w:val="99"/>
    <w:rsid w:val="007F028C"/>
    <w:rPr>
      <w:rFonts w:cs="Times New Roman"/>
    </w:rPr>
  </w:style>
  <w:style w:type="paragraph" w:styleId="Title">
    <w:name w:val="Title"/>
    <w:basedOn w:val="Normal"/>
    <w:link w:val="TitleChar"/>
    <w:uiPriority w:val="99"/>
    <w:qFormat/>
    <w:rsid w:val="007F028C"/>
    <w:pPr>
      <w:jc w:val="center"/>
    </w:pPr>
    <w:rPr>
      <w:b/>
    </w:rPr>
  </w:style>
  <w:style w:type="character" w:customStyle="1" w:styleId="TitleChar">
    <w:name w:val="Title Char"/>
    <w:link w:val="Title"/>
    <w:uiPriority w:val="99"/>
    <w:locked/>
    <w:rsid w:val="0097526F"/>
    <w:rPr>
      <w:rFonts w:ascii="Cambria" w:hAnsi="Cambria" w:cs="Times New Roman"/>
      <w:b/>
      <w:bCs/>
      <w:kern w:val="28"/>
      <w:sz w:val="32"/>
      <w:szCs w:val="32"/>
    </w:rPr>
  </w:style>
  <w:style w:type="character" w:styleId="Hyperlink">
    <w:name w:val="Hyperlink"/>
    <w:uiPriority w:val="99"/>
    <w:rsid w:val="004D4A51"/>
    <w:rPr>
      <w:rFonts w:cs="Times New Roman"/>
      <w:color w:val="0000FF"/>
      <w:u w:val="single"/>
    </w:rPr>
  </w:style>
  <w:style w:type="character" w:styleId="FollowedHyperlink">
    <w:name w:val="FollowedHyperlink"/>
    <w:uiPriority w:val="99"/>
    <w:rsid w:val="00F32C50"/>
    <w:rPr>
      <w:rFonts w:cs="Times New Roman"/>
      <w:color w:val="800080"/>
      <w:u w:val="single"/>
    </w:rPr>
  </w:style>
  <w:style w:type="character" w:styleId="Emphasis">
    <w:name w:val="Emphasis"/>
    <w:qFormat/>
    <w:locked/>
    <w:rsid w:val="00B14BBA"/>
    <w:rPr>
      <w:i/>
    </w:rPr>
  </w:style>
  <w:style w:type="character" w:styleId="Strong">
    <w:name w:val="Strong"/>
    <w:uiPriority w:val="99"/>
    <w:qFormat/>
    <w:locked/>
    <w:rsid w:val="00B14BBA"/>
    <w:rPr>
      <w:b/>
    </w:rPr>
  </w:style>
  <w:style w:type="paragraph" w:styleId="BalloonText">
    <w:name w:val="Balloon Text"/>
    <w:basedOn w:val="Normal"/>
    <w:link w:val="BalloonTextChar"/>
    <w:uiPriority w:val="99"/>
    <w:semiHidden/>
    <w:locked/>
    <w:rsid w:val="00A133E9"/>
    <w:rPr>
      <w:rFonts w:ascii="Tahoma" w:hAnsi="Tahoma" w:cs="Tahoma"/>
      <w:sz w:val="16"/>
      <w:szCs w:val="16"/>
    </w:rPr>
  </w:style>
  <w:style w:type="character" w:customStyle="1" w:styleId="BalloonTextChar">
    <w:name w:val="Balloon Text Char"/>
    <w:link w:val="BalloonText"/>
    <w:uiPriority w:val="99"/>
    <w:semiHidden/>
    <w:rsid w:val="003568CA"/>
    <w:rPr>
      <w:sz w:val="0"/>
      <w:szCs w:val="0"/>
    </w:rPr>
  </w:style>
  <w:style w:type="character" w:styleId="CommentReference">
    <w:name w:val="annotation reference"/>
    <w:uiPriority w:val="99"/>
    <w:semiHidden/>
    <w:unhideWhenUsed/>
    <w:locked/>
    <w:rsid w:val="005920DF"/>
    <w:rPr>
      <w:sz w:val="16"/>
      <w:szCs w:val="16"/>
    </w:rPr>
  </w:style>
  <w:style w:type="paragraph" w:styleId="CommentText">
    <w:name w:val="annotation text"/>
    <w:basedOn w:val="Normal"/>
    <w:link w:val="CommentTextChar"/>
    <w:uiPriority w:val="99"/>
    <w:unhideWhenUsed/>
    <w:locked/>
    <w:rsid w:val="005920DF"/>
    <w:rPr>
      <w:sz w:val="20"/>
    </w:rPr>
  </w:style>
  <w:style w:type="character" w:customStyle="1" w:styleId="CommentTextChar">
    <w:name w:val="Comment Text Char"/>
    <w:link w:val="CommentText"/>
    <w:uiPriority w:val="99"/>
    <w:rsid w:val="005920DF"/>
    <w:rPr>
      <w:sz w:val="20"/>
      <w:szCs w:val="20"/>
    </w:rPr>
  </w:style>
  <w:style w:type="paragraph" w:styleId="CommentSubject">
    <w:name w:val="annotation subject"/>
    <w:basedOn w:val="CommentText"/>
    <w:next w:val="CommentText"/>
    <w:link w:val="CommentSubjectChar"/>
    <w:uiPriority w:val="99"/>
    <w:semiHidden/>
    <w:unhideWhenUsed/>
    <w:locked/>
    <w:rsid w:val="005920DF"/>
    <w:rPr>
      <w:b/>
      <w:bCs/>
    </w:rPr>
  </w:style>
  <w:style w:type="character" w:customStyle="1" w:styleId="CommentSubjectChar">
    <w:name w:val="Comment Subject Char"/>
    <w:link w:val="CommentSubject"/>
    <w:uiPriority w:val="99"/>
    <w:semiHidden/>
    <w:rsid w:val="005920DF"/>
    <w:rPr>
      <w:b/>
      <w:bCs/>
      <w:sz w:val="20"/>
      <w:szCs w:val="20"/>
    </w:rPr>
  </w:style>
  <w:style w:type="character" w:customStyle="1" w:styleId="ParaNumChar1">
    <w:name w:val="ParaNum Char1"/>
    <w:link w:val="ParaNum"/>
    <w:uiPriority w:val="99"/>
    <w:locked/>
    <w:rsid w:val="004F7FE5"/>
    <w:rPr>
      <w:sz w:val="22"/>
    </w:rPr>
  </w:style>
  <w:style w:type="character" w:customStyle="1" w:styleId="ptext-">
    <w:name w:val="ptext-"/>
    <w:rsid w:val="0095612E"/>
  </w:style>
  <w:style w:type="paragraph" w:styleId="Revision">
    <w:name w:val="Revision"/>
    <w:hidden/>
    <w:uiPriority w:val="99"/>
    <w:semiHidden/>
    <w:rsid w:val="00A75E94"/>
    <w:rPr>
      <w:sz w:val="22"/>
    </w:rPr>
  </w:style>
  <w:style w:type="paragraph" w:styleId="ListParagraph">
    <w:name w:val="List Paragraph"/>
    <w:basedOn w:val="Normal"/>
    <w:uiPriority w:val="34"/>
    <w:qFormat/>
    <w:rsid w:val="008F0894"/>
    <w:pPr>
      <w:spacing w:before="100" w:beforeAutospacing="1" w:after="100" w:afterAutospacing="1"/>
    </w:pPr>
    <w:rPr>
      <w:sz w:val="24"/>
      <w:szCs w:val="24"/>
    </w:rPr>
  </w:style>
  <w:style w:type="character" w:customStyle="1" w:styleId="contents">
    <w:name w:val="contents"/>
    <w:basedOn w:val="DefaultParagraphFont"/>
    <w:rsid w:val="00FA50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F028C"/>
    <w:rPr>
      <w:sz w:val="22"/>
    </w:rPr>
  </w:style>
  <w:style w:type="paragraph" w:styleId="Heading1">
    <w:name w:val="heading 1"/>
    <w:basedOn w:val="Normal"/>
    <w:next w:val="ParaNum"/>
    <w:link w:val="Heading1Char"/>
    <w:uiPriority w:val="99"/>
    <w:qFormat/>
    <w:rsid w:val="007F028C"/>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rsid w:val="007F028C"/>
    <w:pPr>
      <w:keepNext/>
      <w:widowControl w:val="0"/>
      <w:numPr>
        <w:ilvl w:val="1"/>
        <w:numId w:val="4"/>
      </w:numPr>
      <w:spacing w:after="220"/>
      <w:jc w:val="both"/>
      <w:outlineLvl w:val="1"/>
    </w:pPr>
    <w:rPr>
      <w:b/>
    </w:rPr>
  </w:style>
  <w:style w:type="paragraph" w:styleId="Heading3">
    <w:name w:val="heading 3"/>
    <w:basedOn w:val="Normal"/>
    <w:next w:val="ParaNum"/>
    <w:link w:val="Heading3Char"/>
    <w:uiPriority w:val="99"/>
    <w:qFormat/>
    <w:rsid w:val="007F028C"/>
    <w:pPr>
      <w:keepNext/>
      <w:widowControl w:val="0"/>
      <w:numPr>
        <w:ilvl w:val="2"/>
        <w:numId w:val="4"/>
      </w:numPr>
      <w:spacing w:after="220"/>
      <w:jc w:val="both"/>
      <w:outlineLvl w:val="2"/>
    </w:pPr>
    <w:rPr>
      <w:b/>
    </w:rPr>
  </w:style>
  <w:style w:type="paragraph" w:styleId="Heading4">
    <w:name w:val="heading 4"/>
    <w:basedOn w:val="Normal"/>
    <w:next w:val="ParaNum"/>
    <w:link w:val="Heading4Char"/>
    <w:uiPriority w:val="99"/>
    <w:qFormat/>
    <w:rsid w:val="007F028C"/>
    <w:pPr>
      <w:keepNext/>
      <w:widowControl w:val="0"/>
      <w:numPr>
        <w:ilvl w:val="3"/>
        <w:numId w:val="4"/>
      </w:numPr>
      <w:spacing w:after="220"/>
      <w:jc w:val="both"/>
      <w:outlineLvl w:val="3"/>
    </w:pPr>
    <w:rPr>
      <w:b/>
    </w:rPr>
  </w:style>
  <w:style w:type="paragraph" w:styleId="Heading5">
    <w:name w:val="heading 5"/>
    <w:basedOn w:val="Normal"/>
    <w:next w:val="ParaNum"/>
    <w:link w:val="Heading5Char"/>
    <w:uiPriority w:val="99"/>
    <w:qFormat/>
    <w:rsid w:val="007F028C"/>
    <w:pPr>
      <w:keepNext/>
      <w:widowControl w:val="0"/>
      <w:numPr>
        <w:ilvl w:val="4"/>
        <w:numId w:val="4"/>
      </w:numPr>
      <w:suppressAutoHyphens/>
      <w:spacing w:after="220"/>
      <w:jc w:val="both"/>
      <w:outlineLvl w:val="4"/>
    </w:pPr>
    <w:rPr>
      <w:b/>
    </w:rPr>
  </w:style>
  <w:style w:type="paragraph" w:styleId="Heading6">
    <w:name w:val="heading 6"/>
    <w:basedOn w:val="Normal"/>
    <w:next w:val="ParaNum"/>
    <w:link w:val="Heading6Char"/>
    <w:uiPriority w:val="99"/>
    <w:qFormat/>
    <w:rsid w:val="007F028C"/>
    <w:pPr>
      <w:widowControl w:val="0"/>
      <w:numPr>
        <w:ilvl w:val="5"/>
        <w:numId w:val="4"/>
      </w:numPr>
      <w:spacing w:after="220"/>
      <w:jc w:val="both"/>
      <w:outlineLvl w:val="5"/>
    </w:pPr>
    <w:rPr>
      <w:b/>
    </w:rPr>
  </w:style>
  <w:style w:type="paragraph" w:styleId="Heading7">
    <w:name w:val="heading 7"/>
    <w:basedOn w:val="Normal"/>
    <w:next w:val="ParaNum"/>
    <w:link w:val="Heading7Char"/>
    <w:uiPriority w:val="99"/>
    <w:qFormat/>
    <w:rsid w:val="007F028C"/>
    <w:pPr>
      <w:widowControl w:val="0"/>
      <w:numPr>
        <w:ilvl w:val="6"/>
        <w:numId w:val="4"/>
      </w:numPr>
      <w:spacing w:after="220"/>
      <w:jc w:val="both"/>
      <w:outlineLvl w:val="6"/>
    </w:pPr>
    <w:rPr>
      <w:b/>
    </w:rPr>
  </w:style>
  <w:style w:type="paragraph" w:styleId="Heading8">
    <w:name w:val="heading 8"/>
    <w:basedOn w:val="Normal"/>
    <w:next w:val="ParaNum"/>
    <w:link w:val="Heading8Char"/>
    <w:uiPriority w:val="99"/>
    <w:qFormat/>
    <w:rsid w:val="007F028C"/>
    <w:pPr>
      <w:widowControl w:val="0"/>
      <w:numPr>
        <w:ilvl w:val="7"/>
        <w:numId w:val="4"/>
      </w:numPr>
      <w:spacing w:after="220"/>
      <w:jc w:val="both"/>
      <w:outlineLvl w:val="7"/>
    </w:pPr>
    <w:rPr>
      <w:b/>
    </w:rPr>
  </w:style>
  <w:style w:type="paragraph" w:styleId="Heading9">
    <w:name w:val="heading 9"/>
    <w:basedOn w:val="Normal"/>
    <w:next w:val="ParaNum"/>
    <w:link w:val="Heading9Char"/>
    <w:uiPriority w:val="99"/>
    <w:qFormat/>
    <w:rsid w:val="007F028C"/>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7526F"/>
    <w:rPr>
      <w:b/>
      <w:caps/>
      <w:sz w:val="22"/>
    </w:rPr>
  </w:style>
  <w:style w:type="character" w:customStyle="1" w:styleId="Heading2Char">
    <w:name w:val="Heading 2 Char"/>
    <w:link w:val="Heading2"/>
    <w:uiPriority w:val="99"/>
    <w:locked/>
    <w:rsid w:val="0097526F"/>
    <w:rPr>
      <w:b/>
      <w:sz w:val="22"/>
    </w:rPr>
  </w:style>
  <w:style w:type="character" w:customStyle="1" w:styleId="Heading3Char">
    <w:name w:val="Heading 3 Char"/>
    <w:link w:val="Heading3"/>
    <w:uiPriority w:val="99"/>
    <w:locked/>
    <w:rsid w:val="0097526F"/>
    <w:rPr>
      <w:b/>
      <w:sz w:val="22"/>
    </w:rPr>
  </w:style>
  <w:style w:type="character" w:customStyle="1" w:styleId="Heading4Char">
    <w:name w:val="Heading 4 Char"/>
    <w:link w:val="Heading4"/>
    <w:uiPriority w:val="99"/>
    <w:locked/>
    <w:rsid w:val="0097526F"/>
    <w:rPr>
      <w:b/>
      <w:sz w:val="22"/>
    </w:rPr>
  </w:style>
  <w:style w:type="character" w:customStyle="1" w:styleId="Heading5Char">
    <w:name w:val="Heading 5 Char"/>
    <w:link w:val="Heading5"/>
    <w:uiPriority w:val="99"/>
    <w:locked/>
    <w:rsid w:val="0097526F"/>
    <w:rPr>
      <w:b/>
      <w:sz w:val="22"/>
    </w:rPr>
  </w:style>
  <w:style w:type="character" w:customStyle="1" w:styleId="Heading6Char">
    <w:name w:val="Heading 6 Char"/>
    <w:link w:val="Heading6"/>
    <w:uiPriority w:val="99"/>
    <w:locked/>
    <w:rsid w:val="0097526F"/>
    <w:rPr>
      <w:b/>
      <w:sz w:val="22"/>
    </w:rPr>
  </w:style>
  <w:style w:type="character" w:customStyle="1" w:styleId="Heading7Char">
    <w:name w:val="Heading 7 Char"/>
    <w:link w:val="Heading7"/>
    <w:uiPriority w:val="99"/>
    <w:locked/>
    <w:rsid w:val="0097526F"/>
    <w:rPr>
      <w:b/>
      <w:sz w:val="22"/>
    </w:rPr>
  </w:style>
  <w:style w:type="character" w:customStyle="1" w:styleId="Heading8Char">
    <w:name w:val="Heading 8 Char"/>
    <w:link w:val="Heading8"/>
    <w:uiPriority w:val="99"/>
    <w:locked/>
    <w:rsid w:val="0097526F"/>
    <w:rPr>
      <w:b/>
      <w:sz w:val="22"/>
    </w:rPr>
  </w:style>
  <w:style w:type="character" w:customStyle="1" w:styleId="Heading9Char">
    <w:name w:val="Heading 9 Char"/>
    <w:link w:val="Heading9"/>
    <w:uiPriority w:val="99"/>
    <w:locked/>
    <w:rsid w:val="0097526F"/>
    <w:rPr>
      <w:b/>
      <w:sz w:val="22"/>
    </w:rPr>
  </w:style>
  <w:style w:type="paragraph" w:styleId="Caption">
    <w:name w:val="caption"/>
    <w:basedOn w:val="Normal"/>
    <w:next w:val="Normal"/>
    <w:uiPriority w:val="99"/>
    <w:qFormat/>
    <w:rsid w:val="007F028C"/>
    <w:pPr>
      <w:spacing w:before="120" w:after="120"/>
    </w:pPr>
    <w:rPr>
      <w:b/>
    </w:rPr>
  </w:style>
  <w:style w:type="paragraph" w:customStyle="1" w:styleId="ParaNum">
    <w:name w:val="ParaNum"/>
    <w:basedOn w:val="Normal"/>
    <w:link w:val="ParaNumChar1"/>
    <w:uiPriority w:val="99"/>
    <w:rsid w:val="007F028C"/>
    <w:pPr>
      <w:widowControl w:val="0"/>
      <w:numPr>
        <w:numId w:val="13"/>
      </w:numPr>
      <w:tabs>
        <w:tab w:val="left" w:pos="1440"/>
      </w:tabs>
      <w:spacing w:after="220"/>
      <w:jc w:val="both"/>
    </w:pPr>
  </w:style>
  <w:style w:type="paragraph" w:styleId="FootnoteText">
    <w:name w:val="footnote text"/>
    <w:aliases w:val="Footnote Text Char2,Footnote Text Char1 Char1,Footnote Text Char2 Char1 Char,Footnote Text Char1 Char1 Char1 Char,Footnote Text Char3 Char1 Char Char Char1 Char,Footnote Text Char1 Char2 Char Char Char Char1 Char,Footnote Text Char1"/>
    <w:basedOn w:val="Normal"/>
    <w:link w:val="FootnoteTextChar"/>
    <w:uiPriority w:val="99"/>
    <w:semiHidden/>
    <w:rsid w:val="007F028C"/>
    <w:pPr>
      <w:tabs>
        <w:tab w:val="left" w:pos="180"/>
        <w:tab w:val="left" w:pos="720"/>
        <w:tab w:val="left" w:pos="1440"/>
        <w:tab w:val="left" w:pos="2160"/>
      </w:tabs>
      <w:spacing w:after="120"/>
      <w:jc w:val="both"/>
    </w:pPr>
    <w:rPr>
      <w:sz w:val="20"/>
    </w:rPr>
  </w:style>
  <w:style w:type="character" w:customStyle="1" w:styleId="FootnoteTextChar">
    <w:name w:val="Footnote Text Char"/>
    <w:aliases w:val="Footnote Text Char2 Char,Footnote Text Char1 Char1 Char,Footnote Text Char2 Char1 Char Char,Footnote Text Char1 Char1 Char1 Char Char,Footnote Text Char3 Char1 Char Char Char1 Char Char,Footnote Text Char1 Char"/>
    <w:link w:val="FootnoteText"/>
    <w:uiPriority w:val="99"/>
    <w:semiHidden/>
    <w:locked/>
    <w:rsid w:val="00D54020"/>
    <w:rPr>
      <w:rFonts w:cs="Times New Roman"/>
    </w:rPr>
  </w:style>
  <w:style w:type="paragraph" w:customStyle="1" w:styleId="Bullet">
    <w:name w:val="Bullet"/>
    <w:basedOn w:val="Normal"/>
    <w:uiPriority w:val="99"/>
    <w:rsid w:val="007F028C"/>
    <w:pPr>
      <w:widowControl w:val="0"/>
      <w:numPr>
        <w:numId w:val="9"/>
      </w:numPr>
      <w:spacing w:after="220"/>
      <w:ind w:left="2160" w:hanging="720"/>
      <w:jc w:val="both"/>
    </w:pPr>
  </w:style>
  <w:style w:type="paragraph" w:styleId="BlockText">
    <w:name w:val="Block Text"/>
    <w:basedOn w:val="Normal"/>
    <w:uiPriority w:val="99"/>
    <w:rsid w:val="007F028C"/>
    <w:pPr>
      <w:widowControl w:val="0"/>
      <w:spacing w:after="220"/>
      <w:ind w:left="1440" w:right="1440"/>
      <w:jc w:val="both"/>
    </w:pPr>
  </w:style>
  <w:style w:type="paragraph" w:customStyle="1" w:styleId="TableFormat">
    <w:name w:val="TableFormat"/>
    <w:basedOn w:val="Normal"/>
    <w:uiPriority w:val="99"/>
    <w:rsid w:val="007F028C"/>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Style 13,fr,o,Style 3,FR,Style 17,Style 6,Footnote Reference/"/>
    <w:semiHidden/>
    <w:rsid w:val="007F028C"/>
    <w:rPr>
      <w:rFonts w:cs="Times New Roman"/>
      <w:vertAlign w:val="superscript"/>
    </w:rPr>
  </w:style>
  <w:style w:type="paragraph" w:styleId="Header">
    <w:name w:val="header"/>
    <w:basedOn w:val="Normal"/>
    <w:link w:val="HeaderChar"/>
    <w:uiPriority w:val="99"/>
    <w:rsid w:val="007F028C"/>
    <w:pPr>
      <w:tabs>
        <w:tab w:val="center" w:pos="4320"/>
        <w:tab w:val="right" w:pos="8640"/>
      </w:tabs>
    </w:pPr>
  </w:style>
  <w:style w:type="character" w:customStyle="1" w:styleId="HeaderChar">
    <w:name w:val="Header Char"/>
    <w:link w:val="Header"/>
    <w:uiPriority w:val="99"/>
    <w:semiHidden/>
    <w:locked/>
    <w:rsid w:val="0097526F"/>
    <w:rPr>
      <w:rFonts w:cs="Times New Roman"/>
      <w:sz w:val="20"/>
      <w:szCs w:val="20"/>
    </w:rPr>
  </w:style>
  <w:style w:type="paragraph" w:styleId="Footer">
    <w:name w:val="footer"/>
    <w:basedOn w:val="Normal"/>
    <w:link w:val="FooterChar"/>
    <w:uiPriority w:val="99"/>
    <w:rsid w:val="007F028C"/>
    <w:pPr>
      <w:tabs>
        <w:tab w:val="center" w:pos="4320"/>
        <w:tab w:val="right" w:pos="8640"/>
      </w:tabs>
    </w:pPr>
  </w:style>
  <w:style w:type="character" w:customStyle="1" w:styleId="FooterChar">
    <w:name w:val="Footer Char"/>
    <w:link w:val="Footer"/>
    <w:uiPriority w:val="99"/>
    <w:semiHidden/>
    <w:locked/>
    <w:rsid w:val="0097526F"/>
    <w:rPr>
      <w:rFonts w:cs="Times New Roman"/>
      <w:sz w:val="20"/>
      <w:szCs w:val="20"/>
    </w:rPr>
  </w:style>
  <w:style w:type="paragraph" w:styleId="TOC2">
    <w:name w:val="toc 2"/>
    <w:basedOn w:val="Normal"/>
    <w:next w:val="Normal"/>
    <w:uiPriority w:val="99"/>
    <w:semiHidden/>
    <w:rsid w:val="007F028C"/>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7F028C"/>
    <w:pPr>
      <w:numPr>
        <w:numId w:val="21"/>
      </w:numPr>
      <w:spacing w:after="220"/>
    </w:pPr>
  </w:style>
  <w:style w:type="paragraph" w:styleId="TOC1">
    <w:name w:val="toc 1"/>
    <w:basedOn w:val="Normal"/>
    <w:next w:val="Normal"/>
    <w:uiPriority w:val="99"/>
    <w:semiHidden/>
    <w:rsid w:val="007F028C"/>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rsid w:val="007F028C"/>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rsid w:val="007F028C"/>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rsid w:val="007F028C"/>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rsid w:val="007F028C"/>
    <w:pPr>
      <w:widowControl w:val="0"/>
      <w:tabs>
        <w:tab w:val="left" w:leader="dot" w:pos="9360"/>
      </w:tabs>
      <w:suppressAutoHyphens/>
      <w:ind w:left="720" w:hanging="720"/>
      <w:jc w:val="both"/>
    </w:pPr>
  </w:style>
  <w:style w:type="paragraph" w:styleId="TOC7">
    <w:name w:val="toc 7"/>
    <w:basedOn w:val="Normal"/>
    <w:next w:val="Normal"/>
    <w:uiPriority w:val="99"/>
    <w:semiHidden/>
    <w:rsid w:val="007F028C"/>
    <w:pPr>
      <w:widowControl w:val="0"/>
      <w:tabs>
        <w:tab w:val="left" w:leader="dot" w:pos="9360"/>
      </w:tabs>
      <w:suppressAutoHyphens/>
      <w:ind w:left="720" w:hanging="720"/>
      <w:jc w:val="both"/>
    </w:pPr>
  </w:style>
  <w:style w:type="paragraph" w:styleId="TOC8">
    <w:name w:val="toc 8"/>
    <w:basedOn w:val="Normal"/>
    <w:next w:val="Normal"/>
    <w:uiPriority w:val="99"/>
    <w:semiHidden/>
    <w:rsid w:val="007F028C"/>
    <w:pPr>
      <w:widowControl w:val="0"/>
      <w:tabs>
        <w:tab w:val="left" w:leader="dot" w:pos="9360"/>
      </w:tabs>
      <w:suppressAutoHyphens/>
      <w:ind w:left="720" w:hanging="720"/>
      <w:jc w:val="both"/>
    </w:pPr>
  </w:style>
  <w:style w:type="paragraph" w:styleId="TOC9">
    <w:name w:val="toc 9"/>
    <w:basedOn w:val="Normal"/>
    <w:next w:val="Normal"/>
    <w:uiPriority w:val="99"/>
    <w:semiHidden/>
    <w:rsid w:val="007F028C"/>
    <w:pPr>
      <w:tabs>
        <w:tab w:val="left" w:leader="dot" w:pos="9360"/>
      </w:tabs>
      <w:ind w:left="720" w:hanging="720"/>
      <w:jc w:val="both"/>
    </w:pPr>
  </w:style>
  <w:style w:type="character" w:styleId="PageNumber">
    <w:name w:val="page number"/>
    <w:uiPriority w:val="99"/>
    <w:rsid w:val="007F028C"/>
    <w:rPr>
      <w:rFonts w:cs="Times New Roman"/>
    </w:rPr>
  </w:style>
  <w:style w:type="paragraph" w:styleId="Title">
    <w:name w:val="Title"/>
    <w:basedOn w:val="Normal"/>
    <w:link w:val="TitleChar"/>
    <w:uiPriority w:val="99"/>
    <w:qFormat/>
    <w:rsid w:val="007F028C"/>
    <w:pPr>
      <w:jc w:val="center"/>
    </w:pPr>
    <w:rPr>
      <w:b/>
    </w:rPr>
  </w:style>
  <w:style w:type="character" w:customStyle="1" w:styleId="TitleChar">
    <w:name w:val="Title Char"/>
    <w:link w:val="Title"/>
    <w:uiPriority w:val="99"/>
    <w:locked/>
    <w:rsid w:val="0097526F"/>
    <w:rPr>
      <w:rFonts w:ascii="Cambria" w:hAnsi="Cambria" w:cs="Times New Roman"/>
      <w:b/>
      <w:bCs/>
      <w:kern w:val="28"/>
      <w:sz w:val="32"/>
      <w:szCs w:val="32"/>
    </w:rPr>
  </w:style>
  <w:style w:type="character" w:styleId="Hyperlink">
    <w:name w:val="Hyperlink"/>
    <w:uiPriority w:val="99"/>
    <w:rsid w:val="004D4A51"/>
    <w:rPr>
      <w:rFonts w:cs="Times New Roman"/>
      <w:color w:val="0000FF"/>
      <w:u w:val="single"/>
    </w:rPr>
  </w:style>
  <w:style w:type="character" w:styleId="FollowedHyperlink">
    <w:name w:val="FollowedHyperlink"/>
    <w:uiPriority w:val="99"/>
    <w:rsid w:val="00F32C50"/>
    <w:rPr>
      <w:rFonts w:cs="Times New Roman"/>
      <w:color w:val="800080"/>
      <w:u w:val="single"/>
    </w:rPr>
  </w:style>
  <w:style w:type="character" w:styleId="Emphasis">
    <w:name w:val="Emphasis"/>
    <w:qFormat/>
    <w:locked/>
    <w:rsid w:val="00B14BBA"/>
    <w:rPr>
      <w:i/>
    </w:rPr>
  </w:style>
  <w:style w:type="character" w:styleId="Strong">
    <w:name w:val="Strong"/>
    <w:uiPriority w:val="99"/>
    <w:qFormat/>
    <w:locked/>
    <w:rsid w:val="00B14BBA"/>
    <w:rPr>
      <w:b/>
    </w:rPr>
  </w:style>
  <w:style w:type="paragraph" w:styleId="BalloonText">
    <w:name w:val="Balloon Text"/>
    <w:basedOn w:val="Normal"/>
    <w:link w:val="BalloonTextChar"/>
    <w:uiPriority w:val="99"/>
    <w:semiHidden/>
    <w:locked/>
    <w:rsid w:val="00A133E9"/>
    <w:rPr>
      <w:rFonts w:ascii="Tahoma" w:hAnsi="Tahoma" w:cs="Tahoma"/>
      <w:sz w:val="16"/>
      <w:szCs w:val="16"/>
    </w:rPr>
  </w:style>
  <w:style w:type="character" w:customStyle="1" w:styleId="BalloonTextChar">
    <w:name w:val="Balloon Text Char"/>
    <w:link w:val="BalloonText"/>
    <w:uiPriority w:val="99"/>
    <w:semiHidden/>
    <w:rsid w:val="003568CA"/>
    <w:rPr>
      <w:sz w:val="0"/>
      <w:szCs w:val="0"/>
    </w:rPr>
  </w:style>
  <w:style w:type="character" w:styleId="CommentReference">
    <w:name w:val="annotation reference"/>
    <w:uiPriority w:val="99"/>
    <w:semiHidden/>
    <w:unhideWhenUsed/>
    <w:locked/>
    <w:rsid w:val="005920DF"/>
    <w:rPr>
      <w:sz w:val="16"/>
      <w:szCs w:val="16"/>
    </w:rPr>
  </w:style>
  <w:style w:type="paragraph" w:styleId="CommentText">
    <w:name w:val="annotation text"/>
    <w:basedOn w:val="Normal"/>
    <w:link w:val="CommentTextChar"/>
    <w:uiPriority w:val="99"/>
    <w:unhideWhenUsed/>
    <w:locked/>
    <w:rsid w:val="005920DF"/>
    <w:rPr>
      <w:sz w:val="20"/>
    </w:rPr>
  </w:style>
  <w:style w:type="character" w:customStyle="1" w:styleId="CommentTextChar">
    <w:name w:val="Comment Text Char"/>
    <w:link w:val="CommentText"/>
    <w:uiPriority w:val="99"/>
    <w:rsid w:val="005920DF"/>
    <w:rPr>
      <w:sz w:val="20"/>
      <w:szCs w:val="20"/>
    </w:rPr>
  </w:style>
  <w:style w:type="paragraph" w:styleId="CommentSubject">
    <w:name w:val="annotation subject"/>
    <w:basedOn w:val="CommentText"/>
    <w:next w:val="CommentText"/>
    <w:link w:val="CommentSubjectChar"/>
    <w:uiPriority w:val="99"/>
    <w:semiHidden/>
    <w:unhideWhenUsed/>
    <w:locked/>
    <w:rsid w:val="005920DF"/>
    <w:rPr>
      <w:b/>
      <w:bCs/>
    </w:rPr>
  </w:style>
  <w:style w:type="character" w:customStyle="1" w:styleId="CommentSubjectChar">
    <w:name w:val="Comment Subject Char"/>
    <w:link w:val="CommentSubject"/>
    <w:uiPriority w:val="99"/>
    <w:semiHidden/>
    <w:rsid w:val="005920DF"/>
    <w:rPr>
      <w:b/>
      <w:bCs/>
      <w:sz w:val="20"/>
      <w:szCs w:val="20"/>
    </w:rPr>
  </w:style>
  <w:style w:type="character" w:customStyle="1" w:styleId="ParaNumChar1">
    <w:name w:val="ParaNum Char1"/>
    <w:link w:val="ParaNum"/>
    <w:uiPriority w:val="99"/>
    <w:locked/>
    <w:rsid w:val="004F7FE5"/>
    <w:rPr>
      <w:sz w:val="22"/>
    </w:rPr>
  </w:style>
  <w:style w:type="character" w:customStyle="1" w:styleId="ptext-">
    <w:name w:val="ptext-"/>
    <w:rsid w:val="0095612E"/>
  </w:style>
  <w:style w:type="paragraph" w:styleId="Revision">
    <w:name w:val="Revision"/>
    <w:hidden/>
    <w:uiPriority w:val="99"/>
    <w:semiHidden/>
    <w:rsid w:val="00A75E94"/>
    <w:rPr>
      <w:sz w:val="22"/>
    </w:rPr>
  </w:style>
  <w:style w:type="paragraph" w:styleId="ListParagraph">
    <w:name w:val="List Paragraph"/>
    <w:basedOn w:val="Normal"/>
    <w:uiPriority w:val="34"/>
    <w:qFormat/>
    <w:rsid w:val="008F0894"/>
    <w:pPr>
      <w:spacing w:before="100" w:beforeAutospacing="1" w:after="100" w:afterAutospacing="1"/>
    </w:pPr>
    <w:rPr>
      <w:sz w:val="24"/>
      <w:szCs w:val="24"/>
    </w:rPr>
  </w:style>
  <w:style w:type="character" w:customStyle="1" w:styleId="contents">
    <w:name w:val="contents"/>
    <w:basedOn w:val="DefaultParagraphFont"/>
    <w:rsid w:val="00FA5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8153">
      <w:bodyDiv w:val="1"/>
      <w:marLeft w:val="0"/>
      <w:marRight w:val="0"/>
      <w:marTop w:val="0"/>
      <w:marBottom w:val="0"/>
      <w:divBdr>
        <w:top w:val="none" w:sz="0" w:space="0" w:color="auto"/>
        <w:left w:val="none" w:sz="0" w:space="0" w:color="auto"/>
        <w:bottom w:val="none" w:sz="0" w:space="0" w:color="auto"/>
        <w:right w:val="none" w:sz="0" w:space="0" w:color="auto"/>
      </w:divBdr>
    </w:div>
    <w:div w:id="223106998">
      <w:bodyDiv w:val="1"/>
      <w:marLeft w:val="0"/>
      <w:marRight w:val="0"/>
      <w:marTop w:val="0"/>
      <w:marBottom w:val="0"/>
      <w:divBdr>
        <w:top w:val="none" w:sz="0" w:space="0" w:color="auto"/>
        <w:left w:val="none" w:sz="0" w:space="0" w:color="auto"/>
        <w:bottom w:val="none" w:sz="0" w:space="0" w:color="auto"/>
        <w:right w:val="none" w:sz="0" w:space="0" w:color="auto"/>
      </w:divBdr>
    </w:div>
    <w:div w:id="600574015">
      <w:bodyDiv w:val="1"/>
      <w:marLeft w:val="0"/>
      <w:marRight w:val="0"/>
      <w:marTop w:val="0"/>
      <w:marBottom w:val="0"/>
      <w:divBdr>
        <w:top w:val="none" w:sz="0" w:space="0" w:color="auto"/>
        <w:left w:val="none" w:sz="0" w:space="0" w:color="auto"/>
        <w:bottom w:val="none" w:sz="0" w:space="0" w:color="auto"/>
        <w:right w:val="none" w:sz="0" w:space="0" w:color="auto"/>
      </w:divBdr>
    </w:div>
    <w:div w:id="691297135">
      <w:bodyDiv w:val="1"/>
      <w:marLeft w:val="0"/>
      <w:marRight w:val="0"/>
      <w:marTop w:val="0"/>
      <w:marBottom w:val="0"/>
      <w:divBdr>
        <w:top w:val="none" w:sz="0" w:space="0" w:color="auto"/>
        <w:left w:val="none" w:sz="0" w:space="0" w:color="auto"/>
        <w:bottom w:val="none" w:sz="0" w:space="0" w:color="auto"/>
        <w:right w:val="none" w:sz="0" w:space="0" w:color="auto"/>
      </w:divBdr>
    </w:div>
    <w:div w:id="1011882508">
      <w:bodyDiv w:val="1"/>
      <w:marLeft w:val="0"/>
      <w:marRight w:val="0"/>
      <w:marTop w:val="0"/>
      <w:marBottom w:val="0"/>
      <w:divBdr>
        <w:top w:val="none" w:sz="0" w:space="0" w:color="auto"/>
        <w:left w:val="none" w:sz="0" w:space="0" w:color="auto"/>
        <w:bottom w:val="none" w:sz="0" w:space="0" w:color="auto"/>
        <w:right w:val="none" w:sz="0" w:space="0" w:color="auto"/>
      </w:divBdr>
    </w:div>
    <w:div w:id="1315835093">
      <w:bodyDiv w:val="1"/>
      <w:marLeft w:val="0"/>
      <w:marRight w:val="0"/>
      <w:marTop w:val="0"/>
      <w:marBottom w:val="0"/>
      <w:divBdr>
        <w:top w:val="none" w:sz="0" w:space="0" w:color="auto"/>
        <w:left w:val="none" w:sz="0" w:space="0" w:color="auto"/>
        <w:bottom w:val="none" w:sz="0" w:space="0" w:color="auto"/>
        <w:right w:val="none" w:sz="0" w:space="0" w:color="auto"/>
      </w:divBdr>
      <w:divsChild>
        <w:div w:id="1113793113">
          <w:marLeft w:val="0"/>
          <w:marRight w:val="0"/>
          <w:marTop w:val="0"/>
          <w:marBottom w:val="0"/>
          <w:divBdr>
            <w:top w:val="none" w:sz="0" w:space="0" w:color="auto"/>
            <w:left w:val="none" w:sz="0" w:space="0" w:color="auto"/>
            <w:bottom w:val="none" w:sz="0" w:space="0" w:color="auto"/>
            <w:right w:val="none" w:sz="0" w:space="0" w:color="auto"/>
          </w:divBdr>
        </w:div>
        <w:div w:id="802505914">
          <w:marLeft w:val="0"/>
          <w:marRight w:val="0"/>
          <w:marTop w:val="0"/>
          <w:marBottom w:val="0"/>
          <w:divBdr>
            <w:top w:val="none" w:sz="0" w:space="0" w:color="auto"/>
            <w:left w:val="none" w:sz="0" w:space="0" w:color="auto"/>
            <w:bottom w:val="none" w:sz="0" w:space="0" w:color="auto"/>
            <w:right w:val="none" w:sz="0" w:space="0" w:color="auto"/>
          </w:divBdr>
        </w:div>
        <w:div w:id="611519720">
          <w:marLeft w:val="0"/>
          <w:marRight w:val="0"/>
          <w:marTop w:val="0"/>
          <w:marBottom w:val="0"/>
          <w:divBdr>
            <w:top w:val="none" w:sz="0" w:space="0" w:color="auto"/>
            <w:left w:val="none" w:sz="0" w:space="0" w:color="auto"/>
            <w:bottom w:val="none" w:sz="0" w:space="0" w:color="auto"/>
            <w:right w:val="none" w:sz="0" w:space="0" w:color="auto"/>
          </w:divBdr>
        </w:div>
        <w:div w:id="960957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ptioningexemption@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hraunfoss.fcc.gov/edocs_public/attachmatch/DOC-323421A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berg\AppData\Local\Temp\Orde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Order_Template</Template>
  <TotalTime>0</TotalTime>
  <Pages>2</Pages>
  <Words>2066</Words>
  <Characters>11445</Characters>
  <Application>Microsoft Office Word</Application>
  <DocSecurity>0</DocSecurity>
  <Lines>190</Lines>
  <Paragraphs>49</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13543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2014-10-20T14:44:00Z</cp:lastPrinted>
  <dcterms:created xsi:type="dcterms:W3CDTF">2014-10-24T19:54:00Z</dcterms:created>
  <dcterms:modified xsi:type="dcterms:W3CDTF">2014-10-24T19:54:00Z</dcterms:modified>
  <cp:category> </cp:category>
  <cp:contentStatus> </cp:contentStatus>
</cp:coreProperties>
</file>