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850" w:rsidRDefault="00C32850">
      <w:pPr>
        <w:pStyle w:val="Heading1"/>
        <w:rPr>
          <w:szCs w:val="22"/>
        </w:rPr>
      </w:pPr>
      <w:bookmarkStart w:id="0" w:name="OLE_LINK1"/>
      <w:bookmarkStart w:id="1" w:name="OLE_LINK2"/>
      <w:bookmarkStart w:id="2" w:name="_GoBack"/>
      <w:bookmarkEnd w:id="2"/>
      <w:r>
        <w:rPr>
          <w:szCs w:val="22"/>
        </w:rPr>
        <w:t>Before the</w:t>
      </w:r>
    </w:p>
    <w:p w:rsidR="00C32850" w:rsidRDefault="00C32850">
      <w:pPr>
        <w:pStyle w:val="Heading1"/>
        <w:rPr>
          <w:szCs w:val="22"/>
        </w:rPr>
      </w:pPr>
      <w:r>
        <w:rPr>
          <w:szCs w:val="22"/>
        </w:rPr>
        <w:t>Federal Communications Commission</w:t>
      </w:r>
    </w:p>
    <w:p w:rsidR="00C32850" w:rsidRDefault="00C32850">
      <w:pPr>
        <w:pStyle w:val="Heading1"/>
        <w:rPr>
          <w:szCs w:val="22"/>
        </w:rPr>
      </w:pPr>
      <w:r>
        <w:rPr>
          <w:szCs w:val="22"/>
        </w:rPr>
        <w:t>Washington, D.C. 20554</w:t>
      </w:r>
    </w:p>
    <w:p w:rsidR="00C32850" w:rsidRDefault="00C32850">
      <w:pPr>
        <w:tabs>
          <w:tab w:val="left" w:pos="-720"/>
        </w:tabs>
        <w:suppressAutoHyphens/>
        <w:spacing w:line="227" w:lineRule="auto"/>
        <w:jc w:val="both"/>
        <w:rPr>
          <w:spacing w:val="-2"/>
          <w:sz w:val="22"/>
          <w:szCs w:val="22"/>
        </w:rPr>
      </w:pPr>
    </w:p>
    <w:tbl>
      <w:tblPr>
        <w:tblW w:w="0" w:type="auto"/>
        <w:tblLook w:val="0000" w:firstRow="0" w:lastRow="0" w:firstColumn="0" w:lastColumn="0" w:noHBand="0" w:noVBand="0"/>
      </w:tblPr>
      <w:tblGrid>
        <w:gridCol w:w="4104"/>
        <w:gridCol w:w="995"/>
        <w:gridCol w:w="3757"/>
      </w:tblGrid>
      <w:tr w:rsidR="00C32850">
        <w:tc>
          <w:tcPr>
            <w:tcW w:w="4104" w:type="dxa"/>
          </w:tcPr>
          <w:p w:rsidR="00C32850" w:rsidRDefault="00C32850">
            <w:pPr>
              <w:rPr>
                <w:sz w:val="22"/>
                <w:szCs w:val="22"/>
              </w:rPr>
            </w:pPr>
            <w:r>
              <w:rPr>
                <w:sz w:val="22"/>
                <w:szCs w:val="22"/>
              </w:rPr>
              <w:t>In the Matter of</w:t>
            </w:r>
          </w:p>
          <w:p w:rsidR="00C32850" w:rsidRDefault="00C32850">
            <w:pPr>
              <w:rPr>
                <w:sz w:val="22"/>
                <w:szCs w:val="22"/>
              </w:rPr>
            </w:pPr>
          </w:p>
          <w:p w:rsidR="00C32850" w:rsidRDefault="000266E4">
            <w:pPr>
              <w:keepNext/>
              <w:rPr>
                <w:sz w:val="22"/>
                <w:szCs w:val="22"/>
              </w:rPr>
            </w:pPr>
            <w:r>
              <w:rPr>
                <w:sz w:val="22"/>
                <w:szCs w:val="22"/>
              </w:rPr>
              <w:t>Michael H. Glass</w:t>
            </w:r>
          </w:p>
          <w:p w:rsidR="00C32850" w:rsidRDefault="00C32850">
            <w:pPr>
              <w:keepNext/>
              <w:rPr>
                <w:sz w:val="22"/>
                <w:szCs w:val="22"/>
              </w:rPr>
            </w:pPr>
            <w:r>
              <w:rPr>
                <w:sz w:val="22"/>
                <w:szCs w:val="22"/>
              </w:rPr>
              <w:t xml:space="preserve">Licensee of Station </w:t>
            </w:r>
            <w:r w:rsidR="003D4D1A">
              <w:rPr>
                <w:sz w:val="22"/>
                <w:szCs w:val="22"/>
              </w:rPr>
              <w:t>WMER(</w:t>
            </w:r>
            <w:r w:rsidR="000266E4">
              <w:rPr>
                <w:sz w:val="22"/>
                <w:szCs w:val="22"/>
              </w:rPr>
              <w:t>AM</w:t>
            </w:r>
            <w:r w:rsidR="003D4D1A">
              <w:rPr>
                <w:sz w:val="22"/>
                <w:szCs w:val="22"/>
              </w:rPr>
              <w:t>)</w:t>
            </w:r>
          </w:p>
          <w:p w:rsidR="00C32850" w:rsidRDefault="000266E4">
            <w:pPr>
              <w:keepNext/>
              <w:rPr>
                <w:sz w:val="22"/>
                <w:szCs w:val="22"/>
              </w:rPr>
            </w:pPr>
            <w:r>
              <w:rPr>
                <w:sz w:val="22"/>
                <w:szCs w:val="22"/>
              </w:rPr>
              <w:t>Meridian, Mississippi</w:t>
            </w:r>
          </w:p>
          <w:p w:rsidR="00C32850" w:rsidRDefault="00C32850">
            <w:pPr>
              <w:keepNext/>
              <w:rPr>
                <w:sz w:val="22"/>
                <w:szCs w:val="22"/>
              </w:rPr>
            </w:pPr>
          </w:p>
          <w:p w:rsidR="00C32850" w:rsidRDefault="00C32850">
            <w:pPr>
              <w:keepNext/>
              <w:rPr>
                <w:sz w:val="22"/>
                <w:szCs w:val="22"/>
              </w:rPr>
            </w:pPr>
          </w:p>
        </w:tc>
        <w:tc>
          <w:tcPr>
            <w:tcW w:w="995" w:type="dxa"/>
          </w:tcPr>
          <w:p w:rsidR="00C32850" w:rsidRDefault="00C32850">
            <w:pPr>
              <w:jc w:val="center"/>
              <w:rPr>
                <w:rFonts w:ascii="Times New Roman Bold" w:hAnsi="Times New Roman Bold"/>
                <w:sz w:val="22"/>
                <w:szCs w:val="22"/>
              </w:rPr>
            </w:pPr>
            <w:r>
              <w:rPr>
                <w:rFonts w:ascii="Times New Roman Bold" w:hAnsi="Times New Roman Bold"/>
                <w:sz w:val="22"/>
                <w:szCs w:val="22"/>
              </w:rPr>
              <w:t>)</w:t>
            </w:r>
          </w:p>
          <w:p w:rsidR="00C32850" w:rsidRDefault="00C32850">
            <w:pPr>
              <w:jc w:val="center"/>
              <w:rPr>
                <w:rFonts w:ascii="Times New Roman Bold" w:hAnsi="Times New Roman Bold"/>
                <w:sz w:val="22"/>
                <w:szCs w:val="22"/>
              </w:rPr>
            </w:pPr>
            <w:r>
              <w:rPr>
                <w:rFonts w:ascii="Times New Roman Bold" w:hAnsi="Times New Roman Bold"/>
                <w:sz w:val="22"/>
                <w:szCs w:val="22"/>
              </w:rPr>
              <w:t>)</w:t>
            </w:r>
          </w:p>
          <w:p w:rsidR="00C32850" w:rsidRDefault="00C32850">
            <w:pPr>
              <w:jc w:val="center"/>
              <w:rPr>
                <w:rFonts w:ascii="Times New Roman Bold" w:hAnsi="Times New Roman Bold"/>
                <w:sz w:val="22"/>
                <w:szCs w:val="22"/>
              </w:rPr>
            </w:pPr>
            <w:r>
              <w:rPr>
                <w:rFonts w:ascii="Times New Roman Bold" w:hAnsi="Times New Roman Bold"/>
                <w:sz w:val="22"/>
                <w:szCs w:val="22"/>
              </w:rPr>
              <w:t>)</w:t>
            </w:r>
          </w:p>
          <w:p w:rsidR="00C32850" w:rsidRDefault="00C32850">
            <w:pPr>
              <w:jc w:val="center"/>
              <w:rPr>
                <w:rFonts w:ascii="Times New Roman Bold" w:hAnsi="Times New Roman Bold"/>
                <w:sz w:val="22"/>
                <w:szCs w:val="22"/>
              </w:rPr>
            </w:pPr>
            <w:r>
              <w:rPr>
                <w:rFonts w:ascii="Times New Roman Bold" w:hAnsi="Times New Roman Bold"/>
                <w:sz w:val="22"/>
                <w:szCs w:val="22"/>
              </w:rPr>
              <w:t>)</w:t>
            </w:r>
          </w:p>
          <w:p w:rsidR="00C32850" w:rsidRDefault="00C32850">
            <w:pPr>
              <w:jc w:val="center"/>
              <w:rPr>
                <w:rFonts w:ascii="Times New Roman Bold" w:hAnsi="Times New Roman Bold"/>
                <w:sz w:val="22"/>
                <w:szCs w:val="22"/>
              </w:rPr>
            </w:pPr>
            <w:r>
              <w:rPr>
                <w:rFonts w:ascii="Times New Roman Bold" w:hAnsi="Times New Roman Bold"/>
                <w:sz w:val="22"/>
                <w:szCs w:val="22"/>
              </w:rPr>
              <w:t>)</w:t>
            </w:r>
          </w:p>
          <w:p w:rsidR="00C32850" w:rsidRDefault="00C32850">
            <w:pPr>
              <w:keepNext/>
              <w:jc w:val="center"/>
              <w:rPr>
                <w:rFonts w:ascii="Times New Roman Bold" w:hAnsi="Times New Roman Bold"/>
                <w:spacing w:val="-2"/>
                <w:sz w:val="22"/>
                <w:szCs w:val="22"/>
              </w:rPr>
            </w:pPr>
            <w:r>
              <w:rPr>
                <w:rFonts w:ascii="Times New Roman Bold" w:hAnsi="Times New Roman Bold"/>
                <w:spacing w:val="-2"/>
                <w:sz w:val="22"/>
                <w:szCs w:val="22"/>
              </w:rPr>
              <w:t>)</w:t>
            </w:r>
          </w:p>
          <w:p w:rsidR="00C32850" w:rsidRDefault="00C32850">
            <w:pPr>
              <w:keepNext/>
              <w:rPr>
                <w:rFonts w:ascii="Times New Roman Bold" w:hAnsi="Times New Roman Bold"/>
                <w:spacing w:val="-2"/>
                <w:sz w:val="22"/>
                <w:szCs w:val="22"/>
              </w:rPr>
            </w:pPr>
          </w:p>
        </w:tc>
        <w:tc>
          <w:tcPr>
            <w:tcW w:w="3757" w:type="dxa"/>
          </w:tcPr>
          <w:p w:rsidR="00B02C12" w:rsidRDefault="00B02C12" w:rsidP="00B02C12">
            <w:pPr>
              <w:rPr>
                <w:spacing w:val="-2"/>
                <w:sz w:val="22"/>
                <w:szCs w:val="22"/>
              </w:rPr>
            </w:pPr>
          </w:p>
          <w:p w:rsidR="00B02C12" w:rsidRDefault="00B02C12" w:rsidP="00B02C12">
            <w:pPr>
              <w:rPr>
                <w:spacing w:val="-2"/>
                <w:sz w:val="22"/>
                <w:szCs w:val="22"/>
              </w:rPr>
            </w:pPr>
            <w:r>
              <w:rPr>
                <w:spacing w:val="-2"/>
                <w:sz w:val="22"/>
                <w:szCs w:val="22"/>
              </w:rPr>
              <w:t xml:space="preserve">NAL/Account No:  </w:t>
            </w:r>
            <w:r w:rsidR="004005B9">
              <w:rPr>
                <w:spacing w:val="-2"/>
                <w:sz w:val="22"/>
                <w:szCs w:val="22"/>
              </w:rPr>
              <w:t>MB-</w:t>
            </w:r>
            <w:r w:rsidRPr="00FF42BB">
              <w:rPr>
                <w:sz w:val="22"/>
                <w:szCs w:val="22"/>
              </w:rPr>
              <w:t>201441410009</w:t>
            </w:r>
          </w:p>
          <w:p w:rsidR="00BD5FD7" w:rsidRDefault="00B02C12">
            <w:pPr>
              <w:rPr>
                <w:spacing w:val="-2"/>
                <w:sz w:val="22"/>
                <w:szCs w:val="22"/>
              </w:rPr>
            </w:pPr>
            <w:r>
              <w:rPr>
                <w:spacing w:val="-2"/>
                <w:sz w:val="22"/>
                <w:szCs w:val="22"/>
              </w:rPr>
              <w:t>FRN: 0003779345</w:t>
            </w:r>
          </w:p>
          <w:p w:rsidR="00C32850" w:rsidRDefault="00C32850">
            <w:pPr>
              <w:rPr>
                <w:spacing w:val="-2"/>
                <w:sz w:val="22"/>
                <w:szCs w:val="22"/>
              </w:rPr>
            </w:pPr>
            <w:r>
              <w:rPr>
                <w:spacing w:val="-2"/>
                <w:sz w:val="22"/>
                <w:szCs w:val="22"/>
              </w:rPr>
              <w:t xml:space="preserve">Facility I.D. No. </w:t>
            </w:r>
            <w:r w:rsidR="000266E4">
              <w:rPr>
                <w:spacing w:val="-2"/>
                <w:sz w:val="22"/>
                <w:szCs w:val="22"/>
              </w:rPr>
              <w:t>48542</w:t>
            </w:r>
          </w:p>
          <w:p w:rsidR="00C32850" w:rsidRDefault="000266E4">
            <w:pPr>
              <w:rPr>
                <w:spacing w:val="-2"/>
                <w:sz w:val="22"/>
                <w:szCs w:val="22"/>
              </w:rPr>
            </w:pPr>
            <w:r>
              <w:rPr>
                <w:spacing w:val="-2"/>
                <w:sz w:val="22"/>
                <w:szCs w:val="22"/>
              </w:rPr>
              <w:t>File No</w:t>
            </w:r>
            <w:r w:rsidR="003D4D1A">
              <w:rPr>
                <w:spacing w:val="-2"/>
                <w:sz w:val="22"/>
                <w:szCs w:val="22"/>
              </w:rPr>
              <w:t>.:  BR</w:t>
            </w:r>
            <w:r w:rsidR="00C32850">
              <w:rPr>
                <w:spacing w:val="-2"/>
                <w:sz w:val="22"/>
                <w:szCs w:val="22"/>
              </w:rPr>
              <w:t>-</w:t>
            </w:r>
            <w:r>
              <w:rPr>
                <w:spacing w:val="-2"/>
                <w:sz w:val="22"/>
                <w:szCs w:val="22"/>
              </w:rPr>
              <w:t>20120208ADO</w:t>
            </w:r>
          </w:p>
          <w:p w:rsidR="00C32850" w:rsidRDefault="00C32850" w:rsidP="00B02C12">
            <w:pPr>
              <w:rPr>
                <w:spacing w:val="-2"/>
                <w:sz w:val="22"/>
                <w:szCs w:val="22"/>
              </w:rPr>
            </w:pPr>
          </w:p>
        </w:tc>
      </w:tr>
    </w:tbl>
    <w:bookmarkEnd w:id="0"/>
    <w:bookmarkEnd w:id="1"/>
    <w:p w:rsidR="00C32850" w:rsidRDefault="00C32850">
      <w:pPr>
        <w:pStyle w:val="Heading1"/>
        <w:rPr>
          <w:szCs w:val="22"/>
        </w:rPr>
      </w:pPr>
      <w:r>
        <w:rPr>
          <w:szCs w:val="22"/>
        </w:rPr>
        <w:fldChar w:fldCharType="begin"/>
      </w:r>
      <w:r>
        <w:rPr>
          <w:szCs w:val="22"/>
        </w:rPr>
        <w:instrText xml:space="preserve"> AUTOTEXTLIST  \* MERGEFORMAT </w:instrText>
      </w:r>
      <w:r>
        <w:rPr>
          <w:szCs w:val="22"/>
        </w:rPr>
        <w:fldChar w:fldCharType="separate"/>
      </w:r>
      <w:r>
        <w:rPr>
          <w:szCs w:val="22"/>
        </w:rPr>
        <w:t>ORDER</w:t>
      </w:r>
      <w:r>
        <w:rPr>
          <w:szCs w:val="22"/>
        </w:rPr>
        <w:fldChar w:fldCharType="end"/>
      </w:r>
    </w:p>
    <w:p w:rsidR="00C32850" w:rsidRDefault="00C32850">
      <w:pPr>
        <w:tabs>
          <w:tab w:val="left" w:pos="-720"/>
        </w:tabs>
        <w:suppressAutoHyphens/>
        <w:spacing w:line="227" w:lineRule="auto"/>
        <w:jc w:val="both"/>
        <w:rPr>
          <w:spacing w:val="-2"/>
          <w:sz w:val="22"/>
          <w:szCs w:val="22"/>
        </w:rPr>
      </w:pPr>
    </w:p>
    <w:p w:rsidR="00C32850" w:rsidRDefault="00C32850">
      <w:pPr>
        <w:tabs>
          <w:tab w:val="left" w:pos="720"/>
          <w:tab w:val="left" w:pos="5400"/>
        </w:tabs>
        <w:suppressAutoHyphens/>
        <w:spacing w:line="227" w:lineRule="auto"/>
        <w:rPr>
          <w:b/>
          <w:spacing w:val="-2"/>
          <w:sz w:val="22"/>
          <w:szCs w:val="22"/>
        </w:rPr>
      </w:pPr>
      <w:r>
        <w:rPr>
          <w:b/>
          <w:spacing w:val="-2"/>
          <w:sz w:val="22"/>
          <w:szCs w:val="22"/>
        </w:rPr>
        <w:t xml:space="preserve">Adopted: </w:t>
      </w:r>
      <w:r w:rsidR="00AA501B">
        <w:rPr>
          <w:b/>
          <w:spacing w:val="-2"/>
          <w:sz w:val="22"/>
          <w:szCs w:val="22"/>
        </w:rPr>
        <w:t>February</w:t>
      </w:r>
      <w:r>
        <w:rPr>
          <w:b/>
          <w:spacing w:val="-2"/>
          <w:sz w:val="22"/>
          <w:szCs w:val="22"/>
        </w:rPr>
        <w:t xml:space="preserve"> </w:t>
      </w:r>
      <w:r w:rsidR="00506489">
        <w:rPr>
          <w:b/>
          <w:spacing w:val="-2"/>
          <w:sz w:val="22"/>
          <w:szCs w:val="22"/>
        </w:rPr>
        <w:t>6</w:t>
      </w:r>
      <w:r>
        <w:rPr>
          <w:b/>
          <w:spacing w:val="-2"/>
          <w:sz w:val="22"/>
          <w:szCs w:val="22"/>
        </w:rPr>
        <w:t>, 201</w:t>
      </w:r>
      <w:r w:rsidR="00AA501B">
        <w:rPr>
          <w:b/>
          <w:spacing w:val="-2"/>
          <w:sz w:val="22"/>
          <w:szCs w:val="22"/>
        </w:rPr>
        <w:t>4</w:t>
      </w:r>
      <w:r>
        <w:rPr>
          <w:b/>
          <w:spacing w:val="-2"/>
          <w:sz w:val="22"/>
          <w:szCs w:val="22"/>
        </w:rPr>
        <w:tab/>
        <w:t xml:space="preserve">              Released: </w:t>
      </w:r>
      <w:r w:rsidR="00AA501B">
        <w:rPr>
          <w:b/>
          <w:spacing w:val="-2"/>
          <w:sz w:val="22"/>
          <w:szCs w:val="22"/>
        </w:rPr>
        <w:t>February</w:t>
      </w:r>
      <w:r>
        <w:rPr>
          <w:b/>
          <w:spacing w:val="-2"/>
          <w:sz w:val="22"/>
          <w:szCs w:val="22"/>
        </w:rPr>
        <w:t xml:space="preserve"> </w:t>
      </w:r>
      <w:r w:rsidR="00506489">
        <w:rPr>
          <w:b/>
          <w:spacing w:val="-2"/>
          <w:sz w:val="22"/>
          <w:szCs w:val="22"/>
        </w:rPr>
        <w:t>6</w:t>
      </w:r>
      <w:r w:rsidR="00AA501B">
        <w:rPr>
          <w:b/>
          <w:spacing w:val="-2"/>
          <w:sz w:val="22"/>
          <w:szCs w:val="22"/>
        </w:rPr>
        <w:t>, 2014</w:t>
      </w:r>
    </w:p>
    <w:p w:rsidR="00C32850" w:rsidRDefault="00C32850">
      <w:pPr>
        <w:jc w:val="both"/>
        <w:rPr>
          <w:sz w:val="22"/>
          <w:szCs w:val="22"/>
        </w:rPr>
      </w:pPr>
    </w:p>
    <w:p w:rsidR="00C32850" w:rsidRDefault="00C32850">
      <w:pPr>
        <w:jc w:val="both"/>
        <w:rPr>
          <w:sz w:val="22"/>
          <w:szCs w:val="22"/>
        </w:rPr>
      </w:pPr>
      <w:r>
        <w:rPr>
          <w:sz w:val="22"/>
          <w:szCs w:val="22"/>
        </w:rPr>
        <w:t xml:space="preserve">By the Chief, Media Bureau: </w:t>
      </w:r>
    </w:p>
    <w:p w:rsidR="00C32850" w:rsidRDefault="00C32850">
      <w:pPr>
        <w:pStyle w:val="par1"/>
        <w:numPr>
          <w:ilvl w:val="0"/>
          <w:numId w:val="0"/>
        </w:numPr>
        <w:rPr>
          <w:szCs w:val="22"/>
        </w:rPr>
      </w:pPr>
    </w:p>
    <w:p w:rsidR="00AF40A5" w:rsidRDefault="00C32850">
      <w:pPr>
        <w:pStyle w:val="par1"/>
        <w:tabs>
          <w:tab w:val="num" w:pos="1260"/>
        </w:tabs>
        <w:spacing w:after="240"/>
        <w:jc w:val="both"/>
        <w:rPr>
          <w:szCs w:val="22"/>
        </w:rPr>
      </w:pPr>
      <w:r>
        <w:rPr>
          <w:szCs w:val="22"/>
        </w:rPr>
        <w:t xml:space="preserve">In this Order, we adopt the attached Consent Decree entered into between the Media Bureau (“Bureau”) of the Federal Communications Commission ( “Commission”) and </w:t>
      </w:r>
      <w:r w:rsidR="0081717A">
        <w:rPr>
          <w:szCs w:val="22"/>
        </w:rPr>
        <w:t>Michael H. Glass</w:t>
      </w:r>
      <w:r w:rsidR="003D4D1A">
        <w:rPr>
          <w:szCs w:val="22"/>
        </w:rPr>
        <w:t xml:space="preserve"> (</w:t>
      </w:r>
      <w:r>
        <w:rPr>
          <w:szCs w:val="22"/>
        </w:rPr>
        <w:t xml:space="preserve">“Licensee”), licensee of </w:t>
      </w:r>
      <w:r w:rsidR="0081717A">
        <w:rPr>
          <w:szCs w:val="22"/>
        </w:rPr>
        <w:t>WMER</w:t>
      </w:r>
      <w:r>
        <w:rPr>
          <w:szCs w:val="22"/>
        </w:rPr>
        <w:t>(</w:t>
      </w:r>
      <w:r w:rsidR="0081717A">
        <w:rPr>
          <w:szCs w:val="22"/>
        </w:rPr>
        <w:t>AM</w:t>
      </w:r>
      <w:r>
        <w:rPr>
          <w:szCs w:val="22"/>
        </w:rPr>
        <w:t xml:space="preserve">), </w:t>
      </w:r>
      <w:r w:rsidR="0081717A">
        <w:rPr>
          <w:szCs w:val="22"/>
        </w:rPr>
        <w:t>Meridian,</w:t>
      </w:r>
      <w:r>
        <w:rPr>
          <w:szCs w:val="22"/>
        </w:rPr>
        <w:t xml:space="preserve"> </w:t>
      </w:r>
      <w:r w:rsidR="0081717A">
        <w:rPr>
          <w:szCs w:val="22"/>
        </w:rPr>
        <w:t>Mississippi</w:t>
      </w:r>
      <w:r>
        <w:rPr>
          <w:szCs w:val="22"/>
        </w:rPr>
        <w:t xml:space="preserve"> ( “Station”).  </w:t>
      </w:r>
      <w:r w:rsidR="00395EF9">
        <w:rPr>
          <w:szCs w:val="22"/>
        </w:rPr>
        <w:t>The Consent Decree resolves issues arising from the Bureau’s review of the captioned license renewal application for the Station (“Application”).</w:t>
      </w:r>
    </w:p>
    <w:p w:rsidR="00B821C4" w:rsidRDefault="00AF40A5">
      <w:pPr>
        <w:pStyle w:val="par1"/>
        <w:tabs>
          <w:tab w:val="num" w:pos="1260"/>
        </w:tabs>
        <w:spacing w:after="240"/>
        <w:jc w:val="both"/>
        <w:rPr>
          <w:szCs w:val="22"/>
        </w:rPr>
      </w:pPr>
      <w:r>
        <w:rPr>
          <w:szCs w:val="22"/>
        </w:rPr>
        <w:t>In the Application</w:t>
      </w:r>
      <w:r w:rsidR="00C32850">
        <w:rPr>
          <w:szCs w:val="22"/>
        </w:rPr>
        <w:t>, Licensee disclosed the existence of a Notice of Apparent Liability for Forfeiture (“</w:t>
      </w:r>
      <w:r w:rsidR="00C32850" w:rsidRPr="003F01EC">
        <w:rPr>
          <w:i/>
          <w:szCs w:val="22"/>
        </w:rPr>
        <w:t>NAL</w:t>
      </w:r>
      <w:r w:rsidR="00C32850">
        <w:rPr>
          <w:szCs w:val="22"/>
        </w:rPr>
        <w:t>”) and a Forfeiture Order issued by the Enforcement Bureau on March 6, 2008, and June 2, 2008, respectively.</w:t>
      </w:r>
      <w:r>
        <w:rPr>
          <w:rStyle w:val="FootnoteReference"/>
          <w:szCs w:val="22"/>
        </w:rPr>
        <w:footnoteReference w:id="2"/>
      </w:r>
      <w:r w:rsidR="00C32850">
        <w:rPr>
          <w:szCs w:val="22"/>
        </w:rPr>
        <w:t xml:space="preserve">   </w:t>
      </w:r>
      <w:r w:rsidR="003F01EC">
        <w:rPr>
          <w:szCs w:val="22"/>
        </w:rPr>
        <w:t xml:space="preserve">In the </w:t>
      </w:r>
      <w:r w:rsidR="003F01EC">
        <w:rPr>
          <w:i/>
          <w:szCs w:val="22"/>
        </w:rPr>
        <w:t>NAL</w:t>
      </w:r>
      <w:r w:rsidR="003F01EC">
        <w:rPr>
          <w:szCs w:val="22"/>
        </w:rPr>
        <w:t>, the Enforcement Bureau</w:t>
      </w:r>
      <w:r w:rsidR="00D477E1">
        <w:rPr>
          <w:szCs w:val="22"/>
        </w:rPr>
        <w:t xml:space="preserve"> found Licensee apparently liable for a forfeiture of $16,000 for failing to have an operational Emergency Alert System as required by Section 11.35 of the Commission’s rules (“Rules”),</w:t>
      </w:r>
      <w:r w:rsidR="003F01EC">
        <w:rPr>
          <w:rStyle w:val="FootnoteReference"/>
          <w:szCs w:val="22"/>
        </w:rPr>
        <w:footnoteReference w:id="3"/>
      </w:r>
      <w:r w:rsidR="00D477E1">
        <w:rPr>
          <w:szCs w:val="22"/>
        </w:rPr>
        <w:t xml:space="preserve"> failing to operate within authorized power limitations in violation of Section 73.1745(a) of the Rules,</w:t>
      </w:r>
      <w:r w:rsidR="003F01EC">
        <w:rPr>
          <w:rStyle w:val="FootnoteReference"/>
          <w:szCs w:val="22"/>
        </w:rPr>
        <w:footnoteReference w:id="4"/>
      </w:r>
      <w:r w:rsidR="00D477E1">
        <w:rPr>
          <w:szCs w:val="22"/>
        </w:rPr>
        <w:t xml:space="preserve"> and failing to have a license for the Station’s Studio to Transmitter link in violation of Section 301 of the Communications Act of 1934, as amended.</w:t>
      </w:r>
      <w:r w:rsidR="00C32850">
        <w:rPr>
          <w:rStyle w:val="FootnoteReference"/>
          <w:sz w:val="22"/>
          <w:szCs w:val="22"/>
        </w:rPr>
        <w:footnoteReference w:id="5"/>
      </w:r>
      <w:r w:rsidR="00D477E1">
        <w:rPr>
          <w:szCs w:val="22"/>
        </w:rPr>
        <w:t xml:space="preserve">  </w:t>
      </w:r>
      <w:r w:rsidR="00B821C4">
        <w:rPr>
          <w:szCs w:val="22"/>
        </w:rPr>
        <w:t>After Licensee demonstrated that the proposed forfeiture would pose a financial hardship, t</w:t>
      </w:r>
      <w:r w:rsidR="00D477E1">
        <w:rPr>
          <w:szCs w:val="22"/>
        </w:rPr>
        <w:t xml:space="preserve">he </w:t>
      </w:r>
      <w:r w:rsidR="00B821C4">
        <w:rPr>
          <w:szCs w:val="22"/>
        </w:rPr>
        <w:t xml:space="preserve">Enforcement Bureau reduced the </w:t>
      </w:r>
      <w:r w:rsidR="00D477E1">
        <w:rPr>
          <w:szCs w:val="22"/>
        </w:rPr>
        <w:t xml:space="preserve">forfeiture amount to $1,500.  </w:t>
      </w:r>
    </w:p>
    <w:p w:rsidR="00C32850" w:rsidRPr="00B821C4" w:rsidRDefault="00D477E1" w:rsidP="00B821C4">
      <w:pPr>
        <w:pStyle w:val="par1"/>
        <w:tabs>
          <w:tab w:val="num" w:pos="1260"/>
        </w:tabs>
        <w:spacing w:after="240"/>
        <w:jc w:val="both"/>
        <w:rPr>
          <w:szCs w:val="22"/>
        </w:rPr>
      </w:pPr>
      <w:r w:rsidRPr="00B821C4">
        <w:rPr>
          <w:szCs w:val="22"/>
        </w:rPr>
        <w:t xml:space="preserve">During </w:t>
      </w:r>
      <w:r w:rsidR="00B821C4">
        <w:rPr>
          <w:szCs w:val="22"/>
        </w:rPr>
        <w:t>our review</w:t>
      </w:r>
      <w:r w:rsidRPr="00B821C4">
        <w:rPr>
          <w:szCs w:val="22"/>
        </w:rPr>
        <w:t xml:space="preserve"> of the </w:t>
      </w:r>
      <w:r w:rsidR="00B821C4">
        <w:rPr>
          <w:szCs w:val="22"/>
        </w:rPr>
        <w:t>Application</w:t>
      </w:r>
      <w:r w:rsidRPr="00B821C4">
        <w:rPr>
          <w:szCs w:val="22"/>
        </w:rPr>
        <w:t xml:space="preserve">, </w:t>
      </w:r>
      <w:r w:rsidR="00B821C4">
        <w:rPr>
          <w:szCs w:val="22"/>
        </w:rPr>
        <w:t>we</w:t>
      </w:r>
      <w:r w:rsidRPr="00B821C4">
        <w:rPr>
          <w:szCs w:val="22"/>
        </w:rPr>
        <w:t xml:space="preserve"> determined that Licensee had not remitted payment of the monetary forfeiture as directed by the Forfeiture Order and that, after the Office of the United States Attorneys declined to institute collection procedures based on the amount involved, the Commission had cancelled the unpaid forfeiture.</w:t>
      </w:r>
      <w:r w:rsidR="00B821C4">
        <w:rPr>
          <w:szCs w:val="22"/>
        </w:rPr>
        <w:t xml:space="preserve">  </w:t>
      </w:r>
      <w:r w:rsidR="00C32850" w:rsidRPr="00B821C4">
        <w:rPr>
          <w:szCs w:val="22"/>
        </w:rPr>
        <w:t xml:space="preserve">The Bureau and the Licensee have negotiated </w:t>
      </w:r>
      <w:r w:rsidR="00B821C4">
        <w:rPr>
          <w:szCs w:val="22"/>
        </w:rPr>
        <w:t>a</w:t>
      </w:r>
      <w:r w:rsidR="00C32850" w:rsidRPr="00B821C4">
        <w:rPr>
          <w:szCs w:val="22"/>
        </w:rPr>
        <w:t xml:space="preserve"> Consent Decree that </w:t>
      </w:r>
      <w:r w:rsidR="00395EF9">
        <w:rPr>
          <w:szCs w:val="22"/>
        </w:rPr>
        <w:t>provides that Licensee will institute and maintain, for three years, a Compliance Plan for the Station and make a $1,500 voluntary contribution to the United States Treasury</w:t>
      </w:r>
      <w:r w:rsidR="00C32850" w:rsidRPr="00B821C4">
        <w:rPr>
          <w:szCs w:val="22"/>
        </w:rPr>
        <w:t xml:space="preserve">.   A copy of the Consent Decree is attached and incorporated by reference.  </w:t>
      </w:r>
    </w:p>
    <w:p w:rsidR="00C32850" w:rsidRPr="00AB53AD" w:rsidRDefault="00395EF9" w:rsidP="00AB53AD">
      <w:pPr>
        <w:pStyle w:val="par1"/>
        <w:tabs>
          <w:tab w:val="num" w:pos="1260"/>
        </w:tabs>
        <w:spacing w:after="240"/>
        <w:jc w:val="both"/>
        <w:rPr>
          <w:szCs w:val="22"/>
        </w:rPr>
      </w:pPr>
      <w:r w:rsidRPr="00AB53AD">
        <w:rPr>
          <w:szCs w:val="22"/>
        </w:rPr>
        <w:lastRenderedPageBreak/>
        <w:t>After reviewing the terms of the Consent Decree and evaluating the facts before us, we find that the public interest would be served by its approval</w:t>
      </w:r>
      <w:r w:rsidR="00B64FEB">
        <w:rPr>
          <w:szCs w:val="22"/>
        </w:rPr>
        <w:t xml:space="preserve"> and by terminating the Bureau’s investigation of the Licensee’s violation</w:t>
      </w:r>
      <w:r w:rsidR="00BD5FD7">
        <w:rPr>
          <w:szCs w:val="22"/>
        </w:rPr>
        <w:t>s</w:t>
      </w:r>
      <w:r w:rsidR="00B64FEB">
        <w:rPr>
          <w:szCs w:val="22"/>
        </w:rPr>
        <w:t xml:space="preserve"> of the Rules in connection with the </w:t>
      </w:r>
      <w:r w:rsidR="00BD5FD7">
        <w:rPr>
          <w:szCs w:val="22"/>
        </w:rPr>
        <w:t>A</w:t>
      </w:r>
      <w:r w:rsidR="00B64FEB">
        <w:rPr>
          <w:szCs w:val="22"/>
        </w:rPr>
        <w:t>pplication</w:t>
      </w:r>
      <w:r w:rsidRPr="00AB53AD">
        <w:rPr>
          <w:szCs w:val="22"/>
        </w:rPr>
        <w:t xml:space="preserve">.  </w:t>
      </w:r>
      <w:r w:rsidR="00AB53AD" w:rsidRPr="00AB53AD">
        <w:rPr>
          <w:szCs w:val="22"/>
        </w:rPr>
        <w:t xml:space="preserve">In addition, </w:t>
      </w:r>
      <w:r w:rsidR="00AB53AD">
        <w:rPr>
          <w:szCs w:val="22"/>
        </w:rPr>
        <w:t>b</w:t>
      </w:r>
      <w:r w:rsidRPr="00AB53AD">
        <w:rPr>
          <w:szCs w:val="22"/>
        </w:rPr>
        <w:t>ased on the record before us</w:t>
      </w:r>
      <w:r w:rsidR="00C32850" w:rsidRPr="00AB53AD">
        <w:rPr>
          <w:szCs w:val="22"/>
        </w:rPr>
        <w:t xml:space="preserve">, we conclude that </w:t>
      </w:r>
      <w:r w:rsidR="00172367">
        <w:rPr>
          <w:szCs w:val="22"/>
        </w:rPr>
        <w:t>there are no</w:t>
      </w:r>
      <w:r w:rsidR="00C32850" w:rsidRPr="00AB53AD">
        <w:rPr>
          <w:szCs w:val="22"/>
        </w:rPr>
        <w:t xml:space="preserve"> substantial or material question</w:t>
      </w:r>
      <w:r w:rsidR="00172367">
        <w:rPr>
          <w:szCs w:val="22"/>
        </w:rPr>
        <w:t>s</w:t>
      </w:r>
      <w:r w:rsidR="00C32850" w:rsidRPr="00AB53AD">
        <w:rPr>
          <w:szCs w:val="22"/>
        </w:rPr>
        <w:t xml:space="preserve"> of fact as to whether the Licensee possesses the basic qualifications to hold a Commission license.</w:t>
      </w:r>
      <w:r w:rsidR="00C32850">
        <w:rPr>
          <w:rStyle w:val="FootnoteReference"/>
          <w:sz w:val="22"/>
          <w:szCs w:val="22"/>
        </w:rPr>
        <w:footnoteReference w:id="6"/>
      </w:r>
      <w:r w:rsidR="00C32850" w:rsidRPr="00AB53AD">
        <w:rPr>
          <w:szCs w:val="22"/>
        </w:rPr>
        <w:t xml:space="preserve">    </w:t>
      </w:r>
    </w:p>
    <w:p w:rsidR="00C32850" w:rsidRDefault="00C32850">
      <w:pPr>
        <w:pStyle w:val="par1"/>
        <w:tabs>
          <w:tab w:val="num" w:pos="1260"/>
        </w:tabs>
        <w:spacing w:after="240"/>
        <w:jc w:val="both"/>
        <w:rPr>
          <w:szCs w:val="22"/>
        </w:rPr>
      </w:pPr>
      <w:r>
        <w:rPr>
          <w:szCs w:val="22"/>
        </w:rPr>
        <w:t xml:space="preserve">Accordingly, </w:t>
      </w:r>
      <w:r>
        <w:rPr>
          <w:b/>
          <w:szCs w:val="22"/>
        </w:rPr>
        <w:t>IT IS ORDERED</w:t>
      </w:r>
      <w:r>
        <w:rPr>
          <w:szCs w:val="22"/>
        </w:rPr>
        <w:t xml:space="preserve"> that, pursuant to Sections</w:t>
      </w:r>
      <w:r>
        <w:rPr>
          <w:b/>
          <w:szCs w:val="22"/>
        </w:rPr>
        <w:t xml:space="preserve"> </w:t>
      </w:r>
      <w:r>
        <w:rPr>
          <w:szCs w:val="22"/>
        </w:rPr>
        <w:t>4(i), 4(j), and 503(b) of the Communications Act of 1934, as amended,</w:t>
      </w:r>
      <w:r>
        <w:rPr>
          <w:rStyle w:val="FootnoteReference"/>
          <w:sz w:val="22"/>
          <w:szCs w:val="22"/>
        </w:rPr>
        <w:footnoteReference w:id="7"/>
      </w:r>
      <w:r>
        <w:rPr>
          <w:szCs w:val="22"/>
        </w:rPr>
        <w:t xml:space="preserve"> and Sections 0.111 and 0.311 of the Commission’s Rules,</w:t>
      </w:r>
      <w:r>
        <w:rPr>
          <w:rStyle w:val="FootnoteReference"/>
          <w:sz w:val="22"/>
          <w:szCs w:val="22"/>
        </w:rPr>
        <w:footnoteReference w:id="8"/>
      </w:r>
      <w:r>
        <w:rPr>
          <w:szCs w:val="22"/>
        </w:rPr>
        <w:t xml:space="preserve"> the Consent Decree attached to this Order </w:t>
      </w:r>
      <w:r>
        <w:rPr>
          <w:b/>
          <w:szCs w:val="22"/>
        </w:rPr>
        <w:t>IS ADOPTED</w:t>
      </w:r>
      <w:r>
        <w:rPr>
          <w:szCs w:val="22"/>
        </w:rPr>
        <w:t>.</w:t>
      </w:r>
    </w:p>
    <w:p w:rsidR="00C32850" w:rsidRDefault="00C32850">
      <w:pPr>
        <w:pStyle w:val="par1"/>
        <w:tabs>
          <w:tab w:val="clear" w:pos="1170"/>
          <w:tab w:val="num" w:pos="1260"/>
        </w:tabs>
        <w:spacing w:after="240"/>
        <w:ind w:left="0"/>
        <w:jc w:val="both"/>
        <w:rPr>
          <w:szCs w:val="22"/>
        </w:rPr>
      </w:pPr>
      <w:r>
        <w:rPr>
          <w:b/>
          <w:szCs w:val="22"/>
        </w:rPr>
        <w:t xml:space="preserve">IT IS FURTHER ORDERED </w:t>
      </w:r>
      <w:r>
        <w:rPr>
          <w:szCs w:val="22"/>
        </w:rPr>
        <w:t>that a copy of this Order and Consent Decree shall be sent by both First Class mail and Certified Mail, Return Receipt Requested, to</w:t>
      </w:r>
      <w:r w:rsidR="00BD5FD7">
        <w:rPr>
          <w:szCs w:val="22"/>
        </w:rPr>
        <w:t xml:space="preserve"> Licensee, Michael H. Glass, 315 A Street, Meridian, Mississippi 39301, and</w:t>
      </w:r>
      <w:r>
        <w:rPr>
          <w:szCs w:val="22"/>
        </w:rPr>
        <w:t xml:space="preserve"> Licensee’s counsel,</w:t>
      </w:r>
      <w:r w:rsidR="00D16056">
        <w:rPr>
          <w:szCs w:val="22"/>
        </w:rPr>
        <w:t xml:space="preserve"> John S. Neely, Esq., Miller and Neely, P.C., 6900 Wisconsin Avenue, Suite 704, Bethesda, MD 20815.</w:t>
      </w:r>
    </w:p>
    <w:p w:rsidR="00C32850" w:rsidRDefault="00C32850">
      <w:pPr>
        <w:pStyle w:val="Paranum0"/>
        <w:tabs>
          <w:tab w:val="clear" w:pos="1170"/>
          <w:tab w:val="clear" w:pos="1440"/>
        </w:tabs>
        <w:ind w:left="720" w:firstLine="0"/>
        <w:rPr>
          <w:szCs w:val="22"/>
        </w:rPr>
      </w:pPr>
    </w:p>
    <w:p w:rsidR="00C32850" w:rsidRDefault="00C32850">
      <w:pPr>
        <w:tabs>
          <w:tab w:val="left" w:pos="0"/>
        </w:tabs>
        <w:suppressAutoHyphens/>
        <w:spacing w:line="240" w:lineRule="atLeast"/>
        <w:jc w:val="both"/>
        <w:rPr>
          <w:spacing w:val="-2"/>
          <w:sz w:val="22"/>
          <w:szCs w:val="22"/>
        </w:rPr>
      </w:pPr>
      <w:r>
        <w:rPr>
          <w:sz w:val="22"/>
          <w:szCs w:val="22"/>
        </w:rPr>
        <w:tab/>
      </w:r>
      <w:r>
        <w:rPr>
          <w:sz w:val="22"/>
          <w:szCs w:val="22"/>
        </w:rPr>
        <w:tab/>
      </w:r>
      <w:r>
        <w:rPr>
          <w:sz w:val="22"/>
          <w:szCs w:val="22"/>
        </w:rPr>
        <w:tab/>
      </w:r>
      <w:r>
        <w:rPr>
          <w:sz w:val="22"/>
          <w:szCs w:val="22"/>
        </w:rPr>
        <w:tab/>
      </w:r>
      <w:r>
        <w:rPr>
          <w:sz w:val="22"/>
          <w:szCs w:val="22"/>
        </w:rPr>
        <w:tab/>
      </w:r>
      <w:r>
        <w:rPr>
          <w:spacing w:val="-2"/>
          <w:sz w:val="22"/>
          <w:szCs w:val="22"/>
        </w:rPr>
        <w:t>FEDERAL COMMUNICATIONS COMMISSION</w:t>
      </w:r>
    </w:p>
    <w:p w:rsidR="00C32850" w:rsidRDefault="00C32850">
      <w:pPr>
        <w:tabs>
          <w:tab w:val="left" w:pos="0"/>
        </w:tabs>
        <w:suppressAutoHyphens/>
        <w:spacing w:line="240" w:lineRule="atLeast"/>
        <w:jc w:val="both"/>
        <w:rPr>
          <w:spacing w:val="-2"/>
          <w:sz w:val="22"/>
          <w:szCs w:val="22"/>
        </w:rPr>
      </w:pPr>
    </w:p>
    <w:p w:rsidR="00C32850" w:rsidRDefault="00C32850">
      <w:pPr>
        <w:tabs>
          <w:tab w:val="left" w:pos="0"/>
        </w:tabs>
        <w:suppressAutoHyphens/>
        <w:spacing w:line="240" w:lineRule="atLeast"/>
        <w:jc w:val="both"/>
        <w:rPr>
          <w:spacing w:val="-2"/>
          <w:sz w:val="22"/>
          <w:szCs w:val="22"/>
        </w:rPr>
      </w:pPr>
    </w:p>
    <w:p w:rsidR="00C32850" w:rsidRDefault="00C32850">
      <w:pPr>
        <w:tabs>
          <w:tab w:val="left" w:pos="0"/>
        </w:tabs>
        <w:suppressAutoHyphens/>
        <w:spacing w:line="240" w:lineRule="atLeast"/>
        <w:jc w:val="both"/>
        <w:rPr>
          <w:spacing w:val="-2"/>
          <w:sz w:val="22"/>
          <w:szCs w:val="22"/>
        </w:rPr>
      </w:pP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p>
    <w:p w:rsidR="00C32850" w:rsidRDefault="00C32850">
      <w:pPr>
        <w:tabs>
          <w:tab w:val="left" w:pos="0"/>
        </w:tabs>
        <w:suppressAutoHyphens/>
        <w:spacing w:line="240" w:lineRule="atLeast"/>
        <w:jc w:val="both"/>
        <w:rPr>
          <w:spacing w:val="-2"/>
          <w:sz w:val="22"/>
          <w:szCs w:val="22"/>
        </w:rPr>
      </w:pP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t>William T. Lake</w:t>
      </w:r>
    </w:p>
    <w:p w:rsidR="00C32850" w:rsidRDefault="00C32850">
      <w:pPr>
        <w:tabs>
          <w:tab w:val="left" w:pos="0"/>
        </w:tabs>
        <w:suppressAutoHyphens/>
        <w:spacing w:line="240" w:lineRule="atLeast"/>
        <w:jc w:val="both"/>
        <w:rPr>
          <w:spacing w:val="-2"/>
          <w:sz w:val="22"/>
          <w:szCs w:val="22"/>
        </w:rPr>
      </w:pP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t>Chief, Media Bureau</w:t>
      </w:r>
      <w:r>
        <w:rPr>
          <w:spacing w:val="-2"/>
          <w:sz w:val="22"/>
          <w:szCs w:val="22"/>
        </w:rPr>
        <w:tab/>
      </w:r>
      <w:r>
        <w:rPr>
          <w:spacing w:val="-2"/>
          <w:sz w:val="22"/>
          <w:szCs w:val="22"/>
        </w:rPr>
        <w:tab/>
      </w:r>
    </w:p>
    <w:p w:rsidR="00C32850" w:rsidRDefault="00C32850" w:rsidP="00D477E1">
      <w:pPr>
        <w:pStyle w:val="Heading1"/>
      </w:pPr>
    </w:p>
    <w:sectPr w:rsidR="00C32850">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A4F" w:rsidRDefault="00643A4F">
      <w:r>
        <w:separator/>
      </w:r>
    </w:p>
  </w:endnote>
  <w:endnote w:type="continuationSeparator" w:id="0">
    <w:p w:rsidR="00643A4F" w:rsidRDefault="00643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3AD" w:rsidRDefault="00AB53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B53AD" w:rsidRDefault="00AB53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3AD" w:rsidRDefault="00AB53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1E06">
      <w:rPr>
        <w:rStyle w:val="PageNumber"/>
        <w:noProof/>
      </w:rPr>
      <w:t>2</w:t>
    </w:r>
    <w:r>
      <w:rPr>
        <w:rStyle w:val="PageNumber"/>
      </w:rPr>
      <w:fldChar w:fldCharType="end"/>
    </w:r>
  </w:p>
  <w:p w:rsidR="00AB53AD" w:rsidRDefault="00AB53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644" w:rsidRDefault="001B56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A4F" w:rsidRDefault="00643A4F">
      <w:r>
        <w:separator/>
      </w:r>
    </w:p>
  </w:footnote>
  <w:footnote w:type="continuationSeparator" w:id="0">
    <w:p w:rsidR="00643A4F" w:rsidRDefault="00643A4F">
      <w:pPr>
        <w:pStyle w:val="Footer"/>
      </w:pPr>
      <w:r>
        <w:continuationSeparator/>
      </w:r>
    </w:p>
    <w:p w:rsidR="00643A4F" w:rsidRDefault="00643A4F">
      <w:pPr>
        <w:pStyle w:val="Footer"/>
        <w:rPr>
          <w:sz w:val="20"/>
        </w:rPr>
      </w:pPr>
      <w:r>
        <w:rPr>
          <w:sz w:val="20"/>
        </w:rPr>
        <w:t>(…continued from previous page)</w:t>
      </w:r>
    </w:p>
  </w:footnote>
  <w:footnote w:type="continuationNotice" w:id="1">
    <w:p w:rsidR="00643A4F" w:rsidRDefault="00643A4F">
      <w:pPr>
        <w:ind w:left="7920"/>
        <w:rPr>
          <w:sz w:val="20"/>
        </w:rPr>
      </w:pPr>
      <w:r>
        <w:rPr>
          <w:sz w:val="20"/>
        </w:rPr>
        <w:t>(continued…)</w:t>
      </w:r>
    </w:p>
  </w:footnote>
  <w:footnote w:id="2">
    <w:p w:rsidR="00AB53AD" w:rsidRPr="00B821C4" w:rsidRDefault="00AB53AD" w:rsidP="00AF40A5">
      <w:pPr>
        <w:pStyle w:val="FootnoteText"/>
        <w:ind w:firstLine="0"/>
        <w:rPr>
          <w:sz w:val="20"/>
          <w:szCs w:val="20"/>
        </w:rPr>
      </w:pPr>
      <w:r>
        <w:rPr>
          <w:rStyle w:val="FootnoteReference"/>
        </w:rPr>
        <w:footnoteRef/>
      </w:r>
      <w:r>
        <w:t xml:space="preserve"> </w:t>
      </w:r>
      <w:r w:rsidRPr="00AF40A5">
        <w:rPr>
          <w:i/>
          <w:iCs/>
          <w:snapToGrid w:val="0"/>
          <w:sz w:val="20"/>
          <w:szCs w:val="20"/>
        </w:rPr>
        <w:t>Michael H. Glass</w:t>
      </w:r>
      <w:r w:rsidRPr="00AF40A5">
        <w:rPr>
          <w:snapToGrid w:val="0"/>
          <w:sz w:val="20"/>
          <w:szCs w:val="20"/>
        </w:rPr>
        <w:t xml:space="preserve">, Notice of Apparent Liability for Forfeiture (EB Mar. 6, 2008); </w:t>
      </w:r>
      <w:r w:rsidRPr="00AF40A5">
        <w:rPr>
          <w:i/>
          <w:iCs/>
          <w:snapToGrid w:val="0"/>
          <w:sz w:val="20"/>
          <w:szCs w:val="20"/>
        </w:rPr>
        <w:t>Michael H. Glass</w:t>
      </w:r>
      <w:r w:rsidRPr="00AF40A5">
        <w:rPr>
          <w:snapToGrid w:val="0"/>
          <w:sz w:val="20"/>
          <w:szCs w:val="20"/>
        </w:rPr>
        <w:t xml:space="preserve">, Forfeiture </w:t>
      </w:r>
      <w:r w:rsidRPr="00B821C4">
        <w:rPr>
          <w:snapToGrid w:val="0"/>
          <w:sz w:val="20"/>
          <w:szCs w:val="20"/>
        </w:rPr>
        <w:t>Order, 23 FCC Rcd 8495 (EB 2008)</w:t>
      </w:r>
    </w:p>
  </w:footnote>
  <w:footnote w:id="3">
    <w:p w:rsidR="00AB53AD" w:rsidRPr="00B821C4" w:rsidRDefault="00AB53AD" w:rsidP="00B821C4">
      <w:pPr>
        <w:pStyle w:val="FootnoteText"/>
        <w:ind w:firstLine="0"/>
        <w:rPr>
          <w:sz w:val="20"/>
          <w:szCs w:val="20"/>
        </w:rPr>
      </w:pPr>
      <w:r w:rsidRPr="00B821C4">
        <w:rPr>
          <w:rStyle w:val="FootnoteReference"/>
          <w:szCs w:val="20"/>
        </w:rPr>
        <w:footnoteRef/>
      </w:r>
      <w:r w:rsidRPr="00B821C4">
        <w:rPr>
          <w:sz w:val="20"/>
          <w:szCs w:val="20"/>
        </w:rPr>
        <w:t xml:space="preserve"> 47 C.F.R. § 11.35.</w:t>
      </w:r>
    </w:p>
  </w:footnote>
  <w:footnote w:id="4">
    <w:p w:rsidR="00AB53AD" w:rsidRDefault="00AB53AD" w:rsidP="00B821C4">
      <w:pPr>
        <w:pStyle w:val="FootnoteText"/>
        <w:ind w:firstLine="0"/>
      </w:pPr>
      <w:r w:rsidRPr="00B821C4">
        <w:rPr>
          <w:rStyle w:val="FootnoteReference"/>
          <w:szCs w:val="20"/>
        </w:rPr>
        <w:footnoteRef/>
      </w:r>
      <w:r w:rsidRPr="00B821C4">
        <w:rPr>
          <w:sz w:val="20"/>
          <w:szCs w:val="20"/>
        </w:rPr>
        <w:t xml:space="preserve"> 47 C.F.R. § 73.1745(a).</w:t>
      </w:r>
    </w:p>
  </w:footnote>
  <w:footnote w:id="5">
    <w:p w:rsidR="00AB53AD" w:rsidRDefault="00AB53AD">
      <w:pPr>
        <w:pStyle w:val="FootnoteText"/>
        <w:spacing w:after="120"/>
        <w:ind w:firstLine="0"/>
        <w:rPr>
          <w:sz w:val="20"/>
          <w:szCs w:val="20"/>
        </w:rPr>
      </w:pPr>
      <w:r>
        <w:rPr>
          <w:rStyle w:val="FootnoteReference"/>
          <w:szCs w:val="20"/>
        </w:rPr>
        <w:footnoteRef/>
      </w:r>
      <w:r>
        <w:rPr>
          <w:sz w:val="20"/>
          <w:szCs w:val="20"/>
        </w:rPr>
        <w:t xml:space="preserve"> 47 U.S.C. § 301.</w:t>
      </w:r>
    </w:p>
  </w:footnote>
  <w:footnote w:id="6">
    <w:p w:rsidR="00AB53AD" w:rsidRDefault="00AB53AD">
      <w:pPr>
        <w:pStyle w:val="FootnoteText"/>
        <w:spacing w:after="120"/>
        <w:ind w:firstLine="0"/>
        <w:rPr>
          <w:sz w:val="20"/>
          <w:szCs w:val="20"/>
        </w:rPr>
      </w:pPr>
      <w:r>
        <w:rPr>
          <w:rStyle w:val="FootnoteReference"/>
          <w:szCs w:val="20"/>
        </w:rPr>
        <w:footnoteRef/>
      </w:r>
      <w:r>
        <w:rPr>
          <w:sz w:val="20"/>
          <w:szCs w:val="20"/>
        </w:rPr>
        <w:t xml:space="preserve"> Section 309(k)(1) of the Act states that the Commission shall grant a license renewal application “if it finds, with respect to that station, during the preceding term of its license—(a) the station has served the public interest, convenience, and necessity; (b) there have been no serious violations by the licensee of the Act or Commission rules and regulations; and (c) there have been no other violations by the licensee of the Act or Commission rules or regulations which, taken together, would constitute a pattern of abuse.”  47 U.S.C. §309(k)(1).  Section 309(k) of the Act states, however, that if the licensee fails to meet this three part standard, the Commission may deny the application—after notice and comment, and opportunity for hearing under Section 309(e) of the Act—“or grant the application on terms and conditions as are appropriate….” 47 U.S.C. §§ 309(k)(2) and 309(k)(3).  </w:t>
      </w:r>
    </w:p>
  </w:footnote>
  <w:footnote w:id="7">
    <w:p w:rsidR="00AB53AD" w:rsidRDefault="00AB53AD">
      <w:pPr>
        <w:pStyle w:val="FootnoteText"/>
        <w:spacing w:after="120"/>
        <w:ind w:firstLine="0"/>
        <w:rPr>
          <w:sz w:val="20"/>
          <w:szCs w:val="20"/>
        </w:rPr>
      </w:pPr>
      <w:r>
        <w:rPr>
          <w:rStyle w:val="FootnoteReference"/>
          <w:szCs w:val="20"/>
        </w:rPr>
        <w:footnoteRef/>
      </w:r>
      <w:r>
        <w:rPr>
          <w:sz w:val="20"/>
          <w:szCs w:val="20"/>
        </w:rPr>
        <w:t xml:space="preserve"> 47 U.S.C. §§ 154(i), 154(j), 503(b).  </w:t>
      </w:r>
    </w:p>
  </w:footnote>
  <w:footnote w:id="8">
    <w:p w:rsidR="00AB53AD" w:rsidRDefault="00AB53AD">
      <w:pPr>
        <w:pStyle w:val="FootnoteText"/>
        <w:spacing w:after="120"/>
        <w:ind w:firstLine="0"/>
        <w:rPr>
          <w:sz w:val="20"/>
          <w:szCs w:val="20"/>
        </w:rPr>
      </w:pPr>
      <w:r>
        <w:rPr>
          <w:rStyle w:val="FootnoteReference"/>
          <w:szCs w:val="20"/>
        </w:rPr>
        <w:footnoteRef/>
      </w:r>
      <w:r>
        <w:rPr>
          <w:sz w:val="20"/>
          <w:szCs w:val="20"/>
        </w:rPr>
        <w:t xml:space="preserve"> 47 C.F.R. §§ 0.111, 0.311.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644" w:rsidRDefault="001B5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3AD" w:rsidRDefault="00AB53AD">
    <w:pPr>
      <w:keepNext/>
      <w:tabs>
        <w:tab w:val="left" w:pos="-720"/>
        <w:tab w:val="center" w:pos="4680"/>
        <w:tab w:val="right" w:pos="9360"/>
      </w:tabs>
      <w:suppressAutoHyphens/>
      <w:spacing w:before="240" w:after="60"/>
      <w:outlineLvl w:val="1"/>
      <w:rPr>
        <w:rFonts w:cs="Arial"/>
        <w:b/>
        <w:bCs/>
        <w:iCs/>
        <w:sz w:val="22"/>
        <w:szCs w:val="28"/>
        <w:u w:val="single"/>
      </w:rPr>
    </w:pPr>
    <w:r>
      <w:rPr>
        <w:rFonts w:cs="Arial"/>
        <w:b/>
        <w:bCs/>
        <w:iCs/>
        <w:sz w:val="22"/>
        <w:szCs w:val="28"/>
        <w:u w:val="single"/>
      </w:rPr>
      <w:tab/>
      <w:t>Federal Communications Commission</w:t>
    </w:r>
    <w:r>
      <w:rPr>
        <w:rFonts w:cs="Arial"/>
        <w:b/>
        <w:bCs/>
        <w:iCs/>
        <w:sz w:val="22"/>
        <w:szCs w:val="28"/>
        <w:u w:val="single"/>
      </w:rPr>
      <w:tab/>
      <w:t xml:space="preserve">DA </w:t>
    </w:r>
    <w:r w:rsidR="0074205E">
      <w:rPr>
        <w:rFonts w:cs="Arial"/>
        <w:b/>
        <w:bCs/>
        <w:iCs/>
        <w:sz w:val="22"/>
        <w:szCs w:val="28"/>
        <w:u w:val="single"/>
      </w:rPr>
      <w:t>14</w:t>
    </w:r>
    <w:r>
      <w:rPr>
        <w:rFonts w:cs="Arial"/>
        <w:b/>
        <w:bCs/>
        <w:iCs/>
        <w:sz w:val="22"/>
        <w:szCs w:val="28"/>
        <w:u w:val="single"/>
      </w:rPr>
      <w:t>-</w:t>
    </w:r>
    <w:r w:rsidR="00BF04D0">
      <w:rPr>
        <w:rFonts w:cs="Arial"/>
        <w:b/>
        <w:bCs/>
        <w:iCs/>
        <w:sz w:val="22"/>
        <w:szCs w:val="28"/>
        <w:u w:val="single"/>
      </w:rPr>
      <w:t>151</w:t>
    </w:r>
  </w:p>
  <w:p w:rsidR="00AB53AD" w:rsidRDefault="00AB53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3AD" w:rsidRDefault="00AB53AD">
    <w:pPr>
      <w:keepNext/>
      <w:tabs>
        <w:tab w:val="left" w:pos="-720"/>
        <w:tab w:val="center" w:pos="4680"/>
        <w:tab w:val="right" w:pos="9360"/>
      </w:tabs>
      <w:suppressAutoHyphens/>
      <w:spacing w:before="240" w:after="60"/>
      <w:outlineLvl w:val="1"/>
      <w:rPr>
        <w:rFonts w:cs="Arial"/>
        <w:b/>
        <w:bCs/>
        <w:iCs/>
        <w:sz w:val="22"/>
        <w:szCs w:val="28"/>
        <w:u w:val="single"/>
      </w:rPr>
    </w:pPr>
    <w:r>
      <w:rPr>
        <w:rFonts w:cs="Arial"/>
        <w:b/>
        <w:bCs/>
        <w:iCs/>
        <w:sz w:val="22"/>
        <w:szCs w:val="28"/>
        <w:u w:val="single"/>
      </w:rPr>
      <w:tab/>
      <w:t>Federal Communications Commission</w:t>
    </w:r>
    <w:r>
      <w:rPr>
        <w:rFonts w:cs="Arial"/>
        <w:b/>
        <w:bCs/>
        <w:iCs/>
        <w:sz w:val="22"/>
        <w:szCs w:val="28"/>
        <w:u w:val="single"/>
      </w:rPr>
      <w:tab/>
      <w:t>DA 1</w:t>
    </w:r>
    <w:r w:rsidR="0074205E">
      <w:rPr>
        <w:rFonts w:cs="Arial"/>
        <w:b/>
        <w:bCs/>
        <w:iCs/>
        <w:sz w:val="22"/>
        <w:szCs w:val="28"/>
        <w:u w:val="single"/>
      </w:rPr>
      <w:t>4</w:t>
    </w:r>
    <w:r>
      <w:rPr>
        <w:rFonts w:cs="Arial"/>
        <w:b/>
        <w:bCs/>
        <w:iCs/>
        <w:sz w:val="22"/>
        <w:szCs w:val="28"/>
        <w:u w:val="single"/>
      </w:rPr>
      <w:t>-</w:t>
    </w:r>
    <w:r w:rsidR="00BF04D0">
      <w:rPr>
        <w:rFonts w:cs="Arial"/>
        <w:b/>
        <w:bCs/>
        <w:iCs/>
        <w:sz w:val="22"/>
        <w:szCs w:val="28"/>
        <w:u w:val="single"/>
      </w:rPr>
      <w:t>151</w:t>
    </w:r>
  </w:p>
  <w:p w:rsidR="00AB53AD" w:rsidRDefault="00AB53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3F8786C"/>
    <w:lvl w:ilvl="0">
      <w:start w:val="2"/>
      <w:numFmt w:val="decimal"/>
      <w:isLgl/>
      <w:lvlText w:val="%1."/>
      <w:lvlJc w:val="left"/>
      <w:pPr>
        <w:tabs>
          <w:tab w:val="num" w:pos="540"/>
        </w:tabs>
        <w:ind w:left="540" w:firstLine="0"/>
      </w:pPr>
      <w:rPr>
        <w:rFonts w:hint="default"/>
        <w:color w:val="000000"/>
        <w:position w:val="0"/>
        <w:sz w:val="22"/>
        <w:szCs w:val="22"/>
      </w:rPr>
    </w:lvl>
    <w:lvl w:ilvl="1">
      <w:start w:val="1"/>
      <w:numFmt w:val="lowerLetter"/>
      <w:lvlText w:val="%2."/>
      <w:lvlJc w:val="left"/>
      <w:pPr>
        <w:tabs>
          <w:tab w:val="num" w:pos="180"/>
        </w:tabs>
        <w:ind w:left="180" w:firstLine="1080"/>
      </w:pPr>
      <w:rPr>
        <w:rFonts w:hint="default"/>
        <w:i w:val="0"/>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
    <w:nsid w:val="00000002"/>
    <w:multiLevelType w:val="multilevel"/>
    <w:tmpl w:val="894EE874"/>
    <w:lvl w:ilvl="0">
      <w:start w:val="1"/>
      <w:numFmt w:val="lowerLetter"/>
      <w:lvlText w:val="(%1)"/>
      <w:lvlJc w:val="left"/>
      <w:pPr>
        <w:tabs>
          <w:tab w:val="num" w:pos="0"/>
        </w:tabs>
        <w:ind w:left="0" w:firstLine="1008"/>
      </w:pPr>
      <w:rPr>
        <w:rFonts w:hint="default"/>
        <w:color w:val="000000"/>
        <w:position w:val="0"/>
        <w:sz w:val="22"/>
      </w:rPr>
    </w:lvl>
    <w:lvl w:ilvl="1">
      <w:start w:val="1"/>
      <w:numFmt w:val="lowerLetter"/>
      <w:lvlText w:val="%2."/>
      <w:lvlJc w:val="left"/>
      <w:pPr>
        <w:tabs>
          <w:tab w:val="num" w:pos="-72"/>
        </w:tabs>
        <w:ind w:left="-72" w:firstLine="1080"/>
      </w:pPr>
      <w:rPr>
        <w:rFonts w:hint="default"/>
        <w:color w:val="000000"/>
        <w:position w:val="0"/>
        <w:sz w:val="24"/>
      </w:rPr>
    </w:lvl>
    <w:lvl w:ilvl="2">
      <w:start w:val="1"/>
      <w:numFmt w:val="lowerRoman"/>
      <w:lvlText w:val="%3."/>
      <w:lvlJc w:val="left"/>
      <w:pPr>
        <w:tabs>
          <w:tab w:val="num" w:pos="-72"/>
        </w:tabs>
        <w:ind w:left="-72" w:firstLine="1800"/>
      </w:pPr>
      <w:rPr>
        <w:rFonts w:hint="default"/>
        <w:color w:val="000000"/>
        <w:position w:val="0"/>
        <w:sz w:val="24"/>
      </w:rPr>
    </w:lvl>
    <w:lvl w:ilvl="3">
      <w:start w:val="1"/>
      <w:numFmt w:val="decimal"/>
      <w:isLgl/>
      <w:lvlText w:val="%4."/>
      <w:lvlJc w:val="left"/>
      <w:pPr>
        <w:tabs>
          <w:tab w:val="num" w:pos="-72"/>
        </w:tabs>
        <w:ind w:left="-72" w:firstLine="2520"/>
      </w:pPr>
      <w:rPr>
        <w:rFonts w:hint="default"/>
        <w:color w:val="000000"/>
        <w:position w:val="0"/>
        <w:sz w:val="24"/>
      </w:rPr>
    </w:lvl>
    <w:lvl w:ilvl="4">
      <w:start w:val="1"/>
      <w:numFmt w:val="lowerLetter"/>
      <w:lvlText w:val="%5."/>
      <w:lvlJc w:val="left"/>
      <w:pPr>
        <w:tabs>
          <w:tab w:val="num" w:pos="-72"/>
        </w:tabs>
        <w:ind w:left="-72" w:firstLine="3240"/>
      </w:pPr>
      <w:rPr>
        <w:rFonts w:hint="default"/>
        <w:color w:val="000000"/>
        <w:position w:val="0"/>
        <w:sz w:val="24"/>
      </w:rPr>
    </w:lvl>
    <w:lvl w:ilvl="5">
      <w:start w:val="1"/>
      <w:numFmt w:val="lowerRoman"/>
      <w:lvlText w:val="%6."/>
      <w:lvlJc w:val="left"/>
      <w:pPr>
        <w:tabs>
          <w:tab w:val="num" w:pos="-72"/>
        </w:tabs>
        <w:ind w:left="-72" w:firstLine="3960"/>
      </w:pPr>
      <w:rPr>
        <w:rFonts w:hint="default"/>
        <w:color w:val="000000"/>
        <w:position w:val="0"/>
        <w:sz w:val="24"/>
      </w:rPr>
    </w:lvl>
    <w:lvl w:ilvl="6">
      <w:start w:val="1"/>
      <w:numFmt w:val="decimal"/>
      <w:isLgl/>
      <w:lvlText w:val="%7."/>
      <w:lvlJc w:val="left"/>
      <w:pPr>
        <w:tabs>
          <w:tab w:val="num" w:pos="-72"/>
        </w:tabs>
        <w:ind w:left="-72" w:firstLine="4680"/>
      </w:pPr>
      <w:rPr>
        <w:rFonts w:hint="default"/>
        <w:color w:val="000000"/>
        <w:position w:val="0"/>
        <w:sz w:val="24"/>
      </w:rPr>
    </w:lvl>
    <w:lvl w:ilvl="7">
      <w:start w:val="1"/>
      <w:numFmt w:val="lowerLetter"/>
      <w:lvlText w:val="%8."/>
      <w:lvlJc w:val="left"/>
      <w:pPr>
        <w:tabs>
          <w:tab w:val="num" w:pos="-72"/>
        </w:tabs>
        <w:ind w:left="-72" w:firstLine="5400"/>
      </w:pPr>
      <w:rPr>
        <w:rFonts w:hint="default"/>
        <w:color w:val="000000"/>
        <w:position w:val="0"/>
        <w:sz w:val="24"/>
      </w:rPr>
    </w:lvl>
    <w:lvl w:ilvl="8">
      <w:start w:val="1"/>
      <w:numFmt w:val="lowerRoman"/>
      <w:lvlText w:val="%9."/>
      <w:lvlJc w:val="left"/>
      <w:pPr>
        <w:tabs>
          <w:tab w:val="num" w:pos="-72"/>
        </w:tabs>
        <w:ind w:left="-72" w:firstLine="6120"/>
      </w:pPr>
      <w:rPr>
        <w:rFonts w:hint="default"/>
        <w:color w:val="000000"/>
        <w:position w:val="0"/>
        <w:sz w:val="24"/>
      </w:rPr>
    </w:lvl>
  </w:abstractNum>
  <w:abstractNum w:abstractNumId="2">
    <w:nsid w:val="08E600E7"/>
    <w:multiLevelType w:val="hybridMultilevel"/>
    <w:tmpl w:val="8690BAB4"/>
    <w:lvl w:ilvl="0" w:tplc="2ECEDAEE">
      <w:start w:val="1"/>
      <w:numFmt w:val="decimal"/>
      <w:lvlText w:val="%1."/>
      <w:lvlJc w:val="left"/>
      <w:pPr>
        <w:tabs>
          <w:tab w:val="num" w:pos="1620"/>
        </w:tabs>
        <w:ind w:left="1620" w:hanging="720"/>
      </w:pPr>
      <w:rPr>
        <w:rFonts w:hint="default"/>
        <w:sz w:val="22"/>
        <w:szCs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4907F2C"/>
    <w:multiLevelType w:val="hybridMultilevel"/>
    <w:tmpl w:val="3244BF10"/>
    <w:lvl w:ilvl="0" w:tplc="04090017">
      <w:start w:val="1"/>
      <w:numFmt w:val="lowerLetter"/>
      <w:lvlText w:val="%1)"/>
      <w:lvlJc w:val="left"/>
      <w:pPr>
        <w:tabs>
          <w:tab w:val="num" w:pos="1224"/>
        </w:tabs>
        <w:ind w:left="1224" w:hanging="432"/>
      </w:pPr>
      <w:rPr>
        <w:rFonts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38B23FF6"/>
    <w:multiLevelType w:val="hybridMultilevel"/>
    <w:tmpl w:val="F9467750"/>
    <w:lvl w:ilvl="0" w:tplc="BFE2D768">
      <w:start w:val="2"/>
      <w:numFmt w:val="decimal"/>
      <w:lvlText w:val="%1."/>
      <w:lvlJc w:val="left"/>
      <w:pPr>
        <w:tabs>
          <w:tab w:val="num" w:pos="2160"/>
        </w:tabs>
        <w:ind w:left="144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7">
    <w:nsid w:val="59DB63B8"/>
    <w:multiLevelType w:val="multilevel"/>
    <w:tmpl w:val="D2DA7DA6"/>
    <w:lvl w:ilvl="0">
      <w:start w:val="5"/>
      <w:numFmt w:val="decimal"/>
      <w:isLgl/>
      <w:lvlText w:val="%1."/>
      <w:lvlJc w:val="left"/>
      <w:pPr>
        <w:tabs>
          <w:tab w:val="num" w:pos="540"/>
        </w:tabs>
        <w:ind w:left="540" w:firstLine="0"/>
      </w:pPr>
      <w:rPr>
        <w:rFonts w:hint="default"/>
        <w:color w:val="000000"/>
        <w:position w:val="0"/>
        <w:sz w:val="22"/>
        <w:szCs w:val="22"/>
      </w:rPr>
    </w:lvl>
    <w:lvl w:ilvl="1">
      <w:start w:val="1"/>
      <w:numFmt w:val="lowerLetter"/>
      <w:lvlText w:val="%2."/>
      <w:lvlJc w:val="left"/>
      <w:pPr>
        <w:tabs>
          <w:tab w:val="num" w:pos="180"/>
        </w:tabs>
        <w:ind w:left="180" w:firstLine="1080"/>
      </w:pPr>
      <w:rPr>
        <w:rFonts w:hint="default"/>
        <w:i w:val="0"/>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8">
    <w:nsid w:val="61182925"/>
    <w:multiLevelType w:val="singleLevel"/>
    <w:tmpl w:val="1C36937A"/>
    <w:lvl w:ilvl="0">
      <w:start w:val="1"/>
      <w:numFmt w:val="decimal"/>
      <w:pStyle w:val="ParaNum"/>
      <w:lvlText w:val="%1."/>
      <w:lvlJc w:val="left"/>
      <w:pPr>
        <w:tabs>
          <w:tab w:val="num" w:pos="1080"/>
        </w:tabs>
        <w:ind w:left="0" w:firstLine="720"/>
      </w:pPr>
      <w:rPr>
        <w:rFonts w:ascii="Times New Roman" w:hAnsi="Times New Roman" w:cs="Times New Roman" w:hint="default"/>
      </w:rPr>
    </w:lvl>
  </w:abstractNum>
  <w:abstractNum w:abstractNumId="9">
    <w:nsid w:val="628E1E95"/>
    <w:multiLevelType w:val="singleLevel"/>
    <w:tmpl w:val="F5A41544"/>
    <w:lvl w:ilvl="0">
      <w:start w:val="2"/>
      <w:numFmt w:val="decimal"/>
      <w:lvlText w:val="%1."/>
      <w:lvlJc w:val="left"/>
      <w:pPr>
        <w:tabs>
          <w:tab w:val="num" w:pos="1260"/>
        </w:tabs>
        <w:ind w:left="180" w:firstLine="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0">
    <w:nsid w:val="6D2B48D2"/>
    <w:multiLevelType w:val="singleLevel"/>
    <w:tmpl w:val="462A4EC8"/>
    <w:lvl w:ilvl="0">
      <w:start w:val="1"/>
      <w:numFmt w:val="decimal"/>
      <w:pStyle w:val="par1"/>
      <w:lvlText w:val="%1."/>
      <w:lvlJc w:val="left"/>
      <w:pPr>
        <w:tabs>
          <w:tab w:val="num" w:pos="1170"/>
        </w:tabs>
        <w:ind w:left="90" w:firstLine="720"/>
      </w:pPr>
      <w:rPr>
        <w:b w:val="0"/>
        <w:color w:val="auto"/>
      </w:rPr>
    </w:lvl>
  </w:abstractNum>
  <w:abstractNum w:abstractNumId="11">
    <w:nsid w:val="73152AFE"/>
    <w:multiLevelType w:val="hybridMultilevel"/>
    <w:tmpl w:val="68445C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8495135"/>
    <w:multiLevelType w:val="hybridMultilevel"/>
    <w:tmpl w:val="58AC472E"/>
    <w:lvl w:ilvl="0" w:tplc="3F2AC1A2">
      <w:start w:val="1"/>
      <w:numFmt w:val="lowerLetter"/>
      <w:lvlText w:val="%1."/>
      <w:lvlJc w:val="left"/>
      <w:pPr>
        <w:tabs>
          <w:tab w:val="num" w:pos="2340"/>
        </w:tabs>
        <w:ind w:left="2340" w:hanging="360"/>
      </w:pPr>
      <w:rPr>
        <w:rFonts w:hint="default"/>
        <w:b w:val="0"/>
      </w:rPr>
    </w:lvl>
    <w:lvl w:ilvl="1" w:tplc="EB0A6B78">
      <w:start w:val="1"/>
      <w:numFmt w:val="lowerLetter"/>
      <w:lvlText w:val="%2."/>
      <w:lvlJc w:val="left"/>
      <w:pPr>
        <w:tabs>
          <w:tab w:val="num" w:pos="2700"/>
        </w:tabs>
        <w:ind w:left="2700" w:hanging="360"/>
      </w:pPr>
    </w:lvl>
    <w:lvl w:ilvl="2" w:tplc="6B5077C8" w:tentative="1">
      <w:start w:val="1"/>
      <w:numFmt w:val="lowerRoman"/>
      <w:lvlText w:val="%3."/>
      <w:lvlJc w:val="right"/>
      <w:pPr>
        <w:tabs>
          <w:tab w:val="num" w:pos="3420"/>
        </w:tabs>
        <w:ind w:left="3420" w:hanging="180"/>
      </w:pPr>
    </w:lvl>
    <w:lvl w:ilvl="3" w:tplc="A3D82490" w:tentative="1">
      <w:start w:val="1"/>
      <w:numFmt w:val="decimal"/>
      <w:lvlText w:val="%4."/>
      <w:lvlJc w:val="left"/>
      <w:pPr>
        <w:tabs>
          <w:tab w:val="num" w:pos="4140"/>
        </w:tabs>
        <w:ind w:left="4140" w:hanging="360"/>
      </w:pPr>
    </w:lvl>
    <w:lvl w:ilvl="4" w:tplc="1E867C30" w:tentative="1">
      <w:start w:val="1"/>
      <w:numFmt w:val="lowerLetter"/>
      <w:lvlText w:val="%5."/>
      <w:lvlJc w:val="left"/>
      <w:pPr>
        <w:tabs>
          <w:tab w:val="num" w:pos="4860"/>
        </w:tabs>
        <w:ind w:left="4860" w:hanging="360"/>
      </w:pPr>
    </w:lvl>
    <w:lvl w:ilvl="5" w:tplc="CBAC3DE0" w:tentative="1">
      <w:start w:val="1"/>
      <w:numFmt w:val="lowerRoman"/>
      <w:lvlText w:val="%6."/>
      <w:lvlJc w:val="right"/>
      <w:pPr>
        <w:tabs>
          <w:tab w:val="num" w:pos="5580"/>
        </w:tabs>
        <w:ind w:left="5580" w:hanging="180"/>
      </w:pPr>
    </w:lvl>
    <w:lvl w:ilvl="6" w:tplc="4EBC13F6" w:tentative="1">
      <w:start w:val="1"/>
      <w:numFmt w:val="decimal"/>
      <w:lvlText w:val="%7."/>
      <w:lvlJc w:val="left"/>
      <w:pPr>
        <w:tabs>
          <w:tab w:val="num" w:pos="6300"/>
        </w:tabs>
        <w:ind w:left="6300" w:hanging="360"/>
      </w:pPr>
    </w:lvl>
    <w:lvl w:ilvl="7" w:tplc="2DD6D406" w:tentative="1">
      <w:start w:val="1"/>
      <w:numFmt w:val="lowerLetter"/>
      <w:lvlText w:val="%8."/>
      <w:lvlJc w:val="left"/>
      <w:pPr>
        <w:tabs>
          <w:tab w:val="num" w:pos="7020"/>
        </w:tabs>
        <w:ind w:left="7020" w:hanging="360"/>
      </w:pPr>
    </w:lvl>
    <w:lvl w:ilvl="8" w:tplc="703E52AA" w:tentative="1">
      <w:start w:val="1"/>
      <w:numFmt w:val="lowerRoman"/>
      <w:lvlText w:val="%9."/>
      <w:lvlJc w:val="right"/>
      <w:pPr>
        <w:tabs>
          <w:tab w:val="num" w:pos="7740"/>
        </w:tabs>
        <w:ind w:left="7740" w:hanging="180"/>
      </w:pPr>
    </w:lvl>
  </w:abstractNum>
  <w:num w:numId="1">
    <w:abstractNumId w:val="10"/>
  </w:num>
  <w:num w:numId="2">
    <w:abstractNumId w:val="9"/>
  </w:num>
  <w:num w:numId="3">
    <w:abstractNumId w:val="3"/>
  </w:num>
  <w:num w:numId="4">
    <w:abstractNumId w:val="4"/>
  </w:num>
  <w:num w:numId="5">
    <w:abstractNumId w:val="0"/>
  </w:num>
  <w:num w:numId="6">
    <w:abstractNumId w:val="1"/>
  </w:num>
  <w:num w:numId="7">
    <w:abstractNumId w:val="12"/>
  </w:num>
  <w:num w:numId="8">
    <w:abstractNumId w:val="7"/>
  </w:num>
  <w:num w:numId="9">
    <w:abstractNumId w:val="8"/>
  </w:num>
  <w:num w:numId="10">
    <w:abstractNumId w:val="2"/>
  </w:num>
  <w:num w:numId="11">
    <w:abstractNumId w:val="6"/>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5"/>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numRestart w:val="eachSect"/>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A1F"/>
    <w:rsid w:val="000266E4"/>
    <w:rsid w:val="00172367"/>
    <w:rsid w:val="001B5644"/>
    <w:rsid w:val="00245B4A"/>
    <w:rsid w:val="00395EF9"/>
    <w:rsid w:val="003D4D1A"/>
    <w:rsid w:val="003F01EC"/>
    <w:rsid w:val="004005B9"/>
    <w:rsid w:val="00506489"/>
    <w:rsid w:val="0060196D"/>
    <w:rsid w:val="00643A4F"/>
    <w:rsid w:val="0074205E"/>
    <w:rsid w:val="007858A8"/>
    <w:rsid w:val="0081717A"/>
    <w:rsid w:val="0084633E"/>
    <w:rsid w:val="00875915"/>
    <w:rsid w:val="009F1E06"/>
    <w:rsid w:val="00A463AA"/>
    <w:rsid w:val="00A56594"/>
    <w:rsid w:val="00AA501B"/>
    <w:rsid w:val="00AB53AD"/>
    <w:rsid w:val="00AF40A5"/>
    <w:rsid w:val="00AF6CFF"/>
    <w:rsid w:val="00B02C12"/>
    <w:rsid w:val="00B64FEB"/>
    <w:rsid w:val="00B821C4"/>
    <w:rsid w:val="00BD5FD7"/>
    <w:rsid w:val="00BF04D0"/>
    <w:rsid w:val="00C20A1F"/>
    <w:rsid w:val="00C32850"/>
    <w:rsid w:val="00C92C9D"/>
    <w:rsid w:val="00D116E5"/>
    <w:rsid w:val="00D16056"/>
    <w:rsid w:val="00D477E1"/>
    <w:rsid w:val="00DA77BF"/>
    <w:rsid w:val="00DC5B23"/>
    <w:rsid w:val="00E53F91"/>
    <w:rsid w:val="00EE3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tabs>
        <w:tab w:val="left" w:pos="-720"/>
      </w:tabs>
      <w:suppressAutoHyphens/>
      <w:spacing w:line="227" w:lineRule="auto"/>
      <w:jc w:val="center"/>
      <w:outlineLvl w:val="0"/>
    </w:pPr>
    <w:rPr>
      <w:b/>
      <w:sz w:val="2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f"/>
    <w:basedOn w:val="Normal"/>
    <w:link w:val="FootnoteTextChar1"/>
    <w:semiHidden/>
    <w:pPr>
      <w:tabs>
        <w:tab w:val="left" w:pos="720"/>
      </w:tabs>
      <w:suppressAutoHyphens/>
      <w:spacing w:after="200"/>
      <w:ind w:firstLine="360"/>
      <w:jc w:val="both"/>
    </w:pPr>
  </w:style>
  <w:style w:type="character" w:styleId="FootnoteReference">
    <w:name w:val="footnote reference"/>
    <w:aliases w:val="Style 4,Style 12,(NECG) Footnote Reference,Appel note de bas de p,Style 124,Style 13,o,fr,Style 3"/>
    <w:semiHidden/>
    <w:rPr>
      <w:sz w:val="20"/>
      <w:vertAlign w:val="superscript"/>
    </w:rPr>
  </w:style>
  <w:style w:type="paragraph" w:styleId="Header">
    <w:name w:val="header"/>
    <w:basedOn w:val="Normal"/>
    <w:pPr>
      <w:tabs>
        <w:tab w:val="center" w:pos="4320"/>
        <w:tab w:val="right" w:pos="8640"/>
      </w:tabs>
    </w:pPr>
    <w:rPr>
      <w:sz w:val="22"/>
    </w:rPr>
  </w:style>
  <w:style w:type="paragraph" w:styleId="Footer">
    <w:name w:val="footer"/>
    <w:basedOn w:val="Normal"/>
    <w:pPr>
      <w:tabs>
        <w:tab w:val="center" w:pos="4320"/>
        <w:tab w:val="right" w:pos="8640"/>
      </w:tabs>
    </w:pPr>
    <w:rPr>
      <w:sz w:val="22"/>
    </w:rPr>
  </w:style>
  <w:style w:type="character" w:styleId="PageNumber">
    <w:name w:val="page number"/>
    <w:basedOn w:val="DefaultParagraphFont"/>
  </w:style>
  <w:style w:type="paragraph" w:customStyle="1" w:styleId="Paranum0">
    <w:name w:val="Paranum"/>
    <w:pPr>
      <w:tabs>
        <w:tab w:val="num" w:pos="1170"/>
        <w:tab w:val="left" w:pos="1440"/>
      </w:tabs>
      <w:spacing w:after="240"/>
      <w:ind w:left="90" w:firstLine="720"/>
      <w:jc w:val="both"/>
    </w:pPr>
    <w:rPr>
      <w:sz w:val="22"/>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Pr>
      <w:sz w:val="24"/>
      <w:szCs w:val="24"/>
      <w:lang w:val="en-US" w:eastAsia="en-US" w:bidi="ar-SA"/>
    </w:rPr>
  </w:style>
  <w:style w:type="paragraph" w:customStyle="1" w:styleId="par1">
    <w:name w:val="par1"/>
    <w:basedOn w:val="Normal"/>
    <w:link w:val="par1Char"/>
    <w:pPr>
      <w:numPr>
        <w:numId w:val="1"/>
      </w:numPr>
    </w:pPr>
    <w:rPr>
      <w:sz w:val="22"/>
      <w:szCs w:val="20"/>
    </w:rPr>
  </w:style>
  <w:style w:type="character" w:customStyle="1" w:styleId="ParanumChar">
    <w:name w:val="Paranum Char"/>
    <w:rPr>
      <w:noProof w:val="0"/>
      <w:sz w:val="22"/>
      <w:lang w:val="en-US" w:eastAsia="en-US" w:bidi="ar-SA"/>
    </w:rPr>
  </w:style>
  <w:style w:type="paragraph" w:styleId="BodyText">
    <w:name w:val="Body Text"/>
    <w:basedOn w:val="Normal"/>
    <w:link w:val="BodyTextChar"/>
    <w:rPr>
      <w:b/>
      <w:szCs w:val="20"/>
      <w:u w:val="single"/>
    </w:rPr>
  </w:style>
  <w:style w:type="paragraph" w:customStyle="1" w:styleId="Header1">
    <w:name w:val="Header1"/>
    <w:pPr>
      <w:tabs>
        <w:tab w:val="center" w:pos="4320"/>
        <w:tab w:val="right" w:pos="8640"/>
      </w:tabs>
    </w:pPr>
    <w:rPr>
      <w:rFonts w:eastAsia="ヒラギノ角ゴ Pro W3"/>
      <w:color w:val="000000"/>
      <w:sz w:val="22"/>
    </w:rPr>
  </w:style>
  <w:style w:type="paragraph" w:customStyle="1" w:styleId="BodyText1">
    <w:name w:val="Body Text1"/>
    <w:rPr>
      <w:rFonts w:ascii="Times New Roman Bold" w:eastAsia="ヒラギノ角ゴ Pro W3" w:hAnsi="Times New Roman Bold"/>
      <w:color w:val="000000"/>
      <w:sz w:val="24"/>
      <w:u w:val="single"/>
    </w:rPr>
  </w:style>
  <w:style w:type="paragraph" w:customStyle="1" w:styleId="FreeForm">
    <w:name w:val="Free Form"/>
    <w:rPr>
      <w:rFonts w:eastAsia="ヒラギノ角ゴ Pro W3"/>
      <w:color w:val="000000"/>
    </w:rPr>
  </w:style>
  <w:style w:type="character" w:styleId="Hyperlink">
    <w:name w:val="Hyperlink"/>
    <w:rPr>
      <w:color w:val="0000FF"/>
      <w:u w:val="single"/>
    </w:rPr>
  </w:style>
  <w:style w:type="paragraph" w:customStyle="1" w:styleId="ParaNum">
    <w:name w:val="ParaNum"/>
    <w:basedOn w:val="Normal"/>
    <w:link w:val="ParaNumChar0"/>
    <w:pPr>
      <w:widowControl w:val="0"/>
      <w:numPr>
        <w:numId w:val="9"/>
      </w:numPr>
      <w:spacing w:after="120"/>
    </w:pPr>
    <w:rPr>
      <w:snapToGrid w:val="0"/>
      <w:kern w:val="28"/>
      <w:sz w:val="22"/>
      <w:szCs w:val="20"/>
    </w:rPr>
  </w:style>
  <w:style w:type="paragraph" w:styleId="ListParagraph">
    <w:name w:val="List Paragraph"/>
    <w:basedOn w:val="Normal"/>
    <w:qFormat/>
    <w:pPr>
      <w:ind w:left="720"/>
    </w:pPr>
  </w:style>
  <w:style w:type="character" w:customStyle="1" w:styleId="ParaNumChar0">
    <w:name w:val="ParaNum Char"/>
    <w:link w:val="ParaNum"/>
    <w:rPr>
      <w:snapToGrid w:val="0"/>
      <w:kern w:val="28"/>
      <w:sz w:val="22"/>
      <w:lang w:val="en-US" w:eastAsia="en-US" w:bidi="ar-SA"/>
    </w:rPr>
  </w:style>
  <w:style w:type="character" w:customStyle="1" w:styleId="par1Char">
    <w:name w:val="par1 Char"/>
    <w:link w:val="par1"/>
    <w:locked/>
    <w:rPr>
      <w:sz w:val="22"/>
      <w:lang w:val="en-US" w:eastAsia="en-US" w:bidi="ar-SA"/>
    </w:rPr>
  </w:style>
  <w:style w:type="character" w:customStyle="1" w:styleId="Heading1Char">
    <w:name w:val="Heading 1 Char"/>
    <w:link w:val="Heading1"/>
    <w:rPr>
      <w:b/>
      <w:sz w:val="22"/>
      <w:szCs w:val="24"/>
    </w:rPr>
  </w:style>
  <w:style w:type="character" w:customStyle="1" w:styleId="BodyTextChar">
    <w:name w:val="Body Text Char"/>
    <w:link w:val="BodyText"/>
    <w:rPr>
      <w:b/>
      <w:sz w:val="24"/>
      <w:u w:val="single"/>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3">
    <w:name w:val="Footnote Text Char3"/>
    <w:aliases w:val="Footnote Text Char7 Char Char,Footnote Text Char4 Char1 Char Char,Footnote Text Char Char Char4 Char Char,Footnote Text Char7 Char Char Char Char Char,Footnote Text Char4 Char1 Char Char Char Char Char"/>
    <w:rPr>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tabs>
        <w:tab w:val="left" w:pos="-720"/>
      </w:tabs>
      <w:suppressAutoHyphens/>
      <w:spacing w:line="227" w:lineRule="auto"/>
      <w:jc w:val="center"/>
      <w:outlineLvl w:val="0"/>
    </w:pPr>
    <w:rPr>
      <w:b/>
      <w:sz w:val="2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f"/>
    <w:basedOn w:val="Normal"/>
    <w:link w:val="FootnoteTextChar1"/>
    <w:semiHidden/>
    <w:pPr>
      <w:tabs>
        <w:tab w:val="left" w:pos="720"/>
      </w:tabs>
      <w:suppressAutoHyphens/>
      <w:spacing w:after="200"/>
      <w:ind w:firstLine="360"/>
      <w:jc w:val="both"/>
    </w:pPr>
  </w:style>
  <w:style w:type="character" w:styleId="FootnoteReference">
    <w:name w:val="footnote reference"/>
    <w:aliases w:val="Style 4,Style 12,(NECG) Footnote Reference,Appel note de bas de p,Style 124,Style 13,o,fr,Style 3"/>
    <w:semiHidden/>
    <w:rPr>
      <w:sz w:val="20"/>
      <w:vertAlign w:val="superscript"/>
    </w:rPr>
  </w:style>
  <w:style w:type="paragraph" w:styleId="Header">
    <w:name w:val="header"/>
    <w:basedOn w:val="Normal"/>
    <w:pPr>
      <w:tabs>
        <w:tab w:val="center" w:pos="4320"/>
        <w:tab w:val="right" w:pos="8640"/>
      </w:tabs>
    </w:pPr>
    <w:rPr>
      <w:sz w:val="22"/>
    </w:rPr>
  </w:style>
  <w:style w:type="paragraph" w:styleId="Footer">
    <w:name w:val="footer"/>
    <w:basedOn w:val="Normal"/>
    <w:pPr>
      <w:tabs>
        <w:tab w:val="center" w:pos="4320"/>
        <w:tab w:val="right" w:pos="8640"/>
      </w:tabs>
    </w:pPr>
    <w:rPr>
      <w:sz w:val="22"/>
    </w:rPr>
  </w:style>
  <w:style w:type="character" w:styleId="PageNumber">
    <w:name w:val="page number"/>
    <w:basedOn w:val="DefaultParagraphFont"/>
  </w:style>
  <w:style w:type="paragraph" w:customStyle="1" w:styleId="Paranum0">
    <w:name w:val="Paranum"/>
    <w:pPr>
      <w:tabs>
        <w:tab w:val="num" w:pos="1170"/>
        <w:tab w:val="left" w:pos="1440"/>
      </w:tabs>
      <w:spacing w:after="240"/>
      <w:ind w:left="90" w:firstLine="720"/>
      <w:jc w:val="both"/>
    </w:pPr>
    <w:rPr>
      <w:sz w:val="22"/>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Pr>
      <w:sz w:val="24"/>
      <w:szCs w:val="24"/>
      <w:lang w:val="en-US" w:eastAsia="en-US" w:bidi="ar-SA"/>
    </w:rPr>
  </w:style>
  <w:style w:type="paragraph" w:customStyle="1" w:styleId="par1">
    <w:name w:val="par1"/>
    <w:basedOn w:val="Normal"/>
    <w:link w:val="par1Char"/>
    <w:pPr>
      <w:numPr>
        <w:numId w:val="1"/>
      </w:numPr>
    </w:pPr>
    <w:rPr>
      <w:sz w:val="22"/>
      <w:szCs w:val="20"/>
    </w:rPr>
  </w:style>
  <w:style w:type="character" w:customStyle="1" w:styleId="ParanumChar">
    <w:name w:val="Paranum Char"/>
    <w:rPr>
      <w:noProof w:val="0"/>
      <w:sz w:val="22"/>
      <w:lang w:val="en-US" w:eastAsia="en-US" w:bidi="ar-SA"/>
    </w:rPr>
  </w:style>
  <w:style w:type="paragraph" w:styleId="BodyText">
    <w:name w:val="Body Text"/>
    <w:basedOn w:val="Normal"/>
    <w:link w:val="BodyTextChar"/>
    <w:rPr>
      <w:b/>
      <w:szCs w:val="20"/>
      <w:u w:val="single"/>
    </w:rPr>
  </w:style>
  <w:style w:type="paragraph" w:customStyle="1" w:styleId="Header1">
    <w:name w:val="Header1"/>
    <w:pPr>
      <w:tabs>
        <w:tab w:val="center" w:pos="4320"/>
        <w:tab w:val="right" w:pos="8640"/>
      </w:tabs>
    </w:pPr>
    <w:rPr>
      <w:rFonts w:eastAsia="ヒラギノ角ゴ Pro W3"/>
      <w:color w:val="000000"/>
      <w:sz w:val="22"/>
    </w:rPr>
  </w:style>
  <w:style w:type="paragraph" w:customStyle="1" w:styleId="BodyText1">
    <w:name w:val="Body Text1"/>
    <w:rPr>
      <w:rFonts w:ascii="Times New Roman Bold" w:eastAsia="ヒラギノ角ゴ Pro W3" w:hAnsi="Times New Roman Bold"/>
      <w:color w:val="000000"/>
      <w:sz w:val="24"/>
      <w:u w:val="single"/>
    </w:rPr>
  </w:style>
  <w:style w:type="paragraph" w:customStyle="1" w:styleId="FreeForm">
    <w:name w:val="Free Form"/>
    <w:rPr>
      <w:rFonts w:eastAsia="ヒラギノ角ゴ Pro W3"/>
      <w:color w:val="000000"/>
    </w:rPr>
  </w:style>
  <w:style w:type="character" w:styleId="Hyperlink">
    <w:name w:val="Hyperlink"/>
    <w:rPr>
      <w:color w:val="0000FF"/>
      <w:u w:val="single"/>
    </w:rPr>
  </w:style>
  <w:style w:type="paragraph" w:customStyle="1" w:styleId="ParaNum">
    <w:name w:val="ParaNum"/>
    <w:basedOn w:val="Normal"/>
    <w:link w:val="ParaNumChar0"/>
    <w:pPr>
      <w:widowControl w:val="0"/>
      <w:numPr>
        <w:numId w:val="9"/>
      </w:numPr>
      <w:spacing w:after="120"/>
    </w:pPr>
    <w:rPr>
      <w:snapToGrid w:val="0"/>
      <w:kern w:val="28"/>
      <w:sz w:val="22"/>
      <w:szCs w:val="20"/>
    </w:rPr>
  </w:style>
  <w:style w:type="paragraph" w:styleId="ListParagraph">
    <w:name w:val="List Paragraph"/>
    <w:basedOn w:val="Normal"/>
    <w:qFormat/>
    <w:pPr>
      <w:ind w:left="720"/>
    </w:pPr>
  </w:style>
  <w:style w:type="character" w:customStyle="1" w:styleId="ParaNumChar0">
    <w:name w:val="ParaNum Char"/>
    <w:link w:val="ParaNum"/>
    <w:rPr>
      <w:snapToGrid w:val="0"/>
      <w:kern w:val="28"/>
      <w:sz w:val="22"/>
      <w:lang w:val="en-US" w:eastAsia="en-US" w:bidi="ar-SA"/>
    </w:rPr>
  </w:style>
  <w:style w:type="character" w:customStyle="1" w:styleId="par1Char">
    <w:name w:val="par1 Char"/>
    <w:link w:val="par1"/>
    <w:locked/>
    <w:rPr>
      <w:sz w:val="22"/>
      <w:lang w:val="en-US" w:eastAsia="en-US" w:bidi="ar-SA"/>
    </w:rPr>
  </w:style>
  <w:style w:type="character" w:customStyle="1" w:styleId="Heading1Char">
    <w:name w:val="Heading 1 Char"/>
    <w:link w:val="Heading1"/>
    <w:rPr>
      <w:b/>
      <w:sz w:val="22"/>
      <w:szCs w:val="24"/>
    </w:rPr>
  </w:style>
  <w:style w:type="character" w:customStyle="1" w:styleId="BodyTextChar">
    <w:name w:val="Body Text Char"/>
    <w:link w:val="BodyText"/>
    <w:rPr>
      <w:b/>
      <w:sz w:val="24"/>
      <w:u w:val="single"/>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3">
    <w:name w:val="Footnote Text Char3"/>
    <w:aliases w:val="Footnote Text Char7 Char Char,Footnote Text Char4 Char1 Char Char,Footnote Text Char Char Char4 Char Char,Footnote Text Char7 Char Char Char Char Char,Footnote Text Char4 Char1 Char Char Char Char Char"/>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2873</Characters>
  <Application>Microsoft Office Word</Application>
  <DocSecurity>0</DocSecurity>
  <Lines>70</Lines>
  <Paragraphs>29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3431</CharactersWithSpaces>
  <SharedDoc>false</SharedDoc>
  <HyperlinkBase> </HyperlinkBase>
  <HLinks>
    <vt:vector size="6" baseType="variant">
      <vt:variant>
        <vt:i4>3276870</vt:i4>
      </vt:variant>
      <vt:variant>
        <vt:i4>3</vt:i4>
      </vt:variant>
      <vt:variant>
        <vt:i4>0</vt:i4>
      </vt:variant>
      <vt:variant>
        <vt:i4>5</vt:i4>
      </vt:variant>
      <vt:variant>
        <vt:lpwstr>mailto:evan.morris@fcc.gov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2012-09-13T17:05:00Z</cp:lastPrinted>
  <dcterms:created xsi:type="dcterms:W3CDTF">2014-02-06T18:13:00Z</dcterms:created>
  <dcterms:modified xsi:type="dcterms:W3CDTF">2014-02-06T18:13:00Z</dcterms:modified>
  <cp:category> </cp:category>
  <cp:contentStatus> </cp:contentStatus>
</cp:coreProperties>
</file>