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F0F" w:rsidRPr="008D556C" w:rsidRDefault="00432F0F" w:rsidP="00476E6F">
      <w:pPr>
        <w:autoSpaceDE w:val="0"/>
        <w:autoSpaceDN w:val="0"/>
        <w:adjustRightInd w:val="0"/>
        <w:jc w:val="center"/>
        <w:rPr>
          <w:b/>
          <w:bCs/>
          <w:sz w:val="22"/>
          <w:szCs w:val="22"/>
        </w:rPr>
      </w:pPr>
      <w:bookmarkStart w:id="0" w:name="_GoBack"/>
      <w:bookmarkEnd w:id="0"/>
      <w:r w:rsidRPr="008D556C">
        <w:rPr>
          <w:b/>
          <w:bCs/>
          <w:sz w:val="22"/>
          <w:szCs w:val="22"/>
        </w:rPr>
        <w:t>Before the</w:t>
      </w:r>
    </w:p>
    <w:p w:rsidR="00432F0F" w:rsidRPr="008D556C" w:rsidRDefault="00432F0F" w:rsidP="00476E6F">
      <w:pPr>
        <w:autoSpaceDE w:val="0"/>
        <w:autoSpaceDN w:val="0"/>
        <w:adjustRightInd w:val="0"/>
        <w:jc w:val="center"/>
        <w:rPr>
          <w:b/>
          <w:bCs/>
          <w:sz w:val="22"/>
          <w:szCs w:val="22"/>
        </w:rPr>
      </w:pPr>
      <w:r w:rsidRPr="008D556C">
        <w:rPr>
          <w:b/>
          <w:bCs/>
          <w:sz w:val="22"/>
          <w:szCs w:val="22"/>
        </w:rPr>
        <w:t>Federal Communications Commission</w:t>
      </w:r>
    </w:p>
    <w:p w:rsidR="00432F0F" w:rsidRPr="008D556C" w:rsidRDefault="00432F0F" w:rsidP="00476E6F">
      <w:pPr>
        <w:jc w:val="center"/>
        <w:rPr>
          <w:b/>
          <w:bCs/>
          <w:sz w:val="22"/>
          <w:szCs w:val="22"/>
        </w:rPr>
      </w:pPr>
      <w:r w:rsidRPr="008D556C">
        <w:rPr>
          <w:b/>
          <w:bCs/>
          <w:sz w:val="22"/>
          <w:szCs w:val="22"/>
        </w:rPr>
        <w:t>Washington, D.C.  20554</w:t>
      </w:r>
    </w:p>
    <w:p w:rsidR="00D05325" w:rsidRPr="008D556C" w:rsidRDefault="00D05325" w:rsidP="00476E6F">
      <w:pPr>
        <w:jc w:val="center"/>
        <w:rPr>
          <w:b/>
          <w:bCs/>
          <w:sz w:val="22"/>
          <w:szCs w:val="22"/>
        </w:rPr>
      </w:pPr>
    </w:p>
    <w:p w:rsidR="00D05325" w:rsidRPr="008D556C" w:rsidRDefault="00D05325" w:rsidP="00476E6F">
      <w:pPr>
        <w:jc w:val="center"/>
        <w:rPr>
          <w:b/>
          <w:bCs/>
          <w:sz w:val="22"/>
          <w:szCs w:val="22"/>
        </w:rPr>
      </w:pPr>
    </w:p>
    <w:tbl>
      <w:tblPr>
        <w:tblW w:w="0" w:type="auto"/>
        <w:tblLayout w:type="fixed"/>
        <w:tblLook w:val="0000" w:firstRow="0" w:lastRow="0" w:firstColumn="0" w:lastColumn="0" w:noHBand="0" w:noVBand="0"/>
      </w:tblPr>
      <w:tblGrid>
        <w:gridCol w:w="4698"/>
        <w:gridCol w:w="630"/>
        <w:gridCol w:w="4248"/>
      </w:tblGrid>
      <w:tr w:rsidR="00D05325" w:rsidRPr="008D556C" w:rsidTr="00965DFE">
        <w:tc>
          <w:tcPr>
            <w:tcW w:w="4698" w:type="dxa"/>
          </w:tcPr>
          <w:p w:rsidR="00D05325" w:rsidRPr="008D556C" w:rsidRDefault="00D05325" w:rsidP="00476E6F">
            <w:pPr>
              <w:tabs>
                <w:tab w:val="center" w:pos="4680"/>
              </w:tabs>
              <w:suppressAutoHyphens/>
              <w:rPr>
                <w:spacing w:val="-2"/>
                <w:sz w:val="22"/>
                <w:szCs w:val="22"/>
              </w:rPr>
            </w:pPr>
            <w:r w:rsidRPr="008D556C">
              <w:rPr>
                <w:spacing w:val="-2"/>
                <w:sz w:val="22"/>
                <w:szCs w:val="22"/>
              </w:rPr>
              <w:t>In the Matter of</w:t>
            </w:r>
          </w:p>
          <w:p w:rsidR="00D05325" w:rsidRPr="008D556C" w:rsidRDefault="00D05325" w:rsidP="00476E6F">
            <w:pPr>
              <w:tabs>
                <w:tab w:val="center" w:pos="4680"/>
              </w:tabs>
              <w:suppressAutoHyphens/>
              <w:rPr>
                <w:spacing w:val="-2"/>
                <w:sz w:val="22"/>
                <w:szCs w:val="22"/>
              </w:rPr>
            </w:pPr>
          </w:p>
          <w:p w:rsidR="00D05325" w:rsidRPr="008D556C" w:rsidRDefault="00D05325" w:rsidP="00476E6F">
            <w:pPr>
              <w:tabs>
                <w:tab w:val="center" w:pos="4680"/>
              </w:tabs>
              <w:suppressAutoHyphens/>
              <w:rPr>
                <w:spacing w:val="-2"/>
                <w:sz w:val="22"/>
                <w:szCs w:val="22"/>
              </w:rPr>
            </w:pPr>
            <w:r w:rsidRPr="008D556C">
              <w:rPr>
                <w:spacing w:val="-2"/>
                <w:sz w:val="22"/>
                <w:szCs w:val="22"/>
              </w:rPr>
              <w:t xml:space="preserve">Implementation of Sections 716 and 717 of the Communications Act of 1934, as Enacted by the Twenty-First Century Communications and Video Accessibility Act of 2010 </w:t>
            </w:r>
          </w:p>
        </w:tc>
        <w:tc>
          <w:tcPr>
            <w:tcW w:w="630" w:type="dxa"/>
          </w:tcPr>
          <w:p w:rsidR="00D05325" w:rsidRPr="008D556C" w:rsidRDefault="00D05325" w:rsidP="00476E6F">
            <w:pPr>
              <w:tabs>
                <w:tab w:val="center" w:pos="4680"/>
              </w:tabs>
              <w:suppressAutoHyphens/>
              <w:rPr>
                <w:b/>
                <w:spacing w:val="-2"/>
                <w:sz w:val="22"/>
                <w:szCs w:val="22"/>
              </w:rPr>
            </w:pPr>
            <w:r w:rsidRPr="008D556C">
              <w:rPr>
                <w:b/>
                <w:spacing w:val="-2"/>
                <w:sz w:val="22"/>
                <w:szCs w:val="22"/>
              </w:rPr>
              <w:t>)</w:t>
            </w:r>
          </w:p>
          <w:p w:rsidR="00D05325" w:rsidRPr="008D556C" w:rsidRDefault="00D05325" w:rsidP="00476E6F">
            <w:pPr>
              <w:tabs>
                <w:tab w:val="center" w:pos="4680"/>
              </w:tabs>
              <w:suppressAutoHyphens/>
              <w:rPr>
                <w:b/>
                <w:spacing w:val="-2"/>
                <w:sz w:val="22"/>
                <w:szCs w:val="22"/>
              </w:rPr>
            </w:pPr>
            <w:r w:rsidRPr="008D556C">
              <w:rPr>
                <w:b/>
                <w:spacing w:val="-2"/>
                <w:sz w:val="22"/>
                <w:szCs w:val="22"/>
              </w:rPr>
              <w:t>)</w:t>
            </w:r>
          </w:p>
          <w:p w:rsidR="00D05325" w:rsidRPr="008D556C" w:rsidRDefault="00D05325" w:rsidP="00476E6F">
            <w:pPr>
              <w:tabs>
                <w:tab w:val="center" w:pos="4680"/>
              </w:tabs>
              <w:suppressAutoHyphens/>
              <w:rPr>
                <w:b/>
                <w:spacing w:val="-2"/>
                <w:sz w:val="22"/>
                <w:szCs w:val="22"/>
              </w:rPr>
            </w:pPr>
            <w:r w:rsidRPr="008D556C">
              <w:rPr>
                <w:b/>
                <w:spacing w:val="-2"/>
                <w:sz w:val="22"/>
                <w:szCs w:val="22"/>
              </w:rPr>
              <w:t>)</w:t>
            </w:r>
          </w:p>
          <w:p w:rsidR="00D05325" w:rsidRPr="008D556C" w:rsidRDefault="00D05325" w:rsidP="00476E6F">
            <w:pPr>
              <w:tabs>
                <w:tab w:val="center" w:pos="4680"/>
              </w:tabs>
              <w:suppressAutoHyphens/>
              <w:rPr>
                <w:b/>
                <w:spacing w:val="-2"/>
                <w:sz w:val="22"/>
                <w:szCs w:val="22"/>
              </w:rPr>
            </w:pPr>
            <w:r w:rsidRPr="008D556C">
              <w:rPr>
                <w:b/>
                <w:spacing w:val="-2"/>
                <w:sz w:val="22"/>
                <w:szCs w:val="22"/>
              </w:rPr>
              <w:t>)</w:t>
            </w:r>
          </w:p>
          <w:p w:rsidR="00D05325" w:rsidRPr="008D556C" w:rsidRDefault="00D05325" w:rsidP="00476E6F">
            <w:pPr>
              <w:tabs>
                <w:tab w:val="center" w:pos="4680"/>
              </w:tabs>
              <w:suppressAutoHyphens/>
              <w:rPr>
                <w:b/>
                <w:spacing w:val="-2"/>
                <w:sz w:val="22"/>
                <w:szCs w:val="22"/>
              </w:rPr>
            </w:pPr>
            <w:r w:rsidRPr="008D556C">
              <w:rPr>
                <w:b/>
                <w:spacing w:val="-2"/>
                <w:sz w:val="22"/>
                <w:szCs w:val="22"/>
              </w:rPr>
              <w:t>)</w:t>
            </w:r>
          </w:p>
          <w:p w:rsidR="00D05325" w:rsidRPr="008D556C" w:rsidRDefault="00D05325" w:rsidP="00476E6F">
            <w:pPr>
              <w:tabs>
                <w:tab w:val="center" w:pos="4680"/>
              </w:tabs>
              <w:suppressAutoHyphens/>
              <w:rPr>
                <w:b/>
                <w:spacing w:val="-2"/>
                <w:sz w:val="22"/>
                <w:szCs w:val="22"/>
              </w:rPr>
            </w:pPr>
            <w:r w:rsidRPr="008D556C">
              <w:rPr>
                <w:b/>
                <w:spacing w:val="-2"/>
                <w:sz w:val="22"/>
                <w:szCs w:val="22"/>
              </w:rPr>
              <w:t>)</w:t>
            </w:r>
          </w:p>
        </w:tc>
        <w:tc>
          <w:tcPr>
            <w:tcW w:w="4248" w:type="dxa"/>
          </w:tcPr>
          <w:p w:rsidR="00D05325" w:rsidRPr="008D556C" w:rsidRDefault="00D05325" w:rsidP="00476E6F">
            <w:pPr>
              <w:suppressAutoHyphens/>
              <w:rPr>
                <w:spacing w:val="-2"/>
                <w:sz w:val="22"/>
                <w:szCs w:val="22"/>
              </w:rPr>
            </w:pPr>
          </w:p>
          <w:p w:rsidR="00D05325" w:rsidRPr="008D556C" w:rsidRDefault="00D05325" w:rsidP="00476E6F">
            <w:pPr>
              <w:pStyle w:val="TOAHeading"/>
              <w:tabs>
                <w:tab w:val="clear" w:pos="9360"/>
              </w:tabs>
              <w:rPr>
                <w:spacing w:val="-2"/>
                <w:sz w:val="22"/>
                <w:szCs w:val="22"/>
              </w:rPr>
            </w:pPr>
          </w:p>
          <w:p w:rsidR="00D05325" w:rsidRPr="008D556C" w:rsidRDefault="00D05325" w:rsidP="00476E6F">
            <w:pPr>
              <w:suppressAutoHyphens/>
              <w:rPr>
                <w:spacing w:val="-2"/>
                <w:sz w:val="22"/>
                <w:szCs w:val="22"/>
              </w:rPr>
            </w:pPr>
            <w:r w:rsidRPr="008D556C">
              <w:rPr>
                <w:spacing w:val="-2"/>
                <w:sz w:val="22"/>
                <w:szCs w:val="22"/>
              </w:rPr>
              <w:t>CG Docket No. 10-213</w:t>
            </w:r>
          </w:p>
        </w:tc>
      </w:tr>
    </w:tbl>
    <w:p w:rsidR="00D05325" w:rsidRPr="008D556C" w:rsidRDefault="00D05325" w:rsidP="00476E6F">
      <w:pPr>
        <w:pStyle w:val="TOCTitle"/>
        <w:suppressLineNumbers/>
        <w:suppressAutoHyphens/>
        <w:spacing w:before="0" w:after="0"/>
        <w:rPr>
          <w:rFonts w:ascii="Times New Roman" w:hAnsi="Times New Roman"/>
          <w:b w:val="0"/>
          <w:sz w:val="22"/>
          <w:szCs w:val="22"/>
        </w:rPr>
      </w:pPr>
    </w:p>
    <w:p w:rsidR="00914579" w:rsidRPr="008D556C" w:rsidRDefault="00914579" w:rsidP="00476E6F">
      <w:pPr>
        <w:pStyle w:val="TOCTitle"/>
        <w:suppressLineNumbers/>
        <w:suppressAutoHyphens/>
        <w:spacing w:before="0" w:after="0"/>
        <w:rPr>
          <w:rFonts w:ascii="Times New Roman" w:hAnsi="Times New Roman"/>
          <w:b w:val="0"/>
          <w:sz w:val="22"/>
          <w:szCs w:val="22"/>
        </w:rPr>
      </w:pPr>
    </w:p>
    <w:p w:rsidR="00D05325" w:rsidRPr="008D556C" w:rsidRDefault="00D05325" w:rsidP="00476E6F">
      <w:pPr>
        <w:suppressLineNumbers/>
        <w:tabs>
          <w:tab w:val="center" w:pos="4680"/>
        </w:tabs>
        <w:suppressAutoHyphens/>
        <w:autoSpaceDE w:val="0"/>
        <w:autoSpaceDN w:val="0"/>
        <w:adjustRightInd w:val="0"/>
        <w:jc w:val="center"/>
        <w:rPr>
          <w:b/>
          <w:sz w:val="22"/>
          <w:szCs w:val="22"/>
        </w:rPr>
      </w:pPr>
      <w:r w:rsidRPr="008D556C">
        <w:rPr>
          <w:b/>
          <w:sz w:val="22"/>
          <w:szCs w:val="22"/>
        </w:rPr>
        <w:t>BIENNIAL REPORT TO CONGRESS</w:t>
      </w:r>
    </w:p>
    <w:p w:rsidR="00D05325" w:rsidRPr="008D556C" w:rsidRDefault="00D05325" w:rsidP="00476E6F">
      <w:pPr>
        <w:suppressLineNumbers/>
        <w:tabs>
          <w:tab w:val="center" w:pos="4680"/>
        </w:tabs>
        <w:suppressAutoHyphens/>
        <w:autoSpaceDE w:val="0"/>
        <w:autoSpaceDN w:val="0"/>
        <w:adjustRightInd w:val="0"/>
        <w:jc w:val="center"/>
        <w:rPr>
          <w:b/>
          <w:sz w:val="22"/>
          <w:szCs w:val="22"/>
        </w:rPr>
      </w:pPr>
      <w:r w:rsidRPr="008D556C">
        <w:rPr>
          <w:b/>
          <w:sz w:val="22"/>
          <w:szCs w:val="22"/>
        </w:rPr>
        <w:t>AS REQUIRED BY THE</w:t>
      </w:r>
    </w:p>
    <w:p w:rsidR="00D05325" w:rsidRPr="008D556C" w:rsidRDefault="00D05325" w:rsidP="00476E6F">
      <w:pPr>
        <w:suppressLineNumbers/>
        <w:tabs>
          <w:tab w:val="center" w:pos="4680"/>
        </w:tabs>
        <w:suppressAutoHyphens/>
        <w:autoSpaceDE w:val="0"/>
        <w:autoSpaceDN w:val="0"/>
        <w:adjustRightInd w:val="0"/>
        <w:jc w:val="center"/>
        <w:rPr>
          <w:b/>
          <w:sz w:val="22"/>
          <w:szCs w:val="22"/>
        </w:rPr>
      </w:pPr>
      <w:r w:rsidRPr="008D556C">
        <w:rPr>
          <w:b/>
          <w:sz w:val="22"/>
          <w:szCs w:val="22"/>
        </w:rPr>
        <w:t>TWENTY-FIRST CENTURY COMMUNICATIONS</w:t>
      </w:r>
    </w:p>
    <w:p w:rsidR="00D05325" w:rsidRPr="008D556C" w:rsidRDefault="00D05325" w:rsidP="00476E6F">
      <w:pPr>
        <w:suppressLineNumbers/>
        <w:tabs>
          <w:tab w:val="center" w:pos="4680"/>
        </w:tabs>
        <w:suppressAutoHyphens/>
        <w:autoSpaceDE w:val="0"/>
        <w:autoSpaceDN w:val="0"/>
        <w:adjustRightInd w:val="0"/>
        <w:jc w:val="center"/>
        <w:rPr>
          <w:b/>
          <w:sz w:val="22"/>
          <w:szCs w:val="22"/>
        </w:rPr>
      </w:pPr>
      <w:r w:rsidRPr="008D556C">
        <w:rPr>
          <w:b/>
          <w:sz w:val="22"/>
          <w:szCs w:val="22"/>
        </w:rPr>
        <w:t>AND VIDEO ACCESSIBILITY ACT OF 2010</w:t>
      </w:r>
    </w:p>
    <w:p w:rsidR="00D05325" w:rsidRPr="008D556C" w:rsidRDefault="00D05325" w:rsidP="00476E6F">
      <w:pPr>
        <w:tabs>
          <w:tab w:val="left" w:pos="720"/>
          <w:tab w:val="center" w:pos="4680"/>
          <w:tab w:val="left" w:pos="6750"/>
        </w:tabs>
        <w:suppressAutoHyphens/>
        <w:rPr>
          <w:b/>
          <w:spacing w:val="-2"/>
          <w:sz w:val="22"/>
          <w:szCs w:val="22"/>
        </w:rPr>
      </w:pPr>
    </w:p>
    <w:p w:rsidR="00D05325" w:rsidRPr="008D556C" w:rsidRDefault="00D05325" w:rsidP="00476E6F">
      <w:pPr>
        <w:tabs>
          <w:tab w:val="right" w:pos="9360"/>
        </w:tabs>
        <w:suppressAutoHyphens/>
        <w:rPr>
          <w:spacing w:val="-2"/>
          <w:sz w:val="22"/>
          <w:szCs w:val="22"/>
        </w:rPr>
      </w:pPr>
      <w:r w:rsidRPr="008D556C">
        <w:rPr>
          <w:b/>
          <w:spacing w:val="-2"/>
          <w:sz w:val="22"/>
          <w:szCs w:val="22"/>
        </w:rPr>
        <w:t xml:space="preserve">Adopted:  </w:t>
      </w:r>
      <w:r w:rsidRPr="004D4479">
        <w:rPr>
          <w:b/>
          <w:spacing w:val="-2"/>
          <w:sz w:val="22"/>
          <w:szCs w:val="22"/>
        </w:rPr>
        <w:t xml:space="preserve">October </w:t>
      </w:r>
      <w:r w:rsidR="004D4479" w:rsidRPr="004D4479">
        <w:rPr>
          <w:b/>
          <w:spacing w:val="-2"/>
          <w:sz w:val="22"/>
          <w:szCs w:val="22"/>
        </w:rPr>
        <w:t>8</w:t>
      </w:r>
      <w:r w:rsidRPr="004D4479">
        <w:rPr>
          <w:b/>
          <w:spacing w:val="-2"/>
          <w:sz w:val="22"/>
          <w:szCs w:val="22"/>
        </w:rPr>
        <w:t>, 2014</w:t>
      </w:r>
      <w:r w:rsidRPr="008D556C">
        <w:rPr>
          <w:b/>
          <w:spacing w:val="-2"/>
          <w:sz w:val="22"/>
          <w:szCs w:val="22"/>
        </w:rPr>
        <w:tab/>
        <w:t xml:space="preserve">Released:  </w:t>
      </w:r>
      <w:r w:rsidR="004D4479" w:rsidRPr="004D4479">
        <w:rPr>
          <w:b/>
          <w:spacing w:val="-2"/>
          <w:sz w:val="22"/>
          <w:szCs w:val="22"/>
        </w:rPr>
        <w:t>October 8</w:t>
      </w:r>
      <w:r w:rsidRPr="004D4479">
        <w:rPr>
          <w:b/>
          <w:spacing w:val="-2"/>
          <w:sz w:val="22"/>
          <w:szCs w:val="22"/>
        </w:rPr>
        <w:t>, 2014</w:t>
      </w:r>
    </w:p>
    <w:p w:rsidR="00D05325" w:rsidRPr="008D556C" w:rsidRDefault="00D05325" w:rsidP="00476E6F">
      <w:pPr>
        <w:tabs>
          <w:tab w:val="center" w:pos="4680"/>
        </w:tabs>
        <w:rPr>
          <w:sz w:val="22"/>
          <w:szCs w:val="22"/>
        </w:rPr>
      </w:pPr>
    </w:p>
    <w:p w:rsidR="00D05325" w:rsidRPr="009C79E5" w:rsidRDefault="00D05325" w:rsidP="00476E6F">
      <w:pPr>
        <w:tabs>
          <w:tab w:val="center" w:pos="4680"/>
        </w:tabs>
        <w:rPr>
          <w:spacing w:val="-2"/>
          <w:sz w:val="22"/>
          <w:szCs w:val="22"/>
        </w:rPr>
      </w:pPr>
      <w:r w:rsidRPr="009C79E5">
        <w:rPr>
          <w:spacing w:val="-2"/>
          <w:sz w:val="22"/>
          <w:szCs w:val="22"/>
        </w:rPr>
        <w:t xml:space="preserve">By the Acting Chief, Consumer and Governmental Affairs Bureau:  </w:t>
      </w:r>
    </w:p>
    <w:p w:rsidR="00D05325" w:rsidRPr="008D556C" w:rsidRDefault="00D05325" w:rsidP="00476E6F">
      <w:pPr>
        <w:pStyle w:val="TOCTitle"/>
        <w:suppressLineNumbers/>
        <w:suppressAutoHyphens/>
        <w:spacing w:before="0" w:after="0"/>
        <w:rPr>
          <w:rFonts w:ascii="Times New Roman" w:hAnsi="Times New Roman"/>
          <w:b w:val="0"/>
          <w:sz w:val="22"/>
          <w:szCs w:val="22"/>
        </w:rPr>
      </w:pPr>
    </w:p>
    <w:p w:rsidR="00432F0F" w:rsidRPr="003511DC" w:rsidRDefault="00432F0F" w:rsidP="00476E6F">
      <w:pPr>
        <w:pStyle w:val="TOCTitle"/>
        <w:suppressLineNumbers/>
        <w:suppressAutoHyphens/>
        <w:spacing w:before="0" w:after="0"/>
        <w:rPr>
          <w:rFonts w:ascii="Times New Roman" w:hAnsi="Times New Roman"/>
          <w:sz w:val="22"/>
          <w:szCs w:val="22"/>
        </w:rPr>
      </w:pPr>
      <w:r w:rsidRPr="003511DC">
        <w:rPr>
          <w:rFonts w:ascii="Times New Roman" w:hAnsi="Times New Roman"/>
          <w:sz w:val="22"/>
          <w:szCs w:val="22"/>
        </w:rPr>
        <w:t>Table of Contents</w:t>
      </w:r>
    </w:p>
    <w:p w:rsidR="00D05325" w:rsidRPr="00BF0859" w:rsidRDefault="00D05325" w:rsidP="00476E6F">
      <w:pPr>
        <w:pStyle w:val="TOCTitle"/>
        <w:suppressLineNumbers/>
        <w:suppressAutoHyphens/>
        <w:spacing w:before="0" w:after="0"/>
        <w:rPr>
          <w:rFonts w:ascii="Times New Roman" w:hAnsi="Times New Roman"/>
          <w:b w:val="0"/>
          <w:sz w:val="22"/>
          <w:szCs w:val="22"/>
        </w:rPr>
      </w:pPr>
    </w:p>
    <w:p w:rsidR="00432F0F" w:rsidRPr="009C5E08" w:rsidRDefault="00D05325" w:rsidP="00476E6F">
      <w:pPr>
        <w:pStyle w:val="Paratitle"/>
        <w:suppressLineNumbers/>
        <w:tabs>
          <w:tab w:val="clear" w:pos="9270"/>
          <w:tab w:val="right" w:pos="9360"/>
        </w:tabs>
        <w:suppressAutoHyphens/>
        <w:spacing w:after="0"/>
        <w:rPr>
          <w:sz w:val="22"/>
          <w:szCs w:val="22"/>
        </w:rPr>
      </w:pPr>
      <w:r w:rsidRPr="006C02D7">
        <w:rPr>
          <w:sz w:val="22"/>
          <w:szCs w:val="22"/>
        </w:rPr>
        <w:t>Heading</w:t>
      </w:r>
      <w:r w:rsidRPr="006C02D7">
        <w:rPr>
          <w:sz w:val="22"/>
          <w:szCs w:val="22"/>
        </w:rPr>
        <w:tab/>
      </w:r>
      <w:r w:rsidR="00432F0F" w:rsidRPr="009C5E08">
        <w:rPr>
          <w:sz w:val="22"/>
          <w:szCs w:val="22"/>
        </w:rPr>
        <w:t>Paragraph #</w:t>
      </w:r>
    </w:p>
    <w:p w:rsidR="00D05325" w:rsidRPr="009C79E5" w:rsidRDefault="00D05325" w:rsidP="00476E6F">
      <w:pPr>
        <w:pStyle w:val="Paratitle"/>
        <w:suppressLineNumbers/>
        <w:tabs>
          <w:tab w:val="clear" w:pos="9270"/>
        </w:tabs>
        <w:suppressAutoHyphens/>
        <w:spacing w:after="0"/>
        <w:jc w:val="right"/>
        <w:rPr>
          <w:sz w:val="22"/>
          <w:szCs w:val="22"/>
        </w:rPr>
      </w:pPr>
    </w:p>
    <w:p w:rsidR="00432F0F" w:rsidRPr="009C79E5" w:rsidRDefault="00432F0F" w:rsidP="00476E6F">
      <w:pPr>
        <w:suppressLineNumbers/>
        <w:tabs>
          <w:tab w:val="left" w:pos="720"/>
          <w:tab w:val="left" w:pos="1440"/>
          <w:tab w:val="left" w:pos="2160"/>
          <w:tab w:val="left" w:pos="2880"/>
          <w:tab w:val="right" w:leader="dot" w:pos="9360"/>
        </w:tabs>
        <w:suppressAutoHyphens/>
        <w:autoSpaceDE w:val="0"/>
        <w:autoSpaceDN w:val="0"/>
        <w:adjustRightInd w:val="0"/>
        <w:rPr>
          <w:sz w:val="22"/>
          <w:szCs w:val="22"/>
        </w:rPr>
      </w:pPr>
      <w:r w:rsidRPr="009C79E5">
        <w:rPr>
          <w:sz w:val="22"/>
          <w:szCs w:val="22"/>
        </w:rPr>
        <w:t>I.</w:t>
      </w:r>
      <w:r w:rsidRPr="009C79E5">
        <w:rPr>
          <w:sz w:val="22"/>
          <w:szCs w:val="22"/>
        </w:rPr>
        <w:tab/>
        <w:t>INTRODUCTION AND OVERVIEW</w:t>
      </w:r>
      <w:r w:rsidR="0008420E" w:rsidRPr="009C79E5">
        <w:rPr>
          <w:sz w:val="22"/>
          <w:szCs w:val="22"/>
        </w:rPr>
        <w:t xml:space="preserve"> </w:t>
      </w:r>
      <w:r w:rsidRPr="009C79E5">
        <w:rPr>
          <w:sz w:val="22"/>
          <w:szCs w:val="22"/>
        </w:rPr>
        <w:tab/>
        <w:t>1</w:t>
      </w:r>
    </w:p>
    <w:p w:rsidR="00432F0F" w:rsidRPr="009C79E5" w:rsidRDefault="00D369AA" w:rsidP="00476E6F">
      <w:pPr>
        <w:suppressLineNumbers/>
        <w:tabs>
          <w:tab w:val="left" w:pos="720"/>
          <w:tab w:val="left" w:pos="1440"/>
          <w:tab w:val="left" w:pos="2160"/>
          <w:tab w:val="left" w:pos="2880"/>
          <w:tab w:val="right" w:leader="dot" w:pos="9360"/>
        </w:tabs>
        <w:suppressAutoHyphens/>
        <w:autoSpaceDE w:val="0"/>
        <w:autoSpaceDN w:val="0"/>
        <w:adjustRightInd w:val="0"/>
        <w:rPr>
          <w:sz w:val="22"/>
          <w:szCs w:val="22"/>
        </w:rPr>
      </w:pPr>
      <w:r w:rsidRPr="009C79E5">
        <w:rPr>
          <w:sz w:val="22"/>
          <w:szCs w:val="22"/>
        </w:rPr>
        <w:t>II.</w:t>
      </w:r>
      <w:r w:rsidRPr="009C79E5">
        <w:rPr>
          <w:sz w:val="22"/>
          <w:szCs w:val="22"/>
        </w:rPr>
        <w:tab/>
      </w:r>
      <w:r w:rsidR="00432F0F" w:rsidRPr="009C79E5">
        <w:rPr>
          <w:sz w:val="22"/>
          <w:szCs w:val="22"/>
        </w:rPr>
        <w:t>COMMUNICATIONS ACCESSIBILITY</w:t>
      </w:r>
    </w:p>
    <w:p w:rsidR="00432F0F" w:rsidRPr="009C79E5" w:rsidRDefault="00432F0F" w:rsidP="00476E6F">
      <w:pPr>
        <w:suppressLineNumbers/>
        <w:tabs>
          <w:tab w:val="left" w:pos="720"/>
          <w:tab w:val="left" w:pos="1440"/>
          <w:tab w:val="left" w:pos="2160"/>
          <w:tab w:val="left" w:pos="2880"/>
          <w:tab w:val="right" w:leader="dot" w:pos="9360"/>
        </w:tabs>
        <w:suppressAutoHyphens/>
        <w:autoSpaceDE w:val="0"/>
        <w:autoSpaceDN w:val="0"/>
        <w:adjustRightInd w:val="0"/>
        <w:ind w:firstLine="720"/>
        <w:rPr>
          <w:sz w:val="22"/>
          <w:szCs w:val="22"/>
        </w:rPr>
      </w:pPr>
      <w:r w:rsidRPr="009C79E5">
        <w:rPr>
          <w:sz w:val="22"/>
          <w:szCs w:val="22"/>
        </w:rPr>
        <w:t>A.</w:t>
      </w:r>
      <w:r w:rsidRPr="009C79E5">
        <w:rPr>
          <w:sz w:val="22"/>
          <w:szCs w:val="22"/>
        </w:rPr>
        <w:tab/>
        <w:t>Background</w:t>
      </w:r>
    </w:p>
    <w:p w:rsidR="00432F0F" w:rsidRPr="009C79E5" w:rsidRDefault="00D369AA" w:rsidP="00476E6F">
      <w:pPr>
        <w:suppressLineNumbers/>
        <w:tabs>
          <w:tab w:val="left" w:pos="720"/>
          <w:tab w:val="left" w:pos="1440"/>
          <w:tab w:val="left" w:pos="2160"/>
          <w:tab w:val="left" w:pos="2880"/>
          <w:tab w:val="right" w:leader="dot" w:pos="9360"/>
        </w:tabs>
        <w:suppressAutoHyphens/>
        <w:autoSpaceDE w:val="0"/>
        <w:autoSpaceDN w:val="0"/>
        <w:adjustRightInd w:val="0"/>
        <w:ind w:firstLine="720"/>
        <w:rPr>
          <w:sz w:val="22"/>
          <w:szCs w:val="22"/>
        </w:rPr>
      </w:pPr>
      <w:r w:rsidRPr="009C79E5">
        <w:rPr>
          <w:sz w:val="22"/>
          <w:szCs w:val="22"/>
        </w:rPr>
        <w:tab/>
        <w:t>1.</w:t>
      </w:r>
      <w:r w:rsidRPr="009C79E5">
        <w:rPr>
          <w:sz w:val="22"/>
          <w:szCs w:val="22"/>
        </w:rPr>
        <w:tab/>
      </w:r>
      <w:r w:rsidR="00432F0F" w:rsidRPr="009C79E5">
        <w:rPr>
          <w:sz w:val="22"/>
          <w:szCs w:val="22"/>
        </w:rPr>
        <w:t>Section 255</w:t>
      </w:r>
      <w:r w:rsidR="0008420E" w:rsidRPr="009C79E5">
        <w:rPr>
          <w:sz w:val="22"/>
          <w:szCs w:val="22"/>
        </w:rPr>
        <w:t xml:space="preserve"> </w:t>
      </w:r>
      <w:r w:rsidR="00432F0F" w:rsidRPr="009C79E5">
        <w:rPr>
          <w:sz w:val="22"/>
          <w:szCs w:val="22"/>
        </w:rPr>
        <w:tab/>
      </w:r>
      <w:r w:rsidR="002C58FC" w:rsidRPr="009C79E5">
        <w:rPr>
          <w:sz w:val="22"/>
          <w:szCs w:val="22"/>
        </w:rPr>
        <w:t>9</w:t>
      </w:r>
    </w:p>
    <w:p w:rsidR="00432F0F" w:rsidRPr="009C79E5" w:rsidRDefault="00D369AA" w:rsidP="00476E6F">
      <w:pPr>
        <w:suppressLineNumbers/>
        <w:tabs>
          <w:tab w:val="left" w:pos="720"/>
          <w:tab w:val="left" w:pos="1440"/>
          <w:tab w:val="left" w:pos="2160"/>
          <w:tab w:val="left" w:pos="2880"/>
          <w:tab w:val="right" w:leader="dot" w:pos="9360"/>
        </w:tabs>
        <w:suppressAutoHyphens/>
        <w:autoSpaceDE w:val="0"/>
        <w:autoSpaceDN w:val="0"/>
        <w:adjustRightInd w:val="0"/>
        <w:ind w:firstLine="720"/>
        <w:rPr>
          <w:sz w:val="22"/>
          <w:szCs w:val="22"/>
        </w:rPr>
      </w:pPr>
      <w:r w:rsidRPr="009C79E5">
        <w:rPr>
          <w:sz w:val="22"/>
          <w:szCs w:val="22"/>
        </w:rPr>
        <w:tab/>
        <w:t>2.</w:t>
      </w:r>
      <w:r w:rsidRPr="009C79E5">
        <w:rPr>
          <w:sz w:val="22"/>
          <w:szCs w:val="22"/>
        </w:rPr>
        <w:tab/>
      </w:r>
      <w:r w:rsidR="00432F0F" w:rsidRPr="009C79E5">
        <w:rPr>
          <w:sz w:val="22"/>
          <w:szCs w:val="22"/>
        </w:rPr>
        <w:t>Section</w:t>
      </w:r>
      <w:r w:rsidR="006A4B33" w:rsidRPr="009C79E5">
        <w:rPr>
          <w:sz w:val="22"/>
          <w:szCs w:val="22"/>
        </w:rPr>
        <w:t>s</w:t>
      </w:r>
      <w:r w:rsidR="00432F0F" w:rsidRPr="009C79E5">
        <w:rPr>
          <w:sz w:val="22"/>
          <w:szCs w:val="22"/>
        </w:rPr>
        <w:t xml:space="preserve"> 716</w:t>
      </w:r>
      <w:r w:rsidR="006A4B33" w:rsidRPr="009C79E5">
        <w:rPr>
          <w:sz w:val="22"/>
          <w:szCs w:val="22"/>
        </w:rPr>
        <w:t xml:space="preserve"> and 717</w:t>
      </w:r>
      <w:r w:rsidR="0008420E" w:rsidRPr="009C79E5">
        <w:rPr>
          <w:sz w:val="22"/>
          <w:szCs w:val="22"/>
        </w:rPr>
        <w:t xml:space="preserve"> </w:t>
      </w:r>
      <w:r w:rsidR="00432F0F" w:rsidRPr="009C79E5">
        <w:rPr>
          <w:sz w:val="22"/>
          <w:szCs w:val="22"/>
        </w:rPr>
        <w:tab/>
      </w:r>
      <w:r w:rsidR="002C58FC" w:rsidRPr="009C79E5">
        <w:rPr>
          <w:sz w:val="22"/>
          <w:szCs w:val="22"/>
        </w:rPr>
        <w:t>10</w:t>
      </w:r>
    </w:p>
    <w:p w:rsidR="00432F0F" w:rsidRPr="009C79E5" w:rsidRDefault="00D369AA" w:rsidP="00476E6F">
      <w:pPr>
        <w:suppressLineNumbers/>
        <w:tabs>
          <w:tab w:val="left" w:pos="720"/>
          <w:tab w:val="left" w:pos="1440"/>
          <w:tab w:val="left" w:pos="2160"/>
          <w:tab w:val="left" w:pos="2880"/>
          <w:tab w:val="right" w:leader="dot" w:pos="9360"/>
        </w:tabs>
        <w:suppressAutoHyphens/>
        <w:autoSpaceDE w:val="0"/>
        <w:autoSpaceDN w:val="0"/>
        <w:adjustRightInd w:val="0"/>
        <w:ind w:firstLine="720"/>
        <w:rPr>
          <w:sz w:val="22"/>
          <w:szCs w:val="22"/>
        </w:rPr>
      </w:pPr>
      <w:r w:rsidRPr="009C79E5">
        <w:rPr>
          <w:sz w:val="22"/>
          <w:szCs w:val="22"/>
        </w:rPr>
        <w:tab/>
        <w:t>3.</w:t>
      </w:r>
      <w:r w:rsidRPr="009C79E5">
        <w:rPr>
          <w:sz w:val="22"/>
          <w:szCs w:val="22"/>
        </w:rPr>
        <w:tab/>
      </w:r>
      <w:r w:rsidR="00432F0F" w:rsidRPr="009C79E5">
        <w:rPr>
          <w:sz w:val="22"/>
          <w:szCs w:val="22"/>
        </w:rPr>
        <w:t>Section 718</w:t>
      </w:r>
      <w:r w:rsidR="0008420E" w:rsidRPr="009C79E5">
        <w:rPr>
          <w:sz w:val="22"/>
          <w:szCs w:val="22"/>
        </w:rPr>
        <w:t xml:space="preserve"> </w:t>
      </w:r>
      <w:r w:rsidR="00432F0F" w:rsidRPr="009C79E5">
        <w:rPr>
          <w:sz w:val="22"/>
          <w:szCs w:val="22"/>
        </w:rPr>
        <w:tab/>
      </w:r>
      <w:r w:rsidR="002C58FC" w:rsidRPr="009C79E5">
        <w:rPr>
          <w:sz w:val="22"/>
          <w:szCs w:val="22"/>
        </w:rPr>
        <w:t>14</w:t>
      </w:r>
    </w:p>
    <w:p w:rsidR="00432F0F" w:rsidRPr="009C79E5" w:rsidRDefault="00432F0F" w:rsidP="00476E6F">
      <w:pPr>
        <w:suppressLineNumbers/>
        <w:tabs>
          <w:tab w:val="left" w:pos="720"/>
          <w:tab w:val="left" w:pos="1440"/>
          <w:tab w:val="left" w:pos="2160"/>
          <w:tab w:val="left" w:pos="2880"/>
          <w:tab w:val="right" w:leader="dot" w:pos="9360"/>
        </w:tabs>
        <w:suppressAutoHyphens/>
        <w:ind w:firstLine="720"/>
        <w:rPr>
          <w:sz w:val="22"/>
          <w:szCs w:val="22"/>
        </w:rPr>
      </w:pPr>
      <w:r w:rsidRPr="009C79E5">
        <w:rPr>
          <w:sz w:val="22"/>
          <w:szCs w:val="22"/>
        </w:rPr>
        <w:tab/>
      </w:r>
      <w:r w:rsidR="00924678" w:rsidRPr="009C79E5">
        <w:rPr>
          <w:sz w:val="22"/>
          <w:szCs w:val="22"/>
        </w:rPr>
        <w:t>4</w:t>
      </w:r>
      <w:r w:rsidR="00D369AA" w:rsidRPr="009C79E5">
        <w:rPr>
          <w:sz w:val="22"/>
          <w:szCs w:val="22"/>
        </w:rPr>
        <w:t>.</w:t>
      </w:r>
      <w:r w:rsidR="00D369AA" w:rsidRPr="009C79E5">
        <w:rPr>
          <w:sz w:val="22"/>
          <w:szCs w:val="22"/>
        </w:rPr>
        <w:tab/>
      </w:r>
      <w:r w:rsidRPr="009C79E5">
        <w:rPr>
          <w:sz w:val="22"/>
          <w:szCs w:val="22"/>
        </w:rPr>
        <w:t xml:space="preserve">Scope of this </w:t>
      </w:r>
      <w:r w:rsidRPr="009C79E5">
        <w:rPr>
          <w:i/>
          <w:sz w:val="22"/>
          <w:szCs w:val="22"/>
        </w:rPr>
        <w:t xml:space="preserve">Report </w:t>
      </w:r>
      <w:r w:rsidRPr="009C79E5">
        <w:rPr>
          <w:sz w:val="22"/>
          <w:szCs w:val="22"/>
        </w:rPr>
        <w:tab/>
      </w:r>
      <w:r w:rsidR="002C58FC" w:rsidRPr="009C79E5">
        <w:rPr>
          <w:sz w:val="22"/>
          <w:szCs w:val="22"/>
        </w:rPr>
        <w:t>15</w:t>
      </w:r>
    </w:p>
    <w:p w:rsidR="00432F0F" w:rsidRPr="009C79E5" w:rsidRDefault="00432F0F" w:rsidP="00476E6F">
      <w:pPr>
        <w:suppressLineNumbers/>
        <w:tabs>
          <w:tab w:val="left" w:pos="720"/>
          <w:tab w:val="left" w:pos="1440"/>
          <w:tab w:val="left" w:pos="2160"/>
          <w:tab w:val="left" w:pos="2880"/>
          <w:tab w:val="right" w:leader="dot" w:pos="9360"/>
        </w:tabs>
        <w:suppressAutoHyphens/>
        <w:autoSpaceDE w:val="0"/>
        <w:autoSpaceDN w:val="0"/>
        <w:adjustRightInd w:val="0"/>
        <w:ind w:firstLine="720"/>
        <w:rPr>
          <w:sz w:val="22"/>
          <w:szCs w:val="22"/>
        </w:rPr>
      </w:pPr>
      <w:r w:rsidRPr="009C79E5">
        <w:rPr>
          <w:sz w:val="22"/>
          <w:szCs w:val="22"/>
        </w:rPr>
        <w:t>B.</w:t>
      </w:r>
      <w:r w:rsidRPr="009C79E5">
        <w:rPr>
          <w:sz w:val="22"/>
          <w:szCs w:val="22"/>
        </w:rPr>
        <w:tab/>
        <w:t>Compliance with Sections 255, 716, and 718</w:t>
      </w:r>
      <w:r w:rsidR="0008420E" w:rsidRPr="009C79E5">
        <w:rPr>
          <w:sz w:val="22"/>
          <w:szCs w:val="22"/>
        </w:rPr>
        <w:t xml:space="preserve"> </w:t>
      </w:r>
      <w:r w:rsidRPr="009C79E5">
        <w:rPr>
          <w:sz w:val="22"/>
          <w:szCs w:val="22"/>
        </w:rPr>
        <w:tab/>
      </w:r>
      <w:r w:rsidR="002C58FC" w:rsidRPr="009C79E5">
        <w:rPr>
          <w:sz w:val="22"/>
          <w:szCs w:val="22"/>
        </w:rPr>
        <w:t>17</w:t>
      </w:r>
    </w:p>
    <w:p w:rsidR="003E3C4B" w:rsidRPr="009C79E5" w:rsidRDefault="003E3C4B" w:rsidP="00476E6F">
      <w:pPr>
        <w:suppressLineNumbers/>
        <w:tabs>
          <w:tab w:val="left" w:pos="720"/>
          <w:tab w:val="left" w:pos="1440"/>
          <w:tab w:val="left" w:pos="2160"/>
          <w:tab w:val="left" w:pos="2880"/>
          <w:tab w:val="right" w:leader="dot" w:pos="9360"/>
        </w:tabs>
        <w:suppressAutoHyphens/>
        <w:autoSpaceDE w:val="0"/>
        <w:autoSpaceDN w:val="0"/>
        <w:adjustRightInd w:val="0"/>
        <w:ind w:firstLine="720"/>
        <w:rPr>
          <w:sz w:val="22"/>
          <w:szCs w:val="22"/>
        </w:rPr>
      </w:pPr>
      <w:r w:rsidRPr="009C79E5">
        <w:rPr>
          <w:sz w:val="22"/>
          <w:szCs w:val="22"/>
        </w:rPr>
        <w:tab/>
        <w:t>1.</w:t>
      </w:r>
      <w:r w:rsidRPr="009C79E5">
        <w:rPr>
          <w:sz w:val="22"/>
          <w:szCs w:val="22"/>
        </w:rPr>
        <w:tab/>
        <w:t>Comments Received</w:t>
      </w:r>
      <w:r w:rsidR="0008420E" w:rsidRPr="009C79E5">
        <w:rPr>
          <w:sz w:val="22"/>
          <w:szCs w:val="22"/>
        </w:rPr>
        <w:t xml:space="preserve"> </w:t>
      </w:r>
      <w:r w:rsidRPr="009C79E5">
        <w:rPr>
          <w:sz w:val="22"/>
          <w:szCs w:val="22"/>
        </w:rPr>
        <w:tab/>
      </w:r>
      <w:r w:rsidR="002C58FC" w:rsidRPr="009C79E5">
        <w:rPr>
          <w:sz w:val="22"/>
          <w:szCs w:val="22"/>
        </w:rPr>
        <w:t>18</w:t>
      </w:r>
    </w:p>
    <w:p w:rsidR="003E3C4B" w:rsidRPr="009C79E5" w:rsidRDefault="003E3C4B" w:rsidP="00476E6F">
      <w:pPr>
        <w:suppressLineNumbers/>
        <w:tabs>
          <w:tab w:val="left" w:pos="720"/>
          <w:tab w:val="left" w:pos="1440"/>
          <w:tab w:val="left" w:pos="2160"/>
          <w:tab w:val="left" w:pos="2880"/>
          <w:tab w:val="right" w:leader="dot" w:pos="9360"/>
        </w:tabs>
        <w:suppressAutoHyphens/>
        <w:autoSpaceDE w:val="0"/>
        <w:autoSpaceDN w:val="0"/>
        <w:adjustRightInd w:val="0"/>
        <w:ind w:firstLine="720"/>
        <w:rPr>
          <w:sz w:val="22"/>
          <w:szCs w:val="22"/>
        </w:rPr>
      </w:pPr>
      <w:r w:rsidRPr="009C79E5">
        <w:rPr>
          <w:sz w:val="22"/>
          <w:szCs w:val="22"/>
        </w:rPr>
        <w:tab/>
        <w:t>2.</w:t>
      </w:r>
      <w:r w:rsidRPr="009C79E5">
        <w:rPr>
          <w:sz w:val="22"/>
          <w:szCs w:val="22"/>
        </w:rPr>
        <w:tab/>
        <w:t>Findings on Compliance with Sections 255, 716, and 718</w:t>
      </w:r>
      <w:r w:rsidR="0008420E" w:rsidRPr="009C79E5">
        <w:rPr>
          <w:sz w:val="22"/>
          <w:szCs w:val="22"/>
        </w:rPr>
        <w:t xml:space="preserve"> </w:t>
      </w:r>
      <w:r w:rsidRPr="009C79E5">
        <w:rPr>
          <w:sz w:val="22"/>
          <w:szCs w:val="22"/>
        </w:rPr>
        <w:tab/>
      </w:r>
      <w:r w:rsidR="002C58FC" w:rsidRPr="009C79E5">
        <w:rPr>
          <w:sz w:val="22"/>
          <w:szCs w:val="22"/>
        </w:rPr>
        <w:t>39</w:t>
      </w:r>
    </w:p>
    <w:p w:rsidR="00432F0F" w:rsidRPr="009C79E5" w:rsidRDefault="00432F0F" w:rsidP="00476E6F">
      <w:pPr>
        <w:suppressLineNumbers/>
        <w:tabs>
          <w:tab w:val="left" w:pos="720"/>
          <w:tab w:val="left" w:pos="1440"/>
          <w:tab w:val="left" w:pos="2160"/>
          <w:tab w:val="left" w:pos="2880"/>
          <w:tab w:val="right" w:leader="dot" w:pos="9360"/>
        </w:tabs>
        <w:suppressAutoHyphens/>
        <w:autoSpaceDE w:val="0"/>
        <w:autoSpaceDN w:val="0"/>
        <w:adjustRightInd w:val="0"/>
        <w:ind w:left="1440" w:hanging="720"/>
        <w:rPr>
          <w:sz w:val="22"/>
          <w:szCs w:val="22"/>
        </w:rPr>
      </w:pPr>
      <w:r w:rsidRPr="009C79E5">
        <w:rPr>
          <w:sz w:val="22"/>
          <w:szCs w:val="22"/>
        </w:rPr>
        <w:t>C.</w:t>
      </w:r>
      <w:r w:rsidRPr="009C79E5">
        <w:rPr>
          <w:sz w:val="22"/>
          <w:szCs w:val="22"/>
        </w:rPr>
        <w:tab/>
        <w:t>Accessibility Barriers in New Communications Technologies</w:t>
      </w:r>
      <w:r w:rsidR="0008420E" w:rsidRPr="009C79E5">
        <w:rPr>
          <w:sz w:val="22"/>
          <w:szCs w:val="22"/>
        </w:rPr>
        <w:t xml:space="preserve"> </w:t>
      </w:r>
      <w:r w:rsidRPr="009C79E5">
        <w:rPr>
          <w:sz w:val="22"/>
          <w:szCs w:val="22"/>
        </w:rPr>
        <w:tab/>
      </w:r>
      <w:r w:rsidR="002C58FC" w:rsidRPr="009C79E5">
        <w:rPr>
          <w:sz w:val="22"/>
          <w:szCs w:val="22"/>
        </w:rPr>
        <w:t>46</w:t>
      </w:r>
    </w:p>
    <w:p w:rsidR="003E3C4B" w:rsidRPr="009C79E5" w:rsidRDefault="003E3C4B" w:rsidP="00476E6F">
      <w:pPr>
        <w:suppressLineNumbers/>
        <w:tabs>
          <w:tab w:val="left" w:pos="720"/>
          <w:tab w:val="left" w:pos="1440"/>
          <w:tab w:val="left" w:pos="2160"/>
          <w:tab w:val="left" w:pos="2880"/>
          <w:tab w:val="right" w:leader="dot" w:pos="9360"/>
        </w:tabs>
        <w:suppressAutoHyphens/>
        <w:autoSpaceDE w:val="0"/>
        <w:autoSpaceDN w:val="0"/>
        <w:adjustRightInd w:val="0"/>
        <w:ind w:firstLine="720"/>
        <w:rPr>
          <w:sz w:val="22"/>
          <w:szCs w:val="22"/>
        </w:rPr>
      </w:pPr>
      <w:r w:rsidRPr="009C79E5">
        <w:rPr>
          <w:sz w:val="22"/>
          <w:szCs w:val="22"/>
        </w:rPr>
        <w:tab/>
        <w:t>1.</w:t>
      </w:r>
      <w:r w:rsidRPr="009C79E5">
        <w:rPr>
          <w:sz w:val="22"/>
          <w:szCs w:val="22"/>
        </w:rPr>
        <w:tab/>
        <w:t>Comments Received</w:t>
      </w:r>
      <w:r w:rsidR="0008420E" w:rsidRPr="009C79E5">
        <w:rPr>
          <w:sz w:val="22"/>
          <w:szCs w:val="22"/>
        </w:rPr>
        <w:t xml:space="preserve"> </w:t>
      </w:r>
      <w:r w:rsidRPr="009C79E5">
        <w:rPr>
          <w:sz w:val="22"/>
          <w:szCs w:val="22"/>
        </w:rPr>
        <w:tab/>
      </w:r>
      <w:r w:rsidR="002C58FC" w:rsidRPr="009C79E5">
        <w:rPr>
          <w:sz w:val="22"/>
          <w:szCs w:val="22"/>
        </w:rPr>
        <w:t>47</w:t>
      </w:r>
    </w:p>
    <w:p w:rsidR="003E3C4B" w:rsidRPr="009C79E5" w:rsidRDefault="003E3C4B" w:rsidP="00476E6F">
      <w:pPr>
        <w:suppressLineNumbers/>
        <w:tabs>
          <w:tab w:val="left" w:pos="720"/>
          <w:tab w:val="left" w:pos="1440"/>
          <w:tab w:val="left" w:pos="2160"/>
          <w:tab w:val="left" w:pos="2880"/>
          <w:tab w:val="right" w:leader="dot" w:pos="9360"/>
        </w:tabs>
        <w:suppressAutoHyphens/>
        <w:autoSpaceDE w:val="0"/>
        <w:autoSpaceDN w:val="0"/>
        <w:adjustRightInd w:val="0"/>
        <w:ind w:firstLine="720"/>
        <w:rPr>
          <w:sz w:val="22"/>
          <w:szCs w:val="22"/>
        </w:rPr>
      </w:pPr>
      <w:r w:rsidRPr="009C79E5">
        <w:rPr>
          <w:sz w:val="22"/>
          <w:szCs w:val="22"/>
        </w:rPr>
        <w:tab/>
        <w:t>2.</w:t>
      </w:r>
      <w:r w:rsidRPr="009C79E5">
        <w:rPr>
          <w:sz w:val="22"/>
          <w:szCs w:val="22"/>
        </w:rPr>
        <w:tab/>
        <w:t>Findings on Accessibility Barriers in New Communications Technologies</w:t>
      </w:r>
      <w:r w:rsidR="0008420E" w:rsidRPr="009C79E5">
        <w:rPr>
          <w:sz w:val="22"/>
          <w:szCs w:val="22"/>
        </w:rPr>
        <w:t xml:space="preserve"> </w:t>
      </w:r>
      <w:r w:rsidRPr="009C79E5">
        <w:rPr>
          <w:sz w:val="22"/>
          <w:szCs w:val="22"/>
        </w:rPr>
        <w:tab/>
      </w:r>
      <w:r w:rsidR="002C58FC" w:rsidRPr="009C79E5">
        <w:rPr>
          <w:sz w:val="22"/>
          <w:szCs w:val="22"/>
        </w:rPr>
        <w:t>49</w:t>
      </w:r>
    </w:p>
    <w:p w:rsidR="00432F0F" w:rsidRPr="009C79E5" w:rsidRDefault="00432F0F" w:rsidP="00476E6F">
      <w:pPr>
        <w:suppressLineNumbers/>
        <w:tabs>
          <w:tab w:val="left" w:pos="720"/>
          <w:tab w:val="left" w:pos="1440"/>
          <w:tab w:val="left" w:pos="2160"/>
          <w:tab w:val="left" w:pos="2880"/>
          <w:tab w:val="right" w:leader="dot" w:pos="9360"/>
        </w:tabs>
        <w:suppressAutoHyphens/>
        <w:autoSpaceDE w:val="0"/>
        <w:autoSpaceDN w:val="0"/>
        <w:adjustRightInd w:val="0"/>
        <w:ind w:firstLine="720"/>
        <w:rPr>
          <w:sz w:val="22"/>
          <w:szCs w:val="22"/>
        </w:rPr>
      </w:pPr>
      <w:r w:rsidRPr="009C79E5">
        <w:rPr>
          <w:sz w:val="22"/>
          <w:szCs w:val="22"/>
        </w:rPr>
        <w:t>D.</w:t>
      </w:r>
      <w:r w:rsidRPr="009C79E5">
        <w:rPr>
          <w:sz w:val="22"/>
          <w:szCs w:val="22"/>
        </w:rPr>
        <w:tab/>
        <w:t>Complaints Received Pursuant to Section 717</w:t>
      </w:r>
      <w:r w:rsidR="0008420E" w:rsidRPr="009C79E5">
        <w:rPr>
          <w:sz w:val="22"/>
          <w:szCs w:val="22"/>
        </w:rPr>
        <w:t xml:space="preserve"> </w:t>
      </w:r>
      <w:r w:rsidRPr="009C79E5">
        <w:rPr>
          <w:sz w:val="22"/>
          <w:szCs w:val="22"/>
        </w:rPr>
        <w:tab/>
      </w:r>
      <w:r w:rsidR="002C58FC" w:rsidRPr="009C79E5">
        <w:rPr>
          <w:sz w:val="22"/>
          <w:szCs w:val="22"/>
        </w:rPr>
        <w:t>51</w:t>
      </w:r>
    </w:p>
    <w:p w:rsidR="00432F0F" w:rsidRPr="009C79E5" w:rsidRDefault="00D369AA" w:rsidP="00476E6F">
      <w:pPr>
        <w:suppressLineNumbers/>
        <w:tabs>
          <w:tab w:val="left" w:pos="720"/>
          <w:tab w:val="left" w:pos="1440"/>
          <w:tab w:val="left" w:pos="2160"/>
          <w:tab w:val="left" w:pos="2880"/>
          <w:tab w:val="right" w:leader="dot" w:pos="9360"/>
        </w:tabs>
        <w:suppressAutoHyphens/>
        <w:autoSpaceDE w:val="0"/>
        <w:autoSpaceDN w:val="0"/>
        <w:adjustRightInd w:val="0"/>
        <w:ind w:firstLine="720"/>
        <w:rPr>
          <w:sz w:val="22"/>
          <w:szCs w:val="22"/>
        </w:rPr>
      </w:pPr>
      <w:r w:rsidRPr="009C79E5">
        <w:rPr>
          <w:sz w:val="22"/>
          <w:szCs w:val="22"/>
        </w:rPr>
        <w:tab/>
        <w:t>1.</w:t>
      </w:r>
      <w:r w:rsidRPr="009C79E5">
        <w:rPr>
          <w:sz w:val="22"/>
          <w:szCs w:val="22"/>
        </w:rPr>
        <w:tab/>
      </w:r>
      <w:r w:rsidR="00432F0F" w:rsidRPr="009C79E5">
        <w:rPr>
          <w:sz w:val="22"/>
          <w:szCs w:val="22"/>
        </w:rPr>
        <w:t xml:space="preserve">Number and Nature of Complaints Received </w:t>
      </w:r>
      <w:r w:rsidR="00432F0F" w:rsidRPr="009C79E5">
        <w:rPr>
          <w:sz w:val="22"/>
          <w:szCs w:val="22"/>
        </w:rPr>
        <w:tab/>
      </w:r>
      <w:r w:rsidR="002C58FC" w:rsidRPr="009C79E5">
        <w:rPr>
          <w:sz w:val="22"/>
          <w:szCs w:val="22"/>
        </w:rPr>
        <w:t>57</w:t>
      </w:r>
    </w:p>
    <w:p w:rsidR="00432F0F" w:rsidRPr="009C79E5" w:rsidRDefault="00D369AA" w:rsidP="00476E6F">
      <w:pPr>
        <w:suppressLineNumbers/>
        <w:tabs>
          <w:tab w:val="left" w:pos="720"/>
          <w:tab w:val="left" w:pos="1440"/>
          <w:tab w:val="left" w:pos="2160"/>
          <w:tab w:val="left" w:pos="2880"/>
          <w:tab w:val="right" w:leader="dot" w:pos="9360"/>
        </w:tabs>
        <w:suppressAutoHyphens/>
        <w:autoSpaceDE w:val="0"/>
        <w:autoSpaceDN w:val="0"/>
        <w:adjustRightInd w:val="0"/>
        <w:ind w:firstLine="720"/>
        <w:rPr>
          <w:sz w:val="22"/>
          <w:szCs w:val="22"/>
        </w:rPr>
      </w:pPr>
      <w:r w:rsidRPr="009C79E5">
        <w:rPr>
          <w:sz w:val="22"/>
          <w:szCs w:val="22"/>
        </w:rPr>
        <w:tab/>
        <w:t>2.</w:t>
      </w:r>
      <w:r w:rsidRPr="009C79E5">
        <w:rPr>
          <w:sz w:val="22"/>
          <w:szCs w:val="22"/>
        </w:rPr>
        <w:tab/>
      </w:r>
      <w:r w:rsidR="00432F0F" w:rsidRPr="009C79E5">
        <w:rPr>
          <w:sz w:val="22"/>
          <w:szCs w:val="22"/>
        </w:rPr>
        <w:t xml:space="preserve">Actions Taken to Resolve Such Complaints </w:t>
      </w:r>
      <w:r w:rsidR="00432F0F" w:rsidRPr="009C79E5">
        <w:rPr>
          <w:sz w:val="22"/>
          <w:szCs w:val="22"/>
        </w:rPr>
        <w:tab/>
      </w:r>
      <w:r w:rsidR="002C58FC" w:rsidRPr="009C79E5">
        <w:rPr>
          <w:sz w:val="22"/>
          <w:szCs w:val="22"/>
        </w:rPr>
        <w:t>60</w:t>
      </w:r>
    </w:p>
    <w:p w:rsidR="00432F0F" w:rsidRPr="009C79E5" w:rsidRDefault="00D369AA" w:rsidP="00476E6F">
      <w:pPr>
        <w:suppressLineNumbers/>
        <w:tabs>
          <w:tab w:val="left" w:pos="720"/>
          <w:tab w:val="left" w:pos="1440"/>
          <w:tab w:val="left" w:pos="2160"/>
          <w:tab w:val="left" w:pos="2880"/>
          <w:tab w:val="right" w:leader="dot" w:pos="9360"/>
        </w:tabs>
        <w:suppressAutoHyphens/>
        <w:autoSpaceDE w:val="0"/>
        <w:autoSpaceDN w:val="0"/>
        <w:adjustRightInd w:val="0"/>
        <w:ind w:firstLine="720"/>
        <w:rPr>
          <w:sz w:val="22"/>
          <w:szCs w:val="22"/>
        </w:rPr>
      </w:pPr>
      <w:r w:rsidRPr="009C79E5">
        <w:rPr>
          <w:sz w:val="22"/>
          <w:szCs w:val="22"/>
        </w:rPr>
        <w:tab/>
        <w:t>3.</w:t>
      </w:r>
      <w:r w:rsidRPr="009C79E5">
        <w:rPr>
          <w:sz w:val="22"/>
          <w:szCs w:val="22"/>
        </w:rPr>
        <w:tab/>
      </w:r>
      <w:r w:rsidR="00432F0F" w:rsidRPr="009C79E5">
        <w:rPr>
          <w:sz w:val="22"/>
          <w:szCs w:val="22"/>
        </w:rPr>
        <w:t xml:space="preserve">Time to Resolve Each Complaint </w:t>
      </w:r>
      <w:r w:rsidR="00432F0F" w:rsidRPr="009C79E5">
        <w:rPr>
          <w:sz w:val="22"/>
          <w:szCs w:val="22"/>
        </w:rPr>
        <w:tab/>
      </w:r>
      <w:r w:rsidR="002C58FC" w:rsidRPr="009C79E5">
        <w:rPr>
          <w:sz w:val="22"/>
          <w:szCs w:val="22"/>
        </w:rPr>
        <w:t>64</w:t>
      </w:r>
    </w:p>
    <w:p w:rsidR="00432F0F" w:rsidRPr="009C79E5" w:rsidRDefault="00D369AA" w:rsidP="00476E6F">
      <w:pPr>
        <w:suppressLineNumbers/>
        <w:tabs>
          <w:tab w:val="left" w:pos="720"/>
          <w:tab w:val="left" w:pos="1440"/>
          <w:tab w:val="left" w:pos="2160"/>
          <w:tab w:val="left" w:pos="2880"/>
          <w:tab w:val="right" w:leader="dot" w:pos="9360"/>
        </w:tabs>
        <w:suppressAutoHyphens/>
        <w:autoSpaceDE w:val="0"/>
        <w:autoSpaceDN w:val="0"/>
        <w:adjustRightInd w:val="0"/>
        <w:ind w:firstLine="720"/>
        <w:rPr>
          <w:sz w:val="22"/>
          <w:szCs w:val="22"/>
        </w:rPr>
      </w:pPr>
      <w:r w:rsidRPr="009C79E5">
        <w:rPr>
          <w:sz w:val="22"/>
          <w:szCs w:val="22"/>
        </w:rPr>
        <w:tab/>
        <w:t>4.</w:t>
      </w:r>
      <w:r w:rsidRPr="009C79E5">
        <w:rPr>
          <w:sz w:val="22"/>
          <w:szCs w:val="22"/>
        </w:rPr>
        <w:tab/>
      </w:r>
      <w:r w:rsidR="00432F0F" w:rsidRPr="009C79E5">
        <w:rPr>
          <w:sz w:val="22"/>
          <w:szCs w:val="22"/>
        </w:rPr>
        <w:t xml:space="preserve">Actions for Mandamus and Appeals Filed </w:t>
      </w:r>
      <w:r w:rsidR="00432F0F" w:rsidRPr="009C79E5">
        <w:rPr>
          <w:sz w:val="22"/>
          <w:szCs w:val="22"/>
        </w:rPr>
        <w:tab/>
      </w:r>
      <w:r w:rsidR="002C58FC" w:rsidRPr="009C79E5">
        <w:rPr>
          <w:sz w:val="22"/>
          <w:szCs w:val="22"/>
        </w:rPr>
        <w:t>66</w:t>
      </w:r>
    </w:p>
    <w:p w:rsidR="00432F0F" w:rsidRPr="009C79E5" w:rsidRDefault="00432F0F" w:rsidP="00476E6F">
      <w:pPr>
        <w:suppressLineNumbers/>
        <w:tabs>
          <w:tab w:val="left" w:pos="720"/>
          <w:tab w:val="left" w:pos="1440"/>
          <w:tab w:val="left" w:pos="2160"/>
          <w:tab w:val="left" w:pos="2880"/>
          <w:tab w:val="right" w:leader="dot" w:pos="9360"/>
        </w:tabs>
        <w:suppressAutoHyphens/>
        <w:autoSpaceDE w:val="0"/>
        <w:autoSpaceDN w:val="0"/>
        <w:adjustRightInd w:val="0"/>
        <w:ind w:left="1440" w:hanging="720"/>
        <w:rPr>
          <w:sz w:val="22"/>
          <w:szCs w:val="22"/>
        </w:rPr>
      </w:pPr>
      <w:r w:rsidRPr="009C79E5">
        <w:rPr>
          <w:sz w:val="22"/>
          <w:szCs w:val="22"/>
        </w:rPr>
        <w:t>E.</w:t>
      </w:r>
      <w:r w:rsidRPr="009C79E5">
        <w:rPr>
          <w:sz w:val="22"/>
          <w:szCs w:val="22"/>
        </w:rPr>
        <w:tab/>
        <w:t>Effect of Section 717</w:t>
      </w:r>
      <w:r w:rsidR="003308A5" w:rsidRPr="009C79E5">
        <w:rPr>
          <w:sz w:val="22"/>
          <w:szCs w:val="22"/>
        </w:rPr>
        <w:t>’</w:t>
      </w:r>
      <w:r w:rsidRPr="009C79E5">
        <w:rPr>
          <w:sz w:val="22"/>
          <w:szCs w:val="22"/>
        </w:rPr>
        <w:t>s Recordkeeping and Enforcement Requirements on the Development and Deployment of New Communications Technologies</w:t>
      </w:r>
      <w:r w:rsidR="0008420E" w:rsidRPr="009C79E5">
        <w:rPr>
          <w:sz w:val="22"/>
          <w:szCs w:val="22"/>
        </w:rPr>
        <w:t xml:space="preserve"> </w:t>
      </w:r>
      <w:r w:rsidRPr="009C79E5">
        <w:rPr>
          <w:sz w:val="22"/>
          <w:szCs w:val="22"/>
        </w:rPr>
        <w:tab/>
      </w:r>
      <w:r w:rsidR="002C58FC" w:rsidRPr="009C79E5">
        <w:rPr>
          <w:sz w:val="22"/>
          <w:szCs w:val="22"/>
        </w:rPr>
        <w:t>67</w:t>
      </w:r>
    </w:p>
    <w:p w:rsidR="003E3C4B" w:rsidRPr="009C79E5" w:rsidRDefault="003E3C4B" w:rsidP="00476E6F">
      <w:pPr>
        <w:suppressLineNumbers/>
        <w:tabs>
          <w:tab w:val="left" w:pos="720"/>
          <w:tab w:val="left" w:pos="1440"/>
          <w:tab w:val="left" w:pos="2160"/>
          <w:tab w:val="left" w:pos="2880"/>
          <w:tab w:val="right" w:leader="dot" w:pos="9360"/>
        </w:tabs>
        <w:suppressAutoHyphens/>
        <w:autoSpaceDE w:val="0"/>
        <w:autoSpaceDN w:val="0"/>
        <w:adjustRightInd w:val="0"/>
        <w:ind w:left="1440" w:hanging="720"/>
        <w:rPr>
          <w:sz w:val="22"/>
          <w:szCs w:val="22"/>
        </w:rPr>
      </w:pPr>
      <w:r w:rsidRPr="009C79E5">
        <w:rPr>
          <w:sz w:val="22"/>
          <w:szCs w:val="22"/>
        </w:rPr>
        <w:tab/>
        <w:t>1.</w:t>
      </w:r>
      <w:r w:rsidRPr="009C79E5">
        <w:rPr>
          <w:sz w:val="22"/>
          <w:szCs w:val="22"/>
        </w:rPr>
        <w:tab/>
        <w:t>Comments Received</w:t>
      </w:r>
      <w:r w:rsidR="0008420E" w:rsidRPr="009C79E5">
        <w:rPr>
          <w:sz w:val="22"/>
          <w:szCs w:val="22"/>
        </w:rPr>
        <w:t xml:space="preserve"> </w:t>
      </w:r>
      <w:r w:rsidRPr="009C79E5">
        <w:rPr>
          <w:sz w:val="22"/>
          <w:szCs w:val="22"/>
        </w:rPr>
        <w:tab/>
      </w:r>
      <w:r w:rsidR="002C58FC" w:rsidRPr="009C79E5">
        <w:rPr>
          <w:sz w:val="22"/>
          <w:szCs w:val="22"/>
        </w:rPr>
        <w:t>68</w:t>
      </w:r>
    </w:p>
    <w:p w:rsidR="003E3C4B" w:rsidRPr="009C79E5" w:rsidRDefault="003E3C4B" w:rsidP="00476E6F">
      <w:pPr>
        <w:suppressLineNumbers/>
        <w:tabs>
          <w:tab w:val="left" w:pos="720"/>
          <w:tab w:val="left" w:pos="1440"/>
          <w:tab w:val="left" w:pos="2160"/>
          <w:tab w:val="left" w:pos="2880"/>
          <w:tab w:val="right" w:leader="dot" w:pos="9360"/>
        </w:tabs>
        <w:suppressAutoHyphens/>
        <w:autoSpaceDE w:val="0"/>
        <w:autoSpaceDN w:val="0"/>
        <w:adjustRightInd w:val="0"/>
        <w:ind w:left="2160" w:hanging="1440"/>
        <w:rPr>
          <w:sz w:val="22"/>
          <w:szCs w:val="22"/>
        </w:rPr>
      </w:pPr>
      <w:r w:rsidRPr="009C79E5">
        <w:rPr>
          <w:sz w:val="22"/>
          <w:szCs w:val="22"/>
        </w:rPr>
        <w:tab/>
        <w:t>2.</w:t>
      </w:r>
      <w:r w:rsidRPr="009C79E5">
        <w:rPr>
          <w:sz w:val="22"/>
          <w:szCs w:val="22"/>
        </w:rPr>
        <w:tab/>
        <w:t>Findings on the Effect of Section 717</w:t>
      </w:r>
      <w:r w:rsidR="003308A5" w:rsidRPr="009C79E5">
        <w:rPr>
          <w:sz w:val="22"/>
          <w:szCs w:val="22"/>
        </w:rPr>
        <w:t>’</w:t>
      </w:r>
      <w:r w:rsidRPr="009C79E5">
        <w:rPr>
          <w:sz w:val="22"/>
          <w:szCs w:val="22"/>
        </w:rPr>
        <w:t>s Recordkeeping and Enforcement Requirements on the Development and Deployment of New Communications Technologies</w:t>
      </w:r>
      <w:r w:rsidR="0008420E" w:rsidRPr="009C79E5">
        <w:rPr>
          <w:sz w:val="22"/>
          <w:szCs w:val="22"/>
        </w:rPr>
        <w:t xml:space="preserve"> </w:t>
      </w:r>
      <w:r w:rsidRPr="009C79E5">
        <w:rPr>
          <w:sz w:val="22"/>
          <w:szCs w:val="22"/>
        </w:rPr>
        <w:tab/>
      </w:r>
      <w:r w:rsidR="002C58FC" w:rsidRPr="009C79E5">
        <w:rPr>
          <w:sz w:val="22"/>
          <w:szCs w:val="22"/>
        </w:rPr>
        <w:t>70</w:t>
      </w:r>
    </w:p>
    <w:p w:rsidR="00432F0F" w:rsidRPr="009C79E5" w:rsidRDefault="00432F0F" w:rsidP="00476E6F">
      <w:pPr>
        <w:suppressLineNumbers/>
        <w:tabs>
          <w:tab w:val="left" w:pos="720"/>
          <w:tab w:val="left" w:pos="1440"/>
          <w:tab w:val="left" w:pos="2160"/>
          <w:tab w:val="right" w:leader="dot" w:pos="9360"/>
        </w:tabs>
        <w:suppressAutoHyphens/>
        <w:autoSpaceDE w:val="0"/>
        <w:autoSpaceDN w:val="0"/>
        <w:adjustRightInd w:val="0"/>
        <w:ind w:left="1440" w:hanging="720"/>
        <w:rPr>
          <w:sz w:val="22"/>
          <w:szCs w:val="22"/>
        </w:rPr>
      </w:pPr>
      <w:r w:rsidRPr="009C79E5">
        <w:rPr>
          <w:sz w:val="22"/>
          <w:szCs w:val="22"/>
        </w:rPr>
        <w:t>F.</w:t>
      </w:r>
      <w:r w:rsidRPr="009C79E5">
        <w:rPr>
          <w:sz w:val="22"/>
          <w:szCs w:val="22"/>
        </w:rPr>
        <w:tab/>
      </w:r>
      <w:r w:rsidR="00681662" w:rsidRPr="009C79E5">
        <w:rPr>
          <w:sz w:val="22"/>
          <w:szCs w:val="22"/>
        </w:rPr>
        <w:t xml:space="preserve">Future Biennial Reports </w:t>
      </w:r>
      <w:r w:rsidRPr="009C79E5">
        <w:rPr>
          <w:sz w:val="22"/>
          <w:szCs w:val="22"/>
        </w:rPr>
        <w:tab/>
      </w:r>
      <w:r w:rsidR="002C58FC" w:rsidRPr="009C79E5">
        <w:rPr>
          <w:sz w:val="22"/>
          <w:szCs w:val="22"/>
        </w:rPr>
        <w:t>71</w:t>
      </w:r>
    </w:p>
    <w:p w:rsidR="00432F0F" w:rsidRPr="009C79E5" w:rsidRDefault="00432F0F" w:rsidP="00476E6F">
      <w:pPr>
        <w:suppressLineNumbers/>
        <w:tabs>
          <w:tab w:val="right" w:leader="dot" w:pos="9360"/>
        </w:tabs>
        <w:suppressAutoHyphens/>
        <w:autoSpaceDE w:val="0"/>
        <w:autoSpaceDN w:val="0"/>
        <w:adjustRightInd w:val="0"/>
        <w:ind w:left="720" w:hanging="720"/>
        <w:rPr>
          <w:sz w:val="22"/>
          <w:szCs w:val="22"/>
        </w:rPr>
      </w:pPr>
      <w:r w:rsidRPr="009C79E5">
        <w:rPr>
          <w:sz w:val="22"/>
          <w:szCs w:val="22"/>
        </w:rPr>
        <w:lastRenderedPageBreak/>
        <w:t>III.</w:t>
      </w:r>
      <w:r w:rsidRPr="009C79E5">
        <w:rPr>
          <w:sz w:val="22"/>
          <w:szCs w:val="22"/>
        </w:rPr>
        <w:tab/>
        <w:t xml:space="preserve">COMMISSION ACTIONS TO IMPLEMENT THE CVAA </w:t>
      </w:r>
      <w:r w:rsidRPr="009C79E5">
        <w:rPr>
          <w:sz w:val="22"/>
          <w:szCs w:val="22"/>
        </w:rPr>
        <w:tab/>
      </w:r>
      <w:r w:rsidR="002C58FC" w:rsidRPr="009C79E5">
        <w:rPr>
          <w:sz w:val="22"/>
          <w:szCs w:val="22"/>
        </w:rPr>
        <w:t>73</w:t>
      </w:r>
    </w:p>
    <w:p w:rsidR="00432F0F" w:rsidRPr="009C79E5" w:rsidRDefault="00D369AA" w:rsidP="00476E6F">
      <w:pPr>
        <w:suppressLineNumbers/>
        <w:tabs>
          <w:tab w:val="left" w:pos="1440"/>
          <w:tab w:val="right" w:leader="dot" w:pos="9360"/>
        </w:tabs>
        <w:suppressAutoHyphens/>
        <w:ind w:left="720"/>
        <w:rPr>
          <w:sz w:val="22"/>
          <w:szCs w:val="22"/>
        </w:rPr>
      </w:pPr>
      <w:r w:rsidRPr="009C79E5">
        <w:rPr>
          <w:sz w:val="22"/>
          <w:szCs w:val="22"/>
        </w:rPr>
        <w:t>A.</w:t>
      </w:r>
      <w:r w:rsidRPr="009C79E5">
        <w:rPr>
          <w:sz w:val="22"/>
          <w:szCs w:val="22"/>
        </w:rPr>
        <w:tab/>
      </w:r>
      <w:r w:rsidR="00432F0F" w:rsidRPr="009C79E5">
        <w:rPr>
          <w:sz w:val="22"/>
          <w:szCs w:val="22"/>
        </w:rPr>
        <w:t xml:space="preserve">Section 102.  Hearing </w:t>
      </w:r>
      <w:r w:rsidR="0072164E" w:rsidRPr="009C79E5">
        <w:rPr>
          <w:sz w:val="22"/>
          <w:szCs w:val="22"/>
        </w:rPr>
        <w:t>A</w:t>
      </w:r>
      <w:r w:rsidR="00432F0F" w:rsidRPr="009C79E5">
        <w:rPr>
          <w:sz w:val="22"/>
          <w:szCs w:val="22"/>
        </w:rPr>
        <w:t xml:space="preserve">id </w:t>
      </w:r>
      <w:r w:rsidR="0072164E" w:rsidRPr="009C79E5">
        <w:rPr>
          <w:sz w:val="22"/>
          <w:szCs w:val="22"/>
        </w:rPr>
        <w:t>C</w:t>
      </w:r>
      <w:r w:rsidR="00432F0F" w:rsidRPr="009C79E5">
        <w:rPr>
          <w:sz w:val="22"/>
          <w:szCs w:val="22"/>
        </w:rPr>
        <w:t xml:space="preserve">ompatibility </w:t>
      </w:r>
      <w:r w:rsidR="00432F0F" w:rsidRPr="009C79E5">
        <w:rPr>
          <w:sz w:val="22"/>
          <w:szCs w:val="22"/>
        </w:rPr>
        <w:tab/>
      </w:r>
      <w:r w:rsidR="002C58FC" w:rsidRPr="009C79E5">
        <w:rPr>
          <w:sz w:val="22"/>
          <w:szCs w:val="22"/>
        </w:rPr>
        <w:t>75</w:t>
      </w:r>
    </w:p>
    <w:p w:rsidR="00432F0F" w:rsidRPr="009C79E5" w:rsidRDefault="00D369AA" w:rsidP="00476E6F">
      <w:pPr>
        <w:suppressLineNumbers/>
        <w:tabs>
          <w:tab w:val="left" w:pos="1440"/>
          <w:tab w:val="right" w:leader="dot" w:pos="9360"/>
        </w:tabs>
        <w:suppressAutoHyphens/>
        <w:ind w:left="720"/>
        <w:rPr>
          <w:sz w:val="22"/>
          <w:szCs w:val="22"/>
        </w:rPr>
      </w:pPr>
      <w:r w:rsidRPr="009C79E5">
        <w:rPr>
          <w:sz w:val="22"/>
          <w:szCs w:val="22"/>
        </w:rPr>
        <w:t>B.</w:t>
      </w:r>
      <w:r w:rsidRPr="009C79E5">
        <w:rPr>
          <w:sz w:val="22"/>
          <w:szCs w:val="22"/>
        </w:rPr>
        <w:tab/>
      </w:r>
      <w:r w:rsidR="00432F0F" w:rsidRPr="009C79E5">
        <w:rPr>
          <w:sz w:val="22"/>
          <w:szCs w:val="22"/>
        </w:rPr>
        <w:t xml:space="preserve">Section 103.  Relay </w:t>
      </w:r>
      <w:r w:rsidR="0072164E" w:rsidRPr="009C79E5">
        <w:rPr>
          <w:sz w:val="22"/>
          <w:szCs w:val="22"/>
        </w:rPr>
        <w:t>S</w:t>
      </w:r>
      <w:r w:rsidR="00432F0F" w:rsidRPr="009C79E5">
        <w:rPr>
          <w:sz w:val="22"/>
          <w:szCs w:val="22"/>
        </w:rPr>
        <w:t xml:space="preserve">ervices </w:t>
      </w:r>
      <w:r w:rsidR="00432F0F" w:rsidRPr="009C79E5">
        <w:rPr>
          <w:sz w:val="22"/>
          <w:szCs w:val="22"/>
        </w:rPr>
        <w:tab/>
      </w:r>
      <w:r w:rsidR="002C58FC" w:rsidRPr="009C79E5">
        <w:rPr>
          <w:sz w:val="22"/>
          <w:szCs w:val="22"/>
        </w:rPr>
        <w:t>77</w:t>
      </w:r>
    </w:p>
    <w:p w:rsidR="00432F0F" w:rsidRPr="009C79E5" w:rsidRDefault="00D369AA" w:rsidP="00476E6F">
      <w:pPr>
        <w:suppressLineNumbers/>
        <w:tabs>
          <w:tab w:val="left" w:pos="1440"/>
          <w:tab w:val="right" w:leader="dot" w:pos="9360"/>
        </w:tabs>
        <w:suppressAutoHyphens/>
        <w:ind w:left="720"/>
        <w:rPr>
          <w:sz w:val="22"/>
          <w:szCs w:val="22"/>
        </w:rPr>
      </w:pPr>
      <w:r w:rsidRPr="009C79E5">
        <w:rPr>
          <w:sz w:val="22"/>
          <w:szCs w:val="22"/>
        </w:rPr>
        <w:t>C.</w:t>
      </w:r>
      <w:r w:rsidRPr="009C79E5">
        <w:rPr>
          <w:sz w:val="22"/>
          <w:szCs w:val="22"/>
        </w:rPr>
        <w:tab/>
      </w:r>
      <w:r w:rsidR="00432F0F" w:rsidRPr="009C79E5">
        <w:rPr>
          <w:sz w:val="22"/>
          <w:szCs w:val="22"/>
        </w:rPr>
        <w:t xml:space="preserve">Section 104.  Access to </w:t>
      </w:r>
      <w:r w:rsidR="0072164E" w:rsidRPr="009C79E5">
        <w:rPr>
          <w:sz w:val="22"/>
          <w:szCs w:val="22"/>
        </w:rPr>
        <w:t>A</w:t>
      </w:r>
      <w:r w:rsidR="00432F0F" w:rsidRPr="009C79E5">
        <w:rPr>
          <w:sz w:val="22"/>
          <w:szCs w:val="22"/>
        </w:rPr>
        <w:t xml:space="preserve">dvanced </w:t>
      </w:r>
      <w:r w:rsidR="0072164E" w:rsidRPr="009C79E5">
        <w:rPr>
          <w:sz w:val="22"/>
          <w:szCs w:val="22"/>
        </w:rPr>
        <w:t>C</w:t>
      </w:r>
      <w:r w:rsidR="00432F0F" w:rsidRPr="009C79E5">
        <w:rPr>
          <w:sz w:val="22"/>
          <w:szCs w:val="22"/>
        </w:rPr>
        <w:t xml:space="preserve">ommunications </w:t>
      </w:r>
      <w:r w:rsidR="0072164E" w:rsidRPr="009C79E5">
        <w:rPr>
          <w:sz w:val="22"/>
          <w:szCs w:val="22"/>
        </w:rPr>
        <w:t>S</w:t>
      </w:r>
      <w:r w:rsidR="00432F0F" w:rsidRPr="009C79E5">
        <w:rPr>
          <w:sz w:val="22"/>
          <w:szCs w:val="22"/>
        </w:rPr>
        <w:t xml:space="preserve">ervices and </w:t>
      </w:r>
      <w:r w:rsidR="0072164E" w:rsidRPr="009C79E5">
        <w:rPr>
          <w:sz w:val="22"/>
          <w:szCs w:val="22"/>
        </w:rPr>
        <w:t>E</w:t>
      </w:r>
      <w:r w:rsidR="00432F0F" w:rsidRPr="009C79E5">
        <w:rPr>
          <w:sz w:val="22"/>
          <w:szCs w:val="22"/>
        </w:rPr>
        <w:t xml:space="preserve">quipment </w:t>
      </w:r>
      <w:r w:rsidR="00432F0F" w:rsidRPr="009C79E5">
        <w:rPr>
          <w:sz w:val="22"/>
          <w:szCs w:val="22"/>
        </w:rPr>
        <w:tab/>
      </w:r>
      <w:r w:rsidR="002C58FC" w:rsidRPr="009C79E5">
        <w:rPr>
          <w:sz w:val="22"/>
          <w:szCs w:val="22"/>
        </w:rPr>
        <w:t>81</w:t>
      </w:r>
    </w:p>
    <w:p w:rsidR="00432F0F" w:rsidRPr="009C79E5" w:rsidRDefault="00D369AA" w:rsidP="00476E6F">
      <w:pPr>
        <w:suppressLineNumbers/>
        <w:tabs>
          <w:tab w:val="left" w:pos="1440"/>
          <w:tab w:val="right" w:leader="dot" w:pos="9360"/>
        </w:tabs>
        <w:suppressAutoHyphens/>
        <w:ind w:left="720"/>
        <w:rPr>
          <w:sz w:val="22"/>
          <w:szCs w:val="22"/>
        </w:rPr>
      </w:pPr>
      <w:r w:rsidRPr="009C79E5">
        <w:rPr>
          <w:sz w:val="22"/>
          <w:szCs w:val="22"/>
        </w:rPr>
        <w:t>D.</w:t>
      </w:r>
      <w:r w:rsidRPr="009C79E5">
        <w:rPr>
          <w:sz w:val="22"/>
          <w:szCs w:val="22"/>
        </w:rPr>
        <w:tab/>
      </w:r>
      <w:r w:rsidR="00432F0F" w:rsidRPr="009C79E5">
        <w:rPr>
          <w:sz w:val="22"/>
          <w:szCs w:val="22"/>
        </w:rPr>
        <w:t xml:space="preserve">Section 105.  National Deaf-Blind Equipment Distribution Program </w:t>
      </w:r>
      <w:r w:rsidR="00432F0F" w:rsidRPr="009C79E5">
        <w:rPr>
          <w:sz w:val="22"/>
          <w:szCs w:val="22"/>
        </w:rPr>
        <w:tab/>
      </w:r>
      <w:r w:rsidR="002C58FC" w:rsidRPr="009C79E5">
        <w:rPr>
          <w:sz w:val="22"/>
          <w:szCs w:val="22"/>
        </w:rPr>
        <w:t>88</w:t>
      </w:r>
    </w:p>
    <w:p w:rsidR="00432F0F" w:rsidRPr="009C79E5" w:rsidRDefault="00D369AA" w:rsidP="00476E6F">
      <w:pPr>
        <w:suppressLineNumbers/>
        <w:tabs>
          <w:tab w:val="left" w:pos="1440"/>
          <w:tab w:val="right" w:leader="dot" w:pos="9360"/>
        </w:tabs>
        <w:suppressAutoHyphens/>
        <w:ind w:left="720"/>
        <w:rPr>
          <w:sz w:val="22"/>
          <w:szCs w:val="22"/>
        </w:rPr>
      </w:pPr>
      <w:r w:rsidRPr="009C79E5">
        <w:rPr>
          <w:sz w:val="22"/>
          <w:szCs w:val="22"/>
        </w:rPr>
        <w:t>E.</w:t>
      </w:r>
      <w:r w:rsidRPr="009C79E5">
        <w:rPr>
          <w:sz w:val="22"/>
          <w:szCs w:val="22"/>
        </w:rPr>
        <w:tab/>
      </w:r>
      <w:r w:rsidR="00432F0F" w:rsidRPr="009C79E5">
        <w:rPr>
          <w:sz w:val="22"/>
          <w:szCs w:val="22"/>
        </w:rPr>
        <w:t xml:space="preserve">Section 106.  Emergency Access Advisory Committee </w:t>
      </w:r>
      <w:r w:rsidR="00432F0F" w:rsidRPr="009C79E5">
        <w:rPr>
          <w:sz w:val="22"/>
          <w:szCs w:val="22"/>
        </w:rPr>
        <w:tab/>
      </w:r>
      <w:r w:rsidR="002C58FC" w:rsidRPr="009C79E5">
        <w:rPr>
          <w:sz w:val="22"/>
          <w:szCs w:val="22"/>
        </w:rPr>
        <w:t>92</w:t>
      </w:r>
    </w:p>
    <w:p w:rsidR="00432F0F" w:rsidRPr="009C79E5" w:rsidRDefault="00D369AA" w:rsidP="00476E6F">
      <w:pPr>
        <w:suppressLineNumbers/>
        <w:tabs>
          <w:tab w:val="left" w:pos="1440"/>
          <w:tab w:val="right" w:leader="dot" w:pos="9360"/>
        </w:tabs>
        <w:suppressAutoHyphens/>
        <w:ind w:left="720"/>
        <w:rPr>
          <w:sz w:val="22"/>
          <w:szCs w:val="22"/>
        </w:rPr>
      </w:pPr>
      <w:r w:rsidRPr="009C79E5">
        <w:rPr>
          <w:sz w:val="22"/>
          <w:szCs w:val="22"/>
        </w:rPr>
        <w:t>F.</w:t>
      </w:r>
      <w:r w:rsidRPr="009C79E5">
        <w:rPr>
          <w:sz w:val="22"/>
          <w:szCs w:val="22"/>
        </w:rPr>
        <w:tab/>
      </w:r>
      <w:r w:rsidR="00432F0F" w:rsidRPr="009C79E5">
        <w:rPr>
          <w:sz w:val="22"/>
          <w:szCs w:val="22"/>
        </w:rPr>
        <w:t xml:space="preserve">Section 201.  Video Programming Access Advisory Committee </w:t>
      </w:r>
      <w:r w:rsidR="00432F0F" w:rsidRPr="009C79E5">
        <w:rPr>
          <w:sz w:val="22"/>
          <w:szCs w:val="22"/>
        </w:rPr>
        <w:tab/>
      </w:r>
      <w:r w:rsidR="002C58FC" w:rsidRPr="009C79E5">
        <w:rPr>
          <w:sz w:val="22"/>
          <w:szCs w:val="22"/>
        </w:rPr>
        <w:t>99</w:t>
      </w:r>
    </w:p>
    <w:p w:rsidR="00432F0F" w:rsidRPr="009C79E5" w:rsidRDefault="00D369AA" w:rsidP="00476E6F">
      <w:pPr>
        <w:suppressLineNumbers/>
        <w:tabs>
          <w:tab w:val="left" w:pos="1440"/>
          <w:tab w:val="right" w:leader="dot" w:pos="9360"/>
        </w:tabs>
        <w:suppressAutoHyphens/>
        <w:ind w:left="720"/>
        <w:rPr>
          <w:sz w:val="22"/>
          <w:szCs w:val="22"/>
        </w:rPr>
      </w:pPr>
      <w:r w:rsidRPr="009C79E5">
        <w:rPr>
          <w:sz w:val="22"/>
          <w:szCs w:val="22"/>
        </w:rPr>
        <w:t>G.</w:t>
      </w:r>
      <w:r w:rsidRPr="009C79E5">
        <w:rPr>
          <w:sz w:val="22"/>
          <w:szCs w:val="22"/>
        </w:rPr>
        <w:tab/>
      </w:r>
      <w:r w:rsidR="00432F0F" w:rsidRPr="009C79E5">
        <w:rPr>
          <w:sz w:val="22"/>
          <w:szCs w:val="22"/>
        </w:rPr>
        <w:t xml:space="preserve">Section 202.  Video </w:t>
      </w:r>
      <w:r w:rsidR="0072164E" w:rsidRPr="009C79E5">
        <w:rPr>
          <w:sz w:val="22"/>
          <w:szCs w:val="22"/>
        </w:rPr>
        <w:t>D</w:t>
      </w:r>
      <w:r w:rsidR="00432F0F" w:rsidRPr="009C79E5">
        <w:rPr>
          <w:sz w:val="22"/>
          <w:szCs w:val="22"/>
        </w:rPr>
        <w:t xml:space="preserve">escription and </w:t>
      </w:r>
      <w:r w:rsidR="0072164E" w:rsidRPr="009C79E5">
        <w:rPr>
          <w:sz w:val="22"/>
          <w:szCs w:val="22"/>
        </w:rPr>
        <w:t>C</w:t>
      </w:r>
      <w:r w:rsidR="00432F0F" w:rsidRPr="009C79E5">
        <w:rPr>
          <w:sz w:val="22"/>
          <w:szCs w:val="22"/>
        </w:rPr>
        <w:t xml:space="preserve">losed </w:t>
      </w:r>
      <w:r w:rsidR="0072164E" w:rsidRPr="009C79E5">
        <w:rPr>
          <w:sz w:val="22"/>
          <w:szCs w:val="22"/>
        </w:rPr>
        <w:t>C</w:t>
      </w:r>
      <w:r w:rsidR="00432F0F" w:rsidRPr="009C79E5">
        <w:rPr>
          <w:sz w:val="22"/>
          <w:szCs w:val="22"/>
        </w:rPr>
        <w:t xml:space="preserve">aptioning </w:t>
      </w:r>
      <w:r w:rsidR="00432F0F" w:rsidRPr="009C79E5">
        <w:rPr>
          <w:sz w:val="22"/>
          <w:szCs w:val="22"/>
        </w:rPr>
        <w:tab/>
      </w:r>
      <w:r w:rsidR="002C58FC" w:rsidRPr="009C79E5">
        <w:rPr>
          <w:sz w:val="22"/>
          <w:szCs w:val="22"/>
        </w:rPr>
        <w:t>102</w:t>
      </w:r>
    </w:p>
    <w:p w:rsidR="00432F0F" w:rsidRPr="009C79E5" w:rsidRDefault="00D369AA" w:rsidP="00476E6F">
      <w:pPr>
        <w:suppressLineNumbers/>
        <w:tabs>
          <w:tab w:val="left" w:pos="1440"/>
          <w:tab w:val="right" w:leader="dot" w:pos="9360"/>
        </w:tabs>
        <w:suppressAutoHyphens/>
        <w:ind w:left="720"/>
        <w:rPr>
          <w:sz w:val="22"/>
          <w:szCs w:val="22"/>
        </w:rPr>
      </w:pPr>
      <w:r w:rsidRPr="009C79E5">
        <w:rPr>
          <w:sz w:val="22"/>
          <w:szCs w:val="22"/>
        </w:rPr>
        <w:t>H.</w:t>
      </w:r>
      <w:r w:rsidRPr="009C79E5">
        <w:rPr>
          <w:sz w:val="22"/>
          <w:szCs w:val="22"/>
        </w:rPr>
        <w:tab/>
      </w:r>
      <w:r w:rsidR="00432F0F" w:rsidRPr="009C79E5">
        <w:rPr>
          <w:sz w:val="22"/>
          <w:szCs w:val="22"/>
        </w:rPr>
        <w:t xml:space="preserve">Section 203.  Closed </w:t>
      </w:r>
      <w:r w:rsidR="0072164E" w:rsidRPr="009C79E5">
        <w:rPr>
          <w:sz w:val="22"/>
          <w:szCs w:val="22"/>
        </w:rPr>
        <w:t>C</w:t>
      </w:r>
      <w:r w:rsidR="00432F0F" w:rsidRPr="009C79E5">
        <w:rPr>
          <w:sz w:val="22"/>
          <w:szCs w:val="22"/>
        </w:rPr>
        <w:t xml:space="preserve">aptioning </w:t>
      </w:r>
      <w:r w:rsidR="0072164E" w:rsidRPr="009C79E5">
        <w:rPr>
          <w:sz w:val="22"/>
          <w:szCs w:val="22"/>
        </w:rPr>
        <w:t>D</w:t>
      </w:r>
      <w:r w:rsidR="00432F0F" w:rsidRPr="009C79E5">
        <w:rPr>
          <w:sz w:val="22"/>
          <w:szCs w:val="22"/>
        </w:rPr>
        <w:t xml:space="preserve">ecoder and </w:t>
      </w:r>
      <w:r w:rsidR="0072164E" w:rsidRPr="009C79E5">
        <w:rPr>
          <w:sz w:val="22"/>
          <w:szCs w:val="22"/>
        </w:rPr>
        <w:t>V</w:t>
      </w:r>
      <w:r w:rsidR="00432F0F" w:rsidRPr="009C79E5">
        <w:rPr>
          <w:sz w:val="22"/>
          <w:szCs w:val="22"/>
        </w:rPr>
        <w:t xml:space="preserve">ideo </w:t>
      </w:r>
      <w:r w:rsidR="0072164E" w:rsidRPr="009C79E5">
        <w:rPr>
          <w:sz w:val="22"/>
          <w:szCs w:val="22"/>
        </w:rPr>
        <w:t>D</w:t>
      </w:r>
      <w:r w:rsidR="00432F0F" w:rsidRPr="009C79E5">
        <w:rPr>
          <w:sz w:val="22"/>
          <w:szCs w:val="22"/>
        </w:rPr>
        <w:t xml:space="preserve">escription </w:t>
      </w:r>
      <w:r w:rsidR="0072164E" w:rsidRPr="009C79E5">
        <w:rPr>
          <w:sz w:val="22"/>
          <w:szCs w:val="22"/>
        </w:rPr>
        <w:t>C</w:t>
      </w:r>
      <w:r w:rsidR="00432F0F" w:rsidRPr="009C79E5">
        <w:rPr>
          <w:sz w:val="22"/>
          <w:szCs w:val="22"/>
        </w:rPr>
        <w:t xml:space="preserve">apability </w:t>
      </w:r>
      <w:r w:rsidR="00432F0F" w:rsidRPr="009C79E5">
        <w:rPr>
          <w:sz w:val="22"/>
          <w:szCs w:val="22"/>
        </w:rPr>
        <w:tab/>
      </w:r>
      <w:r w:rsidR="002C58FC" w:rsidRPr="009C79E5">
        <w:rPr>
          <w:sz w:val="22"/>
          <w:szCs w:val="22"/>
        </w:rPr>
        <w:t>118</w:t>
      </w:r>
    </w:p>
    <w:p w:rsidR="00432F0F" w:rsidRPr="009C79E5" w:rsidRDefault="00D369AA" w:rsidP="00476E6F">
      <w:pPr>
        <w:suppressLineNumbers/>
        <w:tabs>
          <w:tab w:val="left" w:pos="1440"/>
          <w:tab w:val="right" w:leader="dot" w:pos="9360"/>
        </w:tabs>
        <w:suppressAutoHyphens/>
        <w:ind w:left="720"/>
        <w:rPr>
          <w:sz w:val="22"/>
          <w:szCs w:val="22"/>
        </w:rPr>
      </w:pPr>
      <w:r w:rsidRPr="009C79E5">
        <w:rPr>
          <w:sz w:val="22"/>
          <w:szCs w:val="22"/>
        </w:rPr>
        <w:t>I.</w:t>
      </w:r>
      <w:r w:rsidRPr="009C79E5">
        <w:rPr>
          <w:sz w:val="22"/>
          <w:szCs w:val="22"/>
        </w:rPr>
        <w:tab/>
      </w:r>
      <w:r w:rsidR="00432F0F" w:rsidRPr="009C79E5">
        <w:rPr>
          <w:sz w:val="22"/>
          <w:szCs w:val="22"/>
        </w:rPr>
        <w:t xml:space="preserve">Section 204.  User </w:t>
      </w:r>
      <w:r w:rsidR="0072164E" w:rsidRPr="009C79E5">
        <w:rPr>
          <w:sz w:val="22"/>
          <w:szCs w:val="22"/>
        </w:rPr>
        <w:t>I</w:t>
      </w:r>
      <w:r w:rsidR="00432F0F" w:rsidRPr="009C79E5">
        <w:rPr>
          <w:sz w:val="22"/>
          <w:szCs w:val="22"/>
        </w:rPr>
        <w:t xml:space="preserve">nterfaces on </w:t>
      </w:r>
      <w:r w:rsidR="0072164E" w:rsidRPr="009C79E5">
        <w:rPr>
          <w:sz w:val="22"/>
          <w:szCs w:val="22"/>
        </w:rPr>
        <w:t>D</w:t>
      </w:r>
      <w:r w:rsidR="00432F0F" w:rsidRPr="009C79E5">
        <w:rPr>
          <w:sz w:val="22"/>
          <w:szCs w:val="22"/>
        </w:rPr>
        <w:t xml:space="preserve">igital </w:t>
      </w:r>
      <w:r w:rsidR="0072164E" w:rsidRPr="009C79E5">
        <w:rPr>
          <w:sz w:val="22"/>
          <w:szCs w:val="22"/>
        </w:rPr>
        <w:t>A</w:t>
      </w:r>
      <w:r w:rsidR="00432F0F" w:rsidRPr="009C79E5">
        <w:rPr>
          <w:sz w:val="22"/>
          <w:szCs w:val="22"/>
        </w:rPr>
        <w:t xml:space="preserve">pparatus </w:t>
      </w:r>
      <w:r w:rsidR="00432F0F" w:rsidRPr="009C79E5">
        <w:rPr>
          <w:sz w:val="22"/>
          <w:szCs w:val="22"/>
        </w:rPr>
        <w:tab/>
      </w:r>
      <w:r w:rsidR="002C58FC" w:rsidRPr="009C79E5">
        <w:rPr>
          <w:sz w:val="22"/>
          <w:szCs w:val="22"/>
        </w:rPr>
        <w:t>125</w:t>
      </w:r>
    </w:p>
    <w:p w:rsidR="00432F0F" w:rsidRPr="009C79E5" w:rsidRDefault="00D369AA" w:rsidP="00476E6F">
      <w:pPr>
        <w:suppressLineNumbers/>
        <w:tabs>
          <w:tab w:val="left" w:pos="1440"/>
          <w:tab w:val="right" w:leader="dot" w:pos="9360"/>
        </w:tabs>
        <w:suppressAutoHyphens/>
        <w:ind w:left="1440" w:hanging="720"/>
        <w:rPr>
          <w:sz w:val="22"/>
          <w:szCs w:val="22"/>
        </w:rPr>
      </w:pPr>
      <w:r w:rsidRPr="009C79E5">
        <w:rPr>
          <w:sz w:val="22"/>
          <w:szCs w:val="22"/>
        </w:rPr>
        <w:t>J.</w:t>
      </w:r>
      <w:r w:rsidRPr="009C79E5">
        <w:rPr>
          <w:sz w:val="22"/>
          <w:szCs w:val="22"/>
        </w:rPr>
        <w:tab/>
      </w:r>
      <w:r w:rsidR="00432F0F" w:rsidRPr="009C79E5">
        <w:rPr>
          <w:sz w:val="22"/>
          <w:szCs w:val="22"/>
        </w:rPr>
        <w:t xml:space="preserve">Section 205.  Access to </w:t>
      </w:r>
      <w:r w:rsidR="0072164E" w:rsidRPr="009C79E5">
        <w:rPr>
          <w:sz w:val="22"/>
          <w:szCs w:val="22"/>
        </w:rPr>
        <w:t>V</w:t>
      </w:r>
      <w:r w:rsidR="00432F0F" w:rsidRPr="009C79E5">
        <w:rPr>
          <w:sz w:val="22"/>
          <w:szCs w:val="22"/>
        </w:rPr>
        <w:t xml:space="preserve">ideo </w:t>
      </w:r>
      <w:r w:rsidR="0072164E" w:rsidRPr="009C79E5">
        <w:rPr>
          <w:sz w:val="22"/>
          <w:szCs w:val="22"/>
        </w:rPr>
        <w:t>P</w:t>
      </w:r>
      <w:r w:rsidR="00432F0F" w:rsidRPr="009C79E5">
        <w:rPr>
          <w:sz w:val="22"/>
          <w:szCs w:val="22"/>
        </w:rPr>
        <w:t xml:space="preserve">rogramming </w:t>
      </w:r>
      <w:r w:rsidR="0072164E" w:rsidRPr="009C79E5">
        <w:rPr>
          <w:sz w:val="22"/>
          <w:szCs w:val="22"/>
        </w:rPr>
        <w:t>G</w:t>
      </w:r>
      <w:r w:rsidR="00432F0F" w:rsidRPr="009C79E5">
        <w:rPr>
          <w:sz w:val="22"/>
          <w:szCs w:val="22"/>
        </w:rPr>
        <w:t xml:space="preserve">uides and </w:t>
      </w:r>
      <w:r w:rsidR="0072164E" w:rsidRPr="009C79E5">
        <w:rPr>
          <w:sz w:val="22"/>
          <w:szCs w:val="22"/>
        </w:rPr>
        <w:t>M</w:t>
      </w:r>
      <w:r w:rsidR="00432F0F" w:rsidRPr="009C79E5">
        <w:rPr>
          <w:sz w:val="22"/>
          <w:szCs w:val="22"/>
        </w:rPr>
        <w:t xml:space="preserve">enus </w:t>
      </w:r>
      <w:r w:rsidR="0072164E" w:rsidRPr="009C79E5">
        <w:rPr>
          <w:sz w:val="22"/>
          <w:szCs w:val="22"/>
        </w:rPr>
        <w:t>P</w:t>
      </w:r>
      <w:r w:rsidR="00432F0F" w:rsidRPr="009C79E5">
        <w:rPr>
          <w:sz w:val="22"/>
          <w:szCs w:val="22"/>
        </w:rPr>
        <w:t xml:space="preserve">rovided on </w:t>
      </w:r>
      <w:r w:rsidR="0072164E" w:rsidRPr="009C79E5">
        <w:rPr>
          <w:sz w:val="22"/>
          <w:szCs w:val="22"/>
        </w:rPr>
        <w:t>N</w:t>
      </w:r>
      <w:r w:rsidR="00432F0F" w:rsidRPr="009C79E5">
        <w:rPr>
          <w:sz w:val="22"/>
          <w:szCs w:val="22"/>
        </w:rPr>
        <w:t xml:space="preserve">avigation </w:t>
      </w:r>
      <w:r w:rsidR="0072164E" w:rsidRPr="009C79E5">
        <w:rPr>
          <w:sz w:val="22"/>
          <w:szCs w:val="22"/>
        </w:rPr>
        <w:t>D</w:t>
      </w:r>
      <w:r w:rsidR="00432F0F" w:rsidRPr="009C79E5">
        <w:rPr>
          <w:sz w:val="22"/>
          <w:szCs w:val="22"/>
        </w:rPr>
        <w:t xml:space="preserve">evices </w:t>
      </w:r>
      <w:r w:rsidR="00432F0F" w:rsidRPr="009C79E5">
        <w:rPr>
          <w:sz w:val="22"/>
          <w:szCs w:val="22"/>
        </w:rPr>
        <w:tab/>
      </w:r>
      <w:r w:rsidR="002C58FC" w:rsidRPr="009C79E5">
        <w:rPr>
          <w:sz w:val="22"/>
          <w:szCs w:val="22"/>
        </w:rPr>
        <w:t>131</w:t>
      </w:r>
    </w:p>
    <w:p w:rsidR="00432F0F" w:rsidRPr="009C79E5" w:rsidRDefault="00D369AA" w:rsidP="00476E6F">
      <w:pPr>
        <w:suppressLineNumbers/>
        <w:tabs>
          <w:tab w:val="left" w:pos="1440"/>
          <w:tab w:val="right" w:leader="dot" w:pos="9360"/>
        </w:tabs>
        <w:suppressAutoHyphens/>
        <w:ind w:left="720"/>
        <w:rPr>
          <w:sz w:val="22"/>
          <w:szCs w:val="22"/>
        </w:rPr>
      </w:pPr>
      <w:r w:rsidRPr="009C79E5">
        <w:rPr>
          <w:sz w:val="22"/>
          <w:szCs w:val="22"/>
        </w:rPr>
        <w:t>K.</w:t>
      </w:r>
      <w:r w:rsidRPr="009C79E5">
        <w:rPr>
          <w:sz w:val="22"/>
          <w:szCs w:val="22"/>
        </w:rPr>
        <w:tab/>
      </w:r>
      <w:r w:rsidR="00432F0F" w:rsidRPr="009C79E5">
        <w:rPr>
          <w:sz w:val="22"/>
          <w:szCs w:val="22"/>
        </w:rPr>
        <w:t xml:space="preserve">Other Accessibility-Related Commission Activities </w:t>
      </w:r>
      <w:r w:rsidR="00432F0F" w:rsidRPr="009C79E5">
        <w:rPr>
          <w:sz w:val="22"/>
          <w:szCs w:val="22"/>
        </w:rPr>
        <w:tab/>
      </w:r>
      <w:r w:rsidR="002C58FC" w:rsidRPr="009C79E5">
        <w:rPr>
          <w:sz w:val="22"/>
          <w:szCs w:val="22"/>
        </w:rPr>
        <w:t>138</w:t>
      </w:r>
    </w:p>
    <w:p w:rsidR="00432F0F" w:rsidRPr="009C79E5" w:rsidRDefault="00432F0F" w:rsidP="00476E6F">
      <w:pPr>
        <w:suppressLineNumbers/>
        <w:suppressAutoHyphens/>
        <w:autoSpaceDE w:val="0"/>
        <w:autoSpaceDN w:val="0"/>
        <w:adjustRightInd w:val="0"/>
        <w:rPr>
          <w:sz w:val="22"/>
          <w:szCs w:val="22"/>
        </w:rPr>
      </w:pPr>
    </w:p>
    <w:p w:rsidR="00432F0F" w:rsidRPr="009C79E5" w:rsidRDefault="00432F0F" w:rsidP="00476E6F">
      <w:pPr>
        <w:suppressLineNumbers/>
        <w:suppressAutoHyphens/>
        <w:autoSpaceDE w:val="0"/>
        <w:autoSpaceDN w:val="0"/>
        <w:adjustRightInd w:val="0"/>
        <w:rPr>
          <w:sz w:val="22"/>
          <w:szCs w:val="22"/>
        </w:rPr>
      </w:pPr>
      <w:r w:rsidRPr="009C79E5">
        <w:rPr>
          <w:sz w:val="22"/>
          <w:szCs w:val="22"/>
        </w:rPr>
        <w:t>APPENDIX A:  List of Commenters</w:t>
      </w:r>
    </w:p>
    <w:p w:rsidR="00432F0F" w:rsidRPr="009C79E5" w:rsidRDefault="00432F0F" w:rsidP="00476E6F">
      <w:pPr>
        <w:suppressLineNumbers/>
        <w:suppressAutoHyphens/>
        <w:autoSpaceDE w:val="0"/>
        <w:autoSpaceDN w:val="0"/>
        <w:adjustRightInd w:val="0"/>
        <w:rPr>
          <w:sz w:val="22"/>
          <w:szCs w:val="22"/>
        </w:rPr>
      </w:pPr>
      <w:r w:rsidRPr="009C79E5">
        <w:rPr>
          <w:sz w:val="22"/>
          <w:szCs w:val="22"/>
        </w:rPr>
        <w:t>APPENDIX B:  Commission Actions to Implement the CVAA</w:t>
      </w:r>
      <w:r w:rsidR="002C58FC" w:rsidRPr="009C79E5">
        <w:rPr>
          <w:sz w:val="22"/>
          <w:szCs w:val="22"/>
        </w:rPr>
        <w:t xml:space="preserve"> Since October 5, 2012</w:t>
      </w:r>
    </w:p>
    <w:p w:rsidR="00432F0F" w:rsidRPr="009C79E5" w:rsidRDefault="00432F0F" w:rsidP="00476E6F">
      <w:pPr>
        <w:suppressLineNumbers/>
        <w:suppressAutoHyphens/>
        <w:autoSpaceDE w:val="0"/>
        <w:autoSpaceDN w:val="0"/>
        <w:adjustRightInd w:val="0"/>
        <w:rPr>
          <w:sz w:val="22"/>
          <w:szCs w:val="22"/>
        </w:rPr>
      </w:pPr>
      <w:r w:rsidRPr="009C79E5">
        <w:rPr>
          <w:sz w:val="22"/>
          <w:szCs w:val="22"/>
        </w:rPr>
        <w:t>APPENDIX C:  Commission Outreach and Education</w:t>
      </w:r>
    </w:p>
    <w:p w:rsidR="00432F0F" w:rsidRPr="009C79E5" w:rsidRDefault="00432F0F" w:rsidP="00476E6F">
      <w:pPr>
        <w:suppressLineNumbers/>
        <w:suppressAutoHyphens/>
        <w:autoSpaceDE w:val="0"/>
        <w:autoSpaceDN w:val="0"/>
        <w:adjustRightInd w:val="0"/>
        <w:rPr>
          <w:sz w:val="22"/>
          <w:szCs w:val="22"/>
        </w:rPr>
      </w:pPr>
      <w:r w:rsidRPr="009C79E5">
        <w:rPr>
          <w:sz w:val="22"/>
          <w:szCs w:val="22"/>
        </w:rPr>
        <w:t>APPENDIX D:  CVAA Consumer Guides</w:t>
      </w:r>
    </w:p>
    <w:p w:rsidR="00432F0F" w:rsidRPr="009C79E5" w:rsidRDefault="00432F0F" w:rsidP="00476E6F">
      <w:pPr>
        <w:suppressLineNumbers/>
        <w:suppressAutoHyphens/>
        <w:autoSpaceDE w:val="0"/>
        <w:autoSpaceDN w:val="0"/>
        <w:adjustRightInd w:val="0"/>
        <w:rPr>
          <w:sz w:val="22"/>
          <w:szCs w:val="22"/>
        </w:rPr>
      </w:pPr>
    </w:p>
    <w:p w:rsidR="00432F0F" w:rsidRPr="009C79E5" w:rsidRDefault="00432F0F" w:rsidP="00476E6F">
      <w:pPr>
        <w:suppressLineNumbers/>
        <w:suppressAutoHyphens/>
        <w:autoSpaceDE w:val="0"/>
        <w:autoSpaceDN w:val="0"/>
        <w:adjustRightInd w:val="0"/>
        <w:rPr>
          <w:sz w:val="22"/>
          <w:szCs w:val="22"/>
        </w:rPr>
      </w:pPr>
    </w:p>
    <w:p w:rsidR="00432F0F" w:rsidRPr="009C79E5" w:rsidRDefault="00432F0F" w:rsidP="00476E6F">
      <w:pPr>
        <w:suppressLineNumbers/>
        <w:suppressAutoHyphens/>
        <w:autoSpaceDE w:val="0"/>
        <w:autoSpaceDN w:val="0"/>
        <w:adjustRightInd w:val="0"/>
        <w:rPr>
          <w:b/>
          <w:sz w:val="22"/>
          <w:szCs w:val="22"/>
        </w:rPr>
      </w:pPr>
      <w:r w:rsidRPr="009C79E5">
        <w:rPr>
          <w:b/>
          <w:sz w:val="22"/>
          <w:szCs w:val="22"/>
        </w:rPr>
        <w:t>I.</w:t>
      </w:r>
      <w:r w:rsidRPr="009C79E5">
        <w:rPr>
          <w:b/>
          <w:sz w:val="22"/>
          <w:szCs w:val="22"/>
        </w:rPr>
        <w:tab/>
      </w:r>
      <w:r w:rsidRPr="009C79E5">
        <w:rPr>
          <w:rStyle w:val="Heading1Char1"/>
          <w:bCs/>
          <w:sz w:val="22"/>
          <w:szCs w:val="22"/>
        </w:rPr>
        <w:t>INTRODUCTION AND OVERVIEW</w:t>
      </w:r>
    </w:p>
    <w:p w:rsidR="00432F0F" w:rsidRPr="009C79E5" w:rsidRDefault="00432F0F" w:rsidP="00476E6F">
      <w:pPr>
        <w:keepNext/>
        <w:keepLines/>
        <w:suppressLineNumbers/>
        <w:suppressAutoHyphens/>
        <w:autoSpaceDE w:val="0"/>
        <w:autoSpaceDN w:val="0"/>
        <w:adjustRightInd w:val="0"/>
        <w:rPr>
          <w:sz w:val="22"/>
          <w:szCs w:val="22"/>
        </w:rPr>
      </w:pPr>
    </w:p>
    <w:p w:rsidR="0035647D" w:rsidRPr="009C79E5" w:rsidRDefault="0035647D" w:rsidP="00476E6F">
      <w:pPr>
        <w:numPr>
          <w:ilvl w:val="0"/>
          <w:numId w:val="2"/>
        </w:numPr>
        <w:tabs>
          <w:tab w:val="clear" w:pos="720"/>
          <w:tab w:val="num" w:pos="1440"/>
        </w:tabs>
        <w:ind w:left="0" w:firstLine="720"/>
        <w:rPr>
          <w:sz w:val="22"/>
          <w:szCs w:val="22"/>
        </w:rPr>
      </w:pPr>
      <w:r w:rsidRPr="009C79E5">
        <w:rPr>
          <w:sz w:val="22"/>
          <w:szCs w:val="22"/>
        </w:rPr>
        <w:t>The Consumer and Governmental Affairs Bureau (CGB) of the Federal Communications Commission (FCC or Commission) prepared this Biennial Report (</w:t>
      </w:r>
      <w:r w:rsidRPr="009C79E5">
        <w:rPr>
          <w:i/>
          <w:sz w:val="22"/>
          <w:szCs w:val="22"/>
        </w:rPr>
        <w:t>Report</w:t>
      </w:r>
      <w:r w:rsidRPr="009C79E5">
        <w:rPr>
          <w:sz w:val="22"/>
          <w:szCs w:val="22"/>
        </w:rPr>
        <w:t xml:space="preserve">) for submission to the Committee on Commerce, Science, and Transportation of the Senate, and the Committee on Energy and Commerce of the House of Representatives (Committees) in accordance with the Twenty-First Century Communications and Video Accessibility Act of 2010 (CVAA).  This </w:t>
      </w:r>
      <w:r w:rsidRPr="009C79E5">
        <w:rPr>
          <w:i/>
          <w:sz w:val="22"/>
          <w:szCs w:val="22"/>
        </w:rPr>
        <w:t>Report</w:t>
      </w:r>
      <w:r w:rsidRPr="009C79E5">
        <w:rPr>
          <w:sz w:val="22"/>
          <w:szCs w:val="22"/>
        </w:rPr>
        <w:t xml:space="preserve"> presents information and assessments related to the accessibility of telecommunications and advanced communications services and equipment, along with a summary of actions taken by the Commission related to the CVAA.</w:t>
      </w:r>
    </w:p>
    <w:p w:rsidR="0035647D" w:rsidRPr="009C79E5" w:rsidRDefault="0035647D" w:rsidP="00476E6F">
      <w:pPr>
        <w:ind w:left="720"/>
        <w:rPr>
          <w:sz w:val="22"/>
          <w:szCs w:val="22"/>
        </w:rPr>
      </w:pPr>
    </w:p>
    <w:p w:rsidR="00432F0F" w:rsidRPr="00BF0859" w:rsidRDefault="001B5071" w:rsidP="00476E6F">
      <w:pPr>
        <w:numPr>
          <w:ilvl w:val="0"/>
          <w:numId w:val="2"/>
        </w:numPr>
        <w:tabs>
          <w:tab w:val="clear" w:pos="720"/>
          <w:tab w:val="num" w:pos="1440"/>
        </w:tabs>
        <w:ind w:left="0" w:firstLine="720"/>
        <w:rPr>
          <w:sz w:val="22"/>
          <w:szCs w:val="22"/>
        </w:rPr>
      </w:pPr>
      <w:r w:rsidRPr="009C79E5">
        <w:rPr>
          <w:sz w:val="22"/>
          <w:szCs w:val="22"/>
        </w:rPr>
        <w:t>The purpose of the CVAA,</w:t>
      </w:r>
      <w:r w:rsidRPr="008D556C">
        <w:rPr>
          <w:rStyle w:val="FootnoteReference"/>
          <w:sz w:val="22"/>
          <w:szCs w:val="22"/>
        </w:rPr>
        <w:footnoteReference w:id="2"/>
      </w:r>
      <w:r w:rsidRPr="008D556C">
        <w:rPr>
          <w:sz w:val="22"/>
          <w:szCs w:val="22"/>
        </w:rPr>
        <w:t xml:space="preserve"> which amended the Communications Act of 1934 (Act), is </w:t>
      </w:r>
      <w:r w:rsidR="003308A5" w:rsidRPr="003511DC">
        <w:rPr>
          <w:sz w:val="22"/>
          <w:szCs w:val="22"/>
        </w:rPr>
        <w:t>“</w:t>
      </w:r>
      <w:r w:rsidRPr="00BF0859">
        <w:rPr>
          <w:sz w:val="22"/>
          <w:szCs w:val="22"/>
        </w:rPr>
        <w:t>to help ensure that individuals with disabilities are able to fully utilize communications services and equipment and better access video programming.</w:t>
      </w:r>
      <w:r w:rsidR="003308A5" w:rsidRPr="00FF1FD9">
        <w:rPr>
          <w:sz w:val="22"/>
          <w:szCs w:val="22"/>
        </w:rPr>
        <w:t>”</w:t>
      </w:r>
      <w:r w:rsidRPr="008D556C">
        <w:rPr>
          <w:rStyle w:val="FootnoteReference"/>
          <w:sz w:val="22"/>
          <w:szCs w:val="22"/>
        </w:rPr>
        <w:footnoteReference w:id="3"/>
      </w:r>
      <w:r w:rsidRPr="008D556C">
        <w:rPr>
          <w:sz w:val="22"/>
          <w:szCs w:val="22"/>
        </w:rPr>
        <w:t xml:space="preserve">  In enacting the C</w:t>
      </w:r>
      <w:r w:rsidRPr="003511DC">
        <w:rPr>
          <w:sz w:val="22"/>
          <w:szCs w:val="22"/>
        </w:rPr>
        <w:t xml:space="preserve">VAA, Congress </w:t>
      </w:r>
      <w:r w:rsidRPr="00BF0859">
        <w:rPr>
          <w:sz w:val="22"/>
          <w:szCs w:val="22"/>
        </w:rPr>
        <w:t>concluded that people with disabilities often have not shared in the benefits of this rapid technological advancement.</w:t>
      </w:r>
      <w:r w:rsidRPr="008D556C">
        <w:rPr>
          <w:rStyle w:val="FootnoteReference"/>
          <w:sz w:val="22"/>
          <w:szCs w:val="22"/>
        </w:rPr>
        <w:footnoteReference w:id="4"/>
      </w:r>
      <w:r w:rsidRPr="008D556C">
        <w:rPr>
          <w:sz w:val="22"/>
          <w:szCs w:val="22"/>
        </w:rPr>
        <w:t xml:space="preserve">  Congress directed the Commission to evaluate the progress </w:t>
      </w:r>
      <w:r w:rsidR="0041681E" w:rsidRPr="003511DC">
        <w:rPr>
          <w:sz w:val="22"/>
          <w:szCs w:val="22"/>
        </w:rPr>
        <w:t xml:space="preserve">made pursuant to the CVAA’s mandates </w:t>
      </w:r>
      <w:r w:rsidRPr="00BF0859">
        <w:rPr>
          <w:sz w:val="22"/>
          <w:szCs w:val="22"/>
        </w:rPr>
        <w:t>in addressing this inequit</w:t>
      </w:r>
      <w:r w:rsidRPr="006C02D7">
        <w:rPr>
          <w:sz w:val="22"/>
          <w:szCs w:val="22"/>
        </w:rPr>
        <w:t xml:space="preserve">y in a report to </w:t>
      </w:r>
      <w:r w:rsidR="00DD1938" w:rsidRPr="009C5E08">
        <w:rPr>
          <w:sz w:val="22"/>
          <w:szCs w:val="22"/>
        </w:rPr>
        <w:t>C</w:t>
      </w:r>
      <w:r w:rsidRPr="009C5E08">
        <w:rPr>
          <w:sz w:val="22"/>
          <w:szCs w:val="22"/>
        </w:rPr>
        <w:t>ongress every two years.</w:t>
      </w:r>
      <w:r w:rsidRPr="008D556C">
        <w:rPr>
          <w:rStyle w:val="FootnoteReference"/>
          <w:sz w:val="22"/>
          <w:szCs w:val="22"/>
        </w:rPr>
        <w:footnoteReference w:id="5"/>
      </w:r>
      <w:r w:rsidRPr="008D556C">
        <w:rPr>
          <w:sz w:val="22"/>
          <w:szCs w:val="22"/>
        </w:rPr>
        <w:t xml:space="preserve">  The Commission delivered the first biennial report to Congress on October 5, 2012 (</w:t>
      </w:r>
      <w:r w:rsidRPr="003511DC">
        <w:rPr>
          <w:i/>
          <w:sz w:val="22"/>
          <w:szCs w:val="22"/>
        </w:rPr>
        <w:t>2012 CVAA Biennial Report</w:t>
      </w:r>
      <w:r w:rsidRPr="00BF0859">
        <w:rPr>
          <w:sz w:val="22"/>
          <w:szCs w:val="22"/>
        </w:rPr>
        <w:t>).</w:t>
      </w:r>
      <w:r w:rsidRPr="008D556C">
        <w:rPr>
          <w:rStyle w:val="FootnoteReference"/>
          <w:sz w:val="22"/>
          <w:szCs w:val="22"/>
        </w:rPr>
        <w:footnoteReference w:id="6"/>
      </w:r>
      <w:r w:rsidRPr="008D556C">
        <w:rPr>
          <w:sz w:val="22"/>
          <w:szCs w:val="22"/>
        </w:rPr>
        <w:t xml:space="preserve"> </w:t>
      </w:r>
      <w:r w:rsidR="008B6641" w:rsidRPr="003511DC">
        <w:rPr>
          <w:sz w:val="22"/>
          <w:szCs w:val="22"/>
        </w:rPr>
        <w:t xml:space="preserve"> </w:t>
      </w:r>
    </w:p>
    <w:p w:rsidR="008B6641" w:rsidRPr="00BF0859" w:rsidRDefault="008B6641" w:rsidP="00476E6F">
      <w:pPr>
        <w:rPr>
          <w:sz w:val="22"/>
          <w:szCs w:val="22"/>
        </w:rPr>
      </w:pPr>
    </w:p>
    <w:p w:rsidR="001B5071" w:rsidRPr="009C5E08" w:rsidRDefault="001B5071" w:rsidP="00476E6F">
      <w:pPr>
        <w:numPr>
          <w:ilvl w:val="0"/>
          <w:numId w:val="2"/>
        </w:numPr>
        <w:tabs>
          <w:tab w:val="clear" w:pos="720"/>
          <w:tab w:val="num" w:pos="1440"/>
        </w:tabs>
        <w:ind w:left="0" w:firstLine="720"/>
        <w:rPr>
          <w:sz w:val="22"/>
          <w:szCs w:val="22"/>
        </w:rPr>
      </w:pPr>
      <w:r w:rsidRPr="006C02D7">
        <w:rPr>
          <w:sz w:val="22"/>
          <w:szCs w:val="22"/>
        </w:rPr>
        <w:t xml:space="preserve">Following passage of the CVAA on October 8, 2010, the Commission immediately began implementing </w:t>
      </w:r>
      <w:r w:rsidRPr="009C79E5">
        <w:rPr>
          <w:sz w:val="22"/>
          <w:szCs w:val="22"/>
        </w:rPr>
        <w:t xml:space="preserve">this landmark legislation.  In its </w:t>
      </w:r>
      <w:r w:rsidRPr="009C79E5">
        <w:rPr>
          <w:i/>
          <w:sz w:val="22"/>
          <w:szCs w:val="22"/>
        </w:rPr>
        <w:t>2012 CVAA Biennial Report</w:t>
      </w:r>
      <w:r w:rsidRPr="009C79E5">
        <w:rPr>
          <w:sz w:val="22"/>
          <w:szCs w:val="22"/>
        </w:rPr>
        <w:t>, the Commission reported that it had met every one of the CVAA</w:t>
      </w:r>
      <w:r w:rsidR="003308A5" w:rsidRPr="009C79E5">
        <w:rPr>
          <w:sz w:val="22"/>
          <w:szCs w:val="22"/>
        </w:rPr>
        <w:t>’</w:t>
      </w:r>
      <w:r w:rsidRPr="009C79E5">
        <w:rPr>
          <w:sz w:val="22"/>
          <w:szCs w:val="22"/>
        </w:rPr>
        <w:t>s rigorous rulemaking deadlines, having already released five reports and orders adopting rules to implement various provisions of the CVAA.</w:t>
      </w:r>
      <w:r w:rsidRPr="008D556C">
        <w:rPr>
          <w:rStyle w:val="FootnoteReference"/>
          <w:sz w:val="22"/>
          <w:szCs w:val="22"/>
        </w:rPr>
        <w:footnoteReference w:id="7"/>
      </w:r>
      <w:r w:rsidRPr="008D556C">
        <w:rPr>
          <w:sz w:val="22"/>
          <w:szCs w:val="22"/>
        </w:rPr>
        <w:t xml:space="preserve">  Sin</w:t>
      </w:r>
      <w:r w:rsidRPr="003511DC">
        <w:rPr>
          <w:sz w:val="22"/>
          <w:szCs w:val="22"/>
        </w:rPr>
        <w:t xml:space="preserve">ce the submission of the </w:t>
      </w:r>
      <w:r w:rsidRPr="00BF0859">
        <w:rPr>
          <w:i/>
          <w:sz w:val="22"/>
          <w:szCs w:val="22"/>
        </w:rPr>
        <w:t>2012 CVAA Biennial Report</w:t>
      </w:r>
      <w:r w:rsidRPr="00FF1FD9">
        <w:rPr>
          <w:sz w:val="22"/>
          <w:szCs w:val="22"/>
        </w:rPr>
        <w:t>, the Commission has continued to work with consumer, industry, and government stakeholders to ensure effective and timely implementation of the CVAA.  As a result, the Commission has since re</w:t>
      </w:r>
      <w:r w:rsidRPr="006C02D7">
        <w:rPr>
          <w:sz w:val="22"/>
          <w:szCs w:val="22"/>
        </w:rPr>
        <w:t xml:space="preserve">leased </w:t>
      </w:r>
      <w:r w:rsidR="005C5FA7" w:rsidRPr="009C5E08">
        <w:rPr>
          <w:sz w:val="22"/>
          <w:szCs w:val="22"/>
        </w:rPr>
        <w:t xml:space="preserve">six </w:t>
      </w:r>
      <w:r w:rsidRPr="009C5E08">
        <w:rPr>
          <w:sz w:val="22"/>
          <w:szCs w:val="22"/>
        </w:rPr>
        <w:t>additional reports and orders to implement the CVAA,</w:t>
      </w:r>
      <w:r w:rsidRPr="008D556C">
        <w:rPr>
          <w:rStyle w:val="FootnoteReference"/>
          <w:sz w:val="22"/>
          <w:szCs w:val="22"/>
        </w:rPr>
        <w:footnoteReference w:id="8"/>
      </w:r>
      <w:r w:rsidRPr="008D556C">
        <w:rPr>
          <w:sz w:val="22"/>
          <w:szCs w:val="22"/>
        </w:rPr>
        <w:t xml:space="preserve"> in compliance with all CVAA deadlines, where feasible.</w:t>
      </w:r>
      <w:r w:rsidRPr="008D556C">
        <w:rPr>
          <w:rStyle w:val="FootnoteReference"/>
          <w:sz w:val="22"/>
          <w:szCs w:val="22"/>
        </w:rPr>
        <w:footnoteReference w:id="9"/>
      </w:r>
      <w:r w:rsidRPr="008D556C">
        <w:rPr>
          <w:sz w:val="22"/>
          <w:szCs w:val="22"/>
        </w:rPr>
        <w:t xml:space="preserve">  Resources throughout the Commission</w:t>
      </w:r>
      <w:r w:rsidR="003308A5" w:rsidRPr="003511DC">
        <w:rPr>
          <w:sz w:val="22"/>
          <w:szCs w:val="22"/>
        </w:rPr>
        <w:t>’</w:t>
      </w:r>
      <w:r w:rsidRPr="00BF0859">
        <w:rPr>
          <w:sz w:val="22"/>
          <w:szCs w:val="22"/>
        </w:rPr>
        <w:t>s bureaus and offices have contributed to this comprehensive effort, reflecting the Commission</w:t>
      </w:r>
      <w:r w:rsidR="003308A5" w:rsidRPr="006C02D7">
        <w:rPr>
          <w:sz w:val="22"/>
          <w:szCs w:val="22"/>
        </w:rPr>
        <w:t>’</w:t>
      </w:r>
      <w:r w:rsidRPr="009C5E08">
        <w:rPr>
          <w:sz w:val="22"/>
          <w:szCs w:val="22"/>
        </w:rPr>
        <w:t>s ongoing commitment to ensuring communications access for millions of Americans with disabilities.</w:t>
      </w:r>
    </w:p>
    <w:p w:rsidR="00432F0F" w:rsidRPr="009C79E5" w:rsidRDefault="00432F0F" w:rsidP="00476E6F">
      <w:pPr>
        <w:suppressLineNumbers/>
        <w:suppressAutoHyphens/>
        <w:rPr>
          <w:sz w:val="22"/>
          <w:szCs w:val="22"/>
        </w:rPr>
      </w:pPr>
    </w:p>
    <w:p w:rsidR="00432F0F" w:rsidRPr="003511DC" w:rsidRDefault="00432F0F" w:rsidP="00476E6F">
      <w:pPr>
        <w:numPr>
          <w:ilvl w:val="0"/>
          <w:numId w:val="2"/>
        </w:numPr>
        <w:tabs>
          <w:tab w:val="clear" w:pos="720"/>
          <w:tab w:val="num" w:pos="1440"/>
        </w:tabs>
        <w:ind w:left="0" w:firstLine="720"/>
        <w:rPr>
          <w:sz w:val="22"/>
          <w:szCs w:val="22"/>
        </w:rPr>
      </w:pPr>
      <w:r w:rsidRPr="009C79E5">
        <w:rPr>
          <w:sz w:val="22"/>
          <w:szCs w:val="22"/>
        </w:rPr>
        <w:t xml:space="preserve">In accordance with the CVAA, Section II of this </w:t>
      </w:r>
      <w:r w:rsidRPr="009C79E5">
        <w:rPr>
          <w:i/>
          <w:sz w:val="22"/>
          <w:szCs w:val="22"/>
        </w:rPr>
        <w:t>Report</w:t>
      </w:r>
      <w:r w:rsidRPr="009C79E5">
        <w:rPr>
          <w:sz w:val="22"/>
          <w:szCs w:val="22"/>
        </w:rPr>
        <w:t xml:space="preserve"> presents information and assessments related to the accessibility of telecommunications and advanced communications services and equipment.</w:t>
      </w:r>
      <w:r w:rsidRPr="008D556C">
        <w:rPr>
          <w:rStyle w:val="FootnoteReference"/>
          <w:sz w:val="22"/>
          <w:szCs w:val="22"/>
        </w:rPr>
        <w:footnoteReference w:id="10"/>
      </w:r>
      <w:r w:rsidRPr="008D556C">
        <w:rPr>
          <w:sz w:val="22"/>
          <w:szCs w:val="22"/>
        </w:rPr>
        <w:t xml:space="preserve">  Section II.A provides a general overview of Sections 255, 716, </w:t>
      </w:r>
      <w:r w:rsidR="004D6474" w:rsidRPr="003511DC">
        <w:rPr>
          <w:sz w:val="22"/>
          <w:szCs w:val="22"/>
        </w:rPr>
        <w:t xml:space="preserve">717, </w:t>
      </w:r>
      <w:r w:rsidRPr="00BF0859">
        <w:rPr>
          <w:sz w:val="22"/>
          <w:szCs w:val="22"/>
        </w:rPr>
        <w:t>and 718 of the Act, the statutory provisions governing accessible communications</w:t>
      </w:r>
      <w:r w:rsidR="004D6474" w:rsidRPr="006C02D7">
        <w:rPr>
          <w:sz w:val="22"/>
          <w:szCs w:val="22"/>
        </w:rPr>
        <w:t>;</w:t>
      </w:r>
      <w:r w:rsidRPr="009C5E08">
        <w:rPr>
          <w:sz w:val="22"/>
          <w:szCs w:val="22"/>
        </w:rPr>
        <w:t xml:space="preserve"> a brief discussion of the Commission</w:t>
      </w:r>
      <w:r w:rsidR="003308A5" w:rsidRPr="009C5E08">
        <w:rPr>
          <w:sz w:val="22"/>
          <w:szCs w:val="22"/>
        </w:rPr>
        <w:t>’</w:t>
      </w:r>
      <w:r w:rsidRPr="009C79E5">
        <w:rPr>
          <w:sz w:val="22"/>
          <w:szCs w:val="22"/>
        </w:rPr>
        <w:t>s actions to implement Section</w:t>
      </w:r>
      <w:r w:rsidR="0041681E" w:rsidRPr="009C79E5">
        <w:rPr>
          <w:sz w:val="22"/>
          <w:szCs w:val="22"/>
        </w:rPr>
        <w:t>s</w:t>
      </w:r>
      <w:r w:rsidRPr="009C79E5">
        <w:rPr>
          <w:sz w:val="22"/>
          <w:szCs w:val="22"/>
        </w:rPr>
        <w:t xml:space="preserve"> 716, 717(a), and 718</w:t>
      </w:r>
      <w:r w:rsidR="004D6474" w:rsidRPr="009C79E5">
        <w:rPr>
          <w:sz w:val="22"/>
          <w:szCs w:val="22"/>
        </w:rPr>
        <w:t>;</w:t>
      </w:r>
      <w:r w:rsidRPr="009C79E5">
        <w:rPr>
          <w:sz w:val="22"/>
          <w:szCs w:val="22"/>
        </w:rPr>
        <w:t xml:space="preserve"> and the scope of this </w:t>
      </w:r>
      <w:r w:rsidRPr="009C79E5">
        <w:rPr>
          <w:i/>
          <w:sz w:val="22"/>
          <w:szCs w:val="22"/>
        </w:rPr>
        <w:t>Report</w:t>
      </w:r>
      <w:r w:rsidRPr="009C79E5">
        <w:rPr>
          <w:sz w:val="22"/>
          <w:szCs w:val="22"/>
        </w:rPr>
        <w:t>.</w:t>
      </w:r>
      <w:r w:rsidRPr="008D556C">
        <w:rPr>
          <w:rStyle w:val="FootnoteReference"/>
          <w:sz w:val="22"/>
          <w:szCs w:val="22"/>
        </w:rPr>
        <w:footnoteReference w:id="11"/>
      </w:r>
      <w:r w:rsidRPr="008D556C">
        <w:rPr>
          <w:sz w:val="22"/>
          <w:szCs w:val="22"/>
        </w:rPr>
        <w:t xml:space="preserve">  Sections 716, 717, and 718 are among the new provisions added to the Act by the CVAA.</w:t>
      </w:r>
      <w:r w:rsidRPr="008D556C">
        <w:rPr>
          <w:rStyle w:val="FootnoteReference"/>
          <w:sz w:val="22"/>
          <w:szCs w:val="22"/>
        </w:rPr>
        <w:footnoteReference w:id="12"/>
      </w:r>
      <w:r w:rsidRPr="008D556C">
        <w:rPr>
          <w:sz w:val="22"/>
          <w:szCs w:val="22"/>
        </w:rPr>
        <w:t xml:space="preserve">  Sections 716 and 718 expand the scope of the Act</w:t>
      </w:r>
      <w:r w:rsidR="003308A5" w:rsidRPr="003511DC">
        <w:rPr>
          <w:sz w:val="22"/>
          <w:szCs w:val="22"/>
        </w:rPr>
        <w:t>’</w:t>
      </w:r>
      <w:r w:rsidRPr="00BF0859">
        <w:rPr>
          <w:sz w:val="22"/>
          <w:szCs w:val="22"/>
        </w:rPr>
        <w:t>s accessibility requirements to cover advanced communications s</w:t>
      </w:r>
      <w:r w:rsidRPr="00FF1FD9">
        <w:rPr>
          <w:sz w:val="22"/>
          <w:szCs w:val="22"/>
        </w:rPr>
        <w:t>ervices and equipment, and Internet browsers built in</w:t>
      </w:r>
      <w:r w:rsidR="00014913" w:rsidRPr="006C02D7">
        <w:rPr>
          <w:sz w:val="22"/>
          <w:szCs w:val="22"/>
        </w:rPr>
        <w:t>to mobile phones, respectively.</w:t>
      </w:r>
      <w:r w:rsidR="00A921A9" w:rsidRPr="008D556C">
        <w:rPr>
          <w:rStyle w:val="FootnoteReference"/>
          <w:sz w:val="22"/>
          <w:szCs w:val="22"/>
        </w:rPr>
        <w:footnoteReference w:id="13"/>
      </w:r>
      <w:r w:rsidRPr="008D556C">
        <w:rPr>
          <w:sz w:val="22"/>
          <w:szCs w:val="22"/>
        </w:rPr>
        <w:t xml:space="preserve"> Section 717(a) addresses the recordkeeping and enforcement obligations of service providers and equipment manufacturers that are subject to Sections 255, 716, and 718.</w:t>
      </w:r>
      <w:r w:rsidR="007417C8" w:rsidRPr="008D556C">
        <w:rPr>
          <w:rStyle w:val="FootnoteReference"/>
          <w:sz w:val="22"/>
          <w:szCs w:val="22"/>
        </w:rPr>
        <w:footnoteReference w:id="14"/>
      </w:r>
      <w:r w:rsidRPr="008D556C">
        <w:rPr>
          <w:sz w:val="22"/>
          <w:szCs w:val="22"/>
        </w:rPr>
        <w:t xml:space="preserve">  </w:t>
      </w:r>
    </w:p>
    <w:p w:rsidR="00432F0F" w:rsidRPr="00BF0859" w:rsidRDefault="00432F0F" w:rsidP="00476E6F">
      <w:pPr>
        <w:suppressLineNumbers/>
        <w:suppressAutoHyphens/>
        <w:rPr>
          <w:sz w:val="22"/>
          <w:szCs w:val="22"/>
        </w:rPr>
      </w:pPr>
    </w:p>
    <w:p w:rsidR="00432F0F" w:rsidRPr="008D556C" w:rsidRDefault="00432F0F" w:rsidP="00476E6F">
      <w:pPr>
        <w:numPr>
          <w:ilvl w:val="0"/>
          <w:numId w:val="2"/>
        </w:numPr>
        <w:suppressLineNumbers/>
        <w:tabs>
          <w:tab w:val="clear" w:pos="720"/>
          <w:tab w:val="num" w:pos="1440"/>
        </w:tabs>
        <w:suppressAutoHyphens/>
        <w:ind w:left="0" w:firstLine="720"/>
        <w:rPr>
          <w:sz w:val="22"/>
          <w:szCs w:val="22"/>
        </w:rPr>
      </w:pPr>
      <w:r w:rsidRPr="006C02D7">
        <w:rPr>
          <w:sz w:val="22"/>
          <w:szCs w:val="22"/>
        </w:rPr>
        <w:t xml:space="preserve">Sections II.B, C, D, and E of this </w:t>
      </w:r>
      <w:r w:rsidRPr="009C5E08">
        <w:rPr>
          <w:i/>
          <w:sz w:val="22"/>
          <w:szCs w:val="22"/>
        </w:rPr>
        <w:t>Report</w:t>
      </w:r>
      <w:r w:rsidRPr="009C5E08">
        <w:rPr>
          <w:sz w:val="22"/>
          <w:szCs w:val="22"/>
        </w:rPr>
        <w:t xml:space="preserve"> present the information which the Commission must submit to </w:t>
      </w:r>
      <w:r w:rsidR="00BB1BE0" w:rsidRPr="009C79E5">
        <w:rPr>
          <w:sz w:val="22"/>
          <w:szCs w:val="22"/>
        </w:rPr>
        <w:t xml:space="preserve">the Committees </w:t>
      </w:r>
      <w:r w:rsidRPr="009C79E5">
        <w:rPr>
          <w:sz w:val="22"/>
          <w:szCs w:val="22"/>
        </w:rPr>
        <w:t>every two years after October 8, 2010, the date of enactment of the CVAA, as required by Section 717(b)(1) of the Act.</w:t>
      </w:r>
      <w:r w:rsidRPr="008D556C">
        <w:rPr>
          <w:rStyle w:val="FootnoteReference"/>
          <w:sz w:val="22"/>
          <w:szCs w:val="22"/>
        </w:rPr>
        <w:footnoteReference w:id="15"/>
      </w:r>
      <w:r w:rsidRPr="008D556C">
        <w:rPr>
          <w:sz w:val="22"/>
          <w:szCs w:val="22"/>
        </w:rPr>
        <w:t xml:space="preserve">  </w:t>
      </w:r>
      <w:r w:rsidR="0041681E" w:rsidRPr="003511DC">
        <w:rPr>
          <w:sz w:val="22"/>
          <w:szCs w:val="22"/>
        </w:rPr>
        <w:t>Specifically, th</w:t>
      </w:r>
      <w:r w:rsidR="0041681E" w:rsidRPr="00BF0859">
        <w:rPr>
          <w:sz w:val="22"/>
          <w:szCs w:val="22"/>
        </w:rPr>
        <w:t xml:space="preserve">e </w:t>
      </w:r>
      <w:r w:rsidRPr="00FF1FD9">
        <w:rPr>
          <w:i/>
          <w:sz w:val="22"/>
          <w:szCs w:val="22"/>
        </w:rPr>
        <w:t>Report</w:t>
      </w:r>
      <w:r w:rsidRPr="00FF1FD9">
        <w:rPr>
          <w:sz w:val="22"/>
          <w:szCs w:val="22"/>
        </w:rPr>
        <w:t xml:space="preserve"> must include the following information and assessments:</w:t>
      </w:r>
      <w:r w:rsidRPr="008D556C">
        <w:rPr>
          <w:rStyle w:val="FootnoteReference"/>
          <w:sz w:val="22"/>
          <w:szCs w:val="22"/>
        </w:rPr>
        <w:footnoteReference w:id="16"/>
      </w:r>
    </w:p>
    <w:p w:rsidR="00432F0F" w:rsidRPr="003511DC" w:rsidRDefault="00432F0F" w:rsidP="00476E6F">
      <w:pPr>
        <w:suppressLineNumbers/>
        <w:suppressAutoHyphens/>
        <w:autoSpaceDE w:val="0"/>
        <w:autoSpaceDN w:val="0"/>
        <w:adjustRightInd w:val="0"/>
        <w:ind w:right="720"/>
        <w:rPr>
          <w:sz w:val="22"/>
          <w:szCs w:val="22"/>
        </w:rPr>
      </w:pPr>
    </w:p>
    <w:p w:rsidR="003B23BA" w:rsidRPr="009C79E5" w:rsidRDefault="00432F0F" w:rsidP="00476E6F">
      <w:pPr>
        <w:suppressLineNumbers/>
        <w:suppressAutoHyphens/>
        <w:autoSpaceDE w:val="0"/>
        <w:autoSpaceDN w:val="0"/>
        <w:adjustRightInd w:val="0"/>
        <w:ind w:left="1260" w:hanging="540"/>
        <w:rPr>
          <w:sz w:val="22"/>
          <w:szCs w:val="22"/>
        </w:rPr>
      </w:pPr>
      <w:r w:rsidRPr="003511DC">
        <w:rPr>
          <w:sz w:val="22"/>
          <w:szCs w:val="22"/>
        </w:rPr>
        <w:t>(A)</w:t>
      </w:r>
      <w:r w:rsidRPr="003511DC">
        <w:rPr>
          <w:sz w:val="22"/>
          <w:szCs w:val="22"/>
        </w:rPr>
        <w:tab/>
      </w:r>
      <w:r w:rsidR="00164F37" w:rsidRPr="00BF0859">
        <w:rPr>
          <w:sz w:val="22"/>
          <w:szCs w:val="22"/>
        </w:rPr>
        <w:t>An assessment of the level of compliance with Sections 255 (accessibility of telecommunications services and equipment), 716 (accessibility of advanced communications services and equip</w:t>
      </w:r>
      <w:r w:rsidR="00164F37" w:rsidRPr="006C02D7">
        <w:rPr>
          <w:sz w:val="22"/>
          <w:szCs w:val="22"/>
        </w:rPr>
        <w:t>ment), and 718 (accessibility of Internet browsers built into mobile phones).</w:t>
      </w:r>
      <w:r w:rsidR="003B23BA" w:rsidRPr="009C79E5">
        <w:rPr>
          <w:sz w:val="22"/>
          <w:szCs w:val="22"/>
        </w:rPr>
        <w:t xml:space="preserve">  </w:t>
      </w:r>
      <w:r w:rsidR="003B23BA" w:rsidRPr="009C79E5">
        <w:rPr>
          <w:i/>
          <w:sz w:val="22"/>
          <w:szCs w:val="22"/>
        </w:rPr>
        <w:t xml:space="preserve">See, infra, </w:t>
      </w:r>
      <w:r w:rsidR="003B23BA" w:rsidRPr="009C79E5">
        <w:rPr>
          <w:sz w:val="22"/>
          <w:szCs w:val="22"/>
        </w:rPr>
        <w:t>Section II.B</w:t>
      </w:r>
      <w:r w:rsidR="003B23BA" w:rsidRPr="009C79E5">
        <w:rPr>
          <w:i/>
          <w:sz w:val="22"/>
          <w:szCs w:val="22"/>
        </w:rPr>
        <w:t>.</w:t>
      </w:r>
    </w:p>
    <w:p w:rsidR="003B23BA" w:rsidRPr="009C79E5" w:rsidRDefault="00164F37" w:rsidP="00476E6F">
      <w:pPr>
        <w:suppressLineNumbers/>
        <w:suppressAutoHyphens/>
        <w:autoSpaceDE w:val="0"/>
        <w:autoSpaceDN w:val="0"/>
        <w:adjustRightInd w:val="0"/>
        <w:ind w:left="1260" w:hanging="540"/>
        <w:rPr>
          <w:sz w:val="22"/>
          <w:szCs w:val="22"/>
        </w:rPr>
      </w:pPr>
      <w:r w:rsidRPr="009C79E5">
        <w:rPr>
          <w:sz w:val="22"/>
          <w:szCs w:val="22"/>
        </w:rPr>
        <w:t>(B)</w:t>
      </w:r>
      <w:r w:rsidRPr="009C79E5">
        <w:rPr>
          <w:sz w:val="22"/>
          <w:szCs w:val="22"/>
        </w:rPr>
        <w:tab/>
        <w:t xml:space="preserve">An evaluation of the extent to which any accessibility barriers still exist with respect to new communications technologies.  </w:t>
      </w:r>
      <w:r w:rsidR="003B23BA" w:rsidRPr="009C79E5">
        <w:rPr>
          <w:i/>
          <w:sz w:val="22"/>
          <w:szCs w:val="22"/>
        </w:rPr>
        <w:t xml:space="preserve">See, infra, </w:t>
      </w:r>
      <w:r w:rsidR="003B23BA" w:rsidRPr="009C79E5">
        <w:rPr>
          <w:sz w:val="22"/>
          <w:szCs w:val="22"/>
        </w:rPr>
        <w:t>Section II.C.</w:t>
      </w:r>
    </w:p>
    <w:p w:rsidR="00164F37" w:rsidRPr="009C79E5" w:rsidRDefault="00164F37" w:rsidP="00476E6F">
      <w:pPr>
        <w:autoSpaceDE w:val="0"/>
        <w:autoSpaceDN w:val="0"/>
        <w:adjustRightInd w:val="0"/>
        <w:ind w:left="1260" w:hanging="540"/>
        <w:rPr>
          <w:sz w:val="22"/>
          <w:szCs w:val="22"/>
        </w:rPr>
      </w:pPr>
      <w:r w:rsidRPr="009C79E5">
        <w:rPr>
          <w:sz w:val="22"/>
          <w:szCs w:val="22"/>
        </w:rPr>
        <w:t>(C)</w:t>
      </w:r>
      <w:r w:rsidRPr="009C79E5">
        <w:rPr>
          <w:sz w:val="22"/>
          <w:szCs w:val="22"/>
        </w:rPr>
        <w:tab/>
        <w:t>The number and nature of complaints received pursuant to Section 717(a) (recordkeeping and enforcement obligations of service providers and equipment manufacturers that are subject to Sections 255, 716, and 718).</w:t>
      </w:r>
      <w:r w:rsidR="003B23BA" w:rsidRPr="009C79E5">
        <w:rPr>
          <w:sz w:val="22"/>
          <w:szCs w:val="22"/>
        </w:rPr>
        <w:t xml:space="preserve">  </w:t>
      </w:r>
      <w:r w:rsidR="003B23BA" w:rsidRPr="009C79E5">
        <w:rPr>
          <w:i/>
          <w:sz w:val="22"/>
          <w:szCs w:val="22"/>
        </w:rPr>
        <w:t xml:space="preserve">See, infra, </w:t>
      </w:r>
      <w:r w:rsidR="003B23BA" w:rsidRPr="009C79E5">
        <w:rPr>
          <w:sz w:val="22"/>
          <w:szCs w:val="22"/>
        </w:rPr>
        <w:t>Section II.D.1.</w:t>
      </w:r>
    </w:p>
    <w:p w:rsidR="00164F37" w:rsidRPr="009C79E5" w:rsidRDefault="00164F37" w:rsidP="00476E6F">
      <w:pPr>
        <w:autoSpaceDE w:val="0"/>
        <w:autoSpaceDN w:val="0"/>
        <w:adjustRightInd w:val="0"/>
        <w:ind w:left="1260" w:hanging="540"/>
        <w:rPr>
          <w:sz w:val="22"/>
          <w:szCs w:val="22"/>
        </w:rPr>
      </w:pPr>
      <w:r w:rsidRPr="009C79E5">
        <w:rPr>
          <w:sz w:val="22"/>
          <w:szCs w:val="22"/>
        </w:rPr>
        <w:t>(D)</w:t>
      </w:r>
      <w:r w:rsidRPr="009C79E5">
        <w:rPr>
          <w:sz w:val="22"/>
          <w:szCs w:val="22"/>
        </w:rPr>
        <w:tab/>
        <w:t xml:space="preserve">A description of the actions taken to resolve such complaints, including forfeiture penalties assessed.  </w:t>
      </w:r>
      <w:r w:rsidR="003B23BA" w:rsidRPr="009C79E5">
        <w:rPr>
          <w:i/>
          <w:sz w:val="22"/>
          <w:szCs w:val="22"/>
        </w:rPr>
        <w:t xml:space="preserve">See, infra, </w:t>
      </w:r>
      <w:r w:rsidR="003B23BA" w:rsidRPr="009C79E5">
        <w:rPr>
          <w:sz w:val="22"/>
          <w:szCs w:val="22"/>
        </w:rPr>
        <w:t>Section II.D.2.</w:t>
      </w:r>
    </w:p>
    <w:p w:rsidR="00164F37" w:rsidRPr="009C79E5" w:rsidRDefault="00164F37" w:rsidP="00476E6F">
      <w:pPr>
        <w:autoSpaceDE w:val="0"/>
        <w:autoSpaceDN w:val="0"/>
        <w:adjustRightInd w:val="0"/>
        <w:ind w:left="1260" w:hanging="540"/>
        <w:rPr>
          <w:sz w:val="22"/>
          <w:szCs w:val="22"/>
        </w:rPr>
      </w:pPr>
      <w:r w:rsidRPr="009C79E5">
        <w:rPr>
          <w:sz w:val="22"/>
          <w:szCs w:val="22"/>
        </w:rPr>
        <w:t>(E)</w:t>
      </w:r>
      <w:r w:rsidRPr="009C79E5">
        <w:rPr>
          <w:sz w:val="22"/>
          <w:szCs w:val="22"/>
        </w:rPr>
        <w:tab/>
        <w:t xml:space="preserve">The length of time that was taken by the Commission to resolve each such complaint.  </w:t>
      </w:r>
      <w:r w:rsidR="003B23BA" w:rsidRPr="009C79E5">
        <w:rPr>
          <w:i/>
          <w:sz w:val="22"/>
          <w:szCs w:val="22"/>
        </w:rPr>
        <w:t xml:space="preserve">See, infra, </w:t>
      </w:r>
      <w:r w:rsidR="003B23BA" w:rsidRPr="009C79E5">
        <w:rPr>
          <w:sz w:val="22"/>
          <w:szCs w:val="22"/>
        </w:rPr>
        <w:t>Section II.D.3.</w:t>
      </w:r>
    </w:p>
    <w:p w:rsidR="00164F37" w:rsidRPr="009C79E5" w:rsidRDefault="00164F37" w:rsidP="00476E6F">
      <w:pPr>
        <w:autoSpaceDE w:val="0"/>
        <w:autoSpaceDN w:val="0"/>
        <w:adjustRightInd w:val="0"/>
        <w:ind w:left="1260" w:hanging="540"/>
        <w:rPr>
          <w:sz w:val="22"/>
          <w:szCs w:val="22"/>
        </w:rPr>
      </w:pPr>
      <w:r w:rsidRPr="009C79E5">
        <w:rPr>
          <w:sz w:val="22"/>
          <w:szCs w:val="22"/>
        </w:rPr>
        <w:t>(F)</w:t>
      </w:r>
      <w:r w:rsidRPr="009C79E5">
        <w:rPr>
          <w:sz w:val="22"/>
          <w:szCs w:val="22"/>
        </w:rPr>
        <w:tab/>
        <w:t>The number, status, nature, and outcome of any actions for mandamus filed and of any appeals filed.</w:t>
      </w:r>
      <w:r w:rsidR="003B23BA" w:rsidRPr="009C79E5">
        <w:rPr>
          <w:sz w:val="22"/>
          <w:szCs w:val="22"/>
        </w:rPr>
        <w:t xml:space="preserve">  </w:t>
      </w:r>
      <w:r w:rsidR="003B23BA" w:rsidRPr="009C79E5">
        <w:rPr>
          <w:i/>
          <w:sz w:val="22"/>
          <w:szCs w:val="22"/>
        </w:rPr>
        <w:t xml:space="preserve">See, infra, </w:t>
      </w:r>
      <w:r w:rsidR="003B23BA" w:rsidRPr="009C79E5">
        <w:rPr>
          <w:sz w:val="22"/>
          <w:szCs w:val="22"/>
        </w:rPr>
        <w:t xml:space="preserve">Section II.D.4.  </w:t>
      </w:r>
    </w:p>
    <w:p w:rsidR="00164F37" w:rsidRPr="00FF1FD9" w:rsidRDefault="00164F37" w:rsidP="00476E6F">
      <w:pPr>
        <w:tabs>
          <w:tab w:val="num" w:pos="1440"/>
        </w:tabs>
        <w:autoSpaceDE w:val="0"/>
        <w:autoSpaceDN w:val="0"/>
        <w:adjustRightInd w:val="0"/>
        <w:ind w:left="1260" w:hanging="540"/>
        <w:rPr>
          <w:sz w:val="22"/>
          <w:szCs w:val="22"/>
        </w:rPr>
      </w:pPr>
      <w:r w:rsidRPr="009C79E5">
        <w:rPr>
          <w:sz w:val="22"/>
          <w:szCs w:val="22"/>
        </w:rPr>
        <w:t>(G)</w:t>
      </w:r>
      <w:r w:rsidRPr="009C79E5">
        <w:rPr>
          <w:sz w:val="22"/>
          <w:szCs w:val="22"/>
        </w:rPr>
        <w:tab/>
        <w:t>An assessment of the effect of the recordkeeping and enforcement requirements of Section 717 on the development and deployment of new communications technologies.</w:t>
      </w:r>
      <w:r w:rsidRPr="008D556C">
        <w:rPr>
          <w:sz w:val="22"/>
          <w:szCs w:val="22"/>
          <w:vertAlign w:val="superscript"/>
        </w:rPr>
        <w:footnoteReference w:id="17"/>
      </w:r>
      <w:r w:rsidR="003B23BA" w:rsidRPr="008D556C">
        <w:rPr>
          <w:sz w:val="22"/>
          <w:szCs w:val="22"/>
        </w:rPr>
        <w:t xml:space="preserve">  </w:t>
      </w:r>
      <w:r w:rsidR="003B23BA" w:rsidRPr="003511DC">
        <w:rPr>
          <w:i/>
          <w:sz w:val="22"/>
          <w:szCs w:val="22"/>
        </w:rPr>
        <w:t xml:space="preserve">See, infra, </w:t>
      </w:r>
      <w:r w:rsidR="003B23BA" w:rsidRPr="00BF0859">
        <w:rPr>
          <w:sz w:val="22"/>
          <w:szCs w:val="22"/>
        </w:rPr>
        <w:t>Section II.E.</w:t>
      </w:r>
    </w:p>
    <w:p w:rsidR="0069589F" w:rsidRPr="006C02D7" w:rsidRDefault="0069589F" w:rsidP="00476E6F">
      <w:pPr>
        <w:tabs>
          <w:tab w:val="num" w:pos="1440"/>
        </w:tabs>
        <w:autoSpaceDE w:val="0"/>
        <w:autoSpaceDN w:val="0"/>
        <w:adjustRightInd w:val="0"/>
        <w:rPr>
          <w:sz w:val="22"/>
          <w:szCs w:val="22"/>
        </w:rPr>
      </w:pPr>
    </w:p>
    <w:p w:rsidR="00164F37" w:rsidRPr="008D556C" w:rsidRDefault="00164F37" w:rsidP="00476E6F">
      <w:pPr>
        <w:numPr>
          <w:ilvl w:val="0"/>
          <w:numId w:val="2"/>
        </w:numPr>
        <w:suppressLineNumbers/>
        <w:tabs>
          <w:tab w:val="clear" w:pos="720"/>
          <w:tab w:val="num" w:pos="1440"/>
        </w:tabs>
        <w:suppressAutoHyphens/>
        <w:ind w:left="0" w:firstLine="720"/>
        <w:rPr>
          <w:sz w:val="22"/>
          <w:szCs w:val="22"/>
        </w:rPr>
      </w:pPr>
      <w:r w:rsidRPr="009C79E5">
        <w:rPr>
          <w:sz w:val="22"/>
          <w:szCs w:val="22"/>
        </w:rPr>
        <w:t xml:space="preserve">On June 17, 2014, </w:t>
      </w:r>
      <w:r w:rsidR="00C05FA6" w:rsidRPr="009C79E5">
        <w:rPr>
          <w:sz w:val="22"/>
          <w:szCs w:val="22"/>
        </w:rPr>
        <w:t>CGB</w:t>
      </w:r>
      <w:r w:rsidRPr="009C79E5">
        <w:rPr>
          <w:sz w:val="22"/>
          <w:szCs w:val="22"/>
        </w:rPr>
        <w:t xml:space="preserve"> </w:t>
      </w:r>
      <w:r w:rsidR="0069589F" w:rsidRPr="009C79E5">
        <w:rPr>
          <w:sz w:val="22"/>
          <w:szCs w:val="22"/>
        </w:rPr>
        <w:t>invited</w:t>
      </w:r>
      <w:r w:rsidRPr="009C79E5">
        <w:rPr>
          <w:sz w:val="22"/>
          <w:szCs w:val="22"/>
        </w:rPr>
        <w:t xml:space="preserve"> comments related to the Commission</w:t>
      </w:r>
      <w:r w:rsidR="003308A5" w:rsidRPr="009C79E5">
        <w:rPr>
          <w:sz w:val="22"/>
          <w:szCs w:val="22"/>
        </w:rPr>
        <w:t>’</w:t>
      </w:r>
      <w:r w:rsidRPr="009C79E5">
        <w:rPr>
          <w:sz w:val="22"/>
          <w:szCs w:val="22"/>
        </w:rPr>
        <w:t xml:space="preserve">s preparation of this </w:t>
      </w:r>
      <w:r w:rsidRPr="009C79E5">
        <w:rPr>
          <w:i/>
          <w:sz w:val="22"/>
          <w:szCs w:val="22"/>
        </w:rPr>
        <w:t>Report</w:t>
      </w:r>
      <w:r w:rsidRPr="009C79E5">
        <w:rPr>
          <w:sz w:val="22"/>
          <w:szCs w:val="22"/>
        </w:rPr>
        <w:t>.</w:t>
      </w:r>
      <w:r w:rsidRPr="008D556C">
        <w:rPr>
          <w:rStyle w:val="FootnoteReference"/>
          <w:sz w:val="22"/>
          <w:szCs w:val="22"/>
        </w:rPr>
        <w:footnoteReference w:id="18"/>
      </w:r>
      <w:r w:rsidRPr="008D556C">
        <w:rPr>
          <w:sz w:val="22"/>
          <w:szCs w:val="22"/>
        </w:rPr>
        <w:t xml:space="preserve">  Those comments helped to inform the Commission</w:t>
      </w:r>
      <w:r w:rsidR="003308A5" w:rsidRPr="003511DC">
        <w:rPr>
          <w:sz w:val="22"/>
          <w:szCs w:val="22"/>
        </w:rPr>
        <w:t>’</w:t>
      </w:r>
      <w:r w:rsidRPr="00BF0859">
        <w:rPr>
          <w:sz w:val="22"/>
          <w:szCs w:val="22"/>
        </w:rPr>
        <w:t>s tentative findings.</w:t>
      </w:r>
      <w:r w:rsidRPr="008D556C">
        <w:rPr>
          <w:rStyle w:val="FootnoteReference"/>
          <w:sz w:val="22"/>
          <w:szCs w:val="22"/>
        </w:rPr>
        <w:footnoteReference w:id="19"/>
      </w:r>
      <w:r w:rsidRPr="008D556C">
        <w:rPr>
          <w:sz w:val="22"/>
          <w:szCs w:val="22"/>
        </w:rPr>
        <w:t xml:space="preserve">  On August 28, 2014, </w:t>
      </w:r>
      <w:r w:rsidR="00C05FA6" w:rsidRPr="003511DC">
        <w:rPr>
          <w:sz w:val="22"/>
          <w:szCs w:val="22"/>
        </w:rPr>
        <w:t>CGB</w:t>
      </w:r>
      <w:r w:rsidRPr="00BF0859">
        <w:rPr>
          <w:sz w:val="22"/>
          <w:szCs w:val="22"/>
        </w:rPr>
        <w:t xml:space="preserve"> </w:t>
      </w:r>
      <w:r w:rsidR="00D142FF" w:rsidRPr="00FF1FD9">
        <w:rPr>
          <w:sz w:val="22"/>
          <w:szCs w:val="22"/>
        </w:rPr>
        <w:t xml:space="preserve">sought </w:t>
      </w:r>
      <w:r w:rsidRPr="00FF1FD9">
        <w:rPr>
          <w:sz w:val="22"/>
          <w:szCs w:val="22"/>
        </w:rPr>
        <w:t xml:space="preserve">comment on </w:t>
      </w:r>
      <w:r w:rsidR="00C05FA6" w:rsidRPr="00FF1FD9">
        <w:rPr>
          <w:sz w:val="22"/>
          <w:szCs w:val="22"/>
        </w:rPr>
        <w:t xml:space="preserve">the Commission’s </w:t>
      </w:r>
      <w:r w:rsidRPr="00FF1FD9">
        <w:rPr>
          <w:sz w:val="22"/>
          <w:szCs w:val="22"/>
        </w:rPr>
        <w:t>tentative findings pursuant to Section 717(b)(2) of the Act.</w:t>
      </w:r>
      <w:r w:rsidRPr="008D556C">
        <w:rPr>
          <w:rStyle w:val="FootnoteReference"/>
          <w:sz w:val="22"/>
          <w:szCs w:val="22"/>
        </w:rPr>
        <w:footnoteReference w:id="20"/>
      </w:r>
      <w:r w:rsidRPr="008D556C">
        <w:rPr>
          <w:sz w:val="22"/>
          <w:szCs w:val="22"/>
        </w:rPr>
        <w:t xml:space="preserve">  </w:t>
      </w:r>
      <w:r w:rsidR="003D62BE" w:rsidRPr="003511DC">
        <w:rPr>
          <w:sz w:val="22"/>
          <w:szCs w:val="22"/>
        </w:rPr>
        <w:t xml:space="preserve">Specifically, </w:t>
      </w:r>
      <w:r w:rsidR="00C05FA6" w:rsidRPr="00BF0859">
        <w:rPr>
          <w:sz w:val="22"/>
          <w:szCs w:val="22"/>
        </w:rPr>
        <w:t>CGB</w:t>
      </w:r>
      <w:r w:rsidR="003D62BE" w:rsidRPr="00FF1FD9">
        <w:rPr>
          <w:sz w:val="22"/>
          <w:szCs w:val="22"/>
        </w:rPr>
        <w:t xml:space="preserve"> sought comment on whether </w:t>
      </w:r>
      <w:r w:rsidR="00C05FA6" w:rsidRPr="00FF1FD9">
        <w:rPr>
          <w:sz w:val="22"/>
          <w:szCs w:val="22"/>
        </w:rPr>
        <w:t xml:space="preserve">the </w:t>
      </w:r>
      <w:r w:rsidR="00685B92" w:rsidRPr="00FF1FD9">
        <w:rPr>
          <w:sz w:val="22"/>
          <w:szCs w:val="22"/>
        </w:rPr>
        <w:t>tentative</w:t>
      </w:r>
      <w:r w:rsidR="003D62BE" w:rsidRPr="00FF1FD9">
        <w:rPr>
          <w:sz w:val="22"/>
          <w:szCs w:val="22"/>
        </w:rPr>
        <w:t xml:space="preserve"> findings accurately represent the current state of communications technologies accessibility and</w:t>
      </w:r>
      <w:r w:rsidR="003D62BE" w:rsidRPr="006C02D7">
        <w:rPr>
          <w:sz w:val="22"/>
          <w:szCs w:val="22"/>
        </w:rPr>
        <w:t>, if not, why not and how they should be revised to do so.</w:t>
      </w:r>
      <w:r w:rsidR="003D62BE" w:rsidRPr="008D556C">
        <w:rPr>
          <w:sz w:val="22"/>
          <w:szCs w:val="22"/>
          <w:vertAlign w:val="superscript"/>
        </w:rPr>
        <w:footnoteReference w:id="21"/>
      </w:r>
      <w:r w:rsidR="003D62BE" w:rsidRPr="008D556C">
        <w:rPr>
          <w:sz w:val="22"/>
          <w:szCs w:val="22"/>
        </w:rPr>
        <w:t xml:space="preserve">  </w:t>
      </w:r>
      <w:r w:rsidR="00C05FA6" w:rsidRPr="003511DC">
        <w:rPr>
          <w:sz w:val="22"/>
          <w:szCs w:val="22"/>
        </w:rPr>
        <w:t>CGB</w:t>
      </w:r>
      <w:r w:rsidR="003D62BE" w:rsidRPr="00BF0859">
        <w:rPr>
          <w:sz w:val="22"/>
          <w:szCs w:val="22"/>
        </w:rPr>
        <w:t xml:space="preserve"> also asked about the extent to which the industry actions described in </w:t>
      </w:r>
      <w:r w:rsidR="00D9316B" w:rsidRPr="00FF1FD9">
        <w:rPr>
          <w:sz w:val="22"/>
          <w:szCs w:val="22"/>
        </w:rPr>
        <w:t xml:space="preserve">the </w:t>
      </w:r>
      <w:r w:rsidR="00D9316B" w:rsidRPr="00FF1FD9">
        <w:rPr>
          <w:i/>
          <w:sz w:val="22"/>
          <w:szCs w:val="22"/>
        </w:rPr>
        <w:t xml:space="preserve">2014 CVAA Tentative Findings PN </w:t>
      </w:r>
      <w:r w:rsidR="003D62BE" w:rsidRPr="006C02D7">
        <w:rPr>
          <w:sz w:val="22"/>
          <w:szCs w:val="22"/>
        </w:rPr>
        <w:t>have resulted in increased accessibility, and where relevant, usability and compatib</w:t>
      </w:r>
      <w:r w:rsidR="003D62BE" w:rsidRPr="009C79E5">
        <w:rPr>
          <w:sz w:val="22"/>
          <w:szCs w:val="22"/>
        </w:rPr>
        <w:t xml:space="preserve">ility, of telecommunications and advanced communications services and equipment since the </w:t>
      </w:r>
      <w:r w:rsidR="003D62BE" w:rsidRPr="009C79E5">
        <w:rPr>
          <w:i/>
          <w:sz w:val="22"/>
          <w:szCs w:val="22"/>
        </w:rPr>
        <w:t>2012 CVAA Biennial Report</w:t>
      </w:r>
      <w:r w:rsidR="003D62BE" w:rsidRPr="009C79E5">
        <w:rPr>
          <w:sz w:val="22"/>
          <w:szCs w:val="22"/>
        </w:rPr>
        <w:t>.</w:t>
      </w:r>
      <w:r w:rsidR="003D62BE" w:rsidRPr="008D556C">
        <w:rPr>
          <w:sz w:val="22"/>
          <w:szCs w:val="22"/>
          <w:vertAlign w:val="superscript"/>
        </w:rPr>
        <w:footnoteReference w:id="22"/>
      </w:r>
      <w:r w:rsidR="003D62BE" w:rsidRPr="008D556C">
        <w:rPr>
          <w:sz w:val="22"/>
          <w:szCs w:val="22"/>
        </w:rPr>
        <w:t xml:space="preserve">  Further, </w:t>
      </w:r>
      <w:r w:rsidR="00A415F0" w:rsidRPr="003511DC">
        <w:rPr>
          <w:sz w:val="22"/>
          <w:szCs w:val="22"/>
        </w:rPr>
        <w:t>CGB</w:t>
      </w:r>
      <w:r w:rsidR="003D62BE" w:rsidRPr="00BF0859">
        <w:rPr>
          <w:sz w:val="22"/>
          <w:szCs w:val="22"/>
        </w:rPr>
        <w:t xml:space="preserve"> sought comment on whether these products and services offer the same range of low-end and high-end features, functions, and </w:t>
      </w:r>
      <w:r w:rsidR="003D62BE" w:rsidRPr="006C02D7">
        <w:rPr>
          <w:sz w:val="22"/>
          <w:szCs w:val="22"/>
        </w:rPr>
        <w:t>prices that are available to the general public.</w:t>
      </w:r>
      <w:r w:rsidR="003D62BE" w:rsidRPr="008D556C">
        <w:rPr>
          <w:sz w:val="22"/>
          <w:szCs w:val="22"/>
          <w:vertAlign w:val="superscript"/>
        </w:rPr>
        <w:footnoteReference w:id="23"/>
      </w:r>
      <w:r w:rsidR="003D62BE" w:rsidRPr="008D556C">
        <w:rPr>
          <w:sz w:val="22"/>
          <w:szCs w:val="22"/>
        </w:rPr>
        <w:t xml:space="preserve">  Finally, </w:t>
      </w:r>
      <w:r w:rsidR="00A415F0" w:rsidRPr="003511DC">
        <w:rPr>
          <w:sz w:val="22"/>
          <w:szCs w:val="22"/>
        </w:rPr>
        <w:t>CGB</w:t>
      </w:r>
      <w:r w:rsidR="003D62BE" w:rsidRPr="00BF0859">
        <w:rPr>
          <w:sz w:val="22"/>
          <w:szCs w:val="22"/>
        </w:rPr>
        <w:t xml:space="preserve"> asked about other kinds of information that would help the Commission to conduct these assessments, as required by the CVAA, for the next biennial report to be submitted by October 8, 2016.</w:t>
      </w:r>
      <w:r w:rsidR="003D62BE" w:rsidRPr="008D556C">
        <w:rPr>
          <w:sz w:val="22"/>
          <w:szCs w:val="22"/>
          <w:vertAlign w:val="superscript"/>
        </w:rPr>
        <w:footnoteReference w:id="24"/>
      </w:r>
      <w:r w:rsidR="003D62BE" w:rsidRPr="008D556C">
        <w:rPr>
          <w:sz w:val="22"/>
          <w:szCs w:val="22"/>
        </w:rPr>
        <w:t xml:space="preserve"> </w:t>
      </w:r>
      <w:r w:rsidR="00D9316B" w:rsidRPr="003511DC">
        <w:rPr>
          <w:sz w:val="22"/>
          <w:szCs w:val="22"/>
        </w:rPr>
        <w:t xml:space="preserve"> </w:t>
      </w:r>
      <w:r w:rsidR="003D62BE" w:rsidRPr="00BF0859">
        <w:rPr>
          <w:sz w:val="22"/>
          <w:szCs w:val="22"/>
        </w:rPr>
        <w:t>Although the c</w:t>
      </w:r>
      <w:r w:rsidRPr="00FF1FD9">
        <w:rPr>
          <w:sz w:val="22"/>
          <w:szCs w:val="22"/>
        </w:rPr>
        <w:t xml:space="preserve">omments in response to the </w:t>
      </w:r>
      <w:r w:rsidRPr="00FF1FD9">
        <w:rPr>
          <w:i/>
          <w:sz w:val="22"/>
          <w:szCs w:val="22"/>
        </w:rPr>
        <w:t>2014 CVAA Tentative Findings PN</w:t>
      </w:r>
      <w:r w:rsidRPr="00FF1FD9">
        <w:rPr>
          <w:sz w:val="22"/>
          <w:szCs w:val="22"/>
        </w:rPr>
        <w:t xml:space="preserve"> were </w:t>
      </w:r>
      <w:r w:rsidR="00D9316B" w:rsidRPr="006C02D7">
        <w:rPr>
          <w:sz w:val="22"/>
          <w:szCs w:val="22"/>
        </w:rPr>
        <w:t>few</w:t>
      </w:r>
      <w:r w:rsidR="00A415F0" w:rsidRPr="009C5E08">
        <w:rPr>
          <w:sz w:val="22"/>
          <w:szCs w:val="22"/>
        </w:rPr>
        <w:t xml:space="preserve">er than the initial </w:t>
      </w:r>
      <w:r w:rsidR="00A415F0" w:rsidRPr="009C5E08">
        <w:rPr>
          <w:i/>
          <w:sz w:val="22"/>
          <w:szCs w:val="22"/>
        </w:rPr>
        <w:t>2014 CVAA Assessment PN</w:t>
      </w:r>
      <w:r w:rsidR="00D9316B" w:rsidRPr="009C5E08">
        <w:rPr>
          <w:sz w:val="22"/>
          <w:szCs w:val="22"/>
        </w:rPr>
        <w:t>,</w:t>
      </w:r>
      <w:r w:rsidRPr="008D556C">
        <w:rPr>
          <w:sz w:val="22"/>
          <w:szCs w:val="22"/>
          <w:vertAlign w:val="superscript"/>
        </w:rPr>
        <w:footnoteReference w:id="25"/>
      </w:r>
      <w:r w:rsidR="003D62BE" w:rsidRPr="008D556C">
        <w:rPr>
          <w:sz w:val="22"/>
          <w:szCs w:val="22"/>
        </w:rPr>
        <w:t xml:space="preserve"> we believe that the comments received in response to the </w:t>
      </w:r>
      <w:r w:rsidR="00F575F8" w:rsidRPr="003511DC">
        <w:rPr>
          <w:i/>
          <w:sz w:val="22"/>
          <w:szCs w:val="22"/>
        </w:rPr>
        <w:t xml:space="preserve">2014 </w:t>
      </w:r>
      <w:r w:rsidR="003D62BE" w:rsidRPr="00BF0859">
        <w:rPr>
          <w:i/>
          <w:sz w:val="22"/>
          <w:szCs w:val="22"/>
        </w:rPr>
        <w:t>CVAA Assessment PN</w:t>
      </w:r>
      <w:r w:rsidR="003D62BE" w:rsidRPr="00FF1FD9">
        <w:rPr>
          <w:sz w:val="22"/>
          <w:szCs w:val="22"/>
        </w:rPr>
        <w:t xml:space="preserve"> and the </w:t>
      </w:r>
      <w:r w:rsidR="00F575F8" w:rsidRPr="00FF1FD9">
        <w:rPr>
          <w:i/>
          <w:sz w:val="22"/>
          <w:szCs w:val="22"/>
        </w:rPr>
        <w:t xml:space="preserve">2014 </w:t>
      </w:r>
      <w:r w:rsidR="003D62BE" w:rsidRPr="00FF1FD9">
        <w:rPr>
          <w:i/>
          <w:sz w:val="22"/>
          <w:szCs w:val="22"/>
        </w:rPr>
        <w:t>CVAA Tentative Findings PN</w:t>
      </w:r>
      <w:r w:rsidR="00D9316B" w:rsidRPr="00FF1FD9">
        <w:rPr>
          <w:sz w:val="22"/>
          <w:szCs w:val="22"/>
        </w:rPr>
        <w:t>, collectively,</w:t>
      </w:r>
      <w:r w:rsidR="003D62BE" w:rsidRPr="006C02D7">
        <w:rPr>
          <w:sz w:val="22"/>
          <w:szCs w:val="22"/>
        </w:rPr>
        <w:t xml:space="preserve"> support our tentative findings and, therefore, we affirm these tentative findings which are presented as findings in this </w:t>
      </w:r>
      <w:r w:rsidR="003D62BE" w:rsidRPr="009C79E5">
        <w:rPr>
          <w:i/>
          <w:sz w:val="22"/>
          <w:szCs w:val="22"/>
        </w:rPr>
        <w:t>Report</w:t>
      </w:r>
      <w:r w:rsidR="003D62BE" w:rsidRPr="009C79E5">
        <w:rPr>
          <w:sz w:val="22"/>
          <w:szCs w:val="22"/>
        </w:rPr>
        <w:t>.</w:t>
      </w:r>
      <w:r w:rsidR="003D62BE" w:rsidRPr="008D556C">
        <w:rPr>
          <w:rStyle w:val="FootnoteReference"/>
          <w:sz w:val="22"/>
          <w:szCs w:val="22"/>
        </w:rPr>
        <w:footnoteReference w:id="26"/>
      </w:r>
    </w:p>
    <w:p w:rsidR="00164F37" w:rsidRPr="003511DC" w:rsidRDefault="00164F37" w:rsidP="00476E6F">
      <w:pPr>
        <w:suppressAutoHyphens/>
        <w:rPr>
          <w:sz w:val="22"/>
          <w:szCs w:val="22"/>
        </w:rPr>
      </w:pPr>
    </w:p>
    <w:p w:rsidR="00164F37" w:rsidRPr="009C79E5" w:rsidRDefault="00164F37" w:rsidP="00476E6F">
      <w:pPr>
        <w:numPr>
          <w:ilvl w:val="0"/>
          <w:numId w:val="2"/>
        </w:numPr>
        <w:suppressLineNumbers/>
        <w:tabs>
          <w:tab w:val="clear" w:pos="720"/>
          <w:tab w:val="num" w:pos="1440"/>
        </w:tabs>
        <w:suppressAutoHyphens/>
        <w:ind w:left="0" w:firstLine="720"/>
        <w:rPr>
          <w:sz w:val="22"/>
          <w:szCs w:val="22"/>
        </w:rPr>
      </w:pPr>
      <w:r w:rsidRPr="00BF0859">
        <w:rPr>
          <w:sz w:val="22"/>
          <w:szCs w:val="22"/>
        </w:rPr>
        <w:t xml:space="preserve">Section II.F concludes this section of the </w:t>
      </w:r>
      <w:r w:rsidRPr="00FF1FD9">
        <w:rPr>
          <w:i/>
          <w:sz w:val="22"/>
          <w:szCs w:val="22"/>
        </w:rPr>
        <w:t>Report</w:t>
      </w:r>
      <w:r w:rsidRPr="00FF1FD9">
        <w:rPr>
          <w:sz w:val="22"/>
          <w:szCs w:val="22"/>
        </w:rPr>
        <w:t xml:space="preserve"> by summarizing the comments received in response to the </w:t>
      </w:r>
      <w:r w:rsidRPr="006C02D7">
        <w:rPr>
          <w:i/>
          <w:sz w:val="22"/>
          <w:szCs w:val="22"/>
        </w:rPr>
        <w:t>2014 CVAA T</w:t>
      </w:r>
      <w:r w:rsidRPr="009C5E08">
        <w:rPr>
          <w:i/>
          <w:sz w:val="22"/>
          <w:szCs w:val="22"/>
        </w:rPr>
        <w:t>entative Findings PN</w:t>
      </w:r>
      <w:r w:rsidRPr="009C5E08">
        <w:rPr>
          <w:sz w:val="22"/>
          <w:szCs w:val="22"/>
        </w:rPr>
        <w:t xml:space="preserve"> </w:t>
      </w:r>
      <w:r w:rsidR="00C3755E" w:rsidRPr="009C5E08">
        <w:rPr>
          <w:sz w:val="22"/>
          <w:szCs w:val="22"/>
        </w:rPr>
        <w:t>related to the preparation of the next biennial report, which is due by October 8, 2016</w:t>
      </w:r>
      <w:r w:rsidRPr="009C79E5">
        <w:rPr>
          <w:sz w:val="22"/>
          <w:szCs w:val="22"/>
        </w:rPr>
        <w:t xml:space="preserve">. </w:t>
      </w:r>
    </w:p>
    <w:p w:rsidR="00164F37" w:rsidRPr="009C79E5" w:rsidRDefault="00164F37" w:rsidP="00476E6F">
      <w:pPr>
        <w:suppressAutoHyphens/>
        <w:rPr>
          <w:sz w:val="22"/>
          <w:szCs w:val="22"/>
        </w:rPr>
      </w:pPr>
    </w:p>
    <w:p w:rsidR="00164F37" w:rsidRPr="009C79E5" w:rsidRDefault="00164F37" w:rsidP="00476E6F">
      <w:pPr>
        <w:numPr>
          <w:ilvl w:val="0"/>
          <w:numId w:val="2"/>
        </w:numPr>
        <w:suppressLineNumbers/>
        <w:tabs>
          <w:tab w:val="clear" w:pos="720"/>
          <w:tab w:val="num" w:pos="1440"/>
        </w:tabs>
        <w:suppressAutoHyphens/>
        <w:ind w:left="0" w:firstLine="720"/>
        <w:rPr>
          <w:sz w:val="22"/>
          <w:szCs w:val="22"/>
        </w:rPr>
      </w:pPr>
      <w:r w:rsidRPr="009C79E5">
        <w:rPr>
          <w:sz w:val="22"/>
          <w:szCs w:val="22"/>
        </w:rPr>
        <w:t xml:space="preserve">Finally, Section III of this </w:t>
      </w:r>
      <w:r w:rsidRPr="009C79E5">
        <w:rPr>
          <w:i/>
          <w:sz w:val="22"/>
          <w:szCs w:val="22"/>
        </w:rPr>
        <w:t>Report</w:t>
      </w:r>
      <w:r w:rsidRPr="009C79E5">
        <w:rPr>
          <w:sz w:val="22"/>
          <w:szCs w:val="22"/>
        </w:rPr>
        <w:t xml:space="preserve"> presents a summary of other actions taken by the Commission related to the CVAA since the submission of the </w:t>
      </w:r>
      <w:r w:rsidRPr="009C79E5">
        <w:rPr>
          <w:i/>
          <w:sz w:val="22"/>
          <w:szCs w:val="22"/>
        </w:rPr>
        <w:t>2012 CVAA Biennial Report</w:t>
      </w:r>
      <w:r w:rsidRPr="009C79E5">
        <w:rPr>
          <w:sz w:val="22"/>
          <w:szCs w:val="22"/>
        </w:rPr>
        <w:t>.</w:t>
      </w:r>
    </w:p>
    <w:p w:rsidR="00164F37" w:rsidRPr="009C79E5" w:rsidRDefault="00164F37" w:rsidP="00476E6F">
      <w:pPr>
        <w:suppressAutoHyphens/>
        <w:rPr>
          <w:sz w:val="22"/>
          <w:szCs w:val="22"/>
        </w:rPr>
      </w:pPr>
    </w:p>
    <w:p w:rsidR="00432F0F" w:rsidRPr="009C79E5" w:rsidRDefault="00432F0F" w:rsidP="00476E6F">
      <w:pPr>
        <w:suppressLineNumbers/>
        <w:suppressAutoHyphens/>
        <w:autoSpaceDE w:val="0"/>
        <w:autoSpaceDN w:val="0"/>
        <w:adjustRightInd w:val="0"/>
        <w:ind w:left="720" w:hanging="720"/>
        <w:rPr>
          <w:b/>
          <w:sz w:val="22"/>
          <w:szCs w:val="22"/>
        </w:rPr>
      </w:pPr>
      <w:r w:rsidRPr="009C79E5">
        <w:rPr>
          <w:b/>
          <w:sz w:val="22"/>
          <w:szCs w:val="22"/>
        </w:rPr>
        <w:t>II.</w:t>
      </w:r>
      <w:r w:rsidRPr="009C79E5">
        <w:rPr>
          <w:b/>
          <w:sz w:val="22"/>
          <w:szCs w:val="22"/>
        </w:rPr>
        <w:tab/>
      </w:r>
      <w:r w:rsidRPr="009C79E5">
        <w:rPr>
          <w:rStyle w:val="Heading1Char1"/>
          <w:bCs/>
          <w:sz w:val="22"/>
          <w:szCs w:val="22"/>
        </w:rPr>
        <w:t xml:space="preserve">COMMUNICATIONS ACCESSIBILITY </w:t>
      </w:r>
    </w:p>
    <w:p w:rsidR="00432F0F" w:rsidRPr="009C79E5" w:rsidRDefault="00432F0F" w:rsidP="00476E6F">
      <w:pPr>
        <w:suppressLineNumbers/>
        <w:suppressAutoHyphens/>
        <w:autoSpaceDE w:val="0"/>
        <w:autoSpaceDN w:val="0"/>
        <w:adjustRightInd w:val="0"/>
        <w:rPr>
          <w:b/>
          <w:sz w:val="22"/>
          <w:szCs w:val="22"/>
        </w:rPr>
      </w:pPr>
    </w:p>
    <w:p w:rsidR="00432F0F" w:rsidRPr="009C79E5" w:rsidRDefault="00432F0F" w:rsidP="00476E6F">
      <w:pPr>
        <w:suppressLineNumbers/>
        <w:suppressAutoHyphens/>
        <w:ind w:left="720"/>
        <w:rPr>
          <w:b/>
          <w:sz w:val="22"/>
          <w:szCs w:val="22"/>
        </w:rPr>
      </w:pPr>
      <w:r w:rsidRPr="009C79E5">
        <w:rPr>
          <w:b/>
          <w:sz w:val="22"/>
          <w:szCs w:val="22"/>
        </w:rPr>
        <w:t>A.</w:t>
      </w:r>
      <w:r w:rsidRPr="009C79E5">
        <w:rPr>
          <w:b/>
          <w:sz w:val="22"/>
          <w:szCs w:val="22"/>
        </w:rPr>
        <w:tab/>
        <w:t>Background</w:t>
      </w:r>
    </w:p>
    <w:p w:rsidR="00432F0F" w:rsidRPr="009C79E5" w:rsidRDefault="00432F0F" w:rsidP="00476E6F">
      <w:pPr>
        <w:suppressLineNumbers/>
        <w:suppressAutoHyphens/>
        <w:autoSpaceDE w:val="0"/>
        <w:autoSpaceDN w:val="0"/>
        <w:adjustRightInd w:val="0"/>
        <w:ind w:firstLine="720"/>
        <w:rPr>
          <w:b/>
          <w:sz w:val="22"/>
          <w:szCs w:val="22"/>
        </w:rPr>
      </w:pPr>
    </w:p>
    <w:p w:rsidR="00432F0F" w:rsidRPr="009C79E5" w:rsidRDefault="00432F0F" w:rsidP="00476E6F">
      <w:pPr>
        <w:suppressLineNumbers/>
        <w:suppressAutoHyphens/>
        <w:ind w:left="1440"/>
        <w:rPr>
          <w:b/>
          <w:sz w:val="22"/>
          <w:szCs w:val="22"/>
        </w:rPr>
      </w:pPr>
      <w:r w:rsidRPr="009C79E5">
        <w:rPr>
          <w:b/>
          <w:sz w:val="22"/>
          <w:szCs w:val="22"/>
        </w:rPr>
        <w:t>1.</w:t>
      </w:r>
      <w:r w:rsidRPr="009C79E5">
        <w:rPr>
          <w:b/>
          <w:sz w:val="22"/>
          <w:szCs w:val="22"/>
        </w:rPr>
        <w:tab/>
        <w:t>Section 255</w:t>
      </w:r>
    </w:p>
    <w:p w:rsidR="00432F0F" w:rsidRPr="009C79E5" w:rsidRDefault="00432F0F" w:rsidP="00476E6F">
      <w:pPr>
        <w:pStyle w:val="Heading3"/>
        <w:numPr>
          <w:ilvl w:val="0"/>
          <w:numId w:val="0"/>
        </w:numPr>
        <w:suppressLineNumbers/>
        <w:suppressAutoHyphens/>
        <w:spacing w:before="0" w:beforeAutospacing="0" w:after="0" w:afterAutospacing="0"/>
        <w:ind w:left="1447"/>
      </w:pPr>
    </w:p>
    <w:p w:rsidR="00C91A09" w:rsidRPr="008D556C" w:rsidRDefault="00C91A09" w:rsidP="00476E6F">
      <w:pPr>
        <w:numPr>
          <w:ilvl w:val="0"/>
          <w:numId w:val="2"/>
        </w:numPr>
        <w:tabs>
          <w:tab w:val="num" w:pos="1440"/>
        </w:tabs>
        <w:ind w:left="0" w:firstLine="720"/>
        <w:rPr>
          <w:sz w:val="22"/>
          <w:szCs w:val="22"/>
        </w:rPr>
      </w:pPr>
      <w:r w:rsidRPr="009C79E5">
        <w:rPr>
          <w:sz w:val="22"/>
          <w:szCs w:val="22"/>
        </w:rPr>
        <w:t>Section 255 of the Act requires providers of telecommunications service and manufacturers of telecommunications equipment or customer premises equipment (CPE) to ensure that such services and equipment are accessible to and usable by individuals with disabilities, if readily achievable.</w:t>
      </w:r>
      <w:r w:rsidRPr="008D556C">
        <w:rPr>
          <w:sz w:val="22"/>
          <w:szCs w:val="22"/>
          <w:vertAlign w:val="superscript"/>
        </w:rPr>
        <w:footnoteReference w:id="27"/>
      </w:r>
      <w:r w:rsidRPr="008D556C">
        <w:rPr>
          <w:sz w:val="22"/>
          <w:szCs w:val="22"/>
        </w:rPr>
        <w:t xml:space="preserve">  When these requirements are not readily achievable, covered entities must ensure that their services and equipment are compatibl</w:t>
      </w:r>
      <w:r w:rsidRPr="003511DC">
        <w:rPr>
          <w:sz w:val="22"/>
          <w:szCs w:val="22"/>
        </w:rPr>
        <w:t>e with existin</w:t>
      </w:r>
      <w:r w:rsidRPr="00BF0859">
        <w:rPr>
          <w:sz w:val="22"/>
          <w:szCs w:val="22"/>
        </w:rPr>
        <w:t>g peripheral devices or specialized CPE commonly used by individuals with disabilities to achieve access, if readily achievable.</w:t>
      </w:r>
      <w:r w:rsidRPr="008D556C">
        <w:rPr>
          <w:sz w:val="22"/>
          <w:szCs w:val="22"/>
          <w:vertAlign w:val="superscript"/>
        </w:rPr>
        <w:footnoteReference w:id="28"/>
      </w:r>
      <w:r w:rsidRPr="008D556C">
        <w:rPr>
          <w:sz w:val="22"/>
          <w:szCs w:val="22"/>
        </w:rPr>
        <w:t xml:space="preserve">  The Commission</w:t>
      </w:r>
      <w:r w:rsidR="003308A5" w:rsidRPr="003511DC">
        <w:rPr>
          <w:sz w:val="22"/>
          <w:szCs w:val="22"/>
        </w:rPr>
        <w:t>’</w:t>
      </w:r>
      <w:r w:rsidRPr="00BF0859">
        <w:rPr>
          <w:sz w:val="22"/>
          <w:szCs w:val="22"/>
        </w:rPr>
        <w:t>s Section 255 rules cover, among other things, telephone calls, call waiting, speed dialing, cal</w:t>
      </w:r>
      <w:r w:rsidRPr="006C02D7">
        <w:rPr>
          <w:sz w:val="22"/>
          <w:szCs w:val="22"/>
        </w:rPr>
        <w:t>l forwarding, computer-provided directory assistance, call monitoring, caller identification, call tracing, and repeat dialing.</w:t>
      </w:r>
      <w:r w:rsidRPr="008D556C">
        <w:rPr>
          <w:sz w:val="22"/>
          <w:szCs w:val="22"/>
          <w:vertAlign w:val="superscript"/>
        </w:rPr>
        <w:footnoteReference w:id="29"/>
      </w:r>
      <w:r w:rsidRPr="008D556C">
        <w:rPr>
          <w:sz w:val="22"/>
          <w:szCs w:val="22"/>
        </w:rPr>
        <w:t xml:space="preserve">  Equipment covered under Section 255 includes, but is not limited to, telecommunications equipment and CPE, such as wireline, c</w:t>
      </w:r>
      <w:r w:rsidRPr="003511DC">
        <w:rPr>
          <w:sz w:val="22"/>
          <w:szCs w:val="22"/>
        </w:rPr>
        <w:t>ordless, and w</w:t>
      </w:r>
      <w:r w:rsidRPr="00BF0859">
        <w:rPr>
          <w:sz w:val="22"/>
          <w:szCs w:val="22"/>
        </w:rPr>
        <w:t>ireless telephones, fax machines, and answering machines.</w:t>
      </w:r>
      <w:r w:rsidRPr="008D556C">
        <w:rPr>
          <w:sz w:val="22"/>
          <w:szCs w:val="22"/>
          <w:vertAlign w:val="superscript"/>
        </w:rPr>
        <w:footnoteReference w:id="30"/>
      </w:r>
      <w:r w:rsidRPr="008D556C">
        <w:rPr>
          <w:sz w:val="22"/>
          <w:szCs w:val="22"/>
        </w:rPr>
        <w:t xml:space="preserve">  In addition, the rules implementing Section 255 cover voice mail and interactive voice response systems (phone systems that provide callers with menus of choices).</w:t>
      </w:r>
      <w:r w:rsidRPr="008D556C">
        <w:rPr>
          <w:sz w:val="22"/>
          <w:szCs w:val="22"/>
          <w:vertAlign w:val="superscript"/>
        </w:rPr>
        <w:footnoteReference w:id="31"/>
      </w:r>
      <w:r w:rsidRPr="008D556C">
        <w:rPr>
          <w:sz w:val="22"/>
          <w:szCs w:val="22"/>
        </w:rPr>
        <w:t xml:space="preserve">  In 2007, the Commission adopte</w:t>
      </w:r>
      <w:r w:rsidRPr="003511DC">
        <w:rPr>
          <w:sz w:val="22"/>
          <w:szCs w:val="22"/>
        </w:rPr>
        <w:t>d rules extending Section 255</w:t>
      </w:r>
      <w:r w:rsidR="003308A5" w:rsidRPr="00BF0859">
        <w:rPr>
          <w:sz w:val="22"/>
          <w:szCs w:val="22"/>
        </w:rPr>
        <w:t>’</w:t>
      </w:r>
      <w:r w:rsidRPr="00FF1FD9">
        <w:rPr>
          <w:sz w:val="22"/>
          <w:szCs w:val="22"/>
        </w:rPr>
        <w:t>s accessibility obligations to interconnected voice over Internet protocol (VoIP) service providers and interconnected VoIP equipment manufacturers.</w:t>
      </w:r>
      <w:r w:rsidRPr="008D556C">
        <w:rPr>
          <w:sz w:val="22"/>
          <w:szCs w:val="22"/>
          <w:vertAlign w:val="superscript"/>
        </w:rPr>
        <w:footnoteReference w:id="32"/>
      </w:r>
    </w:p>
    <w:p w:rsidR="00432F0F" w:rsidRPr="003511DC" w:rsidRDefault="00432F0F" w:rsidP="00476E6F">
      <w:pPr>
        <w:suppressLineNumbers/>
        <w:suppressAutoHyphens/>
        <w:rPr>
          <w:sz w:val="22"/>
          <w:szCs w:val="22"/>
        </w:rPr>
      </w:pPr>
    </w:p>
    <w:p w:rsidR="00432F0F" w:rsidRPr="00FF1FD9" w:rsidRDefault="00432F0F" w:rsidP="00476E6F">
      <w:pPr>
        <w:suppressLineNumbers/>
        <w:suppressAutoHyphens/>
        <w:ind w:left="1440"/>
        <w:rPr>
          <w:b/>
          <w:sz w:val="22"/>
          <w:szCs w:val="22"/>
        </w:rPr>
      </w:pPr>
      <w:r w:rsidRPr="00BF0859">
        <w:rPr>
          <w:b/>
          <w:sz w:val="22"/>
          <w:szCs w:val="22"/>
        </w:rPr>
        <w:t>2.</w:t>
      </w:r>
      <w:r w:rsidRPr="00BF0859">
        <w:rPr>
          <w:b/>
          <w:sz w:val="22"/>
          <w:szCs w:val="22"/>
        </w:rPr>
        <w:tab/>
        <w:t>Section</w:t>
      </w:r>
      <w:r w:rsidR="00FF0EAC" w:rsidRPr="00FF1FD9">
        <w:rPr>
          <w:b/>
          <w:sz w:val="22"/>
          <w:szCs w:val="22"/>
        </w:rPr>
        <w:t>s</w:t>
      </w:r>
      <w:r w:rsidRPr="00FF1FD9">
        <w:rPr>
          <w:b/>
          <w:sz w:val="22"/>
          <w:szCs w:val="22"/>
        </w:rPr>
        <w:t xml:space="preserve"> 716</w:t>
      </w:r>
      <w:r w:rsidR="00FF0EAC" w:rsidRPr="00FF1FD9">
        <w:rPr>
          <w:b/>
          <w:sz w:val="22"/>
          <w:szCs w:val="22"/>
        </w:rPr>
        <w:t xml:space="preserve"> and 717</w:t>
      </w:r>
    </w:p>
    <w:p w:rsidR="00432F0F" w:rsidRPr="006C02D7" w:rsidRDefault="00432F0F" w:rsidP="00476E6F">
      <w:pPr>
        <w:pStyle w:val="Heading3"/>
        <w:numPr>
          <w:ilvl w:val="0"/>
          <w:numId w:val="0"/>
        </w:numPr>
        <w:suppressLineNumbers/>
        <w:suppressAutoHyphens/>
        <w:spacing w:before="0" w:beforeAutospacing="0" w:after="0" w:afterAutospacing="0"/>
      </w:pPr>
    </w:p>
    <w:p w:rsidR="00432F0F" w:rsidRPr="008D556C" w:rsidRDefault="00FF0EAC" w:rsidP="00476E6F">
      <w:pPr>
        <w:numPr>
          <w:ilvl w:val="0"/>
          <w:numId w:val="2"/>
        </w:numPr>
        <w:tabs>
          <w:tab w:val="num" w:pos="1440"/>
        </w:tabs>
        <w:ind w:left="0" w:firstLine="720"/>
        <w:rPr>
          <w:sz w:val="22"/>
          <w:szCs w:val="22"/>
        </w:rPr>
      </w:pPr>
      <w:r w:rsidRPr="009C79E5">
        <w:rPr>
          <w:sz w:val="22"/>
          <w:szCs w:val="22"/>
        </w:rPr>
        <w:t xml:space="preserve">Section 716 of the Act requires providers of advanced communications services and manufacturers of equipment used for advanced communications services to ensure that their services and equipment are accessible to and usable by individuals with disabilities, unless doing so is not achievable (defined as </w:t>
      </w:r>
      <w:r w:rsidR="003308A5" w:rsidRPr="009C79E5">
        <w:rPr>
          <w:sz w:val="22"/>
          <w:szCs w:val="22"/>
        </w:rPr>
        <w:t>“</w:t>
      </w:r>
      <w:r w:rsidRPr="009C79E5">
        <w:rPr>
          <w:sz w:val="22"/>
          <w:szCs w:val="22"/>
        </w:rPr>
        <w:t>with reasonable effort or expense</w:t>
      </w:r>
      <w:r w:rsidR="003308A5" w:rsidRPr="009C79E5">
        <w:rPr>
          <w:sz w:val="22"/>
          <w:szCs w:val="22"/>
        </w:rPr>
        <w:t>”</w:t>
      </w:r>
      <w:r w:rsidRPr="009C79E5">
        <w:rPr>
          <w:sz w:val="22"/>
          <w:szCs w:val="22"/>
        </w:rPr>
        <w:t>).</w:t>
      </w:r>
      <w:r w:rsidRPr="008D556C">
        <w:rPr>
          <w:rStyle w:val="FootnoteReference"/>
          <w:sz w:val="22"/>
          <w:szCs w:val="22"/>
        </w:rPr>
        <w:footnoteReference w:id="33"/>
      </w:r>
      <w:r w:rsidRPr="008D556C">
        <w:rPr>
          <w:sz w:val="22"/>
          <w:szCs w:val="22"/>
        </w:rPr>
        <w:t xml:space="preserve">  </w:t>
      </w:r>
      <w:r w:rsidR="003308A5" w:rsidRPr="008D556C">
        <w:rPr>
          <w:sz w:val="22"/>
          <w:szCs w:val="22"/>
        </w:rPr>
        <w:t>“</w:t>
      </w:r>
      <w:r w:rsidRPr="003511DC">
        <w:rPr>
          <w:sz w:val="22"/>
          <w:szCs w:val="22"/>
        </w:rPr>
        <w:t>Advanced communications services</w:t>
      </w:r>
      <w:r w:rsidR="003308A5" w:rsidRPr="00BF0859">
        <w:rPr>
          <w:sz w:val="22"/>
          <w:szCs w:val="22"/>
        </w:rPr>
        <w:t>”</w:t>
      </w:r>
      <w:r w:rsidRPr="00FF1FD9">
        <w:rPr>
          <w:sz w:val="22"/>
          <w:szCs w:val="22"/>
        </w:rPr>
        <w:t xml:space="preserve"> include:  (1) interconnected VoIP service; (2) non-interconnected VoIP service; (3) electronic messaging service; and (4) interoperable video conferencing service.</w:t>
      </w:r>
      <w:r w:rsidRPr="008D556C">
        <w:rPr>
          <w:rStyle w:val="FootnoteReference"/>
          <w:sz w:val="22"/>
          <w:szCs w:val="22"/>
        </w:rPr>
        <w:footnoteReference w:id="34"/>
      </w:r>
      <w:r w:rsidRPr="008D556C">
        <w:rPr>
          <w:sz w:val="22"/>
          <w:szCs w:val="22"/>
        </w:rPr>
        <w:t xml:space="preserve">  In contrast to in</w:t>
      </w:r>
      <w:r w:rsidRPr="003511DC">
        <w:rPr>
          <w:sz w:val="22"/>
          <w:szCs w:val="22"/>
        </w:rPr>
        <w:t>terconnected VoIP services, which enable people to make and receive calls to and from the public switched telephone network (PSTN), non-interconnected VoIP services include services that enable real-time voice communications either to or from</w:t>
      </w:r>
      <w:r w:rsidRPr="00BF0859">
        <w:rPr>
          <w:sz w:val="22"/>
          <w:szCs w:val="22"/>
        </w:rPr>
        <w:t xml:space="preserve"> the PSTN (but not both) or which neither begin nor end on the PSTN at all.</w:t>
      </w:r>
      <w:r w:rsidRPr="008D556C">
        <w:rPr>
          <w:rStyle w:val="FootnoteReference"/>
          <w:sz w:val="22"/>
          <w:szCs w:val="22"/>
        </w:rPr>
        <w:footnoteReference w:id="35"/>
      </w:r>
      <w:r w:rsidRPr="008D556C">
        <w:rPr>
          <w:sz w:val="22"/>
          <w:szCs w:val="22"/>
        </w:rPr>
        <w:t xml:space="preserve">  Electronic messaging services include services such as e-mail, short message service (SMS) text messaging, and instant messaging, which enable real-time or near real-time text me</w:t>
      </w:r>
      <w:r w:rsidRPr="003511DC">
        <w:rPr>
          <w:sz w:val="22"/>
          <w:szCs w:val="22"/>
        </w:rPr>
        <w:t>ssages between</w:t>
      </w:r>
      <w:r w:rsidRPr="00BF0859">
        <w:rPr>
          <w:sz w:val="22"/>
          <w:szCs w:val="22"/>
        </w:rPr>
        <w:t xml:space="preserve"> individuals over communications networks.</w:t>
      </w:r>
      <w:r w:rsidRPr="008D556C">
        <w:rPr>
          <w:rStyle w:val="FootnoteReference"/>
          <w:sz w:val="22"/>
          <w:szCs w:val="22"/>
        </w:rPr>
        <w:footnoteReference w:id="36"/>
      </w:r>
      <w:r w:rsidRPr="008D556C">
        <w:rPr>
          <w:sz w:val="22"/>
          <w:szCs w:val="22"/>
        </w:rPr>
        <w:t xml:space="preserve">  Interoperable video conferencing services provide real-time video communications, including audio, to enable users to share information.</w:t>
      </w:r>
      <w:r w:rsidRPr="008D556C">
        <w:rPr>
          <w:rStyle w:val="FootnoteReference"/>
          <w:sz w:val="22"/>
          <w:szCs w:val="22"/>
        </w:rPr>
        <w:footnoteReference w:id="37"/>
      </w:r>
      <w:r w:rsidRPr="008D556C">
        <w:rPr>
          <w:sz w:val="22"/>
          <w:szCs w:val="22"/>
        </w:rPr>
        <w:t xml:space="preserve">  </w:t>
      </w:r>
    </w:p>
    <w:p w:rsidR="00014913" w:rsidRPr="003511DC" w:rsidRDefault="00014913" w:rsidP="00476E6F">
      <w:pPr>
        <w:tabs>
          <w:tab w:val="num" w:pos="1440"/>
        </w:tabs>
        <w:ind w:left="720"/>
        <w:rPr>
          <w:sz w:val="22"/>
          <w:szCs w:val="22"/>
        </w:rPr>
      </w:pPr>
    </w:p>
    <w:p w:rsidR="00FF0EAC" w:rsidRPr="008D556C" w:rsidRDefault="00FF0EAC" w:rsidP="00476E6F">
      <w:pPr>
        <w:numPr>
          <w:ilvl w:val="0"/>
          <w:numId w:val="2"/>
        </w:numPr>
        <w:tabs>
          <w:tab w:val="num" w:pos="1440"/>
        </w:tabs>
        <w:ind w:left="0" w:firstLine="720"/>
        <w:rPr>
          <w:sz w:val="22"/>
          <w:szCs w:val="22"/>
        </w:rPr>
      </w:pPr>
      <w:r w:rsidRPr="00BF0859">
        <w:rPr>
          <w:sz w:val="22"/>
          <w:szCs w:val="22"/>
        </w:rPr>
        <w:t>The accessibility requirements for section 716 may be sa</w:t>
      </w:r>
      <w:r w:rsidRPr="00FF1FD9">
        <w:rPr>
          <w:sz w:val="22"/>
          <w:szCs w:val="22"/>
        </w:rPr>
        <w:t>tisfied by:  (1) building accessibility into the service or equipment;</w:t>
      </w:r>
      <w:r w:rsidRPr="008D556C">
        <w:rPr>
          <w:rStyle w:val="FootnoteReference"/>
          <w:sz w:val="22"/>
          <w:szCs w:val="22"/>
        </w:rPr>
        <w:footnoteReference w:id="38"/>
      </w:r>
      <w:r w:rsidRPr="008D556C">
        <w:rPr>
          <w:sz w:val="22"/>
          <w:szCs w:val="22"/>
        </w:rPr>
        <w:t xml:space="preserve"> or (2) using third-party applications, peripheral devices, software, hardware, or CPE that is available to consumers at nominal cost and that individuals with disabilities can access.</w:t>
      </w:r>
      <w:r w:rsidRPr="008D556C">
        <w:rPr>
          <w:rStyle w:val="FootnoteReference"/>
          <w:sz w:val="22"/>
          <w:szCs w:val="22"/>
        </w:rPr>
        <w:footnoteReference w:id="39"/>
      </w:r>
      <w:r w:rsidRPr="008D556C">
        <w:rPr>
          <w:sz w:val="22"/>
          <w:szCs w:val="22"/>
        </w:rPr>
        <w:t xml:space="preserve">  When ensuring accessibility through either of those options is not achievable, covered entities must ensure that their services and equipment are compatible with existing peripheral devices or specialized CPE commonly used by individuals with disabilitie</w:t>
      </w:r>
      <w:r w:rsidRPr="003511DC">
        <w:rPr>
          <w:sz w:val="22"/>
          <w:szCs w:val="22"/>
        </w:rPr>
        <w:t>s to achieve access, unless that is not achievable.</w:t>
      </w:r>
      <w:r w:rsidRPr="008D556C">
        <w:rPr>
          <w:rStyle w:val="FootnoteReference"/>
          <w:sz w:val="22"/>
          <w:szCs w:val="22"/>
        </w:rPr>
        <w:footnoteReference w:id="40"/>
      </w:r>
      <w:r w:rsidRPr="008D556C">
        <w:rPr>
          <w:rStyle w:val="FootnoteReference"/>
          <w:sz w:val="22"/>
          <w:szCs w:val="22"/>
        </w:rPr>
        <w:t xml:space="preserve"> </w:t>
      </w:r>
      <w:r w:rsidRPr="008D556C">
        <w:rPr>
          <w:sz w:val="22"/>
          <w:szCs w:val="22"/>
        </w:rPr>
        <w:t xml:space="preserve"> </w:t>
      </w:r>
    </w:p>
    <w:p w:rsidR="007417C8" w:rsidRPr="003511DC" w:rsidRDefault="007417C8" w:rsidP="00476E6F">
      <w:pPr>
        <w:tabs>
          <w:tab w:val="num" w:pos="1440"/>
        </w:tabs>
        <w:ind w:left="720"/>
        <w:rPr>
          <w:sz w:val="22"/>
          <w:szCs w:val="22"/>
        </w:rPr>
      </w:pPr>
    </w:p>
    <w:p w:rsidR="007417C8" w:rsidRPr="008D556C" w:rsidRDefault="00D92A01" w:rsidP="00476E6F">
      <w:pPr>
        <w:numPr>
          <w:ilvl w:val="0"/>
          <w:numId w:val="2"/>
        </w:numPr>
        <w:tabs>
          <w:tab w:val="num" w:pos="1440"/>
        </w:tabs>
        <w:ind w:left="0" w:firstLine="720"/>
        <w:rPr>
          <w:sz w:val="22"/>
          <w:szCs w:val="22"/>
        </w:rPr>
      </w:pPr>
      <w:r w:rsidRPr="00BF0859">
        <w:rPr>
          <w:sz w:val="22"/>
          <w:szCs w:val="22"/>
        </w:rPr>
        <w:t>Section 717</w:t>
      </w:r>
      <w:r w:rsidR="00805254" w:rsidRPr="00FF1FD9">
        <w:rPr>
          <w:sz w:val="22"/>
          <w:szCs w:val="22"/>
        </w:rPr>
        <w:t xml:space="preserve"> of the Act</w:t>
      </w:r>
      <w:r w:rsidRPr="00FF1FD9">
        <w:rPr>
          <w:sz w:val="22"/>
          <w:szCs w:val="22"/>
        </w:rPr>
        <w:t xml:space="preserve"> requires the Commission to establish recordkeeping </w:t>
      </w:r>
      <w:r w:rsidR="00805254" w:rsidRPr="00FF1FD9">
        <w:rPr>
          <w:sz w:val="22"/>
          <w:szCs w:val="22"/>
        </w:rPr>
        <w:t>requirements</w:t>
      </w:r>
      <w:r w:rsidRPr="00FF1FD9">
        <w:rPr>
          <w:sz w:val="22"/>
          <w:szCs w:val="22"/>
        </w:rPr>
        <w:t xml:space="preserve"> for service providers and equipment manufacturers that are subject to Sections 255, 716, and 718</w:t>
      </w:r>
      <w:r w:rsidR="00805254" w:rsidRPr="006C02D7">
        <w:rPr>
          <w:sz w:val="22"/>
          <w:szCs w:val="22"/>
        </w:rPr>
        <w:t xml:space="preserve"> of the Act, and </w:t>
      </w:r>
      <w:r w:rsidR="00805254" w:rsidRPr="009C79E5">
        <w:rPr>
          <w:sz w:val="22"/>
          <w:szCs w:val="22"/>
        </w:rPr>
        <w:t>procedures that facilitate the filing of complaints that allege a violation of Section 255, 716, or 718</w:t>
      </w:r>
      <w:r w:rsidRPr="009C79E5">
        <w:rPr>
          <w:sz w:val="22"/>
          <w:szCs w:val="22"/>
        </w:rPr>
        <w:t>.</w:t>
      </w:r>
      <w:r w:rsidRPr="008D556C">
        <w:rPr>
          <w:rStyle w:val="FootnoteReference"/>
          <w:sz w:val="22"/>
          <w:szCs w:val="22"/>
        </w:rPr>
        <w:footnoteReference w:id="41"/>
      </w:r>
      <w:r w:rsidR="00805254" w:rsidRPr="008D556C">
        <w:rPr>
          <w:sz w:val="22"/>
          <w:szCs w:val="22"/>
        </w:rPr>
        <w:t xml:space="preserve">  Specifically, covered entities must keep records of their efforts to implement Sections 255, 716, and 718, including information about their efforts </w:t>
      </w:r>
      <w:r w:rsidR="00805254" w:rsidRPr="003511DC">
        <w:rPr>
          <w:sz w:val="22"/>
          <w:szCs w:val="22"/>
        </w:rPr>
        <w:t>to consult wit</w:t>
      </w:r>
      <w:r w:rsidR="00805254" w:rsidRPr="00BF0859">
        <w:rPr>
          <w:sz w:val="22"/>
          <w:szCs w:val="22"/>
        </w:rPr>
        <w:t>h people with disabilities, descriptions of the accessibility features of their products and services, and information about the compatibility of these products and services with peripheral devices or specialized CPE commonly used by people w</w:t>
      </w:r>
      <w:r w:rsidR="00805254" w:rsidRPr="006C02D7">
        <w:rPr>
          <w:sz w:val="22"/>
          <w:szCs w:val="22"/>
        </w:rPr>
        <w:t>ith disabilities to achieve access.</w:t>
      </w:r>
      <w:r w:rsidR="00805254" w:rsidRPr="008D556C">
        <w:rPr>
          <w:rStyle w:val="FootnoteReference"/>
          <w:sz w:val="22"/>
          <w:szCs w:val="22"/>
        </w:rPr>
        <w:footnoteReference w:id="42"/>
      </w:r>
      <w:r w:rsidR="00805254" w:rsidRPr="008D556C">
        <w:rPr>
          <w:sz w:val="22"/>
          <w:szCs w:val="22"/>
        </w:rPr>
        <w:t xml:space="preserve">  The Commission may </w:t>
      </w:r>
      <w:r w:rsidR="00571F1D" w:rsidRPr="008D556C">
        <w:rPr>
          <w:sz w:val="22"/>
          <w:szCs w:val="22"/>
        </w:rPr>
        <w:t>request a copy of those records that are directly relevant to the equipment or service that is the subject of a complaint against a manufacturer or provider.</w:t>
      </w:r>
      <w:r w:rsidR="00571F1D" w:rsidRPr="008D556C">
        <w:rPr>
          <w:rStyle w:val="FootnoteReference"/>
          <w:sz w:val="22"/>
          <w:szCs w:val="22"/>
        </w:rPr>
        <w:footnoteReference w:id="43"/>
      </w:r>
      <w:r w:rsidR="00805254" w:rsidRPr="008D556C">
        <w:rPr>
          <w:sz w:val="22"/>
          <w:szCs w:val="22"/>
        </w:rPr>
        <w:t xml:space="preserve"> </w:t>
      </w:r>
      <w:r w:rsidR="00571F1D" w:rsidRPr="008D556C">
        <w:rPr>
          <w:sz w:val="22"/>
          <w:szCs w:val="22"/>
        </w:rPr>
        <w:t xml:space="preserve"> Covered entities must certify annually </w:t>
      </w:r>
      <w:r w:rsidR="00571F1D" w:rsidRPr="003511DC">
        <w:rPr>
          <w:sz w:val="22"/>
          <w:szCs w:val="22"/>
        </w:rPr>
        <w:t>to the Commission that they have kept records pertaining to the accessibility of their products.</w:t>
      </w:r>
      <w:r w:rsidR="00571F1D" w:rsidRPr="008D556C">
        <w:rPr>
          <w:rStyle w:val="FootnoteReference"/>
          <w:sz w:val="22"/>
          <w:szCs w:val="22"/>
        </w:rPr>
        <w:footnoteReference w:id="44"/>
      </w:r>
      <w:r w:rsidR="00571F1D" w:rsidRPr="008D556C">
        <w:rPr>
          <w:sz w:val="22"/>
          <w:szCs w:val="22"/>
        </w:rPr>
        <w:t xml:space="preserve">  </w:t>
      </w:r>
    </w:p>
    <w:p w:rsidR="00432F0F" w:rsidRPr="003511DC" w:rsidRDefault="00432F0F" w:rsidP="00476E6F">
      <w:pPr>
        <w:suppressLineNumbers/>
        <w:suppressAutoHyphens/>
        <w:rPr>
          <w:sz w:val="22"/>
          <w:szCs w:val="22"/>
        </w:rPr>
      </w:pPr>
    </w:p>
    <w:p w:rsidR="00FF0EAC" w:rsidRPr="008D556C" w:rsidRDefault="00FF0EAC" w:rsidP="00476E6F">
      <w:pPr>
        <w:numPr>
          <w:ilvl w:val="0"/>
          <w:numId w:val="2"/>
        </w:numPr>
        <w:tabs>
          <w:tab w:val="clear" w:pos="720"/>
          <w:tab w:val="num" w:pos="1440"/>
        </w:tabs>
        <w:ind w:left="0" w:firstLine="720"/>
        <w:rPr>
          <w:sz w:val="22"/>
          <w:szCs w:val="22"/>
        </w:rPr>
      </w:pPr>
      <w:r w:rsidRPr="00BF0859">
        <w:rPr>
          <w:sz w:val="22"/>
          <w:szCs w:val="22"/>
        </w:rPr>
        <w:t>On October 7, 2011, the Commission released a report and order adopting rules to implement Sections 716 and 717 of the Act.</w:t>
      </w:r>
      <w:r w:rsidRPr="008D556C">
        <w:rPr>
          <w:rStyle w:val="FootnoteReference"/>
          <w:sz w:val="22"/>
          <w:szCs w:val="22"/>
        </w:rPr>
        <w:footnoteReference w:id="45"/>
      </w:r>
      <w:r w:rsidRPr="008D556C">
        <w:rPr>
          <w:sz w:val="22"/>
          <w:szCs w:val="22"/>
        </w:rPr>
        <w:t xml:space="preserve">  These rules directed covered manufacturers </w:t>
      </w:r>
      <w:r w:rsidRPr="003511DC">
        <w:rPr>
          <w:sz w:val="22"/>
          <w:szCs w:val="22"/>
        </w:rPr>
        <w:t>and service providers to begin taking accessibility into account in the design of their products and services as of January 30, 2012.</w:t>
      </w:r>
      <w:r w:rsidRPr="008D556C">
        <w:rPr>
          <w:sz w:val="22"/>
          <w:szCs w:val="22"/>
          <w:vertAlign w:val="superscript"/>
        </w:rPr>
        <w:footnoteReference w:id="46"/>
      </w:r>
      <w:r w:rsidRPr="008D556C">
        <w:rPr>
          <w:sz w:val="22"/>
          <w:szCs w:val="22"/>
        </w:rPr>
        <w:t xml:space="preserve">  Since January 30, 2013, these entities also </w:t>
      </w:r>
      <w:r w:rsidR="0041681E" w:rsidRPr="008D556C">
        <w:rPr>
          <w:sz w:val="22"/>
          <w:szCs w:val="22"/>
        </w:rPr>
        <w:t>must</w:t>
      </w:r>
      <w:r w:rsidRPr="003511DC">
        <w:rPr>
          <w:sz w:val="22"/>
          <w:szCs w:val="22"/>
        </w:rPr>
        <w:t xml:space="preserve"> comply with Section 717</w:t>
      </w:r>
      <w:r w:rsidR="003308A5" w:rsidRPr="00BF0859">
        <w:rPr>
          <w:sz w:val="22"/>
          <w:szCs w:val="22"/>
        </w:rPr>
        <w:t>’</w:t>
      </w:r>
      <w:r w:rsidRPr="00FF1FD9">
        <w:rPr>
          <w:sz w:val="22"/>
          <w:szCs w:val="22"/>
        </w:rPr>
        <w:t>s recordkeeping requirements pert</w:t>
      </w:r>
      <w:r w:rsidRPr="006C02D7">
        <w:rPr>
          <w:sz w:val="22"/>
          <w:szCs w:val="22"/>
        </w:rPr>
        <w:t>aining to the accessibility of their products and services.</w:t>
      </w:r>
      <w:r w:rsidRPr="008D556C">
        <w:rPr>
          <w:sz w:val="22"/>
          <w:szCs w:val="22"/>
          <w:vertAlign w:val="superscript"/>
        </w:rPr>
        <w:footnoteReference w:id="47"/>
      </w:r>
      <w:r w:rsidRPr="008D556C">
        <w:rPr>
          <w:sz w:val="22"/>
          <w:szCs w:val="22"/>
        </w:rPr>
        <w:t xml:space="preserve">  Beginning October 8, 2013, covered entities </w:t>
      </w:r>
      <w:r w:rsidR="0041681E" w:rsidRPr="003511DC">
        <w:rPr>
          <w:sz w:val="22"/>
          <w:szCs w:val="22"/>
        </w:rPr>
        <w:t>must</w:t>
      </w:r>
      <w:r w:rsidRPr="00BF0859">
        <w:rPr>
          <w:sz w:val="22"/>
          <w:szCs w:val="22"/>
        </w:rPr>
        <w:t xml:space="preserve"> fully implement Section 716 by making the products and services they introduce in the marketplace (or that are substantially upgraded) accessible</w:t>
      </w:r>
      <w:r w:rsidRPr="006C02D7">
        <w:rPr>
          <w:sz w:val="22"/>
          <w:szCs w:val="22"/>
        </w:rPr>
        <w:t xml:space="preserve"> to and usable by individuals with disabilities, or compatible with assistive technology, unless not achievable, in accordance with the Commission</w:t>
      </w:r>
      <w:r w:rsidR="003308A5" w:rsidRPr="009C79E5">
        <w:rPr>
          <w:sz w:val="22"/>
          <w:szCs w:val="22"/>
        </w:rPr>
        <w:t>’</w:t>
      </w:r>
      <w:r w:rsidRPr="009C79E5">
        <w:rPr>
          <w:sz w:val="22"/>
          <w:szCs w:val="22"/>
        </w:rPr>
        <w:t>s rules.</w:t>
      </w:r>
      <w:r w:rsidRPr="008D556C">
        <w:rPr>
          <w:rStyle w:val="FootnoteReference"/>
          <w:sz w:val="22"/>
          <w:szCs w:val="22"/>
        </w:rPr>
        <w:footnoteReference w:id="48"/>
      </w:r>
      <w:r w:rsidRPr="008D556C">
        <w:rPr>
          <w:sz w:val="22"/>
          <w:szCs w:val="22"/>
        </w:rPr>
        <w:t xml:space="preserve">  Finally, the associated complaint procedures established pursuant to Section 717 of the Act became</w:t>
      </w:r>
      <w:r w:rsidRPr="003511DC">
        <w:rPr>
          <w:sz w:val="22"/>
          <w:szCs w:val="22"/>
        </w:rPr>
        <w:t xml:space="preserve"> available to </w:t>
      </w:r>
      <w:r w:rsidRPr="00BF0859">
        <w:rPr>
          <w:sz w:val="22"/>
          <w:szCs w:val="22"/>
        </w:rPr>
        <w:t>consumers on October 8, 2013.</w:t>
      </w:r>
      <w:r w:rsidRPr="008D556C">
        <w:rPr>
          <w:rStyle w:val="FootnoteReference"/>
          <w:sz w:val="22"/>
          <w:szCs w:val="22"/>
        </w:rPr>
        <w:footnoteReference w:id="49"/>
      </w:r>
    </w:p>
    <w:p w:rsidR="00FF0EAC" w:rsidRPr="003511DC" w:rsidRDefault="00FF0EAC" w:rsidP="00476E6F">
      <w:pPr>
        <w:suppressAutoHyphens/>
        <w:rPr>
          <w:sz w:val="22"/>
          <w:szCs w:val="22"/>
        </w:rPr>
      </w:pPr>
    </w:p>
    <w:p w:rsidR="00432F0F" w:rsidRPr="00BF0859" w:rsidRDefault="00432F0F" w:rsidP="00476E6F">
      <w:pPr>
        <w:suppressLineNumbers/>
        <w:suppressAutoHyphens/>
        <w:ind w:left="1440"/>
        <w:rPr>
          <w:b/>
          <w:sz w:val="22"/>
          <w:szCs w:val="22"/>
        </w:rPr>
      </w:pPr>
      <w:r w:rsidRPr="00BF0859">
        <w:rPr>
          <w:b/>
          <w:sz w:val="22"/>
          <w:szCs w:val="22"/>
        </w:rPr>
        <w:t>3.</w:t>
      </w:r>
      <w:r w:rsidRPr="00BF0859">
        <w:rPr>
          <w:b/>
          <w:sz w:val="22"/>
          <w:szCs w:val="22"/>
        </w:rPr>
        <w:tab/>
        <w:t>Section 718</w:t>
      </w:r>
    </w:p>
    <w:p w:rsidR="00432F0F" w:rsidRPr="006C02D7" w:rsidRDefault="00432F0F" w:rsidP="00476E6F">
      <w:pPr>
        <w:pStyle w:val="Heading3"/>
        <w:numPr>
          <w:ilvl w:val="0"/>
          <w:numId w:val="0"/>
        </w:numPr>
        <w:suppressLineNumbers/>
        <w:suppressAutoHyphens/>
        <w:spacing w:before="0" w:beforeAutospacing="0" w:after="0" w:afterAutospacing="0"/>
      </w:pPr>
    </w:p>
    <w:p w:rsidR="00FF0EAC" w:rsidRPr="008D556C" w:rsidRDefault="00FF0EAC" w:rsidP="00476E6F">
      <w:pPr>
        <w:numPr>
          <w:ilvl w:val="0"/>
          <w:numId w:val="2"/>
        </w:numPr>
        <w:tabs>
          <w:tab w:val="clear" w:pos="720"/>
          <w:tab w:val="num" w:pos="1440"/>
        </w:tabs>
        <w:ind w:left="0" w:firstLine="720"/>
        <w:rPr>
          <w:sz w:val="22"/>
          <w:szCs w:val="22"/>
        </w:rPr>
      </w:pPr>
      <w:r w:rsidRPr="009C79E5">
        <w:rPr>
          <w:sz w:val="22"/>
          <w:szCs w:val="22"/>
        </w:rPr>
        <w:t>Section 718 requires mobile phone service providers and manufacturers to make Internet browsers built into mobile phones accessible to and usable by people who are blind or have a visual impairment, unless doing so is not achievable.</w:t>
      </w:r>
      <w:r w:rsidRPr="008D556C">
        <w:rPr>
          <w:rStyle w:val="FootnoteReference"/>
          <w:sz w:val="22"/>
          <w:szCs w:val="22"/>
        </w:rPr>
        <w:footnoteReference w:id="50"/>
      </w:r>
      <w:r w:rsidRPr="008D556C">
        <w:rPr>
          <w:sz w:val="22"/>
          <w:szCs w:val="22"/>
        </w:rPr>
        <w:t xml:space="preserve">  This requirement may be satisfied with or without the use of third-party applications, peripheral devices, software, hardware, or CPE that is available to consumers at nominal cost and that individuals with disabil</w:t>
      </w:r>
      <w:r w:rsidRPr="003511DC">
        <w:rPr>
          <w:sz w:val="22"/>
          <w:szCs w:val="22"/>
        </w:rPr>
        <w:t>ities can acce</w:t>
      </w:r>
      <w:r w:rsidRPr="00BF0859">
        <w:rPr>
          <w:sz w:val="22"/>
          <w:szCs w:val="22"/>
        </w:rPr>
        <w:t>ss.</w:t>
      </w:r>
      <w:r w:rsidRPr="008D556C">
        <w:rPr>
          <w:rStyle w:val="FootnoteReference"/>
          <w:sz w:val="22"/>
          <w:szCs w:val="22"/>
        </w:rPr>
        <w:footnoteReference w:id="51"/>
      </w:r>
      <w:r w:rsidRPr="008D556C">
        <w:rPr>
          <w:sz w:val="22"/>
          <w:szCs w:val="22"/>
        </w:rPr>
        <w:t xml:space="preserve">  On April 26, 2013, the Commission adopted rules implementing Section 718, which require mobile phones with built-in Internet browsers manufactured on or after October 8, 2013, to comply with the Commission</w:t>
      </w:r>
      <w:r w:rsidR="003308A5" w:rsidRPr="003511DC">
        <w:rPr>
          <w:sz w:val="22"/>
          <w:szCs w:val="22"/>
        </w:rPr>
        <w:t>’</w:t>
      </w:r>
      <w:r w:rsidRPr="00BF0859">
        <w:rPr>
          <w:sz w:val="22"/>
          <w:szCs w:val="22"/>
        </w:rPr>
        <w:t>s accessibility requirements.</w:t>
      </w:r>
      <w:r w:rsidRPr="008D556C">
        <w:rPr>
          <w:sz w:val="22"/>
          <w:szCs w:val="22"/>
          <w:vertAlign w:val="superscript"/>
        </w:rPr>
        <w:footnoteReference w:id="52"/>
      </w:r>
    </w:p>
    <w:p w:rsidR="00432F0F" w:rsidRPr="003511DC" w:rsidRDefault="00432F0F" w:rsidP="00476E6F">
      <w:pPr>
        <w:suppressLineNumbers/>
        <w:suppressAutoHyphens/>
        <w:rPr>
          <w:sz w:val="22"/>
          <w:szCs w:val="22"/>
        </w:rPr>
      </w:pPr>
    </w:p>
    <w:p w:rsidR="00432F0F" w:rsidRPr="00FF1FD9" w:rsidRDefault="00644516" w:rsidP="00476E6F">
      <w:pPr>
        <w:suppressLineNumbers/>
        <w:suppressAutoHyphens/>
        <w:ind w:left="1440"/>
        <w:rPr>
          <w:b/>
          <w:sz w:val="22"/>
          <w:szCs w:val="22"/>
        </w:rPr>
      </w:pPr>
      <w:r w:rsidRPr="00BF0859">
        <w:rPr>
          <w:b/>
          <w:sz w:val="22"/>
          <w:szCs w:val="22"/>
        </w:rPr>
        <w:t>4.</w:t>
      </w:r>
      <w:r w:rsidRPr="00BF0859">
        <w:rPr>
          <w:b/>
          <w:sz w:val="22"/>
          <w:szCs w:val="22"/>
        </w:rPr>
        <w:tab/>
      </w:r>
      <w:r w:rsidR="00FF0EAC" w:rsidRPr="00FF1FD9">
        <w:rPr>
          <w:b/>
          <w:sz w:val="22"/>
          <w:szCs w:val="22"/>
        </w:rPr>
        <w:t xml:space="preserve">Scope of </w:t>
      </w:r>
      <w:r w:rsidR="002249EA" w:rsidRPr="00FF1FD9">
        <w:rPr>
          <w:b/>
          <w:sz w:val="22"/>
          <w:szCs w:val="22"/>
        </w:rPr>
        <w:t xml:space="preserve">this </w:t>
      </w:r>
      <w:r w:rsidR="00FF0EAC" w:rsidRPr="00FF1FD9">
        <w:rPr>
          <w:b/>
          <w:i/>
          <w:sz w:val="22"/>
          <w:szCs w:val="22"/>
        </w:rPr>
        <w:t>Report</w:t>
      </w:r>
    </w:p>
    <w:p w:rsidR="00432F0F" w:rsidRPr="006C02D7" w:rsidRDefault="00432F0F" w:rsidP="00476E6F">
      <w:pPr>
        <w:pStyle w:val="Heading3"/>
        <w:numPr>
          <w:ilvl w:val="0"/>
          <w:numId w:val="0"/>
        </w:numPr>
        <w:suppressLineNumbers/>
        <w:suppressAutoHyphens/>
        <w:spacing w:before="0" w:beforeAutospacing="0" w:after="0" w:afterAutospacing="0"/>
      </w:pPr>
    </w:p>
    <w:p w:rsidR="00FF0EAC" w:rsidRPr="009C5E08" w:rsidRDefault="00FF0EAC" w:rsidP="00476E6F">
      <w:pPr>
        <w:numPr>
          <w:ilvl w:val="0"/>
          <w:numId w:val="2"/>
        </w:numPr>
        <w:tabs>
          <w:tab w:val="clear" w:pos="720"/>
          <w:tab w:val="num" w:pos="1440"/>
        </w:tabs>
        <w:ind w:left="0" w:firstLine="720"/>
        <w:rPr>
          <w:sz w:val="22"/>
          <w:szCs w:val="22"/>
        </w:rPr>
      </w:pPr>
      <w:r w:rsidRPr="009C79E5">
        <w:rPr>
          <w:sz w:val="22"/>
          <w:szCs w:val="22"/>
        </w:rPr>
        <w:t xml:space="preserve">The evaluation of compliance with Sections 255, 716, and 718 of the Act in this </w:t>
      </w:r>
      <w:r w:rsidRPr="009C79E5">
        <w:rPr>
          <w:i/>
          <w:sz w:val="22"/>
          <w:szCs w:val="22"/>
        </w:rPr>
        <w:t>Report</w:t>
      </w:r>
      <w:r w:rsidRPr="009C79E5">
        <w:rPr>
          <w:sz w:val="22"/>
          <w:szCs w:val="22"/>
        </w:rPr>
        <w:t xml:space="preserve"> is, of necessity, circumscribed by the time periods during which each of the rules described above were in effect.  For this </w:t>
      </w:r>
      <w:r w:rsidRPr="009C79E5">
        <w:rPr>
          <w:i/>
          <w:sz w:val="22"/>
          <w:szCs w:val="22"/>
        </w:rPr>
        <w:t>Report</w:t>
      </w:r>
      <w:r w:rsidRPr="009C79E5">
        <w:rPr>
          <w:sz w:val="22"/>
          <w:szCs w:val="22"/>
        </w:rPr>
        <w:t xml:space="preserve">, the Commission provides an assessment of industry compliance with the accessibility requirements of Section 255 since the submission of the </w:t>
      </w:r>
      <w:r w:rsidRPr="009C79E5">
        <w:rPr>
          <w:i/>
          <w:sz w:val="22"/>
          <w:szCs w:val="22"/>
        </w:rPr>
        <w:t>2012 CVAA Biennial Report</w:t>
      </w:r>
      <w:r w:rsidRPr="009C79E5">
        <w:rPr>
          <w:sz w:val="22"/>
          <w:szCs w:val="22"/>
        </w:rPr>
        <w:t xml:space="preserve"> and compliance with Sections 716 and 718 with respect to covered equipment and services that have been introduced into the marketplace or substantially upgraded on or after October 8, 2013.</w:t>
      </w:r>
      <w:r w:rsidRPr="008D556C">
        <w:rPr>
          <w:rStyle w:val="FootnoteReference"/>
          <w:sz w:val="22"/>
          <w:szCs w:val="22"/>
        </w:rPr>
        <w:footnoteReference w:id="53"/>
      </w:r>
      <w:r w:rsidRPr="008D556C">
        <w:rPr>
          <w:sz w:val="22"/>
          <w:szCs w:val="22"/>
        </w:rPr>
        <w:t xml:space="preserve">  This </w:t>
      </w:r>
      <w:r w:rsidRPr="003511DC">
        <w:rPr>
          <w:i/>
          <w:sz w:val="22"/>
          <w:szCs w:val="22"/>
        </w:rPr>
        <w:t>Report</w:t>
      </w:r>
      <w:r w:rsidRPr="00BF0859">
        <w:rPr>
          <w:sz w:val="22"/>
          <w:szCs w:val="22"/>
        </w:rPr>
        <w:t xml:space="preserve"> also addresses accessibility barriers that still exist with respect to new communications technologies.  Finally, this </w:t>
      </w:r>
      <w:r w:rsidRPr="006C02D7">
        <w:rPr>
          <w:i/>
          <w:sz w:val="22"/>
          <w:szCs w:val="22"/>
        </w:rPr>
        <w:t>Report</w:t>
      </w:r>
      <w:r w:rsidRPr="009C5E08">
        <w:rPr>
          <w:sz w:val="22"/>
          <w:szCs w:val="22"/>
        </w:rPr>
        <w:t xml:space="preserve"> considers the effect of the accessibility-related recordkeeping and enforcement requirements under Section 717 of the Act on the development and deployment of new communications technologies since these requirements became effective.</w:t>
      </w:r>
    </w:p>
    <w:p w:rsidR="00644516" w:rsidRPr="009C79E5" w:rsidRDefault="00644516" w:rsidP="00476E6F">
      <w:pPr>
        <w:ind w:left="720"/>
        <w:rPr>
          <w:sz w:val="22"/>
          <w:szCs w:val="22"/>
        </w:rPr>
      </w:pPr>
    </w:p>
    <w:p w:rsidR="00FF0EAC" w:rsidRPr="008D556C" w:rsidRDefault="00FF0EAC" w:rsidP="00476E6F">
      <w:pPr>
        <w:numPr>
          <w:ilvl w:val="0"/>
          <w:numId w:val="2"/>
        </w:numPr>
        <w:tabs>
          <w:tab w:val="clear" w:pos="720"/>
          <w:tab w:val="num" w:pos="1440"/>
        </w:tabs>
        <w:ind w:left="0" w:firstLine="720"/>
        <w:rPr>
          <w:sz w:val="22"/>
          <w:szCs w:val="22"/>
        </w:rPr>
      </w:pPr>
      <w:r w:rsidRPr="009C79E5">
        <w:rPr>
          <w:sz w:val="22"/>
          <w:szCs w:val="22"/>
        </w:rPr>
        <w:t>Pursuant to Section 255 of the Act, since 1999 and 2007, respectively, the Commission has had in place complaint procedures to ensure that telecommunications and interconnected VoIP services and equipment are accessible to and usable by individuals with disabilities.</w:t>
      </w:r>
      <w:r w:rsidRPr="008D556C">
        <w:rPr>
          <w:rStyle w:val="FootnoteReference"/>
          <w:sz w:val="22"/>
          <w:szCs w:val="22"/>
        </w:rPr>
        <w:footnoteReference w:id="54"/>
      </w:r>
      <w:r w:rsidRPr="008D556C">
        <w:rPr>
          <w:sz w:val="22"/>
          <w:szCs w:val="22"/>
        </w:rPr>
        <w:t xml:space="preserve">  Pursuant to Section 717 of the A</w:t>
      </w:r>
      <w:r w:rsidRPr="003511DC">
        <w:rPr>
          <w:sz w:val="22"/>
          <w:szCs w:val="22"/>
        </w:rPr>
        <w:t>ct, the Commis</w:t>
      </w:r>
      <w:r w:rsidRPr="00BF0859">
        <w:rPr>
          <w:sz w:val="22"/>
          <w:szCs w:val="22"/>
        </w:rPr>
        <w:t>sion established new procedures for complaints alleging violations of Sections 255, 716, or 718 of the Act.</w:t>
      </w:r>
      <w:r w:rsidRPr="008D556C">
        <w:rPr>
          <w:rStyle w:val="FootnoteReference"/>
          <w:sz w:val="22"/>
          <w:szCs w:val="22"/>
        </w:rPr>
        <w:footnoteReference w:id="55"/>
      </w:r>
      <w:r w:rsidRPr="008D556C">
        <w:rPr>
          <w:sz w:val="22"/>
          <w:szCs w:val="22"/>
        </w:rPr>
        <w:t xml:space="preserve">  The new complaint procedures became effective October 8, 2013.</w:t>
      </w:r>
      <w:r w:rsidRPr="008D556C">
        <w:rPr>
          <w:rStyle w:val="FootnoteReference"/>
          <w:sz w:val="22"/>
          <w:szCs w:val="22"/>
        </w:rPr>
        <w:footnoteReference w:id="56"/>
      </w:r>
      <w:r w:rsidRPr="008D556C">
        <w:rPr>
          <w:sz w:val="22"/>
          <w:szCs w:val="22"/>
        </w:rPr>
        <w:t xml:space="preserve">  As a result, for this </w:t>
      </w:r>
      <w:r w:rsidRPr="003511DC">
        <w:rPr>
          <w:i/>
          <w:sz w:val="22"/>
          <w:szCs w:val="22"/>
        </w:rPr>
        <w:t>Report</w:t>
      </w:r>
      <w:r w:rsidRPr="00BF0859">
        <w:rPr>
          <w:sz w:val="22"/>
          <w:szCs w:val="22"/>
        </w:rPr>
        <w:t>, CGB provide</w:t>
      </w:r>
      <w:r w:rsidR="00FC1D99" w:rsidRPr="00FF1FD9">
        <w:rPr>
          <w:sz w:val="22"/>
          <w:szCs w:val="22"/>
        </w:rPr>
        <w:t>s</w:t>
      </w:r>
      <w:r w:rsidRPr="00FF1FD9">
        <w:rPr>
          <w:sz w:val="22"/>
          <w:szCs w:val="22"/>
        </w:rPr>
        <w:t xml:space="preserve"> information about complaints alleging violations of Section 255 filed under the prior procedures for the period of January 1, 2012, through October 7, 2013, and about complaints alleging violations of Sections 255, 716, and 718 filed under the new procedures for the period of Oct</w:t>
      </w:r>
      <w:r w:rsidRPr="006C02D7">
        <w:rPr>
          <w:sz w:val="22"/>
          <w:szCs w:val="22"/>
        </w:rPr>
        <w:t>ober 8, 2013, through December 31, 2013.</w:t>
      </w:r>
      <w:r w:rsidRPr="008D556C">
        <w:rPr>
          <w:rStyle w:val="FootnoteReference"/>
          <w:sz w:val="22"/>
          <w:szCs w:val="22"/>
        </w:rPr>
        <w:footnoteReference w:id="57"/>
      </w:r>
    </w:p>
    <w:p w:rsidR="00432F0F" w:rsidRPr="003511DC" w:rsidRDefault="00432F0F" w:rsidP="00476E6F">
      <w:pPr>
        <w:suppressLineNumbers/>
        <w:suppressAutoHyphens/>
        <w:rPr>
          <w:sz w:val="22"/>
          <w:szCs w:val="22"/>
        </w:rPr>
      </w:pPr>
    </w:p>
    <w:p w:rsidR="00432F0F" w:rsidRPr="00BF0859" w:rsidRDefault="00432F0F" w:rsidP="00476E6F">
      <w:pPr>
        <w:pStyle w:val="Heading2"/>
        <w:keepNext w:val="0"/>
        <w:suppressLineNumbers/>
        <w:suppressAutoHyphens/>
      </w:pPr>
      <w:r w:rsidRPr="00BF0859">
        <w:t>B.</w:t>
      </w:r>
      <w:r w:rsidRPr="00BF0859">
        <w:tab/>
        <w:t>Compliance with Sections 255, 716, and 718</w:t>
      </w:r>
    </w:p>
    <w:p w:rsidR="00432F0F" w:rsidRPr="006C02D7" w:rsidRDefault="00432F0F" w:rsidP="00476E6F">
      <w:pPr>
        <w:suppressLineNumbers/>
        <w:suppressAutoHyphens/>
        <w:autoSpaceDE w:val="0"/>
        <w:autoSpaceDN w:val="0"/>
        <w:adjustRightInd w:val="0"/>
        <w:rPr>
          <w:sz w:val="22"/>
          <w:szCs w:val="22"/>
        </w:rPr>
      </w:pPr>
    </w:p>
    <w:p w:rsidR="00150E80" w:rsidRPr="009C79E5" w:rsidRDefault="00150E80" w:rsidP="00476E6F">
      <w:pPr>
        <w:numPr>
          <w:ilvl w:val="0"/>
          <w:numId w:val="2"/>
        </w:numPr>
        <w:tabs>
          <w:tab w:val="clear" w:pos="720"/>
          <w:tab w:val="num" w:pos="1440"/>
        </w:tabs>
        <w:ind w:left="0" w:firstLine="720"/>
        <w:rPr>
          <w:sz w:val="22"/>
          <w:szCs w:val="22"/>
        </w:rPr>
      </w:pPr>
      <w:r w:rsidRPr="009C79E5">
        <w:rPr>
          <w:sz w:val="22"/>
          <w:szCs w:val="22"/>
        </w:rPr>
        <w:t xml:space="preserve">Section 717(b)(1)(A) of the Act requires the Commission to provide an assessment of the level of compliance with Sections 255, 716, and 718 of the Act in this </w:t>
      </w:r>
      <w:r w:rsidRPr="009C79E5">
        <w:rPr>
          <w:i/>
          <w:sz w:val="22"/>
          <w:szCs w:val="22"/>
        </w:rPr>
        <w:t>Report</w:t>
      </w:r>
      <w:r w:rsidRPr="009C79E5">
        <w:rPr>
          <w:sz w:val="22"/>
          <w:szCs w:val="22"/>
        </w:rPr>
        <w:t>.</w:t>
      </w:r>
      <w:r w:rsidRPr="008D556C">
        <w:rPr>
          <w:rStyle w:val="ParaNumChar1"/>
          <w:szCs w:val="22"/>
          <w:vertAlign w:val="superscript"/>
        </w:rPr>
        <w:footnoteReference w:id="58"/>
      </w:r>
      <w:r w:rsidRPr="008D556C">
        <w:rPr>
          <w:sz w:val="22"/>
          <w:szCs w:val="22"/>
        </w:rPr>
        <w:t xml:space="preserve">  To </w:t>
      </w:r>
      <w:r w:rsidR="0041681E" w:rsidRPr="003511DC">
        <w:rPr>
          <w:sz w:val="22"/>
          <w:szCs w:val="22"/>
        </w:rPr>
        <w:t xml:space="preserve">meet </w:t>
      </w:r>
      <w:r w:rsidRPr="00BF0859">
        <w:rPr>
          <w:sz w:val="22"/>
          <w:szCs w:val="22"/>
        </w:rPr>
        <w:t>this</w:t>
      </w:r>
      <w:r w:rsidR="0041681E" w:rsidRPr="00FF1FD9">
        <w:rPr>
          <w:sz w:val="22"/>
          <w:szCs w:val="22"/>
        </w:rPr>
        <w:t xml:space="preserve"> requirement</w:t>
      </w:r>
      <w:r w:rsidRPr="00FF1FD9">
        <w:rPr>
          <w:sz w:val="22"/>
          <w:szCs w:val="22"/>
        </w:rPr>
        <w:t xml:space="preserve">, in the </w:t>
      </w:r>
      <w:r w:rsidRPr="006C02D7">
        <w:rPr>
          <w:i/>
          <w:sz w:val="22"/>
          <w:szCs w:val="22"/>
        </w:rPr>
        <w:t>2014 CVAA Assessment PN</w:t>
      </w:r>
      <w:r w:rsidRPr="009C5E08">
        <w:rPr>
          <w:sz w:val="22"/>
          <w:szCs w:val="22"/>
        </w:rPr>
        <w:t xml:space="preserve">, </w:t>
      </w:r>
      <w:r w:rsidR="006F19A5" w:rsidRPr="009C5E08">
        <w:rPr>
          <w:sz w:val="22"/>
          <w:szCs w:val="22"/>
        </w:rPr>
        <w:t>CGB</w:t>
      </w:r>
      <w:r w:rsidRPr="009C79E5">
        <w:rPr>
          <w:sz w:val="22"/>
          <w:szCs w:val="22"/>
        </w:rPr>
        <w:t xml:space="preserve"> sought comment on the following matters with respect to products and services made available to the public since the release of the </w:t>
      </w:r>
      <w:r w:rsidRPr="009C79E5">
        <w:rPr>
          <w:i/>
          <w:sz w:val="22"/>
          <w:szCs w:val="22"/>
        </w:rPr>
        <w:t xml:space="preserve">2012 CVAA Biennial Report </w:t>
      </w:r>
      <w:r w:rsidRPr="009C79E5">
        <w:rPr>
          <w:sz w:val="22"/>
          <w:szCs w:val="22"/>
        </w:rPr>
        <w:t>on October 5, 2012:</w:t>
      </w:r>
    </w:p>
    <w:p w:rsidR="00150E80" w:rsidRPr="009C79E5" w:rsidRDefault="00150E80" w:rsidP="00476E6F">
      <w:pPr>
        <w:suppressAutoHyphens/>
        <w:ind w:left="720"/>
        <w:rPr>
          <w:sz w:val="22"/>
          <w:szCs w:val="22"/>
        </w:rPr>
      </w:pPr>
    </w:p>
    <w:p w:rsidR="00150E80" w:rsidRPr="009C79E5" w:rsidRDefault="00150E80" w:rsidP="00476E6F">
      <w:pPr>
        <w:numPr>
          <w:ilvl w:val="0"/>
          <w:numId w:val="8"/>
        </w:numPr>
        <w:suppressAutoHyphens/>
        <w:rPr>
          <w:sz w:val="22"/>
          <w:szCs w:val="22"/>
        </w:rPr>
      </w:pPr>
      <w:r w:rsidRPr="009C79E5">
        <w:rPr>
          <w:sz w:val="22"/>
          <w:szCs w:val="22"/>
        </w:rPr>
        <w:t>The level of compliance with the Commission</w:t>
      </w:r>
      <w:r w:rsidR="003308A5" w:rsidRPr="009C79E5">
        <w:rPr>
          <w:sz w:val="22"/>
          <w:szCs w:val="22"/>
        </w:rPr>
        <w:t>’</w:t>
      </w:r>
      <w:r w:rsidRPr="009C79E5">
        <w:rPr>
          <w:sz w:val="22"/>
          <w:szCs w:val="22"/>
        </w:rPr>
        <w:t xml:space="preserve">s accessibility rules predating the CVAA, requiring telecommunications and interconnected VoIP services and equipment to be accessible to people with disabilities;  </w:t>
      </w:r>
    </w:p>
    <w:p w:rsidR="00150E80" w:rsidRPr="009C79E5" w:rsidRDefault="00150E80" w:rsidP="00476E6F">
      <w:pPr>
        <w:numPr>
          <w:ilvl w:val="0"/>
          <w:numId w:val="8"/>
        </w:numPr>
        <w:suppressAutoHyphens/>
        <w:rPr>
          <w:sz w:val="22"/>
          <w:szCs w:val="22"/>
        </w:rPr>
      </w:pPr>
      <w:r w:rsidRPr="009C79E5">
        <w:rPr>
          <w:sz w:val="22"/>
          <w:szCs w:val="22"/>
        </w:rPr>
        <w:t>The extent to which obligations under Section 716 have impacted the accessibility of advanced communications services (</w:t>
      </w:r>
      <w:r w:rsidRPr="009C79E5">
        <w:rPr>
          <w:i/>
          <w:sz w:val="22"/>
          <w:szCs w:val="22"/>
        </w:rPr>
        <w:t xml:space="preserve">e.g., </w:t>
      </w:r>
      <w:r w:rsidRPr="009C79E5">
        <w:rPr>
          <w:sz w:val="22"/>
          <w:szCs w:val="22"/>
        </w:rPr>
        <w:t xml:space="preserve">non-interconnected VoIP and electronic messaging services) and the devices used to access these services;  </w:t>
      </w:r>
    </w:p>
    <w:p w:rsidR="00150E80" w:rsidRPr="009C79E5" w:rsidRDefault="00150E80" w:rsidP="00476E6F">
      <w:pPr>
        <w:numPr>
          <w:ilvl w:val="0"/>
          <w:numId w:val="8"/>
        </w:numPr>
        <w:suppressAutoHyphens/>
        <w:rPr>
          <w:sz w:val="22"/>
          <w:szCs w:val="22"/>
        </w:rPr>
      </w:pPr>
      <w:r w:rsidRPr="009C79E5">
        <w:rPr>
          <w:sz w:val="22"/>
          <w:szCs w:val="22"/>
        </w:rPr>
        <w:t xml:space="preserve">The extent to which obligations under Section 718 have impacted the accessibility of Internet browsers built into mobile phones for individuals who are blind or visually impaired;  </w:t>
      </w:r>
    </w:p>
    <w:p w:rsidR="00150E80" w:rsidRPr="009C79E5" w:rsidRDefault="00150E80" w:rsidP="00476E6F">
      <w:pPr>
        <w:numPr>
          <w:ilvl w:val="0"/>
          <w:numId w:val="8"/>
        </w:numPr>
        <w:suppressAutoHyphens/>
        <w:rPr>
          <w:sz w:val="22"/>
          <w:szCs w:val="22"/>
        </w:rPr>
      </w:pPr>
      <w:r w:rsidRPr="009C79E5">
        <w:rPr>
          <w:sz w:val="22"/>
          <w:szCs w:val="22"/>
        </w:rPr>
        <w:t xml:space="preserve">Information related to the efforts of manufacturers and service providers to consult with individuals with disabilities in their market research, product design, testing, pilot demonstrations, and product trials; </w:t>
      </w:r>
    </w:p>
    <w:p w:rsidR="00150E80" w:rsidRPr="009C79E5" w:rsidRDefault="00150E80" w:rsidP="00476E6F">
      <w:pPr>
        <w:numPr>
          <w:ilvl w:val="0"/>
          <w:numId w:val="8"/>
        </w:numPr>
        <w:suppressAutoHyphens/>
        <w:rPr>
          <w:sz w:val="22"/>
          <w:szCs w:val="22"/>
        </w:rPr>
      </w:pPr>
      <w:r w:rsidRPr="009C79E5">
        <w:rPr>
          <w:sz w:val="22"/>
          <w:szCs w:val="22"/>
        </w:rPr>
        <w:t>The extent to which service providers and equipment manufacturers have complied with their obligations to ensure access by people with disabilities to information and documentation related to their products and services;</w:t>
      </w:r>
    </w:p>
    <w:p w:rsidR="00150E80" w:rsidRPr="009C79E5" w:rsidRDefault="00150E80" w:rsidP="00476E6F">
      <w:pPr>
        <w:numPr>
          <w:ilvl w:val="0"/>
          <w:numId w:val="8"/>
        </w:numPr>
        <w:suppressAutoHyphens/>
        <w:rPr>
          <w:sz w:val="22"/>
          <w:szCs w:val="22"/>
        </w:rPr>
      </w:pPr>
      <w:r w:rsidRPr="009C79E5">
        <w:rPr>
          <w:sz w:val="22"/>
          <w:szCs w:val="22"/>
        </w:rPr>
        <w:t xml:space="preserve">The extent to which covered entities that have direct contact with the public have conducted training of their personnel on the accessibility of their products and services; and  </w:t>
      </w:r>
    </w:p>
    <w:p w:rsidR="00150E80" w:rsidRPr="008D556C" w:rsidRDefault="00150E80" w:rsidP="00476E6F">
      <w:pPr>
        <w:numPr>
          <w:ilvl w:val="0"/>
          <w:numId w:val="8"/>
        </w:numPr>
        <w:suppressAutoHyphens/>
        <w:rPr>
          <w:sz w:val="22"/>
          <w:szCs w:val="22"/>
        </w:rPr>
      </w:pPr>
      <w:r w:rsidRPr="009C79E5">
        <w:rPr>
          <w:sz w:val="22"/>
          <w:szCs w:val="22"/>
        </w:rPr>
        <w:t>Any other issues relevant to assessing the level of compliance with Sections 255, 716, and 718.</w:t>
      </w:r>
      <w:r w:rsidRPr="008D556C">
        <w:rPr>
          <w:rStyle w:val="FootnoteReference"/>
          <w:sz w:val="22"/>
          <w:szCs w:val="22"/>
        </w:rPr>
        <w:footnoteReference w:id="59"/>
      </w:r>
      <w:r w:rsidRPr="008D556C">
        <w:rPr>
          <w:sz w:val="22"/>
          <w:szCs w:val="22"/>
        </w:rPr>
        <w:t xml:space="preserve">  </w:t>
      </w:r>
    </w:p>
    <w:p w:rsidR="00150E80" w:rsidRPr="003511DC" w:rsidRDefault="00150E80" w:rsidP="00476E6F">
      <w:pPr>
        <w:suppressAutoHyphens/>
        <w:ind w:left="1440"/>
        <w:rPr>
          <w:sz w:val="22"/>
          <w:szCs w:val="22"/>
        </w:rPr>
      </w:pPr>
    </w:p>
    <w:p w:rsidR="00150E80" w:rsidRPr="00BF0859" w:rsidRDefault="00A464F7" w:rsidP="00476E6F">
      <w:pPr>
        <w:keepNext/>
        <w:keepLines/>
        <w:suppressAutoHyphens/>
        <w:ind w:left="1440"/>
        <w:rPr>
          <w:b/>
          <w:sz w:val="22"/>
          <w:szCs w:val="22"/>
        </w:rPr>
      </w:pPr>
      <w:r w:rsidRPr="003511DC">
        <w:rPr>
          <w:b/>
          <w:sz w:val="22"/>
          <w:szCs w:val="22"/>
        </w:rPr>
        <w:t>1.</w:t>
      </w:r>
      <w:r w:rsidRPr="003511DC">
        <w:rPr>
          <w:b/>
          <w:sz w:val="22"/>
          <w:szCs w:val="22"/>
        </w:rPr>
        <w:tab/>
      </w:r>
      <w:r w:rsidR="00150E80" w:rsidRPr="00BF0859">
        <w:rPr>
          <w:b/>
          <w:sz w:val="22"/>
          <w:szCs w:val="22"/>
        </w:rPr>
        <w:t>Comments Received</w:t>
      </w:r>
    </w:p>
    <w:p w:rsidR="00150E80" w:rsidRPr="006C02D7" w:rsidRDefault="00150E80" w:rsidP="00476E6F">
      <w:pPr>
        <w:keepNext/>
        <w:keepLines/>
        <w:suppressAutoHyphens/>
        <w:ind w:left="1440"/>
        <w:rPr>
          <w:sz w:val="22"/>
          <w:szCs w:val="22"/>
        </w:rPr>
      </w:pPr>
    </w:p>
    <w:p w:rsidR="00150E80" w:rsidRPr="008D556C" w:rsidRDefault="00150E80" w:rsidP="00476E6F">
      <w:pPr>
        <w:keepNext/>
        <w:keepLines/>
        <w:numPr>
          <w:ilvl w:val="0"/>
          <w:numId w:val="2"/>
        </w:numPr>
        <w:tabs>
          <w:tab w:val="clear" w:pos="720"/>
          <w:tab w:val="num" w:pos="1440"/>
        </w:tabs>
        <w:ind w:left="0" w:firstLine="720"/>
        <w:rPr>
          <w:sz w:val="22"/>
          <w:szCs w:val="22"/>
          <w:shd w:val="clear" w:color="auto" w:fill="FFFF00"/>
        </w:rPr>
      </w:pPr>
      <w:r w:rsidRPr="009C79E5">
        <w:rPr>
          <w:i/>
          <w:sz w:val="22"/>
          <w:szCs w:val="22"/>
        </w:rPr>
        <w:t xml:space="preserve">Accessibility.  </w:t>
      </w:r>
      <w:r w:rsidRPr="009C79E5">
        <w:rPr>
          <w:sz w:val="22"/>
          <w:szCs w:val="22"/>
        </w:rPr>
        <w:t xml:space="preserve">In response to the </w:t>
      </w:r>
      <w:r w:rsidRPr="009C79E5">
        <w:rPr>
          <w:i/>
          <w:sz w:val="22"/>
          <w:szCs w:val="22"/>
        </w:rPr>
        <w:t>2014 CVAA Assessment PN</w:t>
      </w:r>
      <w:r w:rsidR="006050E6" w:rsidRPr="009C79E5">
        <w:rPr>
          <w:i/>
          <w:sz w:val="22"/>
          <w:szCs w:val="22"/>
        </w:rPr>
        <w:t xml:space="preserve"> </w:t>
      </w:r>
      <w:r w:rsidR="006050E6" w:rsidRPr="009C79E5">
        <w:rPr>
          <w:sz w:val="22"/>
          <w:szCs w:val="22"/>
        </w:rPr>
        <w:t>and the</w:t>
      </w:r>
      <w:r w:rsidR="006050E6" w:rsidRPr="009C79E5">
        <w:rPr>
          <w:i/>
          <w:sz w:val="22"/>
          <w:szCs w:val="22"/>
        </w:rPr>
        <w:t xml:space="preserve"> 2014 </w:t>
      </w:r>
      <w:r w:rsidR="00996C89" w:rsidRPr="009C79E5">
        <w:rPr>
          <w:i/>
          <w:sz w:val="22"/>
          <w:szCs w:val="22"/>
        </w:rPr>
        <w:t xml:space="preserve">CVAA </w:t>
      </w:r>
      <w:r w:rsidR="006050E6" w:rsidRPr="009C79E5">
        <w:rPr>
          <w:i/>
          <w:sz w:val="22"/>
          <w:szCs w:val="22"/>
        </w:rPr>
        <w:t>Tentative Findings PN</w:t>
      </w:r>
      <w:r w:rsidRPr="009C79E5">
        <w:rPr>
          <w:sz w:val="22"/>
          <w:szCs w:val="22"/>
        </w:rPr>
        <w:t xml:space="preserve">, the Commission received comments from a wide range of stakeholders about the accessibility of telecommunications and advanced communications services, as well as the equipment used for these services.  </w:t>
      </w:r>
      <w:r w:rsidR="00996C89" w:rsidRPr="009C79E5">
        <w:rPr>
          <w:sz w:val="22"/>
          <w:szCs w:val="22"/>
        </w:rPr>
        <w:t xml:space="preserve">In response to the </w:t>
      </w:r>
      <w:r w:rsidR="00996C89" w:rsidRPr="009C79E5">
        <w:rPr>
          <w:i/>
          <w:sz w:val="22"/>
          <w:szCs w:val="22"/>
        </w:rPr>
        <w:t>2014 CVAA Assessment PN</w:t>
      </w:r>
      <w:r w:rsidR="00996C89" w:rsidRPr="009C79E5">
        <w:rPr>
          <w:sz w:val="22"/>
          <w:szCs w:val="22"/>
        </w:rPr>
        <w:t>,</w:t>
      </w:r>
      <w:r w:rsidR="00996C89" w:rsidRPr="009C79E5">
        <w:rPr>
          <w:i/>
          <w:sz w:val="22"/>
          <w:szCs w:val="22"/>
        </w:rPr>
        <w:t xml:space="preserve"> </w:t>
      </w:r>
      <w:r w:rsidRPr="009C79E5">
        <w:rPr>
          <w:sz w:val="22"/>
          <w:szCs w:val="22"/>
        </w:rPr>
        <w:t xml:space="preserve">Consumer Groups representing individuals who are deaf or hard of hearing generally acknowledge </w:t>
      </w:r>
      <w:r w:rsidR="003308A5" w:rsidRPr="009C79E5">
        <w:rPr>
          <w:sz w:val="22"/>
          <w:szCs w:val="22"/>
        </w:rPr>
        <w:t>“</w:t>
      </w:r>
      <w:r w:rsidRPr="009C79E5">
        <w:rPr>
          <w:sz w:val="22"/>
          <w:szCs w:val="22"/>
        </w:rPr>
        <w:t>improvement in accessibility under Section 255,</w:t>
      </w:r>
      <w:r w:rsidR="003308A5" w:rsidRPr="009C79E5">
        <w:rPr>
          <w:sz w:val="22"/>
          <w:szCs w:val="22"/>
        </w:rPr>
        <w:t>”</w:t>
      </w:r>
      <w:r w:rsidRPr="009C79E5">
        <w:rPr>
          <w:sz w:val="22"/>
          <w:szCs w:val="22"/>
        </w:rPr>
        <w:t xml:space="preserve"> but add their belief that they </w:t>
      </w:r>
      <w:r w:rsidR="003308A5" w:rsidRPr="009C79E5">
        <w:rPr>
          <w:sz w:val="22"/>
          <w:szCs w:val="22"/>
        </w:rPr>
        <w:t>“</w:t>
      </w:r>
      <w:r w:rsidRPr="009C79E5">
        <w:rPr>
          <w:sz w:val="22"/>
          <w:szCs w:val="22"/>
        </w:rPr>
        <w:t>have a long way to go before deaf and hard of hearing customers can easily and affordably purchase accessible phones.</w:t>
      </w:r>
      <w:r w:rsidR="003308A5" w:rsidRPr="009C79E5">
        <w:rPr>
          <w:sz w:val="22"/>
          <w:szCs w:val="22"/>
        </w:rPr>
        <w:t>”</w:t>
      </w:r>
      <w:r w:rsidRPr="008D556C">
        <w:rPr>
          <w:rStyle w:val="FootnoteReference"/>
          <w:sz w:val="22"/>
          <w:szCs w:val="22"/>
        </w:rPr>
        <w:footnoteReference w:id="60"/>
      </w:r>
      <w:r w:rsidRPr="008D556C">
        <w:rPr>
          <w:sz w:val="22"/>
          <w:szCs w:val="22"/>
        </w:rPr>
        <w:t xml:space="preserve">  Additionally, while Consumer Groups express enthusiasm</w:t>
      </w:r>
      <w:r w:rsidRPr="003511DC">
        <w:rPr>
          <w:sz w:val="22"/>
          <w:szCs w:val="22"/>
        </w:rPr>
        <w:t xml:space="preserve"> about some ne</w:t>
      </w:r>
      <w:r w:rsidRPr="00BF0859">
        <w:rPr>
          <w:sz w:val="22"/>
          <w:szCs w:val="22"/>
        </w:rPr>
        <w:t>w smartphone features, such as Apple</w:t>
      </w:r>
      <w:r w:rsidR="003308A5" w:rsidRPr="00FF1FD9">
        <w:rPr>
          <w:sz w:val="22"/>
          <w:szCs w:val="22"/>
        </w:rPr>
        <w:t>’</w:t>
      </w:r>
      <w:r w:rsidRPr="00FF1FD9">
        <w:rPr>
          <w:sz w:val="22"/>
          <w:szCs w:val="22"/>
        </w:rPr>
        <w:t xml:space="preserve">s iPhone that connects directly with some brands of hearing aids, they raise concerns that </w:t>
      </w:r>
      <w:r w:rsidR="003308A5" w:rsidRPr="006C02D7">
        <w:rPr>
          <w:sz w:val="22"/>
          <w:szCs w:val="22"/>
        </w:rPr>
        <w:t>“</w:t>
      </w:r>
      <w:r w:rsidRPr="009C5E08">
        <w:rPr>
          <w:sz w:val="22"/>
          <w:szCs w:val="22"/>
        </w:rPr>
        <w:t>those types of proprietary solutions offer limited and expensive options that do not suit everyone</w:t>
      </w:r>
      <w:r w:rsidR="003308A5" w:rsidRPr="009C79E5">
        <w:rPr>
          <w:sz w:val="22"/>
          <w:szCs w:val="22"/>
        </w:rPr>
        <w:t>’</w:t>
      </w:r>
      <w:r w:rsidRPr="009C79E5">
        <w:rPr>
          <w:sz w:val="22"/>
          <w:szCs w:val="22"/>
        </w:rPr>
        <w:t>s needs.</w:t>
      </w:r>
      <w:r w:rsidR="003308A5" w:rsidRPr="009C79E5">
        <w:rPr>
          <w:sz w:val="22"/>
          <w:szCs w:val="22"/>
        </w:rPr>
        <w:t>”</w:t>
      </w:r>
      <w:r w:rsidRPr="008D556C">
        <w:rPr>
          <w:rStyle w:val="FootnoteReference"/>
          <w:sz w:val="22"/>
          <w:szCs w:val="22"/>
        </w:rPr>
        <w:footnoteReference w:id="61"/>
      </w:r>
      <w:r w:rsidRPr="008D556C">
        <w:rPr>
          <w:sz w:val="22"/>
          <w:szCs w:val="22"/>
        </w:rPr>
        <w:t xml:space="preserve">  Co</w:t>
      </w:r>
      <w:r w:rsidRPr="003511DC">
        <w:rPr>
          <w:sz w:val="22"/>
          <w:szCs w:val="22"/>
        </w:rPr>
        <w:t xml:space="preserve">nsumer Groups </w:t>
      </w:r>
      <w:r w:rsidRPr="00BF0859">
        <w:rPr>
          <w:sz w:val="22"/>
          <w:szCs w:val="22"/>
        </w:rPr>
        <w:t>also raise concerns about accessing captioned telephone services (CTS)</w:t>
      </w:r>
      <w:r w:rsidRPr="008D556C">
        <w:rPr>
          <w:rStyle w:val="FootnoteReference"/>
          <w:sz w:val="22"/>
          <w:szCs w:val="22"/>
        </w:rPr>
        <w:footnoteReference w:id="62"/>
      </w:r>
      <w:r w:rsidRPr="008D556C">
        <w:rPr>
          <w:sz w:val="22"/>
          <w:szCs w:val="22"/>
        </w:rPr>
        <w:t xml:space="preserve"> over wireless systems and ask the Commission to resolve such problems prior to transitioning consumers away from the wireline infrastructure.</w:t>
      </w:r>
      <w:r w:rsidRPr="008D556C">
        <w:rPr>
          <w:rStyle w:val="FootnoteReference"/>
          <w:sz w:val="22"/>
          <w:szCs w:val="22"/>
        </w:rPr>
        <w:footnoteReference w:id="63"/>
      </w:r>
      <w:r w:rsidRPr="008D556C">
        <w:rPr>
          <w:sz w:val="22"/>
          <w:szCs w:val="22"/>
        </w:rPr>
        <w:t xml:space="preserve">  Consumer Groups do, howeve</w:t>
      </w:r>
      <w:r w:rsidRPr="003511DC">
        <w:rPr>
          <w:sz w:val="22"/>
          <w:szCs w:val="22"/>
        </w:rPr>
        <w:t>r, emphasize t</w:t>
      </w:r>
      <w:r w:rsidRPr="00BF0859">
        <w:rPr>
          <w:sz w:val="22"/>
          <w:szCs w:val="22"/>
        </w:rPr>
        <w:t xml:space="preserve">heir support for high definition (HD) voice-enabled phones and better noise-cancelling technology, noting that </w:t>
      </w:r>
      <w:r w:rsidR="003308A5" w:rsidRPr="006C02D7">
        <w:rPr>
          <w:sz w:val="22"/>
          <w:szCs w:val="22"/>
        </w:rPr>
        <w:t>“</w:t>
      </w:r>
      <w:r w:rsidRPr="009C5E08">
        <w:rPr>
          <w:sz w:val="22"/>
          <w:szCs w:val="22"/>
        </w:rPr>
        <w:t>more natural sounding calls go a long way in making it possible . . . to make calls with or without assistive technology.</w:t>
      </w:r>
      <w:r w:rsidR="003308A5" w:rsidRPr="009C79E5">
        <w:rPr>
          <w:sz w:val="22"/>
          <w:szCs w:val="22"/>
        </w:rPr>
        <w:t>”</w:t>
      </w:r>
      <w:r w:rsidRPr="008D556C">
        <w:rPr>
          <w:rStyle w:val="FootnoteReference"/>
          <w:sz w:val="22"/>
          <w:szCs w:val="22"/>
        </w:rPr>
        <w:footnoteReference w:id="64"/>
      </w:r>
    </w:p>
    <w:p w:rsidR="00150E80" w:rsidRPr="003511DC" w:rsidRDefault="00150E80" w:rsidP="00476E6F">
      <w:pPr>
        <w:suppressAutoHyphens/>
        <w:rPr>
          <w:sz w:val="22"/>
          <w:szCs w:val="22"/>
          <w:shd w:val="clear" w:color="auto" w:fill="FFFF00"/>
        </w:rPr>
      </w:pPr>
    </w:p>
    <w:p w:rsidR="00915989" w:rsidRPr="003511DC" w:rsidRDefault="00150E80" w:rsidP="00476E6F">
      <w:pPr>
        <w:numPr>
          <w:ilvl w:val="0"/>
          <w:numId w:val="2"/>
        </w:numPr>
        <w:tabs>
          <w:tab w:val="clear" w:pos="720"/>
          <w:tab w:val="num" w:pos="1440"/>
        </w:tabs>
        <w:ind w:left="0" w:firstLine="720"/>
        <w:rPr>
          <w:sz w:val="22"/>
          <w:szCs w:val="22"/>
        </w:rPr>
      </w:pPr>
      <w:r w:rsidRPr="003511DC">
        <w:rPr>
          <w:sz w:val="22"/>
          <w:szCs w:val="22"/>
        </w:rPr>
        <w:t>Consu</w:t>
      </w:r>
      <w:r w:rsidRPr="00BF0859">
        <w:rPr>
          <w:sz w:val="22"/>
          <w:szCs w:val="22"/>
        </w:rPr>
        <w:t>mer Groups also reiterate concerns they expressed in 2012 regarding the lack of interoperable video conferencing services.</w:t>
      </w:r>
      <w:r w:rsidR="00853371" w:rsidRPr="008D556C">
        <w:rPr>
          <w:rStyle w:val="FootnoteReference"/>
          <w:sz w:val="22"/>
          <w:szCs w:val="22"/>
        </w:rPr>
        <w:footnoteReference w:id="65"/>
      </w:r>
      <w:r w:rsidRPr="008D556C">
        <w:rPr>
          <w:sz w:val="22"/>
          <w:szCs w:val="22"/>
        </w:rPr>
        <w:t xml:space="preserve">  Specifically, they report that mainstream video conferencing services remain incompatible with </w:t>
      </w:r>
      <w:r w:rsidR="004A1C64" w:rsidRPr="003511DC">
        <w:rPr>
          <w:sz w:val="22"/>
          <w:szCs w:val="22"/>
        </w:rPr>
        <w:t>telecommunications relay services (</w:t>
      </w:r>
      <w:r w:rsidRPr="00BF0859">
        <w:rPr>
          <w:sz w:val="22"/>
          <w:szCs w:val="22"/>
        </w:rPr>
        <w:t>T</w:t>
      </w:r>
      <w:r w:rsidRPr="00FF1FD9">
        <w:rPr>
          <w:sz w:val="22"/>
          <w:szCs w:val="22"/>
        </w:rPr>
        <w:t>RS</w:t>
      </w:r>
      <w:r w:rsidR="004A1C64" w:rsidRPr="00FF1FD9">
        <w:rPr>
          <w:sz w:val="22"/>
          <w:szCs w:val="22"/>
        </w:rPr>
        <w:t>)</w:t>
      </w:r>
      <w:r w:rsidRPr="00FF1FD9">
        <w:rPr>
          <w:sz w:val="22"/>
          <w:szCs w:val="22"/>
        </w:rPr>
        <w:t>, making employment-related video conference calls inaccessible to deaf and hard of hearing individuals.</w:t>
      </w:r>
      <w:r w:rsidRPr="008D556C">
        <w:rPr>
          <w:rStyle w:val="FootnoteReference"/>
          <w:sz w:val="22"/>
          <w:szCs w:val="22"/>
        </w:rPr>
        <w:footnoteReference w:id="66"/>
      </w:r>
      <w:r w:rsidRPr="008D556C">
        <w:rPr>
          <w:sz w:val="22"/>
          <w:szCs w:val="22"/>
        </w:rPr>
        <w:t xml:space="preserve">  They explain further that off-the-shelf video conferencing systems are not interoperable among themselves or with videophones available through vi</w:t>
      </w:r>
      <w:r w:rsidRPr="003511DC">
        <w:rPr>
          <w:sz w:val="22"/>
          <w:szCs w:val="22"/>
        </w:rPr>
        <w:t>deo relay serv</w:t>
      </w:r>
      <w:r w:rsidRPr="00BF0859">
        <w:rPr>
          <w:sz w:val="22"/>
          <w:szCs w:val="22"/>
        </w:rPr>
        <w:t>ice (VRS) providers.</w:t>
      </w:r>
      <w:r w:rsidRPr="008D556C">
        <w:rPr>
          <w:rStyle w:val="FootnoteReference"/>
          <w:sz w:val="22"/>
          <w:szCs w:val="22"/>
        </w:rPr>
        <w:footnoteReference w:id="67"/>
      </w:r>
      <w:r w:rsidRPr="008D556C">
        <w:rPr>
          <w:sz w:val="22"/>
          <w:szCs w:val="22"/>
        </w:rPr>
        <w:t xml:space="preserve">  Consumer Groups also recommend enhancing video conferencing systems so that, under poor network conditions, a deaf or hard of hearing person can optimize picture quality, or frames-per-second, over audio quality.</w:t>
      </w:r>
      <w:r w:rsidRPr="008D556C">
        <w:rPr>
          <w:rStyle w:val="FootnoteReference"/>
          <w:sz w:val="22"/>
          <w:szCs w:val="22"/>
        </w:rPr>
        <w:footnoteReference w:id="68"/>
      </w:r>
      <w:r w:rsidRPr="008D556C">
        <w:rPr>
          <w:sz w:val="22"/>
          <w:szCs w:val="22"/>
        </w:rPr>
        <w:t xml:space="preserve">  Cons</w:t>
      </w:r>
      <w:r w:rsidRPr="003511DC">
        <w:rPr>
          <w:sz w:val="22"/>
          <w:szCs w:val="22"/>
        </w:rPr>
        <w:t>umer Groups fu</w:t>
      </w:r>
      <w:r w:rsidRPr="00BF0859">
        <w:rPr>
          <w:sz w:val="22"/>
          <w:szCs w:val="22"/>
        </w:rPr>
        <w:t>rther note the need for accessible alerting systems, such as flashing lights or vibration, for advanced communications services, to prevent consumers from missing incoming video calls or other messages.</w:t>
      </w:r>
      <w:r w:rsidRPr="008D556C">
        <w:rPr>
          <w:rStyle w:val="FootnoteReference"/>
          <w:sz w:val="22"/>
          <w:szCs w:val="22"/>
        </w:rPr>
        <w:footnoteReference w:id="69"/>
      </w:r>
      <w:r w:rsidRPr="008D556C">
        <w:rPr>
          <w:sz w:val="22"/>
          <w:szCs w:val="22"/>
        </w:rPr>
        <w:t xml:space="preserve">  In addition, Consumer Groups allege a</w:t>
      </w:r>
      <w:r w:rsidRPr="003511DC">
        <w:rPr>
          <w:sz w:val="22"/>
          <w:szCs w:val="22"/>
        </w:rPr>
        <w:t xml:space="preserve"> general lack </w:t>
      </w:r>
      <w:r w:rsidRPr="00BF0859">
        <w:rPr>
          <w:sz w:val="22"/>
          <w:szCs w:val="22"/>
        </w:rPr>
        <w:t>of access to advanced communications service components in</w:t>
      </w:r>
      <w:r w:rsidR="00915989" w:rsidRPr="00FF1FD9">
        <w:rPr>
          <w:sz w:val="22"/>
          <w:szCs w:val="22"/>
        </w:rPr>
        <w:t xml:space="preserve"> </w:t>
      </w:r>
      <w:r w:rsidRPr="006C02D7">
        <w:rPr>
          <w:sz w:val="22"/>
          <w:szCs w:val="22"/>
        </w:rPr>
        <w:t>video games and gaming systems</w:t>
      </w:r>
      <w:r w:rsidR="00915989" w:rsidRPr="009C5E08">
        <w:rPr>
          <w:sz w:val="22"/>
          <w:szCs w:val="22"/>
        </w:rPr>
        <w:t xml:space="preserve"> and, in particular, they cite the inability of deaf and hard of hearing participants to communicate in multi-player gaming systems</w:t>
      </w:r>
      <w:r w:rsidRPr="009C79E5">
        <w:rPr>
          <w:sz w:val="22"/>
          <w:szCs w:val="22"/>
        </w:rPr>
        <w:t>.</w:t>
      </w:r>
      <w:r w:rsidRPr="008D556C">
        <w:rPr>
          <w:rStyle w:val="FootnoteReference"/>
          <w:sz w:val="22"/>
          <w:szCs w:val="22"/>
        </w:rPr>
        <w:footnoteReference w:id="70"/>
      </w:r>
      <w:r w:rsidRPr="008D556C">
        <w:rPr>
          <w:sz w:val="22"/>
          <w:szCs w:val="22"/>
        </w:rPr>
        <w:t xml:space="preserve">  </w:t>
      </w:r>
    </w:p>
    <w:p w:rsidR="00915989" w:rsidRPr="003511DC" w:rsidRDefault="00915989" w:rsidP="00476E6F">
      <w:pPr>
        <w:rPr>
          <w:sz w:val="22"/>
          <w:szCs w:val="22"/>
        </w:rPr>
      </w:pPr>
    </w:p>
    <w:p w:rsidR="006050E6" w:rsidRPr="008D556C" w:rsidRDefault="00996C89" w:rsidP="00476E6F">
      <w:pPr>
        <w:numPr>
          <w:ilvl w:val="0"/>
          <w:numId w:val="2"/>
        </w:numPr>
        <w:tabs>
          <w:tab w:val="clear" w:pos="720"/>
          <w:tab w:val="num" w:pos="1440"/>
        </w:tabs>
        <w:ind w:left="0" w:firstLine="720"/>
        <w:rPr>
          <w:sz w:val="22"/>
          <w:szCs w:val="22"/>
        </w:rPr>
      </w:pPr>
      <w:r w:rsidRPr="00BF0859">
        <w:rPr>
          <w:sz w:val="22"/>
          <w:szCs w:val="22"/>
        </w:rPr>
        <w:t>In response to t</w:t>
      </w:r>
      <w:r w:rsidRPr="00FF1FD9">
        <w:rPr>
          <w:sz w:val="22"/>
          <w:szCs w:val="22"/>
        </w:rPr>
        <w:t xml:space="preserve">he </w:t>
      </w:r>
      <w:r w:rsidRPr="00FF1FD9">
        <w:rPr>
          <w:i/>
          <w:sz w:val="22"/>
          <w:szCs w:val="22"/>
        </w:rPr>
        <w:t>2014 CVAA Assessment PN</w:t>
      </w:r>
      <w:r w:rsidRPr="00FF1FD9">
        <w:rPr>
          <w:sz w:val="22"/>
          <w:szCs w:val="22"/>
        </w:rPr>
        <w:t>,</w:t>
      </w:r>
      <w:r w:rsidRPr="00FF1FD9">
        <w:rPr>
          <w:i/>
          <w:sz w:val="22"/>
          <w:szCs w:val="22"/>
        </w:rPr>
        <w:t xml:space="preserve"> </w:t>
      </w:r>
      <w:r w:rsidRPr="006C02D7">
        <w:rPr>
          <w:sz w:val="22"/>
          <w:szCs w:val="22"/>
        </w:rPr>
        <w:t>t</w:t>
      </w:r>
      <w:r w:rsidR="00150E80" w:rsidRPr="009C5E08">
        <w:rPr>
          <w:sz w:val="22"/>
          <w:szCs w:val="22"/>
        </w:rPr>
        <w:t>he American Council of the Blind (ACB) similarly acknowledges that some mobile device platforms have made strides in accessibility, but notes that accessibility gaps continue to exist for individuals who are blind or visually i</w:t>
      </w:r>
      <w:r w:rsidR="00150E80" w:rsidRPr="009C79E5">
        <w:rPr>
          <w:sz w:val="22"/>
          <w:szCs w:val="22"/>
        </w:rPr>
        <w:t xml:space="preserve">mpaired.  For example, ACB </w:t>
      </w:r>
      <w:r w:rsidR="00D2160F" w:rsidRPr="009C79E5">
        <w:rPr>
          <w:sz w:val="22"/>
          <w:szCs w:val="22"/>
        </w:rPr>
        <w:t xml:space="preserve">states </w:t>
      </w:r>
      <w:r w:rsidR="00150E80" w:rsidRPr="009C79E5">
        <w:rPr>
          <w:sz w:val="22"/>
          <w:szCs w:val="22"/>
        </w:rPr>
        <w:t>that the Samsung Galaxy S5 on the Android platform is more accessible than its predecessors, but insists that earlier versions of these devices, which are still available on the market, as well as other devices on the Android operating system, remain inaccessible.</w:t>
      </w:r>
      <w:r w:rsidR="00150E80" w:rsidRPr="008D556C">
        <w:rPr>
          <w:rStyle w:val="FootnoteReference"/>
          <w:sz w:val="22"/>
          <w:szCs w:val="22"/>
        </w:rPr>
        <w:footnoteReference w:id="71"/>
      </w:r>
      <w:r w:rsidR="00150E80" w:rsidRPr="008D556C">
        <w:rPr>
          <w:sz w:val="22"/>
          <w:szCs w:val="22"/>
        </w:rPr>
        <w:t xml:space="preserve">  ACB also notes that Microsoft</w:t>
      </w:r>
      <w:r w:rsidR="003308A5" w:rsidRPr="003511DC">
        <w:rPr>
          <w:sz w:val="22"/>
          <w:szCs w:val="22"/>
        </w:rPr>
        <w:t>’</w:t>
      </w:r>
      <w:r w:rsidR="00150E80" w:rsidRPr="00BF0859">
        <w:rPr>
          <w:sz w:val="22"/>
          <w:szCs w:val="22"/>
        </w:rPr>
        <w:t xml:space="preserve">s Windows Phone, while now offering a built-in screen reader, lacks </w:t>
      </w:r>
      <w:r w:rsidR="003308A5" w:rsidRPr="00FF1FD9">
        <w:rPr>
          <w:sz w:val="22"/>
          <w:szCs w:val="22"/>
        </w:rPr>
        <w:t>“</w:t>
      </w:r>
      <w:r w:rsidR="00150E80" w:rsidRPr="00FF1FD9">
        <w:rPr>
          <w:sz w:val="22"/>
          <w:szCs w:val="22"/>
        </w:rPr>
        <w:t>many features which would enable it to be usable on a daily basis</w:t>
      </w:r>
      <w:r w:rsidR="003308A5" w:rsidRPr="006C02D7">
        <w:rPr>
          <w:sz w:val="22"/>
          <w:szCs w:val="22"/>
        </w:rPr>
        <w:t>”</w:t>
      </w:r>
      <w:r w:rsidR="00150E80" w:rsidRPr="009C5E08">
        <w:rPr>
          <w:sz w:val="22"/>
          <w:szCs w:val="22"/>
        </w:rPr>
        <w:t xml:space="preserve"> for people who are blind or visu</w:t>
      </w:r>
      <w:r w:rsidR="00150E80" w:rsidRPr="009C79E5">
        <w:rPr>
          <w:sz w:val="22"/>
          <w:szCs w:val="22"/>
        </w:rPr>
        <w:t xml:space="preserve">ally impaired; in this regard, they emphasize the need for accessibility to </w:t>
      </w:r>
      <w:r w:rsidR="003308A5" w:rsidRPr="009C79E5">
        <w:rPr>
          <w:sz w:val="22"/>
          <w:szCs w:val="22"/>
        </w:rPr>
        <w:t>“</w:t>
      </w:r>
      <w:r w:rsidR="00150E80" w:rsidRPr="009C79E5">
        <w:rPr>
          <w:sz w:val="22"/>
          <w:szCs w:val="22"/>
        </w:rPr>
        <w:t>span the entire device.</w:t>
      </w:r>
      <w:r w:rsidR="003308A5" w:rsidRPr="009C79E5">
        <w:rPr>
          <w:sz w:val="22"/>
          <w:szCs w:val="22"/>
        </w:rPr>
        <w:t>”</w:t>
      </w:r>
      <w:r w:rsidR="00150E80" w:rsidRPr="008D556C">
        <w:rPr>
          <w:rStyle w:val="FootnoteReference"/>
          <w:sz w:val="22"/>
          <w:szCs w:val="22"/>
        </w:rPr>
        <w:footnoteReference w:id="72"/>
      </w:r>
      <w:r w:rsidR="00150E80" w:rsidRPr="008D556C">
        <w:rPr>
          <w:sz w:val="22"/>
          <w:szCs w:val="22"/>
        </w:rPr>
        <w:t xml:space="preserve">  On a positive note, ACB applauds certain advances for individuals who are blind, such as accessible communication applications that provide two-way, pus</w:t>
      </w:r>
      <w:r w:rsidR="00150E80" w:rsidRPr="003511DC">
        <w:rPr>
          <w:sz w:val="22"/>
          <w:szCs w:val="22"/>
        </w:rPr>
        <w:t>h-to-talk, walkie-tal</w:t>
      </w:r>
      <w:r w:rsidR="00150E80" w:rsidRPr="00BF0859">
        <w:rPr>
          <w:sz w:val="22"/>
          <w:szCs w:val="22"/>
        </w:rPr>
        <w:t>kie voice communication, thereby simulating instant messaging in an accessible format for the blind user.</w:t>
      </w:r>
      <w:r w:rsidR="00150E80" w:rsidRPr="008D556C">
        <w:rPr>
          <w:rStyle w:val="FootnoteReference"/>
          <w:sz w:val="22"/>
          <w:szCs w:val="22"/>
        </w:rPr>
        <w:footnoteReference w:id="73"/>
      </w:r>
      <w:r w:rsidR="00150E80" w:rsidRPr="008D556C">
        <w:rPr>
          <w:sz w:val="22"/>
          <w:szCs w:val="22"/>
        </w:rPr>
        <w:t xml:space="preserve">  In addition, ACB notes, in general, that </w:t>
      </w:r>
      <w:r w:rsidR="003308A5" w:rsidRPr="003511DC">
        <w:rPr>
          <w:sz w:val="22"/>
          <w:szCs w:val="22"/>
        </w:rPr>
        <w:t>“</w:t>
      </w:r>
      <w:r w:rsidR="00150E80" w:rsidRPr="00BF0859">
        <w:rPr>
          <w:sz w:val="22"/>
          <w:szCs w:val="22"/>
        </w:rPr>
        <w:t>[w]eb accessibility has improved over the last few years.</w:t>
      </w:r>
      <w:r w:rsidR="003308A5" w:rsidRPr="006C02D7">
        <w:rPr>
          <w:sz w:val="22"/>
          <w:szCs w:val="22"/>
        </w:rPr>
        <w:t>”</w:t>
      </w:r>
      <w:r w:rsidR="00150E80" w:rsidRPr="008D556C">
        <w:rPr>
          <w:rStyle w:val="FootnoteReference"/>
          <w:sz w:val="22"/>
          <w:szCs w:val="22"/>
        </w:rPr>
        <w:footnoteReference w:id="74"/>
      </w:r>
    </w:p>
    <w:p w:rsidR="006050E6" w:rsidRPr="003511DC" w:rsidRDefault="006050E6" w:rsidP="00476E6F">
      <w:pPr>
        <w:ind w:left="720"/>
        <w:rPr>
          <w:sz w:val="22"/>
          <w:szCs w:val="22"/>
        </w:rPr>
      </w:pPr>
    </w:p>
    <w:p w:rsidR="00150E80" w:rsidRPr="008D556C" w:rsidRDefault="006050E6" w:rsidP="00476E6F">
      <w:pPr>
        <w:numPr>
          <w:ilvl w:val="0"/>
          <w:numId w:val="2"/>
        </w:numPr>
        <w:tabs>
          <w:tab w:val="clear" w:pos="720"/>
          <w:tab w:val="num" w:pos="1440"/>
        </w:tabs>
        <w:ind w:left="0" w:firstLine="720"/>
        <w:rPr>
          <w:sz w:val="22"/>
          <w:szCs w:val="22"/>
          <w:shd w:val="clear" w:color="auto" w:fill="FFFF00"/>
        </w:rPr>
      </w:pPr>
      <w:r w:rsidRPr="00BF0859">
        <w:rPr>
          <w:sz w:val="22"/>
          <w:szCs w:val="22"/>
        </w:rPr>
        <w:t xml:space="preserve">In comments </w:t>
      </w:r>
      <w:r w:rsidR="00996C89" w:rsidRPr="00FF1FD9">
        <w:rPr>
          <w:sz w:val="22"/>
          <w:szCs w:val="22"/>
        </w:rPr>
        <w:t xml:space="preserve">in response to the </w:t>
      </w:r>
      <w:r w:rsidR="00996C89" w:rsidRPr="00FF1FD9">
        <w:rPr>
          <w:i/>
          <w:sz w:val="22"/>
          <w:szCs w:val="22"/>
        </w:rPr>
        <w:t>2014 CVAA Tentative Findings PN</w:t>
      </w:r>
      <w:r w:rsidRPr="00FF1FD9">
        <w:rPr>
          <w:sz w:val="22"/>
          <w:szCs w:val="22"/>
        </w:rPr>
        <w:t>, ACB reports that applications used today to conduct business meetings online are not accessible to screen readers, which negatively impacts on the employment of individuals who are blind or visually impaired.</w:t>
      </w:r>
      <w:r w:rsidRPr="008D556C">
        <w:rPr>
          <w:rStyle w:val="FootnoteReference"/>
          <w:sz w:val="22"/>
          <w:szCs w:val="22"/>
        </w:rPr>
        <w:footnoteReference w:id="75"/>
      </w:r>
      <w:r w:rsidRPr="008D556C">
        <w:rPr>
          <w:sz w:val="22"/>
          <w:szCs w:val="22"/>
        </w:rPr>
        <w:t xml:space="preserve">  ACB n</w:t>
      </w:r>
      <w:r w:rsidRPr="003511DC">
        <w:rPr>
          <w:sz w:val="22"/>
          <w:szCs w:val="22"/>
        </w:rPr>
        <w:t>otes that, notwithsta</w:t>
      </w:r>
      <w:r w:rsidRPr="00BF0859">
        <w:rPr>
          <w:sz w:val="22"/>
          <w:szCs w:val="22"/>
        </w:rPr>
        <w:t xml:space="preserve">nding accessibility advances that have been made in Android devices, </w:t>
      </w:r>
      <w:r w:rsidR="003308A5" w:rsidRPr="00FF1FD9">
        <w:rPr>
          <w:sz w:val="22"/>
          <w:szCs w:val="22"/>
        </w:rPr>
        <w:t>“</w:t>
      </w:r>
      <w:r w:rsidRPr="00FF1FD9">
        <w:rPr>
          <w:sz w:val="22"/>
          <w:szCs w:val="22"/>
        </w:rPr>
        <w:t>a person who is blind encounters significant challenges in independently enabling TalkBack, Android</w:t>
      </w:r>
      <w:r w:rsidR="003308A5" w:rsidRPr="006C02D7">
        <w:rPr>
          <w:sz w:val="22"/>
          <w:szCs w:val="22"/>
        </w:rPr>
        <w:t>’</w:t>
      </w:r>
      <w:r w:rsidRPr="009C5E08">
        <w:rPr>
          <w:sz w:val="22"/>
          <w:szCs w:val="22"/>
        </w:rPr>
        <w:t>s default screen reader,</w:t>
      </w:r>
      <w:r w:rsidR="003308A5" w:rsidRPr="009C79E5">
        <w:rPr>
          <w:sz w:val="22"/>
          <w:szCs w:val="22"/>
        </w:rPr>
        <w:t>”</w:t>
      </w:r>
      <w:r w:rsidRPr="008D556C">
        <w:rPr>
          <w:rStyle w:val="FootnoteReference"/>
          <w:sz w:val="22"/>
          <w:szCs w:val="22"/>
        </w:rPr>
        <w:footnoteReference w:id="76"/>
      </w:r>
      <w:r w:rsidRPr="008D556C">
        <w:rPr>
          <w:sz w:val="22"/>
          <w:szCs w:val="22"/>
        </w:rPr>
        <w:t xml:space="preserve"> and Google</w:t>
      </w:r>
      <w:r w:rsidR="003308A5" w:rsidRPr="003511DC">
        <w:rPr>
          <w:sz w:val="22"/>
          <w:szCs w:val="22"/>
        </w:rPr>
        <w:t>’</w:t>
      </w:r>
      <w:r w:rsidRPr="00BF0859">
        <w:rPr>
          <w:sz w:val="22"/>
          <w:szCs w:val="22"/>
        </w:rPr>
        <w:t>s browser, Chrome, is diffi</w:t>
      </w:r>
      <w:r w:rsidRPr="00FF1FD9">
        <w:rPr>
          <w:sz w:val="22"/>
          <w:szCs w:val="22"/>
        </w:rPr>
        <w:t>cult to access using TalkBack on Android devices.</w:t>
      </w:r>
      <w:r w:rsidRPr="008D556C">
        <w:rPr>
          <w:rStyle w:val="FootnoteReference"/>
          <w:sz w:val="22"/>
          <w:szCs w:val="22"/>
        </w:rPr>
        <w:footnoteReference w:id="77"/>
      </w:r>
      <w:r w:rsidRPr="008D556C">
        <w:rPr>
          <w:sz w:val="22"/>
          <w:szCs w:val="22"/>
        </w:rPr>
        <w:t xml:space="preserve">  Similarly, progress has been with respect to the accessibility of Windows Phones, but it is not yet clear </w:t>
      </w:r>
      <w:r w:rsidR="003308A5" w:rsidRPr="003511DC">
        <w:rPr>
          <w:sz w:val="22"/>
          <w:szCs w:val="22"/>
        </w:rPr>
        <w:t>“</w:t>
      </w:r>
      <w:r w:rsidRPr="00BF0859">
        <w:rPr>
          <w:sz w:val="22"/>
          <w:szCs w:val="22"/>
        </w:rPr>
        <w:t>how easy and convenient it is to access the mobile web browser on this platform.</w:t>
      </w:r>
      <w:r w:rsidR="003308A5" w:rsidRPr="00FF1FD9">
        <w:rPr>
          <w:sz w:val="22"/>
          <w:szCs w:val="22"/>
        </w:rPr>
        <w:t>”</w:t>
      </w:r>
      <w:r w:rsidRPr="008D556C">
        <w:rPr>
          <w:rStyle w:val="FootnoteReference"/>
          <w:sz w:val="22"/>
          <w:szCs w:val="22"/>
        </w:rPr>
        <w:footnoteReference w:id="78"/>
      </w:r>
      <w:r w:rsidRPr="008D556C">
        <w:rPr>
          <w:sz w:val="22"/>
          <w:szCs w:val="22"/>
        </w:rPr>
        <w:t xml:space="preserve">  ACB asserts t</w:t>
      </w:r>
      <w:r w:rsidRPr="003511DC">
        <w:rPr>
          <w:sz w:val="22"/>
          <w:szCs w:val="22"/>
        </w:rPr>
        <w:t>hat all built-in feat</w:t>
      </w:r>
      <w:r w:rsidRPr="00BF0859">
        <w:rPr>
          <w:sz w:val="22"/>
          <w:szCs w:val="22"/>
        </w:rPr>
        <w:t>ures should be accessible to individuals who are blind or visually impaired by using screen reader and magnification programs that are available on a device,</w:t>
      </w:r>
      <w:r w:rsidRPr="008D556C">
        <w:rPr>
          <w:rStyle w:val="FootnoteReference"/>
          <w:sz w:val="22"/>
          <w:szCs w:val="22"/>
        </w:rPr>
        <w:footnoteReference w:id="79"/>
      </w:r>
      <w:r w:rsidRPr="008D556C">
        <w:rPr>
          <w:sz w:val="22"/>
          <w:szCs w:val="22"/>
        </w:rPr>
        <w:t xml:space="preserve"> and suggests that a comprehensive set of mobile standards for app accessibility is needed.</w:t>
      </w:r>
      <w:r w:rsidRPr="008D556C">
        <w:rPr>
          <w:rStyle w:val="FootnoteReference"/>
          <w:sz w:val="22"/>
          <w:szCs w:val="22"/>
        </w:rPr>
        <w:footnoteReference w:id="80"/>
      </w:r>
      <w:r w:rsidRPr="008D556C">
        <w:rPr>
          <w:sz w:val="22"/>
          <w:szCs w:val="22"/>
        </w:rPr>
        <w:t xml:space="preserve">  ACB </w:t>
      </w:r>
      <w:r w:rsidRPr="003511DC">
        <w:rPr>
          <w:sz w:val="22"/>
          <w:szCs w:val="22"/>
        </w:rPr>
        <w:t xml:space="preserve">also reports that consumers are frustrated by </w:t>
      </w:r>
      <w:r w:rsidR="00F70FB4" w:rsidRPr="00BF0859">
        <w:rPr>
          <w:sz w:val="22"/>
          <w:szCs w:val="22"/>
        </w:rPr>
        <w:t xml:space="preserve">a perceived </w:t>
      </w:r>
      <w:r w:rsidRPr="006C02D7">
        <w:rPr>
          <w:sz w:val="22"/>
          <w:szCs w:val="22"/>
        </w:rPr>
        <w:t>lack of accountability exhibited by providers of operating systems, carriers, and equipment manufacturers with respect to devices that are not accessible.</w:t>
      </w:r>
      <w:r w:rsidRPr="008D556C">
        <w:rPr>
          <w:rStyle w:val="FootnoteReference"/>
          <w:sz w:val="22"/>
          <w:szCs w:val="22"/>
        </w:rPr>
        <w:footnoteReference w:id="81"/>
      </w:r>
      <w:r w:rsidRPr="008D556C">
        <w:rPr>
          <w:sz w:val="22"/>
          <w:szCs w:val="22"/>
        </w:rPr>
        <w:t xml:space="preserve">  Likewise, </w:t>
      </w:r>
      <w:r w:rsidR="009F1B99" w:rsidRPr="003511DC">
        <w:rPr>
          <w:sz w:val="22"/>
          <w:szCs w:val="22"/>
        </w:rPr>
        <w:t>in comment</w:t>
      </w:r>
      <w:r w:rsidR="009F1B99" w:rsidRPr="00BF0859">
        <w:rPr>
          <w:sz w:val="22"/>
          <w:szCs w:val="22"/>
        </w:rPr>
        <w:t xml:space="preserve">s filed in response to the </w:t>
      </w:r>
      <w:r w:rsidR="009F1B99" w:rsidRPr="006C02D7">
        <w:rPr>
          <w:i/>
          <w:sz w:val="22"/>
          <w:szCs w:val="22"/>
        </w:rPr>
        <w:t>2014 CVAA Tentative Findings PN</w:t>
      </w:r>
      <w:r w:rsidR="009F1B99" w:rsidRPr="009C5E08">
        <w:rPr>
          <w:sz w:val="22"/>
          <w:szCs w:val="22"/>
        </w:rPr>
        <w:t>, the American Foundation for the Blind</w:t>
      </w:r>
      <w:r w:rsidR="009F1B99" w:rsidRPr="009C79E5">
        <w:rPr>
          <w:i/>
          <w:sz w:val="22"/>
          <w:szCs w:val="22"/>
        </w:rPr>
        <w:t xml:space="preserve"> </w:t>
      </w:r>
      <w:r w:rsidR="009F1B99" w:rsidRPr="009C79E5">
        <w:rPr>
          <w:sz w:val="22"/>
          <w:szCs w:val="22"/>
        </w:rPr>
        <w:t>(</w:t>
      </w:r>
      <w:r w:rsidRPr="009C79E5">
        <w:rPr>
          <w:sz w:val="22"/>
          <w:szCs w:val="22"/>
        </w:rPr>
        <w:t>AFB</w:t>
      </w:r>
      <w:r w:rsidR="009F1B99" w:rsidRPr="009C79E5">
        <w:rPr>
          <w:sz w:val="22"/>
          <w:szCs w:val="22"/>
        </w:rPr>
        <w:t>)</w:t>
      </w:r>
      <w:r w:rsidRPr="009C79E5">
        <w:rPr>
          <w:sz w:val="22"/>
          <w:szCs w:val="22"/>
        </w:rPr>
        <w:t xml:space="preserve"> acknowledges consumers</w:t>
      </w:r>
      <w:r w:rsidR="003308A5" w:rsidRPr="009C79E5">
        <w:rPr>
          <w:sz w:val="22"/>
          <w:szCs w:val="22"/>
        </w:rPr>
        <w:t>’</w:t>
      </w:r>
      <w:r w:rsidRPr="009C79E5">
        <w:rPr>
          <w:sz w:val="22"/>
          <w:szCs w:val="22"/>
        </w:rPr>
        <w:t xml:space="preserve"> </w:t>
      </w:r>
      <w:r w:rsidR="003308A5" w:rsidRPr="009C79E5">
        <w:rPr>
          <w:sz w:val="22"/>
          <w:szCs w:val="22"/>
        </w:rPr>
        <w:t>“</w:t>
      </w:r>
      <w:r w:rsidRPr="009C79E5">
        <w:rPr>
          <w:sz w:val="22"/>
          <w:szCs w:val="22"/>
        </w:rPr>
        <w:t>positive views about the quality of the accessibility and usability offered by Apple through its iOS platform,</w:t>
      </w:r>
      <w:r w:rsidR="003308A5" w:rsidRPr="009C79E5">
        <w:rPr>
          <w:sz w:val="22"/>
          <w:szCs w:val="22"/>
        </w:rPr>
        <w:t>”</w:t>
      </w:r>
      <w:r w:rsidRPr="008D556C">
        <w:rPr>
          <w:rStyle w:val="FootnoteReference"/>
          <w:sz w:val="22"/>
          <w:szCs w:val="22"/>
        </w:rPr>
        <w:footnoteReference w:id="82"/>
      </w:r>
      <w:r w:rsidRPr="008D556C">
        <w:rPr>
          <w:sz w:val="22"/>
          <w:szCs w:val="22"/>
        </w:rPr>
        <w:t xml:space="preserve"> but it reports</w:t>
      </w:r>
      <w:r w:rsidRPr="003511DC">
        <w:rPr>
          <w:sz w:val="22"/>
          <w:szCs w:val="22"/>
        </w:rPr>
        <w:t xml:space="preserve"> that, while the Andr</w:t>
      </w:r>
      <w:r w:rsidRPr="00BF0859">
        <w:rPr>
          <w:sz w:val="22"/>
          <w:szCs w:val="22"/>
        </w:rPr>
        <w:t xml:space="preserve">oid platform offers accessibility, implementation by manufacturers and carriers has been inconsistent, and consumers have found it difficult to </w:t>
      </w:r>
      <w:r w:rsidRPr="006C02D7">
        <w:rPr>
          <w:i/>
          <w:sz w:val="22"/>
          <w:szCs w:val="22"/>
        </w:rPr>
        <w:t>use</w:t>
      </w:r>
      <w:r w:rsidRPr="009C5E08">
        <w:rPr>
          <w:sz w:val="22"/>
          <w:szCs w:val="22"/>
        </w:rPr>
        <w:t xml:space="preserve"> Android-based devices.</w:t>
      </w:r>
      <w:r w:rsidRPr="008D556C">
        <w:rPr>
          <w:rStyle w:val="FootnoteReference"/>
          <w:sz w:val="22"/>
          <w:szCs w:val="22"/>
        </w:rPr>
        <w:footnoteReference w:id="83"/>
      </w:r>
      <w:r w:rsidRPr="008D556C">
        <w:rPr>
          <w:sz w:val="22"/>
          <w:szCs w:val="22"/>
        </w:rPr>
        <w:t xml:space="preserve">  AFB also reports that </w:t>
      </w:r>
      <w:r w:rsidR="003308A5" w:rsidRPr="003511DC">
        <w:rPr>
          <w:sz w:val="22"/>
          <w:szCs w:val="22"/>
        </w:rPr>
        <w:t>“</w:t>
      </w:r>
      <w:r w:rsidRPr="00BF0859">
        <w:rPr>
          <w:sz w:val="22"/>
          <w:szCs w:val="22"/>
        </w:rPr>
        <w:t>other mobile platforms have lagged in t</w:t>
      </w:r>
      <w:r w:rsidRPr="00FF1FD9">
        <w:rPr>
          <w:sz w:val="22"/>
          <w:szCs w:val="22"/>
        </w:rPr>
        <w:t>erms of accessibility offerings.</w:t>
      </w:r>
      <w:r w:rsidR="003308A5" w:rsidRPr="006C02D7">
        <w:rPr>
          <w:sz w:val="22"/>
          <w:szCs w:val="22"/>
        </w:rPr>
        <w:t>”</w:t>
      </w:r>
      <w:r w:rsidRPr="008D556C">
        <w:rPr>
          <w:rStyle w:val="FootnoteReference"/>
          <w:sz w:val="22"/>
          <w:szCs w:val="22"/>
        </w:rPr>
        <w:footnoteReference w:id="84"/>
      </w:r>
    </w:p>
    <w:p w:rsidR="00150E80" w:rsidRPr="003511DC" w:rsidRDefault="00150E80" w:rsidP="00476E6F">
      <w:pPr>
        <w:suppressAutoHyphens/>
        <w:rPr>
          <w:sz w:val="22"/>
          <w:szCs w:val="22"/>
          <w:shd w:val="clear" w:color="auto" w:fill="FFFF00"/>
        </w:rPr>
      </w:pPr>
    </w:p>
    <w:p w:rsidR="00150E80" w:rsidRPr="003511DC" w:rsidRDefault="00150E80" w:rsidP="00476E6F">
      <w:pPr>
        <w:numPr>
          <w:ilvl w:val="0"/>
          <w:numId w:val="2"/>
        </w:numPr>
        <w:tabs>
          <w:tab w:val="clear" w:pos="720"/>
        </w:tabs>
        <w:ind w:left="0" w:firstLine="720"/>
        <w:rPr>
          <w:sz w:val="22"/>
          <w:szCs w:val="22"/>
          <w:shd w:val="clear" w:color="auto" w:fill="FFFF00"/>
        </w:rPr>
      </w:pPr>
      <w:r w:rsidRPr="00BF0859">
        <w:rPr>
          <w:sz w:val="22"/>
          <w:szCs w:val="22"/>
        </w:rPr>
        <w:t>The American Association of the Deaf-Blind (AADB) states</w:t>
      </w:r>
      <w:r w:rsidR="003956A3" w:rsidRPr="00FF1FD9">
        <w:rPr>
          <w:sz w:val="22"/>
          <w:szCs w:val="22"/>
        </w:rPr>
        <w:t xml:space="preserve">, in response to the </w:t>
      </w:r>
      <w:r w:rsidR="003956A3" w:rsidRPr="00FF1FD9">
        <w:rPr>
          <w:i/>
          <w:sz w:val="22"/>
          <w:szCs w:val="22"/>
        </w:rPr>
        <w:t>2014 CVAA Assessment PN</w:t>
      </w:r>
      <w:r w:rsidR="003956A3" w:rsidRPr="006C02D7">
        <w:rPr>
          <w:sz w:val="22"/>
          <w:szCs w:val="22"/>
        </w:rPr>
        <w:t>,</w:t>
      </w:r>
      <w:r w:rsidRPr="009C5E08">
        <w:rPr>
          <w:sz w:val="22"/>
          <w:szCs w:val="22"/>
        </w:rPr>
        <w:t xml:space="preserve"> that </w:t>
      </w:r>
      <w:r w:rsidR="003308A5" w:rsidRPr="009C79E5">
        <w:rPr>
          <w:sz w:val="22"/>
          <w:szCs w:val="22"/>
        </w:rPr>
        <w:t>“</w:t>
      </w:r>
      <w:r w:rsidRPr="009C79E5">
        <w:rPr>
          <w:sz w:val="22"/>
          <w:szCs w:val="22"/>
        </w:rPr>
        <w:t>the majority of smartphones, tablets and other similar devices are not accessible to the Deaf-Blind.</w:t>
      </w:r>
      <w:r w:rsidR="003308A5" w:rsidRPr="009C79E5">
        <w:rPr>
          <w:sz w:val="22"/>
          <w:szCs w:val="22"/>
        </w:rPr>
        <w:t>”</w:t>
      </w:r>
      <w:r w:rsidRPr="008D556C">
        <w:rPr>
          <w:rStyle w:val="FootnoteReference"/>
          <w:sz w:val="22"/>
          <w:szCs w:val="22"/>
        </w:rPr>
        <w:footnoteReference w:id="85"/>
      </w:r>
      <w:r w:rsidRPr="008D556C">
        <w:rPr>
          <w:sz w:val="22"/>
          <w:szCs w:val="22"/>
        </w:rPr>
        <w:t xml:space="preserve">  AADB not</w:t>
      </w:r>
      <w:r w:rsidRPr="003511DC">
        <w:rPr>
          <w:sz w:val="22"/>
          <w:szCs w:val="22"/>
        </w:rPr>
        <w:t>es that, when using t</w:t>
      </w:r>
      <w:r w:rsidRPr="00BF0859">
        <w:rPr>
          <w:sz w:val="22"/>
          <w:szCs w:val="22"/>
        </w:rPr>
        <w:t>ablets to connect to the Internet or make calls, there is no alert to notify users when the call is received.</w:t>
      </w:r>
      <w:r w:rsidRPr="008D556C">
        <w:rPr>
          <w:rStyle w:val="FootnoteReference"/>
          <w:sz w:val="22"/>
          <w:szCs w:val="22"/>
        </w:rPr>
        <w:footnoteReference w:id="86"/>
      </w:r>
      <w:r w:rsidRPr="008D556C">
        <w:rPr>
          <w:sz w:val="22"/>
          <w:szCs w:val="22"/>
        </w:rPr>
        <w:t xml:space="preserve">  Further, AADB reports that </w:t>
      </w:r>
      <w:r w:rsidR="003308A5" w:rsidRPr="003511DC">
        <w:rPr>
          <w:sz w:val="22"/>
          <w:szCs w:val="22"/>
        </w:rPr>
        <w:t>“</w:t>
      </w:r>
      <w:r w:rsidRPr="00BF0859">
        <w:rPr>
          <w:sz w:val="22"/>
          <w:szCs w:val="22"/>
        </w:rPr>
        <w:t>most mobile phones and tablets have limited accessibility features or none at all for screen re</w:t>
      </w:r>
      <w:r w:rsidRPr="006C02D7">
        <w:rPr>
          <w:sz w:val="22"/>
          <w:szCs w:val="22"/>
        </w:rPr>
        <w:t>aders using Braille.</w:t>
      </w:r>
      <w:r w:rsidR="003308A5" w:rsidRPr="009C79E5">
        <w:rPr>
          <w:sz w:val="22"/>
          <w:szCs w:val="22"/>
        </w:rPr>
        <w:t>”</w:t>
      </w:r>
      <w:r w:rsidRPr="008D556C">
        <w:rPr>
          <w:rStyle w:val="FootnoteReference"/>
          <w:sz w:val="22"/>
          <w:szCs w:val="22"/>
        </w:rPr>
        <w:footnoteReference w:id="87"/>
      </w:r>
      <w:r w:rsidRPr="008D556C">
        <w:rPr>
          <w:sz w:val="22"/>
          <w:szCs w:val="22"/>
        </w:rPr>
        <w:t xml:space="preserve">  Even when a device is accessible, AADB claims that </w:t>
      </w:r>
      <w:r w:rsidR="003308A5" w:rsidRPr="003511DC">
        <w:rPr>
          <w:sz w:val="22"/>
          <w:szCs w:val="22"/>
        </w:rPr>
        <w:t>“</w:t>
      </w:r>
      <w:r w:rsidRPr="00BF0859">
        <w:rPr>
          <w:sz w:val="22"/>
          <w:szCs w:val="22"/>
        </w:rPr>
        <w:t>the software and apps made for these devices are not always accessible,</w:t>
      </w:r>
      <w:r w:rsidR="003308A5" w:rsidRPr="006C02D7">
        <w:rPr>
          <w:sz w:val="22"/>
          <w:szCs w:val="22"/>
        </w:rPr>
        <w:t>”</w:t>
      </w:r>
      <w:r w:rsidRPr="009C5E08">
        <w:rPr>
          <w:sz w:val="22"/>
          <w:szCs w:val="22"/>
        </w:rPr>
        <w:t xml:space="preserve"> either because they are only accessible visually or only accessible audibly.</w:t>
      </w:r>
      <w:r w:rsidRPr="008D556C">
        <w:rPr>
          <w:rStyle w:val="FootnoteReference"/>
          <w:sz w:val="22"/>
          <w:szCs w:val="22"/>
        </w:rPr>
        <w:footnoteReference w:id="88"/>
      </w:r>
      <w:r w:rsidRPr="008D556C">
        <w:rPr>
          <w:sz w:val="22"/>
          <w:szCs w:val="22"/>
        </w:rPr>
        <w:t xml:space="preserve">  For example, according to AA</w:t>
      </w:r>
      <w:r w:rsidRPr="003511DC">
        <w:rPr>
          <w:sz w:val="22"/>
          <w:szCs w:val="22"/>
        </w:rPr>
        <w:t xml:space="preserve">DB, </w:t>
      </w:r>
      <w:r w:rsidR="003308A5" w:rsidRPr="00BF0859">
        <w:rPr>
          <w:sz w:val="22"/>
          <w:szCs w:val="22"/>
        </w:rPr>
        <w:t>“</w:t>
      </w:r>
      <w:r w:rsidRPr="00FF1FD9">
        <w:rPr>
          <w:sz w:val="22"/>
          <w:szCs w:val="22"/>
        </w:rPr>
        <w:t>[i]nstant messaging (IM) on mobile phones is not accessible to screen readers.</w:t>
      </w:r>
      <w:r w:rsidR="003308A5" w:rsidRPr="006C02D7">
        <w:rPr>
          <w:sz w:val="22"/>
          <w:szCs w:val="22"/>
        </w:rPr>
        <w:t>”</w:t>
      </w:r>
      <w:r w:rsidRPr="008D556C">
        <w:rPr>
          <w:rStyle w:val="FootnoteReference"/>
          <w:sz w:val="22"/>
          <w:szCs w:val="22"/>
        </w:rPr>
        <w:footnoteReference w:id="89"/>
      </w:r>
      <w:r w:rsidRPr="008D556C">
        <w:rPr>
          <w:sz w:val="22"/>
          <w:szCs w:val="22"/>
        </w:rPr>
        <w:t xml:space="preserve">  A further concern is that, when there are upgrades or updates to a mobile device</w:t>
      </w:r>
      <w:r w:rsidR="003308A5" w:rsidRPr="003511DC">
        <w:rPr>
          <w:sz w:val="22"/>
          <w:szCs w:val="22"/>
        </w:rPr>
        <w:t>’</w:t>
      </w:r>
      <w:r w:rsidRPr="00BF0859">
        <w:rPr>
          <w:sz w:val="22"/>
          <w:szCs w:val="22"/>
        </w:rPr>
        <w:t>s core software or apps, it sometimes causes the device or app to become less accessible</w:t>
      </w:r>
      <w:r w:rsidRPr="00FF1FD9">
        <w:rPr>
          <w:sz w:val="22"/>
          <w:szCs w:val="22"/>
        </w:rPr>
        <w:t xml:space="preserve"> or totally inaccessible for the user who is deaf-blind.</w:t>
      </w:r>
      <w:r w:rsidRPr="008D556C">
        <w:rPr>
          <w:rStyle w:val="FootnoteReference"/>
          <w:sz w:val="22"/>
          <w:szCs w:val="22"/>
        </w:rPr>
        <w:footnoteReference w:id="90"/>
      </w:r>
      <w:r w:rsidRPr="008D556C">
        <w:rPr>
          <w:sz w:val="22"/>
          <w:szCs w:val="22"/>
        </w:rPr>
        <w:t xml:space="preserve">  For example, AADB notes that sometimes such updates cause the equipment or software to stop working with the assistive technology, such as a Braille display or screen reader, that is used by people</w:t>
      </w:r>
      <w:r w:rsidRPr="003511DC">
        <w:rPr>
          <w:sz w:val="22"/>
          <w:szCs w:val="22"/>
        </w:rPr>
        <w:t xml:space="preserve"> who are deaf-blind.</w:t>
      </w:r>
      <w:r w:rsidRPr="008D556C">
        <w:rPr>
          <w:rStyle w:val="FootnoteReference"/>
          <w:sz w:val="22"/>
          <w:szCs w:val="22"/>
        </w:rPr>
        <w:footnoteReference w:id="91"/>
      </w:r>
      <w:r w:rsidRPr="008D556C">
        <w:rPr>
          <w:sz w:val="22"/>
          <w:szCs w:val="22"/>
        </w:rPr>
        <w:t xml:space="preserve">  This is particularly frustrating, they say, because an update cannot be rolled back, so the product becomes completely useless until fixes are available, </w:t>
      </w:r>
      <w:r w:rsidR="003308A5" w:rsidRPr="003511DC">
        <w:rPr>
          <w:sz w:val="22"/>
          <w:szCs w:val="22"/>
        </w:rPr>
        <w:t>“</w:t>
      </w:r>
      <w:r w:rsidRPr="00BF0859">
        <w:rPr>
          <w:sz w:val="22"/>
          <w:szCs w:val="22"/>
        </w:rPr>
        <w:t>which again require sighted assistance and significant time delays.</w:t>
      </w:r>
      <w:r w:rsidR="003308A5" w:rsidRPr="00FF1FD9">
        <w:rPr>
          <w:sz w:val="22"/>
          <w:szCs w:val="22"/>
        </w:rPr>
        <w:t>”</w:t>
      </w:r>
      <w:r w:rsidRPr="008D556C">
        <w:rPr>
          <w:rStyle w:val="FootnoteReference"/>
          <w:sz w:val="22"/>
          <w:szCs w:val="22"/>
        </w:rPr>
        <w:footnoteReference w:id="92"/>
      </w:r>
      <w:r w:rsidRPr="008D556C">
        <w:rPr>
          <w:sz w:val="22"/>
          <w:szCs w:val="22"/>
        </w:rPr>
        <w:t xml:space="preserve"> </w:t>
      </w:r>
    </w:p>
    <w:p w:rsidR="00150E80" w:rsidRPr="003511DC" w:rsidRDefault="00150E80" w:rsidP="00476E6F">
      <w:pPr>
        <w:suppressAutoHyphens/>
        <w:ind w:firstLine="720"/>
        <w:rPr>
          <w:sz w:val="22"/>
          <w:szCs w:val="22"/>
          <w:shd w:val="clear" w:color="auto" w:fill="FFFF00"/>
        </w:rPr>
      </w:pPr>
    </w:p>
    <w:p w:rsidR="00E46602" w:rsidRPr="003511DC" w:rsidRDefault="00E46602" w:rsidP="00476E6F">
      <w:pPr>
        <w:numPr>
          <w:ilvl w:val="0"/>
          <w:numId w:val="2"/>
        </w:numPr>
        <w:tabs>
          <w:tab w:val="clear" w:pos="720"/>
        </w:tabs>
        <w:ind w:left="0" w:firstLine="720"/>
        <w:rPr>
          <w:sz w:val="22"/>
          <w:szCs w:val="22"/>
          <w:shd w:val="clear" w:color="auto" w:fill="FFFF00"/>
        </w:rPr>
      </w:pPr>
      <w:r w:rsidRPr="00BF0859">
        <w:rPr>
          <w:sz w:val="22"/>
          <w:szCs w:val="22"/>
        </w:rPr>
        <w:t>The Wi</w:t>
      </w:r>
      <w:r w:rsidRPr="00FF1FD9">
        <w:rPr>
          <w:sz w:val="22"/>
          <w:szCs w:val="22"/>
        </w:rPr>
        <w:t xml:space="preserve">reless RERC, in response to the </w:t>
      </w:r>
      <w:r w:rsidRPr="00FF1FD9">
        <w:rPr>
          <w:i/>
          <w:sz w:val="22"/>
          <w:szCs w:val="22"/>
        </w:rPr>
        <w:t>2014 CVAA Tentative Findings PN</w:t>
      </w:r>
      <w:r w:rsidRPr="00FF1FD9">
        <w:rPr>
          <w:sz w:val="22"/>
          <w:szCs w:val="22"/>
        </w:rPr>
        <w:t>, reports that it conducted a study of 215 wireless emergency alert capable devices and found that “the most frequently incorporated accessibility features were voice control to access the phon</w:t>
      </w:r>
      <w:r w:rsidRPr="006C02D7">
        <w:rPr>
          <w:sz w:val="22"/>
          <w:szCs w:val="22"/>
        </w:rPr>
        <w:t>e’s features, voice dialing, and text-to-speech technology.”</w:t>
      </w:r>
      <w:r w:rsidRPr="008D556C">
        <w:rPr>
          <w:rStyle w:val="FootnoteReference"/>
          <w:sz w:val="22"/>
          <w:szCs w:val="22"/>
        </w:rPr>
        <w:footnoteReference w:id="93"/>
      </w:r>
      <w:r w:rsidRPr="008D556C">
        <w:rPr>
          <w:sz w:val="22"/>
          <w:szCs w:val="22"/>
        </w:rPr>
        <w:t xml:space="preserve">  While these accessibility features can assist people who are blind, have low vision, cognitive disabilities, or physical disabilities, the Wireless RERC also found that only 3.7% of the devices</w:t>
      </w:r>
      <w:r w:rsidRPr="003511DC">
        <w:rPr>
          <w:sz w:val="22"/>
          <w:szCs w:val="22"/>
        </w:rPr>
        <w:t xml:space="preserve"> it evaluated “had fu</w:t>
      </w:r>
      <w:r w:rsidRPr="00BF0859">
        <w:rPr>
          <w:sz w:val="22"/>
          <w:szCs w:val="22"/>
        </w:rPr>
        <w:t>ll, out-of-the-box accessibility . . . [where] all of the accessibility features evaluated were built into the device’s [operating system].”</w:t>
      </w:r>
      <w:r w:rsidRPr="008D556C">
        <w:rPr>
          <w:rStyle w:val="FootnoteReference"/>
          <w:sz w:val="22"/>
          <w:szCs w:val="22"/>
        </w:rPr>
        <w:footnoteReference w:id="94"/>
      </w:r>
      <w:r w:rsidRPr="008D556C">
        <w:rPr>
          <w:sz w:val="22"/>
          <w:szCs w:val="22"/>
        </w:rPr>
        <w:t xml:space="preserve">  Nonetheless, the Wireless RERC concurs that greater accessibility has been enabled by a plat</w:t>
      </w:r>
      <w:r w:rsidRPr="003511DC">
        <w:rPr>
          <w:sz w:val="22"/>
          <w:szCs w:val="22"/>
        </w:rPr>
        <w:t>form-based approach,</w:t>
      </w:r>
      <w:r w:rsidRPr="008D556C">
        <w:rPr>
          <w:rStyle w:val="FootnoteReference"/>
          <w:sz w:val="22"/>
          <w:szCs w:val="22"/>
        </w:rPr>
        <w:footnoteReference w:id="95"/>
      </w:r>
      <w:r w:rsidRPr="008D556C">
        <w:rPr>
          <w:sz w:val="22"/>
          <w:szCs w:val="22"/>
        </w:rPr>
        <w:t xml:space="preserve"> and reports that the majority of smartphones used by people with disabilities operate on the iOS and Android operating systems.</w:t>
      </w:r>
      <w:r w:rsidRPr="008D556C">
        <w:rPr>
          <w:rStyle w:val="FootnoteReference"/>
          <w:sz w:val="22"/>
          <w:szCs w:val="22"/>
        </w:rPr>
        <w:footnoteReference w:id="96"/>
      </w:r>
      <w:r w:rsidRPr="008D556C">
        <w:rPr>
          <w:sz w:val="22"/>
          <w:szCs w:val="22"/>
        </w:rPr>
        <w:t xml:space="preserve">  It also says that care must be taken to ensure that software updates do not disable accessibility.</w:t>
      </w:r>
      <w:r w:rsidRPr="008D556C">
        <w:rPr>
          <w:rStyle w:val="FootnoteReference"/>
          <w:sz w:val="22"/>
          <w:szCs w:val="22"/>
        </w:rPr>
        <w:footnoteReference w:id="97"/>
      </w:r>
      <w:r w:rsidRPr="008D556C">
        <w:rPr>
          <w:sz w:val="22"/>
          <w:szCs w:val="22"/>
        </w:rPr>
        <w:t xml:space="preserve">  To </w:t>
      </w:r>
      <w:r w:rsidRPr="003511DC">
        <w:rPr>
          <w:sz w:val="22"/>
          <w:szCs w:val="22"/>
        </w:rPr>
        <w:t>avoid such software u</w:t>
      </w:r>
      <w:r w:rsidRPr="00BF0859">
        <w:rPr>
          <w:sz w:val="22"/>
          <w:szCs w:val="22"/>
        </w:rPr>
        <w:t>pdates and help achieve full, end-to-end, out-of-the-box accessibility, the Wireless RERC recommends that a company’s accessibility and technical engineers work more closely together.</w:t>
      </w:r>
      <w:r w:rsidRPr="008D556C">
        <w:rPr>
          <w:rStyle w:val="FootnoteReference"/>
          <w:sz w:val="22"/>
          <w:szCs w:val="22"/>
        </w:rPr>
        <w:footnoteReference w:id="98"/>
      </w:r>
      <w:r w:rsidRPr="008D556C">
        <w:rPr>
          <w:sz w:val="22"/>
          <w:szCs w:val="22"/>
        </w:rPr>
        <w:t xml:space="preserve">  Further, the Wireless RERC reports that 30% of su</w:t>
      </w:r>
      <w:r w:rsidRPr="003511DC">
        <w:rPr>
          <w:sz w:val="22"/>
          <w:szCs w:val="22"/>
        </w:rPr>
        <w:t>rvey respondents with</w:t>
      </w:r>
      <w:r w:rsidRPr="00BF0859">
        <w:rPr>
          <w:sz w:val="22"/>
          <w:szCs w:val="22"/>
        </w:rPr>
        <w:t xml:space="preserve"> disabilities are continuing to use basic phones and, as such, there is still a need for accessible cellphones.</w:t>
      </w:r>
      <w:r w:rsidRPr="008D556C">
        <w:rPr>
          <w:rStyle w:val="FootnoteReference"/>
          <w:sz w:val="22"/>
          <w:szCs w:val="22"/>
        </w:rPr>
        <w:footnoteReference w:id="99"/>
      </w:r>
      <w:r w:rsidRPr="008D556C">
        <w:rPr>
          <w:sz w:val="22"/>
          <w:szCs w:val="22"/>
        </w:rPr>
        <w:t xml:space="preserve">  The Wireless RERC concludes that, currently, “people with disabilities are limited to a subset of devices that suit their</w:t>
      </w:r>
      <w:r w:rsidRPr="003511DC">
        <w:rPr>
          <w:sz w:val="22"/>
          <w:szCs w:val="22"/>
        </w:rPr>
        <w:t xml:space="preserve"> needs . . . [but] ma</w:t>
      </w:r>
      <w:r w:rsidRPr="00BF0859">
        <w:rPr>
          <w:sz w:val="22"/>
          <w:szCs w:val="22"/>
        </w:rPr>
        <w:t>y or may not be within their desired price range.”</w:t>
      </w:r>
      <w:r w:rsidRPr="008D556C">
        <w:rPr>
          <w:rStyle w:val="FootnoteReference"/>
          <w:sz w:val="22"/>
          <w:szCs w:val="22"/>
        </w:rPr>
        <w:footnoteReference w:id="100"/>
      </w:r>
      <w:r w:rsidRPr="008D556C">
        <w:rPr>
          <w:sz w:val="22"/>
          <w:szCs w:val="22"/>
        </w:rPr>
        <w:t xml:space="preserve">  </w:t>
      </w:r>
    </w:p>
    <w:p w:rsidR="00E46602" w:rsidRPr="00BF0859" w:rsidRDefault="00E46602" w:rsidP="00476E6F">
      <w:pPr>
        <w:suppressAutoHyphens/>
        <w:ind w:firstLine="720"/>
        <w:rPr>
          <w:sz w:val="22"/>
          <w:szCs w:val="22"/>
          <w:shd w:val="clear" w:color="auto" w:fill="FFFF00"/>
        </w:rPr>
      </w:pPr>
    </w:p>
    <w:p w:rsidR="00150E80" w:rsidRPr="008D556C" w:rsidRDefault="00150E80" w:rsidP="00476E6F">
      <w:pPr>
        <w:numPr>
          <w:ilvl w:val="0"/>
          <w:numId w:val="2"/>
        </w:numPr>
        <w:tabs>
          <w:tab w:val="clear" w:pos="720"/>
        </w:tabs>
        <w:ind w:left="0" w:firstLine="720"/>
        <w:rPr>
          <w:sz w:val="22"/>
          <w:szCs w:val="22"/>
        </w:rPr>
      </w:pPr>
      <w:r w:rsidRPr="006C02D7">
        <w:rPr>
          <w:sz w:val="22"/>
          <w:szCs w:val="22"/>
        </w:rPr>
        <w:t>In addition to the above feedback received from disability</w:t>
      </w:r>
      <w:r w:rsidR="00E46602" w:rsidRPr="006C02D7">
        <w:rPr>
          <w:sz w:val="22"/>
          <w:szCs w:val="22"/>
        </w:rPr>
        <w:t>-related</w:t>
      </w:r>
      <w:r w:rsidRPr="006C02D7">
        <w:rPr>
          <w:sz w:val="22"/>
          <w:szCs w:val="22"/>
        </w:rPr>
        <w:t xml:space="preserve"> organizations, </w:t>
      </w:r>
      <w:r w:rsidR="00E729DF" w:rsidRPr="009C5E08">
        <w:rPr>
          <w:sz w:val="22"/>
          <w:szCs w:val="22"/>
        </w:rPr>
        <w:t xml:space="preserve">25 </w:t>
      </w:r>
      <w:r w:rsidRPr="009C79E5">
        <w:rPr>
          <w:sz w:val="22"/>
          <w:szCs w:val="22"/>
        </w:rPr>
        <w:t xml:space="preserve">individuals – all of whom </w:t>
      </w:r>
      <w:r w:rsidR="00E43C9B" w:rsidRPr="009C79E5">
        <w:rPr>
          <w:sz w:val="22"/>
          <w:szCs w:val="22"/>
        </w:rPr>
        <w:t xml:space="preserve">identified themselves as </w:t>
      </w:r>
      <w:r w:rsidR="005C736F" w:rsidRPr="009C79E5">
        <w:rPr>
          <w:sz w:val="22"/>
          <w:szCs w:val="22"/>
        </w:rPr>
        <w:t xml:space="preserve">being </w:t>
      </w:r>
      <w:r w:rsidRPr="009C79E5">
        <w:rPr>
          <w:sz w:val="22"/>
          <w:szCs w:val="22"/>
        </w:rPr>
        <w:t xml:space="preserve">either blind or low-vision, or </w:t>
      </w:r>
      <w:r w:rsidR="005C736F" w:rsidRPr="009C79E5">
        <w:rPr>
          <w:sz w:val="22"/>
          <w:szCs w:val="22"/>
        </w:rPr>
        <w:t xml:space="preserve">as </w:t>
      </w:r>
      <w:r w:rsidRPr="009C79E5">
        <w:rPr>
          <w:sz w:val="22"/>
          <w:szCs w:val="22"/>
        </w:rPr>
        <w:t>work</w:t>
      </w:r>
      <w:r w:rsidR="005C736F" w:rsidRPr="009C79E5">
        <w:rPr>
          <w:sz w:val="22"/>
          <w:szCs w:val="22"/>
        </w:rPr>
        <w:t>ing</w:t>
      </w:r>
      <w:r w:rsidRPr="009C79E5">
        <w:rPr>
          <w:sz w:val="22"/>
          <w:szCs w:val="22"/>
        </w:rPr>
        <w:t xml:space="preserve"> with this community – submitted comments in response to the </w:t>
      </w:r>
      <w:r w:rsidRPr="009C79E5">
        <w:rPr>
          <w:i/>
          <w:sz w:val="22"/>
          <w:szCs w:val="22"/>
        </w:rPr>
        <w:t>2014 CVAA Assessment PN.</w:t>
      </w:r>
      <w:r w:rsidR="002650D7" w:rsidRPr="008D556C">
        <w:rPr>
          <w:rStyle w:val="FootnoteReference"/>
          <w:sz w:val="22"/>
          <w:szCs w:val="22"/>
        </w:rPr>
        <w:footnoteReference w:id="101"/>
      </w:r>
      <w:r w:rsidRPr="008D556C">
        <w:rPr>
          <w:i/>
          <w:sz w:val="22"/>
          <w:szCs w:val="22"/>
        </w:rPr>
        <w:t xml:space="preserve"> </w:t>
      </w:r>
      <w:r w:rsidRPr="003511DC">
        <w:rPr>
          <w:sz w:val="22"/>
          <w:szCs w:val="22"/>
        </w:rPr>
        <w:t xml:space="preserve"> Many of these commenters emphasize the progress that has been made over the past several years on the accessibility of mobile devices, particularly the Apple iPhone,</w:t>
      </w:r>
      <w:r w:rsidRPr="00BF0859">
        <w:rPr>
          <w:sz w:val="22"/>
          <w:szCs w:val="22"/>
        </w:rPr>
        <w:t xml:space="preserve"> for people with vision loss.</w:t>
      </w:r>
      <w:r w:rsidRPr="008D556C">
        <w:rPr>
          <w:rStyle w:val="FootnoteReference"/>
          <w:sz w:val="22"/>
          <w:szCs w:val="22"/>
        </w:rPr>
        <w:footnoteReference w:id="102"/>
      </w:r>
      <w:r w:rsidRPr="008D556C">
        <w:rPr>
          <w:sz w:val="22"/>
          <w:szCs w:val="22"/>
        </w:rPr>
        <w:t xml:space="preserve">  Two individuals spoke favorably of the iPhone</w:t>
      </w:r>
      <w:r w:rsidR="003308A5" w:rsidRPr="008D556C">
        <w:rPr>
          <w:sz w:val="22"/>
          <w:szCs w:val="22"/>
        </w:rPr>
        <w:t>’</w:t>
      </w:r>
      <w:r w:rsidRPr="008D556C">
        <w:rPr>
          <w:sz w:val="22"/>
          <w:szCs w:val="22"/>
        </w:rPr>
        <w:t>s compliance with Section 718 of the Act, requiring Internet browsers built into mobile phones to be accessible to individuals who are blind or visually impaired.</w:t>
      </w:r>
      <w:r w:rsidRPr="008D556C">
        <w:rPr>
          <w:rStyle w:val="FootnoteReference"/>
          <w:sz w:val="22"/>
          <w:szCs w:val="22"/>
        </w:rPr>
        <w:footnoteReference w:id="103"/>
      </w:r>
      <w:r w:rsidRPr="008D556C">
        <w:rPr>
          <w:sz w:val="22"/>
          <w:szCs w:val="22"/>
        </w:rPr>
        <w:t xml:space="preserve">  However, while commenters generall</w:t>
      </w:r>
      <w:r w:rsidRPr="003511DC">
        <w:rPr>
          <w:sz w:val="22"/>
          <w:szCs w:val="22"/>
        </w:rPr>
        <w:t>y express appreciation for the iPhone</w:t>
      </w:r>
      <w:r w:rsidR="003308A5" w:rsidRPr="00BF0859">
        <w:rPr>
          <w:sz w:val="22"/>
          <w:szCs w:val="22"/>
        </w:rPr>
        <w:t>’</w:t>
      </w:r>
      <w:r w:rsidRPr="00FF1FD9">
        <w:rPr>
          <w:sz w:val="22"/>
          <w:szCs w:val="22"/>
        </w:rPr>
        <w:t>s accessibility, some offer suggestions for areas in which accessibility on these devices can be improved.</w:t>
      </w:r>
      <w:r w:rsidRPr="008D556C">
        <w:rPr>
          <w:rStyle w:val="FootnoteReference"/>
          <w:sz w:val="22"/>
          <w:szCs w:val="22"/>
        </w:rPr>
        <w:footnoteReference w:id="104"/>
      </w:r>
      <w:r w:rsidRPr="008D556C">
        <w:rPr>
          <w:sz w:val="22"/>
          <w:szCs w:val="22"/>
        </w:rPr>
        <w:t xml:space="preserve">  In addition, several commenters express concerns that wireless phones available to low-i</w:t>
      </w:r>
      <w:r w:rsidRPr="003511DC">
        <w:rPr>
          <w:sz w:val="22"/>
          <w:szCs w:val="22"/>
        </w:rPr>
        <w:t xml:space="preserve">ncome consumers made </w:t>
      </w:r>
      <w:r w:rsidRPr="00BF0859">
        <w:rPr>
          <w:sz w:val="22"/>
          <w:szCs w:val="22"/>
        </w:rPr>
        <w:t>available by providers who participate in the Commission</w:t>
      </w:r>
      <w:r w:rsidR="003308A5" w:rsidRPr="006C02D7">
        <w:rPr>
          <w:sz w:val="22"/>
          <w:szCs w:val="22"/>
        </w:rPr>
        <w:t>’</w:t>
      </w:r>
      <w:r w:rsidRPr="006C02D7">
        <w:rPr>
          <w:sz w:val="22"/>
          <w:szCs w:val="22"/>
        </w:rPr>
        <w:t>s Lifeline program are not very accessible,</w:t>
      </w:r>
      <w:r w:rsidRPr="006C02D7">
        <w:rPr>
          <w:rStyle w:val="FootnoteReference"/>
          <w:sz w:val="22"/>
          <w:szCs w:val="22"/>
        </w:rPr>
        <w:t xml:space="preserve"> </w:t>
      </w:r>
      <w:r w:rsidRPr="008D556C">
        <w:rPr>
          <w:rStyle w:val="FootnoteReference"/>
          <w:sz w:val="22"/>
          <w:szCs w:val="22"/>
        </w:rPr>
        <w:footnoteReference w:id="105"/>
      </w:r>
      <w:r w:rsidRPr="008D556C">
        <w:rPr>
          <w:sz w:val="22"/>
          <w:szCs w:val="22"/>
        </w:rPr>
        <w:t xml:space="preserve"> and that some providers still offer no accessible phones at all.</w:t>
      </w:r>
      <w:r w:rsidRPr="008D556C">
        <w:rPr>
          <w:rStyle w:val="FootnoteReference"/>
          <w:sz w:val="22"/>
          <w:szCs w:val="22"/>
        </w:rPr>
        <w:footnoteReference w:id="106"/>
      </w:r>
      <w:r w:rsidRPr="008D556C">
        <w:rPr>
          <w:sz w:val="22"/>
          <w:szCs w:val="22"/>
        </w:rPr>
        <w:t xml:space="preserve">  </w:t>
      </w:r>
    </w:p>
    <w:p w:rsidR="00150E80" w:rsidRPr="003511DC" w:rsidRDefault="00150E80" w:rsidP="00476E6F">
      <w:pPr>
        <w:suppressAutoHyphens/>
        <w:ind w:firstLine="720"/>
        <w:rPr>
          <w:sz w:val="22"/>
          <w:szCs w:val="22"/>
        </w:rPr>
      </w:pPr>
    </w:p>
    <w:p w:rsidR="00150E80" w:rsidRPr="008D556C" w:rsidRDefault="00150E80" w:rsidP="00476E6F">
      <w:pPr>
        <w:numPr>
          <w:ilvl w:val="0"/>
          <w:numId w:val="2"/>
        </w:numPr>
        <w:tabs>
          <w:tab w:val="clear" w:pos="720"/>
        </w:tabs>
        <w:ind w:left="0" w:firstLine="720"/>
        <w:rPr>
          <w:sz w:val="22"/>
          <w:szCs w:val="22"/>
          <w:shd w:val="clear" w:color="auto" w:fill="FFFF00"/>
        </w:rPr>
      </w:pPr>
      <w:r w:rsidRPr="00BF0859">
        <w:rPr>
          <w:sz w:val="22"/>
          <w:szCs w:val="22"/>
        </w:rPr>
        <w:t>For the most part, industry stakeholders submitted comments tha</w:t>
      </w:r>
      <w:r w:rsidRPr="00FF1FD9">
        <w:rPr>
          <w:sz w:val="22"/>
          <w:szCs w:val="22"/>
        </w:rPr>
        <w:t xml:space="preserve">t emphasize their significant efforts to incorporate access into their products and services, along with the consequent results of such efforts.  For example, </w:t>
      </w:r>
      <w:r w:rsidR="003956A3" w:rsidRPr="006C02D7">
        <w:rPr>
          <w:sz w:val="22"/>
          <w:szCs w:val="22"/>
        </w:rPr>
        <w:t xml:space="preserve">in response to the </w:t>
      </w:r>
      <w:r w:rsidR="003956A3" w:rsidRPr="006C02D7">
        <w:rPr>
          <w:i/>
          <w:sz w:val="22"/>
          <w:szCs w:val="22"/>
        </w:rPr>
        <w:t>2014 CVAA Assessment PN</w:t>
      </w:r>
      <w:r w:rsidR="003956A3" w:rsidRPr="006C02D7">
        <w:rPr>
          <w:sz w:val="22"/>
          <w:szCs w:val="22"/>
        </w:rPr>
        <w:t>,</w:t>
      </w:r>
      <w:r w:rsidR="003956A3" w:rsidRPr="006C02D7">
        <w:rPr>
          <w:i/>
          <w:sz w:val="22"/>
          <w:szCs w:val="22"/>
        </w:rPr>
        <w:t xml:space="preserve"> </w:t>
      </w:r>
      <w:r w:rsidRPr="006C02D7">
        <w:rPr>
          <w:sz w:val="22"/>
          <w:szCs w:val="22"/>
        </w:rPr>
        <w:t>CTIA – the Wireless Association (CTIA) points to wire</w:t>
      </w:r>
      <w:r w:rsidRPr="009C79E5">
        <w:rPr>
          <w:sz w:val="22"/>
          <w:szCs w:val="22"/>
        </w:rPr>
        <w:t>less providers</w:t>
      </w:r>
      <w:r w:rsidR="003308A5" w:rsidRPr="009C79E5">
        <w:rPr>
          <w:sz w:val="22"/>
          <w:szCs w:val="22"/>
        </w:rPr>
        <w:t>’</w:t>
      </w:r>
      <w:r w:rsidRPr="009C79E5">
        <w:rPr>
          <w:sz w:val="22"/>
          <w:szCs w:val="22"/>
        </w:rPr>
        <w:t xml:space="preserve"> wide range of devices with </w:t>
      </w:r>
      <w:r w:rsidR="003308A5" w:rsidRPr="009C79E5">
        <w:rPr>
          <w:sz w:val="22"/>
          <w:szCs w:val="22"/>
        </w:rPr>
        <w:t>“</w:t>
      </w:r>
      <w:r w:rsidRPr="009C79E5">
        <w:rPr>
          <w:sz w:val="22"/>
          <w:szCs w:val="22"/>
        </w:rPr>
        <w:t>low-end and high-end features, functions, and prices that include accessible features for people with disabilities.</w:t>
      </w:r>
      <w:r w:rsidR="003308A5" w:rsidRPr="009C79E5">
        <w:rPr>
          <w:sz w:val="22"/>
          <w:szCs w:val="22"/>
        </w:rPr>
        <w:t>”</w:t>
      </w:r>
      <w:r w:rsidRPr="008D556C">
        <w:rPr>
          <w:rStyle w:val="FootnoteReference"/>
          <w:sz w:val="22"/>
          <w:szCs w:val="22"/>
        </w:rPr>
        <w:footnoteReference w:id="107"/>
      </w:r>
      <w:r w:rsidRPr="008D556C">
        <w:rPr>
          <w:sz w:val="22"/>
          <w:szCs w:val="22"/>
        </w:rPr>
        <w:t xml:space="preserve">  It stresses that wireless equipment manufacturers are continuing to improve smartphone access</w:t>
      </w:r>
      <w:r w:rsidRPr="003511DC">
        <w:rPr>
          <w:sz w:val="22"/>
          <w:szCs w:val="22"/>
        </w:rPr>
        <w:t xml:space="preserve">ibility features and </w:t>
      </w:r>
      <w:r w:rsidRPr="00BF0859">
        <w:rPr>
          <w:sz w:val="22"/>
          <w:szCs w:val="22"/>
        </w:rPr>
        <w:t>create solutions to meet</w:t>
      </w:r>
      <w:r w:rsidRPr="00FF1FD9" w:rsidDel="008A414D">
        <w:rPr>
          <w:sz w:val="22"/>
          <w:szCs w:val="22"/>
        </w:rPr>
        <w:t xml:space="preserve"> </w:t>
      </w:r>
      <w:r w:rsidRPr="006C02D7">
        <w:rPr>
          <w:sz w:val="22"/>
          <w:szCs w:val="22"/>
        </w:rPr>
        <w:t xml:space="preserve">the needs of </w:t>
      </w:r>
      <w:r w:rsidR="003308A5" w:rsidRPr="006C02D7">
        <w:rPr>
          <w:sz w:val="22"/>
          <w:szCs w:val="22"/>
        </w:rPr>
        <w:t>“</w:t>
      </w:r>
      <w:r w:rsidRPr="006C02D7">
        <w:rPr>
          <w:sz w:val="22"/>
          <w:szCs w:val="22"/>
        </w:rPr>
        <w:t>people with varying abilities.</w:t>
      </w:r>
      <w:r w:rsidR="003308A5" w:rsidRPr="006C02D7">
        <w:rPr>
          <w:sz w:val="22"/>
          <w:szCs w:val="22"/>
        </w:rPr>
        <w:t>”</w:t>
      </w:r>
      <w:r w:rsidRPr="008D556C">
        <w:rPr>
          <w:rStyle w:val="FootnoteReference"/>
          <w:sz w:val="22"/>
          <w:szCs w:val="22"/>
        </w:rPr>
        <w:footnoteReference w:id="108"/>
      </w:r>
      <w:r w:rsidRPr="008D556C">
        <w:rPr>
          <w:sz w:val="22"/>
          <w:szCs w:val="22"/>
        </w:rPr>
        <w:t xml:space="preserve">  CTIA identifies several feature phones that provide accessibility solutions, particularly for users who are blind or visually impaired.</w:t>
      </w:r>
      <w:r w:rsidRPr="008D556C">
        <w:rPr>
          <w:rStyle w:val="FootnoteReference"/>
          <w:sz w:val="22"/>
          <w:szCs w:val="22"/>
        </w:rPr>
        <w:footnoteReference w:id="109"/>
      </w:r>
      <w:r w:rsidRPr="008D556C">
        <w:rPr>
          <w:sz w:val="22"/>
          <w:szCs w:val="22"/>
        </w:rPr>
        <w:t xml:space="preserve">  CTIA goes on to explain that the move to a platform-based approach by manufacturers is enabling accessibility features to be more consistently available, because accessibility features in the operating system can be used by low- and high-end devices, and new features can be distr</w:t>
      </w:r>
      <w:r w:rsidRPr="003511DC">
        <w:rPr>
          <w:sz w:val="22"/>
          <w:szCs w:val="22"/>
        </w:rPr>
        <w:t>ibuted through softwa</w:t>
      </w:r>
      <w:r w:rsidRPr="00BF0859">
        <w:rPr>
          <w:sz w:val="22"/>
          <w:szCs w:val="22"/>
        </w:rPr>
        <w:t>re updates.</w:t>
      </w:r>
      <w:r w:rsidRPr="008D556C">
        <w:rPr>
          <w:rStyle w:val="FootnoteReference"/>
          <w:sz w:val="22"/>
          <w:szCs w:val="22"/>
        </w:rPr>
        <w:footnoteReference w:id="110"/>
      </w:r>
      <w:r w:rsidRPr="008D556C">
        <w:rPr>
          <w:sz w:val="22"/>
          <w:szCs w:val="22"/>
        </w:rPr>
        <w:t xml:space="preserve">  For example, CTIA discusses features offered on smartphone platforms for users who are blind or have low vision,</w:t>
      </w:r>
      <w:r w:rsidRPr="008D556C">
        <w:rPr>
          <w:rStyle w:val="FootnoteReference"/>
          <w:sz w:val="22"/>
          <w:szCs w:val="22"/>
        </w:rPr>
        <w:footnoteReference w:id="111"/>
      </w:r>
      <w:r w:rsidRPr="008D556C">
        <w:rPr>
          <w:sz w:val="22"/>
          <w:szCs w:val="22"/>
        </w:rPr>
        <w:t xml:space="preserve"> who are deaf or hard of hearing,</w:t>
      </w:r>
      <w:r w:rsidRPr="008D556C">
        <w:rPr>
          <w:rStyle w:val="FootnoteReference"/>
          <w:sz w:val="22"/>
          <w:szCs w:val="22"/>
        </w:rPr>
        <w:footnoteReference w:id="112"/>
      </w:r>
      <w:r w:rsidRPr="008D556C">
        <w:rPr>
          <w:sz w:val="22"/>
          <w:szCs w:val="22"/>
        </w:rPr>
        <w:t xml:space="preserve"> who have dexterity impairments,</w:t>
      </w:r>
      <w:r w:rsidRPr="008D556C">
        <w:rPr>
          <w:rStyle w:val="FootnoteReference"/>
          <w:sz w:val="22"/>
          <w:szCs w:val="22"/>
        </w:rPr>
        <w:footnoteReference w:id="113"/>
      </w:r>
      <w:r w:rsidRPr="008D556C">
        <w:rPr>
          <w:sz w:val="22"/>
          <w:szCs w:val="22"/>
        </w:rPr>
        <w:t xml:space="preserve"> and who have cognitive disabilities.</w:t>
      </w:r>
      <w:r w:rsidRPr="008D556C">
        <w:rPr>
          <w:rStyle w:val="FootnoteReference"/>
          <w:sz w:val="22"/>
          <w:szCs w:val="22"/>
        </w:rPr>
        <w:footnoteReference w:id="114"/>
      </w:r>
      <w:r w:rsidRPr="008D556C">
        <w:rPr>
          <w:sz w:val="22"/>
          <w:szCs w:val="22"/>
        </w:rPr>
        <w:t xml:space="preserve">  In addition, CTIA ment</w:t>
      </w:r>
      <w:r w:rsidRPr="003511DC">
        <w:rPr>
          <w:sz w:val="22"/>
          <w:szCs w:val="22"/>
        </w:rPr>
        <w:t>ions personal assistant programs that facilitate mobile device operations for people of varying abilities.</w:t>
      </w:r>
      <w:r w:rsidRPr="008D556C">
        <w:rPr>
          <w:rStyle w:val="FootnoteReference"/>
          <w:sz w:val="22"/>
          <w:szCs w:val="22"/>
        </w:rPr>
        <w:footnoteReference w:id="115"/>
      </w:r>
      <w:r w:rsidRPr="008D556C">
        <w:rPr>
          <w:sz w:val="22"/>
          <w:szCs w:val="22"/>
        </w:rPr>
        <w:t xml:space="preserve">  </w:t>
      </w:r>
    </w:p>
    <w:p w:rsidR="00150E80" w:rsidRPr="003511DC" w:rsidRDefault="00150E80" w:rsidP="00476E6F">
      <w:pPr>
        <w:suppressAutoHyphens/>
        <w:ind w:firstLine="720"/>
        <w:rPr>
          <w:sz w:val="22"/>
          <w:szCs w:val="22"/>
          <w:shd w:val="clear" w:color="auto" w:fill="FFFF00"/>
        </w:rPr>
      </w:pPr>
    </w:p>
    <w:p w:rsidR="00150E80" w:rsidRPr="003511DC" w:rsidRDefault="00150E80" w:rsidP="00476E6F">
      <w:pPr>
        <w:numPr>
          <w:ilvl w:val="0"/>
          <w:numId w:val="2"/>
        </w:numPr>
        <w:tabs>
          <w:tab w:val="clear" w:pos="720"/>
        </w:tabs>
        <w:ind w:left="0" w:firstLine="720"/>
        <w:rPr>
          <w:sz w:val="22"/>
          <w:szCs w:val="22"/>
          <w:shd w:val="clear" w:color="auto" w:fill="FFFF00"/>
        </w:rPr>
      </w:pPr>
      <w:r w:rsidRPr="00BF0859">
        <w:rPr>
          <w:sz w:val="22"/>
          <w:szCs w:val="22"/>
        </w:rPr>
        <w:t>CTIA also describes the development of services by providers and applications by third parties that can enhance accessibilit</w:t>
      </w:r>
      <w:r w:rsidRPr="00FF1FD9">
        <w:rPr>
          <w:sz w:val="22"/>
          <w:szCs w:val="22"/>
        </w:rPr>
        <w:t>y.</w:t>
      </w:r>
      <w:r w:rsidRPr="008D556C">
        <w:rPr>
          <w:rStyle w:val="FootnoteReference"/>
          <w:sz w:val="22"/>
          <w:szCs w:val="22"/>
        </w:rPr>
        <w:footnoteReference w:id="116"/>
      </w:r>
      <w:r w:rsidRPr="008D556C">
        <w:rPr>
          <w:sz w:val="22"/>
          <w:szCs w:val="22"/>
        </w:rPr>
        <w:t xml:space="preserve">  It notes that service providers</w:t>
      </w:r>
      <w:r w:rsidR="003308A5" w:rsidRPr="003511DC">
        <w:rPr>
          <w:sz w:val="22"/>
          <w:szCs w:val="22"/>
        </w:rPr>
        <w:t>’</w:t>
      </w:r>
      <w:r w:rsidRPr="00BF0859">
        <w:rPr>
          <w:sz w:val="22"/>
          <w:szCs w:val="22"/>
        </w:rPr>
        <w:t xml:space="preserve"> mobile accessibility applications and services provide a variety of means to ensure that consumers can find and use innovative accessibility solutions.</w:t>
      </w:r>
      <w:r w:rsidRPr="008D556C">
        <w:rPr>
          <w:rStyle w:val="FootnoteReference"/>
          <w:sz w:val="22"/>
          <w:szCs w:val="22"/>
        </w:rPr>
        <w:footnoteReference w:id="117"/>
      </w:r>
      <w:r w:rsidRPr="008D556C">
        <w:rPr>
          <w:sz w:val="22"/>
          <w:szCs w:val="22"/>
        </w:rPr>
        <w:t xml:space="preserve">  It also cites manufacturers</w:t>
      </w:r>
      <w:r w:rsidR="003308A5" w:rsidRPr="008D556C">
        <w:rPr>
          <w:sz w:val="22"/>
          <w:szCs w:val="22"/>
        </w:rPr>
        <w:t>’</w:t>
      </w:r>
      <w:r w:rsidRPr="003511DC">
        <w:rPr>
          <w:sz w:val="22"/>
          <w:szCs w:val="22"/>
        </w:rPr>
        <w:t xml:space="preserve"> increased willingness to provide re</w:t>
      </w:r>
      <w:r w:rsidRPr="00BF0859">
        <w:rPr>
          <w:sz w:val="22"/>
          <w:szCs w:val="22"/>
        </w:rPr>
        <w:t>sources to enable third-party application developers to ensure compatibility with built-in accessibility features.</w:t>
      </w:r>
      <w:r w:rsidRPr="008D556C">
        <w:rPr>
          <w:rStyle w:val="FootnoteReference"/>
          <w:sz w:val="22"/>
          <w:szCs w:val="22"/>
        </w:rPr>
        <w:footnoteReference w:id="118"/>
      </w:r>
      <w:r w:rsidRPr="008D556C">
        <w:rPr>
          <w:sz w:val="22"/>
          <w:szCs w:val="22"/>
        </w:rPr>
        <w:t xml:space="preserve">  Finally, CTIA notes that third-party developers have taken the initiative to release imaginative applications to enhance accessibility for </w:t>
      </w:r>
      <w:r w:rsidRPr="003511DC">
        <w:rPr>
          <w:sz w:val="22"/>
          <w:szCs w:val="22"/>
        </w:rPr>
        <w:t>people with disabilities.</w:t>
      </w:r>
      <w:r w:rsidRPr="008D556C">
        <w:rPr>
          <w:rStyle w:val="FootnoteReference"/>
          <w:sz w:val="22"/>
          <w:szCs w:val="22"/>
        </w:rPr>
        <w:footnoteReference w:id="119"/>
      </w:r>
      <w:r w:rsidRPr="008D556C">
        <w:rPr>
          <w:sz w:val="22"/>
          <w:szCs w:val="22"/>
        </w:rPr>
        <w:t xml:space="preserve">  </w:t>
      </w:r>
    </w:p>
    <w:p w:rsidR="00150E80" w:rsidRPr="00BF0859" w:rsidRDefault="00150E80" w:rsidP="00476E6F">
      <w:pPr>
        <w:suppressAutoHyphens/>
        <w:ind w:firstLine="720"/>
        <w:rPr>
          <w:sz w:val="22"/>
          <w:szCs w:val="22"/>
          <w:shd w:val="clear" w:color="auto" w:fill="FFFF00"/>
        </w:rPr>
      </w:pPr>
    </w:p>
    <w:p w:rsidR="00150E80" w:rsidRPr="008D556C" w:rsidRDefault="003956A3" w:rsidP="00476E6F">
      <w:pPr>
        <w:numPr>
          <w:ilvl w:val="0"/>
          <w:numId w:val="2"/>
        </w:numPr>
        <w:tabs>
          <w:tab w:val="clear" w:pos="720"/>
        </w:tabs>
        <w:ind w:left="0" w:firstLine="720"/>
        <w:rPr>
          <w:sz w:val="22"/>
          <w:szCs w:val="22"/>
        </w:rPr>
      </w:pPr>
      <w:r w:rsidRPr="006C02D7">
        <w:rPr>
          <w:sz w:val="22"/>
          <w:szCs w:val="22"/>
        </w:rPr>
        <w:t xml:space="preserve">In response to the </w:t>
      </w:r>
      <w:r w:rsidRPr="006C02D7">
        <w:rPr>
          <w:i/>
          <w:sz w:val="22"/>
          <w:szCs w:val="22"/>
        </w:rPr>
        <w:t>2014 CVAA Assessment PN</w:t>
      </w:r>
      <w:r w:rsidRPr="006C02D7">
        <w:rPr>
          <w:sz w:val="22"/>
          <w:szCs w:val="22"/>
        </w:rPr>
        <w:t>,</w:t>
      </w:r>
      <w:r w:rsidRPr="009C5E08">
        <w:rPr>
          <w:i/>
          <w:sz w:val="22"/>
          <w:szCs w:val="22"/>
        </w:rPr>
        <w:t xml:space="preserve"> </w:t>
      </w:r>
      <w:r w:rsidRPr="009C79E5">
        <w:rPr>
          <w:sz w:val="22"/>
          <w:szCs w:val="22"/>
        </w:rPr>
        <w:t>b</w:t>
      </w:r>
      <w:r w:rsidR="00150E80" w:rsidRPr="009C79E5">
        <w:rPr>
          <w:sz w:val="22"/>
          <w:szCs w:val="22"/>
        </w:rPr>
        <w:t>oth CTIA and the Telecommunications Industry Association (TIA) describe the efforts of some of their member companies to make text-to-911 available.</w:t>
      </w:r>
      <w:r w:rsidR="00150E80" w:rsidRPr="008D556C">
        <w:rPr>
          <w:rStyle w:val="FootnoteReference"/>
          <w:sz w:val="22"/>
          <w:szCs w:val="22"/>
        </w:rPr>
        <w:footnoteReference w:id="120"/>
      </w:r>
      <w:r w:rsidR="00150E80" w:rsidRPr="008D556C">
        <w:rPr>
          <w:sz w:val="22"/>
          <w:szCs w:val="22"/>
        </w:rPr>
        <w:t xml:space="preserve">  TIA goes on to opine that the </w:t>
      </w:r>
      <w:r w:rsidR="00150E80" w:rsidRPr="003511DC">
        <w:rPr>
          <w:sz w:val="22"/>
          <w:szCs w:val="22"/>
        </w:rPr>
        <w:t>CVAA has resulted and</w:t>
      </w:r>
      <w:r w:rsidR="00150E80" w:rsidRPr="00BF0859">
        <w:rPr>
          <w:sz w:val="22"/>
          <w:szCs w:val="22"/>
        </w:rPr>
        <w:t xml:space="preserve"> will continue to result in increased accessibility across information and communications technology products and services, though it might be difficult to quantify at this time.</w:t>
      </w:r>
      <w:r w:rsidR="00150E80" w:rsidRPr="008D556C">
        <w:rPr>
          <w:rStyle w:val="FootnoteReference"/>
          <w:sz w:val="22"/>
          <w:szCs w:val="22"/>
        </w:rPr>
        <w:footnoteReference w:id="121"/>
      </w:r>
      <w:r w:rsidR="00150E80" w:rsidRPr="008D556C">
        <w:rPr>
          <w:sz w:val="22"/>
          <w:szCs w:val="22"/>
        </w:rPr>
        <w:t xml:space="preserve">  TIA further believes that the software platform approa</w:t>
      </w:r>
      <w:r w:rsidR="00150E80" w:rsidRPr="003511DC">
        <w:rPr>
          <w:sz w:val="22"/>
          <w:szCs w:val="22"/>
        </w:rPr>
        <w:t>ch for inclusion of a</w:t>
      </w:r>
      <w:r w:rsidR="00150E80" w:rsidRPr="00BF0859">
        <w:rPr>
          <w:sz w:val="22"/>
          <w:szCs w:val="22"/>
        </w:rPr>
        <w:t>ccessibility features leverages the principle of universal design, allowing new features to be added to existing equipment, to provide a more seamless user experience, and greatly simplify upgrades.</w:t>
      </w:r>
      <w:r w:rsidR="00150E80" w:rsidRPr="008D556C">
        <w:rPr>
          <w:rStyle w:val="FootnoteReference"/>
          <w:sz w:val="22"/>
          <w:szCs w:val="22"/>
        </w:rPr>
        <w:footnoteReference w:id="122"/>
      </w:r>
      <w:r w:rsidR="00150E80" w:rsidRPr="008D556C">
        <w:rPr>
          <w:sz w:val="22"/>
          <w:szCs w:val="22"/>
        </w:rPr>
        <w:t xml:space="preserve">  With respect to the state of acces</w:t>
      </w:r>
      <w:r w:rsidR="00150E80" w:rsidRPr="003511DC">
        <w:rPr>
          <w:sz w:val="22"/>
          <w:szCs w:val="22"/>
        </w:rPr>
        <w:t xml:space="preserve">sibility for </w:t>
      </w:r>
      <w:r w:rsidR="003308A5" w:rsidRPr="00BF0859">
        <w:rPr>
          <w:sz w:val="22"/>
          <w:szCs w:val="22"/>
        </w:rPr>
        <w:t>“</w:t>
      </w:r>
      <w:r w:rsidR="00150E80" w:rsidRPr="00FF1FD9">
        <w:rPr>
          <w:sz w:val="22"/>
          <w:szCs w:val="22"/>
        </w:rPr>
        <w:t>non-mobile</w:t>
      </w:r>
      <w:r w:rsidR="003308A5" w:rsidRPr="00FF1FD9">
        <w:rPr>
          <w:sz w:val="22"/>
          <w:szCs w:val="22"/>
        </w:rPr>
        <w:t>”</w:t>
      </w:r>
      <w:r w:rsidR="00150E80" w:rsidRPr="006C02D7">
        <w:rPr>
          <w:sz w:val="22"/>
          <w:szCs w:val="22"/>
        </w:rPr>
        <w:t xml:space="preserve"> services, TIA urges the Commission to act on TIA</w:t>
      </w:r>
      <w:r w:rsidR="003308A5" w:rsidRPr="009C79E5">
        <w:rPr>
          <w:sz w:val="22"/>
          <w:szCs w:val="22"/>
        </w:rPr>
        <w:t>’</w:t>
      </w:r>
      <w:r w:rsidR="00150E80" w:rsidRPr="009C79E5">
        <w:rPr>
          <w:sz w:val="22"/>
          <w:szCs w:val="22"/>
        </w:rPr>
        <w:t>s 2012 petition for a rulemaking to reference the TIA conversational gain standard in the Commission</w:t>
      </w:r>
      <w:r w:rsidR="003308A5" w:rsidRPr="009C79E5">
        <w:rPr>
          <w:sz w:val="22"/>
          <w:szCs w:val="22"/>
        </w:rPr>
        <w:t>’</w:t>
      </w:r>
      <w:r w:rsidR="00150E80" w:rsidRPr="009C79E5">
        <w:rPr>
          <w:sz w:val="22"/>
          <w:szCs w:val="22"/>
        </w:rPr>
        <w:t>s Part 68 rules that set hearing aid compatibility volume control requirements.</w:t>
      </w:r>
      <w:r w:rsidR="00150E80" w:rsidRPr="008D556C">
        <w:rPr>
          <w:rStyle w:val="FootnoteReference"/>
          <w:sz w:val="22"/>
          <w:szCs w:val="22"/>
        </w:rPr>
        <w:footnoteReference w:id="123"/>
      </w:r>
      <w:r w:rsidR="00150E80" w:rsidRPr="008D556C">
        <w:rPr>
          <w:sz w:val="22"/>
          <w:szCs w:val="22"/>
        </w:rPr>
        <w:t xml:space="preserve">  TIA also describes </w:t>
      </w:r>
      <w:r w:rsidR="00150E80" w:rsidRPr="003511DC">
        <w:rPr>
          <w:sz w:val="22"/>
          <w:szCs w:val="22"/>
        </w:rPr>
        <w:t>its efforts to work on hearing aid compatibility standards for the wireless space.</w:t>
      </w:r>
      <w:r w:rsidR="00150E80" w:rsidRPr="008D556C">
        <w:rPr>
          <w:rStyle w:val="FootnoteReference"/>
          <w:sz w:val="22"/>
          <w:szCs w:val="22"/>
        </w:rPr>
        <w:footnoteReference w:id="124"/>
      </w:r>
    </w:p>
    <w:p w:rsidR="00150E80" w:rsidRPr="003511DC" w:rsidRDefault="00150E80" w:rsidP="00476E6F">
      <w:pPr>
        <w:suppressAutoHyphens/>
        <w:ind w:firstLine="720"/>
        <w:rPr>
          <w:sz w:val="22"/>
          <w:szCs w:val="22"/>
          <w:shd w:val="clear" w:color="auto" w:fill="FFFF00"/>
        </w:rPr>
      </w:pPr>
    </w:p>
    <w:p w:rsidR="00150E80" w:rsidRPr="008D556C" w:rsidRDefault="00150E80" w:rsidP="00476E6F">
      <w:pPr>
        <w:numPr>
          <w:ilvl w:val="0"/>
          <w:numId w:val="2"/>
        </w:numPr>
        <w:tabs>
          <w:tab w:val="clear" w:pos="720"/>
        </w:tabs>
        <w:ind w:left="0" w:firstLine="720"/>
        <w:rPr>
          <w:sz w:val="22"/>
          <w:szCs w:val="22"/>
        </w:rPr>
      </w:pPr>
      <w:r w:rsidRPr="00BF0859">
        <w:rPr>
          <w:sz w:val="22"/>
          <w:szCs w:val="22"/>
        </w:rPr>
        <w:t>The Consumer Electronics Association (CEA) reports</w:t>
      </w:r>
      <w:r w:rsidR="003956A3" w:rsidRPr="00FF1FD9">
        <w:rPr>
          <w:sz w:val="22"/>
          <w:szCs w:val="22"/>
        </w:rPr>
        <w:t xml:space="preserve">, in response to the </w:t>
      </w:r>
      <w:r w:rsidR="003956A3" w:rsidRPr="00FF1FD9">
        <w:rPr>
          <w:i/>
          <w:sz w:val="22"/>
          <w:szCs w:val="22"/>
        </w:rPr>
        <w:t>2014 CVAA Assessment PN</w:t>
      </w:r>
      <w:r w:rsidR="003956A3" w:rsidRPr="006C02D7">
        <w:rPr>
          <w:sz w:val="22"/>
          <w:szCs w:val="22"/>
        </w:rPr>
        <w:t>,</w:t>
      </w:r>
      <w:r w:rsidRPr="006C02D7">
        <w:rPr>
          <w:sz w:val="22"/>
          <w:szCs w:val="22"/>
        </w:rPr>
        <w:t xml:space="preserve"> that it has been assisting its members to comply with the new accessibility rules through alerts, webinars, and compliance manuals.</w:t>
      </w:r>
      <w:r w:rsidRPr="008D556C">
        <w:rPr>
          <w:sz w:val="22"/>
          <w:szCs w:val="22"/>
          <w:vertAlign w:val="superscript"/>
        </w:rPr>
        <w:footnoteReference w:id="125"/>
      </w:r>
      <w:r w:rsidRPr="008D556C">
        <w:rPr>
          <w:sz w:val="22"/>
          <w:szCs w:val="22"/>
          <w:vertAlign w:val="superscript"/>
        </w:rPr>
        <w:t xml:space="preserve"> </w:t>
      </w:r>
      <w:r w:rsidRPr="003511DC">
        <w:rPr>
          <w:sz w:val="22"/>
          <w:szCs w:val="22"/>
        </w:rPr>
        <w:t xml:space="preserve"> CEA states that its members are engaging in </w:t>
      </w:r>
      <w:r w:rsidR="003308A5" w:rsidRPr="00BF0859">
        <w:rPr>
          <w:sz w:val="22"/>
          <w:szCs w:val="22"/>
        </w:rPr>
        <w:t>“</w:t>
      </w:r>
      <w:r w:rsidRPr="00FF1FD9">
        <w:rPr>
          <w:sz w:val="22"/>
          <w:szCs w:val="22"/>
        </w:rPr>
        <w:t>strong efforts to comply</w:t>
      </w:r>
      <w:r w:rsidR="003308A5" w:rsidRPr="006C02D7">
        <w:rPr>
          <w:sz w:val="22"/>
          <w:szCs w:val="22"/>
        </w:rPr>
        <w:t>”</w:t>
      </w:r>
      <w:r w:rsidRPr="006C02D7">
        <w:rPr>
          <w:sz w:val="22"/>
          <w:szCs w:val="22"/>
        </w:rPr>
        <w:t xml:space="preserve"> with the CVAA, including determining which equipment is subject to the advanced communications services a</w:t>
      </w:r>
      <w:r w:rsidRPr="009C79E5">
        <w:rPr>
          <w:sz w:val="22"/>
          <w:szCs w:val="22"/>
        </w:rPr>
        <w:t xml:space="preserve">ccessibility rules, ensuring that their units and teams understand the rules, consulting </w:t>
      </w:r>
      <w:r w:rsidR="0041681E" w:rsidRPr="009C79E5">
        <w:rPr>
          <w:sz w:val="22"/>
          <w:szCs w:val="22"/>
        </w:rPr>
        <w:t xml:space="preserve">with </w:t>
      </w:r>
      <w:r w:rsidRPr="009C79E5">
        <w:rPr>
          <w:sz w:val="22"/>
          <w:szCs w:val="22"/>
        </w:rPr>
        <w:t>people with disabilities on accessibility solutions, modifying internal processes to perform the tasks needed for compliance, and keeping compliant record systems.</w:t>
      </w:r>
      <w:r w:rsidRPr="008D556C">
        <w:rPr>
          <w:sz w:val="22"/>
          <w:szCs w:val="22"/>
          <w:vertAlign w:val="superscript"/>
        </w:rPr>
        <w:footnoteReference w:id="126"/>
      </w:r>
      <w:r w:rsidRPr="008D556C">
        <w:rPr>
          <w:sz w:val="22"/>
          <w:szCs w:val="22"/>
        </w:rPr>
        <w:t xml:space="preserve">  Finally, CEA note</w:t>
      </w:r>
      <w:r w:rsidRPr="003511DC">
        <w:rPr>
          <w:sz w:val="22"/>
          <w:szCs w:val="22"/>
        </w:rPr>
        <w:t>s with approval the Commission</w:t>
      </w:r>
      <w:r w:rsidR="003308A5" w:rsidRPr="00BF0859">
        <w:rPr>
          <w:sz w:val="22"/>
          <w:szCs w:val="22"/>
        </w:rPr>
        <w:t>’</w:t>
      </w:r>
      <w:r w:rsidRPr="00FF1FD9">
        <w:rPr>
          <w:sz w:val="22"/>
          <w:szCs w:val="22"/>
        </w:rPr>
        <w:t>s advanced communications services accessibility rules, which it says, recognize the need to balance accessibility and preserve innovation.</w:t>
      </w:r>
      <w:r w:rsidRPr="008D556C">
        <w:rPr>
          <w:sz w:val="22"/>
          <w:szCs w:val="22"/>
          <w:vertAlign w:val="superscript"/>
        </w:rPr>
        <w:footnoteReference w:id="127"/>
      </w:r>
      <w:r w:rsidRPr="008D556C">
        <w:rPr>
          <w:sz w:val="22"/>
          <w:szCs w:val="22"/>
        </w:rPr>
        <w:t xml:space="preserve">  </w:t>
      </w:r>
    </w:p>
    <w:p w:rsidR="00150E80" w:rsidRPr="008D556C" w:rsidRDefault="00150E80" w:rsidP="00476E6F">
      <w:pPr>
        <w:ind w:firstLine="720"/>
        <w:rPr>
          <w:sz w:val="22"/>
          <w:szCs w:val="22"/>
        </w:rPr>
      </w:pPr>
    </w:p>
    <w:p w:rsidR="00530123" w:rsidRPr="008D556C" w:rsidRDefault="003956A3" w:rsidP="00476E6F">
      <w:pPr>
        <w:numPr>
          <w:ilvl w:val="0"/>
          <w:numId w:val="2"/>
        </w:numPr>
        <w:tabs>
          <w:tab w:val="clear" w:pos="720"/>
        </w:tabs>
        <w:ind w:left="0" w:firstLine="720"/>
        <w:rPr>
          <w:sz w:val="22"/>
          <w:szCs w:val="22"/>
        </w:rPr>
      </w:pPr>
      <w:r w:rsidRPr="003511DC">
        <w:rPr>
          <w:sz w:val="22"/>
          <w:szCs w:val="22"/>
        </w:rPr>
        <w:t xml:space="preserve">In response to the </w:t>
      </w:r>
      <w:r w:rsidRPr="00BF0859">
        <w:rPr>
          <w:i/>
          <w:sz w:val="22"/>
          <w:szCs w:val="22"/>
        </w:rPr>
        <w:t>2014 CVAA Assessment PN</w:t>
      </w:r>
      <w:r w:rsidRPr="00FF1FD9">
        <w:rPr>
          <w:sz w:val="22"/>
          <w:szCs w:val="22"/>
        </w:rPr>
        <w:t>,</w:t>
      </w:r>
      <w:r w:rsidRPr="006C02D7">
        <w:rPr>
          <w:i/>
          <w:sz w:val="22"/>
          <w:szCs w:val="22"/>
        </w:rPr>
        <w:t xml:space="preserve"> </w:t>
      </w:r>
      <w:r w:rsidR="00150E80" w:rsidRPr="006C02D7">
        <w:rPr>
          <w:sz w:val="22"/>
          <w:szCs w:val="22"/>
        </w:rPr>
        <w:t>Microsoft, Inc. (Microsoft) states that innovation in accessibility solutions has been enhanced by the Commission</w:t>
      </w:r>
      <w:r w:rsidR="003308A5" w:rsidRPr="009C79E5">
        <w:rPr>
          <w:sz w:val="22"/>
          <w:szCs w:val="22"/>
        </w:rPr>
        <w:t>’</w:t>
      </w:r>
      <w:r w:rsidR="00150E80" w:rsidRPr="009C79E5">
        <w:rPr>
          <w:sz w:val="22"/>
          <w:szCs w:val="22"/>
        </w:rPr>
        <w:t>s avoidance of overly prescriptive regulations, and by a reasonable compliance deadline schedule that has provided industry time to research break-through solutions.</w:t>
      </w:r>
      <w:r w:rsidR="00150E80" w:rsidRPr="008D556C">
        <w:rPr>
          <w:rStyle w:val="FootnoteReference"/>
          <w:sz w:val="22"/>
          <w:szCs w:val="22"/>
        </w:rPr>
        <w:footnoteReference w:id="128"/>
      </w:r>
      <w:r w:rsidR="00150E80" w:rsidRPr="008D556C">
        <w:rPr>
          <w:sz w:val="22"/>
          <w:szCs w:val="22"/>
        </w:rPr>
        <w:t xml:space="preserve">  Microsoft p</w:t>
      </w:r>
      <w:r w:rsidR="00150E80" w:rsidRPr="003511DC">
        <w:rPr>
          <w:sz w:val="22"/>
          <w:szCs w:val="22"/>
        </w:rPr>
        <w:t>oints to developments it has advanced, such as hands-free interaction modes, eye-tracking technology, and narration of visual environments, as examples of these types of innovations.</w:t>
      </w:r>
      <w:r w:rsidR="00150E80" w:rsidRPr="008D556C">
        <w:rPr>
          <w:rStyle w:val="FootnoteReference"/>
          <w:sz w:val="22"/>
          <w:szCs w:val="22"/>
        </w:rPr>
        <w:footnoteReference w:id="129"/>
      </w:r>
      <w:r w:rsidR="00150E80" w:rsidRPr="008D556C">
        <w:rPr>
          <w:sz w:val="22"/>
          <w:szCs w:val="22"/>
        </w:rPr>
        <w:t xml:space="preserve">  Microsoft states that it faces unique challenges, </w:t>
      </w:r>
      <w:r w:rsidR="00150E80" w:rsidRPr="003511DC">
        <w:rPr>
          <w:sz w:val="22"/>
          <w:szCs w:val="22"/>
        </w:rPr>
        <w:t>in that its portfolio</w:t>
      </w:r>
      <w:r w:rsidR="00150E80" w:rsidRPr="00BF0859">
        <w:rPr>
          <w:sz w:val="22"/>
          <w:szCs w:val="22"/>
        </w:rPr>
        <w:t xml:space="preserve"> of devices and services spans such a wide range of accessibility issues, and runs on multiple combinations of platforms, browsers, apps, and services, but that it is able to meet these accessibility challenges through a significant co</w:t>
      </w:r>
      <w:r w:rsidR="00150E80" w:rsidRPr="006C02D7">
        <w:rPr>
          <w:sz w:val="22"/>
          <w:szCs w:val="22"/>
        </w:rPr>
        <w:t>mpany-wide emphasis on accessibility.</w:t>
      </w:r>
      <w:r w:rsidR="00150E80" w:rsidRPr="008D556C">
        <w:rPr>
          <w:sz w:val="22"/>
          <w:szCs w:val="22"/>
          <w:vertAlign w:val="superscript"/>
        </w:rPr>
        <w:footnoteReference w:id="130"/>
      </w:r>
      <w:r w:rsidR="00150E80" w:rsidRPr="008D556C">
        <w:rPr>
          <w:sz w:val="22"/>
          <w:szCs w:val="22"/>
        </w:rPr>
        <w:t xml:space="preserve">  With respect to advanced communications services, Microsoft reports that it has been able to provide consumers with disabilities a choice of using built-in or third-party accessibility solutions.</w:t>
      </w:r>
      <w:r w:rsidR="00150E80" w:rsidRPr="008D556C">
        <w:rPr>
          <w:rStyle w:val="FootnoteReference"/>
          <w:sz w:val="22"/>
          <w:szCs w:val="22"/>
        </w:rPr>
        <w:footnoteReference w:id="131"/>
      </w:r>
      <w:r w:rsidR="00150E80" w:rsidRPr="008D556C">
        <w:rPr>
          <w:sz w:val="22"/>
          <w:szCs w:val="22"/>
        </w:rPr>
        <w:t xml:space="preserve">  For example, consu</w:t>
      </w:r>
      <w:r w:rsidR="00150E80" w:rsidRPr="003511DC">
        <w:rPr>
          <w:sz w:val="22"/>
          <w:szCs w:val="22"/>
        </w:rPr>
        <w:t>mers with visual impa</w:t>
      </w:r>
      <w:r w:rsidR="00150E80" w:rsidRPr="00BF0859">
        <w:rPr>
          <w:sz w:val="22"/>
          <w:szCs w:val="22"/>
        </w:rPr>
        <w:t>irments can choose to use Narrator, a built-in screen reader, or Window-Eyes, a third-party screen reader that Microsoft makes available at no charge.</w:t>
      </w:r>
      <w:r w:rsidR="00150E80" w:rsidRPr="008D556C">
        <w:rPr>
          <w:rStyle w:val="FootnoteReference"/>
          <w:sz w:val="22"/>
          <w:szCs w:val="22"/>
        </w:rPr>
        <w:footnoteReference w:id="132"/>
      </w:r>
      <w:r w:rsidR="00150E80" w:rsidRPr="008D556C">
        <w:rPr>
          <w:sz w:val="22"/>
          <w:szCs w:val="22"/>
        </w:rPr>
        <w:t xml:space="preserve">  Microsoft applauds the Commission</w:t>
      </w:r>
      <w:r w:rsidR="003308A5" w:rsidRPr="003511DC">
        <w:rPr>
          <w:sz w:val="22"/>
          <w:szCs w:val="22"/>
        </w:rPr>
        <w:t>’</w:t>
      </w:r>
      <w:r w:rsidR="00150E80" w:rsidRPr="00BF0859">
        <w:rPr>
          <w:sz w:val="22"/>
          <w:szCs w:val="22"/>
        </w:rPr>
        <w:t>s efforts to foster industry innovation and flex</w:t>
      </w:r>
      <w:r w:rsidR="00150E80" w:rsidRPr="006C02D7">
        <w:rPr>
          <w:sz w:val="22"/>
          <w:szCs w:val="22"/>
        </w:rPr>
        <w:t>ibility, encourages the Commission to continue its Chairman</w:t>
      </w:r>
      <w:r w:rsidR="003308A5" w:rsidRPr="006C02D7">
        <w:rPr>
          <w:sz w:val="22"/>
          <w:szCs w:val="22"/>
        </w:rPr>
        <w:t>’</w:t>
      </w:r>
      <w:r w:rsidR="00150E80" w:rsidRPr="006C02D7">
        <w:rPr>
          <w:sz w:val="22"/>
          <w:szCs w:val="22"/>
        </w:rPr>
        <w:t>s Awards for the Advancement of Accessibility and its Accessibility &amp; Innovation Initiative Speaker Series, and urges the Commission to continue to focus on outcomes and encourage innovation, rely</w:t>
      </w:r>
      <w:r w:rsidR="00150E80" w:rsidRPr="009C79E5">
        <w:rPr>
          <w:sz w:val="22"/>
          <w:szCs w:val="22"/>
        </w:rPr>
        <w:t xml:space="preserve">ing on technology standards only as a safe harbor </w:t>
      </w:r>
      <w:r w:rsidR="003308A5" w:rsidRPr="009C79E5">
        <w:rPr>
          <w:sz w:val="22"/>
          <w:szCs w:val="22"/>
        </w:rPr>
        <w:t>“</w:t>
      </w:r>
      <w:r w:rsidR="00150E80" w:rsidRPr="009C79E5">
        <w:rPr>
          <w:sz w:val="22"/>
          <w:szCs w:val="22"/>
        </w:rPr>
        <w:t>where compliance with the standard will be evidence of complying with the CVAA regulations, while still allowing other methods of achieving the regulatory goals.</w:t>
      </w:r>
      <w:r w:rsidR="003308A5" w:rsidRPr="009C79E5">
        <w:rPr>
          <w:sz w:val="22"/>
          <w:szCs w:val="22"/>
        </w:rPr>
        <w:t>”</w:t>
      </w:r>
      <w:r w:rsidR="00150E80" w:rsidRPr="008D556C">
        <w:rPr>
          <w:rStyle w:val="FootnoteReference"/>
          <w:sz w:val="22"/>
          <w:szCs w:val="22"/>
        </w:rPr>
        <w:footnoteReference w:id="133"/>
      </w:r>
    </w:p>
    <w:p w:rsidR="00530123" w:rsidRPr="003511DC" w:rsidRDefault="00530123" w:rsidP="00476E6F">
      <w:pPr>
        <w:ind w:left="720"/>
        <w:rPr>
          <w:sz w:val="22"/>
          <w:szCs w:val="22"/>
        </w:rPr>
      </w:pPr>
    </w:p>
    <w:p w:rsidR="00150E80" w:rsidRPr="008D556C" w:rsidRDefault="00150E80" w:rsidP="00476E6F">
      <w:pPr>
        <w:numPr>
          <w:ilvl w:val="0"/>
          <w:numId w:val="2"/>
        </w:numPr>
        <w:tabs>
          <w:tab w:val="clear" w:pos="720"/>
        </w:tabs>
        <w:ind w:left="0" w:firstLine="720"/>
        <w:rPr>
          <w:sz w:val="22"/>
          <w:szCs w:val="22"/>
        </w:rPr>
      </w:pPr>
      <w:r w:rsidRPr="00BF0859">
        <w:rPr>
          <w:i/>
          <w:sz w:val="22"/>
          <w:szCs w:val="22"/>
        </w:rPr>
        <w:t>Inclusion of people with disabilities in</w:t>
      </w:r>
      <w:r w:rsidRPr="00FF1FD9">
        <w:rPr>
          <w:i/>
          <w:sz w:val="22"/>
          <w:szCs w:val="22"/>
        </w:rPr>
        <w:t xml:space="preserve"> product and service design and development.</w:t>
      </w:r>
      <w:r w:rsidRPr="008D556C">
        <w:rPr>
          <w:sz w:val="22"/>
          <w:szCs w:val="22"/>
          <w:vertAlign w:val="superscript"/>
        </w:rPr>
        <w:footnoteReference w:id="134"/>
      </w:r>
      <w:r w:rsidRPr="008D556C">
        <w:rPr>
          <w:sz w:val="22"/>
          <w:szCs w:val="22"/>
        </w:rPr>
        <w:t xml:space="preserve">  The </w:t>
      </w:r>
      <w:r w:rsidRPr="003511DC">
        <w:rPr>
          <w:i/>
          <w:sz w:val="22"/>
          <w:szCs w:val="22"/>
        </w:rPr>
        <w:t>2014 CVAA Assessment PN</w:t>
      </w:r>
      <w:r w:rsidRPr="00BF0859">
        <w:rPr>
          <w:sz w:val="22"/>
          <w:szCs w:val="22"/>
        </w:rPr>
        <w:t xml:space="preserve"> sought comment on the extent to which covered entities have included people with disabilities in their efforts to conduct market research, product design, testing, pilot demonstrati</w:t>
      </w:r>
      <w:r w:rsidRPr="00FF1FD9">
        <w:rPr>
          <w:sz w:val="22"/>
          <w:szCs w:val="22"/>
        </w:rPr>
        <w:t>ons, and product trials.</w:t>
      </w:r>
      <w:r w:rsidRPr="008D556C">
        <w:rPr>
          <w:rStyle w:val="FootnoteReference"/>
          <w:sz w:val="22"/>
          <w:szCs w:val="22"/>
        </w:rPr>
        <w:footnoteReference w:id="135"/>
      </w:r>
      <w:r w:rsidRPr="008D556C">
        <w:rPr>
          <w:sz w:val="22"/>
          <w:szCs w:val="22"/>
        </w:rPr>
        <w:t xml:space="preserve">  In response, Consumer Groups allege that </w:t>
      </w:r>
      <w:r w:rsidR="003308A5" w:rsidRPr="003511DC">
        <w:rPr>
          <w:sz w:val="22"/>
          <w:szCs w:val="22"/>
        </w:rPr>
        <w:t>“</w:t>
      </w:r>
      <w:r w:rsidRPr="00BF0859">
        <w:rPr>
          <w:sz w:val="22"/>
          <w:szCs w:val="22"/>
        </w:rPr>
        <w:t>re-engineering happens too often without thought to [the] accessibility needs of people who are deaf or hard of hearing.</w:t>
      </w:r>
      <w:r w:rsidR="003308A5" w:rsidRPr="006C02D7">
        <w:rPr>
          <w:sz w:val="22"/>
          <w:szCs w:val="22"/>
        </w:rPr>
        <w:t>”</w:t>
      </w:r>
      <w:r w:rsidRPr="008D556C">
        <w:rPr>
          <w:rStyle w:val="FootnoteReference"/>
          <w:sz w:val="22"/>
          <w:szCs w:val="22"/>
        </w:rPr>
        <w:footnoteReference w:id="136"/>
      </w:r>
      <w:r w:rsidRPr="008D556C">
        <w:rPr>
          <w:sz w:val="22"/>
          <w:szCs w:val="22"/>
        </w:rPr>
        <w:t xml:space="preserve">  As an example, they point to reports that Apple is considering </w:t>
      </w:r>
      <w:r w:rsidRPr="003511DC">
        <w:rPr>
          <w:sz w:val="22"/>
          <w:szCs w:val="22"/>
        </w:rPr>
        <w:t>elimination of the he</w:t>
      </w:r>
      <w:r w:rsidRPr="00BF0859">
        <w:rPr>
          <w:sz w:val="22"/>
          <w:szCs w:val="22"/>
        </w:rPr>
        <w:t>adphone jack on future models, a feature that enables a connection for neckloops or other accessibility coupling devices that are used to enhance an individual</w:t>
      </w:r>
      <w:r w:rsidR="003308A5" w:rsidRPr="006C02D7">
        <w:rPr>
          <w:sz w:val="22"/>
          <w:szCs w:val="22"/>
        </w:rPr>
        <w:t>’</w:t>
      </w:r>
      <w:r w:rsidRPr="006C02D7">
        <w:rPr>
          <w:sz w:val="22"/>
          <w:szCs w:val="22"/>
        </w:rPr>
        <w:t>s ability to hear, as illustrative of this problem.</w:t>
      </w:r>
      <w:r w:rsidRPr="008D556C">
        <w:rPr>
          <w:rStyle w:val="FootnoteReference"/>
          <w:sz w:val="22"/>
          <w:szCs w:val="22"/>
        </w:rPr>
        <w:footnoteReference w:id="137"/>
      </w:r>
      <w:r w:rsidRPr="008D556C">
        <w:rPr>
          <w:sz w:val="22"/>
          <w:szCs w:val="22"/>
        </w:rPr>
        <w:t xml:space="preserve">  AADB similarly raises</w:t>
      </w:r>
      <w:r w:rsidRPr="003511DC">
        <w:rPr>
          <w:sz w:val="22"/>
          <w:szCs w:val="22"/>
        </w:rPr>
        <w:t xml:space="preserve"> concerns about consu</w:t>
      </w:r>
      <w:r w:rsidRPr="00BF0859">
        <w:rPr>
          <w:sz w:val="22"/>
          <w:szCs w:val="22"/>
        </w:rPr>
        <w:t>mers with disabilities having insufficient opportunity to provide input into research and development of new communications technologies to meet the needs of their community.</w:t>
      </w:r>
      <w:r w:rsidRPr="008D556C">
        <w:rPr>
          <w:rStyle w:val="FootnoteReference"/>
          <w:sz w:val="22"/>
          <w:szCs w:val="22"/>
        </w:rPr>
        <w:footnoteReference w:id="138"/>
      </w:r>
      <w:r w:rsidRPr="008D556C">
        <w:rPr>
          <w:sz w:val="22"/>
          <w:szCs w:val="22"/>
        </w:rPr>
        <w:t xml:space="preserve">  In particular, AADB calls for a Deaf-Blind Telecommunications Technology Summit to address the challenges facing deaf-blind people using telecommunications equipment and services.</w:t>
      </w:r>
      <w:r w:rsidRPr="008D556C">
        <w:rPr>
          <w:rStyle w:val="FootnoteReference"/>
          <w:sz w:val="22"/>
          <w:szCs w:val="22"/>
        </w:rPr>
        <w:footnoteReference w:id="139"/>
      </w:r>
      <w:r w:rsidRPr="008D556C">
        <w:rPr>
          <w:sz w:val="22"/>
          <w:szCs w:val="22"/>
        </w:rPr>
        <w:t xml:space="preserve">  </w:t>
      </w:r>
    </w:p>
    <w:p w:rsidR="00150E80" w:rsidRPr="003511DC" w:rsidRDefault="00150E80" w:rsidP="00476E6F">
      <w:pPr>
        <w:suppressAutoHyphens/>
        <w:ind w:firstLine="720"/>
        <w:rPr>
          <w:sz w:val="22"/>
          <w:szCs w:val="22"/>
        </w:rPr>
      </w:pPr>
    </w:p>
    <w:p w:rsidR="00150E80" w:rsidRPr="008D556C" w:rsidRDefault="00150E80" w:rsidP="00476E6F">
      <w:pPr>
        <w:numPr>
          <w:ilvl w:val="0"/>
          <w:numId w:val="2"/>
        </w:numPr>
        <w:tabs>
          <w:tab w:val="clear" w:pos="720"/>
        </w:tabs>
        <w:ind w:left="0" w:firstLine="720"/>
        <w:rPr>
          <w:sz w:val="22"/>
          <w:szCs w:val="22"/>
        </w:rPr>
      </w:pPr>
      <w:r w:rsidRPr="00BF0859">
        <w:rPr>
          <w:sz w:val="22"/>
          <w:szCs w:val="22"/>
        </w:rPr>
        <w:t>Various industry associations report that their members are, in fact, taking steps to consult with people with disabilities and th</w:t>
      </w:r>
      <w:r w:rsidRPr="006C02D7">
        <w:rPr>
          <w:sz w:val="22"/>
          <w:szCs w:val="22"/>
        </w:rPr>
        <w:t>e accessibility community.  For example, CTIA reports that, since 2012, its member companies have gained feedback on wireless accessibility issues from disability-related organizations,</w:t>
      </w:r>
      <w:r w:rsidRPr="008D556C">
        <w:rPr>
          <w:rStyle w:val="FootnoteReference"/>
          <w:sz w:val="22"/>
          <w:szCs w:val="22"/>
        </w:rPr>
        <w:footnoteReference w:id="140"/>
      </w:r>
      <w:r w:rsidRPr="008D556C">
        <w:rPr>
          <w:sz w:val="22"/>
          <w:szCs w:val="22"/>
        </w:rPr>
        <w:t xml:space="preserve"> and that its Accessibility Outreach Initiative, which has held seven </w:t>
      </w:r>
      <w:r w:rsidRPr="003511DC">
        <w:rPr>
          <w:sz w:val="22"/>
          <w:szCs w:val="22"/>
        </w:rPr>
        <w:t xml:space="preserve">meetings since 2013, </w:t>
      </w:r>
      <w:r w:rsidRPr="00BF0859">
        <w:rPr>
          <w:sz w:val="22"/>
          <w:szCs w:val="22"/>
        </w:rPr>
        <w:t xml:space="preserve">assists its members to </w:t>
      </w:r>
      <w:r w:rsidR="003308A5" w:rsidRPr="00FF1FD9">
        <w:rPr>
          <w:sz w:val="22"/>
          <w:szCs w:val="22"/>
        </w:rPr>
        <w:t>“</w:t>
      </w:r>
      <w:r w:rsidRPr="006C02D7">
        <w:rPr>
          <w:sz w:val="22"/>
          <w:szCs w:val="22"/>
        </w:rPr>
        <w:t>gain a broader understanding of the accessibility community</w:t>
      </w:r>
      <w:r w:rsidR="003308A5" w:rsidRPr="006C02D7">
        <w:rPr>
          <w:sz w:val="22"/>
          <w:szCs w:val="22"/>
        </w:rPr>
        <w:t>’</w:t>
      </w:r>
      <w:r w:rsidRPr="006C02D7">
        <w:rPr>
          <w:sz w:val="22"/>
          <w:szCs w:val="22"/>
        </w:rPr>
        <w:t>s priorities.</w:t>
      </w:r>
      <w:r w:rsidR="003308A5" w:rsidRPr="009C79E5">
        <w:rPr>
          <w:sz w:val="22"/>
          <w:szCs w:val="22"/>
        </w:rPr>
        <w:t>”</w:t>
      </w:r>
      <w:r w:rsidRPr="008D556C">
        <w:rPr>
          <w:rStyle w:val="FootnoteReference"/>
          <w:sz w:val="22"/>
          <w:szCs w:val="22"/>
        </w:rPr>
        <w:footnoteReference w:id="141"/>
      </w:r>
      <w:r w:rsidRPr="008D556C">
        <w:rPr>
          <w:sz w:val="22"/>
          <w:szCs w:val="22"/>
        </w:rPr>
        <w:t xml:space="preserve">  CTIA adds that service providers </w:t>
      </w:r>
      <w:r w:rsidR="003308A5" w:rsidRPr="003511DC">
        <w:rPr>
          <w:sz w:val="22"/>
          <w:szCs w:val="22"/>
        </w:rPr>
        <w:t>“</w:t>
      </w:r>
      <w:r w:rsidRPr="00BF0859">
        <w:rPr>
          <w:sz w:val="22"/>
          <w:szCs w:val="22"/>
        </w:rPr>
        <w:t>have developed programs to consider accessibility throughout all stages of product and service desig</w:t>
      </w:r>
      <w:r w:rsidRPr="006C02D7">
        <w:rPr>
          <w:sz w:val="22"/>
          <w:szCs w:val="22"/>
        </w:rPr>
        <w:t>n and deployment.</w:t>
      </w:r>
      <w:r w:rsidR="003308A5" w:rsidRPr="006C02D7">
        <w:rPr>
          <w:sz w:val="22"/>
          <w:szCs w:val="22"/>
        </w:rPr>
        <w:t>”</w:t>
      </w:r>
      <w:r w:rsidRPr="008D556C">
        <w:rPr>
          <w:rStyle w:val="FootnoteReference"/>
          <w:sz w:val="22"/>
          <w:szCs w:val="22"/>
        </w:rPr>
        <w:footnoteReference w:id="142"/>
      </w:r>
      <w:r w:rsidRPr="008D556C">
        <w:rPr>
          <w:sz w:val="22"/>
          <w:szCs w:val="22"/>
        </w:rPr>
        <w:t xml:space="preserve">  </w:t>
      </w:r>
      <w:r w:rsidRPr="003511DC">
        <w:rPr>
          <w:sz w:val="22"/>
          <w:szCs w:val="22"/>
        </w:rPr>
        <w:t>It also points to efforts of its member companies to engage consumer representatives in an on-going dialogue about accessibility, including initiatives to incorporate accessibility into regular company practices and procedures.</w:t>
      </w:r>
      <w:r w:rsidRPr="008D556C">
        <w:rPr>
          <w:rStyle w:val="FootnoteReference"/>
          <w:sz w:val="22"/>
          <w:szCs w:val="22"/>
        </w:rPr>
        <w:footnoteReference w:id="143"/>
      </w:r>
      <w:r w:rsidRPr="008D556C">
        <w:rPr>
          <w:sz w:val="22"/>
          <w:szCs w:val="22"/>
        </w:rPr>
        <w:t xml:space="preserve">  For e</w:t>
      </w:r>
      <w:r w:rsidRPr="003511DC">
        <w:rPr>
          <w:sz w:val="22"/>
          <w:szCs w:val="22"/>
        </w:rPr>
        <w:t xml:space="preserve">xample, CTIA reports </w:t>
      </w:r>
      <w:r w:rsidRPr="00BF0859">
        <w:rPr>
          <w:sz w:val="22"/>
          <w:szCs w:val="22"/>
        </w:rPr>
        <w:t>that manufacturers have worked to implement the American Foundation for the Blind</w:t>
      </w:r>
      <w:r w:rsidR="003308A5" w:rsidRPr="006C02D7">
        <w:rPr>
          <w:sz w:val="22"/>
          <w:szCs w:val="22"/>
        </w:rPr>
        <w:t>’</w:t>
      </w:r>
      <w:r w:rsidRPr="006C02D7">
        <w:rPr>
          <w:sz w:val="22"/>
          <w:szCs w:val="22"/>
        </w:rPr>
        <w:t>s guidelines for small screen displays.</w:t>
      </w:r>
      <w:r w:rsidRPr="008D556C">
        <w:rPr>
          <w:rStyle w:val="FootnoteReference"/>
          <w:sz w:val="22"/>
          <w:szCs w:val="22"/>
        </w:rPr>
        <w:footnoteReference w:id="144"/>
      </w:r>
      <w:r w:rsidRPr="008D556C">
        <w:rPr>
          <w:sz w:val="22"/>
          <w:szCs w:val="22"/>
        </w:rPr>
        <w:t xml:space="preserve">  CTIA also notes that wireless service providers have undertaken initiatives to incorporate accessibility into t</w:t>
      </w:r>
      <w:r w:rsidRPr="003511DC">
        <w:rPr>
          <w:sz w:val="22"/>
          <w:szCs w:val="22"/>
        </w:rPr>
        <w:t>heir regular practice</w:t>
      </w:r>
      <w:r w:rsidRPr="00BF0859">
        <w:rPr>
          <w:sz w:val="22"/>
          <w:szCs w:val="22"/>
        </w:rPr>
        <w:t>s and procedures, such as through advisory panels and online resources.</w:t>
      </w:r>
      <w:r w:rsidRPr="008D556C">
        <w:rPr>
          <w:rStyle w:val="FootnoteReference"/>
          <w:sz w:val="22"/>
          <w:szCs w:val="22"/>
        </w:rPr>
        <w:footnoteReference w:id="145"/>
      </w:r>
    </w:p>
    <w:p w:rsidR="00150E80" w:rsidRPr="003511DC" w:rsidRDefault="00150E80" w:rsidP="00476E6F">
      <w:pPr>
        <w:suppressAutoHyphens/>
        <w:ind w:firstLine="720"/>
        <w:rPr>
          <w:sz w:val="22"/>
          <w:szCs w:val="22"/>
        </w:rPr>
      </w:pPr>
    </w:p>
    <w:p w:rsidR="00150E80" w:rsidRPr="008D556C" w:rsidRDefault="00150E80" w:rsidP="00476E6F">
      <w:pPr>
        <w:numPr>
          <w:ilvl w:val="0"/>
          <w:numId w:val="2"/>
        </w:numPr>
        <w:tabs>
          <w:tab w:val="clear" w:pos="720"/>
        </w:tabs>
        <w:ind w:left="0" w:firstLine="720"/>
        <w:rPr>
          <w:sz w:val="22"/>
          <w:szCs w:val="22"/>
        </w:rPr>
      </w:pPr>
      <w:r w:rsidRPr="00BF0859">
        <w:rPr>
          <w:sz w:val="22"/>
          <w:szCs w:val="22"/>
        </w:rPr>
        <w:t>TIA states that it views the inclusion of people with disabilities to be a crucial part of the process of ensuring that accessibility is incorporated into the de</w:t>
      </w:r>
      <w:r w:rsidRPr="006C02D7">
        <w:rPr>
          <w:sz w:val="22"/>
          <w:szCs w:val="22"/>
        </w:rPr>
        <w:t>sign during new product cycles, and that its members continue to liaise with the disability community to ensure inclusive design.</w:t>
      </w:r>
      <w:r w:rsidRPr="008D556C">
        <w:rPr>
          <w:rStyle w:val="FootnoteReference"/>
          <w:sz w:val="22"/>
          <w:szCs w:val="22"/>
        </w:rPr>
        <w:footnoteReference w:id="146"/>
      </w:r>
      <w:r w:rsidRPr="008D556C">
        <w:rPr>
          <w:sz w:val="22"/>
          <w:szCs w:val="22"/>
        </w:rPr>
        <w:t xml:space="preserve">  TIA asserts that consultation with individuals with disabilities on research and development is taking place at both the com</w:t>
      </w:r>
      <w:r w:rsidRPr="003511DC">
        <w:rPr>
          <w:sz w:val="22"/>
          <w:szCs w:val="22"/>
        </w:rPr>
        <w:t>pany and industry ass</w:t>
      </w:r>
      <w:r w:rsidRPr="00BF0859">
        <w:rPr>
          <w:sz w:val="22"/>
          <w:szCs w:val="22"/>
        </w:rPr>
        <w:t>ociation levels.</w:t>
      </w:r>
      <w:r w:rsidRPr="008D556C">
        <w:rPr>
          <w:rStyle w:val="FootnoteReference"/>
          <w:sz w:val="22"/>
          <w:szCs w:val="22"/>
        </w:rPr>
        <w:footnoteReference w:id="147"/>
      </w:r>
    </w:p>
    <w:p w:rsidR="00150E80" w:rsidRPr="003511DC" w:rsidRDefault="00150E80" w:rsidP="00476E6F">
      <w:pPr>
        <w:suppressAutoHyphens/>
        <w:ind w:firstLine="720"/>
        <w:rPr>
          <w:sz w:val="22"/>
          <w:szCs w:val="22"/>
        </w:rPr>
      </w:pPr>
    </w:p>
    <w:p w:rsidR="00150E80" w:rsidRPr="008D556C" w:rsidRDefault="00150E80" w:rsidP="00476E6F">
      <w:pPr>
        <w:numPr>
          <w:ilvl w:val="0"/>
          <w:numId w:val="2"/>
        </w:numPr>
        <w:tabs>
          <w:tab w:val="clear" w:pos="720"/>
        </w:tabs>
        <w:ind w:left="0" w:firstLine="720"/>
        <w:rPr>
          <w:sz w:val="22"/>
          <w:szCs w:val="22"/>
        </w:rPr>
      </w:pPr>
      <w:r w:rsidRPr="00BF0859">
        <w:rPr>
          <w:sz w:val="22"/>
          <w:szCs w:val="22"/>
        </w:rPr>
        <w:t xml:space="preserve"> Microsoft reports that it places company-wide emphasis on accessibility and engages regularly with the community on disability issues.</w:t>
      </w:r>
      <w:r w:rsidRPr="008D556C">
        <w:rPr>
          <w:rStyle w:val="FootnoteReference"/>
          <w:sz w:val="22"/>
          <w:szCs w:val="22"/>
        </w:rPr>
        <w:footnoteReference w:id="148"/>
      </w:r>
      <w:r w:rsidRPr="008D556C">
        <w:rPr>
          <w:sz w:val="22"/>
          <w:szCs w:val="22"/>
        </w:rPr>
        <w:t xml:space="preserve">  For example, Microsoft states that it holds an annual summit with Microsoft em</w:t>
      </w:r>
      <w:r w:rsidRPr="003511DC">
        <w:rPr>
          <w:sz w:val="22"/>
          <w:szCs w:val="22"/>
        </w:rPr>
        <w:t>ployees and disabilit</w:t>
      </w:r>
      <w:r w:rsidRPr="00BF0859">
        <w:rPr>
          <w:sz w:val="22"/>
          <w:szCs w:val="22"/>
        </w:rPr>
        <w:t>y rights advocates.</w:t>
      </w:r>
      <w:r w:rsidRPr="008D556C">
        <w:rPr>
          <w:rStyle w:val="FootnoteReference"/>
          <w:sz w:val="22"/>
          <w:szCs w:val="22"/>
        </w:rPr>
        <w:footnoteReference w:id="149"/>
      </w:r>
      <w:r w:rsidRPr="008D556C">
        <w:rPr>
          <w:sz w:val="22"/>
          <w:szCs w:val="22"/>
        </w:rPr>
        <w:t xml:space="preserve">  In addition, Microsoft explains that it hires individuals with disabilities as usability testers in studies to obtain feedback on the usability of its products.</w:t>
      </w:r>
      <w:r w:rsidRPr="008D556C">
        <w:rPr>
          <w:rStyle w:val="FootnoteReference"/>
          <w:sz w:val="22"/>
          <w:szCs w:val="22"/>
        </w:rPr>
        <w:footnoteReference w:id="150"/>
      </w:r>
      <w:r w:rsidRPr="008D556C">
        <w:rPr>
          <w:sz w:val="22"/>
          <w:szCs w:val="22"/>
        </w:rPr>
        <w:t xml:space="preserve">  </w:t>
      </w:r>
    </w:p>
    <w:p w:rsidR="00150E80" w:rsidRPr="003511DC" w:rsidRDefault="00150E80" w:rsidP="00476E6F">
      <w:pPr>
        <w:suppressAutoHyphens/>
        <w:ind w:firstLine="720"/>
        <w:rPr>
          <w:sz w:val="22"/>
          <w:szCs w:val="22"/>
        </w:rPr>
      </w:pPr>
    </w:p>
    <w:p w:rsidR="00150E80" w:rsidRPr="008D556C" w:rsidRDefault="00150E80" w:rsidP="00476E6F">
      <w:pPr>
        <w:numPr>
          <w:ilvl w:val="0"/>
          <w:numId w:val="2"/>
        </w:numPr>
        <w:tabs>
          <w:tab w:val="clear" w:pos="720"/>
        </w:tabs>
        <w:ind w:left="0" w:firstLine="720"/>
        <w:rPr>
          <w:sz w:val="22"/>
          <w:szCs w:val="22"/>
        </w:rPr>
      </w:pPr>
      <w:r w:rsidRPr="00BF0859">
        <w:rPr>
          <w:i/>
          <w:sz w:val="22"/>
          <w:szCs w:val="22"/>
        </w:rPr>
        <w:t>Information, documentation, and training</w:t>
      </w:r>
      <w:r w:rsidRPr="00FF1FD9">
        <w:rPr>
          <w:sz w:val="22"/>
          <w:szCs w:val="22"/>
        </w:rPr>
        <w:t>.</w:t>
      </w:r>
      <w:r w:rsidRPr="006C02D7">
        <w:rPr>
          <w:sz w:val="22"/>
          <w:szCs w:val="22"/>
          <w:vertAlign w:val="superscript"/>
        </w:rPr>
        <w:t xml:space="preserve"> </w:t>
      </w:r>
      <w:r w:rsidRPr="006C02D7">
        <w:rPr>
          <w:sz w:val="22"/>
          <w:szCs w:val="22"/>
        </w:rPr>
        <w:t xml:space="preserve"> The </w:t>
      </w:r>
      <w:r w:rsidRPr="006C02D7">
        <w:rPr>
          <w:i/>
          <w:sz w:val="22"/>
          <w:szCs w:val="22"/>
        </w:rPr>
        <w:t>2014 CVAA Assessment PN</w:t>
      </w:r>
      <w:r w:rsidRPr="009C5E08">
        <w:rPr>
          <w:sz w:val="22"/>
          <w:szCs w:val="22"/>
        </w:rPr>
        <w:t xml:space="preserve"> sought comment on access by people with disabilities to information and documentation related to covered products and services, as well as the extent to which covered entities that have direct contact with the public have conducted t</w:t>
      </w:r>
      <w:r w:rsidRPr="009C79E5">
        <w:rPr>
          <w:sz w:val="22"/>
          <w:szCs w:val="22"/>
        </w:rPr>
        <w:t>raining of their personnel on the accessibility of their products and services.</w:t>
      </w:r>
      <w:r w:rsidRPr="008D556C">
        <w:rPr>
          <w:rStyle w:val="FootnoteReference"/>
          <w:sz w:val="22"/>
          <w:szCs w:val="22"/>
        </w:rPr>
        <w:footnoteReference w:id="151"/>
      </w:r>
      <w:r w:rsidRPr="008D556C">
        <w:rPr>
          <w:sz w:val="22"/>
          <w:szCs w:val="22"/>
        </w:rPr>
        <w:t xml:space="preserve">  These requirements are designed to ensure that telecommunications and advanced communications services, as well as Internet browsers built into mobile phones, are </w:t>
      </w:r>
      <w:r w:rsidRPr="003511DC">
        <w:rPr>
          <w:i/>
          <w:sz w:val="22"/>
          <w:szCs w:val="22"/>
        </w:rPr>
        <w:t>usable by</w:t>
      </w:r>
      <w:r w:rsidRPr="00BF0859">
        <w:rPr>
          <w:sz w:val="22"/>
          <w:szCs w:val="22"/>
        </w:rPr>
        <w:t xml:space="preserve"> i</w:t>
      </w:r>
      <w:r w:rsidRPr="00FF1FD9">
        <w:rPr>
          <w:sz w:val="22"/>
          <w:szCs w:val="22"/>
        </w:rPr>
        <w:t>ndividuals with disabilities.</w:t>
      </w:r>
      <w:r w:rsidRPr="008D556C">
        <w:rPr>
          <w:sz w:val="22"/>
          <w:szCs w:val="22"/>
          <w:vertAlign w:val="superscript"/>
        </w:rPr>
        <w:footnoteReference w:id="152"/>
      </w:r>
      <w:r w:rsidRPr="008D556C">
        <w:rPr>
          <w:sz w:val="22"/>
          <w:szCs w:val="22"/>
        </w:rPr>
        <w:t xml:space="preserve">  Consumer Groups express concern that gaps remain, both with respect to industry efforts to disseminate information about accessible products and services, and with respect to providing staff training on accessibility.  Speci</w:t>
      </w:r>
      <w:r w:rsidRPr="003511DC">
        <w:rPr>
          <w:sz w:val="22"/>
          <w:szCs w:val="22"/>
        </w:rPr>
        <w:t>fically, Consumer Gro</w:t>
      </w:r>
      <w:r w:rsidRPr="00BF0859">
        <w:rPr>
          <w:sz w:val="22"/>
          <w:szCs w:val="22"/>
        </w:rPr>
        <w:t xml:space="preserve">ups assert that </w:t>
      </w:r>
      <w:r w:rsidR="003308A5" w:rsidRPr="00FF1FD9">
        <w:rPr>
          <w:sz w:val="22"/>
          <w:szCs w:val="22"/>
        </w:rPr>
        <w:t>“</w:t>
      </w:r>
      <w:r w:rsidRPr="006C02D7">
        <w:rPr>
          <w:sz w:val="22"/>
          <w:szCs w:val="22"/>
        </w:rPr>
        <w:t>[t]here continues to be a lack of readily available information in retail settings to help customers figure out which phone works best for them,</w:t>
      </w:r>
      <w:r w:rsidR="003308A5" w:rsidRPr="009C79E5">
        <w:rPr>
          <w:sz w:val="22"/>
          <w:szCs w:val="22"/>
        </w:rPr>
        <w:t>”</w:t>
      </w:r>
      <w:r w:rsidRPr="009C79E5">
        <w:rPr>
          <w:sz w:val="22"/>
          <w:szCs w:val="22"/>
        </w:rPr>
        <w:t xml:space="preserve"> and that retail employees are often unable to assist because they are unfamiliar with accessibility features, such as hearing aid compatible phones.</w:t>
      </w:r>
      <w:r w:rsidRPr="008D556C">
        <w:rPr>
          <w:rStyle w:val="FootnoteReference"/>
          <w:sz w:val="22"/>
          <w:szCs w:val="22"/>
        </w:rPr>
        <w:footnoteReference w:id="153"/>
      </w:r>
      <w:r w:rsidRPr="008D556C">
        <w:rPr>
          <w:sz w:val="22"/>
          <w:szCs w:val="22"/>
        </w:rPr>
        <w:t xml:space="preserve">  </w:t>
      </w:r>
      <w:r w:rsidR="001D5836" w:rsidRPr="003511DC">
        <w:rPr>
          <w:sz w:val="22"/>
          <w:szCs w:val="22"/>
        </w:rPr>
        <w:t xml:space="preserve">Wireless RERC, in response to the </w:t>
      </w:r>
      <w:r w:rsidR="001D5836" w:rsidRPr="00BF0859">
        <w:rPr>
          <w:i/>
          <w:sz w:val="22"/>
          <w:szCs w:val="22"/>
        </w:rPr>
        <w:t>2014 CVAA Tentative Findings PN</w:t>
      </w:r>
      <w:r w:rsidR="001D5836" w:rsidRPr="006C02D7">
        <w:rPr>
          <w:sz w:val="22"/>
          <w:szCs w:val="22"/>
        </w:rPr>
        <w:t xml:space="preserve">, reports that less than 30% of survey respondents </w:t>
      </w:r>
      <w:r w:rsidR="00E25813" w:rsidRPr="006C02D7">
        <w:rPr>
          <w:sz w:val="22"/>
          <w:szCs w:val="22"/>
        </w:rPr>
        <w:t>with hearing loss</w:t>
      </w:r>
      <w:r w:rsidR="001D5836" w:rsidRPr="006C02D7">
        <w:rPr>
          <w:sz w:val="22"/>
          <w:szCs w:val="22"/>
        </w:rPr>
        <w:t xml:space="preserve"> found it easy or </w:t>
      </w:r>
      <w:r w:rsidR="00E25813" w:rsidRPr="009C79E5">
        <w:rPr>
          <w:sz w:val="22"/>
          <w:szCs w:val="22"/>
        </w:rPr>
        <w:t>very easy to find a cellphone that works with their hearing aid, cochlear implant, or other technology.</w:t>
      </w:r>
      <w:r w:rsidR="00E25813" w:rsidRPr="008D556C">
        <w:rPr>
          <w:rStyle w:val="FootnoteReference"/>
          <w:sz w:val="22"/>
          <w:szCs w:val="22"/>
        </w:rPr>
        <w:footnoteReference w:id="154"/>
      </w:r>
      <w:r w:rsidR="00E25813" w:rsidRPr="008D556C">
        <w:rPr>
          <w:sz w:val="22"/>
          <w:szCs w:val="22"/>
        </w:rPr>
        <w:t xml:space="preserve"> </w:t>
      </w:r>
      <w:r w:rsidR="001D5836" w:rsidRPr="003511DC">
        <w:rPr>
          <w:sz w:val="22"/>
          <w:szCs w:val="22"/>
        </w:rPr>
        <w:t xml:space="preserve"> </w:t>
      </w:r>
      <w:r w:rsidR="00FD417A" w:rsidRPr="00BF0859">
        <w:rPr>
          <w:sz w:val="22"/>
          <w:szCs w:val="22"/>
        </w:rPr>
        <w:t>It also notes that a common theme of discussion with the disability community is that customer support service agents lack the expertise needed to resolve their issues.</w:t>
      </w:r>
      <w:r w:rsidR="00FD417A" w:rsidRPr="008D556C">
        <w:rPr>
          <w:rStyle w:val="FootnoteReference"/>
          <w:sz w:val="22"/>
          <w:szCs w:val="22"/>
        </w:rPr>
        <w:footnoteReference w:id="155"/>
      </w:r>
      <w:r w:rsidR="00FD417A" w:rsidRPr="008D556C">
        <w:rPr>
          <w:sz w:val="22"/>
          <w:szCs w:val="22"/>
        </w:rPr>
        <w:t xml:space="preserve">  </w:t>
      </w:r>
      <w:r w:rsidRPr="003511DC">
        <w:rPr>
          <w:sz w:val="22"/>
          <w:szCs w:val="22"/>
        </w:rPr>
        <w:t xml:space="preserve">AADB </w:t>
      </w:r>
      <w:r w:rsidRPr="00BF0859">
        <w:rPr>
          <w:sz w:val="22"/>
          <w:szCs w:val="22"/>
        </w:rPr>
        <w:t xml:space="preserve">agrees that </w:t>
      </w:r>
      <w:r w:rsidR="003308A5" w:rsidRPr="00FF1FD9">
        <w:rPr>
          <w:sz w:val="22"/>
          <w:szCs w:val="22"/>
        </w:rPr>
        <w:t>“</w:t>
      </w:r>
      <w:r w:rsidRPr="006C02D7">
        <w:rPr>
          <w:sz w:val="22"/>
          <w:szCs w:val="22"/>
        </w:rPr>
        <w:t>[e]ducation and outreach about accessibility on all mobile and desktop communications is much needed and critical.</w:t>
      </w:r>
      <w:r w:rsidR="003308A5" w:rsidRPr="009C79E5">
        <w:rPr>
          <w:sz w:val="22"/>
          <w:szCs w:val="22"/>
        </w:rPr>
        <w:t>”</w:t>
      </w:r>
      <w:r w:rsidRPr="008D556C">
        <w:rPr>
          <w:rStyle w:val="FootnoteReference"/>
          <w:sz w:val="22"/>
          <w:szCs w:val="22"/>
        </w:rPr>
        <w:footnoteReference w:id="156"/>
      </w:r>
      <w:r w:rsidRPr="008D556C">
        <w:rPr>
          <w:sz w:val="22"/>
          <w:szCs w:val="22"/>
        </w:rPr>
        <w:t xml:space="preserve">  It also requests easy-to-use, step-by-step instructions to enable deaf-blind individuals to navigate communication apps.</w:t>
      </w:r>
      <w:r w:rsidRPr="008D556C">
        <w:rPr>
          <w:rStyle w:val="FootnoteReference"/>
          <w:sz w:val="22"/>
          <w:szCs w:val="22"/>
        </w:rPr>
        <w:footnoteReference w:id="157"/>
      </w:r>
      <w:r w:rsidRPr="008D556C">
        <w:rPr>
          <w:sz w:val="22"/>
          <w:szCs w:val="22"/>
        </w:rPr>
        <w:t xml:space="preserve">  </w:t>
      </w:r>
      <w:r w:rsidR="00C90CC8" w:rsidRPr="003511DC">
        <w:rPr>
          <w:sz w:val="22"/>
          <w:szCs w:val="22"/>
        </w:rPr>
        <w:t>Si</w:t>
      </w:r>
      <w:r w:rsidR="00C90CC8" w:rsidRPr="00BF0859">
        <w:rPr>
          <w:sz w:val="22"/>
          <w:szCs w:val="22"/>
        </w:rPr>
        <w:t xml:space="preserve">milarly, in response to the </w:t>
      </w:r>
      <w:r w:rsidR="00C90CC8" w:rsidRPr="00FF1FD9">
        <w:rPr>
          <w:i/>
          <w:sz w:val="22"/>
          <w:szCs w:val="22"/>
        </w:rPr>
        <w:t>2014 CVAA Tentative Findings PN</w:t>
      </w:r>
      <w:r w:rsidR="00C90CC8" w:rsidRPr="006C02D7">
        <w:rPr>
          <w:sz w:val="22"/>
          <w:szCs w:val="22"/>
        </w:rPr>
        <w:t>, ACB suggests that, if accessible feature phones are available, better mark</w:t>
      </w:r>
      <w:r w:rsidR="00F70FB4" w:rsidRPr="009C79E5">
        <w:rPr>
          <w:sz w:val="22"/>
          <w:szCs w:val="22"/>
        </w:rPr>
        <w:t>et</w:t>
      </w:r>
      <w:r w:rsidR="00C90CC8" w:rsidRPr="009C79E5">
        <w:rPr>
          <w:sz w:val="22"/>
          <w:szCs w:val="22"/>
        </w:rPr>
        <w:t>ing is needed to meet the needs of individuals who do not want or cannot afford the cost of a smartphone.</w:t>
      </w:r>
      <w:r w:rsidR="00C90CC8" w:rsidRPr="008D556C">
        <w:rPr>
          <w:rStyle w:val="FootnoteReference"/>
          <w:sz w:val="22"/>
          <w:szCs w:val="22"/>
        </w:rPr>
        <w:footnoteReference w:id="158"/>
      </w:r>
      <w:r w:rsidR="00C90CC8" w:rsidRPr="008D556C">
        <w:rPr>
          <w:sz w:val="22"/>
          <w:szCs w:val="22"/>
        </w:rPr>
        <w:t xml:space="preserve">  AFB reports</w:t>
      </w:r>
      <w:r w:rsidR="00C90CC8" w:rsidRPr="003511DC">
        <w:rPr>
          <w:sz w:val="22"/>
          <w:szCs w:val="22"/>
        </w:rPr>
        <w:t xml:space="preserve"> that </w:t>
      </w:r>
      <w:r w:rsidR="003308A5" w:rsidRPr="00BF0859">
        <w:rPr>
          <w:sz w:val="22"/>
          <w:szCs w:val="22"/>
        </w:rPr>
        <w:t>“</w:t>
      </w:r>
      <w:r w:rsidR="00C90CC8" w:rsidRPr="00FF1FD9">
        <w:rPr>
          <w:sz w:val="22"/>
          <w:szCs w:val="22"/>
        </w:rPr>
        <w:t>[c]onsumers continue to report that they struggle to find the accessible products that do exist, and there continues to be a failure at critical points along the sales, marketing and customer service chain to be aware of and communicate accurate information about accessible features and functions.</w:t>
      </w:r>
      <w:r w:rsidR="00C90CC8" w:rsidRPr="008D556C">
        <w:rPr>
          <w:rStyle w:val="FootnoteReference"/>
          <w:sz w:val="22"/>
          <w:szCs w:val="22"/>
        </w:rPr>
        <w:footnoteReference w:id="159"/>
      </w:r>
      <w:r w:rsidR="00C90CC8" w:rsidRPr="008D556C">
        <w:rPr>
          <w:sz w:val="22"/>
          <w:szCs w:val="22"/>
        </w:rPr>
        <w:t xml:space="preserve">  AFB asserts that </w:t>
      </w:r>
      <w:r w:rsidR="003308A5" w:rsidRPr="003511DC">
        <w:rPr>
          <w:sz w:val="22"/>
          <w:szCs w:val="22"/>
        </w:rPr>
        <w:t>“</w:t>
      </w:r>
      <w:r w:rsidR="00C90CC8" w:rsidRPr="00BF0859">
        <w:rPr>
          <w:sz w:val="22"/>
          <w:szCs w:val="22"/>
        </w:rPr>
        <w:t>a company</w:t>
      </w:r>
      <w:r w:rsidR="003308A5" w:rsidRPr="00FF1FD9">
        <w:rPr>
          <w:sz w:val="22"/>
          <w:szCs w:val="22"/>
        </w:rPr>
        <w:t>’</w:t>
      </w:r>
      <w:r w:rsidR="00C90CC8" w:rsidRPr="00FF1FD9">
        <w:rPr>
          <w:sz w:val="22"/>
          <w:szCs w:val="22"/>
        </w:rPr>
        <w:t>s provision of accurate and up-to-date information about their products</w:t>
      </w:r>
      <w:r w:rsidR="003308A5" w:rsidRPr="006C02D7">
        <w:rPr>
          <w:sz w:val="22"/>
          <w:szCs w:val="22"/>
        </w:rPr>
        <w:t>’</w:t>
      </w:r>
      <w:r w:rsidR="00C90CC8" w:rsidRPr="006C02D7">
        <w:rPr>
          <w:sz w:val="22"/>
          <w:szCs w:val="22"/>
        </w:rPr>
        <w:t xml:space="preserve"> usability by people with disabilities is just as essential as their provision of accessible equipment a</w:t>
      </w:r>
      <w:r w:rsidR="00C90CC8" w:rsidRPr="009C79E5">
        <w:rPr>
          <w:sz w:val="22"/>
          <w:szCs w:val="22"/>
        </w:rPr>
        <w:t>nd services; consumers cannot have one without the other.</w:t>
      </w:r>
      <w:r w:rsidR="003308A5" w:rsidRPr="009C79E5">
        <w:rPr>
          <w:sz w:val="22"/>
          <w:szCs w:val="22"/>
        </w:rPr>
        <w:t>”</w:t>
      </w:r>
      <w:r w:rsidR="00C90CC8" w:rsidRPr="008D556C">
        <w:rPr>
          <w:rStyle w:val="FootnoteReference"/>
          <w:sz w:val="22"/>
          <w:szCs w:val="22"/>
        </w:rPr>
        <w:footnoteReference w:id="160"/>
      </w:r>
    </w:p>
    <w:p w:rsidR="00150E80" w:rsidRPr="00BF0859" w:rsidRDefault="00150E80" w:rsidP="00476E6F">
      <w:pPr>
        <w:suppressAutoHyphens/>
        <w:ind w:firstLine="720"/>
        <w:rPr>
          <w:sz w:val="22"/>
          <w:szCs w:val="22"/>
        </w:rPr>
      </w:pPr>
      <w:r w:rsidRPr="003511DC">
        <w:rPr>
          <w:b/>
          <w:i/>
          <w:sz w:val="22"/>
          <w:szCs w:val="22"/>
        </w:rPr>
        <w:t xml:space="preserve"> </w:t>
      </w:r>
    </w:p>
    <w:p w:rsidR="00150E80" w:rsidRPr="008D556C" w:rsidRDefault="00150E80" w:rsidP="00476E6F">
      <w:pPr>
        <w:numPr>
          <w:ilvl w:val="0"/>
          <w:numId w:val="2"/>
        </w:numPr>
        <w:tabs>
          <w:tab w:val="clear" w:pos="720"/>
        </w:tabs>
        <w:ind w:left="0" w:firstLine="720"/>
        <w:rPr>
          <w:sz w:val="22"/>
          <w:szCs w:val="22"/>
        </w:rPr>
      </w:pPr>
      <w:r w:rsidRPr="006C02D7">
        <w:rPr>
          <w:sz w:val="22"/>
          <w:szCs w:val="22"/>
        </w:rPr>
        <w:t>Industry commenters underscore their efforts to disseminate information to consumers with disabilities.  For example, CTIA stresses that its member companies provide accessibility information th</w:t>
      </w:r>
      <w:r w:rsidRPr="009C79E5">
        <w:rPr>
          <w:sz w:val="22"/>
          <w:szCs w:val="22"/>
        </w:rPr>
        <w:t>rough advertisements, product packaging, user guides, and their websites, as well as through customer service representatives.</w:t>
      </w:r>
      <w:r w:rsidRPr="008D556C">
        <w:rPr>
          <w:rStyle w:val="FootnoteReference"/>
          <w:sz w:val="22"/>
          <w:szCs w:val="22"/>
        </w:rPr>
        <w:footnoteReference w:id="161"/>
      </w:r>
      <w:r w:rsidRPr="008D556C">
        <w:rPr>
          <w:sz w:val="22"/>
          <w:szCs w:val="22"/>
        </w:rPr>
        <w:t xml:space="preserve">  It states that the industry and individual providers have increased awareness of accessible services and products to an extent </w:t>
      </w:r>
      <w:r w:rsidRPr="003511DC">
        <w:rPr>
          <w:sz w:val="22"/>
          <w:szCs w:val="22"/>
        </w:rPr>
        <w:t xml:space="preserve">that goes beyond the </w:t>
      </w:r>
      <w:r w:rsidRPr="00BF0859">
        <w:rPr>
          <w:sz w:val="22"/>
          <w:szCs w:val="22"/>
        </w:rPr>
        <w:t>requirements of the CVAA, including regular attendance at conferences and meetings, along with maintenance of the AccessWireless.org website, where consumers can search for wireless handsets based on accessibility features.</w:t>
      </w:r>
      <w:r w:rsidRPr="008D556C">
        <w:rPr>
          <w:rStyle w:val="FootnoteReference"/>
          <w:sz w:val="22"/>
          <w:szCs w:val="22"/>
        </w:rPr>
        <w:footnoteReference w:id="162"/>
      </w:r>
      <w:r w:rsidRPr="008D556C">
        <w:rPr>
          <w:sz w:val="22"/>
          <w:szCs w:val="22"/>
        </w:rPr>
        <w:t xml:space="preserve">  </w:t>
      </w:r>
    </w:p>
    <w:p w:rsidR="00150E80" w:rsidRPr="003511DC" w:rsidRDefault="00150E80" w:rsidP="00476E6F">
      <w:pPr>
        <w:suppressAutoHyphens/>
        <w:ind w:firstLine="720"/>
        <w:rPr>
          <w:sz w:val="22"/>
          <w:szCs w:val="22"/>
        </w:rPr>
      </w:pPr>
    </w:p>
    <w:p w:rsidR="00150E80" w:rsidRPr="008D556C" w:rsidRDefault="00150E80" w:rsidP="00476E6F">
      <w:pPr>
        <w:numPr>
          <w:ilvl w:val="0"/>
          <w:numId w:val="2"/>
        </w:numPr>
        <w:tabs>
          <w:tab w:val="clear" w:pos="720"/>
        </w:tabs>
        <w:ind w:left="0" w:firstLine="720"/>
        <w:rPr>
          <w:sz w:val="22"/>
          <w:szCs w:val="22"/>
        </w:rPr>
      </w:pPr>
      <w:r w:rsidRPr="00BF0859">
        <w:rPr>
          <w:sz w:val="22"/>
          <w:szCs w:val="22"/>
        </w:rPr>
        <w:t>With re</w:t>
      </w:r>
      <w:r w:rsidRPr="00FF1FD9">
        <w:rPr>
          <w:sz w:val="22"/>
          <w:szCs w:val="22"/>
        </w:rPr>
        <w:t xml:space="preserve">spect to staff training, Microsoft reports that it has established a </w:t>
      </w:r>
      <w:r w:rsidR="003308A5" w:rsidRPr="00FF1FD9">
        <w:rPr>
          <w:sz w:val="22"/>
          <w:szCs w:val="22"/>
        </w:rPr>
        <w:t>“</w:t>
      </w:r>
      <w:r w:rsidRPr="006C02D7">
        <w:rPr>
          <w:sz w:val="22"/>
          <w:szCs w:val="22"/>
        </w:rPr>
        <w:t>disability Answer Desk</w:t>
      </w:r>
      <w:r w:rsidR="003308A5" w:rsidRPr="009C79E5">
        <w:rPr>
          <w:sz w:val="22"/>
          <w:szCs w:val="22"/>
        </w:rPr>
        <w:t>”</w:t>
      </w:r>
      <w:r w:rsidRPr="009C79E5">
        <w:rPr>
          <w:sz w:val="22"/>
          <w:szCs w:val="22"/>
        </w:rPr>
        <w:t xml:space="preserve"> that consumers can contact by phone, e-mail, or chat to receive assistance from staff </w:t>
      </w:r>
      <w:r w:rsidR="003308A5" w:rsidRPr="009C79E5">
        <w:rPr>
          <w:sz w:val="22"/>
          <w:szCs w:val="22"/>
        </w:rPr>
        <w:t>“</w:t>
      </w:r>
      <w:r w:rsidRPr="009C79E5">
        <w:rPr>
          <w:sz w:val="22"/>
          <w:szCs w:val="22"/>
        </w:rPr>
        <w:t>specifically trained in assistive technologies and assisting persons with disabilities.</w:t>
      </w:r>
      <w:r w:rsidR="003308A5" w:rsidRPr="009C79E5">
        <w:rPr>
          <w:sz w:val="22"/>
          <w:szCs w:val="22"/>
        </w:rPr>
        <w:t>”</w:t>
      </w:r>
      <w:r w:rsidRPr="008D556C">
        <w:rPr>
          <w:rStyle w:val="FootnoteReference"/>
          <w:sz w:val="22"/>
          <w:szCs w:val="22"/>
        </w:rPr>
        <w:footnoteReference w:id="163"/>
      </w:r>
    </w:p>
    <w:p w:rsidR="00150E80" w:rsidRPr="003511DC" w:rsidRDefault="00150E80" w:rsidP="00476E6F">
      <w:pPr>
        <w:suppressAutoHyphens/>
        <w:ind w:firstLine="720"/>
        <w:rPr>
          <w:sz w:val="22"/>
          <w:szCs w:val="22"/>
        </w:rPr>
      </w:pPr>
    </w:p>
    <w:p w:rsidR="00150E80" w:rsidRPr="008D556C" w:rsidRDefault="00150E80" w:rsidP="00476E6F">
      <w:pPr>
        <w:numPr>
          <w:ilvl w:val="0"/>
          <w:numId w:val="2"/>
        </w:numPr>
        <w:tabs>
          <w:tab w:val="clear" w:pos="720"/>
        </w:tabs>
        <w:ind w:left="0" w:firstLine="720"/>
        <w:rPr>
          <w:sz w:val="22"/>
          <w:szCs w:val="22"/>
        </w:rPr>
      </w:pPr>
      <w:r w:rsidRPr="00BF0859">
        <w:rPr>
          <w:i/>
          <w:sz w:val="22"/>
          <w:szCs w:val="22"/>
        </w:rPr>
        <w:t>Other issues</w:t>
      </w:r>
      <w:r w:rsidRPr="00FF1FD9">
        <w:rPr>
          <w:sz w:val="22"/>
          <w:szCs w:val="22"/>
        </w:rPr>
        <w:t xml:space="preserve">.  Consumers point to several aspects of service plans offered by providers that they claim result in reduced accessibility for users with disabilities.  Consumer Groups, whose members rely on data-based rather than voice-based </w:t>
      </w:r>
      <w:r w:rsidRPr="006C02D7">
        <w:rPr>
          <w:sz w:val="22"/>
          <w:szCs w:val="22"/>
        </w:rPr>
        <w:t xml:space="preserve">communication, express serious concern about </w:t>
      </w:r>
      <w:r w:rsidR="003308A5" w:rsidRPr="006C02D7">
        <w:rPr>
          <w:sz w:val="22"/>
          <w:szCs w:val="22"/>
        </w:rPr>
        <w:t>“</w:t>
      </w:r>
      <w:r w:rsidRPr="006C02D7">
        <w:rPr>
          <w:sz w:val="22"/>
          <w:szCs w:val="22"/>
        </w:rPr>
        <w:t>the growing trend among wireless carriers where they are no longer offering unlimited data plans and are instead metering, throttling and sometimes capping their data plans.</w:t>
      </w:r>
      <w:r w:rsidR="003308A5" w:rsidRPr="009C79E5">
        <w:rPr>
          <w:sz w:val="22"/>
          <w:szCs w:val="22"/>
        </w:rPr>
        <w:t>”</w:t>
      </w:r>
      <w:r w:rsidRPr="008D556C">
        <w:rPr>
          <w:rStyle w:val="FootnoteReference"/>
          <w:sz w:val="22"/>
          <w:szCs w:val="22"/>
        </w:rPr>
        <w:footnoteReference w:id="164"/>
      </w:r>
      <w:r w:rsidRPr="008D556C">
        <w:rPr>
          <w:sz w:val="22"/>
          <w:szCs w:val="22"/>
        </w:rPr>
        <w:t xml:space="preserve">  Consumer Groups claim that becaus</w:t>
      </w:r>
      <w:r w:rsidRPr="003511DC">
        <w:rPr>
          <w:sz w:val="22"/>
          <w:szCs w:val="22"/>
        </w:rPr>
        <w:t>e some modes of commu</w:t>
      </w:r>
      <w:r w:rsidRPr="00BF0859">
        <w:rPr>
          <w:sz w:val="22"/>
          <w:szCs w:val="22"/>
        </w:rPr>
        <w:t>nication, particularly video conferencing, use significant amounts of data, such restrictions limit functional equivalency for deaf and hard of hearing users and result in their paying more for expensive overage charges and costly data</w:t>
      </w:r>
      <w:r w:rsidRPr="006C02D7">
        <w:rPr>
          <w:sz w:val="22"/>
          <w:szCs w:val="22"/>
        </w:rPr>
        <w:t xml:space="preserve"> plans.</w:t>
      </w:r>
      <w:r w:rsidRPr="008D556C">
        <w:rPr>
          <w:rStyle w:val="FootnoteReference"/>
          <w:sz w:val="22"/>
          <w:szCs w:val="22"/>
        </w:rPr>
        <w:footnoteReference w:id="165"/>
      </w:r>
      <w:r w:rsidRPr="008D556C">
        <w:rPr>
          <w:sz w:val="22"/>
          <w:szCs w:val="22"/>
        </w:rPr>
        <w:t xml:space="preserve">  Moreover, C</w:t>
      </w:r>
      <w:r w:rsidRPr="003511DC">
        <w:rPr>
          <w:sz w:val="22"/>
          <w:szCs w:val="22"/>
        </w:rPr>
        <w:t>onsumer Groups point to news reports causing growing apprehension that one or more major carriers may begin throttling data speeds for customers with unlimited data plans, or may begin capping consumers</w:t>
      </w:r>
      <w:r w:rsidR="003308A5" w:rsidRPr="00BF0859">
        <w:rPr>
          <w:sz w:val="22"/>
          <w:szCs w:val="22"/>
        </w:rPr>
        <w:t>’</w:t>
      </w:r>
      <w:r w:rsidRPr="00FF1FD9">
        <w:rPr>
          <w:sz w:val="22"/>
          <w:szCs w:val="22"/>
        </w:rPr>
        <w:t xml:space="preserve"> data usage.</w:t>
      </w:r>
      <w:r w:rsidRPr="008D556C">
        <w:rPr>
          <w:rStyle w:val="FootnoteReference"/>
          <w:sz w:val="22"/>
          <w:szCs w:val="22"/>
        </w:rPr>
        <w:footnoteReference w:id="166"/>
      </w:r>
      <w:r w:rsidRPr="008D556C">
        <w:rPr>
          <w:sz w:val="22"/>
          <w:szCs w:val="22"/>
        </w:rPr>
        <w:t xml:space="preserve">  Their concerns ar</w:t>
      </w:r>
      <w:r w:rsidRPr="003511DC">
        <w:rPr>
          <w:sz w:val="22"/>
          <w:szCs w:val="22"/>
        </w:rPr>
        <w:t>e that throttling dat</w:t>
      </w:r>
      <w:r w:rsidRPr="00BF0859">
        <w:rPr>
          <w:sz w:val="22"/>
          <w:szCs w:val="22"/>
        </w:rPr>
        <w:t xml:space="preserve">a speed would render video communication impossible and data caps could result in sudden blockages to the network; either action, they say, could render a person who is deaf or hard of hearing unable to make calls, including calls for </w:t>
      </w:r>
      <w:r w:rsidRPr="006C02D7">
        <w:rPr>
          <w:sz w:val="22"/>
          <w:szCs w:val="22"/>
        </w:rPr>
        <w:t>emergency services.</w:t>
      </w:r>
      <w:r w:rsidRPr="008D556C">
        <w:rPr>
          <w:rStyle w:val="FootnoteReference"/>
          <w:sz w:val="22"/>
          <w:szCs w:val="22"/>
        </w:rPr>
        <w:footnoteReference w:id="167"/>
      </w:r>
    </w:p>
    <w:p w:rsidR="00150E80" w:rsidRPr="008D556C" w:rsidRDefault="00150E80" w:rsidP="00476E6F">
      <w:pPr>
        <w:suppressAutoHyphens/>
        <w:ind w:firstLine="720"/>
        <w:rPr>
          <w:sz w:val="22"/>
          <w:szCs w:val="22"/>
        </w:rPr>
      </w:pPr>
    </w:p>
    <w:p w:rsidR="00150E80" w:rsidRPr="003511DC" w:rsidRDefault="00150E80" w:rsidP="00476E6F">
      <w:pPr>
        <w:numPr>
          <w:ilvl w:val="0"/>
          <w:numId w:val="2"/>
        </w:numPr>
        <w:tabs>
          <w:tab w:val="clear" w:pos="720"/>
        </w:tabs>
        <w:ind w:left="0" w:firstLine="720"/>
        <w:rPr>
          <w:sz w:val="22"/>
          <w:szCs w:val="22"/>
          <w:shd w:val="clear" w:color="auto" w:fill="FFFF00"/>
        </w:rPr>
      </w:pPr>
      <w:r w:rsidRPr="003511DC">
        <w:rPr>
          <w:sz w:val="22"/>
          <w:szCs w:val="22"/>
        </w:rPr>
        <w:t>By contrast, industry comments</w:t>
      </w:r>
      <w:r w:rsidRPr="00BF0859" w:rsidDel="008C0186">
        <w:rPr>
          <w:sz w:val="22"/>
          <w:szCs w:val="22"/>
        </w:rPr>
        <w:t xml:space="preserve"> </w:t>
      </w:r>
      <w:r w:rsidRPr="00FF1FD9">
        <w:rPr>
          <w:sz w:val="22"/>
          <w:szCs w:val="22"/>
        </w:rPr>
        <w:t>emphasize the wide selection of service plans tailored to fit the needs of users with disabilities.  For example, CTIA points to providers</w:t>
      </w:r>
      <w:r w:rsidR="003308A5" w:rsidRPr="006C02D7">
        <w:rPr>
          <w:sz w:val="22"/>
          <w:szCs w:val="22"/>
        </w:rPr>
        <w:t>’</w:t>
      </w:r>
      <w:r w:rsidRPr="006C02D7">
        <w:rPr>
          <w:sz w:val="22"/>
          <w:szCs w:val="22"/>
        </w:rPr>
        <w:t xml:space="preserve"> service plans that </w:t>
      </w:r>
      <w:r w:rsidR="003308A5" w:rsidRPr="006C02D7">
        <w:rPr>
          <w:sz w:val="22"/>
          <w:szCs w:val="22"/>
        </w:rPr>
        <w:t>“</w:t>
      </w:r>
      <w:r w:rsidRPr="006C02D7">
        <w:rPr>
          <w:sz w:val="22"/>
          <w:szCs w:val="22"/>
        </w:rPr>
        <w:t>meet the needs of people with disabilities,</w:t>
      </w:r>
      <w:r w:rsidR="003308A5" w:rsidRPr="009C79E5">
        <w:rPr>
          <w:sz w:val="22"/>
          <w:szCs w:val="22"/>
        </w:rPr>
        <w:t>”</w:t>
      </w:r>
      <w:r w:rsidRPr="009C79E5">
        <w:rPr>
          <w:sz w:val="22"/>
          <w:szCs w:val="22"/>
        </w:rPr>
        <w:t xml:space="preserve"> and offer </w:t>
      </w:r>
      <w:r w:rsidR="003308A5" w:rsidRPr="009C79E5">
        <w:rPr>
          <w:sz w:val="22"/>
          <w:szCs w:val="22"/>
        </w:rPr>
        <w:t>“</w:t>
      </w:r>
      <w:r w:rsidRPr="009C79E5">
        <w:rPr>
          <w:sz w:val="22"/>
          <w:szCs w:val="22"/>
        </w:rPr>
        <w:t>a variety of post- and pre-paid plans to accommodate differing abilities to pay.</w:t>
      </w:r>
      <w:r w:rsidR="003308A5" w:rsidRPr="009C79E5">
        <w:rPr>
          <w:sz w:val="22"/>
          <w:szCs w:val="22"/>
        </w:rPr>
        <w:t>”</w:t>
      </w:r>
      <w:r w:rsidRPr="008D556C">
        <w:rPr>
          <w:rStyle w:val="FootnoteReference"/>
          <w:sz w:val="22"/>
          <w:szCs w:val="22"/>
        </w:rPr>
        <w:footnoteReference w:id="168"/>
      </w:r>
      <w:r w:rsidRPr="008D556C">
        <w:rPr>
          <w:sz w:val="22"/>
          <w:szCs w:val="22"/>
        </w:rPr>
        <w:t xml:space="preserve">  It states that wireless service providers continue to </w:t>
      </w:r>
      <w:r w:rsidR="003308A5" w:rsidRPr="003511DC">
        <w:rPr>
          <w:sz w:val="22"/>
          <w:szCs w:val="22"/>
        </w:rPr>
        <w:t>“</w:t>
      </w:r>
      <w:r w:rsidRPr="00BF0859">
        <w:rPr>
          <w:sz w:val="22"/>
          <w:szCs w:val="22"/>
        </w:rPr>
        <w:t>offer and expand their array of services that benefit the accessibility community, including by introduc</w:t>
      </w:r>
      <w:r w:rsidRPr="006C02D7">
        <w:rPr>
          <w:sz w:val="22"/>
          <w:szCs w:val="22"/>
        </w:rPr>
        <w:t>ing voice, text, data and service plans that greatly benefit people with disabilities and seniors.</w:t>
      </w:r>
      <w:r w:rsidR="003308A5" w:rsidRPr="009C79E5">
        <w:rPr>
          <w:sz w:val="22"/>
          <w:szCs w:val="22"/>
        </w:rPr>
        <w:t>”</w:t>
      </w:r>
      <w:r w:rsidRPr="008D556C">
        <w:rPr>
          <w:rStyle w:val="FootnoteReference"/>
          <w:sz w:val="22"/>
          <w:szCs w:val="22"/>
        </w:rPr>
        <w:footnoteReference w:id="169"/>
      </w:r>
      <w:r w:rsidRPr="008D556C">
        <w:rPr>
          <w:sz w:val="22"/>
          <w:szCs w:val="22"/>
        </w:rPr>
        <w:t xml:space="preserve">  </w:t>
      </w:r>
    </w:p>
    <w:p w:rsidR="00C36D94" w:rsidRPr="00BF0859" w:rsidRDefault="00C36D94" w:rsidP="00476E6F">
      <w:pPr>
        <w:ind w:left="720"/>
        <w:rPr>
          <w:sz w:val="22"/>
          <w:szCs w:val="22"/>
          <w:shd w:val="clear" w:color="auto" w:fill="FFFF00"/>
        </w:rPr>
      </w:pPr>
    </w:p>
    <w:p w:rsidR="00BF0B1C" w:rsidRPr="008D556C" w:rsidRDefault="00A464F7" w:rsidP="00476E6F">
      <w:pPr>
        <w:suppressAutoHyphens/>
        <w:ind w:left="1440"/>
        <w:rPr>
          <w:sz w:val="22"/>
          <w:szCs w:val="22"/>
        </w:rPr>
      </w:pPr>
      <w:r w:rsidRPr="006C02D7">
        <w:rPr>
          <w:b/>
          <w:sz w:val="22"/>
          <w:szCs w:val="22"/>
        </w:rPr>
        <w:t>2.</w:t>
      </w:r>
      <w:r w:rsidRPr="006C02D7">
        <w:rPr>
          <w:b/>
          <w:sz w:val="22"/>
          <w:szCs w:val="22"/>
        </w:rPr>
        <w:tab/>
      </w:r>
      <w:r w:rsidR="00BF0B1C" w:rsidRPr="006C02D7">
        <w:rPr>
          <w:b/>
          <w:sz w:val="22"/>
          <w:szCs w:val="22"/>
        </w:rPr>
        <w:t>Findings on Compliance with Sections 255, 716, and 718</w:t>
      </w:r>
      <w:r w:rsidR="002249EA" w:rsidRPr="008D556C">
        <w:rPr>
          <w:rStyle w:val="FootnoteReference"/>
          <w:sz w:val="22"/>
          <w:szCs w:val="22"/>
        </w:rPr>
        <w:footnoteReference w:id="170"/>
      </w:r>
      <w:r w:rsidR="00BF0B1C" w:rsidRPr="008D556C">
        <w:rPr>
          <w:sz w:val="22"/>
          <w:szCs w:val="22"/>
        </w:rPr>
        <w:t xml:space="preserve">  </w:t>
      </w:r>
    </w:p>
    <w:p w:rsidR="00315EB8" w:rsidRPr="003511DC" w:rsidRDefault="00315EB8" w:rsidP="00476E6F">
      <w:pPr>
        <w:suppressAutoHyphens/>
        <w:ind w:left="1440"/>
        <w:rPr>
          <w:sz w:val="22"/>
          <w:szCs w:val="22"/>
        </w:rPr>
      </w:pPr>
    </w:p>
    <w:p w:rsidR="007D0365" w:rsidRPr="009C79E5" w:rsidRDefault="007D0365" w:rsidP="00476E6F">
      <w:pPr>
        <w:numPr>
          <w:ilvl w:val="0"/>
          <w:numId w:val="2"/>
        </w:numPr>
        <w:tabs>
          <w:tab w:val="clear" w:pos="720"/>
        </w:tabs>
        <w:suppressAutoHyphens/>
        <w:ind w:left="0" w:firstLine="720"/>
        <w:rPr>
          <w:sz w:val="22"/>
          <w:szCs w:val="22"/>
        </w:rPr>
      </w:pPr>
      <w:r w:rsidRPr="00BF0859">
        <w:rPr>
          <w:sz w:val="22"/>
          <w:szCs w:val="22"/>
        </w:rPr>
        <w:t xml:space="preserve">In the </w:t>
      </w:r>
      <w:r w:rsidR="00F575F8" w:rsidRPr="00FF1FD9">
        <w:rPr>
          <w:i/>
          <w:sz w:val="22"/>
          <w:szCs w:val="22"/>
        </w:rPr>
        <w:t xml:space="preserve">2014 </w:t>
      </w:r>
      <w:r w:rsidRPr="00FF1FD9">
        <w:rPr>
          <w:i/>
          <w:sz w:val="22"/>
          <w:szCs w:val="22"/>
        </w:rPr>
        <w:t xml:space="preserve">CVAA Tentative Findings PN, </w:t>
      </w:r>
      <w:r w:rsidRPr="006C02D7">
        <w:rPr>
          <w:sz w:val="22"/>
          <w:szCs w:val="22"/>
        </w:rPr>
        <w:t xml:space="preserve">we tentatively found that, since the </w:t>
      </w:r>
      <w:r w:rsidRPr="006C02D7">
        <w:rPr>
          <w:i/>
          <w:sz w:val="22"/>
          <w:szCs w:val="22"/>
        </w:rPr>
        <w:t>2012 CVAA Bie</w:t>
      </w:r>
      <w:r w:rsidRPr="009C79E5">
        <w:rPr>
          <w:i/>
          <w:sz w:val="22"/>
          <w:szCs w:val="22"/>
        </w:rPr>
        <w:t>nnial Report</w:t>
      </w:r>
      <w:r w:rsidRPr="009C79E5">
        <w:rPr>
          <w:sz w:val="22"/>
          <w:szCs w:val="22"/>
        </w:rPr>
        <w:t>, there has been an increase in the availability of telecommunications equipment with varying degrees of functionality and features, and offered at differing price points, that are accessible to individuals with disabilities.</w:t>
      </w:r>
      <w:r w:rsidRPr="008D556C">
        <w:rPr>
          <w:rStyle w:val="FootnoteReference"/>
          <w:sz w:val="22"/>
          <w:szCs w:val="22"/>
        </w:rPr>
        <w:footnoteReference w:id="171"/>
      </w:r>
      <w:r w:rsidRPr="008D556C">
        <w:rPr>
          <w:sz w:val="22"/>
          <w:szCs w:val="22"/>
        </w:rPr>
        <w:t xml:space="preserve">  With respect to </w:t>
      </w:r>
      <w:r w:rsidRPr="003511DC">
        <w:rPr>
          <w:sz w:val="22"/>
          <w:szCs w:val="22"/>
        </w:rPr>
        <w:t>compliance with Secti</w:t>
      </w:r>
      <w:r w:rsidRPr="00BF0859">
        <w:rPr>
          <w:sz w:val="22"/>
          <w:szCs w:val="22"/>
        </w:rPr>
        <w:t>ons 716 and 718, we tentatively found that the lack of requests for assistance or informal complaints is not conclusive evidence of compliance</w:t>
      </w:r>
      <w:r w:rsidR="009660DC" w:rsidRPr="006C02D7">
        <w:rPr>
          <w:sz w:val="22"/>
          <w:szCs w:val="22"/>
        </w:rPr>
        <w:t>;</w:t>
      </w:r>
      <w:r w:rsidRPr="006C02D7">
        <w:rPr>
          <w:sz w:val="22"/>
          <w:szCs w:val="22"/>
        </w:rPr>
        <w:t xml:space="preserve"> nor can it be used to infer compliance.</w:t>
      </w:r>
      <w:r w:rsidRPr="008D556C">
        <w:rPr>
          <w:rStyle w:val="FootnoteReference"/>
          <w:sz w:val="22"/>
          <w:szCs w:val="22"/>
        </w:rPr>
        <w:footnoteReference w:id="172"/>
      </w:r>
      <w:r w:rsidRPr="008D556C">
        <w:rPr>
          <w:sz w:val="22"/>
          <w:szCs w:val="22"/>
        </w:rPr>
        <w:t xml:space="preserve">  Nonetheless, we also tentatively found that indus</w:t>
      </w:r>
      <w:r w:rsidRPr="003511DC">
        <w:rPr>
          <w:sz w:val="22"/>
          <w:szCs w:val="22"/>
        </w:rPr>
        <w:t xml:space="preserve">try has made efforts </w:t>
      </w:r>
      <w:r w:rsidRPr="00BF0859">
        <w:rPr>
          <w:sz w:val="22"/>
          <w:szCs w:val="22"/>
        </w:rPr>
        <w:t>to ensure that advanced communications services and the equipment used for these services are accessible to people with disabilities, and that Internet browsers built into mobile phones are accessible to individuals who are blind or vi</w:t>
      </w:r>
      <w:r w:rsidRPr="006C02D7">
        <w:rPr>
          <w:sz w:val="22"/>
          <w:szCs w:val="22"/>
        </w:rPr>
        <w:t>sually impaired.</w:t>
      </w:r>
      <w:r w:rsidRPr="008D556C">
        <w:rPr>
          <w:rStyle w:val="FootnoteReference"/>
          <w:sz w:val="22"/>
          <w:szCs w:val="22"/>
        </w:rPr>
        <w:footnoteReference w:id="173"/>
      </w:r>
      <w:r w:rsidRPr="008D556C">
        <w:rPr>
          <w:sz w:val="22"/>
          <w:szCs w:val="22"/>
        </w:rPr>
        <w:t xml:space="preserve">  Wh</w:t>
      </w:r>
      <w:r w:rsidRPr="003511DC">
        <w:rPr>
          <w:sz w:val="22"/>
          <w:szCs w:val="22"/>
        </w:rPr>
        <w:t>ile progress has been made to meet the accessibility obligations of Sections 255, 716, and 718, we nevertheless tentatively concluded that some accessibility gaps still exist and others have the potential to occur or reoccur.</w:t>
      </w:r>
      <w:r w:rsidRPr="008D556C">
        <w:rPr>
          <w:rStyle w:val="FootnoteReference"/>
          <w:sz w:val="22"/>
          <w:szCs w:val="22"/>
        </w:rPr>
        <w:footnoteReference w:id="174"/>
      </w:r>
      <w:r w:rsidRPr="008D556C">
        <w:rPr>
          <w:sz w:val="22"/>
          <w:szCs w:val="22"/>
        </w:rPr>
        <w:t xml:space="preserve">  We furt</w:t>
      </w:r>
      <w:r w:rsidRPr="003511DC">
        <w:rPr>
          <w:sz w:val="22"/>
          <w:szCs w:val="22"/>
        </w:rPr>
        <w:t>her tentatively found</w:t>
      </w:r>
      <w:r w:rsidRPr="00BF0859">
        <w:rPr>
          <w:sz w:val="22"/>
          <w:szCs w:val="22"/>
        </w:rPr>
        <w:t xml:space="preserve"> that, while some efforts to consult with individuals with disabilities have occurred over the past two years, more can be done to include people with disabilities early on in the design and development of advanced communications produ</w:t>
      </w:r>
      <w:r w:rsidRPr="006C02D7">
        <w:rPr>
          <w:sz w:val="22"/>
          <w:szCs w:val="22"/>
        </w:rPr>
        <w:t>cts and services.</w:t>
      </w:r>
      <w:r w:rsidRPr="008D556C">
        <w:rPr>
          <w:rStyle w:val="FootnoteReference"/>
          <w:sz w:val="22"/>
          <w:szCs w:val="22"/>
        </w:rPr>
        <w:footnoteReference w:id="175"/>
      </w:r>
      <w:r w:rsidRPr="008D556C">
        <w:rPr>
          <w:sz w:val="22"/>
          <w:szCs w:val="22"/>
        </w:rPr>
        <w:t xml:space="preserve">  F</w:t>
      </w:r>
      <w:r w:rsidRPr="003511DC">
        <w:rPr>
          <w:sz w:val="22"/>
          <w:szCs w:val="22"/>
        </w:rPr>
        <w:t>inally, we tentatively found that industry has engaged in some efforts to ensure the availability of information about accessible products and services, including training personnel, but that gaps remain in the usability of these offer</w:t>
      </w:r>
      <w:r w:rsidRPr="00BF0859">
        <w:rPr>
          <w:sz w:val="22"/>
          <w:szCs w:val="22"/>
        </w:rPr>
        <w:t>ings.</w:t>
      </w:r>
      <w:r w:rsidRPr="008D556C">
        <w:rPr>
          <w:rStyle w:val="FootnoteReference"/>
          <w:sz w:val="22"/>
          <w:szCs w:val="22"/>
        </w:rPr>
        <w:footnoteReference w:id="176"/>
      </w:r>
      <w:r w:rsidRPr="008D556C">
        <w:rPr>
          <w:sz w:val="22"/>
          <w:szCs w:val="22"/>
        </w:rPr>
        <w:t xml:space="preserve">  Below we disc</w:t>
      </w:r>
      <w:r w:rsidRPr="003511DC">
        <w:rPr>
          <w:sz w:val="22"/>
          <w:szCs w:val="22"/>
        </w:rPr>
        <w:t xml:space="preserve">uss these various findings, which we </w:t>
      </w:r>
      <w:r w:rsidR="00315EB8" w:rsidRPr="00BF0859">
        <w:rPr>
          <w:sz w:val="22"/>
          <w:szCs w:val="22"/>
        </w:rPr>
        <w:t xml:space="preserve">affirm </w:t>
      </w:r>
      <w:r w:rsidRPr="00FF1FD9">
        <w:rPr>
          <w:sz w:val="22"/>
          <w:szCs w:val="22"/>
        </w:rPr>
        <w:t>based on both the initial input received from commenters</w:t>
      </w:r>
      <w:r w:rsidR="00DF297F" w:rsidRPr="006C02D7">
        <w:rPr>
          <w:sz w:val="22"/>
          <w:szCs w:val="22"/>
        </w:rPr>
        <w:t xml:space="preserve"> in response to the </w:t>
      </w:r>
      <w:r w:rsidR="00DF297F" w:rsidRPr="006C02D7">
        <w:rPr>
          <w:i/>
          <w:sz w:val="22"/>
          <w:szCs w:val="22"/>
        </w:rPr>
        <w:t>2014 CVAA Assessment PN</w:t>
      </w:r>
      <w:r w:rsidR="005704C5" w:rsidRPr="006C02D7">
        <w:rPr>
          <w:i/>
          <w:sz w:val="22"/>
          <w:szCs w:val="22"/>
        </w:rPr>
        <w:t xml:space="preserve"> </w:t>
      </w:r>
      <w:r w:rsidR="005704C5" w:rsidRPr="006C02D7">
        <w:rPr>
          <w:sz w:val="22"/>
          <w:szCs w:val="22"/>
        </w:rPr>
        <w:t>and more recently, comments received in response to the</w:t>
      </w:r>
      <w:r w:rsidR="005704C5" w:rsidRPr="009C79E5">
        <w:rPr>
          <w:i/>
          <w:sz w:val="22"/>
          <w:szCs w:val="22"/>
        </w:rPr>
        <w:t xml:space="preserve"> 2014</w:t>
      </w:r>
      <w:r w:rsidR="005704C5" w:rsidRPr="009C79E5">
        <w:rPr>
          <w:sz w:val="22"/>
          <w:szCs w:val="22"/>
        </w:rPr>
        <w:t xml:space="preserve"> </w:t>
      </w:r>
      <w:r w:rsidR="005704C5" w:rsidRPr="009C79E5">
        <w:rPr>
          <w:i/>
          <w:sz w:val="22"/>
          <w:szCs w:val="22"/>
        </w:rPr>
        <w:t>CVAA Tentative Findings PN.</w:t>
      </w:r>
    </w:p>
    <w:p w:rsidR="006050E6" w:rsidRPr="009C79E5" w:rsidRDefault="006050E6" w:rsidP="00476E6F">
      <w:pPr>
        <w:ind w:left="720"/>
        <w:rPr>
          <w:sz w:val="22"/>
          <w:szCs w:val="22"/>
        </w:rPr>
      </w:pPr>
    </w:p>
    <w:p w:rsidR="00BF0B1C" w:rsidRPr="006C02D7" w:rsidRDefault="00BF0B1C" w:rsidP="00476E6F">
      <w:pPr>
        <w:numPr>
          <w:ilvl w:val="0"/>
          <w:numId w:val="2"/>
        </w:numPr>
        <w:tabs>
          <w:tab w:val="clear" w:pos="720"/>
        </w:tabs>
        <w:ind w:left="0" w:firstLine="720"/>
        <w:rPr>
          <w:sz w:val="22"/>
          <w:szCs w:val="22"/>
        </w:rPr>
      </w:pPr>
      <w:r w:rsidRPr="009C79E5">
        <w:rPr>
          <w:i/>
          <w:sz w:val="22"/>
          <w:szCs w:val="22"/>
        </w:rPr>
        <w:t>Section 255</w:t>
      </w:r>
      <w:r w:rsidRPr="009C79E5">
        <w:rPr>
          <w:sz w:val="22"/>
          <w:szCs w:val="22"/>
        </w:rPr>
        <w:t xml:space="preserve">.  Based on the record </w:t>
      </w:r>
      <w:r w:rsidR="007B0E02" w:rsidRPr="009C79E5">
        <w:rPr>
          <w:sz w:val="22"/>
          <w:szCs w:val="22"/>
        </w:rPr>
        <w:t xml:space="preserve">before us, we find </w:t>
      </w:r>
      <w:r w:rsidRPr="009C79E5">
        <w:rPr>
          <w:sz w:val="22"/>
          <w:szCs w:val="22"/>
        </w:rPr>
        <w:t xml:space="preserve">that there is a greater selection of accessible telecommunications devices available to people with disabilities now than were available at the time that the Commission prepared its </w:t>
      </w:r>
      <w:r w:rsidRPr="009C79E5">
        <w:rPr>
          <w:i/>
          <w:sz w:val="22"/>
          <w:szCs w:val="22"/>
        </w:rPr>
        <w:t>2012 CVAA Biennial Report</w:t>
      </w:r>
      <w:r w:rsidRPr="009C79E5">
        <w:rPr>
          <w:sz w:val="22"/>
          <w:szCs w:val="22"/>
        </w:rPr>
        <w:t xml:space="preserve">.  Specifically, the </w:t>
      </w:r>
      <w:r w:rsidRPr="009C79E5">
        <w:rPr>
          <w:i/>
          <w:sz w:val="22"/>
          <w:szCs w:val="22"/>
        </w:rPr>
        <w:t>2012 CVAA Biennial Report</w:t>
      </w:r>
      <w:r w:rsidRPr="009C79E5">
        <w:rPr>
          <w:sz w:val="22"/>
          <w:szCs w:val="22"/>
        </w:rPr>
        <w:t xml:space="preserve"> stated that </w:t>
      </w:r>
      <w:r w:rsidR="003308A5" w:rsidRPr="009C79E5">
        <w:rPr>
          <w:sz w:val="22"/>
          <w:szCs w:val="22"/>
        </w:rPr>
        <w:t>“</w:t>
      </w:r>
      <w:r w:rsidRPr="009C79E5">
        <w:rPr>
          <w:sz w:val="22"/>
          <w:szCs w:val="22"/>
        </w:rPr>
        <w:t>feature phones continue to offer only limited accessibility for consumers who are blind or visually impaired.</w:t>
      </w:r>
      <w:r w:rsidR="003308A5" w:rsidRPr="009C79E5">
        <w:rPr>
          <w:sz w:val="22"/>
          <w:szCs w:val="22"/>
        </w:rPr>
        <w:t>”</w:t>
      </w:r>
      <w:r w:rsidRPr="008D556C">
        <w:rPr>
          <w:rStyle w:val="FootnoteReference"/>
          <w:sz w:val="22"/>
          <w:szCs w:val="22"/>
        </w:rPr>
        <w:footnoteReference w:id="177"/>
      </w:r>
      <w:r w:rsidRPr="008D556C">
        <w:rPr>
          <w:sz w:val="22"/>
          <w:szCs w:val="22"/>
        </w:rPr>
        <w:t xml:space="preserve">  Information provided to the Commission in preparation for this </w:t>
      </w:r>
      <w:r w:rsidRPr="003511DC">
        <w:rPr>
          <w:i/>
          <w:sz w:val="22"/>
          <w:szCs w:val="22"/>
        </w:rPr>
        <w:t>Report</w:t>
      </w:r>
      <w:r w:rsidRPr="00BF0859">
        <w:rPr>
          <w:sz w:val="22"/>
          <w:szCs w:val="22"/>
        </w:rPr>
        <w:t xml:space="preserve"> indicates </w:t>
      </w:r>
      <w:r w:rsidRPr="006C02D7">
        <w:rPr>
          <w:sz w:val="22"/>
          <w:szCs w:val="22"/>
        </w:rPr>
        <w:t>that several feature phones now provide accessibility solutions for individuals who are blind or visually impaired and that the need for accessibility has given rise to new offerings and models specifically designed to meet accessibility needs.</w:t>
      </w:r>
      <w:r w:rsidRPr="008D556C">
        <w:rPr>
          <w:rStyle w:val="FootnoteReference"/>
          <w:sz w:val="22"/>
          <w:szCs w:val="22"/>
        </w:rPr>
        <w:footnoteReference w:id="178"/>
      </w:r>
      <w:r w:rsidRPr="008D556C">
        <w:rPr>
          <w:sz w:val="22"/>
          <w:szCs w:val="22"/>
        </w:rPr>
        <w:t xml:space="preserve">  In additi</w:t>
      </w:r>
      <w:r w:rsidRPr="003511DC">
        <w:rPr>
          <w:sz w:val="22"/>
          <w:szCs w:val="22"/>
        </w:rPr>
        <w:t>on, it appears that a</w:t>
      </w:r>
      <w:r w:rsidRPr="00BF0859">
        <w:rPr>
          <w:sz w:val="22"/>
          <w:szCs w:val="22"/>
        </w:rPr>
        <w:t xml:space="preserve"> range of accessibility solutions have been included in many smartphones to meet the needs of individuals who are blind or have low vision, who are deaf or hard of hearing, who have dexterity impairments, and who have cognitive disabil</w:t>
      </w:r>
      <w:r w:rsidRPr="006C02D7">
        <w:rPr>
          <w:sz w:val="22"/>
          <w:szCs w:val="22"/>
        </w:rPr>
        <w:t>ities.</w:t>
      </w:r>
      <w:r w:rsidRPr="008D556C">
        <w:rPr>
          <w:rStyle w:val="FootnoteReference"/>
          <w:sz w:val="22"/>
          <w:szCs w:val="22"/>
        </w:rPr>
        <w:footnoteReference w:id="179"/>
      </w:r>
      <w:r w:rsidRPr="008D556C">
        <w:rPr>
          <w:sz w:val="22"/>
          <w:szCs w:val="22"/>
        </w:rPr>
        <w:t xml:space="preserve">  As such, we </w:t>
      </w:r>
      <w:r w:rsidRPr="003511DC">
        <w:rPr>
          <w:sz w:val="22"/>
          <w:szCs w:val="22"/>
        </w:rPr>
        <w:t>find that there has been an increase in the availability of telecommunications equipment with varying degrees of functionality and features, and offered at differing price points, that are accessible to individuals with disabilities du</w:t>
      </w:r>
      <w:r w:rsidRPr="00BF0859">
        <w:rPr>
          <w:sz w:val="22"/>
          <w:szCs w:val="22"/>
        </w:rPr>
        <w:t xml:space="preserve">ring the period covered by this </w:t>
      </w:r>
      <w:r w:rsidRPr="00FF1FD9">
        <w:rPr>
          <w:i/>
          <w:sz w:val="22"/>
          <w:szCs w:val="22"/>
        </w:rPr>
        <w:t>Report</w:t>
      </w:r>
      <w:r w:rsidRPr="006C02D7">
        <w:rPr>
          <w:sz w:val="22"/>
          <w:szCs w:val="22"/>
        </w:rPr>
        <w:t xml:space="preserve">.  </w:t>
      </w:r>
    </w:p>
    <w:p w:rsidR="00BF0B1C" w:rsidRPr="009C79E5" w:rsidRDefault="00BF0B1C" w:rsidP="00476E6F">
      <w:pPr>
        <w:suppressAutoHyphens/>
        <w:ind w:firstLine="720"/>
        <w:rPr>
          <w:sz w:val="22"/>
          <w:szCs w:val="22"/>
          <w:shd w:val="clear" w:color="auto" w:fill="FFFF00"/>
        </w:rPr>
      </w:pPr>
    </w:p>
    <w:p w:rsidR="00BF0B1C" w:rsidRPr="00BF0859" w:rsidRDefault="00BF0B1C" w:rsidP="00476E6F">
      <w:pPr>
        <w:numPr>
          <w:ilvl w:val="0"/>
          <w:numId w:val="2"/>
        </w:numPr>
        <w:tabs>
          <w:tab w:val="clear" w:pos="720"/>
        </w:tabs>
        <w:ind w:left="0" w:firstLine="720"/>
        <w:rPr>
          <w:sz w:val="22"/>
          <w:szCs w:val="22"/>
        </w:rPr>
      </w:pPr>
      <w:r w:rsidRPr="009C79E5">
        <w:rPr>
          <w:i/>
          <w:sz w:val="22"/>
          <w:szCs w:val="22"/>
        </w:rPr>
        <w:t>Section 716</w:t>
      </w:r>
      <w:r w:rsidRPr="009C79E5">
        <w:rPr>
          <w:sz w:val="22"/>
          <w:szCs w:val="22"/>
        </w:rPr>
        <w:t>.  Although less than a year has passed since implementation of Section 716 went into full effect, we find that industry has made efforts to comply with the CVAA</w:t>
      </w:r>
      <w:r w:rsidR="003308A5" w:rsidRPr="009C79E5">
        <w:rPr>
          <w:sz w:val="22"/>
          <w:szCs w:val="22"/>
        </w:rPr>
        <w:t>’</w:t>
      </w:r>
      <w:r w:rsidRPr="009C79E5">
        <w:rPr>
          <w:sz w:val="22"/>
          <w:szCs w:val="22"/>
        </w:rPr>
        <w:t>s requirements to ensure that advanced communications services and the equipment used for these services are accessible to people with disabilities.  We base this finding on the extensive submissions illustrating a range of accessible devices, from feature phones to smartphones, for individuals with varying types of disabilities,</w:t>
      </w:r>
      <w:r w:rsidRPr="008D556C">
        <w:rPr>
          <w:rStyle w:val="FootnoteReference"/>
          <w:sz w:val="22"/>
          <w:szCs w:val="22"/>
        </w:rPr>
        <w:footnoteReference w:id="180"/>
      </w:r>
      <w:r w:rsidRPr="008D556C">
        <w:rPr>
          <w:sz w:val="22"/>
          <w:szCs w:val="22"/>
        </w:rPr>
        <w:t xml:space="preserve"> along with reports by trade associations detailing industry compliance efforts.</w:t>
      </w:r>
      <w:r w:rsidRPr="008D556C">
        <w:rPr>
          <w:rStyle w:val="FootnoteReference"/>
          <w:sz w:val="22"/>
          <w:szCs w:val="22"/>
        </w:rPr>
        <w:footnoteReference w:id="181"/>
      </w:r>
      <w:r w:rsidRPr="008D556C">
        <w:rPr>
          <w:sz w:val="22"/>
          <w:szCs w:val="22"/>
        </w:rPr>
        <w:t xml:space="preserve"> </w:t>
      </w:r>
      <w:r w:rsidR="000D2902" w:rsidRPr="003511DC">
        <w:rPr>
          <w:sz w:val="22"/>
          <w:szCs w:val="22"/>
        </w:rPr>
        <w:t xml:space="preserve">While </w:t>
      </w:r>
      <w:r w:rsidRPr="00BF0859">
        <w:rPr>
          <w:sz w:val="22"/>
          <w:szCs w:val="22"/>
        </w:rPr>
        <w:t>we note that</w:t>
      </w:r>
      <w:r w:rsidR="009E7C5E" w:rsidRPr="006C02D7">
        <w:rPr>
          <w:sz w:val="22"/>
          <w:szCs w:val="22"/>
        </w:rPr>
        <w:t xml:space="preserve"> </w:t>
      </w:r>
      <w:r w:rsidRPr="006C02D7">
        <w:rPr>
          <w:sz w:val="22"/>
          <w:szCs w:val="22"/>
        </w:rPr>
        <w:t xml:space="preserve">consumers </w:t>
      </w:r>
      <w:r w:rsidR="000D2902" w:rsidRPr="006C02D7">
        <w:rPr>
          <w:sz w:val="22"/>
          <w:szCs w:val="22"/>
        </w:rPr>
        <w:t xml:space="preserve">did not </w:t>
      </w:r>
      <w:r w:rsidRPr="006C02D7">
        <w:rPr>
          <w:sz w:val="22"/>
          <w:szCs w:val="22"/>
        </w:rPr>
        <w:t xml:space="preserve">request assistance </w:t>
      </w:r>
      <w:r w:rsidR="000D2902" w:rsidRPr="009C5E08">
        <w:rPr>
          <w:sz w:val="22"/>
          <w:szCs w:val="22"/>
        </w:rPr>
        <w:t xml:space="preserve">or </w:t>
      </w:r>
      <w:r w:rsidRPr="009C79E5">
        <w:rPr>
          <w:sz w:val="22"/>
          <w:szCs w:val="22"/>
        </w:rPr>
        <w:t>file informal complaints with the Commission with respect to alleged violations of Sections 716 from October 8, 2013 through the close of the reporting period on December 31, 2013</w:t>
      </w:r>
      <w:r w:rsidR="000D2902" w:rsidRPr="009C79E5">
        <w:rPr>
          <w:sz w:val="22"/>
          <w:szCs w:val="22"/>
        </w:rPr>
        <w:t>,</w:t>
      </w:r>
      <w:r w:rsidRPr="008D556C">
        <w:rPr>
          <w:rStyle w:val="FootnoteReference"/>
          <w:sz w:val="22"/>
          <w:szCs w:val="22"/>
        </w:rPr>
        <w:footnoteReference w:id="182"/>
      </w:r>
      <w:r w:rsidRPr="008D556C">
        <w:rPr>
          <w:sz w:val="22"/>
          <w:szCs w:val="22"/>
        </w:rPr>
        <w:t xml:space="preserve"> </w:t>
      </w:r>
      <w:r w:rsidR="000D2902" w:rsidRPr="003511DC">
        <w:rPr>
          <w:sz w:val="22"/>
          <w:szCs w:val="22"/>
        </w:rPr>
        <w:t>we emphasize that we do not base our conclusion on t</w:t>
      </w:r>
      <w:r w:rsidRPr="00BF0859">
        <w:rPr>
          <w:sz w:val="22"/>
          <w:szCs w:val="22"/>
        </w:rPr>
        <w:t>he lack of filings during this three-month period</w:t>
      </w:r>
      <w:r w:rsidR="000D2902" w:rsidRPr="006C02D7">
        <w:rPr>
          <w:sz w:val="22"/>
          <w:szCs w:val="22"/>
        </w:rPr>
        <w:t>.  We believe that such lack of filings</w:t>
      </w:r>
      <w:r w:rsidRPr="006C02D7">
        <w:rPr>
          <w:sz w:val="22"/>
          <w:szCs w:val="22"/>
        </w:rPr>
        <w:t xml:space="preserve"> may be due to many reasons, none of which are evidenced in the record</w:t>
      </w:r>
      <w:r w:rsidR="000D2902" w:rsidRPr="006C02D7">
        <w:rPr>
          <w:sz w:val="22"/>
          <w:szCs w:val="22"/>
        </w:rPr>
        <w:t>.</w:t>
      </w:r>
      <w:r w:rsidRPr="008D556C">
        <w:rPr>
          <w:rStyle w:val="FootnoteReference"/>
          <w:sz w:val="22"/>
          <w:szCs w:val="22"/>
        </w:rPr>
        <w:footnoteReference w:id="183"/>
      </w:r>
      <w:r w:rsidRPr="008D556C">
        <w:rPr>
          <w:sz w:val="22"/>
          <w:szCs w:val="22"/>
        </w:rPr>
        <w:t xml:space="preserve"> </w:t>
      </w:r>
      <w:r w:rsidR="007B0E02" w:rsidRPr="003511DC">
        <w:rPr>
          <w:sz w:val="22"/>
          <w:szCs w:val="22"/>
        </w:rPr>
        <w:t xml:space="preserve"> </w:t>
      </w:r>
      <w:r w:rsidR="006F5156" w:rsidRPr="00BF0859">
        <w:rPr>
          <w:sz w:val="22"/>
          <w:szCs w:val="22"/>
        </w:rPr>
        <w:t>AFB</w:t>
      </w:r>
      <w:r w:rsidR="009E7C5E" w:rsidRPr="00FF1FD9">
        <w:rPr>
          <w:sz w:val="22"/>
          <w:szCs w:val="22"/>
        </w:rPr>
        <w:t xml:space="preserve"> </w:t>
      </w:r>
      <w:r w:rsidR="000D2902" w:rsidRPr="006C02D7">
        <w:rPr>
          <w:sz w:val="22"/>
          <w:szCs w:val="22"/>
        </w:rPr>
        <w:t xml:space="preserve">agrees with this assessment, and suggests that such lack of complaints may be due to a lack of awareness </w:t>
      </w:r>
      <w:r w:rsidR="009E7C5E" w:rsidRPr="006C02D7">
        <w:rPr>
          <w:sz w:val="22"/>
          <w:szCs w:val="22"/>
        </w:rPr>
        <w:t>by consumers about the new complaint procedures.</w:t>
      </w:r>
      <w:r w:rsidR="009E7C5E" w:rsidRPr="008D556C">
        <w:rPr>
          <w:rStyle w:val="FootnoteReference"/>
          <w:sz w:val="22"/>
          <w:szCs w:val="22"/>
        </w:rPr>
        <w:footnoteReference w:id="184"/>
      </w:r>
      <w:r w:rsidR="009E7C5E" w:rsidRPr="008D556C">
        <w:rPr>
          <w:sz w:val="22"/>
          <w:szCs w:val="22"/>
        </w:rPr>
        <w:t xml:space="preserve">  Similarly, </w:t>
      </w:r>
      <w:r w:rsidR="006F5156" w:rsidRPr="003511DC">
        <w:rPr>
          <w:sz w:val="22"/>
          <w:szCs w:val="22"/>
        </w:rPr>
        <w:t>ACB</w:t>
      </w:r>
      <w:r w:rsidR="009E7C5E" w:rsidRPr="00BF0859">
        <w:rPr>
          <w:sz w:val="22"/>
          <w:szCs w:val="22"/>
        </w:rPr>
        <w:t xml:space="preserve"> agrees that the Comm</w:t>
      </w:r>
      <w:r w:rsidR="009E7C5E" w:rsidRPr="00FF1FD9">
        <w:rPr>
          <w:sz w:val="22"/>
          <w:szCs w:val="22"/>
        </w:rPr>
        <w:t>ission should not make any conclusions based on the lack of informal complaints filed during this period.</w:t>
      </w:r>
      <w:r w:rsidR="009E7C5E" w:rsidRPr="008D556C">
        <w:rPr>
          <w:rStyle w:val="FootnoteReference"/>
          <w:sz w:val="22"/>
          <w:szCs w:val="22"/>
        </w:rPr>
        <w:footnoteReference w:id="185"/>
      </w:r>
      <w:r w:rsidR="009E7C5E" w:rsidRPr="008D556C">
        <w:rPr>
          <w:sz w:val="22"/>
          <w:szCs w:val="22"/>
        </w:rPr>
        <w:t xml:space="preserve">  </w:t>
      </w:r>
      <w:r w:rsidRPr="003511DC">
        <w:rPr>
          <w:sz w:val="22"/>
          <w:szCs w:val="22"/>
        </w:rPr>
        <w:t>As such, we find that the lack of such requests for assistance or informal complaints is not conclusive evidence of compliance, nor can it be used t</w:t>
      </w:r>
      <w:r w:rsidRPr="00BF0859">
        <w:rPr>
          <w:sz w:val="22"/>
          <w:szCs w:val="22"/>
        </w:rPr>
        <w:t xml:space="preserve">o infer compliance with Section 716. </w:t>
      </w:r>
    </w:p>
    <w:p w:rsidR="00BF0B1C" w:rsidRPr="006C02D7" w:rsidRDefault="00BF0B1C" w:rsidP="00476E6F">
      <w:pPr>
        <w:suppressAutoHyphens/>
        <w:ind w:firstLine="720"/>
        <w:rPr>
          <w:sz w:val="22"/>
          <w:szCs w:val="22"/>
        </w:rPr>
      </w:pPr>
    </w:p>
    <w:p w:rsidR="00BF0B1C" w:rsidRPr="00BF0859" w:rsidRDefault="00BF0B1C" w:rsidP="00476E6F">
      <w:pPr>
        <w:numPr>
          <w:ilvl w:val="0"/>
          <w:numId w:val="2"/>
        </w:numPr>
        <w:tabs>
          <w:tab w:val="clear" w:pos="720"/>
        </w:tabs>
        <w:ind w:left="0" w:firstLine="720"/>
        <w:rPr>
          <w:sz w:val="22"/>
          <w:szCs w:val="22"/>
        </w:rPr>
      </w:pPr>
      <w:r w:rsidRPr="009C79E5">
        <w:rPr>
          <w:i/>
          <w:sz w:val="22"/>
          <w:szCs w:val="22"/>
        </w:rPr>
        <w:t>Section 718</w:t>
      </w:r>
      <w:r w:rsidRPr="009C79E5">
        <w:rPr>
          <w:sz w:val="22"/>
          <w:szCs w:val="22"/>
        </w:rPr>
        <w:t xml:space="preserve">.  While only a few commenters spoke directly to the accessibility of Internet browsers built into mobile phones in response to the </w:t>
      </w:r>
      <w:r w:rsidRPr="009C79E5">
        <w:rPr>
          <w:i/>
          <w:sz w:val="22"/>
          <w:szCs w:val="22"/>
        </w:rPr>
        <w:t>2014 CVAA Assessment PN</w:t>
      </w:r>
      <w:r w:rsidRPr="009C79E5">
        <w:rPr>
          <w:sz w:val="22"/>
          <w:szCs w:val="22"/>
        </w:rPr>
        <w:t>, based on the record before us, we conclude that industry has made efforts to comply with Section 718</w:t>
      </w:r>
      <w:r w:rsidR="003308A5" w:rsidRPr="009C79E5">
        <w:rPr>
          <w:sz w:val="22"/>
          <w:szCs w:val="22"/>
        </w:rPr>
        <w:t>’</w:t>
      </w:r>
      <w:r w:rsidRPr="009C79E5">
        <w:rPr>
          <w:sz w:val="22"/>
          <w:szCs w:val="22"/>
        </w:rPr>
        <w:t>s requirements to ensure the accessibility of such web browsers for people who are blind or visually impaired.  We base this finding on CTIA</w:t>
      </w:r>
      <w:r w:rsidR="003308A5" w:rsidRPr="009C79E5">
        <w:rPr>
          <w:sz w:val="22"/>
          <w:szCs w:val="22"/>
        </w:rPr>
        <w:t>’</w:t>
      </w:r>
      <w:r w:rsidRPr="009C79E5">
        <w:rPr>
          <w:sz w:val="22"/>
          <w:szCs w:val="22"/>
        </w:rPr>
        <w:t xml:space="preserve">s reports of a wide range of wireless devices and smartphone platforms that provide </w:t>
      </w:r>
      <w:r w:rsidR="003308A5" w:rsidRPr="009C79E5">
        <w:rPr>
          <w:sz w:val="22"/>
          <w:szCs w:val="22"/>
        </w:rPr>
        <w:t>“</w:t>
      </w:r>
      <w:r w:rsidRPr="009C79E5">
        <w:rPr>
          <w:sz w:val="22"/>
          <w:szCs w:val="22"/>
        </w:rPr>
        <w:t>low-end and high-end features, functions, and prices that include accessible features for people with disabilities</w:t>
      </w:r>
      <w:r w:rsidR="003308A5" w:rsidRPr="009C79E5">
        <w:rPr>
          <w:sz w:val="22"/>
          <w:szCs w:val="22"/>
        </w:rPr>
        <w:t>”</w:t>
      </w:r>
      <w:r w:rsidRPr="009C79E5">
        <w:rPr>
          <w:sz w:val="22"/>
          <w:szCs w:val="22"/>
        </w:rPr>
        <w:t xml:space="preserve"> generally,</w:t>
      </w:r>
      <w:r w:rsidRPr="008D556C">
        <w:rPr>
          <w:rStyle w:val="FootnoteReference"/>
          <w:sz w:val="22"/>
          <w:szCs w:val="22"/>
        </w:rPr>
        <w:footnoteReference w:id="186"/>
      </w:r>
      <w:r w:rsidRPr="008D556C">
        <w:rPr>
          <w:sz w:val="22"/>
          <w:szCs w:val="22"/>
        </w:rPr>
        <w:t xml:space="preserve"> and more specifically for users who are blind or visually impaired.  In particular, CTIA describes smartph</w:t>
      </w:r>
      <w:r w:rsidRPr="003511DC">
        <w:rPr>
          <w:sz w:val="22"/>
          <w:szCs w:val="22"/>
        </w:rPr>
        <w:t>ones that support ref</w:t>
      </w:r>
      <w:r w:rsidRPr="00BF0859">
        <w:rPr>
          <w:sz w:val="22"/>
          <w:szCs w:val="22"/>
        </w:rPr>
        <w:t>reshable Braille displays and include screen readers, voice control, text-to-speech, adjustable font sizes, and magnification.</w:t>
      </w:r>
      <w:r w:rsidRPr="008D556C">
        <w:rPr>
          <w:rStyle w:val="FootnoteReference"/>
          <w:sz w:val="22"/>
          <w:szCs w:val="22"/>
        </w:rPr>
        <w:footnoteReference w:id="187"/>
      </w:r>
      <w:r w:rsidRPr="008D556C">
        <w:rPr>
          <w:sz w:val="22"/>
          <w:szCs w:val="22"/>
        </w:rPr>
        <w:t xml:space="preserve">  Given that smartphones can be used to access the Internet, it seems logical to conclude that the accessibi</w:t>
      </w:r>
      <w:r w:rsidRPr="003511DC">
        <w:rPr>
          <w:sz w:val="22"/>
          <w:szCs w:val="22"/>
        </w:rPr>
        <w:t>lity features provide</w:t>
      </w:r>
      <w:r w:rsidRPr="00BF0859">
        <w:rPr>
          <w:sz w:val="22"/>
          <w:szCs w:val="22"/>
        </w:rPr>
        <w:t xml:space="preserve">d on these devices not only enable people to make calls, but also enable access to the Internet browsers built into these smartphones.  This finding is supported by comments that confirm the accessibility of Internet browsers on Apple </w:t>
      </w:r>
      <w:r w:rsidRPr="00FF1FD9">
        <w:rPr>
          <w:sz w:val="22"/>
          <w:szCs w:val="22"/>
        </w:rPr>
        <w:t>iPhones,</w:t>
      </w:r>
      <w:r w:rsidRPr="008D556C">
        <w:rPr>
          <w:rStyle w:val="FootnoteReference"/>
          <w:sz w:val="22"/>
          <w:szCs w:val="22"/>
        </w:rPr>
        <w:footnoteReference w:id="188"/>
      </w:r>
      <w:r w:rsidRPr="008D556C">
        <w:rPr>
          <w:sz w:val="22"/>
          <w:szCs w:val="22"/>
        </w:rPr>
        <w:t xml:space="preserve"> as well as </w:t>
      </w:r>
      <w:r w:rsidRPr="003511DC">
        <w:rPr>
          <w:sz w:val="22"/>
          <w:szCs w:val="22"/>
        </w:rPr>
        <w:t>ACB</w:t>
      </w:r>
      <w:r w:rsidR="003308A5" w:rsidRPr="00BF0859">
        <w:rPr>
          <w:sz w:val="22"/>
          <w:szCs w:val="22"/>
        </w:rPr>
        <w:t>’</w:t>
      </w:r>
      <w:r w:rsidRPr="00FF1FD9">
        <w:rPr>
          <w:sz w:val="22"/>
          <w:szCs w:val="22"/>
        </w:rPr>
        <w:t xml:space="preserve">s statement that </w:t>
      </w:r>
      <w:r w:rsidR="003308A5" w:rsidRPr="006C02D7">
        <w:rPr>
          <w:sz w:val="22"/>
          <w:szCs w:val="22"/>
        </w:rPr>
        <w:t>“</w:t>
      </w:r>
      <w:r w:rsidRPr="006C02D7">
        <w:rPr>
          <w:sz w:val="22"/>
          <w:szCs w:val="22"/>
        </w:rPr>
        <w:t>[w]eb accessibility has improved over the last few years.</w:t>
      </w:r>
      <w:r w:rsidR="003308A5" w:rsidRPr="009C79E5">
        <w:rPr>
          <w:sz w:val="22"/>
          <w:szCs w:val="22"/>
        </w:rPr>
        <w:t>”</w:t>
      </w:r>
      <w:r w:rsidRPr="008D556C">
        <w:rPr>
          <w:rStyle w:val="FootnoteReference"/>
          <w:sz w:val="22"/>
          <w:szCs w:val="22"/>
        </w:rPr>
        <w:footnoteReference w:id="189"/>
      </w:r>
      <w:r w:rsidRPr="008D556C">
        <w:rPr>
          <w:sz w:val="22"/>
          <w:szCs w:val="22"/>
        </w:rPr>
        <w:t xml:space="preserve">  Our conclusion that industry is effectively providing access to Internet browsers on mobile phones is further supported by the absence in this record of</w:t>
      </w:r>
      <w:r w:rsidRPr="003511DC">
        <w:rPr>
          <w:sz w:val="22"/>
          <w:szCs w:val="22"/>
        </w:rPr>
        <w:t xml:space="preserve"> comments specificall</w:t>
      </w:r>
      <w:r w:rsidRPr="00BF0859">
        <w:rPr>
          <w:sz w:val="22"/>
          <w:szCs w:val="22"/>
        </w:rPr>
        <w:t xml:space="preserve">y to the contrary; </w:t>
      </w:r>
      <w:r w:rsidRPr="00FF1FD9">
        <w:rPr>
          <w:i/>
          <w:sz w:val="22"/>
          <w:szCs w:val="22"/>
        </w:rPr>
        <w:t>i.e</w:t>
      </w:r>
      <w:r w:rsidRPr="006C02D7">
        <w:rPr>
          <w:sz w:val="22"/>
          <w:szCs w:val="22"/>
        </w:rPr>
        <w:t>., no commenter reported that this remains a problem for people who are blind or visually impaired.</w:t>
      </w:r>
      <w:r w:rsidRPr="008D556C">
        <w:rPr>
          <w:rStyle w:val="FootnoteReference"/>
          <w:sz w:val="22"/>
          <w:szCs w:val="22"/>
        </w:rPr>
        <w:footnoteReference w:id="190"/>
      </w:r>
      <w:r w:rsidRPr="008D556C">
        <w:rPr>
          <w:sz w:val="22"/>
          <w:szCs w:val="22"/>
        </w:rPr>
        <w:t xml:space="preserve">  A</w:t>
      </w:r>
      <w:r w:rsidR="009E7C5E" w:rsidRPr="003511DC">
        <w:rPr>
          <w:sz w:val="22"/>
          <w:szCs w:val="22"/>
        </w:rPr>
        <w:t xml:space="preserve">s was the case for Section </w:t>
      </w:r>
      <w:r w:rsidR="00627306" w:rsidRPr="00BF0859">
        <w:rPr>
          <w:sz w:val="22"/>
          <w:szCs w:val="22"/>
        </w:rPr>
        <w:t>716</w:t>
      </w:r>
      <w:r w:rsidR="009E7C5E" w:rsidRPr="00FF1FD9">
        <w:rPr>
          <w:sz w:val="22"/>
          <w:szCs w:val="22"/>
        </w:rPr>
        <w:t>,</w:t>
      </w:r>
      <w:r w:rsidR="00627306" w:rsidRPr="008D556C">
        <w:rPr>
          <w:rStyle w:val="FootnoteReference"/>
          <w:sz w:val="22"/>
          <w:szCs w:val="22"/>
        </w:rPr>
        <w:footnoteReference w:id="191"/>
      </w:r>
      <w:r w:rsidR="009E7C5E" w:rsidRPr="008D556C">
        <w:rPr>
          <w:sz w:val="22"/>
          <w:szCs w:val="22"/>
        </w:rPr>
        <w:t xml:space="preserve"> </w:t>
      </w:r>
      <w:r w:rsidRPr="003511DC">
        <w:rPr>
          <w:sz w:val="22"/>
          <w:szCs w:val="22"/>
        </w:rPr>
        <w:t>we note that the Commission received no requests for dispute assistance or in</w:t>
      </w:r>
      <w:r w:rsidRPr="00BF0859">
        <w:rPr>
          <w:sz w:val="22"/>
          <w:szCs w:val="22"/>
        </w:rPr>
        <w:t>formal complaints concerning potential violations of Section 718 since it became effective on October 8, 2013, through the close of the reporting period on December 31, 2013.</w:t>
      </w:r>
      <w:r w:rsidRPr="008D556C">
        <w:rPr>
          <w:rStyle w:val="FootnoteReference"/>
          <w:sz w:val="22"/>
          <w:szCs w:val="22"/>
        </w:rPr>
        <w:footnoteReference w:id="192"/>
      </w:r>
      <w:r w:rsidRPr="008D556C">
        <w:rPr>
          <w:sz w:val="22"/>
          <w:szCs w:val="22"/>
        </w:rPr>
        <w:t xml:space="preserve">  </w:t>
      </w:r>
      <w:r w:rsidR="009E7C5E" w:rsidRPr="003511DC">
        <w:rPr>
          <w:sz w:val="22"/>
          <w:szCs w:val="22"/>
        </w:rPr>
        <w:t>For the same reasons a</w:t>
      </w:r>
      <w:r w:rsidRPr="00BF0859">
        <w:rPr>
          <w:sz w:val="22"/>
          <w:szCs w:val="22"/>
        </w:rPr>
        <w:t>s noted above, the lack of requests for assistance or com</w:t>
      </w:r>
      <w:r w:rsidRPr="006C02D7">
        <w:rPr>
          <w:sz w:val="22"/>
          <w:szCs w:val="22"/>
        </w:rPr>
        <w:t>plaints filed during this three-month period may be due to many reasons, none of which are evidenced in the record.</w:t>
      </w:r>
      <w:r w:rsidRPr="008D556C">
        <w:rPr>
          <w:rStyle w:val="FootnoteReference"/>
          <w:sz w:val="22"/>
          <w:szCs w:val="22"/>
        </w:rPr>
        <w:footnoteReference w:id="193"/>
      </w:r>
      <w:r w:rsidRPr="008D556C">
        <w:rPr>
          <w:sz w:val="22"/>
          <w:szCs w:val="22"/>
        </w:rPr>
        <w:t xml:space="preserve">  As such, we find that the lack of such requests for assistance or informal complaints is not conclusive evidence of compliance, nor can it</w:t>
      </w:r>
      <w:r w:rsidRPr="003511DC">
        <w:rPr>
          <w:sz w:val="22"/>
          <w:szCs w:val="22"/>
        </w:rPr>
        <w:t xml:space="preserve"> be used to infer com</w:t>
      </w:r>
      <w:r w:rsidRPr="00BF0859">
        <w:rPr>
          <w:sz w:val="22"/>
          <w:szCs w:val="22"/>
        </w:rPr>
        <w:t>pliance with Section 718.</w:t>
      </w:r>
    </w:p>
    <w:p w:rsidR="00BF0B1C" w:rsidRPr="006C02D7" w:rsidRDefault="00BF0B1C" w:rsidP="00476E6F">
      <w:pPr>
        <w:suppressAutoHyphens/>
        <w:ind w:firstLine="720"/>
        <w:rPr>
          <w:sz w:val="22"/>
          <w:szCs w:val="22"/>
        </w:rPr>
      </w:pPr>
    </w:p>
    <w:p w:rsidR="00BF0B1C" w:rsidRPr="008D556C" w:rsidRDefault="00BF0B1C" w:rsidP="00476E6F">
      <w:pPr>
        <w:numPr>
          <w:ilvl w:val="0"/>
          <w:numId w:val="2"/>
        </w:numPr>
        <w:tabs>
          <w:tab w:val="clear" w:pos="720"/>
        </w:tabs>
        <w:ind w:left="0" w:firstLine="720"/>
        <w:rPr>
          <w:sz w:val="22"/>
          <w:szCs w:val="22"/>
        </w:rPr>
      </w:pPr>
      <w:r w:rsidRPr="009C79E5">
        <w:rPr>
          <w:i/>
          <w:sz w:val="22"/>
          <w:szCs w:val="22"/>
        </w:rPr>
        <w:t xml:space="preserve">Accessibility gaps.  </w:t>
      </w:r>
      <w:r w:rsidRPr="009C79E5">
        <w:rPr>
          <w:sz w:val="22"/>
          <w:szCs w:val="22"/>
        </w:rPr>
        <w:t>While the record demonstrates progress with respect to meeting the accessibility obligations of Sections 255, 716, and 718, we nevertheless conclude that some accessibility gaps still exist and others have the potential to occur or reoccur.</w:t>
      </w:r>
      <w:r w:rsidR="00730149" w:rsidRPr="009C79E5">
        <w:rPr>
          <w:sz w:val="22"/>
          <w:szCs w:val="22"/>
        </w:rPr>
        <w:t xml:space="preserve">  </w:t>
      </w:r>
      <w:r w:rsidR="009A6E13" w:rsidRPr="009C79E5">
        <w:rPr>
          <w:sz w:val="22"/>
          <w:szCs w:val="22"/>
        </w:rPr>
        <w:t>A</w:t>
      </w:r>
      <w:r w:rsidRPr="009C79E5">
        <w:rPr>
          <w:sz w:val="22"/>
          <w:szCs w:val="22"/>
        </w:rPr>
        <w:t>s discussed above, consumers</w:t>
      </w:r>
      <w:r w:rsidR="009A6E13" w:rsidRPr="009C79E5">
        <w:rPr>
          <w:sz w:val="22"/>
          <w:szCs w:val="22"/>
        </w:rPr>
        <w:t xml:space="preserve"> </w:t>
      </w:r>
      <w:r w:rsidRPr="009C79E5">
        <w:rPr>
          <w:sz w:val="22"/>
          <w:szCs w:val="22"/>
        </w:rPr>
        <w:t>report the lack of accessible alerting systems for incoming video calls and other messages.</w:t>
      </w:r>
      <w:r w:rsidRPr="008D556C">
        <w:rPr>
          <w:rStyle w:val="FootnoteReference"/>
          <w:sz w:val="22"/>
          <w:szCs w:val="22"/>
        </w:rPr>
        <w:footnoteReference w:id="194"/>
      </w:r>
      <w:r w:rsidRPr="008D556C">
        <w:rPr>
          <w:sz w:val="22"/>
          <w:szCs w:val="22"/>
        </w:rPr>
        <w:t xml:space="preserve">  They also raise concerns about technology transitions that could threaten acc</w:t>
      </w:r>
      <w:r w:rsidRPr="003511DC">
        <w:rPr>
          <w:sz w:val="22"/>
          <w:szCs w:val="22"/>
        </w:rPr>
        <w:t>essibility that now e</w:t>
      </w:r>
      <w:r w:rsidRPr="00BF0859">
        <w:rPr>
          <w:sz w:val="22"/>
          <w:szCs w:val="22"/>
        </w:rPr>
        <w:t>xists,</w:t>
      </w:r>
      <w:r w:rsidRPr="008D556C">
        <w:rPr>
          <w:rStyle w:val="FootnoteReference"/>
          <w:sz w:val="22"/>
          <w:szCs w:val="22"/>
        </w:rPr>
        <w:footnoteReference w:id="195"/>
      </w:r>
      <w:r w:rsidRPr="008D556C">
        <w:rPr>
          <w:sz w:val="22"/>
          <w:szCs w:val="22"/>
        </w:rPr>
        <w:t xml:space="preserve"> and urge that more needs to be done to allow their participation early on in the development of products and services to ensure that their accessibility needs are met.</w:t>
      </w:r>
      <w:r w:rsidRPr="008D556C">
        <w:rPr>
          <w:rStyle w:val="FootnoteReference"/>
          <w:sz w:val="22"/>
          <w:szCs w:val="22"/>
        </w:rPr>
        <w:footnoteReference w:id="196"/>
      </w:r>
      <w:r w:rsidRPr="008D556C">
        <w:rPr>
          <w:sz w:val="22"/>
          <w:szCs w:val="22"/>
        </w:rPr>
        <w:t xml:space="preserve">  </w:t>
      </w:r>
      <w:r w:rsidR="006050E6" w:rsidRPr="003511DC">
        <w:rPr>
          <w:sz w:val="22"/>
          <w:szCs w:val="22"/>
        </w:rPr>
        <w:t>Similarly, although ACB and AFB each concur that advances</w:t>
      </w:r>
      <w:r w:rsidR="006050E6" w:rsidRPr="00BF0859">
        <w:rPr>
          <w:sz w:val="22"/>
          <w:szCs w:val="22"/>
        </w:rPr>
        <w:t xml:space="preserve"> have been made with respect to the accessibility of devices used for advanced communications services, in response to the </w:t>
      </w:r>
      <w:r w:rsidR="00F575F8" w:rsidRPr="00FF1FD9">
        <w:rPr>
          <w:i/>
          <w:sz w:val="22"/>
          <w:szCs w:val="22"/>
        </w:rPr>
        <w:t xml:space="preserve">2014 </w:t>
      </w:r>
      <w:r w:rsidR="006050E6" w:rsidRPr="006C02D7">
        <w:rPr>
          <w:i/>
          <w:sz w:val="22"/>
          <w:szCs w:val="22"/>
        </w:rPr>
        <w:t>CVAA Tentative Findings PN</w:t>
      </w:r>
      <w:r w:rsidR="006050E6" w:rsidRPr="006C02D7">
        <w:rPr>
          <w:sz w:val="22"/>
          <w:szCs w:val="22"/>
        </w:rPr>
        <w:t>,</w:t>
      </w:r>
      <w:r w:rsidR="006050E6" w:rsidRPr="008D556C">
        <w:rPr>
          <w:rStyle w:val="FootnoteReference"/>
          <w:sz w:val="22"/>
          <w:szCs w:val="22"/>
        </w:rPr>
        <w:footnoteReference w:id="197"/>
      </w:r>
      <w:r w:rsidR="006050E6" w:rsidRPr="008D556C">
        <w:rPr>
          <w:sz w:val="22"/>
          <w:szCs w:val="22"/>
        </w:rPr>
        <w:t xml:space="preserve"> </w:t>
      </w:r>
      <w:r w:rsidR="00886F64" w:rsidRPr="003511DC">
        <w:rPr>
          <w:sz w:val="22"/>
          <w:szCs w:val="22"/>
        </w:rPr>
        <w:t xml:space="preserve">they </w:t>
      </w:r>
      <w:r w:rsidR="006050E6" w:rsidRPr="00BF0859">
        <w:rPr>
          <w:sz w:val="22"/>
          <w:szCs w:val="22"/>
        </w:rPr>
        <w:t xml:space="preserve">report numerous accessibility gaps still exist with respect to </w:t>
      </w:r>
      <w:r w:rsidR="00EC2D70" w:rsidRPr="006C02D7">
        <w:rPr>
          <w:sz w:val="22"/>
          <w:szCs w:val="22"/>
        </w:rPr>
        <w:t xml:space="preserve">applications used to conduct business meetings online, and using </w:t>
      </w:r>
      <w:r w:rsidR="00886F64" w:rsidRPr="006C02D7">
        <w:rPr>
          <w:sz w:val="22"/>
          <w:szCs w:val="22"/>
        </w:rPr>
        <w:t>Android-based devices</w:t>
      </w:r>
      <w:r w:rsidR="00EC2D70" w:rsidRPr="009C79E5">
        <w:rPr>
          <w:sz w:val="22"/>
          <w:szCs w:val="22"/>
        </w:rPr>
        <w:t xml:space="preserve"> and other non-iOS mobile platforms</w:t>
      </w:r>
      <w:r w:rsidR="006050E6" w:rsidRPr="009C79E5">
        <w:rPr>
          <w:sz w:val="22"/>
          <w:szCs w:val="22"/>
        </w:rPr>
        <w:t>.</w:t>
      </w:r>
      <w:r w:rsidR="00886F64" w:rsidRPr="008D556C">
        <w:rPr>
          <w:rStyle w:val="FootnoteReference"/>
          <w:sz w:val="22"/>
          <w:szCs w:val="22"/>
        </w:rPr>
        <w:footnoteReference w:id="198"/>
      </w:r>
      <w:r w:rsidR="006050E6" w:rsidRPr="008D556C">
        <w:rPr>
          <w:sz w:val="22"/>
          <w:szCs w:val="22"/>
        </w:rPr>
        <w:t xml:space="preserve"> </w:t>
      </w:r>
      <w:r w:rsidRPr="003511DC">
        <w:rPr>
          <w:sz w:val="22"/>
          <w:szCs w:val="22"/>
        </w:rPr>
        <w:t>Additionally, while we concur with industry that platform-based technology has the advantage of enabling the distribution of accessibility features through softwar</w:t>
      </w:r>
      <w:r w:rsidRPr="00BF0859">
        <w:rPr>
          <w:sz w:val="22"/>
          <w:szCs w:val="22"/>
        </w:rPr>
        <w:t>e updates,</w:t>
      </w:r>
      <w:r w:rsidRPr="008D556C">
        <w:rPr>
          <w:rStyle w:val="FootnoteReference"/>
          <w:sz w:val="22"/>
          <w:szCs w:val="22"/>
        </w:rPr>
        <w:footnoteReference w:id="199"/>
      </w:r>
      <w:r w:rsidRPr="008D556C">
        <w:rPr>
          <w:sz w:val="22"/>
          <w:szCs w:val="22"/>
        </w:rPr>
        <w:t xml:space="preserve"> we note t</w:t>
      </w:r>
      <w:r w:rsidRPr="003511DC">
        <w:rPr>
          <w:sz w:val="22"/>
          <w:szCs w:val="22"/>
        </w:rPr>
        <w:t>hat where accessibility is not a factor designed into software updates, there are concerns that these updates can end up impairing accessibility for users with disabilities, a result that often cannot be undone after the update has been downloaded.</w:t>
      </w:r>
      <w:r w:rsidRPr="008D556C">
        <w:rPr>
          <w:rStyle w:val="FootnoteReference"/>
          <w:sz w:val="22"/>
          <w:szCs w:val="22"/>
        </w:rPr>
        <w:footnoteReference w:id="200"/>
      </w:r>
      <w:r w:rsidRPr="008D556C">
        <w:rPr>
          <w:sz w:val="22"/>
          <w:szCs w:val="22"/>
        </w:rPr>
        <w:t xml:space="preserve">  Of pa</w:t>
      </w:r>
      <w:r w:rsidRPr="003511DC">
        <w:rPr>
          <w:sz w:val="22"/>
          <w:szCs w:val="22"/>
        </w:rPr>
        <w:t>rticular note is the apparent lack of accessibility to or compatibility with assistive technology used by individuals who are deaf-blind,</w:t>
      </w:r>
      <w:r w:rsidRPr="008D556C">
        <w:rPr>
          <w:rStyle w:val="FootnoteReference"/>
          <w:sz w:val="22"/>
          <w:szCs w:val="22"/>
        </w:rPr>
        <w:footnoteReference w:id="201"/>
      </w:r>
      <w:r w:rsidRPr="008D556C">
        <w:rPr>
          <w:sz w:val="22"/>
          <w:szCs w:val="22"/>
        </w:rPr>
        <w:t xml:space="preserve"> and complaints that many of the wireless phones that are being made available to low-income cons</w:t>
      </w:r>
      <w:r w:rsidRPr="003511DC">
        <w:rPr>
          <w:sz w:val="22"/>
          <w:szCs w:val="22"/>
        </w:rPr>
        <w:t>umers who are blind o</w:t>
      </w:r>
      <w:r w:rsidRPr="00BF0859">
        <w:rPr>
          <w:sz w:val="22"/>
          <w:szCs w:val="22"/>
        </w:rPr>
        <w:t>r visually impaired by providers that participate in the Commission</w:t>
      </w:r>
      <w:r w:rsidR="003308A5" w:rsidRPr="00FF1FD9">
        <w:rPr>
          <w:sz w:val="22"/>
          <w:szCs w:val="22"/>
        </w:rPr>
        <w:t>’</w:t>
      </w:r>
      <w:r w:rsidRPr="006C02D7">
        <w:rPr>
          <w:sz w:val="22"/>
          <w:szCs w:val="22"/>
        </w:rPr>
        <w:t>s Lifeline</w:t>
      </w:r>
      <w:r w:rsidRPr="006C02D7" w:rsidDel="00025787">
        <w:rPr>
          <w:sz w:val="22"/>
          <w:szCs w:val="22"/>
        </w:rPr>
        <w:t xml:space="preserve"> </w:t>
      </w:r>
      <w:r w:rsidRPr="006C02D7">
        <w:rPr>
          <w:sz w:val="22"/>
          <w:szCs w:val="22"/>
        </w:rPr>
        <w:t>program either lack certain accessibility features, or are not accessible at all.</w:t>
      </w:r>
      <w:r w:rsidRPr="008D556C">
        <w:rPr>
          <w:rStyle w:val="FootnoteReference"/>
          <w:sz w:val="22"/>
          <w:szCs w:val="22"/>
        </w:rPr>
        <w:footnoteReference w:id="202"/>
      </w:r>
      <w:r w:rsidRPr="008D556C">
        <w:rPr>
          <w:sz w:val="22"/>
          <w:szCs w:val="22"/>
        </w:rPr>
        <w:t xml:space="preserve">  We also note that, while some providers appear to offer service plans th</w:t>
      </w:r>
      <w:r w:rsidRPr="003511DC">
        <w:rPr>
          <w:sz w:val="22"/>
          <w:szCs w:val="22"/>
        </w:rPr>
        <w:t>at generally meet the</w:t>
      </w:r>
      <w:r w:rsidRPr="00BF0859">
        <w:rPr>
          <w:sz w:val="22"/>
          <w:szCs w:val="22"/>
        </w:rPr>
        <w:t xml:space="preserve"> needs of consumers with disabilities,</w:t>
      </w:r>
      <w:r w:rsidRPr="008D556C">
        <w:rPr>
          <w:rStyle w:val="FootnoteReference"/>
          <w:sz w:val="22"/>
          <w:szCs w:val="22"/>
        </w:rPr>
        <w:footnoteReference w:id="203"/>
      </w:r>
      <w:r w:rsidRPr="008D556C">
        <w:rPr>
          <w:sz w:val="22"/>
          <w:szCs w:val="22"/>
        </w:rPr>
        <w:t xml:space="preserve"> consumers have concerns about provider practices that could, in the future, negatively impact data speeds or cap data usage, either of which may make video communication difficult or impossible f</w:t>
      </w:r>
      <w:r w:rsidRPr="003511DC">
        <w:rPr>
          <w:sz w:val="22"/>
          <w:szCs w:val="22"/>
        </w:rPr>
        <w:t xml:space="preserve">or consumers who are </w:t>
      </w:r>
      <w:r w:rsidRPr="00BF0859">
        <w:rPr>
          <w:sz w:val="22"/>
          <w:szCs w:val="22"/>
        </w:rPr>
        <w:t>deaf or hard of hearing.</w:t>
      </w:r>
      <w:r w:rsidRPr="008D556C">
        <w:rPr>
          <w:rStyle w:val="FootnoteReference"/>
          <w:sz w:val="22"/>
          <w:szCs w:val="22"/>
        </w:rPr>
        <w:footnoteReference w:id="204"/>
      </w:r>
      <w:r w:rsidRPr="008D556C">
        <w:rPr>
          <w:sz w:val="22"/>
          <w:szCs w:val="22"/>
        </w:rPr>
        <w:t xml:space="preserve"> These concerns suggest a need to be mindful about avoiding the creation of new barriers to accessibility as technologies and service plans continue to evolve.</w:t>
      </w:r>
    </w:p>
    <w:p w:rsidR="00BF0B1C" w:rsidRPr="003511DC" w:rsidRDefault="00BF0B1C" w:rsidP="00476E6F">
      <w:pPr>
        <w:suppressAutoHyphens/>
        <w:ind w:firstLine="720"/>
        <w:rPr>
          <w:sz w:val="22"/>
          <w:szCs w:val="22"/>
        </w:rPr>
      </w:pPr>
    </w:p>
    <w:p w:rsidR="00BF0B1C" w:rsidRPr="006C02D7" w:rsidRDefault="00BF0B1C" w:rsidP="00476E6F">
      <w:pPr>
        <w:numPr>
          <w:ilvl w:val="0"/>
          <w:numId w:val="2"/>
        </w:numPr>
        <w:tabs>
          <w:tab w:val="clear" w:pos="720"/>
        </w:tabs>
        <w:ind w:left="0" w:firstLine="720"/>
        <w:rPr>
          <w:sz w:val="22"/>
          <w:szCs w:val="22"/>
        </w:rPr>
      </w:pPr>
      <w:r w:rsidRPr="00BF0859">
        <w:rPr>
          <w:i/>
          <w:sz w:val="22"/>
          <w:szCs w:val="22"/>
        </w:rPr>
        <w:t>Industry consultation with individuals with disab</w:t>
      </w:r>
      <w:r w:rsidRPr="00FF1FD9">
        <w:rPr>
          <w:i/>
          <w:sz w:val="22"/>
          <w:szCs w:val="22"/>
        </w:rPr>
        <w:t>ilities</w:t>
      </w:r>
      <w:r w:rsidRPr="006C02D7">
        <w:rPr>
          <w:sz w:val="22"/>
          <w:szCs w:val="22"/>
        </w:rPr>
        <w:t>.  The CVAA requires covered entities to keep records of their efforts to consult with individuals with disabilities.</w:t>
      </w:r>
      <w:r w:rsidRPr="008D556C">
        <w:rPr>
          <w:rStyle w:val="FootnoteReference"/>
          <w:sz w:val="22"/>
          <w:szCs w:val="22"/>
        </w:rPr>
        <w:footnoteReference w:id="205"/>
      </w:r>
      <w:r w:rsidRPr="008D556C">
        <w:rPr>
          <w:sz w:val="22"/>
          <w:szCs w:val="22"/>
        </w:rPr>
        <w:t xml:space="preserve">  </w:t>
      </w:r>
      <w:r w:rsidR="003D33C7" w:rsidRPr="003511DC">
        <w:rPr>
          <w:sz w:val="22"/>
          <w:szCs w:val="22"/>
        </w:rPr>
        <w:t xml:space="preserve">In response to the </w:t>
      </w:r>
      <w:r w:rsidR="003D33C7" w:rsidRPr="00BF0859">
        <w:rPr>
          <w:i/>
          <w:sz w:val="22"/>
          <w:szCs w:val="22"/>
        </w:rPr>
        <w:t>201</w:t>
      </w:r>
      <w:r w:rsidR="00BF1ED2" w:rsidRPr="006C02D7">
        <w:rPr>
          <w:i/>
          <w:sz w:val="22"/>
          <w:szCs w:val="22"/>
        </w:rPr>
        <w:t>4</w:t>
      </w:r>
      <w:r w:rsidR="003D33C7" w:rsidRPr="006C02D7">
        <w:rPr>
          <w:i/>
          <w:sz w:val="22"/>
          <w:szCs w:val="22"/>
        </w:rPr>
        <w:t xml:space="preserve"> CVAA Tentative Findings PN</w:t>
      </w:r>
      <w:r w:rsidR="003D33C7" w:rsidRPr="006C02D7">
        <w:rPr>
          <w:sz w:val="22"/>
          <w:szCs w:val="22"/>
        </w:rPr>
        <w:t xml:space="preserve">, the Wireless RERC asserts that, “wireless technology continues to evolve in </w:t>
      </w:r>
      <w:r w:rsidR="003D33C7" w:rsidRPr="009C79E5">
        <w:rPr>
          <w:sz w:val="22"/>
          <w:szCs w:val="22"/>
        </w:rPr>
        <w:t>both predictable and unforeseen ways”</w:t>
      </w:r>
      <w:r w:rsidR="0008745E" w:rsidRPr="009C79E5">
        <w:rPr>
          <w:sz w:val="22"/>
          <w:szCs w:val="22"/>
        </w:rPr>
        <w:t xml:space="preserve"> and “people with disabilities should always be consulted throughout the design and development phases of new or changing technologies and services.”</w:t>
      </w:r>
      <w:r w:rsidR="003D33C7" w:rsidRPr="008D556C">
        <w:rPr>
          <w:rStyle w:val="FootnoteReference"/>
          <w:sz w:val="22"/>
          <w:szCs w:val="22"/>
        </w:rPr>
        <w:footnoteReference w:id="206"/>
      </w:r>
      <w:r w:rsidR="003D33C7" w:rsidRPr="008D556C">
        <w:rPr>
          <w:sz w:val="22"/>
          <w:szCs w:val="22"/>
        </w:rPr>
        <w:t xml:space="preserve">  </w:t>
      </w:r>
      <w:r w:rsidRPr="003511DC">
        <w:rPr>
          <w:sz w:val="22"/>
          <w:szCs w:val="22"/>
        </w:rPr>
        <w:t>It is apparent that industry has taken some steps to include people</w:t>
      </w:r>
      <w:r w:rsidRPr="00BF0859">
        <w:rPr>
          <w:sz w:val="22"/>
          <w:szCs w:val="22"/>
        </w:rPr>
        <w:t xml:space="preserve"> with disabilities in their design and development of products and services.  For example, CTIA, TIA, and Microsoft each report that they or their member companies have undertaken efforts to consult with individuals with disabilities through meetings and d</w:t>
      </w:r>
      <w:r w:rsidRPr="006C02D7">
        <w:rPr>
          <w:sz w:val="22"/>
          <w:szCs w:val="22"/>
        </w:rPr>
        <w:t>ialogues with consumer stakeholders,</w:t>
      </w:r>
      <w:r w:rsidRPr="008D556C">
        <w:rPr>
          <w:rStyle w:val="FootnoteReference"/>
          <w:sz w:val="22"/>
          <w:szCs w:val="22"/>
        </w:rPr>
        <w:footnoteReference w:id="207"/>
      </w:r>
      <w:r w:rsidRPr="008D556C">
        <w:rPr>
          <w:sz w:val="22"/>
          <w:szCs w:val="22"/>
        </w:rPr>
        <w:t xml:space="preserve"> internal programs,</w:t>
      </w:r>
      <w:r w:rsidRPr="003511DC">
        <w:rPr>
          <w:rStyle w:val="FootnoteReference"/>
          <w:sz w:val="22"/>
          <w:szCs w:val="22"/>
        </w:rPr>
        <w:t xml:space="preserve"> </w:t>
      </w:r>
      <w:r w:rsidRPr="008D556C">
        <w:rPr>
          <w:rStyle w:val="FootnoteReference"/>
          <w:sz w:val="22"/>
          <w:szCs w:val="22"/>
        </w:rPr>
        <w:footnoteReference w:id="208"/>
      </w:r>
      <w:r w:rsidRPr="008D556C">
        <w:rPr>
          <w:sz w:val="22"/>
          <w:szCs w:val="22"/>
        </w:rPr>
        <w:t xml:space="preserve"> advisory panels,</w:t>
      </w:r>
      <w:r w:rsidRPr="003511DC">
        <w:rPr>
          <w:rStyle w:val="FootnoteReference"/>
          <w:sz w:val="22"/>
          <w:szCs w:val="22"/>
        </w:rPr>
        <w:t xml:space="preserve"> </w:t>
      </w:r>
      <w:r w:rsidRPr="008D556C">
        <w:rPr>
          <w:rStyle w:val="FootnoteReference"/>
          <w:sz w:val="22"/>
          <w:szCs w:val="22"/>
        </w:rPr>
        <w:footnoteReference w:id="209"/>
      </w:r>
      <w:r w:rsidRPr="008D556C">
        <w:rPr>
          <w:sz w:val="22"/>
          <w:szCs w:val="22"/>
        </w:rPr>
        <w:t xml:space="preserve"> and usability testing.</w:t>
      </w:r>
      <w:r w:rsidRPr="008D556C">
        <w:rPr>
          <w:rStyle w:val="FootnoteReference"/>
          <w:sz w:val="22"/>
          <w:szCs w:val="22"/>
        </w:rPr>
        <w:footnoteReference w:id="210"/>
      </w:r>
      <w:r w:rsidRPr="008D556C">
        <w:rPr>
          <w:sz w:val="22"/>
          <w:szCs w:val="22"/>
        </w:rPr>
        <w:t xml:space="preserve">  However, we note that consumers remain concerned about the extent to which engineering of products and services takes place without consideration of their accessibility needs.  Consumer Groups, for example, raise concerns that </w:t>
      </w:r>
      <w:r w:rsidR="003308A5" w:rsidRPr="003511DC">
        <w:rPr>
          <w:sz w:val="22"/>
          <w:szCs w:val="22"/>
        </w:rPr>
        <w:t>“</w:t>
      </w:r>
      <w:r w:rsidRPr="00BF0859">
        <w:rPr>
          <w:sz w:val="22"/>
          <w:szCs w:val="22"/>
        </w:rPr>
        <w:t>re-engineering happens too often without thought to [the] accessibility needs of people who are deaf or hard of hearing.</w:t>
      </w:r>
      <w:r w:rsidR="003308A5" w:rsidRPr="006C02D7">
        <w:rPr>
          <w:sz w:val="22"/>
          <w:szCs w:val="22"/>
        </w:rPr>
        <w:t>”</w:t>
      </w:r>
      <w:r w:rsidRPr="008D556C">
        <w:rPr>
          <w:rStyle w:val="FootnoteReference"/>
          <w:sz w:val="22"/>
          <w:szCs w:val="22"/>
        </w:rPr>
        <w:footnoteReference w:id="211"/>
      </w:r>
      <w:r w:rsidRPr="008D556C">
        <w:rPr>
          <w:sz w:val="22"/>
          <w:szCs w:val="22"/>
        </w:rPr>
        <w:t xml:space="preserve">  Similarly, AADB states that its constituency has insuffic</w:t>
      </w:r>
      <w:r w:rsidRPr="003511DC">
        <w:rPr>
          <w:sz w:val="22"/>
          <w:szCs w:val="22"/>
        </w:rPr>
        <w:t>ient opportunity to pr</w:t>
      </w:r>
      <w:r w:rsidRPr="00BF0859">
        <w:rPr>
          <w:sz w:val="22"/>
          <w:szCs w:val="22"/>
        </w:rPr>
        <w:t>ovide input into the research and development of new communications technologies to meet its needs.</w:t>
      </w:r>
      <w:r w:rsidRPr="008D556C">
        <w:rPr>
          <w:rStyle w:val="FootnoteReference"/>
          <w:sz w:val="22"/>
          <w:szCs w:val="22"/>
        </w:rPr>
        <w:footnoteReference w:id="212"/>
      </w:r>
      <w:r w:rsidRPr="008D556C">
        <w:rPr>
          <w:sz w:val="22"/>
          <w:szCs w:val="22"/>
        </w:rPr>
        <w:t xml:space="preserve">  In light of these competing views, we find that, while some efforts to consult with such individuals for this purpose have occurred </w:t>
      </w:r>
      <w:r w:rsidRPr="003511DC">
        <w:rPr>
          <w:sz w:val="22"/>
          <w:szCs w:val="22"/>
        </w:rPr>
        <w:t>over the past two year</w:t>
      </w:r>
      <w:r w:rsidRPr="00BF0859">
        <w:rPr>
          <w:sz w:val="22"/>
          <w:szCs w:val="22"/>
        </w:rPr>
        <w:t>s, more can be done to include people with disabilities early on in design and development of advanced communications products and services.</w:t>
      </w:r>
      <w:r w:rsidR="008763A6" w:rsidRPr="006C02D7" w:rsidDel="008763A6">
        <w:rPr>
          <w:rStyle w:val="FootnoteReference"/>
          <w:sz w:val="22"/>
          <w:szCs w:val="22"/>
        </w:rPr>
        <w:t xml:space="preserve"> </w:t>
      </w:r>
    </w:p>
    <w:p w:rsidR="00BF0B1C" w:rsidRPr="009C79E5" w:rsidRDefault="00BF0B1C" w:rsidP="00476E6F">
      <w:pPr>
        <w:suppressAutoHyphens/>
        <w:ind w:firstLine="720"/>
        <w:rPr>
          <w:sz w:val="22"/>
          <w:szCs w:val="22"/>
          <w:shd w:val="clear" w:color="auto" w:fill="FFFF00"/>
        </w:rPr>
      </w:pPr>
    </w:p>
    <w:p w:rsidR="00BF0B1C" w:rsidRPr="008D556C" w:rsidRDefault="00BF0B1C" w:rsidP="00476E6F">
      <w:pPr>
        <w:numPr>
          <w:ilvl w:val="0"/>
          <w:numId w:val="2"/>
        </w:numPr>
        <w:tabs>
          <w:tab w:val="clear" w:pos="720"/>
        </w:tabs>
        <w:ind w:left="0" w:firstLine="720"/>
        <w:rPr>
          <w:sz w:val="22"/>
          <w:szCs w:val="22"/>
        </w:rPr>
      </w:pPr>
      <w:r w:rsidRPr="009C79E5">
        <w:rPr>
          <w:i/>
          <w:sz w:val="22"/>
          <w:szCs w:val="22"/>
        </w:rPr>
        <w:t xml:space="preserve">Usability of products and services.  </w:t>
      </w:r>
      <w:r w:rsidRPr="009C79E5">
        <w:rPr>
          <w:sz w:val="22"/>
          <w:szCs w:val="22"/>
        </w:rPr>
        <w:t>With respect to the usability of products and services,</w:t>
      </w:r>
      <w:r w:rsidRPr="008D556C">
        <w:rPr>
          <w:rStyle w:val="FootnoteReference"/>
          <w:sz w:val="22"/>
          <w:szCs w:val="22"/>
        </w:rPr>
        <w:footnoteReference w:id="213"/>
      </w:r>
      <w:r w:rsidRPr="008D556C">
        <w:rPr>
          <w:sz w:val="22"/>
          <w:szCs w:val="22"/>
        </w:rPr>
        <w:t xml:space="preserve"> we find that industry has engaged in some efforts to ensure the availability of information about accessible products and services to people with disabilities, including training personnel about accessible products and services.</w:t>
      </w:r>
      <w:r w:rsidRPr="008D556C">
        <w:rPr>
          <w:rStyle w:val="FootnoteReference"/>
          <w:sz w:val="22"/>
          <w:szCs w:val="22"/>
        </w:rPr>
        <w:footnoteReference w:id="214"/>
      </w:r>
      <w:r w:rsidRPr="008D556C">
        <w:rPr>
          <w:sz w:val="22"/>
          <w:szCs w:val="22"/>
        </w:rPr>
        <w:t xml:space="preserve">  Nevertheless, we also find that gaps remain </w:t>
      </w:r>
      <w:r w:rsidRPr="003511DC">
        <w:rPr>
          <w:sz w:val="22"/>
          <w:szCs w:val="22"/>
        </w:rPr>
        <w:t>in the usability of these offerings</w:t>
      </w:r>
      <w:r w:rsidR="00D40CA1" w:rsidRPr="00BF0859">
        <w:rPr>
          <w:sz w:val="22"/>
          <w:szCs w:val="22"/>
        </w:rPr>
        <w:t xml:space="preserve"> and in the marketing and sharing of information about accessible products</w:t>
      </w:r>
      <w:r w:rsidRPr="00FF1FD9">
        <w:rPr>
          <w:sz w:val="22"/>
          <w:szCs w:val="22"/>
        </w:rPr>
        <w:t xml:space="preserve">.  For example, Consumer Groups </w:t>
      </w:r>
      <w:r w:rsidR="0063167A" w:rsidRPr="006C02D7">
        <w:rPr>
          <w:sz w:val="22"/>
          <w:szCs w:val="22"/>
        </w:rPr>
        <w:t xml:space="preserve">and the Wireless RERC </w:t>
      </w:r>
      <w:r w:rsidRPr="006C02D7">
        <w:rPr>
          <w:sz w:val="22"/>
          <w:szCs w:val="22"/>
        </w:rPr>
        <w:t xml:space="preserve">report that finding information about hearing aid compatible phones is </w:t>
      </w:r>
      <w:r w:rsidRPr="009C79E5">
        <w:rPr>
          <w:sz w:val="22"/>
          <w:szCs w:val="22"/>
        </w:rPr>
        <w:t>still a challenge for consumers,</w:t>
      </w:r>
      <w:r w:rsidRPr="008D556C">
        <w:rPr>
          <w:rStyle w:val="FootnoteReference"/>
          <w:sz w:val="22"/>
          <w:szCs w:val="22"/>
        </w:rPr>
        <w:footnoteReference w:id="215"/>
      </w:r>
      <w:r w:rsidRPr="008D556C">
        <w:rPr>
          <w:sz w:val="22"/>
          <w:szCs w:val="22"/>
        </w:rPr>
        <w:t xml:space="preserve"> and AADB expresses a need for information about accessible products for consumers who are deaf-blind, as well as easy-to-use instructions for communication apps.</w:t>
      </w:r>
      <w:r w:rsidRPr="008D556C">
        <w:rPr>
          <w:rStyle w:val="FootnoteReference"/>
          <w:sz w:val="22"/>
          <w:szCs w:val="22"/>
        </w:rPr>
        <w:footnoteReference w:id="216"/>
      </w:r>
      <w:r w:rsidRPr="008D556C">
        <w:rPr>
          <w:sz w:val="22"/>
          <w:szCs w:val="22"/>
        </w:rPr>
        <w:t xml:space="preserve">  </w:t>
      </w:r>
      <w:r w:rsidR="00942A1E" w:rsidRPr="003511DC">
        <w:rPr>
          <w:sz w:val="22"/>
          <w:szCs w:val="22"/>
        </w:rPr>
        <w:t>Similarly, ACB suggests that better marketing of accessibl</w:t>
      </w:r>
      <w:r w:rsidR="00942A1E" w:rsidRPr="00BF0859">
        <w:rPr>
          <w:sz w:val="22"/>
          <w:szCs w:val="22"/>
        </w:rPr>
        <w:t>e feature phones is needed and AFB suggests that companies need to provide accurate information through marketing, sales, and customer service about accessible products, features, and functions that are available.</w:t>
      </w:r>
      <w:r w:rsidR="00942A1E" w:rsidRPr="008D556C">
        <w:rPr>
          <w:rStyle w:val="FootnoteReference"/>
          <w:sz w:val="22"/>
          <w:szCs w:val="22"/>
        </w:rPr>
        <w:footnoteReference w:id="217"/>
      </w:r>
      <w:r w:rsidR="00942A1E" w:rsidRPr="008D556C">
        <w:rPr>
          <w:sz w:val="22"/>
          <w:szCs w:val="22"/>
        </w:rPr>
        <w:t xml:space="preserve">  </w:t>
      </w:r>
      <w:r w:rsidRPr="008D556C">
        <w:rPr>
          <w:sz w:val="22"/>
          <w:szCs w:val="22"/>
        </w:rPr>
        <w:t>In addition, we note that complaints bro</w:t>
      </w:r>
      <w:r w:rsidRPr="003511DC">
        <w:rPr>
          <w:sz w:val="22"/>
          <w:szCs w:val="22"/>
        </w:rPr>
        <w:t>ught to the Commission over the covered time period revealed a considerable number of problems with inaccessible instructions or billing, inaccessible contact information or directory assistance, and inaccessible customer service.</w:t>
      </w:r>
      <w:r w:rsidRPr="008D556C">
        <w:rPr>
          <w:rStyle w:val="FootnoteReference"/>
          <w:sz w:val="22"/>
          <w:szCs w:val="22"/>
        </w:rPr>
        <w:footnoteReference w:id="218"/>
      </w:r>
      <w:r w:rsidRPr="008D556C">
        <w:rPr>
          <w:sz w:val="22"/>
          <w:szCs w:val="22"/>
        </w:rPr>
        <w:t xml:space="preserve"> </w:t>
      </w:r>
    </w:p>
    <w:p w:rsidR="00BF0B1C" w:rsidRPr="003511DC" w:rsidRDefault="00BF0B1C" w:rsidP="00476E6F">
      <w:pPr>
        <w:suppressAutoHyphens/>
        <w:ind w:left="720"/>
        <w:rPr>
          <w:sz w:val="22"/>
          <w:szCs w:val="22"/>
        </w:rPr>
      </w:pPr>
    </w:p>
    <w:p w:rsidR="00BF0B1C" w:rsidRPr="00FF1FD9" w:rsidRDefault="001B3BF3" w:rsidP="00476E6F">
      <w:pPr>
        <w:pStyle w:val="Heading2A"/>
        <w:keepNext w:val="0"/>
        <w:suppressAutoHyphens/>
        <w:ind w:left="0"/>
        <w:rPr>
          <w:rFonts w:ascii="Times New Roman" w:hAnsi="Times New Roman"/>
          <w:b/>
          <w:color w:val="auto"/>
          <w:szCs w:val="22"/>
        </w:rPr>
      </w:pPr>
      <w:r w:rsidRPr="00BF0859">
        <w:rPr>
          <w:rFonts w:ascii="Times New Roman" w:hAnsi="Times New Roman"/>
          <w:b/>
          <w:color w:val="auto"/>
          <w:szCs w:val="22"/>
        </w:rPr>
        <w:tab/>
        <w:t>C.</w:t>
      </w:r>
      <w:r w:rsidR="00BF0B1C" w:rsidRPr="00FF1FD9">
        <w:rPr>
          <w:rFonts w:ascii="Times New Roman" w:hAnsi="Times New Roman"/>
          <w:b/>
          <w:color w:val="auto"/>
          <w:szCs w:val="22"/>
        </w:rPr>
        <w:tab/>
        <w:t>Accessibility Barriers in New Communications Technologies</w:t>
      </w:r>
    </w:p>
    <w:p w:rsidR="00BF0B1C" w:rsidRPr="006C02D7" w:rsidRDefault="00BF0B1C" w:rsidP="00476E6F">
      <w:pPr>
        <w:rPr>
          <w:sz w:val="22"/>
          <w:szCs w:val="22"/>
        </w:rPr>
      </w:pPr>
    </w:p>
    <w:p w:rsidR="00BF0B1C" w:rsidRPr="008D556C" w:rsidRDefault="00BF0B1C" w:rsidP="00476E6F">
      <w:pPr>
        <w:numPr>
          <w:ilvl w:val="0"/>
          <w:numId w:val="2"/>
        </w:numPr>
        <w:tabs>
          <w:tab w:val="clear" w:pos="720"/>
        </w:tabs>
        <w:ind w:left="0" w:firstLine="720"/>
        <w:rPr>
          <w:sz w:val="22"/>
          <w:szCs w:val="22"/>
        </w:rPr>
      </w:pPr>
      <w:r w:rsidRPr="009C79E5">
        <w:rPr>
          <w:sz w:val="22"/>
          <w:szCs w:val="22"/>
        </w:rPr>
        <w:t>Section 717(b)(1)(B) of the Act requires the Commission to provide an evaluation of the extent to which any accessibility barriers still exist with respect to new communications technologies.</w:t>
      </w:r>
      <w:r w:rsidRPr="008D556C">
        <w:rPr>
          <w:rStyle w:val="ParaNumChar1"/>
          <w:szCs w:val="22"/>
          <w:vertAlign w:val="superscript"/>
        </w:rPr>
        <w:footnoteReference w:id="219"/>
      </w:r>
      <w:r w:rsidRPr="008D556C">
        <w:rPr>
          <w:sz w:val="22"/>
          <w:szCs w:val="22"/>
        </w:rPr>
        <w:t xml:space="preserve">  The </w:t>
      </w:r>
      <w:r w:rsidRPr="008D556C">
        <w:rPr>
          <w:i/>
          <w:sz w:val="22"/>
          <w:szCs w:val="22"/>
        </w:rPr>
        <w:t>2012 CVAA Biennia</w:t>
      </w:r>
      <w:r w:rsidRPr="003511DC">
        <w:rPr>
          <w:i/>
          <w:sz w:val="22"/>
          <w:szCs w:val="22"/>
        </w:rPr>
        <w:t xml:space="preserve">l Report </w:t>
      </w:r>
      <w:r w:rsidRPr="00BF0859">
        <w:rPr>
          <w:sz w:val="22"/>
          <w:szCs w:val="22"/>
        </w:rPr>
        <w:t xml:space="preserve">predicted that </w:t>
      </w:r>
      <w:r w:rsidR="003308A5" w:rsidRPr="00FF1FD9">
        <w:rPr>
          <w:sz w:val="22"/>
          <w:szCs w:val="22"/>
        </w:rPr>
        <w:t>“</w:t>
      </w:r>
      <w:r w:rsidRPr="00FF1FD9">
        <w:rPr>
          <w:sz w:val="22"/>
          <w:szCs w:val="22"/>
        </w:rPr>
        <w:t>many accessibility barriers in new communications technologies will likely be addressed by industry compliance with the new accessibility requirements under Section 716 and Section 718 when those requirements are fully effective.</w:t>
      </w:r>
      <w:r w:rsidR="003308A5" w:rsidRPr="006C02D7">
        <w:rPr>
          <w:sz w:val="22"/>
          <w:szCs w:val="22"/>
        </w:rPr>
        <w:t>”</w:t>
      </w:r>
      <w:r w:rsidRPr="008D556C">
        <w:rPr>
          <w:rStyle w:val="FootnoteReference"/>
          <w:sz w:val="22"/>
          <w:szCs w:val="22"/>
        </w:rPr>
        <w:footnoteReference w:id="220"/>
      </w:r>
      <w:r w:rsidRPr="008D556C">
        <w:rPr>
          <w:sz w:val="22"/>
          <w:szCs w:val="22"/>
        </w:rPr>
        <w:t xml:space="preserve">  In the </w:t>
      </w:r>
      <w:r w:rsidRPr="008D556C">
        <w:rPr>
          <w:i/>
          <w:sz w:val="22"/>
          <w:szCs w:val="22"/>
        </w:rPr>
        <w:t>2014 CVAA Assessment</w:t>
      </w:r>
      <w:r w:rsidRPr="003511DC">
        <w:rPr>
          <w:sz w:val="22"/>
          <w:szCs w:val="22"/>
        </w:rPr>
        <w:t xml:space="preserve"> </w:t>
      </w:r>
      <w:r w:rsidRPr="00BF0859">
        <w:rPr>
          <w:i/>
          <w:sz w:val="22"/>
          <w:szCs w:val="22"/>
        </w:rPr>
        <w:t>PN,</w:t>
      </w:r>
      <w:r w:rsidRPr="00FF1FD9">
        <w:rPr>
          <w:sz w:val="22"/>
          <w:szCs w:val="22"/>
        </w:rPr>
        <w:t xml:space="preserve"> </w:t>
      </w:r>
      <w:r w:rsidR="00EA6947" w:rsidRPr="00FF1FD9">
        <w:rPr>
          <w:sz w:val="22"/>
          <w:szCs w:val="22"/>
        </w:rPr>
        <w:t>CGB</w:t>
      </w:r>
      <w:r w:rsidRPr="006C02D7">
        <w:rPr>
          <w:sz w:val="22"/>
          <w:szCs w:val="22"/>
        </w:rPr>
        <w:t xml:space="preserve"> sought comment on the extent to which this expectation has been met.</w:t>
      </w:r>
      <w:r w:rsidRPr="008D556C">
        <w:rPr>
          <w:rStyle w:val="FootnoteReference"/>
          <w:sz w:val="22"/>
          <w:szCs w:val="22"/>
        </w:rPr>
        <w:footnoteReference w:id="221"/>
      </w:r>
      <w:r w:rsidRPr="008D556C">
        <w:rPr>
          <w:sz w:val="22"/>
          <w:szCs w:val="22"/>
        </w:rPr>
        <w:t xml:space="preserve">  </w:t>
      </w:r>
      <w:r w:rsidR="00EA6947" w:rsidRPr="008D556C">
        <w:rPr>
          <w:sz w:val="22"/>
          <w:szCs w:val="22"/>
        </w:rPr>
        <w:t>CGB</w:t>
      </w:r>
      <w:r w:rsidRPr="003511DC">
        <w:rPr>
          <w:sz w:val="22"/>
          <w:szCs w:val="22"/>
        </w:rPr>
        <w:t xml:space="preserve"> also sought comment on the extent to which new communication technologies, including new communication services, hardware, software, applicatio</w:t>
      </w:r>
      <w:r w:rsidRPr="00BF0859">
        <w:rPr>
          <w:sz w:val="22"/>
          <w:szCs w:val="22"/>
        </w:rPr>
        <w:t>ns, or plug-ins, both within the scope of the Act (</w:t>
      </w:r>
      <w:r w:rsidRPr="00FF1FD9">
        <w:rPr>
          <w:i/>
          <w:sz w:val="22"/>
          <w:szCs w:val="22"/>
        </w:rPr>
        <w:t>e.g.</w:t>
      </w:r>
      <w:r w:rsidRPr="00FF1FD9">
        <w:rPr>
          <w:sz w:val="22"/>
          <w:szCs w:val="22"/>
        </w:rPr>
        <w:t xml:space="preserve">, covered under Sections 255, 716, and 718) and outside the scope of the Act, have been deployed since the </w:t>
      </w:r>
      <w:r w:rsidRPr="006C02D7">
        <w:rPr>
          <w:i/>
          <w:sz w:val="22"/>
          <w:szCs w:val="22"/>
        </w:rPr>
        <w:t>2012 CVAA Biennial Report</w:t>
      </w:r>
      <w:r w:rsidRPr="009C79E5">
        <w:rPr>
          <w:sz w:val="22"/>
          <w:szCs w:val="22"/>
        </w:rPr>
        <w:t>, and what barriers still exist with respect to these technologies.</w:t>
      </w:r>
      <w:r w:rsidRPr="008D556C">
        <w:rPr>
          <w:rStyle w:val="FootnoteReference"/>
          <w:sz w:val="22"/>
          <w:szCs w:val="22"/>
        </w:rPr>
        <w:footnoteReference w:id="222"/>
      </w:r>
    </w:p>
    <w:p w:rsidR="00BF0B1C" w:rsidRPr="003511DC" w:rsidRDefault="00BF0B1C" w:rsidP="00476E6F">
      <w:pPr>
        <w:suppressAutoHyphens/>
        <w:rPr>
          <w:sz w:val="22"/>
          <w:szCs w:val="22"/>
        </w:rPr>
      </w:pPr>
    </w:p>
    <w:p w:rsidR="00BF0B1C" w:rsidRPr="00FF1FD9" w:rsidRDefault="00A464F7" w:rsidP="00476E6F">
      <w:pPr>
        <w:suppressAutoHyphens/>
        <w:ind w:left="1440"/>
        <w:rPr>
          <w:b/>
          <w:sz w:val="22"/>
          <w:szCs w:val="22"/>
        </w:rPr>
      </w:pPr>
      <w:r w:rsidRPr="00BF0859">
        <w:rPr>
          <w:b/>
          <w:sz w:val="22"/>
          <w:szCs w:val="22"/>
        </w:rPr>
        <w:t>1</w:t>
      </w:r>
      <w:r w:rsidR="00BF0B1C" w:rsidRPr="00FF1FD9">
        <w:rPr>
          <w:b/>
          <w:sz w:val="22"/>
          <w:szCs w:val="22"/>
        </w:rPr>
        <w:t>.</w:t>
      </w:r>
      <w:r w:rsidR="00BF0B1C" w:rsidRPr="00FF1FD9">
        <w:rPr>
          <w:b/>
          <w:sz w:val="22"/>
          <w:szCs w:val="22"/>
        </w:rPr>
        <w:tab/>
        <w:t>Comments Received</w:t>
      </w:r>
    </w:p>
    <w:p w:rsidR="00BF0B1C" w:rsidRPr="006C02D7" w:rsidRDefault="00BF0B1C" w:rsidP="00476E6F">
      <w:pPr>
        <w:suppressAutoHyphens/>
        <w:rPr>
          <w:sz w:val="22"/>
          <w:szCs w:val="22"/>
        </w:rPr>
      </w:pPr>
    </w:p>
    <w:p w:rsidR="00BF0B1C" w:rsidRPr="008D556C" w:rsidRDefault="00BF0B1C" w:rsidP="00476E6F">
      <w:pPr>
        <w:numPr>
          <w:ilvl w:val="0"/>
          <w:numId w:val="2"/>
        </w:numPr>
        <w:tabs>
          <w:tab w:val="clear" w:pos="720"/>
        </w:tabs>
        <w:ind w:left="0" w:firstLine="720"/>
        <w:rPr>
          <w:sz w:val="22"/>
          <w:szCs w:val="22"/>
          <w:shd w:val="clear" w:color="auto" w:fill="FFFF00"/>
        </w:rPr>
      </w:pPr>
      <w:r w:rsidRPr="009C79E5">
        <w:rPr>
          <w:sz w:val="22"/>
          <w:szCs w:val="22"/>
        </w:rPr>
        <w:t>Comments received from consumers who are deaf or hard of hearing show that they continue to lack confidence that new communications technologies are being designed to be accessible.  For example, Consumer Groups fear that the rise of voice-controlled technologies, particularly those that incorporate advanced communications services features, may exclude individuals who do not speak or who do not speak clearly, and urge the Commission to monitor these new technologies.</w:t>
      </w:r>
      <w:r w:rsidRPr="008D556C">
        <w:rPr>
          <w:rStyle w:val="FootnoteReference"/>
          <w:sz w:val="22"/>
          <w:szCs w:val="22"/>
        </w:rPr>
        <w:footnoteReference w:id="223"/>
      </w:r>
      <w:r w:rsidRPr="008D556C">
        <w:rPr>
          <w:sz w:val="22"/>
          <w:szCs w:val="22"/>
        </w:rPr>
        <w:t xml:space="preserve">  Consumer Group</w:t>
      </w:r>
      <w:r w:rsidRPr="003511DC">
        <w:rPr>
          <w:sz w:val="22"/>
          <w:szCs w:val="22"/>
        </w:rPr>
        <w:t>s also express concern</w:t>
      </w:r>
      <w:r w:rsidRPr="00BF0859">
        <w:rPr>
          <w:sz w:val="22"/>
          <w:szCs w:val="22"/>
        </w:rPr>
        <w:t xml:space="preserve"> that accessibility barriers to new communication technologies continue to exist for individuals who are deaf-blind and for deaf individuals who also have mobility disabilities.</w:t>
      </w:r>
      <w:r w:rsidRPr="008D556C">
        <w:rPr>
          <w:rStyle w:val="FootnoteReference"/>
          <w:sz w:val="22"/>
          <w:szCs w:val="22"/>
        </w:rPr>
        <w:footnoteReference w:id="224"/>
      </w:r>
      <w:r w:rsidRPr="008D556C">
        <w:rPr>
          <w:sz w:val="22"/>
          <w:szCs w:val="22"/>
        </w:rPr>
        <w:t xml:space="preserve">  In particular, they report that IP Relay service,</w:t>
      </w:r>
      <w:r w:rsidRPr="008D556C">
        <w:rPr>
          <w:rStyle w:val="FootnoteReference"/>
          <w:sz w:val="22"/>
          <w:szCs w:val="22"/>
        </w:rPr>
        <w:footnoteReference w:id="225"/>
      </w:r>
      <w:r w:rsidRPr="008D556C">
        <w:rPr>
          <w:sz w:val="22"/>
          <w:szCs w:val="22"/>
        </w:rPr>
        <w:t xml:space="preserve"> esp</w:t>
      </w:r>
      <w:r w:rsidRPr="003511DC">
        <w:rPr>
          <w:sz w:val="22"/>
          <w:szCs w:val="22"/>
        </w:rPr>
        <w:t>ecially when used whil</w:t>
      </w:r>
      <w:r w:rsidRPr="00BF0859">
        <w:rPr>
          <w:sz w:val="22"/>
          <w:szCs w:val="22"/>
        </w:rPr>
        <w:t>e mobile, is not accessible to deaf-blind consumers who use Braille displays.</w:t>
      </w:r>
      <w:r w:rsidRPr="008D556C">
        <w:rPr>
          <w:rStyle w:val="FootnoteReference"/>
          <w:sz w:val="22"/>
          <w:szCs w:val="22"/>
        </w:rPr>
        <w:footnoteReference w:id="226"/>
      </w:r>
      <w:r w:rsidRPr="008D556C">
        <w:rPr>
          <w:sz w:val="22"/>
          <w:szCs w:val="22"/>
        </w:rPr>
        <w:t xml:space="preserve">  Similarly, ACB</w:t>
      </w:r>
      <w:r w:rsidR="003308A5" w:rsidRPr="003511DC">
        <w:rPr>
          <w:sz w:val="22"/>
          <w:szCs w:val="22"/>
        </w:rPr>
        <w:t>’</w:t>
      </w:r>
      <w:r w:rsidRPr="00BF0859">
        <w:rPr>
          <w:sz w:val="22"/>
          <w:szCs w:val="22"/>
        </w:rPr>
        <w:t>s comments allege the failure of software system manufacturers, application designers, and smart television manufacturers to make their com</w:t>
      </w:r>
      <w:r w:rsidRPr="006C02D7">
        <w:rPr>
          <w:sz w:val="22"/>
          <w:szCs w:val="22"/>
        </w:rPr>
        <w:t>munications technologies fully accessible to the blind community.</w:t>
      </w:r>
      <w:r w:rsidRPr="008D556C">
        <w:rPr>
          <w:rStyle w:val="FootnoteReference"/>
          <w:sz w:val="22"/>
          <w:szCs w:val="22"/>
        </w:rPr>
        <w:footnoteReference w:id="227"/>
      </w:r>
      <w:r w:rsidRPr="008D556C">
        <w:rPr>
          <w:sz w:val="22"/>
          <w:szCs w:val="22"/>
        </w:rPr>
        <w:t xml:space="preserve">  For example, ACB mentions that upgrades to Skype often make its user interface more difficult to use for users who are blind or visually impaired.</w:t>
      </w:r>
      <w:r w:rsidRPr="008D556C">
        <w:rPr>
          <w:rStyle w:val="FootnoteReference"/>
          <w:sz w:val="22"/>
          <w:szCs w:val="22"/>
        </w:rPr>
        <w:footnoteReference w:id="228"/>
      </w:r>
      <w:r w:rsidRPr="008D556C">
        <w:rPr>
          <w:sz w:val="22"/>
          <w:szCs w:val="22"/>
        </w:rPr>
        <w:t xml:space="preserve">  In particular, ACB urges that a committ</w:t>
      </w:r>
      <w:r w:rsidRPr="003511DC">
        <w:rPr>
          <w:sz w:val="22"/>
          <w:szCs w:val="22"/>
        </w:rPr>
        <w:t>ee be established to v</w:t>
      </w:r>
      <w:r w:rsidRPr="00BF0859">
        <w:rPr>
          <w:sz w:val="22"/>
          <w:szCs w:val="22"/>
        </w:rPr>
        <w:t>alidate the accessibility of software applications, so that consumers could know with certainty which apps are accessible.</w:t>
      </w:r>
      <w:r w:rsidRPr="008D556C">
        <w:rPr>
          <w:rStyle w:val="FootnoteReference"/>
          <w:sz w:val="22"/>
          <w:szCs w:val="22"/>
        </w:rPr>
        <w:footnoteReference w:id="229"/>
      </w:r>
      <w:r w:rsidRPr="008D556C">
        <w:rPr>
          <w:sz w:val="22"/>
          <w:szCs w:val="22"/>
        </w:rPr>
        <w:t xml:space="preserve">  At the same time, however, ACB applauds Comcast for its new set-top box that, despite some problems, represents to ACB the sole industry attempt to make this type of navigation device accessible to blind users.</w:t>
      </w:r>
      <w:r w:rsidRPr="008D556C">
        <w:rPr>
          <w:rStyle w:val="FootnoteReference"/>
          <w:sz w:val="22"/>
          <w:szCs w:val="22"/>
        </w:rPr>
        <w:footnoteReference w:id="230"/>
      </w:r>
    </w:p>
    <w:p w:rsidR="00BF0B1C" w:rsidRPr="00BF0859" w:rsidRDefault="00BF0B1C" w:rsidP="00476E6F">
      <w:pPr>
        <w:suppressAutoHyphens/>
        <w:ind w:left="720"/>
        <w:rPr>
          <w:sz w:val="22"/>
          <w:szCs w:val="22"/>
          <w:shd w:val="clear" w:color="auto" w:fill="FFFF00"/>
        </w:rPr>
      </w:pPr>
      <w:r w:rsidRPr="003511DC">
        <w:rPr>
          <w:sz w:val="22"/>
          <w:szCs w:val="22"/>
        </w:rPr>
        <w:t xml:space="preserve">  </w:t>
      </w:r>
    </w:p>
    <w:p w:rsidR="00BF0B1C" w:rsidRPr="008D556C" w:rsidRDefault="00BF0B1C" w:rsidP="00476E6F">
      <w:pPr>
        <w:numPr>
          <w:ilvl w:val="0"/>
          <w:numId w:val="2"/>
        </w:numPr>
        <w:tabs>
          <w:tab w:val="clear" w:pos="720"/>
        </w:tabs>
        <w:ind w:left="0" w:firstLine="720"/>
        <w:rPr>
          <w:sz w:val="22"/>
          <w:szCs w:val="22"/>
        </w:rPr>
      </w:pPr>
      <w:r w:rsidRPr="006C02D7">
        <w:rPr>
          <w:sz w:val="22"/>
          <w:szCs w:val="22"/>
        </w:rPr>
        <w:t xml:space="preserve">Rather than focus on the extent to which new communications technologies have been deployed since the </w:t>
      </w:r>
      <w:r w:rsidRPr="006C02D7">
        <w:rPr>
          <w:i/>
          <w:sz w:val="22"/>
          <w:szCs w:val="22"/>
        </w:rPr>
        <w:t xml:space="preserve">2012 CVAA Biennial Report </w:t>
      </w:r>
      <w:r w:rsidRPr="009C79E5">
        <w:rPr>
          <w:sz w:val="22"/>
          <w:szCs w:val="22"/>
        </w:rPr>
        <w:t>or</w:t>
      </w:r>
      <w:r w:rsidRPr="008D556C">
        <w:rPr>
          <w:sz w:val="22"/>
          <w:szCs w:val="22"/>
        </w:rPr>
        <w:t xml:space="preserve"> </w:t>
      </w:r>
      <w:r w:rsidRPr="003511DC">
        <w:rPr>
          <w:sz w:val="22"/>
          <w:szCs w:val="22"/>
        </w:rPr>
        <w:t>the barriers that s</w:t>
      </w:r>
      <w:r w:rsidRPr="00BF0859">
        <w:rPr>
          <w:sz w:val="22"/>
          <w:szCs w:val="22"/>
        </w:rPr>
        <w:t xml:space="preserve">till exist with respect to these technologies in response to the </w:t>
      </w:r>
      <w:r w:rsidRPr="006C02D7">
        <w:rPr>
          <w:i/>
          <w:sz w:val="22"/>
          <w:szCs w:val="22"/>
        </w:rPr>
        <w:t>2014 CVAA Assessment</w:t>
      </w:r>
      <w:r w:rsidRPr="006C02D7">
        <w:rPr>
          <w:sz w:val="22"/>
          <w:szCs w:val="22"/>
        </w:rPr>
        <w:t xml:space="preserve"> </w:t>
      </w:r>
      <w:r w:rsidRPr="006C02D7">
        <w:rPr>
          <w:i/>
          <w:sz w:val="22"/>
          <w:szCs w:val="22"/>
        </w:rPr>
        <w:t>PN</w:t>
      </w:r>
      <w:r w:rsidRPr="009C5E08">
        <w:rPr>
          <w:sz w:val="22"/>
          <w:szCs w:val="22"/>
        </w:rPr>
        <w:t>, industry commenters propose Commission actions that could be taken to increase accessibility.  For example, to better serve all consumers, CTIA urges the Commission t</w:t>
      </w:r>
      <w:r w:rsidRPr="009C79E5">
        <w:rPr>
          <w:sz w:val="22"/>
          <w:szCs w:val="22"/>
        </w:rPr>
        <w:t xml:space="preserve">o adopt policies </w:t>
      </w:r>
      <w:r w:rsidR="003308A5" w:rsidRPr="009C79E5">
        <w:rPr>
          <w:sz w:val="22"/>
          <w:szCs w:val="22"/>
        </w:rPr>
        <w:t>“</w:t>
      </w:r>
      <w:r w:rsidRPr="009C79E5">
        <w:rPr>
          <w:sz w:val="22"/>
          <w:szCs w:val="22"/>
        </w:rPr>
        <w:t>that make more spectrum available for commercial use, promote infrastructure deployment, and rely on the lightest touch regulatory scheme possible.</w:t>
      </w:r>
      <w:r w:rsidR="003308A5" w:rsidRPr="009C79E5">
        <w:rPr>
          <w:sz w:val="22"/>
          <w:szCs w:val="22"/>
        </w:rPr>
        <w:t>”</w:t>
      </w:r>
      <w:r w:rsidRPr="008D556C">
        <w:rPr>
          <w:rStyle w:val="FootnoteReference"/>
          <w:sz w:val="22"/>
          <w:szCs w:val="22"/>
        </w:rPr>
        <w:footnoteReference w:id="231"/>
      </w:r>
      <w:r w:rsidRPr="008D556C">
        <w:rPr>
          <w:sz w:val="22"/>
          <w:szCs w:val="22"/>
        </w:rPr>
        <w:t xml:space="preserve">  Similarly, TIA suggests that the Commission can effectively increase the availability o</w:t>
      </w:r>
      <w:r w:rsidRPr="003511DC">
        <w:rPr>
          <w:sz w:val="22"/>
          <w:szCs w:val="22"/>
        </w:rPr>
        <w:t>f advanced communicati</w:t>
      </w:r>
      <w:r w:rsidRPr="00BF0859">
        <w:rPr>
          <w:sz w:val="22"/>
          <w:szCs w:val="22"/>
        </w:rPr>
        <w:t>ons services and products to people with disabilities by affording manufacturers maximum flexibility in meeting the requirements of the CVAA.</w:t>
      </w:r>
      <w:r w:rsidRPr="008D556C">
        <w:rPr>
          <w:rStyle w:val="FootnoteReference"/>
          <w:sz w:val="22"/>
          <w:szCs w:val="22"/>
        </w:rPr>
        <w:footnoteReference w:id="232"/>
      </w:r>
      <w:r w:rsidRPr="008D556C">
        <w:rPr>
          <w:sz w:val="22"/>
          <w:szCs w:val="22"/>
        </w:rPr>
        <w:t xml:space="preserve">  CEA notes that modern electronic devices and apps have removed many accessibility barriers</w:t>
      </w:r>
      <w:r w:rsidRPr="003511DC">
        <w:rPr>
          <w:sz w:val="22"/>
          <w:szCs w:val="22"/>
        </w:rPr>
        <w:t xml:space="preserve"> (which CEA recognizes</w:t>
      </w:r>
      <w:r w:rsidRPr="00BF0859">
        <w:rPr>
          <w:sz w:val="22"/>
          <w:szCs w:val="22"/>
        </w:rPr>
        <w:t xml:space="preserve"> in its annual Innovation Awards), and further suggests that policy makers and advocates should encourage more advanced devices and apps to increase accessibility.</w:t>
      </w:r>
      <w:r w:rsidRPr="008D556C">
        <w:rPr>
          <w:rStyle w:val="FootnoteReference"/>
          <w:sz w:val="22"/>
          <w:szCs w:val="22"/>
        </w:rPr>
        <w:footnoteReference w:id="233"/>
      </w:r>
    </w:p>
    <w:p w:rsidR="00BF0B1C" w:rsidRPr="003511DC" w:rsidRDefault="00BF0B1C" w:rsidP="00476E6F">
      <w:pPr>
        <w:suppressAutoHyphens/>
        <w:ind w:left="720"/>
        <w:rPr>
          <w:sz w:val="22"/>
          <w:szCs w:val="22"/>
        </w:rPr>
      </w:pPr>
    </w:p>
    <w:p w:rsidR="00BF0B1C" w:rsidRPr="003511DC" w:rsidRDefault="00A464F7" w:rsidP="00476E6F">
      <w:pPr>
        <w:suppressAutoHyphens/>
        <w:ind w:left="2160" w:hanging="720"/>
        <w:rPr>
          <w:sz w:val="22"/>
          <w:szCs w:val="22"/>
        </w:rPr>
      </w:pPr>
      <w:r w:rsidRPr="00BF0859">
        <w:rPr>
          <w:b/>
          <w:sz w:val="22"/>
          <w:szCs w:val="22"/>
        </w:rPr>
        <w:t>2</w:t>
      </w:r>
      <w:r w:rsidR="00BF0B1C" w:rsidRPr="00FF1FD9">
        <w:rPr>
          <w:b/>
          <w:sz w:val="22"/>
          <w:szCs w:val="22"/>
        </w:rPr>
        <w:t>.</w:t>
      </w:r>
      <w:r w:rsidR="00BF0B1C" w:rsidRPr="00FF1FD9">
        <w:rPr>
          <w:b/>
          <w:sz w:val="22"/>
          <w:szCs w:val="22"/>
        </w:rPr>
        <w:tab/>
        <w:t>Findings on Accessibility Barriers in New Communications Technolo</w:t>
      </w:r>
      <w:r w:rsidR="00BF0B1C" w:rsidRPr="006C02D7">
        <w:rPr>
          <w:b/>
          <w:sz w:val="22"/>
          <w:szCs w:val="22"/>
        </w:rPr>
        <w:t>gies</w:t>
      </w:r>
      <w:r w:rsidR="00292FBF" w:rsidRPr="008D556C">
        <w:rPr>
          <w:rStyle w:val="FootnoteReference"/>
          <w:sz w:val="22"/>
          <w:szCs w:val="22"/>
        </w:rPr>
        <w:footnoteReference w:id="234"/>
      </w:r>
      <w:r w:rsidR="00BF0B1C" w:rsidRPr="008D556C" w:rsidDel="00CF3626">
        <w:rPr>
          <w:rStyle w:val="FootnoteReference"/>
          <w:sz w:val="22"/>
          <w:szCs w:val="22"/>
        </w:rPr>
        <w:t xml:space="preserve"> </w:t>
      </w:r>
      <w:r w:rsidR="00BF0B1C" w:rsidRPr="003511DC">
        <w:rPr>
          <w:sz w:val="22"/>
          <w:szCs w:val="22"/>
        </w:rPr>
        <w:t xml:space="preserve"> </w:t>
      </w:r>
    </w:p>
    <w:p w:rsidR="00BF0B1C" w:rsidRPr="00BF0859" w:rsidRDefault="00BF0B1C" w:rsidP="00476E6F">
      <w:pPr>
        <w:suppressAutoHyphens/>
        <w:ind w:left="720"/>
        <w:rPr>
          <w:sz w:val="22"/>
          <w:szCs w:val="22"/>
        </w:rPr>
      </w:pPr>
    </w:p>
    <w:p w:rsidR="00BF0B1C" w:rsidRPr="008D556C" w:rsidRDefault="00BF0B1C" w:rsidP="00476E6F">
      <w:pPr>
        <w:numPr>
          <w:ilvl w:val="0"/>
          <w:numId w:val="2"/>
        </w:numPr>
        <w:tabs>
          <w:tab w:val="clear" w:pos="720"/>
        </w:tabs>
        <w:ind w:left="0" w:firstLine="720"/>
        <w:rPr>
          <w:sz w:val="22"/>
          <w:szCs w:val="22"/>
        </w:rPr>
      </w:pPr>
      <w:r w:rsidRPr="006C02D7">
        <w:rPr>
          <w:sz w:val="22"/>
          <w:szCs w:val="22"/>
        </w:rPr>
        <w:t xml:space="preserve">Based on comments filed in response to the </w:t>
      </w:r>
      <w:r w:rsidRPr="006C02D7">
        <w:rPr>
          <w:i/>
          <w:sz w:val="22"/>
          <w:szCs w:val="22"/>
        </w:rPr>
        <w:t>2014 CVAA Assessment PN</w:t>
      </w:r>
      <w:r w:rsidRPr="006C02D7">
        <w:rPr>
          <w:sz w:val="22"/>
          <w:szCs w:val="22"/>
        </w:rPr>
        <w:t xml:space="preserve">, we </w:t>
      </w:r>
      <w:r w:rsidR="00686529" w:rsidRPr="009C5E08">
        <w:rPr>
          <w:sz w:val="22"/>
          <w:szCs w:val="22"/>
        </w:rPr>
        <w:t xml:space="preserve">tentatively found </w:t>
      </w:r>
      <w:r w:rsidRPr="009C79E5">
        <w:rPr>
          <w:sz w:val="22"/>
          <w:szCs w:val="22"/>
        </w:rPr>
        <w:t>that while strides have been made toward ensuring the accessibility of new communication</w:t>
      </w:r>
      <w:r w:rsidR="00AF6A85" w:rsidRPr="009C79E5">
        <w:rPr>
          <w:sz w:val="22"/>
          <w:szCs w:val="22"/>
        </w:rPr>
        <w:t>s</w:t>
      </w:r>
      <w:r w:rsidRPr="009C79E5">
        <w:rPr>
          <w:sz w:val="22"/>
          <w:szCs w:val="22"/>
        </w:rPr>
        <w:t xml:space="preserve"> technologies in industry design and development processes, accessibility barriers still exist with respect to certain new communications technologies.</w:t>
      </w:r>
      <w:r w:rsidR="00485691" w:rsidRPr="008D556C">
        <w:rPr>
          <w:rStyle w:val="FootnoteReference"/>
          <w:sz w:val="22"/>
          <w:szCs w:val="22"/>
        </w:rPr>
        <w:footnoteReference w:id="235"/>
      </w:r>
      <w:r w:rsidRPr="008D556C">
        <w:rPr>
          <w:sz w:val="22"/>
          <w:szCs w:val="22"/>
        </w:rPr>
        <w:t xml:space="preserve">  </w:t>
      </w:r>
      <w:r w:rsidR="00686529" w:rsidRPr="003511DC">
        <w:rPr>
          <w:sz w:val="22"/>
          <w:szCs w:val="22"/>
        </w:rPr>
        <w:t>We now affirm this finding</w:t>
      </w:r>
      <w:r w:rsidR="00BF21E8" w:rsidRPr="00BF0859">
        <w:rPr>
          <w:sz w:val="22"/>
          <w:szCs w:val="22"/>
        </w:rPr>
        <w:t xml:space="preserve"> based on the comments received in response to the </w:t>
      </w:r>
      <w:r w:rsidR="00BF21E8" w:rsidRPr="00BF0859">
        <w:rPr>
          <w:i/>
          <w:sz w:val="22"/>
          <w:szCs w:val="22"/>
        </w:rPr>
        <w:t>2014 CVAA Assessment PN</w:t>
      </w:r>
      <w:r w:rsidR="00686529" w:rsidRPr="00FF1FD9">
        <w:rPr>
          <w:sz w:val="22"/>
          <w:szCs w:val="22"/>
        </w:rPr>
        <w:t>.</w:t>
      </w:r>
      <w:r w:rsidR="00AB4848" w:rsidRPr="008D556C">
        <w:rPr>
          <w:rStyle w:val="FootnoteReference"/>
          <w:sz w:val="22"/>
          <w:szCs w:val="22"/>
        </w:rPr>
        <w:footnoteReference w:id="236"/>
      </w:r>
      <w:r w:rsidR="00686529" w:rsidRPr="008D556C">
        <w:rPr>
          <w:sz w:val="22"/>
          <w:szCs w:val="22"/>
        </w:rPr>
        <w:t xml:space="preserve">  </w:t>
      </w:r>
      <w:r w:rsidRPr="003511DC">
        <w:rPr>
          <w:sz w:val="22"/>
          <w:szCs w:val="22"/>
        </w:rPr>
        <w:t xml:space="preserve">We base our conclusion that accessibility gains have been made, in </w:t>
      </w:r>
      <w:r w:rsidRPr="00BF0859">
        <w:rPr>
          <w:sz w:val="22"/>
          <w:szCs w:val="22"/>
        </w:rPr>
        <w:t>part, on reports of industry efforts to incorporate the input of individuals with disabilities through product testing, to consider accessibility needs during the research and development stages of new products and services,</w:t>
      </w:r>
      <w:r w:rsidRPr="008D556C">
        <w:rPr>
          <w:rStyle w:val="FootnoteReference"/>
          <w:sz w:val="22"/>
          <w:szCs w:val="22"/>
        </w:rPr>
        <w:footnoteReference w:id="237"/>
      </w:r>
      <w:r w:rsidRPr="008D556C">
        <w:rPr>
          <w:sz w:val="22"/>
          <w:szCs w:val="22"/>
        </w:rPr>
        <w:t xml:space="preserve"> and to modify internal process</w:t>
      </w:r>
      <w:r w:rsidRPr="003511DC">
        <w:rPr>
          <w:sz w:val="22"/>
          <w:szCs w:val="22"/>
        </w:rPr>
        <w:t>es as needed to comply</w:t>
      </w:r>
      <w:r w:rsidRPr="00BF0859">
        <w:rPr>
          <w:sz w:val="22"/>
          <w:szCs w:val="22"/>
        </w:rPr>
        <w:t xml:space="preserve"> with the accessibility requirements.</w:t>
      </w:r>
      <w:r w:rsidRPr="008D556C">
        <w:rPr>
          <w:rStyle w:val="FootnoteReference"/>
          <w:sz w:val="22"/>
          <w:szCs w:val="22"/>
        </w:rPr>
        <w:footnoteReference w:id="238"/>
      </w:r>
      <w:r w:rsidRPr="008D556C">
        <w:rPr>
          <w:sz w:val="22"/>
          <w:szCs w:val="22"/>
        </w:rPr>
        <w:t xml:space="preserve">  Further support is found in the reported breadth of accessibility features offered in today</w:t>
      </w:r>
      <w:r w:rsidR="003308A5" w:rsidRPr="003511DC">
        <w:rPr>
          <w:sz w:val="22"/>
          <w:szCs w:val="22"/>
        </w:rPr>
        <w:t>’</w:t>
      </w:r>
      <w:r w:rsidRPr="00BF0859">
        <w:rPr>
          <w:sz w:val="22"/>
          <w:szCs w:val="22"/>
        </w:rPr>
        <w:t>s communications technologies by manufacturers and service providers.</w:t>
      </w:r>
      <w:r w:rsidRPr="008D556C">
        <w:rPr>
          <w:rStyle w:val="FootnoteReference"/>
          <w:sz w:val="22"/>
          <w:szCs w:val="22"/>
        </w:rPr>
        <w:footnoteReference w:id="239"/>
      </w:r>
      <w:r w:rsidRPr="008D556C">
        <w:rPr>
          <w:sz w:val="22"/>
          <w:szCs w:val="22"/>
        </w:rPr>
        <w:t xml:space="preserve">  </w:t>
      </w:r>
    </w:p>
    <w:p w:rsidR="00BF0B1C" w:rsidRPr="003511DC" w:rsidRDefault="00BF0B1C" w:rsidP="00476E6F">
      <w:pPr>
        <w:suppressAutoHyphens/>
        <w:ind w:firstLine="720"/>
        <w:rPr>
          <w:sz w:val="22"/>
          <w:szCs w:val="22"/>
        </w:rPr>
      </w:pPr>
    </w:p>
    <w:p w:rsidR="00BF0B1C" w:rsidRPr="008D556C" w:rsidRDefault="00BF0B1C" w:rsidP="00476E6F">
      <w:pPr>
        <w:numPr>
          <w:ilvl w:val="0"/>
          <w:numId w:val="2"/>
        </w:numPr>
        <w:tabs>
          <w:tab w:val="clear" w:pos="720"/>
        </w:tabs>
        <w:ind w:left="0" w:firstLine="720"/>
        <w:rPr>
          <w:sz w:val="22"/>
          <w:szCs w:val="22"/>
        </w:rPr>
      </w:pPr>
      <w:r w:rsidRPr="00BF0859">
        <w:rPr>
          <w:sz w:val="22"/>
          <w:szCs w:val="22"/>
        </w:rPr>
        <w:t>Our finding that accessibili</w:t>
      </w:r>
      <w:r w:rsidRPr="00FF1FD9">
        <w:rPr>
          <w:sz w:val="22"/>
          <w:szCs w:val="22"/>
        </w:rPr>
        <w:t>ty barriers still exist is supported by AADB</w:t>
      </w:r>
      <w:r w:rsidR="003308A5" w:rsidRPr="00FF1FD9">
        <w:rPr>
          <w:sz w:val="22"/>
          <w:szCs w:val="22"/>
        </w:rPr>
        <w:t>’</w:t>
      </w:r>
      <w:r w:rsidRPr="006C02D7">
        <w:rPr>
          <w:sz w:val="22"/>
          <w:szCs w:val="22"/>
        </w:rPr>
        <w:t>s and Consumer Groups</w:t>
      </w:r>
      <w:r w:rsidR="003308A5" w:rsidRPr="009C79E5">
        <w:rPr>
          <w:sz w:val="22"/>
          <w:szCs w:val="22"/>
        </w:rPr>
        <w:t>’</w:t>
      </w:r>
      <w:r w:rsidRPr="009C79E5">
        <w:rPr>
          <w:sz w:val="22"/>
          <w:szCs w:val="22"/>
        </w:rPr>
        <w:t xml:space="preserve"> reports that a majority of communications technologies are not accessible to individuals who are deaf-blind.</w:t>
      </w:r>
      <w:r w:rsidRPr="008D556C">
        <w:rPr>
          <w:rStyle w:val="FootnoteReference"/>
          <w:sz w:val="22"/>
          <w:szCs w:val="22"/>
        </w:rPr>
        <w:footnoteReference w:id="240"/>
      </w:r>
      <w:r w:rsidRPr="008D556C">
        <w:rPr>
          <w:sz w:val="22"/>
          <w:szCs w:val="22"/>
        </w:rPr>
        <w:t xml:space="preserve">  Consumer Groups also report that accessibility barriers exist for deaf indivi</w:t>
      </w:r>
      <w:r w:rsidRPr="003511DC">
        <w:rPr>
          <w:sz w:val="22"/>
          <w:szCs w:val="22"/>
        </w:rPr>
        <w:t>duals who also have mo</w:t>
      </w:r>
      <w:r w:rsidRPr="00BF0859">
        <w:rPr>
          <w:sz w:val="22"/>
          <w:szCs w:val="22"/>
        </w:rPr>
        <w:t>bility disabilities.</w:t>
      </w:r>
      <w:r w:rsidRPr="008D556C">
        <w:rPr>
          <w:rStyle w:val="FootnoteReference"/>
          <w:sz w:val="22"/>
          <w:szCs w:val="22"/>
        </w:rPr>
        <w:footnoteReference w:id="241"/>
      </w:r>
      <w:r w:rsidRPr="008D556C">
        <w:rPr>
          <w:sz w:val="22"/>
          <w:szCs w:val="22"/>
        </w:rPr>
        <w:t xml:space="preserve">  In addition, Consumer Groups observe that mainstream video conferencing services remain incompatible with TRS, and that off-the-shelf video conferencing systems, upon which many individuals who use American Sign</w:t>
      </w:r>
      <w:r w:rsidRPr="003511DC">
        <w:rPr>
          <w:sz w:val="22"/>
          <w:szCs w:val="22"/>
        </w:rPr>
        <w:t xml:space="preserve"> Language rely for the</w:t>
      </w:r>
      <w:r w:rsidRPr="00BF0859">
        <w:rPr>
          <w:sz w:val="22"/>
          <w:szCs w:val="22"/>
        </w:rPr>
        <w:t>ir primary means of communication, are not interoperable among themselves or with videophones available through VRS providers.</w:t>
      </w:r>
      <w:r w:rsidRPr="008D556C">
        <w:rPr>
          <w:rStyle w:val="FootnoteReference"/>
          <w:sz w:val="22"/>
          <w:szCs w:val="22"/>
        </w:rPr>
        <w:footnoteReference w:id="242"/>
      </w:r>
      <w:r w:rsidRPr="008D556C">
        <w:rPr>
          <w:sz w:val="22"/>
          <w:szCs w:val="22"/>
        </w:rPr>
        <w:t xml:space="preserve">  Statements submitted by the Consumer Groups that accessibility barriers may be created by the advent of n</w:t>
      </w:r>
      <w:r w:rsidRPr="003511DC">
        <w:rPr>
          <w:sz w:val="22"/>
          <w:szCs w:val="22"/>
        </w:rPr>
        <w:t>ew technologies also l</w:t>
      </w:r>
      <w:r w:rsidRPr="00BF0859">
        <w:rPr>
          <w:sz w:val="22"/>
          <w:szCs w:val="22"/>
        </w:rPr>
        <w:t xml:space="preserve">ead us to </w:t>
      </w:r>
      <w:r w:rsidR="00BE4257" w:rsidRPr="00FF1FD9">
        <w:rPr>
          <w:sz w:val="22"/>
          <w:szCs w:val="22"/>
        </w:rPr>
        <w:t xml:space="preserve">affirm our prior tentative finding </w:t>
      </w:r>
      <w:r w:rsidRPr="00FF1FD9">
        <w:rPr>
          <w:sz w:val="22"/>
          <w:szCs w:val="22"/>
        </w:rPr>
        <w:t>that there is a need for industry design and development teams to be mindful of the effects that new product and service design features can have on accessibility.</w:t>
      </w:r>
      <w:r w:rsidR="00BE4257" w:rsidRPr="008D556C">
        <w:rPr>
          <w:rStyle w:val="FootnoteReference"/>
          <w:sz w:val="22"/>
          <w:szCs w:val="22"/>
        </w:rPr>
        <w:footnoteReference w:id="243"/>
      </w:r>
      <w:r w:rsidRPr="008D556C">
        <w:rPr>
          <w:sz w:val="22"/>
          <w:szCs w:val="22"/>
        </w:rPr>
        <w:t xml:space="preserve">  For example, Consumer G</w:t>
      </w:r>
      <w:r w:rsidRPr="003511DC">
        <w:rPr>
          <w:sz w:val="22"/>
          <w:szCs w:val="22"/>
        </w:rPr>
        <w:t>roups report potential</w:t>
      </w:r>
      <w:r w:rsidRPr="00BF0859">
        <w:rPr>
          <w:sz w:val="22"/>
          <w:szCs w:val="22"/>
        </w:rPr>
        <w:t xml:space="preserve"> new barriers that may result if voice controls replace (rather than supplement) interfaces presently accessible to people who are deaf, hard of hearing, or have speech disabilities,</w:t>
      </w:r>
      <w:r w:rsidRPr="008D556C">
        <w:rPr>
          <w:rStyle w:val="FootnoteReference"/>
          <w:sz w:val="22"/>
          <w:szCs w:val="22"/>
        </w:rPr>
        <w:footnoteReference w:id="244"/>
      </w:r>
      <w:r w:rsidRPr="008D556C">
        <w:rPr>
          <w:sz w:val="22"/>
          <w:szCs w:val="22"/>
        </w:rPr>
        <w:t xml:space="preserve"> and if software upgrades reverse accessibility cur</w:t>
      </w:r>
      <w:r w:rsidRPr="003511DC">
        <w:rPr>
          <w:sz w:val="22"/>
          <w:szCs w:val="22"/>
        </w:rPr>
        <w:t>rently available on ce</w:t>
      </w:r>
      <w:r w:rsidRPr="00BF0859">
        <w:rPr>
          <w:sz w:val="22"/>
          <w:szCs w:val="22"/>
        </w:rPr>
        <w:t>rtain devices or apps.</w:t>
      </w:r>
      <w:r w:rsidRPr="008D556C">
        <w:rPr>
          <w:rStyle w:val="FootnoteReference"/>
          <w:sz w:val="22"/>
          <w:szCs w:val="22"/>
        </w:rPr>
        <w:footnoteReference w:id="245"/>
      </w:r>
      <w:r w:rsidRPr="008D556C">
        <w:rPr>
          <w:sz w:val="22"/>
          <w:szCs w:val="22"/>
        </w:rPr>
        <w:t xml:space="preserve">  </w:t>
      </w:r>
    </w:p>
    <w:p w:rsidR="00BF0B1C" w:rsidRPr="003511DC" w:rsidRDefault="00BF0B1C" w:rsidP="00476E6F">
      <w:pPr>
        <w:suppressAutoHyphens/>
        <w:ind w:left="720"/>
        <w:rPr>
          <w:sz w:val="22"/>
          <w:szCs w:val="22"/>
        </w:rPr>
      </w:pPr>
    </w:p>
    <w:p w:rsidR="00BF0B1C" w:rsidRPr="00FF1FD9" w:rsidRDefault="001B3BF3" w:rsidP="00341279">
      <w:pPr>
        <w:pStyle w:val="Heading2A"/>
        <w:keepLines/>
        <w:suppressAutoHyphens/>
        <w:ind w:left="0" w:firstLine="720"/>
        <w:rPr>
          <w:rFonts w:ascii="Times New Roman" w:hAnsi="Times New Roman"/>
          <w:b/>
          <w:color w:val="auto"/>
          <w:szCs w:val="22"/>
        </w:rPr>
      </w:pPr>
      <w:r w:rsidRPr="003511DC">
        <w:rPr>
          <w:rFonts w:ascii="Times New Roman" w:hAnsi="Times New Roman"/>
          <w:b/>
          <w:color w:val="auto"/>
          <w:szCs w:val="22"/>
        </w:rPr>
        <w:t>D.</w:t>
      </w:r>
      <w:r w:rsidR="00014913" w:rsidRPr="00BF0859">
        <w:rPr>
          <w:rFonts w:ascii="Times New Roman" w:hAnsi="Times New Roman"/>
          <w:b/>
          <w:color w:val="auto"/>
          <w:szCs w:val="22"/>
        </w:rPr>
        <w:tab/>
      </w:r>
      <w:r w:rsidR="00BF0B1C" w:rsidRPr="00FF1FD9">
        <w:rPr>
          <w:rFonts w:ascii="Times New Roman" w:hAnsi="Times New Roman"/>
          <w:b/>
          <w:color w:val="auto"/>
          <w:szCs w:val="22"/>
        </w:rPr>
        <w:t>Complaints Received Pursuant to Section 717</w:t>
      </w:r>
    </w:p>
    <w:p w:rsidR="00BF0B1C" w:rsidRPr="006C02D7" w:rsidRDefault="00BF0B1C" w:rsidP="00341279">
      <w:pPr>
        <w:keepNext/>
        <w:keepLines/>
        <w:suppressAutoHyphens/>
        <w:rPr>
          <w:sz w:val="22"/>
          <w:szCs w:val="22"/>
        </w:rPr>
      </w:pPr>
    </w:p>
    <w:p w:rsidR="00BF0B1C" w:rsidRPr="009C79E5" w:rsidRDefault="00BF0B1C" w:rsidP="00341279">
      <w:pPr>
        <w:keepNext/>
        <w:keepLines/>
        <w:numPr>
          <w:ilvl w:val="0"/>
          <w:numId w:val="2"/>
        </w:numPr>
        <w:tabs>
          <w:tab w:val="clear" w:pos="720"/>
        </w:tabs>
        <w:ind w:left="0" w:firstLine="720"/>
        <w:rPr>
          <w:sz w:val="22"/>
          <w:szCs w:val="22"/>
        </w:rPr>
      </w:pPr>
      <w:r w:rsidRPr="009C79E5">
        <w:rPr>
          <w:sz w:val="22"/>
          <w:szCs w:val="22"/>
        </w:rPr>
        <w:t>Sections 717(b)(1)(C)-(F) of the Act require the Commission to report the following information with respect to complaints received pursuant to Section 717(a) of the Act that allege violations of Sections 255, 716, or 718 of the Act:</w:t>
      </w:r>
    </w:p>
    <w:p w:rsidR="00BF0B1C" w:rsidRPr="009C79E5" w:rsidRDefault="00BF0B1C" w:rsidP="00476E6F">
      <w:pPr>
        <w:pStyle w:val="ParaNum0"/>
        <w:widowControl/>
        <w:numPr>
          <w:ilvl w:val="0"/>
          <w:numId w:val="0"/>
        </w:numPr>
        <w:suppressAutoHyphens/>
        <w:spacing w:after="0"/>
        <w:rPr>
          <w:szCs w:val="22"/>
        </w:rPr>
      </w:pPr>
    </w:p>
    <w:p w:rsidR="00BF0B1C" w:rsidRPr="009C79E5" w:rsidRDefault="00BF0B1C" w:rsidP="00476E6F">
      <w:pPr>
        <w:pStyle w:val="ParaNum0"/>
        <w:widowControl/>
        <w:numPr>
          <w:ilvl w:val="0"/>
          <w:numId w:val="9"/>
        </w:numPr>
        <w:tabs>
          <w:tab w:val="clear" w:pos="360"/>
          <w:tab w:val="num" w:pos="1080"/>
        </w:tabs>
        <w:suppressAutoHyphens/>
        <w:spacing w:after="0"/>
        <w:ind w:left="1080" w:hanging="360"/>
        <w:rPr>
          <w:szCs w:val="22"/>
        </w:rPr>
      </w:pPr>
      <w:r w:rsidRPr="009C79E5">
        <w:rPr>
          <w:szCs w:val="22"/>
        </w:rPr>
        <w:t>the number and nature of complaints received during the two years that are the subject of the Commission</w:t>
      </w:r>
      <w:r w:rsidR="003308A5" w:rsidRPr="009C79E5">
        <w:rPr>
          <w:szCs w:val="22"/>
        </w:rPr>
        <w:t>’</w:t>
      </w:r>
      <w:r w:rsidRPr="009C79E5">
        <w:rPr>
          <w:szCs w:val="22"/>
        </w:rPr>
        <w:t xml:space="preserve">s </w:t>
      </w:r>
      <w:r w:rsidRPr="009C79E5">
        <w:rPr>
          <w:i/>
          <w:szCs w:val="22"/>
        </w:rPr>
        <w:t>Report, i.e.,</w:t>
      </w:r>
      <w:r w:rsidRPr="009C79E5">
        <w:rPr>
          <w:szCs w:val="22"/>
        </w:rPr>
        <w:t xml:space="preserve"> between January 1, 2012 and December 31, 2013;</w:t>
      </w:r>
    </w:p>
    <w:p w:rsidR="00BF0B1C" w:rsidRPr="009C79E5" w:rsidRDefault="00BF0B1C" w:rsidP="00476E6F">
      <w:pPr>
        <w:pStyle w:val="ParaNum0"/>
        <w:widowControl/>
        <w:numPr>
          <w:ilvl w:val="0"/>
          <w:numId w:val="9"/>
        </w:numPr>
        <w:tabs>
          <w:tab w:val="clear" w:pos="360"/>
          <w:tab w:val="num" w:pos="1080"/>
        </w:tabs>
        <w:suppressAutoHyphens/>
        <w:spacing w:after="0"/>
        <w:ind w:left="1080" w:hanging="360"/>
        <w:rPr>
          <w:szCs w:val="22"/>
        </w:rPr>
      </w:pPr>
      <w:r w:rsidRPr="009C79E5">
        <w:rPr>
          <w:szCs w:val="22"/>
        </w:rPr>
        <w:t>the actions taken to resolve such complaints, including forfeiture penalties assessed;</w:t>
      </w:r>
    </w:p>
    <w:p w:rsidR="00BF0B1C" w:rsidRPr="009C79E5" w:rsidRDefault="00BF0B1C" w:rsidP="00476E6F">
      <w:pPr>
        <w:pStyle w:val="ParaNum0"/>
        <w:widowControl/>
        <w:numPr>
          <w:ilvl w:val="0"/>
          <w:numId w:val="9"/>
        </w:numPr>
        <w:tabs>
          <w:tab w:val="clear" w:pos="360"/>
          <w:tab w:val="num" w:pos="1080"/>
        </w:tabs>
        <w:suppressAutoHyphens/>
        <w:spacing w:after="0"/>
        <w:ind w:left="1080" w:hanging="360"/>
        <w:rPr>
          <w:szCs w:val="22"/>
        </w:rPr>
      </w:pPr>
      <w:r w:rsidRPr="009C79E5">
        <w:rPr>
          <w:szCs w:val="22"/>
        </w:rPr>
        <w:t>the length of time that was taken by the Commission to resolve each such complaint; and</w:t>
      </w:r>
    </w:p>
    <w:p w:rsidR="00BF0B1C" w:rsidRPr="009C79E5" w:rsidRDefault="00BF0B1C" w:rsidP="00476E6F">
      <w:pPr>
        <w:pStyle w:val="ParaNum0"/>
        <w:widowControl/>
        <w:numPr>
          <w:ilvl w:val="0"/>
          <w:numId w:val="9"/>
        </w:numPr>
        <w:tabs>
          <w:tab w:val="clear" w:pos="360"/>
          <w:tab w:val="num" w:pos="1080"/>
        </w:tabs>
        <w:suppressAutoHyphens/>
        <w:spacing w:after="0"/>
        <w:ind w:left="1080" w:hanging="360"/>
        <w:rPr>
          <w:szCs w:val="22"/>
        </w:rPr>
      </w:pPr>
      <w:r w:rsidRPr="009C79E5">
        <w:rPr>
          <w:szCs w:val="22"/>
        </w:rPr>
        <w:t>the number, status, nature, and outcome of any actions for mandamus and any appeals filed.</w:t>
      </w:r>
      <w:r w:rsidRPr="009C79E5">
        <w:rPr>
          <w:rStyle w:val="FootnoteReference"/>
          <w:szCs w:val="22"/>
        </w:rPr>
        <w:footnoteReference w:id="246"/>
      </w:r>
      <w:r w:rsidRPr="009C79E5">
        <w:rPr>
          <w:szCs w:val="22"/>
        </w:rPr>
        <w:t xml:space="preserve">  </w:t>
      </w:r>
    </w:p>
    <w:p w:rsidR="00BF0B1C" w:rsidRPr="009C79E5" w:rsidRDefault="00BF0B1C" w:rsidP="00476E6F">
      <w:pPr>
        <w:pStyle w:val="ParaNum0"/>
        <w:widowControl/>
        <w:numPr>
          <w:ilvl w:val="0"/>
          <w:numId w:val="0"/>
        </w:numPr>
        <w:suppressAutoHyphens/>
        <w:spacing w:after="0"/>
        <w:ind w:firstLine="720"/>
        <w:rPr>
          <w:szCs w:val="22"/>
        </w:rPr>
      </w:pPr>
    </w:p>
    <w:p w:rsidR="00BF0B1C" w:rsidRPr="009C79E5" w:rsidRDefault="00BF0B1C" w:rsidP="00476E6F">
      <w:pPr>
        <w:numPr>
          <w:ilvl w:val="0"/>
          <w:numId w:val="2"/>
        </w:numPr>
        <w:tabs>
          <w:tab w:val="clear" w:pos="720"/>
        </w:tabs>
        <w:ind w:left="0" w:firstLine="720"/>
        <w:rPr>
          <w:sz w:val="22"/>
          <w:szCs w:val="22"/>
        </w:rPr>
      </w:pPr>
      <w:r w:rsidRPr="009C79E5">
        <w:rPr>
          <w:sz w:val="22"/>
          <w:szCs w:val="22"/>
        </w:rPr>
        <w:t xml:space="preserve">Before addressing each of these matters, this section of the </w:t>
      </w:r>
      <w:r w:rsidRPr="009C79E5">
        <w:rPr>
          <w:i/>
          <w:sz w:val="22"/>
          <w:szCs w:val="22"/>
        </w:rPr>
        <w:t>Report</w:t>
      </w:r>
      <w:r w:rsidRPr="009C79E5">
        <w:rPr>
          <w:sz w:val="22"/>
          <w:szCs w:val="22"/>
        </w:rPr>
        <w:t xml:space="preserve"> provides a brief explanation of the complaint procedures used by CGB for the handling of accessibility complaints filed under Section 255 before the effective date of the CVAA complaint procedures, and how those procedures have been changed, effective October 8, 2013, for accessibility complaints filed under Sections 255, 716, and 718.</w:t>
      </w:r>
    </w:p>
    <w:p w:rsidR="00BF0B1C" w:rsidRPr="009C79E5" w:rsidRDefault="00BF0B1C" w:rsidP="00476E6F">
      <w:pPr>
        <w:pStyle w:val="ParaNum0"/>
        <w:widowControl/>
        <w:numPr>
          <w:ilvl w:val="0"/>
          <w:numId w:val="0"/>
        </w:numPr>
        <w:suppressAutoHyphens/>
        <w:spacing w:after="0"/>
        <w:rPr>
          <w:szCs w:val="22"/>
        </w:rPr>
      </w:pPr>
    </w:p>
    <w:p w:rsidR="00BF0B1C" w:rsidRPr="008D556C" w:rsidRDefault="00BF0B1C" w:rsidP="00476E6F">
      <w:pPr>
        <w:numPr>
          <w:ilvl w:val="0"/>
          <w:numId w:val="2"/>
        </w:numPr>
        <w:tabs>
          <w:tab w:val="clear" w:pos="720"/>
        </w:tabs>
        <w:ind w:left="0" w:firstLine="720"/>
        <w:rPr>
          <w:sz w:val="22"/>
          <w:szCs w:val="22"/>
        </w:rPr>
      </w:pPr>
      <w:r w:rsidRPr="009C79E5">
        <w:rPr>
          <w:i/>
          <w:sz w:val="22"/>
          <w:szCs w:val="22"/>
        </w:rPr>
        <w:t xml:space="preserve">Prior accessibility complaint procedures. </w:t>
      </w:r>
      <w:r w:rsidRPr="009C79E5">
        <w:rPr>
          <w:sz w:val="22"/>
          <w:szCs w:val="22"/>
        </w:rPr>
        <w:t xml:space="preserve"> In 1997, the Commission adopted procedures to address informal complaints filed under Section 255 of the Act.</w:t>
      </w:r>
      <w:r w:rsidRPr="008D556C">
        <w:rPr>
          <w:rStyle w:val="FootnoteReference"/>
          <w:sz w:val="22"/>
          <w:szCs w:val="22"/>
        </w:rPr>
        <w:footnoteReference w:id="247"/>
      </w:r>
      <w:r w:rsidRPr="008D556C">
        <w:rPr>
          <w:sz w:val="22"/>
          <w:szCs w:val="22"/>
        </w:rPr>
        <w:t xml:space="preserve">  These procedures remained in effect from January 1, 2012 until October 8, 2013, which constitutes part of the period covered by this </w:t>
      </w:r>
      <w:r w:rsidRPr="003511DC">
        <w:rPr>
          <w:i/>
          <w:sz w:val="22"/>
          <w:szCs w:val="22"/>
        </w:rPr>
        <w:t>Report</w:t>
      </w:r>
      <w:r w:rsidRPr="00BF0859">
        <w:rPr>
          <w:sz w:val="22"/>
          <w:szCs w:val="22"/>
        </w:rPr>
        <w:t xml:space="preserve">.  Under these procedures, individuals were permitted to file an </w:t>
      </w:r>
      <w:r w:rsidRPr="006C02D7">
        <w:rPr>
          <w:sz w:val="22"/>
          <w:szCs w:val="22"/>
        </w:rPr>
        <w:t>informal accessibility complaint with CGB</w:t>
      </w:r>
      <w:r w:rsidR="003308A5" w:rsidRPr="006C02D7">
        <w:rPr>
          <w:sz w:val="22"/>
          <w:szCs w:val="22"/>
        </w:rPr>
        <w:t>’</w:t>
      </w:r>
      <w:r w:rsidRPr="006C02D7">
        <w:rPr>
          <w:sz w:val="22"/>
          <w:szCs w:val="22"/>
        </w:rPr>
        <w:t>s Disability Rights Office (DRO) by letter, phone call, fax, online form, or other reasonable means.</w:t>
      </w:r>
      <w:r w:rsidRPr="008D556C">
        <w:rPr>
          <w:rStyle w:val="FootnoteReference"/>
          <w:sz w:val="22"/>
          <w:szCs w:val="22"/>
        </w:rPr>
        <w:footnoteReference w:id="248"/>
      </w:r>
      <w:r w:rsidRPr="008D556C">
        <w:rPr>
          <w:sz w:val="22"/>
          <w:szCs w:val="22"/>
        </w:rPr>
        <w:t xml:space="preserve">  Upon receipt, CGB entered the complaint into a database called the Consumer Complaint Management System (CCMS) </w:t>
      </w:r>
      <w:r w:rsidRPr="003511DC">
        <w:rPr>
          <w:sz w:val="22"/>
          <w:szCs w:val="22"/>
        </w:rPr>
        <w:t>and then served a Noti</w:t>
      </w:r>
      <w:r w:rsidRPr="00BF0859">
        <w:rPr>
          <w:sz w:val="22"/>
          <w:szCs w:val="22"/>
        </w:rPr>
        <w:t>ce of Informal Complaint (NOIC) on the service provider and/or equipment manufacturer against whom the complaint was brought.</w:t>
      </w:r>
      <w:r w:rsidRPr="008D556C">
        <w:rPr>
          <w:rStyle w:val="FootnoteReference"/>
          <w:sz w:val="22"/>
          <w:szCs w:val="22"/>
        </w:rPr>
        <w:footnoteReference w:id="249"/>
      </w:r>
      <w:r w:rsidRPr="008D556C">
        <w:rPr>
          <w:sz w:val="22"/>
          <w:szCs w:val="22"/>
        </w:rPr>
        <w:t xml:space="preserve">  The provider or manufacturer was then given 30 days in which to respond to the NOIC.</w:t>
      </w:r>
      <w:r w:rsidRPr="008D556C">
        <w:rPr>
          <w:rStyle w:val="FootnoteReference"/>
          <w:sz w:val="22"/>
          <w:szCs w:val="22"/>
        </w:rPr>
        <w:footnoteReference w:id="250"/>
      </w:r>
      <w:r w:rsidRPr="008D556C">
        <w:rPr>
          <w:sz w:val="22"/>
          <w:szCs w:val="22"/>
        </w:rPr>
        <w:t xml:space="preserve">  If DRO then conclud</w:t>
      </w:r>
      <w:r w:rsidRPr="003511DC">
        <w:rPr>
          <w:sz w:val="22"/>
          <w:szCs w:val="22"/>
        </w:rPr>
        <w:t>ed that all issues wer</w:t>
      </w:r>
      <w:r w:rsidRPr="00BF0859">
        <w:rPr>
          <w:sz w:val="22"/>
          <w:szCs w:val="22"/>
        </w:rPr>
        <w:t>e satisfied and the consumer</w:t>
      </w:r>
      <w:r w:rsidR="003308A5" w:rsidRPr="00FF1FD9">
        <w:rPr>
          <w:sz w:val="22"/>
          <w:szCs w:val="22"/>
        </w:rPr>
        <w:t>’</w:t>
      </w:r>
      <w:r w:rsidRPr="00FF1FD9">
        <w:rPr>
          <w:sz w:val="22"/>
          <w:szCs w:val="22"/>
        </w:rPr>
        <w:t>s satisfaction with the resolution was verified, or that no further action was required or possible, it considered the matter closed and sent the consumer a close-out letter.</w:t>
      </w:r>
      <w:r w:rsidRPr="008D556C">
        <w:rPr>
          <w:rStyle w:val="FootnoteReference"/>
          <w:sz w:val="22"/>
          <w:szCs w:val="22"/>
        </w:rPr>
        <w:footnoteReference w:id="251"/>
      </w:r>
      <w:r w:rsidRPr="008D556C">
        <w:rPr>
          <w:sz w:val="22"/>
          <w:szCs w:val="22"/>
        </w:rPr>
        <w:t>  DRO was not authorized to im</w:t>
      </w:r>
      <w:r w:rsidRPr="003511DC">
        <w:rPr>
          <w:sz w:val="22"/>
          <w:szCs w:val="22"/>
        </w:rPr>
        <w:t>pose forfeitures or ta</w:t>
      </w:r>
      <w:r w:rsidRPr="00BF0859">
        <w:rPr>
          <w:sz w:val="22"/>
          <w:szCs w:val="22"/>
        </w:rPr>
        <w:t>ke other enforcement action in response to an informal complaint alone.  However, if the consumer was not satisfied with the provider</w:t>
      </w:r>
      <w:r w:rsidR="003308A5" w:rsidRPr="006C02D7">
        <w:rPr>
          <w:sz w:val="22"/>
          <w:szCs w:val="22"/>
        </w:rPr>
        <w:t>’</w:t>
      </w:r>
      <w:r w:rsidRPr="006C02D7">
        <w:rPr>
          <w:sz w:val="22"/>
          <w:szCs w:val="22"/>
        </w:rPr>
        <w:t>s or manufacturer</w:t>
      </w:r>
      <w:r w:rsidR="003308A5" w:rsidRPr="009C79E5">
        <w:rPr>
          <w:sz w:val="22"/>
          <w:szCs w:val="22"/>
        </w:rPr>
        <w:t>’</w:t>
      </w:r>
      <w:r w:rsidRPr="009C79E5">
        <w:rPr>
          <w:sz w:val="22"/>
          <w:szCs w:val="22"/>
        </w:rPr>
        <w:t>s response to the complaint and the DRO decision to terminate action, the consumer could file a formal complaint that could go to the Commission</w:t>
      </w:r>
      <w:r w:rsidR="003308A5" w:rsidRPr="009C79E5">
        <w:rPr>
          <w:sz w:val="22"/>
          <w:szCs w:val="22"/>
        </w:rPr>
        <w:t>’</w:t>
      </w:r>
      <w:r w:rsidRPr="009C79E5">
        <w:rPr>
          <w:sz w:val="22"/>
          <w:szCs w:val="22"/>
        </w:rPr>
        <w:t>s Enforcement Bureau to determine whether a material and substantial question remained with respect to compliance.</w:t>
      </w:r>
      <w:r w:rsidRPr="008D556C">
        <w:rPr>
          <w:rStyle w:val="FootnoteReference"/>
          <w:sz w:val="22"/>
          <w:szCs w:val="22"/>
        </w:rPr>
        <w:footnoteReference w:id="252"/>
      </w:r>
      <w:r w:rsidRPr="008D556C">
        <w:rPr>
          <w:sz w:val="22"/>
          <w:szCs w:val="22"/>
        </w:rPr>
        <w:t> The Enforcement Bureau could then investigate further to determine compliance and whether any remedial actions and/or sanctions were warranted.</w:t>
      </w:r>
      <w:r w:rsidRPr="008D556C">
        <w:rPr>
          <w:rStyle w:val="FootnoteReference"/>
          <w:sz w:val="22"/>
          <w:szCs w:val="22"/>
        </w:rPr>
        <w:footnoteReference w:id="253"/>
      </w:r>
    </w:p>
    <w:p w:rsidR="00BF0B1C" w:rsidRPr="003511DC" w:rsidRDefault="00BF0B1C" w:rsidP="00476E6F">
      <w:pPr>
        <w:pStyle w:val="ParaNum0"/>
        <w:widowControl/>
        <w:numPr>
          <w:ilvl w:val="0"/>
          <w:numId w:val="0"/>
        </w:numPr>
        <w:suppressAutoHyphens/>
        <w:spacing w:after="0"/>
        <w:rPr>
          <w:szCs w:val="22"/>
        </w:rPr>
      </w:pPr>
    </w:p>
    <w:p w:rsidR="00BF0B1C" w:rsidRPr="008D556C" w:rsidRDefault="00BF0B1C" w:rsidP="00476E6F">
      <w:pPr>
        <w:numPr>
          <w:ilvl w:val="0"/>
          <w:numId w:val="2"/>
        </w:numPr>
        <w:tabs>
          <w:tab w:val="clear" w:pos="720"/>
        </w:tabs>
        <w:ind w:left="0" w:firstLine="720"/>
        <w:rPr>
          <w:sz w:val="22"/>
          <w:szCs w:val="22"/>
        </w:rPr>
      </w:pPr>
      <w:r w:rsidRPr="00BF0859">
        <w:rPr>
          <w:i/>
          <w:sz w:val="22"/>
          <w:szCs w:val="22"/>
        </w:rPr>
        <w:t xml:space="preserve">New accessibility complaint procedures.  </w:t>
      </w:r>
      <w:r w:rsidRPr="00FF1FD9">
        <w:rPr>
          <w:sz w:val="22"/>
          <w:szCs w:val="22"/>
        </w:rPr>
        <w:t>Effective October 8, 2013, the Commission revised the complaint process for handling complaints filed under Sections 255, 716 and 718 of the CVAA,</w:t>
      </w:r>
      <w:r w:rsidRPr="006C02D7">
        <w:rPr>
          <w:sz w:val="22"/>
          <w:szCs w:val="22"/>
        </w:rPr>
        <w:t xml:space="preserve"> pursuant to new rules implementing Section 717(a) of the Act.</w:t>
      </w:r>
      <w:r w:rsidRPr="008D556C">
        <w:rPr>
          <w:rStyle w:val="FootnoteReference"/>
          <w:sz w:val="22"/>
          <w:szCs w:val="22"/>
        </w:rPr>
        <w:footnoteReference w:id="254"/>
      </w:r>
      <w:r w:rsidRPr="008D556C">
        <w:rPr>
          <w:sz w:val="22"/>
          <w:szCs w:val="22"/>
        </w:rPr>
        <w:t xml:space="preserve">  The new rules require that before filing an informal complaint, a consumer must submit a </w:t>
      </w:r>
      <w:r w:rsidR="003308A5" w:rsidRPr="003511DC">
        <w:rPr>
          <w:sz w:val="22"/>
          <w:szCs w:val="22"/>
        </w:rPr>
        <w:t>“</w:t>
      </w:r>
      <w:r w:rsidRPr="00BF0859">
        <w:rPr>
          <w:sz w:val="22"/>
          <w:szCs w:val="22"/>
        </w:rPr>
        <w:t>request for dispute assistance</w:t>
      </w:r>
      <w:r w:rsidR="003308A5" w:rsidRPr="00FF1FD9">
        <w:rPr>
          <w:sz w:val="22"/>
          <w:szCs w:val="22"/>
        </w:rPr>
        <w:t>”</w:t>
      </w:r>
      <w:r w:rsidRPr="006C02D7">
        <w:rPr>
          <w:sz w:val="22"/>
          <w:szCs w:val="22"/>
        </w:rPr>
        <w:t xml:space="preserve"> (RDA) to DRO for help in resolving the consumer</w:t>
      </w:r>
      <w:r w:rsidR="003308A5" w:rsidRPr="009C79E5">
        <w:rPr>
          <w:sz w:val="22"/>
          <w:szCs w:val="22"/>
        </w:rPr>
        <w:t>’</w:t>
      </w:r>
      <w:r w:rsidRPr="009C79E5">
        <w:rPr>
          <w:sz w:val="22"/>
          <w:szCs w:val="22"/>
        </w:rPr>
        <w:t>s accessibility problem with a telecommunications or advanced communications service provider or equipment manufacturer.</w:t>
      </w:r>
      <w:r w:rsidRPr="008D556C">
        <w:rPr>
          <w:rStyle w:val="FootnoteReference"/>
          <w:sz w:val="22"/>
          <w:szCs w:val="22"/>
        </w:rPr>
        <w:footnoteReference w:id="255"/>
      </w:r>
      <w:r w:rsidRPr="008D556C">
        <w:rPr>
          <w:sz w:val="22"/>
          <w:szCs w:val="22"/>
        </w:rPr>
        <w:t xml:space="preserve">  If the two parties do not reach a settlement within 30 days after the filing of an RDA, the parties may agree to extend the time for resolution in 30-day </w:t>
      </w:r>
      <w:r w:rsidRPr="003511DC">
        <w:rPr>
          <w:sz w:val="22"/>
          <w:szCs w:val="22"/>
        </w:rPr>
        <w:t>increments, or the req</w:t>
      </w:r>
      <w:r w:rsidRPr="00BF0859">
        <w:rPr>
          <w:sz w:val="22"/>
          <w:szCs w:val="22"/>
        </w:rPr>
        <w:t>uester may file an informal complaint with the Enforcement Bureau.</w:t>
      </w:r>
      <w:r w:rsidRPr="008D556C">
        <w:rPr>
          <w:rStyle w:val="FootnoteReference"/>
          <w:sz w:val="22"/>
          <w:szCs w:val="22"/>
        </w:rPr>
        <w:footnoteReference w:id="256"/>
      </w:r>
      <w:r w:rsidRPr="008D556C">
        <w:rPr>
          <w:sz w:val="22"/>
          <w:szCs w:val="22"/>
        </w:rPr>
        <w:t xml:space="preserve">  </w:t>
      </w:r>
    </w:p>
    <w:p w:rsidR="00BF0B1C" w:rsidRPr="003511DC" w:rsidRDefault="00BF0B1C" w:rsidP="00476E6F">
      <w:pPr>
        <w:suppressAutoHyphens/>
        <w:rPr>
          <w:sz w:val="22"/>
          <w:szCs w:val="22"/>
        </w:rPr>
      </w:pPr>
    </w:p>
    <w:p w:rsidR="00BF0B1C" w:rsidRPr="008D556C" w:rsidRDefault="00BF0B1C" w:rsidP="00476E6F">
      <w:pPr>
        <w:numPr>
          <w:ilvl w:val="0"/>
          <w:numId w:val="2"/>
        </w:numPr>
        <w:tabs>
          <w:tab w:val="clear" w:pos="720"/>
        </w:tabs>
        <w:ind w:left="0" w:firstLine="720"/>
        <w:rPr>
          <w:sz w:val="22"/>
          <w:szCs w:val="22"/>
        </w:rPr>
      </w:pPr>
      <w:r w:rsidRPr="00BF0859">
        <w:rPr>
          <w:sz w:val="22"/>
          <w:szCs w:val="22"/>
        </w:rPr>
        <w:t>Since October 8, 2013, the Commission</w:t>
      </w:r>
      <w:r w:rsidR="003308A5" w:rsidRPr="00FF1FD9">
        <w:rPr>
          <w:sz w:val="22"/>
          <w:szCs w:val="22"/>
        </w:rPr>
        <w:t>’</w:t>
      </w:r>
      <w:r w:rsidRPr="006C02D7">
        <w:rPr>
          <w:sz w:val="22"/>
          <w:szCs w:val="22"/>
        </w:rPr>
        <w:t>s new complaint rules have established minimum requirements for information that must be contained in an informal complaint.</w:t>
      </w:r>
      <w:r w:rsidRPr="008D556C">
        <w:rPr>
          <w:rStyle w:val="FootnoteReference"/>
          <w:sz w:val="22"/>
          <w:szCs w:val="22"/>
        </w:rPr>
        <w:footnoteReference w:id="257"/>
      </w:r>
      <w:r w:rsidRPr="008D556C">
        <w:rPr>
          <w:sz w:val="22"/>
          <w:szCs w:val="22"/>
        </w:rPr>
        <w:t xml:space="preserve">  These rules further </w:t>
      </w:r>
      <w:r w:rsidRPr="003511DC">
        <w:rPr>
          <w:sz w:val="22"/>
          <w:szCs w:val="22"/>
        </w:rPr>
        <w:t>specify that upon receipt, the Commission must forward an informal complaint to the service provider or equipment manufacturer named in or implicated by the complaint.</w:t>
      </w:r>
      <w:r w:rsidRPr="008D556C">
        <w:rPr>
          <w:rStyle w:val="FootnoteReference"/>
          <w:sz w:val="22"/>
          <w:szCs w:val="22"/>
        </w:rPr>
        <w:footnoteReference w:id="258"/>
      </w:r>
      <w:r w:rsidRPr="008D556C">
        <w:rPr>
          <w:sz w:val="22"/>
          <w:szCs w:val="22"/>
        </w:rPr>
        <w:t xml:space="preserve">  The service provider or manufacturer then must file with the Com</w:t>
      </w:r>
      <w:r w:rsidRPr="003511DC">
        <w:rPr>
          <w:sz w:val="22"/>
          <w:szCs w:val="22"/>
        </w:rPr>
        <w:t>mission and serve an a</w:t>
      </w:r>
      <w:r w:rsidRPr="00BF0859">
        <w:rPr>
          <w:sz w:val="22"/>
          <w:szCs w:val="22"/>
        </w:rPr>
        <w:t>nswer responsive to the complaint and any Commission inquiries, and serve the complainant and the Commission with a non-confidential summary of that answer within 20 days of service of the complaint.</w:t>
      </w:r>
      <w:r w:rsidRPr="008D556C">
        <w:rPr>
          <w:rStyle w:val="FootnoteReference"/>
          <w:sz w:val="22"/>
          <w:szCs w:val="22"/>
        </w:rPr>
        <w:footnoteReference w:id="259"/>
      </w:r>
      <w:r w:rsidRPr="008D556C">
        <w:rPr>
          <w:sz w:val="22"/>
          <w:szCs w:val="22"/>
        </w:rPr>
        <w:t xml:space="preserve">  Within 180 days after receipt of</w:t>
      </w:r>
      <w:r w:rsidRPr="003511DC">
        <w:rPr>
          <w:sz w:val="22"/>
          <w:szCs w:val="22"/>
        </w:rPr>
        <w:t xml:space="preserve"> the complaint, the Co</w:t>
      </w:r>
      <w:r w:rsidRPr="00BF0859">
        <w:rPr>
          <w:sz w:val="22"/>
          <w:szCs w:val="22"/>
        </w:rPr>
        <w:t>mmission must conclude an investigation into the merits of the complaint and issue its order determining whether a violation has occurred.</w:t>
      </w:r>
      <w:r w:rsidRPr="008D556C">
        <w:rPr>
          <w:rStyle w:val="FootnoteReference"/>
          <w:sz w:val="22"/>
          <w:szCs w:val="22"/>
        </w:rPr>
        <w:footnoteReference w:id="260"/>
      </w:r>
      <w:r w:rsidRPr="008D556C">
        <w:rPr>
          <w:sz w:val="22"/>
          <w:szCs w:val="22"/>
        </w:rPr>
        <w:t xml:space="preserve">  It may, in such order, or in a subsequent order, direct the service provider to bring the ser</w:t>
      </w:r>
      <w:r w:rsidRPr="003511DC">
        <w:rPr>
          <w:sz w:val="22"/>
          <w:szCs w:val="22"/>
        </w:rPr>
        <w:t>vice or, in the case o</w:t>
      </w:r>
      <w:r w:rsidRPr="00BF0859">
        <w:rPr>
          <w:sz w:val="22"/>
          <w:szCs w:val="22"/>
        </w:rPr>
        <w:t>f a manufacturer, the next generation of the equipment, into compliance with the requirements of Section 255, 716, or 718 within a reasonable period of time and take other authorized and appropriate enforcement action.</w:t>
      </w:r>
      <w:r w:rsidRPr="008D556C">
        <w:rPr>
          <w:rStyle w:val="FootnoteReference"/>
          <w:sz w:val="22"/>
          <w:szCs w:val="22"/>
        </w:rPr>
        <w:footnoteReference w:id="261"/>
      </w:r>
      <w:r w:rsidRPr="008D556C">
        <w:rPr>
          <w:sz w:val="22"/>
          <w:szCs w:val="22"/>
        </w:rPr>
        <w:t xml:space="preserve"> </w:t>
      </w:r>
    </w:p>
    <w:p w:rsidR="00BF0B1C" w:rsidRPr="003511DC" w:rsidRDefault="00BF0B1C" w:rsidP="00476E6F">
      <w:pPr>
        <w:pStyle w:val="ListParagraph"/>
        <w:spacing w:after="0" w:line="240" w:lineRule="auto"/>
        <w:rPr>
          <w:rFonts w:ascii="Times New Roman" w:hAnsi="Times New Roman"/>
        </w:rPr>
      </w:pPr>
    </w:p>
    <w:p w:rsidR="00BF0B1C" w:rsidRPr="003511DC" w:rsidRDefault="00BF0B1C" w:rsidP="00476E6F">
      <w:pPr>
        <w:numPr>
          <w:ilvl w:val="0"/>
          <w:numId w:val="2"/>
        </w:numPr>
        <w:tabs>
          <w:tab w:val="clear" w:pos="720"/>
        </w:tabs>
        <w:ind w:left="0" w:firstLine="720"/>
        <w:rPr>
          <w:sz w:val="22"/>
          <w:szCs w:val="22"/>
        </w:rPr>
      </w:pPr>
      <w:r w:rsidRPr="003511DC">
        <w:rPr>
          <w:sz w:val="22"/>
          <w:szCs w:val="22"/>
        </w:rPr>
        <w:t>When the Com</w:t>
      </w:r>
      <w:r w:rsidRPr="00BF0859">
        <w:rPr>
          <w:sz w:val="22"/>
          <w:szCs w:val="22"/>
        </w:rPr>
        <w:t>mission established the RDA process, it anticipated that this process would allow for the resolution of consumer accessibility concerns through dialogue and negotiation, thereby reducing the need for informal complaints, and consequent enforcement action.</w:t>
      </w:r>
      <w:r w:rsidRPr="008D556C">
        <w:rPr>
          <w:rStyle w:val="FootnoteReference"/>
          <w:sz w:val="22"/>
          <w:szCs w:val="22"/>
        </w:rPr>
        <w:footnoteReference w:id="262"/>
      </w:r>
      <w:r w:rsidRPr="008D556C">
        <w:rPr>
          <w:sz w:val="22"/>
          <w:szCs w:val="22"/>
        </w:rPr>
        <w:t xml:space="preserve">  We believe that the </w:t>
      </w:r>
      <w:r w:rsidRPr="003511DC">
        <w:rPr>
          <w:sz w:val="22"/>
          <w:szCs w:val="22"/>
        </w:rPr>
        <w:t>new RDA process has succeeded in this respect, and that the new complaint process has further encouraged service providers and equipment manufacturers to comply with the accessibility rules.</w:t>
      </w:r>
    </w:p>
    <w:p w:rsidR="00BF0B1C" w:rsidRPr="00BF0859" w:rsidRDefault="00BF0B1C" w:rsidP="00476E6F">
      <w:pPr>
        <w:pStyle w:val="ParaNum0"/>
        <w:widowControl/>
        <w:numPr>
          <w:ilvl w:val="0"/>
          <w:numId w:val="0"/>
        </w:numPr>
        <w:suppressAutoHyphens/>
        <w:spacing w:after="0"/>
        <w:rPr>
          <w:szCs w:val="22"/>
        </w:rPr>
      </w:pPr>
    </w:p>
    <w:p w:rsidR="00BF0B1C" w:rsidRPr="006C02D7" w:rsidRDefault="00A464F7" w:rsidP="00476E6F">
      <w:pPr>
        <w:pStyle w:val="Heading3A"/>
        <w:tabs>
          <w:tab w:val="clear" w:pos="1807"/>
        </w:tabs>
        <w:suppressAutoHyphens/>
        <w:spacing w:before="0" w:after="0"/>
        <w:ind w:left="720" w:firstLine="720"/>
        <w:rPr>
          <w:rFonts w:ascii="Times New Roman" w:hAnsi="Times New Roman"/>
          <w:b/>
          <w:color w:val="auto"/>
          <w:szCs w:val="22"/>
        </w:rPr>
      </w:pPr>
      <w:r w:rsidRPr="006C02D7">
        <w:rPr>
          <w:rFonts w:ascii="Times New Roman" w:hAnsi="Times New Roman"/>
          <w:b/>
          <w:color w:val="auto"/>
          <w:szCs w:val="22"/>
        </w:rPr>
        <w:t>1</w:t>
      </w:r>
      <w:r w:rsidR="00BF0B1C" w:rsidRPr="006C02D7">
        <w:rPr>
          <w:rFonts w:ascii="Times New Roman" w:hAnsi="Times New Roman"/>
          <w:b/>
          <w:color w:val="auto"/>
          <w:szCs w:val="22"/>
        </w:rPr>
        <w:t>.</w:t>
      </w:r>
      <w:r w:rsidR="00BF0B1C" w:rsidRPr="006C02D7">
        <w:rPr>
          <w:rFonts w:ascii="Times New Roman" w:hAnsi="Times New Roman"/>
          <w:b/>
          <w:color w:val="auto"/>
          <w:szCs w:val="22"/>
        </w:rPr>
        <w:tab/>
        <w:t>Number and Nature of Complaints Received</w:t>
      </w:r>
    </w:p>
    <w:p w:rsidR="00BF0B1C" w:rsidRPr="009C79E5" w:rsidRDefault="00BF0B1C" w:rsidP="00476E6F">
      <w:pPr>
        <w:pStyle w:val="Heading3A"/>
        <w:suppressAutoHyphens/>
        <w:spacing w:before="0" w:after="0"/>
        <w:ind w:left="1447"/>
        <w:rPr>
          <w:rFonts w:ascii="Times New Roman" w:hAnsi="Times New Roman"/>
          <w:color w:val="auto"/>
          <w:szCs w:val="22"/>
        </w:rPr>
      </w:pPr>
    </w:p>
    <w:p w:rsidR="00BF0B1C" w:rsidRPr="009C79E5" w:rsidRDefault="00BF0B1C" w:rsidP="00476E6F">
      <w:pPr>
        <w:numPr>
          <w:ilvl w:val="0"/>
          <w:numId w:val="2"/>
        </w:numPr>
        <w:tabs>
          <w:tab w:val="clear" w:pos="720"/>
        </w:tabs>
        <w:ind w:left="0" w:firstLine="720"/>
        <w:rPr>
          <w:sz w:val="22"/>
          <w:szCs w:val="22"/>
        </w:rPr>
      </w:pPr>
      <w:r w:rsidRPr="009C79E5">
        <w:rPr>
          <w:sz w:val="22"/>
          <w:szCs w:val="22"/>
        </w:rPr>
        <w:t>From January 1, 2012, to October 7, 2013, consumers filed 85 informal complaints with the Commission, alleging violations of Section 255 of the Act or its implementing regulations.</w:t>
      </w:r>
      <w:r w:rsidRPr="008D556C">
        <w:rPr>
          <w:rStyle w:val="FootnoteReference"/>
          <w:sz w:val="22"/>
          <w:szCs w:val="22"/>
        </w:rPr>
        <w:footnoteReference w:id="263"/>
      </w:r>
      <w:r w:rsidRPr="008D556C">
        <w:rPr>
          <w:sz w:val="22"/>
          <w:szCs w:val="22"/>
        </w:rPr>
        <w:t xml:space="preserve">  Of these complaints, approximately 34% alleged violations by equipment</w:t>
      </w:r>
      <w:r w:rsidRPr="003511DC">
        <w:rPr>
          <w:sz w:val="22"/>
          <w:szCs w:val="22"/>
        </w:rPr>
        <w:t xml:space="preserve"> manufacturers and 54%</w:t>
      </w:r>
      <w:r w:rsidRPr="00BF0859">
        <w:rPr>
          <w:sz w:val="22"/>
          <w:szCs w:val="22"/>
        </w:rPr>
        <w:t xml:space="preserve"> alleged violations by service providers, with the remaining 12% alleging both service and equipment violations.  In addition, between October 8, 2013 and December 31, 2013, consumers filed seven RDAs with DRO under the new complaint </w:t>
      </w:r>
      <w:r w:rsidRPr="006C02D7">
        <w:rPr>
          <w:sz w:val="22"/>
          <w:szCs w:val="22"/>
        </w:rPr>
        <w:t>procedures, all of which concerned Section 255 of the Act or its implementing regulations.</w:t>
      </w:r>
      <w:r w:rsidRPr="008D556C">
        <w:rPr>
          <w:rStyle w:val="FootnoteReference"/>
          <w:sz w:val="22"/>
          <w:szCs w:val="22"/>
        </w:rPr>
        <w:footnoteReference w:id="264"/>
      </w:r>
      <w:r w:rsidRPr="008D556C">
        <w:rPr>
          <w:sz w:val="22"/>
          <w:szCs w:val="22"/>
        </w:rPr>
        <w:t xml:space="preserve">  During that three-month period, no RDAs were filed alleging violations of Sections 716 or 718 of the Act, and no informal complaints were filed alleging violations</w:t>
      </w:r>
      <w:r w:rsidRPr="003511DC">
        <w:rPr>
          <w:sz w:val="22"/>
          <w:szCs w:val="22"/>
        </w:rPr>
        <w:t xml:space="preserve"> of Sections 255, 716,</w:t>
      </w:r>
      <w:r w:rsidRPr="00BF0859">
        <w:rPr>
          <w:sz w:val="22"/>
          <w:szCs w:val="22"/>
        </w:rPr>
        <w:t xml:space="preserve"> or 718.  Of the seven RDAs that were filed, approximately 86% alleged violations by service providers and 14% alleged violations by both equipment manufacturers and service providers.  For the entire two-year period covered by this </w:t>
      </w:r>
      <w:r w:rsidRPr="006C02D7">
        <w:rPr>
          <w:i/>
          <w:sz w:val="22"/>
          <w:szCs w:val="22"/>
        </w:rPr>
        <w:t>Report</w:t>
      </w:r>
      <w:r w:rsidRPr="006C02D7">
        <w:rPr>
          <w:sz w:val="22"/>
          <w:szCs w:val="22"/>
        </w:rPr>
        <w:t>, a total of 92 informal complaints and RDAs were filed, all of which alleged accessibility violations under Section 255.  An aggregate of approximately 31.5% alleged violations by equipment manufacturers and 56.5% alleged violations by service provid</w:t>
      </w:r>
      <w:r w:rsidRPr="009C79E5">
        <w:rPr>
          <w:sz w:val="22"/>
          <w:szCs w:val="22"/>
        </w:rPr>
        <w:t xml:space="preserve">ers, with the remaining 12% alleging both service and equipment violations.  </w:t>
      </w:r>
    </w:p>
    <w:p w:rsidR="00BF0B1C" w:rsidRPr="009C79E5" w:rsidRDefault="00BF0B1C" w:rsidP="00476E6F">
      <w:pPr>
        <w:pStyle w:val="ListParagraph"/>
        <w:spacing w:after="0" w:line="240" w:lineRule="auto"/>
        <w:ind w:left="0"/>
        <w:rPr>
          <w:rFonts w:ascii="Times New Roman" w:hAnsi="Times New Roman"/>
        </w:rPr>
      </w:pPr>
    </w:p>
    <w:p w:rsidR="00BF0B1C" w:rsidRPr="006C02D7" w:rsidRDefault="00BF0B1C" w:rsidP="00476E6F">
      <w:pPr>
        <w:numPr>
          <w:ilvl w:val="0"/>
          <w:numId w:val="2"/>
        </w:numPr>
        <w:tabs>
          <w:tab w:val="clear" w:pos="720"/>
        </w:tabs>
        <w:ind w:left="0" w:firstLine="720"/>
        <w:rPr>
          <w:sz w:val="22"/>
          <w:szCs w:val="22"/>
        </w:rPr>
      </w:pPr>
      <w:r w:rsidRPr="008D556C">
        <w:rPr>
          <w:sz w:val="22"/>
          <w:szCs w:val="22"/>
        </w:rPr>
        <w:t>Equipment-related complaints and RDAs raised a wide range of accessibility issues by consumers with disabilities.  Many consumers complained of handsets that lacked text-to-spee</w:t>
      </w:r>
      <w:r w:rsidRPr="003511DC">
        <w:rPr>
          <w:sz w:val="22"/>
          <w:szCs w:val="22"/>
        </w:rPr>
        <w:t>ch functionality, or that had keyboards that were hard to read or buttons that were too small to use.  Others complained of handsets that were not compatible with their hearing aids or that had poor sound quality.  Approximately 15% of all informal complai</w:t>
      </w:r>
      <w:r w:rsidRPr="00BF0859">
        <w:rPr>
          <w:sz w:val="22"/>
          <w:szCs w:val="22"/>
        </w:rPr>
        <w:t>nts and RDAs received during the reporting period involved complaints about inaccessible wireless handsets received in conjunction with subscriptions for telephone services under the Commission</w:t>
      </w:r>
      <w:r w:rsidR="003308A5" w:rsidRPr="006C02D7">
        <w:rPr>
          <w:sz w:val="22"/>
          <w:szCs w:val="22"/>
        </w:rPr>
        <w:t>’</w:t>
      </w:r>
      <w:r w:rsidRPr="006C02D7">
        <w:rPr>
          <w:sz w:val="22"/>
          <w:szCs w:val="22"/>
        </w:rPr>
        <w:t xml:space="preserve">s Lifeline program.  </w:t>
      </w:r>
    </w:p>
    <w:p w:rsidR="00BF0B1C" w:rsidRPr="009C79E5" w:rsidRDefault="00BF0B1C" w:rsidP="00476E6F">
      <w:pPr>
        <w:pStyle w:val="ParaNum0"/>
        <w:widowControl/>
        <w:numPr>
          <w:ilvl w:val="0"/>
          <w:numId w:val="0"/>
        </w:numPr>
        <w:tabs>
          <w:tab w:val="left" w:pos="1440"/>
        </w:tabs>
        <w:suppressAutoHyphens/>
        <w:spacing w:after="0"/>
        <w:rPr>
          <w:szCs w:val="22"/>
        </w:rPr>
      </w:pPr>
    </w:p>
    <w:p w:rsidR="00BF0B1C" w:rsidRPr="008D556C" w:rsidRDefault="00BF0B1C" w:rsidP="00476E6F">
      <w:pPr>
        <w:numPr>
          <w:ilvl w:val="0"/>
          <w:numId w:val="2"/>
        </w:numPr>
        <w:tabs>
          <w:tab w:val="clear" w:pos="720"/>
        </w:tabs>
        <w:ind w:left="0" w:firstLine="720"/>
        <w:rPr>
          <w:sz w:val="22"/>
          <w:szCs w:val="22"/>
        </w:rPr>
      </w:pPr>
      <w:r w:rsidRPr="009C79E5">
        <w:rPr>
          <w:sz w:val="22"/>
          <w:szCs w:val="22"/>
        </w:rPr>
        <w:t>Complaints and RDAs involving service providers predominantly focused on their failure to provide instructions or billing in an accessible format, accessible contact information or directory assistance, and accessible customer service.  More specifically, approximately 12% of all informal complaints and RDAs alleged an inability to access billing information.  Most of these were from consumers who were blind or visually impaired, who expressed long-standing frustrations with acquiring access to their accounts.  Some of the consumers were facing imminent service cut-offs at the time they filed their complaint or RDA, due to an inability to access their billing information.  An additional 11% of informal complaints and RDAs came from consumers who, because they are blind or visually impaired, sought free access to a phone company</w:t>
      </w:r>
      <w:r w:rsidR="003308A5" w:rsidRPr="009C79E5">
        <w:rPr>
          <w:sz w:val="22"/>
          <w:szCs w:val="22"/>
        </w:rPr>
        <w:t>’</w:t>
      </w:r>
      <w:r w:rsidRPr="009C79E5">
        <w:rPr>
          <w:sz w:val="22"/>
          <w:szCs w:val="22"/>
        </w:rPr>
        <w:t>s 411 directory assistance services because they could not access free text-based telephone directory information.  Another 6% of the informal complaints and RDAs were from consumers who are deaf or hard of hearing, who alleged that certain communication service providers refused to accept calls made through TRS, a TTY, or to otherwise communicate by text.</w:t>
      </w:r>
      <w:r w:rsidRPr="008D556C">
        <w:rPr>
          <w:rStyle w:val="FootnoteReference"/>
          <w:sz w:val="22"/>
          <w:szCs w:val="22"/>
        </w:rPr>
        <w:footnoteReference w:id="265"/>
      </w:r>
      <w:r w:rsidRPr="008D556C">
        <w:rPr>
          <w:sz w:val="22"/>
          <w:szCs w:val="22"/>
        </w:rPr>
        <w:t xml:space="preserve">  </w:t>
      </w:r>
    </w:p>
    <w:p w:rsidR="00BF0B1C" w:rsidRPr="003511DC" w:rsidRDefault="00BF0B1C" w:rsidP="00476E6F">
      <w:pPr>
        <w:suppressAutoHyphens/>
        <w:rPr>
          <w:sz w:val="22"/>
          <w:szCs w:val="22"/>
        </w:rPr>
      </w:pPr>
    </w:p>
    <w:p w:rsidR="00BF0B1C" w:rsidRPr="00FF1FD9" w:rsidRDefault="00A464F7" w:rsidP="00476E6F">
      <w:pPr>
        <w:pStyle w:val="Heading3A"/>
        <w:tabs>
          <w:tab w:val="clear" w:pos="1807"/>
        </w:tabs>
        <w:suppressAutoHyphens/>
        <w:spacing w:before="0" w:after="0"/>
        <w:ind w:left="720" w:firstLine="720"/>
        <w:rPr>
          <w:rFonts w:ascii="Times New Roman" w:hAnsi="Times New Roman"/>
          <w:b/>
          <w:color w:val="auto"/>
          <w:szCs w:val="22"/>
        </w:rPr>
      </w:pPr>
      <w:r w:rsidRPr="00BF0859">
        <w:rPr>
          <w:rFonts w:ascii="Times New Roman" w:hAnsi="Times New Roman"/>
          <w:b/>
          <w:color w:val="auto"/>
          <w:szCs w:val="22"/>
        </w:rPr>
        <w:t>2</w:t>
      </w:r>
      <w:r w:rsidR="00BF0B1C" w:rsidRPr="00FF1FD9">
        <w:rPr>
          <w:rFonts w:ascii="Times New Roman" w:hAnsi="Times New Roman"/>
          <w:b/>
          <w:color w:val="auto"/>
          <w:szCs w:val="22"/>
        </w:rPr>
        <w:t>.</w:t>
      </w:r>
      <w:r w:rsidR="00BF0B1C" w:rsidRPr="00FF1FD9">
        <w:rPr>
          <w:rFonts w:ascii="Times New Roman" w:hAnsi="Times New Roman"/>
          <w:b/>
          <w:color w:val="auto"/>
          <w:szCs w:val="22"/>
        </w:rPr>
        <w:tab/>
        <w:t xml:space="preserve">Actions Taken to Resolve Accessibility Complaints </w:t>
      </w:r>
    </w:p>
    <w:p w:rsidR="00BF0B1C" w:rsidRPr="006C02D7" w:rsidRDefault="00BF0B1C" w:rsidP="00476E6F">
      <w:pPr>
        <w:pStyle w:val="Heading3A"/>
        <w:suppressAutoHyphens/>
        <w:spacing w:before="0" w:after="0"/>
        <w:ind w:left="1447"/>
        <w:rPr>
          <w:rFonts w:ascii="Times New Roman" w:hAnsi="Times New Roman"/>
          <w:color w:val="auto"/>
          <w:szCs w:val="22"/>
        </w:rPr>
      </w:pPr>
    </w:p>
    <w:p w:rsidR="00BF0B1C" w:rsidRPr="009C79E5" w:rsidRDefault="00BF0B1C" w:rsidP="00476E6F">
      <w:pPr>
        <w:numPr>
          <w:ilvl w:val="0"/>
          <w:numId w:val="2"/>
        </w:numPr>
        <w:tabs>
          <w:tab w:val="clear" w:pos="720"/>
        </w:tabs>
        <w:ind w:left="0" w:firstLine="720"/>
        <w:rPr>
          <w:sz w:val="22"/>
          <w:szCs w:val="22"/>
        </w:rPr>
      </w:pPr>
      <w:r w:rsidRPr="009C79E5">
        <w:rPr>
          <w:i/>
          <w:sz w:val="22"/>
          <w:szCs w:val="22"/>
        </w:rPr>
        <w:t>Complaints filed under prior accessibility complaint procedures.</w:t>
      </w:r>
      <w:r w:rsidRPr="009C79E5">
        <w:rPr>
          <w:sz w:val="22"/>
          <w:szCs w:val="22"/>
        </w:rPr>
        <w:t xml:space="preserve">  For each informal complaint filed with the Commission between January 1, 2012, and October 8, 2013, DRO forwarded the complaint to, and served an NOIC on, the service provider and/or equipment manufacturer alleged to have violated Commission rules.  In most cases, equipment manufacturers and service providers attempted to work with consumers to resolve their particular needs.  Accessibility complaints were often addressed by providing the requested equipment, identifying equipment that was available as an upgrade, or informing consumers of new models with accessibility features that would be issued in the future.  For example, DRO was generally successful in securing accessible equipment for complainants seeking accessible phones from providers in the Lifeline program because these providers typically could identify higher cost handsets with accessible features, which they provided to complainants at no additional cost.  Service providers also accommodated consumers who needed accessible formats for billing, equipment instructions, and directory assistance.  DRO intervention also prevented service disruption for several complainants who had been unable to pay their bills due to inaccessible formats.  </w:t>
      </w:r>
    </w:p>
    <w:p w:rsidR="00BF0B1C" w:rsidRPr="009C79E5" w:rsidRDefault="00BF0B1C" w:rsidP="00476E6F">
      <w:pPr>
        <w:suppressAutoHyphens/>
        <w:ind w:left="720"/>
        <w:rPr>
          <w:sz w:val="22"/>
          <w:szCs w:val="22"/>
        </w:rPr>
      </w:pPr>
    </w:p>
    <w:p w:rsidR="00BF0B1C" w:rsidRPr="009C79E5" w:rsidRDefault="00BF0B1C" w:rsidP="00476E6F">
      <w:pPr>
        <w:numPr>
          <w:ilvl w:val="0"/>
          <w:numId w:val="2"/>
        </w:numPr>
        <w:tabs>
          <w:tab w:val="clear" w:pos="720"/>
        </w:tabs>
        <w:ind w:left="0" w:firstLine="720"/>
        <w:rPr>
          <w:sz w:val="22"/>
          <w:szCs w:val="22"/>
        </w:rPr>
      </w:pPr>
      <w:r w:rsidRPr="009C79E5">
        <w:rPr>
          <w:sz w:val="22"/>
          <w:szCs w:val="22"/>
        </w:rPr>
        <w:t>In a majority of cases, as a result of DRO</w:t>
      </w:r>
      <w:r w:rsidR="003308A5" w:rsidRPr="009C79E5">
        <w:rPr>
          <w:sz w:val="22"/>
          <w:szCs w:val="22"/>
        </w:rPr>
        <w:t>’</w:t>
      </w:r>
      <w:r w:rsidRPr="009C79E5">
        <w:rPr>
          <w:sz w:val="22"/>
          <w:szCs w:val="22"/>
        </w:rPr>
        <w:t>s actions, complaints about accessibility and usability problems were resolved promptly and to the satisfaction of the consumer.  For all but three of the 85 informal complaints filed during the reporting period (</w:t>
      </w:r>
      <w:r w:rsidRPr="009C79E5">
        <w:rPr>
          <w:i/>
          <w:sz w:val="22"/>
          <w:szCs w:val="22"/>
        </w:rPr>
        <w:t>i.e</w:t>
      </w:r>
      <w:r w:rsidRPr="009C79E5">
        <w:rPr>
          <w:sz w:val="22"/>
          <w:szCs w:val="22"/>
        </w:rPr>
        <w:t>., in 96% of these cases), DRO verified the consumer</w:t>
      </w:r>
      <w:r w:rsidR="003308A5" w:rsidRPr="009C79E5">
        <w:rPr>
          <w:sz w:val="22"/>
          <w:szCs w:val="22"/>
        </w:rPr>
        <w:t>’</w:t>
      </w:r>
      <w:r w:rsidRPr="009C79E5">
        <w:rPr>
          <w:sz w:val="22"/>
          <w:szCs w:val="22"/>
        </w:rPr>
        <w:t>s satisfaction with the resolution or determined that no further action was required or possible, and sent the consumer a close-out letter during the reporting period.  One of the remaining complaints was resolved after the reporting period closed.  DRO is making best efforts to facilitate resolution of the two complaints that are still pending</w:t>
      </w:r>
    </w:p>
    <w:p w:rsidR="00BF0B1C" w:rsidRPr="009C79E5" w:rsidRDefault="00BF0B1C" w:rsidP="00476E6F">
      <w:pPr>
        <w:pStyle w:val="ParaNum0"/>
        <w:widowControl/>
        <w:numPr>
          <w:ilvl w:val="0"/>
          <w:numId w:val="0"/>
        </w:numPr>
        <w:suppressAutoHyphens/>
        <w:spacing w:after="0"/>
        <w:rPr>
          <w:szCs w:val="22"/>
        </w:rPr>
      </w:pPr>
      <w:r w:rsidRPr="009C79E5">
        <w:rPr>
          <w:szCs w:val="22"/>
        </w:rPr>
        <w:t xml:space="preserve"> </w:t>
      </w:r>
    </w:p>
    <w:p w:rsidR="00BF0B1C" w:rsidRPr="00BF0859" w:rsidRDefault="00BF0B1C" w:rsidP="00476E6F">
      <w:pPr>
        <w:numPr>
          <w:ilvl w:val="0"/>
          <w:numId w:val="2"/>
        </w:numPr>
        <w:tabs>
          <w:tab w:val="clear" w:pos="720"/>
        </w:tabs>
        <w:ind w:left="0" w:firstLine="720"/>
        <w:rPr>
          <w:sz w:val="22"/>
          <w:szCs w:val="22"/>
        </w:rPr>
      </w:pPr>
      <w:r w:rsidRPr="009C79E5">
        <w:rPr>
          <w:i/>
          <w:sz w:val="22"/>
          <w:szCs w:val="22"/>
        </w:rPr>
        <w:t>New accessibility complaint procedures.</w:t>
      </w:r>
      <w:r w:rsidRPr="009C79E5">
        <w:rPr>
          <w:b/>
          <w:i/>
          <w:sz w:val="22"/>
          <w:szCs w:val="22"/>
        </w:rPr>
        <w:t xml:space="preserve">  </w:t>
      </w:r>
      <w:r w:rsidRPr="009C79E5">
        <w:rPr>
          <w:sz w:val="22"/>
          <w:szCs w:val="22"/>
        </w:rPr>
        <w:t>For six of the seven RDAs filed under the new complaint procedures, DRO contacted the consumer and the manufacturer or service provider in an attempt to resolve the accessibility or usability problem.  DRO dismissed one RDA because it was unable to obtain a response from the consumer to obtain additional information about the accessibility problem or to facilitate resolution.  DRO was able to facilitate a resolution for each of the remaining six RDAs, and none were escalated to an informal complaint for investigation by the Enforcement Bureau.</w:t>
      </w:r>
      <w:r w:rsidRPr="008D556C">
        <w:rPr>
          <w:rStyle w:val="FootnoteReference"/>
          <w:sz w:val="22"/>
          <w:szCs w:val="22"/>
        </w:rPr>
        <w:footnoteReference w:id="266"/>
      </w:r>
      <w:r w:rsidRPr="008D556C">
        <w:rPr>
          <w:sz w:val="22"/>
          <w:szCs w:val="22"/>
        </w:rPr>
        <w:t xml:space="preserve">  Based on this experience, it appears that there is general consumer satisfactio</w:t>
      </w:r>
      <w:r w:rsidRPr="003511DC">
        <w:rPr>
          <w:sz w:val="22"/>
          <w:szCs w:val="22"/>
        </w:rPr>
        <w:t>n with the new dispute</w:t>
      </w:r>
      <w:r w:rsidRPr="00BF0859">
        <w:rPr>
          <w:sz w:val="22"/>
          <w:szCs w:val="22"/>
        </w:rPr>
        <w:t xml:space="preserve"> assistance and complaint process.  </w:t>
      </w:r>
    </w:p>
    <w:p w:rsidR="00BF0B1C" w:rsidRPr="006C02D7" w:rsidRDefault="00BF0B1C" w:rsidP="00476E6F">
      <w:pPr>
        <w:suppressAutoHyphens/>
        <w:rPr>
          <w:sz w:val="22"/>
          <w:szCs w:val="22"/>
        </w:rPr>
      </w:pPr>
    </w:p>
    <w:p w:rsidR="00BF0B1C" w:rsidRPr="009C79E5" w:rsidRDefault="00BF0B1C" w:rsidP="00476E6F">
      <w:pPr>
        <w:numPr>
          <w:ilvl w:val="0"/>
          <w:numId w:val="2"/>
        </w:numPr>
        <w:tabs>
          <w:tab w:val="clear" w:pos="720"/>
        </w:tabs>
        <w:ind w:left="0" w:firstLine="720"/>
        <w:rPr>
          <w:sz w:val="22"/>
          <w:szCs w:val="22"/>
        </w:rPr>
      </w:pPr>
      <w:r w:rsidRPr="009C79E5">
        <w:rPr>
          <w:sz w:val="22"/>
          <w:szCs w:val="22"/>
        </w:rPr>
        <w:t xml:space="preserve">The Commission did not assess any forfeiture penalties for accessibility-related violations during the period covered by this </w:t>
      </w:r>
      <w:r w:rsidRPr="009C79E5">
        <w:rPr>
          <w:i/>
          <w:sz w:val="22"/>
          <w:szCs w:val="22"/>
        </w:rPr>
        <w:t>Report</w:t>
      </w:r>
      <w:r w:rsidRPr="009C79E5">
        <w:rPr>
          <w:sz w:val="22"/>
          <w:szCs w:val="22"/>
        </w:rPr>
        <w:t>.</w:t>
      </w:r>
    </w:p>
    <w:p w:rsidR="00BF0B1C" w:rsidRPr="009C79E5" w:rsidRDefault="00BF0B1C" w:rsidP="00476E6F">
      <w:pPr>
        <w:pStyle w:val="ParaNum0"/>
        <w:widowControl/>
        <w:numPr>
          <w:ilvl w:val="0"/>
          <w:numId w:val="0"/>
        </w:numPr>
        <w:suppressAutoHyphens/>
        <w:spacing w:after="0"/>
        <w:rPr>
          <w:szCs w:val="22"/>
        </w:rPr>
      </w:pPr>
    </w:p>
    <w:p w:rsidR="00BF0B1C" w:rsidRPr="009C79E5" w:rsidRDefault="00A464F7" w:rsidP="00476E6F">
      <w:pPr>
        <w:pStyle w:val="Heading3A"/>
        <w:tabs>
          <w:tab w:val="clear" w:pos="1807"/>
        </w:tabs>
        <w:suppressAutoHyphens/>
        <w:spacing w:before="0" w:after="0"/>
        <w:ind w:left="720" w:firstLine="720"/>
        <w:rPr>
          <w:rFonts w:ascii="Times New Roman" w:hAnsi="Times New Roman"/>
          <w:b/>
          <w:color w:val="auto"/>
          <w:szCs w:val="22"/>
        </w:rPr>
      </w:pPr>
      <w:r w:rsidRPr="009C79E5">
        <w:rPr>
          <w:rFonts w:ascii="Times New Roman" w:hAnsi="Times New Roman"/>
          <w:b/>
          <w:color w:val="auto"/>
          <w:szCs w:val="22"/>
        </w:rPr>
        <w:t>3</w:t>
      </w:r>
      <w:r w:rsidR="00BF0B1C" w:rsidRPr="009C79E5">
        <w:rPr>
          <w:rFonts w:ascii="Times New Roman" w:hAnsi="Times New Roman"/>
          <w:b/>
          <w:color w:val="auto"/>
          <w:szCs w:val="22"/>
        </w:rPr>
        <w:t>.</w:t>
      </w:r>
      <w:r w:rsidR="00BF0B1C" w:rsidRPr="009C79E5">
        <w:rPr>
          <w:rFonts w:ascii="Times New Roman" w:hAnsi="Times New Roman"/>
          <w:b/>
          <w:color w:val="auto"/>
          <w:szCs w:val="22"/>
        </w:rPr>
        <w:tab/>
        <w:t>Time Used to Resolve Accessibility Complaints</w:t>
      </w:r>
    </w:p>
    <w:p w:rsidR="00BF0B1C" w:rsidRPr="009C79E5" w:rsidRDefault="00BF0B1C" w:rsidP="00476E6F">
      <w:pPr>
        <w:pStyle w:val="Heading3A"/>
        <w:suppressAutoHyphens/>
        <w:spacing w:before="0" w:after="0"/>
        <w:ind w:left="1447"/>
        <w:rPr>
          <w:rFonts w:ascii="Times New Roman" w:hAnsi="Times New Roman"/>
          <w:color w:val="auto"/>
          <w:szCs w:val="22"/>
        </w:rPr>
      </w:pPr>
    </w:p>
    <w:p w:rsidR="00BF0B1C" w:rsidRPr="009C79E5" w:rsidRDefault="00BF0B1C" w:rsidP="00476E6F">
      <w:pPr>
        <w:numPr>
          <w:ilvl w:val="0"/>
          <w:numId w:val="2"/>
        </w:numPr>
        <w:tabs>
          <w:tab w:val="clear" w:pos="720"/>
        </w:tabs>
        <w:ind w:left="0" w:firstLine="720"/>
        <w:rPr>
          <w:sz w:val="22"/>
          <w:szCs w:val="22"/>
        </w:rPr>
      </w:pPr>
      <w:r w:rsidRPr="009C79E5">
        <w:rPr>
          <w:i/>
          <w:sz w:val="22"/>
          <w:szCs w:val="22"/>
        </w:rPr>
        <w:t>Complaints filed under prior accessibility complaint procedures.</w:t>
      </w:r>
      <w:r w:rsidRPr="009C79E5">
        <w:rPr>
          <w:sz w:val="22"/>
          <w:szCs w:val="22"/>
        </w:rPr>
        <w:t xml:space="preserve">  Under the prior complaint procedures, there was no prescribed time frame for resolving informal complaints alleging violations of Section 255.  Of the 82 informal complaints that were received and closed by DRO during the reporting period, 51 complaints, or approximately 62%, were closed within 90 days.  Another 26 complaints, or approximately 32%, were closed between 90 and180 days.  Five complaints, or about 6%, were closed between 180 days and one year.  In other words, all 82 informal complaints that were received and closed by DRO during the reporting period were resolved within one year.</w:t>
      </w:r>
    </w:p>
    <w:p w:rsidR="00BF0B1C" w:rsidRPr="009C79E5" w:rsidRDefault="00BF0B1C" w:rsidP="00476E6F">
      <w:pPr>
        <w:suppressAutoHyphens/>
        <w:ind w:left="720"/>
        <w:rPr>
          <w:sz w:val="22"/>
          <w:szCs w:val="22"/>
        </w:rPr>
      </w:pPr>
    </w:p>
    <w:p w:rsidR="00BF0B1C" w:rsidRPr="009C79E5" w:rsidRDefault="00BF0B1C" w:rsidP="00476E6F">
      <w:pPr>
        <w:numPr>
          <w:ilvl w:val="0"/>
          <w:numId w:val="2"/>
        </w:numPr>
        <w:tabs>
          <w:tab w:val="clear" w:pos="720"/>
        </w:tabs>
        <w:ind w:left="0" w:firstLine="720"/>
        <w:rPr>
          <w:sz w:val="22"/>
          <w:szCs w:val="22"/>
        </w:rPr>
      </w:pPr>
      <w:r w:rsidRPr="009C79E5">
        <w:rPr>
          <w:i/>
          <w:sz w:val="22"/>
          <w:szCs w:val="22"/>
        </w:rPr>
        <w:t xml:space="preserve">New accessibility complaint procedures.  </w:t>
      </w:r>
      <w:r w:rsidRPr="009C79E5">
        <w:rPr>
          <w:sz w:val="22"/>
          <w:szCs w:val="22"/>
        </w:rPr>
        <w:t>Under the new complaint procedures, a consumer must submit an RDA and allow DRO 30 days to facilitate resolution of the accessibility problem, before the consumer may file an informal complaint with the Enforcement Bureau.  The time period for resolution may be extended in 30-day increments.  Of the seven RDAs that were filed during the reporting period, one was dismissed at the end of 60 days because DRO was unable to obtain a response from the consumer.  DRO facilitated resolution of four of the remaining RDAs within 30 days of receipt and one within 60 days of receipt.  DRO resolved the final RDA after the reporting period ended, but within 180 days of receipt.  None of the RDAs filed were escalated to an informal complaint for investigation by the Enforcement Bureau.</w:t>
      </w:r>
    </w:p>
    <w:p w:rsidR="00BF0B1C" w:rsidRPr="009C79E5" w:rsidRDefault="00BF0B1C" w:rsidP="00476E6F">
      <w:pPr>
        <w:suppressAutoHyphens/>
        <w:rPr>
          <w:sz w:val="22"/>
          <w:szCs w:val="22"/>
        </w:rPr>
      </w:pPr>
    </w:p>
    <w:p w:rsidR="00BF0B1C" w:rsidRPr="009C79E5" w:rsidRDefault="00A464F7" w:rsidP="00476E6F">
      <w:pPr>
        <w:pStyle w:val="Heading3A"/>
        <w:tabs>
          <w:tab w:val="clear" w:pos="1807"/>
        </w:tabs>
        <w:suppressAutoHyphens/>
        <w:spacing w:before="0" w:after="0"/>
        <w:ind w:left="720" w:firstLine="720"/>
        <w:rPr>
          <w:rFonts w:ascii="Times New Roman" w:hAnsi="Times New Roman"/>
          <w:b/>
          <w:color w:val="auto"/>
          <w:szCs w:val="22"/>
        </w:rPr>
      </w:pPr>
      <w:r w:rsidRPr="009C79E5">
        <w:rPr>
          <w:rFonts w:ascii="Times New Roman" w:hAnsi="Times New Roman"/>
          <w:b/>
          <w:color w:val="auto"/>
          <w:szCs w:val="22"/>
        </w:rPr>
        <w:t>4</w:t>
      </w:r>
      <w:r w:rsidR="00BF0B1C" w:rsidRPr="009C79E5">
        <w:rPr>
          <w:rFonts w:ascii="Times New Roman" w:hAnsi="Times New Roman"/>
          <w:b/>
          <w:color w:val="auto"/>
          <w:szCs w:val="22"/>
        </w:rPr>
        <w:t>.</w:t>
      </w:r>
      <w:r w:rsidR="00BF0B1C" w:rsidRPr="009C79E5">
        <w:rPr>
          <w:rFonts w:ascii="Times New Roman" w:hAnsi="Times New Roman"/>
          <w:b/>
          <w:color w:val="auto"/>
          <w:szCs w:val="22"/>
        </w:rPr>
        <w:tab/>
        <w:t>Actions for Mandamus and Appeals Filed</w:t>
      </w:r>
    </w:p>
    <w:p w:rsidR="00BF0B1C" w:rsidRPr="009C79E5" w:rsidRDefault="00BF0B1C" w:rsidP="00476E6F">
      <w:pPr>
        <w:pStyle w:val="Heading3A"/>
        <w:suppressAutoHyphens/>
        <w:spacing w:before="0" w:after="0"/>
        <w:ind w:left="1447"/>
        <w:rPr>
          <w:rFonts w:ascii="Times New Roman" w:hAnsi="Times New Roman"/>
          <w:color w:val="auto"/>
          <w:szCs w:val="22"/>
        </w:rPr>
      </w:pPr>
    </w:p>
    <w:p w:rsidR="00BF0B1C" w:rsidRPr="009C79E5" w:rsidRDefault="00BF0B1C" w:rsidP="00476E6F">
      <w:pPr>
        <w:numPr>
          <w:ilvl w:val="0"/>
          <w:numId w:val="2"/>
        </w:numPr>
        <w:tabs>
          <w:tab w:val="clear" w:pos="720"/>
        </w:tabs>
        <w:ind w:left="0" w:firstLine="720"/>
        <w:rPr>
          <w:sz w:val="22"/>
          <w:szCs w:val="22"/>
        </w:rPr>
      </w:pPr>
      <w:r w:rsidRPr="009C79E5">
        <w:rPr>
          <w:sz w:val="22"/>
          <w:szCs w:val="22"/>
        </w:rPr>
        <w:t xml:space="preserve">There were no actions for mandamus or appeals filed with respect to complaints during the period covered by this </w:t>
      </w:r>
      <w:r w:rsidRPr="009C79E5">
        <w:rPr>
          <w:i/>
          <w:sz w:val="22"/>
          <w:szCs w:val="22"/>
        </w:rPr>
        <w:t>Report</w:t>
      </w:r>
      <w:r w:rsidRPr="009C79E5">
        <w:rPr>
          <w:sz w:val="22"/>
          <w:szCs w:val="22"/>
        </w:rPr>
        <w:t xml:space="preserve">.  </w:t>
      </w:r>
    </w:p>
    <w:p w:rsidR="00150E80" w:rsidRPr="009C79E5" w:rsidRDefault="00150E80" w:rsidP="00476E6F">
      <w:pPr>
        <w:suppressAutoHyphens/>
        <w:rPr>
          <w:sz w:val="22"/>
          <w:szCs w:val="22"/>
        </w:rPr>
      </w:pPr>
    </w:p>
    <w:p w:rsidR="00BF0B1C" w:rsidRPr="009C79E5" w:rsidRDefault="00D803D3" w:rsidP="00476E6F">
      <w:pPr>
        <w:suppressAutoHyphens/>
        <w:ind w:left="1440" w:hanging="720"/>
        <w:rPr>
          <w:b/>
          <w:sz w:val="22"/>
          <w:szCs w:val="22"/>
        </w:rPr>
      </w:pPr>
      <w:r w:rsidRPr="009C79E5">
        <w:rPr>
          <w:b/>
          <w:sz w:val="22"/>
          <w:szCs w:val="22"/>
        </w:rPr>
        <w:t>E.</w:t>
      </w:r>
      <w:r w:rsidR="00A464F7" w:rsidRPr="009C79E5">
        <w:rPr>
          <w:b/>
          <w:sz w:val="22"/>
          <w:szCs w:val="22"/>
        </w:rPr>
        <w:tab/>
      </w:r>
      <w:r w:rsidR="00BF0B1C" w:rsidRPr="009C79E5">
        <w:rPr>
          <w:b/>
          <w:sz w:val="22"/>
          <w:szCs w:val="22"/>
        </w:rPr>
        <w:t>Effect of Section 717</w:t>
      </w:r>
      <w:r w:rsidR="003308A5" w:rsidRPr="009C79E5">
        <w:rPr>
          <w:b/>
          <w:sz w:val="22"/>
          <w:szCs w:val="22"/>
        </w:rPr>
        <w:t>’</w:t>
      </w:r>
      <w:r w:rsidR="00BF0B1C" w:rsidRPr="009C79E5">
        <w:rPr>
          <w:b/>
          <w:sz w:val="22"/>
          <w:szCs w:val="22"/>
        </w:rPr>
        <w:t>s Recordkeeping and Enforcement Requirements on the Development and Deployment of New Communications Technologies</w:t>
      </w:r>
    </w:p>
    <w:p w:rsidR="00BF0B1C" w:rsidRPr="009C79E5" w:rsidRDefault="00BF0B1C" w:rsidP="00476E6F">
      <w:pPr>
        <w:suppressAutoHyphens/>
        <w:ind w:left="1980" w:hanging="540"/>
        <w:rPr>
          <w:sz w:val="22"/>
          <w:szCs w:val="22"/>
        </w:rPr>
      </w:pPr>
    </w:p>
    <w:p w:rsidR="00BF0B1C" w:rsidRPr="003511DC" w:rsidRDefault="00BF0B1C" w:rsidP="00476E6F">
      <w:pPr>
        <w:numPr>
          <w:ilvl w:val="0"/>
          <w:numId w:val="2"/>
        </w:numPr>
        <w:tabs>
          <w:tab w:val="clear" w:pos="720"/>
        </w:tabs>
        <w:ind w:left="0" w:firstLine="720"/>
        <w:rPr>
          <w:sz w:val="22"/>
          <w:szCs w:val="22"/>
          <w:shd w:val="clear" w:color="auto" w:fill="FFFF00"/>
        </w:rPr>
      </w:pPr>
      <w:r w:rsidRPr="009C79E5">
        <w:rPr>
          <w:sz w:val="22"/>
          <w:szCs w:val="22"/>
        </w:rPr>
        <w:t>Section 717(b)(1)(G) of the Act requires the Commission to provide an assessment of the effect of the requirements of Section 717 of the Act on the development and deployment of new communications technologies.</w:t>
      </w:r>
      <w:r w:rsidRPr="008D556C">
        <w:rPr>
          <w:rStyle w:val="ParaNumChar1"/>
          <w:szCs w:val="22"/>
          <w:vertAlign w:val="superscript"/>
        </w:rPr>
        <w:footnoteReference w:id="267"/>
      </w:r>
      <w:r w:rsidRPr="008D556C">
        <w:rPr>
          <w:sz w:val="22"/>
          <w:szCs w:val="22"/>
          <w:vertAlign w:val="superscript"/>
        </w:rPr>
        <w:t xml:space="preserve"> </w:t>
      </w:r>
      <w:r w:rsidRPr="003511DC">
        <w:rPr>
          <w:sz w:val="22"/>
          <w:szCs w:val="22"/>
        </w:rPr>
        <w:t xml:space="preserve"> Section 717(a) requires the Commission to estab</w:t>
      </w:r>
      <w:r w:rsidRPr="00BF0859">
        <w:rPr>
          <w:sz w:val="22"/>
          <w:szCs w:val="22"/>
        </w:rPr>
        <w:t>lish new recordkeeping and enforcement procedures for service providers and equipment manufacturers that are subject to Sections 255, 716, and 718.</w:t>
      </w:r>
      <w:r w:rsidRPr="008D556C">
        <w:rPr>
          <w:rStyle w:val="FootnoteReference"/>
          <w:sz w:val="22"/>
          <w:szCs w:val="22"/>
        </w:rPr>
        <w:footnoteReference w:id="268"/>
      </w:r>
      <w:r w:rsidRPr="008D556C">
        <w:rPr>
          <w:sz w:val="22"/>
          <w:szCs w:val="22"/>
        </w:rPr>
        <w:t xml:space="preserve">  In the </w:t>
      </w:r>
      <w:r w:rsidRPr="003511DC">
        <w:rPr>
          <w:i/>
          <w:sz w:val="22"/>
          <w:szCs w:val="22"/>
        </w:rPr>
        <w:t>2014 CVAA Assessment PN</w:t>
      </w:r>
      <w:r w:rsidRPr="00BF0859">
        <w:rPr>
          <w:sz w:val="22"/>
          <w:szCs w:val="22"/>
        </w:rPr>
        <w:t xml:space="preserve">, </w:t>
      </w:r>
      <w:r w:rsidR="00924FE2" w:rsidRPr="00FF1FD9">
        <w:rPr>
          <w:sz w:val="22"/>
          <w:szCs w:val="22"/>
        </w:rPr>
        <w:t>CGB</w:t>
      </w:r>
      <w:r w:rsidRPr="00FF1FD9">
        <w:rPr>
          <w:sz w:val="22"/>
          <w:szCs w:val="22"/>
        </w:rPr>
        <w:t xml:space="preserve"> sought comment on the impact, if any, that the CVAA</w:t>
      </w:r>
      <w:r w:rsidR="003308A5" w:rsidRPr="006C02D7">
        <w:rPr>
          <w:sz w:val="22"/>
          <w:szCs w:val="22"/>
        </w:rPr>
        <w:t>’</w:t>
      </w:r>
      <w:r w:rsidRPr="006C02D7">
        <w:rPr>
          <w:sz w:val="22"/>
          <w:szCs w:val="22"/>
        </w:rPr>
        <w:t>s recordkeeping requirements and enforcement measures, including the requirement for consumers to request dispute assistance from the Commission as a prerequisite to filing an informal complaint, have had on the development and deployment of accessible new communications te</w:t>
      </w:r>
      <w:r w:rsidRPr="009C79E5">
        <w:rPr>
          <w:sz w:val="22"/>
          <w:szCs w:val="22"/>
        </w:rPr>
        <w:t>chnologies since these requirements became effective.</w:t>
      </w:r>
      <w:r w:rsidRPr="008D556C">
        <w:rPr>
          <w:rStyle w:val="FootnoteReference"/>
          <w:sz w:val="22"/>
          <w:szCs w:val="22"/>
        </w:rPr>
        <w:footnoteReference w:id="269"/>
      </w:r>
      <w:r w:rsidRPr="008D556C">
        <w:rPr>
          <w:sz w:val="22"/>
          <w:szCs w:val="22"/>
        </w:rPr>
        <w:t xml:space="preserve">  </w:t>
      </w:r>
      <w:r w:rsidR="00924FE2" w:rsidRPr="003511DC">
        <w:rPr>
          <w:sz w:val="22"/>
          <w:szCs w:val="22"/>
        </w:rPr>
        <w:t>CGB</w:t>
      </w:r>
      <w:r w:rsidRPr="00BF0859">
        <w:rPr>
          <w:sz w:val="22"/>
          <w:szCs w:val="22"/>
        </w:rPr>
        <w:t xml:space="preserve"> also asked whether service providers and equipment manufacturers have identified best practices with respect to the recordkeeping requirements that can be shared with others.</w:t>
      </w:r>
      <w:r w:rsidRPr="008D556C">
        <w:rPr>
          <w:sz w:val="22"/>
          <w:szCs w:val="22"/>
          <w:vertAlign w:val="superscript"/>
        </w:rPr>
        <w:footnoteReference w:id="270"/>
      </w:r>
      <w:r w:rsidRPr="008D556C">
        <w:rPr>
          <w:sz w:val="22"/>
          <w:szCs w:val="22"/>
          <w:vertAlign w:val="superscript"/>
        </w:rPr>
        <w:t xml:space="preserve"> </w:t>
      </w:r>
    </w:p>
    <w:p w:rsidR="00BF0B1C" w:rsidRPr="00BF0859" w:rsidRDefault="00BF0B1C" w:rsidP="00476E6F">
      <w:pPr>
        <w:suppressAutoHyphens/>
        <w:rPr>
          <w:sz w:val="22"/>
          <w:szCs w:val="22"/>
        </w:rPr>
      </w:pPr>
    </w:p>
    <w:p w:rsidR="00BF0B1C" w:rsidRPr="006C02D7" w:rsidRDefault="00A464F7" w:rsidP="00476E6F">
      <w:pPr>
        <w:keepNext/>
        <w:keepLines/>
        <w:suppressAutoHyphens/>
        <w:ind w:left="1440"/>
        <w:rPr>
          <w:b/>
          <w:sz w:val="22"/>
          <w:szCs w:val="22"/>
        </w:rPr>
      </w:pPr>
      <w:r w:rsidRPr="006C02D7">
        <w:rPr>
          <w:b/>
          <w:sz w:val="22"/>
          <w:szCs w:val="22"/>
        </w:rPr>
        <w:t>1</w:t>
      </w:r>
      <w:r w:rsidR="00BF0B1C" w:rsidRPr="006C02D7">
        <w:rPr>
          <w:b/>
          <w:sz w:val="22"/>
          <w:szCs w:val="22"/>
        </w:rPr>
        <w:t>.</w:t>
      </w:r>
      <w:r w:rsidR="00BF0B1C" w:rsidRPr="006C02D7">
        <w:rPr>
          <w:b/>
          <w:sz w:val="22"/>
          <w:szCs w:val="22"/>
        </w:rPr>
        <w:tab/>
        <w:t>Comments Received</w:t>
      </w:r>
    </w:p>
    <w:p w:rsidR="00BF0B1C" w:rsidRPr="009C79E5" w:rsidRDefault="00BF0B1C" w:rsidP="00476E6F">
      <w:pPr>
        <w:keepNext/>
        <w:keepLines/>
        <w:suppressAutoHyphens/>
        <w:rPr>
          <w:sz w:val="22"/>
          <w:szCs w:val="22"/>
        </w:rPr>
      </w:pPr>
    </w:p>
    <w:p w:rsidR="00BF0B1C" w:rsidRPr="003511DC" w:rsidRDefault="00BF0B1C" w:rsidP="00476E6F">
      <w:pPr>
        <w:keepNext/>
        <w:keepLines/>
        <w:numPr>
          <w:ilvl w:val="0"/>
          <w:numId w:val="2"/>
        </w:numPr>
        <w:tabs>
          <w:tab w:val="clear" w:pos="720"/>
        </w:tabs>
        <w:ind w:left="0" w:firstLine="720"/>
        <w:rPr>
          <w:i/>
          <w:sz w:val="22"/>
          <w:szCs w:val="22"/>
        </w:rPr>
      </w:pPr>
      <w:r w:rsidRPr="009C79E5">
        <w:rPr>
          <w:sz w:val="22"/>
          <w:szCs w:val="22"/>
        </w:rPr>
        <w:t>No consumer organizations commented on the recordkeeping or enforcement requirements of Section 717.  Industry, however, generally reports that it finds value in certain aspects of Section 717</w:t>
      </w:r>
      <w:r w:rsidR="003308A5" w:rsidRPr="009C79E5">
        <w:rPr>
          <w:sz w:val="22"/>
          <w:szCs w:val="22"/>
        </w:rPr>
        <w:t>’</w:t>
      </w:r>
      <w:r w:rsidRPr="009C79E5">
        <w:rPr>
          <w:sz w:val="22"/>
          <w:szCs w:val="22"/>
        </w:rPr>
        <w:t xml:space="preserve">s recordkeeping and enforcement requirements, and otherwise urges clarification of or flexibility in interpretation of other aspects of those requirements.  CTIA states that </w:t>
      </w:r>
      <w:r w:rsidR="003308A5" w:rsidRPr="009C79E5">
        <w:rPr>
          <w:sz w:val="22"/>
          <w:szCs w:val="22"/>
        </w:rPr>
        <w:t>“</w:t>
      </w:r>
      <w:r w:rsidRPr="009C79E5">
        <w:rPr>
          <w:sz w:val="22"/>
          <w:szCs w:val="22"/>
        </w:rPr>
        <w:t>the CVAA and good faith efforts of the wireless industry and accessibility community has resulted in collaborations that encourage the exchange of information about priorities, challenges, and issues.</w:t>
      </w:r>
      <w:r w:rsidR="003308A5" w:rsidRPr="009C79E5">
        <w:rPr>
          <w:sz w:val="22"/>
          <w:szCs w:val="22"/>
        </w:rPr>
        <w:t>”</w:t>
      </w:r>
      <w:r w:rsidRPr="008D556C">
        <w:rPr>
          <w:rStyle w:val="FootnoteReference"/>
          <w:sz w:val="22"/>
          <w:szCs w:val="22"/>
        </w:rPr>
        <w:footnoteReference w:id="271"/>
      </w:r>
      <w:r w:rsidRPr="008D556C">
        <w:rPr>
          <w:sz w:val="22"/>
          <w:szCs w:val="22"/>
        </w:rPr>
        <w:t xml:space="preserve">  In particular, CTIA believes that the requirement to provide contact information for a company representative who can address accessibility complaints </w:t>
      </w:r>
      <w:r w:rsidR="003308A5" w:rsidRPr="003511DC">
        <w:rPr>
          <w:sz w:val="22"/>
          <w:szCs w:val="22"/>
        </w:rPr>
        <w:t>“</w:t>
      </w:r>
      <w:r w:rsidRPr="00BF0859">
        <w:rPr>
          <w:sz w:val="22"/>
          <w:szCs w:val="22"/>
        </w:rPr>
        <w:t>has been a resounding success,</w:t>
      </w:r>
      <w:r w:rsidR="003308A5" w:rsidRPr="00FF1FD9">
        <w:rPr>
          <w:sz w:val="22"/>
          <w:szCs w:val="22"/>
        </w:rPr>
        <w:t>”</w:t>
      </w:r>
      <w:r w:rsidRPr="006C02D7">
        <w:rPr>
          <w:sz w:val="22"/>
          <w:szCs w:val="22"/>
        </w:rPr>
        <w:t xml:space="preserve"> enabling resolution of accessibility concerns before requesting assistance from or filing complaints with the Commission.</w:t>
      </w:r>
      <w:r w:rsidRPr="008D556C">
        <w:rPr>
          <w:rStyle w:val="FootnoteReference"/>
          <w:sz w:val="22"/>
          <w:szCs w:val="22"/>
        </w:rPr>
        <w:footnoteReference w:id="272"/>
      </w:r>
      <w:r w:rsidRPr="008D556C">
        <w:rPr>
          <w:sz w:val="22"/>
          <w:szCs w:val="22"/>
        </w:rPr>
        <w:t xml:space="preserve">  CTIA urges that this direct engagement continue as the primary method of resolving issues.</w:t>
      </w:r>
      <w:r w:rsidRPr="008D556C">
        <w:rPr>
          <w:rStyle w:val="FootnoteReference"/>
          <w:sz w:val="22"/>
          <w:szCs w:val="22"/>
        </w:rPr>
        <w:footnoteReference w:id="273"/>
      </w:r>
      <w:r w:rsidRPr="008D556C">
        <w:rPr>
          <w:sz w:val="22"/>
          <w:szCs w:val="22"/>
        </w:rPr>
        <w:t xml:space="preserve">  </w:t>
      </w:r>
    </w:p>
    <w:p w:rsidR="00BF0B1C" w:rsidRPr="00BF0859" w:rsidRDefault="00BF0B1C" w:rsidP="00476E6F">
      <w:pPr>
        <w:suppressAutoHyphens/>
        <w:ind w:firstLine="720"/>
        <w:rPr>
          <w:i/>
          <w:sz w:val="22"/>
          <w:szCs w:val="22"/>
        </w:rPr>
      </w:pPr>
    </w:p>
    <w:p w:rsidR="00BF0B1C" w:rsidRPr="008D556C" w:rsidRDefault="00BF0B1C" w:rsidP="00476E6F">
      <w:pPr>
        <w:numPr>
          <w:ilvl w:val="0"/>
          <w:numId w:val="2"/>
        </w:numPr>
        <w:tabs>
          <w:tab w:val="clear" w:pos="720"/>
        </w:tabs>
        <w:ind w:left="0" w:firstLine="720"/>
        <w:rPr>
          <w:i/>
          <w:sz w:val="22"/>
          <w:szCs w:val="22"/>
        </w:rPr>
      </w:pPr>
      <w:r w:rsidRPr="006C02D7">
        <w:rPr>
          <w:sz w:val="22"/>
          <w:szCs w:val="22"/>
        </w:rPr>
        <w:t>CTIA also urges the Commission to recognize the need for flexibility in recordkeeping and consultation requirements.</w:t>
      </w:r>
      <w:r w:rsidRPr="008D556C">
        <w:rPr>
          <w:rStyle w:val="FootnoteReference"/>
          <w:sz w:val="22"/>
          <w:szCs w:val="22"/>
        </w:rPr>
        <w:footnoteReference w:id="274"/>
      </w:r>
      <w:r w:rsidRPr="008D556C">
        <w:rPr>
          <w:sz w:val="22"/>
          <w:szCs w:val="22"/>
        </w:rPr>
        <w:t xml:space="preserve">  Nonetheless, CTIA opines that Commission actions, such as clarifying recordkeeping and consultation requirements, could improve the ability of covered entities to comply fully with t</w:t>
      </w:r>
      <w:r w:rsidRPr="003511DC">
        <w:rPr>
          <w:sz w:val="22"/>
          <w:szCs w:val="22"/>
        </w:rPr>
        <w:t>he CVAA requirements.</w:t>
      </w:r>
      <w:r w:rsidRPr="008D556C">
        <w:rPr>
          <w:rStyle w:val="FootnoteReference"/>
          <w:sz w:val="22"/>
          <w:szCs w:val="22"/>
        </w:rPr>
        <w:footnoteReference w:id="275"/>
      </w:r>
      <w:r w:rsidRPr="008D556C">
        <w:rPr>
          <w:sz w:val="22"/>
          <w:szCs w:val="22"/>
        </w:rPr>
        <w:t xml:space="preserve">  For example, CTIA suggests that, in the absence of a Commission determination about </w:t>
      </w:r>
      <w:r w:rsidR="003308A5" w:rsidRPr="003511DC">
        <w:rPr>
          <w:sz w:val="22"/>
          <w:szCs w:val="22"/>
        </w:rPr>
        <w:t>“</w:t>
      </w:r>
      <w:r w:rsidRPr="00BF0859">
        <w:rPr>
          <w:sz w:val="22"/>
          <w:szCs w:val="22"/>
        </w:rPr>
        <w:t>the types of records, processes, and efforts to engage the accessibility community</w:t>
      </w:r>
      <w:r w:rsidR="003308A5" w:rsidRPr="00FF1FD9">
        <w:rPr>
          <w:sz w:val="22"/>
          <w:szCs w:val="22"/>
        </w:rPr>
        <w:t>”</w:t>
      </w:r>
      <w:r w:rsidRPr="006C02D7">
        <w:rPr>
          <w:sz w:val="22"/>
          <w:szCs w:val="22"/>
        </w:rPr>
        <w:t xml:space="preserve"> that comply with the Commission</w:t>
      </w:r>
      <w:r w:rsidR="003308A5" w:rsidRPr="009C79E5">
        <w:rPr>
          <w:sz w:val="22"/>
          <w:szCs w:val="22"/>
        </w:rPr>
        <w:t>’</w:t>
      </w:r>
      <w:r w:rsidRPr="009C79E5">
        <w:rPr>
          <w:sz w:val="22"/>
          <w:szCs w:val="22"/>
        </w:rPr>
        <w:t xml:space="preserve">s rules, the Commission should </w:t>
      </w:r>
      <w:r w:rsidR="003308A5" w:rsidRPr="009C79E5">
        <w:rPr>
          <w:sz w:val="22"/>
          <w:szCs w:val="22"/>
        </w:rPr>
        <w:t>“</w:t>
      </w:r>
      <w:r w:rsidRPr="009C79E5">
        <w:rPr>
          <w:sz w:val="22"/>
          <w:szCs w:val="22"/>
        </w:rPr>
        <w:t>remain flexible with respect to imposing any penalties if an entity</w:t>
      </w:r>
      <w:r w:rsidR="003308A5" w:rsidRPr="009C79E5">
        <w:rPr>
          <w:sz w:val="22"/>
          <w:szCs w:val="22"/>
        </w:rPr>
        <w:t>’</w:t>
      </w:r>
      <w:r w:rsidRPr="009C79E5">
        <w:rPr>
          <w:sz w:val="22"/>
          <w:szCs w:val="22"/>
        </w:rPr>
        <w:t>s records are ultimately unexpectedly found to be insufficient or non-compliant.</w:t>
      </w:r>
      <w:r w:rsidR="003308A5" w:rsidRPr="009C79E5">
        <w:rPr>
          <w:sz w:val="22"/>
          <w:szCs w:val="22"/>
        </w:rPr>
        <w:t>”</w:t>
      </w:r>
      <w:r w:rsidRPr="008D556C">
        <w:rPr>
          <w:rStyle w:val="FootnoteReference"/>
          <w:sz w:val="22"/>
          <w:szCs w:val="22"/>
        </w:rPr>
        <w:footnoteReference w:id="276"/>
      </w:r>
      <w:r w:rsidRPr="008D556C">
        <w:rPr>
          <w:sz w:val="22"/>
          <w:szCs w:val="22"/>
        </w:rPr>
        <w:t xml:space="preserve">  Similarly, TIA states that its members have been complying with the recordkeeping requirements and cert</w:t>
      </w:r>
      <w:r w:rsidRPr="003511DC">
        <w:rPr>
          <w:sz w:val="22"/>
          <w:szCs w:val="22"/>
        </w:rPr>
        <w:t>ifications required un</w:t>
      </w:r>
      <w:r w:rsidRPr="00BF0859">
        <w:rPr>
          <w:sz w:val="22"/>
          <w:szCs w:val="22"/>
        </w:rPr>
        <w:t xml:space="preserve">der the CVAA, and stresses that </w:t>
      </w:r>
      <w:r w:rsidR="003308A5" w:rsidRPr="00FF1FD9">
        <w:rPr>
          <w:sz w:val="22"/>
          <w:szCs w:val="22"/>
        </w:rPr>
        <w:t>“</w:t>
      </w:r>
      <w:r w:rsidRPr="006C02D7">
        <w:rPr>
          <w:sz w:val="22"/>
          <w:szCs w:val="22"/>
        </w:rPr>
        <w:t>it is important that the Commission continue to recognize the need for flexibility and efficiency in the approaches taken to meet the recordkeeping obligations outlined within the CVAA.</w:t>
      </w:r>
      <w:r w:rsidR="003308A5" w:rsidRPr="009C79E5">
        <w:rPr>
          <w:sz w:val="22"/>
          <w:szCs w:val="22"/>
        </w:rPr>
        <w:t>”</w:t>
      </w:r>
      <w:r w:rsidRPr="008D556C">
        <w:rPr>
          <w:rStyle w:val="FootnoteReference"/>
          <w:sz w:val="22"/>
          <w:szCs w:val="22"/>
        </w:rPr>
        <w:footnoteReference w:id="277"/>
      </w:r>
      <w:r w:rsidRPr="008D556C">
        <w:rPr>
          <w:sz w:val="22"/>
          <w:szCs w:val="22"/>
        </w:rPr>
        <w:t xml:space="preserve">  Likewise, CE</w:t>
      </w:r>
      <w:r w:rsidRPr="003511DC">
        <w:rPr>
          <w:sz w:val="22"/>
          <w:szCs w:val="22"/>
        </w:rPr>
        <w:t>A applauds the flexibi</w:t>
      </w:r>
      <w:r w:rsidRPr="00BF0859">
        <w:rPr>
          <w:sz w:val="22"/>
          <w:szCs w:val="22"/>
        </w:rPr>
        <w:t>lity provided with respect to recordkeeping mechanisms, but notes that the process still requires significant resources, and urges the Commission to continue to avoid regulations or enforcement practices that lock in any given solutio</w:t>
      </w:r>
      <w:r w:rsidRPr="006C02D7">
        <w:rPr>
          <w:sz w:val="22"/>
          <w:szCs w:val="22"/>
        </w:rPr>
        <w:t>n that may become obsolete.</w:t>
      </w:r>
      <w:r w:rsidRPr="008D556C">
        <w:rPr>
          <w:rStyle w:val="FootnoteReference"/>
          <w:sz w:val="22"/>
          <w:szCs w:val="22"/>
        </w:rPr>
        <w:footnoteReference w:id="278"/>
      </w:r>
    </w:p>
    <w:p w:rsidR="00BF0B1C" w:rsidRPr="003511DC" w:rsidRDefault="00BF0B1C" w:rsidP="00476E6F">
      <w:pPr>
        <w:suppressAutoHyphens/>
        <w:ind w:left="720"/>
        <w:rPr>
          <w:sz w:val="22"/>
          <w:szCs w:val="22"/>
        </w:rPr>
      </w:pPr>
    </w:p>
    <w:p w:rsidR="00BF0B1C" w:rsidRPr="008D556C" w:rsidRDefault="00A464F7" w:rsidP="00476E6F">
      <w:pPr>
        <w:keepNext/>
        <w:keepLines/>
        <w:suppressAutoHyphens/>
        <w:ind w:left="2160" w:hanging="720"/>
        <w:rPr>
          <w:sz w:val="22"/>
          <w:szCs w:val="22"/>
        </w:rPr>
      </w:pPr>
      <w:r w:rsidRPr="003511DC">
        <w:rPr>
          <w:b/>
          <w:sz w:val="22"/>
          <w:szCs w:val="22"/>
        </w:rPr>
        <w:t>2</w:t>
      </w:r>
      <w:r w:rsidR="00BF0B1C" w:rsidRPr="00BF0859">
        <w:rPr>
          <w:b/>
          <w:sz w:val="22"/>
          <w:szCs w:val="22"/>
        </w:rPr>
        <w:t>.</w:t>
      </w:r>
      <w:r w:rsidR="00BF0B1C" w:rsidRPr="00BF0859">
        <w:rPr>
          <w:b/>
          <w:sz w:val="22"/>
          <w:szCs w:val="22"/>
        </w:rPr>
        <w:tab/>
        <w:t>Findings on the Effect of Section 717</w:t>
      </w:r>
      <w:r w:rsidR="003308A5" w:rsidRPr="00FF1FD9">
        <w:rPr>
          <w:b/>
          <w:sz w:val="22"/>
          <w:szCs w:val="22"/>
        </w:rPr>
        <w:t>’</w:t>
      </w:r>
      <w:r w:rsidR="00BF0B1C" w:rsidRPr="006C02D7">
        <w:rPr>
          <w:b/>
          <w:sz w:val="22"/>
          <w:szCs w:val="22"/>
        </w:rPr>
        <w:t>s Recordkeeping and Enforcement Requirements on the Development and Deployment of New Communications Technologies</w:t>
      </w:r>
      <w:r w:rsidR="003E3C4B" w:rsidRPr="008D556C">
        <w:rPr>
          <w:rStyle w:val="FootnoteReference"/>
          <w:sz w:val="22"/>
          <w:szCs w:val="22"/>
        </w:rPr>
        <w:footnoteReference w:id="279"/>
      </w:r>
    </w:p>
    <w:p w:rsidR="00BF0B1C" w:rsidRPr="003511DC" w:rsidRDefault="00BF0B1C" w:rsidP="00476E6F">
      <w:pPr>
        <w:keepNext/>
        <w:keepLines/>
        <w:suppressAutoHyphens/>
        <w:ind w:left="720"/>
        <w:rPr>
          <w:sz w:val="22"/>
          <w:szCs w:val="22"/>
        </w:rPr>
      </w:pPr>
    </w:p>
    <w:p w:rsidR="00BE4257" w:rsidRPr="009C79E5" w:rsidRDefault="00BE4257" w:rsidP="00476E6F">
      <w:pPr>
        <w:keepNext/>
        <w:keepLines/>
        <w:numPr>
          <w:ilvl w:val="0"/>
          <w:numId w:val="2"/>
        </w:numPr>
        <w:tabs>
          <w:tab w:val="clear" w:pos="720"/>
        </w:tabs>
        <w:ind w:left="0" w:firstLine="720"/>
        <w:rPr>
          <w:sz w:val="22"/>
          <w:szCs w:val="22"/>
        </w:rPr>
      </w:pPr>
      <w:r w:rsidRPr="00BF0859">
        <w:rPr>
          <w:sz w:val="22"/>
          <w:szCs w:val="22"/>
        </w:rPr>
        <w:t xml:space="preserve">In the </w:t>
      </w:r>
      <w:r w:rsidRPr="00FF1FD9">
        <w:rPr>
          <w:i/>
          <w:sz w:val="22"/>
          <w:szCs w:val="22"/>
        </w:rPr>
        <w:t>2014 CVAA Tentative Findings PN</w:t>
      </w:r>
      <w:r w:rsidRPr="006C02D7">
        <w:rPr>
          <w:sz w:val="22"/>
          <w:szCs w:val="22"/>
        </w:rPr>
        <w:t xml:space="preserve">, </w:t>
      </w:r>
      <w:r w:rsidR="00BF0B1C" w:rsidRPr="006C02D7">
        <w:rPr>
          <w:sz w:val="22"/>
          <w:szCs w:val="22"/>
        </w:rPr>
        <w:t xml:space="preserve">we </w:t>
      </w:r>
      <w:r w:rsidRPr="006C02D7">
        <w:rPr>
          <w:sz w:val="22"/>
          <w:szCs w:val="22"/>
        </w:rPr>
        <w:t xml:space="preserve">tentatively </w:t>
      </w:r>
      <w:r w:rsidR="00BF0B1C" w:rsidRPr="006C02D7">
        <w:rPr>
          <w:sz w:val="22"/>
          <w:szCs w:val="22"/>
        </w:rPr>
        <w:t>f</w:t>
      </w:r>
      <w:r w:rsidRPr="006C02D7">
        <w:rPr>
          <w:sz w:val="22"/>
          <w:szCs w:val="22"/>
        </w:rPr>
        <w:t>ound</w:t>
      </w:r>
      <w:r w:rsidR="00BF0B1C" w:rsidRPr="006C02D7">
        <w:rPr>
          <w:sz w:val="22"/>
          <w:szCs w:val="22"/>
        </w:rPr>
        <w:t xml:space="preserve"> that the</w:t>
      </w:r>
      <w:r w:rsidR="00BF0B1C" w:rsidRPr="009C5E08">
        <w:rPr>
          <w:sz w:val="22"/>
          <w:szCs w:val="22"/>
        </w:rPr>
        <w:t xml:space="preserve"> recordkeeping obligations mandated by Section 717, along with the flexibility provided to entities charged with complying with these requirements, have helped to foster collaboration between industry and consumers, and have helped to eliminate accessibili</w:t>
      </w:r>
      <w:r w:rsidR="00BF0B1C" w:rsidRPr="009C79E5">
        <w:rPr>
          <w:sz w:val="22"/>
          <w:szCs w:val="22"/>
        </w:rPr>
        <w:t>ty barriers encountered by consumers with disabilities.</w:t>
      </w:r>
      <w:r w:rsidRPr="008D556C">
        <w:rPr>
          <w:rStyle w:val="FootnoteReference"/>
          <w:sz w:val="22"/>
          <w:szCs w:val="22"/>
        </w:rPr>
        <w:footnoteReference w:id="280"/>
      </w:r>
      <w:r w:rsidR="00BF0B1C" w:rsidRPr="008D556C">
        <w:rPr>
          <w:sz w:val="22"/>
          <w:szCs w:val="22"/>
        </w:rPr>
        <w:t xml:space="preserve">  We base</w:t>
      </w:r>
      <w:r w:rsidRPr="003511DC">
        <w:rPr>
          <w:sz w:val="22"/>
          <w:szCs w:val="22"/>
        </w:rPr>
        <w:t>d</w:t>
      </w:r>
      <w:r w:rsidR="00BF0B1C" w:rsidRPr="00BF0859">
        <w:rPr>
          <w:sz w:val="22"/>
          <w:szCs w:val="22"/>
        </w:rPr>
        <w:t xml:space="preserve"> this conclusion on the increasing array of accessible products and services now available to consumers to access advanced communications technologies.</w:t>
      </w:r>
      <w:r w:rsidR="00BF0B1C" w:rsidRPr="008D556C">
        <w:rPr>
          <w:rStyle w:val="FootnoteReference"/>
          <w:sz w:val="22"/>
          <w:szCs w:val="22"/>
        </w:rPr>
        <w:footnoteReference w:id="281"/>
      </w:r>
      <w:r w:rsidR="00BF0B1C" w:rsidRPr="008D556C">
        <w:rPr>
          <w:sz w:val="22"/>
          <w:szCs w:val="22"/>
        </w:rPr>
        <w:t xml:space="preserve">  At the same time, we </w:t>
      </w:r>
      <w:r w:rsidRPr="003511DC">
        <w:rPr>
          <w:sz w:val="22"/>
          <w:szCs w:val="22"/>
        </w:rPr>
        <w:t>tentatively fou</w:t>
      </w:r>
      <w:r w:rsidRPr="00BF0859">
        <w:rPr>
          <w:sz w:val="22"/>
          <w:szCs w:val="22"/>
        </w:rPr>
        <w:t xml:space="preserve">nd </w:t>
      </w:r>
      <w:r w:rsidR="00BF0B1C" w:rsidRPr="006C02D7">
        <w:rPr>
          <w:sz w:val="22"/>
          <w:szCs w:val="22"/>
        </w:rPr>
        <w:t>that nothing in the record indicates that Section 717</w:t>
      </w:r>
      <w:r w:rsidR="003308A5" w:rsidRPr="006C02D7">
        <w:rPr>
          <w:sz w:val="22"/>
          <w:szCs w:val="22"/>
        </w:rPr>
        <w:t>’</w:t>
      </w:r>
      <w:r w:rsidR="00BF0B1C" w:rsidRPr="006C02D7">
        <w:rPr>
          <w:sz w:val="22"/>
          <w:szCs w:val="22"/>
        </w:rPr>
        <w:t>s requirements will hinder the development and deployment of new communications technologies.</w:t>
      </w:r>
      <w:r w:rsidR="00DA0383" w:rsidRPr="008D556C">
        <w:rPr>
          <w:rStyle w:val="FootnoteReference"/>
          <w:sz w:val="22"/>
          <w:szCs w:val="22"/>
        </w:rPr>
        <w:footnoteReference w:id="282"/>
      </w:r>
      <w:r w:rsidR="00BF0B1C" w:rsidRPr="008D556C">
        <w:rPr>
          <w:sz w:val="22"/>
          <w:szCs w:val="22"/>
        </w:rPr>
        <w:t xml:space="preserve">  We base</w:t>
      </w:r>
      <w:r w:rsidRPr="003511DC">
        <w:rPr>
          <w:sz w:val="22"/>
          <w:szCs w:val="22"/>
        </w:rPr>
        <w:t>d</w:t>
      </w:r>
      <w:r w:rsidR="00BF0B1C" w:rsidRPr="00BF0859">
        <w:rPr>
          <w:sz w:val="22"/>
          <w:szCs w:val="22"/>
        </w:rPr>
        <w:t xml:space="preserve"> this conclusion on the significant growth in the number and types of new communications techno</w:t>
      </w:r>
      <w:r w:rsidR="00BF0B1C" w:rsidRPr="00FF1FD9">
        <w:rPr>
          <w:sz w:val="22"/>
          <w:szCs w:val="22"/>
        </w:rPr>
        <w:t>logies that have emerged over the past two years.</w:t>
      </w:r>
      <w:r w:rsidR="00BF0B1C" w:rsidRPr="008D556C">
        <w:rPr>
          <w:rStyle w:val="FootnoteReference"/>
          <w:sz w:val="22"/>
          <w:szCs w:val="22"/>
        </w:rPr>
        <w:footnoteReference w:id="283"/>
      </w:r>
      <w:r w:rsidR="00BF0B1C" w:rsidRPr="008D556C">
        <w:rPr>
          <w:sz w:val="22"/>
          <w:szCs w:val="22"/>
        </w:rPr>
        <w:t xml:space="preserve"> </w:t>
      </w:r>
      <w:r w:rsidR="008509FC" w:rsidRPr="003511DC">
        <w:rPr>
          <w:sz w:val="22"/>
          <w:szCs w:val="22"/>
        </w:rPr>
        <w:t xml:space="preserve"> </w:t>
      </w:r>
      <w:r w:rsidRPr="00BF0859">
        <w:rPr>
          <w:sz w:val="22"/>
          <w:szCs w:val="22"/>
        </w:rPr>
        <w:t xml:space="preserve">Comments in response to the </w:t>
      </w:r>
      <w:r w:rsidR="00F575F8" w:rsidRPr="00FF1FD9">
        <w:rPr>
          <w:i/>
          <w:sz w:val="22"/>
          <w:szCs w:val="22"/>
        </w:rPr>
        <w:t xml:space="preserve">2014 </w:t>
      </w:r>
      <w:r w:rsidRPr="006C02D7">
        <w:rPr>
          <w:i/>
          <w:sz w:val="22"/>
          <w:szCs w:val="22"/>
        </w:rPr>
        <w:t>CVAA Tentative Findings PN</w:t>
      </w:r>
      <w:r w:rsidRPr="006C02D7">
        <w:rPr>
          <w:sz w:val="22"/>
          <w:szCs w:val="22"/>
        </w:rPr>
        <w:t xml:space="preserve"> did not address these tentative findings.  As such, we affirm </w:t>
      </w:r>
      <w:r w:rsidR="009E5643" w:rsidRPr="009C79E5">
        <w:rPr>
          <w:sz w:val="22"/>
          <w:szCs w:val="22"/>
        </w:rPr>
        <w:t>those</w:t>
      </w:r>
      <w:r w:rsidRPr="009C79E5">
        <w:rPr>
          <w:sz w:val="22"/>
          <w:szCs w:val="22"/>
        </w:rPr>
        <w:t xml:space="preserve"> findings on the effect of Section 717</w:t>
      </w:r>
      <w:r w:rsidR="003308A5" w:rsidRPr="009C79E5">
        <w:rPr>
          <w:sz w:val="22"/>
          <w:szCs w:val="22"/>
        </w:rPr>
        <w:t>’</w:t>
      </w:r>
      <w:r w:rsidRPr="009C79E5">
        <w:rPr>
          <w:sz w:val="22"/>
          <w:szCs w:val="22"/>
        </w:rPr>
        <w:t>s recordkeeping and enforcement requirements</w:t>
      </w:r>
      <w:r w:rsidR="00C643EE" w:rsidRPr="009C79E5">
        <w:rPr>
          <w:sz w:val="22"/>
          <w:szCs w:val="22"/>
        </w:rPr>
        <w:t xml:space="preserve"> based on the comments received in response to the </w:t>
      </w:r>
      <w:r w:rsidR="00C643EE" w:rsidRPr="009C79E5">
        <w:rPr>
          <w:i/>
          <w:sz w:val="22"/>
          <w:szCs w:val="22"/>
        </w:rPr>
        <w:t>2014 CVAA Assessment PN</w:t>
      </w:r>
      <w:r w:rsidRPr="009C79E5">
        <w:rPr>
          <w:sz w:val="22"/>
          <w:szCs w:val="22"/>
        </w:rPr>
        <w:t>.</w:t>
      </w:r>
    </w:p>
    <w:p w:rsidR="00BF0B1C" w:rsidRPr="009C79E5" w:rsidRDefault="00BF0B1C" w:rsidP="00476E6F">
      <w:pPr>
        <w:suppressAutoHyphens/>
        <w:ind w:left="720"/>
        <w:rPr>
          <w:sz w:val="22"/>
          <w:szCs w:val="22"/>
        </w:rPr>
      </w:pPr>
    </w:p>
    <w:p w:rsidR="00BF0B1C" w:rsidRPr="009C79E5" w:rsidRDefault="00A464F7" w:rsidP="00476E6F">
      <w:pPr>
        <w:pStyle w:val="BodyTextIndent"/>
        <w:keepNext/>
        <w:keepLines/>
        <w:ind w:firstLine="0"/>
        <w:rPr>
          <w:b/>
          <w:sz w:val="22"/>
          <w:szCs w:val="22"/>
          <w:lang w:val="en-US"/>
        </w:rPr>
      </w:pPr>
      <w:r w:rsidRPr="009C79E5">
        <w:rPr>
          <w:b/>
          <w:sz w:val="22"/>
          <w:szCs w:val="22"/>
          <w:lang w:val="en-US"/>
        </w:rPr>
        <w:t>F.</w:t>
      </w:r>
      <w:r w:rsidRPr="009C79E5">
        <w:rPr>
          <w:b/>
          <w:sz w:val="22"/>
          <w:szCs w:val="22"/>
          <w:lang w:val="en-US"/>
        </w:rPr>
        <w:tab/>
      </w:r>
      <w:r w:rsidR="008509FC" w:rsidRPr="009C79E5">
        <w:rPr>
          <w:b/>
          <w:sz w:val="22"/>
          <w:szCs w:val="22"/>
          <w:lang w:val="en-US"/>
        </w:rPr>
        <w:t>Future Biennial Reports</w:t>
      </w:r>
    </w:p>
    <w:p w:rsidR="00A464F7" w:rsidRPr="009C79E5" w:rsidRDefault="00A464F7" w:rsidP="00476E6F">
      <w:pPr>
        <w:pStyle w:val="BodyTextIndent"/>
        <w:keepNext/>
        <w:keepLines/>
        <w:ind w:firstLine="0"/>
        <w:rPr>
          <w:sz w:val="22"/>
          <w:szCs w:val="22"/>
          <w:lang w:val="en-US"/>
        </w:rPr>
      </w:pPr>
    </w:p>
    <w:p w:rsidR="003E506A" w:rsidRPr="008D556C" w:rsidRDefault="007401D9" w:rsidP="00476E6F">
      <w:pPr>
        <w:numPr>
          <w:ilvl w:val="0"/>
          <w:numId w:val="2"/>
        </w:numPr>
        <w:suppressLineNumbers/>
        <w:tabs>
          <w:tab w:val="clear" w:pos="720"/>
          <w:tab w:val="num" w:pos="1440"/>
        </w:tabs>
        <w:suppressAutoHyphens/>
        <w:autoSpaceDE w:val="0"/>
        <w:autoSpaceDN w:val="0"/>
        <w:adjustRightInd w:val="0"/>
        <w:ind w:left="0" w:firstLine="720"/>
        <w:rPr>
          <w:sz w:val="22"/>
          <w:szCs w:val="22"/>
        </w:rPr>
      </w:pPr>
      <w:r w:rsidRPr="009C79E5">
        <w:rPr>
          <w:sz w:val="22"/>
          <w:szCs w:val="22"/>
        </w:rPr>
        <w:t xml:space="preserve">In the </w:t>
      </w:r>
      <w:r w:rsidRPr="009C79E5">
        <w:rPr>
          <w:i/>
          <w:sz w:val="22"/>
          <w:szCs w:val="22"/>
        </w:rPr>
        <w:t>2014 CVAA Tentative Findings PN</w:t>
      </w:r>
      <w:r w:rsidRPr="009C79E5">
        <w:rPr>
          <w:sz w:val="22"/>
          <w:szCs w:val="22"/>
        </w:rPr>
        <w:t>, we asked about other kinds of information that would help the Commission to conduct the</w:t>
      </w:r>
      <w:r w:rsidR="00BF21E8" w:rsidRPr="009C79E5">
        <w:rPr>
          <w:sz w:val="22"/>
          <w:szCs w:val="22"/>
        </w:rPr>
        <w:t xml:space="preserve"> </w:t>
      </w:r>
      <w:r w:rsidRPr="009C79E5">
        <w:rPr>
          <w:sz w:val="22"/>
          <w:szCs w:val="22"/>
        </w:rPr>
        <w:t>assessments required by the CVAA for the next biennial report to be submitted by October 8, 2016.</w:t>
      </w:r>
      <w:r w:rsidRPr="008D556C">
        <w:rPr>
          <w:sz w:val="22"/>
          <w:szCs w:val="22"/>
          <w:vertAlign w:val="superscript"/>
        </w:rPr>
        <w:footnoteReference w:id="284"/>
      </w:r>
      <w:r w:rsidRPr="008D556C">
        <w:rPr>
          <w:sz w:val="22"/>
          <w:szCs w:val="22"/>
        </w:rPr>
        <w:t xml:space="preserve">  </w:t>
      </w:r>
      <w:r w:rsidR="006823B4" w:rsidRPr="003511DC">
        <w:rPr>
          <w:sz w:val="22"/>
          <w:szCs w:val="22"/>
        </w:rPr>
        <w:t xml:space="preserve">With respect to future biennial reports, Inclusive Technologies believes that the Commission should </w:t>
      </w:r>
      <w:r w:rsidR="003308A5" w:rsidRPr="00BF0859">
        <w:rPr>
          <w:sz w:val="22"/>
          <w:szCs w:val="22"/>
        </w:rPr>
        <w:t>“</w:t>
      </w:r>
      <w:r w:rsidR="006823B4" w:rsidRPr="00FF1FD9">
        <w:rPr>
          <w:sz w:val="22"/>
          <w:szCs w:val="22"/>
        </w:rPr>
        <w:t>move from anecdotal collection to a more rigorous and data-driven framew</w:t>
      </w:r>
      <w:r w:rsidR="006823B4" w:rsidRPr="006C02D7">
        <w:rPr>
          <w:sz w:val="22"/>
          <w:szCs w:val="22"/>
        </w:rPr>
        <w:t>ork</w:t>
      </w:r>
      <w:r w:rsidR="003308A5" w:rsidRPr="006C02D7">
        <w:rPr>
          <w:sz w:val="22"/>
          <w:szCs w:val="22"/>
        </w:rPr>
        <w:t>”</w:t>
      </w:r>
      <w:r w:rsidR="006823B4" w:rsidRPr="006C02D7">
        <w:rPr>
          <w:sz w:val="22"/>
          <w:szCs w:val="22"/>
        </w:rPr>
        <w:t xml:space="preserve"> to assess the state of information and communication technology (ICT) accessibility and to provide useful policy guidance.</w:t>
      </w:r>
      <w:r w:rsidR="006823B4" w:rsidRPr="008D556C">
        <w:rPr>
          <w:rStyle w:val="FootnoteReference"/>
          <w:sz w:val="22"/>
          <w:szCs w:val="22"/>
        </w:rPr>
        <w:footnoteReference w:id="285"/>
      </w:r>
      <w:r w:rsidR="006823B4" w:rsidRPr="008D556C">
        <w:rPr>
          <w:sz w:val="22"/>
          <w:szCs w:val="22"/>
        </w:rPr>
        <w:t xml:space="preserve">  Inclusive Technologies acknowledges the efforts of the wireless industry to provide information to the public about the accessibility features of their products, and recommends that the Commission encourage other segments of industry </w:t>
      </w:r>
      <w:r w:rsidR="00C71515" w:rsidRPr="003511DC">
        <w:rPr>
          <w:sz w:val="22"/>
          <w:szCs w:val="22"/>
        </w:rPr>
        <w:t xml:space="preserve">(that know their products best) </w:t>
      </w:r>
      <w:r w:rsidR="006823B4" w:rsidRPr="00BF0859">
        <w:rPr>
          <w:sz w:val="22"/>
          <w:szCs w:val="22"/>
        </w:rPr>
        <w:t>to populate similar databases, which could also be used expand the scope of the Commission</w:t>
      </w:r>
      <w:r w:rsidR="003308A5" w:rsidRPr="006C02D7">
        <w:rPr>
          <w:sz w:val="22"/>
          <w:szCs w:val="22"/>
        </w:rPr>
        <w:t>’</w:t>
      </w:r>
      <w:r w:rsidR="006823B4" w:rsidRPr="006C02D7">
        <w:rPr>
          <w:sz w:val="22"/>
          <w:szCs w:val="22"/>
        </w:rPr>
        <w:t>s Accessibility Clearinghouse.</w:t>
      </w:r>
      <w:r w:rsidR="006823B4" w:rsidRPr="008D556C">
        <w:rPr>
          <w:rStyle w:val="FootnoteReference"/>
          <w:sz w:val="22"/>
          <w:szCs w:val="22"/>
        </w:rPr>
        <w:footnoteReference w:id="286"/>
      </w:r>
      <w:r w:rsidR="006823B4" w:rsidRPr="008D556C">
        <w:rPr>
          <w:sz w:val="22"/>
          <w:szCs w:val="22"/>
        </w:rPr>
        <w:t xml:space="preserve">  At the same ti</w:t>
      </w:r>
      <w:r w:rsidR="006823B4" w:rsidRPr="003511DC">
        <w:rPr>
          <w:sz w:val="22"/>
          <w:szCs w:val="22"/>
        </w:rPr>
        <w:t xml:space="preserve">me, Inclusive Technologies recommends that the Commission undertake a research initiative to learn more about the market that accessible ICT is intended to serve, particularly </w:t>
      </w:r>
      <w:r w:rsidR="003308A5" w:rsidRPr="00BF0859">
        <w:rPr>
          <w:sz w:val="22"/>
          <w:szCs w:val="22"/>
        </w:rPr>
        <w:t>“</w:t>
      </w:r>
      <w:r w:rsidR="006823B4" w:rsidRPr="00FF1FD9">
        <w:rPr>
          <w:sz w:val="22"/>
          <w:szCs w:val="22"/>
        </w:rPr>
        <w:t xml:space="preserve">about the people who are </w:t>
      </w:r>
      <w:r w:rsidR="006823B4" w:rsidRPr="006C02D7">
        <w:rPr>
          <w:i/>
          <w:sz w:val="22"/>
          <w:szCs w:val="22"/>
        </w:rPr>
        <w:t>not</w:t>
      </w:r>
      <w:r w:rsidR="006823B4" w:rsidRPr="006C02D7">
        <w:rPr>
          <w:sz w:val="22"/>
          <w:szCs w:val="22"/>
        </w:rPr>
        <w:t xml:space="preserve"> using technology productively.</w:t>
      </w:r>
      <w:r w:rsidR="003308A5" w:rsidRPr="006C02D7">
        <w:rPr>
          <w:sz w:val="22"/>
          <w:szCs w:val="22"/>
        </w:rPr>
        <w:t>”</w:t>
      </w:r>
      <w:r w:rsidR="006823B4" w:rsidRPr="008D556C">
        <w:rPr>
          <w:rStyle w:val="FootnoteReference"/>
          <w:sz w:val="22"/>
          <w:szCs w:val="22"/>
        </w:rPr>
        <w:footnoteReference w:id="287"/>
      </w:r>
      <w:r w:rsidR="003E506A" w:rsidRPr="008D556C">
        <w:rPr>
          <w:sz w:val="22"/>
          <w:szCs w:val="22"/>
        </w:rPr>
        <w:t xml:space="preserve">  Similarly, AFB r</w:t>
      </w:r>
      <w:r w:rsidR="003E506A" w:rsidRPr="003511DC">
        <w:rPr>
          <w:sz w:val="22"/>
          <w:szCs w:val="22"/>
        </w:rPr>
        <w:t xml:space="preserve">ecommends that, in partnership with consumer organizations and industry, the Commission should design and conduct a </w:t>
      </w:r>
      <w:r w:rsidR="003308A5" w:rsidRPr="00BF0859">
        <w:rPr>
          <w:sz w:val="22"/>
          <w:szCs w:val="22"/>
        </w:rPr>
        <w:t>“</w:t>
      </w:r>
      <w:r w:rsidR="003E506A" w:rsidRPr="00FF1FD9">
        <w:rPr>
          <w:sz w:val="22"/>
          <w:szCs w:val="22"/>
        </w:rPr>
        <w:t>thorough market monitoring review</w:t>
      </w:r>
      <w:r w:rsidR="003308A5" w:rsidRPr="006C02D7">
        <w:rPr>
          <w:sz w:val="22"/>
          <w:szCs w:val="22"/>
        </w:rPr>
        <w:t>”</w:t>
      </w:r>
      <w:r w:rsidR="003E506A" w:rsidRPr="006C02D7">
        <w:rPr>
          <w:sz w:val="22"/>
          <w:szCs w:val="22"/>
        </w:rPr>
        <w:t xml:space="preserve"> of accessibility and usability for inclusion in the next biennial report.</w:t>
      </w:r>
      <w:r w:rsidR="003E506A" w:rsidRPr="008D556C">
        <w:rPr>
          <w:rStyle w:val="FootnoteReference"/>
          <w:sz w:val="22"/>
          <w:szCs w:val="22"/>
        </w:rPr>
        <w:footnoteReference w:id="288"/>
      </w:r>
    </w:p>
    <w:p w:rsidR="00A5085E" w:rsidRPr="003511DC" w:rsidRDefault="00A5085E" w:rsidP="00476E6F">
      <w:pPr>
        <w:suppressLineNumbers/>
        <w:suppressAutoHyphens/>
        <w:autoSpaceDE w:val="0"/>
        <w:autoSpaceDN w:val="0"/>
        <w:adjustRightInd w:val="0"/>
        <w:rPr>
          <w:sz w:val="22"/>
          <w:szCs w:val="22"/>
        </w:rPr>
      </w:pPr>
    </w:p>
    <w:p w:rsidR="00E61CF3" w:rsidRPr="009C79E5" w:rsidRDefault="00A5085E" w:rsidP="00476E6F">
      <w:pPr>
        <w:numPr>
          <w:ilvl w:val="0"/>
          <w:numId w:val="2"/>
        </w:numPr>
        <w:suppressLineNumbers/>
        <w:tabs>
          <w:tab w:val="clear" w:pos="720"/>
          <w:tab w:val="num" w:pos="1440"/>
        </w:tabs>
        <w:suppressAutoHyphens/>
        <w:ind w:left="0" w:firstLine="720"/>
        <w:rPr>
          <w:sz w:val="22"/>
          <w:szCs w:val="22"/>
        </w:rPr>
      </w:pPr>
      <w:r w:rsidRPr="00BF0859">
        <w:rPr>
          <w:sz w:val="22"/>
          <w:szCs w:val="22"/>
        </w:rPr>
        <w:t>We wil</w:t>
      </w:r>
      <w:r w:rsidRPr="00FF1FD9">
        <w:rPr>
          <w:sz w:val="22"/>
          <w:szCs w:val="22"/>
        </w:rPr>
        <w:t>l continue to work with consumer, industry, and other stakeholders to identify and obtain the data necessary to effectively inform Congress about accessible telecommunications and advanced communications services and equipment, accessibility barriers in ne</w:t>
      </w:r>
      <w:r w:rsidRPr="006C02D7">
        <w:rPr>
          <w:sz w:val="22"/>
          <w:szCs w:val="22"/>
        </w:rPr>
        <w:t xml:space="preserve">w communications technologies, and the effect of the accessibility recordkeeping and enforcement requirements on the development and deployment of new communications technologies.  </w:t>
      </w:r>
      <w:r w:rsidR="003E506A" w:rsidRPr="009C79E5">
        <w:rPr>
          <w:sz w:val="22"/>
          <w:szCs w:val="22"/>
        </w:rPr>
        <w:t xml:space="preserve">Toward that end, </w:t>
      </w:r>
      <w:r w:rsidR="00270A6B" w:rsidRPr="009C79E5">
        <w:rPr>
          <w:sz w:val="22"/>
          <w:szCs w:val="22"/>
        </w:rPr>
        <w:t>we</w:t>
      </w:r>
      <w:r w:rsidR="003E506A" w:rsidRPr="009C79E5">
        <w:rPr>
          <w:sz w:val="22"/>
          <w:szCs w:val="22"/>
        </w:rPr>
        <w:t xml:space="preserve"> will consider undertaking </w:t>
      </w:r>
      <w:r w:rsidR="00E95B0A" w:rsidRPr="009C79E5">
        <w:rPr>
          <w:sz w:val="22"/>
          <w:szCs w:val="22"/>
        </w:rPr>
        <w:t>new types of</w:t>
      </w:r>
      <w:r w:rsidR="003E506A" w:rsidRPr="009C79E5">
        <w:rPr>
          <w:sz w:val="22"/>
          <w:szCs w:val="22"/>
        </w:rPr>
        <w:t xml:space="preserve"> review</w:t>
      </w:r>
      <w:r w:rsidR="00E95B0A" w:rsidRPr="009C79E5">
        <w:rPr>
          <w:sz w:val="22"/>
          <w:szCs w:val="22"/>
        </w:rPr>
        <w:t>s</w:t>
      </w:r>
      <w:r w:rsidR="003E506A" w:rsidRPr="009C79E5">
        <w:rPr>
          <w:sz w:val="22"/>
          <w:szCs w:val="22"/>
        </w:rPr>
        <w:t xml:space="preserve"> of accessibility and conducting market research in preparation for </w:t>
      </w:r>
      <w:r w:rsidR="00123BB9" w:rsidRPr="009C79E5">
        <w:rPr>
          <w:sz w:val="22"/>
          <w:szCs w:val="22"/>
        </w:rPr>
        <w:t>the next biennial report</w:t>
      </w:r>
      <w:r w:rsidRPr="009C79E5">
        <w:rPr>
          <w:sz w:val="22"/>
          <w:szCs w:val="22"/>
        </w:rPr>
        <w:t>.</w:t>
      </w:r>
    </w:p>
    <w:p w:rsidR="00E61CF3" w:rsidRPr="009C79E5" w:rsidRDefault="00E61CF3" w:rsidP="00476E6F">
      <w:pPr>
        <w:suppressLineNumbers/>
        <w:suppressAutoHyphens/>
        <w:ind w:left="720"/>
        <w:rPr>
          <w:sz w:val="22"/>
          <w:szCs w:val="22"/>
        </w:rPr>
      </w:pPr>
    </w:p>
    <w:p w:rsidR="00E61CF3" w:rsidRPr="009C79E5" w:rsidRDefault="00E61CF3" w:rsidP="00476E6F">
      <w:pPr>
        <w:suppressAutoHyphens/>
        <w:ind w:firstLine="720"/>
        <w:rPr>
          <w:b/>
          <w:sz w:val="22"/>
          <w:szCs w:val="22"/>
        </w:rPr>
      </w:pPr>
      <w:r w:rsidRPr="009C79E5">
        <w:rPr>
          <w:b/>
          <w:sz w:val="22"/>
          <w:szCs w:val="22"/>
        </w:rPr>
        <w:t>III.</w:t>
      </w:r>
      <w:r w:rsidRPr="009C79E5">
        <w:rPr>
          <w:b/>
          <w:sz w:val="22"/>
          <w:szCs w:val="22"/>
        </w:rPr>
        <w:tab/>
        <w:t xml:space="preserve">COMMISSION ACTIONS TO IMPLEMENT THE CVAA </w:t>
      </w:r>
    </w:p>
    <w:p w:rsidR="00E61CF3" w:rsidRPr="009C79E5" w:rsidRDefault="00E61CF3" w:rsidP="00476E6F">
      <w:pPr>
        <w:suppressLineNumbers/>
        <w:suppressAutoHyphens/>
        <w:ind w:left="720"/>
        <w:rPr>
          <w:sz w:val="22"/>
          <w:szCs w:val="22"/>
        </w:rPr>
      </w:pPr>
    </w:p>
    <w:p w:rsidR="00E61CF3" w:rsidRPr="008D556C" w:rsidRDefault="00E61CF3" w:rsidP="00476E6F">
      <w:pPr>
        <w:numPr>
          <w:ilvl w:val="0"/>
          <w:numId w:val="2"/>
        </w:numPr>
        <w:suppressLineNumbers/>
        <w:tabs>
          <w:tab w:val="clear" w:pos="720"/>
          <w:tab w:val="num" w:pos="1440"/>
        </w:tabs>
        <w:suppressAutoHyphens/>
        <w:ind w:left="0" w:firstLine="720"/>
        <w:rPr>
          <w:sz w:val="22"/>
          <w:szCs w:val="22"/>
        </w:rPr>
      </w:pPr>
      <w:r w:rsidRPr="009C79E5">
        <w:rPr>
          <w:sz w:val="22"/>
          <w:szCs w:val="22"/>
        </w:rPr>
        <w:t xml:space="preserve">Since the submission of the </w:t>
      </w:r>
      <w:r w:rsidRPr="009C79E5">
        <w:rPr>
          <w:i/>
          <w:sz w:val="22"/>
          <w:szCs w:val="22"/>
        </w:rPr>
        <w:t>2012 CVAA Biennial Report</w:t>
      </w:r>
      <w:r w:rsidRPr="009C79E5">
        <w:rPr>
          <w:sz w:val="22"/>
          <w:szCs w:val="22"/>
        </w:rPr>
        <w:t xml:space="preserve">, the Commission has continued to work with consumer, industry, and government stakeholders to ensure effective and timely implementation of the CVAA.  </w:t>
      </w:r>
      <w:r w:rsidR="00C50329" w:rsidRPr="009C79E5">
        <w:rPr>
          <w:sz w:val="22"/>
          <w:szCs w:val="22"/>
        </w:rPr>
        <w:t>For example</w:t>
      </w:r>
      <w:r w:rsidRPr="009C79E5">
        <w:rPr>
          <w:sz w:val="22"/>
          <w:szCs w:val="22"/>
        </w:rPr>
        <w:t>, as described further below, the Commission has taken the following actions:</w:t>
      </w:r>
      <w:r w:rsidRPr="008D556C">
        <w:rPr>
          <w:rStyle w:val="FootnoteReference"/>
          <w:sz w:val="22"/>
          <w:szCs w:val="22"/>
        </w:rPr>
        <w:footnoteReference w:id="289"/>
      </w:r>
      <w:r w:rsidRPr="008D556C">
        <w:rPr>
          <w:sz w:val="22"/>
          <w:szCs w:val="22"/>
        </w:rPr>
        <w:t xml:space="preserve"> </w:t>
      </w:r>
    </w:p>
    <w:p w:rsidR="00E61CF3" w:rsidRPr="003511DC" w:rsidRDefault="00E61CF3" w:rsidP="00476E6F">
      <w:pPr>
        <w:suppressLineNumbers/>
        <w:suppressAutoHyphens/>
        <w:ind w:left="720"/>
        <w:rPr>
          <w:sz w:val="22"/>
          <w:szCs w:val="22"/>
        </w:rPr>
      </w:pPr>
    </w:p>
    <w:p w:rsidR="00E61CF3" w:rsidRPr="006C02D7" w:rsidRDefault="00E61CF3" w:rsidP="00476E6F">
      <w:pPr>
        <w:pStyle w:val="ListParagraph"/>
        <w:numPr>
          <w:ilvl w:val="0"/>
          <w:numId w:val="11"/>
        </w:numPr>
        <w:tabs>
          <w:tab w:val="clear" w:pos="360"/>
          <w:tab w:val="num" w:pos="1080"/>
        </w:tabs>
        <w:suppressAutoHyphens/>
        <w:spacing w:after="0" w:line="240" w:lineRule="auto"/>
        <w:ind w:left="1080" w:hanging="360"/>
        <w:contextualSpacing w:val="0"/>
        <w:rPr>
          <w:rFonts w:ascii="Times New Roman" w:hAnsi="Times New Roman"/>
        </w:rPr>
      </w:pPr>
      <w:r w:rsidRPr="00BF0859">
        <w:rPr>
          <w:rFonts w:ascii="Times New Roman" w:hAnsi="Times New Roman"/>
        </w:rPr>
        <w:t xml:space="preserve">Issued multiple public notices and </w:t>
      </w:r>
      <w:r w:rsidR="009F57F2" w:rsidRPr="00FF1FD9">
        <w:rPr>
          <w:rFonts w:ascii="Times New Roman" w:hAnsi="Times New Roman"/>
        </w:rPr>
        <w:t xml:space="preserve">10 </w:t>
      </w:r>
      <w:r w:rsidRPr="006C02D7">
        <w:rPr>
          <w:rFonts w:ascii="Times New Roman" w:hAnsi="Times New Roman"/>
        </w:rPr>
        <w:t>notices of proposed rulemaking seeking comment on CVAA-related issues; and</w:t>
      </w:r>
    </w:p>
    <w:p w:rsidR="00E61CF3" w:rsidRPr="009C79E5" w:rsidRDefault="00E61CF3" w:rsidP="00476E6F">
      <w:pPr>
        <w:shd w:val="clear" w:color="auto" w:fill="FFFFFF"/>
        <w:suppressAutoHyphens/>
        <w:ind w:left="720"/>
        <w:rPr>
          <w:sz w:val="22"/>
          <w:szCs w:val="22"/>
        </w:rPr>
      </w:pPr>
    </w:p>
    <w:p w:rsidR="00E61CF3" w:rsidRPr="009C79E5" w:rsidRDefault="00E61CF3" w:rsidP="00476E6F">
      <w:pPr>
        <w:pStyle w:val="ListParagraph"/>
        <w:numPr>
          <w:ilvl w:val="0"/>
          <w:numId w:val="11"/>
        </w:numPr>
        <w:tabs>
          <w:tab w:val="clear" w:pos="360"/>
          <w:tab w:val="num" w:pos="1080"/>
        </w:tabs>
        <w:suppressAutoHyphens/>
        <w:spacing w:after="0" w:line="240" w:lineRule="auto"/>
        <w:ind w:left="1080" w:hanging="360"/>
        <w:contextualSpacing w:val="0"/>
        <w:rPr>
          <w:rFonts w:ascii="Times New Roman" w:hAnsi="Times New Roman"/>
        </w:rPr>
      </w:pPr>
      <w:r w:rsidRPr="009C79E5">
        <w:rPr>
          <w:rFonts w:ascii="Times New Roman" w:hAnsi="Times New Roman"/>
        </w:rPr>
        <w:t xml:space="preserve">Released </w:t>
      </w:r>
      <w:r w:rsidR="00643C47" w:rsidRPr="009C79E5">
        <w:rPr>
          <w:rFonts w:ascii="Times New Roman" w:hAnsi="Times New Roman"/>
        </w:rPr>
        <w:t>eight</w:t>
      </w:r>
      <w:r w:rsidR="009F57F2" w:rsidRPr="009C79E5">
        <w:rPr>
          <w:rFonts w:ascii="Times New Roman" w:hAnsi="Times New Roman"/>
        </w:rPr>
        <w:t xml:space="preserve"> </w:t>
      </w:r>
      <w:r w:rsidRPr="009C79E5">
        <w:rPr>
          <w:rFonts w:ascii="Times New Roman" w:hAnsi="Times New Roman"/>
        </w:rPr>
        <w:t>reports and orders adopting rules or taking other actions to implement various provisions of the CVAA.</w:t>
      </w:r>
      <w:r w:rsidRPr="009C79E5">
        <w:rPr>
          <w:rStyle w:val="FootnoteReference"/>
          <w:rFonts w:ascii="Times New Roman" w:hAnsi="Times New Roman"/>
        </w:rPr>
        <w:footnoteReference w:id="290"/>
      </w:r>
    </w:p>
    <w:p w:rsidR="00E61CF3" w:rsidRPr="009C79E5" w:rsidRDefault="00E61CF3" w:rsidP="00476E6F">
      <w:pPr>
        <w:pStyle w:val="ListParagraph"/>
        <w:suppressAutoHyphens/>
        <w:spacing w:after="0" w:line="240" w:lineRule="auto"/>
        <w:ind w:left="1080"/>
        <w:rPr>
          <w:rFonts w:ascii="Times New Roman" w:hAnsi="Times New Roman"/>
        </w:rPr>
      </w:pPr>
    </w:p>
    <w:p w:rsidR="00E61CF3" w:rsidRPr="008D556C" w:rsidRDefault="00E61CF3" w:rsidP="00476E6F">
      <w:pPr>
        <w:numPr>
          <w:ilvl w:val="0"/>
          <w:numId w:val="2"/>
        </w:numPr>
        <w:suppressLineNumbers/>
        <w:tabs>
          <w:tab w:val="clear" w:pos="720"/>
          <w:tab w:val="num" w:pos="1440"/>
        </w:tabs>
        <w:suppressAutoHyphens/>
        <w:ind w:left="0" w:firstLine="720"/>
        <w:rPr>
          <w:sz w:val="22"/>
          <w:szCs w:val="22"/>
        </w:rPr>
      </w:pPr>
      <w:r w:rsidRPr="009C79E5">
        <w:rPr>
          <w:sz w:val="22"/>
          <w:szCs w:val="22"/>
        </w:rPr>
        <w:t>Resources throughout the Commission have contributed to this effort, reflecting the Commission’s ongoing commitment to ensuring access to communications and video programming for millions of Americans with disabilities.  To date, the Commission</w:t>
      </w:r>
      <w:r w:rsidR="00924FE2" w:rsidRPr="009C79E5">
        <w:rPr>
          <w:sz w:val="22"/>
          <w:szCs w:val="22"/>
        </w:rPr>
        <w:t xml:space="preserve"> has </w:t>
      </w:r>
      <w:r w:rsidRPr="009C79E5">
        <w:rPr>
          <w:sz w:val="22"/>
          <w:szCs w:val="22"/>
        </w:rPr>
        <w:t>met every one of the CVAA’s rigorous rulemaking deadlines, where feasible.</w:t>
      </w:r>
      <w:r w:rsidRPr="008D556C">
        <w:rPr>
          <w:rStyle w:val="FootnoteReference"/>
          <w:sz w:val="22"/>
          <w:szCs w:val="22"/>
        </w:rPr>
        <w:footnoteReference w:id="291"/>
      </w:r>
      <w:r w:rsidRPr="008D556C">
        <w:rPr>
          <w:sz w:val="22"/>
          <w:szCs w:val="22"/>
        </w:rPr>
        <w:t xml:space="preserve">  </w:t>
      </w:r>
    </w:p>
    <w:p w:rsidR="00E61CF3" w:rsidRPr="008D556C" w:rsidRDefault="00E61CF3" w:rsidP="00476E6F">
      <w:pPr>
        <w:suppressLineNumbers/>
        <w:suppressAutoHyphens/>
        <w:ind w:left="720"/>
        <w:rPr>
          <w:sz w:val="22"/>
          <w:szCs w:val="22"/>
        </w:rPr>
      </w:pPr>
    </w:p>
    <w:p w:rsidR="00E61CF3" w:rsidRPr="009C79E5" w:rsidRDefault="00E61CF3" w:rsidP="00476E6F">
      <w:pPr>
        <w:suppressAutoHyphens/>
        <w:ind w:firstLine="720"/>
        <w:rPr>
          <w:b/>
          <w:sz w:val="22"/>
          <w:szCs w:val="22"/>
        </w:rPr>
      </w:pPr>
      <w:r w:rsidRPr="003511DC">
        <w:rPr>
          <w:b/>
          <w:sz w:val="22"/>
          <w:szCs w:val="22"/>
        </w:rPr>
        <w:t>A.</w:t>
      </w:r>
      <w:r w:rsidRPr="003511DC">
        <w:rPr>
          <w:b/>
          <w:sz w:val="22"/>
          <w:szCs w:val="22"/>
        </w:rPr>
        <w:tab/>
        <w:t xml:space="preserve">Section 102.  Hearing </w:t>
      </w:r>
      <w:r w:rsidR="0072164E" w:rsidRPr="00FF1FD9">
        <w:rPr>
          <w:b/>
          <w:sz w:val="22"/>
          <w:szCs w:val="22"/>
        </w:rPr>
        <w:t>A</w:t>
      </w:r>
      <w:r w:rsidRPr="006C02D7">
        <w:rPr>
          <w:b/>
          <w:sz w:val="22"/>
          <w:szCs w:val="22"/>
        </w:rPr>
        <w:t xml:space="preserve">id </w:t>
      </w:r>
      <w:r w:rsidR="0072164E" w:rsidRPr="006C02D7">
        <w:rPr>
          <w:b/>
          <w:sz w:val="22"/>
          <w:szCs w:val="22"/>
        </w:rPr>
        <w:t>C</w:t>
      </w:r>
      <w:r w:rsidRPr="009C5E08">
        <w:rPr>
          <w:b/>
          <w:sz w:val="22"/>
          <w:szCs w:val="22"/>
        </w:rPr>
        <w:t>ompatibility</w:t>
      </w:r>
      <w:r w:rsidRPr="009C79E5">
        <w:rPr>
          <w:b/>
          <w:sz w:val="22"/>
          <w:szCs w:val="22"/>
        </w:rPr>
        <w:t xml:space="preserve"> </w:t>
      </w:r>
    </w:p>
    <w:p w:rsidR="00E61CF3" w:rsidRPr="009C79E5" w:rsidRDefault="00E61CF3" w:rsidP="00476E6F">
      <w:pPr>
        <w:suppressLineNumbers/>
        <w:suppressAutoHyphens/>
        <w:ind w:left="720"/>
        <w:rPr>
          <w:sz w:val="22"/>
          <w:szCs w:val="22"/>
        </w:rPr>
      </w:pPr>
    </w:p>
    <w:p w:rsidR="00E61CF3" w:rsidRPr="008D556C" w:rsidRDefault="00E61CF3" w:rsidP="00476E6F">
      <w:pPr>
        <w:numPr>
          <w:ilvl w:val="0"/>
          <w:numId w:val="2"/>
        </w:numPr>
        <w:suppressLineNumbers/>
        <w:tabs>
          <w:tab w:val="clear" w:pos="720"/>
          <w:tab w:val="num" w:pos="1440"/>
        </w:tabs>
        <w:suppressAutoHyphens/>
        <w:ind w:left="0" w:firstLine="720"/>
        <w:rPr>
          <w:sz w:val="22"/>
          <w:szCs w:val="22"/>
        </w:rPr>
      </w:pPr>
      <w:r w:rsidRPr="009C79E5">
        <w:rPr>
          <w:sz w:val="22"/>
          <w:szCs w:val="22"/>
        </w:rPr>
        <w:t>Section 710 of the Act and the Commission’s rules require all wireline phones to be hearing aid compatible (HAC) and specify benchmarks by which certain percentages of wireless handsets must be compliant with American National Standards Institute (ANSI) technical standards for compatibility with hearing aids operating in both acoustic coupling and inductive coupling modes.</w:t>
      </w:r>
      <w:r w:rsidRPr="008D556C">
        <w:rPr>
          <w:rStyle w:val="FootnoteReference"/>
          <w:sz w:val="22"/>
          <w:szCs w:val="22"/>
        </w:rPr>
        <w:footnoteReference w:id="292"/>
      </w:r>
      <w:r w:rsidRPr="008D556C">
        <w:rPr>
          <w:sz w:val="22"/>
          <w:szCs w:val="22"/>
        </w:rPr>
        <w:t xml:space="preserve">  These benchmarks apply separately to each air interface for which the manufacturer or service provider offers handset</w:t>
      </w:r>
      <w:r w:rsidRPr="003511DC">
        <w:rPr>
          <w:sz w:val="22"/>
          <w:szCs w:val="22"/>
        </w:rPr>
        <w:t>s.</w:t>
      </w:r>
      <w:r w:rsidRPr="008D556C">
        <w:rPr>
          <w:rStyle w:val="FootnoteReference"/>
          <w:sz w:val="22"/>
          <w:szCs w:val="22"/>
        </w:rPr>
        <w:footnoteReference w:id="293"/>
      </w:r>
      <w:r w:rsidRPr="008D556C">
        <w:rPr>
          <w:sz w:val="22"/>
          <w:szCs w:val="22"/>
        </w:rPr>
        <w:t xml:space="preserve">  Section 102(a)(1)</w:t>
      </w:r>
      <w:r w:rsidRPr="003511DC">
        <w:rPr>
          <w:sz w:val="22"/>
          <w:szCs w:val="22"/>
        </w:rPr>
        <w:t xml:space="preserve"> of the CVAA amends Section 710 to extend these HAC requirements to customer premises equipment (CPE) “used with advanced communications services that is designed to provide 2</w:t>
      </w:r>
      <w:r w:rsidRPr="003511DC">
        <w:rPr>
          <w:sz w:val="22"/>
          <w:szCs w:val="22"/>
        </w:rPr>
        <w:noBreakHyphen/>
        <w:t>way voice communication via a built-in speaker intended to</w:t>
      </w:r>
      <w:r w:rsidRPr="00BF0859">
        <w:rPr>
          <w:sz w:val="22"/>
          <w:szCs w:val="22"/>
        </w:rPr>
        <w:t xml:space="preserve"> be held to the ear in a manner functionally equivalent to a telephone, subject to the regulations prescribed by the Commission under [Section 710(e)].”</w:t>
      </w:r>
      <w:r w:rsidRPr="008D556C">
        <w:rPr>
          <w:rStyle w:val="FootnoteReference"/>
          <w:sz w:val="22"/>
          <w:szCs w:val="22"/>
        </w:rPr>
        <w:footnoteReference w:id="294"/>
      </w:r>
      <w:r w:rsidRPr="008D556C">
        <w:rPr>
          <w:sz w:val="22"/>
          <w:szCs w:val="22"/>
        </w:rPr>
        <w:t xml:space="preserve">  Section 102(b) of the CVAA provides that CPE that is compliant with technical standards developed thr</w:t>
      </w:r>
      <w:r w:rsidRPr="003511DC">
        <w:rPr>
          <w:sz w:val="22"/>
          <w:szCs w:val="22"/>
        </w:rPr>
        <w:t>ough a public particip</w:t>
      </w:r>
      <w:r w:rsidRPr="00BF0859">
        <w:rPr>
          <w:sz w:val="22"/>
          <w:szCs w:val="22"/>
        </w:rPr>
        <w:t>ation process and in consultation with interested consumer stakeholders designated by the Commission will be considered hearing aid compatible for purposes of section 710, until such time as the Commission may designate otherwise.</w:t>
      </w:r>
      <w:r w:rsidRPr="008D556C">
        <w:rPr>
          <w:rStyle w:val="FootnoteReference"/>
          <w:sz w:val="22"/>
          <w:szCs w:val="22"/>
        </w:rPr>
        <w:footnoteReference w:id="295"/>
      </w:r>
      <w:r w:rsidRPr="008D556C">
        <w:rPr>
          <w:sz w:val="22"/>
          <w:szCs w:val="22"/>
        </w:rPr>
        <w:t xml:space="preserve">  F</w:t>
      </w:r>
      <w:r w:rsidRPr="003511DC">
        <w:rPr>
          <w:sz w:val="22"/>
          <w:szCs w:val="22"/>
        </w:rPr>
        <w:t>inally, Section 102(a)</w:t>
      </w:r>
      <w:r w:rsidRPr="00BF0859">
        <w:rPr>
          <w:sz w:val="22"/>
          <w:szCs w:val="22"/>
        </w:rPr>
        <w:t>(2) creates a requirement for the Commission to periodically assess the exemptions for telephones and CPE that the Commission has applied pursuant to the Act.</w:t>
      </w:r>
      <w:r w:rsidRPr="008D556C">
        <w:rPr>
          <w:rStyle w:val="FootnoteReference"/>
          <w:sz w:val="22"/>
          <w:szCs w:val="22"/>
        </w:rPr>
        <w:footnoteReference w:id="296"/>
      </w:r>
    </w:p>
    <w:p w:rsidR="00E61CF3" w:rsidRPr="003511DC" w:rsidRDefault="00E61CF3" w:rsidP="00476E6F">
      <w:pPr>
        <w:suppressLineNumbers/>
        <w:suppressAutoHyphens/>
        <w:ind w:left="720"/>
        <w:rPr>
          <w:sz w:val="22"/>
          <w:szCs w:val="22"/>
        </w:rPr>
      </w:pPr>
    </w:p>
    <w:p w:rsidR="00E61CF3" w:rsidRPr="008D556C" w:rsidRDefault="00E61CF3" w:rsidP="00476E6F">
      <w:pPr>
        <w:numPr>
          <w:ilvl w:val="0"/>
          <w:numId w:val="2"/>
        </w:numPr>
        <w:suppressLineNumbers/>
        <w:tabs>
          <w:tab w:val="clear" w:pos="720"/>
          <w:tab w:val="num" w:pos="1440"/>
        </w:tabs>
        <w:suppressAutoHyphens/>
        <w:ind w:left="0" w:firstLine="720"/>
        <w:rPr>
          <w:sz w:val="22"/>
          <w:szCs w:val="22"/>
        </w:rPr>
      </w:pPr>
      <w:r w:rsidRPr="00BF0859">
        <w:rPr>
          <w:i/>
          <w:sz w:val="22"/>
          <w:szCs w:val="22"/>
        </w:rPr>
        <w:t>Volume Control Standard for Wireline Telephones</w:t>
      </w:r>
      <w:r w:rsidRPr="00FF1FD9">
        <w:rPr>
          <w:sz w:val="22"/>
          <w:szCs w:val="22"/>
        </w:rPr>
        <w:t xml:space="preserve">.  </w:t>
      </w:r>
      <w:r w:rsidR="006736AA" w:rsidRPr="006C02D7">
        <w:rPr>
          <w:sz w:val="22"/>
          <w:szCs w:val="22"/>
        </w:rPr>
        <w:t xml:space="preserve">Since the </w:t>
      </w:r>
      <w:r w:rsidR="006736AA" w:rsidRPr="006C02D7">
        <w:rPr>
          <w:i/>
          <w:sz w:val="22"/>
          <w:szCs w:val="22"/>
        </w:rPr>
        <w:t>2012 CVAA Biennial Report</w:t>
      </w:r>
      <w:r w:rsidR="006736AA" w:rsidRPr="009C5E08">
        <w:rPr>
          <w:sz w:val="22"/>
          <w:szCs w:val="22"/>
        </w:rPr>
        <w:t>, on</w:t>
      </w:r>
      <w:r w:rsidRPr="009C79E5">
        <w:rPr>
          <w:sz w:val="22"/>
          <w:szCs w:val="22"/>
        </w:rPr>
        <w:t xml:space="preserve"> October 25, 2012, TIA filed a petition for rulemaking requesting that the Commission modify its rules relating to standards for HAC volume control (Petition).</w:t>
      </w:r>
      <w:r w:rsidRPr="009C79E5">
        <w:rPr>
          <w:rStyle w:val="FootnoteReference2"/>
          <w:color w:val="auto"/>
          <w:szCs w:val="22"/>
        </w:rPr>
        <w:footnoteReference w:id="297"/>
      </w:r>
      <w:r w:rsidRPr="008D556C">
        <w:rPr>
          <w:sz w:val="22"/>
          <w:szCs w:val="22"/>
        </w:rPr>
        <w:t xml:space="preserve">  In its Petition, TIA requests that the Commission update relevant Part 68 refe</w:t>
      </w:r>
      <w:r w:rsidRPr="003511DC">
        <w:rPr>
          <w:sz w:val="22"/>
          <w:szCs w:val="22"/>
        </w:rPr>
        <w:t xml:space="preserve">rences to incorporate </w:t>
      </w:r>
      <w:r w:rsidRPr="00BF0859">
        <w:rPr>
          <w:sz w:val="22"/>
          <w:szCs w:val="22"/>
        </w:rPr>
        <w:t>the most recent TIA standard – ANSI/TIA-4965 – over a two-year phase-in period, to allow persons with hearing loss to achieve a more consistent experience for amplified gain level.</w:t>
      </w:r>
      <w:r w:rsidRPr="009C79E5">
        <w:rPr>
          <w:rStyle w:val="FootnoteReference2"/>
          <w:color w:val="auto"/>
          <w:szCs w:val="22"/>
        </w:rPr>
        <w:footnoteReference w:id="298"/>
      </w:r>
      <w:r w:rsidRPr="008D556C">
        <w:rPr>
          <w:sz w:val="22"/>
          <w:szCs w:val="22"/>
        </w:rPr>
        <w:t xml:space="preserve">  TIA also asks the Commission to incorporate this st</w:t>
      </w:r>
      <w:r w:rsidRPr="003511DC">
        <w:rPr>
          <w:sz w:val="22"/>
          <w:szCs w:val="22"/>
        </w:rPr>
        <w:t>andard into Part 68 in</w:t>
      </w:r>
      <w:r w:rsidRPr="00BF0859">
        <w:rPr>
          <w:sz w:val="22"/>
          <w:szCs w:val="22"/>
        </w:rPr>
        <w:t xml:space="preserve"> a manner that would allow the standard to be updated as needed, without additional rulemakings,</w:t>
      </w:r>
      <w:r w:rsidRPr="009C79E5">
        <w:rPr>
          <w:rStyle w:val="FootnoteReference2"/>
          <w:color w:val="auto"/>
          <w:szCs w:val="22"/>
        </w:rPr>
        <w:footnoteReference w:id="299"/>
      </w:r>
      <w:r w:rsidRPr="008D556C">
        <w:rPr>
          <w:sz w:val="22"/>
          <w:szCs w:val="22"/>
        </w:rPr>
        <w:t xml:space="preserve"> and that the Commission clarify that this standard covers interconnected VoIP telephones.</w:t>
      </w:r>
      <w:r w:rsidRPr="009C79E5">
        <w:rPr>
          <w:rStyle w:val="FootnoteReference2"/>
          <w:color w:val="auto"/>
          <w:szCs w:val="22"/>
        </w:rPr>
        <w:footnoteReference w:id="300"/>
      </w:r>
      <w:r w:rsidRPr="008D556C">
        <w:rPr>
          <w:sz w:val="22"/>
          <w:szCs w:val="22"/>
        </w:rPr>
        <w:t xml:space="preserve">  TIA also requests that the Commission height</w:t>
      </w:r>
      <w:r w:rsidRPr="003511DC">
        <w:rPr>
          <w:sz w:val="22"/>
          <w:szCs w:val="22"/>
        </w:rPr>
        <w:t>en enforcement of Part</w:t>
      </w:r>
      <w:r w:rsidRPr="00BF0859">
        <w:rPr>
          <w:sz w:val="22"/>
          <w:szCs w:val="22"/>
        </w:rPr>
        <w:t xml:space="preserve"> 68 rules generally.</w:t>
      </w:r>
      <w:r w:rsidRPr="009C79E5">
        <w:rPr>
          <w:rStyle w:val="FootnoteReference2"/>
          <w:color w:val="auto"/>
          <w:szCs w:val="22"/>
        </w:rPr>
        <w:footnoteReference w:id="301"/>
      </w:r>
      <w:r w:rsidRPr="008D556C">
        <w:rPr>
          <w:sz w:val="22"/>
          <w:szCs w:val="22"/>
        </w:rPr>
        <w:t xml:space="preserve">  TIA claims that incorporation of the new standard would also improve access for hard of hearing consumers to emergency services, lead to harmonization across agencies and internationally,</w:t>
      </w:r>
      <w:r w:rsidRPr="009C79E5">
        <w:rPr>
          <w:rStyle w:val="FootnoteReference2"/>
          <w:color w:val="auto"/>
          <w:szCs w:val="22"/>
        </w:rPr>
        <w:footnoteReference w:id="302"/>
      </w:r>
      <w:r w:rsidRPr="008D556C">
        <w:rPr>
          <w:sz w:val="22"/>
          <w:szCs w:val="22"/>
        </w:rPr>
        <w:t xml:space="preserve"> and provide regulatory</w:t>
      </w:r>
      <w:r w:rsidRPr="003511DC">
        <w:rPr>
          <w:sz w:val="22"/>
          <w:szCs w:val="22"/>
        </w:rPr>
        <w:t xml:space="preserve"> certainty for manufac</w:t>
      </w:r>
      <w:r w:rsidRPr="00BF0859">
        <w:rPr>
          <w:sz w:val="22"/>
          <w:szCs w:val="22"/>
        </w:rPr>
        <w:t xml:space="preserve">turers who seek to comply </w:t>
      </w:r>
      <w:bookmarkStart w:id="1" w:name="GoBack"/>
      <w:bookmarkEnd w:id="1"/>
      <w:r w:rsidRPr="00BF0859">
        <w:rPr>
          <w:sz w:val="22"/>
          <w:szCs w:val="22"/>
        </w:rPr>
        <w:t>with Part 68.</w:t>
      </w:r>
      <w:r w:rsidRPr="009C79E5">
        <w:rPr>
          <w:rStyle w:val="FootnoteReference2"/>
          <w:color w:val="auto"/>
          <w:szCs w:val="22"/>
        </w:rPr>
        <w:footnoteReference w:id="303"/>
      </w:r>
      <w:r w:rsidRPr="008D556C">
        <w:rPr>
          <w:sz w:val="22"/>
          <w:szCs w:val="22"/>
        </w:rPr>
        <w:t xml:space="preserve">  On July 19, 2013, CGB released a public notice seeking comment on the TIA Petition.</w:t>
      </w:r>
      <w:r w:rsidRPr="008D556C">
        <w:rPr>
          <w:rStyle w:val="FootnoteReference"/>
          <w:sz w:val="22"/>
          <w:szCs w:val="22"/>
        </w:rPr>
        <w:footnoteReference w:id="304"/>
      </w:r>
      <w:r w:rsidRPr="008D556C">
        <w:rPr>
          <w:sz w:val="22"/>
          <w:szCs w:val="22"/>
        </w:rPr>
        <w:t xml:space="preserve">  This matter is now pending with the Commission.</w:t>
      </w:r>
    </w:p>
    <w:p w:rsidR="00E61CF3" w:rsidRPr="003511DC" w:rsidRDefault="00E61CF3" w:rsidP="00476E6F">
      <w:pPr>
        <w:suppressLineNumbers/>
        <w:suppressAutoHyphens/>
        <w:ind w:left="720"/>
        <w:rPr>
          <w:sz w:val="22"/>
          <w:szCs w:val="22"/>
        </w:rPr>
      </w:pPr>
    </w:p>
    <w:p w:rsidR="00E61CF3" w:rsidRPr="006C02D7" w:rsidRDefault="00E61CF3" w:rsidP="00476E6F">
      <w:pPr>
        <w:suppressAutoHyphens/>
        <w:ind w:firstLine="720"/>
        <w:rPr>
          <w:b/>
          <w:sz w:val="22"/>
          <w:szCs w:val="22"/>
        </w:rPr>
      </w:pPr>
      <w:r w:rsidRPr="00BF0859">
        <w:rPr>
          <w:b/>
          <w:sz w:val="22"/>
          <w:szCs w:val="22"/>
        </w:rPr>
        <w:t>B.</w:t>
      </w:r>
      <w:r w:rsidRPr="00BF0859">
        <w:rPr>
          <w:b/>
          <w:sz w:val="22"/>
          <w:szCs w:val="22"/>
        </w:rPr>
        <w:tab/>
        <w:t xml:space="preserve">Section 103.  Relay </w:t>
      </w:r>
      <w:r w:rsidR="0072164E" w:rsidRPr="006C02D7">
        <w:rPr>
          <w:b/>
          <w:sz w:val="22"/>
          <w:szCs w:val="22"/>
        </w:rPr>
        <w:t>S</w:t>
      </w:r>
      <w:r w:rsidRPr="006C02D7">
        <w:rPr>
          <w:b/>
          <w:sz w:val="22"/>
          <w:szCs w:val="22"/>
        </w:rPr>
        <w:t xml:space="preserve">ervices  </w:t>
      </w:r>
    </w:p>
    <w:p w:rsidR="00E61CF3" w:rsidRPr="009C79E5" w:rsidRDefault="00E61CF3" w:rsidP="00476E6F">
      <w:pPr>
        <w:suppressLineNumbers/>
        <w:suppressAutoHyphens/>
        <w:ind w:left="720"/>
        <w:rPr>
          <w:sz w:val="22"/>
          <w:szCs w:val="22"/>
        </w:rPr>
      </w:pPr>
    </w:p>
    <w:p w:rsidR="00E61CF3" w:rsidRPr="008D556C" w:rsidRDefault="00E61CF3" w:rsidP="00476E6F">
      <w:pPr>
        <w:numPr>
          <w:ilvl w:val="0"/>
          <w:numId w:val="2"/>
        </w:numPr>
        <w:suppressLineNumbers/>
        <w:tabs>
          <w:tab w:val="clear" w:pos="720"/>
          <w:tab w:val="num" w:pos="1440"/>
        </w:tabs>
        <w:suppressAutoHyphens/>
        <w:ind w:left="0" w:firstLine="720"/>
        <w:rPr>
          <w:sz w:val="22"/>
          <w:szCs w:val="22"/>
        </w:rPr>
      </w:pPr>
      <w:r w:rsidRPr="009C79E5">
        <w:rPr>
          <w:sz w:val="22"/>
          <w:szCs w:val="22"/>
        </w:rPr>
        <w:t>Section 103(a) of the CVAA revises the definition of telecommunications relay services (TRS) and Section 103(b) requires voice over Internet protocol (VoIP) service providers to contribute to the interstate telecommunications relay service fund (TRS Fund).</w:t>
      </w:r>
      <w:r w:rsidRPr="008D556C">
        <w:rPr>
          <w:rStyle w:val="FootnoteReference"/>
          <w:sz w:val="22"/>
          <w:szCs w:val="22"/>
        </w:rPr>
        <w:footnoteReference w:id="305"/>
      </w:r>
    </w:p>
    <w:p w:rsidR="00E61CF3" w:rsidRPr="003511DC" w:rsidRDefault="00E61CF3" w:rsidP="00476E6F">
      <w:pPr>
        <w:suppressLineNumbers/>
        <w:suppressAutoHyphens/>
        <w:ind w:left="720"/>
        <w:rPr>
          <w:sz w:val="22"/>
          <w:szCs w:val="22"/>
        </w:rPr>
      </w:pPr>
    </w:p>
    <w:p w:rsidR="00E61CF3" w:rsidRPr="009C79E5" w:rsidRDefault="00E61CF3" w:rsidP="00476E6F">
      <w:pPr>
        <w:numPr>
          <w:ilvl w:val="0"/>
          <w:numId w:val="2"/>
        </w:numPr>
        <w:suppressLineNumbers/>
        <w:tabs>
          <w:tab w:val="clear" w:pos="720"/>
          <w:tab w:val="num" w:pos="1440"/>
        </w:tabs>
        <w:suppressAutoHyphens/>
        <w:ind w:left="0" w:firstLine="720"/>
        <w:rPr>
          <w:sz w:val="22"/>
          <w:szCs w:val="22"/>
        </w:rPr>
      </w:pPr>
      <w:r w:rsidRPr="00BF0859">
        <w:rPr>
          <w:i/>
          <w:sz w:val="22"/>
          <w:szCs w:val="22"/>
        </w:rPr>
        <w:t>Definition of TRS</w:t>
      </w:r>
      <w:r w:rsidRPr="00FF1FD9">
        <w:rPr>
          <w:sz w:val="22"/>
          <w:szCs w:val="22"/>
        </w:rPr>
        <w:t>.  The amended definition specifically identifies and includes individuals who are deaf-blind within the categories of individuals that are covered by the TRS provisions of the Act.</w:t>
      </w:r>
      <w:r w:rsidRPr="008D556C">
        <w:rPr>
          <w:rStyle w:val="FootnoteReference"/>
          <w:sz w:val="22"/>
          <w:szCs w:val="22"/>
        </w:rPr>
        <w:footnoteReference w:id="306"/>
      </w:r>
      <w:r w:rsidRPr="008D556C">
        <w:rPr>
          <w:sz w:val="22"/>
          <w:szCs w:val="22"/>
        </w:rPr>
        <w:t xml:space="preserve">  </w:t>
      </w:r>
      <w:r w:rsidR="006736AA" w:rsidRPr="003511DC">
        <w:rPr>
          <w:sz w:val="22"/>
          <w:szCs w:val="22"/>
        </w:rPr>
        <w:t xml:space="preserve">Since the </w:t>
      </w:r>
      <w:r w:rsidR="006736AA" w:rsidRPr="00BF0859">
        <w:rPr>
          <w:i/>
          <w:sz w:val="22"/>
          <w:szCs w:val="22"/>
        </w:rPr>
        <w:t>2012 CVAA Biennial Report</w:t>
      </w:r>
      <w:r w:rsidR="006736AA" w:rsidRPr="00FF1FD9">
        <w:rPr>
          <w:sz w:val="22"/>
          <w:szCs w:val="22"/>
        </w:rPr>
        <w:t>, on July 29, 2014, t</w:t>
      </w:r>
      <w:r w:rsidRPr="006C02D7">
        <w:rPr>
          <w:sz w:val="22"/>
          <w:szCs w:val="22"/>
        </w:rPr>
        <w:t>he Commission met with members and representatives of DeafBlind Citizens in Action (DBCA).  Commission staff also hosted an information booth, made presentations, and participated in the International Deaf-Blind Expo in Las Vegas, Nevada, on August 1-2, 2014.  The Commiss</w:t>
      </w:r>
      <w:r w:rsidRPr="009C79E5">
        <w:rPr>
          <w:sz w:val="22"/>
          <w:szCs w:val="22"/>
        </w:rPr>
        <w:t xml:space="preserve">ion engaged in these activities to learn more about the unique and varied communications technology challenges faced by individuals who are deaf-blind, as well as possible solutions to those challenges.  The Commission is committed to continuing efforts to ensure access to communications by this underserved population. </w:t>
      </w:r>
    </w:p>
    <w:p w:rsidR="00E61CF3" w:rsidRPr="009C79E5" w:rsidRDefault="00E61CF3" w:rsidP="00476E6F">
      <w:pPr>
        <w:suppressLineNumbers/>
        <w:suppressAutoHyphens/>
        <w:rPr>
          <w:sz w:val="22"/>
          <w:szCs w:val="22"/>
        </w:rPr>
      </w:pPr>
    </w:p>
    <w:p w:rsidR="00E61CF3" w:rsidRPr="008D556C" w:rsidRDefault="00E61CF3" w:rsidP="00476E6F">
      <w:pPr>
        <w:numPr>
          <w:ilvl w:val="0"/>
          <w:numId w:val="2"/>
        </w:numPr>
        <w:suppressLineNumbers/>
        <w:tabs>
          <w:tab w:val="clear" w:pos="720"/>
          <w:tab w:val="num" w:pos="1440"/>
        </w:tabs>
        <w:suppressAutoHyphens/>
        <w:ind w:left="0" w:firstLine="720"/>
        <w:rPr>
          <w:sz w:val="22"/>
          <w:szCs w:val="22"/>
        </w:rPr>
      </w:pPr>
      <w:r w:rsidRPr="009C79E5">
        <w:rPr>
          <w:sz w:val="22"/>
          <w:szCs w:val="22"/>
        </w:rPr>
        <w:t>The CVAA’s amended definition of TRS also eliminates the limitation of providing relay services only for calls between a person with a hearing or speech disability and a person without a hearing or speech disability.</w:t>
      </w:r>
      <w:r w:rsidRPr="008D556C">
        <w:rPr>
          <w:rStyle w:val="FootnoteReference"/>
          <w:sz w:val="22"/>
          <w:szCs w:val="22"/>
        </w:rPr>
        <w:footnoteReference w:id="307"/>
      </w:r>
      <w:r w:rsidRPr="008D556C">
        <w:rPr>
          <w:sz w:val="22"/>
          <w:szCs w:val="22"/>
        </w:rPr>
        <w:t xml:space="preserve">  The amended definition enables the use of relay services between and among individuals with disabilities, such as when two or more individuals with different types of disabilities (</w:t>
      </w:r>
      <w:r w:rsidRPr="003511DC">
        <w:rPr>
          <w:i/>
          <w:sz w:val="22"/>
          <w:szCs w:val="22"/>
        </w:rPr>
        <w:t>e.g.</w:t>
      </w:r>
      <w:r w:rsidRPr="00BF0859">
        <w:rPr>
          <w:sz w:val="22"/>
          <w:szCs w:val="22"/>
        </w:rPr>
        <w:t>, hearing loss and speech disability) nee</w:t>
      </w:r>
      <w:r w:rsidRPr="00FF1FD9">
        <w:rPr>
          <w:sz w:val="22"/>
          <w:szCs w:val="22"/>
        </w:rPr>
        <w:t>d more than one kind of relay service (</w:t>
      </w:r>
      <w:r w:rsidRPr="006C02D7">
        <w:rPr>
          <w:i/>
          <w:sz w:val="22"/>
          <w:szCs w:val="22"/>
        </w:rPr>
        <w:t>e.g</w:t>
      </w:r>
      <w:r w:rsidRPr="006C02D7">
        <w:rPr>
          <w:sz w:val="22"/>
          <w:szCs w:val="22"/>
        </w:rPr>
        <w:t>., video relay service and speech-to-speech TRS) to complete a single relay call.</w:t>
      </w:r>
      <w:r w:rsidRPr="008D556C">
        <w:rPr>
          <w:rStyle w:val="FootnoteReference"/>
          <w:sz w:val="22"/>
          <w:szCs w:val="22"/>
        </w:rPr>
        <w:footnoteReference w:id="308"/>
      </w:r>
      <w:r w:rsidRPr="008D556C">
        <w:rPr>
          <w:sz w:val="22"/>
          <w:szCs w:val="22"/>
        </w:rPr>
        <w:t xml:space="preserve">  </w:t>
      </w:r>
      <w:r w:rsidR="006736AA" w:rsidRPr="003511DC">
        <w:rPr>
          <w:sz w:val="22"/>
          <w:szCs w:val="22"/>
        </w:rPr>
        <w:t xml:space="preserve">Since the </w:t>
      </w:r>
      <w:r w:rsidR="006736AA" w:rsidRPr="00BF0859">
        <w:rPr>
          <w:i/>
          <w:sz w:val="22"/>
          <w:szCs w:val="22"/>
        </w:rPr>
        <w:t>2012 CVAA Biennial Report</w:t>
      </w:r>
      <w:r w:rsidR="006736AA" w:rsidRPr="00BF0859">
        <w:rPr>
          <w:sz w:val="22"/>
          <w:szCs w:val="22"/>
        </w:rPr>
        <w:t>, in</w:t>
      </w:r>
      <w:r w:rsidRPr="00FF1FD9">
        <w:rPr>
          <w:sz w:val="22"/>
          <w:szCs w:val="22"/>
        </w:rPr>
        <w:t xml:space="preserve"> August 2014, the Commission sought comment on amending the definition of TRS in the Commis</w:t>
      </w:r>
      <w:r w:rsidRPr="006C02D7">
        <w:rPr>
          <w:sz w:val="22"/>
          <w:szCs w:val="22"/>
        </w:rPr>
        <w:t>sion’s rules to conform it to the definition of TRS as amended by the CVAA, and to allow TRS providers to be compensated for TRS calls between two or more individuals with disabilities using different types of relay services.</w:t>
      </w:r>
      <w:r w:rsidRPr="008D556C">
        <w:rPr>
          <w:rStyle w:val="FootnoteReference"/>
          <w:sz w:val="22"/>
          <w:szCs w:val="22"/>
        </w:rPr>
        <w:footnoteReference w:id="309"/>
      </w:r>
    </w:p>
    <w:p w:rsidR="00E61CF3" w:rsidRPr="003511DC" w:rsidRDefault="00E61CF3" w:rsidP="00476E6F">
      <w:pPr>
        <w:suppressLineNumbers/>
        <w:suppressAutoHyphens/>
        <w:ind w:left="720"/>
        <w:rPr>
          <w:sz w:val="22"/>
          <w:szCs w:val="22"/>
        </w:rPr>
      </w:pPr>
    </w:p>
    <w:p w:rsidR="00E61CF3" w:rsidRPr="008D556C" w:rsidRDefault="00E61CF3" w:rsidP="00476E6F">
      <w:pPr>
        <w:numPr>
          <w:ilvl w:val="0"/>
          <w:numId w:val="2"/>
        </w:numPr>
        <w:suppressLineNumbers/>
        <w:tabs>
          <w:tab w:val="clear" w:pos="720"/>
          <w:tab w:val="num" w:pos="1440"/>
        </w:tabs>
        <w:suppressAutoHyphens/>
        <w:ind w:left="0" w:firstLine="720"/>
        <w:rPr>
          <w:sz w:val="22"/>
          <w:szCs w:val="22"/>
        </w:rPr>
      </w:pPr>
      <w:r w:rsidRPr="00BF0859">
        <w:rPr>
          <w:i/>
          <w:sz w:val="22"/>
          <w:szCs w:val="22"/>
        </w:rPr>
        <w:t>VoIP Contributions to the TR</w:t>
      </w:r>
      <w:r w:rsidRPr="00FF1FD9">
        <w:rPr>
          <w:i/>
          <w:sz w:val="22"/>
          <w:szCs w:val="22"/>
        </w:rPr>
        <w:t>S Fund</w:t>
      </w:r>
      <w:r w:rsidRPr="006C02D7">
        <w:rPr>
          <w:sz w:val="22"/>
          <w:szCs w:val="22"/>
        </w:rPr>
        <w:t>.  Section 103(b) of the CVAA adds new Section 715 to the Act requiring interconnected and non-interconnected voice over Internet protocol (VoIP) service providers to participate in and contribute to the TRS Fund by October 8, 2011, in a manner presc</w:t>
      </w:r>
      <w:r w:rsidRPr="009C79E5">
        <w:rPr>
          <w:sz w:val="22"/>
          <w:szCs w:val="22"/>
        </w:rPr>
        <w:t>ribed by regulation that is consistent with and comparable to the obligations of other contributors.  Although providers of interconnected VoIP services have been contributing to the TRS Fund since 2007,</w:t>
      </w:r>
      <w:r w:rsidRPr="008D556C">
        <w:rPr>
          <w:rStyle w:val="FootnoteReference"/>
          <w:sz w:val="22"/>
          <w:szCs w:val="22"/>
        </w:rPr>
        <w:footnoteReference w:id="310"/>
      </w:r>
      <w:r w:rsidRPr="008D556C">
        <w:rPr>
          <w:sz w:val="22"/>
          <w:szCs w:val="22"/>
        </w:rPr>
        <w:t xml:space="preserve"> the CVAA, in effect, codifies this obligation, and </w:t>
      </w:r>
      <w:r w:rsidRPr="003511DC">
        <w:rPr>
          <w:sz w:val="22"/>
          <w:szCs w:val="22"/>
        </w:rPr>
        <w:t>extends it to non-inte</w:t>
      </w:r>
      <w:r w:rsidRPr="00BF0859">
        <w:rPr>
          <w:sz w:val="22"/>
          <w:szCs w:val="22"/>
        </w:rPr>
        <w:t>rconnected VoIP providers.  As required by the CVAA, the Commission adopted rules implementing this provision.</w:t>
      </w:r>
      <w:r w:rsidRPr="008D556C">
        <w:rPr>
          <w:rStyle w:val="FootnoteReference"/>
          <w:sz w:val="22"/>
          <w:szCs w:val="22"/>
        </w:rPr>
        <w:footnoteReference w:id="311"/>
      </w:r>
      <w:r w:rsidRPr="008D556C">
        <w:rPr>
          <w:sz w:val="22"/>
          <w:szCs w:val="22"/>
        </w:rPr>
        <w:t xml:space="preserve">  These rules</w:t>
      </w:r>
      <w:r w:rsidRPr="009C79E5">
        <w:rPr>
          <w:sz w:val="22"/>
          <w:szCs w:val="22"/>
        </w:rPr>
        <w:t xml:space="preserve"> require non-interconnected VoIP service providers to register with the Commission and designate a District of Columbia agent for service of process, and to complete and submit FCC Form 499</w:t>
      </w:r>
      <w:r w:rsidRPr="009C79E5">
        <w:rPr>
          <w:sz w:val="22"/>
          <w:szCs w:val="22"/>
        </w:rPr>
        <w:noBreakHyphen/>
        <w:t>A annually by April 1 to report interstate end-user revenues, which serve as the basis for TRS Fund contributions.</w:t>
      </w:r>
      <w:r w:rsidRPr="009C79E5">
        <w:rPr>
          <w:rStyle w:val="FootnoteReference"/>
          <w:sz w:val="22"/>
          <w:szCs w:val="22"/>
        </w:rPr>
        <w:footnoteReference w:id="312"/>
      </w:r>
      <w:r w:rsidRPr="009C79E5">
        <w:rPr>
          <w:sz w:val="22"/>
          <w:szCs w:val="22"/>
        </w:rPr>
        <w:t xml:space="preserve">  The obligations of non-interconnected VoIP service providers are consistent with and comparable to the obligations of other TRS Fund contributors.</w:t>
      </w:r>
      <w:r w:rsidRPr="009C79E5">
        <w:rPr>
          <w:rStyle w:val="FootnoteReference"/>
          <w:sz w:val="22"/>
          <w:szCs w:val="22"/>
        </w:rPr>
        <w:footnoteReference w:id="313"/>
      </w:r>
      <w:r w:rsidRPr="009C79E5">
        <w:rPr>
          <w:sz w:val="22"/>
          <w:szCs w:val="22"/>
        </w:rPr>
        <w:t xml:space="preserve">  Since these rules became effective on November 25, 2011,</w:t>
      </w:r>
      <w:r w:rsidRPr="009C79E5">
        <w:rPr>
          <w:rStyle w:val="FootnoteReference"/>
          <w:sz w:val="22"/>
          <w:szCs w:val="22"/>
        </w:rPr>
        <w:footnoteReference w:id="314"/>
      </w:r>
      <w:r w:rsidRPr="009C79E5">
        <w:rPr>
          <w:sz w:val="22"/>
          <w:szCs w:val="22"/>
        </w:rPr>
        <w:t xml:space="preserve"> we believe that non-interconnected VoIP service providers generally have complied with the new requirements.  </w:t>
      </w:r>
    </w:p>
    <w:p w:rsidR="00E61CF3" w:rsidRPr="003511DC" w:rsidRDefault="00E61CF3" w:rsidP="00476E6F">
      <w:pPr>
        <w:suppressLineNumbers/>
        <w:suppressAutoHyphens/>
        <w:ind w:left="720"/>
        <w:rPr>
          <w:sz w:val="22"/>
          <w:szCs w:val="22"/>
        </w:rPr>
      </w:pPr>
    </w:p>
    <w:p w:rsidR="00E61CF3" w:rsidRPr="009C79E5" w:rsidRDefault="00E61CF3" w:rsidP="00476E6F">
      <w:pPr>
        <w:suppressAutoHyphens/>
        <w:ind w:firstLine="720"/>
        <w:rPr>
          <w:b/>
          <w:sz w:val="22"/>
          <w:szCs w:val="22"/>
        </w:rPr>
      </w:pPr>
      <w:r w:rsidRPr="00BF0859">
        <w:rPr>
          <w:b/>
          <w:sz w:val="22"/>
          <w:szCs w:val="22"/>
        </w:rPr>
        <w:t>C.</w:t>
      </w:r>
      <w:r w:rsidRPr="00BF0859">
        <w:rPr>
          <w:b/>
          <w:sz w:val="22"/>
          <w:szCs w:val="22"/>
        </w:rPr>
        <w:tab/>
        <w:t xml:space="preserve">Section 104.  Access to </w:t>
      </w:r>
      <w:r w:rsidR="0072164E" w:rsidRPr="006C02D7">
        <w:rPr>
          <w:b/>
          <w:sz w:val="22"/>
          <w:szCs w:val="22"/>
        </w:rPr>
        <w:t>A</w:t>
      </w:r>
      <w:r w:rsidRPr="006C02D7">
        <w:rPr>
          <w:b/>
          <w:sz w:val="22"/>
          <w:szCs w:val="22"/>
        </w:rPr>
        <w:t xml:space="preserve">dvanced </w:t>
      </w:r>
      <w:r w:rsidR="0072164E" w:rsidRPr="006C02D7">
        <w:rPr>
          <w:b/>
          <w:sz w:val="22"/>
          <w:szCs w:val="22"/>
        </w:rPr>
        <w:t>C</w:t>
      </w:r>
      <w:r w:rsidRPr="006C02D7">
        <w:rPr>
          <w:b/>
          <w:sz w:val="22"/>
          <w:szCs w:val="22"/>
        </w:rPr>
        <w:t xml:space="preserve">ommunications </w:t>
      </w:r>
      <w:r w:rsidR="0072164E" w:rsidRPr="009C5E08">
        <w:rPr>
          <w:b/>
          <w:sz w:val="22"/>
          <w:szCs w:val="22"/>
        </w:rPr>
        <w:t>S</w:t>
      </w:r>
      <w:r w:rsidRPr="009C79E5">
        <w:rPr>
          <w:b/>
          <w:sz w:val="22"/>
          <w:szCs w:val="22"/>
        </w:rPr>
        <w:t xml:space="preserve">ervices and </w:t>
      </w:r>
      <w:r w:rsidR="0072164E" w:rsidRPr="009C79E5">
        <w:rPr>
          <w:b/>
          <w:sz w:val="22"/>
          <w:szCs w:val="22"/>
        </w:rPr>
        <w:t>E</w:t>
      </w:r>
      <w:r w:rsidRPr="009C79E5">
        <w:rPr>
          <w:b/>
          <w:sz w:val="22"/>
          <w:szCs w:val="22"/>
        </w:rPr>
        <w:t xml:space="preserve">quipment  </w:t>
      </w:r>
    </w:p>
    <w:p w:rsidR="00E61CF3" w:rsidRPr="009C79E5" w:rsidRDefault="00E61CF3" w:rsidP="00476E6F">
      <w:pPr>
        <w:suppressLineNumbers/>
        <w:suppressAutoHyphens/>
        <w:ind w:left="720"/>
        <w:rPr>
          <w:sz w:val="22"/>
          <w:szCs w:val="22"/>
        </w:rPr>
      </w:pPr>
    </w:p>
    <w:p w:rsidR="00E61738" w:rsidRPr="008D556C" w:rsidRDefault="00E61CF3" w:rsidP="00476E6F">
      <w:pPr>
        <w:numPr>
          <w:ilvl w:val="0"/>
          <w:numId w:val="2"/>
        </w:numPr>
        <w:suppressLineNumbers/>
        <w:tabs>
          <w:tab w:val="clear" w:pos="720"/>
          <w:tab w:val="num" w:pos="1440"/>
        </w:tabs>
        <w:suppressAutoHyphens/>
        <w:ind w:left="0" w:firstLine="720"/>
        <w:rPr>
          <w:sz w:val="22"/>
          <w:szCs w:val="22"/>
        </w:rPr>
      </w:pPr>
      <w:r w:rsidRPr="009C79E5">
        <w:rPr>
          <w:sz w:val="22"/>
          <w:szCs w:val="22"/>
        </w:rPr>
        <w:t>Section 104(a) of the CVAA adds Sections 716, 717, and 718 to the Act as follows:</w:t>
      </w:r>
      <w:r w:rsidRPr="008D556C">
        <w:rPr>
          <w:rStyle w:val="FootnoteReference"/>
          <w:sz w:val="22"/>
          <w:szCs w:val="22"/>
        </w:rPr>
        <w:footnoteReference w:id="315"/>
      </w:r>
    </w:p>
    <w:p w:rsidR="00E61738" w:rsidRPr="008D556C" w:rsidRDefault="00E61738" w:rsidP="00476E6F">
      <w:pPr>
        <w:suppressLineNumbers/>
        <w:suppressAutoHyphens/>
        <w:rPr>
          <w:sz w:val="22"/>
          <w:szCs w:val="22"/>
        </w:rPr>
      </w:pPr>
    </w:p>
    <w:p w:rsidR="00E61738" w:rsidRPr="006C02D7" w:rsidRDefault="00E61738" w:rsidP="00476E6F">
      <w:pPr>
        <w:pStyle w:val="Paratitle"/>
        <w:numPr>
          <w:ilvl w:val="0"/>
          <w:numId w:val="10"/>
        </w:numPr>
        <w:tabs>
          <w:tab w:val="clear" w:pos="360"/>
          <w:tab w:val="clear" w:pos="9270"/>
          <w:tab w:val="num" w:pos="1080"/>
        </w:tabs>
        <w:suppressAutoHyphens/>
        <w:spacing w:after="0"/>
        <w:ind w:left="1080" w:hanging="360"/>
        <w:rPr>
          <w:sz w:val="22"/>
          <w:szCs w:val="22"/>
        </w:rPr>
      </w:pPr>
      <w:r w:rsidRPr="003511DC">
        <w:rPr>
          <w:sz w:val="22"/>
          <w:szCs w:val="22"/>
        </w:rPr>
        <w:t>Section 716 establishes accessibility requirements for advanced communications service</w:t>
      </w:r>
      <w:r w:rsidRPr="00BF0859">
        <w:rPr>
          <w:sz w:val="22"/>
          <w:szCs w:val="22"/>
        </w:rPr>
        <w:t>s and equipment.</w:t>
      </w:r>
      <w:r w:rsidRPr="006C02D7">
        <w:rPr>
          <w:rStyle w:val="FootnoteReference"/>
          <w:sz w:val="22"/>
          <w:szCs w:val="22"/>
        </w:rPr>
        <w:footnoteReference w:id="316"/>
      </w:r>
    </w:p>
    <w:p w:rsidR="00E61738" w:rsidRPr="009C79E5" w:rsidRDefault="00E61738" w:rsidP="00476E6F">
      <w:pPr>
        <w:pStyle w:val="Paratitle"/>
        <w:tabs>
          <w:tab w:val="clear" w:pos="9270"/>
        </w:tabs>
        <w:suppressAutoHyphens/>
        <w:spacing w:after="0"/>
        <w:ind w:left="720"/>
        <w:rPr>
          <w:sz w:val="22"/>
          <w:szCs w:val="22"/>
        </w:rPr>
      </w:pPr>
    </w:p>
    <w:p w:rsidR="00E61738" w:rsidRPr="009C79E5" w:rsidRDefault="00E61738" w:rsidP="00476E6F">
      <w:pPr>
        <w:pStyle w:val="Paratitle"/>
        <w:numPr>
          <w:ilvl w:val="0"/>
          <w:numId w:val="10"/>
        </w:numPr>
        <w:tabs>
          <w:tab w:val="clear" w:pos="360"/>
          <w:tab w:val="clear" w:pos="9270"/>
          <w:tab w:val="num" w:pos="1080"/>
        </w:tabs>
        <w:suppressAutoHyphens/>
        <w:spacing w:after="0"/>
        <w:ind w:left="1080" w:hanging="360"/>
        <w:rPr>
          <w:sz w:val="22"/>
          <w:szCs w:val="22"/>
        </w:rPr>
      </w:pPr>
      <w:r w:rsidRPr="009C79E5">
        <w:rPr>
          <w:sz w:val="22"/>
          <w:szCs w:val="22"/>
        </w:rPr>
        <w:t>Section 717:</w:t>
      </w:r>
    </w:p>
    <w:p w:rsidR="00E61738" w:rsidRPr="009C79E5" w:rsidRDefault="00E61738" w:rsidP="00476E6F">
      <w:pPr>
        <w:pStyle w:val="Paratitle"/>
        <w:tabs>
          <w:tab w:val="clear" w:pos="9270"/>
        </w:tabs>
        <w:suppressAutoHyphens/>
        <w:spacing w:after="0"/>
        <w:ind w:left="1440" w:hanging="360"/>
        <w:rPr>
          <w:sz w:val="22"/>
          <w:szCs w:val="22"/>
        </w:rPr>
      </w:pPr>
      <w:r w:rsidRPr="009C79E5">
        <w:rPr>
          <w:sz w:val="22"/>
          <w:szCs w:val="22"/>
        </w:rPr>
        <w:t>(a)</w:t>
      </w:r>
      <w:r w:rsidRPr="009C79E5">
        <w:rPr>
          <w:sz w:val="22"/>
          <w:szCs w:val="22"/>
        </w:rPr>
        <w:tab/>
        <w:t>establishes new recordkeeping and enforcement requirements for Sections 255, 716, and 718;</w:t>
      </w:r>
      <w:r w:rsidRPr="009C79E5">
        <w:rPr>
          <w:rStyle w:val="FootnoteReference"/>
          <w:sz w:val="22"/>
          <w:szCs w:val="22"/>
        </w:rPr>
        <w:footnoteReference w:id="317"/>
      </w:r>
      <w:r w:rsidRPr="009C79E5">
        <w:rPr>
          <w:sz w:val="22"/>
          <w:szCs w:val="22"/>
        </w:rPr>
        <w:t xml:space="preserve"> </w:t>
      </w:r>
    </w:p>
    <w:p w:rsidR="00E61738" w:rsidRPr="009C79E5" w:rsidRDefault="00E61738" w:rsidP="00476E6F">
      <w:pPr>
        <w:pStyle w:val="Paratitle"/>
        <w:tabs>
          <w:tab w:val="clear" w:pos="9270"/>
        </w:tabs>
        <w:suppressAutoHyphens/>
        <w:spacing w:after="0"/>
        <w:ind w:left="1440" w:hanging="360"/>
        <w:rPr>
          <w:sz w:val="22"/>
          <w:szCs w:val="22"/>
        </w:rPr>
      </w:pPr>
      <w:r w:rsidRPr="009C79E5">
        <w:rPr>
          <w:sz w:val="22"/>
          <w:szCs w:val="22"/>
        </w:rPr>
        <w:t>(b)</w:t>
      </w:r>
      <w:r w:rsidRPr="009C79E5">
        <w:rPr>
          <w:sz w:val="22"/>
          <w:szCs w:val="22"/>
        </w:rPr>
        <w:tab/>
        <w:t xml:space="preserve">requires the Commission to submit biennial reports to Congress; </w:t>
      </w:r>
    </w:p>
    <w:p w:rsidR="00E61738" w:rsidRPr="009C79E5" w:rsidRDefault="00E61738" w:rsidP="00476E6F">
      <w:pPr>
        <w:pStyle w:val="Paratitle"/>
        <w:tabs>
          <w:tab w:val="clear" w:pos="9270"/>
        </w:tabs>
        <w:suppressAutoHyphens/>
        <w:spacing w:after="0"/>
        <w:ind w:left="1440" w:hanging="360"/>
        <w:rPr>
          <w:sz w:val="22"/>
          <w:szCs w:val="22"/>
        </w:rPr>
      </w:pPr>
      <w:r w:rsidRPr="009C79E5">
        <w:rPr>
          <w:sz w:val="22"/>
          <w:szCs w:val="22"/>
        </w:rPr>
        <w:t>(c)</w:t>
      </w:r>
      <w:r w:rsidRPr="009C79E5">
        <w:rPr>
          <w:sz w:val="22"/>
          <w:szCs w:val="22"/>
        </w:rPr>
        <w:tab/>
        <w:t xml:space="preserve">requires the Comptroller General to conduct a study and report to Congress by October 8, 2015; </w:t>
      </w:r>
    </w:p>
    <w:p w:rsidR="00E61738" w:rsidRPr="009C79E5" w:rsidRDefault="00E61738" w:rsidP="00476E6F">
      <w:pPr>
        <w:pStyle w:val="Paratitle"/>
        <w:tabs>
          <w:tab w:val="clear" w:pos="9270"/>
        </w:tabs>
        <w:suppressAutoHyphens/>
        <w:spacing w:after="0"/>
        <w:ind w:left="1440" w:hanging="360"/>
        <w:rPr>
          <w:sz w:val="22"/>
          <w:szCs w:val="22"/>
        </w:rPr>
      </w:pPr>
      <w:r w:rsidRPr="009C79E5">
        <w:rPr>
          <w:sz w:val="22"/>
          <w:szCs w:val="22"/>
        </w:rPr>
        <w:t>(d)</w:t>
      </w:r>
      <w:r w:rsidRPr="009C79E5">
        <w:rPr>
          <w:sz w:val="22"/>
          <w:szCs w:val="22"/>
        </w:rPr>
        <w:tab/>
        <w:t>requires the Commission to establish an accessibility clearinghouse; and</w:t>
      </w:r>
    </w:p>
    <w:p w:rsidR="00E61738" w:rsidRPr="009C79E5" w:rsidRDefault="00E61738" w:rsidP="00476E6F">
      <w:pPr>
        <w:pStyle w:val="Paratitle"/>
        <w:tabs>
          <w:tab w:val="clear" w:pos="9270"/>
        </w:tabs>
        <w:suppressAutoHyphens/>
        <w:spacing w:after="0"/>
        <w:ind w:left="1440" w:hanging="360"/>
        <w:rPr>
          <w:sz w:val="22"/>
          <w:szCs w:val="22"/>
        </w:rPr>
      </w:pPr>
      <w:r w:rsidRPr="009C79E5">
        <w:rPr>
          <w:sz w:val="22"/>
          <w:szCs w:val="22"/>
        </w:rPr>
        <w:t>(e)</w:t>
      </w:r>
      <w:r w:rsidRPr="009C79E5">
        <w:rPr>
          <w:sz w:val="22"/>
          <w:szCs w:val="22"/>
        </w:rPr>
        <w:tab/>
        <w:t>requires the Commission to conduct an information and educational program.</w:t>
      </w:r>
      <w:r w:rsidRPr="009C79E5">
        <w:rPr>
          <w:rStyle w:val="FootnoteReference"/>
          <w:sz w:val="22"/>
          <w:szCs w:val="22"/>
        </w:rPr>
        <w:footnoteReference w:id="318"/>
      </w:r>
    </w:p>
    <w:p w:rsidR="00E61738" w:rsidRPr="009C79E5" w:rsidRDefault="00E61738" w:rsidP="00476E6F">
      <w:pPr>
        <w:pStyle w:val="Paratitle"/>
        <w:tabs>
          <w:tab w:val="clear" w:pos="9270"/>
        </w:tabs>
        <w:suppressAutoHyphens/>
        <w:spacing w:after="0"/>
        <w:rPr>
          <w:sz w:val="22"/>
          <w:szCs w:val="22"/>
        </w:rPr>
      </w:pPr>
    </w:p>
    <w:p w:rsidR="00E61738" w:rsidRPr="009C79E5" w:rsidRDefault="00E61738" w:rsidP="00476E6F">
      <w:pPr>
        <w:pStyle w:val="Paratitle"/>
        <w:numPr>
          <w:ilvl w:val="0"/>
          <w:numId w:val="10"/>
        </w:numPr>
        <w:tabs>
          <w:tab w:val="clear" w:pos="360"/>
          <w:tab w:val="clear" w:pos="9270"/>
          <w:tab w:val="num" w:pos="1080"/>
        </w:tabs>
        <w:suppressAutoHyphens/>
        <w:spacing w:after="0"/>
        <w:ind w:left="1080" w:hanging="360"/>
        <w:rPr>
          <w:sz w:val="22"/>
          <w:szCs w:val="22"/>
        </w:rPr>
      </w:pPr>
      <w:r w:rsidRPr="009C79E5">
        <w:rPr>
          <w:sz w:val="22"/>
          <w:szCs w:val="22"/>
        </w:rPr>
        <w:t>Section 718 requires Internet browsers built into mobile phones to be accessible to individuals who are blind or have a visual impairment.</w:t>
      </w:r>
      <w:r w:rsidRPr="009C79E5">
        <w:rPr>
          <w:rStyle w:val="FootnoteReference"/>
          <w:sz w:val="22"/>
          <w:szCs w:val="22"/>
        </w:rPr>
        <w:footnoteReference w:id="319"/>
      </w:r>
      <w:r w:rsidRPr="009C79E5">
        <w:rPr>
          <w:sz w:val="22"/>
          <w:szCs w:val="22"/>
        </w:rPr>
        <w:t xml:space="preserve">  </w:t>
      </w:r>
    </w:p>
    <w:p w:rsidR="00E61738" w:rsidRPr="009C79E5" w:rsidRDefault="00E61738" w:rsidP="00476E6F">
      <w:pPr>
        <w:suppressLineNumbers/>
        <w:suppressAutoHyphens/>
        <w:rPr>
          <w:sz w:val="22"/>
          <w:szCs w:val="22"/>
        </w:rPr>
      </w:pPr>
    </w:p>
    <w:p w:rsidR="00E61738" w:rsidRPr="008D556C" w:rsidRDefault="00E61CF3" w:rsidP="00476E6F">
      <w:pPr>
        <w:numPr>
          <w:ilvl w:val="0"/>
          <w:numId w:val="2"/>
        </w:numPr>
        <w:suppressLineNumbers/>
        <w:tabs>
          <w:tab w:val="clear" w:pos="720"/>
          <w:tab w:val="num" w:pos="1440"/>
        </w:tabs>
        <w:suppressAutoHyphens/>
        <w:ind w:left="0" w:firstLine="720"/>
        <w:rPr>
          <w:sz w:val="22"/>
          <w:szCs w:val="22"/>
        </w:rPr>
      </w:pPr>
      <w:r w:rsidRPr="009C79E5">
        <w:rPr>
          <w:sz w:val="22"/>
          <w:szCs w:val="22"/>
        </w:rPr>
        <w:t>As required by the CVAA, the Commission adopted rules to implement Sections 716 and 717(a) of the Act.</w:t>
      </w:r>
      <w:r w:rsidRPr="008D556C">
        <w:rPr>
          <w:rStyle w:val="FootnoteReference"/>
          <w:sz w:val="22"/>
          <w:szCs w:val="22"/>
        </w:rPr>
        <w:footnoteReference w:id="320"/>
      </w:r>
      <w:r w:rsidRPr="008D556C">
        <w:rPr>
          <w:sz w:val="22"/>
          <w:szCs w:val="22"/>
        </w:rPr>
        <w:t xml:space="preserve">  As a result of these rules, since January 30, 2012, advanced com</w:t>
      </w:r>
      <w:r w:rsidRPr="003511DC">
        <w:rPr>
          <w:sz w:val="22"/>
          <w:szCs w:val="22"/>
        </w:rPr>
        <w:t>munications service pr</w:t>
      </w:r>
      <w:r w:rsidRPr="00BF0859">
        <w:rPr>
          <w:sz w:val="22"/>
          <w:szCs w:val="22"/>
        </w:rPr>
        <w:t>oviders and equipment manufacturers have been required to take accessibility into account in the design of their products and services.</w:t>
      </w:r>
      <w:r w:rsidRPr="008D556C">
        <w:rPr>
          <w:rStyle w:val="FootnoteReference"/>
          <w:sz w:val="22"/>
          <w:szCs w:val="22"/>
        </w:rPr>
        <w:footnoteReference w:id="321"/>
      </w:r>
      <w:r w:rsidRPr="008D556C">
        <w:rPr>
          <w:sz w:val="22"/>
          <w:szCs w:val="22"/>
        </w:rPr>
        <w:t xml:space="preserve">  In addition, advanced communications services and equipment that have been introduced into the m</w:t>
      </w:r>
      <w:r w:rsidRPr="003511DC">
        <w:rPr>
          <w:sz w:val="22"/>
          <w:szCs w:val="22"/>
        </w:rPr>
        <w:t>arket or substantially</w:t>
      </w:r>
      <w:r w:rsidRPr="00BF0859">
        <w:rPr>
          <w:sz w:val="22"/>
          <w:szCs w:val="22"/>
        </w:rPr>
        <w:t xml:space="preserve"> upgraded on or after October 8, 2013, have had to comply with the Commission’s rules implementing Section 716 of the Act.</w:t>
      </w:r>
      <w:r w:rsidRPr="008D556C">
        <w:rPr>
          <w:rStyle w:val="FootnoteReference"/>
          <w:sz w:val="22"/>
          <w:szCs w:val="22"/>
        </w:rPr>
        <w:footnoteReference w:id="322"/>
      </w:r>
    </w:p>
    <w:p w:rsidR="00E61738" w:rsidRPr="003511DC" w:rsidRDefault="00E61738" w:rsidP="00476E6F">
      <w:pPr>
        <w:suppressLineNumbers/>
        <w:suppressAutoHyphens/>
        <w:ind w:left="720"/>
        <w:rPr>
          <w:sz w:val="22"/>
          <w:szCs w:val="22"/>
        </w:rPr>
      </w:pPr>
    </w:p>
    <w:p w:rsidR="00E61738" w:rsidRPr="009C79E5" w:rsidRDefault="00E61CF3" w:rsidP="00476E6F">
      <w:pPr>
        <w:numPr>
          <w:ilvl w:val="0"/>
          <w:numId w:val="2"/>
        </w:numPr>
        <w:suppressLineNumbers/>
        <w:tabs>
          <w:tab w:val="clear" w:pos="720"/>
          <w:tab w:val="num" w:pos="1440"/>
        </w:tabs>
        <w:suppressAutoHyphens/>
        <w:ind w:left="0" w:firstLine="720"/>
        <w:rPr>
          <w:sz w:val="22"/>
          <w:szCs w:val="22"/>
        </w:rPr>
      </w:pPr>
      <w:r w:rsidRPr="00BF0859">
        <w:rPr>
          <w:sz w:val="22"/>
          <w:szCs w:val="22"/>
        </w:rPr>
        <w:t xml:space="preserve">Since the </w:t>
      </w:r>
      <w:r w:rsidRPr="00FF1FD9">
        <w:rPr>
          <w:i/>
          <w:sz w:val="22"/>
          <w:szCs w:val="22"/>
        </w:rPr>
        <w:t>2012 CVAA Biennial Report</w:t>
      </w:r>
      <w:r w:rsidRPr="006C02D7">
        <w:rPr>
          <w:sz w:val="22"/>
          <w:szCs w:val="22"/>
        </w:rPr>
        <w:t>, the Commission achieved the following additional implementation mileston</w:t>
      </w:r>
      <w:r w:rsidRPr="009C79E5">
        <w:rPr>
          <w:sz w:val="22"/>
          <w:szCs w:val="22"/>
        </w:rPr>
        <w:t xml:space="preserve">es pursuant to Section 104 of the CVAA: </w:t>
      </w:r>
    </w:p>
    <w:p w:rsidR="00E61738" w:rsidRPr="009C79E5" w:rsidRDefault="00E61738" w:rsidP="00476E6F">
      <w:pPr>
        <w:suppressLineNumbers/>
        <w:suppressAutoHyphens/>
        <w:ind w:left="720"/>
        <w:rPr>
          <w:sz w:val="22"/>
          <w:szCs w:val="22"/>
        </w:rPr>
      </w:pPr>
    </w:p>
    <w:p w:rsidR="00E61738" w:rsidRPr="009C79E5" w:rsidRDefault="00E61738" w:rsidP="00476E6F">
      <w:pPr>
        <w:pStyle w:val="ListParagraph"/>
        <w:numPr>
          <w:ilvl w:val="0"/>
          <w:numId w:val="14"/>
        </w:numPr>
        <w:suppressAutoHyphens/>
        <w:spacing w:after="0" w:line="240" w:lineRule="auto"/>
        <w:contextualSpacing w:val="0"/>
        <w:rPr>
          <w:rFonts w:ascii="Times New Roman" w:hAnsi="Times New Roman"/>
        </w:rPr>
      </w:pPr>
      <w:r w:rsidRPr="009C79E5">
        <w:rPr>
          <w:rStyle w:val="Strong1"/>
          <w:rFonts w:ascii="Times New Roman" w:hAnsi="Times New Roman"/>
          <w:b w:val="0"/>
          <w:i/>
          <w:color w:val="auto"/>
          <w:sz w:val="22"/>
        </w:rPr>
        <w:t>Recordkeeping</w:t>
      </w:r>
      <w:r w:rsidRPr="009C79E5">
        <w:rPr>
          <w:rStyle w:val="Strong1"/>
          <w:rFonts w:ascii="Times New Roman" w:hAnsi="Times New Roman"/>
          <w:b w:val="0"/>
          <w:color w:val="auto"/>
          <w:sz w:val="22"/>
        </w:rPr>
        <w:t xml:space="preserve">. </w:t>
      </w:r>
      <w:r w:rsidRPr="009C79E5">
        <w:rPr>
          <w:rFonts w:ascii="Times New Roman" w:hAnsi="Times New Roman"/>
        </w:rPr>
        <w:t xml:space="preserve"> Beginning January 30, 2013, in accordance with Section 717 of the Act, manufacturers and service providers that are subject to Sections 255, 716, and 718 of the Act have had to keep records pertaining to the accessibility of their products and services.</w:t>
      </w:r>
      <w:r w:rsidRPr="009C79E5">
        <w:rPr>
          <w:rFonts w:ascii="Times New Roman" w:hAnsi="Times New Roman"/>
          <w:vertAlign w:val="superscript"/>
        </w:rPr>
        <w:footnoteReference w:id="323"/>
      </w:r>
      <w:r w:rsidRPr="009C79E5">
        <w:rPr>
          <w:rFonts w:ascii="Times New Roman" w:hAnsi="Times New Roman"/>
        </w:rPr>
        <w:t xml:space="preserve">  </w:t>
      </w:r>
      <w:r w:rsidRPr="009C79E5">
        <w:rPr>
          <w:rStyle w:val="Strong1"/>
          <w:rFonts w:ascii="Times New Roman" w:hAnsi="Times New Roman"/>
          <w:b w:val="0"/>
          <w:color w:val="auto"/>
          <w:sz w:val="22"/>
        </w:rPr>
        <w:t>The Commission established a web-based system called the Recordkeeping Compliance Certification and Contact Information Registry (RCCCI Registry) to facilitate compliance with these recordkeeping requirements</w:t>
      </w:r>
      <w:r w:rsidRPr="009C79E5">
        <w:rPr>
          <w:rStyle w:val="Strong1"/>
          <w:rFonts w:ascii="Times New Roman" w:hAnsi="Times New Roman"/>
          <w:color w:val="auto"/>
          <w:sz w:val="22"/>
        </w:rPr>
        <w:t>.</w:t>
      </w:r>
      <w:r w:rsidRPr="009C79E5">
        <w:rPr>
          <w:rStyle w:val="FootnoteReference"/>
          <w:rFonts w:ascii="Times New Roman" w:hAnsi="Times New Roman"/>
        </w:rPr>
        <w:footnoteReference w:id="324"/>
      </w:r>
      <w:r w:rsidRPr="009C79E5">
        <w:rPr>
          <w:rFonts w:ascii="Times New Roman" w:hAnsi="Times New Roman"/>
        </w:rPr>
        <w:t>  Covered entities must certify annually that they are</w:t>
      </w:r>
      <w:r w:rsidRPr="009C79E5">
        <w:rPr>
          <w:rFonts w:ascii="Times New Roman" w:hAnsi="Times New Roman"/>
          <w:b/>
        </w:rPr>
        <w:t xml:space="preserve"> </w:t>
      </w:r>
      <w:r w:rsidRPr="009C79E5">
        <w:rPr>
          <w:rStyle w:val="Strong1"/>
          <w:rFonts w:ascii="Times New Roman" w:hAnsi="Times New Roman"/>
          <w:b w:val="0"/>
          <w:color w:val="auto"/>
          <w:sz w:val="22"/>
        </w:rPr>
        <w:t>keeping records of their efforts to implement the accessibility requirements mandated under Sections 255, 716, and 718 of the Act.</w:t>
      </w:r>
      <w:r w:rsidRPr="009C79E5">
        <w:rPr>
          <w:rStyle w:val="FootnoteReference"/>
          <w:rFonts w:ascii="Times New Roman" w:hAnsi="Times New Roman"/>
          <w:b/>
        </w:rPr>
        <w:footnoteReference w:id="325"/>
      </w:r>
      <w:r w:rsidRPr="009C79E5">
        <w:rPr>
          <w:rStyle w:val="Strong1"/>
          <w:rFonts w:ascii="Times New Roman" w:hAnsi="Times New Roman"/>
          <w:b w:val="0"/>
          <w:color w:val="auto"/>
          <w:sz w:val="22"/>
        </w:rPr>
        <w:t xml:space="preserve">  </w:t>
      </w:r>
      <w:r w:rsidRPr="009C79E5">
        <w:rPr>
          <w:rFonts w:ascii="Times New Roman" w:hAnsi="Times New Roman"/>
        </w:rPr>
        <w:t xml:space="preserve">In addition, covered entities must </w:t>
      </w:r>
      <w:r w:rsidRPr="009C79E5">
        <w:rPr>
          <w:rStyle w:val="Strong1"/>
          <w:rFonts w:ascii="Times New Roman" w:hAnsi="Times New Roman"/>
          <w:b w:val="0"/>
          <w:color w:val="auto"/>
          <w:sz w:val="22"/>
        </w:rPr>
        <w:t>provide contact information</w:t>
      </w:r>
      <w:r w:rsidRPr="009C79E5">
        <w:rPr>
          <w:rStyle w:val="Strong1"/>
          <w:rFonts w:ascii="Times New Roman" w:hAnsi="Times New Roman"/>
          <w:color w:val="auto"/>
          <w:sz w:val="22"/>
        </w:rPr>
        <w:t xml:space="preserve"> </w:t>
      </w:r>
      <w:r w:rsidRPr="009C79E5">
        <w:rPr>
          <w:rFonts w:ascii="Times New Roman" w:hAnsi="Times New Roman"/>
        </w:rPr>
        <w:t>for both persons within their companies charged with resolving complaints and agents designated for service of complaints.</w:t>
      </w:r>
      <w:r w:rsidRPr="009C79E5">
        <w:rPr>
          <w:rStyle w:val="FootnoteReference"/>
          <w:rFonts w:ascii="Times New Roman" w:hAnsi="Times New Roman"/>
        </w:rPr>
        <w:footnoteReference w:id="326"/>
      </w:r>
      <w:r w:rsidRPr="009C79E5">
        <w:rPr>
          <w:rFonts w:ascii="Times New Roman" w:hAnsi="Times New Roman"/>
        </w:rPr>
        <w:t xml:space="preserve">  The first annual recordkeeping certification and contact information filing was due by April 1, 2013.</w:t>
      </w:r>
      <w:r w:rsidRPr="009C79E5">
        <w:rPr>
          <w:rStyle w:val="FootnoteReference"/>
          <w:rFonts w:ascii="Times New Roman" w:hAnsi="Times New Roman"/>
        </w:rPr>
        <w:footnoteReference w:id="327"/>
      </w:r>
      <w:r w:rsidRPr="009C79E5">
        <w:rPr>
          <w:rFonts w:ascii="Times New Roman" w:hAnsi="Times New Roman"/>
        </w:rPr>
        <w:t xml:space="preserve">  The following year</w:t>
      </w:r>
      <w:r w:rsidRPr="009C79E5">
        <w:rPr>
          <w:rStyle w:val="Strong1"/>
          <w:rFonts w:ascii="Times New Roman" w:hAnsi="Times New Roman"/>
          <w:b w:val="0"/>
          <w:color w:val="auto"/>
          <w:sz w:val="22"/>
        </w:rPr>
        <w:t>, in a public notice, the Commission reminded covered entities of their recordkeeping obligations, along with their obligation to file their annual recordkeeping certifications and contact information in the RCCCI Registry by April 1, 2014.</w:t>
      </w:r>
      <w:r w:rsidRPr="009C79E5">
        <w:rPr>
          <w:rStyle w:val="FootnoteReference"/>
          <w:rFonts w:ascii="Times New Roman" w:hAnsi="Times New Roman"/>
        </w:rPr>
        <w:footnoteReference w:id="328"/>
      </w:r>
    </w:p>
    <w:p w:rsidR="00E61738" w:rsidRPr="009C79E5" w:rsidRDefault="00E61738" w:rsidP="00476E6F">
      <w:pPr>
        <w:pStyle w:val="ListParagraph"/>
        <w:suppressAutoHyphens/>
        <w:spacing w:after="0" w:line="240" w:lineRule="auto"/>
        <w:ind w:left="1080"/>
        <w:rPr>
          <w:rFonts w:ascii="Times New Roman" w:hAnsi="Times New Roman"/>
        </w:rPr>
      </w:pPr>
    </w:p>
    <w:p w:rsidR="00E61738" w:rsidRPr="009C79E5" w:rsidRDefault="00E61738" w:rsidP="00476E6F">
      <w:pPr>
        <w:pStyle w:val="ListParagraph"/>
        <w:numPr>
          <w:ilvl w:val="0"/>
          <w:numId w:val="14"/>
        </w:numPr>
        <w:suppressAutoHyphens/>
        <w:spacing w:after="0" w:line="240" w:lineRule="auto"/>
        <w:contextualSpacing w:val="0"/>
        <w:rPr>
          <w:rFonts w:ascii="Times New Roman" w:hAnsi="Times New Roman"/>
        </w:rPr>
      </w:pPr>
      <w:r w:rsidRPr="009C79E5">
        <w:rPr>
          <w:rFonts w:ascii="Times New Roman" w:hAnsi="Times New Roman"/>
          <w:i/>
        </w:rPr>
        <w:t xml:space="preserve">Implementation of Section 718.  </w:t>
      </w:r>
      <w:r w:rsidRPr="009C79E5">
        <w:rPr>
          <w:rFonts w:ascii="Times New Roman" w:hAnsi="Times New Roman"/>
        </w:rPr>
        <w:t>O</w:t>
      </w:r>
      <w:r w:rsidRPr="009C79E5" w:rsidDel="00833410">
        <w:rPr>
          <w:rFonts w:ascii="Times New Roman" w:hAnsi="Times New Roman"/>
        </w:rPr>
        <w:t xml:space="preserve">n April 29, 2013, the Commission </w:t>
      </w:r>
      <w:r w:rsidRPr="009C79E5">
        <w:rPr>
          <w:rFonts w:ascii="Times New Roman" w:hAnsi="Times New Roman"/>
        </w:rPr>
        <w:t xml:space="preserve">adopted rules to implement </w:t>
      </w:r>
      <w:r w:rsidRPr="009C79E5" w:rsidDel="00833410">
        <w:rPr>
          <w:rFonts w:ascii="Times New Roman" w:hAnsi="Times New Roman"/>
        </w:rPr>
        <w:t xml:space="preserve">Section 718 </w:t>
      </w:r>
      <w:r w:rsidRPr="009C79E5">
        <w:rPr>
          <w:rFonts w:ascii="Times New Roman" w:hAnsi="Times New Roman"/>
        </w:rPr>
        <w:t>of the Act,</w:t>
      </w:r>
      <w:r w:rsidRPr="009C79E5">
        <w:rPr>
          <w:rFonts w:ascii="Times New Roman" w:hAnsi="Times New Roman"/>
          <w:vertAlign w:val="superscript"/>
        </w:rPr>
        <w:footnoteReference w:id="329"/>
      </w:r>
      <w:r w:rsidRPr="009C79E5">
        <w:rPr>
          <w:rFonts w:ascii="Times New Roman" w:hAnsi="Times New Roman"/>
        </w:rPr>
        <w:t xml:space="preserve"> requiring Internet browsers built into mobile phones to be accessible to individuals who are blind or visually impaired.</w:t>
      </w:r>
      <w:r w:rsidRPr="009C79E5">
        <w:rPr>
          <w:rStyle w:val="FootnoteReference"/>
          <w:rFonts w:ascii="Times New Roman" w:hAnsi="Times New Roman"/>
        </w:rPr>
        <w:footnoteReference w:id="330"/>
      </w:r>
      <w:r w:rsidRPr="009C79E5" w:rsidDel="00833410">
        <w:rPr>
          <w:rFonts w:ascii="Times New Roman" w:hAnsi="Times New Roman"/>
        </w:rPr>
        <w:t xml:space="preserve"> </w:t>
      </w:r>
      <w:r w:rsidRPr="009C79E5">
        <w:rPr>
          <w:rFonts w:ascii="Times New Roman" w:hAnsi="Times New Roman"/>
        </w:rPr>
        <w:t>These rules, which went into effect on October 8, 2013,</w:t>
      </w:r>
      <w:r w:rsidRPr="009C79E5">
        <w:rPr>
          <w:rStyle w:val="FootnoteReference"/>
          <w:rFonts w:ascii="Times New Roman" w:hAnsi="Times New Roman"/>
        </w:rPr>
        <w:footnoteReference w:id="331"/>
      </w:r>
      <w:r w:rsidRPr="009C79E5">
        <w:rPr>
          <w:rFonts w:ascii="Times New Roman" w:hAnsi="Times New Roman"/>
        </w:rPr>
        <w:t xml:space="preserve"> </w:t>
      </w:r>
      <w:r w:rsidRPr="009C79E5" w:rsidDel="00833410">
        <w:rPr>
          <w:rFonts w:ascii="Times New Roman" w:hAnsi="Times New Roman"/>
        </w:rPr>
        <w:t xml:space="preserve">are consistent with the Commission’s rules implementing </w:t>
      </w:r>
      <w:r w:rsidRPr="009C79E5">
        <w:rPr>
          <w:rFonts w:ascii="Times New Roman" w:hAnsi="Times New Roman"/>
        </w:rPr>
        <w:t>S</w:t>
      </w:r>
      <w:r w:rsidRPr="009C79E5" w:rsidDel="00833410">
        <w:rPr>
          <w:rFonts w:ascii="Times New Roman" w:hAnsi="Times New Roman"/>
        </w:rPr>
        <w:t>ection 716</w:t>
      </w:r>
      <w:r w:rsidRPr="009C79E5">
        <w:rPr>
          <w:rFonts w:ascii="Times New Roman" w:hAnsi="Times New Roman"/>
        </w:rPr>
        <w:t xml:space="preserve"> defining covered entities’ obligations to make their advanced communications services and equipment accessible.</w:t>
      </w:r>
      <w:r w:rsidRPr="009C79E5">
        <w:rPr>
          <w:rStyle w:val="FootnoteReference"/>
          <w:rFonts w:ascii="Times New Roman" w:hAnsi="Times New Roman"/>
        </w:rPr>
        <w:footnoteReference w:id="332"/>
      </w:r>
      <w:r w:rsidRPr="009C79E5">
        <w:rPr>
          <w:rFonts w:ascii="Times New Roman" w:hAnsi="Times New Roman"/>
        </w:rPr>
        <w:t xml:space="preserve">  The Commission also affirmed that the rules it adopted</w:t>
      </w:r>
      <w:r w:rsidRPr="009C79E5" w:rsidDel="00833410">
        <w:rPr>
          <w:rFonts w:ascii="Times New Roman" w:hAnsi="Times New Roman"/>
        </w:rPr>
        <w:t xml:space="preserve"> with respect to </w:t>
      </w:r>
      <w:r w:rsidRPr="009C79E5">
        <w:rPr>
          <w:rFonts w:ascii="Times New Roman" w:hAnsi="Times New Roman"/>
        </w:rPr>
        <w:t xml:space="preserve">the </w:t>
      </w:r>
      <w:r w:rsidRPr="009C79E5" w:rsidDel="00833410">
        <w:rPr>
          <w:rFonts w:ascii="Times New Roman" w:hAnsi="Times New Roman"/>
        </w:rPr>
        <w:t xml:space="preserve">recordkeeping requirements </w:t>
      </w:r>
      <w:r w:rsidRPr="009C79E5">
        <w:rPr>
          <w:rFonts w:ascii="Times New Roman" w:hAnsi="Times New Roman"/>
        </w:rPr>
        <w:t xml:space="preserve">mandated by Section 717 of the Act are </w:t>
      </w:r>
      <w:r w:rsidRPr="009C79E5" w:rsidDel="00833410">
        <w:rPr>
          <w:rFonts w:ascii="Times New Roman" w:hAnsi="Times New Roman"/>
        </w:rPr>
        <w:t xml:space="preserve">applicable to manufacturers and service providers </w:t>
      </w:r>
      <w:r w:rsidRPr="009C79E5">
        <w:rPr>
          <w:rFonts w:ascii="Times New Roman" w:hAnsi="Times New Roman"/>
        </w:rPr>
        <w:t xml:space="preserve">that are </w:t>
      </w:r>
      <w:r w:rsidRPr="009C79E5" w:rsidDel="00833410">
        <w:rPr>
          <w:rFonts w:ascii="Times New Roman" w:hAnsi="Times New Roman"/>
        </w:rPr>
        <w:t xml:space="preserve">subject to </w:t>
      </w:r>
      <w:r w:rsidRPr="009C79E5">
        <w:rPr>
          <w:rFonts w:ascii="Times New Roman" w:hAnsi="Times New Roman"/>
        </w:rPr>
        <w:t>S</w:t>
      </w:r>
      <w:r w:rsidRPr="009C79E5" w:rsidDel="00833410">
        <w:rPr>
          <w:rFonts w:ascii="Times New Roman" w:hAnsi="Times New Roman"/>
        </w:rPr>
        <w:t>ection 718.</w:t>
      </w:r>
      <w:r w:rsidRPr="009C79E5">
        <w:rPr>
          <w:rStyle w:val="FootnoteReference"/>
          <w:rFonts w:ascii="Times New Roman" w:hAnsi="Times New Roman"/>
        </w:rPr>
        <w:footnoteReference w:id="333"/>
      </w:r>
      <w:r w:rsidRPr="009C79E5">
        <w:rPr>
          <w:rFonts w:ascii="Times New Roman" w:hAnsi="Times New Roman"/>
        </w:rPr>
        <w:t xml:space="preserve">  </w:t>
      </w:r>
    </w:p>
    <w:p w:rsidR="00E61738" w:rsidRPr="009C79E5" w:rsidDel="00833410" w:rsidRDefault="00E61738" w:rsidP="00476E6F">
      <w:pPr>
        <w:pStyle w:val="ListParagraph"/>
        <w:suppressAutoHyphens/>
        <w:spacing w:after="0" w:line="240" w:lineRule="auto"/>
        <w:ind w:left="1080"/>
        <w:rPr>
          <w:rFonts w:ascii="Times New Roman" w:hAnsi="Times New Roman"/>
        </w:rPr>
      </w:pPr>
    </w:p>
    <w:p w:rsidR="00E61738" w:rsidRPr="009C79E5" w:rsidRDefault="00E61738" w:rsidP="00476E6F">
      <w:pPr>
        <w:pStyle w:val="ListParagraph"/>
        <w:numPr>
          <w:ilvl w:val="0"/>
          <w:numId w:val="12"/>
        </w:numPr>
        <w:suppressAutoHyphens/>
        <w:spacing w:after="0" w:line="240" w:lineRule="auto"/>
        <w:ind w:left="1080"/>
        <w:contextualSpacing w:val="0"/>
        <w:rPr>
          <w:rFonts w:ascii="Times New Roman" w:hAnsi="Times New Roman"/>
        </w:rPr>
      </w:pPr>
      <w:r w:rsidRPr="009C79E5">
        <w:rPr>
          <w:rStyle w:val="Strong1"/>
          <w:rFonts w:ascii="Times New Roman" w:hAnsi="Times New Roman"/>
          <w:b w:val="0"/>
          <w:i/>
          <w:color w:val="auto"/>
          <w:sz w:val="22"/>
        </w:rPr>
        <w:t>New Complaint Procedures.</w:t>
      </w:r>
      <w:r w:rsidRPr="009C79E5">
        <w:rPr>
          <w:rStyle w:val="Strong1"/>
          <w:rFonts w:ascii="Times New Roman" w:hAnsi="Times New Roman"/>
          <w:b w:val="0"/>
          <w:color w:val="auto"/>
          <w:sz w:val="22"/>
        </w:rPr>
        <w:t xml:space="preserve">  In a public notice dated November 13, 2013, the Commission announced the establishment of </w:t>
      </w:r>
      <w:r w:rsidRPr="009C79E5">
        <w:rPr>
          <w:rFonts w:ascii="Times New Roman" w:hAnsi="Times New Roman"/>
        </w:rPr>
        <w:t>new procedures, effective October 8, 2013, for filing complaints alleging violations of Sections 255, 716, or 718 of the Act.</w:t>
      </w:r>
      <w:r w:rsidRPr="009C79E5">
        <w:rPr>
          <w:rStyle w:val="FootnoteReference"/>
          <w:rFonts w:ascii="Times New Roman" w:hAnsi="Times New Roman"/>
        </w:rPr>
        <w:footnoteReference w:id="334"/>
      </w:r>
      <w:r w:rsidRPr="009C79E5">
        <w:rPr>
          <w:rStyle w:val="EmphasisA"/>
          <w:rFonts w:ascii="Times New Roman" w:hAnsi="Times New Roman"/>
          <w:color w:val="auto"/>
          <w:sz w:val="22"/>
        </w:rPr>
        <w:t xml:space="preserve">  </w:t>
      </w:r>
      <w:r w:rsidRPr="009C79E5">
        <w:rPr>
          <w:rFonts w:ascii="Times New Roman" w:hAnsi="Times New Roman"/>
        </w:rPr>
        <w:t>The Commission also established the following web-based systems to help consumers:  (1) find contact information for a company’s accessibility customer care representative; (2) request assistance from the FCC’s Disability Rights Office to resolve accessibility problems; and (3) file informal complaints alleging noncompliance with these sections of the Act with the FCC’s Enforcement Bureau.</w:t>
      </w:r>
      <w:r w:rsidRPr="009C79E5">
        <w:rPr>
          <w:rStyle w:val="FootnoteReference"/>
          <w:rFonts w:ascii="Times New Roman" w:hAnsi="Times New Roman"/>
        </w:rPr>
        <w:footnoteReference w:id="335"/>
      </w:r>
      <w:r w:rsidRPr="009C79E5">
        <w:rPr>
          <w:rFonts w:ascii="Times New Roman" w:hAnsi="Times New Roman"/>
        </w:rPr>
        <w:t xml:space="preserve">  These complaint procedures, established pursuant to Section 717(a) of the Act, became effective on October 8, 2013.</w:t>
      </w:r>
      <w:r w:rsidRPr="009C79E5">
        <w:rPr>
          <w:rStyle w:val="FootnoteReference"/>
          <w:rFonts w:ascii="Times New Roman" w:hAnsi="Times New Roman"/>
        </w:rPr>
        <w:footnoteReference w:id="336"/>
      </w:r>
    </w:p>
    <w:p w:rsidR="00E61738" w:rsidRPr="009C79E5" w:rsidRDefault="00E61738" w:rsidP="00476E6F">
      <w:pPr>
        <w:suppressAutoHyphens/>
        <w:rPr>
          <w:sz w:val="22"/>
          <w:szCs w:val="22"/>
        </w:rPr>
      </w:pPr>
    </w:p>
    <w:p w:rsidR="00E61738" w:rsidRPr="008D556C" w:rsidRDefault="00E61738" w:rsidP="00476E6F">
      <w:pPr>
        <w:suppressAutoHyphens/>
        <w:ind w:left="1080"/>
        <w:rPr>
          <w:sz w:val="22"/>
          <w:szCs w:val="22"/>
        </w:rPr>
      </w:pPr>
      <w:r w:rsidRPr="009C79E5">
        <w:rPr>
          <w:sz w:val="22"/>
          <w:szCs w:val="22"/>
        </w:rPr>
        <w:t xml:space="preserve">In addition, on June 10, 2014, the Commission launched a new consumer support service </w:t>
      </w:r>
      <w:r w:rsidRPr="009C79E5">
        <w:rPr>
          <w:rStyle w:val="FootnoteReference"/>
          <w:sz w:val="22"/>
          <w:szCs w:val="22"/>
          <w:vertAlign w:val="baseline"/>
        </w:rPr>
        <w:t>specifically</w:t>
      </w:r>
      <w:r w:rsidRPr="009C79E5">
        <w:rPr>
          <w:sz w:val="22"/>
          <w:szCs w:val="22"/>
        </w:rPr>
        <w:t xml:space="preserve"> designed to enable direct videophone communication with consumers who are deaf or hard of hearing and use American Sign Language (ASL).</w:t>
      </w:r>
      <w:r w:rsidRPr="008D556C">
        <w:rPr>
          <w:rStyle w:val="FootnoteReference"/>
          <w:sz w:val="22"/>
          <w:szCs w:val="22"/>
        </w:rPr>
        <w:footnoteReference w:id="337"/>
      </w:r>
      <w:r w:rsidRPr="008D556C">
        <w:rPr>
          <w:sz w:val="22"/>
          <w:szCs w:val="22"/>
        </w:rPr>
        <w:t xml:space="preserve">  The new ASL Consumer Support Line is operated by the Disability Rights Office.  The ASL consumer speciali</w:t>
      </w:r>
      <w:r w:rsidRPr="003511DC">
        <w:rPr>
          <w:sz w:val="22"/>
          <w:szCs w:val="22"/>
        </w:rPr>
        <w:t>st who staffs this vid</w:t>
      </w:r>
      <w:r w:rsidRPr="00BF0859">
        <w:rPr>
          <w:sz w:val="22"/>
          <w:szCs w:val="22"/>
        </w:rPr>
        <w:t>eophone is able to respond to consumer inquiries on CVAA-related matters and provide assistance to consumers wishing to file complaints.</w:t>
      </w:r>
      <w:r w:rsidRPr="008D556C">
        <w:rPr>
          <w:rStyle w:val="FootnoteReference"/>
          <w:sz w:val="22"/>
          <w:szCs w:val="22"/>
        </w:rPr>
        <w:footnoteReference w:id="338"/>
      </w:r>
    </w:p>
    <w:p w:rsidR="00E61738" w:rsidRPr="003511DC" w:rsidRDefault="00E61738" w:rsidP="00476E6F">
      <w:pPr>
        <w:suppressAutoHyphens/>
        <w:rPr>
          <w:sz w:val="22"/>
          <w:szCs w:val="22"/>
        </w:rPr>
      </w:pPr>
    </w:p>
    <w:p w:rsidR="00E61738" w:rsidRPr="009C79E5" w:rsidRDefault="00E61738" w:rsidP="00476E6F">
      <w:pPr>
        <w:pStyle w:val="ListParagraph"/>
        <w:numPr>
          <w:ilvl w:val="0"/>
          <w:numId w:val="12"/>
        </w:numPr>
        <w:suppressAutoHyphens/>
        <w:spacing w:after="0" w:line="240" w:lineRule="auto"/>
        <w:ind w:left="1080"/>
        <w:contextualSpacing w:val="0"/>
        <w:rPr>
          <w:rFonts w:ascii="Times New Roman" w:hAnsi="Times New Roman"/>
        </w:rPr>
      </w:pPr>
      <w:r w:rsidRPr="00BF0859">
        <w:rPr>
          <w:rStyle w:val="Strong1"/>
          <w:rFonts w:ascii="Times New Roman" w:hAnsi="Times New Roman"/>
          <w:b w:val="0"/>
          <w:i/>
          <w:color w:val="auto"/>
          <w:sz w:val="22"/>
        </w:rPr>
        <w:t>Waivers</w:t>
      </w:r>
      <w:r w:rsidRPr="00FF1FD9">
        <w:rPr>
          <w:rStyle w:val="Strong1"/>
          <w:rFonts w:ascii="Times New Roman" w:hAnsi="Times New Roman"/>
          <w:b w:val="0"/>
          <w:color w:val="auto"/>
          <w:sz w:val="22"/>
        </w:rPr>
        <w:t>.</w:t>
      </w:r>
      <w:r w:rsidRPr="006C02D7">
        <w:rPr>
          <w:rStyle w:val="FootnoteReference"/>
          <w:rFonts w:ascii="Times New Roman" w:hAnsi="Times New Roman"/>
        </w:rPr>
        <w:footnoteReference w:id="339"/>
      </w:r>
      <w:r w:rsidRPr="006C02D7">
        <w:rPr>
          <w:rStyle w:val="Strong1"/>
          <w:rFonts w:ascii="Times New Roman" w:hAnsi="Times New Roman"/>
          <w:color w:val="auto"/>
          <w:sz w:val="22"/>
        </w:rPr>
        <w:t xml:space="preserve">  </w:t>
      </w:r>
      <w:r w:rsidRPr="006C02D7">
        <w:rPr>
          <w:rStyle w:val="Strong1"/>
          <w:rFonts w:ascii="Times New Roman" w:hAnsi="Times New Roman"/>
          <w:b w:val="0"/>
          <w:color w:val="auto"/>
          <w:sz w:val="22"/>
        </w:rPr>
        <w:t>On October 15, 2012, t</w:t>
      </w:r>
      <w:r w:rsidRPr="006C02D7">
        <w:rPr>
          <w:rFonts w:ascii="Times New Roman" w:hAnsi="Times New Roman"/>
        </w:rPr>
        <w:t>he</w:t>
      </w:r>
      <w:r w:rsidRPr="006C02D7">
        <w:rPr>
          <w:rStyle w:val="Strong1"/>
          <w:rFonts w:ascii="Times New Roman" w:hAnsi="Times New Roman"/>
          <w:color w:val="auto"/>
          <w:sz w:val="22"/>
        </w:rPr>
        <w:t xml:space="preserve"> </w:t>
      </w:r>
      <w:r w:rsidRPr="006C02D7">
        <w:rPr>
          <w:rStyle w:val="FootnoteReference"/>
          <w:rFonts w:ascii="Times New Roman" w:hAnsi="Times New Roman"/>
          <w:vertAlign w:val="baseline"/>
        </w:rPr>
        <w:t>Commission</w:t>
      </w:r>
      <w:r w:rsidRPr="006C02D7">
        <w:rPr>
          <w:rStyle w:val="apple-converted-space"/>
          <w:rFonts w:ascii="Times New Roman" w:hAnsi="Times New Roman"/>
          <w:color w:val="auto"/>
          <w:sz w:val="22"/>
        </w:rPr>
        <w:t> </w:t>
      </w:r>
      <w:r w:rsidRPr="006C02D7">
        <w:rPr>
          <w:rFonts w:ascii="Times New Roman" w:hAnsi="Times New Roman"/>
        </w:rPr>
        <w:t>granted waivers of its advanced communication se</w:t>
      </w:r>
      <w:r w:rsidRPr="009C79E5">
        <w:rPr>
          <w:rFonts w:ascii="Times New Roman" w:hAnsi="Times New Roman"/>
        </w:rPr>
        <w:t>rvices accessibility rules, until October 8, 2015, for certain classes of equipment and services:  Internet protocol-enabled televisions; Internet-enabled digital video players; cable set-top boxes; and gaming consoles, services, and software.</w:t>
      </w:r>
      <w:r w:rsidRPr="009C79E5">
        <w:rPr>
          <w:rStyle w:val="FootnoteReference"/>
          <w:rFonts w:ascii="Times New Roman" w:hAnsi="Times New Roman"/>
        </w:rPr>
        <w:footnoteReference w:id="340"/>
      </w:r>
      <w:r w:rsidRPr="009C79E5">
        <w:rPr>
          <w:rFonts w:ascii="Times New Roman" w:hAnsi="Times New Roman"/>
        </w:rPr>
        <w:t xml:space="preserve">  These waivers were granted in response to petitions filed by the Consumer Electronics Association (CEA),</w:t>
      </w:r>
      <w:r w:rsidRPr="009C79E5">
        <w:rPr>
          <w:rStyle w:val="FootnoteReference"/>
          <w:rFonts w:ascii="Times New Roman" w:hAnsi="Times New Roman"/>
        </w:rPr>
        <w:footnoteReference w:id="341"/>
      </w:r>
      <w:r w:rsidRPr="009C79E5">
        <w:rPr>
          <w:rFonts w:ascii="Times New Roman" w:hAnsi="Times New Roman"/>
        </w:rPr>
        <w:t xml:space="preserve"> the National Cable &amp; Telecommunications Association (NCTA),</w:t>
      </w:r>
      <w:r w:rsidRPr="009C79E5">
        <w:rPr>
          <w:rStyle w:val="FootnoteReference"/>
          <w:rFonts w:ascii="Times New Roman" w:hAnsi="Times New Roman"/>
        </w:rPr>
        <w:footnoteReference w:id="342"/>
      </w:r>
      <w:r w:rsidRPr="009C79E5">
        <w:rPr>
          <w:rFonts w:ascii="Times New Roman" w:hAnsi="Times New Roman"/>
        </w:rPr>
        <w:t xml:space="preserve"> and the Entertainment Software Association (ESA).</w:t>
      </w:r>
      <w:r w:rsidRPr="009C79E5">
        <w:rPr>
          <w:rStyle w:val="FootnoteReference"/>
          <w:rFonts w:ascii="Times New Roman" w:hAnsi="Times New Roman"/>
        </w:rPr>
        <w:footnoteReference w:id="343"/>
      </w:r>
      <w:r w:rsidRPr="009C79E5">
        <w:rPr>
          <w:rFonts w:ascii="Times New Roman" w:hAnsi="Times New Roman"/>
        </w:rPr>
        <w:t xml:space="preserve">  The Commission granted each waiver after finding that these classes of multipurpose equipment are capable of accessing advanced communications services, but are designed primarily for purposes other than using advanced communications services.</w:t>
      </w:r>
      <w:r w:rsidRPr="009C79E5">
        <w:rPr>
          <w:rStyle w:val="FootnoteReference"/>
          <w:rFonts w:ascii="Times New Roman" w:hAnsi="Times New Roman"/>
        </w:rPr>
        <w:footnoteReference w:id="344"/>
      </w:r>
    </w:p>
    <w:p w:rsidR="00E61738" w:rsidRPr="009C79E5" w:rsidRDefault="00E61738" w:rsidP="00476E6F">
      <w:pPr>
        <w:pStyle w:val="ListParagraph"/>
        <w:suppressAutoHyphens/>
        <w:spacing w:after="0" w:line="240" w:lineRule="auto"/>
        <w:ind w:left="1080"/>
        <w:rPr>
          <w:rFonts w:ascii="Times New Roman" w:hAnsi="Times New Roman"/>
        </w:rPr>
      </w:pPr>
    </w:p>
    <w:p w:rsidR="00E61738" w:rsidRPr="009C79E5" w:rsidRDefault="00E61738" w:rsidP="00476E6F">
      <w:pPr>
        <w:pStyle w:val="ListParagraph"/>
        <w:suppressAutoHyphens/>
        <w:spacing w:after="0" w:line="240" w:lineRule="auto"/>
        <w:ind w:left="1080"/>
        <w:rPr>
          <w:rStyle w:val="Strong1"/>
          <w:rFonts w:ascii="Times New Roman" w:hAnsi="Times New Roman"/>
          <w:b w:val="0"/>
          <w:color w:val="auto"/>
          <w:sz w:val="22"/>
        </w:rPr>
      </w:pPr>
      <w:r w:rsidRPr="009C79E5">
        <w:rPr>
          <w:rFonts w:ascii="Times New Roman" w:hAnsi="Times New Roman"/>
        </w:rPr>
        <w:t>On January 28, 2014, the Commission also granted a waiver of its advanced communications services accessibility rules, until January 28, 2015, for a single class of equipment:  basic e-readers.</w:t>
      </w:r>
      <w:r w:rsidRPr="009C79E5">
        <w:rPr>
          <w:rStyle w:val="FootnoteReference"/>
          <w:rFonts w:ascii="Times New Roman" w:hAnsi="Times New Roman"/>
        </w:rPr>
        <w:footnoteReference w:id="345"/>
      </w:r>
      <w:r w:rsidRPr="009C79E5">
        <w:rPr>
          <w:rFonts w:ascii="Times New Roman" w:hAnsi="Times New Roman"/>
        </w:rPr>
        <w:t xml:space="preserve">  This waiver was granted in response to a petition filed by a coalition of e-reader manufacturers consisting of Amazon.com, Inc., Kobo Inc., and Sony Electronics Inc.</w:t>
      </w:r>
      <w:r w:rsidRPr="009C79E5">
        <w:rPr>
          <w:rStyle w:val="FootnoteReference"/>
          <w:rFonts w:ascii="Times New Roman" w:hAnsi="Times New Roman"/>
        </w:rPr>
        <w:footnoteReference w:id="346"/>
      </w:r>
      <w:r w:rsidRPr="009C79E5">
        <w:rPr>
          <w:rFonts w:ascii="Times New Roman" w:hAnsi="Times New Roman"/>
        </w:rPr>
        <w:t xml:space="preserve">  </w:t>
      </w:r>
      <w:r w:rsidRPr="009C79E5">
        <w:rPr>
          <w:rStyle w:val="Strong1"/>
          <w:rFonts w:ascii="Times New Roman" w:hAnsi="Times New Roman"/>
          <w:b w:val="0"/>
          <w:color w:val="auto"/>
          <w:sz w:val="22"/>
        </w:rPr>
        <w:t xml:space="preserve">The Commission defined the class of basic e-readers to include any mobile electronic device that is capable of accessing advanced communications services, designed primarily for the purpose of reading text-based digital works, such as books and periodicals, and meets each of the following requirements:  </w:t>
      </w:r>
    </w:p>
    <w:p w:rsidR="00E61738" w:rsidRPr="009C79E5" w:rsidRDefault="00E61738" w:rsidP="00476E6F">
      <w:pPr>
        <w:pStyle w:val="ListParagraph"/>
        <w:suppressAutoHyphens/>
        <w:spacing w:after="0" w:line="240" w:lineRule="auto"/>
        <w:ind w:left="1080"/>
        <w:rPr>
          <w:rStyle w:val="Strong1"/>
          <w:rFonts w:ascii="Times New Roman" w:hAnsi="Times New Roman"/>
          <w:b w:val="0"/>
          <w:color w:val="auto"/>
          <w:sz w:val="22"/>
        </w:rPr>
      </w:pPr>
    </w:p>
    <w:p w:rsidR="00E61738" w:rsidRPr="009C79E5" w:rsidRDefault="00E61738" w:rsidP="00476E6F">
      <w:pPr>
        <w:pStyle w:val="ListParagraph"/>
        <w:numPr>
          <w:ilvl w:val="0"/>
          <w:numId w:val="13"/>
        </w:numPr>
        <w:suppressAutoHyphens/>
        <w:spacing w:after="0" w:line="240" w:lineRule="auto"/>
        <w:contextualSpacing w:val="0"/>
        <w:rPr>
          <w:rFonts w:ascii="Times New Roman" w:hAnsi="Times New Roman"/>
        </w:rPr>
      </w:pPr>
      <w:r w:rsidRPr="009C79E5">
        <w:rPr>
          <w:rFonts w:ascii="Times New Roman" w:hAnsi="Times New Roman"/>
        </w:rPr>
        <w:t>the device has no LCD screen</w:t>
      </w:r>
      <w:r w:rsidR="00317DF4" w:rsidRPr="009C79E5">
        <w:rPr>
          <w:rFonts w:ascii="Times New Roman" w:hAnsi="Times New Roman"/>
        </w:rPr>
        <w:t>, but rather utilizes a screen that is designed to optimize reading</w:t>
      </w:r>
      <w:r w:rsidRPr="009C79E5">
        <w:rPr>
          <w:rFonts w:ascii="Times New Roman" w:hAnsi="Times New Roman"/>
        </w:rPr>
        <w:t xml:space="preserve">; </w:t>
      </w:r>
    </w:p>
    <w:p w:rsidR="00E61738" w:rsidRPr="009C79E5" w:rsidRDefault="00E61738" w:rsidP="00476E6F">
      <w:pPr>
        <w:pStyle w:val="ListParagraph"/>
        <w:numPr>
          <w:ilvl w:val="0"/>
          <w:numId w:val="13"/>
        </w:numPr>
        <w:suppressAutoHyphens/>
        <w:spacing w:after="0" w:line="240" w:lineRule="auto"/>
        <w:contextualSpacing w:val="0"/>
        <w:rPr>
          <w:rFonts w:ascii="Times New Roman" w:hAnsi="Times New Roman"/>
        </w:rPr>
      </w:pPr>
      <w:r w:rsidRPr="009C79E5">
        <w:rPr>
          <w:rFonts w:ascii="Times New Roman" w:hAnsi="Times New Roman"/>
        </w:rPr>
        <w:t>the device has no camera;</w:t>
      </w:r>
    </w:p>
    <w:p w:rsidR="00E61738" w:rsidRPr="009C79E5" w:rsidRDefault="00E61738" w:rsidP="00476E6F">
      <w:pPr>
        <w:pStyle w:val="ListParagraph"/>
        <w:numPr>
          <w:ilvl w:val="0"/>
          <w:numId w:val="13"/>
        </w:numPr>
        <w:suppressAutoHyphens/>
        <w:spacing w:after="0" w:line="240" w:lineRule="auto"/>
        <w:contextualSpacing w:val="0"/>
        <w:rPr>
          <w:rFonts w:ascii="Times New Roman" w:hAnsi="Times New Roman"/>
        </w:rPr>
      </w:pPr>
      <w:r w:rsidRPr="009C79E5">
        <w:rPr>
          <w:rFonts w:ascii="Times New Roman" w:hAnsi="Times New Roman"/>
        </w:rPr>
        <w:t>the device is not offered or shipped to consumers with built-in advanced communications service client applications and the device manufacturer does not develop advanced communications service applications for its respective device, but the device may be offered or shipped to consumers with a browser and social media applications; and</w:t>
      </w:r>
    </w:p>
    <w:p w:rsidR="00E61738" w:rsidRPr="009C79E5" w:rsidRDefault="00E61738" w:rsidP="00476E6F">
      <w:pPr>
        <w:pStyle w:val="ListParagraph"/>
        <w:numPr>
          <w:ilvl w:val="0"/>
          <w:numId w:val="13"/>
        </w:numPr>
        <w:suppressAutoHyphens/>
        <w:spacing w:after="0" w:line="240" w:lineRule="auto"/>
        <w:contextualSpacing w:val="0"/>
        <w:rPr>
          <w:rFonts w:ascii="Times New Roman" w:hAnsi="Times New Roman"/>
        </w:rPr>
      </w:pPr>
      <w:r w:rsidRPr="009C79E5">
        <w:rPr>
          <w:rFonts w:ascii="Times New Roman" w:hAnsi="Times New Roman"/>
        </w:rPr>
        <w:t>the device is marketed to consumers as a reading device and promotional material about the device does not tout the capability to access advanced communications services.</w:t>
      </w:r>
      <w:r w:rsidRPr="009C79E5">
        <w:rPr>
          <w:rStyle w:val="FootnoteReference"/>
          <w:rFonts w:ascii="Times New Roman" w:hAnsi="Times New Roman"/>
        </w:rPr>
        <w:footnoteReference w:id="347"/>
      </w:r>
      <w:r w:rsidRPr="009C79E5">
        <w:rPr>
          <w:rFonts w:ascii="Times New Roman" w:hAnsi="Times New Roman"/>
        </w:rPr>
        <w:t xml:space="preserve">  </w:t>
      </w:r>
    </w:p>
    <w:p w:rsidR="00E61738" w:rsidRPr="009C79E5" w:rsidRDefault="00E61738" w:rsidP="00476E6F">
      <w:pPr>
        <w:suppressLineNumbers/>
        <w:suppressAutoHyphens/>
        <w:ind w:left="720"/>
        <w:rPr>
          <w:sz w:val="22"/>
          <w:szCs w:val="22"/>
        </w:rPr>
      </w:pPr>
    </w:p>
    <w:p w:rsidR="00E61738" w:rsidRPr="008D556C" w:rsidRDefault="00E61CF3" w:rsidP="00476E6F">
      <w:pPr>
        <w:numPr>
          <w:ilvl w:val="0"/>
          <w:numId w:val="2"/>
        </w:numPr>
        <w:suppressLineNumbers/>
        <w:tabs>
          <w:tab w:val="clear" w:pos="720"/>
          <w:tab w:val="num" w:pos="1440"/>
        </w:tabs>
        <w:suppressAutoHyphens/>
        <w:ind w:left="0" w:firstLine="720"/>
        <w:rPr>
          <w:sz w:val="22"/>
          <w:szCs w:val="22"/>
        </w:rPr>
      </w:pPr>
      <w:r w:rsidRPr="009C79E5">
        <w:rPr>
          <w:i/>
          <w:sz w:val="22"/>
          <w:szCs w:val="22"/>
        </w:rPr>
        <w:t>Accessibility Clearinghouse</w:t>
      </w:r>
      <w:r w:rsidRPr="009C79E5">
        <w:rPr>
          <w:sz w:val="22"/>
          <w:szCs w:val="22"/>
        </w:rPr>
        <w:t>.  Section 717(d) of the Act requires the Commission, within one year after the enactment of the CVAA, or by October 8, 2011, to establish a clearinghouse of information on the availability of accessible products and services and accessibility solutions required under Sections 255, 716, and 718 of the Act.</w:t>
      </w:r>
      <w:r w:rsidRPr="008D556C">
        <w:rPr>
          <w:rStyle w:val="FootnoteReference"/>
          <w:sz w:val="22"/>
          <w:szCs w:val="22"/>
        </w:rPr>
        <w:footnoteReference w:id="348"/>
      </w:r>
      <w:r w:rsidRPr="008D556C">
        <w:rPr>
          <w:sz w:val="22"/>
          <w:szCs w:val="22"/>
        </w:rPr>
        <w:t xml:space="preserve">  The clearinghouse information must be made publicly available on the Commission’s website and by other means, and must include an annually updated list of products and services with access features.</w:t>
      </w:r>
      <w:r w:rsidRPr="008D556C">
        <w:rPr>
          <w:rStyle w:val="FootnoteReference"/>
          <w:sz w:val="22"/>
          <w:szCs w:val="22"/>
        </w:rPr>
        <w:footnoteReference w:id="349"/>
      </w:r>
    </w:p>
    <w:p w:rsidR="00E61738" w:rsidRPr="003511DC" w:rsidRDefault="00E61738" w:rsidP="00476E6F">
      <w:pPr>
        <w:suppressLineNumbers/>
        <w:suppressAutoHyphens/>
        <w:ind w:left="720"/>
        <w:rPr>
          <w:sz w:val="22"/>
          <w:szCs w:val="22"/>
        </w:rPr>
      </w:pPr>
    </w:p>
    <w:p w:rsidR="00E61738" w:rsidRPr="008D556C" w:rsidRDefault="00E61CF3" w:rsidP="00476E6F">
      <w:pPr>
        <w:numPr>
          <w:ilvl w:val="0"/>
          <w:numId w:val="2"/>
        </w:numPr>
        <w:suppressLineNumbers/>
        <w:tabs>
          <w:tab w:val="clear" w:pos="720"/>
          <w:tab w:val="num" w:pos="1440"/>
        </w:tabs>
        <w:suppressAutoHyphens/>
        <w:ind w:left="0" w:firstLine="720"/>
        <w:rPr>
          <w:sz w:val="22"/>
          <w:szCs w:val="22"/>
        </w:rPr>
      </w:pPr>
      <w:r w:rsidRPr="00BF0859">
        <w:rPr>
          <w:sz w:val="22"/>
          <w:szCs w:val="22"/>
        </w:rPr>
        <w:t xml:space="preserve">The </w:t>
      </w:r>
      <w:r w:rsidRPr="00FF1FD9">
        <w:rPr>
          <w:sz w:val="22"/>
          <w:szCs w:val="22"/>
        </w:rPr>
        <w:t xml:space="preserve">Commission launched its Accessibility Clearinghouse, available at </w:t>
      </w:r>
      <w:hyperlink r:id="rId8" w:history="1">
        <w:r w:rsidRPr="005732A8">
          <w:rPr>
            <w:rStyle w:val="Hyperlink"/>
            <w:sz w:val="22"/>
            <w:szCs w:val="22"/>
          </w:rPr>
          <w:t>http://fcc.gov/AccessibilityClearinghouse</w:t>
        </w:r>
      </w:hyperlink>
      <w:r w:rsidRPr="008D556C">
        <w:rPr>
          <w:sz w:val="22"/>
          <w:szCs w:val="22"/>
        </w:rPr>
        <w:t>, in October 2011.  The Accessibility Clearinghouse is a web-based repository of informatio</w:t>
      </w:r>
      <w:r w:rsidRPr="003511DC">
        <w:rPr>
          <w:sz w:val="22"/>
          <w:szCs w:val="22"/>
        </w:rPr>
        <w:t xml:space="preserve">n about accessibility </w:t>
      </w:r>
      <w:r w:rsidRPr="00BF0859">
        <w:rPr>
          <w:sz w:val="22"/>
          <w:szCs w:val="22"/>
        </w:rPr>
        <w:t xml:space="preserve">solutions for telecommunications and advanced communications services and equipment.  Among other things, it contains an online database that consumers can use to search for wireless handsets with accessibility features that meet the </w:t>
      </w:r>
      <w:r w:rsidRPr="006C02D7">
        <w:rPr>
          <w:sz w:val="22"/>
          <w:szCs w:val="22"/>
        </w:rPr>
        <w:t>needs of various disabilities,</w:t>
      </w:r>
      <w:r w:rsidRPr="009C79E5">
        <w:rPr>
          <w:sz w:val="22"/>
          <w:szCs w:val="22"/>
          <w:vertAlign w:val="superscript"/>
        </w:rPr>
        <w:t xml:space="preserve"> </w:t>
      </w:r>
      <w:r w:rsidRPr="009C79E5">
        <w:rPr>
          <w:sz w:val="22"/>
          <w:szCs w:val="22"/>
        </w:rPr>
        <w:t xml:space="preserve">as well as information about accessibility applications and assistive technology solutions, and organizations supporting accessible telecommunications.  Since the </w:t>
      </w:r>
      <w:r w:rsidRPr="009C79E5">
        <w:rPr>
          <w:i/>
          <w:sz w:val="22"/>
          <w:szCs w:val="22"/>
        </w:rPr>
        <w:t>2012 CVAA Biennial Report</w:t>
      </w:r>
      <w:r w:rsidRPr="009C79E5">
        <w:rPr>
          <w:sz w:val="22"/>
          <w:szCs w:val="22"/>
        </w:rPr>
        <w:t>, the Commission has made some feature improvements in this database.  In addition, the Commission is now working with industry associations to explore the development and inclusion of additional data sets in the Accessibility Clearinghouse.</w:t>
      </w:r>
      <w:r w:rsidRPr="008D556C">
        <w:rPr>
          <w:sz w:val="22"/>
          <w:szCs w:val="22"/>
          <w:vertAlign w:val="superscript"/>
        </w:rPr>
        <w:footnoteReference w:id="350"/>
      </w:r>
      <w:r w:rsidR="005661AF" w:rsidRPr="008D556C">
        <w:rPr>
          <w:sz w:val="22"/>
          <w:szCs w:val="22"/>
        </w:rPr>
        <w:t xml:space="preserve"> </w:t>
      </w:r>
    </w:p>
    <w:p w:rsidR="00E61738" w:rsidRPr="003511DC" w:rsidRDefault="00E61738" w:rsidP="00476E6F">
      <w:pPr>
        <w:suppressLineNumbers/>
        <w:suppressAutoHyphens/>
        <w:ind w:left="720"/>
        <w:rPr>
          <w:sz w:val="22"/>
          <w:szCs w:val="22"/>
        </w:rPr>
      </w:pPr>
    </w:p>
    <w:p w:rsidR="00E61738" w:rsidRPr="008D556C" w:rsidRDefault="00E61CF3" w:rsidP="00476E6F">
      <w:pPr>
        <w:numPr>
          <w:ilvl w:val="0"/>
          <w:numId w:val="2"/>
        </w:numPr>
        <w:suppressLineNumbers/>
        <w:tabs>
          <w:tab w:val="clear" w:pos="720"/>
          <w:tab w:val="num" w:pos="1440"/>
        </w:tabs>
        <w:suppressAutoHyphens/>
        <w:ind w:left="0" w:firstLine="720"/>
        <w:rPr>
          <w:sz w:val="22"/>
          <w:szCs w:val="22"/>
        </w:rPr>
      </w:pPr>
      <w:r w:rsidRPr="00BF0859">
        <w:rPr>
          <w:i/>
          <w:sz w:val="22"/>
          <w:szCs w:val="22"/>
        </w:rPr>
        <w:t>Outreach and Education.</w:t>
      </w:r>
      <w:r w:rsidRPr="00FF1FD9">
        <w:rPr>
          <w:sz w:val="22"/>
          <w:szCs w:val="22"/>
        </w:rPr>
        <w:t xml:space="preserve">  Section 717(e) of the A</w:t>
      </w:r>
      <w:r w:rsidRPr="006C02D7">
        <w:rPr>
          <w:sz w:val="22"/>
          <w:szCs w:val="22"/>
        </w:rPr>
        <w:t>ct requires the Commission to conduct an informational and educational program designed to inform the public about the availability of the Accessibility Clearinghouse and the protections and remedies available under Sections 255, 716, and 718 of the Act.</w:t>
      </w:r>
      <w:r w:rsidRPr="008D556C">
        <w:rPr>
          <w:rStyle w:val="FootnoteReference"/>
          <w:sz w:val="22"/>
          <w:szCs w:val="22"/>
        </w:rPr>
        <w:footnoteReference w:id="351"/>
      </w:r>
    </w:p>
    <w:p w:rsidR="00E61738" w:rsidRPr="003511DC" w:rsidRDefault="00E61738" w:rsidP="00476E6F">
      <w:pPr>
        <w:suppressLineNumbers/>
        <w:suppressAutoHyphens/>
        <w:ind w:left="720"/>
        <w:rPr>
          <w:sz w:val="22"/>
          <w:szCs w:val="22"/>
        </w:rPr>
      </w:pPr>
    </w:p>
    <w:p w:rsidR="00E61738" w:rsidRPr="008D556C" w:rsidRDefault="00E61CF3" w:rsidP="00476E6F">
      <w:pPr>
        <w:numPr>
          <w:ilvl w:val="0"/>
          <w:numId w:val="2"/>
        </w:numPr>
        <w:suppressLineNumbers/>
        <w:tabs>
          <w:tab w:val="clear" w:pos="720"/>
          <w:tab w:val="num" w:pos="1440"/>
        </w:tabs>
        <w:suppressAutoHyphens/>
        <w:ind w:left="0" w:firstLine="720"/>
        <w:rPr>
          <w:sz w:val="22"/>
          <w:szCs w:val="22"/>
        </w:rPr>
      </w:pPr>
      <w:r w:rsidRPr="00BF0859">
        <w:rPr>
          <w:sz w:val="22"/>
          <w:szCs w:val="22"/>
        </w:rPr>
        <w:t xml:space="preserve">Since the </w:t>
      </w:r>
      <w:r w:rsidRPr="00FF1FD9">
        <w:rPr>
          <w:i/>
          <w:sz w:val="22"/>
          <w:szCs w:val="22"/>
        </w:rPr>
        <w:t>2012 CVAA Biennial Report</w:t>
      </w:r>
      <w:r w:rsidRPr="006C02D7">
        <w:rPr>
          <w:sz w:val="22"/>
          <w:szCs w:val="22"/>
        </w:rPr>
        <w:t xml:space="preserve">, Commission staff have made presentations and disseminated information about the CVAA, the Accessibility Clearinghouse, and consumer rights and remedies available under Sections 255, 716, and 718 of the Act at numerous </w:t>
      </w:r>
      <w:r w:rsidRPr="009C79E5">
        <w:rPr>
          <w:sz w:val="22"/>
          <w:szCs w:val="22"/>
        </w:rPr>
        <w:t>local, national, and international conferences and events attended by individuals with disabilities, industry representatives, developers, educators, and other members of the public.</w:t>
      </w:r>
      <w:r w:rsidRPr="008D556C">
        <w:rPr>
          <w:rStyle w:val="FootnoteReference"/>
          <w:sz w:val="22"/>
          <w:szCs w:val="22"/>
        </w:rPr>
        <w:footnoteReference w:id="352"/>
      </w:r>
      <w:r w:rsidRPr="008D556C">
        <w:rPr>
          <w:sz w:val="22"/>
          <w:szCs w:val="22"/>
        </w:rPr>
        <w:t xml:space="preserve">  In addition, the Commission has developed and regularly updates consume</w:t>
      </w:r>
      <w:r w:rsidRPr="003511DC">
        <w:rPr>
          <w:sz w:val="22"/>
          <w:szCs w:val="22"/>
        </w:rPr>
        <w:t>r guides about the CVA</w:t>
      </w:r>
      <w:r w:rsidRPr="00BF0859">
        <w:rPr>
          <w:sz w:val="22"/>
          <w:szCs w:val="22"/>
        </w:rPr>
        <w:t>A and the Commission’s implementing regulations.</w:t>
      </w:r>
      <w:r w:rsidRPr="008D556C">
        <w:rPr>
          <w:rStyle w:val="FootnoteReference"/>
          <w:sz w:val="22"/>
          <w:szCs w:val="22"/>
        </w:rPr>
        <w:footnoteReference w:id="353"/>
      </w:r>
      <w:r w:rsidRPr="008D556C">
        <w:rPr>
          <w:sz w:val="22"/>
          <w:szCs w:val="22"/>
        </w:rPr>
        <w:t xml:space="preserve">  The Commission plans to continue these outreach and educational activities in the future.</w:t>
      </w:r>
    </w:p>
    <w:p w:rsidR="00E61738" w:rsidRPr="003511DC" w:rsidRDefault="00E61738" w:rsidP="00476E6F">
      <w:pPr>
        <w:suppressLineNumbers/>
        <w:suppressAutoHyphens/>
        <w:ind w:left="720"/>
        <w:rPr>
          <w:sz w:val="22"/>
          <w:szCs w:val="22"/>
        </w:rPr>
      </w:pPr>
    </w:p>
    <w:p w:rsidR="00E61738" w:rsidRPr="008D556C" w:rsidRDefault="00E61738" w:rsidP="00476E6F">
      <w:pPr>
        <w:keepNext/>
        <w:keepLines/>
        <w:suppressAutoHyphens/>
        <w:ind w:firstLine="720"/>
        <w:rPr>
          <w:sz w:val="22"/>
          <w:szCs w:val="22"/>
        </w:rPr>
      </w:pPr>
      <w:r w:rsidRPr="003511DC">
        <w:rPr>
          <w:b/>
          <w:sz w:val="22"/>
          <w:szCs w:val="22"/>
        </w:rPr>
        <w:t>D.</w:t>
      </w:r>
      <w:r w:rsidRPr="003511DC">
        <w:rPr>
          <w:b/>
          <w:sz w:val="22"/>
          <w:szCs w:val="22"/>
        </w:rPr>
        <w:tab/>
        <w:t>Section 105.  National Deaf-Blind Equipment Distribution Program</w:t>
      </w:r>
      <w:r w:rsidRPr="008D556C">
        <w:rPr>
          <w:rStyle w:val="FootnoteReference"/>
          <w:sz w:val="22"/>
          <w:szCs w:val="22"/>
        </w:rPr>
        <w:footnoteReference w:id="354"/>
      </w:r>
      <w:r w:rsidRPr="008D556C">
        <w:rPr>
          <w:sz w:val="22"/>
          <w:szCs w:val="22"/>
        </w:rPr>
        <w:t xml:space="preserve">  </w:t>
      </w:r>
    </w:p>
    <w:p w:rsidR="00E61738" w:rsidRPr="003511DC" w:rsidRDefault="00E61738" w:rsidP="00476E6F">
      <w:pPr>
        <w:suppressLineNumbers/>
        <w:suppressAutoHyphens/>
        <w:ind w:left="720"/>
        <w:rPr>
          <w:sz w:val="22"/>
          <w:szCs w:val="22"/>
        </w:rPr>
      </w:pPr>
    </w:p>
    <w:p w:rsidR="00172F9A" w:rsidRPr="008D556C" w:rsidRDefault="00E61CF3" w:rsidP="00476E6F">
      <w:pPr>
        <w:numPr>
          <w:ilvl w:val="0"/>
          <w:numId w:val="2"/>
        </w:numPr>
        <w:suppressLineNumbers/>
        <w:tabs>
          <w:tab w:val="clear" w:pos="720"/>
          <w:tab w:val="num" w:pos="1440"/>
        </w:tabs>
        <w:suppressAutoHyphens/>
        <w:ind w:left="0" w:firstLine="720"/>
        <w:rPr>
          <w:sz w:val="22"/>
          <w:szCs w:val="22"/>
        </w:rPr>
      </w:pPr>
      <w:r w:rsidRPr="00BF0859">
        <w:rPr>
          <w:sz w:val="22"/>
          <w:szCs w:val="22"/>
        </w:rPr>
        <w:t xml:space="preserve">Section 105 of the </w:t>
      </w:r>
      <w:r w:rsidRPr="00FF1FD9">
        <w:rPr>
          <w:sz w:val="22"/>
          <w:szCs w:val="22"/>
        </w:rPr>
        <w:t>CVAA adds Section 719 to the Act, which authorizes support for programs that distribute equipment designed to make telecommunications services, Internet access, and advanced communications accessible by low-income individuals who are deaf-blind.</w:t>
      </w:r>
      <w:r w:rsidRPr="008D556C">
        <w:rPr>
          <w:rStyle w:val="FootnoteReference"/>
          <w:sz w:val="22"/>
          <w:szCs w:val="22"/>
        </w:rPr>
        <w:footnoteReference w:id="355"/>
      </w:r>
      <w:r w:rsidRPr="008D556C">
        <w:rPr>
          <w:sz w:val="22"/>
          <w:szCs w:val="22"/>
        </w:rPr>
        <w:t xml:space="preserve">  Section 719(a) directs the Com</w:t>
      </w:r>
      <w:r w:rsidRPr="003511DC">
        <w:rPr>
          <w:sz w:val="22"/>
          <w:szCs w:val="22"/>
        </w:rPr>
        <w:t>mission to establish rules that define as eligible for support those programs approved by the Commission for the distribution of such equipment.</w:t>
      </w:r>
      <w:r w:rsidRPr="008D556C">
        <w:rPr>
          <w:rStyle w:val="FootnoteReference"/>
          <w:sz w:val="22"/>
          <w:szCs w:val="22"/>
        </w:rPr>
        <w:footnoteReference w:id="356"/>
      </w:r>
      <w:r w:rsidRPr="008D556C">
        <w:rPr>
          <w:sz w:val="22"/>
          <w:szCs w:val="22"/>
        </w:rPr>
        <w:t xml:space="preserve">  Section 719(c) authorizes the Commission to allocate $10 million annually from the interstate TRS Fund for this purpose.</w:t>
      </w:r>
      <w:r w:rsidRPr="008D556C">
        <w:rPr>
          <w:rStyle w:val="FootnoteReference"/>
          <w:sz w:val="22"/>
          <w:szCs w:val="22"/>
        </w:rPr>
        <w:footnoteReference w:id="357"/>
      </w:r>
      <w:r w:rsidRPr="008D556C">
        <w:rPr>
          <w:sz w:val="22"/>
          <w:szCs w:val="22"/>
        </w:rPr>
        <w:t xml:space="preserve"> </w:t>
      </w:r>
    </w:p>
    <w:p w:rsidR="00172F9A" w:rsidRPr="003511DC" w:rsidRDefault="00172F9A" w:rsidP="00476E6F">
      <w:pPr>
        <w:suppressLineNumbers/>
        <w:suppressAutoHyphens/>
        <w:ind w:left="720"/>
        <w:rPr>
          <w:sz w:val="22"/>
          <w:szCs w:val="22"/>
        </w:rPr>
      </w:pPr>
    </w:p>
    <w:p w:rsidR="00172F9A" w:rsidRPr="003511DC" w:rsidRDefault="00E61CF3" w:rsidP="00476E6F">
      <w:pPr>
        <w:numPr>
          <w:ilvl w:val="0"/>
          <w:numId w:val="2"/>
        </w:numPr>
        <w:suppressLineNumbers/>
        <w:tabs>
          <w:tab w:val="clear" w:pos="720"/>
          <w:tab w:val="num" w:pos="1440"/>
        </w:tabs>
        <w:suppressAutoHyphens/>
        <w:ind w:left="0" w:firstLine="720"/>
        <w:rPr>
          <w:sz w:val="22"/>
          <w:szCs w:val="22"/>
        </w:rPr>
      </w:pPr>
      <w:r w:rsidRPr="00BF0859">
        <w:rPr>
          <w:sz w:val="22"/>
          <w:szCs w:val="22"/>
        </w:rPr>
        <w:t>In July 2012, the Commission launched the National Deaf-Blind Equipment Distribution Program (NDBEDP) as a two-year pilot program, with the option of extending the pilot program for a third year.</w:t>
      </w:r>
      <w:r w:rsidRPr="008D556C">
        <w:rPr>
          <w:rStyle w:val="FootnoteReference"/>
          <w:sz w:val="22"/>
          <w:szCs w:val="22"/>
        </w:rPr>
        <w:footnoteReference w:id="358"/>
      </w:r>
      <w:r w:rsidRPr="008D556C">
        <w:rPr>
          <w:sz w:val="22"/>
          <w:szCs w:val="22"/>
        </w:rPr>
        <w:t xml:space="preserve">  Since then, the Commission certified and provided funding to 53 entities to participate in the NDBEDP – one entity in each state, plus the District of Columbia, Puerto Rico, and the U.S. Virgin Islands.</w:t>
      </w:r>
      <w:r w:rsidRPr="008D556C">
        <w:rPr>
          <w:rStyle w:val="FootnoteReference"/>
          <w:sz w:val="22"/>
          <w:szCs w:val="22"/>
        </w:rPr>
        <w:footnoteReference w:id="359"/>
      </w:r>
      <w:r w:rsidRPr="008D556C">
        <w:rPr>
          <w:sz w:val="22"/>
          <w:szCs w:val="22"/>
        </w:rPr>
        <w:t xml:space="preserve">  In addition, the Commission allocated $500,000 per year, of the $10 million allocated for the pilot program, for national outreach.</w:t>
      </w:r>
      <w:r w:rsidRPr="008D556C">
        <w:rPr>
          <w:rStyle w:val="FootnoteReference"/>
          <w:sz w:val="22"/>
          <w:szCs w:val="22"/>
        </w:rPr>
        <w:footnoteReference w:id="360"/>
      </w:r>
      <w:r w:rsidRPr="008D556C">
        <w:rPr>
          <w:sz w:val="22"/>
          <w:szCs w:val="22"/>
        </w:rPr>
        <w:t xml:space="preserve">  A national outreach coordinator selected by the Commission has used this funding for extensive outreach efforts, including establishment of a website (</w:t>
      </w:r>
      <w:hyperlink r:id="rId9" w:history="1">
        <w:r w:rsidRPr="005732A8">
          <w:rPr>
            <w:rStyle w:val="Hyperlink1"/>
            <w:sz w:val="22"/>
            <w:szCs w:val="22"/>
          </w:rPr>
          <w:t>www.iCanConnect.org</w:t>
        </w:r>
      </w:hyperlink>
      <w:r w:rsidRPr="008D556C">
        <w:rPr>
          <w:sz w:val="22"/>
          <w:szCs w:val="22"/>
        </w:rPr>
        <w:t>), a web presence through social media outlets, and production of print materials, public service announcements, and other mass media marketing deliverables.</w:t>
      </w:r>
      <w:r w:rsidRPr="008D556C">
        <w:rPr>
          <w:rStyle w:val="FootnoteReference"/>
          <w:sz w:val="22"/>
          <w:szCs w:val="22"/>
        </w:rPr>
        <w:footnoteReference w:id="361"/>
      </w:r>
      <w:r w:rsidRPr="008D556C">
        <w:rPr>
          <w:sz w:val="22"/>
          <w:szCs w:val="22"/>
        </w:rPr>
        <w:t xml:space="preserve">  These national outreach efforts supplement the state and local outreach activ</w:t>
      </w:r>
      <w:r w:rsidRPr="003511DC">
        <w:rPr>
          <w:sz w:val="22"/>
          <w:szCs w:val="22"/>
        </w:rPr>
        <w:t>ities conducted by certified programs to inform deaf-blind residents of their states about the NDBEDP.</w:t>
      </w:r>
      <w:r w:rsidRPr="008D556C">
        <w:rPr>
          <w:rStyle w:val="FootnoteReference"/>
          <w:sz w:val="22"/>
          <w:szCs w:val="22"/>
        </w:rPr>
        <w:footnoteReference w:id="362"/>
      </w:r>
      <w:r w:rsidRPr="008D556C">
        <w:rPr>
          <w:sz w:val="22"/>
          <w:szCs w:val="22"/>
        </w:rPr>
        <w:t xml:space="preserve"> </w:t>
      </w:r>
    </w:p>
    <w:p w:rsidR="00172F9A" w:rsidRPr="00BF0859" w:rsidRDefault="00172F9A" w:rsidP="00476E6F">
      <w:pPr>
        <w:suppressLineNumbers/>
        <w:suppressAutoHyphens/>
        <w:ind w:left="720"/>
        <w:rPr>
          <w:sz w:val="22"/>
          <w:szCs w:val="22"/>
        </w:rPr>
      </w:pPr>
    </w:p>
    <w:p w:rsidR="00172F9A" w:rsidRPr="008D556C" w:rsidRDefault="00E61CF3" w:rsidP="00476E6F">
      <w:pPr>
        <w:numPr>
          <w:ilvl w:val="0"/>
          <w:numId w:val="2"/>
        </w:numPr>
        <w:suppressLineNumbers/>
        <w:tabs>
          <w:tab w:val="clear" w:pos="720"/>
          <w:tab w:val="num" w:pos="1440"/>
        </w:tabs>
        <w:suppressAutoHyphens/>
        <w:ind w:left="0" w:firstLine="720"/>
        <w:rPr>
          <w:sz w:val="22"/>
          <w:szCs w:val="22"/>
        </w:rPr>
      </w:pPr>
      <w:r w:rsidRPr="006C02D7">
        <w:rPr>
          <w:sz w:val="22"/>
          <w:szCs w:val="22"/>
        </w:rPr>
        <w:t xml:space="preserve">Since the </w:t>
      </w:r>
      <w:r w:rsidRPr="006C02D7">
        <w:rPr>
          <w:i/>
          <w:sz w:val="22"/>
          <w:szCs w:val="22"/>
        </w:rPr>
        <w:t>2012 CVAA Biennial Report</w:t>
      </w:r>
      <w:r w:rsidRPr="006C02D7">
        <w:rPr>
          <w:sz w:val="22"/>
          <w:szCs w:val="22"/>
        </w:rPr>
        <w:t>, two full years of the NDBEDP pilot program have been completed.</w:t>
      </w:r>
      <w:r w:rsidRPr="008D556C">
        <w:rPr>
          <w:rStyle w:val="FootnoteReference"/>
          <w:sz w:val="22"/>
          <w:szCs w:val="22"/>
        </w:rPr>
        <w:footnoteReference w:id="363"/>
      </w:r>
      <w:r w:rsidRPr="008D556C">
        <w:rPr>
          <w:sz w:val="22"/>
          <w:szCs w:val="22"/>
        </w:rPr>
        <w:t xml:space="preserve">  During this period, after establishing administ</w:t>
      </w:r>
      <w:r w:rsidRPr="003511DC">
        <w:rPr>
          <w:sz w:val="22"/>
          <w:szCs w:val="22"/>
        </w:rPr>
        <w:t>rative and operational</w:t>
      </w:r>
      <w:r w:rsidRPr="00BF0859">
        <w:rPr>
          <w:sz w:val="22"/>
          <w:szCs w:val="22"/>
        </w:rPr>
        <w:t xml:space="preserve"> procedures and identifying eligible participants, certified programs began distributing equipment and providing related services to individuals who meet the program’s eligibility criteria.  Initially, utilization of NDBEDP funding ac</w:t>
      </w:r>
      <w:r w:rsidRPr="006C02D7">
        <w:rPr>
          <w:sz w:val="22"/>
          <w:szCs w:val="22"/>
        </w:rPr>
        <w:t>ross the states varied considerably, but by the close of the first year, from July 1, 2012 to June 30, 2013, almost 70 percent of the $10 million available had been used.</w:t>
      </w:r>
      <w:r w:rsidRPr="008D556C">
        <w:rPr>
          <w:rStyle w:val="FootnoteReference"/>
          <w:sz w:val="22"/>
          <w:szCs w:val="22"/>
        </w:rPr>
        <w:footnoteReference w:id="364"/>
      </w:r>
      <w:r w:rsidRPr="008D556C">
        <w:rPr>
          <w:sz w:val="22"/>
          <w:szCs w:val="22"/>
        </w:rPr>
        <w:t xml:space="preserve">  The second year of the NDBEDP pilot program began July 1, 2013 and ended on June 30</w:t>
      </w:r>
      <w:r w:rsidRPr="003511DC">
        <w:rPr>
          <w:sz w:val="22"/>
          <w:szCs w:val="22"/>
        </w:rPr>
        <w:t>, 2014.</w:t>
      </w:r>
      <w:r w:rsidRPr="008D556C">
        <w:rPr>
          <w:rStyle w:val="FootnoteReference"/>
          <w:sz w:val="22"/>
          <w:szCs w:val="22"/>
        </w:rPr>
        <w:footnoteReference w:id="365"/>
      </w:r>
      <w:r w:rsidRPr="008D556C">
        <w:rPr>
          <w:sz w:val="22"/>
          <w:szCs w:val="22"/>
        </w:rPr>
        <w:t xml:space="preserve">  During that </w:t>
      </w:r>
      <w:r w:rsidRPr="003511DC">
        <w:rPr>
          <w:sz w:val="22"/>
          <w:szCs w:val="22"/>
        </w:rPr>
        <w:t>period, utilization increased across the states, with approximately 90 percent of the $10 million available being used.</w:t>
      </w:r>
      <w:r w:rsidRPr="008D556C">
        <w:rPr>
          <w:rStyle w:val="FootnoteReference"/>
          <w:sz w:val="22"/>
          <w:szCs w:val="22"/>
        </w:rPr>
        <w:footnoteReference w:id="366"/>
      </w:r>
    </w:p>
    <w:p w:rsidR="00172F9A" w:rsidRPr="003511DC" w:rsidRDefault="00172F9A" w:rsidP="00476E6F">
      <w:pPr>
        <w:suppressLineNumbers/>
        <w:suppressAutoHyphens/>
        <w:ind w:left="720"/>
        <w:rPr>
          <w:sz w:val="22"/>
          <w:szCs w:val="22"/>
        </w:rPr>
      </w:pPr>
    </w:p>
    <w:p w:rsidR="00172F9A" w:rsidRPr="003511DC" w:rsidRDefault="00E61CF3" w:rsidP="00476E6F">
      <w:pPr>
        <w:numPr>
          <w:ilvl w:val="0"/>
          <w:numId w:val="2"/>
        </w:numPr>
        <w:suppressLineNumbers/>
        <w:tabs>
          <w:tab w:val="clear" w:pos="720"/>
          <w:tab w:val="num" w:pos="1440"/>
        </w:tabs>
        <w:suppressAutoHyphens/>
        <w:ind w:left="0" w:firstLine="720"/>
        <w:rPr>
          <w:sz w:val="22"/>
          <w:szCs w:val="22"/>
        </w:rPr>
      </w:pPr>
      <w:r w:rsidRPr="00BF0859">
        <w:rPr>
          <w:sz w:val="22"/>
          <w:szCs w:val="22"/>
        </w:rPr>
        <w:t>The Commission has extended the NDBEDP pilot program for a third year, which began July 1, 2014 and will end Jun</w:t>
      </w:r>
      <w:r w:rsidRPr="006C02D7">
        <w:rPr>
          <w:sz w:val="22"/>
          <w:szCs w:val="22"/>
        </w:rPr>
        <w:t>e 30, 2015.</w:t>
      </w:r>
      <w:r w:rsidRPr="008D556C">
        <w:rPr>
          <w:rStyle w:val="FootnoteReference"/>
          <w:sz w:val="22"/>
          <w:szCs w:val="22"/>
        </w:rPr>
        <w:footnoteReference w:id="367"/>
      </w:r>
      <w:r w:rsidRPr="008D556C">
        <w:rPr>
          <w:sz w:val="22"/>
          <w:szCs w:val="22"/>
        </w:rPr>
        <w:t xml:space="preserve">  During t</w:t>
      </w:r>
      <w:r w:rsidRPr="003511DC">
        <w:rPr>
          <w:sz w:val="22"/>
          <w:szCs w:val="22"/>
        </w:rPr>
        <w:t>he third year of the NDBEDP, the Commission will conduct a rulemaking proceeding to develop a permanent NDBEDP, which will largely be informed by experiences acquired in operating the NDBEDP pilot program.</w:t>
      </w:r>
      <w:r w:rsidRPr="008D556C">
        <w:rPr>
          <w:rStyle w:val="FootnoteReference"/>
          <w:sz w:val="22"/>
          <w:szCs w:val="22"/>
        </w:rPr>
        <w:footnoteReference w:id="368"/>
      </w:r>
      <w:r w:rsidRPr="008D556C">
        <w:rPr>
          <w:sz w:val="22"/>
          <w:szCs w:val="22"/>
        </w:rPr>
        <w:t xml:space="preserve">  To assist in this effort, </w:t>
      </w:r>
      <w:r w:rsidRPr="003511DC">
        <w:rPr>
          <w:sz w:val="22"/>
          <w:szCs w:val="22"/>
        </w:rPr>
        <w:t>on August 1, 2014, the</w:t>
      </w:r>
      <w:r w:rsidRPr="00BF0859">
        <w:rPr>
          <w:sz w:val="22"/>
          <w:szCs w:val="22"/>
        </w:rPr>
        <w:t xml:space="preserve"> Commission released a public notice seeking comments on ways to make the permanent NDBEDP more effective and more efficient, based on these experiences.</w:t>
      </w:r>
      <w:r w:rsidRPr="008D556C">
        <w:rPr>
          <w:rStyle w:val="FootnoteReference"/>
          <w:sz w:val="22"/>
          <w:szCs w:val="22"/>
        </w:rPr>
        <w:footnoteReference w:id="369"/>
      </w:r>
      <w:r w:rsidRPr="008D556C">
        <w:rPr>
          <w:sz w:val="22"/>
          <w:szCs w:val="22"/>
        </w:rPr>
        <w:t xml:space="preserve">  </w:t>
      </w:r>
    </w:p>
    <w:p w:rsidR="00172F9A" w:rsidRPr="00BF0859" w:rsidRDefault="00172F9A" w:rsidP="00476E6F">
      <w:pPr>
        <w:suppressLineNumbers/>
        <w:suppressAutoHyphens/>
        <w:ind w:left="720"/>
        <w:rPr>
          <w:sz w:val="22"/>
          <w:szCs w:val="22"/>
        </w:rPr>
      </w:pPr>
    </w:p>
    <w:p w:rsidR="00172F9A" w:rsidRPr="006C02D7" w:rsidRDefault="00172F9A" w:rsidP="00476E6F">
      <w:pPr>
        <w:suppressAutoHyphens/>
        <w:ind w:firstLine="720"/>
        <w:rPr>
          <w:b/>
          <w:sz w:val="22"/>
          <w:szCs w:val="22"/>
        </w:rPr>
      </w:pPr>
      <w:r w:rsidRPr="006C02D7">
        <w:rPr>
          <w:b/>
          <w:sz w:val="22"/>
          <w:szCs w:val="22"/>
        </w:rPr>
        <w:t>E.</w:t>
      </w:r>
      <w:r w:rsidRPr="006C02D7">
        <w:rPr>
          <w:b/>
          <w:sz w:val="22"/>
          <w:szCs w:val="22"/>
        </w:rPr>
        <w:tab/>
        <w:t xml:space="preserve">Section 106.  Emergency Access Advisory Committee  </w:t>
      </w:r>
    </w:p>
    <w:p w:rsidR="00172F9A" w:rsidRPr="009C79E5" w:rsidRDefault="00172F9A" w:rsidP="00476E6F">
      <w:pPr>
        <w:suppressLineNumbers/>
        <w:suppressAutoHyphens/>
        <w:rPr>
          <w:sz w:val="22"/>
          <w:szCs w:val="22"/>
        </w:rPr>
      </w:pPr>
    </w:p>
    <w:p w:rsidR="00172F9A" w:rsidRPr="003511DC" w:rsidRDefault="00E61CF3" w:rsidP="00476E6F">
      <w:pPr>
        <w:numPr>
          <w:ilvl w:val="0"/>
          <w:numId w:val="2"/>
        </w:numPr>
        <w:suppressLineNumbers/>
        <w:tabs>
          <w:tab w:val="clear" w:pos="720"/>
          <w:tab w:val="num" w:pos="1440"/>
        </w:tabs>
        <w:suppressAutoHyphens/>
        <w:ind w:left="0" w:firstLine="720"/>
        <w:rPr>
          <w:sz w:val="22"/>
          <w:szCs w:val="22"/>
        </w:rPr>
      </w:pPr>
      <w:r w:rsidRPr="009C79E5">
        <w:rPr>
          <w:sz w:val="22"/>
          <w:szCs w:val="22"/>
        </w:rPr>
        <w:t>The CVAA directed the Commission to establish an Emergency Access Advisory Committee (EAAC) to conduct a national survey to determine the most effective and efficient technologies and methods by which to enable access to emergency services by individuals with disabilities and to submit to the Commission recommendations to implement such technologies and methods.</w:t>
      </w:r>
      <w:r w:rsidRPr="008D556C">
        <w:rPr>
          <w:rStyle w:val="FootnoteReference"/>
          <w:sz w:val="22"/>
          <w:szCs w:val="22"/>
        </w:rPr>
        <w:footnoteReference w:id="370"/>
      </w:r>
      <w:r w:rsidRPr="008D556C">
        <w:rPr>
          <w:sz w:val="22"/>
          <w:szCs w:val="22"/>
        </w:rPr>
        <w:t xml:space="preserve">  The CVAA authorizes the Commission to then promulgate regulations to implement the recommendations proposed by the EAAC, as well as any other regulations, technical</w:t>
      </w:r>
      <w:r w:rsidRPr="003511DC">
        <w:rPr>
          <w:sz w:val="22"/>
          <w:szCs w:val="22"/>
        </w:rPr>
        <w:t xml:space="preserve"> standards, protocols,</w:t>
      </w:r>
      <w:r w:rsidRPr="00BF0859">
        <w:rPr>
          <w:sz w:val="22"/>
          <w:szCs w:val="22"/>
        </w:rPr>
        <w:t xml:space="preserve"> and procedures as are necessary to achieve reliable, interoperable communication that ensures access by individuals with disabilities to an Internet protocol-enabled emergency network, where achievable and technically feasible.</w:t>
      </w:r>
      <w:r w:rsidRPr="008D556C">
        <w:rPr>
          <w:rStyle w:val="FootnoteReference"/>
          <w:sz w:val="22"/>
          <w:szCs w:val="22"/>
        </w:rPr>
        <w:footnoteReference w:id="371"/>
      </w:r>
      <w:r w:rsidRPr="008D556C">
        <w:rPr>
          <w:sz w:val="22"/>
          <w:szCs w:val="22"/>
        </w:rPr>
        <w:t xml:space="preserve"> </w:t>
      </w:r>
    </w:p>
    <w:p w:rsidR="00172F9A" w:rsidRPr="00BF0859" w:rsidRDefault="00172F9A" w:rsidP="00476E6F">
      <w:pPr>
        <w:suppressLineNumbers/>
        <w:suppressAutoHyphens/>
        <w:ind w:left="720"/>
        <w:rPr>
          <w:sz w:val="22"/>
          <w:szCs w:val="22"/>
        </w:rPr>
      </w:pPr>
    </w:p>
    <w:p w:rsidR="00172F9A" w:rsidRPr="003511DC" w:rsidRDefault="00E61CF3" w:rsidP="00476E6F">
      <w:pPr>
        <w:numPr>
          <w:ilvl w:val="0"/>
          <w:numId w:val="2"/>
        </w:numPr>
        <w:suppressLineNumbers/>
        <w:tabs>
          <w:tab w:val="clear" w:pos="720"/>
          <w:tab w:val="num" w:pos="1440"/>
        </w:tabs>
        <w:suppressAutoHyphens/>
        <w:ind w:left="0" w:firstLine="720"/>
        <w:rPr>
          <w:sz w:val="22"/>
          <w:szCs w:val="22"/>
        </w:rPr>
      </w:pPr>
      <w:r w:rsidRPr="006C02D7">
        <w:rPr>
          <w:sz w:val="22"/>
          <w:szCs w:val="22"/>
        </w:rPr>
        <w:t>As directed by the CVAA, the Commission established the EAAC on December 7, 2010.</w:t>
      </w:r>
      <w:r w:rsidRPr="008D556C">
        <w:rPr>
          <w:rStyle w:val="FootnoteReference"/>
          <w:sz w:val="22"/>
          <w:szCs w:val="22"/>
        </w:rPr>
        <w:footnoteReference w:id="372"/>
      </w:r>
      <w:r w:rsidRPr="008D556C">
        <w:rPr>
          <w:sz w:val="22"/>
          <w:szCs w:val="22"/>
        </w:rPr>
        <w:t xml:space="preserve">  The EAAC conducted a national survey and submitted </w:t>
      </w:r>
      <w:r w:rsidRPr="003511DC">
        <w:rPr>
          <w:bCs/>
          <w:sz w:val="22"/>
          <w:szCs w:val="22"/>
        </w:rPr>
        <w:t>its survey report to the Commission on July 21, 2011.</w:t>
      </w:r>
      <w:r w:rsidRPr="008D556C">
        <w:rPr>
          <w:bCs/>
          <w:sz w:val="22"/>
          <w:szCs w:val="22"/>
          <w:vertAlign w:val="superscript"/>
        </w:rPr>
        <w:footnoteReference w:id="373"/>
      </w:r>
      <w:r w:rsidRPr="008D556C">
        <w:rPr>
          <w:bCs/>
          <w:sz w:val="22"/>
          <w:szCs w:val="22"/>
        </w:rPr>
        <w:t xml:space="preserve">  The EAAC submitted its report containing recommendations to the Com</w:t>
      </w:r>
      <w:r w:rsidRPr="003511DC">
        <w:rPr>
          <w:bCs/>
          <w:sz w:val="22"/>
          <w:szCs w:val="22"/>
        </w:rPr>
        <w:t>mission on December 6,</w:t>
      </w:r>
      <w:r w:rsidRPr="00BF0859">
        <w:rPr>
          <w:bCs/>
          <w:sz w:val="22"/>
          <w:szCs w:val="22"/>
        </w:rPr>
        <w:t xml:space="preserve"> 2011.</w:t>
      </w:r>
      <w:r w:rsidRPr="008D556C">
        <w:rPr>
          <w:bCs/>
          <w:sz w:val="22"/>
          <w:szCs w:val="22"/>
          <w:vertAlign w:val="superscript"/>
        </w:rPr>
        <w:footnoteReference w:id="374"/>
      </w:r>
      <w:r w:rsidRPr="008D556C">
        <w:rPr>
          <w:bCs/>
          <w:sz w:val="22"/>
          <w:szCs w:val="22"/>
        </w:rPr>
        <w:t xml:space="preserve">  </w:t>
      </w:r>
    </w:p>
    <w:p w:rsidR="00172F9A" w:rsidRPr="00BF0859" w:rsidRDefault="00172F9A" w:rsidP="00476E6F">
      <w:pPr>
        <w:suppressLineNumbers/>
        <w:suppressAutoHyphens/>
        <w:ind w:left="720"/>
        <w:rPr>
          <w:sz w:val="22"/>
          <w:szCs w:val="22"/>
        </w:rPr>
      </w:pPr>
    </w:p>
    <w:p w:rsidR="00172F9A" w:rsidRPr="008D556C" w:rsidRDefault="00E61CF3" w:rsidP="00476E6F">
      <w:pPr>
        <w:numPr>
          <w:ilvl w:val="0"/>
          <w:numId w:val="2"/>
        </w:numPr>
        <w:suppressLineNumbers/>
        <w:tabs>
          <w:tab w:val="clear" w:pos="720"/>
          <w:tab w:val="num" w:pos="1440"/>
        </w:tabs>
        <w:suppressAutoHyphens/>
        <w:ind w:left="0" w:firstLine="720"/>
        <w:rPr>
          <w:rStyle w:val="apple-converted-space"/>
          <w:color w:val="auto"/>
          <w:sz w:val="22"/>
          <w:szCs w:val="22"/>
        </w:rPr>
      </w:pPr>
      <w:r w:rsidRPr="006C02D7">
        <w:rPr>
          <w:sz w:val="22"/>
          <w:szCs w:val="22"/>
        </w:rPr>
        <w:t xml:space="preserve">Since the </w:t>
      </w:r>
      <w:r w:rsidRPr="006C02D7">
        <w:rPr>
          <w:i/>
          <w:sz w:val="22"/>
          <w:szCs w:val="22"/>
        </w:rPr>
        <w:t>2012 CVAA Biennial Report</w:t>
      </w:r>
      <w:r w:rsidRPr="006C02D7">
        <w:rPr>
          <w:sz w:val="22"/>
          <w:szCs w:val="22"/>
        </w:rPr>
        <w:t xml:space="preserve">, the EAAC has submitted additional reports to the Commission.  </w:t>
      </w:r>
      <w:r w:rsidR="00A93CA1" w:rsidRPr="006C02D7">
        <w:rPr>
          <w:sz w:val="22"/>
          <w:szCs w:val="22"/>
        </w:rPr>
        <w:t>In March</w:t>
      </w:r>
      <w:r w:rsidRPr="006C02D7">
        <w:rPr>
          <w:sz w:val="22"/>
          <w:szCs w:val="22"/>
        </w:rPr>
        <w:t xml:space="preserve"> 2013, the EAAC submitted reports</w:t>
      </w:r>
      <w:r w:rsidRPr="009C79E5">
        <w:rPr>
          <w:rStyle w:val="apple-converted-space"/>
          <w:color w:val="auto"/>
          <w:sz w:val="22"/>
          <w:szCs w:val="22"/>
        </w:rPr>
        <w:t xml:space="preserve"> setting forth the following:  (1) </w:t>
      </w:r>
      <w:r w:rsidRPr="008D556C">
        <w:rPr>
          <w:sz w:val="22"/>
          <w:szCs w:val="22"/>
        </w:rPr>
        <w:t>recommendations for sending text messages to 911</w:t>
      </w:r>
      <w:r w:rsidRPr="003511DC">
        <w:rPr>
          <w:sz w:val="22"/>
          <w:szCs w:val="22"/>
        </w:rPr>
        <w:t xml:space="preserve"> (text-to-911);</w:t>
      </w:r>
      <w:r w:rsidRPr="008D556C">
        <w:rPr>
          <w:rStyle w:val="FootnoteReference"/>
          <w:sz w:val="22"/>
          <w:szCs w:val="22"/>
        </w:rPr>
        <w:footnoteReference w:id="375"/>
      </w:r>
      <w:r w:rsidRPr="008D556C">
        <w:rPr>
          <w:sz w:val="22"/>
          <w:szCs w:val="22"/>
        </w:rPr>
        <w:t xml:space="preserve"> (2) r</w:t>
      </w:r>
      <w:r w:rsidRPr="003511DC">
        <w:rPr>
          <w:sz w:val="22"/>
          <w:szCs w:val="22"/>
        </w:rPr>
        <w:t>ecommendations to ensure effective communication to individuals with disabilities in next generation 911 (NG9-1-1) environments;</w:t>
      </w:r>
      <w:r w:rsidRPr="008D556C">
        <w:rPr>
          <w:rStyle w:val="FootnoteReference"/>
          <w:sz w:val="22"/>
          <w:szCs w:val="22"/>
        </w:rPr>
        <w:footnoteReference w:id="376"/>
      </w:r>
      <w:r w:rsidRPr="008D556C">
        <w:rPr>
          <w:sz w:val="22"/>
          <w:szCs w:val="22"/>
        </w:rPr>
        <w:t xml:space="preserve"> and (3) information about</w:t>
      </w:r>
      <w:r w:rsidRPr="009C79E5">
        <w:rPr>
          <w:rStyle w:val="apple-converted-space"/>
          <w:color w:val="auto"/>
          <w:sz w:val="22"/>
          <w:szCs w:val="22"/>
        </w:rPr>
        <w:t xml:space="preserve"> the</w:t>
      </w:r>
      <w:r w:rsidRPr="008D556C">
        <w:rPr>
          <w:sz w:val="22"/>
          <w:szCs w:val="22"/>
        </w:rPr>
        <w:t xml:space="preserve"> sustainability of TTY communication services and proposed solutions for ne</w:t>
      </w:r>
      <w:r w:rsidRPr="003511DC">
        <w:rPr>
          <w:sz w:val="22"/>
          <w:szCs w:val="22"/>
        </w:rPr>
        <w:t>w text communications that can achieve improved functionalities for people who are deaf, hard of hearing, deaf-blind, or who have a speech disability.</w:t>
      </w:r>
      <w:r w:rsidRPr="008D556C">
        <w:rPr>
          <w:rStyle w:val="FootnoteReference"/>
          <w:sz w:val="22"/>
          <w:szCs w:val="22"/>
        </w:rPr>
        <w:footnoteReference w:id="377"/>
      </w:r>
      <w:r w:rsidRPr="008D556C">
        <w:rPr>
          <w:sz w:val="22"/>
          <w:szCs w:val="22"/>
        </w:rPr>
        <w:t xml:space="preserve">  On June 14, 2013, the EAAC submitted three more reports, each of which provided guidance on issues rela</w:t>
      </w:r>
      <w:r w:rsidRPr="003511DC">
        <w:rPr>
          <w:sz w:val="22"/>
          <w:szCs w:val="22"/>
        </w:rPr>
        <w:t>ted to text-to-911 and</w:t>
      </w:r>
      <w:r w:rsidRPr="00BF0859">
        <w:rPr>
          <w:sz w:val="22"/>
          <w:szCs w:val="22"/>
        </w:rPr>
        <w:t xml:space="preserve"> legacy equipment.</w:t>
      </w:r>
      <w:r w:rsidRPr="008D556C">
        <w:rPr>
          <w:rStyle w:val="FootnoteReference"/>
          <w:sz w:val="22"/>
          <w:szCs w:val="22"/>
        </w:rPr>
        <w:footnoteReference w:id="378"/>
      </w:r>
      <w:r w:rsidRPr="008D556C">
        <w:rPr>
          <w:sz w:val="22"/>
          <w:szCs w:val="22"/>
        </w:rPr>
        <w:t xml:space="preserve">  The EAAC submitted its final report on </w:t>
      </w:r>
      <w:r w:rsidRPr="003511DC">
        <w:rPr>
          <w:rFonts w:eastAsia="Lucida Grande"/>
          <w:sz w:val="22"/>
          <w:szCs w:val="22"/>
        </w:rPr>
        <w:t>July</w:t>
      </w:r>
      <w:r w:rsidRPr="00BF0859">
        <w:rPr>
          <w:sz w:val="22"/>
          <w:szCs w:val="22"/>
        </w:rPr>
        <w:t xml:space="preserve"> 10, 2013, on gaps in the National Emergency Number Association (NENA) “Detailed Functional and Interface Standards for the NENA i3 Solution,” Document Number 08-003 (NENA i3) pertaining to accessible emergency services.</w:t>
      </w:r>
      <w:r w:rsidRPr="008D556C">
        <w:rPr>
          <w:rStyle w:val="FootnoteReference"/>
          <w:sz w:val="22"/>
          <w:szCs w:val="22"/>
        </w:rPr>
        <w:footnoteReference w:id="379"/>
      </w:r>
      <w:r w:rsidRPr="008D556C">
        <w:rPr>
          <w:sz w:val="22"/>
          <w:szCs w:val="22"/>
        </w:rPr>
        <w:t xml:space="preserve">  The EAAC recommended that these gaps be taken into consideration in future revisions of NENA i3 and that all EAAC reports be considered during the implementation of NG9-1-1 in order to make sure that sup</w:t>
      </w:r>
      <w:r w:rsidRPr="003511DC">
        <w:rPr>
          <w:sz w:val="22"/>
          <w:szCs w:val="22"/>
        </w:rPr>
        <w:t>port for accessibility</w:t>
      </w:r>
      <w:r w:rsidRPr="00BF0859">
        <w:rPr>
          <w:sz w:val="22"/>
          <w:szCs w:val="22"/>
        </w:rPr>
        <w:t xml:space="preserve"> is implemented from the beginning and throughout the Commission’s proceedings on consumer access to 911 services</w:t>
      </w:r>
      <w:r w:rsidRPr="009C79E5">
        <w:rPr>
          <w:rStyle w:val="apple-converted-space"/>
          <w:color w:val="auto"/>
          <w:sz w:val="22"/>
          <w:szCs w:val="22"/>
        </w:rPr>
        <w:t>.</w:t>
      </w:r>
      <w:r w:rsidRPr="008D556C">
        <w:rPr>
          <w:rStyle w:val="FootnoteReference"/>
          <w:sz w:val="22"/>
          <w:szCs w:val="22"/>
        </w:rPr>
        <w:footnoteReference w:id="380"/>
      </w:r>
    </w:p>
    <w:p w:rsidR="00172F9A" w:rsidRPr="003511DC" w:rsidRDefault="00172F9A" w:rsidP="00476E6F">
      <w:pPr>
        <w:suppressLineNumbers/>
        <w:suppressAutoHyphens/>
        <w:ind w:left="720"/>
        <w:rPr>
          <w:rStyle w:val="apple-converted-space"/>
          <w:color w:val="auto"/>
          <w:sz w:val="22"/>
          <w:szCs w:val="22"/>
        </w:rPr>
      </w:pPr>
    </w:p>
    <w:p w:rsidR="00172F9A" w:rsidRPr="003511DC" w:rsidRDefault="00E61CF3" w:rsidP="00476E6F">
      <w:pPr>
        <w:numPr>
          <w:ilvl w:val="0"/>
          <w:numId w:val="2"/>
        </w:numPr>
        <w:suppressLineNumbers/>
        <w:tabs>
          <w:tab w:val="clear" w:pos="720"/>
          <w:tab w:val="num" w:pos="1440"/>
        </w:tabs>
        <w:suppressAutoHyphens/>
        <w:ind w:left="0" w:firstLine="720"/>
        <w:rPr>
          <w:sz w:val="22"/>
          <w:szCs w:val="22"/>
        </w:rPr>
      </w:pPr>
      <w:r w:rsidRPr="00BF0859">
        <w:rPr>
          <w:sz w:val="22"/>
          <w:szCs w:val="22"/>
        </w:rPr>
        <w:t>Pursuant to its CVAA authorization to promulgate regulations to implement the recommendations proposed by the EAAC,</w:t>
      </w:r>
      <w:r w:rsidRPr="008D556C">
        <w:rPr>
          <w:rStyle w:val="FootnoteReference"/>
          <w:sz w:val="22"/>
          <w:szCs w:val="22"/>
        </w:rPr>
        <w:footnoteReference w:id="381"/>
      </w:r>
      <w:r w:rsidRPr="008D556C">
        <w:rPr>
          <w:sz w:val="22"/>
          <w:szCs w:val="22"/>
        </w:rPr>
        <w:t xml:space="preserve"> </w:t>
      </w:r>
      <w:r w:rsidRPr="003511DC">
        <w:rPr>
          <w:sz w:val="22"/>
          <w:szCs w:val="22"/>
        </w:rPr>
        <w:t xml:space="preserve">in December 2012, the </w:t>
      </w:r>
      <w:r w:rsidRPr="00BF0859">
        <w:rPr>
          <w:sz w:val="22"/>
          <w:szCs w:val="22"/>
        </w:rPr>
        <w:t>Commission sought comments on proposed rules to require all wireless carriers, including certain providers of text messaging applications, to enable their customers to send text messages to 911 where PSAPs are prepared to receive thes</w:t>
      </w:r>
      <w:r w:rsidRPr="006C02D7">
        <w:rPr>
          <w:sz w:val="22"/>
          <w:szCs w:val="22"/>
        </w:rPr>
        <w:t>e messages.</w:t>
      </w:r>
      <w:r w:rsidRPr="008D556C">
        <w:rPr>
          <w:sz w:val="22"/>
          <w:szCs w:val="22"/>
          <w:vertAlign w:val="superscript"/>
        </w:rPr>
        <w:footnoteReference w:id="382"/>
      </w:r>
      <w:r w:rsidRPr="008D556C">
        <w:rPr>
          <w:sz w:val="22"/>
          <w:szCs w:val="22"/>
        </w:rPr>
        <w:t xml:space="preserve">  Around t</w:t>
      </w:r>
      <w:r w:rsidRPr="003511DC">
        <w:rPr>
          <w:sz w:val="22"/>
          <w:szCs w:val="22"/>
        </w:rPr>
        <w:t xml:space="preserve">he same time, </w:t>
      </w:r>
      <w:r w:rsidRPr="00BF0859">
        <w:rPr>
          <w:rFonts w:eastAsia="Lucida Grande"/>
          <w:sz w:val="22"/>
          <w:szCs w:val="22"/>
        </w:rPr>
        <w:t xml:space="preserve">the </w:t>
      </w:r>
      <w:r w:rsidRPr="00FF1FD9">
        <w:rPr>
          <w:sz w:val="22"/>
          <w:szCs w:val="22"/>
        </w:rPr>
        <w:t xml:space="preserve">four largest wireless carriers made a </w:t>
      </w:r>
      <w:r w:rsidRPr="006C02D7">
        <w:rPr>
          <w:rFonts w:eastAsia="Lucida Grande"/>
          <w:sz w:val="22"/>
          <w:szCs w:val="22"/>
        </w:rPr>
        <w:t xml:space="preserve">voluntary commitment </w:t>
      </w:r>
      <w:r w:rsidRPr="006C02D7">
        <w:rPr>
          <w:sz w:val="22"/>
          <w:szCs w:val="22"/>
        </w:rPr>
        <w:t>to make text-to-911 possible by May 15, 2014.</w:t>
      </w:r>
      <w:r w:rsidRPr="008D556C">
        <w:rPr>
          <w:sz w:val="22"/>
          <w:szCs w:val="22"/>
          <w:vertAlign w:val="superscript"/>
        </w:rPr>
        <w:footnoteReference w:id="383"/>
      </w:r>
      <w:r w:rsidRPr="008D556C">
        <w:rPr>
          <w:sz w:val="22"/>
          <w:szCs w:val="22"/>
        </w:rPr>
        <w:t xml:space="preserve">  However, b</w:t>
      </w:r>
      <w:r w:rsidRPr="003511DC">
        <w:rPr>
          <w:rFonts w:eastAsia="Lucida Grande"/>
          <w:sz w:val="22"/>
          <w:szCs w:val="22"/>
        </w:rPr>
        <w:t xml:space="preserve">ecause most PSAPs were not ready to accept text messages at the time, the Commission also proposed </w:t>
      </w:r>
      <w:r w:rsidRPr="00BF0859">
        <w:rPr>
          <w:rFonts w:eastAsia="Lucida Grande"/>
          <w:sz w:val="22"/>
          <w:szCs w:val="22"/>
        </w:rPr>
        <w:t>to require, by June 30, 2013, automated “bounce-back” error messages to consumers who send text messages to 911 centers unprepared to receive these messages.</w:t>
      </w:r>
      <w:r w:rsidRPr="008D556C">
        <w:rPr>
          <w:rStyle w:val="FootnoteReference"/>
          <w:rFonts w:eastAsia="Lucida Grande"/>
          <w:sz w:val="22"/>
          <w:szCs w:val="22"/>
        </w:rPr>
        <w:footnoteReference w:id="384"/>
      </w:r>
      <w:r w:rsidRPr="008D556C">
        <w:rPr>
          <w:rFonts w:eastAsia="Lucida Grande"/>
          <w:sz w:val="22"/>
          <w:szCs w:val="22"/>
        </w:rPr>
        <w:t xml:space="preserve">  This proposal was modeled on a second voluntary commitment of the </w:t>
      </w:r>
      <w:r w:rsidRPr="003511DC">
        <w:rPr>
          <w:sz w:val="22"/>
          <w:szCs w:val="22"/>
        </w:rPr>
        <w:t>four largest wireless carriers</w:t>
      </w:r>
      <w:r w:rsidRPr="00BF0859">
        <w:rPr>
          <w:sz w:val="22"/>
          <w:szCs w:val="22"/>
        </w:rPr>
        <w:t xml:space="preserve"> to provide automatic bounce-back messages by June 30, 2013.</w:t>
      </w:r>
      <w:r w:rsidRPr="008D556C">
        <w:rPr>
          <w:sz w:val="22"/>
          <w:szCs w:val="22"/>
          <w:vertAlign w:val="superscript"/>
        </w:rPr>
        <w:footnoteReference w:id="385"/>
      </w:r>
      <w:r w:rsidRPr="008D556C">
        <w:rPr>
          <w:sz w:val="22"/>
          <w:szCs w:val="22"/>
        </w:rPr>
        <w:t xml:space="preserve">  </w:t>
      </w:r>
    </w:p>
    <w:p w:rsidR="00172F9A" w:rsidRPr="00BF0859" w:rsidRDefault="00172F9A" w:rsidP="00476E6F">
      <w:pPr>
        <w:suppressLineNumbers/>
        <w:suppressAutoHyphens/>
        <w:ind w:left="720"/>
        <w:rPr>
          <w:sz w:val="22"/>
          <w:szCs w:val="22"/>
        </w:rPr>
      </w:pPr>
    </w:p>
    <w:p w:rsidR="00172F9A" w:rsidRPr="008D556C" w:rsidRDefault="00E61CF3" w:rsidP="00476E6F">
      <w:pPr>
        <w:numPr>
          <w:ilvl w:val="0"/>
          <w:numId w:val="2"/>
        </w:numPr>
        <w:suppressLineNumbers/>
        <w:tabs>
          <w:tab w:val="clear" w:pos="720"/>
          <w:tab w:val="num" w:pos="1440"/>
        </w:tabs>
        <w:suppressAutoHyphens/>
        <w:ind w:left="0" w:firstLine="720"/>
        <w:rPr>
          <w:sz w:val="22"/>
          <w:szCs w:val="22"/>
        </w:rPr>
      </w:pPr>
      <w:r w:rsidRPr="006C02D7">
        <w:rPr>
          <w:rFonts w:eastAsia="Lucida Grande"/>
          <w:sz w:val="22"/>
          <w:szCs w:val="22"/>
        </w:rPr>
        <w:t xml:space="preserve">On May 8, 2013, the Commission </w:t>
      </w:r>
      <w:r w:rsidRPr="006C02D7">
        <w:rPr>
          <w:sz w:val="22"/>
          <w:szCs w:val="22"/>
        </w:rPr>
        <w:t>adopted rules requiring all wireless carriers and providers of interconnected text messaging services to provide, by September 30, 2013, an automatic bounce-bac</w:t>
      </w:r>
      <w:r w:rsidRPr="009C79E5">
        <w:rPr>
          <w:sz w:val="22"/>
          <w:szCs w:val="22"/>
        </w:rPr>
        <w:t>k text message to consumers who try to send a text message to 911 where text-to-911 is not available.</w:t>
      </w:r>
      <w:r w:rsidRPr="008D556C">
        <w:rPr>
          <w:sz w:val="22"/>
          <w:szCs w:val="22"/>
          <w:vertAlign w:val="superscript"/>
        </w:rPr>
        <w:footnoteReference w:id="386"/>
      </w:r>
      <w:r w:rsidRPr="008D556C">
        <w:rPr>
          <w:sz w:val="22"/>
          <w:szCs w:val="22"/>
        </w:rPr>
        <w:t xml:space="preserve">  This message instructs consumers that text-to-911 is not available and to contact emergency services by another means, such as by making a voice call to</w:t>
      </w:r>
      <w:r w:rsidRPr="003511DC">
        <w:rPr>
          <w:sz w:val="22"/>
          <w:szCs w:val="22"/>
        </w:rPr>
        <w:t xml:space="preserve"> 911.</w:t>
      </w:r>
      <w:r w:rsidRPr="008D556C">
        <w:rPr>
          <w:rStyle w:val="FootnoteReference"/>
          <w:sz w:val="22"/>
          <w:szCs w:val="22"/>
        </w:rPr>
        <w:footnoteReference w:id="387"/>
      </w:r>
    </w:p>
    <w:p w:rsidR="00172F9A" w:rsidRPr="003511DC" w:rsidRDefault="00172F9A" w:rsidP="00476E6F">
      <w:pPr>
        <w:suppressLineNumbers/>
        <w:suppressAutoHyphens/>
        <w:ind w:left="720"/>
        <w:rPr>
          <w:sz w:val="22"/>
          <w:szCs w:val="22"/>
        </w:rPr>
      </w:pPr>
    </w:p>
    <w:p w:rsidR="00172F9A" w:rsidRPr="003511DC" w:rsidRDefault="00E61CF3" w:rsidP="00476E6F">
      <w:pPr>
        <w:numPr>
          <w:ilvl w:val="0"/>
          <w:numId w:val="2"/>
        </w:numPr>
        <w:suppressLineNumbers/>
        <w:tabs>
          <w:tab w:val="clear" w:pos="720"/>
          <w:tab w:val="num" w:pos="1440"/>
        </w:tabs>
        <w:suppressAutoHyphens/>
        <w:ind w:left="0" w:firstLine="720"/>
        <w:rPr>
          <w:sz w:val="22"/>
          <w:szCs w:val="22"/>
        </w:rPr>
      </w:pPr>
      <w:r w:rsidRPr="00BF0859">
        <w:rPr>
          <w:sz w:val="22"/>
          <w:szCs w:val="22"/>
        </w:rPr>
        <w:t>On January 31, 2014, the Commission released a Policy Statement establishing a general goal for wireless and interconnected text messaging service providers to enable text messages to 911 and encouraging industry-developed solutions to achieve this goal.</w:t>
      </w:r>
      <w:r w:rsidRPr="008D556C">
        <w:rPr>
          <w:rStyle w:val="FootnoteReference"/>
          <w:sz w:val="22"/>
          <w:szCs w:val="22"/>
        </w:rPr>
        <w:footnoteReference w:id="388"/>
      </w:r>
      <w:r w:rsidRPr="008D556C">
        <w:rPr>
          <w:sz w:val="22"/>
          <w:szCs w:val="22"/>
        </w:rPr>
        <w:t xml:space="preserve">  Acknowledging</w:t>
      </w:r>
      <w:r w:rsidRPr="003511DC">
        <w:rPr>
          <w:sz w:val="22"/>
          <w:szCs w:val="22"/>
        </w:rPr>
        <w:t xml:space="preserve"> the leadership that had been shown by the voluntary commitment of the four largest wireless carriers to provide text-to-911 by May 15, 2014, the Commission encouraged other text providers to do the same.</w:t>
      </w:r>
      <w:r w:rsidRPr="008D556C">
        <w:rPr>
          <w:rStyle w:val="FootnoteReference"/>
          <w:sz w:val="22"/>
          <w:szCs w:val="22"/>
        </w:rPr>
        <w:footnoteReference w:id="389"/>
      </w:r>
      <w:r w:rsidRPr="008D556C">
        <w:rPr>
          <w:sz w:val="22"/>
          <w:szCs w:val="22"/>
        </w:rPr>
        <w:t xml:space="preserve">  In an accompanying notice, </w:t>
      </w:r>
      <w:r w:rsidRPr="003511DC">
        <w:rPr>
          <w:sz w:val="22"/>
          <w:szCs w:val="22"/>
        </w:rPr>
        <w:t xml:space="preserve">the Commission sought </w:t>
      </w:r>
      <w:r w:rsidRPr="00BF0859">
        <w:rPr>
          <w:sz w:val="22"/>
          <w:szCs w:val="22"/>
        </w:rPr>
        <w:t>comment on a proposal for text-to-911 to be made available by all text providers by December 31, 2014.</w:t>
      </w:r>
      <w:r w:rsidRPr="008D556C">
        <w:rPr>
          <w:rStyle w:val="FootnoteReference"/>
          <w:sz w:val="22"/>
          <w:szCs w:val="22"/>
        </w:rPr>
        <w:footnoteReference w:id="390"/>
      </w:r>
      <w:r w:rsidRPr="008D556C">
        <w:rPr>
          <w:sz w:val="22"/>
          <w:szCs w:val="22"/>
        </w:rPr>
        <w:t xml:space="preserve">  The Commission also sought comment on several aspects of implementation, particularly relating to the technical ability of interc</w:t>
      </w:r>
      <w:r w:rsidRPr="003511DC">
        <w:rPr>
          <w:sz w:val="22"/>
          <w:szCs w:val="22"/>
        </w:rPr>
        <w:t>onnected text provider</w:t>
      </w:r>
      <w:r w:rsidRPr="00BF0859">
        <w:rPr>
          <w:sz w:val="22"/>
          <w:szCs w:val="22"/>
        </w:rPr>
        <w:t>s to comply with a text-to-911 mandate, as well as longer-term text-to-911 issues.</w:t>
      </w:r>
      <w:r w:rsidRPr="008D556C">
        <w:rPr>
          <w:sz w:val="22"/>
          <w:szCs w:val="22"/>
          <w:vertAlign w:val="superscript"/>
        </w:rPr>
        <w:footnoteReference w:id="391"/>
      </w:r>
      <w:r w:rsidRPr="008D556C">
        <w:rPr>
          <w:sz w:val="22"/>
          <w:szCs w:val="22"/>
        </w:rPr>
        <w:t xml:space="preserve"> </w:t>
      </w:r>
    </w:p>
    <w:p w:rsidR="00172F9A" w:rsidRPr="00BF0859" w:rsidRDefault="00172F9A" w:rsidP="00476E6F">
      <w:pPr>
        <w:suppressLineNumbers/>
        <w:suppressAutoHyphens/>
        <w:ind w:left="720"/>
        <w:rPr>
          <w:sz w:val="22"/>
          <w:szCs w:val="22"/>
        </w:rPr>
      </w:pPr>
    </w:p>
    <w:p w:rsidR="004453B7" w:rsidRPr="003511DC" w:rsidRDefault="00E61CF3" w:rsidP="00476E6F">
      <w:pPr>
        <w:numPr>
          <w:ilvl w:val="0"/>
          <w:numId w:val="2"/>
        </w:numPr>
        <w:suppressLineNumbers/>
        <w:tabs>
          <w:tab w:val="clear" w:pos="720"/>
          <w:tab w:val="num" w:pos="1440"/>
        </w:tabs>
        <w:suppressAutoHyphens/>
        <w:ind w:left="0" w:firstLine="720"/>
        <w:rPr>
          <w:sz w:val="22"/>
          <w:szCs w:val="22"/>
        </w:rPr>
      </w:pPr>
      <w:r w:rsidRPr="006C02D7">
        <w:rPr>
          <w:sz w:val="22"/>
          <w:szCs w:val="22"/>
        </w:rPr>
        <w:t>On August 8, 2014, the Commission adopted final rules establishing December 31, 2014, as the deadline for wireless and interconnected text messaging</w:t>
      </w:r>
      <w:r w:rsidRPr="009C79E5">
        <w:rPr>
          <w:sz w:val="22"/>
          <w:szCs w:val="22"/>
        </w:rPr>
        <w:t xml:space="preserve"> service providers (covered text providers) to be capable of supporting text-to-911.</w:t>
      </w:r>
      <w:r w:rsidRPr="008D556C">
        <w:rPr>
          <w:rStyle w:val="FootnoteReference"/>
          <w:sz w:val="22"/>
          <w:szCs w:val="22"/>
        </w:rPr>
        <w:footnoteReference w:id="392"/>
      </w:r>
      <w:r w:rsidRPr="008D556C">
        <w:rPr>
          <w:sz w:val="22"/>
          <w:szCs w:val="22"/>
        </w:rPr>
        <w:t xml:space="preserve">  The Commission noted the unique value of text-ot-911 for millions of Americans with hearing or speech disabilities.</w:t>
      </w:r>
      <w:r w:rsidRPr="008D556C">
        <w:rPr>
          <w:rStyle w:val="FootnoteReference"/>
          <w:sz w:val="22"/>
          <w:szCs w:val="22"/>
        </w:rPr>
        <w:footnoteReference w:id="393"/>
      </w:r>
      <w:r w:rsidRPr="008D556C">
        <w:rPr>
          <w:sz w:val="22"/>
          <w:szCs w:val="22"/>
        </w:rPr>
        <w:t xml:space="preserve">  Covered text providers have until June 30, 2015, or</w:t>
      </w:r>
      <w:r w:rsidRPr="003511DC">
        <w:rPr>
          <w:sz w:val="22"/>
          <w:szCs w:val="22"/>
        </w:rPr>
        <w:t xml:space="preserve"> six months from the d</w:t>
      </w:r>
      <w:r w:rsidRPr="00BF0859">
        <w:rPr>
          <w:sz w:val="22"/>
          <w:szCs w:val="22"/>
        </w:rPr>
        <w:t>ate of a PSAP request, whichever is later, to implement text-to-911 for that PSAP.</w:t>
      </w:r>
      <w:r w:rsidRPr="008D556C">
        <w:rPr>
          <w:rStyle w:val="FootnoteReference"/>
          <w:sz w:val="22"/>
          <w:szCs w:val="22"/>
        </w:rPr>
        <w:footnoteReference w:id="394"/>
      </w:r>
      <w:r w:rsidRPr="008D556C">
        <w:rPr>
          <w:sz w:val="22"/>
          <w:szCs w:val="22"/>
        </w:rPr>
        <w:t xml:space="preserve">  In addition to establishing these implementation deadlines, the Commission sought comment on technical issues related to the provision of enhanced lo</w:t>
      </w:r>
      <w:r w:rsidRPr="003511DC">
        <w:rPr>
          <w:sz w:val="22"/>
          <w:szCs w:val="22"/>
        </w:rPr>
        <w:t>cation information and</w:t>
      </w:r>
      <w:r w:rsidRPr="00BF0859">
        <w:rPr>
          <w:sz w:val="22"/>
          <w:szCs w:val="22"/>
        </w:rPr>
        <w:t xml:space="preserve"> roaming support, as well as the capabilities of future texting services, such as real-time text, for all Americans, including Americans with disabilities.</w:t>
      </w:r>
      <w:r w:rsidRPr="008D556C">
        <w:rPr>
          <w:rStyle w:val="FootnoteReference"/>
          <w:sz w:val="22"/>
          <w:szCs w:val="22"/>
        </w:rPr>
        <w:footnoteReference w:id="395"/>
      </w:r>
      <w:r w:rsidRPr="008D556C">
        <w:rPr>
          <w:sz w:val="22"/>
          <w:szCs w:val="22"/>
        </w:rPr>
        <w:t xml:space="preserve"> </w:t>
      </w:r>
    </w:p>
    <w:p w:rsidR="004453B7" w:rsidRPr="00BF0859" w:rsidRDefault="004453B7" w:rsidP="00476E6F">
      <w:pPr>
        <w:suppressLineNumbers/>
        <w:suppressAutoHyphens/>
        <w:ind w:left="720"/>
        <w:rPr>
          <w:sz w:val="22"/>
          <w:szCs w:val="22"/>
        </w:rPr>
      </w:pPr>
    </w:p>
    <w:p w:rsidR="004453B7" w:rsidRPr="008D556C" w:rsidRDefault="004453B7" w:rsidP="00476E6F">
      <w:pPr>
        <w:keepNext/>
        <w:keepLines/>
        <w:suppressAutoHyphens/>
        <w:ind w:left="1440" w:hanging="720"/>
        <w:rPr>
          <w:sz w:val="22"/>
          <w:szCs w:val="22"/>
        </w:rPr>
      </w:pPr>
      <w:r w:rsidRPr="006C02D7">
        <w:rPr>
          <w:b/>
          <w:sz w:val="22"/>
          <w:szCs w:val="22"/>
        </w:rPr>
        <w:t>F.</w:t>
      </w:r>
      <w:r w:rsidRPr="006C02D7">
        <w:rPr>
          <w:b/>
          <w:sz w:val="22"/>
          <w:szCs w:val="22"/>
        </w:rPr>
        <w:tab/>
        <w:t>Section 201.  Video Programming Accessibility Advisory Committee</w:t>
      </w:r>
      <w:r w:rsidRPr="008D556C">
        <w:rPr>
          <w:rStyle w:val="FootnoteReference"/>
          <w:sz w:val="22"/>
          <w:szCs w:val="22"/>
        </w:rPr>
        <w:footnoteReference w:id="396"/>
      </w:r>
    </w:p>
    <w:p w:rsidR="004453B7" w:rsidRPr="003511DC" w:rsidRDefault="004453B7" w:rsidP="00476E6F">
      <w:pPr>
        <w:suppressLineNumbers/>
        <w:suppressAutoHyphens/>
        <w:ind w:left="720"/>
        <w:rPr>
          <w:sz w:val="22"/>
          <w:szCs w:val="22"/>
        </w:rPr>
      </w:pPr>
    </w:p>
    <w:p w:rsidR="004453B7" w:rsidRPr="008D556C" w:rsidRDefault="004453B7" w:rsidP="00476E6F">
      <w:pPr>
        <w:numPr>
          <w:ilvl w:val="0"/>
          <w:numId w:val="2"/>
        </w:numPr>
        <w:suppressLineNumbers/>
        <w:tabs>
          <w:tab w:val="clear" w:pos="720"/>
          <w:tab w:val="num" w:pos="1440"/>
        </w:tabs>
        <w:suppressAutoHyphens/>
        <w:ind w:left="0" w:firstLine="720"/>
        <w:rPr>
          <w:sz w:val="22"/>
          <w:szCs w:val="22"/>
        </w:rPr>
      </w:pPr>
      <w:r w:rsidRPr="00BF0859">
        <w:rPr>
          <w:sz w:val="22"/>
          <w:szCs w:val="22"/>
        </w:rPr>
        <w:t>Sect</w:t>
      </w:r>
      <w:r w:rsidRPr="00FF1FD9">
        <w:rPr>
          <w:sz w:val="22"/>
          <w:szCs w:val="22"/>
        </w:rPr>
        <w:t>ion 201 of the CVAA directed the Commission to establish a Video Programming Accessibility Advisory Committee (VPAAC) to prepare two reports to the Commission.</w:t>
      </w:r>
      <w:r w:rsidRPr="008D556C">
        <w:rPr>
          <w:rStyle w:val="FootnoteReference"/>
          <w:sz w:val="22"/>
          <w:szCs w:val="22"/>
        </w:rPr>
        <w:footnoteReference w:id="397"/>
      </w:r>
      <w:r w:rsidRPr="008D556C">
        <w:rPr>
          <w:sz w:val="22"/>
          <w:szCs w:val="22"/>
        </w:rPr>
        <w:t xml:space="preserve">  The first report was to contain recommendations regarding the provision and delivery of closed captions of video programming delivered using Internet protocol (IP).</w:t>
      </w:r>
      <w:r w:rsidRPr="008D556C">
        <w:rPr>
          <w:rStyle w:val="FootnoteReference"/>
          <w:sz w:val="22"/>
          <w:szCs w:val="22"/>
        </w:rPr>
        <w:footnoteReference w:id="398"/>
      </w:r>
      <w:r w:rsidRPr="008D556C">
        <w:rPr>
          <w:sz w:val="22"/>
          <w:szCs w:val="22"/>
        </w:rPr>
        <w:t xml:space="preserve">  The second report was to contain recommendations regarding the provision and delivery of video descriptions on video programming; the provision of accessible emergency information usi</w:t>
      </w:r>
      <w:r w:rsidRPr="003511DC">
        <w:rPr>
          <w:sz w:val="22"/>
          <w:szCs w:val="22"/>
        </w:rPr>
        <w:t>ng Internet protocol o</w:t>
      </w:r>
      <w:r w:rsidRPr="00BF0859">
        <w:rPr>
          <w:sz w:val="22"/>
          <w:szCs w:val="22"/>
        </w:rPr>
        <w:t>r digital broadcast television;</w:t>
      </w:r>
      <w:r w:rsidRPr="008D556C">
        <w:rPr>
          <w:rStyle w:val="FootnoteReference"/>
          <w:sz w:val="22"/>
          <w:szCs w:val="22"/>
        </w:rPr>
        <w:footnoteReference w:id="399"/>
      </w:r>
      <w:r w:rsidRPr="008D556C">
        <w:rPr>
          <w:sz w:val="22"/>
          <w:szCs w:val="22"/>
        </w:rPr>
        <w:t xml:space="preserve"> and the provision of accessible user interfaces for video programming apparatus and accessible video programming guides and menus provided by navigation devices.</w:t>
      </w:r>
      <w:r w:rsidRPr="008D556C">
        <w:rPr>
          <w:rStyle w:val="FootnoteReference"/>
          <w:sz w:val="22"/>
          <w:szCs w:val="22"/>
        </w:rPr>
        <w:footnoteReference w:id="400"/>
      </w:r>
    </w:p>
    <w:p w:rsidR="004453B7" w:rsidRPr="003511DC" w:rsidRDefault="004453B7" w:rsidP="00476E6F">
      <w:pPr>
        <w:suppressLineNumbers/>
        <w:suppressAutoHyphens/>
        <w:ind w:left="720"/>
        <w:rPr>
          <w:sz w:val="22"/>
          <w:szCs w:val="22"/>
        </w:rPr>
      </w:pPr>
    </w:p>
    <w:p w:rsidR="004453B7" w:rsidRPr="009C79E5" w:rsidRDefault="004453B7" w:rsidP="00476E6F">
      <w:pPr>
        <w:numPr>
          <w:ilvl w:val="0"/>
          <w:numId w:val="2"/>
        </w:numPr>
        <w:suppressLineNumbers/>
        <w:tabs>
          <w:tab w:val="clear" w:pos="720"/>
          <w:tab w:val="num" w:pos="1440"/>
        </w:tabs>
        <w:suppressAutoHyphens/>
        <w:ind w:left="0" w:firstLine="720"/>
        <w:rPr>
          <w:sz w:val="22"/>
          <w:szCs w:val="22"/>
        </w:rPr>
      </w:pPr>
      <w:r w:rsidRPr="00BF0859">
        <w:rPr>
          <w:sz w:val="22"/>
          <w:szCs w:val="22"/>
        </w:rPr>
        <w:t xml:space="preserve">As noted in the </w:t>
      </w:r>
      <w:r w:rsidRPr="00FF1FD9">
        <w:rPr>
          <w:i/>
          <w:sz w:val="22"/>
          <w:szCs w:val="22"/>
        </w:rPr>
        <w:t>2012 CVAA Biennial Re</w:t>
      </w:r>
      <w:r w:rsidRPr="006C02D7">
        <w:rPr>
          <w:i/>
          <w:sz w:val="22"/>
          <w:szCs w:val="22"/>
        </w:rPr>
        <w:t>port</w:t>
      </w:r>
      <w:r w:rsidRPr="006C02D7">
        <w:rPr>
          <w:sz w:val="22"/>
          <w:szCs w:val="22"/>
        </w:rPr>
        <w:t>, the Commission timely established the VPAAC and announced the appointment of its members on December 7, 2010.</w:t>
      </w:r>
      <w:r w:rsidRPr="008D556C">
        <w:rPr>
          <w:sz w:val="22"/>
          <w:szCs w:val="22"/>
          <w:vertAlign w:val="superscript"/>
        </w:rPr>
        <w:footnoteReference w:id="401"/>
      </w:r>
      <w:r w:rsidRPr="008D556C">
        <w:rPr>
          <w:sz w:val="22"/>
          <w:szCs w:val="22"/>
        </w:rPr>
        <w:t xml:space="preserve">  The first meeting of the full VPAAC was held on January 13, 2011.</w:t>
      </w:r>
      <w:r w:rsidRPr="008D556C">
        <w:rPr>
          <w:rStyle w:val="FootnoteReference"/>
          <w:sz w:val="22"/>
          <w:szCs w:val="22"/>
        </w:rPr>
        <w:footnoteReference w:id="402"/>
      </w:r>
      <w:r w:rsidRPr="008D556C">
        <w:rPr>
          <w:sz w:val="22"/>
          <w:szCs w:val="22"/>
        </w:rPr>
        <w:t xml:space="preserve">  </w:t>
      </w:r>
      <w:r w:rsidRPr="003511DC">
        <w:rPr>
          <w:iCs/>
          <w:sz w:val="22"/>
          <w:szCs w:val="22"/>
        </w:rPr>
        <w:t>The VPAAC timely submitted its first report to the Commission with rec</w:t>
      </w:r>
      <w:r w:rsidRPr="00BF0859">
        <w:rPr>
          <w:iCs/>
          <w:sz w:val="22"/>
          <w:szCs w:val="22"/>
        </w:rPr>
        <w:t>ommendations on closed captioning on July 13, 2011.</w:t>
      </w:r>
      <w:r w:rsidRPr="008D556C">
        <w:rPr>
          <w:rStyle w:val="FootnoteReference"/>
          <w:iCs/>
          <w:sz w:val="22"/>
          <w:szCs w:val="22"/>
        </w:rPr>
        <w:footnoteReference w:id="403"/>
      </w:r>
      <w:r w:rsidRPr="008D556C">
        <w:rPr>
          <w:sz w:val="22"/>
          <w:szCs w:val="22"/>
        </w:rPr>
        <w:t xml:space="preserve">  The Commission </w:t>
      </w:r>
      <w:r w:rsidR="00557DEB" w:rsidRPr="003511DC">
        <w:rPr>
          <w:sz w:val="22"/>
          <w:szCs w:val="22"/>
        </w:rPr>
        <w:t xml:space="preserve">considered </w:t>
      </w:r>
      <w:r w:rsidRPr="00BF0859">
        <w:rPr>
          <w:sz w:val="22"/>
          <w:szCs w:val="22"/>
        </w:rPr>
        <w:t xml:space="preserve">these recommendations </w:t>
      </w:r>
      <w:r w:rsidR="00557DEB" w:rsidRPr="00FF1FD9">
        <w:rPr>
          <w:sz w:val="22"/>
          <w:szCs w:val="22"/>
        </w:rPr>
        <w:t>during the rulemaking process it undertook</w:t>
      </w:r>
      <w:r w:rsidRPr="006C02D7">
        <w:rPr>
          <w:sz w:val="22"/>
          <w:szCs w:val="22"/>
        </w:rPr>
        <w:t xml:space="preserve"> to implement the closed captioning provisions of the CVAA, as described in Sections III.G and H of this </w:t>
      </w:r>
      <w:r w:rsidRPr="009C79E5">
        <w:rPr>
          <w:i/>
          <w:sz w:val="22"/>
          <w:szCs w:val="22"/>
        </w:rPr>
        <w:t>Report</w:t>
      </w:r>
      <w:r w:rsidRPr="009C79E5">
        <w:rPr>
          <w:sz w:val="22"/>
          <w:szCs w:val="22"/>
        </w:rPr>
        <w:t xml:space="preserve">.  </w:t>
      </w:r>
    </w:p>
    <w:p w:rsidR="004453B7" w:rsidRPr="009C79E5" w:rsidRDefault="004453B7" w:rsidP="00476E6F">
      <w:pPr>
        <w:suppressLineNumbers/>
        <w:suppressAutoHyphens/>
        <w:ind w:left="720"/>
        <w:rPr>
          <w:sz w:val="22"/>
          <w:szCs w:val="22"/>
        </w:rPr>
      </w:pPr>
    </w:p>
    <w:p w:rsidR="004453B7" w:rsidRPr="008D556C" w:rsidRDefault="00D976EC" w:rsidP="00476E6F">
      <w:pPr>
        <w:numPr>
          <w:ilvl w:val="0"/>
          <w:numId w:val="2"/>
        </w:numPr>
        <w:suppressLineNumbers/>
        <w:tabs>
          <w:tab w:val="clear" w:pos="720"/>
          <w:tab w:val="num" w:pos="1440"/>
        </w:tabs>
        <w:suppressAutoHyphens/>
        <w:ind w:left="0" w:firstLine="720"/>
        <w:rPr>
          <w:sz w:val="22"/>
          <w:szCs w:val="22"/>
        </w:rPr>
      </w:pPr>
      <w:r w:rsidRPr="009C79E5">
        <w:rPr>
          <w:sz w:val="22"/>
          <w:szCs w:val="22"/>
          <w:shd w:val="clear" w:color="auto" w:fill="FFFFFF"/>
        </w:rPr>
        <w:t>On</w:t>
      </w:r>
      <w:r w:rsidR="004453B7" w:rsidRPr="009C79E5">
        <w:rPr>
          <w:iCs/>
          <w:sz w:val="22"/>
          <w:szCs w:val="22"/>
        </w:rPr>
        <w:t xml:space="preserve"> April 9, 201</w:t>
      </w:r>
      <w:r w:rsidRPr="009C79E5">
        <w:rPr>
          <w:iCs/>
          <w:sz w:val="22"/>
          <w:szCs w:val="22"/>
        </w:rPr>
        <w:t>2</w:t>
      </w:r>
      <w:r w:rsidR="004453B7" w:rsidRPr="009C79E5">
        <w:rPr>
          <w:iCs/>
          <w:sz w:val="22"/>
          <w:szCs w:val="22"/>
        </w:rPr>
        <w:t>, the VPAAC timely submitted its second report to the Commission with recommendations on video description, accessible emergency information, video programming apparatus user interfaces, and programming guides and menus provided by navigation devices.</w:t>
      </w:r>
      <w:r w:rsidR="004453B7" w:rsidRPr="008D556C">
        <w:rPr>
          <w:rStyle w:val="FootnoteReference"/>
          <w:iCs/>
          <w:sz w:val="22"/>
          <w:szCs w:val="22"/>
        </w:rPr>
        <w:footnoteReference w:id="404"/>
      </w:r>
      <w:r w:rsidR="004453B7" w:rsidRPr="008D556C">
        <w:rPr>
          <w:iCs/>
          <w:sz w:val="22"/>
          <w:szCs w:val="22"/>
        </w:rPr>
        <w:t xml:space="preserve">  </w:t>
      </w:r>
      <w:r w:rsidRPr="003511DC">
        <w:rPr>
          <w:iCs/>
          <w:sz w:val="22"/>
          <w:szCs w:val="22"/>
        </w:rPr>
        <w:t xml:space="preserve">On April 24, 2012, the </w:t>
      </w:r>
      <w:r w:rsidR="004453B7" w:rsidRPr="00BF0859">
        <w:rPr>
          <w:iCs/>
          <w:sz w:val="22"/>
          <w:szCs w:val="22"/>
        </w:rPr>
        <w:t>Commission sought comment on the VPAAC’s second report to</w:t>
      </w:r>
      <w:r w:rsidR="004453B7" w:rsidRPr="00FF1FD9">
        <w:rPr>
          <w:sz w:val="22"/>
          <w:szCs w:val="22"/>
        </w:rPr>
        <w:t xml:space="preserve"> inform rulemaking proceedings pursuant to the CVAA, as described in Sections III.G, H, I, and J of this </w:t>
      </w:r>
      <w:r w:rsidR="004453B7" w:rsidRPr="006C02D7">
        <w:rPr>
          <w:i/>
          <w:sz w:val="22"/>
          <w:szCs w:val="22"/>
        </w:rPr>
        <w:t>Report</w:t>
      </w:r>
      <w:r w:rsidR="004453B7" w:rsidRPr="006C02D7">
        <w:rPr>
          <w:sz w:val="22"/>
          <w:szCs w:val="22"/>
        </w:rPr>
        <w:t>.</w:t>
      </w:r>
      <w:r w:rsidR="004453B7" w:rsidRPr="008D556C">
        <w:rPr>
          <w:rStyle w:val="FootnoteReference"/>
          <w:sz w:val="22"/>
          <w:szCs w:val="22"/>
        </w:rPr>
        <w:footnoteReference w:id="405"/>
      </w:r>
    </w:p>
    <w:p w:rsidR="004453B7" w:rsidRPr="003511DC" w:rsidRDefault="004453B7" w:rsidP="00476E6F">
      <w:pPr>
        <w:suppressLineNumbers/>
        <w:suppressAutoHyphens/>
        <w:ind w:left="720"/>
        <w:rPr>
          <w:sz w:val="22"/>
          <w:szCs w:val="22"/>
        </w:rPr>
      </w:pPr>
    </w:p>
    <w:p w:rsidR="004453B7" w:rsidRPr="009C79E5" w:rsidRDefault="004453B7" w:rsidP="00476E6F">
      <w:pPr>
        <w:keepNext/>
        <w:keepLines/>
        <w:suppressAutoHyphens/>
        <w:ind w:firstLine="720"/>
        <w:rPr>
          <w:b/>
          <w:sz w:val="22"/>
          <w:szCs w:val="22"/>
        </w:rPr>
      </w:pPr>
      <w:r w:rsidRPr="003511DC">
        <w:rPr>
          <w:b/>
          <w:sz w:val="22"/>
          <w:szCs w:val="22"/>
        </w:rPr>
        <w:t>G.</w:t>
      </w:r>
      <w:r w:rsidRPr="003511DC">
        <w:rPr>
          <w:b/>
          <w:sz w:val="22"/>
          <w:szCs w:val="22"/>
        </w:rPr>
        <w:tab/>
        <w:t xml:space="preserve">Section 202.  Video </w:t>
      </w:r>
      <w:r w:rsidR="0072164E" w:rsidRPr="00FF1FD9">
        <w:rPr>
          <w:b/>
          <w:sz w:val="22"/>
          <w:szCs w:val="22"/>
        </w:rPr>
        <w:t>D</w:t>
      </w:r>
      <w:r w:rsidRPr="006C02D7">
        <w:rPr>
          <w:b/>
          <w:sz w:val="22"/>
          <w:szCs w:val="22"/>
        </w:rPr>
        <w:t xml:space="preserve">escription and </w:t>
      </w:r>
      <w:r w:rsidR="0072164E" w:rsidRPr="006C02D7">
        <w:rPr>
          <w:b/>
          <w:sz w:val="22"/>
          <w:szCs w:val="22"/>
        </w:rPr>
        <w:t>C</w:t>
      </w:r>
      <w:r w:rsidRPr="006C02D7">
        <w:rPr>
          <w:b/>
          <w:sz w:val="22"/>
          <w:szCs w:val="22"/>
        </w:rPr>
        <w:t xml:space="preserve">losed </w:t>
      </w:r>
      <w:r w:rsidR="0072164E" w:rsidRPr="009C79E5">
        <w:rPr>
          <w:b/>
          <w:sz w:val="22"/>
          <w:szCs w:val="22"/>
        </w:rPr>
        <w:t>C</w:t>
      </w:r>
      <w:r w:rsidRPr="009C79E5">
        <w:rPr>
          <w:b/>
          <w:sz w:val="22"/>
          <w:szCs w:val="22"/>
        </w:rPr>
        <w:t>aptioning</w:t>
      </w:r>
    </w:p>
    <w:p w:rsidR="004453B7" w:rsidRPr="009C79E5" w:rsidRDefault="004453B7" w:rsidP="00476E6F">
      <w:pPr>
        <w:keepNext/>
        <w:keepLines/>
        <w:suppressLineNumbers/>
        <w:suppressAutoHyphens/>
        <w:ind w:left="720"/>
        <w:rPr>
          <w:sz w:val="22"/>
          <w:szCs w:val="22"/>
        </w:rPr>
      </w:pPr>
    </w:p>
    <w:p w:rsidR="004453B7" w:rsidRPr="008D556C" w:rsidRDefault="004453B7" w:rsidP="00476E6F">
      <w:pPr>
        <w:keepNext/>
        <w:keepLines/>
        <w:numPr>
          <w:ilvl w:val="0"/>
          <w:numId w:val="2"/>
        </w:numPr>
        <w:suppressLineNumbers/>
        <w:tabs>
          <w:tab w:val="clear" w:pos="720"/>
          <w:tab w:val="num" w:pos="1440"/>
        </w:tabs>
        <w:suppressAutoHyphens/>
        <w:ind w:left="0" w:firstLine="720"/>
        <w:rPr>
          <w:sz w:val="22"/>
          <w:szCs w:val="22"/>
        </w:rPr>
      </w:pPr>
      <w:r w:rsidRPr="009C79E5">
        <w:rPr>
          <w:sz w:val="22"/>
          <w:szCs w:val="22"/>
        </w:rPr>
        <w:t>Section 202 of the CVAA amends the Act with respect to the provision of video description, accessible emergency information, closed captioning on video programming delivered using Internet protocol, and petitions for exemption from the closed captioning requirements.</w:t>
      </w:r>
      <w:r w:rsidRPr="008D556C">
        <w:rPr>
          <w:rStyle w:val="FootnoteReference"/>
          <w:sz w:val="22"/>
          <w:szCs w:val="22"/>
        </w:rPr>
        <w:footnoteReference w:id="406"/>
      </w:r>
      <w:r w:rsidRPr="008D556C">
        <w:rPr>
          <w:sz w:val="22"/>
          <w:szCs w:val="22"/>
        </w:rPr>
        <w:t xml:space="preserve">  Each of these requirements is addressed, in turn, in this section.</w:t>
      </w:r>
    </w:p>
    <w:p w:rsidR="004453B7" w:rsidRPr="003511DC" w:rsidRDefault="004453B7" w:rsidP="00476E6F">
      <w:pPr>
        <w:suppressLineNumbers/>
        <w:suppressAutoHyphens/>
        <w:ind w:left="720"/>
        <w:rPr>
          <w:sz w:val="22"/>
          <w:szCs w:val="22"/>
        </w:rPr>
      </w:pPr>
    </w:p>
    <w:p w:rsidR="004453B7" w:rsidRPr="008D556C" w:rsidRDefault="004453B7" w:rsidP="00476E6F">
      <w:pPr>
        <w:numPr>
          <w:ilvl w:val="0"/>
          <w:numId w:val="2"/>
        </w:numPr>
        <w:suppressLineNumbers/>
        <w:tabs>
          <w:tab w:val="clear" w:pos="720"/>
          <w:tab w:val="num" w:pos="1440"/>
        </w:tabs>
        <w:suppressAutoHyphens/>
        <w:ind w:left="0" w:firstLine="720"/>
        <w:rPr>
          <w:sz w:val="22"/>
          <w:szCs w:val="22"/>
        </w:rPr>
      </w:pPr>
      <w:r w:rsidRPr="00BF0859">
        <w:rPr>
          <w:i/>
          <w:sz w:val="22"/>
          <w:szCs w:val="22"/>
        </w:rPr>
        <w:t>Video Description</w:t>
      </w:r>
      <w:r w:rsidRPr="00FF1FD9">
        <w:rPr>
          <w:sz w:val="22"/>
          <w:szCs w:val="22"/>
        </w:rPr>
        <w:t>.  Section 202(a) of the CVAA amends Section 713 of the Act to require, one year after the enactment of the CVAA, the reinstatement of Com</w:t>
      </w:r>
      <w:r w:rsidRPr="006C02D7">
        <w:rPr>
          <w:sz w:val="22"/>
          <w:szCs w:val="22"/>
        </w:rPr>
        <w:t>mission regulations that mandated the provision of video description on video programming, with certain modifications.</w:t>
      </w:r>
      <w:r w:rsidRPr="008D556C">
        <w:rPr>
          <w:rStyle w:val="FootnoteReference"/>
          <w:sz w:val="22"/>
          <w:szCs w:val="22"/>
        </w:rPr>
        <w:footnoteReference w:id="407"/>
      </w:r>
      <w:r w:rsidRPr="008D556C">
        <w:rPr>
          <w:sz w:val="22"/>
          <w:szCs w:val="22"/>
        </w:rPr>
        <w:t xml:space="preserve">  In addition, not later than one year after the completion of the phase-in of the reinstated regulations, or by July 1, 2013, the Commis</w:t>
      </w:r>
      <w:r w:rsidRPr="003511DC">
        <w:rPr>
          <w:sz w:val="22"/>
          <w:szCs w:val="22"/>
        </w:rPr>
        <w:t xml:space="preserve">sion </w:t>
      </w:r>
      <w:r w:rsidR="008A2052" w:rsidRPr="00BF0859">
        <w:rPr>
          <w:sz w:val="22"/>
          <w:szCs w:val="22"/>
        </w:rPr>
        <w:t>was required to</w:t>
      </w:r>
      <w:r w:rsidRPr="00FF1FD9">
        <w:rPr>
          <w:sz w:val="22"/>
          <w:szCs w:val="22"/>
        </w:rPr>
        <w:t xml:space="preserve"> initiate an inquiry on video description and report to Congress one year after initiating that inquiry, i.e., by July 1, 2014.</w:t>
      </w:r>
      <w:r w:rsidRPr="008D556C">
        <w:rPr>
          <w:rStyle w:val="FootnoteReference"/>
          <w:sz w:val="22"/>
          <w:szCs w:val="22"/>
        </w:rPr>
        <w:footnoteReference w:id="408"/>
      </w:r>
      <w:r w:rsidRPr="008D556C">
        <w:rPr>
          <w:sz w:val="22"/>
          <w:szCs w:val="22"/>
        </w:rPr>
        <w:t xml:space="preserve">  No later than October 8, 2016, six years after the enactment date of the CVAA, the Commission must extend </w:t>
      </w:r>
      <w:r w:rsidRPr="003511DC">
        <w:rPr>
          <w:sz w:val="22"/>
          <w:szCs w:val="22"/>
        </w:rPr>
        <w:t xml:space="preserve">the video description </w:t>
      </w:r>
      <w:r w:rsidRPr="00BF0859">
        <w:rPr>
          <w:sz w:val="22"/>
          <w:szCs w:val="22"/>
        </w:rPr>
        <w:t>requirements to broadcast stations in the top 60 television markets.</w:t>
      </w:r>
      <w:r w:rsidRPr="008D556C">
        <w:rPr>
          <w:rStyle w:val="FootnoteReference"/>
          <w:sz w:val="22"/>
          <w:szCs w:val="22"/>
        </w:rPr>
        <w:footnoteReference w:id="409"/>
      </w:r>
      <w:r w:rsidRPr="008D556C">
        <w:rPr>
          <w:sz w:val="22"/>
          <w:szCs w:val="22"/>
        </w:rPr>
        <w:t xml:space="preserve">  Two years after completing its report, the Commission may </w:t>
      </w:r>
      <w:r w:rsidR="008A2052" w:rsidRPr="003511DC">
        <w:rPr>
          <w:sz w:val="22"/>
          <w:szCs w:val="22"/>
        </w:rPr>
        <w:t xml:space="preserve">issue additional video description regulations for television programming, including </w:t>
      </w:r>
      <w:r w:rsidRPr="00BF0859">
        <w:rPr>
          <w:sz w:val="22"/>
          <w:szCs w:val="22"/>
        </w:rPr>
        <w:t>increas</w:t>
      </w:r>
      <w:r w:rsidR="008A2052" w:rsidRPr="00FF1FD9">
        <w:rPr>
          <w:sz w:val="22"/>
          <w:szCs w:val="22"/>
        </w:rPr>
        <w:t>ing</w:t>
      </w:r>
      <w:r w:rsidRPr="006C02D7">
        <w:rPr>
          <w:sz w:val="22"/>
          <w:szCs w:val="22"/>
        </w:rPr>
        <w:t xml:space="preserve"> the requirement for video description by up to 75 percent (from 50 to 87.5 hours per quarter) for televised video programming.</w:t>
      </w:r>
      <w:r w:rsidRPr="008D556C">
        <w:rPr>
          <w:rStyle w:val="FootnoteReference"/>
          <w:sz w:val="22"/>
          <w:szCs w:val="22"/>
        </w:rPr>
        <w:footnoteReference w:id="410"/>
      </w:r>
      <w:r w:rsidRPr="008D556C">
        <w:rPr>
          <w:sz w:val="22"/>
          <w:szCs w:val="22"/>
        </w:rPr>
        <w:t xml:space="preserve">  Nine years after the date of enactment of the CVAA, or by October 8, 2019, the Commission must submit to Congress another report assessi</w:t>
      </w:r>
      <w:r w:rsidRPr="003511DC">
        <w:rPr>
          <w:sz w:val="22"/>
          <w:szCs w:val="22"/>
        </w:rPr>
        <w:t>ng the provision of vi</w:t>
      </w:r>
      <w:r w:rsidRPr="00BF0859">
        <w:rPr>
          <w:sz w:val="22"/>
          <w:szCs w:val="22"/>
        </w:rPr>
        <w:t>deo description, particularly with respect to television markets outside the top 60.</w:t>
      </w:r>
      <w:r w:rsidRPr="008D556C">
        <w:rPr>
          <w:rStyle w:val="FootnoteReference"/>
          <w:sz w:val="22"/>
          <w:szCs w:val="22"/>
        </w:rPr>
        <w:footnoteReference w:id="411"/>
      </w:r>
      <w:r w:rsidRPr="008D556C">
        <w:rPr>
          <w:sz w:val="22"/>
          <w:szCs w:val="22"/>
        </w:rPr>
        <w:t xml:space="preserve">  Ten years after the date of enactment of the CVAA, or on October 8, 2020, the Commission is authorized to phase in the video description regulation</w:t>
      </w:r>
      <w:r w:rsidRPr="003511DC">
        <w:rPr>
          <w:sz w:val="22"/>
          <w:szCs w:val="22"/>
        </w:rPr>
        <w:t>s for up to 10 additio</w:t>
      </w:r>
      <w:r w:rsidRPr="00BF0859">
        <w:rPr>
          <w:sz w:val="22"/>
          <w:szCs w:val="22"/>
        </w:rPr>
        <w:t>nal television market areas each year.</w:t>
      </w:r>
      <w:r w:rsidRPr="008D556C">
        <w:rPr>
          <w:rStyle w:val="FootnoteReference"/>
          <w:sz w:val="22"/>
          <w:szCs w:val="22"/>
        </w:rPr>
        <w:footnoteReference w:id="412"/>
      </w:r>
    </w:p>
    <w:p w:rsidR="004453B7" w:rsidRPr="003511DC" w:rsidRDefault="004453B7" w:rsidP="00476E6F">
      <w:pPr>
        <w:suppressLineNumbers/>
        <w:suppressAutoHyphens/>
        <w:ind w:left="720"/>
        <w:rPr>
          <w:sz w:val="22"/>
          <w:szCs w:val="22"/>
        </w:rPr>
      </w:pPr>
    </w:p>
    <w:p w:rsidR="004453B7" w:rsidRPr="008D556C" w:rsidRDefault="004453B7" w:rsidP="00476E6F">
      <w:pPr>
        <w:numPr>
          <w:ilvl w:val="0"/>
          <w:numId w:val="2"/>
        </w:numPr>
        <w:suppressLineNumbers/>
        <w:tabs>
          <w:tab w:val="clear" w:pos="720"/>
          <w:tab w:val="num" w:pos="1440"/>
        </w:tabs>
        <w:suppressAutoHyphens/>
        <w:ind w:left="0" w:firstLine="720"/>
        <w:rPr>
          <w:sz w:val="22"/>
          <w:szCs w:val="22"/>
        </w:rPr>
      </w:pPr>
      <w:r w:rsidRPr="00BF0859">
        <w:rPr>
          <w:sz w:val="22"/>
          <w:szCs w:val="22"/>
        </w:rPr>
        <w:t>As required by the CVAA, the Commission reinstated the video description rules, effective October 8, 2011.</w:t>
      </w:r>
      <w:r w:rsidRPr="008D556C">
        <w:rPr>
          <w:rStyle w:val="FootnoteReference"/>
          <w:sz w:val="22"/>
          <w:szCs w:val="22"/>
        </w:rPr>
        <w:footnoteReference w:id="413"/>
      </w:r>
      <w:r w:rsidRPr="008D556C">
        <w:rPr>
          <w:sz w:val="22"/>
          <w:szCs w:val="22"/>
        </w:rPr>
        <w:t xml:space="preserve">  Under the reinstated rules, since July 1, 2012, full-power affiliates of the top fou</w:t>
      </w:r>
      <w:r w:rsidRPr="003511DC">
        <w:rPr>
          <w:sz w:val="22"/>
          <w:szCs w:val="22"/>
        </w:rPr>
        <w:t>r commercial televisio</w:t>
      </w:r>
      <w:r w:rsidRPr="00BF0859">
        <w:rPr>
          <w:sz w:val="22"/>
          <w:szCs w:val="22"/>
        </w:rPr>
        <w:t xml:space="preserve">n broadcast networks (ABC, CBS, Fox, and NBC) located in the top 25 television markets (based on Nielsen ratings as of January 1, 2011) have been required to </w:t>
      </w:r>
      <w:r w:rsidRPr="006C02D7">
        <w:rPr>
          <w:spacing w:val="-2"/>
          <w:sz w:val="22"/>
          <w:szCs w:val="22"/>
        </w:rPr>
        <w:t>provide 50 hours per calendar quarter (about four hours per week) of video-d</w:t>
      </w:r>
      <w:r w:rsidRPr="009C79E5">
        <w:rPr>
          <w:spacing w:val="-2"/>
          <w:sz w:val="22"/>
          <w:szCs w:val="22"/>
        </w:rPr>
        <w:t>escribed prime time and/or children’s programming.</w:t>
      </w:r>
      <w:r w:rsidRPr="008D556C">
        <w:rPr>
          <w:rStyle w:val="FootnoteReference"/>
          <w:spacing w:val="-2"/>
          <w:sz w:val="22"/>
          <w:szCs w:val="22"/>
        </w:rPr>
        <w:footnoteReference w:id="414"/>
      </w:r>
      <w:r w:rsidRPr="008D556C">
        <w:rPr>
          <w:spacing w:val="-2"/>
          <w:sz w:val="22"/>
          <w:szCs w:val="22"/>
        </w:rPr>
        <w:t xml:space="preserve">  Also </w:t>
      </w:r>
      <w:r w:rsidRPr="003511DC">
        <w:rPr>
          <w:sz w:val="22"/>
          <w:szCs w:val="22"/>
        </w:rPr>
        <w:t xml:space="preserve">since July 1, 2012, multichannel video programming distributors (MVPDs) with 50,000 or more subscribers have been required to </w:t>
      </w:r>
      <w:r w:rsidRPr="00BF0859">
        <w:rPr>
          <w:spacing w:val="-2"/>
          <w:sz w:val="22"/>
          <w:szCs w:val="22"/>
        </w:rPr>
        <w:t>provide 50 hours per calendar quarter (about four hours per week) of vid</w:t>
      </w:r>
      <w:r w:rsidRPr="006C02D7">
        <w:rPr>
          <w:spacing w:val="-2"/>
          <w:sz w:val="22"/>
          <w:szCs w:val="22"/>
        </w:rPr>
        <w:t>eo-described prime time and/or children’s programming on each of the</w:t>
      </w:r>
      <w:r w:rsidRPr="006C02D7">
        <w:rPr>
          <w:sz w:val="22"/>
          <w:szCs w:val="22"/>
        </w:rPr>
        <w:t xml:space="preserve"> top five national non-broadcast networks that they carry (as determined by Nielsen at three-year intervals).</w:t>
      </w:r>
      <w:r w:rsidRPr="008D556C">
        <w:rPr>
          <w:rStyle w:val="FootnoteReference"/>
          <w:sz w:val="22"/>
          <w:szCs w:val="22"/>
        </w:rPr>
        <w:footnoteReference w:id="415"/>
      </w:r>
      <w:r w:rsidRPr="008D556C">
        <w:rPr>
          <w:sz w:val="22"/>
          <w:szCs w:val="22"/>
        </w:rPr>
        <w:t xml:space="preserve">  Any broadcast station or MVPD, regardless of affiliation, location, or size,</w:t>
      </w:r>
      <w:r w:rsidRPr="003511DC">
        <w:rPr>
          <w:sz w:val="22"/>
          <w:szCs w:val="22"/>
        </w:rPr>
        <w:t xml:space="preserve"> must pass through vid</w:t>
      </w:r>
      <w:r w:rsidRPr="00BF0859">
        <w:rPr>
          <w:sz w:val="22"/>
          <w:szCs w:val="22"/>
        </w:rPr>
        <w:t xml:space="preserve">eo description when provided if it has the technical capability to do so (the pass-through requirement), and </w:t>
      </w:r>
      <w:r w:rsidR="008A2052" w:rsidRPr="006C02D7">
        <w:rPr>
          <w:sz w:val="22"/>
          <w:szCs w:val="22"/>
        </w:rPr>
        <w:t xml:space="preserve">if </w:t>
      </w:r>
      <w:r w:rsidRPr="009C79E5">
        <w:rPr>
          <w:sz w:val="22"/>
          <w:szCs w:val="22"/>
        </w:rPr>
        <w:t>that technical capability is not being used for another purpose related to the programming, such as providing a Spanish language audio stream.</w:t>
      </w:r>
      <w:r w:rsidRPr="008D556C">
        <w:rPr>
          <w:rStyle w:val="FootnoteReference"/>
          <w:sz w:val="22"/>
          <w:szCs w:val="22"/>
        </w:rPr>
        <w:footnoteReference w:id="416"/>
      </w:r>
      <w:r w:rsidRPr="008D556C">
        <w:rPr>
          <w:sz w:val="22"/>
          <w:szCs w:val="22"/>
        </w:rPr>
        <w:t xml:space="preserve"> </w:t>
      </w:r>
      <w:r w:rsidRPr="003511DC">
        <w:rPr>
          <w:sz w:val="22"/>
          <w:szCs w:val="22"/>
        </w:rPr>
        <w:t xml:space="preserve"> The </w:t>
      </w:r>
      <w:r w:rsidRPr="009C79E5">
        <w:rPr>
          <w:sz w:val="22"/>
          <w:szCs w:val="22"/>
        </w:rPr>
        <w:t xml:space="preserve">Commission also established July 1, 2015 as the date by which the video description rules will be extended to </w:t>
      </w:r>
      <w:r w:rsidRPr="008D556C">
        <w:rPr>
          <w:sz w:val="22"/>
          <w:szCs w:val="22"/>
        </w:rPr>
        <w:t>broadcast station affiliates located in the top 60 television markets (based on Nielsen ratings as of January 1, 2015).</w:t>
      </w:r>
      <w:r w:rsidRPr="008D556C">
        <w:rPr>
          <w:rStyle w:val="FootnoteReference"/>
          <w:sz w:val="22"/>
          <w:szCs w:val="22"/>
        </w:rPr>
        <w:footnoteReference w:id="417"/>
      </w:r>
      <w:r w:rsidRPr="008D556C">
        <w:rPr>
          <w:sz w:val="22"/>
          <w:szCs w:val="22"/>
        </w:rPr>
        <w:t xml:space="preserve"> </w:t>
      </w:r>
    </w:p>
    <w:p w:rsidR="004453B7" w:rsidRPr="003511DC" w:rsidRDefault="004453B7" w:rsidP="00476E6F">
      <w:pPr>
        <w:suppressLineNumbers/>
        <w:suppressAutoHyphens/>
        <w:ind w:left="720"/>
        <w:rPr>
          <w:sz w:val="22"/>
          <w:szCs w:val="22"/>
        </w:rPr>
      </w:pPr>
    </w:p>
    <w:p w:rsidR="004453B7" w:rsidRPr="008D556C" w:rsidRDefault="004453B7" w:rsidP="00476E6F">
      <w:pPr>
        <w:numPr>
          <w:ilvl w:val="0"/>
          <w:numId w:val="2"/>
        </w:numPr>
        <w:suppressLineNumbers/>
        <w:tabs>
          <w:tab w:val="clear" w:pos="720"/>
          <w:tab w:val="num" w:pos="1440"/>
        </w:tabs>
        <w:suppressAutoHyphens/>
        <w:ind w:left="0" w:firstLine="720"/>
        <w:rPr>
          <w:sz w:val="22"/>
          <w:szCs w:val="22"/>
        </w:rPr>
      </w:pPr>
      <w:r w:rsidRPr="00BF0859">
        <w:rPr>
          <w:sz w:val="22"/>
          <w:szCs w:val="22"/>
          <w:shd w:val="clear" w:color="auto" w:fill="FFFFFF"/>
        </w:rPr>
        <w:t xml:space="preserve">Since the </w:t>
      </w:r>
      <w:r w:rsidRPr="00FF1FD9">
        <w:rPr>
          <w:i/>
          <w:sz w:val="22"/>
          <w:szCs w:val="22"/>
          <w:shd w:val="clear" w:color="auto" w:fill="FFFFFF"/>
        </w:rPr>
        <w:t>2012 CVAA Biennial Report</w:t>
      </w:r>
      <w:r w:rsidRPr="006C02D7">
        <w:rPr>
          <w:sz w:val="22"/>
          <w:szCs w:val="22"/>
          <w:shd w:val="clear" w:color="auto" w:fill="FFFFFF"/>
        </w:rPr>
        <w:t xml:space="preserve">, on June 25, 2013, the Commission released a public notice seeking </w:t>
      </w:r>
      <w:r w:rsidRPr="009C79E5">
        <w:rPr>
          <w:sz w:val="22"/>
          <w:szCs w:val="22"/>
        </w:rPr>
        <w:t xml:space="preserve">comment on video description of video programming delivered via both television and the Internet, </w:t>
      </w:r>
      <w:r w:rsidRPr="009C79E5">
        <w:rPr>
          <w:sz w:val="22"/>
          <w:szCs w:val="22"/>
          <w:shd w:val="clear" w:color="auto" w:fill="FFFFFF"/>
        </w:rPr>
        <w:t>to inform the preparation of the report to Congress required by the CVAA</w:t>
      </w:r>
      <w:r w:rsidRPr="009C79E5">
        <w:rPr>
          <w:sz w:val="22"/>
          <w:szCs w:val="22"/>
        </w:rPr>
        <w:t>.</w:t>
      </w:r>
      <w:r w:rsidRPr="008D556C">
        <w:rPr>
          <w:rStyle w:val="FootnoteReference"/>
          <w:sz w:val="22"/>
          <w:szCs w:val="22"/>
          <w:shd w:val="clear" w:color="auto" w:fill="FFFFFF"/>
        </w:rPr>
        <w:footnoteReference w:id="418"/>
      </w:r>
      <w:r w:rsidRPr="008D556C">
        <w:rPr>
          <w:sz w:val="22"/>
          <w:szCs w:val="22"/>
          <w:shd w:val="clear" w:color="auto" w:fill="FFFFFF"/>
        </w:rPr>
        <w:t xml:space="preserve">  </w:t>
      </w:r>
      <w:r w:rsidRPr="003511DC">
        <w:rPr>
          <w:sz w:val="22"/>
          <w:szCs w:val="22"/>
        </w:rPr>
        <w:t>On June 30, 2014, the Commission timely submitted its video description report to Congress.</w:t>
      </w:r>
      <w:r w:rsidRPr="008D556C">
        <w:rPr>
          <w:rStyle w:val="FootnoteReference"/>
          <w:sz w:val="22"/>
          <w:szCs w:val="22"/>
        </w:rPr>
        <w:footnoteReference w:id="419"/>
      </w:r>
      <w:r w:rsidRPr="008D556C">
        <w:rPr>
          <w:sz w:val="22"/>
          <w:szCs w:val="22"/>
        </w:rPr>
        <w:t>  In this report, the Commission found that the availability of video description on television programming has provided substantial benefi</w:t>
      </w:r>
      <w:r w:rsidRPr="003511DC">
        <w:rPr>
          <w:sz w:val="22"/>
          <w:szCs w:val="22"/>
        </w:rPr>
        <w:t>ts for individuals who</w:t>
      </w:r>
      <w:r w:rsidRPr="00BF0859">
        <w:rPr>
          <w:sz w:val="22"/>
          <w:szCs w:val="22"/>
        </w:rPr>
        <w:t xml:space="preserve"> are blind or visually impaired, and that industry appears to have largely complied with the Commission’s video description rules.</w:t>
      </w:r>
      <w:r w:rsidRPr="008D556C">
        <w:rPr>
          <w:rStyle w:val="FootnoteReference"/>
          <w:sz w:val="22"/>
          <w:szCs w:val="22"/>
        </w:rPr>
        <w:footnoteReference w:id="420"/>
      </w:r>
      <w:r w:rsidRPr="008D556C">
        <w:rPr>
          <w:sz w:val="22"/>
          <w:szCs w:val="22"/>
        </w:rPr>
        <w:t xml:space="preserve">  While t</w:t>
      </w:r>
      <w:r w:rsidRPr="003511DC">
        <w:rPr>
          <w:sz w:val="22"/>
          <w:szCs w:val="22"/>
          <w:shd w:val="clear" w:color="auto" w:fill="FFFFFF"/>
        </w:rPr>
        <w:t>he report notes that some broadcast stations are providing more video description than require</w:t>
      </w:r>
      <w:r w:rsidRPr="00BF0859">
        <w:rPr>
          <w:sz w:val="22"/>
          <w:szCs w:val="22"/>
          <w:shd w:val="clear" w:color="auto" w:fill="FFFFFF"/>
        </w:rPr>
        <w:t>d,</w:t>
      </w:r>
      <w:r w:rsidRPr="008D556C">
        <w:rPr>
          <w:rStyle w:val="FootnoteReference"/>
          <w:sz w:val="22"/>
          <w:szCs w:val="22"/>
          <w:shd w:val="clear" w:color="auto" w:fill="FFFFFF"/>
        </w:rPr>
        <w:footnoteReference w:id="421"/>
      </w:r>
      <w:r w:rsidRPr="008D556C">
        <w:rPr>
          <w:sz w:val="22"/>
          <w:szCs w:val="22"/>
          <w:shd w:val="clear" w:color="auto" w:fill="FFFFFF"/>
        </w:rPr>
        <w:t xml:space="preserve"> it also highlights</w:t>
      </w:r>
      <w:r w:rsidRPr="003511DC">
        <w:rPr>
          <w:sz w:val="22"/>
          <w:szCs w:val="22"/>
          <w:shd w:val="clear" w:color="auto" w:fill="FFFFFF"/>
        </w:rPr>
        <w:t xml:space="preserve"> consumer desires for the increased availability of video-described programming and easier access to this programming on consumer electronics equipment.</w:t>
      </w:r>
      <w:r w:rsidRPr="008D556C">
        <w:rPr>
          <w:rStyle w:val="FootnoteReference"/>
          <w:sz w:val="22"/>
          <w:szCs w:val="22"/>
          <w:shd w:val="clear" w:color="auto" w:fill="FFFFFF"/>
        </w:rPr>
        <w:footnoteReference w:id="422"/>
      </w:r>
      <w:r w:rsidRPr="008D556C">
        <w:rPr>
          <w:sz w:val="22"/>
          <w:szCs w:val="22"/>
          <w:shd w:val="clear" w:color="auto" w:fill="FFFFFF"/>
        </w:rPr>
        <w:t xml:space="preserve">  In addition, the report details consumer frustration with the lack of publicly </w:t>
      </w:r>
      <w:r w:rsidRPr="003511DC">
        <w:rPr>
          <w:sz w:val="22"/>
          <w:szCs w:val="22"/>
          <w:shd w:val="clear" w:color="auto" w:fill="FFFFFF"/>
        </w:rPr>
        <w:t xml:space="preserve">available information </w:t>
      </w:r>
      <w:r w:rsidRPr="00BF0859">
        <w:rPr>
          <w:sz w:val="22"/>
          <w:szCs w:val="22"/>
          <w:shd w:val="clear" w:color="auto" w:fill="FFFFFF"/>
        </w:rPr>
        <w:t>about which television programs are video described and inadequate customer support service for video description.</w:t>
      </w:r>
      <w:r w:rsidRPr="008D556C">
        <w:rPr>
          <w:rStyle w:val="FootnoteReference"/>
          <w:sz w:val="22"/>
          <w:szCs w:val="22"/>
          <w:shd w:val="clear" w:color="auto" w:fill="FFFFFF"/>
        </w:rPr>
        <w:footnoteReference w:id="423"/>
      </w:r>
      <w:r w:rsidRPr="008D556C">
        <w:rPr>
          <w:sz w:val="22"/>
          <w:szCs w:val="22"/>
          <w:shd w:val="clear" w:color="auto" w:fill="FFFFFF"/>
        </w:rPr>
        <w:t xml:space="preserve">  Finally, the report highlights the benefits of and need for video description on IP-delivered video programming, noti</w:t>
      </w:r>
      <w:r w:rsidRPr="003511DC">
        <w:rPr>
          <w:sz w:val="22"/>
          <w:szCs w:val="22"/>
          <w:shd w:val="clear" w:color="auto" w:fill="FFFFFF"/>
        </w:rPr>
        <w:t>ng both industry claim</w:t>
      </w:r>
      <w:r w:rsidRPr="00BF0859">
        <w:rPr>
          <w:sz w:val="22"/>
          <w:szCs w:val="22"/>
          <w:shd w:val="clear" w:color="auto" w:fill="FFFFFF"/>
        </w:rPr>
        <w:t>s of technical challenges with providing such description, versus reports from consumer groups about the availability of current technologies to support a secondary audio stream to provide video description on IP-delivered content.</w:t>
      </w:r>
      <w:r w:rsidRPr="008D556C">
        <w:rPr>
          <w:rStyle w:val="FootnoteReference"/>
          <w:sz w:val="22"/>
          <w:szCs w:val="22"/>
          <w:shd w:val="clear" w:color="auto" w:fill="FFFFFF"/>
        </w:rPr>
        <w:footnoteReference w:id="424"/>
      </w:r>
    </w:p>
    <w:p w:rsidR="004453B7" w:rsidRPr="003511DC" w:rsidRDefault="004453B7" w:rsidP="00476E6F">
      <w:pPr>
        <w:suppressLineNumbers/>
        <w:suppressAutoHyphens/>
        <w:ind w:left="720"/>
        <w:rPr>
          <w:sz w:val="22"/>
          <w:szCs w:val="22"/>
        </w:rPr>
      </w:pPr>
    </w:p>
    <w:p w:rsidR="004453B7" w:rsidRPr="00BF0859" w:rsidRDefault="004453B7" w:rsidP="00476E6F">
      <w:pPr>
        <w:numPr>
          <w:ilvl w:val="0"/>
          <w:numId w:val="2"/>
        </w:numPr>
        <w:suppressLineNumbers/>
        <w:tabs>
          <w:tab w:val="clear" w:pos="720"/>
          <w:tab w:val="num" w:pos="1440"/>
        </w:tabs>
        <w:suppressAutoHyphens/>
        <w:ind w:left="0" w:firstLine="720"/>
        <w:rPr>
          <w:sz w:val="22"/>
          <w:szCs w:val="22"/>
        </w:rPr>
      </w:pPr>
      <w:r w:rsidRPr="003511DC">
        <w:rPr>
          <w:sz w:val="22"/>
          <w:szCs w:val="22"/>
        </w:rPr>
        <w:t>On April 8, 2013, in accordance with Section 203 of the CVAA, the Commission adopted rules for certain video programming apparatus to be capable of delivering video description to viewers.</w:t>
      </w:r>
      <w:r w:rsidRPr="008D556C">
        <w:rPr>
          <w:rStyle w:val="FootnoteReference"/>
          <w:sz w:val="22"/>
          <w:szCs w:val="22"/>
        </w:rPr>
        <w:footnoteReference w:id="425"/>
      </w:r>
      <w:r w:rsidRPr="008D556C">
        <w:rPr>
          <w:sz w:val="22"/>
          <w:szCs w:val="22"/>
        </w:rPr>
        <w:t xml:space="preserve">  </w:t>
      </w:r>
      <w:r w:rsidR="00BF1D1F" w:rsidRPr="003511DC">
        <w:rPr>
          <w:sz w:val="22"/>
          <w:szCs w:val="22"/>
        </w:rPr>
        <w:t>The new rules require apparatus designed to receive, play back, o</w:t>
      </w:r>
      <w:r w:rsidR="00BF1D1F" w:rsidRPr="00BF0859">
        <w:rPr>
          <w:sz w:val="22"/>
          <w:szCs w:val="22"/>
        </w:rPr>
        <w:t>r record video programming to make a secondary audio stream available to facilitate the transmission and delivery of video description.</w:t>
      </w:r>
      <w:r w:rsidR="00BF1D1F" w:rsidRPr="008D556C">
        <w:rPr>
          <w:rStyle w:val="FootnoteReference"/>
          <w:sz w:val="22"/>
          <w:szCs w:val="22"/>
        </w:rPr>
        <w:footnoteReference w:id="426"/>
      </w:r>
      <w:r w:rsidR="00BF1D1F" w:rsidRPr="008D556C">
        <w:rPr>
          <w:sz w:val="22"/>
          <w:szCs w:val="22"/>
        </w:rPr>
        <w:t xml:space="preserve">  </w:t>
      </w:r>
      <w:r w:rsidRPr="003511DC">
        <w:rPr>
          <w:rFonts w:eastAsia="Lucida Grande"/>
          <w:sz w:val="22"/>
          <w:szCs w:val="22"/>
        </w:rPr>
        <w:t>The Commission accompanied its report and order adopting these rules with a further notice of proposed rulemaking that</w:t>
      </w:r>
      <w:r w:rsidRPr="00BF0859">
        <w:rPr>
          <w:rFonts w:eastAsia="Lucida Grande"/>
          <w:sz w:val="22"/>
          <w:szCs w:val="22"/>
        </w:rPr>
        <w:t xml:space="preserve"> sought additional comment on </w:t>
      </w:r>
      <w:r w:rsidRPr="00FF1FD9">
        <w:rPr>
          <w:sz w:val="22"/>
          <w:szCs w:val="22"/>
        </w:rPr>
        <w:t>video description pass-through obligations.</w:t>
      </w:r>
      <w:r w:rsidRPr="008D556C">
        <w:rPr>
          <w:rStyle w:val="FootnoteReference"/>
          <w:sz w:val="22"/>
          <w:szCs w:val="22"/>
        </w:rPr>
        <w:footnoteReference w:id="427"/>
      </w:r>
      <w:r w:rsidRPr="008D556C">
        <w:rPr>
          <w:sz w:val="22"/>
          <w:szCs w:val="22"/>
        </w:rPr>
        <w:t xml:space="preserve">  Specifically, the Commission sought public input on whether an MVPD system that allows subscribers to access linear video programming</w:t>
      </w:r>
      <w:r w:rsidRPr="003511DC">
        <w:rPr>
          <w:rFonts w:eastAsia="Lucida Grande"/>
          <w:sz w:val="22"/>
          <w:szCs w:val="22"/>
        </w:rPr>
        <w:t xml:space="preserve"> provided via tablets, laptops, personal comput</w:t>
      </w:r>
      <w:r w:rsidRPr="00BF0859">
        <w:rPr>
          <w:rFonts w:eastAsia="Lucida Grande"/>
          <w:sz w:val="22"/>
          <w:szCs w:val="22"/>
        </w:rPr>
        <w:t>ers, smartphones, or similar devices</w:t>
      </w:r>
      <w:r w:rsidRPr="006C02D7">
        <w:rPr>
          <w:sz w:val="22"/>
          <w:szCs w:val="22"/>
        </w:rPr>
        <w:t>, must pass through video description that is provided for that programming.</w:t>
      </w:r>
      <w:r w:rsidR="00CB5C64" w:rsidRPr="008D556C">
        <w:rPr>
          <w:rStyle w:val="FootnoteReference"/>
          <w:sz w:val="22"/>
          <w:szCs w:val="22"/>
        </w:rPr>
        <w:footnoteReference w:id="428"/>
      </w:r>
      <w:r w:rsidRPr="008D556C">
        <w:rPr>
          <w:sz w:val="22"/>
          <w:szCs w:val="22"/>
        </w:rPr>
        <w:t xml:space="preserve">  It also asked</w:t>
      </w:r>
      <w:r w:rsidRPr="003511DC">
        <w:rPr>
          <w:rFonts w:eastAsia="Lucida Grande"/>
          <w:sz w:val="22"/>
          <w:szCs w:val="22"/>
        </w:rPr>
        <w:t xml:space="preserve"> whether to require tagging or labeling of content on the secondary audio stream to help consumers who are blind or visually imp</w:t>
      </w:r>
      <w:r w:rsidRPr="00BF0859">
        <w:rPr>
          <w:rFonts w:eastAsia="Lucida Grande"/>
          <w:sz w:val="22"/>
          <w:szCs w:val="22"/>
        </w:rPr>
        <w:t>aired locate the appropriate video stream to access video description, when such content is present.</w:t>
      </w:r>
      <w:r w:rsidRPr="008D556C">
        <w:rPr>
          <w:rStyle w:val="FootnoteReference"/>
          <w:rFonts w:eastAsia="Lucida Grande"/>
          <w:sz w:val="22"/>
          <w:szCs w:val="22"/>
        </w:rPr>
        <w:footnoteReference w:id="429"/>
      </w:r>
      <w:r w:rsidRPr="008D556C">
        <w:rPr>
          <w:rFonts w:eastAsia="Lucida Grande"/>
          <w:sz w:val="22"/>
          <w:szCs w:val="22"/>
        </w:rPr>
        <w:t xml:space="preserve"> </w:t>
      </w:r>
      <w:r w:rsidR="005661AF" w:rsidRPr="003511DC">
        <w:rPr>
          <w:sz w:val="22"/>
          <w:szCs w:val="22"/>
        </w:rPr>
        <w:t xml:space="preserve"> </w:t>
      </w:r>
      <w:r w:rsidRPr="00BF0859">
        <w:rPr>
          <w:sz w:val="22"/>
          <w:szCs w:val="22"/>
        </w:rPr>
        <w:t xml:space="preserve">This proceeding is pending before the Commission. </w:t>
      </w:r>
    </w:p>
    <w:p w:rsidR="004453B7" w:rsidRPr="006C02D7" w:rsidRDefault="004453B7" w:rsidP="00476E6F">
      <w:pPr>
        <w:suppressLineNumbers/>
        <w:suppressAutoHyphens/>
        <w:ind w:left="720"/>
        <w:rPr>
          <w:sz w:val="22"/>
          <w:szCs w:val="22"/>
        </w:rPr>
      </w:pPr>
    </w:p>
    <w:p w:rsidR="004453B7" w:rsidRPr="008D556C" w:rsidRDefault="004453B7" w:rsidP="00476E6F">
      <w:pPr>
        <w:numPr>
          <w:ilvl w:val="0"/>
          <w:numId w:val="2"/>
        </w:numPr>
        <w:suppressLineNumbers/>
        <w:tabs>
          <w:tab w:val="clear" w:pos="720"/>
          <w:tab w:val="num" w:pos="1440"/>
        </w:tabs>
        <w:suppressAutoHyphens/>
        <w:ind w:left="0" w:firstLine="720"/>
        <w:rPr>
          <w:sz w:val="22"/>
          <w:szCs w:val="22"/>
        </w:rPr>
      </w:pPr>
      <w:r w:rsidRPr="009C79E5">
        <w:rPr>
          <w:i/>
          <w:sz w:val="22"/>
          <w:szCs w:val="22"/>
        </w:rPr>
        <w:t>Accessible Emergency Information</w:t>
      </w:r>
      <w:r w:rsidRPr="009C79E5">
        <w:rPr>
          <w:sz w:val="22"/>
          <w:szCs w:val="22"/>
        </w:rPr>
        <w:t>.  Section 202(a) of the CVAA amends Section 713 of the Act to require the Commission to complete a proceeding, not later than one year after the second VPAAC report is submitted to the Commission, or by April 9, 2013, to identify methods and promulgate regulations that require video programming owners, providers, and distributors to convey emergency information in a manner that is accessible to individuals who are blind or visually impaired.</w:t>
      </w:r>
      <w:r w:rsidRPr="008D556C">
        <w:rPr>
          <w:rStyle w:val="FootnoteReference"/>
          <w:sz w:val="22"/>
          <w:szCs w:val="22"/>
        </w:rPr>
        <w:footnoteReference w:id="430"/>
      </w:r>
      <w:r w:rsidRPr="008D556C">
        <w:rPr>
          <w:sz w:val="22"/>
          <w:szCs w:val="22"/>
        </w:rPr>
        <w:t xml:space="preserve">  </w:t>
      </w:r>
    </w:p>
    <w:p w:rsidR="004453B7" w:rsidRPr="003511DC" w:rsidRDefault="004453B7" w:rsidP="00476E6F">
      <w:pPr>
        <w:suppressLineNumbers/>
        <w:suppressAutoHyphens/>
        <w:ind w:left="720"/>
        <w:rPr>
          <w:sz w:val="22"/>
          <w:szCs w:val="22"/>
        </w:rPr>
      </w:pPr>
    </w:p>
    <w:p w:rsidR="004453B7" w:rsidRPr="008D556C" w:rsidRDefault="004453B7" w:rsidP="00476E6F">
      <w:pPr>
        <w:numPr>
          <w:ilvl w:val="0"/>
          <w:numId w:val="2"/>
        </w:numPr>
        <w:suppressLineNumbers/>
        <w:tabs>
          <w:tab w:val="clear" w:pos="720"/>
          <w:tab w:val="num" w:pos="1440"/>
        </w:tabs>
        <w:suppressAutoHyphens/>
        <w:ind w:left="0" w:firstLine="720"/>
        <w:rPr>
          <w:sz w:val="22"/>
          <w:szCs w:val="22"/>
        </w:rPr>
      </w:pPr>
      <w:r w:rsidRPr="00BF0859">
        <w:rPr>
          <w:sz w:val="22"/>
          <w:szCs w:val="22"/>
        </w:rPr>
        <w:t xml:space="preserve">Since the </w:t>
      </w:r>
      <w:r w:rsidRPr="00FF1FD9">
        <w:rPr>
          <w:i/>
          <w:sz w:val="22"/>
          <w:szCs w:val="22"/>
        </w:rPr>
        <w:t>2012 CVAA Biennial Report</w:t>
      </w:r>
      <w:r w:rsidRPr="00FF1FD9">
        <w:rPr>
          <w:sz w:val="22"/>
          <w:szCs w:val="22"/>
        </w:rPr>
        <w:t>, in November 2012, the Commission proposed rules to require the use of a secondary audio strea</w:t>
      </w:r>
      <w:r w:rsidRPr="006C02D7">
        <w:rPr>
          <w:sz w:val="22"/>
          <w:szCs w:val="22"/>
        </w:rPr>
        <w:t>m to provide emergency information aurally and concurrently with the emergency information that is conveyed visually during video programming other than newscasts.</w:t>
      </w:r>
      <w:r w:rsidRPr="008D556C">
        <w:rPr>
          <w:sz w:val="22"/>
          <w:szCs w:val="22"/>
          <w:vertAlign w:val="superscript"/>
        </w:rPr>
        <w:footnoteReference w:id="431"/>
      </w:r>
      <w:r w:rsidRPr="008D556C">
        <w:rPr>
          <w:sz w:val="22"/>
          <w:szCs w:val="22"/>
        </w:rPr>
        <w:t xml:space="preserve">  The secondary audio stream is also the mechanism for providing video description.</w:t>
      </w:r>
      <w:r w:rsidRPr="008D556C">
        <w:rPr>
          <w:rStyle w:val="FootnoteReference"/>
          <w:sz w:val="22"/>
          <w:szCs w:val="22"/>
        </w:rPr>
        <w:footnoteReference w:id="432"/>
      </w:r>
    </w:p>
    <w:p w:rsidR="004453B7" w:rsidRPr="008D556C" w:rsidRDefault="004453B7" w:rsidP="00476E6F">
      <w:pPr>
        <w:suppressLineNumbers/>
        <w:suppressAutoHyphens/>
        <w:ind w:left="720"/>
        <w:rPr>
          <w:sz w:val="22"/>
          <w:szCs w:val="22"/>
        </w:rPr>
      </w:pPr>
    </w:p>
    <w:p w:rsidR="004453B7" w:rsidRPr="008D556C" w:rsidRDefault="004453B7" w:rsidP="00476E6F">
      <w:pPr>
        <w:numPr>
          <w:ilvl w:val="0"/>
          <w:numId w:val="2"/>
        </w:numPr>
        <w:suppressLineNumbers/>
        <w:tabs>
          <w:tab w:val="clear" w:pos="720"/>
          <w:tab w:val="num" w:pos="1440"/>
        </w:tabs>
        <w:suppressAutoHyphens/>
        <w:ind w:left="0" w:firstLine="720"/>
        <w:rPr>
          <w:sz w:val="22"/>
          <w:szCs w:val="22"/>
        </w:rPr>
      </w:pPr>
      <w:r w:rsidRPr="003511DC">
        <w:rPr>
          <w:sz w:val="22"/>
          <w:szCs w:val="22"/>
        </w:rPr>
        <w:t>On Apr</w:t>
      </w:r>
      <w:r w:rsidRPr="00BF0859">
        <w:rPr>
          <w:sz w:val="22"/>
          <w:szCs w:val="22"/>
        </w:rPr>
        <w:t>il 8, 2013, the Commission timely adopted rules requiring that emergency information provided in video programming be made accessible to individuals who are blind or visually impaired.</w:t>
      </w:r>
      <w:r w:rsidRPr="008D556C">
        <w:rPr>
          <w:rStyle w:val="FootnoteReference"/>
          <w:sz w:val="22"/>
          <w:szCs w:val="22"/>
        </w:rPr>
        <w:footnoteReference w:id="433"/>
      </w:r>
      <w:r w:rsidRPr="008D556C">
        <w:rPr>
          <w:rFonts w:eastAsia="Lucida Grande"/>
          <w:sz w:val="22"/>
          <w:szCs w:val="22"/>
        </w:rPr>
        <w:t xml:space="preserve">  The new emergency information rules apply to video programming provid</w:t>
      </w:r>
      <w:r w:rsidRPr="003511DC">
        <w:rPr>
          <w:rFonts w:eastAsia="Lucida Grande"/>
          <w:sz w:val="22"/>
          <w:szCs w:val="22"/>
        </w:rPr>
        <w:t>ed by television broad</w:t>
      </w:r>
      <w:r w:rsidRPr="00BF0859">
        <w:rPr>
          <w:rFonts w:eastAsia="Lucida Grande"/>
          <w:sz w:val="22"/>
          <w:szCs w:val="22"/>
        </w:rPr>
        <w:t>cast stations and MVPDs that are subject to Section 79.2 of the Commission’s rules, and not to IP-delivered video programming.</w:t>
      </w:r>
      <w:r w:rsidRPr="008D556C">
        <w:rPr>
          <w:rStyle w:val="FootnoteReference"/>
          <w:rFonts w:eastAsia="Lucida Grande"/>
          <w:sz w:val="22"/>
          <w:szCs w:val="22"/>
        </w:rPr>
        <w:footnoteReference w:id="434"/>
      </w:r>
      <w:r w:rsidRPr="008D556C">
        <w:rPr>
          <w:rFonts w:eastAsia="Lucida Grande"/>
          <w:sz w:val="22"/>
          <w:szCs w:val="22"/>
        </w:rPr>
        <w:t xml:space="preserve">  The new rules require emergency information that appears visually during a non-news program, such as info</w:t>
      </w:r>
      <w:r w:rsidRPr="003511DC">
        <w:rPr>
          <w:rFonts w:eastAsia="Lucida Grande"/>
          <w:sz w:val="22"/>
          <w:szCs w:val="22"/>
        </w:rPr>
        <w:t>rmation about emergenc</w:t>
      </w:r>
      <w:r w:rsidRPr="00BF0859">
        <w:rPr>
          <w:rFonts w:eastAsia="Lucida Grande"/>
          <w:sz w:val="22"/>
          <w:szCs w:val="22"/>
        </w:rPr>
        <w:t>ies appearing in a text crawl on the screen during a regularly scheduled program, to be provided aurally on a secondary audio stream.</w:t>
      </w:r>
      <w:r w:rsidRPr="008D556C">
        <w:rPr>
          <w:rStyle w:val="FootnoteReference"/>
          <w:rFonts w:eastAsia="Lucida Grande"/>
          <w:sz w:val="22"/>
          <w:szCs w:val="22"/>
        </w:rPr>
        <w:footnoteReference w:id="435"/>
      </w:r>
      <w:r w:rsidRPr="008D556C">
        <w:rPr>
          <w:rFonts w:eastAsia="Lucida Grande"/>
          <w:sz w:val="22"/>
          <w:szCs w:val="22"/>
        </w:rPr>
        <w:t xml:space="preserve">  A verbatim aural translation of textual emergency information is not required,</w:t>
      </w:r>
      <w:r w:rsidRPr="008D556C">
        <w:rPr>
          <w:rStyle w:val="FootnoteReference"/>
          <w:rFonts w:eastAsia="Lucida Grande"/>
          <w:sz w:val="22"/>
          <w:szCs w:val="22"/>
        </w:rPr>
        <w:footnoteReference w:id="436"/>
      </w:r>
      <w:r w:rsidRPr="008D556C">
        <w:rPr>
          <w:rFonts w:eastAsia="Lucida Grande"/>
          <w:sz w:val="22"/>
          <w:szCs w:val="22"/>
        </w:rPr>
        <w:t xml:space="preserve"> but the use of tex</w:t>
      </w:r>
      <w:r w:rsidRPr="003511DC">
        <w:rPr>
          <w:rFonts w:eastAsia="Lucida Grande"/>
          <w:sz w:val="22"/>
          <w:szCs w:val="22"/>
        </w:rPr>
        <w:t>t-to-speech technologi</w:t>
      </w:r>
      <w:r w:rsidRPr="00BF0859">
        <w:rPr>
          <w:rFonts w:eastAsia="Lucida Grande"/>
          <w:sz w:val="22"/>
          <w:szCs w:val="22"/>
        </w:rPr>
        <w:t>es is permitted as a method for providing an aural rendition of emergency information.</w:t>
      </w:r>
      <w:r w:rsidRPr="008D556C">
        <w:rPr>
          <w:rStyle w:val="FootnoteReference"/>
          <w:rFonts w:eastAsia="Lucida Grande"/>
          <w:sz w:val="22"/>
          <w:szCs w:val="22"/>
        </w:rPr>
        <w:footnoteReference w:id="437"/>
      </w:r>
      <w:r w:rsidRPr="008D556C">
        <w:rPr>
          <w:rFonts w:eastAsia="Lucida Grande"/>
          <w:sz w:val="22"/>
          <w:szCs w:val="22"/>
        </w:rPr>
        <w:t xml:space="preserve">  Such emergency information must be accompanied by an aural tone </w:t>
      </w:r>
      <w:r w:rsidR="008A2052" w:rsidRPr="003511DC">
        <w:rPr>
          <w:rFonts w:eastAsia="Lucida Grande"/>
          <w:sz w:val="22"/>
          <w:szCs w:val="22"/>
        </w:rPr>
        <w:t xml:space="preserve">both </w:t>
      </w:r>
      <w:r w:rsidRPr="00BF0859">
        <w:rPr>
          <w:rFonts w:eastAsia="Lucida Grande"/>
          <w:sz w:val="22"/>
          <w:szCs w:val="22"/>
        </w:rPr>
        <w:t>on the main program audio to alert viewers that emergency information is ava</w:t>
      </w:r>
      <w:r w:rsidRPr="006C02D7">
        <w:rPr>
          <w:rFonts w:eastAsia="Lucida Grande"/>
          <w:sz w:val="22"/>
          <w:szCs w:val="22"/>
        </w:rPr>
        <w:t>ilable</w:t>
      </w:r>
      <w:r w:rsidR="008A2052" w:rsidRPr="006C02D7">
        <w:rPr>
          <w:rFonts w:eastAsia="Lucida Grande"/>
          <w:sz w:val="22"/>
          <w:szCs w:val="22"/>
        </w:rPr>
        <w:t>,</w:t>
      </w:r>
      <w:r w:rsidRPr="006C02D7">
        <w:rPr>
          <w:rFonts w:eastAsia="Lucida Grande"/>
          <w:sz w:val="22"/>
          <w:szCs w:val="22"/>
        </w:rPr>
        <w:t xml:space="preserve"> and on the secondary audio stream to differentiate the programming audio from emergency information audio.</w:t>
      </w:r>
      <w:r w:rsidRPr="008D556C">
        <w:rPr>
          <w:rStyle w:val="FootnoteReference"/>
          <w:rFonts w:eastAsia="Lucida Grande"/>
          <w:sz w:val="22"/>
          <w:szCs w:val="22"/>
        </w:rPr>
        <w:footnoteReference w:id="438"/>
      </w:r>
      <w:r w:rsidRPr="008D556C">
        <w:rPr>
          <w:rFonts w:eastAsia="Lucida Grande"/>
          <w:sz w:val="22"/>
          <w:szCs w:val="22"/>
        </w:rPr>
        <w:t xml:space="preserve">  Emergency information provided aurally on the secondary audio stream must supersede all other programming on the secondary audio stream,</w:t>
      </w:r>
      <w:r w:rsidRPr="008D556C">
        <w:rPr>
          <w:rStyle w:val="FootnoteReference"/>
          <w:rFonts w:eastAsia="Lucida Grande"/>
          <w:sz w:val="22"/>
          <w:szCs w:val="22"/>
        </w:rPr>
        <w:footnoteReference w:id="439"/>
      </w:r>
      <w:r w:rsidRPr="008D556C">
        <w:rPr>
          <w:rFonts w:eastAsia="Lucida Grande"/>
          <w:sz w:val="22"/>
          <w:szCs w:val="22"/>
        </w:rPr>
        <w:t xml:space="preserve"> a</w:t>
      </w:r>
      <w:r w:rsidRPr="003511DC">
        <w:rPr>
          <w:rFonts w:eastAsia="Lucida Grande"/>
          <w:sz w:val="22"/>
          <w:szCs w:val="22"/>
        </w:rPr>
        <w:t>nd must be conveyed at</w:t>
      </w:r>
      <w:r w:rsidRPr="00BF0859">
        <w:rPr>
          <w:rFonts w:eastAsia="Lucida Grande"/>
          <w:sz w:val="22"/>
          <w:szCs w:val="22"/>
        </w:rPr>
        <w:t xml:space="preserve"> least twice in full to ensure that consumers are able to hear all of the information after they switch from the main program audio to the secondary audio stream.</w:t>
      </w:r>
      <w:r w:rsidRPr="008D556C">
        <w:rPr>
          <w:rStyle w:val="FootnoteReference"/>
          <w:rFonts w:eastAsia="Lucida Grande"/>
          <w:sz w:val="22"/>
          <w:szCs w:val="22"/>
        </w:rPr>
        <w:footnoteReference w:id="440"/>
      </w:r>
    </w:p>
    <w:p w:rsidR="004453B7" w:rsidRPr="003511DC" w:rsidRDefault="004453B7" w:rsidP="00476E6F">
      <w:pPr>
        <w:suppressLineNumbers/>
        <w:suppressAutoHyphens/>
        <w:ind w:left="720"/>
        <w:rPr>
          <w:sz w:val="22"/>
          <w:szCs w:val="22"/>
        </w:rPr>
      </w:pPr>
    </w:p>
    <w:p w:rsidR="004453B7" w:rsidRPr="003511DC" w:rsidRDefault="004453B7" w:rsidP="00476E6F">
      <w:pPr>
        <w:numPr>
          <w:ilvl w:val="0"/>
          <w:numId w:val="2"/>
        </w:numPr>
        <w:suppressLineNumbers/>
        <w:tabs>
          <w:tab w:val="clear" w:pos="720"/>
          <w:tab w:val="num" w:pos="1440"/>
        </w:tabs>
        <w:suppressAutoHyphens/>
        <w:ind w:left="0" w:firstLine="720"/>
        <w:rPr>
          <w:sz w:val="22"/>
          <w:szCs w:val="22"/>
        </w:rPr>
      </w:pPr>
      <w:r w:rsidRPr="00BF0859">
        <w:rPr>
          <w:rFonts w:eastAsia="Lucida Grande"/>
          <w:sz w:val="22"/>
          <w:szCs w:val="22"/>
        </w:rPr>
        <w:t>Compliance with these new accessible emergency information rules is r</w:t>
      </w:r>
      <w:r w:rsidRPr="00FF1FD9">
        <w:rPr>
          <w:rFonts w:eastAsia="Lucida Grande"/>
          <w:sz w:val="22"/>
          <w:szCs w:val="22"/>
        </w:rPr>
        <w:t>equired by May 26, 2015,</w:t>
      </w:r>
      <w:r w:rsidRPr="008D556C">
        <w:rPr>
          <w:rStyle w:val="FootnoteReference"/>
          <w:rFonts w:eastAsia="Lucida Grande"/>
          <w:sz w:val="22"/>
          <w:szCs w:val="22"/>
        </w:rPr>
        <w:footnoteReference w:id="441"/>
      </w:r>
      <w:r w:rsidRPr="008D556C">
        <w:rPr>
          <w:rFonts w:eastAsia="Lucida Grande"/>
          <w:sz w:val="22"/>
          <w:szCs w:val="22"/>
        </w:rPr>
        <w:t xml:space="preserve"> with the following exceptions:  (1) The Weather Channel has a waiver for an additional six months beyond the general compliance deadline;</w:t>
      </w:r>
      <w:r w:rsidRPr="008D556C">
        <w:rPr>
          <w:rStyle w:val="FootnoteReference"/>
          <w:rFonts w:eastAsia="Lucida Grande"/>
          <w:sz w:val="22"/>
          <w:szCs w:val="22"/>
        </w:rPr>
        <w:footnoteReference w:id="442"/>
      </w:r>
      <w:r w:rsidRPr="008D556C">
        <w:rPr>
          <w:rFonts w:eastAsia="Lucida Grande"/>
          <w:sz w:val="22"/>
          <w:szCs w:val="22"/>
        </w:rPr>
        <w:t xml:space="preserve"> and (2) DIRECTV has a waiver for an additional 12 months beyond the general compliance deadline when local emergency information is provided visually during The Weather </w:t>
      </w:r>
      <w:r w:rsidR="008A2052" w:rsidRPr="003511DC">
        <w:rPr>
          <w:rFonts w:eastAsia="Lucida Grande"/>
          <w:sz w:val="22"/>
          <w:szCs w:val="22"/>
        </w:rPr>
        <w:t>C</w:t>
      </w:r>
      <w:r w:rsidRPr="00BF0859">
        <w:rPr>
          <w:rFonts w:eastAsia="Lucida Grande"/>
          <w:sz w:val="22"/>
          <w:szCs w:val="22"/>
        </w:rPr>
        <w:t>hannel’s programming on DIRECTV systems, and a waiver of the requirements to provide aural emergency information on a secondary audio channel</w:t>
      </w:r>
      <w:r w:rsidR="008A2052" w:rsidRPr="006C02D7">
        <w:rPr>
          <w:rFonts w:eastAsia="Lucida Grande"/>
          <w:sz w:val="22"/>
          <w:szCs w:val="22"/>
        </w:rPr>
        <w:t>,</w:t>
      </w:r>
      <w:r w:rsidRPr="006C02D7">
        <w:rPr>
          <w:rFonts w:eastAsia="Lucida Grande"/>
          <w:sz w:val="22"/>
          <w:szCs w:val="22"/>
        </w:rPr>
        <w:t xml:space="preserve"> to provide all of the critical details of an emergency</w:t>
      </w:r>
      <w:r w:rsidR="008A2052" w:rsidRPr="009C79E5">
        <w:rPr>
          <w:rFonts w:eastAsia="Lucida Grande"/>
          <w:sz w:val="22"/>
          <w:szCs w:val="22"/>
        </w:rPr>
        <w:t>, and to provide audio functionality on all set-top boxes</w:t>
      </w:r>
      <w:r w:rsidRPr="009C79E5">
        <w:rPr>
          <w:rFonts w:eastAsia="Lucida Grande"/>
          <w:sz w:val="22"/>
          <w:szCs w:val="22"/>
        </w:rPr>
        <w:t>.</w:t>
      </w:r>
      <w:r w:rsidRPr="008D556C">
        <w:rPr>
          <w:rStyle w:val="FootnoteReference"/>
          <w:rFonts w:eastAsia="Lucida Grande"/>
          <w:sz w:val="22"/>
          <w:szCs w:val="22"/>
        </w:rPr>
        <w:footnoteReference w:id="443"/>
      </w:r>
      <w:r w:rsidRPr="008D556C">
        <w:rPr>
          <w:rFonts w:eastAsia="Lucida Grande"/>
          <w:sz w:val="22"/>
          <w:szCs w:val="22"/>
        </w:rPr>
        <w:t xml:space="preserve">  Instead, the aural version of the emergency information that DIRECTV provides must capture the nature of the emergency to viewers whose set-top boxes are associated with zip c</w:t>
      </w:r>
      <w:r w:rsidRPr="003511DC">
        <w:rPr>
          <w:rFonts w:eastAsia="Lucida Grande"/>
          <w:sz w:val="22"/>
          <w:szCs w:val="22"/>
        </w:rPr>
        <w:t>odes in the affected a</w:t>
      </w:r>
      <w:r w:rsidRPr="00BF0859">
        <w:rPr>
          <w:rFonts w:eastAsia="Lucida Grande"/>
          <w:sz w:val="22"/>
          <w:szCs w:val="22"/>
        </w:rPr>
        <w:t>rea.</w:t>
      </w:r>
      <w:r w:rsidRPr="008D556C">
        <w:rPr>
          <w:rStyle w:val="FootnoteReference"/>
          <w:rFonts w:eastAsia="Lucida Grande"/>
          <w:sz w:val="22"/>
          <w:szCs w:val="22"/>
        </w:rPr>
        <w:footnoteReference w:id="444"/>
      </w:r>
      <w:r w:rsidRPr="008D556C">
        <w:rPr>
          <w:rFonts w:eastAsia="Lucida Grande"/>
          <w:sz w:val="22"/>
          <w:szCs w:val="22"/>
        </w:rPr>
        <w:t xml:space="preserve">  </w:t>
      </w:r>
    </w:p>
    <w:p w:rsidR="004453B7" w:rsidRPr="00BF0859" w:rsidRDefault="004453B7" w:rsidP="00476E6F">
      <w:pPr>
        <w:suppressLineNumbers/>
        <w:suppressAutoHyphens/>
        <w:ind w:left="720"/>
        <w:rPr>
          <w:sz w:val="22"/>
          <w:szCs w:val="22"/>
        </w:rPr>
      </w:pPr>
    </w:p>
    <w:p w:rsidR="004453B7" w:rsidRPr="008D556C" w:rsidRDefault="004453B7" w:rsidP="00476E6F">
      <w:pPr>
        <w:numPr>
          <w:ilvl w:val="0"/>
          <w:numId w:val="2"/>
        </w:numPr>
        <w:suppressLineNumbers/>
        <w:tabs>
          <w:tab w:val="clear" w:pos="720"/>
          <w:tab w:val="num" w:pos="1440"/>
        </w:tabs>
        <w:suppressAutoHyphens/>
        <w:ind w:left="0" w:firstLine="720"/>
        <w:rPr>
          <w:sz w:val="22"/>
          <w:szCs w:val="22"/>
        </w:rPr>
      </w:pPr>
      <w:r w:rsidRPr="006C02D7">
        <w:rPr>
          <w:rFonts w:eastAsia="Lucida Grande"/>
          <w:sz w:val="22"/>
          <w:szCs w:val="22"/>
        </w:rPr>
        <w:t>The Commission accompanied its report and order adopting rules on accessible emergency information with a further</w:t>
      </w:r>
      <w:r w:rsidR="008A2052" w:rsidRPr="009C79E5">
        <w:rPr>
          <w:rFonts w:eastAsia="Lucida Grande"/>
          <w:sz w:val="22"/>
          <w:szCs w:val="22"/>
        </w:rPr>
        <w:t xml:space="preserve"> notice of proposed rulemaking </w:t>
      </w:r>
      <w:r w:rsidRPr="009C79E5">
        <w:rPr>
          <w:rFonts w:eastAsia="Lucida Grande"/>
          <w:sz w:val="22"/>
          <w:szCs w:val="22"/>
        </w:rPr>
        <w:t>that sought additional comment on the following issues:  (1) whether the new rules should apply to an MVPD that permits its subscribers to access linear video programming that contains emergency information</w:t>
      </w:r>
      <w:r w:rsidR="008A2052" w:rsidRPr="009C79E5">
        <w:rPr>
          <w:rFonts w:eastAsia="Lucida Grande"/>
          <w:sz w:val="22"/>
          <w:szCs w:val="22"/>
        </w:rPr>
        <w:t xml:space="preserve"> on tablets, laptops, personal computers, smartphones, or similar devices</w:t>
      </w:r>
      <w:r w:rsidRPr="009C79E5">
        <w:rPr>
          <w:rFonts w:eastAsia="Lucida Grande"/>
          <w:sz w:val="22"/>
          <w:szCs w:val="22"/>
        </w:rPr>
        <w:t>; and (2) whether the FCC should require companies covered by the new rules to provide contact information and customer support services to help consumers who are blind or visually impaired navigate between the main and secondary audio streams.</w:t>
      </w:r>
      <w:r w:rsidRPr="008D556C">
        <w:rPr>
          <w:rStyle w:val="FootnoteReference"/>
          <w:rFonts w:eastAsia="Lucida Grande"/>
          <w:sz w:val="22"/>
          <w:szCs w:val="22"/>
        </w:rPr>
        <w:footnoteReference w:id="445"/>
      </w:r>
    </w:p>
    <w:p w:rsidR="004453B7" w:rsidRPr="003511DC" w:rsidRDefault="004453B7" w:rsidP="00476E6F">
      <w:pPr>
        <w:suppressLineNumbers/>
        <w:suppressAutoHyphens/>
        <w:ind w:left="720"/>
        <w:rPr>
          <w:sz w:val="22"/>
          <w:szCs w:val="22"/>
        </w:rPr>
      </w:pPr>
    </w:p>
    <w:p w:rsidR="004453B7" w:rsidRPr="008D556C" w:rsidRDefault="004453B7" w:rsidP="00476E6F">
      <w:pPr>
        <w:numPr>
          <w:ilvl w:val="0"/>
          <w:numId w:val="2"/>
        </w:numPr>
        <w:suppressLineNumbers/>
        <w:tabs>
          <w:tab w:val="clear" w:pos="720"/>
          <w:tab w:val="num" w:pos="1440"/>
        </w:tabs>
        <w:suppressAutoHyphens/>
        <w:ind w:left="0" w:firstLine="720"/>
        <w:rPr>
          <w:sz w:val="22"/>
          <w:szCs w:val="22"/>
        </w:rPr>
      </w:pPr>
      <w:r w:rsidRPr="00BF0859">
        <w:rPr>
          <w:i/>
          <w:sz w:val="22"/>
          <w:szCs w:val="22"/>
        </w:rPr>
        <w:t>Closed Captioning on Video Programming Delivered Using Internet Pro</w:t>
      </w:r>
      <w:r w:rsidRPr="00FF1FD9">
        <w:rPr>
          <w:i/>
          <w:sz w:val="22"/>
          <w:szCs w:val="22"/>
        </w:rPr>
        <w:t>tocol</w:t>
      </w:r>
      <w:r w:rsidRPr="006C02D7">
        <w:rPr>
          <w:sz w:val="22"/>
          <w:szCs w:val="22"/>
        </w:rPr>
        <w:t>.  Section 202(b) of the CVAA amends Section 713(c) of the Act to require the Commission to complete a proceeding, not later than six months after the first VPAAC report is submitted to the Commission, or by January 13, 2012, requiring the provision o</w:t>
      </w:r>
      <w:r w:rsidRPr="009C79E5">
        <w:rPr>
          <w:sz w:val="22"/>
          <w:szCs w:val="22"/>
        </w:rPr>
        <w:t>f closed captioning on video programming delivered using Internet protocol (IP).</w:t>
      </w:r>
      <w:r w:rsidRPr="008D556C">
        <w:rPr>
          <w:rStyle w:val="FootnoteReference"/>
          <w:sz w:val="22"/>
          <w:szCs w:val="22"/>
        </w:rPr>
        <w:footnoteReference w:id="446"/>
      </w:r>
      <w:r w:rsidRPr="008D556C">
        <w:rPr>
          <w:sz w:val="22"/>
          <w:szCs w:val="22"/>
        </w:rPr>
        <w:t xml:space="preserve">  </w:t>
      </w:r>
    </w:p>
    <w:p w:rsidR="004453B7" w:rsidRPr="003511DC" w:rsidRDefault="004453B7" w:rsidP="00476E6F">
      <w:pPr>
        <w:suppressLineNumbers/>
        <w:suppressAutoHyphens/>
        <w:ind w:left="720"/>
        <w:rPr>
          <w:sz w:val="22"/>
          <w:szCs w:val="22"/>
        </w:rPr>
      </w:pPr>
    </w:p>
    <w:p w:rsidR="004453B7" w:rsidRPr="008D556C" w:rsidRDefault="004453B7" w:rsidP="00476E6F">
      <w:pPr>
        <w:numPr>
          <w:ilvl w:val="0"/>
          <w:numId w:val="2"/>
        </w:numPr>
        <w:suppressLineNumbers/>
        <w:tabs>
          <w:tab w:val="clear" w:pos="720"/>
          <w:tab w:val="num" w:pos="1440"/>
        </w:tabs>
        <w:suppressAutoHyphens/>
        <w:ind w:left="0" w:firstLine="720"/>
        <w:rPr>
          <w:sz w:val="22"/>
          <w:szCs w:val="22"/>
        </w:rPr>
      </w:pPr>
      <w:r w:rsidRPr="00BF0859">
        <w:rPr>
          <w:sz w:val="22"/>
          <w:szCs w:val="22"/>
        </w:rPr>
        <w:t>On January 12, 2012, the Commission adopted rules governing the closed captioning requirements for the owners, providers, and distributors of video programming delivered u</w:t>
      </w:r>
      <w:r w:rsidRPr="006C02D7">
        <w:rPr>
          <w:sz w:val="22"/>
          <w:szCs w:val="22"/>
        </w:rPr>
        <w:t>sing IP.</w:t>
      </w:r>
      <w:r w:rsidRPr="008D556C">
        <w:rPr>
          <w:rStyle w:val="FootnoteReference"/>
          <w:sz w:val="22"/>
          <w:szCs w:val="22"/>
        </w:rPr>
        <w:footnoteReference w:id="447"/>
      </w:r>
      <w:r w:rsidRPr="008D556C">
        <w:rPr>
          <w:sz w:val="22"/>
          <w:szCs w:val="22"/>
        </w:rPr>
        <w:t xml:space="preserve">  The rules e</w:t>
      </w:r>
      <w:r w:rsidRPr="003511DC">
        <w:rPr>
          <w:sz w:val="22"/>
          <w:szCs w:val="22"/>
        </w:rPr>
        <w:t>stablished an implementation schedule with three deadlines for video programming that a distributor shows for the first time using IP (</w:t>
      </w:r>
      <w:r w:rsidRPr="00BF0859">
        <w:rPr>
          <w:i/>
          <w:sz w:val="22"/>
          <w:szCs w:val="22"/>
        </w:rPr>
        <w:t>i.e</w:t>
      </w:r>
      <w:r w:rsidRPr="00FF1FD9">
        <w:rPr>
          <w:sz w:val="22"/>
          <w:szCs w:val="22"/>
        </w:rPr>
        <w:t>., video programming newly added to the distributor’s</w:t>
      </w:r>
      <w:r w:rsidR="008A2052" w:rsidRPr="006C02D7">
        <w:rPr>
          <w:sz w:val="22"/>
          <w:szCs w:val="22"/>
        </w:rPr>
        <w:t xml:space="preserve"> online library</w:t>
      </w:r>
      <w:r w:rsidRPr="009C79E5">
        <w:rPr>
          <w:sz w:val="22"/>
          <w:szCs w:val="22"/>
        </w:rPr>
        <w:t xml:space="preserve">): September </w:t>
      </w:r>
      <w:r w:rsidR="008A2052" w:rsidRPr="009C79E5">
        <w:rPr>
          <w:sz w:val="22"/>
          <w:szCs w:val="22"/>
        </w:rPr>
        <w:t xml:space="preserve">30, </w:t>
      </w:r>
      <w:r w:rsidRPr="009C79E5">
        <w:rPr>
          <w:sz w:val="22"/>
          <w:szCs w:val="22"/>
        </w:rPr>
        <w:t xml:space="preserve">2012 for pre-recorded programming that is not edited for </w:t>
      </w:r>
      <w:r w:rsidR="008A2052" w:rsidRPr="009C79E5">
        <w:rPr>
          <w:sz w:val="22"/>
          <w:szCs w:val="22"/>
        </w:rPr>
        <w:t>Internet distribution</w:t>
      </w:r>
      <w:r w:rsidRPr="009C79E5">
        <w:rPr>
          <w:sz w:val="22"/>
          <w:szCs w:val="22"/>
        </w:rPr>
        <w:t>; March 30, 2013 for live and near-live programming; and September 30, 2013 for pre-recorded programming that is substantially edited for Internet</w:t>
      </w:r>
      <w:r w:rsidR="008A2052" w:rsidRPr="009C79E5">
        <w:rPr>
          <w:sz w:val="22"/>
          <w:szCs w:val="22"/>
        </w:rPr>
        <w:t xml:space="preserve"> distribution</w:t>
      </w:r>
      <w:r w:rsidRPr="009C79E5">
        <w:rPr>
          <w:sz w:val="22"/>
          <w:szCs w:val="22"/>
        </w:rPr>
        <w:t>.</w:t>
      </w:r>
      <w:r w:rsidRPr="008D556C">
        <w:rPr>
          <w:rStyle w:val="FootnoteReference"/>
          <w:sz w:val="22"/>
          <w:szCs w:val="22"/>
        </w:rPr>
        <w:footnoteReference w:id="448"/>
      </w:r>
      <w:r w:rsidRPr="008D556C">
        <w:rPr>
          <w:sz w:val="22"/>
          <w:szCs w:val="22"/>
        </w:rPr>
        <w:t xml:space="preserve">  Separate deadlines apply t</w:t>
      </w:r>
      <w:r w:rsidRPr="003511DC">
        <w:rPr>
          <w:sz w:val="22"/>
          <w:szCs w:val="22"/>
        </w:rPr>
        <w:t xml:space="preserve">o video programming that is already in a distributor’s </w:t>
      </w:r>
      <w:r w:rsidR="008A2052" w:rsidRPr="003511DC">
        <w:rPr>
          <w:sz w:val="22"/>
          <w:szCs w:val="22"/>
        </w:rPr>
        <w:t>online library before it is shown on television with captions</w:t>
      </w:r>
      <w:r w:rsidRPr="00BF0859">
        <w:rPr>
          <w:sz w:val="22"/>
          <w:szCs w:val="22"/>
        </w:rPr>
        <w:t xml:space="preserve">.  Specifically, the distributor must add captions within 45 days after the video programming is shown on television with captions </w:t>
      </w:r>
      <w:r w:rsidRPr="009C79E5">
        <w:rPr>
          <w:rStyle w:val="Strong1"/>
          <w:rFonts w:ascii="Times New Roman" w:hAnsi="Times New Roman"/>
          <w:b w:val="0"/>
          <w:color w:val="auto"/>
          <w:sz w:val="22"/>
          <w:szCs w:val="22"/>
        </w:rPr>
        <w:t>on or after March 30, 2014;</w:t>
      </w:r>
      <w:r w:rsidRPr="009C79E5">
        <w:rPr>
          <w:rStyle w:val="Strong1"/>
          <w:rFonts w:ascii="Times New Roman" w:hAnsi="Times New Roman"/>
          <w:color w:val="auto"/>
          <w:sz w:val="22"/>
          <w:szCs w:val="22"/>
        </w:rPr>
        <w:t xml:space="preserve"> </w:t>
      </w:r>
      <w:r w:rsidRPr="008D556C">
        <w:rPr>
          <w:sz w:val="22"/>
          <w:szCs w:val="22"/>
        </w:rPr>
        <w:t xml:space="preserve">the distributor must add captions within 30 days after the video programming is shown on television with captions </w:t>
      </w:r>
      <w:r w:rsidRPr="009C79E5">
        <w:rPr>
          <w:rStyle w:val="Strong1"/>
          <w:rFonts w:ascii="Times New Roman" w:hAnsi="Times New Roman"/>
          <w:b w:val="0"/>
          <w:color w:val="auto"/>
          <w:sz w:val="22"/>
          <w:szCs w:val="22"/>
        </w:rPr>
        <w:t>on or after March 30, 2015; and</w:t>
      </w:r>
      <w:r w:rsidRPr="009C79E5">
        <w:rPr>
          <w:rStyle w:val="Strong1"/>
          <w:rFonts w:ascii="Times New Roman" w:hAnsi="Times New Roman"/>
          <w:color w:val="auto"/>
          <w:sz w:val="22"/>
          <w:szCs w:val="22"/>
        </w:rPr>
        <w:t xml:space="preserve"> </w:t>
      </w:r>
      <w:r w:rsidRPr="008D556C">
        <w:rPr>
          <w:sz w:val="22"/>
          <w:szCs w:val="22"/>
        </w:rPr>
        <w:t>the distributor must add captions within 15 days after the video programming is shown on te</w:t>
      </w:r>
      <w:r w:rsidRPr="003511DC">
        <w:rPr>
          <w:sz w:val="22"/>
          <w:szCs w:val="22"/>
        </w:rPr>
        <w:t xml:space="preserve">levision with captions </w:t>
      </w:r>
      <w:r w:rsidRPr="009C79E5">
        <w:rPr>
          <w:rStyle w:val="Strong1"/>
          <w:rFonts w:ascii="Times New Roman" w:hAnsi="Times New Roman"/>
          <w:b w:val="0"/>
          <w:color w:val="auto"/>
          <w:sz w:val="22"/>
          <w:szCs w:val="22"/>
        </w:rPr>
        <w:t>on or after March 30, 2016.</w:t>
      </w:r>
      <w:r w:rsidRPr="008D556C">
        <w:rPr>
          <w:rStyle w:val="FootnoteReference"/>
          <w:sz w:val="22"/>
          <w:szCs w:val="22"/>
        </w:rPr>
        <w:footnoteReference w:id="449"/>
      </w:r>
      <w:r w:rsidRPr="009C79E5">
        <w:rPr>
          <w:rStyle w:val="Strong1"/>
          <w:rFonts w:ascii="Times New Roman" w:hAnsi="Times New Roman"/>
          <w:color w:val="auto"/>
          <w:sz w:val="22"/>
          <w:szCs w:val="22"/>
        </w:rPr>
        <w:t xml:space="preserve">  </w:t>
      </w:r>
      <w:r w:rsidRPr="009C79E5">
        <w:rPr>
          <w:rStyle w:val="Strong1"/>
          <w:rFonts w:ascii="Times New Roman" w:hAnsi="Times New Roman"/>
          <w:b w:val="0"/>
          <w:color w:val="auto"/>
          <w:sz w:val="22"/>
          <w:szCs w:val="22"/>
        </w:rPr>
        <w:t>All deadlines apply only to</w:t>
      </w:r>
      <w:r w:rsidRPr="009C79E5">
        <w:rPr>
          <w:rStyle w:val="Strong1"/>
          <w:rFonts w:ascii="Times New Roman" w:hAnsi="Times New Roman"/>
          <w:color w:val="auto"/>
          <w:sz w:val="22"/>
          <w:szCs w:val="22"/>
        </w:rPr>
        <w:t xml:space="preserve"> </w:t>
      </w:r>
      <w:r w:rsidRPr="008D556C">
        <w:rPr>
          <w:sz w:val="22"/>
          <w:szCs w:val="22"/>
        </w:rPr>
        <w:t>video programming that was published or exhibited on television with captions after the effective date of the Commission’s IP closed captioning regulations.</w:t>
      </w:r>
      <w:r w:rsidRPr="008D556C">
        <w:rPr>
          <w:rStyle w:val="FootnoteReference"/>
          <w:sz w:val="22"/>
          <w:szCs w:val="22"/>
        </w:rPr>
        <w:footnoteReference w:id="450"/>
      </w:r>
      <w:r w:rsidRPr="008D556C">
        <w:rPr>
          <w:sz w:val="22"/>
          <w:szCs w:val="22"/>
        </w:rPr>
        <w:t xml:space="preserve">  Finally, </w:t>
      </w:r>
      <w:r w:rsidRPr="009C79E5">
        <w:rPr>
          <w:rStyle w:val="Strong1"/>
          <w:rFonts w:ascii="Times New Roman" w:hAnsi="Times New Roman"/>
          <w:b w:val="0"/>
          <w:color w:val="auto"/>
          <w:sz w:val="22"/>
          <w:szCs w:val="22"/>
        </w:rPr>
        <w:t>t</w:t>
      </w:r>
      <w:r w:rsidRPr="008D556C">
        <w:rPr>
          <w:sz w:val="22"/>
          <w:szCs w:val="22"/>
        </w:rPr>
        <w:t xml:space="preserve">he IP </w:t>
      </w:r>
      <w:r w:rsidRPr="003511DC">
        <w:rPr>
          <w:sz w:val="22"/>
          <w:szCs w:val="22"/>
        </w:rPr>
        <w:t>closed captioning rules establish a mechanism for petitioning the Commission for a full or partial exemption from the IP closed captioning requirements based on economic burden</w:t>
      </w:r>
      <w:r w:rsidR="008A2052" w:rsidRPr="00BF0859">
        <w:rPr>
          <w:sz w:val="22"/>
          <w:szCs w:val="22"/>
        </w:rPr>
        <w:t>,</w:t>
      </w:r>
      <w:r w:rsidRPr="00FF1FD9">
        <w:rPr>
          <w:sz w:val="22"/>
          <w:szCs w:val="22"/>
        </w:rPr>
        <w:t xml:space="preserve"> and establish procedures for the filing and resolution of written complaints.</w:t>
      </w:r>
      <w:r w:rsidRPr="008D556C">
        <w:rPr>
          <w:rStyle w:val="FootnoteReference"/>
          <w:sz w:val="22"/>
          <w:szCs w:val="22"/>
        </w:rPr>
        <w:footnoteReference w:id="451"/>
      </w:r>
    </w:p>
    <w:p w:rsidR="004453B7" w:rsidRPr="003511DC" w:rsidRDefault="004453B7" w:rsidP="00476E6F">
      <w:pPr>
        <w:suppressLineNumbers/>
        <w:suppressAutoHyphens/>
        <w:ind w:left="720"/>
        <w:rPr>
          <w:sz w:val="22"/>
          <w:szCs w:val="22"/>
        </w:rPr>
      </w:pPr>
    </w:p>
    <w:p w:rsidR="004453B7" w:rsidRPr="008D556C" w:rsidRDefault="0077057E" w:rsidP="00476E6F">
      <w:pPr>
        <w:numPr>
          <w:ilvl w:val="0"/>
          <w:numId w:val="2"/>
        </w:numPr>
        <w:suppressLineNumbers/>
        <w:tabs>
          <w:tab w:val="clear" w:pos="720"/>
          <w:tab w:val="num" w:pos="1440"/>
        </w:tabs>
        <w:suppressAutoHyphens/>
        <w:ind w:left="0" w:firstLine="720"/>
        <w:rPr>
          <w:sz w:val="22"/>
          <w:szCs w:val="22"/>
        </w:rPr>
      </w:pPr>
      <w:r w:rsidRPr="00BF0859">
        <w:rPr>
          <w:sz w:val="22"/>
          <w:szCs w:val="22"/>
        </w:rPr>
        <w:t xml:space="preserve">Since the </w:t>
      </w:r>
      <w:r w:rsidRPr="00FF1FD9">
        <w:rPr>
          <w:i/>
          <w:sz w:val="22"/>
          <w:szCs w:val="22"/>
        </w:rPr>
        <w:t>2012 CVAA Biennial Report</w:t>
      </w:r>
      <w:r w:rsidRPr="006C02D7">
        <w:rPr>
          <w:sz w:val="22"/>
          <w:szCs w:val="22"/>
        </w:rPr>
        <w:t xml:space="preserve">, the Commission also has concluded that video clips must be closed captioned to be in compliance with the CVAA.  The </w:t>
      </w:r>
      <w:r w:rsidRPr="009C79E5">
        <w:rPr>
          <w:i/>
          <w:sz w:val="22"/>
          <w:szCs w:val="22"/>
        </w:rPr>
        <w:t>IP Closed Captioning Order</w:t>
      </w:r>
      <w:r w:rsidRPr="009C79E5">
        <w:rPr>
          <w:sz w:val="22"/>
          <w:szCs w:val="22"/>
        </w:rPr>
        <w:t xml:space="preserve"> had applied </w:t>
      </w:r>
      <w:r w:rsidR="004453B7" w:rsidRPr="009C79E5">
        <w:rPr>
          <w:sz w:val="22"/>
          <w:szCs w:val="22"/>
        </w:rPr>
        <w:t>only to full-length programming (video programming that appears on television and is distributed to end users, substantially in its entirety, via IP); it did not apply to video clips (excerpts of full-length video programming).</w:t>
      </w:r>
      <w:r w:rsidR="004453B7" w:rsidRPr="008D556C">
        <w:rPr>
          <w:rStyle w:val="FootnoteReference"/>
          <w:sz w:val="22"/>
          <w:szCs w:val="22"/>
        </w:rPr>
        <w:footnoteReference w:id="452"/>
      </w:r>
      <w:r w:rsidR="004453B7" w:rsidRPr="008D556C">
        <w:rPr>
          <w:sz w:val="22"/>
          <w:szCs w:val="22"/>
        </w:rPr>
        <w:t xml:space="preserve">  On April 27, 2012, the Commission received a petition for reconsideration that urged it </w:t>
      </w:r>
      <w:r w:rsidR="004453B7" w:rsidRPr="003511DC">
        <w:rPr>
          <w:sz w:val="22"/>
          <w:szCs w:val="22"/>
        </w:rPr>
        <w:t>to require IP-delivere</w:t>
      </w:r>
      <w:r w:rsidR="004453B7" w:rsidRPr="00BF0859">
        <w:rPr>
          <w:sz w:val="22"/>
          <w:szCs w:val="22"/>
        </w:rPr>
        <w:t>d video clips to be captioned.</w:t>
      </w:r>
      <w:r w:rsidR="004453B7" w:rsidRPr="008D556C">
        <w:rPr>
          <w:rStyle w:val="FootnoteReference"/>
          <w:sz w:val="22"/>
          <w:szCs w:val="22"/>
        </w:rPr>
        <w:footnoteReference w:id="453"/>
      </w:r>
      <w:r w:rsidR="004453B7" w:rsidRPr="008D556C">
        <w:rPr>
          <w:sz w:val="22"/>
          <w:szCs w:val="22"/>
        </w:rPr>
        <w:t xml:space="preserve">  In particular, consumers expressed concern about the availability of captioned news clips, which tend to be live or near-live.</w:t>
      </w:r>
      <w:r w:rsidR="004453B7" w:rsidRPr="008D556C">
        <w:rPr>
          <w:rStyle w:val="FootnoteReference"/>
          <w:sz w:val="22"/>
          <w:szCs w:val="22"/>
        </w:rPr>
        <w:footnoteReference w:id="454"/>
      </w:r>
      <w:r w:rsidR="004453B7" w:rsidRPr="008D556C">
        <w:rPr>
          <w:sz w:val="22"/>
          <w:szCs w:val="22"/>
        </w:rPr>
        <w:t xml:space="preserve">  Because full-length live and near-live programming had become subject to</w:t>
      </w:r>
      <w:r w:rsidR="004453B7" w:rsidRPr="003511DC">
        <w:rPr>
          <w:sz w:val="22"/>
          <w:szCs w:val="22"/>
        </w:rPr>
        <w:t xml:space="preserve"> the IP closed caption</w:t>
      </w:r>
      <w:r w:rsidR="004453B7" w:rsidRPr="00BF0859">
        <w:rPr>
          <w:sz w:val="22"/>
          <w:szCs w:val="22"/>
        </w:rPr>
        <w:t>ing requirements only about a month before the petition was filed, in a June 2013 order, the Commission deferred action on the petition, noting its expectation that captioning of such video clips would increase.</w:t>
      </w:r>
      <w:r w:rsidR="004453B7" w:rsidRPr="008D556C">
        <w:rPr>
          <w:rStyle w:val="FootnoteReference"/>
          <w:sz w:val="22"/>
          <w:szCs w:val="22"/>
        </w:rPr>
        <w:footnoteReference w:id="455"/>
      </w:r>
      <w:r w:rsidR="004453B7" w:rsidRPr="008D556C">
        <w:rPr>
          <w:sz w:val="22"/>
          <w:szCs w:val="22"/>
        </w:rPr>
        <w:t xml:space="preserve">  Nonetheless, the Com</w:t>
      </w:r>
      <w:r w:rsidR="004453B7" w:rsidRPr="003511DC">
        <w:rPr>
          <w:sz w:val="22"/>
          <w:szCs w:val="22"/>
        </w:rPr>
        <w:t>mission directed the M</w:t>
      </w:r>
      <w:r w:rsidR="004453B7" w:rsidRPr="00BF0859">
        <w:rPr>
          <w:sz w:val="22"/>
          <w:szCs w:val="22"/>
        </w:rPr>
        <w:t>edia Bureau to seek updated information on the availability of captioned video clips within six months,</w:t>
      </w:r>
      <w:r w:rsidR="004453B7" w:rsidRPr="008D556C">
        <w:rPr>
          <w:rStyle w:val="FootnoteReference"/>
          <w:sz w:val="22"/>
          <w:szCs w:val="22"/>
        </w:rPr>
        <w:footnoteReference w:id="456"/>
      </w:r>
      <w:r w:rsidR="004453B7" w:rsidRPr="008D556C">
        <w:rPr>
          <w:sz w:val="22"/>
          <w:szCs w:val="22"/>
        </w:rPr>
        <w:t xml:space="preserve"> which the Media Bureau did on December 13, 2013.</w:t>
      </w:r>
      <w:r w:rsidR="004453B7" w:rsidRPr="008D556C">
        <w:rPr>
          <w:rStyle w:val="FootnoteReference"/>
          <w:sz w:val="22"/>
          <w:szCs w:val="22"/>
        </w:rPr>
        <w:footnoteReference w:id="457"/>
      </w:r>
      <w:r w:rsidR="004453B7" w:rsidRPr="008D556C">
        <w:rPr>
          <w:sz w:val="22"/>
          <w:szCs w:val="22"/>
        </w:rPr>
        <w:t xml:space="preserve">  </w:t>
      </w:r>
    </w:p>
    <w:p w:rsidR="004453B7" w:rsidRPr="003511DC" w:rsidRDefault="004453B7" w:rsidP="00476E6F">
      <w:pPr>
        <w:suppressLineNumbers/>
        <w:suppressAutoHyphens/>
        <w:ind w:left="720"/>
        <w:rPr>
          <w:sz w:val="22"/>
          <w:szCs w:val="22"/>
        </w:rPr>
      </w:pPr>
    </w:p>
    <w:p w:rsidR="004453B7" w:rsidRPr="008D556C" w:rsidRDefault="004453B7" w:rsidP="00476E6F">
      <w:pPr>
        <w:numPr>
          <w:ilvl w:val="0"/>
          <w:numId w:val="2"/>
        </w:numPr>
        <w:suppressLineNumbers/>
        <w:tabs>
          <w:tab w:val="clear" w:pos="720"/>
          <w:tab w:val="num" w:pos="1440"/>
        </w:tabs>
        <w:suppressAutoHyphens/>
        <w:ind w:left="0" w:firstLine="720"/>
        <w:rPr>
          <w:sz w:val="22"/>
          <w:szCs w:val="22"/>
        </w:rPr>
      </w:pPr>
      <w:r w:rsidRPr="00BF0859">
        <w:rPr>
          <w:sz w:val="22"/>
          <w:szCs w:val="22"/>
        </w:rPr>
        <w:t xml:space="preserve">On July 11, 2014, the Commission </w:t>
      </w:r>
      <w:r w:rsidR="008E4279" w:rsidRPr="00FF1FD9">
        <w:rPr>
          <w:sz w:val="22"/>
          <w:szCs w:val="22"/>
        </w:rPr>
        <w:t>reconsidered its earlier decision</w:t>
      </w:r>
      <w:r w:rsidRPr="006C02D7">
        <w:rPr>
          <w:sz w:val="22"/>
          <w:szCs w:val="22"/>
        </w:rPr>
        <w:t xml:space="preserve"> on video clips, and ruled that clips of video programming </w:t>
      </w:r>
      <w:r w:rsidR="008A2052" w:rsidRPr="009C79E5">
        <w:rPr>
          <w:sz w:val="22"/>
          <w:szCs w:val="22"/>
        </w:rPr>
        <w:t>that has been</w:t>
      </w:r>
      <w:r w:rsidRPr="009C79E5">
        <w:rPr>
          <w:sz w:val="22"/>
          <w:szCs w:val="22"/>
        </w:rPr>
        <w:t xml:space="preserve"> shown on television with captions must be captioned when delivered using IP according to a new schedule of compliance deadlines.</w:t>
      </w:r>
      <w:r w:rsidRPr="008D556C">
        <w:rPr>
          <w:sz w:val="22"/>
          <w:szCs w:val="22"/>
          <w:vertAlign w:val="superscript"/>
        </w:rPr>
        <w:footnoteReference w:id="458"/>
      </w:r>
      <w:r w:rsidRPr="009C79E5">
        <w:rPr>
          <w:rStyle w:val="headlinedate"/>
          <w:color w:val="auto"/>
          <w:sz w:val="22"/>
          <w:szCs w:val="22"/>
          <w:shd w:val="clear" w:color="auto" w:fill="FFFFFF"/>
        </w:rPr>
        <w:t xml:space="preserve">  </w:t>
      </w:r>
      <w:r w:rsidRPr="008D556C">
        <w:rPr>
          <w:sz w:val="22"/>
          <w:szCs w:val="22"/>
        </w:rPr>
        <w:t xml:space="preserve">The rules adopted in that July 2014 order apply only to video </w:t>
      </w:r>
      <w:r w:rsidRPr="003511DC">
        <w:rPr>
          <w:sz w:val="22"/>
          <w:szCs w:val="22"/>
        </w:rPr>
        <w:t>clips of video programming that is published or exhibited on television in the United States with captions to the extent that a video programming provider or distributor posts such clips on its own website or application.</w:t>
      </w:r>
      <w:r w:rsidRPr="008D556C">
        <w:rPr>
          <w:rStyle w:val="FootnoteReference"/>
          <w:sz w:val="22"/>
          <w:szCs w:val="22"/>
        </w:rPr>
        <w:footnoteReference w:id="459"/>
      </w:r>
      <w:r w:rsidRPr="008D556C">
        <w:rPr>
          <w:sz w:val="22"/>
          <w:szCs w:val="22"/>
        </w:rPr>
        <w:t>  The compliance deadlines for cap</w:t>
      </w:r>
      <w:r w:rsidRPr="003511DC">
        <w:rPr>
          <w:sz w:val="22"/>
          <w:szCs w:val="22"/>
        </w:rPr>
        <w:t>tioning video clips va</w:t>
      </w:r>
      <w:r w:rsidRPr="00BF0859">
        <w:rPr>
          <w:sz w:val="22"/>
          <w:szCs w:val="22"/>
        </w:rPr>
        <w:t>ry, depending upon the type of video clip.  A “straight lift” clip, which contains a single excerpt of a captioned television program with the same video and audio that was shown on television, must be captioned by January 1, 2016.</w:t>
      </w:r>
      <w:r w:rsidRPr="008D556C">
        <w:rPr>
          <w:rStyle w:val="FootnoteReference"/>
          <w:sz w:val="22"/>
          <w:szCs w:val="22"/>
        </w:rPr>
        <w:footnoteReference w:id="460"/>
      </w:r>
      <w:r w:rsidRPr="008D556C">
        <w:rPr>
          <w:sz w:val="22"/>
          <w:szCs w:val="22"/>
        </w:rPr>
        <w:t xml:space="preserve">  </w:t>
      </w:r>
      <w:r w:rsidRPr="003511DC">
        <w:rPr>
          <w:sz w:val="22"/>
          <w:szCs w:val="22"/>
        </w:rPr>
        <w:t xml:space="preserve">A “montage,” which is </w:t>
      </w:r>
      <w:r w:rsidRPr="00BF0859">
        <w:rPr>
          <w:sz w:val="22"/>
          <w:szCs w:val="22"/>
        </w:rPr>
        <w:t>a single file containing multiple straight lift clips, must be captioned by January 1, 2017.</w:t>
      </w:r>
      <w:r w:rsidRPr="008D556C">
        <w:rPr>
          <w:rStyle w:val="FootnoteReference"/>
          <w:sz w:val="22"/>
          <w:szCs w:val="22"/>
        </w:rPr>
        <w:footnoteReference w:id="461"/>
      </w:r>
      <w:r w:rsidRPr="008D556C">
        <w:rPr>
          <w:sz w:val="22"/>
          <w:szCs w:val="22"/>
        </w:rPr>
        <w:t xml:space="preserve">  The Commission concluded that it would be economically burdensome to require </w:t>
      </w:r>
      <w:r w:rsidR="00897457" w:rsidRPr="003511DC">
        <w:rPr>
          <w:sz w:val="22"/>
          <w:szCs w:val="22"/>
        </w:rPr>
        <w:t xml:space="preserve">captioning </w:t>
      </w:r>
      <w:r w:rsidRPr="00BF0859">
        <w:rPr>
          <w:sz w:val="22"/>
          <w:szCs w:val="22"/>
        </w:rPr>
        <w:t>and, therefore, exempted video clips that are in th</w:t>
      </w:r>
      <w:r w:rsidRPr="00FF1FD9">
        <w:rPr>
          <w:sz w:val="22"/>
          <w:szCs w:val="22"/>
        </w:rPr>
        <w:t>e video programming distributor’s or provider</w:t>
      </w:r>
      <w:r w:rsidR="00C67DB8" w:rsidRPr="006C02D7">
        <w:rPr>
          <w:sz w:val="22"/>
          <w:szCs w:val="22"/>
        </w:rPr>
        <w:t>’</w:t>
      </w:r>
      <w:r w:rsidRPr="006C02D7">
        <w:rPr>
          <w:sz w:val="22"/>
          <w:szCs w:val="22"/>
        </w:rPr>
        <w:t>s library before the relevant compliance deadline.</w:t>
      </w:r>
      <w:r w:rsidRPr="008D556C">
        <w:rPr>
          <w:rStyle w:val="FootnoteReference"/>
          <w:sz w:val="22"/>
          <w:szCs w:val="22"/>
        </w:rPr>
        <w:footnoteReference w:id="462"/>
      </w:r>
      <w:r w:rsidRPr="008D556C">
        <w:rPr>
          <w:sz w:val="22"/>
          <w:szCs w:val="22"/>
        </w:rPr>
        <w:t xml:space="preserve">  By July 1, 2017, video clips of live and near-live television programming, such as news or sporting events, must be captioned.</w:t>
      </w:r>
      <w:r w:rsidRPr="008D556C">
        <w:rPr>
          <w:rStyle w:val="FootnoteReference"/>
          <w:sz w:val="22"/>
          <w:szCs w:val="22"/>
        </w:rPr>
        <w:footnoteReference w:id="463"/>
      </w:r>
      <w:r w:rsidRPr="008D556C">
        <w:rPr>
          <w:sz w:val="22"/>
          <w:szCs w:val="22"/>
        </w:rPr>
        <w:t xml:space="preserve">  Clips of live and near-live </w:t>
      </w:r>
      <w:r w:rsidRPr="003511DC">
        <w:rPr>
          <w:sz w:val="22"/>
          <w:szCs w:val="22"/>
        </w:rPr>
        <w:t xml:space="preserve">programming may be posted online </w:t>
      </w:r>
      <w:r w:rsidRPr="00BF0859">
        <w:rPr>
          <w:sz w:val="22"/>
          <w:szCs w:val="22"/>
        </w:rPr>
        <w:t>without captions, but captions must be added within a 12-hour or an eight-hour grace period, respectively, after the live or near-live programming has been shown on television.</w:t>
      </w:r>
      <w:r w:rsidRPr="008D556C">
        <w:rPr>
          <w:rStyle w:val="FootnoteReference"/>
          <w:sz w:val="22"/>
          <w:szCs w:val="22"/>
        </w:rPr>
        <w:footnoteReference w:id="464"/>
      </w:r>
      <w:r w:rsidRPr="008D556C">
        <w:rPr>
          <w:sz w:val="22"/>
          <w:szCs w:val="22"/>
        </w:rPr>
        <w:t>  </w:t>
      </w:r>
    </w:p>
    <w:p w:rsidR="004453B7" w:rsidRPr="003511DC" w:rsidRDefault="004453B7" w:rsidP="00476E6F">
      <w:pPr>
        <w:suppressLineNumbers/>
        <w:suppressAutoHyphens/>
        <w:ind w:left="720"/>
        <w:rPr>
          <w:sz w:val="22"/>
          <w:szCs w:val="22"/>
        </w:rPr>
      </w:pPr>
    </w:p>
    <w:p w:rsidR="004453B7" w:rsidRPr="008D556C" w:rsidRDefault="004453B7" w:rsidP="00476E6F">
      <w:pPr>
        <w:numPr>
          <w:ilvl w:val="0"/>
          <w:numId w:val="2"/>
        </w:numPr>
        <w:suppressLineNumbers/>
        <w:tabs>
          <w:tab w:val="clear" w:pos="720"/>
          <w:tab w:val="num" w:pos="1440"/>
        </w:tabs>
        <w:suppressAutoHyphens/>
        <w:ind w:left="0" w:firstLine="720"/>
        <w:rPr>
          <w:sz w:val="22"/>
          <w:szCs w:val="22"/>
        </w:rPr>
      </w:pPr>
      <w:r w:rsidRPr="00BF0859">
        <w:rPr>
          <w:sz w:val="22"/>
          <w:szCs w:val="22"/>
        </w:rPr>
        <w:t xml:space="preserve">The Commission accompanied its </w:t>
      </w:r>
      <w:r w:rsidRPr="00FF1FD9">
        <w:rPr>
          <w:i/>
          <w:sz w:val="22"/>
          <w:szCs w:val="22"/>
        </w:rPr>
        <w:t>Video Clips</w:t>
      </w:r>
      <w:r w:rsidRPr="006C02D7">
        <w:rPr>
          <w:i/>
          <w:sz w:val="22"/>
          <w:szCs w:val="22"/>
        </w:rPr>
        <w:t xml:space="preserve"> Order </w:t>
      </w:r>
      <w:r w:rsidRPr="006C02D7">
        <w:rPr>
          <w:sz w:val="22"/>
          <w:szCs w:val="22"/>
        </w:rPr>
        <w:t>with a further notice of proposed rulemaking in which it sought comment on four related issues:  (1) whether third party video programming providers and distributors should be required to caption video clips; (2) whether the grace periods for captio</w:t>
      </w:r>
      <w:r w:rsidRPr="009C79E5">
        <w:rPr>
          <w:sz w:val="22"/>
          <w:szCs w:val="22"/>
        </w:rPr>
        <w:t>ning clips of live and near-live video programming should be decreased or eliminated; (3) whether to require captioning on “mash-ups” (files that contain a combination of video clips that have been shown on television with captions and online-only content); and (4) whether the new rules should apply to “advance” video clips (clips that are put online before the video programming is shown on television with captions, and which then remain online after being shown on television).</w:t>
      </w:r>
      <w:r w:rsidRPr="008D556C">
        <w:rPr>
          <w:rStyle w:val="FootnoteReference"/>
          <w:sz w:val="22"/>
          <w:szCs w:val="22"/>
        </w:rPr>
        <w:footnoteReference w:id="465"/>
      </w:r>
      <w:r w:rsidRPr="008D556C">
        <w:rPr>
          <w:sz w:val="22"/>
          <w:szCs w:val="22"/>
        </w:rPr>
        <w:t> </w:t>
      </w:r>
    </w:p>
    <w:p w:rsidR="004453B7" w:rsidRPr="003511DC" w:rsidRDefault="004453B7" w:rsidP="00476E6F">
      <w:pPr>
        <w:suppressLineNumbers/>
        <w:suppressAutoHyphens/>
        <w:ind w:left="720"/>
        <w:rPr>
          <w:sz w:val="22"/>
          <w:szCs w:val="22"/>
        </w:rPr>
      </w:pPr>
    </w:p>
    <w:p w:rsidR="004453B7" w:rsidRPr="008D556C" w:rsidRDefault="004453B7" w:rsidP="00476E6F">
      <w:pPr>
        <w:numPr>
          <w:ilvl w:val="0"/>
          <w:numId w:val="2"/>
        </w:numPr>
        <w:suppressLineNumbers/>
        <w:tabs>
          <w:tab w:val="clear" w:pos="720"/>
          <w:tab w:val="num" w:pos="1440"/>
        </w:tabs>
        <w:suppressAutoHyphens/>
        <w:ind w:left="0" w:firstLine="720"/>
        <w:rPr>
          <w:sz w:val="22"/>
          <w:szCs w:val="22"/>
        </w:rPr>
      </w:pPr>
      <w:r w:rsidRPr="003511DC">
        <w:rPr>
          <w:i/>
          <w:sz w:val="22"/>
          <w:szCs w:val="22"/>
        </w:rPr>
        <w:t>Exemptions Based on Econom</w:t>
      </w:r>
      <w:r w:rsidRPr="00BF0859">
        <w:rPr>
          <w:i/>
          <w:sz w:val="22"/>
          <w:szCs w:val="22"/>
        </w:rPr>
        <w:t>ic Burden</w:t>
      </w:r>
      <w:r w:rsidRPr="00FF1FD9">
        <w:rPr>
          <w:sz w:val="22"/>
          <w:szCs w:val="22"/>
        </w:rPr>
        <w:t>.  Section 202(c) of the CVAA amends Section 713(d) of the Act by replacing the term “undue burden” with the term “economically burdensome” as the standard by which the Commission is to assess requests for exemptions from the closed captioning req</w:t>
      </w:r>
      <w:r w:rsidRPr="006C02D7">
        <w:rPr>
          <w:sz w:val="22"/>
          <w:szCs w:val="22"/>
        </w:rPr>
        <w:t>uirements.</w:t>
      </w:r>
      <w:r w:rsidRPr="008D556C">
        <w:rPr>
          <w:rStyle w:val="FootnoteReference"/>
          <w:sz w:val="22"/>
          <w:szCs w:val="22"/>
        </w:rPr>
        <w:footnoteReference w:id="466"/>
      </w:r>
      <w:r w:rsidRPr="008D556C">
        <w:rPr>
          <w:sz w:val="22"/>
          <w:szCs w:val="22"/>
        </w:rPr>
        <w:t xml:space="preserve">  As described further</w:t>
      </w:r>
      <w:r w:rsidRPr="003511DC">
        <w:rPr>
          <w:sz w:val="22"/>
          <w:szCs w:val="22"/>
        </w:rPr>
        <w:t xml:space="preserve"> in the </w:t>
      </w:r>
      <w:r w:rsidRPr="00BF0859">
        <w:rPr>
          <w:i/>
          <w:sz w:val="22"/>
          <w:szCs w:val="22"/>
        </w:rPr>
        <w:t>2012 CVAA Biennial Report</w:t>
      </w:r>
      <w:r w:rsidRPr="00FF1FD9">
        <w:rPr>
          <w:sz w:val="22"/>
          <w:szCs w:val="22"/>
        </w:rPr>
        <w:t>,</w:t>
      </w:r>
      <w:r w:rsidRPr="008D556C">
        <w:rPr>
          <w:rStyle w:val="FootnoteReference"/>
          <w:sz w:val="22"/>
          <w:szCs w:val="22"/>
        </w:rPr>
        <w:footnoteReference w:id="467"/>
      </w:r>
      <w:r w:rsidRPr="008D556C">
        <w:rPr>
          <w:sz w:val="22"/>
          <w:szCs w:val="22"/>
        </w:rPr>
        <w:t xml:space="preserve"> since July 20, 2012, the Commission has interpreted the term “economically burdensome” in Section 713(d)(3) using the same factors previously used to interpret the term “undue burden” as </w:t>
      </w:r>
      <w:r w:rsidRPr="003511DC">
        <w:rPr>
          <w:sz w:val="22"/>
          <w:szCs w:val="22"/>
        </w:rPr>
        <w:t xml:space="preserve">defined in Section 713(e) of the </w:t>
      </w:r>
      <w:r w:rsidRPr="00BF0859">
        <w:rPr>
          <w:sz w:val="22"/>
          <w:szCs w:val="22"/>
        </w:rPr>
        <w:t>Act.</w:t>
      </w:r>
      <w:r w:rsidRPr="008D556C">
        <w:rPr>
          <w:rStyle w:val="FootnoteReference"/>
          <w:sz w:val="22"/>
          <w:szCs w:val="22"/>
        </w:rPr>
        <w:footnoteReference w:id="468"/>
      </w:r>
    </w:p>
    <w:p w:rsidR="004453B7" w:rsidRPr="003511DC" w:rsidRDefault="004453B7" w:rsidP="00476E6F">
      <w:pPr>
        <w:suppressLineNumbers/>
        <w:suppressAutoHyphens/>
        <w:ind w:left="720"/>
        <w:rPr>
          <w:sz w:val="22"/>
          <w:szCs w:val="22"/>
        </w:rPr>
      </w:pPr>
    </w:p>
    <w:p w:rsidR="004453B7" w:rsidRPr="009C79E5" w:rsidRDefault="004453B7" w:rsidP="00476E6F">
      <w:pPr>
        <w:tabs>
          <w:tab w:val="left" w:pos="1440"/>
        </w:tabs>
        <w:suppressAutoHyphens/>
        <w:ind w:firstLine="720"/>
        <w:rPr>
          <w:b/>
          <w:sz w:val="22"/>
          <w:szCs w:val="22"/>
        </w:rPr>
      </w:pPr>
      <w:r w:rsidRPr="00BF0859">
        <w:rPr>
          <w:b/>
          <w:sz w:val="22"/>
          <w:szCs w:val="22"/>
        </w:rPr>
        <w:t>H.</w:t>
      </w:r>
      <w:r w:rsidRPr="00BF0859">
        <w:rPr>
          <w:b/>
          <w:sz w:val="22"/>
          <w:szCs w:val="22"/>
        </w:rPr>
        <w:tab/>
        <w:t xml:space="preserve">Section 203.  Closed </w:t>
      </w:r>
      <w:r w:rsidR="0072164E" w:rsidRPr="006C02D7">
        <w:rPr>
          <w:b/>
          <w:sz w:val="22"/>
          <w:szCs w:val="22"/>
        </w:rPr>
        <w:t>C</w:t>
      </w:r>
      <w:r w:rsidRPr="006C02D7">
        <w:rPr>
          <w:b/>
          <w:sz w:val="22"/>
          <w:szCs w:val="22"/>
        </w:rPr>
        <w:t xml:space="preserve">aptioning </w:t>
      </w:r>
      <w:r w:rsidR="0072164E" w:rsidRPr="006C02D7">
        <w:rPr>
          <w:b/>
          <w:sz w:val="22"/>
          <w:szCs w:val="22"/>
        </w:rPr>
        <w:t>D</w:t>
      </w:r>
      <w:r w:rsidRPr="006C02D7">
        <w:rPr>
          <w:b/>
          <w:sz w:val="22"/>
          <w:szCs w:val="22"/>
        </w:rPr>
        <w:t xml:space="preserve">ecoder and </w:t>
      </w:r>
      <w:r w:rsidR="0072164E" w:rsidRPr="009C79E5">
        <w:rPr>
          <w:b/>
          <w:sz w:val="22"/>
          <w:szCs w:val="22"/>
        </w:rPr>
        <w:t>V</w:t>
      </w:r>
      <w:r w:rsidRPr="009C79E5">
        <w:rPr>
          <w:b/>
          <w:sz w:val="22"/>
          <w:szCs w:val="22"/>
        </w:rPr>
        <w:t xml:space="preserve">ideo </w:t>
      </w:r>
      <w:r w:rsidR="0072164E" w:rsidRPr="009C79E5">
        <w:rPr>
          <w:b/>
          <w:sz w:val="22"/>
          <w:szCs w:val="22"/>
        </w:rPr>
        <w:t>D</w:t>
      </w:r>
      <w:r w:rsidRPr="009C79E5">
        <w:rPr>
          <w:b/>
          <w:sz w:val="22"/>
          <w:szCs w:val="22"/>
        </w:rPr>
        <w:t xml:space="preserve">escription </w:t>
      </w:r>
      <w:r w:rsidR="0072164E" w:rsidRPr="009C79E5">
        <w:rPr>
          <w:b/>
          <w:sz w:val="22"/>
          <w:szCs w:val="22"/>
        </w:rPr>
        <w:t>C</w:t>
      </w:r>
      <w:r w:rsidRPr="009C79E5">
        <w:rPr>
          <w:b/>
          <w:sz w:val="22"/>
          <w:szCs w:val="22"/>
        </w:rPr>
        <w:t>apability</w:t>
      </w:r>
    </w:p>
    <w:p w:rsidR="004453B7" w:rsidRPr="009C79E5" w:rsidRDefault="004453B7" w:rsidP="00476E6F">
      <w:pPr>
        <w:suppressLineNumbers/>
        <w:suppressAutoHyphens/>
        <w:ind w:left="720"/>
        <w:rPr>
          <w:sz w:val="22"/>
          <w:szCs w:val="22"/>
        </w:rPr>
      </w:pPr>
    </w:p>
    <w:p w:rsidR="004453B7" w:rsidRPr="003511DC" w:rsidRDefault="004453B7" w:rsidP="00476E6F">
      <w:pPr>
        <w:numPr>
          <w:ilvl w:val="0"/>
          <w:numId w:val="2"/>
        </w:numPr>
        <w:suppressLineNumbers/>
        <w:tabs>
          <w:tab w:val="clear" w:pos="720"/>
          <w:tab w:val="num" w:pos="1440"/>
        </w:tabs>
        <w:suppressAutoHyphens/>
        <w:ind w:left="0" w:firstLine="720"/>
        <w:rPr>
          <w:sz w:val="22"/>
          <w:szCs w:val="22"/>
        </w:rPr>
      </w:pPr>
      <w:r w:rsidRPr="009C79E5">
        <w:rPr>
          <w:sz w:val="22"/>
          <w:szCs w:val="22"/>
        </w:rPr>
        <w:t>Section 203 of the CVAA amends the Act to update the closed captioning requirements for apparatus that receive, play back, or record video programming, and to establish new requirements for these apparatus with respect to the provision of video description and accessible emergency information, to ensure that these features and services reach viewers.</w:t>
      </w:r>
      <w:r w:rsidRPr="008D556C">
        <w:rPr>
          <w:rStyle w:val="FootnoteReference"/>
          <w:sz w:val="22"/>
          <w:szCs w:val="22"/>
        </w:rPr>
        <w:footnoteReference w:id="469"/>
      </w:r>
      <w:r w:rsidRPr="008D556C">
        <w:rPr>
          <w:sz w:val="22"/>
          <w:szCs w:val="22"/>
        </w:rPr>
        <w:t xml:space="preserve">  Each of these requirements is addr</w:t>
      </w:r>
      <w:r w:rsidRPr="003511DC">
        <w:rPr>
          <w:sz w:val="22"/>
          <w:szCs w:val="22"/>
        </w:rPr>
        <w:t>essed, in turn, in this section.</w:t>
      </w:r>
    </w:p>
    <w:p w:rsidR="004453B7" w:rsidRPr="00BF0859" w:rsidRDefault="004453B7" w:rsidP="00476E6F">
      <w:pPr>
        <w:suppressLineNumbers/>
        <w:suppressAutoHyphens/>
        <w:ind w:left="720"/>
        <w:rPr>
          <w:sz w:val="22"/>
          <w:szCs w:val="22"/>
        </w:rPr>
      </w:pPr>
    </w:p>
    <w:p w:rsidR="004453B7" w:rsidRPr="003511DC" w:rsidRDefault="004453B7" w:rsidP="00476E6F">
      <w:pPr>
        <w:numPr>
          <w:ilvl w:val="0"/>
          <w:numId w:val="2"/>
        </w:numPr>
        <w:suppressLineNumbers/>
        <w:tabs>
          <w:tab w:val="clear" w:pos="720"/>
          <w:tab w:val="num" w:pos="1440"/>
        </w:tabs>
        <w:suppressAutoHyphens/>
        <w:ind w:left="0" w:firstLine="720"/>
        <w:rPr>
          <w:sz w:val="22"/>
          <w:szCs w:val="22"/>
        </w:rPr>
      </w:pPr>
      <w:r w:rsidRPr="006C02D7">
        <w:rPr>
          <w:i/>
          <w:sz w:val="22"/>
          <w:szCs w:val="22"/>
        </w:rPr>
        <w:t>Apparatus – Closed Captioning Requirements</w:t>
      </w:r>
      <w:r w:rsidRPr="006C02D7">
        <w:rPr>
          <w:sz w:val="22"/>
          <w:szCs w:val="22"/>
        </w:rPr>
        <w:t>.  Section 203(a) of the CVAA amends Section 303(u) of the Act to require, if technically feasible, that apparatus designed to receive or play back video programming that uses a pi</w:t>
      </w:r>
      <w:r w:rsidRPr="009C79E5">
        <w:rPr>
          <w:sz w:val="22"/>
          <w:szCs w:val="22"/>
        </w:rPr>
        <w:t>cture screen of any size be equipped with built-in closed caption decoder circuitry or the capability to display closed captioned video programming.</w:t>
      </w:r>
      <w:r w:rsidRPr="008D556C">
        <w:rPr>
          <w:rStyle w:val="FootnoteReference"/>
          <w:sz w:val="22"/>
          <w:szCs w:val="22"/>
        </w:rPr>
        <w:footnoteReference w:id="470"/>
      </w:r>
      <w:r w:rsidRPr="008D556C">
        <w:rPr>
          <w:sz w:val="22"/>
          <w:szCs w:val="22"/>
        </w:rPr>
        <w:t xml:space="preserve">  Such apparatus that uses a picture screen that is less than 13 inches in size must meet these requirement</w:t>
      </w:r>
      <w:r w:rsidRPr="003511DC">
        <w:rPr>
          <w:sz w:val="22"/>
          <w:szCs w:val="22"/>
        </w:rPr>
        <w:t xml:space="preserve">s only if </w:t>
      </w:r>
      <w:r w:rsidR="00C67DB8" w:rsidRPr="00BF0859">
        <w:rPr>
          <w:sz w:val="22"/>
          <w:szCs w:val="22"/>
        </w:rPr>
        <w:t>doing so is</w:t>
      </w:r>
      <w:r w:rsidRPr="00FF1FD9">
        <w:rPr>
          <w:sz w:val="22"/>
          <w:szCs w:val="22"/>
        </w:rPr>
        <w:t xml:space="preserve"> achievable.</w:t>
      </w:r>
      <w:r w:rsidRPr="008D556C">
        <w:rPr>
          <w:rStyle w:val="FootnoteReference"/>
          <w:sz w:val="22"/>
          <w:szCs w:val="22"/>
        </w:rPr>
        <w:footnoteReference w:id="471"/>
      </w:r>
      <w:r w:rsidRPr="008D556C">
        <w:rPr>
          <w:sz w:val="22"/>
          <w:szCs w:val="22"/>
        </w:rPr>
        <w:t xml:space="preserve">  Section 203(b) of the CVAA adds Section 303(z) to the Act to require that, if achievable, apparatus designed to record video programming be able to render or pass through closed captions, such that viewers are able to ac</w:t>
      </w:r>
      <w:r w:rsidRPr="003511DC">
        <w:rPr>
          <w:sz w:val="22"/>
          <w:szCs w:val="22"/>
        </w:rPr>
        <w:t>tivate and de-activate the closed</w:t>
      </w:r>
      <w:r w:rsidRPr="00BF0859">
        <w:rPr>
          <w:sz w:val="22"/>
          <w:szCs w:val="22"/>
        </w:rPr>
        <w:t xml:space="preserve"> captions as the video programming is played back on a picture screen of any size.</w:t>
      </w:r>
      <w:r w:rsidRPr="008D556C">
        <w:rPr>
          <w:rStyle w:val="FootnoteReference"/>
          <w:sz w:val="22"/>
          <w:szCs w:val="22"/>
        </w:rPr>
        <w:footnoteReference w:id="472"/>
      </w:r>
      <w:r w:rsidRPr="008D556C">
        <w:rPr>
          <w:sz w:val="22"/>
          <w:szCs w:val="22"/>
        </w:rPr>
        <w:t xml:space="preserve">  This section</w:t>
      </w:r>
      <w:r w:rsidR="00C67DB8" w:rsidRPr="003511DC">
        <w:rPr>
          <w:sz w:val="22"/>
          <w:szCs w:val="22"/>
        </w:rPr>
        <w:t xml:space="preserve"> of the CVAA</w:t>
      </w:r>
      <w:r w:rsidRPr="00BF0859">
        <w:rPr>
          <w:sz w:val="22"/>
          <w:szCs w:val="22"/>
        </w:rPr>
        <w:t xml:space="preserve"> also addresses requirements for interconnection mechanisms and standards for digital video source devices to perm</w:t>
      </w:r>
      <w:r w:rsidRPr="006C02D7">
        <w:rPr>
          <w:sz w:val="22"/>
          <w:szCs w:val="22"/>
        </w:rPr>
        <w:t>it or render the display of closed captions.</w:t>
      </w:r>
      <w:r w:rsidRPr="008D556C">
        <w:rPr>
          <w:rStyle w:val="FootnoteReference"/>
          <w:sz w:val="22"/>
          <w:szCs w:val="22"/>
        </w:rPr>
        <w:footnoteReference w:id="473"/>
      </w:r>
      <w:r w:rsidR="005661AF" w:rsidRPr="008D556C">
        <w:rPr>
          <w:sz w:val="22"/>
          <w:szCs w:val="22"/>
        </w:rPr>
        <w:t xml:space="preserve"> </w:t>
      </w:r>
    </w:p>
    <w:p w:rsidR="004453B7" w:rsidRPr="00BF0859" w:rsidRDefault="004453B7" w:rsidP="00476E6F">
      <w:pPr>
        <w:suppressLineNumbers/>
        <w:suppressAutoHyphens/>
        <w:ind w:left="720"/>
        <w:rPr>
          <w:sz w:val="22"/>
          <w:szCs w:val="22"/>
        </w:rPr>
      </w:pPr>
    </w:p>
    <w:p w:rsidR="004453B7" w:rsidRPr="008D556C" w:rsidRDefault="004453B7" w:rsidP="00476E6F">
      <w:pPr>
        <w:numPr>
          <w:ilvl w:val="0"/>
          <w:numId w:val="2"/>
        </w:numPr>
        <w:suppressLineNumbers/>
        <w:tabs>
          <w:tab w:val="clear" w:pos="720"/>
          <w:tab w:val="num" w:pos="1440"/>
        </w:tabs>
        <w:suppressAutoHyphens/>
        <w:ind w:left="0" w:firstLine="720"/>
        <w:rPr>
          <w:sz w:val="22"/>
          <w:szCs w:val="22"/>
        </w:rPr>
      </w:pPr>
      <w:r w:rsidRPr="00BF0859">
        <w:rPr>
          <w:sz w:val="22"/>
          <w:szCs w:val="22"/>
        </w:rPr>
        <w:t>On January 12, 2012, the Commission adopted rules implementing these provisions in accordance with the CVAA.</w:t>
      </w:r>
      <w:r w:rsidRPr="008D556C">
        <w:rPr>
          <w:rStyle w:val="FootnoteReference"/>
          <w:sz w:val="22"/>
          <w:szCs w:val="22"/>
        </w:rPr>
        <w:footnoteReference w:id="474"/>
      </w:r>
      <w:r w:rsidRPr="008D556C">
        <w:rPr>
          <w:sz w:val="22"/>
          <w:szCs w:val="22"/>
        </w:rPr>
        <w:t xml:space="preserve">  The rules apply to all physical devices designed to receive and play back video programming (</w:t>
      </w:r>
      <w:r w:rsidRPr="003511DC">
        <w:rPr>
          <w:i/>
          <w:sz w:val="22"/>
          <w:szCs w:val="22"/>
        </w:rPr>
        <w:t>e.g.</w:t>
      </w:r>
      <w:r w:rsidRPr="00BF0859">
        <w:rPr>
          <w:sz w:val="22"/>
          <w:szCs w:val="22"/>
        </w:rPr>
        <w:t>, televisions, set-top boxes, personal computers, tablets, and smartphones), all integrated software in those devices, and all recording devices and removable media players.</w:t>
      </w:r>
      <w:r w:rsidRPr="008D556C">
        <w:rPr>
          <w:rStyle w:val="FootnoteReference"/>
          <w:sz w:val="22"/>
          <w:szCs w:val="22"/>
        </w:rPr>
        <w:footnoteReference w:id="475"/>
      </w:r>
      <w:r w:rsidRPr="008D556C">
        <w:rPr>
          <w:sz w:val="22"/>
          <w:szCs w:val="22"/>
        </w:rPr>
        <w:t xml:space="preserve">  Professional and commercial equipment, along with display-only monitors are excl</w:t>
      </w:r>
      <w:r w:rsidRPr="003511DC">
        <w:rPr>
          <w:sz w:val="22"/>
          <w:szCs w:val="22"/>
        </w:rPr>
        <w:t>uded.</w:t>
      </w:r>
      <w:r w:rsidRPr="008D556C">
        <w:rPr>
          <w:rStyle w:val="FootnoteReference"/>
          <w:sz w:val="22"/>
          <w:szCs w:val="22"/>
        </w:rPr>
        <w:footnoteReference w:id="476"/>
      </w:r>
      <w:r w:rsidRPr="008D556C">
        <w:rPr>
          <w:sz w:val="22"/>
          <w:szCs w:val="22"/>
        </w:rPr>
        <w:t xml:space="preserve">  Covered apparatus must re</w:t>
      </w:r>
      <w:r w:rsidRPr="003511DC">
        <w:rPr>
          <w:sz w:val="22"/>
          <w:szCs w:val="22"/>
        </w:rPr>
        <w:t>nder or pass through closed captioning on each of their video outputs and comply with functional display standards.</w:t>
      </w:r>
      <w:r w:rsidRPr="008D556C">
        <w:rPr>
          <w:rStyle w:val="FootnoteReference"/>
          <w:sz w:val="22"/>
          <w:szCs w:val="22"/>
        </w:rPr>
        <w:footnoteReference w:id="477"/>
      </w:r>
      <w:r w:rsidRPr="008D556C">
        <w:rPr>
          <w:sz w:val="22"/>
          <w:szCs w:val="22"/>
        </w:rPr>
        <w:t xml:space="preserve">  Covered devices were required to comply with the new requirements by January 1, 2014.</w:t>
      </w:r>
      <w:r w:rsidRPr="008D556C">
        <w:rPr>
          <w:rStyle w:val="FootnoteReference"/>
          <w:sz w:val="22"/>
          <w:szCs w:val="22"/>
        </w:rPr>
        <w:footnoteReference w:id="478"/>
      </w:r>
    </w:p>
    <w:p w:rsidR="004453B7" w:rsidRPr="003511DC" w:rsidRDefault="004453B7" w:rsidP="00476E6F">
      <w:pPr>
        <w:suppressLineNumbers/>
        <w:suppressAutoHyphens/>
        <w:ind w:left="720"/>
        <w:rPr>
          <w:sz w:val="22"/>
          <w:szCs w:val="22"/>
        </w:rPr>
      </w:pPr>
    </w:p>
    <w:p w:rsidR="004453B7" w:rsidRPr="008D556C" w:rsidRDefault="004453B7" w:rsidP="00476E6F">
      <w:pPr>
        <w:numPr>
          <w:ilvl w:val="0"/>
          <w:numId w:val="2"/>
        </w:numPr>
        <w:suppressLineNumbers/>
        <w:tabs>
          <w:tab w:val="clear" w:pos="720"/>
          <w:tab w:val="num" w:pos="1440"/>
        </w:tabs>
        <w:suppressAutoHyphens/>
        <w:ind w:left="0" w:firstLine="720"/>
        <w:rPr>
          <w:sz w:val="22"/>
          <w:szCs w:val="22"/>
        </w:rPr>
      </w:pPr>
      <w:r w:rsidRPr="00BF0859">
        <w:rPr>
          <w:sz w:val="22"/>
          <w:szCs w:val="22"/>
        </w:rPr>
        <w:t xml:space="preserve">Since the </w:t>
      </w:r>
      <w:r w:rsidRPr="00FF1FD9">
        <w:rPr>
          <w:i/>
          <w:sz w:val="22"/>
          <w:szCs w:val="22"/>
        </w:rPr>
        <w:t>2012 CVAA Biennial Report</w:t>
      </w:r>
      <w:r w:rsidRPr="006C02D7">
        <w:rPr>
          <w:sz w:val="22"/>
          <w:szCs w:val="22"/>
        </w:rPr>
        <w:t xml:space="preserve">, the Commission addressed three petitions, all received in April 2012, for reconsideration of its </w:t>
      </w:r>
      <w:r w:rsidRPr="009C79E5">
        <w:rPr>
          <w:i/>
          <w:sz w:val="22"/>
          <w:szCs w:val="22"/>
        </w:rPr>
        <w:t>IP Closed Captioning Order</w:t>
      </w:r>
      <w:r w:rsidRPr="009C79E5">
        <w:rPr>
          <w:sz w:val="22"/>
          <w:szCs w:val="22"/>
        </w:rPr>
        <w:t>.</w:t>
      </w:r>
      <w:r w:rsidRPr="008D556C">
        <w:rPr>
          <w:rStyle w:val="FootnoteReference"/>
          <w:sz w:val="22"/>
          <w:szCs w:val="22"/>
        </w:rPr>
        <w:footnoteReference w:id="479"/>
      </w:r>
      <w:r w:rsidRPr="008D556C">
        <w:rPr>
          <w:sz w:val="22"/>
          <w:szCs w:val="22"/>
        </w:rPr>
        <w:t xml:space="preserve">  Specifically, in response to these petitions, on June 14, 2013, the Commission affirmed, modified, and clarif</w:t>
      </w:r>
      <w:r w:rsidRPr="003511DC">
        <w:rPr>
          <w:sz w:val="22"/>
          <w:szCs w:val="22"/>
        </w:rPr>
        <w:t>ied prior rulings regarding its c</w:t>
      </w:r>
      <w:r w:rsidRPr="00BF0859">
        <w:rPr>
          <w:sz w:val="22"/>
          <w:szCs w:val="22"/>
        </w:rPr>
        <w:t>losed captioning requirements for IP-delivered video programming and apparatus used to view video programming, as follows:</w:t>
      </w:r>
      <w:r w:rsidRPr="008D556C">
        <w:rPr>
          <w:rStyle w:val="FootnoteReference"/>
          <w:sz w:val="22"/>
          <w:szCs w:val="22"/>
        </w:rPr>
        <w:footnoteReference w:id="480"/>
      </w:r>
      <w:r w:rsidRPr="008D556C">
        <w:rPr>
          <w:sz w:val="22"/>
          <w:szCs w:val="22"/>
        </w:rPr>
        <w:t xml:space="preserve">  </w:t>
      </w:r>
    </w:p>
    <w:p w:rsidR="004453B7" w:rsidRPr="008D556C" w:rsidRDefault="004453B7" w:rsidP="00476E6F">
      <w:pPr>
        <w:suppressLineNumbers/>
        <w:suppressAutoHyphens/>
        <w:ind w:left="720"/>
        <w:rPr>
          <w:sz w:val="22"/>
          <w:szCs w:val="22"/>
        </w:rPr>
      </w:pPr>
    </w:p>
    <w:p w:rsidR="004453B7" w:rsidRPr="009C79E5" w:rsidRDefault="004453B7" w:rsidP="00476E6F">
      <w:pPr>
        <w:pStyle w:val="ListParagraph"/>
        <w:numPr>
          <w:ilvl w:val="0"/>
          <w:numId w:val="15"/>
        </w:numPr>
        <w:suppressAutoHyphens/>
        <w:spacing w:after="0" w:line="240" w:lineRule="auto"/>
        <w:ind w:left="1080"/>
        <w:contextualSpacing w:val="0"/>
        <w:rPr>
          <w:rFonts w:ascii="Times New Roman" w:hAnsi="Times New Roman"/>
        </w:rPr>
      </w:pPr>
      <w:r w:rsidRPr="003511DC">
        <w:rPr>
          <w:rFonts w:ascii="Times New Roman" w:hAnsi="Times New Roman"/>
          <w:i/>
        </w:rPr>
        <w:t>CEA Petition</w:t>
      </w:r>
      <w:r w:rsidRPr="00BF0859">
        <w:rPr>
          <w:rFonts w:ascii="Times New Roman" w:hAnsi="Times New Roman"/>
        </w:rPr>
        <w:t>.  The Commission denied a request by CEA to narrow the scope of its rules; instead,</w:t>
      </w:r>
      <w:r w:rsidRPr="006C02D7">
        <w:rPr>
          <w:rFonts w:ascii="Times New Roman" w:hAnsi="Times New Roman"/>
        </w:rPr>
        <w:t xml:space="preserve"> the Commission affirmed that the phrase “designed to receive and play back video programming” turns on the capabilities of the apparatus rather than the manufacture</w:t>
      </w:r>
      <w:r w:rsidR="00C67DB8" w:rsidRPr="009C79E5">
        <w:rPr>
          <w:rFonts w:ascii="Times New Roman" w:hAnsi="Times New Roman"/>
        </w:rPr>
        <w:t>r</w:t>
      </w:r>
      <w:r w:rsidRPr="009C79E5">
        <w:rPr>
          <w:rFonts w:ascii="Times New Roman" w:hAnsi="Times New Roman"/>
        </w:rPr>
        <w:t>’s intent.</w:t>
      </w:r>
      <w:r w:rsidRPr="009C79E5">
        <w:rPr>
          <w:rStyle w:val="FootnoteReference"/>
          <w:rFonts w:ascii="Times New Roman" w:hAnsi="Times New Roman"/>
        </w:rPr>
        <w:footnoteReference w:id="481"/>
      </w:r>
      <w:r w:rsidRPr="009C79E5">
        <w:rPr>
          <w:rFonts w:ascii="Times New Roman" w:hAnsi="Times New Roman"/>
        </w:rPr>
        <w:t xml:space="preserve">  Also without narrowing the scope of its rules, the Commission revised the note to Section 79.103(a) of its rules to replace references to “video players” with “video player(s) capable of displaying video programming transmitted simultaneously with sound.”</w:t>
      </w:r>
      <w:r w:rsidRPr="009C79E5">
        <w:rPr>
          <w:rStyle w:val="FootnoteReference"/>
          <w:rFonts w:ascii="Times New Roman" w:hAnsi="Times New Roman"/>
        </w:rPr>
        <w:footnoteReference w:id="482"/>
      </w:r>
      <w:r w:rsidRPr="009C79E5">
        <w:rPr>
          <w:rFonts w:ascii="Times New Roman" w:hAnsi="Times New Roman"/>
        </w:rPr>
        <w:t xml:space="preserve">  The Commission also granted narrow class waivers for certain apparatus that are primarily designed for activities other than receiving or playing back video programming.</w:t>
      </w:r>
      <w:r w:rsidRPr="009C79E5">
        <w:rPr>
          <w:rStyle w:val="FootnoteReference"/>
          <w:rFonts w:ascii="Times New Roman" w:hAnsi="Times New Roman"/>
        </w:rPr>
        <w:footnoteReference w:id="483"/>
      </w:r>
      <w:r w:rsidRPr="009C79E5">
        <w:rPr>
          <w:rFonts w:ascii="Times New Roman" w:hAnsi="Times New Roman"/>
        </w:rPr>
        <w:t xml:space="preserve">  In addition, the Commission denied CEA’s request for a ruling excluding removable media players from the closed captioning requirements but, at the same time, temporarily extended the compliance deadlines for Blu-ray players as well as for those DVD players that do not currently render or pass through captions.</w:t>
      </w:r>
      <w:r w:rsidRPr="009C79E5">
        <w:rPr>
          <w:rStyle w:val="FootnoteReference"/>
          <w:rFonts w:ascii="Times New Roman" w:hAnsi="Times New Roman"/>
        </w:rPr>
        <w:footnoteReference w:id="484"/>
      </w:r>
      <w:r w:rsidRPr="009C79E5">
        <w:rPr>
          <w:rFonts w:ascii="Times New Roman" w:hAnsi="Times New Roman"/>
        </w:rPr>
        <w:t xml:space="preserve">  Additionally, the Commission granted CEA’s request to modify the January 1, 2014 deadline by which apparatus would have to be accessible, to refer only to the date of manufacture, and not to the date of importation, shipment, or sale.</w:t>
      </w:r>
      <w:r w:rsidRPr="009C79E5">
        <w:rPr>
          <w:rStyle w:val="FootnoteReference"/>
          <w:rFonts w:ascii="Times New Roman" w:hAnsi="Times New Roman"/>
        </w:rPr>
        <w:footnoteReference w:id="485"/>
      </w:r>
      <w:r w:rsidRPr="009C79E5">
        <w:rPr>
          <w:rFonts w:ascii="Times New Roman" w:hAnsi="Times New Roman"/>
        </w:rPr>
        <w:t xml:space="preserve">  </w:t>
      </w:r>
    </w:p>
    <w:p w:rsidR="004453B7" w:rsidRPr="009C79E5" w:rsidRDefault="004453B7" w:rsidP="00476E6F">
      <w:pPr>
        <w:suppressAutoHyphens/>
        <w:ind w:left="1080"/>
        <w:rPr>
          <w:sz w:val="22"/>
          <w:szCs w:val="22"/>
        </w:rPr>
      </w:pPr>
    </w:p>
    <w:p w:rsidR="004453B7" w:rsidRPr="009C79E5" w:rsidRDefault="004453B7" w:rsidP="00476E6F">
      <w:pPr>
        <w:pStyle w:val="ListParagraph"/>
        <w:numPr>
          <w:ilvl w:val="0"/>
          <w:numId w:val="15"/>
        </w:numPr>
        <w:suppressAutoHyphens/>
        <w:spacing w:after="0" w:line="240" w:lineRule="auto"/>
        <w:ind w:left="1080"/>
        <w:contextualSpacing w:val="0"/>
        <w:rPr>
          <w:rFonts w:ascii="Times New Roman" w:hAnsi="Times New Roman"/>
        </w:rPr>
      </w:pPr>
      <w:r w:rsidRPr="009C79E5">
        <w:rPr>
          <w:rFonts w:ascii="Times New Roman" w:hAnsi="Times New Roman"/>
          <w:i/>
        </w:rPr>
        <w:t>TVGuardian Petition</w:t>
      </w:r>
      <w:r w:rsidRPr="009C79E5">
        <w:rPr>
          <w:rFonts w:ascii="Times New Roman" w:hAnsi="Times New Roman"/>
        </w:rPr>
        <w:t xml:space="preserve">.  The Commission denied TVGuardian’s request </w:t>
      </w:r>
      <w:r w:rsidR="00C67DB8" w:rsidRPr="009C79E5">
        <w:rPr>
          <w:rFonts w:ascii="Times New Roman" w:hAnsi="Times New Roman"/>
        </w:rPr>
        <w:t xml:space="preserve">that the Commission </w:t>
      </w:r>
      <w:r w:rsidRPr="009C79E5">
        <w:rPr>
          <w:rFonts w:ascii="Times New Roman" w:hAnsi="Times New Roman"/>
        </w:rPr>
        <w:t xml:space="preserve">reconsider its decision to allow video programming providers and distributors to enable the rendering </w:t>
      </w:r>
      <w:r w:rsidRPr="009C79E5">
        <w:rPr>
          <w:rFonts w:ascii="Times New Roman" w:hAnsi="Times New Roman"/>
          <w:i/>
        </w:rPr>
        <w:t>or</w:t>
      </w:r>
      <w:r w:rsidRPr="009C79E5">
        <w:rPr>
          <w:rFonts w:ascii="Times New Roman" w:hAnsi="Times New Roman"/>
        </w:rPr>
        <w:t xml:space="preserve"> pass through of captions to end users.</w:t>
      </w:r>
      <w:r w:rsidRPr="009C79E5">
        <w:rPr>
          <w:rStyle w:val="FootnoteReference"/>
          <w:rFonts w:ascii="Times New Roman" w:hAnsi="Times New Roman"/>
        </w:rPr>
        <w:footnoteReference w:id="486"/>
      </w:r>
      <w:r w:rsidRPr="009C79E5">
        <w:rPr>
          <w:rFonts w:ascii="Times New Roman" w:hAnsi="Times New Roman"/>
        </w:rPr>
        <w:t xml:space="preserve">  TV Guardian had wanted the Commission to instead require video programming providers and distributors, and digital source devices, to pass through closed captioning data to consumer equipment.</w:t>
      </w:r>
      <w:r w:rsidRPr="009C79E5">
        <w:rPr>
          <w:rStyle w:val="FootnoteReference"/>
          <w:rFonts w:ascii="Times New Roman" w:hAnsi="Times New Roman"/>
        </w:rPr>
        <w:footnoteReference w:id="487"/>
      </w:r>
      <w:r w:rsidRPr="009C79E5">
        <w:rPr>
          <w:rFonts w:ascii="Times New Roman" w:hAnsi="Times New Roman"/>
        </w:rPr>
        <w:t xml:space="preserve"> </w:t>
      </w:r>
    </w:p>
    <w:p w:rsidR="004453B7" w:rsidRPr="009C79E5" w:rsidRDefault="004453B7" w:rsidP="00476E6F">
      <w:pPr>
        <w:suppressAutoHyphens/>
        <w:ind w:left="1080"/>
        <w:rPr>
          <w:sz w:val="22"/>
          <w:szCs w:val="22"/>
        </w:rPr>
      </w:pPr>
    </w:p>
    <w:p w:rsidR="004453B7" w:rsidRPr="009C79E5" w:rsidRDefault="004453B7" w:rsidP="00476E6F">
      <w:pPr>
        <w:pStyle w:val="ListParagraph"/>
        <w:numPr>
          <w:ilvl w:val="0"/>
          <w:numId w:val="15"/>
        </w:numPr>
        <w:suppressAutoHyphens/>
        <w:spacing w:after="0" w:line="240" w:lineRule="auto"/>
        <w:ind w:left="1080"/>
        <w:contextualSpacing w:val="0"/>
        <w:rPr>
          <w:rFonts w:ascii="Times New Roman" w:hAnsi="Times New Roman"/>
        </w:rPr>
      </w:pPr>
      <w:r w:rsidRPr="009C79E5">
        <w:rPr>
          <w:rFonts w:ascii="Times New Roman" w:hAnsi="Times New Roman"/>
          <w:i/>
        </w:rPr>
        <w:t>Consumer Groups Petition</w:t>
      </w:r>
      <w:r w:rsidRPr="009C79E5">
        <w:rPr>
          <w:rFonts w:ascii="Times New Roman" w:hAnsi="Times New Roman"/>
        </w:rPr>
        <w:t>.  The Commission deferred resolution of a request from various consumer groups to impose synchronization requirements on device manufacturers until further information is available on this issue.</w:t>
      </w:r>
      <w:r w:rsidRPr="009C79E5">
        <w:rPr>
          <w:rStyle w:val="FootnoteReference"/>
          <w:rFonts w:ascii="Times New Roman" w:hAnsi="Times New Roman"/>
        </w:rPr>
        <w:footnoteReference w:id="488"/>
      </w:r>
      <w:r w:rsidRPr="009C79E5">
        <w:rPr>
          <w:rFonts w:ascii="Times New Roman" w:hAnsi="Times New Roman"/>
        </w:rPr>
        <w:t xml:space="preserve">  </w:t>
      </w:r>
    </w:p>
    <w:p w:rsidR="004453B7" w:rsidRPr="009C79E5" w:rsidRDefault="004453B7" w:rsidP="00476E6F">
      <w:pPr>
        <w:suppressLineNumbers/>
        <w:suppressAutoHyphens/>
        <w:ind w:left="720"/>
        <w:rPr>
          <w:sz w:val="22"/>
          <w:szCs w:val="22"/>
        </w:rPr>
      </w:pPr>
    </w:p>
    <w:p w:rsidR="004453B7" w:rsidRPr="008D556C" w:rsidRDefault="004453B7" w:rsidP="00476E6F">
      <w:pPr>
        <w:numPr>
          <w:ilvl w:val="0"/>
          <w:numId w:val="2"/>
        </w:numPr>
        <w:suppressLineNumbers/>
        <w:tabs>
          <w:tab w:val="clear" w:pos="720"/>
          <w:tab w:val="num" w:pos="1440"/>
        </w:tabs>
        <w:suppressAutoHyphens/>
        <w:ind w:left="0" w:firstLine="720"/>
        <w:rPr>
          <w:sz w:val="22"/>
          <w:szCs w:val="22"/>
        </w:rPr>
      </w:pPr>
      <w:r w:rsidRPr="009C79E5">
        <w:rPr>
          <w:i/>
          <w:sz w:val="22"/>
          <w:szCs w:val="22"/>
        </w:rPr>
        <w:t>Apparatus – Video Description and Emergency Information Requirements</w:t>
      </w:r>
      <w:r w:rsidRPr="009C79E5">
        <w:rPr>
          <w:sz w:val="22"/>
          <w:szCs w:val="22"/>
        </w:rPr>
        <w:t xml:space="preserve">.  Section 203(a), which amends Section 303(u) of the Act, requires, if technically feasible, </w:t>
      </w:r>
      <w:r w:rsidRPr="009C79E5">
        <w:rPr>
          <w:spacing w:val="-2"/>
          <w:sz w:val="22"/>
          <w:szCs w:val="22"/>
        </w:rPr>
        <w:t>apparatus</w:t>
      </w:r>
      <w:r w:rsidRPr="009C79E5">
        <w:rPr>
          <w:sz w:val="22"/>
          <w:szCs w:val="22"/>
        </w:rPr>
        <w:t xml:space="preserve"> designed to receive or play back video programming that uses a picture screen of any size to have the capability to decode and make available the transmission and delivery of required video description services; and to have the capability to decode and make available emergency information in a manner that is accessible to individuals who are blind or visually impaired.</w:t>
      </w:r>
      <w:r w:rsidRPr="008D556C">
        <w:rPr>
          <w:rStyle w:val="FootnoteReference"/>
          <w:sz w:val="22"/>
          <w:szCs w:val="22"/>
        </w:rPr>
        <w:footnoteReference w:id="489"/>
      </w:r>
      <w:r w:rsidRPr="008D556C">
        <w:rPr>
          <w:sz w:val="22"/>
          <w:szCs w:val="22"/>
        </w:rPr>
        <w:t xml:space="preserve">  Such apparatus that uses a picture screen that is less than 13 inches in size must meet these requirements only if they are achievable.</w:t>
      </w:r>
      <w:r w:rsidRPr="008D556C">
        <w:rPr>
          <w:rStyle w:val="FootnoteReference"/>
          <w:sz w:val="22"/>
          <w:szCs w:val="22"/>
        </w:rPr>
        <w:footnoteReference w:id="490"/>
      </w:r>
      <w:r w:rsidRPr="008D556C">
        <w:rPr>
          <w:sz w:val="22"/>
          <w:szCs w:val="22"/>
        </w:rPr>
        <w:t xml:space="preserve">  Section 203(b) of the CVAA, which adds Section 303(z) to the </w:t>
      </w:r>
      <w:r w:rsidRPr="003511DC">
        <w:rPr>
          <w:sz w:val="22"/>
          <w:szCs w:val="22"/>
        </w:rPr>
        <w:t>Act, requires that, if achievable</w:t>
      </w:r>
      <w:r w:rsidRPr="00BF0859">
        <w:rPr>
          <w:sz w:val="22"/>
          <w:szCs w:val="22"/>
        </w:rPr>
        <w:t>, apparatus designed to record video programming must enable the rendering or the pass through of video description signals and emergency information, such that viewers are able to activate and de-activate those functions a</w:t>
      </w:r>
      <w:r w:rsidRPr="006C02D7">
        <w:rPr>
          <w:sz w:val="22"/>
          <w:szCs w:val="22"/>
        </w:rPr>
        <w:t>s the video programming is played back on a picture screen of any size.</w:t>
      </w:r>
      <w:r w:rsidRPr="008D556C">
        <w:rPr>
          <w:rStyle w:val="FootnoteReference"/>
          <w:sz w:val="22"/>
          <w:szCs w:val="22"/>
        </w:rPr>
        <w:footnoteReference w:id="491"/>
      </w:r>
      <w:r w:rsidRPr="008D556C">
        <w:rPr>
          <w:sz w:val="22"/>
          <w:szCs w:val="22"/>
        </w:rPr>
        <w:t xml:space="preserve">  This section </w:t>
      </w:r>
      <w:r w:rsidR="00C67DB8" w:rsidRPr="003511DC">
        <w:rPr>
          <w:sz w:val="22"/>
          <w:szCs w:val="22"/>
        </w:rPr>
        <w:t xml:space="preserve">of the CVAA </w:t>
      </w:r>
      <w:r w:rsidRPr="00BF0859">
        <w:rPr>
          <w:sz w:val="22"/>
          <w:szCs w:val="22"/>
        </w:rPr>
        <w:t>also addresses requirements for interconnection mechanisms and standards for digital video source devices.</w:t>
      </w:r>
      <w:r w:rsidRPr="008D556C">
        <w:rPr>
          <w:rStyle w:val="FootnoteReference"/>
          <w:sz w:val="22"/>
          <w:szCs w:val="22"/>
        </w:rPr>
        <w:footnoteReference w:id="492"/>
      </w:r>
      <w:r w:rsidRPr="008D556C">
        <w:rPr>
          <w:sz w:val="22"/>
          <w:szCs w:val="22"/>
        </w:rPr>
        <w:t xml:space="preserve">  Section 203(d)(2) requires the Commission to ado</w:t>
      </w:r>
      <w:r w:rsidRPr="003511DC">
        <w:rPr>
          <w:sz w:val="22"/>
          <w:szCs w:val="22"/>
        </w:rPr>
        <w:t>pt implementing regulations for t</w:t>
      </w:r>
      <w:r w:rsidRPr="00BF0859">
        <w:rPr>
          <w:sz w:val="22"/>
          <w:szCs w:val="22"/>
        </w:rPr>
        <w:t>hese provisions within 18 months after the second VPAAC report is submitted to the Commission, or by October 9, 2013.</w:t>
      </w:r>
      <w:r w:rsidRPr="008D556C">
        <w:rPr>
          <w:rStyle w:val="FootnoteReference"/>
          <w:sz w:val="22"/>
          <w:szCs w:val="22"/>
        </w:rPr>
        <w:footnoteReference w:id="493"/>
      </w:r>
    </w:p>
    <w:p w:rsidR="004453B7" w:rsidRPr="003511DC" w:rsidRDefault="004453B7" w:rsidP="00476E6F">
      <w:pPr>
        <w:suppressLineNumbers/>
        <w:suppressAutoHyphens/>
        <w:ind w:left="720"/>
        <w:rPr>
          <w:sz w:val="22"/>
          <w:szCs w:val="22"/>
        </w:rPr>
      </w:pPr>
    </w:p>
    <w:p w:rsidR="004453B7" w:rsidRPr="003511DC" w:rsidRDefault="004453B7" w:rsidP="00476E6F">
      <w:pPr>
        <w:numPr>
          <w:ilvl w:val="0"/>
          <w:numId w:val="2"/>
        </w:numPr>
        <w:suppressLineNumbers/>
        <w:tabs>
          <w:tab w:val="clear" w:pos="720"/>
          <w:tab w:val="num" w:pos="1440"/>
        </w:tabs>
        <w:suppressAutoHyphens/>
        <w:ind w:left="0" w:firstLine="720"/>
        <w:rPr>
          <w:sz w:val="22"/>
          <w:szCs w:val="22"/>
        </w:rPr>
      </w:pPr>
      <w:r w:rsidRPr="00BF0859">
        <w:rPr>
          <w:sz w:val="22"/>
          <w:szCs w:val="22"/>
        </w:rPr>
        <w:t xml:space="preserve">Since the </w:t>
      </w:r>
      <w:r w:rsidRPr="00FF1FD9">
        <w:rPr>
          <w:i/>
          <w:sz w:val="22"/>
          <w:szCs w:val="22"/>
        </w:rPr>
        <w:t>2012 CVAA Biennial Report</w:t>
      </w:r>
      <w:r w:rsidRPr="00FF1FD9">
        <w:rPr>
          <w:sz w:val="22"/>
          <w:szCs w:val="22"/>
        </w:rPr>
        <w:t>, in November 2012, the Commission proposed rules to implement these</w:t>
      </w:r>
      <w:r w:rsidRPr="006C02D7">
        <w:rPr>
          <w:sz w:val="22"/>
          <w:szCs w:val="22"/>
        </w:rPr>
        <w:t xml:space="preserve"> apparatus requirements with respect to video description and accessible emergency information.</w:t>
      </w:r>
      <w:r w:rsidRPr="008D556C">
        <w:rPr>
          <w:sz w:val="22"/>
          <w:szCs w:val="22"/>
          <w:vertAlign w:val="superscript"/>
        </w:rPr>
        <w:footnoteReference w:id="494"/>
      </w:r>
      <w:r w:rsidRPr="008D556C">
        <w:rPr>
          <w:sz w:val="22"/>
          <w:szCs w:val="22"/>
        </w:rPr>
        <w:t xml:space="preserve">  On April 8, 2013, six months in advance of the CVAA deadline, the Commission adopted rules requiring that certain video programming apparatus be capable of de</w:t>
      </w:r>
      <w:r w:rsidRPr="003511DC">
        <w:rPr>
          <w:sz w:val="22"/>
          <w:szCs w:val="22"/>
        </w:rPr>
        <w:t>livering video description and ac</w:t>
      </w:r>
      <w:r w:rsidRPr="00BF0859">
        <w:rPr>
          <w:sz w:val="22"/>
          <w:szCs w:val="22"/>
        </w:rPr>
        <w:t>cessible emergency information to individuals who are blind or visually impaired.</w:t>
      </w:r>
      <w:r w:rsidRPr="008D556C">
        <w:rPr>
          <w:rStyle w:val="FootnoteReference"/>
          <w:sz w:val="22"/>
          <w:szCs w:val="22"/>
        </w:rPr>
        <w:footnoteReference w:id="495"/>
      </w:r>
      <w:r w:rsidRPr="008D556C">
        <w:rPr>
          <w:rFonts w:eastAsia="Lucida Grande"/>
          <w:sz w:val="22"/>
          <w:szCs w:val="22"/>
        </w:rPr>
        <w:t xml:space="preserve">  The new rules apply to apparatus designed to receive or play back video programming and require the capability to decode and make available</w:t>
      </w:r>
      <w:r w:rsidRPr="003511DC">
        <w:rPr>
          <w:rFonts w:eastAsia="Lucida Grande"/>
          <w:sz w:val="22"/>
          <w:szCs w:val="22"/>
        </w:rPr>
        <w:t xml:space="preserve"> the secondary audio stream to fa</w:t>
      </w:r>
      <w:r w:rsidRPr="00BF0859">
        <w:rPr>
          <w:rFonts w:eastAsia="Lucida Grande"/>
          <w:sz w:val="22"/>
          <w:szCs w:val="22"/>
        </w:rPr>
        <w:t>cilitate the transmission and delivery of video description and accessible emergency information as defined by the Commission’s rules.</w:t>
      </w:r>
      <w:r w:rsidRPr="008D556C">
        <w:rPr>
          <w:rStyle w:val="FootnoteReference"/>
          <w:rFonts w:eastAsia="Lucida Grande"/>
          <w:sz w:val="22"/>
          <w:szCs w:val="22"/>
        </w:rPr>
        <w:footnoteReference w:id="496"/>
      </w:r>
      <w:r w:rsidRPr="008D556C">
        <w:rPr>
          <w:rFonts w:eastAsia="Lucida Grande"/>
          <w:sz w:val="22"/>
          <w:szCs w:val="22"/>
        </w:rPr>
        <w:t xml:space="preserve">  The new rules also apply to apparatus designed to record video programming and require</w:t>
      </w:r>
      <w:r w:rsidRPr="003511DC">
        <w:rPr>
          <w:rFonts w:eastAsia="Lucida Grande"/>
          <w:sz w:val="22"/>
          <w:szCs w:val="22"/>
        </w:rPr>
        <w:t xml:space="preserve"> those devices to store the secon</w:t>
      </w:r>
      <w:r w:rsidRPr="00BF0859">
        <w:rPr>
          <w:rFonts w:eastAsia="Lucida Grande"/>
          <w:sz w:val="22"/>
          <w:szCs w:val="22"/>
        </w:rPr>
        <w:t>dary audio stream so that consumers can switch between the main program audio and the secondary audio stream when viewing recorded video programming.</w:t>
      </w:r>
      <w:r w:rsidRPr="008D556C">
        <w:rPr>
          <w:rStyle w:val="FootnoteReference"/>
          <w:rFonts w:eastAsia="Lucida Grande"/>
          <w:sz w:val="22"/>
          <w:szCs w:val="22"/>
        </w:rPr>
        <w:footnoteReference w:id="497"/>
      </w:r>
      <w:r w:rsidRPr="008D556C">
        <w:rPr>
          <w:rFonts w:eastAsia="Lucida Grande"/>
          <w:sz w:val="22"/>
          <w:szCs w:val="22"/>
        </w:rPr>
        <w:t xml:space="preserve">  The Commission’s new rules also codified the requirement for devices to</w:t>
      </w:r>
      <w:r w:rsidRPr="003511DC">
        <w:rPr>
          <w:rFonts w:eastAsia="Lucida Grande"/>
          <w:sz w:val="22"/>
          <w:szCs w:val="22"/>
        </w:rPr>
        <w:t xml:space="preserve"> use interconnection mechanisms t</w:t>
      </w:r>
      <w:r w:rsidRPr="00BF0859">
        <w:rPr>
          <w:rFonts w:eastAsia="Lucida Grande"/>
          <w:sz w:val="22"/>
          <w:szCs w:val="22"/>
        </w:rPr>
        <w:t>hat make available audio provided via a secondary audio stream.</w:t>
      </w:r>
      <w:r w:rsidRPr="008D556C">
        <w:rPr>
          <w:rStyle w:val="FootnoteReference"/>
          <w:rFonts w:eastAsia="Lucida Grande"/>
          <w:sz w:val="22"/>
          <w:szCs w:val="22"/>
        </w:rPr>
        <w:footnoteReference w:id="498"/>
      </w:r>
      <w:r w:rsidRPr="008D556C">
        <w:rPr>
          <w:rFonts w:eastAsia="Lucida Grande"/>
          <w:sz w:val="22"/>
          <w:szCs w:val="22"/>
        </w:rPr>
        <w:t xml:space="preserve">  </w:t>
      </w:r>
      <w:r w:rsidRPr="003511DC">
        <w:rPr>
          <w:sz w:val="22"/>
          <w:szCs w:val="22"/>
        </w:rPr>
        <w:t>Professional and commercial equipment, along with display-only monitors are excluded.</w:t>
      </w:r>
      <w:r w:rsidRPr="008D556C">
        <w:rPr>
          <w:rStyle w:val="FootnoteReference"/>
          <w:sz w:val="22"/>
          <w:szCs w:val="22"/>
        </w:rPr>
        <w:footnoteReference w:id="499"/>
      </w:r>
      <w:r w:rsidRPr="008D556C">
        <w:rPr>
          <w:sz w:val="22"/>
          <w:szCs w:val="22"/>
        </w:rPr>
        <w:t xml:space="preserve">  </w:t>
      </w:r>
      <w:r w:rsidRPr="003511DC">
        <w:rPr>
          <w:rFonts w:eastAsia="Lucida Grande"/>
          <w:sz w:val="22"/>
          <w:szCs w:val="22"/>
        </w:rPr>
        <w:t>The Commission noted that most covered apparatus already make seconda</w:t>
      </w:r>
      <w:r w:rsidRPr="00BF0859">
        <w:rPr>
          <w:rFonts w:eastAsia="Lucida Grande"/>
          <w:sz w:val="22"/>
          <w:szCs w:val="22"/>
        </w:rPr>
        <w:t>ry audio streams available today.</w:t>
      </w:r>
      <w:r w:rsidRPr="008D556C">
        <w:rPr>
          <w:rStyle w:val="FootnoteReference"/>
          <w:rFonts w:eastAsia="Lucida Grande"/>
          <w:sz w:val="22"/>
          <w:szCs w:val="22"/>
        </w:rPr>
        <w:footnoteReference w:id="500"/>
      </w:r>
      <w:r w:rsidRPr="008D556C">
        <w:rPr>
          <w:rFonts w:eastAsia="Lucida Grande"/>
          <w:sz w:val="22"/>
          <w:szCs w:val="22"/>
        </w:rPr>
        <w:t xml:space="preserve">  C</w:t>
      </w:r>
      <w:r w:rsidRPr="003511DC">
        <w:rPr>
          <w:sz w:val="22"/>
          <w:szCs w:val="22"/>
        </w:rPr>
        <w:t xml:space="preserve">overed devices that do not yet comply with these requirements must comply </w:t>
      </w:r>
      <w:r w:rsidRPr="00BF0859">
        <w:rPr>
          <w:rFonts w:eastAsia="Lucida Grande"/>
          <w:sz w:val="22"/>
          <w:szCs w:val="22"/>
        </w:rPr>
        <w:t>by May 26, 2015.</w:t>
      </w:r>
      <w:r w:rsidRPr="008D556C">
        <w:rPr>
          <w:rStyle w:val="FootnoteReference"/>
          <w:rFonts w:eastAsia="Lucida Grande"/>
          <w:sz w:val="22"/>
          <w:szCs w:val="22"/>
        </w:rPr>
        <w:footnoteReference w:id="501"/>
      </w:r>
      <w:r w:rsidRPr="008D556C">
        <w:rPr>
          <w:rFonts w:eastAsia="Lucida Grande"/>
          <w:sz w:val="22"/>
          <w:szCs w:val="22"/>
        </w:rPr>
        <w:t xml:space="preserve"> </w:t>
      </w:r>
    </w:p>
    <w:p w:rsidR="004453B7" w:rsidRPr="00BF0859" w:rsidRDefault="004453B7" w:rsidP="00476E6F">
      <w:pPr>
        <w:suppressLineNumbers/>
        <w:suppressAutoHyphens/>
        <w:ind w:left="720"/>
        <w:rPr>
          <w:sz w:val="22"/>
          <w:szCs w:val="22"/>
        </w:rPr>
      </w:pPr>
    </w:p>
    <w:p w:rsidR="004453B7" w:rsidRPr="008D556C" w:rsidRDefault="004453B7" w:rsidP="00476E6F">
      <w:pPr>
        <w:numPr>
          <w:ilvl w:val="0"/>
          <w:numId w:val="2"/>
        </w:numPr>
        <w:suppressLineNumbers/>
        <w:tabs>
          <w:tab w:val="clear" w:pos="720"/>
          <w:tab w:val="num" w:pos="1440"/>
        </w:tabs>
        <w:suppressAutoHyphens/>
        <w:ind w:left="0" w:firstLine="720"/>
        <w:rPr>
          <w:sz w:val="22"/>
          <w:szCs w:val="22"/>
        </w:rPr>
      </w:pPr>
      <w:r w:rsidRPr="006C02D7">
        <w:rPr>
          <w:rFonts w:eastAsia="Lucida Grande"/>
          <w:sz w:val="22"/>
          <w:szCs w:val="22"/>
        </w:rPr>
        <w:t xml:space="preserve">In a further notice of proposed rulemaking accompanying the </w:t>
      </w:r>
      <w:r w:rsidRPr="006C02D7">
        <w:rPr>
          <w:i/>
          <w:sz w:val="22"/>
          <w:szCs w:val="22"/>
        </w:rPr>
        <w:t>Emergency Information and Video Description Order</w:t>
      </w:r>
      <w:r w:rsidRPr="009C79E5">
        <w:rPr>
          <w:rFonts w:eastAsia="Lucida Grande"/>
          <w:sz w:val="22"/>
          <w:szCs w:val="22"/>
        </w:rPr>
        <w:t>, the Commission sought further comment on the following issues:  (1) whether additional time would be needed for MVPDs and/or manufacturers if they were required to make a secondary audio stream available for linear video programming services provided via tablets, laptops, personal computers, smartphones, or similar devices; (2) whether to require tagging or labeling of content on the secondary audio stream to help consumers locate the stream when desired content is present; and (3) whether the FCC should require companies covered by the new rules to provide contact information and customer support services to help consumers who are blind or visually impaired navigate between the main and secondary audio streams.</w:t>
      </w:r>
      <w:r w:rsidRPr="008D556C">
        <w:rPr>
          <w:rStyle w:val="FootnoteReference"/>
          <w:rFonts w:eastAsia="Lucida Grande"/>
          <w:sz w:val="22"/>
          <w:szCs w:val="22"/>
        </w:rPr>
        <w:footnoteReference w:id="502"/>
      </w:r>
      <w:r w:rsidRPr="008D556C">
        <w:rPr>
          <w:rFonts w:eastAsia="Lucida Grande"/>
          <w:sz w:val="22"/>
          <w:szCs w:val="22"/>
        </w:rPr>
        <w:t xml:space="preserve">  In addition, i</w:t>
      </w:r>
      <w:r w:rsidRPr="003511DC">
        <w:rPr>
          <w:sz w:val="22"/>
          <w:szCs w:val="22"/>
        </w:rPr>
        <w:t>n a further notice of proposed rulemaking ac</w:t>
      </w:r>
      <w:r w:rsidRPr="00BF0859">
        <w:rPr>
          <w:sz w:val="22"/>
          <w:szCs w:val="22"/>
        </w:rPr>
        <w:t>companying an unrelated CVAA proceeding – which established requirements for accessible user interfaces and programming guides and menus provided by navigation devices</w:t>
      </w:r>
      <w:r w:rsidRPr="008D556C">
        <w:rPr>
          <w:rStyle w:val="FootnoteReference"/>
          <w:sz w:val="22"/>
          <w:szCs w:val="22"/>
        </w:rPr>
        <w:footnoteReference w:id="503"/>
      </w:r>
      <w:r w:rsidRPr="008D556C">
        <w:rPr>
          <w:sz w:val="22"/>
          <w:szCs w:val="22"/>
        </w:rPr>
        <w:t xml:space="preserve"> – the Commission sought public comment on whether </w:t>
      </w:r>
      <w:r w:rsidRPr="003511DC">
        <w:rPr>
          <w:rFonts w:eastAsia="ヒラギノ角ゴ Pro W3"/>
          <w:sz w:val="22"/>
          <w:szCs w:val="22"/>
        </w:rPr>
        <w:t>manufacturers of apparatus covered by</w:t>
      </w:r>
      <w:r w:rsidRPr="00BF0859">
        <w:rPr>
          <w:rFonts w:eastAsia="ヒラギノ角ゴ Pro W3"/>
          <w:sz w:val="22"/>
          <w:szCs w:val="22"/>
        </w:rPr>
        <w:t xml:space="preserve"> Section 203 of the CVAA should be required to provide access to the secondary audio stream used for audible emergency information by a mechanism reasonably comparable to a button, key, or icon.</w:t>
      </w:r>
      <w:r w:rsidRPr="008D556C">
        <w:rPr>
          <w:sz w:val="22"/>
          <w:szCs w:val="22"/>
          <w:vertAlign w:val="superscript"/>
        </w:rPr>
        <w:footnoteReference w:id="504"/>
      </w:r>
      <w:r w:rsidRPr="008D556C">
        <w:rPr>
          <w:sz w:val="22"/>
          <w:szCs w:val="22"/>
        </w:rPr>
        <w:t xml:space="preserve">  Both of these proceedings are pending before the Commission</w:t>
      </w:r>
      <w:r w:rsidRPr="003511DC">
        <w:rPr>
          <w:sz w:val="22"/>
          <w:szCs w:val="22"/>
        </w:rPr>
        <w:t>.</w:t>
      </w:r>
      <w:r w:rsidRPr="008D556C">
        <w:rPr>
          <w:rStyle w:val="FootnoteReference"/>
          <w:sz w:val="22"/>
          <w:szCs w:val="22"/>
        </w:rPr>
        <w:footnoteReference w:id="505"/>
      </w:r>
    </w:p>
    <w:p w:rsidR="004453B7" w:rsidRPr="003511DC" w:rsidRDefault="004453B7" w:rsidP="00476E6F">
      <w:pPr>
        <w:suppressLineNumbers/>
        <w:suppressAutoHyphens/>
        <w:ind w:left="720"/>
        <w:rPr>
          <w:sz w:val="22"/>
          <w:szCs w:val="22"/>
        </w:rPr>
      </w:pPr>
    </w:p>
    <w:p w:rsidR="004453B7" w:rsidRPr="009C79E5" w:rsidRDefault="004453B7" w:rsidP="00476E6F">
      <w:pPr>
        <w:suppressAutoHyphens/>
        <w:ind w:firstLine="720"/>
        <w:rPr>
          <w:b/>
          <w:sz w:val="22"/>
          <w:szCs w:val="22"/>
        </w:rPr>
      </w:pPr>
      <w:r w:rsidRPr="00BF0859">
        <w:rPr>
          <w:b/>
          <w:sz w:val="22"/>
          <w:szCs w:val="22"/>
        </w:rPr>
        <w:t>I.</w:t>
      </w:r>
      <w:r w:rsidRPr="00BF0859">
        <w:rPr>
          <w:b/>
          <w:sz w:val="22"/>
          <w:szCs w:val="22"/>
        </w:rPr>
        <w:tab/>
        <w:t xml:space="preserve">Section 204.  User </w:t>
      </w:r>
      <w:r w:rsidR="0072164E" w:rsidRPr="00FF1FD9">
        <w:rPr>
          <w:b/>
          <w:sz w:val="22"/>
          <w:szCs w:val="22"/>
        </w:rPr>
        <w:t>I</w:t>
      </w:r>
      <w:r w:rsidRPr="006C02D7">
        <w:rPr>
          <w:b/>
          <w:sz w:val="22"/>
          <w:szCs w:val="22"/>
        </w:rPr>
        <w:t xml:space="preserve">nterfaces on </w:t>
      </w:r>
      <w:r w:rsidR="0072164E" w:rsidRPr="006C02D7">
        <w:rPr>
          <w:b/>
          <w:sz w:val="22"/>
          <w:szCs w:val="22"/>
        </w:rPr>
        <w:t>D</w:t>
      </w:r>
      <w:r w:rsidRPr="006C02D7">
        <w:rPr>
          <w:b/>
          <w:sz w:val="22"/>
          <w:szCs w:val="22"/>
        </w:rPr>
        <w:t xml:space="preserve">igital </w:t>
      </w:r>
      <w:r w:rsidR="0072164E" w:rsidRPr="006C02D7">
        <w:rPr>
          <w:b/>
          <w:sz w:val="22"/>
          <w:szCs w:val="22"/>
        </w:rPr>
        <w:t>A</w:t>
      </w:r>
      <w:r w:rsidRPr="009C5E08">
        <w:rPr>
          <w:b/>
          <w:sz w:val="22"/>
          <w:szCs w:val="22"/>
        </w:rPr>
        <w:t>pparatus</w:t>
      </w:r>
    </w:p>
    <w:p w:rsidR="004453B7" w:rsidRPr="009C79E5" w:rsidRDefault="004453B7" w:rsidP="00476E6F">
      <w:pPr>
        <w:suppressLineNumbers/>
        <w:suppressAutoHyphens/>
        <w:ind w:left="720"/>
        <w:rPr>
          <w:sz w:val="22"/>
          <w:szCs w:val="22"/>
        </w:rPr>
      </w:pPr>
    </w:p>
    <w:p w:rsidR="004453B7" w:rsidRPr="008D556C" w:rsidRDefault="004453B7" w:rsidP="00476E6F">
      <w:pPr>
        <w:numPr>
          <w:ilvl w:val="0"/>
          <w:numId w:val="2"/>
        </w:numPr>
        <w:suppressLineNumbers/>
        <w:tabs>
          <w:tab w:val="clear" w:pos="720"/>
          <w:tab w:val="num" w:pos="1440"/>
        </w:tabs>
        <w:suppressAutoHyphens/>
        <w:ind w:left="0" w:firstLine="720"/>
        <w:rPr>
          <w:sz w:val="22"/>
          <w:szCs w:val="22"/>
        </w:rPr>
      </w:pPr>
      <w:r w:rsidRPr="009C79E5">
        <w:rPr>
          <w:sz w:val="22"/>
          <w:szCs w:val="22"/>
        </w:rPr>
        <w:t>Section 204 of the CVAA establishes accessibility requirements for user interfaces on digital apparatus designed to receive or play back video programming, including video programming transmitted in digital format using IP.</w:t>
      </w:r>
      <w:r w:rsidRPr="008D556C">
        <w:rPr>
          <w:rStyle w:val="FootnoteReference"/>
          <w:sz w:val="22"/>
          <w:szCs w:val="22"/>
        </w:rPr>
        <w:footnoteReference w:id="506"/>
      </w:r>
      <w:r w:rsidRPr="008D556C">
        <w:rPr>
          <w:sz w:val="22"/>
          <w:szCs w:val="22"/>
        </w:rPr>
        <w:t xml:space="preserve">  </w:t>
      </w:r>
      <w:r w:rsidRPr="003511DC">
        <w:rPr>
          <w:sz w:val="22"/>
          <w:szCs w:val="22"/>
        </w:rPr>
        <w:t>The term “apparatus” does not include a navigation device.</w:t>
      </w:r>
      <w:r w:rsidRPr="008D556C">
        <w:rPr>
          <w:rStyle w:val="FootnoteReference"/>
          <w:sz w:val="22"/>
          <w:szCs w:val="22"/>
        </w:rPr>
        <w:footnoteReference w:id="507"/>
      </w:r>
      <w:r w:rsidRPr="008D556C">
        <w:rPr>
          <w:sz w:val="22"/>
          <w:szCs w:val="22"/>
        </w:rPr>
        <w:t xml:space="preserve">  Section 204(a) adds Section 303(aa) to the Act to require, if achievable, that such apparatus be designed, developed, and fabricated so that control of appropriat</w:t>
      </w:r>
      <w:r w:rsidRPr="003511DC">
        <w:rPr>
          <w:sz w:val="22"/>
          <w:szCs w:val="22"/>
        </w:rPr>
        <w:t>e built-in apparatus functions ar</w:t>
      </w:r>
      <w:r w:rsidRPr="00BF0859">
        <w:rPr>
          <w:sz w:val="22"/>
          <w:szCs w:val="22"/>
        </w:rPr>
        <w:t>e accessible to and usable by individuals who are blind or visually impaired, including real-time audio output for on-screen text menus or other visual indicators used to access those functions.</w:t>
      </w:r>
      <w:r w:rsidRPr="008D556C">
        <w:rPr>
          <w:rStyle w:val="FootnoteReference"/>
          <w:sz w:val="22"/>
          <w:szCs w:val="22"/>
        </w:rPr>
        <w:footnoteReference w:id="508"/>
      </w:r>
      <w:r w:rsidRPr="008D556C">
        <w:rPr>
          <w:sz w:val="22"/>
          <w:szCs w:val="22"/>
        </w:rPr>
        <w:t xml:space="preserve">  This section also mandates</w:t>
      </w:r>
      <w:r w:rsidRPr="003511DC">
        <w:rPr>
          <w:sz w:val="22"/>
          <w:szCs w:val="22"/>
        </w:rPr>
        <w:t xml:space="preserve"> access to closed captioning and </w:t>
      </w:r>
      <w:r w:rsidRPr="00BF0859">
        <w:rPr>
          <w:sz w:val="22"/>
          <w:szCs w:val="22"/>
        </w:rPr>
        <w:t>video description features through the use of a mechanism that is reasonably comparable to a button, key, or icon designated for activating such features.</w:t>
      </w:r>
      <w:r w:rsidRPr="008D556C">
        <w:rPr>
          <w:rStyle w:val="FootnoteReference"/>
          <w:sz w:val="22"/>
          <w:szCs w:val="22"/>
        </w:rPr>
        <w:footnoteReference w:id="509"/>
      </w:r>
    </w:p>
    <w:p w:rsidR="004453B7" w:rsidRPr="003511DC" w:rsidRDefault="004453B7" w:rsidP="00476E6F">
      <w:pPr>
        <w:suppressLineNumbers/>
        <w:suppressAutoHyphens/>
        <w:ind w:left="720"/>
        <w:rPr>
          <w:sz w:val="22"/>
          <w:szCs w:val="22"/>
        </w:rPr>
      </w:pPr>
    </w:p>
    <w:p w:rsidR="004453B7" w:rsidRPr="008D556C" w:rsidRDefault="004453B7" w:rsidP="00476E6F">
      <w:pPr>
        <w:numPr>
          <w:ilvl w:val="0"/>
          <w:numId w:val="2"/>
        </w:numPr>
        <w:suppressLineNumbers/>
        <w:tabs>
          <w:tab w:val="clear" w:pos="720"/>
          <w:tab w:val="num" w:pos="1440"/>
        </w:tabs>
        <w:suppressAutoHyphens/>
        <w:ind w:left="0" w:firstLine="720"/>
        <w:rPr>
          <w:sz w:val="22"/>
          <w:szCs w:val="22"/>
        </w:rPr>
      </w:pPr>
      <w:r w:rsidRPr="00BF0859">
        <w:rPr>
          <w:sz w:val="22"/>
          <w:szCs w:val="22"/>
        </w:rPr>
        <w:t xml:space="preserve">Since the </w:t>
      </w:r>
      <w:r w:rsidRPr="00FF1FD9">
        <w:rPr>
          <w:i/>
          <w:sz w:val="22"/>
          <w:szCs w:val="22"/>
        </w:rPr>
        <w:t>2012 CVAA Biennial Report</w:t>
      </w:r>
      <w:r w:rsidRPr="006C02D7">
        <w:rPr>
          <w:sz w:val="22"/>
          <w:szCs w:val="22"/>
        </w:rPr>
        <w:t>, in May 2013, the Commission proposed rules to implement these accessibility requirements for apparatus used to view video programming.</w:t>
      </w:r>
      <w:r w:rsidRPr="008D556C">
        <w:rPr>
          <w:sz w:val="22"/>
          <w:szCs w:val="22"/>
          <w:vertAlign w:val="superscript"/>
        </w:rPr>
        <w:footnoteReference w:id="510"/>
      </w:r>
      <w:r w:rsidRPr="008D556C">
        <w:rPr>
          <w:sz w:val="22"/>
          <w:szCs w:val="22"/>
        </w:rPr>
        <w:t xml:space="preserve">  On October 29, 2013, the Commission adopted rules to implement these requirements, in accordance with the CVAA.</w:t>
      </w:r>
      <w:r w:rsidRPr="008D556C">
        <w:rPr>
          <w:sz w:val="22"/>
          <w:szCs w:val="22"/>
          <w:vertAlign w:val="superscript"/>
        </w:rPr>
        <w:footnoteReference w:id="511"/>
      </w:r>
    </w:p>
    <w:p w:rsidR="004453B7" w:rsidRPr="003511DC" w:rsidRDefault="004453B7" w:rsidP="00476E6F">
      <w:pPr>
        <w:suppressLineNumbers/>
        <w:suppressAutoHyphens/>
        <w:ind w:left="720"/>
        <w:rPr>
          <w:sz w:val="22"/>
          <w:szCs w:val="22"/>
        </w:rPr>
      </w:pPr>
    </w:p>
    <w:p w:rsidR="004453B7" w:rsidRPr="008D556C" w:rsidRDefault="004453B7" w:rsidP="00476E6F">
      <w:pPr>
        <w:numPr>
          <w:ilvl w:val="0"/>
          <w:numId w:val="2"/>
        </w:numPr>
        <w:suppressLineNumbers/>
        <w:tabs>
          <w:tab w:val="clear" w:pos="720"/>
          <w:tab w:val="num" w:pos="1440"/>
        </w:tabs>
        <w:suppressAutoHyphens/>
        <w:ind w:left="0" w:firstLine="720"/>
        <w:rPr>
          <w:sz w:val="22"/>
          <w:szCs w:val="22"/>
        </w:rPr>
      </w:pPr>
      <w:r w:rsidRPr="00BF0859">
        <w:rPr>
          <w:sz w:val="22"/>
          <w:szCs w:val="22"/>
        </w:rPr>
        <w:t>The Commission identified the appr</w:t>
      </w:r>
      <w:r w:rsidRPr="00FF1FD9">
        <w:rPr>
          <w:sz w:val="22"/>
          <w:szCs w:val="22"/>
        </w:rPr>
        <w:t>opriate built-in functions of digital apparatus that must be accessible to individuals who are blind or visually impaired as the 11 essential functions identified by the VPAAC used for the reception, play back, or display of video programming.</w:t>
      </w:r>
      <w:r w:rsidRPr="008D556C">
        <w:rPr>
          <w:rStyle w:val="FootnoteReference"/>
          <w:sz w:val="22"/>
          <w:szCs w:val="22"/>
        </w:rPr>
        <w:footnoteReference w:id="512"/>
      </w:r>
      <w:r w:rsidRPr="008D556C">
        <w:rPr>
          <w:sz w:val="22"/>
          <w:szCs w:val="22"/>
        </w:rPr>
        <w:t xml:space="preserve">  On-screen </w:t>
      </w:r>
      <w:r w:rsidRPr="003511DC">
        <w:rPr>
          <w:sz w:val="22"/>
          <w:szCs w:val="22"/>
        </w:rPr>
        <w:t>text menus or other visual indica</w:t>
      </w:r>
      <w:r w:rsidRPr="00BF0859">
        <w:rPr>
          <w:sz w:val="22"/>
          <w:szCs w:val="22"/>
        </w:rPr>
        <w:t>tors used to access these built-in functions must be accompanied by audio output.</w:t>
      </w:r>
      <w:r w:rsidRPr="008D556C">
        <w:rPr>
          <w:rStyle w:val="FootnoteReference"/>
          <w:sz w:val="22"/>
          <w:szCs w:val="22"/>
        </w:rPr>
        <w:footnoteReference w:id="513"/>
      </w:r>
      <w:r w:rsidRPr="008D556C">
        <w:rPr>
          <w:sz w:val="22"/>
          <w:szCs w:val="22"/>
        </w:rPr>
        <w:t xml:space="preserve">  The Commission also provided guidance on the meaning of “reasonably comparable to a button, key, or icon” and determined that covered apparatus must include such a mechanism for activating closed captioning and video description, but not for other accessibility features.</w:t>
      </w:r>
      <w:r w:rsidRPr="008D556C">
        <w:rPr>
          <w:rStyle w:val="FootnoteReference"/>
          <w:sz w:val="22"/>
          <w:szCs w:val="22"/>
        </w:rPr>
        <w:footnoteReference w:id="514"/>
      </w:r>
    </w:p>
    <w:p w:rsidR="004453B7" w:rsidRPr="003511DC" w:rsidRDefault="004453B7" w:rsidP="00476E6F">
      <w:pPr>
        <w:suppressLineNumbers/>
        <w:suppressAutoHyphens/>
        <w:ind w:left="720"/>
        <w:rPr>
          <w:sz w:val="22"/>
          <w:szCs w:val="22"/>
        </w:rPr>
      </w:pPr>
    </w:p>
    <w:p w:rsidR="00BC0558" w:rsidRPr="003511DC" w:rsidRDefault="004453B7" w:rsidP="00476E6F">
      <w:pPr>
        <w:numPr>
          <w:ilvl w:val="0"/>
          <w:numId w:val="2"/>
        </w:numPr>
        <w:suppressLineNumbers/>
        <w:tabs>
          <w:tab w:val="clear" w:pos="720"/>
          <w:tab w:val="num" w:pos="1440"/>
        </w:tabs>
        <w:suppressAutoHyphens/>
        <w:ind w:left="0" w:firstLine="720"/>
        <w:rPr>
          <w:sz w:val="22"/>
          <w:szCs w:val="22"/>
        </w:rPr>
      </w:pPr>
      <w:r w:rsidRPr="00BF0859">
        <w:rPr>
          <w:sz w:val="22"/>
          <w:szCs w:val="22"/>
        </w:rPr>
        <w:t>Compliance with the new rules for accessible user interfaces is required for covered digital apparatus manufactured on or</w:t>
      </w:r>
      <w:r w:rsidRPr="006C02D7">
        <w:rPr>
          <w:sz w:val="22"/>
          <w:szCs w:val="22"/>
        </w:rPr>
        <w:t xml:space="preserve"> after December 20, 2016.</w:t>
      </w:r>
      <w:r w:rsidRPr="008D556C">
        <w:rPr>
          <w:rStyle w:val="FootnoteReference"/>
          <w:sz w:val="22"/>
          <w:szCs w:val="22"/>
        </w:rPr>
        <w:footnoteReference w:id="515"/>
      </w:r>
      <w:r w:rsidRPr="008D556C">
        <w:rPr>
          <w:sz w:val="22"/>
          <w:szCs w:val="22"/>
        </w:rPr>
        <w:t xml:space="preserve">  The n</w:t>
      </w:r>
      <w:r w:rsidRPr="003511DC">
        <w:rPr>
          <w:sz w:val="22"/>
          <w:szCs w:val="22"/>
        </w:rPr>
        <w:t>ew rules apply to digital apparatus designed to receive or play back video programming, including video programming transmitted in digital format using IP, but not navigation devices.</w:t>
      </w:r>
      <w:r w:rsidRPr="008D556C">
        <w:rPr>
          <w:rStyle w:val="FootnoteReference"/>
          <w:sz w:val="22"/>
          <w:szCs w:val="22"/>
        </w:rPr>
        <w:footnoteReference w:id="516"/>
      </w:r>
      <w:r w:rsidRPr="008D556C">
        <w:rPr>
          <w:sz w:val="22"/>
          <w:szCs w:val="22"/>
        </w:rPr>
        <w:t xml:space="preserve">  Covered devices include televisions a</w:t>
      </w:r>
      <w:r w:rsidRPr="003511DC">
        <w:rPr>
          <w:sz w:val="22"/>
          <w:szCs w:val="22"/>
        </w:rPr>
        <w:t xml:space="preserve">nd personal computers </w:t>
      </w:r>
      <w:r w:rsidRPr="00BF0859">
        <w:rPr>
          <w:i/>
          <w:sz w:val="22"/>
          <w:szCs w:val="22"/>
        </w:rPr>
        <w:t>without</w:t>
      </w:r>
      <w:r w:rsidRPr="00FF1FD9">
        <w:rPr>
          <w:sz w:val="22"/>
          <w:szCs w:val="22"/>
        </w:rPr>
        <w:t xml:space="preserve"> CableCARD or other conditional access technology, mobile devices (</w:t>
      </w:r>
      <w:r w:rsidRPr="006C02D7">
        <w:rPr>
          <w:i/>
          <w:sz w:val="22"/>
          <w:szCs w:val="22"/>
        </w:rPr>
        <w:t>e.g.,</w:t>
      </w:r>
      <w:r w:rsidRPr="006C02D7">
        <w:rPr>
          <w:sz w:val="22"/>
          <w:szCs w:val="22"/>
        </w:rPr>
        <w:t xml:space="preserve"> tablets and smartphones) </w:t>
      </w:r>
      <w:r w:rsidRPr="009C79E5">
        <w:rPr>
          <w:i/>
          <w:sz w:val="22"/>
          <w:szCs w:val="22"/>
        </w:rPr>
        <w:t>without</w:t>
      </w:r>
      <w:r w:rsidRPr="009C79E5">
        <w:rPr>
          <w:sz w:val="22"/>
          <w:szCs w:val="22"/>
        </w:rPr>
        <w:t xml:space="preserve"> MVPD applications preinstalled by the manufactures, and removable media players.</w:t>
      </w:r>
      <w:r w:rsidRPr="008D556C">
        <w:rPr>
          <w:rStyle w:val="FootnoteReference"/>
          <w:sz w:val="22"/>
          <w:szCs w:val="22"/>
        </w:rPr>
        <w:footnoteReference w:id="517"/>
      </w:r>
      <w:r w:rsidRPr="008D556C">
        <w:rPr>
          <w:sz w:val="22"/>
          <w:szCs w:val="22"/>
        </w:rPr>
        <w:t xml:space="preserve">  The rules do not apply to professional</w:t>
      </w:r>
      <w:r w:rsidRPr="003511DC">
        <w:rPr>
          <w:sz w:val="22"/>
          <w:szCs w:val="22"/>
        </w:rPr>
        <w:t xml:space="preserve"> and commercial equipment, public</w:t>
      </w:r>
      <w:r w:rsidRPr="00BF0859">
        <w:rPr>
          <w:sz w:val="22"/>
          <w:szCs w:val="22"/>
        </w:rPr>
        <w:t xml:space="preserve"> safety and enterprise equipment, or general purpose broadband equipment, such as routers.</w:t>
      </w:r>
      <w:r w:rsidRPr="008D556C">
        <w:rPr>
          <w:rStyle w:val="FootnoteReference"/>
          <w:sz w:val="22"/>
          <w:szCs w:val="22"/>
        </w:rPr>
        <w:footnoteReference w:id="518"/>
      </w:r>
      <w:r w:rsidRPr="008D556C">
        <w:rPr>
          <w:sz w:val="22"/>
          <w:szCs w:val="22"/>
        </w:rPr>
        <w:t xml:space="preserve">  Although the rules apply to display-only monitors and video projectors, the Commission deferred compliance for these devices for a</w:t>
      </w:r>
      <w:r w:rsidRPr="003511DC">
        <w:rPr>
          <w:sz w:val="22"/>
          <w:szCs w:val="22"/>
        </w:rPr>
        <w:t>n additional five years.</w:t>
      </w:r>
      <w:r w:rsidRPr="008D556C">
        <w:rPr>
          <w:rStyle w:val="FootnoteReference"/>
          <w:sz w:val="22"/>
          <w:szCs w:val="22"/>
        </w:rPr>
        <w:footnoteReference w:id="519"/>
      </w:r>
      <w:r w:rsidRPr="008D556C">
        <w:rPr>
          <w:sz w:val="22"/>
          <w:szCs w:val="22"/>
        </w:rPr>
        <w:t xml:space="preserve">  The Co</w:t>
      </w:r>
      <w:r w:rsidRPr="003511DC">
        <w:rPr>
          <w:sz w:val="22"/>
          <w:szCs w:val="22"/>
        </w:rPr>
        <w:t>mmission also deferred compliance for an additional five years for the devices that received waivers from the apparatus closed captioning requirements.</w:t>
      </w:r>
      <w:r w:rsidRPr="008D556C">
        <w:rPr>
          <w:rStyle w:val="FootnoteReference"/>
          <w:sz w:val="22"/>
          <w:szCs w:val="22"/>
        </w:rPr>
        <w:footnoteReference w:id="520"/>
      </w:r>
      <w:r w:rsidRPr="008D556C">
        <w:rPr>
          <w:sz w:val="22"/>
          <w:szCs w:val="22"/>
        </w:rPr>
        <w:t xml:space="preserve">  </w:t>
      </w:r>
    </w:p>
    <w:p w:rsidR="00BC0558" w:rsidRPr="00BF0859" w:rsidRDefault="00BC0558" w:rsidP="00476E6F">
      <w:pPr>
        <w:suppressLineNumbers/>
        <w:suppressAutoHyphens/>
        <w:ind w:left="720"/>
        <w:rPr>
          <w:sz w:val="22"/>
          <w:szCs w:val="22"/>
        </w:rPr>
      </w:pPr>
    </w:p>
    <w:p w:rsidR="00BC0558" w:rsidRPr="008D556C" w:rsidRDefault="004453B7" w:rsidP="00476E6F">
      <w:pPr>
        <w:numPr>
          <w:ilvl w:val="0"/>
          <w:numId w:val="2"/>
        </w:numPr>
        <w:suppressLineNumbers/>
        <w:tabs>
          <w:tab w:val="clear" w:pos="720"/>
          <w:tab w:val="num" w:pos="1440"/>
        </w:tabs>
        <w:suppressAutoHyphens/>
        <w:ind w:left="0" w:firstLine="720"/>
        <w:rPr>
          <w:rStyle w:val="Strong1"/>
          <w:rFonts w:ascii="Times New Roman" w:eastAsia="Times New Roman" w:hAnsi="Times New Roman"/>
          <w:b w:val="0"/>
          <w:color w:val="auto"/>
          <w:sz w:val="22"/>
          <w:szCs w:val="22"/>
        </w:rPr>
      </w:pPr>
      <w:r w:rsidRPr="009C79E5">
        <w:rPr>
          <w:rStyle w:val="Strong1"/>
          <w:rFonts w:ascii="Times New Roman" w:hAnsi="Times New Roman"/>
          <w:b w:val="0"/>
          <w:color w:val="auto"/>
          <w:sz w:val="22"/>
          <w:szCs w:val="22"/>
        </w:rPr>
        <w:t xml:space="preserve">In a further notice of proposed rulemaking accompanying the </w:t>
      </w:r>
      <w:r w:rsidRPr="008D556C">
        <w:rPr>
          <w:i/>
          <w:sz w:val="22"/>
          <w:szCs w:val="22"/>
        </w:rPr>
        <w:t>User In</w:t>
      </w:r>
      <w:r w:rsidRPr="003511DC">
        <w:rPr>
          <w:i/>
          <w:sz w:val="22"/>
          <w:szCs w:val="22"/>
        </w:rPr>
        <w:t>terfaces, Programming Guides and Menus Order</w:t>
      </w:r>
      <w:r w:rsidRPr="009C79E5">
        <w:rPr>
          <w:rStyle w:val="Strong1"/>
          <w:rFonts w:ascii="Times New Roman" w:hAnsi="Times New Roman"/>
          <w:b w:val="0"/>
          <w:color w:val="auto"/>
          <w:sz w:val="22"/>
          <w:szCs w:val="22"/>
        </w:rPr>
        <w:t>,</w:t>
      </w:r>
      <w:r w:rsidRPr="009C79E5" w:rsidDel="00F200E9">
        <w:rPr>
          <w:rStyle w:val="Strong1"/>
          <w:rFonts w:ascii="Times New Roman" w:hAnsi="Times New Roman"/>
          <w:b w:val="0"/>
          <w:color w:val="auto"/>
          <w:sz w:val="22"/>
          <w:szCs w:val="22"/>
        </w:rPr>
        <w:t xml:space="preserve"> </w:t>
      </w:r>
      <w:r w:rsidRPr="009C79E5">
        <w:rPr>
          <w:rStyle w:val="Strong1"/>
          <w:rFonts w:ascii="Times New Roman" w:hAnsi="Times New Roman"/>
          <w:b w:val="0"/>
          <w:color w:val="auto"/>
          <w:sz w:val="22"/>
          <w:szCs w:val="22"/>
        </w:rPr>
        <w:t>the Commission sought further comment on the following:  (1) how to define “usable” for purposes of requiring that certain built-in functions of covered apparatus “be accessible to and usable” by individuals who are blind or visually impaired as required by the CVAA; (2) whether to impose information, documentation, and training requirements; (</w:t>
      </w:r>
      <w:r w:rsidR="00694D22" w:rsidRPr="009C79E5">
        <w:rPr>
          <w:rStyle w:val="Strong1"/>
          <w:rFonts w:ascii="Times New Roman" w:hAnsi="Times New Roman"/>
          <w:b w:val="0"/>
          <w:color w:val="auto"/>
          <w:sz w:val="22"/>
          <w:szCs w:val="22"/>
        </w:rPr>
        <w:t>3</w:t>
      </w:r>
      <w:r w:rsidRPr="009C79E5">
        <w:rPr>
          <w:rStyle w:val="Strong1"/>
          <w:rFonts w:ascii="Times New Roman" w:hAnsi="Times New Roman"/>
          <w:b w:val="0"/>
          <w:color w:val="auto"/>
          <w:sz w:val="22"/>
          <w:szCs w:val="22"/>
        </w:rPr>
        <w:t>) whether to require a mechanism to enable consumers to locate and control closed captioning display settings; and (</w:t>
      </w:r>
      <w:r w:rsidR="00694D22" w:rsidRPr="009C79E5">
        <w:rPr>
          <w:rStyle w:val="Strong1"/>
          <w:rFonts w:ascii="Times New Roman" w:hAnsi="Times New Roman"/>
          <w:b w:val="0"/>
          <w:color w:val="auto"/>
          <w:sz w:val="22"/>
          <w:szCs w:val="22"/>
        </w:rPr>
        <w:t>4</w:t>
      </w:r>
      <w:r w:rsidRPr="009C79E5">
        <w:rPr>
          <w:rStyle w:val="Strong1"/>
          <w:rFonts w:ascii="Times New Roman" w:hAnsi="Times New Roman"/>
          <w:b w:val="0"/>
          <w:color w:val="auto"/>
          <w:sz w:val="22"/>
          <w:szCs w:val="22"/>
        </w:rPr>
        <w:t xml:space="preserve">) </w:t>
      </w:r>
      <w:r w:rsidR="00257C1C" w:rsidRPr="009C79E5">
        <w:rPr>
          <w:rStyle w:val="Strong1"/>
          <w:rFonts w:ascii="Times New Roman" w:hAnsi="Times New Roman"/>
          <w:b w:val="0"/>
          <w:color w:val="auto"/>
          <w:sz w:val="22"/>
          <w:szCs w:val="22"/>
        </w:rPr>
        <w:t xml:space="preserve">whether to impose notification requirements on equipment manufacturers </w:t>
      </w:r>
      <w:r w:rsidR="00694D22" w:rsidRPr="009C79E5">
        <w:rPr>
          <w:rStyle w:val="Strong1"/>
          <w:rFonts w:ascii="Times New Roman" w:hAnsi="Times New Roman"/>
          <w:b w:val="0"/>
          <w:color w:val="auto"/>
          <w:sz w:val="22"/>
          <w:szCs w:val="22"/>
        </w:rPr>
        <w:t xml:space="preserve">that are </w:t>
      </w:r>
      <w:r w:rsidR="00257C1C" w:rsidRPr="009C79E5">
        <w:rPr>
          <w:rStyle w:val="Strong1"/>
          <w:rFonts w:ascii="Times New Roman" w:hAnsi="Times New Roman"/>
          <w:b w:val="0"/>
          <w:color w:val="auto"/>
          <w:sz w:val="22"/>
          <w:szCs w:val="22"/>
        </w:rPr>
        <w:t>subject to Section 204 of the CVAA</w:t>
      </w:r>
      <w:r w:rsidRPr="009C79E5">
        <w:rPr>
          <w:rStyle w:val="Strong1"/>
          <w:rFonts w:ascii="Times New Roman" w:hAnsi="Times New Roman"/>
          <w:b w:val="0"/>
          <w:color w:val="auto"/>
          <w:sz w:val="22"/>
          <w:szCs w:val="22"/>
        </w:rPr>
        <w:t>.</w:t>
      </w:r>
      <w:r w:rsidRPr="008D556C">
        <w:rPr>
          <w:rStyle w:val="FootnoteReference"/>
          <w:sz w:val="22"/>
          <w:szCs w:val="22"/>
        </w:rPr>
        <w:footnoteReference w:id="521"/>
      </w:r>
    </w:p>
    <w:p w:rsidR="00BC0558" w:rsidRPr="003511DC" w:rsidRDefault="00BC0558" w:rsidP="00476E6F">
      <w:pPr>
        <w:suppressLineNumbers/>
        <w:suppressAutoHyphens/>
        <w:ind w:left="720"/>
        <w:rPr>
          <w:rStyle w:val="Strong1"/>
          <w:rFonts w:ascii="Times New Roman" w:eastAsia="Times New Roman" w:hAnsi="Times New Roman"/>
          <w:b w:val="0"/>
          <w:color w:val="auto"/>
          <w:sz w:val="22"/>
          <w:szCs w:val="22"/>
        </w:rPr>
      </w:pPr>
    </w:p>
    <w:p w:rsidR="00BC0558" w:rsidRPr="00BF0859" w:rsidRDefault="004453B7" w:rsidP="00476E6F">
      <w:pPr>
        <w:numPr>
          <w:ilvl w:val="0"/>
          <w:numId w:val="2"/>
        </w:numPr>
        <w:suppressLineNumbers/>
        <w:tabs>
          <w:tab w:val="clear" w:pos="720"/>
          <w:tab w:val="num" w:pos="1440"/>
        </w:tabs>
        <w:suppressAutoHyphens/>
        <w:ind w:left="0" w:firstLine="720"/>
        <w:rPr>
          <w:sz w:val="22"/>
          <w:szCs w:val="22"/>
        </w:rPr>
      </w:pPr>
      <w:r w:rsidRPr="009C79E5">
        <w:rPr>
          <w:rStyle w:val="Strong1"/>
          <w:rFonts w:ascii="Times New Roman" w:hAnsi="Times New Roman"/>
          <w:b w:val="0"/>
          <w:color w:val="auto"/>
          <w:sz w:val="22"/>
          <w:szCs w:val="22"/>
        </w:rPr>
        <w:t xml:space="preserve">On January 20, 2014, Consumer Groups requested that the Commission reconsider the guidance it provided on </w:t>
      </w:r>
      <w:r w:rsidRPr="008D556C">
        <w:rPr>
          <w:sz w:val="22"/>
          <w:szCs w:val="22"/>
        </w:rPr>
        <w:t>the meaning of “reasonably compa</w:t>
      </w:r>
      <w:r w:rsidRPr="003511DC">
        <w:rPr>
          <w:sz w:val="22"/>
          <w:szCs w:val="22"/>
        </w:rPr>
        <w:t>rable to a button, key, or icon” with respect to whether voice commands and gestures are compliant mechanisms for activating the closed captioning or accessibility feature</w:t>
      </w:r>
      <w:r w:rsidRPr="009C79E5">
        <w:rPr>
          <w:rStyle w:val="Strong1"/>
          <w:rFonts w:ascii="Times New Roman" w:hAnsi="Times New Roman"/>
          <w:b w:val="0"/>
          <w:color w:val="auto"/>
          <w:sz w:val="22"/>
          <w:szCs w:val="22"/>
        </w:rPr>
        <w:t>.</w:t>
      </w:r>
      <w:r w:rsidRPr="008D556C">
        <w:rPr>
          <w:rStyle w:val="FootnoteReference"/>
          <w:sz w:val="22"/>
          <w:szCs w:val="22"/>
        </w:rPr>
        <w:footnoteReference w:id="522"/>
      </w:r>
      <w:r w:rsidRPr="009C79E5">
        <w:rPr>
          <w:rStyle w:val="Strong1"/>
          <w:rFonts w:ascii="Times New Roman" w:hAnsi="Times New Roman"/>
          <w:b w:val="0"/>
          <w:color w:val="auto"/>
          <w:sz w:val="22"/>
          <w:szCs w:val="22"/>
        </w:rPr>
        <w:t xml:space="preserve">  On February 6, 2014, the Commission established a </w:t>
      </w:r>
      <w:r w:rsidRPr="008D556C">
        <w:rPr>
          <w:sz w:val="22"/>
          <w:szCs w:val="22"/>
        </w:rPr>
        <w:t xml:space="preserve">pleading cycle for oppositions </w:t>
      </w:r>
      <w:r w:rsidRPr="003511DC">
        <w:rPr>
          <w:sz w:val="22"/>
          <w:szCs w:val="22"/>
        </w:rPr>
        <w:t>and replies.</w:t>
      </w:r>
      <w:r w:rsidRPr="008D556C">
        <w:rPr>
          <w:rStyle w:val="FootnoteReference"/>
          <w:sz w:val="22"/>
          <w:szCs w:val="22"/>
        </w:rPr>
        <w:footnoteReference w:id="523"/>
      </w:r>
      <w:r w:rsidRPr="008D556C">
        <w:rPr>
          <w:sz w:val="22"/>
          <w:szCs w:val="22"/>
        </w:rPr>
        <w:t xml:space="preserve">  This matter remain</w:t>
      </w:r>
      <w:r w:rsidRPr="003511DC">
        <w:rPr>
          <w:sz w:val="22"/>
          <w:szCs w:val="22"/>
        </w:rPr>
        <w:t xml:space="preserve">s pending.  </w:t>
      </w:r>
    </w:p>
    <w:p w:rsidR="00BC0558" w:rsidRPr="00BF0859" w:rsidRDefault="00BC0558" w:rsidP="00476E6F">
      <w:pPr>
        <w:suppressLineNumbers/>
        <w:suppressAutoHyphens/>
        <w:ind w:left="720"/>
        <w:rPr>
          <w:sz w:val="22"/>
          <w:szCs w:val="22"/>
        </w:rPr>
      </w:pPr>
    </w:p>
    <w:p w:rsidR="00BC0558" w:rsidRPr="009C79E5" w:rsidRDefault="00BC0558" w:rsidP="00476E6F">
      <w:pPr>
        <w:suppressAutoHyphens/>
        <w:ind w:left="1440" w:hanging="720"/>
        <w:rPr>
          <w:b/>
          <w:sz w:val="22"/>
          <w:szCs w:val="22"/>
        </w:rPr>
      </w:pPr>
      <w:r w:rsidRPr="006C02D7">
        <w:rPr>
          <w:b/>
          <w:sz w:val="22"/>
          <w:szCs w:val="22"/>
        </w:rPr>
        <w:t>J.</w:t>
      </w:r>
      <w:r w:rsidRPr="006C02D7">
        <w:rPr>
          <w:b/>
          <w:sz w:val="22"/>
          <w:szCs w:val="22"/>
        </w:rPr>
        <w:tab/>
        <w:t xml:space="preserve">Section 205.  Access to </w:t>
      </w:r>
      <w:r w:rsidR="0072164E" w:rsidRPr="006C02D7">
        <w:rPr>
          <w:b/>
          <w:sz w:val="22"/>
          <w:szCs w:val="22"/>
        </w:rPr>
        <w:t>V</w:t>
      </w:r>
      <w:r w:rsidRPr="006C02D7">
        <w:rPr>
          <w:b/>
          <w:sz w:val="22"/>
          <w:szCs w:val="22"/>
        </w:rPr>
        <w:t xml:space="preserve">ideo </w:t>
      </w:r>
      <w:r w:rsidR="0072164E" w:rsidRPr="006C02D7">
        <w:rPr>
          <w:b/>
          <w:sz w:val="22"/>
          <w:szCs w:val="22"/>
        </w:rPr>
        <w:t>P</w:t>
      </w:r>
      <w:r w:rsidRPr="006C02D7">
        <w:rPr>
          <w:b/>
          <w:sz w:val="22"/>
          <w:szCs w:val="22"/>
        </w:rPr>
        <w:t xml:space="preserve">rogramming </w:t>
      </w:r>
      <w:r w:rsidR="0072164E" w:rsidRPr="009C5E08">
        <w:rPr>
          <w:b/>
          <w:sz w:val="22"/>
          <w:szCs w:val="22"/>
        </w:rPr>
        <w:t>G</w:t>
      </w:r>
      <w:r w:rsidRPr="009C79E5">
        <w:rPr>
          <w:b/>
          <w:sz w:val="22"/>
          <w:szCs w:val="22"/>
        </w:rPr>
        <w:t xml:space="preserve">uides and </w:t>
      </w:r>
      <w:r w:rsidR="0072164E" w:rsidRPr="009C79E5">
        <w:rPr>
          <w:b/>
          <w:sz w:val="22"/>
          <w:szCs w:val="22"/>
        </w:rPr>
        <w:t>M</w:t>
      </w:r>
      <w:r w:rsidRPr="009C79E5">
        <w:rPr>
          <w:b/>
          <w:sz w:val="22"/>
          <w:szCs w:val="22"/>
        </w:rPr>
        <w:t xml:space="preserve">enus </w:t>
      </w:r>
      <w:r w:rsidR="0072164E" w:rsidRPr="009C79E5">
        <w:rPr>
          <w:b/>
          <w:sz w:val="22"/>
          <w:szCs w:val="22"/>
        </w:rPr>
        <w:t>P</w:t>
      </w:r>
      <w:r w:rsidRPr="009C79E5">
        <w:rPr>
          <w:b/>
          <w:sz w:val="22"/>
          <w:szCs w:val="22"/>
        </w:rPr>
        <w:t xml:space="preserve">rovided on </w:t>
      </w:r>
      <w:r w:rsidR="0072164E" w:rsidRPr="009C79E5">
        <w:rPr>
          <w:b/>
          <w:sz w:val="22"/>
          <w:szCs w:val="22"/>
        </w:rPr>
        <w:t>N</w:t>
      </w:r>
      <w:r w:rsidRPr="009C79E5">
        <w:rPr>
          <w:b/>
          <w:sz w:val="22"/>
          <w:szCs w:val="22"/>
        </w:rPr>
        <w:t xml:space="preserve">avigation </w:t>
      </w:r>
      <w:r w:rsidR="0072164E" w:rsidRPr="009C79E5">
        <w:rPr>
          <w:b/>
          <w:sz w:val="22"/>
          <w:szCs w:val="22"/>
        </w:rPr>
        <w:t>D</w:t>
      </w:r>
      <w:r w:rsidRPr="009C79E5">
        <w:rPr>
          <w:b/>
          <w:sz w:val="22"/>
          <w:szCs w:val="22"/>
        </w:rPr>
        <w:t>evices</w:t>
      </w:r>
    </w:p>
    <w:p w:rsidR="00BC0558" w:rsidRPr="009C79E5" w:rsidRDefault="00BC0558" w:rsidP="00476E6F">
      <w:pPr>
        <w:suppressLineNumbers/>
        <w:suppressAutoHyphens/>
        <w:ind w:left="720"/>
        <w:rPr>
          <w:rStyle w:val="Strong1"/>
          <w:rFonts w:ascii="Times New Roman" w:eastAsia="Times New Roman" w:hAnsi="Times New Roman"/>
          <w:b w:val="0"/>
          <w:color w:val="auto"/>
          <w:sz w:val="22"/>
          <w:szCs w:val="22"/>
        </w:rPr>
      </w:pPr>
    </w:p>
    <w:p w:rsidR="00BC0558" w:rsidRPr="003511DC" w:rsidRDefault="004453B7" w:rsidP="00476E6F">
      <w:pPr>
        <w:numPr>
          <w:ilvl w:val="0"/>
          <w:numId w:val="2"/>
        </w:numPr>
        <w:suppressLineNumbers/>
        <w:tabs>
          <w:tab w:val="clear" w:pos="720"/>
          <w:tab w:val="num" w:pos="1440"/>
        </w:tabs>
        <w:suppressAutoHyphens/>
        <w:ind w:left="0" w:firstLine="720"/>
        <w:rPr>
          <w:rStyle w:val="Strong1"/>
          <w:rFonts w:ascii="Times New Roman" w:eastAsia="Times New Roman" w:hAnsi="Times New Roman"/>
          <w:b w:val="0"/>
          <w:color w:val="auto"/>
          <w:sz w:val="22"/>
          <w:szCs w:val="22"/>
        </w:rPr>
      </w:pPr>
      <w:r w:rsidRPr="009C79E5">
        <w:rPr>
          <w:rStyle w:val="Strong1"/>
          <w:rFonts w:ascii="Times New Roman" w:hAnsi="Times New Roman"/>
          <w:b w:val="0"/>
          <w:color w:val="auto"/>
          <w:sz w:val="22"/>
          <w:szCs w:val="22"/>
        </w:rPr>
        <w:t>Section 205 of the CVAA establishes accessibility requirements for navigation devices.</w:t>
      </w:r>
      <w:r w:rsidRPr="009C79E5">
        <w:rPr>
          <w:rStyle w:val="Strong1"/>
          <w:rFonts w:ascii="Times New Roman" w:hAnsi="Times New Roman"/>
          <w:b w:val="0"/>
          <w:color w:val="auto"/>
          <w:sz w:val="22"/>
          <w:szCs w:val="22"/>
          <w:vertAlign w:val="superscript"/>
        </w:rPr>
        <w:footnoteReference w:id="524"/>
      </w:r>
      <w:r w:rsidRPr="009C79E5">
        <w:rPr>
          <w:rStyle w:val="Strong1"/>
          <w:rFonts w:ascii="Times New Roman" w:hAnsi="Times New Roman"/>
          <w:b w:val="0"/>
          <w:color w:val="auto"/>
          <w:sz w:val="22"/>
          <w:szCs w:val="22"/>
        </w:rPr>
        <w:t xml:space="preserve">  </w:t>
      </w:r>
      <w:r w:rsidRPr="008D556C">
        <w:rPr>
          <w:sz w:val="22"/>
          <w:szCs w:val="22"/>
        </w:rPr>
        <w:t>The term “navigati</w:t>
      </w:r>
      <w:r w:rsidRPr="003511DC">
        <w:rPr>
          <w:sz w:val="22"/>
          <w:szCs w:val="22"/>
        </w:rPr>
        <w:t>on device” is defined in section 76.1200 of the Commission’s rules.</w:t>
      </w:r>
      <w:r w:rsidRPr="008D556C">
        <w:rPr>
          <w:rStyle w:val="FootnoteReference"/>
          <w:sz w:val="22"/>
          <w:szCs w:val="22"/>
        </w:rPr>
        <w:footnoteReference w:id="525"/>
      </w:r>
      <w:r w:rsidRPr="008D556C">
        <w:rPr>
          <w:sz w:val="22"/>
          <w:szCs w:val="22"/>
        </w:rPr>
        <w:t xml:space="preserve">  </w:t>
      </w:r>
      <w:r w:rsidRPr="009C79E5">
        <w:rPr>
          <w:rStyle w:val="Strong1"/>
          <w:rFonts w:ascii="Times New Roman" w:hAnsi="Times New Roman"/>
          <w:b w:val="0"/>
          <w:color w:val="auto"/>
          <w:sz w:val="22"/>
          <w:szCs w:val="22"/>
        </w:rPr>
        <w:t xml:space="preserve">Section 205(a) adds Section 303(bb) to the Act to require, if achievable, on-screen text menus and guides provided by navigation devices for the display or selection of multichannel video programming to be </w:t>
      </w:r>
      <w:r w:rsidRPr="008D556C">
        <w:rPr>
          <w:sz w:val="22"/>
          <w:szCs w:val="22"/>
        </w:rPr>
        <w:t>audibly</w:t>
      </w:r>
      <w:r w:rsidRPr="009C79E5">
        <w:rPr>
          <w:rStyle w:val="Strong1"/>
          <w:rFonts w:ascii="Times New Roman" w:hAnsi="Times New Roman"/>
          <w:b w:val="0"/>
          <w:color w:val="auto"/>
          <w:sz w:val="22"/>
          <w:szCs w:val="22"/>
        </w:rPr>
        <w:t xml:space="preserve"> accessible in real-time upon request by individuals who are blind or visually impaired.</w:t>
      </w:r>
      <w:r w:rsidRPr="008D556C">
        <w:rPr>
          <w:sz w:val="22"/>
          <w:szCs w:val="22"/>
          <w:vertAlign w:val="superscript"/>
        </w:rPr>
        <w:footnoteReference w:id="526"/>
      </w:r>
      <w:r w:rsidRPr="009C79E5">
        <w:rPr>
          <w:rStyle w:val="Strong1"/>
          <w:rFonts w:ascii="Times New Roman" w:hAnsi="Times New Roman"/>
          <w:b w:val="0"/>
          <w:color w:val="auto"/>
          <w:sz w:val="22"/>
          <w:szCs w:val="22"/>
        </w:rPr>
        <w:t xml:space="preserve">  This section also mandates access to any built-in closed captioning capability through the use of a mechanism that is </w:t>
      </w:r>
      <w:r w:rsidR="00FC43AA" w:rsidRPr="009C79E5">
        <w:rPr>
          <w:rStyle w:val="Strong1"/>
          <w:rFonts w:ascii="Times New Roman" w:hAnsi="Times New Roman"/>
          <w:b w:val="0"/>
          <w:color w:val="auto"/>
          <w:sz w:val="22"/>
          <w:szCs w:val="22"/>
        </w:rPr>
        <w:t>“</w:t>
      </w:r>
      <w:r w:rsidRPr="009C79E5">
        <w:rPr>
          <w:rStyle w:val="Strong1"/>
          <w:rFonts w:ascii="Times New Roman" w:hAnsi="Times New Roman"/>
          <w:b w:val="0"/>
          <w:color w:val="auto"/>
          <w:sz w:val="22"/>
          <w:szCs w:val="22"/>
        </w:rPr>
        <w:t>reasonably comparable to a button, key, or icon designated for activating the closed captioning</w:t>
      </w:r>
      <w:r w:rsidR="00C67DB8" w:rsidRPr="009C79E5">
        <w:rPr>
          <w:rStyle w:val="Strong1"/>
          <w:rFonts w:ascii="Times New Roman" w:hAnsi="Times New Roman"/>
          <w:b w:val="0"/>
          <w:color w:val="auto"/>
          <w:sz w:val="22"/>
          <w:szCs w:val="22"/>
        </w:rPr>
        <w:t>,</w:t>
      </w:r>
      <w:r w:rsidRPr="009C79E5">
        <w:rPr>
          <w:rStyle w:val="Strong1"/>
          <w:rFonts w:ascii="Times New Roman" w:hAnsi="Times New Roman"/>
          <w:b w:val="0"/>
          <w:color w:val="auto"/>
          <w:sz w:val="22"/>
          <w:szCs w:val="22"/>
        </w:rPr>
        <w:t xml:space="preserve"> or accessibility features.</w:t>
      </w:r>
      <w:r w:rsidR="00FC43AA" w:rsidRPr="009C79E5">
        <w:rPr>
          <w:rStyle w:val="Strong1"/>
          <w:rFonts w:ascii="Times New Roman" w:hAnsi="Times New Roman"/>
          <w:b w:val="0"/>
          <w:color w:val="auto"/>
          <w:sz w:val="22"/>
          <w:szCs w:val="22"/>
        </w:rPr>
        <w:t>”</w:t>
      </w:r>
      <w:r w:rsidRPr="008D556C">
        <w:rPr>
          <w:sz w:val="22"/>
          <w:szCs w:val="22"/>
          <w:vertAlign w:val="superscript"/>
        </w:rPr>
        <w:footnoteReference w:id="527"/>
      </w:r>
      <w:r w:rsidR="00FC43AA" w:rsidRPr="008D556C">
        <w:t xml:space="preserve"> </w:t>
      </w:r>
    </w:p>
    <w:p w:rsidR="00BC0558" w:rsidRPr="00BF0859" w:rsidRDefault="00BC0558" w:rsidP="00476E6F">
      <w:pPr>
        <w:suppressLineNumbers/>
        <w:suppressAutoHyphens/>
        <w:ind w:left="720"/>
        <w:rPr>
          <w:rStyle w:val="Strong1"/>
          <w:rFonts w:ascii="Times New Roman" w:eastAsia="Times New Roman" w:hAnsi="Times New Roman"/>
          <w:b w:val="0"/>
          <w:color w:val="auto"/>
          <w:sz w:val="22"/>
          <w:szCs w:val="22"/>
        </w:rPr>
      </w:pPr>
    </w:p>
    <w:p w:rsidR="00BC0558" w:rsidRPr="008D556C" w:rsidRDefault="004453B7" w:rsidP="00476E6F">
      <w:pPr>
        <w:numPr>
          <w:ilvl w:val="0"/>
          <w:numId w:val="2"/>
        </w:numPr>
        <w:suppressLineNumbers/>
        <w:tabs>
          <w:tab w:val="clear" w:pos="720"/>
          <w:tab w:val="num" w:pos="1440"/>
        </w:tabs>
        <w:suppressAutoHyphens/>
        <w:ind w:left="0" w:firstLine="720"/>
        <w:rPr>
          <w:sz w:val="22"/>
          <w:szCs w:val="22"/>
        </w:rPr>
      </w:pPr>
      <w:r w:rsidRPr="006C02D7">
        <w:rPr>
          <w:sz w:val="22"/>
          <w:szCs w:val="22"/>
        </w:rPr>
        <w:t xml:space="preserve">Since the </w:t>
      </w:r>
      <w:r w:rsidRPr="006C02D7">
        <w:rPr>
          <w:i/>
          <w:sz w:val="22"/>
          <w:szCs w:val="22"/>
        </w:rPr>
        <w:t>2012 CVAA Biennial Report</w:t>
      </w:r>
      <w:r w:rsidRPr="006C02D7">
        <w:rPr>
          <w:sz w:val="22"/>
          <w:szCs w:val="22"/>
        </w:rPr>
        <w:t xml:space="preserve">, in May 2013, the Commission proposed rules to implement these accessibility requirements for </w:t>
      </w:r>
      <w:r w:rsidR="00856E0C" w:rsidRPr="009C79E5">
        <w:rPr>
          <w:sz w:val="22"/>
          <w:szCs w:val="22"/>
        </w:rPr>
        <w:t>navigation devices</w:t>
      </w:r>
      <w:r w:rsidRPr="009C79E5">
        <w:rPr>
          <w:sz w:val="22"/>
          <w:szCs w:val="22"/>
        </w:rPr>
        <w:t>.</w:t>
      </w:r>
      <w:r w:rsidRPr="008D556C">
        <w:rPr>
          <w:sz w:val="22"/>
          <w:szCs w:val="22"/>
          <w:vertAlign w:val="superscript"/>
        </w:rPr>
        <w:footnoteReference w:id="528"/>
      </w:r>
      <w:r w:rsidRPr="008D556C">
        <w:rPr>
          <w:sz w:val="22"/>
          <w:szCs w:val="22"/>
        </w:rPr>
        <w:t xml:space="preserve">  On October 29, 2013, the Com</w:t>
      </w:r>
      <w:r w:rsidRPr="003511DC">
        <w:rPr>
          <w:sz w:val="22"/>
          <w:szCs w:val="22"/>
        </w:rPr>
        <w:t>mission adopted rules to implement these requirements.</w:t>
      </w:r>
      <w:r w:rsidRPr="008D556C">
        <w:rPr>
          <w:sz w:val="22"/>
          <w:szCs w:val="22"/>
          <w:vertAlign w:val="superscript"/>
        </w:rPr>
        <w:footnoteReference w:id="529"/>
      </w:r>
    </w:p>
    <w:p w:rsidR="00BC0558" w:rsidRPr="008D556C" w:rsidRDefault="00BC0558" w:rsidP="00476E6F">
      <w:pPr>
        <w:suppressLineNumbers/>
        <w:suppressAutoHyphens/>
        <w:ind w:left="720"/>
        <w:rPr>
          <w:sz w:val="22"/>
          <w:szCs w:val="22"/>
        </w:rPr>
      </w:pPr>
    </w:p>
    <w:p w:rsidR="00BC0558" w:rsidRPr="003511DC" w:rsidRDefault="004453B7" w:rsidP="00476E6F">
      <w:pPr>
        <w:numPr>
          <w:ilvl w:val="0"/>
          <w:numId w:val="2"/>
        </w:numPr>
        <w:suppressLineNumbers/>
        <w:tabs>
          <w:tab w:val="clear" w:pos="720"/>
          <w:tab w:val="num" w:pos="1440"/>
        </w:tabs>
        <w:suppressAutoHyphens/>
        <w:ind w:left="0" w:firstLine="720"/>
        <w:rPr>
          <w:sz w:val="22"/>
          <w:szCs w:val="22"/>
        </w:rPr>
      </w:pPr>
      <w:r w:rsidRPr="009C79E5">
        <w:rPr>
          <w:rStyle w:val="Strong1"/>
          <w:rFonts w:ascii="Times New Roman" w:hAnsi="Times New Roman"/>
          <w:b w:val="0"/>
          <w:color w:val="auto"/>
          <w:sz w:val="22"/>
          <w:szCs w:val="22"/>
        </w:rPr>
        <w:t>The Commission interpreted the term “navigation device” to encompass devices that have built-in capability to use a conditional access mechanism in to access MVPD video programming and other services.</w:t>
      </w:r>
      <w:r w:rsidRPr="008D556C">
        <w:rPr>
          <w:rStyle w:val="FootnoteReference"/>
          <w:sz w:val="22"/>
          <w:szCs w:val="22"/>
        </w:rPr>
        <w:footnoteReference w:id="530"/>
      </w:r>
      <w:r w:rsidRPr="009C79E5">
        <w:rPr>
          <w:rStyle w:val="Strong1"/>
          <w:rFonts w:ascii="Times New Roman" w:hAnsi="Times New Roman"/>
          <w:b w:val="0"/>
          <w:color w:val="auto"/>
          <w:sz w:val="22"/>
          <w:szCs w:val="22"/>
        </w:rPr>
        <w:t xml:space="preserve">  Navigation devices include the following:  digital cable ready televisions (</w:t>
      </w:r>
      <w:r w:rsidRPr="009C79E5">
        <w:rPr>
          <w:rStyle w:val="Strong1"/>
          <w:rFonts w:ascii="Times New Roman" w:hAnsi="Times New Roman"/>
          <w:b w:val="0"/>
          <w:i/>
          <w:color w:val="auto"/>
          <w:sz w:val="22"/>
          <w:szCs w:val="22"/>
        </w:rPr>
        <w:t>i.e.,</w:t>
      </w:r>
      <w:r w:rsidRPr="009C79E5">
        <w:rPr>
          <w:rStyle w:val="Strong1"/>
          <w:rFonts w:ascii="Times New Roman" w:hAnsi="Times New Roman"/>
          <w:b w:val="0"/>
          <w:color w:val="auto"/>
          <w:sz w:val="22"/>
          <w:szCs w:val="22"/>
        </w:rPr>
        <w:t xml:space="preserve"> televisions with CableCARD slots); set-top boxes (including those provided by MVPDs as well as consumer-owned CableCARD-ready devices); computers with CableCARD slots; cable modems; and third-party devices with </w:t>
      </w:r>
      <w:r w:rsidR="00C67DB8" w:rsidRPr="009C79E5">
        <w:rPr>
          <w:rStyle w:val="Strong1"/>
          <w:rFonts w:ascii="Times New Roman" w:hAnsi="Times New Roman"/>
          <w:b w:val="0"/>
          <w:color w:val="auto"/>
          <w:sz w:val="22"/>
          <w:szCs w:val="22"/>
        </w:rPr>
        <w:t>MVPD</w:t>
      </w:r>
      <w:r w:rsidRPr="009C79E5">
        <w:rPr>
          <w:rStyle w:val="Strong1"/>
          <w:rFonts w:ascii="Times New Roman" w:hAnsi="Times New Roman"/>
          <w:b w:val="0"/>
          <w:color w:val="auto"/>
          <w:sz w:val="22"/>
          <w:szCs w:val="22"/>
        </w:rPr>
        <w:t xml:space="preserve"> applications that are installed by the device manufacturers.</w:t>
      </w:r>
      <w:r w:rsidRPr="008D556C">
        <w:rPr>
          <w:rStyle w:val="FootnoteReference"/>
          <w:sz w:val="22"/>
          <w:szCs w:val="22"/>
        </w:rPr>
        <w:footnoteReference w:id="531"/>
      </w:r>
      <w:r w:rsidRPr="009C79E5">
        <w:rPr>
          <w:rStyle w:val="Strong1"/>
          <w:rFonts w:ascii="Times New Roman" w:hAnsi="Times New Roman"/>
          <w:b w:val="0"/>
          <w:color w:val="auto"/>
          <w:sz w:val="22"/>
          <w:szCs w:val="22"/>
        </w:rPr>
        <w:t xml:space="preserve">  </w:t>
      </w:r>
      <w:r w:rsidRPr="008D556C">
        <w:rPr>
          <w:sz w:val="22"/>
          <w:szCs w:val="22"/>
        </w:rPr>
        <w:t>The rules apply to MVPDs leasing or selling navigation devices to their subscribers</w:t>
      </w:r>
      <w:r w:rsidR="00C67DB8" w:rsidRPr="003511DC">
        <w:rPr>
          <w:sz w:val="22"/>
          <w:szCs w:val="22"/>
        </w:rPr>
        <w:t>,</w:t>
      </w:r>
      <w:r w:rsidRPr="00BF0859">
        <w:rPr>
          <w:sz w:val="22"/>
          <w:szCs w:val="22"/>
        </w:rPr>
        <w:t xml:space="preserve"> equipment manufacturers placi</w:t>
      </w:r>
      <w:r w:rsidRPr="00FF1FD9">
        <w:rPr>
          <w:sz w:val="22"/>
          <w:szCs w:val="22"/>
        </w:rPr>
        <w:t>ng navigation devices (</w:t>
      </w:r>
      <w:r w:rsidRPr="006C02D7">
        <w:rPr>
          <w:i/>
          <w:sz w:val="22"/>
          <w:szCs w:val="22"/>
        </w:rPr>
        <w:t xml:space="preserve">e.g., </w:t>
      </w:r>
      <w:r w:rsidRPr="006C02D7">
        <w:rPr>
          <w:sz w:val="22"/>
          <w:szCs w:val="22"/>
        </w:rPr>
        <w:t>TiVo boxes) into the chain of commerce for purchase by consumers</w:t>
      </w:r>
      <w:r w:rsidR="00C67DB8" w:rsidRPr="006C02D7">
        <w:rPr>
          <w:sz w:val="22"/>
          <w:szCs w:val="22"/>
        </w:rPr>
        <w:t>, and other manufacturers of navigation device hardware and software</w:t>
      </w:r>
      <w:r w:rsidRPr="009C79E5">
        <w:rPr>
          <w:sz w:val="22"/>
          <w:szCs w:val="22"/>
        </w:rPr>
        <w:t>.</w:t>
      </w:r>
      <w:r w:rsidRPr="008D556C">
        <w:rPr>
          <w:rStyle w:val="FootnoteReference"/>
          <w:sz w:val="22"/>
          <w:szCs w:val="22"/>
        </w:rPr>
        <w:footnoteReference w:id="532"/>
      </w:r>
      <w:r w:rsidRPr="008D556C">
        <w:rPr>
          <w:sz w:val="22"/>
          <w:szCs w:val="22"/>
        </w:rPr>
        <w:t xml:space="preserve">  The rules do not apply to professional and commercial equipment, public safety and enterpri</w:t>
      </w:r>
      <w:r w:rsidRPr="003511DC">
        <w:rPr>
          <w:sz w:val="22"/>
          <w:szCs w:val="22"/>
        </w:rPr>
        <w:t xml:space="preserve">se equipment, or general purpose </w:t>
      </w:r>
      <w:r w:rsidRPr="00BF0859">
        <w:rPr>
          <w:sz w:val="22"/>
          <w:szCs w:val="22"/>
        </w:rPr>
        <w:t>broadband equipment, such as routers.</w:t>
      </w:r>
      <w:r w:rsidRPr="008D556C">
        <w:rPr>
          <w:rStyle w:val="FootnoteReference"/>
          <w:sz w:val="22"/>
          <w:szCs w:val="22"/>
        </w:rPr>
        <w:footnoteReference w:id="533"/>
      </w:r>
      <w:r w:rsidRPr="008D556C">
        <w:rPr>
          <w:sz w:val="22"/>
          <w:szCs w:val="22"/>
        </w:rPr>
        <w:t xml:space="preserve">  </w:t>
      </w:r>
    </w:p>
    <w:p w:rsidR="00BC0558" w:rsidRPr="00BF0859" w:rsidRDefault="00BC0558" w:rsidP="00476E6F">
      <w:pPr>
        <w:suppressLineNumbers/>
        <w:suppressAutoHyphens/>
        <w:ind w:left="720"/>
        <w:rPr>
          <w:sz w:val="22"/>
          <w:szCs w:val="22"/>
        </w:rPr>
      </w:pPr>
    </w:p>
    <w:p w:rsidR="00BC0558" w:rsidRPr="008D556C" w:rsidRDefault="004453B7" w:rsidP="00476E6F">
      <w:pPr>
        <w:numPr>
          <w:ilvl w:val="0"/>
          <w:numId w:val="2"/>
        </w:numPr>
        <w:suppressLineNumbers/>
        <w:tabs>
          <w:tab w:val="clear" w:pos="720"/>
          <w:tab w:val="num" w:pos="1440"/>
        </w:tabs>
        <w:suppressAutoHyphens/>
        <w:ind w:left="0" w:firstLine="720"/>
        <w:rPr>
          <w:sz w:val="22"/>
          <w:szCs w:val="22"/>
        </w:rPr>
      </w:pPr>
      <w:r w:rsidRPr="006C02D7">
        <w:rPr>
          <w:sz w:val="22"/>
          <w:szCs w:val="22"/>
        </w:rPr>
        <w:t>Covered entities must ensure that the on-screen text menus and guides provided by their navigation devices for the display or selection of multichannel video programming are audibly</w:t>
      </w:r>
      <w:r w:rsidRPr="009C79E5">
        <w:rPr>
          <w:sz w:val="22"/>
          <w:szCs w:val="22"/>
        </w:rPr>
        <w:t xml:space="preserve"> accessible, if achievable.</w:t>
      </w:r>
      <w:r w:rsidRPr="008D556C">
        <w:rPr>
          <w:rStyle w:val="FootnoteReference"/>
          <w:sz w:val="22"/>
          <w:szCs w:val="22"/>
        </w:rPr>
        <w:footnoteReference w:id="534"/>
      </w:r>
      <w:r w:rsidRPr="008D556C">
        <w:rPr>
          <w:sz w:val="22"/>
          <w:szCs w:val="22"/>
        </w:rPr>
        <w:t xml:space="preserve">  The</w:t>
      </w:r>
      <w:r w:rsidRPr="003511DC">
        <w:rPr>
          <w:sz w:val="22"/>
          <w:szCs w:val="22"/>
        </w:rPr>
        <w:t xml:space="preserve"> Commission determined that nine of the 11 functions identified by the VPAAC must be made audibly accessible, and that the other two functions (“Power On/Off” and “Volume Adjust and Mute”) must be made accessible because th</w:t>
      </w:r>
      <w:r w:rsidRPr="00BF0859">
        <w:rPr>
          <w:sz w:val="22"/>
          <w:szCs w:val="22"/>
        </w:rPr>
        <w:t>ey are necessary to access covered functions, but they need not be made audibly accessible.</w:t>
      </w:r>
      <w:r w:rsidRPr="008D556C">
        <w:rPr>
          <w:rStyle w:val="FootnoteReference"/>
          <w:sz w:val="22"/>
          <w:szCs w:val="22"/>
        </w:rPr>
        <w:footnoteReference w:id="535"/>
      </w:r>
      <w:r w:rsidRPr="008D556C">
        <w:rPr>
          <w:sz w:val="22"/>
          <w:szCs w:val="22"/>
        </w:rPr>
        <w:t xml:space="preserve">  The Commission provided guidance with respect to the meaning of “reasonably comparable to a button, key, or icon” and determined that all covered navigation devic</w:t>
      </w:r>
      <w:r w:rsidRPr="003511DC">
        <w:rPr>
          <w:sz w:val="22"/>
          <w:szCs w:val="22"/>
        </w:rPr>
        <w:t>es with built-in closed captionin</w:t>
      </w:r>
      <w:r w:rsidRPr="00BF0859">
        <w:rPr>
          <w:sz w:val="22"/>
          <w:szCs w:val="22"/>
        </w:rPr>
        <w:t>g capability must include such a mechanism for activating closed captioning, but not for video description or other accessibility features.</w:t>
      </w:r>
      <w:r w:rsidRPr="008D556C">
        <w:rPr>
          <w:rStyle w:val="FootnoteReference"/>
          <w:sz w:val="22"/>
          <w:szCs w:val="22"/>
        </w:rPr>
        <w:footnoteReference w:id="536"/>
      </w:r>
    </w:p>
    <w:p w:rsidR="00BC0558" w:rsidRPr="003511DC" w:rsidRDefault="00BC0558" w:rsidP="00476E6F">
      <w:pPr>
        <w:suppressLineNumbers/>
        <w:suppressAutoHyphens/>
        <w:ind w:left="720"/>
        <w:rPr>
          <w:sz w:val="22"/>
          <w:szCs w:val="22"/>
        </w:rPr>
      </w:pPr>
    </w:p>
    <w:p w:rsidR="00BC0558" w:rsidRPr="008D556C" w:rsidRDefault="004453B7" w:rsidP="00476E6F">
      <w:pPr>
        <w:numPr>
          <w:ilvl w:val="0"/>
          <w:numId w:val="2"/>
        </w:numPr>
        <w:suppressLineNumbers/>
        <w:tabs>
          <w:tab w:val="clear" w:pos="720"/>
          <w:tab w:val="num" w:pos="1440"/>
        </w:tabs>
        <w:suppressAutoHyphens/>
        <w:ind w:left="0" w:firstLine="720"/>
        <w:rPr>
          <w:rStyle w:val="Strong1"/>
          <w:rFonts w:ascii="Times New Roman" w:eastAsia="Times New Roman" w:hAnsi="Times New Roman"/>
          <w:b w:val="0"/>
          <w:color w:val="auto"/>
          <w:sz w:val="22"/>
          <w:szCs w:val="22"/>
        </w:rPr>
      </w:pPr>
      <w:r w:rsidRPr="009C79E5">
        <w:rPr>
          <w:rStyle w:val="Strong1"/>
          <w:rFonts w:ascii="Times New Roman" w:hAnsi="Times New Roman"/>
          <w:b w:val="0"/>
          <w:color w:val="auto"/>
          <w:sz w:val="22"/>
          <w:szCs w:val="22"/>
        </w:rPr>
        <w:t>When the covered entity is an MVPD that leases or sells navigation devices to subscribers, the obligation to provide compliant navigation devices “upon request” requires the following:  subscribers who are blind or visually impaired may request compliant navigation devices through any means made available generally to other subscribers requesting navigation devices; and the MVPD will provide accessibility within a reasonable time and in a manner that is not more burdensome than is required for consumers generally to obtain navigation devices.</w:t>
      </w:r>
      <w:r w:rsidRPr="008D556C">
        <w:rPr>
          <w:rStyle w:val="FootnoteReference"/>
          <w:sz w:val="22"/>
          <w:szCs w:val="22"/>
        </w:rPr>
        <w:footnoteReference w:id="537"/>
      </w:r>
      <w:r w:rsidRPr="009C79E5">
        <w:rPr>
          <w:rStyle w:val="Strong1"/>
          <w:rFonts w:ascii="Times New Roman" w:hAnsi="Times New Roman"/>
          <w:b w:val="0"/>
          <w:color w:val="auto"/>
          <w:sz w:val="22"/>
          <w:szCs w:val="22"/>
        </w:rPr>
        <w:t xml:space="preserve">  When the covered entity is a manufacturer, the obligation to provide compliance navigation devices “upon request” may be satisfied by offering such devices through the same means that it generally uses to provide navigation devices to other consumers (</w:t>
      </w:r>
      <w:r w:rsidRPr="009C79E5">
        <w:rPr>
          <w:rStyle w:val="Strong1"/>
          <w:rFonts w:ascii="Times New Roman" w:hAnsi="Times New Roman"/>
          <w:b w:val="0"/>
          <w:i/>
          <w:color w:val="auto"/>
          <w:sz w:val="22"/>
          <w:szCs w:val="22"/>
        </w:rPr>
        <w:t xml:space="preserve">e.g., </w:t>
      </w:r>
      <w:r w:rsidRPr="009C79E5">
        <w:rPr>
          <w:rStyle w:val="Strong1"/>
          <w:rFonts w:ascii="Times New Roman" w:hAnsi="Times New Roman"/>
          <w:b w:val="0"/>
          <w:color w:val="auto"/>
          <w:sz w:val="22"/>
          <w:szCs w:val="22"/>
        </w:rPr>
        <w:t>through retail outlets or direct sales).</w:t>
      </w:r>
      <w:r w:rsidRPr="008D556C">
        <w:rPr>
          <w:rStyle w:val="FootnoteReference"/>
          <w:sz w:val="22"/>
          <w:szCs w:val="22"/>
        </w:rPr>
        <w:footnoteReference w:id="538"/>
      </w:r>
      <w:r w:rsidRPr="009C79E5">
        <w:rPr>
          <w:rStyle w:val="Strong1"/>
          <w:rFonts w:ascii="Times New Roman" w:hAnsi="Times New Roman"/>
          <w:b w:val="0"/>
          <w:color w:val="auto"/>
          <w:sz w:val="22"/>
          <w:szCs w:val="22"/>
        </w:rPr>
        <w:t xml:space="preserve">  Covered entities that choose to comply with these accessibility requirements through the use of a separate solution must provide such solution to the requesting individual who is blind or visually impaired within a reasonable time, at no additional charge, and in a manner that is not more burdensome than the manner in which it generally provides navigation devices to other consumers.</w:t>
      </w:r>
      <w:r w:rsidRPr="008D556C">
        <w:rPr>
          <w:rStyle w:val="FootnoteReference"/>
          <w:sz w:val="22"/>
          <w:szCs w:val="22"/>
        </w:rPr>
        <w:footnoteReference w:id="539"/>
      </w:r>
    </w:p>
    <w:p w:rsidR="00BC0558" w:rsidRPr="003511DC" w:rsidRDefault="00BC0558" w:rsidP="00476E6F">
      <w:pPr>
        <w:suppressLineNumbers/>
        <w:suppressAutoHyphens/>
        <w:ind w:left="720"/>
        <w:rPr>
          <w:sz w:val="22"/>
          <w:szCs w:val="22"/>
        </w:rPr>
      </w:pPr>
    </w:p>
    <w:p w:rsidR="00BC0558" w:rsidRPr="008D556C" w:rsidRDefault="004453B7" w:rsidP="00476E6F">
      <w:pPr>
        <w:numPr>
          <w:ilvl w:val="0"/>
          <w:numId w:val="2"/>
        </w:numPr>
        <w:suppressLineNumbers/>
        <w:tabs>
          <w:tab w:val="clear" w:pos="720"/>
          <w:tab w:val="num" w:pos="1440"/>
        </w:tabs>
        <w:suppressAutoHyphens/>
        <w:ind w:left="0" w:firstLine="720"/>
        <w:rPr>
          <w:sz w:val="22"/>
          <w:szCs w:val="22"/>
        </w:rPr>
      </w:pPr>
      <w:r w:rsidRPr="00BF0859">
        <w:rPr>
          <w:sz w:val="22"/>
          <w:szCs w:val="22"/>
        </w:rPr>
        <w:t>Compliance with the new accessibility rules is required for covered MVPDs and manufacturers for navigations devices manu</w:t>
      </w:r>
      <w:r w:rsidRPr="006C02D7">
        <w:rPr>
          <w:sz w:val="22"/>
          <w:szCs w:val="22"/>
        </w:rPr>
        <w:t>factured on or after December 20, 2016.</w:t>
      </w:r>
      <w:r w:rsidRPr="008D556C">
        <w:rPr>
          <w:rStyle w:val="FootnoteReference"/>
          <w:sz w:val="22"/>
          <w:szCs w:val="22"/>
        </w:rPr>
        <w:footnoteReference w:id="540"/>
      </w:r>
      <w:r w:rsidRPr="008D556C">
        <w:rPr>
          <w:sz w:val="22"/>
          <w:szCs w:val="22"/>
        </w:rPr>
        <w:t xml:space="preserve">  The Commission delayed compliance for mid-sized and smaller MVPD operators and systems until December 20, 2018.</w:t>
      </w:r>
      <w:r w:rsidRPr="008D556C">
        <w:rPr>
          <w:rStyle w:val="FootnoteReference"/>
          <w:sz w:val="22"/>
          <w:szCs w:val="22"/>
        </w:rPr>
        <w:footnoteReference w:id="541"/>
      </w:r>
    </w:p>
    <w:p w:rsidR="00BC0558" w:rsidRPr="003511DC" w:rsidRDefault="00BC0558" w:rsidP="00476E6F">
      <w:pPr>
        <w:suppressLineNumbers/>
        <w:suppressAutoHyphens/>
        <w:ind w:left="720"/>
        <w:rPr>
          <w:sz w:val="22"/>
          <w:szCs w:val="22"/>
        </w:rPr>
      </w:pPr>
    </w:p>
    <w:p w:rsidR="00142517" w:rsidRPr="008D556C" w:rsidRDefault="004453B7" w:rsidP="00476E6F">
      <w:pPr>
        <w:numPr>
          <w:ilvl w:val="0"/>
          <w:numId w:val="2"/>
        </w:numPr>
        <w:suppressLineNumbers/>
        <w:tabs>
          <w:tab w:val="clear" w:pos="720"/>
          <w:tab w:val="num" w:pos="1440"/>
        </w:tabs>
        <w:suppressAutoHyphens/>
        <w:ind w:left="0" w:firstLine="720"/>
        <w:rPr>
          <w:rStyle w:val="Strong1"/>
          <w:rFonts w:ascii="Times New Roman" w:eastAsia="Times New Roman" w:hAnsi="Times New Roman"/>
          <w:b w:val="0"/>
          <w:color w:val="auto"/>
          <w:sz w:val="22"/>
          <w:szCs w:val="22"/>
        </w:rPr>
      </w:pPr>
      <w:r w:rsidRPr="009C79E5">
        <w:rPr>
          <w:rStyle w:val="Strong1"/>
          <w:rFonts w:ascii="Times New Roman" w:hAnsi="Times New Roman"/>
          <w:b w:val="0"/>
          <w:color w:val="auto"/>
          <w:sz w:val="22"/>
          <w:szCs w:val="22"/>
        </w:rPr>
        <w:t xml:space="preserve">In a further notice of proposed rulemaking accompanying the </w:t>
      </w:r>
      <w:r w:rsidRPr="008D556C">
        <w:rPr>
          <w:i/>
          <w:sz w:val="22"/>
          <w:szCs w:val="22"/>
        </w:rPr>
        <w:t xml:space="preserve">User Interfaces, Programming Guides and </w:t>
      </w:r>
      <w:r w:rsidRPr="003511DC">
        <w:rPr>
          <w:i/>
          <w:sz w:val="22"/>
          <w:szCs w:val="22"/>
        </w:rPr>
        <w:t>Menus Order</w:t>
      </w:r>
      <w:r w:rsidRPr="009C79E5">
        <w:rPr>
          <w:rStyle w:val="Strong1"/>
          <w:rFonts w:ascii="Times New Roman" w:hAnsi="Times New Roman"/>
          <w:b w:val="0"/>
          <w:color w:val="auto"/>
          <w:sz w:val="22"/>
          <w:szCs w:val="22"/>
        </w:rPr>
        <w:t xml:space="preserve">, the Commission sought further comment on the following:  (1) imposing information, documentation, and training requirements; (2) requiring a mechanism to enable consumers to locate and control closed captioning display settings; (3) requiring MVPDs to provide information about programs on public, educational, and governmental (PEG) channels in their video programming guides and menus; (4) imposing additional notification requirements on MVPDs; </w:t>
      </w:r>
      <w:r w:rsidR="00694D22" w:rsidRPr="009C79E5">
        <w:rPr>
          <w:rStyle w:val="Strong1"/>
          <w:rFonts w:ascii="Times New Roman" w:hAnsi="Times New Roman"/>
          <w:b w:val="0"/>
          <w:color w:val="auto"/>
          <w:sz w:val="22"/>
          <w:szCs w:val="22"/>
        </w:rPr>
        <w:t xml:space="preserve">and </w:t>
      </w:r>
      <w:r w:rsidRPr="009C79E5">
        <w:rPr>
          <w:rStyle w:val="Strong1"/>
          <w:rFonts w:ascii="Times New Roman" w:hAnsi="Times New Roman"/>
          <w:b w:val="0"/>
          <w:color w:val="auto"/>
          <w:sz w:val="22"/>
          <w:szCs w:val="22"/>
        </w:rPr>
        <w:t>(5) imposing notification requirements on navigation device manufacturers.</w:t>
      </w:r>
      <w:r w:rsidRPr="008D556C">
        <w:rPr>
          <w:rStyle w:val="FootnoteReference"/>
          <w:sz w:val="22"/>
          <w:szCs w:val="22"/>
        </w:rPr>
        <w:footnoteReference w:id="542"/>
      </w:r>
      <w:r w:rsidRPr="009C79E5">
        <w:rPr>
          <w:rStyle w:val="Strong1"/>
          <w:rFonts w:ascii="Times New Roman" w:hAnsi="Times New Roman"/>
          <w:b w:val="0"/>
          <w:color w:val="auto"/>
          <w:sz w:val="22"/>
          <w:szCs w:val="22"/>
        </w:rPr>
        <w:t xml:space="preserve">  </w:t>
      </w:r>
    </w:p>
    <w:p w:rsidR="00142517" w:rsidRPr="003511DC" w:rsidRDefault="00142517" w:rsidP="00476E6F">
      <w:pPr>
        <w:suppressLineNumbers/>
        <w:suppressAutoHyphens/>
        <w:ind w:left="720"/>
        <w:rPr>
          <w:rStyle w:val="Strong1"/>
          <w:rFonts w:ascii="Times New Roman" w:eastAsia="Times New Roman" w:hAnsi="Times New Roman"/>
          <w:b w:val="0"/>
          <w:color w:val="auto"/>
          <w:sz w:val="22"/>
          <w:szCs w:val="22"/>
        </w:rPr>
      </w:pPr>
    </w:p>
    <w:p w:rsidR="00142517" w:rsidRPr="00BF0859" w:rsidRDefault="00142517" w:rsidP="00476E6F">
      <w:pPr>
        <w:suppressAutoHyphens/>
        <w:ind w:left="720"/>
        <w:rPr>
          <w:b/>
          <w:sz w:val="22"/>
          <w:szCs w:val="22"/>
        </w:rPr>
      </w:pPr>
      <w:r w:rsidRPr="00BF0859">
        <w:rPr>
          <w:b/>
          <w:sz w:val="22"/>
          <w:szCs w:val="22"/>
        </w:rPr>
        <w:t>K.</w:t>
      </w:r>
      <w:r w:rsidRPr="00BF0859">
        <w:rPr>
          <w:b/>
          <w:sz w:val="22"/>
          <w:szCs w:val="22"/>
        </w:rPr>
        <w:tab/>
        <w:t>Other Accessibility-Related Commission Activities</w:t>
      </w:r>
    </w:p>
    <w:p w:rsidR="00142517" w:rsidRPr="006C02D7" w:rsidRDefault="00142517" w:rsidP="00476E6F">
      <w:pPr>
        <w:suppressLineNumbers/>
        <w:suppressAutoHyphens/>
        <w:ind w:left="720"/>
        <w:rPr>
          <w:rStyle w:val="Strong1"/>
          <w:rFonts w:ascii="Times New Roman" w:eastAsia="Times New Roman" w:hAnsi="Times New Roman"/>
          <w:b w:val="0"/>
          <w:color w:val="auto"/>
          <w:sz w:val="22"/>
          <w:szCs w:val="22"/>
        </w:rPr>
      </w:pPr>
    </w:p>
    <w:p w:rsidR="00142517" w:rsidRPr="009C79E5" w:rsidRDefault="004453B7" w:rsidP="00476E6F">
      <w:pPr>
        <w:numPr>
          <w:ilvl w:val="0"/>
          <w:numId w:val="2"/>
        </w:numPr>
        <w:suppressLineNumbers/>
        <w:tabs>
          <w:tab w:val="clear" w:pos="720"/>
          <w:tab w:val="num" w:pos="1440"/>
        </w:tabs>
        <w:suppressAutoHyphens/>
        <w:ind w:left="0" w:firstLine="720"/>
        <w:rPr>
          <w:sz w:val="22"/>
          <w:szCs w:val="22"/>
        </w:rPr>
      </w:pPr>
      <w:r w:rsidRPr="009C79E5">
        <w:rPr>
          <w:sz w:val="22"/>
          <w:szCs w:val="22"/>
        </w:rPr>
        <w:t xml:space="preserve">In addition to implementation of the CVAA, since the </w:t>
      </w:r>
      <w:r w:rsidRPr="009C79E5">
        <w:rPr>
          <w:i/>
          <w:sz w:val="22"/>
          <w:szCs w:val="22"/>
        </w:rPr>
        <w:t>2012 CVAA Biennial Repor</w:t>
      </w:r>
      <w:r w:rsidRPr="009C79E5">
        <w:rPr>
          <w:sz w:val="22"/>
          <w:szCs w:val="22"/>
        </w:rPr>
        <w:t>t, the Commission has continued to engage in various activities designed to expand the accessibility of new communications technologies.  These activities are described below.</w:t>
      </w:r>
    </w:p>
    <w:p w:rsidR="00142517" w:rsidRPr="009C79E5" w:rsidRDefault="00142517" w:rsidP="00476E6F">
      <w:pPr>
        <w:suppressLineNumbers/>
        <w:suppressAutoHyphens/>
        <w:ind w:left="720"/>
        <w:rPr>
          <w:sz w:val="22"/>
          <w:szCs w:val="22"/>
        </w:rPr>
      </w:pPr>
    </w:p>
    <w:p w:rsidR="00142517" w:rsidRPr="009C79E5" w:rsidRDefault="004453B7" w:rsidP="00476E6F">
      <w:pPr>
        <w:numPr>
          <w:ilvl w:val="0"/>
          <w:numId w:val="2"/>
        </w:numPr>
        <w:suppressLineNumbers/>
        <w:tabs>
          <w:tab w:val="clear" w:pos="720"/>
          <w:tab w:val="num" w:pos="1440"/>
        </w:tabs>
        <w:suppressAutoHyphens/>
        <w:ind w:left="0" w:firstLine="720"/>
        <w:rPr>
          <w:sz w:val="22"/>
          <w:szCs w:val="22"/>
        </w:rPr>
      </w:pPr>
      <w:r w:rsidRPr="009C79E5">
        <w:rPr>
          <w:i/>
          <w:sz w:val="22"/>
          <w:szCs w:val="22"/>
        </w:rPr>
        <w:t xml:space="preserve">Accessibility and Innovation Initiative </w:t>
      </w:r>
      <w:r w:rsidRPr="009C79E5">
        <w:rPr>
          <w:sz w:val="22"/>
          <w:szCs w:val="22"/>
        </w:rPr>
        <w:t>(A&amp;I Initiative).  The Commission’s A&amp;I Initiative promotes collaborative problem-solving among industry, consumers, and government stakeholders so that people with disabilities are able to reap the full benefit of broadband communication technologies.</w:t>
      </w:r>
      <w:r w:rsidRPr="008D556C">
        <w:rPr>
          <w:sz w:val="22"/>
          <w:szCs w:val="22"/>
          <w:vertAlign w:val="superscript"/>
        </w:rPr>
        <w:footnoteReference w:id="543"/>
      </w:r>
      <w:r w:rsidRPr="008D556C">
        <w:rPr>
          <w:sz w:val="22"/>
          <w:szCs w:val="22"/>
        </w:rPr>
        <w:t xml:space="preserve">  The Commission launched the A&amp;I Initiative on July 19, 2010, during activities commemorating the 20th anniversary of the Americans wi</w:t>
      </w:r>
      <w:r w:rsidRPr="003511DC">
        <w:rPr>
          <w:sz w:val="22"/>
          <w:szCs w:val="22"/>
        </w:rPr>
        <w:t>th Disabilities Act (ADA).  The A</w:t>
      </w:r>
      <w:r w:rsidRPr="00BF0859">
        <w:rPr>
          <w:sz w:val="22"/>
          <w:szCs w:val="22"/>
        </w:rPr>
        <w:t>&amp;I Initiative seeks greater involvement from the public in identifying and solving accessibility barriers, and uses new media technologies to facilitate transparent ways of sharing information with the public and working to</w:t>
      </w:r>
      <w:r w:rsidRPr="006C02D7">
        <w:rPr>
          <w:sz w:val="22"/>
          <w:szCs w:val="22"/>
        </w:rPr>
        <w:t xml:space="preserve">gether to develop innovative accessibility solutions.  Some of the activities in which the A&amp;I Initiative has engaged since the </w:t>
      </w:r>
      <w:r w:rsidRPr="009C79E5">
        <w:rPr>
          <w:i/>
          <w:sz w:val="22"/>
          <w:szCs w:val="22"/>
        </w:rPr>
        <w:t>2012 CVAA Biennial Report</w:t>
      </w:r>
      <w:r w:rsidRPr="009C79E5">
        <w:rPr>
          <w:sz w:val="22"/>
          <w:szCs w:val="22"/>
        </w:rPr>
        <w:t xml:space="preserve"> include the following:</w:t>
      </w:r>
    </w:p>
    <w:p w:rsidR="00142517" w:rsidRPr="009C79E5" w:rsidRDefault="00142517" w:rsidP="00476E6F">
      <w:pPr>
        <w:suppressAutoHyphens/>
        <w:rPr>
          <w:sz w:val="22"/>
          <w:szCs w:val="22"/>
        </w:rPr>
      </w:pPr>
    </w:p>
    <w:p w:rsidR="00142517" w:rsidRPr="009C79E5" w:rsidRDefault="00142517" w:rsidP="00476E6F">
      <w:pPr>
        <w:numPr>
          <w:ilvl w:val="0"/>
          <w:numId w:val="10"/>
        </w:numPr>
        <w:tabs>
          <w:tab w:val="clear" w:pos="360"/>
          <w:tab w:val="num" w:pos="1080"/>
        </w:tabs>
        <w:suppressAutoHyphens/>
        <w:ind w:left="1080" w:hanging="360"/>
        <w:rPr>
          <w:sz w:val="22"/>
          <w:szCs w:val="22"/>
        </w:rPr>
      </w:pPr>
      <w:r w:rsidRPr="009C79E5">
        <w:rPr>
          <w:sz w:val="22"/>
          <w:szCs w:val="22"/>
          <w:u w:val="single"/>
        </w:rPr>
        <w:t>Chairman’s Awards for Advancements in Accessibility</w:t>
      </w:r>
      <w:r w:rsidRPr="009C79E5">
        <w:rPr>
          <w:sz w:val="22"/>
          <w:szCs w:val="22"/>
        </w:rPr>
        <w:t xml:space="preserve">.  Since 2011, the Commission has recognized outstanding private and public sector ventures that advance communication and video programming access for people with disabilities with “Awards for Advancement in Accessibility” (Chairman’s AAA).  These awards are presented for the development of individual mainstream or assistive technologies introduced into the marketplace, the development of standards, or the implementation of best practices that foster accessibility.  The first set of awards was given to deserving recipients in October 2011.  Since the </w:t>
      </w:r>
      <w:r w:rsidRPr="009C79E5">
        <w:rPr>
          <w:i/>
          <w:sz w:val="22"/>
          <w:szCs w:val="22"/>
        </w:rPr>
        <w:t>2012 CVAA Biennial Report,</w:t>
      </w:r>
      <w:r w:rsidRPr="009C79E5">
        <w:rPr>
          <w:sz w:val="22"/>
          <w:szCs w:val="22"/>
        </w:rPr>
        <w:t xml:space="preserve"> two additional sets of awards were distributed as follows:  </w:t>
      </w:r>
    </w:p>
    <w:p w:rsidR="00142517" w:rsidRPr="009C79E5" w:rsidRDefault="00142517" w:rsidP="00476E6F">
      <w:pPr>
        <w:suppressAutoHyphens/>
        <w:ind w:left="1080"/>
        <w:rPr>
          <w:sz w:val="22"/>
          <w:szCs w:val="22"/>
        </w:rPr>
      </w:pPr>
    </w:p>
    <w:p w:rsidR="00142517" w:rsidRPr="009C79E5" w:rsidRDefault="00142517" w:rsidP="00476E6F">
      <w:pPr>
        <w:suppressAutoHyphens/>
        <w:ind w:left="1080"/>
        <w:rPr>
          <w:sz w:val="22"/>
          <w:szCs w:val="22"/>
        </w:rPr>
      </w:pPr>
      <w:r w:rsidRPr="009C79E5">
        <w:rPr>
          <w:sz w:val="22"/>
          <w:szCs w:val="22"/>
        </w:rPr>
        <w:t xml:space="preserve">On November 26, 2012, FCC Chairman Julius Genachowski presented awards to six innovations designed to advance accessibility for persons with disabilities in the categories of  consumer empowerment/ information, mobile applications, civic participation, education, video programming, and geo-location.  In addition, Chairman Genachowski awarded two honorable mentions to entities for innovations related to video chat communication and touchscreen access to Braille on mobile devices.  </w:t>
      </w:r>
    </w:p>
    <w:p w:rsidR="00142517" w:rsidRPr="009C79E5" w:rsidRDefault="00142517" w:rsidP="00476E6F">
      <w:pPr>
        <w:suppressAutoHyphens/>
        <w:ind w:left="1080"/>
        <w:rPr>
          <w:sz w:val="22"/>
          <w:szCs w:val="22"/>
        </w:rPr>
      </w:pPr>
    </w:p>
    <w:p w:rsidR="00142517" w:rsidRPr="008D556C" w:rsidRDefault="00142517" w:rsidP="00476E6F">
      <w:pPr>
        <w:suppressAutoHyphens/>
        <w:ind w:left="1080"/>
        <w:rPr>
          <w:sz w:val="22"/>
          <w:szCs w:val="22"/>
        </w:rPr>
      </w:pPr>
      <w:r w:rsidRPr="009C79E5">
        <w:rPr>
          <w:sz w:val="22"/>
          <w:szCs w:val="22"/>
        </w:rPr>
        <w:t>On June 9, 2014, FCC Chairman Tom Wheeler presented awards at the 2014 M-Enabling Summit in Arlington, Virginia.</w:t>
      </w:r>
      <w:r w:rsidRPr="008D556C">
        <w:rPr>
          <w:rStyle w:val="FootnoteReference"/>
          <w:sz w:val="22"/>
          <w:szCs w:val="22"/>
        </w:rPr>
        <w:footnoteReference w:id="544"/>
      </w:r>
      <w:r w:rsidRPr="008D556C">
        <w:rPr>
          <w:sz w:val="22"/>
          <w:szCs w:val="22"/>
        </w:rPr>
        <w:t xml:space="preserve">  These honorary awards were given for seven innovations des</w:t>
      </w:r>
      <w:r w:rsidRPr="003511DC">
        <w:rPr>
          <w:sz w:val="22"/>
          <w:szCs w:val="22"/>
        </w:rPr>
        <w:t>igned to advance accessibility fo</w:t>
      </w:r>
      <w:r w:rsidRPr="00BF0859">
        <w:rPr>
          <w:sz w:val="22"/>
          <w:szCs w:val="22"/>
        </w:rPr>
        <w:t>r persons with disabilities in the categories of advanced communications services, closed captions, employment opportunities, intellectual and developmental disabilities, mobile web browsers, social media, and video descrip</w:t>
      </w:r>
      <w:r w:rsidRPr="006C02D7">
        <w:rPr>
          <w:sz w:val="22"/>
          <w:szCs w:val="22"/>
        </w:rPr>
        <w:t>tion.</w:t>
      </w:r>
      <w:r w:rsidRPr="008D556C">
        <w:rPr>
          <w:rStyle w:val="FootnoteReference"/>
          <w:sz w:val="22"/>
          <w:szCs w:val="22"/>
        </w:rPr>
        <w:footnoteReference w:id="545"/>
      </w:r>
      <w:r w:rsidRPr="008D556C">
        <w:rPr>
          <w:sz w:val="22"/>
          <w:szCs w:val="22"/>
        </w:rPr>
        <w:t xml:space="preserve"> </w:t>
      </w:r>
    </w:p>
    <w:p w:rsidR="00142517" w:rsidRPr="003511DC" w:rsidRDefault="00142517" w:rsidP="00476E6F">
      <w:pPr>
        <w:suppressAutoHyphens/>
        <w:rPr>
          <w:sz w:val="22"/>
          <w:szCs w:val="22"/>
        </w:rPr>
      </w:pPr>
    </w:p>
    <w:p w:rsidR="00142517" w:rsidRPr="008D556C" w:rsidRDefault="00142517" w:rsidP="00476E6F">
      <w:pPr>
        <w:numPr>
          <w:ilvl w:val="0"/>
          <w:numId w:val="10"/>
        </w:numPr>
        <w:tabs>
          <w:tab w:val="clear" w:pos="360"/>
          <w:tab w:val="num" w:pos="1080"/>
        </w:tabs>
        <w:suppressAutoHyphens/>
        <w:ind w:left="1080" w:hanging="360"/>
        <w:rPr>
          <w:sz w:val="22"/>
          <w:szCs w:val="22"/>
        </w:rPr>
      </w:pPr>
      <w:r w:rsidRPr="00BF0859">
        <w:rPr>
          <w:sz w:val="22"/>
          <w:szCs w:val="22"/>
          <w:u w:val="single"/>
        </w:rPr>
        <w:t>Accessing Social Media</w:t>
      </w:r>
      <w:r w:rsidRPr="00FF1FD9">
        <w:rPr>
          <w:i/>
          <w:sz w:val="22"/>
          <w:szCs w:val="22"/>
        </w:rPr>
        <w:t xml:space="preserve">.  </w:t>
      </w:r>
      <w:r w:rsidRPr="006C02D7">
        <w:rPr>
          <w:sz w:val="22"/>
          <w:szCs w:val="22"/>
        </w:rPr>
        <w:t>The A&amp;I Initiative hosted a public event, “Accessing Social Media,” on Thursday, July 17, 2014 at the FCC.</w:t>
      </w:r>
      <w:r w:rsidRPr="008D556C">
        <w:rPr>
          <w:rStyle w:val="FootnoteReference"/>
          <w:sz w:val="22"/>
          <w:szCs w:val="22"/>
        </w:rPr>
        <w:footnoteReference w:id="546"/>
      </w:r>
      <w:r w:rsidRPr="008D556C">
        <w:rPr>
          <w:sz w:val="22"/>
          <w:szCs w:val="22"/>
        </w:rPr>
        <w:t xml:space="preserve">  The event included panels of industry, consumer, and government representatives to facilitate a collaborative, cr</w:t>
      </w:r>
      <w:r w:rsidRPr="003511DC">
        <w:rPr>
          <w:sz w:val="22"/>
          <w:szCs w:val="22"/>
        </w:rPr>
        <w:t>oss-sector exchange of informatio</w:t>
      </w:r>
      <w:r w:rsidRPr="00BF0859">
        <w:rPr>
          <w:sz w:val="22"/>
          <w:szCs w:val="22"/>
        </w:rPr>
        <w:t>n about making social media tools and content accessible to people with disabilities, including information about authoring tools, client apps, and best practices.</w:t>
      </w:r>
      <w:r w:rsidRPr="008D556C">
        <w:rPr>
          <w:rStyle w:val="FootnoteReference"/>
          <w:sz w:val="22"/>
          <w:szCs w:val="22"/>
        </w:rPr>
        <w:footnoteReference w:id="547"/>
      </w:r>
      <w:r w:rsidRPr="008D556C">
        <w:rPr>
          <w:sz w:val="22"/>
          <w:szCs w:val="22"/>
        </w:rPr>
        <w:t xml:space="preserve">  </w:t>
      </w:r>
    </w:p>
    <w:p w:rsidR="00142517" w:rsidRPr="003511DC" w:rsidRDefault="00142517" w:rsidP="00476E6F">
      <w:pPr>
        <w:suppressAutoHyphens/>
        <w:rPr>
          <w:sz w:val="22"/>
          <w:szCs w:val="22"/>
        </w:rPr>
      </w:pPr>
    </w:p>
    <w:p w:rsidR="00142517" w:rsidRPr="003511DC" w:rsidRDefault="00142517" w:rsidP="00476E6F">
      <w:pPr>
        <w:numPr>
          <w:ilvl w:val="0"/>
          <w:numId w:val="10"/>
        </w:numPr>
        <w:tabs>
          <w:tab w:val="clear" w:pos="360"/>
          <w:tab w:val="num" w:pos="1080"/>
        </w:tabs>
        <w:suppressAutoHyphens/>
        <w:ind w:left="1080" w:hanging="360"/>
        <w:rPr>
          <w:sz w:val="22"/>
          <w:szCs w:val="22"/>
        </w:rPr>
      </w:pPr>
      <w:r w:rsidRPr="00BF0859">
        <w:rPr>
          <w:sz w:val="22"/>
          <w:szCs w:val="22"/>
          <w:u w:val="single"/>
        </w:rPr>
        <w:t>Speaker Series</w:t>
      </w:r>
      <w:r w:rsidRPr="00FF1FD9">
        <w:rPr>
          <w:sz w:val="22"/>
          <w:szCs w:val="22"/>
        </w:rPr>
        <w:t xml:space="preserve">.  </w:t>
      </w:r>
      <w:r w:rsidRPr="006C02D7">
        <w:rPr>
          <w:sz w:val="22"/>
          <w:szCs w:val="22"/>
          <w:lang w:val="en"/>
        </w:rPr>
        <w:t xml:space="preserve">The A&amp;I Initiative launched its speaker series in 2013 to raise awareness and encourage innovation in accessible communications technologies that can benefit people with disabilities.  Presentations included:  </w:t>
      </w:r>
      <w:r w:rsidR="00476E6F" w:rsidRPr="009C79E5">
        <w:rPr>
          <w:sz w:val="22"/>
          <w:szCs w:val="22"/>
          <w:lang w:val="en"/>
        </w:rPr>
        <w:t>Clayton Lewis on “The Future of Inclusive Design Online</w:t>
      </w:r>
      <w:r w:rsidRPr="009C79E5">
        <w:rPr>
          <w:sz w:val="22"/>
          <w:szCs w:val="22"/>
          <w:lang w:val="en"/>
        </w:rPr>
        <w:t>” (July 16, 2013);</w:t>
      </w:r>
      <w:r w:rsidRPr="008D556C">
        <w:rPr>
          <w:rStyle w:val="FootnoteReference"/>
          <w:sz w:val="22"/>
          <w:szCs w:val="22"/>
          <w:lang w:val="en"/>
        </w:rPr>
        <w:footnoteReference w:id="548"/>
      </w:r>
      <w:r w:rsidRPr="008D556C">
        <w:rPr>
          <w:sz w:val="22"/>
          <w:szCs w:val="22"/>
          <w:lang w:val="en"/>
        </w:rPr>
        <w:t xml:space="preserve"> </w:t>
      </w:r>
      <w:r w:rsidR="00476E6F" w:rsidRPr="003511DC">
        <w:rPr>
          <w:sz w:val="22"/>
          <w:szCs w:val="22"/>
          <w:lang w:val="en"/>
        </w:rPr>
        <w:t>Yevgen Bo</w:t>
      </w:r>
      <w:r w:rsidR="00476E6F" w:rsidRPr="00BF0859">
        <w:rPr>
          <w:sz w:val="22"/>
          <w:szCs w:val="22"/>
          <w:lang w:val="en"/>
        </w:rPr>
        <w:t>rodin on “Improving Accessibility for the General Public</w:t>
      </w:r>
      <w:r w:rsidRPr="00FF1FD9">
        <w:rPr>
          <w:sz w:val="22"/>
          <w:szCs w:val="22"/>
          <w:lang w:val="en"/>
        </w:rPr>
        <w:t>” (September 12, 2013),</w:t>
      </w:r>
      <w:r w:rsidRPr="008D556C">
        <w:rPr>
          <w:rStyle w:val="FootnoteReference"/>
          <w:sz w:val="22"/>
          <w:szCs w:val="22"/>
          <w:lang w:val="en"/>
        </w:rPr>
        <w:footnoteReference w:id="549"/>
      </w:r>
      <w:r w:rsidRPr="008D556C">
        <w:rPr>
          <w:sz w:val="22"/>
          <w:szCs w:val="22"/>
          <w:lang w:val="en"/>
        </w:rPr>
        <w:t xml:space="preserve"> and </w:t>
      </w:r>
      <w:r w:rsidR="00476E6F" w:rsidRPr="003511DC">
        <w:rPr>
          <w:sz w:val="22"/>
          <w:szCs w:val="22"/>
          <w:lang w:val="en"/>
        </w:rPr>
        <w:t>Juan Gilbert on “Innovation in Voting Accessibility</w:t>
      </w:r>
      <w:r w:rsidRPr="00BF0859">
        <w:rPr>
          <w:sz w:val="22"/>
          <w:szCs w:val="22"/>
          <w:lang w:val="en"/>
        </w:rPr>
        <w:t>” (March 11, 2014).</w:t>
      </w:r>
      <w:r w:rsidRPr="008D556C">
        <w:rPr>
          <w:rStyle w:val="FootnoteReference"/>
          <w:sz w:val="22"/>
          <w:szCs w:val="22"/>
          <w:lang w:val="en"/>
        </w:rPr>
        <w:footnoteReference w:id="550"/>
      </w:r>
      <w:r w:rsidRPr="008D556C">
        <w:rPr>
          <w:sz w:val="22"/>
          <w:szCs w:val="22"/>
          <w:lang w:val="en"/>
        </w:rPr>
        <w:t xml:space="preserve"> </w:t>
      </w:r>
    </w:p>
    <w:p w:rsidR="00142517" w:rsidRPr="00BF0859" w:rsidRDefault="00142517" w:rsidP="00476E6F">
      <w:pPr>
        <w:suppressLineNumbers/>
        <w:suppressAutoHyphens/>
        <w:ind w:left="720"/>
        <w:rPr>
          <w:sz w:val="22"/>
          <w:szCs w:val="22"/>
        </w:rPr>
      </w:pPr>
    </w:p>
    <w:p w:rsidR="004453B7" w:rsidRPr="009C79E5" w:rsidRDefault="004453B7" w:rsidP="00476E6F">
      <w:pPr>
        <w:numPr>
          <w:ilvl w:val="0"/>
          <w:numId w:val="2"/>
        </w:numPr>
        <w:suppressLineNumbers/>
        <w:tabs>
          <w:tab w:val="clear" w:pos="720"/>
          <w:tab w:val="num" w:pos="1440"/>
        </w:tabs>
        <w:suppressAutoHyphens/>
        <w:ind w:left="0" w:firstLine="720"/>
        <w:rPr>
          <w:sz w:val="22"/>
          <w:szCs w:val="22"/>
        </w:rPr>
      </w:pPr>
      <w:r w:rsidRPr="00BF0859">
        <w:rPr>
          <w:i/>
          <w:sz w:val="22"/>
          <w:szCs w:val="22"/>
        </w:rPr>
        <w:t>M-Enabling Summit</w:t>
      </w:r>
      <w:r w:rsidRPr="00FF1FD9">
        <w:rPr>
          <w:sz w:val="22"/>
          <w:szCs w:val="22"/>
        </w:rPr>
        <w:t>.  In 2013 and 2014, the Commission continued to work in cooperation with the Gl</w:t>
      </w:r>
      <w:r w:rsidRPr="006C02D7">
        <w:rPr>
          <w:sz w:val="22"/>
          <w:szCs w:val="22"/>
        </w:rPr>
        <w:t>obal Initiative for Inclusive Information and Communication Technologies (G3ict),</w:t>
      </w:r>
      <w:r w:rsidRPr="008D556C">
        <w:rPr>
          <w:rStyle w:val="FootnoteReference"/>
          <w:sz w:val="22"/>
          <w:szCs w:val="22"/>
        </w:rPr>
        <w:footnoteReference w:id="551"/>
      </w:r>
      <w:r w:rsidRPr="008D556C">
        <w:rPr>
          <w:sz w:val="22"/>
          <w:szCs w:val="22"/>
        </w:rPr>
        <w:t xml:space="preserve"> to promote accessible mobile technology for senior citizens and users of all abilities.</w:t>
      </w:r>
      <w:r w:rsidRPr="008D556C">
        <w:rPr>
          <w:rStyle w:val="FootnoteReference"/>
          <w:sz w:val="22"/>
          <w:szCs w:val="22"/>
        </w:rPr>
        <w:footnoteReference w:id="552"/>
      </w:r>
      <w:r w:rsidRPr="008D556C">
        <w:rPr>
          <w:sz w:val="22"/>
          <w:szCs w:val="22"/>
        </w:rPr>
        <w:t xml:space="preserve">  On June 6 and 7, 2013, the M-Enabling Summit was held in Arlington, Virginia.  In a</w:t>
      </w:r>
      <w:r w:rsidRPr="003511DC">
        <w:rPr>
          <w:sz w:val="22"/>
          <w:szCs w:val="22"/>
        </w:rPr>
        <w:t>ttendance were 430 participants r</w:t>
      </w:r>
      <w:r w:rsidRPr="00BF0859">
        <w:rPr>
          <w:sz w:val="22"/>
          <w:szCs w:val="22"/>
        </w:rPr>
        <w:t>epresenting 27 countries.  On June 5, 2013, the Commission hosted a pre-conference briefing day for international delegates in Washington, DC, that focused on CVAA rulemaking and implementation to date.  Featured speakers a</w:t>
      </w:r>
      <w:r w:rsidRPr="006C02D7">
        <w:rPr>
          <w:sz w:val="22"/>
          <w:szCs w:val="22"/>
        </w:rPr>
        <w:t>t the 2013 M-Enabling Summit included the following:  FCC Acting Chairwoman Mignon Clyburn; Dan Hesse, CEO of Sprint; Steve Largent, President and CEO of CTIA – The Wireless Association; and international leaders from the communications industry and the di</w:t>
      </w:r>
      <w:r w:rsidRPr="009C79E5">
        <w:rPr>
          <w:sz w:val="22"/>
          <w:szCs w:val="22"/>
        </w:rPr>
        <w:t>sability community.  On June 9 and 10, 2014, the M-Enabling Summit was held again in Arlington, Virginia.  In attendance were 510 participants representing 19 countries.  Featured speakers included the following:  The Honorable Tom Harkin, U.S. Senator; FCC Chairman Tom Wheeler; Meredith Attwell Baker, incoming President and CEO of CTIA – The Wireless Association; and international leaders from the communications industry and the disability community.  On June 11, 2014, the Commission and G3ict held an international policy briefing in Washington, DC, to share U.S. and international experiences on promoting accessibility and serving individuals with disabilities.</w:t>
      </w:r>
    </w:p>
    <w:p w:rsidR="004453B7" w:rsidRPr="009C79E5" w:rsidRDefault="004453B7" w:rsidP="00476E6F">
      <w:pPr>
        <w:tabs>
          <w:tab w:val="left" w:pos="1695"/>
        </w:tabs>
        <w:suppressAutoHyphens/>
        <w:rPr>
          <w:sz w:val="22"/>
          <w:szCs w:val="22"/>
        </w:rPr>
      </w:pPr>
      <w:r w:rsidRPr="009C79E5">
        <w:rPr>
          <w:sz w:val="22"/>
          <w:szCs w:val="22"/>
        </w:rPr>
        <w:tab/>
      </w:r>
    </w:p>
    <w:p w:rsidR="004453B7" w:rsidRPr="009C79E5" w:rsidRDefault="004453B7" w:rsidP="00476E6F">
      <w:pPr>
        <w:pStyle w:val="ParaNum0"/>
        <w:keepNext/>
        <w:keepLines/>
        <w:numPr>
          <w:ilvl w:val="0"/>
          <w:numId w:val="0"/>
        </w:numPr>
        <w:spacing w:after="0"/>
        <w:ind w:left="3960"/>
        <w:rPr>
          <w:szCs w:val="22"/>
        </w:rPr>
      </w:pPr>
      <w:r w:rsidRPr="009C79E5">
        <w:rPr>
          <w:szCs w:val="22"/>
        </w:rPr>
        <w:t>FEDERAL COMMUNICATIONS COMMISSION</w:t>
      </w:r>
    </w:p>
    <w:p w:rsidR="004453B7" w:rsidRPr="009C79E5" w:rsidRDefault="004453B7" w:rsidP="00476E6F">
      <w:pPr>
        <w:pStyle w:val="ParaNum0"/>
        <w:keepNext/>
        <w:keepLines/>
        <w:numPr>
          <w:ilvl w:val="0"/>
          <w:numId w:val="0"/>
        </w:numPr>
        <w:spacing w:after="0"/>
        <w:ind w:left="3960"/>
        <w:rPr>
          <w:szCs w:val="22"/>
        </w:rPr>
      </w:pPr>
    </w:p>
    <w:p w:rsidR="004453B7" w:rsidRPr="009C79E5" w:rsidRDefault="004453B7" w:rsidP="00476E6F">
      <w:pPr>
        <w:pStyle w:val="ParaNum0"/>
        <w:keepNext/>
        <w:keepLines/>
        <w:numPr>
          <w:ilvl w:val="0"/>
          <w:numId w:val="0"/>
        </w:numPr>
        <w:spacing w:after="0"/>
        <w:ind w:left="3960"/>
        <w:rPr>
          <w:szCs w:val="22"/>
        </w:rPr>
      </w:pPr>
    </w:p>
    <w:p w:rsidR="004453B7" w:rsidRPr="009C79E5" w:rsidRDefault="004453B7" w:rsidP="00476E6F">
      <w:pPr>
        <w:pStyle w:val="ParaNum0"/>
        <w:keepNext/>
        <w:keepLines/>
        <w:numPr>
          <w:ilvl w:val="0"/>
          <w:numId w:val="0"/>
        </w:numPr>
        <w:spacing w:after="0"/>
        <w:ind w:left="3960"/>
        <w:rPr>
          <w:szCs w:val="22"/>
        </w:rPr>
      </w:pPr>
    </w:p>
    <w:p w:rsidR="004453B7" w:rsidRPr="009C79E5" w:rsidRDefault="004453B7" w:rsidP="00476E6F">
      <w:pPr>
        <w:pStyle w:val="ParaNum0"/>
        <w:keepNext/>
        <w:keepLines/>
        <w:numPr>
          <w:ilvl w:val="0"/>
          <w:numId w:val="0"/>
        </w:numPr>
        <w:spacing w:after="0"/>
        <w:ind w:left="3960"/>
        <w:rPr>
          <w:szCs w:val="22"/>
        </w:rPr>
      </w:pPr>
      <w:r w:rsidRPr="009C79E5">
        <w:rPr>
          <w:szCs w:val="22"/>
        </w:rPr>
        <w:t>Kris Anne Monteith</w:t>
      </w:r>
    </w:p>
    <w:p w:rsidR="004453B7" w:rsidRPr="009C79E5" w:rsidRDefault="004453B7" w:rsidP="00476E6F">
      <w:pPr>
        <w:pStyle w:val="ParaNum0"/>
        <w:keepNext/>
        <w:keepLines/>
        <w:numPr>
          <w:ilvl w:val="0"/>
          <w:numId w:val="0"/>
        </w:numPr>
        <w:spacing w:after="0"/>
        <w:ind w:left="3960"/>
        <w:rPr>
          <w:szCs w:val="22"/>
        </w:rPr>
      </w:pPr>
      <w:r w:rsidRPr="009C79E5">
        <w:rPr>
          <w:szCs w:val="22"/>
        </w:rPr>
        <w:t>Acting Chief</w:t>
      </w:r>
    </w:p>
    <w:p w:rsidR="004453B7" w:rsidRPr="009C79E5" w:rsidRDefault="004453B7" w:rsidP="00476E6F">
      <w:pPr>
        <w:pStyle w:val="ParaNum0"/>
        <w:keepNext/>
        <w:keepLines/>
        <w:numPr>
          <w:ilvl w:val="0"/>
          <w:numId w:val="0"/>
        </w:numPr>
        <w:spacing w:after="0"/>
        <w:ind w:left="3960"/>
        <w:rPr>
          <w:szCs w:val="22"/>
        </w:rPr>
      </w:pPr>
      <w:r w:rsidRPr="009C79E5">
        <w:rPr>
          <w:szCs w:val="22"/>
        </w:rPr>
        <w:t>Consumer and Governmental Affairs Bureau</w:t>
      </w:r>
    </w:p>
    <w:p w:rsidR="004453B7" w:rsidRPr="009C79E5" w:rsidRDefault="004453B7" w:rsidP="00476E6F">
      <w:pPr>
        <w:pStyle w:val="ParaNum0"/>
        <w:numPr>
          <w:ilvl w:val="0"/>
          <w:numId w:val="0"/>
        </w:numPr>
        <w:spacing w:after="0"/>
        <w:ind w:left="720"/>
        <w:rPr>
          <w:szCs w:val="22"/>
        </w:rPr>
      </w:pPr>
    </w:p>
    <w:p w:rsidR="009A1330" w:rsidRPr="009C79E5" w:rsidRDefault="009A1330" w:rsidP="00476E6F">
      <w:pPr>
        <w:jc w:val="center"/>
        <w:rPr>
          <w:b/>
          <w:sz w:val="22"/>
          <w:szCs w:val="22"/>
        </w:rPr>
      </w:pPr>
      <w:r w:rsidRPr="009C79E5">
        <w:rPr>
          <w:sz w:val="22"/>
          <w:szCs w:val="22"/>
        </w:rPr>
        <w:br w:type="page"/>
      </w:r>
      <w:r w:rsidRPr="009C79E5">
        <w:rPr>
          <w:b/>
          <w:sz w:val="22"/>
          <w:szCs w:val="22"/>
        </w:rPr>
        <w:t>APPENDIX A</w:t>
      </w:r>
    </w:p>
    <w:p w:rsidR="009A1330" w:rsidRPr="009C79E5" w:rsidRDefault="009A1330" w:rsidP="00476E6F">
      <w:pPr>
        <w:jc w:val="center"/>
        <w:rPr>
          <w:sz w:val="22"/>
          <w:szCs w:val="22"/>
        </w:rPr>
      </w:pPr>
    </w:p>
    <w:p w:rsidR="009A1330" w:rsidRPr="009C79E5" w:rsidRDefault="009A1330" w:rsidP="00476E6F">
      <w:pPr>
        <w:jc w:val="center"/>
        <w:rPr>
          <w:b/>
          <w:sz w:val="22"/>
          <w:szCs w:val="22"/>
        </w:rPr>
      </w:pPr>
      <w:r w:rsidRPr="009C79E5">
        <w:rPr>
          <w:b/>
          <w:sz w:val="22"/>
          <w:szCs w:val="22"/>
        </w:rPr>
        <w:t>List of Commenters</w:t>
      </w:r>
    </w:p>
    <w:p w:rsidR="009A1330" w:rsidRPr="009C79E5" w:rsidRDefault="009A1330" w:rsidP="00476E6F">
      <w:pPr>
        <w:rPr>
          <w:b/>
          <w:sz w:val="22"/>
          <w:szCs w:val="22"/>
        </w:rPr>
      </w:pPr>
    </w:p>
    <w:p w:rsidR="009A1330" w:rsidRPr="009C79E5" w:rsidRDefault="009A1330" w:rsidP="00476E6F">
      <w:pPr>
        <w:tabs>
          <w:tab w:val="left" w:pos="4819"/>
        </w:tabs>
        <w:ind w:left="103"/>
        <w:jc w:val="center"/>
        <w:rPr>
          <w:b/>
          <w:sz w:val="22"/>
          <w:szCs w:val="22"/>
        </w:rPr>
      </w:pPr>
      <w:r w:rsidRPr="009C79E5">
        <w:rPr>
          <w:b/>
          <w:sz w:val="22"/>
          <w:szCs w:val="22"/>
        </w:rPr>
        <w:t>(CG Docket No. 10-213)</w:t>
      </w:r>
    </w:p>
    <w:p w:rsidR="009A1330" w:rsidRPr="009C79E5" w:rsidRDefault="009A1330" w:rsidP="00476E6F">
      <w:pPr>
        <w:tabs>
          <w:tab w:val="left" w:pos="4819"/>
        </w:tabs>
        <w:ind w:left="103"/>
        <w:jc w:val="center"/>
        <w:rPr>
          <w:sz w:val="22"/>
          <w:szCs w:val="22"/>
        </w:rPr>
      </w:pPr>
    </w:p>
    <w:p w:rsidR="009A1330" w:rsidRPr="007B4C23" w:rsidRDefault="009A1330" w:rsidP="00476E6F">
      <w:pPr>
        <w:tabs>
          <w:tab w:val="left" w:pos="4819"/>
        </w:tabs>
        <w:rPr>
          <w:sz w:val="22"/>
          <w:szCs w:val="22"/>
        </w:rPr>
      </w:pPr>
      <w:r w:rsidRPr="009C79E5">
        <w:rPr>
          <w:sz w:val="22"/>
          <w:szCs w:val="22"/>
        </w:rPr>
        <w:t xml:space="preserve">This is a list of parties who filed comments in the following proceedings.  The complete record in this proceeding is available in the Commission’s Electronic Comment Filing System located at </w:t>
      </w:r>
      <w:hyperlink r:id="rId10" w:history="1">
        <w:r w:rsidRPr="005732A8">
          <w:rPr>
            <w:rStyle w:val="Hyperlink1"/>
            <w:sz w:val="22"/>
            <w:szCs w:val="22"/>
          </w:rPr>
          <w:t>http://www.fcc.gov/cgb/ecfs/</w:t>
        </w:r>
      </w:hyperlink>
      <w:r w:rsidRPr="007B4C23">
        <w:rPr>
          <w:sz w:val="22"/>
          <w:szCs w:val="22"/>
        </w:rPr>
        <w:t>.</w:t>
      </w:r>
    </w:p>
    <w:p w:rsidR="009A1330" w:rsidRPr="005732A8" w:rsidRDefault="009A1330" w:rsidP="00476E6F">
      <w:pPr>
        <w:rPr>
          <w:sz w:val="22"/>
          <w:szCs w:val="22"/>
        </w:rPr>
      </w:pPr>
    </w:p>
    <w:p w:rsidR="009A1330" w:rsidRPr="008D556C" w:rsidRDefault="009A1330" w:rsidP="00476E6F">
      <w:pPr>
        <w:pStyle w:val="CommentText1"/>
        <w:jc w:val="center"/>
        <w:rPr>
          <w:b/>
          <w:color w:val="auto"/>
          <w:sz w:val="22"/>
          <w:szCs w:val="22"/>
        </w:rPr>
      </w:pPr>
      <w:r w:rsidRPr="008D556C">
        <w:rPr>
          <w:b/>
          <w:color w:val="auto"/>
          <w:sz w:val="22"/>
          <w:szCs w:val="22"/>
        </w:rPr>
        <w:t>Assessment</w:t>
      </w:r>
    </w:p>
    <w:p w:rsidR="009A1330" w:rsidRPr="003511DC" w:rsidRDefault="009A1330" w:rsidP="00476E6F">
      <w:pPr>
        <w:pStyle w:val="CommentText1"/>
        <w:rPr>
          <w:i/>
          <w:color w:val="auto"/>
          <w:sz w:val="22"/>
          <w:szCs w:val="22"/>
        </w:rPr>
      </w:pPr>
    </w:p>
    <w:p w:rsidR="009A1330" w:rsidRPr="008D556C" w:rsidRDefault="009A1330" w:rsidP="00476E6F">
      <w:pPr>
        <w:pStyle w:val="CommentText1"/>
        <w:rPr>
          <w:color w:val="auto"/>
          <w:sz w:val="22"/>
          <w:szCs w:val="22"/>
        </w:rPr>
      </w:pPr>
      <w:r w:rsidRPr="00BF0859">
        <w:rPr>
          <w:i/>
          <w:color w:val="auto"/>
          <w:sz w:val="22"/>
          <w:szCs w:val="22"/>
        </w:rPr>
        <w:t xml:space="preserve">Consumer and Governmental Affairs Bureau Seeks Comment on the Accessibility of Communications Technologies for the 2014 Biennial Report under the Twenty-First </w:t>
      </w:r>
      <w:r w:rsidRPr="006C02D7">
        <w:rPr>
          <w:i/>
          <w:color w:val="auto"/>
          <w:sz w:val="22"/>
          <w:szCs w:val="22"/>
        </w:rPr>
        <w:t>Century Communications and Video Accessibility Act</w:t>
      </w:r>
      <w:r w:rsidRPr="009C79E5">
        <w:rPr>
          <w:color w:val="auto"/>
          <w:sz w:val="22"/>
          <w:szCs w:val="22"/>
        </w:rPr>
        <w:t>, CG Docket No. 10-213, Public Notice, DA 14-828, 29 FCC Rcd 7316 (CGB 2014) (</w:t>
      </w:r>
      <w:r w:rsidRPr="009C79E5">
        <w:rPr>
          <w:i/>
          <w:color w:val="auto"/>
          <w:sz w:val="22"/>
          <w:szCs w:val="22"/>
        </w:rPr>
        <w:t>2014 CVAA Assessment PN</w:t>
      </w:r>
      <w:r w:rsidRPr="009C79E5">
        <w:rPr>
          <w:color w:val="auto"/>
          <w:sz w:val="22"/>
          <w:szCs w:val="22"/>
        </w:rPr>
        <w:t>), available at</w:t>
      </w:r>
      <w:r w:rsidRPr="008D556C">
        <w:rPr>
          <w:color w:val="auto"/>
          <w:sz w:val="22"/>
          <w:szCs w:val="22"/>
        </w:rPr>
        <w:t xml:space="preserve"> </w:t>
      </w:r>
      <w:hyperlink r:id="rId11" w:history="1">
        <w:r w:rsidRPr="009C79E5">
          <w:rPr>
            <w:rStyle w:val="Hyperlink"/>
            <w:sz w:val="22"/>
            <w:szCs w:val="22"/>
          </w:rPr>
          <w:t>https://apps.fcc.gov/edocs_public/attachmatch/DA-14-828A1.pdf</w:t>
        </w:r>
      </w:hyperlink>
      <w:r w:rsidRPr="008D556C">
        <w:rPr>
          <w:color w:val="auto"/>
          <w:sz w:val="22"/>
          <w:szCs w:val="22"/>
        </w:rPr>
        <w:t xml:space="preserve">. </w:t>
      </w:r>
    </w:p>
    <w:p w:rsidR="009A1330" w:rsidRPr="003511DC" w:rsidRDefault="009A1330" w:rsidP="00476E6F">
      <w:pPr>
        <w:pStyle w:val="CommentText1"/>
        <w:rPr>
          <w:color w:val="auto"/>
          <w:sz w:val="22"/>
          <w:szCs w:val="22"/>
        </w:rPr>
      </w:pPr>
    </w:p>
    <w:p w:rsidR="009A1330" w:rsidRPr="009C5E08" w:rsidRDefault="009A1330" w:rsidP="00476E6F">
      <w:pPr>
        <w:tabs>
          <w:tab w:val="left" w:pos="2160"/>
          <w:tab w:val="left" w:pos="7200"/>
        </w:tabs>
        <w:rPr>
          <w:b/>
          <w:sz w:val="22"/>
          <w:szCs w:val="22"/>
        </w:rPr>
      </w:pPr>
      <w:r w:rsidRPr="00BF0859">
        <w:rPr>
          <w:b/>
          <w:sz w:val="22"/>
          <w:szCs w:val="22"/>
          <w:u w:val="single"/>
        </w:rPr>
        <w:t>Abbreviation</w:t>
      </w:r>
      <w:r w:rsidRPr="00FF1FD9">
        <w:rPr>
          <w:b/>
          <w:sz w:val="22"/>
          <w:szCs w:val="22"/>
        </w:rPr>
        <w:tab/>
      </w:r>
      <w:r w:rsidRPr="006C02D7">
        <w:rPr>
          <w:b/>
          <w:sz w:val="22"/>
          <w:szCs w:val="22"/>
          <w:u w:val="single"/>
        </w:rPr>
        <w:t>Commenter</w:t>
      </w:r>
      <w:r w:rsidRPr="006C02D7">
        <w:rPr>
          <w:b/>
          <w:sz w:val="22"/>
          <w:szCs w:val="22"/>
        </w:rPr>
        <w:tab/>
      </w:r>
      <w:r w:rsidRPr="006C02D7">
        <w:rPr>
          <w:b/>
          <w:sz w:val="22"/>
          <w:szCs w:val="22"/>
          <w:u w:val="single"/>
        </w:rPr>
        <w:t>Date</w:t>
      </w:r>
    </w:p>
    <w:p w:rsidR="009A1330" w:rsidRPr="009C79E5" w:rsidRDefault="009A1330" w:rsidP="00476E6F">
      <w:pPr>
        <w:tabs>
          <w:tab w:val="left" w:pos="2160"/>
          <w:tab w:val="left" w:pos="2880"/>
          <w:tab w:val="left" w:pos="7200"/>
        </w:tabs>
        <w:rPr>
          <w:sz w:val="22"/>
          <w:szCs w:val="22"/>
        </w:rPr>
      </w:pPr>
    </w:p>
    <w:p w:rsidR="009A1330" w:rsidRPr="009C79E5" w:rsidRDefault="009A1330" w:rsidP="00476E6F">
      <w:pPr>
        <w:pStyle w:val="ParaNum0"/>
        <w:keepNext/>
        <w:keepLines/>
        <w:numPr>
          <w:ilvl w:val="0"/>
          <w:numId w:val="0"/>
        </w:numPr>
        <w:tabs>
          <w:tab w:val="left" w:pos="2160"/>
          <w:tab w:val="left" w:pos="7200"/>
        </w:tabs>
        <w:spacing w:after="0"/>
        <w:rPr>
          <w:szCs w:val="22"/>
        </w:rPr>
      </w:pPr>
      <w:r w:rsidRPr="009C79E5">
        <w:rPr>
          <w:szCs w:val="22"/>
        </w:rPr>
        <w:t>AADB</w:t>
      </w:r>
      <w:r w:rsidRPr="009C79E5">
        <w:rPr>
          <w:szCs w:val="22"/>
        </w:rPr>
        <w:tab/>
        <w:t>American Association of the Deaf-Blind</w:t>
      </w:r>
      <w:r w:rsidRPr="009C79E5">
        <w:rPr>
          <w:szCs w:val="22"/>
        </w:rPr>
        <w:tab/>
        <w:t>July 15, 2014</w:t>
      </w:r>
    </w:p>
    <w:p w:rsidR="00E64013" w:rsidRPr="009C79E5" w:rsidRDefault="00E64013" w:rsidP="00476E6F">
      <w:pPr>
        <w:pStyle w:val="ParaNum0"/>
        <w:keepNext/>
        <w:keepLines/>
        <w:numPr>
          <w:ilvl w:val="0"/>
          <w:numId w:val="0"/>
        </w:numPr>
        <w:tabs>
          <w:tab w:val="left" w:pos="2160"/>
          <w:tab w:val="left" w:pos="7200"/>
        </w:tabs>
        <w:spacing w:after="0"/>
        <w:rPr>
          <w:szCs w:val="22"/>
        </w:rPr>
      </w:pPr>
    </w:p>
    <w:p w:rsidR="009A1330" w:rsidRPr="009C79E5" w:rsidRDefault="009A1330" w:rsidP="00476E6F">
      <w:pPr>
        <w:pStyle w:val="ParaNum0"/>
        <w:keepNext/>
        <w:keepLines/>
        <w:numPr>
          <w:ilvl w:val="0"/>
          <w:numId w:val="0"/>
        </w:numPr>
        <w:tabs>
          <w:tab w:val="left" w:pos="2160"/>
          <w:tab w:val="left" w:pos="7200"/>
        </w:tabs>
        <w:spacing w:after="0"/>
        <w:rPr>
          <w:szCs w:val="22"/>
        </w:rPr>
      </w:pPr>
      <w:r w:rsidRPr="009C79E5">
        <w:rPr>
          <w:szCs w:val="22"/>
        </w:rPr>
        <w:t>ACB</w:t>
      </w:r>
      <w:r w:rsidRPr="009C79E5">
        <w:rPr>
          <w:szCs w:val="22"/>
        </w:rPr>
        <w:tab/>
        <w:t>American Council of the Blind</w:t>
      </w:r>
      <w:r w:rsidRPr="009C79E5">
        <w:rPr>
          <w:szCs w:val="22"/>
        </w:rPr>
        <w:tab/>
        <w:t>August 4, 2014</w:t>
      </w:r>
    </w:p>
    <w:p w:rsidR="00E64013" w:rsidRPr="009C79E5" w:rsidRDefault="00E64013" w:rsidP="00476E6F">
      <w:pPr>
        <w:pStyle w:val="ParaNum0"/>
        <w:keepNext/>
        <w:keepLines/>
        <w:numPr>
          <w:ilvl w:val="0"/>
          <w:numId w:val="0"/>
        </w:numPr>
        <w:tabs>
          <w:tab w:val="left" w:pos="2160"/>
          <w:tab w:val="left" w:pos="7200"/>
        </w:tabs>
        <w:spacing w:after="0"/>
        <w:rPr>
          <w:szCs w:val="22"/>
        </w:rPr>
      </w:pPr>
    </w:p>
    <w:p w:rsidR="009A1330" w:rsidRPr="009C79E5" w:rsidRDefault="009A1330" w:rsidP="00476E6F">
      <w:pPr>
        <w:pStyle w:val="ParaNum0"/>
        <w:keepNext/>
        <w:keepLines/>
        <w:numPr>
          <w:ilvl w:val="0"/>
          <w:numId w:val="0"/>
        </w:numPr>
        <w:tabs>
          <w:tab w:val="left" w:pos="2160"/>
          <w:tab w:val="left" w:pos="7200"/>
        </w:tabs>
        <w:spacing w:after="0"/>
        <w:rPr>
          <w:szCs w:val="22"/>
        </w:rPr>
      </w:pPr>
      <w:r w:rsidRPr="009C79E5">
        <w:rPr>
          <w:szCs w:val="22"/>
        </w:rPr>
        <w:t>CEA</w:t>
      </w:r>
      <w:r w:rsidRPr="009C79E5">
        <w:rPr>
          <w:szCs w:val="22"/>
        </w:rPr>
        <w:tab/>
        <w:t>Consumer Electronics Association</w:t>
      </w:r>
      <w:r w:rsidRPr="009C79E5">
        <w:rPr>
          <w:szCs w:val="22"/>
        </w:rPr>
        <w:tab/>
        <w:t>July 15, 2014</w:t>
      </w:r>
    </w:p>
    <w:p w:rsidR="00E64013" w:rsidRPr="009C79E5" w:rsidRDefault="00E64013" w:rsidP="00476E6F">
      <w:pPr>
        <w:pStyle w:val="ParaNum0"/>
        <w:keepNext/>
        <w:keepLines/>
        <w:numPr>
          <w:ilvl w:val="0"/>
          <w:numId w:val="0"/>
        </w:numPr>
        <w:tabs>
          <w:tab w:val="left" w:pos="2160"/>
          <w:tab w:val="left" w:pos="7200"/>
        </w:tabs>
        <w:spacing w:after="0"/>
        <w:rPr>
          <w:szCs w:val="22"/>
        </w:rPr>
      </w:pPr>
    </w:p>
    <w:p w:rsidR="009A1330" w:rsidRPr="009C79E5" w:rsidRDefault="009A1330" w:rsidP="00476E6F">
      <w:pPr>
        <w:pStyle w:val="ParaNum0"/>
        <w:keepNext/>
        <w:keepLines/>
        <w:numPr>
          <w:ilvl w:val="0"/>
          <w:numId w:val="0"/>
        </w:numPr>
        <w:tabs>
          <w:tab w:val="left" w:pos="2160"/>
          <w:tab w:val="left" w:pos="7200"/>
        </w:tabs>
        <w:spacing w:after="0"/>
        <w:rPr>
          <w:szCs w:val="22"/>
        </w:rPr>
      </w:pPr>
      <w:r w:rsidRPr="009C79E5">
        <w:rPr>
          <w:szCs w:val="22"/>
        </w:rPr>
        <w:t>CTIA</w:t>
      </w:r>
      <w:r w:rsidRPr="009C79E5">
        <w:rPr>
          <w:szCs w:val="22"/>
        </w:rPr>
        <w:tab/>
        <w:t>CTIA-The Wireless Association</w:t>
      </w:r>
      <w:r w:rsidRPr="009C79E5">
        <w:rPr>
          <w:szCs w:val="22"/>
        </w:rPr>
        <w:tab/>
        <w:t>July 14, 2014</w:t>
      </w:r>
    </w:p>
    <w:p w:rsidR="00E64013" w:rsidRPr="009C79E5" w:rsidRDefault="00E64013" w:rsidP="00476E6F">
      <w:pPr>
        <w:pStyle w:val="ParaNum0"/>
        <w:keepNext/>
        <w:keepLines/>
        <w:numPr>
          <w:ilvl w:val="0"/>
          <w:numId w:val="0"/>
        </w:numPr>
        <w:tabs>
          <w:tab w:val="left" w:pos="2160"/>
          <w:tab w:val="left" w:pos="7200"/>
        </w:tabs>
        <w:spacing w:after="0"/>
        <w:rPr>
          <w:szCs w:val="22"/>
        </w:rPr>
      </w:pPr>
    </w:p>
    <w:p w:rsidR="009A1330" w:rsidRPr="009C79E5" w:rsidRDefault="009A1330" w:rsidP="00476E6F">
      <w:pPr>
        <w:pStyle w:val="ParaNum0"/>
        <w:keepNext/>
        <w:keepLines/>
        <w:numPr>
          <w:ilvl w:val="0"/>
          <w:numId w:val="0"/>
        </w:numPr>
        <w:tabs>
          <w:tab w:val="left" w:pos="2160"/>
          <w:tab w:val="left" w:pos="7200"/>
        </w:tabs>
        <w:spacing w:after="0"/>
        <w:rPr>
          <w:szCs w:val="22"/>
        </w:rPr>
      </w:pPr>
      <w:r w:rsidRPr="009C79E5">
        <w:rPr>
          <w:szCs w:val="22"/>
        </w:rPr>
        <w:t>Consumer Groups</w:t>
      </w:r>
      <w:r w:rsidRPr="009C79E5">
        <w:rPr>
          <w:szCs w:val="22"/>
        </w:rPr>
        <w:tab/>
        <w:t>National Association of the Deaf;</w:t>
      </w:r>
      <w:r w:rsidRPr="009C79E5">
        <w:rPr>
          <w:szCs w:val="22"/>
        </w:rPr>
        <w:tab/>
        <w:t xml:space="preserve">August 4, 2014 </w:t>
      </w:r>
    </w:p>
    <w:p w:rsidR="009A1330" w:rsidRPr="009C79E5" w:rsidRDefault="009A1330" w:rsidP="00476E6F">
      <w:pPr>
        <w:pStyle w:val="ParaNum0"/>
        <w:keepNext/>
        <w:keepLines/>
        <w:numPr>
          <w:ilvl w:val="0"/>
          <w:numId w:val="0"/>
        </w:numPr>
        <w:tabs>
          <w:tab w:val="left" w:pos="2160"/>
          <w:tab w:val="left" w:pos="7200"/>
        </w:tabs>
        <w:spacing w:after="0"/>
        <w:ind w:left="2160" w:right="2520"/>
        <w:rPr>
          <w:szCs w:val="22"/>
        </w:rPr>
      </w:pPr>
      <w:r w:rsidRPr="009C79E5">
        <w:rPr>
          <w:szCs w:val="22"/>
        </w:rPr>
        <w:t xml:space="preserve">Telecommunications for the Deaf and Hard of Hearing, Inc.; Deaf and Hard of Hearing Consumer Advocacy Network; Association of Late-Deafened Adults, Inc.; Hearing Loss Association of America; California Coalition of Agencies Serving the Deaf and Hard of Hearing; Cerebral Palsy and Deaf Organization; and Telecommunication-RERC (Technology Access Program at Gallaudet University and Trace Center at the University of Wisconsin-Madison) </w:t>
      </w:r>
    </w:p>
    <w:p w:rsidR="009A1330" w:rsidRPr="009C79E5" w:rsidRDefault="009A1330" w:rsidP="00476E6F">
      <w:pPr>
        <w:pStyle w:val="ParaNum0"/>
        <w:keepNext/>
        <w:keepLines/>
        <w:numPr>
          <w:ilvl w:val="0"/>
          <w:numId w:val="0"/>
        </w:numPr>
        <w:tabs>
          <w:tab w:val="left" w:pos="2160"/>
          <w:tab w:val="left" w:pos="7200"/>
        </w:tabs>
        <w:spacing w:after="0"/>
        <w:rPr>
          <w:szCs w:val="22"/>
        </w:rPr>
      </w:pPr>
      <w:r w:rsidRPr="009C79E5">
        <w:rPr>
          <w:szCs w:val="22"/>
        </w:rPr>
        <w:tab/>
      </w:r>
      <w:r w:rsidRPr="009C79E5">
        <w:rPr>
          <w:szCs w:val="22"/>
        </w:rPr>
        <w:tab/>
      </w:r>
    </w:p>
    <w:p w:rsidR="009A1330" w:rsidRPr="009C79E5" w:rsidRDefault="009A1330" w:rsidP="00476E6F">
      <w:pPr>
        <w:pStyle w:val="ParaNum0"/>
        <w:keepNext/>
        <w:keepLines/>
        <w:numPr>
          <w:ilvl w:val="0"/>
          <w:numId w:val="0"/>
        </w:numPr>
        <w:tabs>
          <w:tab w:val="left" w:pos="2160"/>
          <w:tab w:val="left" w:pos="7200"/>
        </w:tabs>
        <w:spacing w:after="0"/>
        <w:rPr>
          <w:szCs w:val="22"/>
        </w:rPr>
      </w:pPr>
      <w:r w:rsidRPr="009C79E5">
        <w:rPr>
          <w:szCs w:val="22"/>
        </w:rPr>
        <w:t>Microsoft</w:t>
      </w:r>
      <w:r w:rsidRPr="009C79E5">
        <w:rPr>
          <w:szCs w:val="22"/>
        </w:rPr>
        <w:tab/>
        <w:t>Microsoft, Inc.</w:t>
      </w:r>
      <w:r w:rsidRPr="009C79E5">
        <w:rPr>
          <w:szCs w:val="22"/>
        </w:rPr>
        <w:tab/>
        <w:t>July 15, 2014</w:t>
      </w:r>
    </w:p>
    <w:p w:rsidR="00E64013" w:rsidRPr="009C79E5" w:rsidRDefault="00E64013" w:rsidP="00476E6F">
      <w:pPr>
        <w:pStyle w:val="ParaNum0"/>
        <w:keepNext/>
        <w:keepLines/>
        <w:numPr>
          <w:ilvl w:val="0"/>
          <w:numId w:val="0"/>
        </w:numPr>
        <w:tabs>
          <w:tab w:val="left" w:pos="2160"/>
          <w:tab w:val="left" w:pos="7200"/>
        </w:tabs>
        <w:spacing w:after="0"/>
        <w:rPr>
          <w:szCs w:val="22"/>
        </w:rPr>
      </w:pPr>
    </w:p>
    <w:p w:rsidR="009A1330" w:rsidRPr="009C79E5" w:rsidRDefault="009A1330" w:rsidP="00476E6F">
      <w:pPr>
        <w:pStyle w:val="ParaNum0"/>
        <w:keepNext/>
        <w:keepLines/>
        <w:numPr>
          <w:ilvl w:val="0"/>
          <w:numId w:val="0"/>
        </w:numPr>
        <w:tabs>
          <w:tab w:val="left" w:pos="2160"/>
          <w:tab w:val="left" w:pos="7200"/>
        </w:tabs>
        <w:spacing w:after="0"/>
        <w:rPr>
          <w:szCs w:val="22"/>
        </w:rPr>
      </w:pPr>
      <w:r w:rsidRPr="009C79E5">
        <w:rPr>
          <w:szCs w:val="22"/>
        </w:rPr>
        <w:t>TIA</w:t>
      </w:r>
      <w:r w:rsidRPr="009C79E5">
        <w:rPr>
          <w:szCs w:val="22"/>
        </w:rPr>
        <w:tab/>
        <w:t>Telecommunications Industry Association</w:t>
      </w:r>
      <w:r w:rsidRPr="009C79E5">
        <w:rPr>
          <w:szCs w:val="22"/>
        </w:rPr>
        <w:tab/>
        <w:t>July 15, 2014</w:t>
      </w:r>
    </w:p>
    <w:p w:rsidR="00E64013" w:rsidRPr="009C79E5" w:rsidRDefault="009A1330" w:rsidP="00476E6F">
      <w:pPr>
        <w:pStyle w:val="ParaNum0"/>
        <w:keepNext/>
        <w:keepLines/>
        <w:numPr>
          <w:ilvl w:val="0"/>
          <w:numId w:val="0"/>
        </w:numPr>
        <w:tabs>
          <w:tab w:val="left" w:pos="2160"/>
          <w:tab w:val="left" w:pos="7200"/>
        </w:tabs>
        <w:spacing w:after="0"/>
        <w:rPr>
          <w:szCs w:val="22"/>
        </w:rPr>
      </w:pPr>
      <w:r w:rsidRPr="009C79E5">
        <w:rPr>
          <w:szCs w:val="22"/>
        </w:rPr>
        <w:tab/>
      </w:r>
      <w:r w:rsidRPr="009C79E5">
        <w:rPr>
          <w:szCs w:val="22"/>
        </w:rPr>
        <w:tab/>
      </w:r>
      <w:r w:rsidRPr="009C79E5">
        <w:rPr>
          <w:szCs w:val="22"/>
        </w:rPr>
        <w:tab/>
      </w:r>
    </w:p>
    <w:p w:rsidR="009A1330" w:rsidRPr="009C79E5" w:rsidRDefault="00E64013" w:rsidP="00476E6F">
      <w:pPr>
        <w:pStyle w:val="ParaNum0"/>
        <w:keepNext/>
        <w:keepLines/>
        <w:numPr>
          <w:ilvl w:val="0"/>
          <w:numId w:val="0"/>
        </w:numPr>
        <w:tabs>
          <w:tab w:val="left" w:pos="2160"/>
          <w:tab w:val="left" w:pos="7200"/>
        </w:tabs>
        <w:spacing w:after="0"/>
        <w:rPr>
          <w:szCs w:val="22"/>
        </w:rPr>
      </w:pPr>
      <w:r w:rsidRPr="009C79E5">
        <w:rPr>
          <w:szCs w:val="22"/>
        </w:rPr>
        <w:tab/>
      </w:r>
      <w:r w:rsidR="00E729DF" w:rsidRPr="009C79E5">
        <w:rPr>
          <w:szCs w:val="22"/>
        </w:rPr>
        <w:t>Individuals:</w:t>
      </w:r>
    </w:p>
    <w:p w:rsidR="00E729DF" w:rsidRPr="009C79E5" w:rsidRDefault="00E729DF" w:rsidP="00476E6F">
      <w:pPr>
        <w:pStyle w:val="ParaNum0"/>
        <w:keepNext/>
        <w:keepLines/>
        <w:numPr>
          <w:ilvl w:val="0"/>
          <w:numId w:val="0"/>
        </w:numPr>
        <w:tabs>
          <w:tab w:val="left" w:pos="2160"/>
          <w:tab w:val="left" w:pos="7200"/>
        </w:tabs>
        <w:spacing w:after="0"/>
        <w:rPr>
          <w:szCs w:val="22"/>
        </w:rPr>
      </w:pPr>
    </w:p>
    <w:p w:rsidR="00E729DF" w:rsidRPr="009C79E5" w:rsidRDefault="00E729DF" w:rsidP="00476E6F">
      <w:pPr>
        <w:tabs>
          <w:tab w:val="left" w:pos="7200"/>
        </w:tabs>
        <w:ind w:left="2160" w:right="24"/>
        <w:rPr>
          <w:sz w:val="22"/>
          <w:szCs w:val="22"/>
        </w:rPr>
      </w:pPr>
      <w:r w:rsidRPr="009C79E5">
        <w:rPr>
          <w:sz w:val="22"/>
          <w:szCs w:val="22"/>
        </w:rPr>
        <w:t>Larry McMillan </w:t>
      </w:r>
      <w:r w:rsidRPr="009C79E5">
        <w:rPr>
          <w:sz w:val="22"/>
          <w:szCs w:val="22"/>
        </w:rPr>
        <w:tab/>
        <w:t>August 7, 2014</w:t>
      </w:r>
    </w:p>
    <w:p w:rsidR="00E729DF" w:rsidRPr="008D556C" w:rsidRDefault="00E729DF" w:rsidP="00476E6F">
      <w:pPr>
        <w:tabs>
          <w:tab w:val="left" w:pos="7200"/>
        </w:tabs>
        <w:ind w:left="2160" w:right="24"/>
        <w:rPr>
          <w:sz w:val="22"/>
          <w:szCs w:val="22"/>
        </w:rPr>
      </w:pPr>
      <w:r w:rsidRPr="009C79E5">
        <w:rPr>
          <w:sz w:val="22"/>
          <w:szCs w:val="22"/>
        </w:rPr>
        <w:t>Vanessa Gonzalez </w:t>
      </w:r>
      <w:r w:rsidRPr="009C79E5">
        <w:rPr>
          <w:noProof/>
          <w:sz w:val="22"/>
          <w:szCs w:val="22"/>
        </w:rPr>
        <w:t xml:space="preserve"> </w:t>
      </w:r>
      <w:r w:rsidR="00B70410">
        <w:rPr>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9" o:spid="_x0000_i1025" type="#_x0000_t75" alt="http://www.fcc.gov/images/clear.gif" style="width:.75pt;height:7.5pt;visibility:visible">
            <v:imagedata r:id="rId12" o:title="clear"/>
          </v:shape>
        </w:pict>
      </w:r>
      <w:r w:rsidRPr="008D556C">
        <w:rPr>
          <w:sz w:val="22"/>
          <w:szCs w:val="22"/>
        </w:rPr>
        <w:tab/>
        <w:t>August 7, 2014</w:t>
      </w:r>
    </w:p>
    <w:p w:rsidR="00E729DF" w:rsidRPr="003511DC" w:rsidRDefault="00E729DF" w:rsidP="00476E6F">
      <w:pPr>
        <w:tabs>
          <w:tab w:val="left" w:pos="7200"/>
        </w:tabs>
        <w:ind w:left="2160" w:right="24"/>
        <w:rPr>
          <w:sz w:val="22"/>
          <w:szCs w:val="22"/>
        </w:rPr>
      </w:pPr>
      <w:r w:rsidRPr="003511DC">
        <w:rPr>
          <w:sz w:val="22"/>
          <w:szCs w:val="22"/>
        </w:rPr>
        <w:t>Kevin Lee </w:t>
      </w:r>
      <w:r w:rsidRPr="003511DC">
        <w:rPr>
          <w:sz w:val="22"/>
          <w:szCs w:val="22"/>
        </w:rPr>
        <w:tab/>
        <w:t>August 7, 2014</w:t>
      </w:r>
    </w:p>
    <w:p w:rsidR="00E729DF" w:rsidRPr="00FF1FD9" w:rsidRDefault="00E729DF" w:rsidP="00476E6F">
      <w:pPr>
        <w:tabs>
          <w:tab w:val="left" w:pos="7200"/>
        </w:tabs>
        <w:ind w:left="2160" w:right="24"/>
        <w:rPr>
          <w:sz w:val="22"/>
          <w:szCs w:val="22"/>
        </w:rPr>
      </w:pPr>
      <w:r w:rsidRPr="00BF0859">
        <w:rPr>
          <w:sz w:val="22"/>
          <w:szCs w:val="22"/>
        </w:rPr>
        <w:t>Karen Kacen </w:t>
      </w:r>
      <w:r w:rsidRPr="00BF0859">
        <w:rPr>
          <w:sz w:val="22"/>
          <w:szCs w:val="22"/>
        </w:rPr>
        <w:tab/>
        <w:t>Au</w:t>
      </w:r>
      <w:r w:rsidRPr="00FF1FD9">
        <w:rPr>
          <w:sz w:val="22"/>
          <w:szCs w:val="22"/>
        </w:rPr>
        <w:t>gust 7, 2014</w:t>
      </w:r>
    </w:p>
    <w:p w:rsidR="00E729DF" w:rsidRPr="006C02D7" w:rsidRDefault="00E729DF" w:rsidP="00476E6F">
      <w:pPr>
        <w:tabs>
          <w:tab w:val="left" w:pos="7200"/>
        </w:tabs>
        <w:ind w:left="2160" w:right="24"/>
        <w:rPr>
          <w:sz w:val="22"/>
          <w:szCs w:val="22"/>
        </w:rPr>
      </w:pPr>
      <w:r w:rsidRPr="006C02D7">
        <w:rPr>
          <w:sz w:val="22"/>
          <w:szCs w:val="22"/>
        </w:rPr>
        <w:t>Ronald Kaplan </w:t>
      </w:r>
      <w:r w:rsidRPr="006C02D7">
        <w:rPr>
          <w:sz w:val="22"/>
          <w:szCs w:val="22"/>
        </w:rPr>
        <w:tab/>
        <w:t>August 7, 2014</w:t>
      </w:r>
    </w:p>
    <w:p w:rsidR="00E729DF" w:rsidRPr="006C02D7" w:rsidRDefault="00E729DF" w:rsidP="00476E6F">
      <w:pPr>
        <w:tabs>
          <w:tab w:val="left" w:pos="7200"/>
        </w:tabs>
        <w:ind w:left="2160" w:right="24"/>
        <w:rPr>
          <w:sz w:val="22"/>
          <w:szCs w:val="22"/>
        </w:rPr>
      </w:pPr>
      <w:r w:rsidRPr="006C02D7">
        <w:rPr>
          <w:sz w:val="22"/>
          <w:szCs w:val="22"/>
        </w:rPr>
        <w:t>Percy Chavez </w:t>
      </w:r>
      <w:r w:rsidRPr="006C02D7">
        <w:rPr>
          <w:sz w:val="22"/>
          <w:szCs w:val="22"/>
        </w:rPr>
        <w:tab/>
        <w:t>August 7, 2014</w:t>
      </w:r>
    </w:p>
    <w:p w:rsidR="00E729DF" w:rsidRPr="009C79E5" w:rsidRDefault="00E729DF" w:rsidP="00476E6F">
      <w:pPr>
        <w:tabs>
          <w:tab w:val="left" w:pos="7200"/>
        </w:tabs>
        <w:ind w:left="2160" w:right="24"/>
        <w:rPr>
          <w:sz w:val="22"/>
          <w:szCs w:val="22"/>
        </w:rPr>
      </w:pPr>
      <w:r w:rsidRPr="009C79E5">
        <w:rPr>
          <w:sz w:val="22"/>
          <w:szCs w:val="22"/>
        </w:rPr>
        <w:t>Paul Salois </w:t>
      </w:r>
      <w:r w:rsidRPr="009C79E5">
        <w:rPr>
          <w:sz w:val="22"/>
          <w:szCs w:val="22"/>
        </w:rPr>
        <w:tab/>
        <w:t>August 7, 2014</w:t>
      </w:r>
    </w:p>
    <w:p w:rsidR="00E729DF" w:rsidRPr="009C79E5" w:rsidRDefault="00E729DF" w:rsidP="00476E6F">
      <w:pPr>
        <w:tabs>
          <w:tab w:val="left" w:pos="7200"/>
        </w:tabs>
        <w:ind w:left="2160" w:right="24"/>
        <w:rPr>
          <w:sz w:val="22"/>
          <w:szCs w:val="22"/>
        </w:rPr>
      </w:pPr>
      <w:r w:rsidRPr="009C79E5">
        <w:rPr>
          <w:sz w:val="22"/>
          <w:szCs w:val="22"/>
        </w:rPr>
        <w:t>Russ Zochowski </w:t>
      </w:r>
      <w:r w:rsidRPr="009C79E5">
        <w:rPr>
          <w:sz w:val="22"/>
          <w:szCs w:val="22"/>
        </w:rPr>
        <w:tab/>
        <w:t>August 7, 2014</w:t>
      </w:r>
    </w:p>
    <w:p w:rsidR="00E729DF" w:rsidRPr="009C79E5" w:rsidRDefault="00E729DF" w:rsidP="00476E6F">
      <w:pPr>
        <w:tabs>
          <w:tab w:val="left" w:pos="7200"/>
        </w:tabs>
        <w:ind w:left="2160" w:right="24"/>
        <w:rPr>
          <w:sz w:val="22"/>
          <w:szCs w:val="22"/>
        </w:rPr>
      </w:pPr>
      <w:r w:rsidRPr="009C79E5">
        <w:rPr>
          <w:sz w:val="22"/>
          <w:szCs w:val="22"/>
        </w:rPr>
        <w:t>Fred Scott </w:t>
      </w:r>
      <w:r w:rsidRPr="009C79E5">
        <w:rPr>
          <w:sz w:val="22"/>
          <w:szCs w:val="22"/>
        </w:rPr>
        <w:tab/>
        <w:t>August 7, 2014</w:t>
      </w:r>
    </w:p>
    <w:p w:rsidR="00E729DF" w:rsidRPr="009C79E5" w:rsidRDefault="00E729DF" w:rsidP="00476E6F">
      <w:pPr>
        <w:tabs>
          <w:tab w:val="left" w:pos="7200"/>
        </w:tabs>
        <w:ind w:left="2160" w:right="24"/>
        <w:rPr>
          <w:sz w:val="22"/>
          <w:szCs w:val="22"/>
        </w:rPr>
      </w:pPr>
      <w:r w:rsidRPr="009C79E5">
        <w:rPr>
          <w:sz w:val="22"/>
          <w:szCs w:val="22"/>
        </w:rPr>
        <w:t>Andrea Roth </w:t>
      </w:r>
      <w:r w:rsidRPr="009C79E5">
        <w:rPr>
          <w:sz w:val="22"/>
          <w:szCs w:val="22"/>
        </w:rPr>
        <w:tab/>
        <w:t>August 7, 2014</w:t>
      </w:r>
    </w:p>
    <w:p w:rsidR="00E729DF" w:rsidRPr="009C79E5" w:rsidRDefault="00E729DF" w:rsidP="00476E6F">
      <w:pPr>
        <w:tabs>
          <w:tab w:val="left" w:pos="7200"/>
        </w:tabs>
        <w:ind w:left="2160" w:right="24"/>
        <w:rPr>
          <w:sz w:val="22"/>
          <w:szCs w:val="22"/>
        </w:rPr>
      </w:pPr>
      <w:r w:rsidRPr="009C79E5">
        <w:rPr>
          <w:sz w:val="22"/>
          <w:szCs w:val="22"/>
        </w:rPr>
        <w:t>Rhonda Staats </w:t>
      </w:r>
      <w:r w:rsidRPr="009C79E5">
        <w:rPr>
          <w:sz w:val="22"/>
          <w:szCs w:val="22"/>
        </w:rPr>
        <w:tab/>
        <w:t>August 7, 2014</w:t>
      </w:r>
    </w:p>
    <w:p w:rsidR="00E729DF" w:rsidRPr="009C79E5" w:rsidRDefault="00E729DF" w:rsidP="00476E6F">
      <w:pPr>
        <w:tabs>
          <w:tab w:val="left" w:pos="7200"/>
        </w:tabs>
        <w:ind w:left="2160" w:right="24"/>
        <w:rPr>
          <w:sz w:val="22"/>
          <w:szCs w:val="22"/>
        </w:rPr>
      </w:pPr>
      <w:r w:rsidRPr="009C79E5">
        <w:rPr>
          <w:sz w:val="22"/>
          <w:szCs w:val="22"/>
        </w:rPr>
        <w:t>Karen Palau </w:t>
      </w:r>
      <w:r w:rsidRPr="009C79E5">
        <w:rPr>
          <w:sz w:val="22"/>
          <w:szCs w:val="22"/>
        </w:rPr>
        <w:tab/>
        <w:t>August 7, 2014</w:t>
      </w:r>
    </w:p>
    <w:p w:rsidR="00E729DF" w:rsidRPr="009C79E5" w:rsidRDefault="00E729DF" w:rsidP="00476E6F">
      <w:pPr>
        <w:tabs>
          <w:tab w:val="left" w:pos="7200"/>
        </w:tabs>
        <w:ind w:left="2160" w:right="24"/>
        <w:rPr>
          <w:sz w:val="22"/>
          <w:szCs w:val="22"/>
        </w:rPr>
      </w:pPr>
      <w:r w:rsidRPr="009C79E5">
        <w:rPr>
          <w:sz w:val="22"/>
          <w:szCs w:val="22"/>
        </w:rPr>
        <w:t>Anne Jarry </w:t>
      </w:r>
      <w:r w:rsidRPr="009C79E5">
        <w:rPr>
          <w:sz w:val="22"/>
          <w:szCs w:val="22"/>
        </w:rPr>
        <w:tab/>
        <w:t>August 7, 2014</w:t>
      </w:r>
    </w:p>
    <w:p w:rsidR="00E729DF" w:rsidRPr="009C79E5" w:rsidRDefault="00E729DF" w:rsidP="00476E6F">
      <w:pPr>
        <w:tabs>
          <w:tab w:val="left" w:pos="7200"/>
        </w:tabs>
        <w:ind w:left="2160" w:right="24"/>
        <w:rPr>
          <w:sz w:val="22"/>
          <w:szCs w:val="22"/>
        </w:rPr>
      </w:pPr>
      <w:r w:rsidRPr="009C79E5">
        <w:rPr>
          <w:sz w:val="22"/>
          <w:szCs w:val="22"/>
        </w:rPr>
        <w:t>Donna Brown </w:t>
      </w:r>
      <w:r w:rsidRPr="009C79E5">
        <w:rPr>
          <w:sz w:val="22"/>
          <w:szCs w:val="22"/>
        </w:rPr>
        <w:tab/>
        <w:t>August 7, 2014</w:t>
      </w:r>
    </w:p>
    <w:p w:rsidR="00E729DF" w:rsidRPr="009C79E5" w:rsidRDefault="00E729DF" w:rsidP="00476E6F">
      <w:pPr>
        <w:tabs>
          <w:tab w:val="left" w:pos="7200"/>
        </w:tabs>
        <w:ind w:left="2160" w:right="24"/>
        <w:rPr>
          <w:sz w:val="22"/>
          <w:szCs w:val="22"/>
        </w:rPr>
      </w:pPr>
      <w:r w:rsidRPr="009C79E5">
        <w:rPr>
          <w:sz w:val="22"/>
          <w:szCs w:val="22"/>
        </w:rPr>
        <w:t>Sandy Spalletta </w:t>
      </w:r>
      <w:r w:rsidRPr="009C79E5">
        <w:rPr>
          <w:sz w:val="22"/>
          <w:szCs w:val="22"/>
        </w:rPr>
        <w:tab/>
        <w:t>August 7, 2014</w:t>
      </w:r>
    </w:p>
    <w:p w:rsidR="00E729DF" w:rsidRPr="009C79E5" w:rsidRDefault="00E729DF" w:rsidP="00476E6F">
      <w:pPr>
        <w:tabs>
          <w:tab w:val="left" w:pos="7200"/>
        </w:tabs>
        <w:ind w:left="2160" w:right="24"/>
        <w:rPr>
          <w:sz w:val="22"/>
          <w:szCs w:val="22"/>
        </w:rPr>
      </w:pPr>
      <w:r w:rsidRPr="009C79E5">
        <w:rPr>
          <w:sz w:val="22"/>
          <w:szCs w:val="22"/>
        </w:rPr>
        <w:t>Jeanette Schmoyer </w:t>
      </w:r>
      <w:r w:rsidRPr="009C79E5">
        <w:rPr>
          <w:sz w:val="22"/>
          <w:szCs w:val="22"/>
        </w:rPr>
        <w:tab/>
        <w:t>August 7, 2014</w:t>
      </w:r>
    </w:p>
    <w:p w:rsidR="00E729DF" w:rsidRPr="009C79E5" w:rsidRDefault="00E729DF" w:rsidP="00476E6F">
      <w:pPr>
        <w:tabs>
          <w:tab w:val="left" w:pos="7200"/>
        </w:tabs>
        <w:ind w:left="2160" w:right="24"/>
        <w:rPr>
          <w:sz w:val="22"/>
          <w:szCs w:val="22"/>
        </w:rPr>
      </w:pPr>
      <w:r w:rsidRPr="009C79E5">
        <w:rPr>
          <w:sz w:val="22"/>
          <w:szCs w:val="22"/>
        </w:rPr>
        <w:t>Toni Fraser </w:t>
      </w:r>
      <w:r w:rsidRPr="009C79E5">
        <w:rPr>
          <w:sz w:val="22"/>
          <w:szCs w:val="22"/>
        </w:rPr>
        <w:tab/>
        <w:t>August 7, 2014</w:t>
      </w:r>
    </w:p>
    <w:p w:rsidR="00E729DF" w:rsidRPr="009C79E5" w:rsidRDefault="00E729DF" w:rsidP="00476E6F">
      <w:pPr>
        <w:tabs>
          <w:tab w:val="left" w:pos="7200"/>
        </w:tabs>
        <w:ind w:left="2160" w:right="24"/>
        <w:rPr>
          <w:sz w:val="22"/>
          <w:szCs w:val="22"/>
        </w:rPr>
      </w:pPr>
      <w:r w:rsidRPr="009C79E5">
        <w:rPr>
          <w:sz w:val="22"/>
          <w:szCs w:val="22"/>
        </w:rPr>
        <w:t>David Goldstein </w:t>
      </w:r>
      <w:r w:rsidRPr="009C79E5">
        <w:rPr>
          <w:sz w:val="22"/>
          <w:szCs w:val="22"/>
        </w:rPr>
        <w:tab/>
        <w:t>August 8, 2014</w:t>
      </w:r>
    </w:p>
    <w:p w:rsidR="00E729DF" w:rsidRPr="008D556C" w:rsidRDefault="00E729DF" w:rsidP="00476E6F">
      <w:pPr>
        <w:tabs>
          <w:tab w:val="left" w:pos="7200"/>
        </w:tabs>
        <w:ind w:left="2160" w:right="24"/>
        <w:rPr>
          <w:sz w:val="22"/>
          <w:szCs w:val="22"/>
        </w:rPr>
      </w:pPr>
      <w:r w:rsidRPr="009C79E5">
        <w:rPr>
          <w:sz w:val="22"/>
          <w:szCs w:val="22"/>
        </w:rPr>
        <w:t>Al Posner </w:t>
      </w:r>
      <w:r w:rsidRPr="009C79E5">
        <w:rPr>
          <w:noProof/>
          <w:sz w:val="22"/>
          <w:szCs w:val="22"/>
        </w:rPr>
        <w:t xml:space="preserve"> </w:t>
      </w:r>
      <w:r w:rsidR="00B70410">
        <w:rPr>
          <w:noProof/>
          <w:sz w:val="22"/>
          <w:szCs w:val="22"/>
        </w:rPr>
        <w:pict>
          <v:shape id="Picture 3" o:spid="_x0000_i1026" type="#_x0000_t75" alt="http://www.fcc.gov/images/clear.gif" style="width:.75pt;height:7.5pt;visibility:visible">
            <v:imagedata r:id="rId12" o:title="clear"/>
          </v:shape>
        </w:pict>
      </w:r>
      <w:r w:rsidRPr="008D556C">
        <w:rPr>
          <w:sz w:val="22"/>
          <w:szCs w:val="22"/>
        </w:rPr>
        <w:tab/>
        <w:t>August 8, 2014</w:t>
      </w:r>
    </w:p>
    <w:p w:rsidR="00E729DF" w:rsidRPr="003511DC" w:rsidRDefault="00E729DF" w:rsidP="00476E6F">
      <w:pPr>
        <w:tabs>
          <w:tab w:val="left" w:pos="7200"/>
        </w:tabs>
        <w:ind w:left="2160" w:right="24"/>
        <w:rPr>
          <w:sz w:val="22"/>
          <w:szCs w:val="22"/>
        </w:rPr>
      </w:pPr>
      <w:r w:rsidRPr="003511DC">
        <w:rPr>
          <w:sz w:val="22"/>
          <w:szCs w:val="22"/>
        </w:rPr>
        <w:t>Jake Joehl </w:t>
      </w:r>
      <w:r w:rsidRPr="003511DC">
        <w:rPr>
          <w:sz w:val="22"/>
          <w:szCs w:val="22"/>
        </w:rPr>
        <w:tab/>
        <w:t>August 8, 2014</w:t>
      </w:r>
    </w:p>
    <w:p w:rsidR="00E729DF" w:rsidRPr="00BF0859" w:rsidRDefault="00E729DF" w:rsidP="00476E6F">
      <w:pPr>
        <w:tabs>
          <w:tab w:val="left" w:pos="7200"/>
        </w:tabs>
        <w:ind w:left="2160" w:right="24"/>
        <w:rPr>
          <w:sz w:val="22"/>
          <w:szCs w:val="22"/>
        </w:rPr>
      </w:pPr>
      <w:r w:rsidRPr="00BF0859">
        <w:rPr>
          <w:sz w:val="22"/>
          <w:szCs w:val="22"/>
        </w:rPr>
        <w:t>Rick Alfaro </w:t>
      </w:r>
      <w:r w:rsidRPr="00BF0859">
        <w:rPr>
          <w:sz w:val="22"/>
          <w:szCs w:val="22"/>
        </w:rPr>
        <w:tab/>
        <w:t>August 8, 2014</w:t>
      </w:r>
    </w:p>
    <w:p w:rsidR="00E729DF" w:rsidRPr="006C02D7" w:rsidRDefault="00E729DF" w:rsidP="00476E6F">
      <w:pPr>
        <w:tabs>
          <w:tab w:val="left" w:pos="7200"/>
        </w:tabs>
        <w:ind w:left="2160" w:right="24"/>
        <w:rPr>
          <w:sz w:val="22"/>
          <w:szCs w:val="22"/>
        </w:rPr>
      </w:pPr>
      <w:r w:rsidRPr="006C02D7">
        <w:rPr>
          <w:sz w:val="22"/>
          <w:szCs w:val="22"/>
        </w:rPr>
        <w:t>Michael Levy </w:t>
      </w:r>
      <w:r w:rsidRPr="006C02D7">
        <w:rPr>
          <w:sz w:val="22"/>
          <w:szCs w:val="22"/>
        </w:rPr>
        <w:tab/>
        <w:t>August 12, 2014</w:t>
      </w:r>
    </w:p>
    <w:p w:rsidR="00E729DF" w:rsidRPr="008D556C" w:rsidRDefault="00E729DF" w:rsidP="00476E6F">
      <w:pPr>
        <w:tabs>
          <w:tab w:val="left" w:pos="7200"/>
        </w:tabs>
        <w:ind w:left="2160" w:right="24"/>
        <w:rPr>
          <w:sz w:val="22"/>
          <w:szCs w:val="22"/>
        </w:rPr>
      </w:pPr>
      <w:r w:rsidRPr="009C79E5">
        <w:rPr>
          <w:sz w:val="22"/>
          <w:szCs w:val="22"/>
        </w:rPr>
        <w:t>Katie Frederick </w:t>
      </w:r>
      <w:r w:rsidRPr="009C79E5">
        <w:rPr>
          <w:noProof/>
          <w:sz w:val="22"/>
          <w:szCs w:val="22"/>
        </w:rPr>
        <w:t xml:space="preserve"> </w:t>
      </w:r>
      <w:r w:rsidR="00B70410">
        <w:rPr>
          <w:noProof/>
          <w:sz w:val="22"/>
          <w:szCs w:val="22"/>
        </w:rPr>
        <w:pict>
          <v:shape id="Picture 1" o:spid="_x0000_i1027" type="#_x0000_t75" alt="http://www.fcc.gov/images/clear.gif" style="width:.75pt;height:7.5pt;visibility:visible">
            <v:imagedata r:id="rId12" o:title="clear"/>
          </v:shape>
        </w:pict>
      </w:r>
      <w:r w:rsidRPr="008D556C">
        <w:rPr>
          <w:sz w:val="22"/>
          <w:szCs w:val="22"/>
        </w:rPr>
        <w:tab/>
        <w:t>August 12, 2014</w:t>
      </w:r>
    </w:p>
    <w:p w:rsidR="00E729DF" w:rsidRPr="008D556C" w:rsidRDefault="00E729DF" w:rsidP="00476E6F">
      <w:pPr>
        <w:tabs>
          <w:tab w:val="left" w:pos="7200"/>
        </w:tabs>
        <w:ind w:left="2160" w:right="24"/>
        <w:rPr>
          <w:sz w:val="22"/>
          <w:szCs w:val="22"/>
        </w:rPr>
      </w:pPr>
      <w:r w:rsidRPr="008D556C">
        <w:rPr>
          <w:sz w:val="22"/>
          <w:szCs w:val="22"/>
        </w:rPr>
        <w:t>Ronald Flormata </w:t>
      </w:r>
      <w:r w:rsidRPr="008D556C">
        <w:rPr>
          <w:noProof/>
          <w:sz w:val="22"/>
          <w:szCs w:val="22"/>
        </w:rPr>
        <w:t xml:space="preserve"> </w:t>
      </w:r>
      <w:r w:rsidR="00B70410">
        <w:rPr>
          <w:noProof/>
          <w:sz w:val="22"/>
          <w:szCs w:val="22"/>
        </w:rPr>
        <w:pict>
          <v:shape id="Picture 2" o:spid="_x0000_i1028" type="#_x0000_t75" alt="http://www.fcc.gov/images/clear.gif" style="width:.75pt;height:7.5pt;visibility:visible">
            <v:imagedata r:id="rId12" o:title="clear"/>
          </v:shape>
        </w:pict>
      </w:r>
      <w:r w:rsidRPr="008D556C">
        <w:rPr>
          <w:sz w:val="22"/>
          <w:szCs w:val="22"/>
        </w:rPr>
        <w:tab/>
        <w:t>August 12, 2014</w:t>
      </w:r>
    </w:p>
    <w:p w:rsidR="00E729DF" w:rsidRPr="003511DC" w:rsidRDefault="00E729DF" w:rsidP="00476E6F">
      <w:pPr>
        <w:tabs>
          <w:tab w:val="left" w:pos="7200"/>
        </w:tabs>
        <w:ind w:left="2160"/>
        <w:rPr>
          <w:sz w:val="22"/>
          <w:szCs w:val="22"/>
        </w:rPr>
      </w:pPr>
      <w:r w:rsidRPr="003511DC">
        <w:rPr>
          <w:sz w:val="22"/>
          <w:szCs w:val="22"/>
        </w:rPr>
        <w:t>Olivia Chavez </w:t>
      </w:r>
      <w:r w:rsidRPr="003511DC">
        <w:rPr>
          <w:sz w:val="22"/>
          <w:szCs w:val="22"/>
        </w:rPr>
        <w:tab/>
        <w:t>August 12, 2014</w:t>
      </w:r>
    </w:p>
    <w:p w:rsidR="00E729DF" w:rsidRPr="00BF0859" w:rsidRDefault="00E729DF" w:rsidP="00476E6F">
      <w:pPr>
        <w:pStyle w:val="ParaNum0"/>
        <w:keepNext/>
        <w:keepLines/>
        <w:numPr>
          <w:ilvl w:val="0"/>
          <w:numId w:val="0"/>
        </w:numPr>
        <w:tabs>
          <w:tab w:val="left" w:pos="2160"/>
          <w:tab w:val="left" w:pos="7200"/>
        </w:tabs>
        <w:spacing w:after="0"/>
        <w:rPr>
          <w:szCs w:val="22"/>
        </w:rPr>
      </w:pPr>
    </w:p>
    <w:p w:rsidR="00610E59" w:rsidRPr="006C02D7" w:rsidRDefault="00610E59" w:rsidP="00476E6F">
      <w:pPr>
        <w:pStyle w:val="ParaNum0"/>
        <w:keepNext/>
        <w:keepLines/>
        <w:numPr>
          <w:ilvl w:val="0"/>
          <w:numId w:val="0"/>
        </w:numPr>
        <w:tabs>
          <w:tab w:val="left" w:pos="2160"/>
          <w:tab w:val="left" w:pos="7200"/>
        </w:tabs>
        <w:spacing w:after="0"/>
        <w:rPr>
          <w:szCs w:val="22"/>
        </w:rPr>
      </w:pPr>
    </w:p>
    <w:p w:rsidR="009A1330" w:rsidRPr="009C79E5" w:rsidRDefault="009A1330" w:rsidP="00476E6F">
      <w:pPr>
        <w:jc w:val="center"/>
        <w:rPr>
          <w:b/>
          <w:sz w:val="22"/>
          <w:szCs w:val="22"/>
        </w:rPr>
      </w:pPr>
      <w:r w:rsidRPr="009C79E5">
        <w:rPr>
          <w:b/>
          <w:sz w:val="22"/>
          <w:szCs w:val="22"/>
        </w:rPr>
        <w:t>Tentative Findings</w:t>
      </w:r>
    </w:p>
    <w:p w:rsidR="009A1330" w:rsidRPr="009C79E5" w:rsidRDefault="009A1330" w:rsidP="00476E6F">
      <w:pPr>
        <w:rPr>
          <w:b/>
          <w:sz w:val="22"/>
          <w:szCs w:val="22"/>
        </w:rPr>
      </w:pPr>
    </w:p>
    <w:p w:rsidR="009A1330" w:rsidRPr="008D556C" w:rsidRDefault="009A1330" w:rsidP="00476E6F">
      <w:pPr>
        <w:pStyle w:val="FootnoteText"/>
        <w:rPr>
          <w:sz w:val="22"/>
          <w:szCs w:val="22"/>
        </w:rPr>
      </w:pPr>
      <w:r w:rsidRPr="009C79E5">
        <w:rPr>
          <w:i/>
          <w:sz w:val="22"/>
          <w:szCs w:val="22"/>
        </w:rPr>
        <w:t>Consumer and Governmental Affairs Bureau Seeks Comment on its Tentative Findings about the Accessibility of Communications Technologies for the 2014 Biennial Report under the Twenty-First Century Communications and Video Accessibility Act</w:t>
      </w:r>
      <w:r w:rsidRPr="009C79E5">
        <w:rPr>
          <w:sz w:val="22"/>
          <w:szCs w:val="22"/>
        </w:rPr>
        <w:t>, CG Docket No. 10-213, Public Notice, DA 14-1255, 29 FCC Rcd ___</w:t>
      </w:r>
      <w:r w:rsidRPr="008D556C">
        <w:rPr>
          <w:sz w:val="22"/>
          <w:szCs w:val="22"/>
        </w:rPr>
        <w:t xml:space="preserve"> (CGB 2014) (</w:t>
      </w:r>
      <w:r w:rsidRPr="008D556C">
        <w:rPr>
          <w:i/>
          <w:sz w:val="22"/>
          <w:szCs w:val="22"/>
        </w:rPr>
        <w:t>2014 CVAA Tentative Findings PN</w:t>
      </w:r>
      <w:r w:rsidRPr="008D556C">
        <w:rPr>
          <w:sz w:val="22"/>
          <w:szCs w:val="22"/>
        </w:rPr>
        <w:t xml:space="preserve">), available at </w:t>
      </w:r>
      <w:hyperlink r:id="rId13" w:history="1">
        <w:r w:rsidRPr="009C79E5">
          <w:rPr>
            <w:rStyle w:val="Hyperlink"/>
            <w:sz w:val="22"/>
            <w:szCs w:val="22"/>
          </w:rPr>
          <w:t>https://apps.fcc.gov/edocs_public/attachmatch/DA-14-1255A1.pdf</w:t>
        </w:r>
      </w:hyperlink>
      <w:r w:rsidRPr="008D556C">
        <w:rPr>
          <w:sz w:val="22"/>
          <w:szCs w:val="22"/>
        </w:rPr>
        <w:t>.</w:t>
      </w:r>
    </w:p>
    <w:p w:rsidR="009A1330" w:rsidRPr="008D556C" w:rsidRDefault="009A1330" w:rsidP="00476E6F">
      <w:pPr>
        <w:rPr>
          <w:sz w:val="22"/>
          <w:szCs w:val="22"/>
        </w:rPr>
      </w:pPr>
    </w:p>
    <w:p w:rsidR="009A1330" w:rsidRPr="006C02D7" w:rsidRDefault="009A1330" w:rsidP="00476E6F">
      <w:pPr>
        <w:tabs>
          <w:tab w:val="left" w:pos="2160"/>
          <w:tab w:val="left" w:pos="7200"/>
        </w:tabs>
        <w:rPr>
          <w:b/>
          <w:sz w:val="22"/>
          <w:szCs w:val="22"/>
          <w:u w:val="single"/>
        </w:rPr>
      </w:pPr>
      <w:r w:rsidRPr="008D556C">
        <w:rPr>
          <w:b/>
          <w:sz w:val="22"/>
          <w:szCs w:val="22"/>
          <w:u w:val="single"/>
        </w:rPr>
        <w:t>Abbreviation</w:t>
      </w:r>
      <w:r w:rsidRPr="003511DC">
        <w:rPr>
          <w:b/>
          <w:sz w:val="22"/>
          <w:szCs w:val="22"/>
        </w:rPr>
        <w:tab/>
      </w:r>
      <w:r w:rsidRPr="00BF0859">
        <w:rPr>
          <w:b/>
          <w:sz w:val="22"/>
          <w:szCs w:val="22"/>
          <w:u w:val="single"/>
        </w:rPr>
        <w:t>Commenter</w:t>
      </w:r>
      <w:r w:rsidRPr="006C02D7">
        <w:rPr>
          <w:b/>
          <w:sz w:val="22"/>
          <w:szCs w:val="22"/>
        </w:rPr>
        <w:tab/>
      </w:r>
      <w:r w:rsidRPr="006C02D7">
        <w:rPr>
          <w:b/>
          <w:sz w:val="22"/>
          <w:szCs w:val="22"/>
          <w:u w:val="single"/>
        </w:rPr>
        <w:t>Date</w:t>
      </w:r>
    </w:p>
    <w:p w:rsidR="009A1330" w:rsidRPr="009C79E5" w:rsidRDefault="009A1330" w:rsidP="00476E6F">
      <w:pPr>
        <w:tabs>
          <w:tab w:val="left" w:pos="2160"/>
          <w:tab w:val="left" w:pos="7200"/>
        </w:tabs>
        <w:rPr>
          <w:b/>
          <w:sz w:val="22"/>
          <w:szCs w:val="22"/>
          <w:u w:val="single"/>
        </w:rPr>
      </w:pPr>
    </w:p>
    <w:p w:rsidR="009A1330" w:rsidRPr="009C79E5" w:rsidRDefault="009A1330" w:rsidP="00476E6F">
      <w:pPr>
        <w:tabs>
          <w:tab w:val="left" w:pos="2160"/>
          <w:tab w:val="left" w:pos="7200"/>
        </w:tabs>
        <w:rPr>
          <w:sz w:val="22"/>
          <w:szCs w:val="22"/>
        </w:rPr>
      </w:pPr>
      <w:r w:rsidRPr="009C79E5">
        <w:rPr>
          <w:sz w:val="22"/>
          <w:szCs w:val="22"/>
        </w:rPr>
        <w:t>ACB</w:t>
      </w:r>
      <w:r w:rsidRPr="009C79E5">
        <w:rPr>
          <w:sz w:val="22"/>
          <w:szCs w:val="22"/>
        </w:rPr>
        <w:tab/>
        <w:t>American Council of the Blind</w:t>
      </w:r>
      <w:r w:rsidRPr="009C79E5">
        <w:rPr>
          <w:sz w:val="22"/>
          <w:szCs w:val="22"/>
        </w:rPr>
        <w:tab/>
        <w:t>September 11, 2014</w:t>
      </w:r>
    </w:p>
    <w:p w:rsidR="009A1330" w:rsidRPr="009C79E5" w:rsidRDefault="009A1330" w:rsidP="00476E6F">
      <w:pPr>
        <w:tabs>
          <w:tab w:val="left" w:pos="2160"/>
          <w:tab w:val="left" w:pos="7200"/>
        </w:tabs>
        <w:rPr>
          <w:sz w:val="22"/>
          <w:szCs w:val="22"/>
        </w:rPr>
      </w:pPr>
    </w:p>
    <w:p w:rsidR="009A1330" w:rsidRPr="009C79E5" w:rsidRDefault="009A1330" w:rsidP="00476E6F">
      <w:pPr>
        <w:tabs>
          <w:tab w:val="left" w:pos="2160"/>
          <w:tab w:val="left" w:pos="7200"/>
        </w:tabs>
        <w:rPr>
          <w:sz w:val="22"/>
          <w:szCs w:val="22"/>
        </w:rPr>
      </w:pPr>
      <w:r w:rsidRPr="009C79E5">
        <w:rPr>
          <w:sz w:val="22"/>
          <w:szCs w:val="22"/>
        </w:rPr>
        <w:t>AFB</w:t>
      </w:r>
      <w:r w:rsidRPr="009C79E5">
        <w:rPr>
          <w:sz w:val="22"/>
          <w:szCs w:val="22"/>
        </w:rPr>
        <w:tab/>
        <w:t>American Federation for the Blind</w:t>
      </w:r>
      <w:r w:rsidRPr="009C79E5">
        <w:rPr>
          <w:sz w:val="22"/>
          <w:szCs w:val="22"/>
        </w:rPr>
        <w:tab/>
        <w:t>September 11, 2014</w:t>
      </w:r>
    </w:p>
    <w:p w:rsidR="009A1330" w:rsidRPr="009C79E5" w:rsidRDefault="009A1330" w:rsidP="00476E6F">
      <w:pPr>
        <w:tabs>
          <w:tab w:val="left" w:pos="2160"/>
          <w:tab w:val="left" w:pos="7200"/>
        </w:tabs>
        <w:rPr>
          <w:sz w:val="22"/>
          <w:szCs w:val="22"/>
        </w:rPr>
      </w:pPr>
    </w:p>
    <w:p w:rsidR="009A1330" w:rsidRPr="009C79E5" w:rsidRDefault="009A1330" w:rsidP="00476E6F">
      <w:pPr>
        <w:tabs>
          <w:tab w:val="left" w:pos="2160"/>
          <w:tab w:val="left" w:pos="7200"/>
        </w:tabs>
        <w:rPr>
          <w:sz w:val="22"/>
          <w:szCs w:val="22"/>
        </w:rPr>
      </w:pPr>
      <w:r w:rsidRPr="009C79E5">
        <w:rPr>
          <w:sz w:val="22"/>
          <w:szCs w:val="22"/>
        </w:rPr>
        <w:t>CTIA</w:t>
      </w:r>
      <w:r w:rsidRPr="009C79E5">
        <w:rPr>
          <w:sz w:val="22"/>
          <w:szCs w:val="22"/>
        </w:rPr>
        <w:tab/>
        <w:t>CTIA-The Wireless Association</w:t>
      </w:r>
      <w:r w:rsidRPr="009C79E5">
        <w:rPr>
          <w:sz w:val="22"/>
          <w:szCs w:val="22"/>
        </w:rPr>
        <w:tab/>
        <w:t>September 11, 2014</w:t>
      </w:r>
    </w:p>
    <w:p w:rsidR="009A1330" w:rsidRPr="009C79E5" w:rsidRDefault="009A1330" w:rsidP="00476E6F">
      <w:pPr>
        <w:tabs>
          <w:tab w:val="left" w:pos="2160"/>
          <w:tab w:val="left" w:pos="7200"/>
        </w:tabs>
        <w:rPr>
          <w:sz w:val="22"/>
          <w:szCs w:val="22"/>
        </w:rPr>
      </w:pPr>
    </w:p>
    <w:p w:rsidR="009A1330" w:rsidRPr="009C79E5" w:rsidRDefault="009A1330" w:rsidP="00476E6F">
      <w:pPr>
        <w:tabs>
          <w:tab w:val="left" w:pos="2160"/>
          <w:tab w:val="left" w:pos="7200"/>
        </w:tabs>
        <w:rPr>
          <w:sz w:val="22"/>
          <w:szCs w:val="22"/>
        </w:rPr>
      </w:pPr>
      <w:r w:rsidRPr="009C79E5">
        <w:rPr>
          <w:sz w:val="22"/>
          <w:szCs w:val="22"/>
        </w:rPr>
        <w:t>IT</w:t>
      </w:r>
      <w:r w:rsidRPr="009C79E5">
        <w:rPr>
          <w:sz w:val="22"/>
          <w:szCs w:val="22"/>
        </w:rPr>
        <w:tab/>
        <w:t>Inclusive Technologies</w:t>
      </w:r>
      <w:r w:rsidRPr="009C79E5">
        <w:rPr>
          <w:sz w:val="22"/>
          <w:szCs w:val="22"/>
        </w:rPr>
        <w:tab/>
        <w:t>September 10, 2014</w:t>
      </w:r>
    </w:p>
    <w:p w:rsidR="00DD5B74" w:rsidRPr="009C79E5" w:rsidRDefault="00DD5B74" w:rsidP="00476E6F">
      <w:pPr>
        <w:tabs>
          <w:tab w:val="left" w:pos="2160"/>
          <w:tab w:val="left" w:pos="7200"/>
        </w:tabs>
        <w:rPr>
          <w:sz w:val="22"/>
          <w:szCs w:val="22"/>
        </w:rPr>
      </w:pPr>
    </w:p>
    <w:p w:rsidR="00DD5B74" w:rsidRPr="009C79E5" w:rsidRDefault="00DD5B74" w:rsidP="00476E6F">
      <w:pPr>
        <w:tabs>
          <w:tab w:val="left" w:pos="2160"/>
          <w:tab w:val="left" w:pos="7200"/>
        </w:tabs>
        <w:rPr>
          <w:sz w:val="22"/>
          <w:szCs w:val="22"/>
        </w:rPr>
      </w:pPr>
      <w:r w:rsidRPr="009C79E5">
        <w:rPr>
          <w:sz w:val="22"/>
          <w:szCs w:val="22"/>
        </w:rPr>
        <w:t>Wireless RERC</w:t>
      </w:r>
      <w:r w:rsidRPr="009C79E5">
        <w:rPr>
          <w:sz w:val="22"/>
          <w:szCs w:val="22"/>
        </w:rPr>
        <w:tab/>
        <w:t xml:space="preserve">Georgia Institute of Technology, Center for </w:t>
      </w:r>
      <w:r w:rsidRPr="009C79E5">
        <w:rPr>
          <w:sz w:val="22"/>
          <w:szCs w:val="22"/>
        </w:rPr>
        <w:tab/>
        <w:t>September 11, 2014</w:t>
      </w:r>
    </w:p>
    <w:p w:rsidR="00DD5B74" w:rsidRPr="009C79E5" w:rsidRDefault="00DD5B74" w:rsidP="00476E6F">
      <w:pPr>
        <w:tabs>
          <w:tab w:val="left" w:pos="2160"/>
          <w:tab w:val="left" w:pos="7200"/>
        </w:tabs>
        <w:rPr>
          <w:sz w:val="22"/>
          <w:szCs w:val="22"/>
        </w:rPr>
      </w:pPr>
      <w:r w:rsidRPr="009C79E5">
        <w:rPr>
          <w:sz w:val="22"/>
          <w:szCs w:val="22"/>
        </w:rPr>
        <w:tab/>
        <w:t xml:space="preserve">Advanced Communications Policy (CACP), and </w:t>
      </w:r>
    </w:p>
    <w:p w:rsidR="00DD5B74" w:rsidRPr="009C79E5" w:rsidRDefault="00DD5B74" w:rsidP="00476E6F">
      <w:pPr>
        <w:tabs>
          <w:tab w:val="left" w:pos="2160"/>
          <w:tab w:val="left" w:pos="7200"/>
        </w:tabs>
        <w:rPr>
          <w:sz w:val="22"/>
          <w:szCs w:val="22"/>
        </w:rPr>
      </w:pPr>
      <w:r w:rsidRPr="009C79E5">
        <w:rPr>
          <w:sz w:val="22"/>
          <w:szCs w:val="22"/>
        </w:rPr>
        <w:tab/>
        <w:t xml:space="preserve">the Rehabilitation Engineering Research Center </w:t>
      </w:r>
    </w:p>
    <w:p w:rsidR="00DD5B74" w:rsidRPr="009C79E5" w:rsidRDefault="00DD5B74" w:rsidP="00476E6F">
      <w:pPr>
        <w:tabs>
          <w:tab w:val="left" w:pos="2160"/>
          <w:tab w:val="left" w:pos="7200"/>
        </w:tabs>
        <w:rPr>
          <w:sz w:val="22"/>
          <w:szCs w:val="22"/>
        </w:rPr>
      </w:pPr>
      <w:r w:rsidRPr="009C79E5">
        <w:rPr>
          <w:sz w:val="22"/>
          <w:szCs w:val="22"/>
        </w:rPr>
        <w:tab/>
        <w:t>for Wireless Technologies (Wireless RERC)</w:t>
      </w:r>
    </w:p>
    <w:p w:rsidR="009A1330" w:rsidRPr="009C79E5" w:rsidRDefault="009A1330" w:rsidP="00476E6F">
      <w:pPr>
        <w:jc w:val="center"/>
        <w:rPr>
          <w:sz w:val="22"/>
          <w:szCs w:val="22"/>
        </w:rPr>
      </w:pPr>
    </w:p>
    <w:p w:rsidR="003F4496" w:rsidRPr="009C79E5" w:rsidRDefault="009A1330" w:rsidP="00476E6F">
      <w:pPr>
        <w:jc w:val="center"/>
        <w:rPr>
          <w:b/>
          <w:sz w:val="22"/>
          <w:szCs w:val="22"/>
        </w:rPr>
      </w:pPr>
      <w:r w:rsidRPr="009C79E5">
        <w:rPr>
          <w:sz w:val="22"/>
          <w:szCs w:val="22"/>
        </w:rPr>
        <w:br w:type="page"/>
      </w:r>
      <w:r w:rsidR="003F4496" w:rsidRPr="009C79E5">
        <w:rPr>
          <w:b/>
          <w:sz w:val="22"/>
          <w:szCs w:val="22"/>
        </w:rPr>
        <w:t>APPENDIX B</w:t>
      </w:r>
    </w:p>
    <w:p w:rsidR="003F4496" w:rsidRPr="009C79E5" w:rsidRDefault="003F4496" w:rsidP="00476E6F">
      <w:pPr>
        <w:jc w:val="center"/>
        <w:rPr>
          <w:sz w:val="22"/>
          <w:szCs w:val="22"/>
        </w:rPr>
      </w:pPr>
    </w:p>
    <w:p w:rsidR="003F4496" w:rsidRPr="008D556C" w:rsidRDefault="003F4496" w:rsidP="00476E6F">
      <w:pPr>
        <w:jc w:val="center"/>
        <w:rPr>
          <w:sz w:val="22"/>
          <w:szCs w:val="22"/>
        </w:rPr>
      </w:pPr>
      <w:r w:rsidRPr="009C79E5">
        <w:rPr>
          <w:b/>
          <w:sz w:val="22"/>
          <w:szCs w:val="22"/>
        </w:rPr>
        <w:t>Commission Actions to Implement the CVAA</w:t>
      </w:r>
      <w:r w:rsidRPr="008D556C">
        <w:rPr>
          <w:rStyle w:val="FootnoteReference"/>
          <w:sz w:val="22"/>
          <w:szCs w:val="22"/>
        </w:rPr>
        <w:footnoteReference w:id="553"/>
      </w:r>
    </w:p>
    <w:p w:rsidR="003F4496" w:rsidRPr="008D556C" w:rsidRDefault="003F4496" w:rsidP="00476E6F">
      <w:pPr>
        <w:jc w:val="center"/>
        <w:rPr>
          <w:b/>
          <w:sz w:val="22"/>
          <w:szCs w:val="22"/>
        </w:rPr>
      </w:pPr>
      <w:r w:rsidRPr="008D556C">
        <w:rPr>
          <w:b/>
          <w:sz w:val="22"/>
          <w:szCs w:val="22"/>
        </w:rPr>
        <w:t>Since October 5, 2012</w:t>
      </w:r>
    </w:p>
    <w:p w:rsidR="003F4496" w:rsidRPr="008D556C" w:rsidRDefault="003F4496" w:rsidP="00476E6F">
      <w:pPr>
        <w:jc w:val="center"/>
        <w:rPr>
          <w:sz w:val="22"/>
          <w:szCs w:val="22"/>
        </w:rPr>
      </w:pPr>
    </w:p>
    <w:p w:rsidR="003F4496" w:rsidRPr="003511DC" w:rsidRDefault="003F4496" w:rsidP="00476E6F">
      <w:pPr>
        <w:jc w:val="center"/>
        <w:rPr>
          <w:sz w:val="22"/>
          <w:szCs w:val="22"/>
        </w:rPr>
      </w:pPr>
    </w:p>
    <w:p w:rsidR="003F4496" w:rsidRPr="009C79E5" w:rsidRDefault="003F4496" w:rsidP="00476E6F">
      <w:pPr>
        <w:suppressAutoHyphens/>
        <w:rPr>
          <w:b/>
          <w:sz w:val="22"/>
          <w:szCs w:val="22"/>
        </w:rPr>
      </w:pPr>
      <w:r w:rsidRPr="00BF0859">
        <w:rPr>
          <w:b/>
          <w:sz w:val="22"/>
          <w:szCs w:val="22"/>
        </w:rPr>
        <w:t xml:space="preserve">Section 102.  Hearing </w:t>
      </w:r>
      <w:r w:rsidR="007B4C23" w:rsidRPr="006C02D7">
        <w:rPr>
          <w:b/>
          <w:sz w:val="22"/>
          <w:szCs w:val="22"/>
        </w:rPr>
        <w:t>A</w:t>
      </w:r>
      <w:r w:rsidRPr="006C02D7">
        <w:rPr>
          <w:b/>
          <w:sz w:val="22"/>
          <w:szCs w:val="22"/>
        </w:rPr>
        <w:t xml:space="preserve">id </w:t>
      </w:r>
      <w:r w:rsidR="007B4C23" w:rsidRPr="006C02D7">
        <w:rPr>
          <w:b/>
          <w:sz w:val="22"/>
          <w:szCs w:val="22"/>
        </w:rPr>
        <w:t>C</w:t>
      </w:r>
      <w:r w:rsidRPr="009C5E08">
        <w:rPr>
          <w:b/>
          <w:sz w:val="22"/>
          <w:szCs w:val="22"/>
        </w:rPr>
        <w:t>ompatibility</w:t>
      </w:r>
    </w:p>
    <w:p w:rsidR="003F4496" w:rsidRPr="009C79E5" w:rsidRDefault="003F4496" w:rsidP="00476E6F">
      <w:pPr>
        <w:suppressAutoHyphens/>
        <w:rPr>
          <w:sz w:val="22"/>
          <w:szCs w:val="22"/>
        </w:rPr>
      </w:pPr>
    </w:p>
    <w:p w:rsidR="003F4496" w:rsidRPr="008D556C" w:rsidRDefault="003F4496" w:rsidP="00476E6F">
      <w:pPr>
        <w:suppressAutoHyphens/>
        <w:rPr>
          <w:bCs/>
          <w:sz w:val="22"/>
          <w:szCs w:val="22"/>
        </w:rPr>
      </w:pPr>
      <w:r w:rsidRPr="009C79E5">
        <w:rPr>
          <w:i/>
          <w:sz w:val="22"/>
          <w:szCs w:val="22"/>
        </w:rPr>
        <w:t xml:space="preserve">Request for Comment on Petition for Rulemaking Filed by the Telecommunications Industry Association Regarding Hearing Aid Compatibility Volume Control Requirements, </w:t>
      </w:r>
      <w:r w:rsidRPr="009C79E5">
        <w:rPr>
          <w:sz w:val="22"/>
          <w:szCs w:val="22"/>
        </w:rPr>
        <w:t xml:space="preserve">CG Docket No. 13-46, Public Notice, </w:t>
      </w:r>
      <w:r w:rsidRPr="009C79E5">
        <w:rPr>
          <w:bCs/>
          <w:sz w:val="22"/>
          <w:szCs w:val="22"/>
        </w:rPr>
        <w:t xml:space="preserve">DA 13-1601, 28 FCC Rcd 10338 (CGB 2013), available at </w:t>
      </w:r>
      <w:hyperlink r:id="rId14" w:history="1">
        <w:r w:rsidRPr="007B4C23">
          <w:rPr>
            <w:rStyle w:val="Hyperlink1"/>
            <w:sz w:val="22"/>
            <w:szCs w:val="22"/>
          </w:rPr>
          <w:t>https://apps.fcc.gov/edocs_public/attachmatch/DA-13-1601A1.pdf</w:t>
        </w:r>
      </w:hyperlink>
      <w:r w:rsidRPr="008D556C">
        <w:rPr>
          <w:bCs/>
          <w:sz w:val="22"/>
          <w:szCs w:val="22"/>
        </w:rPr>
        <w:t>.</w:t>
      </w:r>
    </w:p>
    <w:p w:rsidR="003F4496" w:rsidRPr="008D556C" w:rsidRDefault="003F4496" w:rsidP="00476E6F">
      <w:pPr>
        <w:suppressAutoHyphens/>
        <w:rPr>
          <w:sz w:val="22"/>
          <w:szCs w:val="22"/>
        </w:rPr>
      </w:pPr>
    </w:p>
    <w:p w:rsidR="003F4496" w:rsidRPr="008D556C" w:rsidRDefault="003F4496" w:rsidP="00476E6F">
      <w:pPr>
        <w:suppressLineNumbers/>
        <w:suppressAutoHyphens/>
        <w:rPr>
          <w:b/>
          <w:sz w:val="22"/>
          <w:szCs w:val="22"/>
        </w:rPr>
      </w:pPr>
      <w:r w:rsidRPr="008D556C">
        <w:rPr>
          <w:b/>
          <w:sz w:val="22"/>
          <w:szCs w:val="22"/>
        </w:rPr>
        <w:t xml:space="preserve">Section 103.  Relay </w:t>
      </w:r>
      <w:r w:rsidR="007B4C23" w:rsidRPr="008D556C">
        <w:rPr>
          <w:b/>
          <w:sz w:val="22"/>
          <w:szCs w:val="22"/>
        </w:rPr>
        <w:t>S</w:t>
      </w:r>
      <w:r w:rsidRPr="008D556C">
        <w:rPr>
          <w:b/>
          <w:sz w:val="22"/>
          <w:szCs w:val="22"/>
        </w:rPr>
        <w:t>ervices</w:t>
      </w:r>
    </w:p>
    <w:p w:rsidR="003F4496" w:rsidRPr="003511DC" w:rsidRDefault="003F4496" w:rsidP="00476E6F">
      <w:pPr>
        <w:suppressAutoHyphens/>
        <w:rPr>
          <w:sz w:val="22"/>
          <w:szCs w:val="22"/>
        </w:rPr>
      </w:pPr>
    </w:p>
    <w:p w:rsidR="003F4496" w:rsidRPr="007B4C23" w:rsidRDefault="003F4496" w:rsidP="00476E6F">
      <w:pPr>
        <w:suppressAutoHyphens/>
        <w:rPr>
          <w:sz w:val="22"/>
          <w:szCs w:val="22"/>
        </w:rPr>
      </w:pPr>
      <w:r w:rsidRPr="00BF0859">
        <w:rPr>
          <w:i/>
          <w:sz w:val="22"/>
          <w:szCs w:val="22"/>
        </w:rPr>
        <w:t>Telecommunications Relay Services and Speech-to-Speech Services for Individuals with Hearing and Speech Disabilities; Waiver</w:t>
      </w:r>
      <w:r w:rsidRPr="006C02D7">
        <w:rPr>
          <w:i/>
          <w:sz w:val="22"/>
          <w:szCs w:val="22"/>
        </w:rPr>
        <w:t>s of iTRS Mandatory Minimum Standards</w:t>
      </w:r>
      <w:r w:rsidRPr="006C02D7">
        <w:rPr>
          <w:sz w:val="22"/>
          <w:szCs w:val="22"/>
        </w:rPr>
        <w:t xml:space="preserve">, CG Docket No. 03-123, Report and Order, Order, Declaratory Ruling, and Further Notice of Proposed Rulemaking, FCC 14-125, 29 FCC Rcd </w:t>
      </w:r>
      <w:r w:rsidRPr="009C79E5">
        <w:rPr>
          <w:sz w:val="22"/>
          <w:szCs w:val="22"/>
        </w:rPr>
        <w:t>___</w:t>
      </w:r>
      <w:r w:rsidRPr="008D556C">
        <w:rPr>
          <w:sz w:val="22"/>
          <w:szCs w:val="22"/>
        </w:rPr>
        <w:t xml:space="preserve"> (rel. Aug. 22, 2014)</w:t>
      </w:r>
      <w:r w:rsidR="00945686" w:rsidRPr="008D556C">
        <w:rPr>
          <w:sz w:val="22"/>
          <w:szCs w:val="22"/>
        </w:rPr>
        <w:t xml:space="preserve"> (seeking comment on the definition of telecommunications relay services</w:t>
      </w:r>
      <w:r w:rsidR="005334E4" w:rsidRPr="008D556C">
        <w:rPr>
          <w:sz w:val="22"/>
          <w:szCs w:val="22"/>
        </w:rPr>
        <w:t>, as amended by the CVAA</w:t>
      </w:r>
      <w:r w:rsidR="00945686" w:rsidRPr="008D556C">
        <w:rPr>
          <w:sz w:val="22"/>
          <w:szCs w:val="22"/>
        </w:rPr>
        <w:t>)</w:t>
      </w:r>
      <w:r w:rsidRPr="008D556C">
        <w:rPr>
          <w:sz w:val="22"/>
          <w:szCs w:val="22"/>
        </w:rPr>
        <w:t xml:space="preserve">, available at </w:t>
      </w:r>
      <w:hyperlink r:id="rId15" w:history="1">
        <w:r w:rsidRPr="007B4C23">
          <w:rPr>
            <w:rStyle w:val="Hyperlink"/>
            <w:sz w:val="22"/>
            <w:szCs w:val="22"/>
          </w:rPr>
          <w:t>https://apps.fcc.gov/edocs_public/attachmatch/FCC-14-125A1.pdf</w:t>
        </w:r>
      </w:hyperlink>
      <w:r w:rsidRPr="007B4C23">
        <w:rPr>
          <w:sz w:val="22"/>
          <w:szCs w:val="22"/>
        </w:rPr>
        <w:t xml:space="preserve">.  </w:t>
      </w:r>
    </w:p>
    <w:p w:rsidR="003F4496" w:rsidRPr="005732A8" w:rsidRDefault="003F4496" w:rsidP="00476E6F">
      <w:pPr>
        <w:suppressAutoHyphens/>
        <w:rPr>
          <w:sz w:val="22"/>
          <w:szCs w:val="22"/>
        </w:rPr>
      </w:pPr>
    </w:p>
    <w:p w:rsidR="003F4496" w:rsidRPr="006C02D7" w:rsidRDefault="003F4496" w:rsidP="00476E6F">
      <w:pPr>
        <w:suppressAutoHyphens/>
        <w:rPr>
          <w:b/>
          <w:sz w:val="22"/>
          <w:szCs w:val="22"/>
        </w:rPr>
      </w:pPr>
      <w:r w:rsidRPr="008D556C">
        <w:rPr>
          <w:b/>
          <w:sz w:val="22"/>
          <w:szCs w:val="22"/>
        </w:rPr>
        <w:t xml:space="preserve">Section 104.  Access to </w:t>
      </w:r>
      <w:r w:rsidR="007B4C23" w:rsidRPr="008D556C">
        <w:rPr>
          <w:b/>
          <w:sz w:val="22"/>
          <w:szCs w:val="22"/>
        </w:rPr>
        <w:t>A</w:t>
      </w:r>
      <w:r w:rsidRPr="008D556C">
        <w:rPr>
          <w:b/>
          <w:sz w:val="22"/>
          <w:szCs w:val="22"/>
        </w:rPr>
        <w:t xml:space="preserve">dvanced </w:t>
      </w:r>
      <w:r w:rsidR="007B4C23" w:rsidRPr="008D556C">
        <w:rPr>
          <w:b/>
          <w:sz w:val="22"/>
          <w:szCs w:val="22"/>
        </w:rPr>
        <w:t>C</w:t>
      </w:r>
      <w:r w:rsidRPr="008D556C">
        <w:rPr>
          <w:b/>
          <w:sz w:val="22"/>
          <w:szCs w:val="22"/>
        </w:rPr>
        <w:t xml:space="preserve">ommunications </w:t>
      </w:r>
      <w:r w:rsidR="007B4C23" w:rsidRPr="008D556C">
        <w:rPr>
          <w:b/>
          <w:sz w:val="22"/>
          <w:szCs w:val="22"/>
        </w:rPr>
        <w:t>S</w:t>
      </w:r>
      <w:r w:rsidRPr="003511DC">
        <w:rPr>
          <w:b/>
          <w:sz w:val="22"/>
          <w:szCs w:val="22"/>
        </w:rPr>
        <w:t>ervice</w:t>
      </w:r>
      <w:r w:rsidRPr="00BF0859">
        <w:rPr>
          <w:b/>
          <w:sz w:val="22"/>
          <w:szCs w:val="22"/>
        </w:rPr>
        <w:t xml:space="preserve">s and </w:t>
      </w:r>
      <w:r w:rsidR="007B4C23" w:rsidRPr="006C02D7">
        <w:rPr>
          <w:b/>
          <w:sz w:val="22"/>
          <w:szCs w:val="22"/>
        </w:rPr>
        <w:t>E</w:t>
      </w:r>
      <w:r w:rsidRPr="006C02D7">
        <w:rPr>
          <w:b/>
          <w:sz w:val="22"/>
          <w:szCs w:val="22"/>
        </w:rPr>
        <w:t>quipment</w:t>
      </w:r>
    </w:p>
    <w:p w:rsidR="003F4496" w:rsidRPr="009C79E5" w:rsidRDefault="003F4496" w:rsidP="00476E6F">
      <w:pPr>
        <w:rPr>
          <w:sz w:val="22"/>
          <w:szCs w:val="22"/>
        </w:rPr>
      </w:pPr>
    </w:p>
    <w:p w:rsidR="003F4496" w:rsidRPr="009C79E5" w:rsidRDefault="003F4496" w:rsidP="00476E6F">
      <w:pPr>
        <w:pStyle w:val="FootnoteText"/>
        <w:rPr>
          <w:sz w:val="22"/>
          <w:szCs w:val="22"/>
        </w:rPr>
      </w:pPr>
      <w:r w:rsidRPr="009C79E5">
        <w:rPr>
          <w:i/>
          <w:sz w:val="22"/>
          <w:szCs w:val="22"/>
        </w:rPr>
        <w:t>Implementation of Sections 716 and 717 of the Communications Act of 1934, as Enacted by the Twenty-First Century Communications and Video Accessibility Act of 2010; Consumer Electronics Association; National Cable &amp; Telecommunications Association; Entertainment Services Association; Petitions for Class Waivers of Sections 716 and 717 of the Communications Act and Part 14 of the Commission’s Rules Requiring Access to Advanced Communications Services (ACS) and Equipment by People with Disabilities</w:t>
      </w:r>
      <w:r w:rsidRPr="009C79E5">
        <w:rPr>
          <w:sz w:val="22"/>
          <w:szCs w:val="22"/>
        </w:rPr>
        <w:t>, CG Docket 10-213, Order, DA 12-1645, 27 FCC Rcd 12970 (CGB 2012) (</w:t>
      </w:r>
      <w:r w:rsidRPr="009C79E5">
        <w:rPr>
          <w:i/>
          <w:sz w:val="22"/>
          <w:szCs w:val="22"/>
        </w:rPr>
        <w:t>CEA, NCTA, ESA Waiver Order</w:t>
      </w:r>
      <w:r w:rsidRPr="009C79E5">
        <w:rPr>
          <w:sz w:val="22"/>
          <w:szCs w:val="22"/>
        </w:rPr>
        <w:t xml:space="preserve">), available at </w:t>
      </w:r>
      <w:hyperlink r:id="rId16" w:history="1">
        <w:r w:rsidRPr="009C79E5">
          <w:rPr>
            <w:rStyle w:val="Hyperlink1"/>
            <w:sz w:val="22"/>
            <w:szCs w:val="22"/>
          </w:rPr>
          <w:t>https://apps.fcc.gov/edocs_public/attachmatch/DA-12-1645A1.pdf</w:t>
        </w:r>
      </w:hyperlink>
      <w:r w:rsidRPr="009C79E5">
        <w:rPr>
          <w:color w:val="262626"/>
          <w:sz w:val="22"/>
          <w:szCs w:val="22"/>
        </w:rPr>
        <w:t xml:space="preserve">.  </w:t>
      </w:r>
    </w:p>
    <w:p w:rsidR="003F4496" w:rsidRPr="009C79E5" w:rsidRDefault="003F4496" w:rsidP="00476E6F">
      <w:pPr>
        <w:pStyle w:val="FootnoteText"/>
        <w:rPr>
          <w:sz w:val="22"/>
          <w:szCs w:val="22"/>
        </w:rPr>
      </w:pPr>
    </w:p>
    <w:p w:rsidR="003F4496" w:rsidRPr="009C79E5" w:rsidRDefault="003F4496" w:rsidP="00476E6F">
      <w:pPr>
        <w:pStyle w:val="FootnoteText"/>
        <w:rPr>
          <w:sz w:val="22"/>
          <w:szCs w:val="22"/>
        </w:rPr>
      </w:pPr>
      <w:r w:rsidRPr="008D556C">
        <w:rPr>
          <w:i/>
          <w:sz w:val="22"/>
          <w:szCs w:val="22"/>
        </w:rPr>
        <w:t xml:space="preserve">Accessibility Recordkeeping </w:t>
      </w:r>
      <w:r w:rsidRPr="009C79E5">
        <w:rPr>
          <w:i/>
          <w:sz w:val="22"/>
          <w:szCs w:val="22"/>
        </w:rPr>
        <w:t>Compliance</w:t>
      </w:r>
      <w:r w:rsidRPr="008D556C">
        <w:rPr>
          <w:i/>
          <w:sz w:val="22"/>
          <w:szCs w:val="22"/>
        </w:rPr>
        <w:t xml:space="preserve"> and Contact Information Reporting Requirements for Entities Subject to Sections 255, 716, and 718 of the Communications Act</w:t>
      </w:r>
      <w:r w:rsidRPr="008D556C">
        <w:rPr>
          <w:sz w:val="22"/>
          <w:szCs w:val="22"/>
        </w:rPr>
        <w:t>, Public Notice, DA 13-114, 28 FCC Rcd 415 (CGB 2013) (</w:t>
      </w:r>
      <w:r w:rsidRPr="008D556C">
        <w:rPr>
          <w:i/>
          <w:sz w:val="22"/>
          <w:szCs w:val="22"/>
        </w:rPr>
        <w:t>2013 RCCCI Registry Notice</w:t>
      </w:r>
      <w:r w:rsidRPr="008D556C">
        <w:rPr>
          <w:sz w:val="22"/>
          <w:szCs w:val="22"/>
        </w:rPr>
        <w:t xml:space="preserve">), available at </w:t>
      </w:r>
      <w:hyperlink r:id="rId17" w:history="1">
        <w:r w:rsidRPr="009C79E5">
          <w:rPr>
            <w:rStyle w:val="Hyperlink1"/>
            <w:sz w:val="22"/>
            <w:szCs w:val="22"/>
          </w:rPr>
          <w:t>https://apps.fcc.gov/edocs_public/attachmatch/DA-13-114A1.pdf</w:t>
        </w:r>
      </w:hyperlink>
      <w:r w:rsidRPr="009C79E5">
        <w:rPr>
          <w:sz w:val="22"/>
          <w:szCs w:val="22"/>
        </w:rPr>
        <w:t xml:space="preserve">.  </w:t>
      </w:r>
    </w:p>
    <w:p w:rsidR="003F4496" w:rsidRPr="009C79E5" w:rsidRDefault="003F4496" w:rsidP="00476E6F">
      <w:pPr>
        <w:pStyle w:val="FootnoteText"/>
        <w:rPr>
          <w:sz w:val="22"/>
          <w:szCs w:val="22"/>
        </w:rPr>
      </w:pPr>
    </w:p>
    <w:p w:rsidR="003F4496" w:rsidRPr="009C79E5" w:rsidRDefault="003F4496" w:rsidP="00476E6F">
      <w:pPr>
        <w:pStyle w:val="FootnoteText"/>
        <w:rPr>
          <w:rStyle w:val="Hyperlink1"/>
          <w:sz w:val="22"/>
          <w:szCs w:val="22"/>
        </w:rPr>
      </w:pPr>
      <w:r w:rsidRPr="008D556C">
        <w:rPr>
          <w:i/>
          <w:sz w:val="22"/>
          <w:szCs w:val="22"/>
        </w:rPr>
        <w:t>Implementation of Sections 716 and 717 of the Communications Act of 1934, as Enacted by the Twenty-First Century Communications and Video Accessibility Act of 2010; Amendments to the Commission’s Rules Implementing Sections 255 and 251(a)(2) of the Communications Act of 1934, as Enacted by the Telecommunications Act of 1996; In the Matter of Accessible Mo</w:t>
      </w:r>
      <w:r w:rsidRPr="003511DC">
        <w:rPr>
          <w:i/>
          <w:sz w:val="22"/>
          <w:szCs w:val="22"/>
        </w:rPr>
        <w:t>bile Phone Options for People who are Blind, Deaf-Blind, or Have Low Vision</w:t>
      </w:r>
      <w:r w:rsidRPr="00BF0859">
        <w:rPr>
          <w:sz w:val="22"/>
          <w:szCs w:val="22"/>
        </w:rPr>
        <w:t>, CG Docket Nos. 10-213 and 10-145, WT Docket No. 96-198, Second Report and Order, FCC 13-57, 28 FCC Rcd 5957 (2013) (</w:t>
      </w:r>
      <w:r w:rsidRPr="006C02D7">
        <w:rPr>
          <w:i/>
          <w:sz w:val="22"/>
          <w:szCs w:val="22"/>
        </w:rPr>
        <w:t>Second Report and Order</w:t>
      </w:r>
      <w:r w:rsidRPr="006C02D7">
        <w:rPr>
          <w:sz w:val="22"/>
          <w:szCs w:val="22"/>
        </w:rPr>
        <w:t xml:space="preserve">), available at </w:t>
      </w:r>
      <w:hyperlink r:id="rId18" w:history="1">
        <w:r w:rsidR="008554CF" w:rsidRPr="009C79E5">
          <w:rPr>
            <w:rStyle w:val="Hyperlink"/>
            <w:sz w:val="22"/>
            <w:szCs w:val="22"/>
          </w:rPr>
          <w:t>https://apps.fcc.gov/edocs_public/attachmatch/FCC-13-57A1.pdf</w:t>
        </w:r>
      </w:hyperlink>
      <w:r w:rsidR="008554CF" w:rsidRPr="009C79E5">
        <w:rPr>
          <w:sz w:val="22"/>
          <w:szCs w:val="22"/>
        </w:rPr>
        <w:t xml:space="preserve">. </w:t>
      </w:r>
    </w:p>
    <w:p w:rsidR="003F4496" w:rsidRPr="009C79E5" w:rsidRDefault="003F4496" w:rsidP="00476E6F">
      <w:pPr>
        <w:pStyle w:val="FootnoteText"/>
        <w:rPr>
          <w:sz w:val="22"/>
          <w:szCs w:val="22"/>
        </w:rPr>
      </w:pPr>
    </w:p>
    <w:p w:rsidR="003F4496" w:rsidRPr="009C79E5" w:rsidRDefault="003F4496" w:rsidP="00476E6F">
      <w:pPr>
        <w:pStyle w:val="FootnoteText"/>
        <w:rPr>
          <w:color w:val="262626"/>
          <w:sz w:val="22"/>
          <w:szCs w:val="22"/>
        </w:rPr>
      </w:pPr>
      <w:r w:rsidRPr="008D556C">
        <w:rPr>
          <w:i/>
          <w:sz w:val="22"/>
          <w:szCs w:val="22"/>
        </w:rPr>
        <w:t xml:space="preserve">Request for Comment Petition for Class Waiver of Commission’s Rules for Access </w:t>
      </w:r>
      <w:r w:rsidRPr="008D556C">
        <w:rPr>
          <w:rStyle w:val="Strong1"/>
          <w:rFonts w:ascii="Times New Roman" w:hAnsi="Times New Roman"/>
          <w:b w:val="0"/>
          <w:i/>
          <w:color w:val="auto"/>
          <w:sz w:val="22"/>
          <w:szCs w:val="22"/>
        </w:rPr>
        <w:t>to</w:t>
      </w:r>
      <w:r w:rsidRPr="008D556C">
        <w:rPr>
          <w:i/>
          <w:sz w:val="22"/>
          <w:szCs w:val="22"/>
        </w:rPr>
        <w:t xml:space="preserve"> Advanced Communications Services and Equipment by Peopl</w:t>
      </w:r>
      <w:r w:rsidRPr="003511DC">
        <w:rPr>
          <w:i/>
          <w:sz w:val="22"/>
          <w:szCs w:val="22"/>
        </w:rPr>
        <w:t>e with Disabilities</w:t>
      </w:r>
      <w:r w:rsidRPr="003511DC">
        <w:rPr>
          <w:sz w:val="22"/>
          <w:szCs w:val="22"/>
        </w:rPr>
        <w:t>, CG Docket No. 10-213, Public Notice, DA 13-1686,</w:t>
      </w:r>
      <w:r w:rsidR="008554CF" w:rsidRPr="003511DC">
        <w:rPr>
          <w:sz w:val="22"/>
          <w:szCs w:val="22"/>
        </w:rPr>
        <w:t xml:space="preserve"> </w:t>
      </w:r>
      <w:r w:rsidRPr="003511DC">
        <w:rPr>
          <w:sz w:val="22"/>
          <w:szCs w:val="22"/>
        </w:rPr>
        <w:t>28 FCC Rcd 11147 (CGB 2013), available at</w:t>
      </w:r>
      <w:r w:rsidRPr="009C79E5">
        <w:rPr>
          <w:sz w:val="22"/>
          <w:szCs w:val="22"/>
        </w:rPr>
        <w:t xml:space="preserve"> </w:t>
      </w:r>
      <w:hyperlink r:id="rId19" w:history="1">
        <w:r w:rsidR="008554CF" w:rsidRPr="009C79E5">
          <w:rPr>
            <w:rStyle w:val="Hyperlink"/>
            <w:sz w:val="22"/>
            <w:szCs w:val="22"/>
          </w:rPr>
          <w:t>https://apps.fcc.gov/edocs_public/attachmatch/DA-13-1686A1.pdf</w:t>
        </w:r>
      </w:hyperlink>
      <w:r w:rsidRPr="009C79E5">
        <w:rPr>
          <w:color w:val="262626"/>
          <w:sz w:val="22"/>
          <w:szCs w:val="22"/>
        </w:rPr>
        <w:t xml:space="preserve">. </w:t>
      </w:r>
    </w:p>
    <w:p w:rsidR="003F4496" w:rsidRPr="009C79E5" w:rsidRDefault="003F4496" w:rsidP="00476E6F">
      <w:pPr>
        <w:pStyle w:val="FootnoteText"/>
        <w:rPr>
          <w:color w:val="262626"/>
          <w:sz w:val="22"/>
          <w:szCs w:val="22"/>
        </w:rPr>
      </w:pPr>
    </w:p>
    <w:p w:rsidR="003F4496" w:rsidRPr="009C79E5" w:rsidRDefault="003F4496" w:rsidP="00476E6F">
      <w:pPr>
        <w:pStyle w:val="FootnoteText"/>
        <w:rPr>
          <w:rStyle w:val="Hyperlink1"/>
          <w:color w:val="262626"/>
          <w:sz w:val="22"/>
          <w:szCs w:val="22"/>
        </w:rPr>
      </w:pPr>
      <w:r w:rsidRPr="009C79E5">
        <w:rPr>
          <w:i/>
          <w:sz w:val="22"/>
          <w:szCs w:val="22"/>
        </w:rPr>
        <w:t>New Procedures for Telecommunications and Advanced Communications Accessibility Complaints</w:t>
      </w:r>
      <w:r w:rsidRPr="009C79E5">
        <w:rPr>
          <w:sz w:val="22"/>
          <w:szCs w:val="22"/>
        </w:rPr>
        <w:t>, Public Notice, DA 13-2177, 28 FCC Rcd 15712 (CGB 2013) (</w:t>
      </w:r>
      <w:r w:rsidRPr="009C79E5">
        <w:rPr>
          <w:i/>
          <w:sz w:val="22"/>
          <w:szCs w:val="22"/>
        </w:rPr>
        <w:t>Complaint Procedures Notice</w:t>
      </w:r>
      <w:r w:rsidRPr="009C79E5">
        <w:rPr>
          <w:sz w:val="22"/>
          <w:szCs w:val="22"/>
        </w:rPr>
        <w:t xml:space="preserve">), available at </w:t>
      </w:r>
      <w:hyperlink r:id="rId20" w:history="1">
        <w:r w:rsidR="000A20DF" w:rsidRPr="009C79E5">
          <w:rPr>
            <w:rStyle w:val="Hyperlink"/>
            <w:sz w:val="22"/>
            <w:szCs w:val="22"/>
          </w:rPr>
          <w:t>https://apps.fcc.gov/edocs_public/attachmatch/DA-13-2177A1.pdf</w:t>
        </w:r>
      </w:hyperlink>
      <w:r w:rsidR="000A20DF" w:rsidRPr="009C79E5">
        <w:rPr>
          <w:color w:val="262626"/>
          <w:sz w:val="22"/>
          <w:szCs w:val="22"/>
        </w:rPr>
        <w:t>.</w:t>
      </w:r>
      <w:r w:rsidRPr="009C79E5">
        <w:rPr>
          <w:rStyle w:val="Hyperlink1"/>
          <w:color w:val="262626"/>
          <w:sz w:val="22"/>
          <w:szCs w:val="22"/>
        </w:rPr>
        <w:t xml:space="preserve"> </w:t>
      </w:r>
    </w:p>
    <w:p w:rsidR="003F4496" w:rsidRPr="009C79E5" w:rsidRDefault="003F4496" w:rsidP="00476E6F">
      <w:pPr>
        <w:pStyle w:val="FootnoteText"/>
        <w:rPr>
          <w:sz w:val="22"/>
          <w:szCs w:val="22"/>
          <w:lang w:bidi="x-none"/>
        </w:rPr>
      </w:pPr>
    </w:p>
    <w:p w:rsidR="003F4496" w:rsidRPr="008D556C" w:rsidRDefault="003F4496" w:rsidP="00476E6F">
      <w:pPr>
        <w:pStyle w:val="FootnoteText"/>
        <w:rPr>
          <w:color w:val="262626"/>
          <w:sz w:val="22"/>
          <w:szCs w:val="22"/>
        </w:rPr>
      </w:pPr>
      <w:r w:rsidRPr="008D556C">
        <w:rPr>
          <w:i/>
          <w:sz w:val="22"/>
          <w:szCs w:val="22"/>
        </w:rPr>
        <w:t xml:space="preserve">Implementation of Sections 716 and 717 of the Communications Act of 1934, as Enacted by the Twenty-First Century Communications and Video Accessibility Act of 2010; </w:t>
      </w:r>
      <w:r w:rsidRPr="003511DC">
        <w:rPr>
          <w:i/>
          <w:sz w:val="22"/>
          <w:szCs w:val="22"/>
          <w:shd w:val="clear" w:color="auto" w:fill="FFFFFF"/>
        </w:rPr>
        <w:t>Coalition of E-Reader Manufacturers’ Petition for Class Waiver of Sections 716 and 717 of the Communications Act and Part 14 of the Commission’s Rules Requiring Access to Advance Communications Services (ACS) and Equipment by People with Disabilities</w:t>
      </w:r>
      <w:r w:rsidRPr="00BF0859">
        <w:rPr>
          <w:sz w:val="22"/>
          <w:szCs w:val="22"/>
          <w:shd w:val="clear" w:color="auto" w:fill="FFFFFF"/>
        </w:rPr>
        <w:t xml:space="preserve">, CG Docket No. </w:t>
      </w:r>
      <w:r w:rsidRPr="00FF1FD9">
        <w:rPr>
          <w:sz w:val="22"/>
          <w:szCs w:val="22"/>
          <w:shd w:val="clear" w:color="auto" w:fill="FFFFFF"/>
        </w:rPr>
        <w:t>10-213, Order, DA 14-95, 29 FCC Rcd 674 (CGB 2014) (</w:t>
      </w:r>
      <w:r w:rsidRPr="00FF1FD9">
        <w:rPr>
          <w:i/>
          <w:sz w:val="22"/>
          <w:szCs w:val="22"/>
          <w:shd w:val="clear" w:color="auto" w:fill="FFFFFF"/>
        </w:rPr>
        <w:t>E-Reader Waiver Order</w:t>
      </w:r>
      <w:r w:rsidRPr="006C02D7">
        <w:rPr>
          <w:sz w:val="22"/>
          <w:szCs w:val="22"/>
          <w:shd w:val="clear" w:color="auto" w:fill="FFFFFF"/>
        </w:rPr>
        <w:t>), available at</w:t>
      </w:r>
      <w:r w:rsidRPr="009C79E5">
        <w:rPr>
          <w:sz w:val="22"/>
          <w:szCs w:val="22"/>
          <w:shd w:val="clear" w:color="auto" w:fill="FFFFFF"/>
        </w:rPr>
        <w:t xml:space="preserve"> </w:t>
      </w:r>
      <w:hyperlink r:id="rId21" w:history="1">
        <w:r w:rsidRPr="009C79E5">
          <w:rPr>
            <w:rStyle w:val="Hyperlink"/>
            <w:sz w:val="22"/>
            <w:szCs w:val="22"/>
            <w:shd w:val="clear" w:color="auto" w:fill="FFFFFF"/>
          </w:rPr>
          <w:t>https://apps.fcc.gov/edocs_public/attachmatch/DA-14-95A1.pdf</w:t>
        </w:r>
      </w:hyperlink>
      <w:r w:rsidRPr="009C79E5">
        <w:rPr>
          <w:sz w:val="22"/>
          <w:szCs w:val="22"/>
          <w:shd w:val="clear" w:color="auto" w:fill="FFFFFF"/>
        </w:rPr>
        <w:t xml:space="preserve">.  </w:t>
      </w:r>
    </w:p>
    <w:p w:rsidR="003F4496" w:rsidRPr="00BF0859" w:rsidRDefault="003F4496" w:rsidP="00476E6F">
      <w:pPr>
        <w:pStyle w:val="FootnoteText"/>
        <w:rPr>
          <w:color w:val="262626"/>
          <w:sz w:val="22"/>
          <w:szCs w:val="22"/>
        </w:rPr>
      </w:pPr>
    </w:p>
    <w:p w:rsidR="003F4496" w:rsidRPr="009C79E5" w:rsidRDefault="003F4496" w:rsidP="00476E6F">
      <w:pPr>
        <w:pStyle w:val="FootnoteText"/>
        <w:rPr>
          <w:sz w:val="22"/>
          <w:szCs w:val="22"/>
          <w:lang w:bidi="x-none"/>
        </w:rPr>
      </w:pPr>
      <w:r w:rsidRPr="008D556C">
        <w:rPr>
          <w:i/>
          <w:sz w:val="22"/>
          <w:szCs w:val="22"/>
        </w:rPr>
        <w:t>Accessibility Recordkeeping Compliance and Contact Information Reporting Requirements for Entities Subject to Sections 255, 716, and 718 of the Communications Act</w:t>
      </w:r>
      <w:r w:rsidRPr="003511DC">
        <w:rPr>
          <w:sz w:val="22"/>
          <w:szCs w:val="22"/>
        </w:rPr>
        <w:t>, Public Notice, DA 14-354, 29 FCC Rcd 2827 (CGB 2014) (</w:t>
      </w:r>
      <w:r w:rsidRPr="003511DC">
        <w:rPr>
          <w:i/>
          <w:sz w:val="22"/>
          <w:szCs w:val="22"/>
        </w:rPr>
        <w:t>2014 RCCCI Registry Reminder</w:t>
      </w:r>
      <w:r w:rsidRPr="003511DC">
        <w:rPr>
          <w:sz w:val="22"/>
          <w:szCs w:val="22"/>
        </w:rPr>
        <w:t>), available at</w:t>
      </w:r>
      <w:r w:rsidRPr="009C79E5">
        <w:rPr>
          <w:sz w:val="22"/>
          <w:szCs w:val="22"/>
        </w:rPr>
        <w:t xml:space="preserve"> </w:t>
      </w:r>
      <w:hyperlink r:id="rId22" w:history="1">
        <w:r w:rsidRPr="009C79E5">
          <w:rPr>
            <w:rStyle w:val="Hyperlink1"/>
            <w:sz w:val="22"/>
            <w:szCs w:val="22"/>
          </w:rPr>
          <w:t>https://apps.fcc.gov/edocs_public/attachmatch/DA-14-354A1.pdf</w:t>
        </w:r>
      </w:hyperlink>
      <w:r w:rsidRPr="009C79E5">
        <w:rPr>
          <w:color w:val="262626"/>
          <w:sz w:val="22"/>
          <w:szCs w:val="22"/>
        </w:rPr>
        <w:t>.</w:t>
      </w:r>
    </w:p>
    <w:p w:rsidR="003F4496" w:rsidRPr="009C79E5" w:rsidRDefault="003F4496" w:rsidP="00476E6F">
      <w:pPr>
        <w:suppressAutoHyphens/>
        <w:rPr>
          <w:sz w:val="22"/>
          <w:szCs w:val="22"/>
        </w:rPr>
      </w:pPr>
    </w:p>
    <w:p w:rsidR="003F4496" w:rsidRPr="008D556C" w:rsidRDefault="003F4496" w:rsidP="00476E6F">
      <w:pPr>
        <w:suppressAutoHyphens/>
        <w:rPr>
          <w:b/>
          <w:sz w:val="22"/>
          <w:szCs w:val="22"/>
        </w:rPr>
      </w:pPr>
      <w:r w:rsidRPr="008D556C">
        <w:rPr>
          <w:b/>
          <w:sz w:val="22"/>
          <w:szCs w:val="22"/>
        </w:rPr>
        <w:t>Section 105.  National Deaf-Blind Equipment Distribution Program</w:t>
      </w:r>
      <w:r w:rsidR="00EA2526" w:rsidRPr="008D556C">
        <w:rPr>
          <w:rStyle w:val="FootnoteReference"/>
          <w:sz w:val="22"/>
          <w:szCs w:val="22"/>
        </w:rPr>
        <w:footnoteReference w:id="554"/>
      </w:r>
    </w:p>
    <w:p w:rsidR="003F4496" w:rsidRPr="003511DC" w:rsidRDefault="003F4496" w:rsidP="00476E6F">
      <w:pPr>
        <w:suppressAutoHyphens/>
        <w:rPr>
          <w:sz w:val="22"/>
          <w:szCs w:val="22"/>
        </w:rPr>
      </w:pPr>
    </w:p>
    <w:p w:rsidR="008F1159" w:rsidRPr="009C79E5" w:rsidRDefault="008F1159" w:rsidP="00476E6F">
      <w:pPr>
        <w:pStyle w:val="CommentText"/>
        <w:rPr>
          <w:sz w:val="22"/>
          <w:szCs w:val="22"/>
          <w:lang w:val="en-US"/>
        </w:rPr>
      </w:pPr>
      <w:r w:rsidRPr="009C79E5">
        <w:rPr>
          <w:bCs/>
          <w:i/>
          <w:sz w:val="22"/>
          <w:szCs w:val="22"/>
        </w:rPr>
        <w:t xml:space="preserve">Bureau Announces 2013-2014 State Allocations for the National Deaf-Blind Equipment Distribution Program, </w:t>
      </w:r>
      <w:r w:rsidRPr="009C79E5">
        <w:rPr>
          <w:bCs/>
          <w:sz w:val="22"/>
          <w:szCs w:val="22"/>
        </w:rPr>
        <w:t xml:space="preserve">Public Notice, DA 13-1488, 28 FCC Rcd 9243 (CGB 2013), available at </w:t>
      </w:r>
      <w:hyperlink r:id="rId23" w:history="1">
        <w:r w:rsidRPr="009C79E5">
          <w:rPr>
            <w:rStyle w:val="Hyperlink"/>
            <w:sz w:val="22"/>
            <w:szCs w:val="22"/>
          </w:rPr>
          <w:t>https://apps.fcc.gov/edocs_public/attachmatch/DA-13-1488A1.pdf</w:t>
        </w:r>
      </w:hyperlink>
      <w:r w:rsidRPr="009C79E5">
        <w:rPr>
          <w:sz w:val="22"/>
          <w:szCs w:val="22"/>
        </w:rPr>
        <w:t xml:space="preserve">.  </w:t>
      </w:r>
    </w:p>
    <w:p w:rsidR="008F1159" w:rsidRPr="009C79E5" w:rsidRDefault="008F1159" w:rsidP="00476E6F">
      <w:pPr>
        <w:pStyle w:val="CommentText"/>
        <w:rPr>
          <w:sz w:val="22"/>
          <w:szCs w:val="22"/>
          <w:lang w:val="en-US"/>
        </w:rPr>
      </w:pPr>
    </w:p>
    <w:p w:rsidR="003F4496" w:rsidRPr="007B4C23" w:rsidRDefault="003F4496" w:rsidP="00476E6F">
      <w:pPr>
        <w:ind w:right="720"/>
        <w:rPr>
          <w:sz w:val="22"/>
          <w:szCs w:val="22"/>
          <w:shd w:val="clear" w:color="auto" w:fill="FFFFFF"/>
        </w:rPr>
      </w:pPr>
      <w:r w:rsidRPr="008D556C">
        <w:rPr>
          <w:i/>
          <w:sz w:val="22"/>
          <w:szCs w:val="22"/>
          <w:shd w:val="clear" w:color="auto" w:fill="FFFFFF"/>
        </w:rPr>
        <w:t>Implementation of the Twenty-First Century Communications and Video Accessibility Act of 2010, Section 105, Relay Services for Deaf-Blind Individuals; Order Extending NDBEDP Pilot Program to June 30, 2015</w:t>
      </w:r>
      <w:r w:rsidRPr="003511DC">
        <w:rPr>
          <w:sz w:val="22"/>
          <w:szCs w:val="22"/>
          <w:shd w:val="clear" w:color="auto" w:fill="FFFFFF"/>
        </w:rPr>
        <w:t>, CG Docket No. 10-210, Order, DA 14-170, 29 FCC Rcd 1234 (CGB 2014) (</w:t>
      </w:r>
      <w:r w:rsidRPr="003511DC">
        <w:rPr>
          <w:i/>
          <w:sz w:val="22"/>
          <w:szCs w:val="22"/>
          <w:shd w:val="clear" w:color="auto" w:fill="FFFFFF"/>
        </w:rPr>
        <w:t>NDBEDP Pilot Program Third Year Order</w:t>
      </w:r>
      <w:r w:rsidRPr="003511DC">
        <w:rPr>
          <w:sz w:val="22"/>
          <w:szCs w:val="22"/>
          <w:shd w:val="clear" w:color="auto" w:fill="FFFFFF"/>
        </w:rPr>
        <w:t>), available at</w:t>
      </w:r>
      <w:r w:rsidRPr="009C79E5">
        <w:rPr>
          <w:sz w:val="22"/>
          <w:szCs w:val="22"/>
          <w:shd w:val="clear" w:color="auto" w:fill="FFFFFF"/>
        </w:rPr>
        <w:t xml:space="preserve"> </w:t>
      </w:r>
      <w:hyperlink r:id="rId24" w:history="1">
        <w:r w:rsidRPr="007B4C23">
          <w:rPr>
            <w:rStyle w:val="Hyperlink"/>
            <w:sz w:val="22"/>
            <w:szCs w:val="22"/>
          </w:rPr>
          <w:t>https://apps.fcc.gov/edocs_public/attachmatch/DA-14-170A1.pdf</w:t>
        </w:r>
      </w:hyperlink>
      <w:r w:rsidRPr="007B4C23">
        <w:rPr>
          <w:sz w:val="22"/>
          <w:szCs w:val="22"/>
        </w:rPr>
        <w:t xml:space="preserve">.  </w:t>
      </w:r>
    </w:p>
    <w:p w:rsidR="003F4496" w:rsidRPr="005732A8" w:rsidRDefault="003F4496" w:rsidP="00476E6F">
      <w:pPr>
        <w:ind w:right="720"/>
        <w:rPr>
          <w:rStyle w:val="Hyperlink1"/>
          <w:sz w:val="22"/>
          <w:szCs w:val="22"/>
        </w:rPr>
      </w:pPr>
    </w:p>
    <w:p w:rsidR="008F1159" w:rsidRPr="009C79E5" w:rsidRDefault="008F1159" w:rsidP="00476E6F">
      <w:pPr>
        <w:pStyle w:val="CommentText"/>
        <w:rPr>
          <w:rStyle w:val="Hyperlink1"/>
          <w:sz w:val="22"/>
          <w:szCs w:val="22"/>
          <w:lang w:val="en-US"/>
        </w:rPr>
      </w:pPr>
      <w:r w:rsidRPr="009C79E5">
        <w:rPr>
          <w:bCs/>
          <w:i/>
          <w:sz w:val="22"/>
          <w:szCs w:val="22"/>
        </w:rPr>
        <w:t xml:space="preserve">Bureau Announces 2014-2015 State Allocations for the National Deaf-Blind Equipment Distribution Program, </w:t>
      </w:r>
      <w:r w:rsidRPr="009C79E5">
        <w:rPr>
          <w:bCs/>
          <w:sz w:val="22"/>
          <w:szCs w:val="22"/>
        </w:rPr>
        <w:t xml:space="preserve">Public Notice, DA 14-947, 29 FCC Rcd 8056 (CGB 2014), available at </w:t>
      </w:r>
      <w:hyperlink r:id="rId25" w:history="1">
        <w:r w:rsidRPr="009C79E5">
          <w:rPr>
            <w:rStyle w:val="Hyperlink"/>
            <w:bCs/>
            <w:sz w:val="22"/>
            <w:szCs w:val="22"/>
          </w:rPr>
          <w:t>https://apps.fcc.gov/edocs_public/attachmatch/DA-14-947A1.pdf</w:t>
        </w:r>
      </w:hyperlink>
      <w:r w:rsidRPr="009C79E5">
        <w:rPr>
          <w:bCs/>
          <w:color w:val="010101"/>
          <w:sz w:val="22"/>
          <w:szCs w:val="22"/>
          <w:lang w:val="en-US"/>
        </w:rPr>
        <w:t xml:space="preserve">. </w:t>
      </w:r>
    </w:p>
    <w:p w:rsidR="008F1159" w:rsidRPr="009C79E5" w:rsidRDefault="008F1159" w:rsidP="00476E6F">
      <w:pPr>
        <w:pStyle w:val="FootnoteText"/>
        <w:rPr>
          <w:i/>
          <w:sz w:val="22"/>
          <w:szCs w:val="22"/>
        </w:rPr>
      </w:pPr>
    </w:p>
    <w:p w:rsidR="003F4496" w:rsidRPr="009C79E5" w:rsidRDefault="003F4496" w:rsidP="00476E6F">
      <w:pPr>
        <w:pStyle w:val="FootnoteText"/>
        <w:rPr>
          <w:rStyle w:val="Hyperlink1"/>
          <w:sz w:val="22"/>
          <w:szCs w:val="22"/>
        </w:rPr>
      </w:pPr>
      <w:r w:rsidRPr="008D556C">
        <w:rPr>
          <w:i/>
          <w:sz w:val="22"/>
          <w:szCs w:val="22"/>
        </w:rPr>
        <w:t>Consumer and Governmental Affairs Bureau Seeks Comment on the National Deaf-Blind Equipment Distribution Program</w:t>
      </w:r>
      <w:r w:rsidRPr="003511DC">
        <w:rPr>
          <w:sz w:val="22"/>
          <w:szCs w:val="22"/>
        </w:rPr>
        <w:t xml:space="preserve">, </w:t>
      </w:r>
      <w:r w:rsidRPr="003511DC">
        <w:rPr>
          <w:bCs/>
          <w:sz w:val="22"/>
          <w:szCs w:val="22"/>
        </w:rPr>
        <w:t>CG Docket No. 10-210,</w:t>
      </w:r>
      <w:r w:rsidRPr="003511DC">
        <w:rPr>
          <w:b/>
          <w:bCs/>
          <w:sz w:val="22"/>
          <w:szCs w:val="22"/>
        </w:rPr>
        <w:t xml:space="preserve"> </w:t>
      </w:r>
      <w:r w:rsidRPr="003511DC">
        <w:rPr>
          <w:sz w:val="22"/>
          <w:szCs w:val="22"/>
        </w:rPr>
        <w:t xml:space="preserve">Public Notice, </w:t>
      </w:r>
      <w:r w:rsidRPr="00BF0859">
        <w:rPr>
          <w:bCs/>
          <w:sz w:val="22"/>
          <w:szCs w:val="22"/>
        </w:rPr>
        <w:t xml:space="preserve">DA 14-1128, </w:t>
      </w:r>
      <w:r w:rsidRPr="00FF1FD9">
        <w:rPr>
          <w:sz w:val="22"/>
          <w:szCs w:val="22"/>
        </w:rPr>
        <w:t xml:space="preserve">29 FCC Rcd 9451 (CGB 2014), available at </w:t>
      </w:r>
      <w:hyperlink r:id="rId26" w:history="1">
        <w:r w:rsidR="008F1159" w:rsidRPr="009C79E5">
          <w:rPr>
            <w:rStyle w:val="Hyperlink"/>
            <w:sz w:val="22"/>
            <w:szCs w:val="22"/>
          </w:rPr>
          <w:t>https://apps.fcc.gov/edocs_public/attachmatch/DA-14-1128A1.pdf</w:t>
        </w:r>
      </w:hyperlink>
      <w:r w:rsidR="008F1159" w:rsidRPr="009C79E5">
        <w:rPr>
          <w:sz w:val="22"/>
          <w:szCs w:val="22"/>
        </w:rPr>
        <w:t xml:space="preserve">. </w:t>
      </w:r>
      <w:r w:rsidRPr="009C79E5">
        <w:rPr>
          <w:sz w:val="22"/>
          <w:szCs w:val="22"/>
        </w:rPr>
        <w:br/>
      </w:r>
    </w:p>
    <w:p w:rsidR="003F4496" w:rsidRPr="003511DC" w:rsidRDefault="003F4496" w:rsidP="00476E6F">
      <w:pPr>
        <w:keepNext/>
        <w:keepLines/>
        <w:suppressAutoHyphens/>
        <w:rPr>
          <w:b/>
          <w:sz w:val="22"/>
          <w:szCs w:val="22"/>
        </w:rPr>
      </w:pPr>
      <w:r w:rsidRPr="003511DC">
        <w:rPr>
          <w:b/>
          <w:sz w:val="22"/>
          <w:szCs w:val="22"/>
        </w:rPr>
        <w:t>Section 106.  Emergency Access Advisory Committee</w:t>
      </w:r>
    </w:p>
    <w:p w:rsidR="003F4496" w:rsidRPr="00BF0859" w:rsidRDefault="003F4496" w:rsidP="00476E6F">
      <w:pPr>
        <w:keepNext/>
        <w:keepLines/>
        <w:suppressAutoHyphens/>
        <w:rPr>
          <w:sz w:val="22"/>
          <w:szCs w:val="22"/>
        </w:rPr>
      </w:pPr>
    </w:p>
    <w:p w:rsidR="003F4496" w:rsidRPr="009C79E5" w:rsidRDefault="003F4496" w:rsidP="00476E6F">
      <w:pPr>
        <w:pStyle w:val="FootnoteText1"/>
        <w:keepNext/>
        <w:keepLines/>
        <w:rPr>
          <w:rFonts w:ascii="Times New Roman" w:eastAsia="Times New Roman" w:hAnsi="Times New Roman"/>
          <w:color w:val="auto"/>
          <w:sz w:val="22"/>
          <w:szCs w:val="22"/>
          <w:lang w:bidi="x-none"/>
        </w:rPr>
      </w:pPr>
      <w:r w:rsidRPr="00FF1FD9">
        <w:rPr>
          <w:rFonts w:ascii="Times New Roman" w:hAnsi="Times New Roman"/>
          <w:i/>
          <w:color w:val="auto"/>
          <w:sz w:val="22"/>
          <w:szCs w:val="22"/>
        </w:rPr>
        <w:t>Facilitating the Deployment of Text-to-911 and Other Next Generation 911 Applications</w:t>
      </w:r>
      <w:r w:rsidR="00963346" w:rsidRPr="00FF1FD9">
        <w:rPr>
          <w:rFonts w:ascii="Times New Roman" w:hAnsi="Times New Roman"/>
          <w:i/>
          <w:color w:val="auto"/>
          <w:sz w:val="22"/>
          <w:szCs w:val="22"/>
        </w:rPr>
        <w:t xml:space="preserve">; </w:t>
      </w:r>
      <w:r w:rsidRPr="006C02D7">
        <w:rPr>
          <w:rFonts w:ascii="Times New Roman" w:hAnsi="Times New Roman"/>
          <w:i/>
          <w:color w:val="auto"/>
          <w:sz w:val="22"/>
          <w:szCs w:val="22"/>
        </w:rPr>
        <w:t>Framework for Next Generation 911 Deployment</w:t>
      </w:r>
      <w:r w:rsidRPr="009C79E5">
        <w:rPr>
          <w:rFonts w:ascii="Times New Roman" w:hAnsi="Times New Roman"/>
          <w:color w:val="auto"/>
          <w:sz w:val="22"/>
          <w:szCs w:val="22"/>
        </w:rPr>
        <w:t xml:space="preserve">, PS Docket Nos. 11-153 and 10-255, Further Notice of Proposed Rulemaking, </w:t>
      </w:r>
      <w:r w:rsidRPr="009C79E5">
        <w:rPr>
          <w:rFonts w:ascii="Times New Roman" w:eastAsia="Lucida Grande" w:hAnsi="Times New Roman"/>
          <w:color w:val="auto"/>
          <w:sz w:val="22"/>
          <w:szCs w:val="22"/>
        </w:rPr>
        <w:t>FCC 12-149,</w:t>
      </w:r>
      <w:r w:rsidRPr="009C79E5">
        <w:rPr>
          <w:rFonts w:ascii="Times New Roman" w:hAnsi="Times New Roman"/>
          <w:color w:val="auto"/>
          <w:sz w:val="22"/>
          <w:szCs w:val="22"/>
        </w:rPr>
        <w:t xml:space="preserve"> 27 FCC Rcd 15659 (2012) (</w:t>
      </w:r>
      <w:r w:rsidRPr="009C79E5">
        <w:rPr>
          <w:rFonts w:ascii="Times New Roman" w:hAnsi="Times New Roman"/>
          <w:i/>
          <w:color w:val="auto"/>
          <w:sz w:val="22"/>
          <w:szCs w:val="22"/>
        </w:rPr>
        <w:t>Text-to-911 FNPRM</w:t>
      </w:r>
      <w:r w:rsidRPr="009C79E5">
        <w:rPr>
          <w:rFonts w:ascii="Times New Roman" w:hAnsi="Times New Roman"/>
          <w:color w:val="auto"/>
          <w:sz w:val="22"/>
          <w:szCs w:val="22"/>
        </w:rPr>
        <w:t xml:space="preserve">), </w:t>
      </w:r>
      <w:r w:rsidRPr="003511DC">
        <w:rPr>
          <w:rFonts w:ascii="Times New Roman" w:hAnsi="Times New Roman"/>
          <w:color w:val="auto"/>
          <w:sz w:val="22"/>
          <w:szCs w:val="22"/>
        </w:rPr>
        <w:t xml:space="preserve">available at </w:t>
      </w:r>
      <w:hyperlink r:id="rId27" w:history="1">
        <w:r w:rsidRPr="009C79E5">
          <w:rPr>
            <w:rStyle w:val="Hyperlink1"/>
            <w:rFonts w:ascii="Times New Roman" w:hAnsi="Times New Roman"/>
            <w:sz w:val="22"/>
            <w:szCs w:val="22"/>
          </w:rPr>
          <w:t>https://apps.fcc.gov/edocs_public/attachmatch/FCC-12-149A1.pdf</w:t>
        </w:r>
      </w:hyperlink>
      <w:r w:rsidRPr="009C79E5">
        <w:rPr>
          <w:rFonts w:ascii="Times New Roman" w:hAnsi="Times New Roman"/>
          <w:color w:val="auto"/>
          <w:sz w:val="22"/>
          <w:szCs w:val="22"/>
        </w:rPr>
        <w:t xml:space="preserve">. </w:t>
      </w:r>
    </w:p>
    <w:p w:rsidR="003F4496" w:rsidRPr="009C79E5" w:rsidRDefault="003F4496" w:rsidP="00476E6F">
      <w:pPr>
        <w:suppressAutoHyphens/>
        <w:rPr>
          <w:sz w:val="22"/>
          <w:szCs w:val="22"/>
        </w:rPr>
      </w:pPr>
    </w:p>
    <w:p w:rsidR="003F4496" w:rsidRPr="009C79E5" w:rsidRDefault="003F4496" w:rsidP="00476E6F">
      <w:pPr>
        <w:pStyle w:val="FootnoteText"/>
        <w:rPr>
          <w:sz w:val="22"/>
          <w:szCs w:val="22"/>
        </w:rPr>
      </w:pPr>
      <w:r w:rsidRPr="003511DC">
        <w:rPr>
          <w:sz w:val="22"/>
          <w:szCs w:val="22"/>
        </w:rPr>
        <w:t xml:space="preserve">EAAC, </w:t>
      </w:r>
      <w:r w:rsidRPr="003511DC">
        <w:rPr>
          <w:i/>
          <w:sz w:val="22"/>
          <w:szCs w:val="22"/>
        </w:rPr>
        <w:t>Report of Emergency Access Advisory Committee (EAAC) Subcommittee 1 on Interim Text Messaging to 9-1-1</w:t>
      </w:r>
      <w:r w:rsidRPr="003511DC">
        <w:rPr>
          <w:sz w:val="22"/>
          <w:szCs w:val="22"/>
        </w:rPr>
        <w:t xml:space="preserve"> (Mar. 1, 2013), available at </w:t>
      </w:r>
      <w:hyperlink r:id="rId28" w:history="1">
        <w:r w:rsidRPr="009C79E5">
          <w:rPr>
            <w:rStyle w:val="Hyperlink"/>
            <w:sz w:val="22"/>
            <w:szCs w:val="22"/>
          </w:rPr>
          <w:t>https://apps.fcc.gov/edocs_public/attachmatch/DOC-319329A1.pdf</w:t>
        </w:r>
      </w:hyperlink>
      <w:r w:rsidRPr="009C79E5">
        <w:rPr>
          <w:sz w:val="22"/>
          <w:szCs w:val="22"/>
        </w:rPr>
        <w:t xml:space="preserve">. </w:t>
      </w:r>
    </w:p>
    <w:p w:rsidR="003F4496" w:rsidRPr="009C79E5" w:rsidRDefault="003F4496" w:rsidP="00476E6F">
      <w:pPr>
        <w:pStyle w:val="FootnoteText"/>
        <w:rPr>
          <w:sz w:val="22"/>
          <w:szCs w:val="22"/>
          <w:lang w:bidi="x-none"/>
        </w:rPr>
      </w:pPr>
    </w:p>
    <w:p w:rsidR="003F4496" w:rsidRPr="009C79E5" w:rsidRDefault="003F4496" w:rsidP="00476E6F">
      <w:pPr>
        <w:pStyle w:val="FootnoteText"/>
        <w:rPr>
          <w:sz w:val="22"/>
          <w:szCs w:val="22"/>
        </w:rPr>
      </w:pPr>
      <w:r w:rsidRPr="003511DC">
        <w:rPr>
          <w:sz w:val="22"/>
          <w:szCs w:val="22"/>
        </w:rPr>
        <w:t xml:space="preserve">EAAC, </w:t>
      </w:r>
      <w:r w:rsidRPr="003511DC">
        <w:rPr>
          <w:bCs/>
          <w:i/>
          <w:sz w:val="22"/>
          <w:szCs w:val="22"/>
        </w:rPr>
        <w:t xml:space="preserve">Emergency Access Advisory Committee (EAAC) </w:t>
      </w:r>
      <w:r w:rsidRPr="003511DC">
        <w:rPr>
          <w:i/>
          <w:sz w:val="22"/>
          <w:szCs w:val="22"/>
        </w:rPr>
        <w:t>Working Group 3 Recommendations on Current 9-1-1 and Next Generation 9-1-1:  Media Communication Line Services</w:t>
      </w:r>
      <w:r w:rsidRPr="00BF0859">
        <w:rPr>
          <w:i/>
          <w:sz w:val="22"/>
          <w:szCs w:val="22"/>
        </w:rPr>
        <w:t xml:space="preserve"> Used to Ensure Effective Communication with Callers with Disabilities</w:t>
      </w:r>
      <w:r w:rsidRPr="00BF0859">
        <w:rPr>
          <w:sz w:val="22"/>
          <w:szCs w:val="22"/>
        </w:rPr>
        <w:t xml:space="preserve"> (Mar. 1, 2013), available at </w:t>
      </w:r>
      <w:hyperlink r:id="rId29" w:history="1">
        <w:r w:rsidRPr="009C79E5">
          <w:rPr>
            <w:rStyle w:val="Hyperlink"/>
            <w:sz w:val="22"/>
            <w:szCs w:val="22"/>
          </w:rPr>
          <w:t>https://apps.fcc.gov/edocs_public/attachmatch/DOC-319394A1.pdf</w:t>
        </w:r>
      </w:hyperlink>
      <w:r w:rsidRPr="009C79E5">
        <w:rPr>
          <w:sz w:val="22"/>
          <w:szCs w:val="22"/>
        </w:rPr>
        <w:t xml:space="preserve">. </w:t>
      </w:r>
    </w:p>
    <w:p w:rsidR="003F4496" w:rsidRPr="009C79E5" w:rsidRDefault="003F4496" w:rsidP="00476E6F">
      <w:pPr>
        <w:pStyle w:val="FootnoteText"/>
        <w:rPr>
          <w:sz w:val="22"/>
          <w:szCs w:val="22"/>
        </w:rPr>
      </w:pPr>
    </w:p>
    <w:p w:rsidR="003F4496" w:rsidRPr="007B4C23" w:rsidRDefault="003F4496" w:rsidP="00476E6F">
      <w:pPr>
        <w:rPr>
          <w:sz w:val="22"/>
          <w:szCs w:val="22"/>
        </w:rPr>
      </w:pPr>
      <w:r w:rsidRPr="003511DC">
        <w:rPr>
          <w:sz w:val="22"/>
          <w:szCs w:val="22"/>
        </w:rPr>
        <w:t xml:space="preserve">EAAC, </w:t>
      </w:r>
      <w:r w:rsidRPr="003511DC">
        <w:rPr>
          <w:bCs/>
          <w:i/>
          <w:sz w:val="22"/>
          <w:szCs w:val="22"/>
        </w:rPr>
        <w:t xml:space="preserve">Emergency Access Advisory Committee (EAAC) Report on TTY Transition </w:t>
      </w:r>
      <w:r w:rsidRPr="003511DC">
        <w:rPr>
          <w:sz w:val="22"/>
          <w:szCs w:val="22"/>
        </w:rPr>
        <w:t xml:space="preserve">(Mar. 11, 2013), available at </w:t>
      </w:r>
      <w:hyperlink r:id="rId30" w:history="1">
        <w:r w:rsidRPr="007B4C23">
          <w:rPr>
            <w:rStyle w:val="Hyperlink"/>
            <w:sz w:val="22"/>
            <w:szCs w:val="22"/>
          </w:rPr>
          <w:t>https://apps.fcc.gov/edocs_public/attachmatch/DOC-319386A1.pdf</w:t>
        </w:r>
      </w:hyperlink>
      <w:r w:rsidRPr="007B4C23">
        <w:rPr>
          <w:sz w:val="22"/>
          <w:szCs w:val="22"/>
        </w:rPr>
        <w:t xml:space="preserve">. </w:t>
      </w:r>
    </w:p>
    <w:p w:rsidR="003F4496" w:rsidRPr="005732A8" w:rsidRDefault="003F4496" w:rsidP="00476E6F">
      <w:pPr>
        <w:rPr>
          <w:sz w:val="22"/>
          <w:szCs w:val="22"/>
        </w:rPr>
      </w:pPr>
    </w:p>
    <w:p w:rsidR="003F4496" w:rsidRPr="007B4C23" w:rsidRDefault="003F4496" w:rsidP="00476E6F">
      <w:pPr>
        <w:rPr>
          <w:sz w:val="22"/>
          <w:szCs w:val="22"/>
        </w:rPr>
      </w:pPr>
      <w:r w:rsidRPr="003511DC">
        <w:rPr>
          <w:i/>
          <w:sz w:val="22"/>
          <w:szCs w:val="22"/>
        </w:rPr>
        <w:t>Facilitating the Deployment of Text-to-911 and Other Next Generation 911 Applications; Framework for Next Generation 911 Deployment</w:t>
      </w:r>
      <w:r w:rsidRPr="00BF0859">
        <w:rPr>
          <w:sz w:val="22"/>
          <w:szCs w:val="22"/>
        </w:rPr>
        <w:t>, PS Dockets Nos. 11-153 and 10-255, Report and Order, FCC 13-64, 28 FCC Rcd 7556 (2013) (</w:t>
      </w:r>
      <w:r w:rsidRPr="00BF0859">
        <w:rPr>
          <w:i/>
          <w:sz w:val="22"/>
          <w:szCs w:val="22"/>
        </w:rPr>
        <w:t>Bounce-Back Order</w:t>
      </w:r>
      <w:r w:rsidRPr="00BF0859">
        <w:rPr>
          <w:sz w:val="22"/>
          <w:szCs w:val="22"/>
        </w:rPr>
        <w:t xml:space="preserve">), available at </w:t>
      </w:r>
      <w:hyperlink r:id="rId31" w:history="1">
        <w:r w:rsidRPr="007B4C23">
          <w:rPr>
            <w:rStyle w:val="Hyperlink"/>
            <w:sz w:val="22"/>
            <w:szCs w:val="22"/>
          </w:rPr>
          <w:t>https://apps.fcc.gov/edocs_public/attachmatch/FCC-13-64A1.pdf</w:t>
        </w:r>
      </w:hyperlink>
      <w:r w:rsidRPr="007B4C23">
        <w:rPr>
          <w:sz w:val="22"/>
          <w:szCs w:val="22"/>
        </w:rPr>
        <w:t>.</w:t>
      </w:r>
    </w:p>
    <w:p w:rsidR="003F4496" w:rsidRPr="005732A8" w:rsidRDefault="003F4496" w:rsidP="00476E6F">
      <w:pPr>
        <w:rPr>
          <w:sz w:val="22"/>
          <w:szCs w:val="22"/>
        </w:rPr>
      </w:pPr>
    </w:p>
    <w:p w:rsidR="003F4496" w:rsidRPr="009C79E5" w:rsidRDefault="003F4496" w:rsidP="00476E6F">
      <w:pPr>
        <w:pStyle w:val="FootnoteText"/>
        <w:rPr>
          <w:sz w:val="22"/>
          <w:szCs w:val="22"/>
        </w:rPr>
      </w:pPr>
      <w:r w:rsidRPr="003511DC">
        <w:rPr>
          <w:sz w:val="22"/>
          <w:szCs w:val="22"/>
        </w:rPr>
        <w:t xml:space="preserve">EAAC, </w:t>
      </w:r>
      <w:r w:rsidRPr="003511DC">
        <w:rPr>
          <w:bCs/>
          <w:i/>
          <w:sz w:val="22"/>
          <w:szCs w:val="22"/>
        </w:rPr>
        <w:t xml:space="preserve">Emergency Access Advisory Committee (EAAC) </w:t>
      </w:r>
      <w:r w:rsidRPr="003511DC">
        <w:rPr>
          <w:i/>
          <w:sz w:val="22"/>
          <w:szCs w:val="22"/>
        </w:rPr>
        <w:t>Report on procedures for calls between TTY users and NG9-1-1 PSAPs</w:t>
      </w:r>
      <w:r w:rsidRPr="003511DC">
        <w:rPr>
          <w:sz w:val="22"/>
          <w:szCs w:val="22"/>
        </w:rPr>
        <w:t xml:space="preserve"> (Jun. 14, 2013), </w:t>
      </w:r>
      <w:r w:rsidRPr="00BF0859">
        <w:rPr>
          <w:sz w:val="22"/>
          <w:szCs w:val="22"/>
        </w:rPr>
        <w:t xml:space="preserve">available at </w:t>
      </w:r>
      <w:hyperlink r:id="rId32" w:history="1">
        <w:r w:rsidRPr="009C79E5">
          <w:rPr>
            <w:rStyle w:val="Hyperlink"/>
            <w:sz w:val="22"/>
            <w:szCs w:val="22"/>
          </w:rPr>
          <w:t>https://apps.fcc.gov/edocs_public/attachmatch/DOC-321705A1.pdf</w:t>
        </w:r>
      </w:hyperlink>
      <w:r w:rsidRPr="009C79E5">
        <w:rPr>
          <w:sz w:val="22"/>
          <w:szCs w:val="22"/>
        </w:rPr>
        <w:t>.</w:t>
      </w:r>
    </w:p>
    <w:p w:rsidR="003F4496" w:rsidRPr="009C79E5" w:rsidRDefault="003F4496" w:rsidP="00476E6F">
      <w:pPr>
        <w:pStyle w:val="FootnoteText"/>
        <w:rPr>
          <w:sz w:val="22"/>
          <w:szCs w:val="22"/>
        </w:rPr>
      </w:pPr>
    </w:p>
    <w:p w:rsidR="003F4496" w:rsidRPr="009C79E5" w:rsidRDefault="003F4496" w:rsidP="00476E6F">
      <w:pPr>
        <w:pStyle w:val="FootnoteText"/>
        <w:rPr>
          <w:rStyle w:val="Hyperlink"/>
          <w:sz w:val="22"/>
          <w:szCs w:val="22"/>
        </w:rPr>
      </w:pPr>
      <w:r w:rsidRPr="003511DC">
        <w:rPr>
          <w:sz w:val="22"/>
          <w:szCs w:val="22"/>
        </w:rPr>
        <w:t xml:space="preserve">EAAC, </w:t>
      </w:r>
      <w:r w:rsidRPr="003511DC">
        <w:rPr>
          <w:bCs/>
          <w:i/>
          <w:sz w:val="22"/>
          <w:szCs w:val="22"/>
        </w:rPr>
        <w:t>Emergency Access Advisory Committee (EAAC</w:t>
      </w:r>
      <w:r w:rsidRPr="003511DC">
        <w:rPr>
          <w:bCs/>
          <w:sz w:val="22"/>
          <w:szCs w:val="22"/>
        </w:rPr>
        <w:t xml:space="preserve">) </w:t>
      </w:r>
      <w:r w:rsidRPr="00BF0859">
        <w:rPr>
          <w:i/>
          <w:sz w:val="22"/>
          <w:szCs w:val="22"/>
        </w:rPr>
        <w:t>Proposed procedures for the TTY as a text terminal in legacy 9-1-1 PSAPs without IP connection</w:t>
      </w:r>
      <w:r w:rsidRPr="00BF0859">
        <w:rPr>
          <w:sz w:val="22"/>
          <w:szCs w:val="22"/>
        </w:rPr>
        <w:t xml:space="preserve"> (Jun. 14, 2013), available at </w:t>
      </w:r>
      <w:hyperlink r:id="rId33" w:history="1">
        <w:r w:rsidRPr="009C79E5">
          <w:rPr>
            <w:rStyle w:val="Hyperlink"/>
            <w:sz w:val="22"/>
            <w:szCs w:val="22"/>
          </w:rPr>
          <w:t>https://apps.fcc.gov/edocs_public/attachmatch/DOC-321704A1.pdf</w:t>
        </w:r>
      </w:hyperlink>
      <w:r w:rsidRPr="009C79E5">
        <w:rPr>
          <w:rStyle w:val="Hyperlink"/>
          <w:color w:val="auto"/>
          <w:sz w:val="22"/>
          <w:szCs w:val="22"/>
          <w:u w:val="none"/>
        </w:rPr>
        <w:t>.</w:t>
      </w:r>
    </w:p>
    <w:p w:rsidR="003F4496" w:rsidRPr="009C79E5" w:rsidRDefault="003F4496" w:rsidP="00476E6F">
      <w:pPr>
        <w:pStyle w:val="FootnoteText"/>
        <w:rPr>
          <w:rStyle w:val="Hyperlink"/>
          <w:sz w:val="22"/>
          <w:szCs w:val="22"/>
        </w:rPr>
      </w:pPr>
    </w:p>
    <w:p w:rsidR="003F4496" w:rsidRPr="009C79E5" w:rsidRDefault="003F4496" w:rsidP="00476E6F">
      <w:pPr>
        <w:pStyle w:val="FootnoteText"/>
        <w:rPr>
          <w:sz w:val="22"/>
          <w:szCs w:val="22"/>
        </w:rPr>
      </w:pPr>
      <w:r w:rsidRPr="003511DC">
        <w:rPr>
          <w:sz w:val="22"/>
          <w:szCs w:val="22"/>
        </w:rPr>
        <w:t xml:space="preserve">EAAC, </w:t>
      </w:r>
      <w:r w:rsidRPr="003511DC">
        <w:rPr>
          <w:bCs/>
          <w:i/>
          <w:sz w:val="22"/>
          <w:szCs w:val="22"/>
        </w:rPr>
        <w:t>Emergency Access Advisory Commi</w:t>
      </w:r>
      <w:r w:rsidRPr="00BF0859">
        <w:rPr>
          <w:bCs/>
          <w:i/>
          <w:sz w:val="22"/>
          <w:szCs w:val="22"/>
        </w:rPr>
        <w:t>ttee (EAAC) Working Group 7</w:t>
      </w:r>
      <w:r w:rsidR="003511DC">
        <w:rPr>
          <w:bCs/>
          <w:i/>
          <w:sz w:val="22"/>
          <w:szCs w:val="22"/>
        </w:rPr>
        <w:t xml:space="preserve"> </w:t>
      </w:r>
      <w:r w:rsidRPr="003511DC">
        <w:rPr>
          <w:i/>
          <w:sz w:val="22"/>
          <w:szCs w:val="22"/>
        </w:rPr>
        <w:t>Report on Recommendations on Time Alignment</w:t>
      </w:r>
      <w:r w:rsidRPr="00BF0859">
        <w:rPr>
          <w:sz w:val="22"/>
          <w:szCs w:val="22"/>
        </w:rPr>
        <w:t xml:space="preserve"> (Jun. 14, 2013), available at </w:t>
      </w:r>
      <w:hyperlink r:id="rId34" w:history="1">
        <w:r w:rsidRPr="009C79E5">
          <w:rPr>
            <w:rStyle w:val="Hyperlink"/>
            <w:sz w:val="22"/>
            <w:szCs w:val="22"/>
          </w:rPr>
          <w:t>https://apps.fcc.gov/edocs_public/attachmatch/DOC-321740A1.pdf</w:t>
        </w:r>
      </w:hyperlink>
      <w:r w:rsidRPr="009C79E5">
        <w:rPr>
          <w:sz w:val="22"/>
          <w:szCs w:val="22"/>
        </w:rPr>
        <w:t xml:space="preserve">. </w:t>
      </w:r>
    </w:p>
    <w:p w:rsidR="003F4496" w:rsidRPr="009C79E5" w:rsidRDefault="003F4496" w:rsidP="00476E6F">
      <w:pPr>
        <w:pStyle w:val="FootnoteText"/>
        <w:rPr>
          <w:sz w:val="22"/>
          <w:szCs w:val="22"/>
          <w:lang w:bidi="x-none"/>
        </w:rPr>
      </w:pPr>
    </w:p>
    <w:p w:rsidR="003F4496" w:rsidRPr="009C79E5" w:rsidRDefault="003F4496" w:rsidP="00476E6F">
      <w:pPr>
        <w:pStyle w:val="FootnoteText1"/>
        <w:rPr>
          <w:rFonts w:ascii="Times New Roman" w:hAnsi="Times New Roman"/>
          <w:sz w:val="22"/>
          <w:szCs w:val="22"/>
        </w:rPr>
      </w:pPr>
      <w:r w:rsidRPr="009C79E5">
        <w:rPr>
          <w:rFonts w:ascii="Times New Roman" w:hAnsi="Times New Roman"/>
          <w:color w:val="auto"/>
          <w:sz w:val="22"/>
          <w:szCs w:val="22"/>
        </w:rPr>
        <w:t xml:space="preserve">EAAC, </w:t>
      </w:r>
      <w:r w:rsidRPr="009C79E5">
        <w:rPr>
          <w:rFonts w:ascii="Times New Roman" w:hAnsi="Times New Roman"/>
          <w:bCs/>
          <w:i/>
          <w:color w:val="auto"/>
          <w:sz w:val="22"/>
          <w:szCs w:val="22"/>
        </w:rPr>
        <w:t xml:space="preserve">Emergency Access Advisory Committee (EAAC) </w:t>
      </w:r>
      <w:r w:rsidRPr="009C79E5">
        <w:rPr>
          <w:rFonts w:ascii="Times New Roman" w:hAnsi="Times New Roman"/>
          <w:i/>
          <w:color w:val="auto"/>
          <w:sz w:val="22"/>
          <w:szCs w:val="22"/>
        </w:rPr>
        <w:t>Report on gaps in NENA i3 NG9-1-1 specifications related to EAAC accessibility reports</w:t>
      </w:r>
      <w:r w:rsidRPr="009C79E5">
        <w:rPr>
          <w:rFonts w:ascii="Times New Roman" w:hAnsi="Times New Roman"/>
          <w:color w:val="auto"/>
          <w:sz w:val="22"/>
          <w:szCs w:val="22"/>
        </w:rPr>
        <w:t xml:space="preserve"> (Jul. 10, 2013), available at </w:t>
      </w:r>
      <w:hyperlink r:id="rId35" w:history="1">
        <w:r w:rsidRPr="009C79E5">
          <w:rPr>
            <w:rStyle w:val="Hyperlink"/>
            <w:rFonts w:ascii="Times New Roman" w:hAnsi="Times New Roman"/>
            <w:sz w:val="22"/>
            <w:szCs w:val="22"/>
          </w:rPr>
          <w:t>https://apps.fcc.gov/edocs_public/attachmatch/DOC-322164A1.pdf</w:t>
        </w:r>
      </w:hyperlink>
      <w:r w:rsidRPr="009C79E5">
        <w:rPr>
          <w:rFonts w:ascii="Times New Roman" w:hAnsi="Times New Roman"/>
          <w:sz w:val="22"/>
          <w:szCs w:val="22"/>
        </w:rPr>
        <w:t xml:space="preserve">. </w:t>
      </w:r>
    </w:p>
    <w:p w:rsidR="003F4496" w:rsidRPr="009C79E5" w:rsidRDefault="003F4496" w:rsidP="00476E6F">
      <w:pPr>
        <w:pStyle w:val="FootnoteText"/>
        <w:rPr>
          <w:sz w:val="22"/>
          <w:szCs w:val="22"/>
        </w:rPr>
      </w:pPr>
    </w:p>
    <w:p w:rsidR="003F4496" w:rsidRPr="009C79E5" w:rsidRDefault="003F4496" w:rsidP="00476E6F">
      <w:pPr>
        <w:pStyle w:val="FootnoteText"/>
        <w:rPr>
          <w:sz w:val="22"/>
          <w:szCs w:val="22"/>
        </w:rPr>
      </w:pPr>
      <w:r w:rsidRPr="00BF0859">
        <w:rPr>
          <w:i/>
          <w:sz w:val="22"/>
          <w:szCs w:val="22"/>
        </w:rPr>
        <w:t>Facilitating the Deployment of Text-to-911 and Other Next Generation 911 Applications; Framework for Next Generation 911 Deployment</w:t>
      </w:r>
      <w:r w:rsidRPr="00FF1FD9">
        <w:rPr>
          <w:sz w:val="22"/>
          <w:szCs w:val="22"/>
        </w:rPr>
        <w:t xml:space="preserve">, PS Docket Nos. 11-153 and 10-255, Policy Statement and Second Further Notice </w:t>
      </w:r>
      <w:r w:rsidRPr="006C02D7">
        <w:rPr>
          <w:sz w:val="22"/>
          <w:szCs w:val="22"/>
        </w:rPr>
        <w:t>of Proposed Rulemaking, FCC 14-6, 29 FCC Rcd 1547 (2014) (</w:t>
      </w:r>
      <w:r w:rsidRPr="006C02D7">
        <w:rPr>
          <w:i/>
          <w:sz w:val="22"/>
          <w:szCs w:val="22"/>
        </w:rPr>
        <w:t xml:space="preserve">Text-to-911 Policy Statement </w:t>
      </w:r>
      <w:r w:rsidRPr="009C79E5">
        <w:rPr>
          <w:sz w:val="22"/>
          <w:szCs w:val="22"/>
        </w:rPr>
        <w:t xml:space="preserve">and </w:t>
      </w:r>
      <w:r w:rsidRPr="009C79E5">
        <w:rPr>
          <w:i/>
          <w:sz w:val="22"/>
          <w:szCs w:val="22"/>
        </w:rPr>
        <w:t>Text-to-911 Second FNPRM</w:t>
      </w:r>
      <w:r w:rsidRPr="009C79E5">
        <w:rPr>
          <w:sz w:val="22"/>
          <w:szCs w:val="22"/>
        </w:rPr>
        <w:t xml:space="preserve">), available at </w:t>
      </w:r>
      <w:hyperlink r:id="rId36" w:history="1">
        <w:r w:rsidRPr="009C79E5">
          <w:rPr>
            <w:rStyle w:val="Hyperlink"/>
            <w:sz w:val="22"/>
            <w:szCs w:val="22"/>
          </w:rPr>
          <w:t>https://apps.fcc.gov/edocs_public/attachmatch/FCC-14-6A1.pdf</w:t>
        </w:r>
      </w:hyperlink>
      <w:r w:rsidRPr="009C79E5">
        <w:rPr>
          <w:sz w:val="22"/>
          <w:szCs w:val="22"/>
        </w:rPr>
        <w:t>.</w:t>
      </w:r>
    </w:p>
    <w:p w:rsidR="003F4496" w:rsidRPr="009C79E5" w:rsidRDefault="003F4496" w:rsidP="00476E6F">
      <w:pPr>
        <w:pStyle w:val="FootnoteText"/>
        <w:rPr>
          <w:sz w:val="22"/>
          <w:szCs w:val="22"/>
        </w:rPr>
      </w:pPr>
    </w:p>
    <w:p w:rsidR="003F4496" w:rsidRPr="009C79E5" w:rsidRDefault="003F4496" w:rsidP="00476E6F">
      <w:pPr>
        <w:pStyle w:val="FootnoteText"/>
        <w:rPr>
          <w:sz w:val="22"/>
          <w:szCs w:val="22"/>
        </w:rPr>
      </w:pPr>
      <w:r w:rsidRPr="00BF0859">
        <w:rPr>
          <w:i/>
          <w:sz w:val="22"/>
          <w:szCs w:val="22"/>
        </w:rPr>
        <w:t>Facilitating the Deployment of Text-to-911 and Other Next Generation 911 Applications; Framework for Next Generation 911 Deployment</w:t>
      </w:r>
      <w:r w:rsidRPr="00FF1FD9">
        <w:rPr>
          <w:sz w:val="22"/>
          <w:szCs w:val="22"/>
        </w:rPr>
        <w:t>, PS Docket Nos. 11-153 and 10-255, Second Report and Order and Third Further Notice of Proposed Rulemaking, F</w:t>
      </w:r>
      <w:r w:rsidRPr="006C02D7">
        <w:rPr>
          <w:sz w:val="22"/>
          <w:szCs w:val="22"/>
        </w:rPr>
        <w:t xml:space="preserve">CC 14-118, 29 FCC Rcd 9846 (2014), available at </w:t>
      </w:r>
      <w:hyperlink r:id="rId37" w:history="1">
        <w:r w:rsidRPr="009C79E5">
          <w:rPr>
            <w:rStyle w:val="Hyperlink"/>
            <w:sz w:val="22"/>
            <w:szCs w:val="22"/>
          </w:rPr>
          <w:t>https://apps.fcc.gov/edocs_public/attachmatch/FCC-14-118A1.pdf</w:t>
        </w:r>
      </w:hyperlink>
      <w:r w:rsidRPr="009C79E5">
        <w:rPr>
          <w:sz w:val="22"/>
          <w:szCs w:val="22"/>
        </w:rPr>
        <w:t>.</w:t>
      </w:r>
    </w:p>
    <w:p w:rsidR="003F4496" w:rsidRPr="009C79E5" w:rsidRDefault="003F4496" w:rsidP="00476E6F">
      <w:pPr>
        <w:pStyle w:val="FootnoteText"/>
        <w:rPr>
          <w:sz w:val="22"/>
          <w:szCs w:val="22"/>
          <w:lang w:bidi="x-none"/>
        </w:rPr>
      </w:pPr>
    </w:p>
    <w:p w:rsidR="003F4496" w:rsidRPr="00BF0859" w:rsidRDefault="003F4496" w:rsidP="00476E6F">
      <w:pPr>
        <w:keepNext/>
        <w:keepLines/>
        <w:suppressAutoHyphens/>
        <w:rPr>
          <w:b/>
          <w:sz w:val="22"/>
          <w:szCs w:val="22"/>
        </w:rPr>
      </w:pPr>
      <w:r w:rsidRPr="00BF0859">
        <w:rPr>
          <w:b/>
          <w:sz w:val="22"/>
          <w:szCs w:val="22"/>
        </w:rPr>
        <w:t>Section 201.  Video Programming Access Advisory Committee</w:t>
      </w:r>
    </w:p>
    <w:p w:rsidR="003F4496" w:rsidRPr="00FF1FD9" w:rsidRDefault="003F4496" w:rsidP="00476E6F">
      <w:pPr>
        <w:keepNext/>
        <w:keepLines/>
        <w:suppressAutoHyphens/>
        <w:rPr>
          <w:sz w:val="22"/>
          <w:szCs w:val="22"/>
        </w:rPr>
      </w:pPr>
    </w:p>
    <w:p w:rsidR="003F4496" w:rsidRPr="009C79E5" w:rsidRDefault="003F4496" w:rsidP="00476E6F">
      <w:pPr>
        <w:suppressAutoHyphens/>
        <w:rPr>
          <w:b/>
          <w:sz w:val="22"/>
          <w:szCs w:val="22"/>
        </w:rPr>
      </w:pPr>
      <w:r w:rsidRPr="006C02D7">
        <w:rPr>
          <w:b/>
          <w:sz w:val="22"/>
          <w:szCs w:val="22"/>
        </w:rPr>
        <w:t xml:space="preserve">Section 202.  Video </w:t>
      </w:r>
      <w:r w:rsidR="007B4C23" w:rsidRPr="009C79E5">
        <w:rPr>
          <w:b/>
          <w:sz w:val="22"/>
          <w:szCs w:val="22"/>
        </w:rPr>
        <w:t>D</w:t>
      </w:r>
      <w:r w:rsidRPr="009C79E5">
        <w:rPr>
          <w:b/>
          <w:sz w:val="22"/>
          <w:szCs w:val="22"/>
        </w:rPr>
        <w:t xml:space="preserve">escription and </w:t>
      </w:r>
      <w:r w:rsidR="007B4C23" w:rsidRPr="009C79E5">
        <w:rPr>
          <w:b/>
          <w:sz w:val="22"/>
          <w:szCs w:val="22"/>
        </w:rPr>
        <w:t>C</w:t>
      </w:r>
      <w:r w:rsidRPr="009C79E5">
        <w:rPr>
          <w:b/>
          <w:sz w:val="22"/>
          <w:szCs w:val="22"/>
        </w:rPr>
        <w:t xml:space="preserve">losed </w:t>
      </w:r>
      <w:r w:rsidR="007B4C23" w:rsidRPr="009C79E5">
        <w:rPr>
          <w:b/>
          <w:sz w:val="22"/>
          <w:szCs w:val="22"/>
        </w:rPr>
        <w:t>C</w:t>
      </w:r>
      <w:r w:rsidRPr="009C79E5">
        <w:rPr>
          <w:b/>
          <w:sz w:val="22"/>
          <w:szCs w:val="22"/>
        </w:rPr>
        <w:t>aptioning</w:t>
      </w:r>
    </w:p>
    <w:p w:rsidR="003F4496" w:rsidRPr="009C79E5" w:rsidRDefault="003F4496" w:rsidP="00476E6F">
      <w:pPr>
        <w:suppressAutoHyphens/>
        <w:rPr>
          <w:sz w:val="22"/>
          <w:szCs w:val="22"/>
        </w:rPr>
      </w:pPr>
    </w:p>
    <w:p w:rsidR="003F4496" w:rsidRPr="009C79E5" w:rsidRDefault="003F4496" w:rsidP="00476E6F">
      <w:pPr>
        <w:suppressAutoHyphens/>
        <w:rPr>
          <w:b/>
          <w:i/>
          <w:sz w:val="22"/>
          <w:szCs w:val="22"/>
        </w:rPr>
      </w:pPr>
      <w:r w:rsidRPr="009C79E5">
        <w:rPr>
          <w:b/>
          <w:i/>
          <w:sz w:val="22"/>
          <w:szCs w:val="22"/>
        </w:rPr>
        <w:t>Video Description</w:t>
      </w:r>
    </w:p>
    <w:p w:rsidR="003F4496" w:rsidRPr="009C79E5" w:rsidRDefault="003F4496" w:rsidP="00476E6F">
      <w:pPr>
        <w:suppressAutoHyphens/>
        <w:rPr>
          <w:sz w:val="22"/>
          <w:szCs w:val="22"/>
        </w:rPr>
      </w:pPr>
    </w:p>
    <w:p w:rsidR="003F4496" w:rsidRPr="007B4C23" w:rsidRDefault="003F4496" w:rsidP="00476E6F">
      <w:pPr>
        <w:suppressAutoHyphens/>
        <w:rPr>
          <w:sz w:val="22"/>
          <w:szCs w:val="22"/>
        </w:rPr>
      </w:pPr>
      <w:r w:rsidRPr="009C79E5">
        <w:rPr>
          <w:i/>
          <w:sz w:val="22"/>
          <w:szCs w:val="22"/>
        </w:rPr>
        <w:t>Accessible Emergency Information, and Apparatus Requirements for Emergency Information and Video Description:  Implementation of the Twenty-First Century Communications and Video Accessibility Act of 2010; Video Description:  Implementation of the Twenty-First Century Communications and Video Accessibility Act of 2010</w:t>
      </w:r>
      <w:r w:rsidRPr="009C79E5">
        <w:rPr>
          <w:sz w:val="22"/>
          <w:szCs w:val="22"/>
        </w:rPr>
        <w:t>, MB Docket Nos. 12-107 and 11-43, Report and Order and Further Notice of Proposed Rulemaking, FCC 13-45, 28 FCC Rcd 4871 (2013) (</w:t>
      </w:r>
      <w:r w:rsidRPr="009C79E5">
        <w:rPr>
          <w:i/>
          <w:sz w:val="22"/>
          <w:szCs w:val="22"/>
        </w:rPr>
        <w:t>Emergency Information and Video Description Order and FNPRM</w:t>
      </w:r>
      <w:r w:rsidRPr="009C79E5">
        <w:rPr>
          <w:sz w:val="22"/>
          <w:szCs w:val="22"/>
        </w:rPr>
        <w:t xml:space="preserve">) (seeking additional comment on video description pass-through obligations), available at </w:t>
      </w:r>
      <w:hyperlink r:id="rId38" w:history="1">
        <w:r w:rsidRPr="007B4C23">
          <w:rPr>
            <w:rStyle w:val="Hyperlink"/>
            <w:sz w:val="22"/>
            <w:szCs w:val="22"/>
          </w:rPr>
          <w:t>https://apps.fcc.gov/edocs_public/attachmatch/FCC-13-45A1.pdf</w:t>
        </w:r>
      </w:hyperlink>
      <w:r w:rsidRPr="007B4C23">
        <w:rPr>
          <w:sz w:val="22"/>
          <w:szCs w:val="22"/>
        </w:rPr>
        <w:t>. </w:t>
      </w:r>
    </w:p>
    <w:p w:rsidR="003F4496" w:rsidRPr="005732A8" w:rsidRDefault="003F4496" w:rsidP="00476E6F">
      <w:pPr>
        <w:autoSpaceDE w:val="0"/>
        <w:autoSpaceDN w:val="0"/>
        <w:adjustRightInd w:val="0"/>
        <w:rPr>
          <w:bCs/>
          <w:i/>
          <w:sz w:val="22"/>
          <w:szCs w:val="22"/>
        </w:rPr>
      </w:pPr>
    </w:p>
    <w:p w:rsidR="003F4496" w:rsidRPr="007B4C23" w:rsidRDefault="003F4496" w:rsidP="00476E6F">
      <w:pPr>
        <w:autoSpaceDE w:val="0"/>
        <w:autoSpaceDN w:val="0"/>
        <w:adjustRightInd w:val="0"/>
        <w:rPr>
          <w:bCs/>
          <w:sz w:val="22"/>
          <w:szCs w:val="22"/>
        </w:rPr>
      </w:pPr>
      <w:r w:rsidRPr="00BF0859">
        <w:rPr>
          <w:bCs/>
          <w:i/>
          <w:sz w:val="22"/>
          <w:szCs w:val="22"/>
        </w:rPr>
        <w:t>Media Bureau Seeks Comment on Video Description in Video Programming Distributed on Television and on the Internet</w:t>
      </w:r>
      <w:r w:rsidRPr="00FF1FD9">
        <w:rPr>
          <w:sz w:val="22"/>
          <w:szCs w:val="22"/>
        </w:rPr>
        <w:t xml:space="preserve">,  MB Docket No. 11-43, Public Notice, </w:t>
      </w:r>
      <w:r w:rsidR="00476E6F" w:rsidRPr="00FF1FD9">
        <w:rPr>
          <w:sz w:val="22"/>
          <w:szCs w:val="22"/>
        </w:rPr>
        <w:t>DA 13-1438</w:t>
      </w:r>
      <w:r w:rsidRPr="006C02D7">
        <w:rPr>
          <w:sz w:val="22"/>
          <w:szCs w:val="22"/>
        </w:rPr>
        <w:t xml:space="preserve">, 28 FCC Rcd 9043 (MB 2013),  available at </w:t>
      </w:r>
      <w:hyperlink r:id="rId39" w:history="1">
        <w:r w:rsidRPr="007B4C23">
          <w:rPr>
            <w:rStyle w:val="Hyperlink"/>
            <w:sz w:val="22"/>
            <w:szCs w:val="22"/>
          </w:rPr>
          <w:t>https://apps.fcc.gov/edocs_public/attachmatch/DA-13-1438A1.pdf</w:t>
        </w:r>
      </w:hyperlink>
      <w:r w:rsidRPr="007B4C23">
        <w:rPr>
          <w:bCs/>
          <w:i/>
          <w:sz w:val="22"/>
          <w:szCs w:val="22"/>
        </w:rPr>
        <w:t xml:space="preserve">. </w:t>
      </w:r>
    </w:p>
    <w:p w:rsidR="003F4496" w:rsidRPr="005732A8" w:rsidRDefault="003F4496" w:rsidP="00476E6F">
      <w:pPr>
        <w:suppressAutoHyphens/>
        <w:rPr>
          <w:sz w:val="22"/>
          <w:szCs w:val="22"/>
        </w:rPr>
      </w:pPr>
    </w:p>
    <w:p w:rsidR="003F4496" w:rsidRPr="009C79E5" w:rsidRDefault="003F4496" w:rsidP="00476E6F">
      <w:pPr>
        <w:pStyle w:val="FootnoteText"/>
        <w:rPr>
          <w:bCs/>
          <w:color w:val="333333"/>
          <w:sz w:val="22"/>
          <w:szCs w:val="22"/>
        </w:rPr>
      </w:pPr>
      <w:r w:rsidRPr="00BF0859">
        <w:rPr>
          <w:i/>
          <w:sz w:val="22"/>
          <w:szCs w:val="22"/>
        </w:rPr>
        <w:t xml:space="preserve">Video Description:  </w:t>
      </w:r>
      <w:r w:rsidRPr="009C79E5">
        <w:rPr>
          <w:bCs/>
          <w:i/>
          <w:sz w:val="22"/>
          <w:szCs w:val="22"/>
        </w:rPr>
        <w:t>Implementation of the Twenty-First Century Communications and Video Accessibility Act of 2010</w:t>
      </w:r>
      <w:r w:rsidRPr="009C79E5">
        <w:rPr>
          <w:bCs/>
          <w:sz w:val="22"/>
          <w:szCs w:val="22"/>
        </w:rPr>
        <w:t xml:space="preserve">, </w:t>
      </w:r>
      <w:r w:rsidRPr="009C79E5">
        <w:rPr>
          <w:sz w:val="22"/>
          <w:szCs w:val="22"/>
        </w:rPr>
        <w:t>MB Docket No. 11-43,</w:t>
      </w:r>
      <w:r w:rsidRPr="009C79E5">
        <w:rPr>
          <w:bCs/>
          <w:sz w:val="22"/>
          <w:szCs w:val="22"/>
        </w:rPr>
        <w:t xml:space="preserve"> Report to Congress, DA 14-945, 29 FCC Rcd 8011 (MB 2014), available at </w:t>
      </w:r>
      <w:hyperlink r:id="rId40" w:history="1">
        <w:r w:rsidRPr="009C79E5">
          <w:rPr>
            <w:rStyle w:val="Hyperlink1"/>
            <w:sz w:val="22"/>
            <w:szCs w:val="22"/>
          </w:rPr>
          <w:t>https://apps.fcc.gov/edocs_public/attachmatch/DA-14-945A1.pdf</w:t>
        </w:r>
      </w:hyperlink>
      <w:r w:rsidRPr="009C79E5">
        <w:rPr>
          <w:bCs/>
          <w:color w:val="333333"/>
          <w:sz w:val="22"/>
          <w:szCs w:val="22"/>
        </w:rPr>
        <w:t>.</w:t>
      </w:r>
    </w:p>
    <w:p w:rsidR="003F4496" w:rsidRPr="009C79E5" w:rsidRDefault="003F4496" w:rsidP="00476E6F">
      <w:pPr>
        <w:pStyle w:val="FootnoteText"/>
        <w:rPr>
          <w:sz w:val="22"/>
          <w:szCs w:val="22"/>
        </w:rPr>
      </w:pPr>
    </w:p>
    <w:p w:rsidR="003F4496" w:rsidRPr="00BF0859" w:rsidRDefault="003F4496" w:rsidP="00476E6F">
      <w:pPr>
        <w:keepNext/>
        <w:keepLines/>
        <w:suppressAutoHyphens/>
        <w:rPr>
          <w:b/>
          <w:i/>
          <w:sz w:val="22"/>
          <w:szCs w:val="22"/>
        </w:rPr>
      </w:pPr>
      <w:r w:rsidRPr="00BF0859">
        <w:rPr>
          <w:b/>
          <w:i/>
          <w:sz w:val="22"/>
          <w:szCs w:val="22"/>
        </w:rPr>
        <w:t xml:space="preserve">Accessible Emergency Information  </w:t>
      </w:r>
    </w:p>
    <w:p w:rsidR="003F4496" w:rsidRPr="00FF1FD9" w:rsidRDefault="003F4496" w:rsidP="00476E6F">
      <w:pPr>
        <w:keepNext/>
        <w:keepLines/>
        <w:suppressAutoHyphens/>
        <w:rPr>
          <w:sz w:val="22"/>
          <w:szCs w:val="22"/>
        </w:rPr>
      </w:pPr>
    </w:p>
    <w:p w:rsidR="003F4496" w:rsidRPr="007B4C23" w:rsidRDefault="003F4496" w:rsidP="00476E6F">
      <w:pPr>
        <w:shd w:val="clear" w:color="auto" w:fill="FFFFFF"/>
        <w:rPr>
          <w:sz w:val="22"/>
          <w:szCs w:val="22"/>
        </w:rPr>
      </w:pPr>
      <w:r w:rsidRPr="006C02D7">
        <w:rPr>
          <w:i/>
          <w:sz w:val="22"/>
          <w:szCs w:val="22"/>
        </w:rPr>
        <w:t xml:space="preserve">Accessible Emergency Information, and Apparatus Requirements for Emergency Information and Video Description:  Implementation of the Twenty-First Century Communications and Video Accessibility Act of 2010 , </w:t>
      </w:r>
      <w:r w:rsidRPr="009C79E5">
        <w:rPr>
          <w:sz w:val="22"/>
          <w:szCs w:val="22"/>
        </w:rPr>
        <w:t>MB 12-107, Notice of Proposed Rulemaking, FCC 12-142, 27 FCC Rcd 14728 (2012), (</w:t>
      </w:r>
      <w:r w:rsidRPr="009C79E5">
        <w:rPr>
          <w:i/>
          <w:sz w:val="22"/>
          <w:szCs w:val="22"/>
        </w:rPr>
        <w:t>Emergency Information and Video Description NPRM</w:t>
      </w:r>
      <w:r w:rsidRPr="009C79E5">
        <w:rPr>
          <w:sz w:val="22"/>
          <w:szCs w:val="22"/>
        </w:rPr>
        <w:t xml:space="preserve">), available at </w:t>
      </w:r>
      <w:hyperlink r:id="rId41" w:history="1">
        <w:r w:rsidRPr="007B4C23">
          <w:rPr>
            <w:rStyle w:val="Hyperlink"/>
            <w:sz w:val="22"/>
            <w:szCs w:val="22"/>
          </w:rPr>
          <w:t>https://apps.fcc.gov/edocs_public/attachmatch/FCC-12-142A1.pdf</w:t>
        </w:r>
      </w:hyperlink>
      <w:r w:rsidRPr="007B4C23">
        <w:rPr>
          <w:sz w:val="22"/>
          <w:szCs w:val="22"/>
        </w:rPr>
        <w:t xml:space="preserve">. </w:t>
      </w:r>
    </w:p>
    <w:p w:rsidR="003F4496" w:rsidRPr="005732A8" w:rsidRDefault="003F4496" w:rsidP="00476E6F">
      <w:pPr>
        <w:shd w:val="clear" w:color="auto" w:fill="FFFFFF"/>
        <w:rPr>
          <w:sz w:val="22"/>
          <w:szCs w:val="22"/>
        </w:rPr>
      </w:pPr>
    </w:p>
    <w:p w:rsidR="003F4496" w:rsidRPr="007B4C23" w:rsidRDefault="003F4496" w:rsidP="00476E6F">
      <w:pPr>
        <w:rPr>
          <w:color w:val="1F497D"/>
          <w:sz w:val="22"/>
          <w:szCs w:val="22"/>
        </w:rPr>
      </w:pPr>
      <w:r w:rsidRPr="009C79E5">
        <w:rPr>
          <w:i/>
          <w:spacing w:val="-2"/>
          <w:sz w:val="22"/>
          <w:szCs w:val="22"/>
        </w:rPr>
        <w:t>Accessible Emergency Information, and Apparatus Requirements for Emergency Information and Video Description:  Implementation of the Twenty-First Century Communications and Video Accessibility Act of 2010; Video Description:  Implementation of the Twenty-First Century Communications and Video Accessibility Act of 2010</w:t>
      </w:r>
      <w:r w:rsidRPr="00BF0859">
        <w:rPr>
          <w:spacing w:val="-2"/>
          <w:sz w:val="22"/>
          <w:szCs w:val="22"/>
        </w:rPr>
        <w:t xml:space="preserve">, </w:t>
      </w:r>
      <w:r w:rsidRPr="00BF0859">
        <w:rPr>
          <w:sz w:val="22"/>
          <w:szCs w:val="22"/>
        </w:rPr>
        <w:t>MB Docket Nos. 12-107 and 11-43, Report and Order and Further Notice of Proposed Rulemaking, FCC 13-45, 28 FCC Rcd 4871 (2013) (</w:t>
      </w:r>
      <w:r w:rsidRPr="00FF1FD9">
        <w:rPr>
          <w:i/>
          <w:sz w:val="22"/>
          <w:szCs w:val="22"/>
        </w:rPr>
        <w:t>Emergency Information and Video Description Order and FNPRM</w:t>
      </w:r>
      <w:r w:rsidRPr="00FF1FD9">
        <w:rPr>
          <w:sz w:val="22"/>
          <w:szCs w:val="22"/>
        </w:rPr>
        <w:t>), a</w:t>
      </w:r>
      <w:r w:rsidRPr="006C02D7">
        <w:rPr>
          <w:sz w:val="22"/>
          <w:szCs w:val="22"/>
        </w:rPr>
        <w:t xml:space="preserve">vailable at </w:t>
      </w:r>
      <w:hyperlink r:id="rId42" w:history="1">
        <w:r w:rsidRPr="007B4C23">
          <w:rPr>
            <w:rStyle w:val="Hyperlink1"/>
            <w:sz w:val="22"/>
            <w:szCs w:val="22"/>
          </w:rPr>
          <w:t>https://apps.fcc.gov/edocs_public/attachmatch/FCC-13-45A1.pdf</w:t>
        </w:r>
      </w:hyperlink>
      <w:r w:rsidRPr="007B4C23">
        <w:rPr>
          <w:color w:val="1F497D"/>
          <w:sz w:val="22"/>
          <w:szCs w:val="22"/>
        </w:rPr>
        <w:t xml:space="preserve">.  </w:t>
      </w:r>
    </w:p>
    <w:p w:rsidR="003F4496" w:rsidRPr="005732A8" w:rsidRDefault="003F4496" w:rsidP="00476E6F">
      <w:pPr>
        <w:keepNext/>
        <w:keepLines/>
        <w:suppressAutoHyphens/>
        <w:rPr>
          <w:sz w:val="22"/>
          <w:szCs w:val="22"/>
        </w:rPr>
      </w:pPr>
    </w:p>
    <w:p w:rsidR="003F4496" w:rsidRPr="00BF0859" w:rsidRDefault="003F4496" w:rsidP="00476E6F">
      <w:pPr>
        <w:suppressAutoHyphens/>
        <w:rPr>
          <w:b/>
          <w:i/>
          <w:sz w:val="22"/>
          <w:szCs w:val="22"/>
        </w:rPr>
      </w:pPr>
      <w:r w:rsidRPr="00BF0859">
        <w:rPr>
          <w:b/>
          <w:i/>
          <w:sz w:val="22"/>
          <w:szCs w:val="22"/>
        </w:rPr>
        <w:t>Closed Captioning on Video Programming Delivered Using Internet Protocol</w:t>
      </w:r>
    </w:p>
    <w:p w:rsidR="003F4496" w:rsidRPr="009C79E5" w:rsidRDefault="003F4496" w:rsidP="00476E6F">
      <w:pPr>
        <w:pStyle w:val="NormalWeb1"/>
        <w:shd w:val="clear" w:color="auto" w:fill="FFFFFF"/>
        <w:spacing w:before="0" w:after="0"/>
        <w:rPr>
          <w:color w:val="auto"/>
          <w:sz w:val="22"/>
          <w:szCs w:val="22"/>
        </w:rPr>
      </w:pPr>
    </w:p>
    <w:p w:rsidR="003F4496" w:rsidRPr="007B4C23" w:rsidRDefault="003F4496" w:rsidP="00476E6F">
      <w:pPr>
        <w:rPr>
          <w:sz w:val="22"/>
          <w:szCs w:val="22"/>
        </w:rPr>
      </w:pPr>
      <w:r w:rsidRPr="00BF0859">
        <w:rPr>
          <w:i/>
          <w:sz w:val="22"/>
          <w:szCs w:val="22"/>
        </w:rPr>
        <w:t>Closed Captioning of Internet Protocol-Delivered Video Programming: Implementation of the Twenty-First Century Communications and Video Accessibility Act of 2010</w:t>
      </w:r>
      <w:r w:rsidRPr="00FF1FD9">
        <w:rPr>
          <w:sz w:val="22"/>
          <w:szCs w:val="22"/>
        </w:rPr>
        <w:t>, MB Docket No. 11-154, Order on Reconsideration and Further Notice of Proposed Rulemaking, FCC 13-84, 28 FCC Rcd 8785 (2</w:t>
      </w:r>
      <w:r w:rsidRPr="006C02D7">
        <w:rPr>
          <w:sz w:val="22"/>
          <w:szCs w:val="22"/>
        </w:rPr>
        <w:t>013) (</w:t>
      </w:r>
      <w:r w:rsidRPr="006C02D7">
        <w:rPr>
          <w:i/>
          <w:sz w:val="22"/>
          <w:szCs w:val="22"/>
        </w:rPr>
        <w:t>Closed Captioning Order on Reconsideration and FNPRM</w:t>
      </w:r>
      <w:r w:rsidRPr="009C79E5">
        <w:rPr>
          <w:sz w:val="22"/>
          <w:szCs w:val="22"/>
        </w:rPr>
        <w:t xml:space="preserve">), available at </w:t>
      </w:r>
      <w:hyperlink r:id="rId43" w:history="1">
        <w:r w:rsidRPr="007B4C23">
          <w:rPr>
            <w:rStyle w:val="Hyperlink"/>
            <w:sz w:val="22"/>
            <w:szCs w:val="22"/>
          </w:rPr>
          <w:t>https://apps.fcc.gov/edocs_public/attachmatch/FCC-13-84A1.pdf</w:t>
        </w:r>
      </w:hyperlink>
      <w:r w:rsidRPr="007B4C23">
        <w:rPr>
          <w:sz w:val="22"/>
          <w:szCs w:val="22"/>
        </w:rPr>
        <w:t>.</w:t>
      </w:r>
    </w:p>
    <w:p w:rsidR="003F4496" w:rsidRPr="005732A8" w:rsidRDefault="003F4496" w:rsidP="00476E6F">
      <w:pPr>
        <w:rPr>
          <w:sz w:val="22"/>
          <w:szCs w:val="22"/>
        </w:rPr>
      </w:pPr>
    </w:p>
    <w:p w:rsidR="003F4496" w:rsidRPr="009C79E5" w:rsidRDefault="003F4496" w:rsidP="00476E6F">
      <w:pPr>
        <w:pStyle w:val="NormalWeb1"/>
        <w:shd w:val="clear" w:color="auto" w:fill="FFFFFF"/>
        <w:spacing w:before="0" w:after="0"/>
        <w:rPr>
          <w:spacing w:val="-2"/>
          <w:sz w:val="22"/>
          <w:szCs w:val="22"/>
        </w:rPr>
      </w:pPr>
      <w:r w:rsidRPr="009C79E5">
        <w:rPr>
          <w:i/>
          <w:color w:val="auto"/>
          <w:sz w:val="22"/>
          <w:szCs w:val="22"/>
          <w:shd w:val="clear" w:color="auto" w:fill="FFFFFF"/>
        </w:rPr>
        <w:t>Media Bureau Seeks Comment on Closed Captioning of Internet Clips</w:t>
      </w:r>
      <w:r w:rsidRPr="009C79E5">
        <w:rPr>
          <w:color w:val="auto"/>
          <w:sz w:val="22"/>
          <w:szCs w:val="22"/>
          <w:shd w:val="clear" w:color="auto" w:fill="FFFFFF"/>
        </w:rPr>
        <w:t>,</w:t>
      </w:r>
      <w:r w:rsidRPr="009C79E5">
        <w:rPr>
          <w:color w:val="auto"/>
          <w:sz w:val="22"/>
          <w:szCs w:val="22"/>
        </w:rPr>
        <w:t xml:space="preserve"> MB Docket No. 11-154, </w:t>
      </w:r>
      <w:r w:rsidRPr="009C79E5">
        <w:rPr>
          <w:color w:val="auto"/>
          <w:sz w:val="22"/>
          <w:szCs w:val="22"/>
          <w:shd w:val="clear" w:color="auto" w:fill="FFFFFF"/>
        </w:rPr>
        <w:t>Public Notice,</w:t>
      </w:r>
      <w:r w:rsidRPr="009C79E5">
        <w:rPr>
          <w:color w:val="auto"/>
          <w:spacing w:val="-2"/>
          <w:sz w:val="22"/>
          <w:szCs w:val="22"/>
        </w:rPr>
        <w:t xml:space="preserve"> </w:t>
      </w:r>
      <w:r w:rsidR="00476E6F" w:rsidRPr="009C79E5">
        <w:rPr>
          <w:color w:val="auto"/>
          <w:spacing w:val="-2"/>
          <w:sz w:val="22"/>
          <w:szCs w:val="22"/>
        </w:rPr>
        <w:t>DA 13-2392</w:t>
      </w:r>
      <w:r w:rsidRPr="009C79E5">
        <w:rPr>
          <w:color w:val="auto"/>
          <w:spacing w:val="-2"/>
          <w:sz w:val="22"/>
          <w:szCs w:val="22"/>
        </w:rPr>
        <w:t xml:space="preserve">, 28 FCC Rcd 16699 (MB 2013), available at </w:t>
      </w:r>
      <w:hyperlink r:id="rId44" w:history="1">
        <w:r w:rsidRPr="009C79E5">
          <w:rPr>
            <w:rStyle w:val="Hyperlink"/>
            <w:spacing w:val="-2"/>
            <w:sz w:val="22"/>
            <w:szCs w:val="22"/>
          </w:rPr>
          <w:t>https://apps.fcc.gov/edocs_public/attachmatch/DA-13-2392A1.pdf</w:t>
        </w:r>
      </w:hyperlink>
      <w:r w:rsidRPr="009C79E5">
        <w:rPr>
          <w:spacing w:val="-2"/>
          <w:sz w:val="22"/>
          <w:szCs w:val="22"/>
        </w:rPr>
        <w:t>.</w:t>
      </w:r>
    </w:p>
    <w:p w:rsidR="003F4496" w:rsidRPr="009C79E5" w:rsidRDefault="003F4496" w:rsidP="00476E6F">
      <w:pPr>
        <w:pStyle w:val="NormalWeb1"/>
        <w:shd w:val="clear" w:color="auto" w:fill="FFFFFF"/>
        <w:spacing w:before="0" w:after="0"/>
        <w:rPr>
          <w:spacing w:val="-2"/>
          <w:sz w:val="22"/>
          <w:szCs w:val="22"/>
        </w:rPr>
      </w:pPr>
    </w:p>
    <w:p w:rsidR="003F4496" w:rsidRPr="009C79E5" w:rsidRDefault="003F4496" w:rsidP="00476E6F">
      <w:pPr>
        <w:pStyle w:val="NormalWeb1"/>
        <w:shd w:val="clear" w:color="auto" w:fill="FFFFFF"/>
        <w:spacing w:before="0" w:after="0"/>
        <w:rPr>
          <w:spacing w:val="-2"/>
          <w:sz w:val="22"/>
          <w:szCs w:val="22"/>
        </w:rPr>
      </w:pPr>
      <w:r w:rsidRPr="00BF0859">
        <w:rPr>
          <w:bCs/>
          <w:i/>
          <w:color w:val="auto"/>
          <w:sz w:val="22"/>
          <w:szCs w:val="22"/>
          <w:shd w:val="clear" w:color="auto" w:fill="FFFFFF"/>
        </w:rPr>
        <w:t>Closed Captioning of Internet Protocol-Delivered Video Programming: Implementation of the Twenty-First Century Communications and Video Accessibility Act of 2010; Closed Captioning of Internet Protocol-Delivered Video Clips</w:t>
      </w:r>
      <w:r w:rsidRPr="00BF0859">
        <w:rPr>
          <w:color w:val="auto"/>
          <w:spacing w:val="-2"/>
          <w:sz w:val="22"/>
          <w:szCs w:val="22"/>
        </w:rPr>
        <w:t xml:space="preserve">, MB 11-154, Second </w:t>
      </w:r>
      <w:r w:rsidRPr="009C79E5">
        <w:rPr>
          <w:color w:val="auto"/>
          <w:spacing w:val="-2"/>
          <w:sz w:val="22"/>
          <w:szCs w:val="22"/>
        </w:rPr>
        <w:t xml:space="preserve">Order on Reconsideration and Second Further Notice of Proposed Rulemaking, </w:t>
      </w:r>
      <w:r w:rsidR="00476E6F" w:rsidRPr="00BF0859">
        <w:rPr>
          <w:color w:val="auto"/>
          <w:spacing w:val="-2"/>
          <w:sz w:val="22"/>
          <w:szCs w:val="22"/>
        </w:rPr>
        <w:t>FCC 14-97</w:t>
      </w:r>
      <w:r w:rsidRPr="009C79E5">
        <w:rPr>
          <w:color w:val="auto"/>
          <w:spacing w:val="-2"/>
          <w:sz w:val="22"/>
          <w:szCs w:val="22"/>
        </w:rPr>
        <w:t>, 29 FCC Rcd 8687 (2014) (</w:t>
      </w:r>
      <w:r w:rsidRPr="009C79E5">
        <w:rPr>
          <w:i/>
          <w:color w:val="auto"/>
          <w:spacing w:val="-2"/>
          <w:sz w:val="22"/>
          <w:szCs w:val="22"/>
        </w:rPr>
        <w:t>Video Clips Order</w:t>
      </w:r>
      <w:r w:rsidRPr="009C79E5">
        <w:rPr>
          <w:color w:val="auto"/>
          <w:spacing w:val="-2"/>
          <w:sz w:val="22"/>
          <w:szCs w:val="22"/>
        </w:rPr>
        <w:t xml:space="preserve">), available at </w:t>
      </w:r>
      <w:hyperlink r:id="rId45" w:history="1">
        <w:r w:rsidRPr="009C79E5">
          <w:rPr>
            <w:rStyle w:val="Hyperlink"/>
            <w:sz w:val="22"/>
            <w:szCs w:val="22"/>
          </w:rPr>
          <w:t>https://apps.fcc.gov/edocs_public/attachmatch/FCC-14-97A1.pdf</w:t>
        </w:r>
      </w:hyperlink>
      <w:r w:rsidRPr="009C79E5">
        <w:rPr>
          <w:spacing w:val="-2"/>
          <w:sz w:val="22"/>
          <w:szCs w:val="22"/>
        </w:rPr>
        <w:t>.</w:t>
      </w:r>
    </w:p>
    <w:p w:rsidR="003F4496" w:rsidRPr="009C79E5" w:rsidRDefault="003F4496" w:rsidP="00476E6F">
      <w:pPr>
        <w:pStyle w:val="NormalWeb1"/>
        <w:shd w:val="clear" w:color="auto" w:fill="FFFFFF"/>
        <w:spacing w:before="0" w:after="0"/>
        <w:rPr>
          <w:spacing w:val="-2"/>
          <w:sz w:val="22"/>
          <w:szCs w:val="22"/>
        </w:rPr>
      </w:pPr>
    </w:p>
    <w:p w:rsidR="003F4496" w:rsidRPr="00BF0859" w:rsidRDefault="003F4496" w:rsidP="00476E6F">
      <w:pPr>
        <w:suppressAutoHyphens/>
        <w:rPr>
          <w:b/>
          <w:i/>
          <w:sz w:val="22"/>
          <w:szCs w:val="22"/>
        </w:rPr>
      </w:pPr>
      <w:r w:rsidRPr="00BF0859">
        <w:rPr>
          <w:b/>
          <w:i/>
          <w:sz w:val="22"/>
          <w:szCs w:val="22"/>
        </w:rPr>
        <w:t>Exemptions Based on Economic Burden</w:t>
      </w:r>
    </w:p>
    <w:p w:rsidR="003F4496" w:rsidRPr="00FF1FD9" w:rsidRDefault="003F4496" w:rsidP="00476E6F">
      <w:pPr>
        <w:suppressAutoHyphens/>
        <w:rPr>
          <w:sz w:val="22"/>
          <w:szCs w:val="22"/>
        </w:rPr>
      </w:pPr>
    </w:p>
    <w:p w:rsidR="003F4496" w:rsidRPr="009C79E5" w:rsidRDefault="003F4496" w:rsidP="00476E6F">
      <w:pPr>
        <w:suppressAutoHyphens/>
        <w:rPr>
          <w:b/>
          <w:sz w:val="22"/>
          <w:szCs w:val="22"/>
        </w:rPr>
      </w:pPr>
      <w:r w:rsidRPr="006C02D7">
        <w:rPr>
          <w:b/>
          <w:sz w:val="22"/>
          <w:szCs w:val="22"/>
        </w:rPr>
        <w:t xml:space="preserve">Section 203.  Closed </w:t>
      </w:r>
      <w:r w:rsidR="007B4C23" w:rsidRPr="009C79E5">
        <w:rPr>
          <w:b/>
          <w:sz w:val="22"/>
          <w:szCs w:val="22"/>
        </w:rPr>
        <w:t>C</w:t>
      </w:r>
      <w:r w:rsidRPr="009C79E5">
        <w:rPr>
          <w:b/>
          <w:sz w:val="22"/>
          <w:szCs w:val="22"/>
        </w:rPr>
        <w:t xml:space="preserve">aptioning </w:t>
      </w:r>
      <w:r w:rsidR="007B4C23" w:rsidRPr="009C79E5">
        <w:rPr>
          <w:b/>
          <w:sz w:val="22"/>
          <w:szCs w:val="22"/>
        </w:rPr>
        <w:t>D</w:t>
      </w:r>
      <w:r w:rsidRPr="009C79E5">
        <w:rPr>
          <w:b/>
          <w:sz w:val="22"/>
          <w:szCs w:val="22"/>
        </w:rPr>
        <w:t xml:space="preserve">ecoder and </w:t>
      </w:r>
      <w:r w:rsidR="007B4C23" w:rsidRPr="009C79E5">
        <w:rPr>
          <w:b/>
          <w:sz w:val="22"/>
          <w:szCs w:val="22"/>
        </w:rPr>
        <w:t>V</w:t>
      </w:r>
      <w:r w:rsidRPr="009C79E5">
        <w:rPr>
          <w:b/>
          <w:sz w:val="22"/>
          <w:szCs w:val="22"/>
        </w:rPr>
        <w:t xml:space="preserve">ideo </w:t>
      </w:r>
      <w:r w:rsidR="007B4C23" w:rsidRPr="009C79E5">
        <w:rPr>
          <w:b/>
          <w:sz w:val="22"/>
          <w:szCs w:val="22"/>
        </w:rPr>
        <w:t>D</w:t>
      </w:r>
      <w:r w:rsidRPr="009C79E5">
        <w:rPr>
          <w:b/>
          <w:sz w:val="22"/>
          <w:szCs w:val="22"/>
        </w:rPr>
        <w:t xml:space="preserve">escription </w:t>
      </w:r>
      <w:r w:rsidR="007B4C23" w:rsidRPr="009C79E5">
        <w:rPr>
          <w:b/>
          <w:sz w:val="22"/>
          <w:szCs w:val="22"/>
        </w:rPr>
        <w:t>C</w:t>
      </w:r>
      <w:r w:rsidRPr="009C79E5">
        <w:rPr>
          <w:b/>
          <w:sz w:val="22"/>
          <w:szCs w:val="22"/>
        </w:rPr>
        <w:t>apability</w:t>
      </w:r>
    </w:p>
    <w:p w:rsidR="003F4496" w:rsidRPr="009C79E5" w:rsidRDefault="003F4496" w:rsidP="00476E6F">
      <w:pPr>
        <w:suppressAutoHyphens/>
        <w:rPr>
          <w:sz w:val="22"/>
          <w:szCs w:val="22"/>
        </w:rPr>
      </w:pPr>
    </w:p>
    <w:p w:rsidR="003F4496" w:rsidRPr="009C79E5" w:rsidRDefault="003F4496" w:rsidP="00476E6F">
      <w:pPr>
        <w:suppressAutoHyphens/>
        <w:rPr>
          <w:b/>
          <w:i/>
          <w:sz w:val="22"/>
          <w:szCs w:val="22"/>
        </w:rPr>
      </w:pPr>
      <w:r w:rsidRPr="009C79E5">
        <w:rPr>
          <w:b/>
          <w:i/>
          <w:sz w:val="22"/>
          <w:szCs w:val="22"/>
        </w:rPr>
        <w:t>Apparatus – Closed Captioning Requirements</w:t>
      </w:r>
    </w:p>
    <w:p w:rsidR="003F4496" w:rsidRPr="009C79E5" w:rsidRDefault="003F4496" w:rsidP="00476E6F">
      <w:pPr>
        <w:suppressAutoHyphens/>
        <w:rPr>
          <w:sz w:val="22"/>
          <w:szCs w:val="22"/>
        </w:rPr>
      </w:pPr>
    </w:p>
    <w:p w:rsidR="003F4496" w:rsidRPr="007B4C23" w:rsidRDefault="003F4496" w:rsidP="00476E6F">
      <w:pPr>
        <w:suppressAutoHyphens/>
        <w:rPr>
          <w:sz w:val="22"/>
          <w:szCs w:val="22"/>
        </w:rPr>
      </w:pPr>
      <w:r w:rsidRPr="009C79E5">
        <w:rPr>
          <w:i/>
          <w:sz w:val="22"/>
          <w:szCs w:val="22"/>
        </w:rPr>
        <w:t>Closed Captioning of Internet Protocol-Delivered Video Programming: Implementation of the Twenty-First Century Communications and Video Accessibility Act of 2010</w:t>
      </w:r>
      <w:r w:rsidRPr="009C79E5">
        <w:rPr>
          <w:sz w:val="22"/>
          <w:szCs w:val="22"/>
        </w:rPr>
        <w:t xml:space="preserve">, MB Docket No. 11-154, </w:t>
      </w:r>
      <w:r w:rsidRPr="009C79E5">
        <w:rPr>
          <w:spacing w:val="-2"/>
          <w:sz w:val="22"/>
          <w:szCs w:val="22"/>
        </w:rPr>
        <w:t xml:space="preserve">Order on Reconsideration and Further Notice of Proposed Rulemaking, </w:t>
      </w:r>
      <w:r w:rsidR="00476E6F" w:rsidRPr="009C79E5">
        <w:rPr>
          <w:spacing w:val="-2"/>
          <w:sz w:val="22"/>
          <w:szCs w:val="22"/>
        </w:rPr>
        <w:t>FCC 13-84</w:t>
      </w:r>
      <w:r w:rsidRPr="009C79E5">
        <w:rPr>
          <w:spacing w:val="-2"/>
          <w:sz w:val="22"/>
          <w:szCs w:val="22"/>
        </w:rPr>
        <w:t>, 28 FCC Rcd 8785 (2013)</w:t>
      </w:r>
      <w:r w:rsidRPr="009C79E5">
        <w:rPr>
          <w:sz w:val="22"/>
          <w:szCs w:val="22"/>
        </w:rPr>
        <w:t xml:space="preserve"> (</w:t>
      </w:r>
      <w:r w:rsidRPr="009C79E5">
        <w:rPr>
          <w:i/>
          <w:sz w:val="22"/>
          <w:szCs w:val="22"/>
        </w:rPr>
        <w:t>Closed Captioning Order on Reconsideration and FNPRM</w:t>
      </w:r>
      <w:r w:rsidRPr="009C79E5">
        <w:rPr>
          <w:sz w:val="22"/>
          <w:szCs w:val="22"/>
        </w:rPr>
        <w:t>)</w:t>
      </w:r>
      <w:r w:rsidRPr="009C79E5">
        <w:rPr>
          <w:spacing w:val="-2"/>
          <w:sz w:val="22"/>
          <w:szCs w:val="22"/>
        </w:rPr>
        <w:t xml:space="preserve">, available at </w:t>
      </w:r>
      <w:hyperlink r:id="rId46" w:history="1">
        <w:r w:rsidRPr="007B4C23">
          <w:rPr>
            <w:rStyle w:val="Hyperlink1"/>
            <w:sz w:val="22"/>
            <w:szCs w:val="22"/>
          </w:rPr>
          <w:t>https://apps.fcc.gov/edocs_public/attachmatch/FCC-13-84A1.pdf</w:t>
        </w:r>
      </w:hyperlink>
      <w:r w:rsidRPr="007B4C23">
        <w:rPr>
          <w:rStyle w:val="Hyperlink1"/>
          <w:sz w:val="22"/>
          <w:szCs w:val="22"/>
        </w:rPr>
        <w:t>.</w:t>
      </w:r>
    </w:p>
    <w:p w:rsidR="003F4496" w:rsidRPr="005732A8" w:rsidRDefault="003F4496" w:rsidP="00476E6F">
      <w:pPr>
        <w:suppressAutoHyphens/>
        <w:rPr>
          <w:sz w:val="22"/>
          <w:szCs w:val="22"/>
        </w:rPr>
      </w:pPr>
    </w:p>
    <w:p w:rsidR="003F4496" w:rsidRPr="00BF0859" w:rsidRDefault="003F4496" w:rsidP="00476E6F">
      <w:pPr>
        <w:suppressAutoHyphens/>
        <w:rPr>
          <w:b/>
          <w:sz w:val="22"/>
          <w:szCs w:val="22"/>
        </w:rPr>
      </w:pPr>
      <w:r w:rsidRPr="00BF0859">
        <w:rPr>
          <w:b/>
          <w:i/>
          <w:sz w:val="22"/>
          <w:szCs w:val="22"/>
        </w:rPr>
        <w:t>Apparatus – Video Description and Emergency Information Requirements</w:t>
      </w:r>
    </w:p>
    <w:p w:rsidR="003F4496" w:rsidRPr="00FF1FD9" w:rsidRDefault="003F4496" w:rsidP="00476E6F">
      <w:pPr>
        <w:suppressAutoHyphens/>
        <w:rPr>
          <w:sz w:val="22"/>
          <w:szCs w:val="22"/>
        </w:rPr>
      </w:pPr>
    </w:p>
    <w:p w:rsidR="003F4496" w:rsidRPr="007B4C23" w:rsidRDefault="003F4496" w:rsidP="00476E6F">
      <w:pPr>
        <w:rPr>
          <w:sz w:val="22"/>
          <w:szCs w:val="22"/>
        </w:rPr>
      </w:pPr>
      <w:r w:rsidRPr="006C02D7">
        <w:rPr>
          <w:i/>
          <w:sz w:val="22"/>
          <w:szCs w:val="22"/>
        </w:rPr>
        <w:t>Accessible Emergency Information, and Apparatus Requirements for Emergency Information and Video Description:  Implementation of the Twenty-First Century Communications and Video Accessibility Act of 2010</w:t>
      </w:r>
      <w:r w:rsidRPr="009C79E5">
        <w:rPr>
          <w:sz w:val="22"/>
          <w:szCs w:val="22"/>
        </w:rPr>
        <w:t>, MB Docket No. 12-107, Notice of Proposed Rulemaking, FCC 12-142, 27 FCC Rcd 14728 (2012) (</w:t>
      </w:r>
      <w:r w:rsidRPr="009C79E5">
        <w:rPr>
          <w:i/>
          <w:sz w:val="22"/>
          <w:szCs w:val="22"/>
        </w:rPr>
        <w:t>Emergency Information and Video Description NPRM</w:t>
      </w:r>
      <w:r w:rsidRPr="009C79E5">
        <w:rPr>
          <w:sz w:val="22"/>
          <w:szCs w:val="22"/>
        </w:rPr>
        <w:t xml:space="preserve">), available at </w:t>
      </w:r>
      <w:hyperlink r:id="rId47" w:history="1">
        <w:r w:rsidRPr="007B4C23">
          <w:rPr>
            <w:rStyle w:val="Hyperlink"/>
            <w:sz w:val="22"/>
            <w:szCs w:val="22"/>
          </w:rPr>
          <w:t>https://apps.fcc.gov/edocs_public/attachmatch/FCC-12-142A1.pdf</w:t>
        </w:r>
      </w:hyperlink>
      <w:r w:rsidRPr="007B4C23">
        <w:rPr>
          <w:sz w:val="22"/>
          <w:szCs w:val="22"/>
        </w:rPr>
        <w:t xml:space="preserve">.  </w:t>
      </w:r>
    </w:p>
    <w:p w:rsidR="003F4496" w:rsidRPr="005732A8" w:rsidRDefault="003F4496" w:rsidP="00476E6F">
      <w:pPr>
        <w:rPr>
          <w:color w:val="000000"/>
          <w:spacing w:val="-2"/>
          <w:sz w:val="22"/>
          <w:szCs w:val="22"/>
        </w:rPr>
      </w:pPr>
    </w:p>
    <w:p w:rsidR="003F4496" w:rsidRPr="007B4C23" w:rsidRDefault="003F4496" w:rsidP="00476E6F">
      <w:pPr>
        <w:keepNext/>
        <w:keepLines/>
        <w:suppressAutoHyphens/>
        <w:rPr>
          <w:sz w:val="22"/>
          <w:szCs w:val="22"/>
        </w:rPr>
      </w:pPr>
      <w:r w:rsidRPr="00BF0859">
        <w:rPr>
          <w:i/>
          <w:sz w:val="22"/>
          <w:szCs w:val="22"/>
        </w:rPr>
        <w:t>Accessible Emergency Information, and Apparatus Requirements for Emergency Information and Video Description:  Implementation of the Twenty-First Century Communications and Video Accessibility Act of 2010; Video Description:  Implementation of the Twenty-First Century Communicati</w:t>
      </w:r>
      <w:r w:rsidRPr="00FF1FD9">
        <w:rPr>
          <w:i/>
          <w:sz w:val="22"/>
          <w:szCs w:val="22"/>
        </w:rPr>
        <w:t>o</w:t>
      </w:r>
      <w:r w:rsidRPr="006C02D7">
        <w:rPr>
          <w:i/>
          <w:sz w:val="22"/>
          <w:szCs w:val="22"/>
        </w:rPr>
        <w:t>ns and Video Accessibility Act of 2010</w:t>
      </w:r>
      <w:r w:rsidRPr="009C79E5">
        <w:rPr>
          <w:sz w:val="22"/>
          <w:szCs w:val="22"/>
        </w:rPr>
        <w:t>, MB Docket Nos. 12-107 and 11-43, Report and Order and Further Notice of Proposed Rulemaking, FCC 13-45, 28 FCC Rcd 4871 (2013) (</w:t>
      </w:r>
      <w:r w:rsidRPr="009C79E5">
        <w:rPr>
          <w:i/>
          <w:sz w:val="22"/>
          <w:szCs w:val="22"/>
        </w:rPr>
        <w:t>Emergency Information and Video Description Order and FNPRM</w:t>
      </w:r>
      <w:r w:rsidRPr="009C79E5">
        <w:rPr>
          <w:sz w:val="22"/>
          <w:szCs w:val="22"/>
        </w:rPr>
        <w:t xml:space="preserve">), available at </w:t>
      </w:r>
      <w:hyperlink r:id="rId48" w:history="1">
        <w:r w:rsidRPr="007B4C23">
          <w:rPr>
            <w:rStyle w:val="Hyperlink"/>
            <w:sz w:val="22"/>
            <w:szCs w:val="22"/>
          </w:rPr>
          <w:t>https://apps.fcc.gov/edocs_public/attachmatch/FCC-13-45A1.pdf</w:t>
        </w:r>
      </w:hyperlink>
      <w:r w:rsidRPr="007B4C23">
        <w:rPr>
          <w:sz w:val="22"/>
          <w:szCs w:val="22"/>
        </w:rPr>
        <w:t>. </w:t>
      </w:r>
    </w:p>
    <w:p w:rsidR="003F4496" w:rsidRPr="005732A8" w:rsidRDefault="003F4496" w:rsidP="00476E6F">
      <w:pPr>
        <w:keepNext/>
        <w:keepLines/>
        <w:suppressAutoHyphens/>
        <w:rPr>
          <w:sz w:val="22"/>
          <w:szCs w:val="22"/>
        </w:rPr>
      </w:pPr>
    </w:p>
    <w:p w:rsidR="003F4496" w:rsidRPr="007B4C23" w:rsidRDefault="003F4496" w:rsidP="00476E6F">
      <w:pPr>
        <w:keepNext/>
        <w:keepLines/>
        <w:suppressAutoHyphens/>
        <w:rPr>
          <w:sz w:val="22"/>
          <w:szCs w:val="22"/>
        </w:rPr>
      </w:pPr>
      <w:r w:rsidRPr="00BF0859">
        <w:rPr>
          <w:i/>
          <w:kern w:val="28"/>
          <w:sz w:val="22"/>
          <w:szCs w:val="22"/>
        </w:rPr>
        <w:t xml:space="preserve">Accessibility of User Interfaces, and Video Programming Guides and Menus; </w:t>
      </w:r>
      <w:r w:rsidRPr="00BF0859">
        <w:rPr>
          <w:i/>
          <w:spacing w:val="-2"/>
          <w:sz w:val="22"/>
          <w:szCs w:val="22"/>
        </w:rPr>
        <w:t>Accessible Emergency Information, and Apparatus Req</w:t>
      </w:r>
      <w:r w:rsidRPr="00FF1FD9">
        <w:rPr>
          <w:i/>
          <w:spacing w:val="-2"/>
          <w:sz w:val="22"/>
          <w:szCs w:val="22"/>
        </w:rPr>
        <w:t>u</w:t>
      </w:r>
      <w:r w:rsidRPr="006C02D7">
        <w:rPr>
          <w:i/>
          <w:spacing w:val="-2"/>
          <w:sz w:val="22"/>
          <w:szCs w:val="22"/>
        </w:rPr>
        <w:t>irements for Emergency Information and Video Description:  Implementation of the Twenty-First Century Communications and Video Accessibility Act of 2010</w:t>
      </w:r>
      <w:r w:rsidRPr="009C79E5">
        <w:rPr>
          <w:spacing w:val="-2"/>
          <w:sz w:val="22"/>
          <w:szCs w:val="22"/>
        </w:rPr>
        <w:t xml:space="preserve">,  </w:t>
      </w:r>
      <w:r w:rsidRPr="009C79E5">
        <w:rPr>
          <w:sz w:val="22"/>
          <w:szCs w:val="22"/>
        </w:rPr>
        <w:t>MB Docket Nos. 12-108 and 12-107, Report and Order and Further Notice of Proposed Rulemaking, FCC 13-138, 28 FCC Rcd 17330 (2013) (</w:t>
      </w:r>
      <w:r w:rsidRPr="009C79E5">
        <w:rPr>
          <w:i/>
          <w:sz w:val="22"/>
          <w:szCs w:val="22"/>
        </w:rPr>
        <w:t>User Interfaces, Programming Guides and Menus Order and FNPRM</w:t>
      </w:r>
      <w:r w:rsidRPr="009C79E5">
        <w:rPr>
          <w:sz w:val="22"/>
          <w:szCs w:val="22"/>
        </w:rPr>
        <w:t xml:space="preserve">) (seeking additional comment on whether to require access to the secondary audio stream used for audible emergency information by a mechanism that is reasonably comparable to a button, key, or icon), available at </w:t>
      </w:r>
      <w:hyperlink r:id="rId49" w:history="1">
        <w:r w:rsidRPr="007B4C23">
          <w:rPr>
            <w:rStyle w:val="Hyperlink"/>
            <w:sz w:val="22"/>
            <w:szCs w:val="22"/>
          </w:rPr>
          <w:t>https://apps.fcc.gov/edocs_public/attachmatch/FCC-13-138A1.pdf</w:t>
        </w:r>
      </w:hyperlink>
      <w:r w:rsidRPr="007B4C23">
        <w:rPr>
          <w:sz w:val="22"/>
          <w:szCs w:val="22"/>
        </w:rPr>
        <w:t xml:space="preserve">.  </w:t>
      </w:r>
    </w:p>
    <w:p w:rsidR="003F4496" w:rsidRPr="005732A8" w:rsidRDefault="003F4496" w:rsidP="00476E6F">
      <w:pPr>
        <w:keepNext/>
        <w:keepLines/>
        <w:suppressAutoHyphens/>
        <w:rPr>
          <w:sz w:val="22"/>
          <w:szCs w:val="22"/>
        </w:rPr>
      </w:pPr>
    </w:p>
    <w:p w:rsidR="003F4496" w:rsidRPr="009C79E5" w:rsidRDefault="003F4496" w:rsidP="00476E6F">
      <w:pPr>
        <w:suppressAutoHyphens/>
        <w:rPr>
          <w:b/>
          <w:sz w:val="22"/>
          <w:szCs w:val="22"/>
        </w:rPr>
      </w:pPr>
      <w:r w:rsidRPr="00BF0859">
        <w:rPr>
          <w:b/>
          <w:sz w:val="22"/>
          <w:szCs w:val="22"/>
        </w:rPr>
        <w:t xml:space="preserve">Section 204.  User </w:t>
      </w:r>
      <w:r w:rsidR="007B4C23" w:rsidRPr="00FF1FD9">
        <w:rPr>
          <w:b/>
          <w:sz w:val="22"/>
          <w:szCs w:val="22"/>
        </w:rPr>
        <w:t>I</w:t>
      </w:r>
      <w:r w:rsidRPr="006C02D7">
        <w:rPr>
          <w:b/>
          <w:sz w:val="22"/>
          <w:szCs w:val="22"/>
        </w:rPr>
        <w:t xml:space="preserve">nterfaces on </w:t>
      </w:r>
      <w:r w:rsidR="007B4C23" w:rsidRPr="009C79E5">
        <w:rPr>
          <w:b/>
          <w:sz w:val="22"/>
          <w:szCs w:val="22"/>
        </w:rPr>
        <w:t>D</w:t>
      </w:r>
      <w:r w:rsidRPr="009C79E5">
        <w:rPr>
          <w:b/>
          <w:sz w:val="22"/>
          <w:szCs w:val="22"/>
        </w:rPr>
        <w:t xml:space="preserve">igital </w:t>
      </w:r>
      <w:r w:rsidR="007B4C23" w:rsidRPr="009C79E5">
        <w:rPr>
          <w:b/>
          <w:sz w:val="22"/>
          <w:szCs w:val="22"/>
        </w:rPr>
        <w:t>A</w:t>
      </w:r>
      <w:r w:rsidRPr="009C79E5">
        <w:rPr>
          <w:b/>
          <w:sz w:val="22"/>
          <w:szCs w:val="22"/>
        </w:rPr>
        <w:t>pparatus</w:t>
      </w:r>
    </w:p>
    <w:p w:rsidR="003F4496" w:rsidRPr="009C79E5" w:rsidRDefault="003F4496" w:rsidP="00476E6F">
      <w:pPr>
        <w:suppressAutoHyphens/>
        <w:rPr>
          <w:sz w:val="22"/>
          <w:szCs w:val="22"/>
        </w:rPr>
      </w:pPr>
    </w:p>
    <w:p w:rsidR="003F4496" w:rsidRPr="009C79E5" w:rsidRDefault="003F4496" w:rsidP="00476E6F">
      <w:pPr>
        <w:pStyle w:val="FootnoteText1"/>
        <w:rPr>
          <w:rFonts w:ascii="Times New Roman" w:hAnsi="Times New Roman"/>
          <w:sz w:val="22"/>
          <w:szCs w:val="22"/>
        </w:rPr>
      </w:pPr>
      <w:r w:rsidRPr="009C79E5">
        <w:rPr>
          <w:rFonts w:ascii="Times New Roman" w:hAnsi="Times New Roman"/>
          <w:i/>
          <w:color w:val="auto"/>
          <w:sz w:val="22"/>
          <w:szCs w:val="22"/>
        </w:rPr>
        <w:t>Accessibility of User Interfaces, and Video Programming Guides and Menus</w:t>
      </w:r>
      <w:r w:rsidRPr="009C79E5">
        <w:rPr>
          <w:rFonts w:ascii="Times New Roman" w:hAnsi="Times New Roman"/>
          <w:color w:val="auto"/>
          <w:sz w:val="22"/>
          <w:szCs w:val="22"/>
        </w:rPr>
        <w:t xml:space="preserve">, MB Docket No. 12-108, Notice of Proposed Rulemaking, FCC 13-77, 28 FCC Rcd 8506, (2013), available at </w:t>
      </w:r>
      <w:hyperlink r:id="rId50" w:history="1">
        <w:r w:rsidRPr="009C79E5">
          <w:rPr>
            <w:rStyle w:val="Hyperlink"/>
            <w:rFonts w:ascii="Times New Roman" w:hAnsi="Times New Roman"/>
            <w:sz w:val="22"/>
            <w:szCs w:val="22"/>
          </w:rPr>
          <w:t>https://apps.fcc.gov/edocs_public/attachmatch/FCC-13-77A1.pdf</w:t>
        </w:r>
      </w:hyperlink>
      <w:r w:rsidRPr="009C79E5">
        <w:rPr>
          <w:rFonts w:ascii="Times New Roman" w:hAnsi="Times New Roman"/>
          <w:sz w:val="22"/>
          <w:szCs w:val="22"/>
        </w:rPr>
        <w:t xml:space="preserve">.  </w:t>
      </w:r>
    </w:p>
    <w:p w:rsidR="003F4496" w:rsidRPr="009C79E5" w:rsidRDefault="003F4496" w:rsidP="00476E6F">
      <w:pPr>
        <w:pStyle w:val="FootnoteText1"/>
        <w:rPr>
          <w:rFonts w:ascii="Times New Roman" w:hAnsi="Times New Roman"/>
          <w:sz w:val="22"/>
          <w:szCs w:val="22"/>
        </w:rPr>
      </w:pPr>
    </w:p>
    <w:p w:rsidR="003F4496" w:rsidRPr="007B4C23" w:rsidRDefault="003F4496" w:rsidP="00476E6F">
      <w:pPr>
        <w:keepNext/>
        <w:keepLines/>
        <w:suppressAutoHyphens/>
        <w:rPr>
          <w:rFonts w:eastAsia="ヒラギノ角ゴ Pro W3"/>
          <w:sz w:val="22"/>
          <w:szCs w:val="22"/>
        </w:rPr>
      </w:pPr>
      <w:r w:rsidRPr="00BF0859">
        <w:rPr>
          <w:i/>
          <w:kern w:val="28"/>
          <w:sz w:val="22"/>
          <w:szCs w:val="22"/>
        </w:rPr>
        <w:t xml:space="preserve">Accessibility of User Interfaces, and Video Programming Guides and Menus; </w:t>
      </w:r>
      <w:r w:rsidRPr="00BF0859">
        <w:rPr>
          <w:i/>
          <w:spacing w:val="-2"/>
          <w:sz w:val="22"/>
          <w:szCs w:val="22"/>
        </w:rPr>
        <w:t>Accessible Emergency Information, and Apparatus Requirements for Emergency Information and Video Description:  Implementat</w:t>
      </w:r>
      <w:r w:rsidRPr="00FF1FD9">
        <w:rPr>
          <w:i/>
          <w:spacing w:val="-2"/>
          <w:sz w:val="22"/>
          <w:szCs w:val="22"/>
        </w:rPr>
        <w:t>ion of the Twenty-First Century Communications and Video Accessibility Act of 2010</w:t>
      </w:r>
      <w:r w:rsidRPr="006C02D7">
        <w:rPr>
          <w:spacing w:val="-2"/>
          <w:sz w:val="22"/>
          <w:szCs w:val="22"/>
        </w:rPr>
        <w:t xml:space="preserve">,  </w:t>
      </w:r>
      <w:r w:rsidRPr="006C02D7">
        <w:rPr>
          <w:sz w:val="22"/>
          <w:szCs w:val="22"/>
        </w:rPr>
        <w:t>MB Docket Nos. 12-108 and 12-107, Report and Order and Further Notice of Proposed Rulemaking, FCC 13-138, 28 FCC Rcd 17330 (2013) (</w:t>
      </w:r>
      <w:r w:rsidRPr="009C79E5">
        <w:rPr>
          <w:i/>
          <w:sz w:val="22"/>
          <w:szCs w:val="22"/>
        </w:rPr>
        <w:t>User Interfaces, Programming Guides and Menus Order and FNPRM</w:t>
      </w:r>
      <w:r w:rsidRPr="009C79E5">
        <w:rPr>
          <w:sz w:val="22"/>
          <w:szCs w:val="22"/>
        </w:rPr>
        <w:t>), available at</w:t>
      </w:r>
      <w:r w:rsidRPr="00BF0859">
        <w:rPr>
          <w:sz w:val="22"/>
          <w:szCs w:val="22"/>
        </w:rPr>
        <w:t xml:space="preserve"> </w:t>
      </w:r>
      <w:hyperlink r:id="rId51" w:history="1">
        <w:r w:rsidRPr="007B4C23">
          <w:rPr>
            <w:rStyle w:val="Hyperlink"/>
            <w:sz w:val="22"/>
            <w:szCs w:val="22"/>
          </w:rPr>
          <w:t>https://apps.fcc.gov/edocs_public/attachmatch/FCC-13-138A1.pdf</w:t>
        </w:r>
      </w:hyperlink>
      <w:r w:rsidRPr="007B4C23">
        <w:rPr>
          <w:sz w:val="22"/>
          <w:szCs w:val="22"/>
        </w:rPr>
        <w:t xml:space="preserve">.  </w:t>
      </w:r>
    </w:p>
    <w:p w:rsidR="003F4496" w:rsidRPr="005732A8" w:rsidRDefault="003F4496" w:rsidP="00476E6F">
      <w:pPr>
        <w:suppressAutoHyphens/>
        <w:rPr>
          <w:rFonts w:eastAsia="ヒラギノ角ゴ Pro W3"/>
          <w:sz w:val="22"/>
          <w:szCs w:val="22"/>
        </w:rPr>
      </w:pPr>
    </w:p>
    <w:p w:rsidR="003F4496" w:rsidRPr="009C79E5" w:rsidRDefault="003F4496" w:rsidP="00476E6F">
      <w:pPr>
        <w:suppressAutoHyphens/>
        <w:rPr>
          <w:b/>
          <w:sz w:val="22"/>
          <w:szCs w:val="22"/>
        </w:rPr>
      </w:pPr>
      <w:r w:rsidRPr="00BF0859">
        <w:rPr>
          <w:b/>
          <w:sz w:val="22"/>
          <w:szCs w:val="22"/>
        </w:rPr>
        <w:t xml:space="preserve">Section 205.  Access to </w:t>
      </w:r>
      <w:r w:rsidR="007B4C23" w:rsidRPr="00BF0859">
        <w:rPr>
          <w:b/>
          <w:sz w:val="22"/>
          <w:szCs w:val="22"/>
        </w:rPr>
        <w:t>V</w:t>
      </w:r>
      <w:r w:rsidRPr="00FF1FD9">
        <w:rPr>
          <w:b/>
          <w:sz w:val="22"/>
          <w:szCs w:val="22"/>
        </w:rPr>
        <w:t xml:space="preserve">ideo </w:t>
      </w:r>
      <w:r w:rsidR="007B4C23" w:rsidRPr="006C02D7">
        <w:rPr>
          <w:b/>
          <w:sz w:val="22"/>
          <w:szCs w:val="22"/>
        </w:rPr>
        <w:t>P</w:t>
      </w:r>
      <w:r w:rsidRPr="009C79E5">
        <w:rPr>
          <w:b/>
          <w:sz w:val="22"/>
          <w:szCs w:val="22"/>
        </w:rPr>
        <w:t xml:space="preserve">rogramming </w:t>
      </w:r>
      <w:r w:rsidR="007B4C23" w:rsidRPr="009C79E5">
        <w:rPr>
          <w:b/>
          <w:sz w:val="22"/>
          <w:szCs w:val="22"/>
        </w:rPr>
        <w:t>G</w:t>
      </w:r>
      <w:r w:rsidRPr="009C79E5">
        <w:rPr>
          <w:b/>
          <w:sz w:val="22"/>
          <w:szCs w:val="22"/>
        </w:rPr>
        <w:t xml:space="preserve">uides and </w:t>
      </w:r>
      <w:r w:rsidR="007B4C23" w:rsidRPr="009C79E5">
        <w:rPr>
          <w:b/>
          <w:sz w:val="22"/>
          <w:szCs w:val="22"/>
        </w:rPr>
        <w:t>M</w:t>
      </w:r>
      <w:r w:rsidRPr="009C79E5">
        <w:rPr>
          <w:b/>
          <w:sz w:val="22"/>
          <w:szCs w:val="22"/>
        </w:rPr>
        <w:t xml:space="preserve">enus </w:t>
      </w:r>
      <w:r w:rsidR="007B4C23" w:rsidRPr="009C79E5">
        <w:rPr>
          <w:b/>
          <w:sz w:val="22"/>
          <w:szCs w:val="22"/>
        </w:rPr>
        <w:t>P</w:t>
      </w:r>
      <w:r w:rsidRPr="009C79E5">
        <w:rPr>
          <w:b/>
          <w:sz w:val="22"/>
          <w:szCs w:val="22"/>
        </w:rPr>
        <w:t xml:space="preserve">rovided on </w:t>
      </w:r>
      <w:r w:rsidR="007B4C23" w:rsidRPr="009C79E5">
        <w:rPr>
          <w:b/>
          <w:sz w:val="22"/>
          <w:szCs w:val="22"/>
        </w:rPr>
        <w:t>N</w:t>
      </w:r>
      <w:r w:rsidRPr="009C79E5">
        <w:rPr>
          <w:b/>
          <w:sz w:val="22"/>
          <w:szCs w:val="22"/>
        </w:rPr>
        <w:t xml:space="preserve">avigation </w:t>
      </w:r>
      <w:r w:rsidR="007B4C23" w:rsidRPr="009C79E5">
        <w:rPr>
          <w:b/>
          <w:sz w:val="22"/>
          <w:szCs w:val="22"/>
        </w:rPr>
        <w:t>D</w:t>
      </w:r>
      <w:r w:rsidRPr="009C79E5">
        <w:rPr>
          <w:b/>
          <w:sz w:val="22"/>
          <w:szCs w:val="22"/>
        </w:rPr>
        <w:t>evices</w:t>
      </w:r>
    </w:p>
    <w:p w:rsidR="003F4496" w:rsidRPr="009C79E5" w:rsidRDefault="003F4496" w:rsidP="00476E6F">
      <w:pPr>
        <w:suppressAutoHyphens/>
        <w:rPr>
          <w:sz w:val="22"/>
          <w:szCs w:val="22"/>
        </w:rPr>
      </w:pPr>
    </w:p>
    <w:p w:rsidR="003F4496" w:rsidRPr="009C79E5" w:rsidRDefault="003F4496" w:rsidP="00476E6F">
      <w:pPr>
        <w:pStyle w:val="FootnoteText1"/>
        <w:rPr>
          <w:rFonts w:ascii="Times New Roman" w:hAnsi="Times New Roman"/>
          <w:sz w:val="22"/>
          <w:szCs w:val="22"/>
        </w:rPr>
      </w:pPr>
      <w:r w:rsidRPr="009C79E5">
        <w:rPr>
          <w:rFonts w:ascii="Times New Roman" w:hAnsi="Times New Roman"/>
          <w:i/>
          <w:color w:val="auto"/>
          <w:sz w:val="22"/>
          <w:szCs w:val="22"/>
        </w:rPr>
        <w:t>Accessibility of User Interfaces, and Video Programming Guides and Menus</w:t>
      </w:r>
      <w:r w:rsidRPr="009C79E5">
        <w:rPr>
          <w:rFonts w:ascii="Times New Roman" w:hAnsi="Times New Roman"/>
          <w:color w:val="auto"/>
          <w:sz w:val="22"/>
          <w:szCs w:val="22"/>
        </w:rPr>
        <w:t xml:space="preserve">, MB Docket No. 12-108, Notice of Proposed Rulemaking, FCC 13-77, 28 FCC Rcd 8506, (2013), available at </w:t>
      </w:r>
      <w:hyperlink r:id="rId52" w:history="1">
        <w:r w:rsidRPr="009C79E5">
          <w:rPr>
            <w:rStyle w:val="Hyperlink"/>
            <w:rFonts w:ascii="Times New Roman" w:hAnsi="Times New Roman"/>
            <w:sz w:val="22"/>
            <w:szCs w:val="22"/>
          </w:rPr>
          <w:t>https://apps.fcc.gov/edocs_public/attachmatch/FCC-13-77A1.pdf</w:t>
        </w:r>
      </w:hyperlink>
      <w:r w:rsidRPr="009C79E5">
        <w:rPr>
          <w:rFonts w:ascii="Times New Roman" w:hAnsi="Times New Roman"/>
          <w:sz w:val="22"/>
          <w:szCs w:val="22"/>
        </w:rPr>
        <w:t xml:space="preserve">.  </w:t>
      </w:r>
    </w:p>
    <w:p w:rsidR="003F4496" w:rsidRPr="009C79E5" w:rsidRDefault="003F4496" w:rsidP="00476E6F">
      <w:pPr>
        <w:pStyle w:val="FootnoteText1"/>
        <w:rPr>
          <w:rFonts w:ascii="Times New Roman" w:hAnsi="Times New Roman"/>
          <w:sz w:val="22"/>
          <w:szCs w:val="22"/>
        </w:rPr>
      </w:pPr>
    </w:p>
    <w:p w:rsidR="003F4496" w:rsidRPr="007B4C23" w:rsidRDefault="003F4496" w:rsidP="00476E6F">
      <w:pPr>
        <w:rPr>
          <w:sz w:val="22"/>
          <w:szCs w:val="22"/>
        </w:rPr>
      </w:pPr>
      <w:r w:rsidRPr="00BF0859">
        <w:rPr>
          <w:i/>
          <w:kern w:val="28"/>
          <w:sz w:val="22"/>
          <w:szCs w:val="22"/>
        </w:rPr>
        <w:t xml:space="preserve">Accessibility of User Interfaces, and Video Programming Guides and Menus; </w:t>
      </w:r>
      <w:r w:rsidRPr="00BF0859">
        <w:rPr>
          <w:i/>
          <w:spacing w:val="-2"/>
          <w:sz w:val="22"/>
          <w:szCs w:val="22"/>
        </w:rPr>
        <w:t>Accessible Emergency Information, and Apparatus Requirements for Emergency Information and V</w:t>
      </w:r>
      <w:r w:rsidRPr="00FF1FD9">
        <w:rPr>
          <w:i/>
          <w:spacing w:val="-2"/>
          <w:sz w:val="22"/>
          <w:szCs w:val="22"/>
        </w:rPr>
        <w:t>ideo Description:  Implementation of the Twenty-First Century Communications and Video Accessibility Act of 2010</w:t>
      </w:r>
      <w:r w:rsidRPr="006C02D7">
        <w:rPr>
          <w:spacing w:val="-2"/>
          <w:sz w:val="22"/>
          <w:szCs w:val="22"/>
        </w:rPr>
        <w:t xml:space="preserve">,  </w:t>
      </w:r>
      <w:r w:rsidRPr="006C02D7">
        <w:rPr>
          <w:sz w:val="22"/>
          <w:szCs w:val="22"/>
        </w:rPr>
        <w:t>MB Docket Nos. 12-108 and 12-107, Report and Order and Further Notice of Proposed Rulemaking, FCC 13-138, 28 FCC Rcd 17330 (2013) (</w:t>
      </w:r>
      <w:r w:rsidRPr="009C79E5">
        <w:rPr>
          <w:i/>
          <w:sz w:val="22"/>
          <w:szCs w:val="22"/>
        </w:rPr>
        <w:t>User Interfaces, Programming Guides and Menus Order and FNPRM</w:t>
      </w:r>
      <w:r w:rsidRPr="009C79E5">
        <w:rPr>
          <w:sz w:val="22"/>
          <w:szCs w:val="22"/>
        </w:rPr>
        <w:t xml:space="preserve">), available at </w:t>
      </w:r>
      <w:hyperlink r:id="rId53" w:history="1">
        <w:r w:rsidRPr="007B4C23">
          <w:rPr>
            <w:rStyle w:val="Hyperlink"/>
            <w:sz w:val="22"/>
            <w:szCs w:val="22"/>
          </w:rPr>
          <w:t>https://apps.fcc.gov/edocs_public/attachmatch/FCC-13-138A1.pdf</w:t>
        </w:r>
      </w:hyperlink>
      <w:r w:rsidRPr="007B4C23">
        <w:rPr>
          <w:sz w:val="22"/>
          <w:szCs w:val="22"/>
        </w:rPr>
        <w:t xml:space="preserve">.  </w:t>
      </w:r>
    </w:p>
    <w:p w:rsidR="00C93461" w:rsidRPr="00BF0859" w:rsidRDefault="00512E91" w:rsidP="00476E6F">
      <w:pPr>
        <w:jc w:val="center"/>
        <w:rPr>
          <w:b/>
          <w:sz w:val="22"/>
          <w:szCs w:val="22"/>
        </w:rPr>
      </w:pPr>
      <w:r w:rsidRPr="005732A8">
        <w:rPr>
          <w:b/>
          <w:sz w:val="22"/>
          <w:szCs w:val="22"/>
        </w:rPr>
        <w:br w:type="page"/>
      </w:r>
      <w:r w:rsidR="00C93461" w:rsidRPr="00BF0859">
        <w:rPr>
          <w:b/>
          <w:sz w:val="22"/>
          <w:szCs w:val="22"/>
        </w:rPr>
        <w:t>APPENDIX C</w:t>
      </w:r>
    </w:p>
    <w:p w:rsidR="00C93461" w:rsidRPr="00FF1FD9" w:rsidRDefault="00C93461" w:rsidP="00476E6F">
      <w:pPr>
        <w:pStyle w:val="ParaNum0"/>
        <w:numPr>
          <w:ilvl w:val="0"/>
          <w:numId w:val="0"/>
        </w:numPr>
        <w:spacing w:after="0"/>
        <w:ind w:left="720"/>
        <w:rPr>
          <w:szCs w:val="22"/>
        </w:rPr>
      </w:pPr>
    </w:p>
    <w:p w:rsidR="00C93461" w:rsidRPr="006C02D7" w:rsidRDefault="00C93461" w:rsidP="00476E6F">
      <w:pPr>
        <w:jc w:val="center"/>
        <w:rPr>
          <w:b/>
          <w:sz w:val="22"/>
          <w:szCs w:val="22"/>
        </w:rPr>
      </w:pPr>
      <w:r w:rsidRPr="006C02D7">
        <w:rPr>
          <w:b/>
          <w:sz w:val="22"/>
          <w:szCs w:val="22"/>
        </w:rPr>
        <w:t>Commission Outreach and Education</w:t>
      </w:r>
    </w:p>
    <w:p w:rsidR="00C93461" w:rsidRPr="009C79E5" w:rsidRDefault="00C93461" w:rsidP="00476E6F">
      <w:pPr>
        <w:jc w:val="center"/>
        <w:rPr>
          <w:sz w:val="22"/>
          <w:szCs w:val="22"/>
        </w:rPr>
      </w:pPr>
    </w:p>
    <w:p w:rsidR="00C93461" w:rsidRPr="009C79E5" w:rsidRDefault="00C93461" w:rsidP="00476E6F">
      <w:pPr>
        <w:pStyle w:val="CommentText1"/>
        <w:rPr>
          <w:color w:val="auto"/>
          <w:sz w:val="22"/>
          <w:szCs w:val="22"/>
        </w:rPr>
      </w:pPr>
      <w:r w:rsidRPr="009C79E5">
        <w:rPr>
          <w:color w:val="auto"/>
          <w:sz w:val="22"/>
          <w:szCs w:val="22"/>
        </w:rPr>
        <w:t>FCC staff made presentations or disseminated information about the CVAA, the Accessibility Clearinghouse, and consumer rights and remedies available under Sections 255, 716, and 718 of the Communications Act at the following conferences and events from October 5, 2012 to October 8, 2014.  These events were attended by individuals with disabilities, industry representatives, government officials, and other stakeholders.</w:t>
      </w:r>
    </w:p>
    <w:p w:rsidR="00C93461" w:rsidRPr="009C79E5" w:rsidRDefault="00C93461" w:rsidP="00476E6F">
      <w:pPr>
        <w:jc w:val="center"/>
        <w:rPr>
          <w:sz w:val="22"/>
          <w:szCs w:val="22"/>
        </w:rPr>
      </w:pPr>
    </w:p>
    <w:tbl>
      <w:tblPr>
        <w:tblW w:w="0" w:type="auto"/>
        <w:tblInd w:w="144" w:type="dxa"/>
        <w:tblCellMar>
          <w:left w:w="115" w:type="dxa"/>
          <w:right w:w="115" w:type="dxa"/>
        </w:tblCellMar>
        <w:tblLook w:val="04A0" w:firstRow="1" w:lastRow="0" w:firstColumn="1" w:lastColumn="0" w:noHBand="0" w:noVBand="1"/>
      </w:tblPr>
      <w:tblGrid>
        <w:gridCol w:w="2430"/>
        <w:gridCol w:w="4631"/>
        <w:gridCol w:w="2299"/>
      </w:tblGrid>
      <w:tr w:rsidR="00C93461" w:rsidRPr="009C79E5" w:rsidTr="00DD5B74">
        <w:trPr>
          <w:cantSplit/>
          <w:trHeight w:val="143"/>
        </w:trPr>
        <w:tc>
          <w:tcPr>
            <w:tcW w:w="2430"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jc w:val="center"/>
              <w:rPr>
                <w:rFonts w:eastAsia="ヒラギノ角ゴ Pro W3"/>
                <w:b/>
                <w:sz w:val="22"/>
                <w:szCs w:val="22"/>
              </w:rPr>
            </w:pPr>
            <w:r w:rsidRPr="009C79E5">
              <w:rPr>
                <w:b/>
                <w:sz w:val="22"/>
                <w:szCs w:val="22"/>
              </w:rPr>
              <w:t>Date(s)</w:t>
            </w:r>
          </w:p>
        </w:tc>
        <w:tc>
          <w:tcPr>
            <w:tcW w:w="4631"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jc w:val="center"/>
              <w:rPr>
                <w:rFonts w:eastAsia="ヒラギノ角ゴ Pro W3"/>
                <w:b/>
                <w:sz w:val="22"/>
                <w:szCs w:val="22"/>
              </w:rPr>
            </w:pPr>
            <w:r w:rsidRPr="009C79E5">
              <w:rPr>
                <w:b/>
                <w:sz w:val="22"/>
                <w:szCs w:val="22"/>
              </w:rPr>
              <w:t>Group Name (Type of Event)</w:t>
            </w:r>
          </w:p>
        </w:tc>
        <w:tc>
          <w:tcPr>
            <w:tcW w:w="2299"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jc w:val="center"/>
              <w:rPr>
                <w:rFonts w:eastAsia="ヒラギノ角ゴ Pro W3"/>
                <w:b/>
                <w:sz w:val="22"/>
                <w:szCs w:val="22"/>
              </w:rPr>
            </w:pPr>
            <w:r w:rsidRPr="009C79E5">
              <w:rPr>
                <w:b/>
                <w:sz w:val="22"/>
                <w:szCs w:val="22"/>
              </w:rPr>
              <w:t>Location</w:t>
            </w:r>
          </w:p>
        </w:tc>
      </w:tr>
      <w:tr w:rsidR="00C93461" w:rsidRPr="009C79E5" w:rsidTr="00DD5B74">
        <w:trPr>
          <w:cantSplit/>
          <w:trHeight w:val="224"/>
        </w:trPr>
        <w:tc>
          <w:tcPr>
            <w:tcW w:w="2430"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rPr>
                <w:rFonts w:eastAsia="ヒラギノ角ゴ Pro W3"/>
                <w:sz w:val="22"/>
                <w:szCs w:val="22"/>
              </w:rPr>
            </w:pPr>
            <w:r w:rsidRPr="009C79E5">
              <w:rPr>
                <w:sz w:val="22"/>
                <w:szCs w:val="22"/>
              </w:rPr>
              <w:t>October 12, 2012</w:t>
            </w:r>
          </w:p>
        </w:tc>
        <w:tc>
          <w:tcPr>
            <w:tcW w:w="4631"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rPr>
                <w:rFonts w:eastAsia="ヒラギノ角ゴ Pro W3"/>
                <w:sz w:val="22"/>
                <w:szCs w:val="22"/>
              </w:rPr>
            </w:pPr>
            <w:r w:rsidRPr="009C79E5">
              <w:rPr>
                <w:sz w:val="22"/>
                <w:szCs w:val="22"/>
              </w:rPr>
              <w:t>Emergency Access Advisory Committee Meeting</w:t>
            </w:r>
          </w:p>
        </w:tc>
        <w:tc>
          <w:tcPr>
            <w:tcW w:w="2299"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rPr>
                <w:rFonts w:eastAsia="ヒラギノ角ゴ Pro W3"/>
                <w:sz w:val="22"/>
                <w:szCs w:val="22"/>
              </w:rPr>
            </w:pPr>
            <w:r w:rsidRPr="009C79E5">
              <w:rPr>
                <w:sz w:val="22"/>
                <w:szCs w:val="22"/>
              </w:rPr>
              <w:t>Washington, DC</w:t>
            </w:r>
          </w:p>
        </w:tc>
      </w:tr>
      <w:tr w:rsidR="00C93461" w:rsidRPr="009C79E5" w:rsidTr="00DD5B74">
        <w:trPr>
          <w:cantSplit/>
          <w:trHeight w:val="305"/>
        </w:trPr>
        <w:tc>
          <w:tcPr>
            <w:tcW w:w="2430"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rPr>
                <w:rFonts w:eastAsia="ヒラギノ角ゴ Pro W3"/>
                <w:sz w:val="22"/>
                <w:szCs w:val="22"/>
              </w:rPr>
            </w:pPr>
            <w:r w:rsidRPr="009C79E5">
              <w:rPr>
                <w:sz w:val="22"/>
                <w:szCs w:val="22"/>
              </w:rPr>
              <w:t>October 18, 2012</w:t>
            </w:r>
          </w:p>
        </w:tc>
        <w:tc>
          <w:tcPr>
            <w:tcW w:w="4631"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rPr>
                <w:rFonts w:eastAsia="ヒラギノ角ゴ Pro W3"/>
                <w:sz w:val="22"/>
                <w:szCs w:val="22"/>
              </w:rPr>
            </w:pPr>
            <w:r w:rsidRPr="009C79E5">
              <w:rPr>
                <w:sz w:val="22"/>
                <w:szCs w:val="22"/>
              </w:rPr>
              <w:t>M-Enabling Conference (conference)</w:t>
            </w:r>
          </w:p>
        </w:tc>
        <w:tc>
          <w:tcPr>
            <w:tcW w:w="2299"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rPr>
                <w:rFonts w:eastAsia="ヒラギノ角ゴ Pro W3"/>
                <w:sz w:val="22"/>
                <w:szCs w:val="22"/>
              </w:rPr>
            </w:pPr>
            <w:r w:rsidRPr="009C79E5">
              <w:rPr>
                <w:sz w:val="22"/>
                <w:szCs w:val="22"/>
              </w:rPr>
              <w:t>Milan, Italy</w:t>
            </w:r>
          </w:p>
        </w:tc>
      </w:tr>
      <w:tr w:rsidR="00C93461" w:rsidRPr="009C79E5" w:rsidTr="00DD5B74">
        <w:trPr>
          <w:cantSplit/>
          <w:trHeight w:val="548"/>
        </w:trPr>
        <w:tc>
          <w:tcPr>
            <w:tcW w:w="2430"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rPr>
                <w:rFonts w:eastAsia="ヒラギノ角ゴ Pro W3"/>
                <w:sz w:val="22"/>
                <w:szCs w:val="22"/>
              </w:rPr>
            </w:pPr>
            <w:r w:rsidRPr="009C79E5">
              <w:rPr>
                <w:bCs/>
                <w:sz w:val="22"/>
                <w:szCs w:val="22"/>
              </w:rPr>
              <w:t>October 22, 2012</w:t>
            </w:r>
          </w:p>
        </w:tc>
        <w:tc>
          <w:tcPr>
            <w:tcW w:w="4631"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rPr>
                <w:rFonts w:eastAsia="ヒラギノ角ゴ Pro W3"/>
                <w:sz w:val="22"/>
                <w:szCs w:val="22"/>
              </w:rPr>
            </w:pPr>
            <w:r w:rsidRPr="009C79E5">
              <w:rPr>
                <w:bCs/>
                <w:sz w:val="22"/>
                <w:szCs w:val="22"/>
              </w:rPr>
              <w:t>Delegation from Japan (Japan Federation of the Deaf) (meeting)</w:t>
            </w:r>
          </w:p>
        </w:tc>
        <w:tc>
          <w:tcPr>
            <w:tcW w:w="2299"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rPr>
                <w:rFonts w:eastAsia="ヒラギノ角ゴ Pro W3"/>
                <w:sz w:val="22"/>
                <w:szCs w:val="22"/>
              </w:rPr>
            </w:pPr>
            <w:r w:rsidRPr="009C79E5">
              <w:rPr>
                <w:bCs/>
                <w:sz w:val="22"/>
                <w:szCs w:val="22"/>
              </w:rPr>
              <w:t>Washington, DC</w:t>
            </w:r>
          </w:p>
        </w:tc>
      </w:tr>
      <w:tr w:rsidR="00C93461" w:rsidRPr="009C79E5" w:rsidTr="00DD5B74">
        <w:trPr>
          <w:cantSplit/>
          <w:trHeight w:val="341"/>
        </w:trPr>
        <w:tc>
          <w:tcPr>
            <w:tcW w:w="2430"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rPr>
                <w:rFonts w:eastAsia="ヒラギノ角ゴ Pro W3"/>
                <w:sz w:val="22"/>
                <w:szCs w:val="22"/>
              </w:rPr>
            </w:pPr>
            <w:r w:rsidRPr="009C79E5">
              <w:rPr>
                <w:sz w:val="22"/>
                <w:szCs w:val="22"/>
              </w:rPr>
              <w:t>October 23, 2012</w:t>
            </w:r>
          </w:p>
        </w:tc>
        <w:tc>
          <w:tcPr>
            <w:tcW w:w="4631"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rPr>
                <w:rFonts w:eastAsia="ヒラギノ角ゴ Pro W3"/>
                <w:sz w:val="22"/>
                <w:szCs w:val="22"/>
              </w:rPr>
            </w:pPr>
            <w:r w:rsidRPr="009C79E5">
              <w:rPr>
                <w:sz w:val="22"/>
                <w:szCs w:val="22"/>
              </w:rPr>
              <w:t>National Association of State Relay Administration (conference)</w:t>
            </w:r>
          </w:p>
        </w:tc>
        <w:tc>
          <w:tcPr>
            <w:tcW w:w="2299"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rPr>
                <w:rFonts w:eastAsia="ヒラギノ角ゴ Pro W3"/>
                <w:sz w:val="22"/>
                <w:szCs w:val="22"/>
              </w:rPr>
            </w:pPr>
            <w:r w:rsidRPr="009C79E5">
              <w:rPr>
                <w:sz w:val="22"/>
                <w:szCs w:val="22"/>
              </w:rPr>
              <w:t>Orlando, FL</w:t>
            </w:r>
          </w:p>
        </w:tc>
      </w:tr>
      <w:tr w:rsidR="00C93461" w:rsidRPr="009C79E5" w:rsidTr="00DD5B74">
        <w:trPr>
          <w:cantSplit/>
          <w:trHeight w:val="251"/>
        </w:trPr>
        <w:tc>
          <w:tcPr>
            <w:tcW w:w="2430"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rPr>
                <w:rFonts w:eastAsia="ヒラギノ角ゴ Pro W3"/>
                <w:sz w:val="22"/>
                <w:szCs w:val="22"/>
              </w:rPr>
            </w:pPr>
            <w:r w:rsidRPr="009C79E5">
              <w:rPr>
                <w:sz w:val="22"/>
                <w:szCs w:val="22"/>
              </w:rPr>
              <w:t>October 23-25, 2012</w:t>
            </w:r>
          </w:p>
        </w:tc>
        <w:tc>
          <w:tcPr>
            <w:tcW w:w="4631"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pStyle w:val="NormalWeb"/>
              <w:spacing w:before="0" w:beforeAutospacing="0" w:after="0" w:afterAutospacing="0"/>
              <w:rPr>
                <w:rFonts w:eastAsia="Calibri"/>
                <w:sz w:val="22"/>
                <w:szCs w:val="22"/>
              </w:rPr>
            </w:pPr>
            <w:r w:rsidRPr="009C79E5">
              <w:rPr>
                <w:sz w:val="22"/>
                <w:szCs w:val="22"/>
              </w:rPr>
              <w:t xml:space="preserve">Hawaii Access 911 (conference) </w:t>
            </w:r>
          </w:p>
        </w:tc>
        <w:tc>
          <w:tcPr>
            <w:tcW w:w="2299"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rPr>
                <w:rFonts w:eastAsia="ヒラギノ角ゴ Pro W3"/>
                <w:sz w:val="22"/>
                <w:szCs w:val="22"/>
              </w:rPr>
            </w:pPr>
            <w:r w:rsidRPr="009C79E5">
              <w:rPr>
                <w:sz w:val="22"/>
                <w:szCs w:val="22"/>
              </w:rPr>
              <w:t>Waikiki, HI</w:t>
            </w:r>
          </w:p>
        </w:tc>
      </w:tr>
      <w:tr w:rsidR="00C93461" w:rsidRPr="009C79E5" w:rsidTr="00DD5B74">
        <w:trPr>
          <w:cantSplit/>
          <w:trHeight w:val="170"/>
        </w:trPr>
        <w:tc>
          <w:tcPr>
            <w:tcW w:w="2430"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rPr>
                <w:rFonts w:eastAsia="ヒラギノ角ゴ Pro W3"/>
                <w:sz w:val="22"/>
                <w:szCs w:val="22"/>
              </w:rPr>
            </w:pPr>
            <w:r w:rsidRPr="009C79E5">
              <w:rPr>
                <w:sz w:val="22"/>
                <w:szCs w:val="22"/>
              </w:rPr>
              <w:t>November 1, 2012</w:t>
            </w:r>
          </w:p>
        </w:tc>
        <w:tc>
          <w:tcPr>
            <w:tcW w:w="4631"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rPr>
                <w:rFonts w:eastAsia="ヒラギノ角ゴ Pro W3"/>
                <w:sz w:val="22"/>
                <w:szCs w:val="22"/>
              </w:rPr>
            </w:pPr>
            <w:r w:rsidRPr="009C79E5">
              <w:rPr>
                <w:sz w:val="22"/>
                <w:szCs w:val="22"/>
              </w:rPr>
              <w:t>Delegation from Nigeria (meeting)</w:t>
            </w:r>
          </w:p>
        </w:tc>
        <w:tc>
          <w:tcPr>
            <w:tcW w:w="2299"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rPr>
                <w:rFonts w:eastAsia="ヒラギノ角ゴ Pro W3"/>
                <w:sz w:val="22"/>
                <w:szCs w:val="22"/>
              </w:rPr>
            </w:pPr>
            <w:r w:rsidRPr="009C79E5">
              <w:rPr>
                <w:sz w:val="22"/>
                <w:szCs w:val="22"/>
              </w:rPr>
              <w:t>Washington, DC</w:t>
            </w:r>
          </w:p>
        </w:tc>
      </w:tr>
      <w:tr w:rsidR="00C93461" w:rsidRPr="009C79E5" w:rsidTr="00DD5B74">
        <w:trPr>
          <w:cantSplit/>
          <w:trHeight w:val="71"/>
        </w:trPr>
        <w:tc>
          <w:tcPr>
            <w:tcW w:w="2430"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rPr>
                <w:rFonts w:eastAsia="ヒラギノ角ゴ Pro W3"/>
                <w:sz w:val="22"/>
                <w:szCs w:val="22"/>
              </w:rPr>
            </w:pPr>
            <w:r w:rsidRPr="009C79E5">
              <w:rPr>
                <w:sz w:val="22"/>
                <w:szCs w:val="22"/>
              </w:rPr>
              <w:t>November 2, 2013</w:t>
            </w:r>
          </w:p>
          <w:p w:rsidR="00C93461" w:rsidRPr="009C79E5" w:rsidRDefault="00C93461" w:rsidP="00476E6F">
            <w:pPr>
              <w:rPr>
                <w:rFonts w:eastAsia="ヒラギノ角ゴ Pro W3"/>
                <w:sz w:val="22"/>
                <w:szCs w:val="22"/>
              </w:rPr>
            </w:pPr>
          </w:p>
        </w:tc>
        <w:tc>
          <w:tcPr>
            <w:tcW w:w="4631"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rPr>
                <w:rFonts w:eastAsia="ヒラギノ角ゴ Pro W3"/>
                <w:sz w:val="22"/>
                <w:szCs w:val="22"/>
              </w:rPr>
            </w:pPr>
            <w:r w:rsidRPr="009C79E5">
              <w:rPr>
                <w:sz w:val="22"/>
                <w:szCs w:val="22"/>
              </w:rPr>
              <w:t>American Council of the Blind of Maryland Convention  (conference)</w:t>
            </w:r>
          </w:p>
        </w:tc>
        <w:tc>
          <w:tcPr>
            <w:tcW w:w="2299"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rPr>
                <w:rFonts w:eastAsia="ヒラギノ角ゴ Pro W3"/>
                <w:sz w:val="22"/>
                <w:szCs w:val="22"/>
              </w:rPr>
            </w:pPr>
            <w:r w:rsidRPr="009C79E5">
              <w:rPr>
                <w:sz w:val="22"/>
                <w:szCs w:val="22"/>
              </w:rPr>
              <w:t>Baltimore, MD</w:t>
            </w:r>
          </w:p>
          <w:p w:rsidR="00C93461" w:rsidRPr="009C79E5" w:rsidRDefault="00C93461" w:rsidP="00476E6F">
            <w:pPr>
              <w:rPr>
                <w:rFonts w:eastAsia="ヒラギノ角ゴ Pro W3"/>
                <w:sz w:val="22"/>
                <w:szCs w:val="22"/>
              </w:rPr>
            </w:pPr>
          </w:p>
        </w:tc>
      </w:tr>
      <w:tr w:rsidR="00C93461" w:rsidRPr="009C79E5" w:rsidTr="00DD5B74">
        <w:trPr>
          <w:cantSplit/>
          <w:trHeight w:val="251"/>
        </w:trPr>
        <w:tc>
          <w:tcPr>
            <w:tcW w:w="2430"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rPr>
                <w:rFonts w:eastAsia="ヒラギノ角ゴ Pro W3"/>
                <w:sz w:val="22"/>
                <w:szCs w:val="22"/>
              </w:rPr>
            </w:pPr>
            <w:r w:rsidRPr="009C79E5">
              <w:rPr>
                <w:sz w:val="22"/>
                <w:szCs w:val="22"/>
              </w:rPr>
              <w:t>November 9, 2012</w:t>
            </w:r>
          </w:p>
        </w:tc>
        <w:tc>
          <w:tcPr>
            <w:tcW w:w="4631"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rPr>
                <w:rFonts w:eastAsia="ヒラギノ角ゴ Pro W3"/>
                <w:sz w:val="22"/>
                <w:szCs w:val="22"/>
              </w:rPr>
            </w:pPr>
            <w:r w:rsidRPr="009C79E5">
              <w:rPr>
                <w:sz w:val="22"/>
                <w:szCs w:val="22"/>
              </w:rPr>
              <w:t>Emergency Access Advisory Committee Meeting</w:t>
            </w:r>
          </w:p>
        </w:tc>
        <w:tc>
          <w:tcPr>
            <w:tcW w:w="2299"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rPr>
                <w:rFonts w:eastAsia="ヒラギノ角ゴ Pro W3"/>
                <w:sz w:val="22"/>
                <w:szCs w:val="22"/>
              </w:rPr>
            </w:pPr>
            <w:r w:rsidRPr="009C79E5">
              <w:rPr>
                <w:sz w:val="22"/>
                <w:szCs w:val="22"/>
              </w:rPr>
              <w:t>Washington, DC</w:t>
            </w:r>
          </w:p>
        </w:tc>
      </w:tr>
      <w:tr w:rsidR="00C93461" w:rsidRPr="009C79E5" w:rsidTr="00DD5B74">
        <w:trPr>
          <w:cantSplit/>
          <w:trHeight w:val="242"/>
        </w:trPr>
        <w:tc>
          <w:tcPr>
            <w:tcW w:w="2430"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rPr>
                <w:rFonts w:eastAsia="ヒラギノ角ゴ Pro W3"/>
                <w:sz w:val="22"/>
                <w:szCs w:val="22"/>
              </w:rPr>
            </w:pPr>
            <w:r w:rsidRPr="009C79E5">
              <w:rPr>
                <w:sz w:val="22"/>
                <w:szCs w:val="22"/>
              </w:rPr>
              <w:t>December 1, 2012</w:t>
            </w:r>
          </w:p>
        </w:tc>
        <w:tc>
          <w:tcPr>
            <w:tcW w:w="4631"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rPr>
                <w:rFonts w:eastAsia="ヒラギノ角ゴ Pro W3"/>
                <w:sz w:val="22"/>
                <w:szCs w:val="22"/>
              </w:rPr>
            </w:pPr>
            <w:r w:rsidRPr="009C79E5">
              <w:rPr>
                <w:sz w:val="22"/>
                <w:szCs w:val="22"/>
              </w:rPr>
              <w:t>D. C.  Public Library (workshop)</w:t>
            </w:r>
          </w:p>
        </w:tc>
        <w:tc>
          <w:tcPr>
            <w:tcW w:w="2299"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rPr>
                <w:rFonts w:eastAsia="ヒラギノ角ゴ Pro W3"/>
                <w:sz w:val="22"/>
                <w:szCs w:val="22"/>
              </w:rPr>
            </w:pPr>
            <w:r w:rsidRPr="009C79E5">
              <w:rPr>
                <w:sz w:val="22"/>
                <w:szCs w:val="22"/>
              </w:rPr>
              <w:t>Washington, DC</w:t>
            </w:r>
          </w:p>
        </w:tc>
      </w:tr>
      <w:tr w:rsidR="00C93461" w:rsidRPr="009C79E5" w:rsidTr="00DD5B74">
        <w:trPr>
          <w:cantSplit/>
          <w:trHeight w:val="143"/>
        </w:trPr>
        <w:tc>
          <w:tcPr>
            <w:tcW w:w="2430"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rPr>
                <w:rStyle w:val="Style10pt"/>
                <w:rFonts w:eastAsia="ヒラギノ角ゴ Pro W3"/>
                <w:sz w:val="22"/>
                <w:szCs w:val="22"/>
              </w:rPr>
            </w:pPr>
            <w:r w:rsidRPr="009C79E5">
              <w:rPr>
                <w:sz w:val="22"/>
                <w:szCs w:val="22"/>
              </w:rPr>
              <w:t>December 5, 2012</w:t>
            </w:r>
          </w:p>
        </w:tc>
        <w:tc>
          <w:tcPr>
            <w:tcW w:w="4631"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rPr>
                <w:rStyle w:val="Style10pt"/>
                <w:rFonts w:eastAsia="ヒラギノ角ゴ Pro W3"/>
                <w:sz w:val="22"/>
                <w:szCs w:val="22"/>
              </w:rPr>
            </w:pPr>
            <w:r w:rsidRPr="009C79E5">
              <w:rPr>
                <w:sz w:val="22"/>
                <w:szCs w:val="22"/>
              </w:rPr>
              <w:t>Deaf and Hard of Hearing Consumer Advocacy Network (workshop)</w:t>
            </w:r>
          </w:p>
        </w:tc>
        <w:tc>
          <w:tcPr>
            <w:tcW w:w="2299"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rPr>
                <w:rFonts w:eastAsia="ヒラギノ角ゴ Pro W3"/>
                <w:sz w:val="22"/>
                <w:szCs w:val="22"/>
              </w:rPr>
            </w:pPr>
            <w:r w:rsidRPr="009C79E5">
              <w:rPr>
                <w:sz w:val="22"/>
                <w:szCs w:val="22"/>
              </w:rPr>
              <w:t>Washington, DC</w:t>
            </w:r>
          </w:p>
        </w:tc>
      </w:tr>
      <w:tr w:rsidR="00C93461" w:rsidRPr="009C79E5" w:rsidTr="00DD5B74">
        <w:trPr>
          <w:cantSplit/>
          <w:trHeight w:val="242"/>
        </w:trPr>
        <w:tc>
          <w:tcPr>
            <w:tcW w:w="2430"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rPr>
                <w:rFonts w:eastAsia="ヒラギノ角ゴ Pro W3"/>
                <w:sz w:val="22"/>
                <w:szCs w:val="22"/>
              </w:rPr>
            </w:pPr>
            <w:r w:rsidRPr="009C79E5">
              <w:rPr>
                <w:sz w:val="22"/>
                <w:szCs w:val="22"/>
              </w:rPr>
              <w:t>December 6, 2012</w:t>
            </w:r>
          </w:p>
        </w:tc>
        <w:tc>
          <w:tcPr>
            <w:tcW w:w="4631"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rPr>
                <w:rFonts w:eastAsia="ヒラギノ角ゴ Pro W3"/>
                <w:sz w:val="22"/>
                <w:szCs w:val="22"/>
              </w:rPr>
            </w:pPr>
            <w:r w:rsidRPr="009C79E5">
              <w:rPr>
                <w:sz w:val="22"/>
                <w:szCs w:val="22"/>
              </w:rPr>
              <w:t>Delegation from Japan (Nippon Foundation) (meeting)</w:t>
            </w:r>
          </w:p>
        </w:tc>
        <w:tc>
          <w:tcPr>
            <w:tcW w:w="2299"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rPr>
                <w:rFonts w:eastAsia="ヒラギノ角ゴ Pro W3"/>
                <w:sz w:val="22"/>
                <w:szCs w:val="22"/>
              </w:rPr>
            </w:pPr>
            <w:r w:rsidRPr="009C79E5">
              <w:rPr>
                <w:sz w:val="22"/>
                <w:szCs w:val="22"/>
              </w:rPr>
              <w:t>Washington, DC</w:t>
            </w:r>
          </w:p>
        </w:tc>
      </w:tr>
      <w:tr w:rsidR="00C93461" w:rsidRPr="009C79E5" w:rsidTr="00DD5B74">
        <w:trPr>
          <w:cantSplit/>
          <w:trHeight w:val="314"/>
        </w:trPr>
        <w:tc>
          <w:tcPr>
            <w:tcW w:w="2430"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rPr>
                <w:rFonts w:eastAsia="ヒラギノ角ゴ Pro W3"/>
                <w:sz w:val="22"/>
                <w:szCs w:val="22"/>
              </w:rPr>
            </w:pPr>
            <w:r w:rsidRPr="009C79E5">
              <w:rPr>
                <w:sz w:val="22"/>
                <w:szCs w:val="22"/>
              </w:rPr>
              <w:t>December 14, 2012</w:t>
            </w:r>
          </w:p>
        </w:tc>
        <w:tc>
          <w:tcPr>
            <w:tcW w:w="4631"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rPr>
                <w:rFonts w:eastAsia="ヒラギノ角ゴ Pro W3"/>
                <w:sz w:val="22"/>
                <w:szCs w:val="22"/>
              </w:rPr>
            </w:pPr>
            <w:r w:rsidRPr="009C79E5">
              <w:rPr>
                <w:sz w:val="22"/>
                <w:szCs w:val="22"/>
              </w:rPr>
              <w:t>Emergency Access Advisory Committee Meeting</w:t>
            </w:r>
          </w:p>
        </w:tc>
        <w:tc>
          <w:tcPr>
            <w:tcW w:w="2299"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rPr>
                <w:rFonts w:eastAsia="ヒラギノ角ゴ Pro W3"/>
                <w:sz w:val="22"/>
                <w:szCs w:val="22"/>
              </w:rPr>
            </w:pPr>
            <w:r w:rsidRPr="009C79E5">
              <w:rPr>
                <w:sz w:val="22"/>
                <w:szCs w:val="22"/>
              </w:rPr>
              <w:t>Washington, DC</w:t>
            </w:r>
          </w:p>
        </w:tc>
      </w:tr>
      <w:tr w:rsidR="00C93461" w:rsidRPr="009C79E5" w:rsidTr="00DD5B74">
        <w:trPr>
          <w:cantSplit/>
          <w:trHeight w:val="143"/>
        </w:trPr>
        <w:tc>
          <w:tcPr>
            <w:tcW w:w="2430"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keepNext/>
              <w:keepLines/>
              <w:jc w:val="center"/>
              <w:rPr>
                <w:rFonts w:eastAsia="ヒラギノ角ゴ Pro W3"/>
                <w:b/>
                <w:sz w:val="22"/>
                <w:szCs w:val="22"/>
              </w:rPr>
            </w:pPr>
            <w:r w:rsidRPr="009C79E5">
              <w:rPr>
                <w:b/>
                <w:sz w:val="22"/>
                <w:szCs w:val="22"/>
              </w:rPr>
              <w:t>Date(s)</w:t>
            </w:r>
          </w:p>
        </w:tc>
        <w:tc>
          <w:tcPr>
            <w:tcW w:w="4631"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keepNext/>
              <w:keepLines/>
              <w:jc w:val="center"/>
              <w:rPr>
                <w:rFonts w:eastAsia="ヒラギノ角ゴ Pro W3"/>
                <w:b/>
                <w:sz w:val="22"/>
                <w:szCs w:val="22"/>
              </w:rPr>
            </w:pPr>
            <w:r w:rsidRPr="009C79E5">
              <w:rPr>
                <w:b/>
                <w:sz w:val="22"/>
                <w:szCs w:val="22"/>
              </w:rPr>
              <w:t>Group Name (Type of Event)</w:t>
            </w:r>
          </w:p>
        </w:tc>
        <w:tc>
          <w:tcPr>
            <w:tcW w:w="2299"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keepNext/>
              <w:keepLines/>
              <w:jc w:val="center"/>
              <w:rPr>
                <w:rFonts w:eastAsia="ヒラギノ角ゴ Pro W3"/>
                <w:b/>
                <w:sz w:val="22"/>
                <w:szCs w:val="22"/>
              </w:rPr>
            </w:pPr>
            <w:r w:rsidRPr="009C79E5">
              <w:rPr>
                <w:b/>
                <w:sz w:val="22"/>
                <w:szCs w:val="22"/>
              </w:rPr>
              <w:t>Location</w:t>
            </w:r>
          </w:p>
        </w:tc>
      </w:tr>
      <w:tr w:rsidR="00C93461" w:rsidRPr="009C79E5" w:rsidTr="00DD5B74">
        <w:trPr>
          <w:cantSplit/>
          <w:trHeight w:val="125"/>
        </w:trPr>
        <w:tc>
          <w:tcPr>
            <w:tcW w:w="2430"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keepNext/>
              <w:keepLines/>
              <w:rPr>
                <w:rFonts w:eastAsia="ヒラギノ角ゴ Pro W3"/>
                <w:sz w:val="22"/>
                <w:szCs w:val="22"/>
              </w:rPr>
            </w:pPr>
            <w:r w:rsidRPr="009C79E5">
              <w:rPr>
                <w:sz w:val="22"/>
                <w:szCs w:val="22"/>
              </w:rPr>
              <w:t>December 19, 2012</w:t>
            </w:r>
          </w:p>
        </w:tc>
        <w:tc>
          <w:tcPr>
            <w:tcW w:w="4631"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keepNext/>
              <w:keepLines/>
              <w:rPr>
                <w:rFonts w:eastAsia="ヒラギノ角ゴ Pro W3"/>
                <w:sz w:val="22"/>
                <w:szCs w:val="22"/>
              </w:rPr>
            </w:pPr>
            <w:r w:rsidRPr="009C79E5">
              <w:rPr>
                <w:sz w:val="22"/>
                <w:szCs w:val="22"/>
              </w:rPr>
              <w:t>FCC Chairman's Awards for Advancement in Accessibility (event)</w:t>
            </w:r>
          </w:p>
        </w:tc>
        <w:tc>
          <w:tcPr>
            <w:tcW w:w="2299"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keepNext/>
              <w:keepLines/>
              <w:rPr>
                <w:rFonts w:eastAsia="ヒラギノ角ゴ Pro W3"/>
                <w:sz w:val="22"/>
                <w:szCs w:val="22"/>
              </w:rPr>
            </w:pPr>
            <w:r w:rsidRPr="009C79E5">
              <w:rPr>
                <w:sz w:val="22"/>
                <w:szCs w:val="22"/>
              </w:rPr>
              <w:t>Washington, DC</w:t>
            </w:r>
          </w:p>
        </w:tc>
      </w:tr>
      <w:tr w:rsidR="00C93461" w:rsidRPr="009C79E5" w:rsidTr="00DD5B74">
        <w:trPr>
          <w:cantSplit/>
          <w:trHeight w:val="296"/>
        </w:trPr>
        <w:tc>
          <w:tcPr>
            <w:tcW w:w="2430"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rPr>
                <w:rFonts w:eastAsia="ヒラギノ角ゴ Pro W3"/>
                <w:sz w:val="22"/>
                <w:szCs w:val="22"/>
              </w:rPr>
            </w:pPr>
            <w:r w:rsidRPr="009C79E5">
              <w:rPr>
                <w:sz w:val="22"/>
                <w:szCs w:val="22"/>
              </w:rPr>
              <w:t>January 7, 2013</w:t>
            </w:r>
          </w:p>
        </w:tc>
        <w:tc>
          <w:tcPr>
            <w:tcW w:w="4631"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rPr>
                <w:rFonts w:eastAsia="ヒラギノ角ゴ Pro W3"/>
                <w:sz w:val="22"/>
                <w:szCs w:val="22"/>
              </w:rPr>
            </w:pPr>
            <w:r w:rsidRPr="009C79E5">
              <w:rPr>
                <w:sz w:val="22"/>
                <w:szCs w:val="22"/>
              </w:rPr>
              <w:t>Consumer Electronics Show Government Affairs Council (workshop)</w:t>
            </w:r>
          </w:p>
        </w:tc>
        <w:tc>
          <w:tcPr>
            <w:tcW w:w="2299"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rPr>
                <w:rFonts w:eastAsia="ヒラギノ角ゴ Pro W3"/>
                <w:sz w:val="22"/>
                <w:szCs w:val="22"/>
              </w:rPr>
            </w:pPr>
            <w:r w:rsidRPr="009C79E5">
              <w:rPr>
                <w:sz w:val="22"/>
                <w:szCs w:val="22"/>
              </w:rPr>
              <w:t>Las Vegas, NV</w:t>
            </w:r>
          </w:p>
        </w:tc>
      </w:tr>
      <w:tr w:rsidR="00C93461" w:rsidRPr="009C79E5" w:rsidTr="00DD5B74">
        <w:trPr>
          <w:cantSplit/>
          <w:trHeight w:val="152"/>
        </w:trPr>
        <w:tc>
          <w:tcPr>
            <w:tcW w:w="2430"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rPr>
                <w:rFonts w:eastAsia="ヒラギノ角ゴ Pro W3"/>
                <w:sz w:val="22"/>
                <w:szCs w:val="22"/>
              </w:rPr>
            </w:pPr>
            <w:r w:rsidRPr="009C79E5">
              <w:rPr>
                <w:sz w:val="22"/>
                <w:szCs w:val="22"/>
              </w:rPr>
              <w:t>January 11, 2013</w:t>
            </w:r>
          </w:p>
        </w:tc>
        <w:tc>
          <w:tcPr>
            <w:tcW w:w="4631"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rPr>
                <w:rFonts w:eastAsia="ヒラギノ角ゴ Pro W3"/>
                <w:sz w:val="22"/>
                <w:szCs w:val="22"/>
              </w:rPr>
            </w:pPr>
            <w:r w:rsidRPr="009C79E5">
              <w:rPr>
                <w:sz w:val="22"/>
                <w:szCs w:val="22"/>
              </w:rPr>
              <w:t>Emergency Access Advisory Committee Meeting</w:t>
            </w:r>
          </w:p>
        </w:tc>
        <w:tc>
          <w:tcPr>
            <w:tcW w:w="2299"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rPr>
                <w:rFonts w:eastAsia="ヒラギノ角ゴ Pro W3"/>
                <w:sz w:val="22"/>
                <w:szCs w:val="22"/>
              </w:rPr>
            </w:pPr>
            <w:r w:rsidRPr="009C79E5">
              <w:rPr>
                <w:sz w:val="22"/>
                <w:szCs w:val="22"/>
              </w:rPr>
              <w:t>Washington, DC</w:t>
            </w:r>
          </w:p>
        </w:tc>
      </w:tr>
      <w:tr w:rsidR="00C93461" w:rsidRPr="009C79E5" w:rsidTr="00DD5B74">
        <w:trPr>
          <w:cantSplit/>
          <w:trHeight w:val="359"/>
        </w:trPr>
        <w:tc>
          <w:tcPr>
            <w:tcW w:w="2430"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rPr>
                <w:rFonts w:eastAsia="ヒラギノ角ゴ Pro W3"/>
                <w:sz w:val="22"/>
                <w:szCs w:val="22"/>
              </w:rPr>
            </w:pPr>
            <w:r w:rsidRPr="009C79E5">
              <w:rPr>
                <w:sz w:val="22"/>
                <w:szCs w:val="22"/>
              </w:rPr>
              <w:t>January 29, 2013</w:t>
            </w:r>
          </w:p>
        </w:tc>
        <w:tc>
          <w:tcPr>
            <w:tcW w:w="4631"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rPr>
                <w:rFonts w:eastAsia="ヒラギノ角ゴ Pro W3"/>
                <w:sz w:val="22"/>
                <w:szCs w:val="22"/>
              </w:rPr>
            </w:pPr>
            <w:r w:rsidRPr="009C79E5">
              <w:rPr>
                <w:sz w:val="22"/>
                <w:szCs w:val="22"/>
              </w:rPr>
              <w:t>Practicing Law Institute/2013 Broadband and Cable Law Conference (conference)</w:t>
            </w:r>
          </w:p>
        </w:tc>
        <w:tc>
          <w:tcPr>
            <w:tcW w:w="2299"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rPr>
                <w:rFonts w:eastAsia="ヒラギノ角ゴ Pro W3"/>
                <w:sz w:val="22"/>
                <w:szCs w:val="22"/>
              </w:rPr>
            </w:pPr>
            <w:r w:rsidRPr="009C79E5">
              <w:rPr>
                <w:sz w:val="22"/>
                <w:szCs w:val="22"/>
              </w:rPr>
              <w:t xml:space="preserve">New York City, NY </w:t>
            </w:r>
          </w:p>
          <w:p w:rsidR="00C93461" w:rsidRPr="009C79E5" w:rsidRDefault="00C93461" w:rsidP="00476E6F">
            <w:pPr>
              <w:rPr>
                <w:rFonts w:eastAsia="ヒラギノ角ゴ Pro W3"/>
                <w:sz w:val="22"/>
                <w:szCs w:val="22"/>
              </w:rPr>
            </w:pPr>
          </w:p>
        </w:tc>
      </w:tr>
      <w:tr w:rsidR="00C93461" w:rsidRPr="009C79E5" w:rsidTr="00DD5B74">
        <w:trPr>
          <w:cantSplit/>
          <w:trHeight w:val="386"/>
        </w:trPr>
        <w:tc>
          <w:tcPr>
            <w:tcW w:w="2430"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rPr>
                <w:rFonts w:eastAsia="ヒラギノ角ゴ Pro W3"/>
                <w:sz w:val="22"/>
                <w:szCs w:val="22"/>
              </w:rPr>
            </w:pPr>
            <w:r w:rsidRPr="009C79E5">
              <w:rPr>
                <w:sz w:val="22"/>
                <w:szCs w:val="22"/>
              </w:rPr>
              <w:t>February 24, 2013</w:t>
            </w:r>
          </w:p>
        </w:tc>
        <w:tc>
          <w:tcPr>
            <w:tcW w:w="4631"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rPr>
                <w:rFonts w:eastAsia="ヒラギノ角ゴ Pro W3"/>
                <w:sz w:val="22"/>
                <w:szCs w:val="22"/>
              </w:rPr>
            </w:pPr>
            <w:r w:rsidRPr="009C79E5">
              <w:rPr>
                <w:sz w:val="22"/>
                <w:szCs w:val="22"/>
              </w:rPr>
              <w:t>American Council of the Blind Legislative Council (workshop)</w:t>
            </w:r>
          </w:p>
        </w:tc>
        <w:tc>
          <w:tcPr>
            <w:tcW w:w="2299"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rPr>
                <w:rFonts w:eastAsia="ヒラギノ角ゴ Pro W3"/>
                <w:sz w:val="22"/>
                <w:szCs w:val="22"/>
              </w:rPr>
            </w:pPr>
            <w:r w:rsidRPr="009C79E5">
              <w:rPr>
                <w:sz w:val="22"/>
                <w:szCs w:val="22"/>
              </w:rPr>
              <w:t>Arlington, VA</w:t>
            </w:r>
          </w:p>
        </w:tc>
      </w:tr>
      <w:tr w:rsidR="00C93461" w:rsidRPr="009C79E5" w:rsidTr="00DD5B74">
        <w:trPr>
          <w:cantSplit/>
          <w:trHeight w:val="480"/>
        </w:trPr>
        <w:tc>
          <w:tcPr>
            <w:tcW w:w="2430"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rPr>
                <w:rFonts w:eastAsia="ヒラギノ角ゴ Pro W3"/>
                <w:sz w:val="22"/>
                <w:szCs w:val="22"/>
              </w:rPr>
            </w:pPr>
            <w:r w:rsidRPr="009C79E5">
              <w:rPr>
                <w:sz w:val="22"/>
                <w:szCs w:val="22"/>
              </w:rPr>
              <w:t>February 8-9, 2013</w:t>
            </w:r>
          </w:p>
        </w:tc>
        <w:tc>
          <w:tcPr>
            <w:tcW w:w="4631"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rPr>
                <w:rFonts w:eastAsia="ヒラギノ角ゴ Pro W3"/>
                <w:sz w:val="22"/>
                <w:szCs w:val="22"/>
              </w:rPr>
            </w:pPr>
            <w:r w:rsidRPr="009C79E5">
              <w:rPr>
                <w:sz w:val="22"/>
                <w:szCs w:val="22"/>
              </w:rPr>
              <w:t>University of Macerata, Italy:  U.S. Laws on Communications and Television Access (instructional presentation)</w:t>
            </w:r>
          </w:p>
        </w:tc>
        <w:tc>
          <w:tcPr>
            <w:tcW w:w="2299"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rPr>
                <w:rFonts w:eastAsia="ヒラギノ角ゴ Pro W3"/>
                <w:sz w:val="22"/>
                <w:szCs w:val="22"/>
              </w:rPr>
            </w:pPr>
            <w:r w:rsidRPr="009C79E5">
              <w:rPr>
                <w:sz w:val="22"/>
                <w:szCs w:val="22"/>
              </w:rPr>
              <w:t>Macerata, Italy (remote presentation)</w:t>
            </w:r>
          </w:p>
        </w:tc>
      </w:tr>
      <w:tr w:rsidR="00C93461" w:rsidRPr="009C79E5" w:rsidTr="00DD5B74">
        <w:trPr>
          <w:cantSplit/>
          <w:trHeight w:val="296"/>
        </w:trPr>
        <w:tc>
          <w:tcPr>
            <w:tcW w:w="2430"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rPr>
                <w:sz w:val="22"/>
                <w:szCs w:val="22"/>
              </w:rPr>
            </w:pPr>
            <w:r w:rsidRPr="009C79E5">
              <w:rPr>
                <w:sz w:val="22"/>
                <w:szCs w:val="22"/>
              </w:rPr>
              <w:t>February 25, 2013</w:t>
            </w:r>
          </w:p>
        </w:tc>
        <w:tc>
          <w:tcPr>
            <w:tcW w:w="4631"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rPr>
                <w:sz w:val="22"/>
                <w:szCs w:val="22"/>
              </w:rPr>
            </w:pPr>
            <w:r w:rsidRPr="009C79E5">
              <w:rPr>
                <w:sz w:val="22"/>
                <w:szCs w:val="22"/>
              </w:rPr>
              <w:t>American Council of the Blind Legislative Seminar (conference)</w:t>
            </w:r>
          </w:p>
        </w:tc>
        <w:tc>
          <w:tcPr>
            <w:tcW w:w="2299"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rPr>
                <w:sz w:val="22"/>
                <w:szCs w:val="22"/>
              </w:rPr>
            </w:pPr>
            <w:r w:rsidRPr="009C79E5">
              <w:rPr>
                <w:sz w:val="22"/>
                <w:szCs w:val="22"/>
              </w:rPr>
              <w:t>Arlington, VA</w:t>
            </w:r>
          </w:p>
        </w:tc>
      </w:tr>
      <w:tr w:rsidR="00C93461" w:rsidRPr="009C79E5" w:rsidTr="00DD5B74">
        <w:trPr>
          <w:cantSplit/>
          <w:trHeight w:val="134"/>
        </w:trPr>
        <w:tc>
          <w:tcPr>
            <w:tcW w:w="2430"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rPr>
                <w:rFonts w:eastAsia="ヒラギノ角ゴ Pro W3"/>
                <w:sz w:val="22"/>
                <w:szCs w:val="22"/>
              </w:rPr>
            </w:pPr>
            <w:r w:rsidRPr="009C79E5">
              <w:rPr>
                <w:sz w:val="22"/>
                <w:szCs w:val="22"/>
              </w:rPr>
              <w:t>March 1, 2013</w:t>
            </w:r>
          </w:p>
        </w:tc>
        <w:tc>
          <w:tcPr>
            <w:tcW w:w="4631"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rPr>
                <w:rFonts w:eastAsia="ヒラギノ角ゴ Pro W3"/>
                <w:sz w:val="22"/>
                <w:szCs w:val="22"/>
              </w:rPr>
            </w:pPr>
            <w:r w:rsidRPr="009C79E5">
              <w:rPr>
                <w:sz w:val="22"/>
                <w:szCs w:val="22"/>
              </w:rPr>
              <w:t>Emergency Access Advisory Committee Meeting</w:t>
            </w:r>
          </w:p>
        </w:tc>
        <w:tc>
          <w:tcPr>
            <w:tcW w:w="2299"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rPr>
                <w:rFonts w:eastAsia="ヒラギノ角ゴ Pro W3"/>
                <w:sz w:val="22"/>
                <w:szCs w:val="22"/>
              </w:rPr>
            </w:pPr>
            <w:r w:rsidRPr="009C79E5">
              <w:rPr>
                <w:sz w:val="22"/>
                <w:szCs w:val="22"/>
              </w:rPr>
              <w:t>Washington, DC</w:t>
            </w:r>
          </w:p>
        </w:tc>
      </w:tr>
      <w:tr w:rsidR="00C93461" w:rsidRPr="009C79E5" w:rsidTr="00DD5B74">
        <w:trPr>
          <w:cantSplit/>
          <w:trHeight w:val="720"/>
        </w:trPr>
        <w:tc>
          <w:tcPr>
            <w:tcW w:w="2430"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rPr>
                <w:rFonts w:eastAsia="ヒラギノ角ゴ Pro W3"/>
                <w:sz w:val="22"/>
                <w:szCs w:val="22"/>
              </w:rPr>
            </w:pPr>
            <w:r w:rsidRPr="009C79E5">
              <w:rPr>
                <w:sz w:val="22"/>
                <w:szCs w:val="22"/>
              </w:rPr>
              <w:t>April 5, 2013</w:t>
            </w:r>
          </w:p>
        </w:tc>
        <w:tc>
          <w:tcPr>
            <w:tcW w:w="4631"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rPr>
                <w:rFonts w:eastAsia="ヒラギノ角ゴ Pro W3"/>
                <w:sz w:val="22"/>
                <w:szCs w:val="22"/>
              </w:rPr>
            </w:pPr>
            <w:r w:rsidRPr="009C79E5">
              <w:rPr>
                <w:sz w:val="22"/>
                <w:szCs w:val="22"/>
              </w:rPr>
              <w:t>American University School of Law Symposium on Intellectual Property and Federal Policy (conference)</w:t>
            </w:r>
          </w:p>
        </w:tc>
        <w:tc>
          <w:tcPr>
            <w:tcW w:w="2299"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rPr>
                <w:rFonts w:eastAsia="ヒラギノ角ゴ Pro W3"/>
                <w:sz w:val="22"/>
                <w:szCs w:val="22"/>
              </w:rPr>
            </w:pPr>
            <w:r w:rsidRPr="009C79E5">
              <w:rPr>
                <w:sz w:val="22"/>
                <w:szCs w:val="22"/>
              </w:rPr>
              <w:t>Washington, DC</w:t>
            </w:r>
          </w:p>
        </w:tc>
      </w:tr>
      <w:tr w:rsidR="00C93461" w:rsidRPr="009C79E5" w:rsidTr="00DD5B74">
        <w:trPr>
          <w:cantSplit/>
          <w:trHeight w:val="330"/>
        </w:trPr>
        <w:tc>
          <w:tcPr>
            <w:tcW w:w="2430"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rPr>
                <w:rFonts w:eastAsia="ヒラギノ角ゴ Pro W3"/>
                <w:sz w:val="22"/>
                <w:szCs w:val="22"/>
              </w:rPr>
            </w:pPr>
            <w:r w:rsidRPr="009C79E5">
              <w:rPr>
                <w:sz w:val="22"/>
                <w:szCs w:val="22"/>
              </w:rPr>
              <w:t>April 9, 2013</w:t>
            </w:r>
          </w:p>
        </w:tc>
        <w:tc>
          <w:tcPr>
            <w:tcW w:w="4631"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rPr>
                <w:rFonts w:eastAsia="ヒラギノ角ゴ Pro W3"/>
                <w:sz w:val="22"/>
                <w:szCs w:val="22"/>
              </w:rPr>
            </w:pPr>
            <w:r w:rsidRPr="009C79E5">
              <w:rPr>
                <w:sz w:val="22"/>
                <w:szCs w:val="22"/>
              </w:rPr>
              <w:t>National Training Conference sponsored by Deaf and Hard of Hearing In Government:  Disability Presentation (workshop)</w:t>
            </w:r>
          </w:p>
        </w:tc>
        <w:tc>
          <w:tcPr>
            <w:tcW w:w="2299"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rPr>
                <w:rFonts w:eastAsia="ヒラギノ角ゴ Pro W3"/>
                <w:sz w:val="22"/>
                <w:szCs w:val="22"/>
              </w:rPr>
            </w:pPr>
            <w:r w:rsidRPr="009C79E5">
              <w:rPr>
                <w:sz w:val="22"/>
                <w:szCs w:val="22"/>
              </w:rPr>
              <w:t>Washington, DC</w:t>
            </w:r>
          </w:p>
        </w:tc>
      </w:tr>
      <w:tr w:rsidR="00C93461" w:rsidRPr="009C79E5" w:rsidTr="00DD5B74">
        <w:trPr>
          <w:cantSplit/>
          <w:trHeight w:val="476"/>
        </w:trPr>
        <w:tc>
          <w:tcPr>
            <w:tcW w:w="2430"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rPr>
                <w:rStyle w:val="Style10pt"/>
                <w:rFonts w:eastAsia="ヒラギノ角ゴ Pro W3"/>
                <w:sz w:val="22"/>
                <w:szCs w:val="22"/>
              </w:rPr>
            </w:pPr>
            <w:r w:rsidRPr="009C79E5">
              <w:rPr>
                <w:sz w:val="22"/>
                <w:szCs w:val="22"/>
              </w:rPr>
              <w:t>April 15, 2013</w:t>
            </w:r>
          </w:p>
        </w:tc>
        <w:tc>
          <w:tcPr>
            <w:tcW w:w="4631"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rPr>
                <w:rFonts w:eastAsia="ヒラギノ角ゴ Pro W3"/>
                <w:sz w:val="22"/>
                <w:szCs w:val="22"/>
              </w:rPr>
            </w:pPr>
            <w:r w:rsidRPr="009C79E5">
              <w:rPr>
                <w:sz w:val="22"/>
                <w:szCs w:val="22"/>
              </w:rPr>
              <w:t>National Association of State Relay Administration Conference (conference)</w:t>
            </w:r>
          </w:p>
        </w:tc>
        <w:tc>
          <w:tcPr>
            <w:tcW w:w="2299"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rPr>
                <w:rFonts w:eastAsia="ヒラギノ角ゴ Pro W3"/>
                <w:sz w:val="22"/>
                <w:szCs w:val="22"/>
              </w:rPr>
            </w:pPr>
            <w:r w:rsidRPr="009C79E5">
              <w:rPr>
                <w:sz w:val="22"/>
                <w:szCs w:val="22"/>
              </w:rPr>
              <w:t>Washington, DC</w:t>
            </w:r>
          </w:p>
        </w:tc>
      </w:tr>
      <w:tr w:rsidR="00C93461" w:rsidRPr="009C79E5" w:rsidTr="00DD5B74">
        <w:trPr>
          <w:cantSplit/>
          <w:trHeight w:val="287"/>
        </w:trPr>
        <w:tc>
          <w:tcPr>
            <w:tcW w:w="2430"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rPr>
                <w:rStyle w:val="Style10pt"/>
                <w:rFonts w:eastAsia="ヒラギノ角ゴ Pro W3"/>
                <w:sz w:val="22"/>
                <w:szCs w:val="22"/>
              </w:rPr>
            </w:pPr>
            <w:r w:rsidRPr="009C79E5">
              <w:rPr>
                <w:sz w:val="22"/>
                <w:szCs w:val="22"/>
              </w:rPr>
              <w:t>April 16, 2013</w:t>
            </w:r>
          </w:p>
        </w:tc>
        <w:tc>
          <w:tcPr>
            <w:tcW w:w="4631"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rPr>
                <w:rStyle w:val="Style10pt"/>
                <w:rFonts w:eastAsia="ヒラギノ角ゴ Pro W3"/>
                <w:sz w:val="22"/>
                <w:szCs w:val="22"/>
              </w:rPr>
            </w:pPr>
            <w:r w:rsidRPr="009C79E5">
              <w:rPr>
                <w:sz w:val="22"/>
                <w:szCs w:val="22"/>
              </w:rPr>
              <w:t>TRS Fund Advisory Council (workshop)</w:t>
            </w:r>
          </w:p>
        </w:tc>
        <w:tc>
          <w:tcPr>
            <w:tcW w:w="2299"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rPr>
                <w:rFonts w:eastAsia="ヒラギノ角ゴ Pro W3"/>
                <w:sz w:val="22"/>
                <w:szCs w:val="22"/>
              </w:rPr>
            </w:pPr>
            <w:r w:rsidRPr="009C79E5">
              <w:rPr>
                <w:sz w:val="22"/>
                <w:szCs w:val="22"/>
              </w:rPr>
              <w:t>Baltimore, MD</w:t>
            </w:r>
          </w:p>
        </w:tc>
      </w:tr>
      <w:tr w:rsidR="00C93461" w:rsidRPr="009C79E5" w:rsidTr="00DD5B74">
        <w:trPr>
          <w:cantSplit/>
          <w:trHeight w:val="287"/>
        </w:trPr>
        <w:tc>
          <w:tcPr>
            <w:tcW w:w="2430"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rPr>
                <w:sz w:val="22"/>
                <w:szCs w:val="22"/>
              </w:rPr>
            </w:pPr>
            <w:r w:rsidRPr="009C79E5">
              <w:rPr>
                <w:sz w:val="22"/>
                <w:szCs w:val="22"/>
              </w:rPr>
              <w:t>April 26, 2013</w:t>
            </w:r>
          </w:p>
        </w:tc>
        <w:tc>
          <w:tcPr>
            <w:tcW w:w="4631"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rPr>
                <w:sz w:val="22"/>
                <w:szCs w:val="22"/>
              </w:rPr>
            </w:pPr>
            <w:r w:rsidRPr="009C79E5">
              <w:rPr>
                <w:sz w:val="22"/>
                <w:szCs w:val="22"/>
              </w:rPr>
              <w:t>FCC Consumer Advisory Committee Meeting (briefing)</w:t>
            </w:r>
          </w:p>
        </w:tc>
        <w:tc>
          <w:tcPr>
            <w:tcW w:w="2299"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rPr>
                <w:sz w:val="22"/>
                <w:szCs w:val="22"/>
              </w:rPr>
            </w:pPr>
            <w:r w:rsidRPr="009C79E5">
              <w:rPr>
                <w:sz w:val="22"/>
                <w:szCs w:val="22"/>
              </w:rPr>
              <w:t>Washington, DC</w:t>
            </w:r>
          </w:p>
        </w:tc>
      </w:tr>
      <w:tr w:rsidR="00C93461" w:rsidRPr="009C79E5" w:rsidTr="00DD5B74">
        <w:trPr>
          <w:cantSplit/>
          <w:trHeight w:val="287"/>
        </w:trPr>
        <w:tc>
          <w:tcPr>
            <w:tcW w:w="2430"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rPr>
                <w:sz w:val="22"/>
                <w:szCs w:val="22"/>
              </w:rPr>
            </w:pPr>
            <w:r w:rsidRPr="009C79E5">
              <w:rPr>
                <w:sz w:val="22"/>
                <w:szCs w:val="22"/>
              </w:rPr>
              <w:t>May 8, 2013</w:t>
            </w:r>
          </w:p>
        </w:tc>
        <w:tc>
          <w:tcPr>
            <w:tcW w:w="4631"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rPr>
                <w:sz w:val="22"/>
                <w:szCs w:val="22"/>
              </w:rPr>
            </w:pPr>
            <w:r w:rsidRPr="009C79E5">
              <w:rPr>
                <w:sz w:val="22"/>
                <w:szCs w:val="22"/>
              </w:rPr>
              <w:t xml:space="preserve">Deaf-Blind Training Presentation (videoconference) </w:t>
            </w:r>
          </w:p>
        </w:tc>
        <w:tc>
          <w:tcPr>
            <w:tcW w:w="2299"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rPr>
                <w:sz w:val="22"/>
                <w:szCs w:val="22"/>
              </w:rPr>
            </w:pPr>
            <w:r w:rsidRPr="009C79E5">
              <w:rPr>
                <w:sz w:val="22"/>
                <w:szCs w:val="22"/>
              </w:rPr>
              <w:t>Videoconference</w:t>
            </w:r>
          </w:p>
        </w:tc>
      </w:tr>
      <w:tr w:rsidR="00C93461" w:rsidRPr="009C79E5" w:rsidTr="00DD5B74">
        <w:trPr>
          <w:cantSplit/>
          <w:trHeight w:val="143"/>
        </w:trPr>
        <w:tc>
          <w:tcPr>
            <w:tcW w:w="2430"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keepNext/>
              <w:keepLines/>
              <w:jc w:val="center"/>
              <w:rPr>
                <w:rFonts w:eastAsia="ヒラギノ角ゴ Pro W3"/>
                <w:b/>
                <w:sz w:val="22"/>
                <w:szCs w:val="22"/>
              </w:rPr>
            </w:pPr>
            <w:r w:rsidRPr="009C79E5">
              <w:rPr>
                <w:b/>
                <w:sz w:val="22"/>
                <w:szCs w:val="22"/>
              </w:rPr>
              <w:t>Date(s)</w:t>
            </w:r>
          </w:p>
        </w:tc>
        <w:tc>
          <w:tcPr>
            <w:tcW w:w="4631"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keepNext/>
              <w:keepLines/>
              <w:jc w:val="center"/>
              <w:rPr>
                <w:rFonts w:eastAsia="ヒラギノ角ゴ Pro W3"/>
                <w:b/>
                <w:sz w:val="22"/>
                <w:szCs w:val="22"/>
              </w:rPr>
            </w:pPr>
            <w:r w:rsidRPr="009C79E5">
              <w:rPr>
                <w:b/>
                <w:sz w:val="22"/>
                <w:szCs w:val="22"/>
              </w:rPr>
              <w:t>Group Name (Type of Event)</w:t>
            </w:r>
          </w:p>
        </w:tc>
        <w:tc>
          <w:tcPr>
            <w:tcW w:w="2299"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keepNext/>
              <w:keepLines/>
              <w:jc w:val="center"/>
              <w:rPr>
                <w:rFonts w:eastAsia="ヒラギノ角ゴ Pro W3"/>
                <w:b/>
                <w:sz w:val="22"/>
                <w:szCs w:val="22"/>
              </w:rPr>
            </w:pPr>
            <w:r w:rsidRPr="009C79E5">
              <w:rPr>
                <w:b/>
                <w:sz w:val="22"/>
                <w:szCs w:val="22"/>
              </w:rPr>
              <w:t>Location</w:t>
            </w:r>
          </w:p>
        </w:tc>
      </w:tr>
      <w:tr w:rsidR="00C93461" w:rsidRPr="009C79E5" w:rsidTr="00DD5B74">
        <w:trPr>
          <w:cantSplit/>
          <w:trHeight w:val="242"/>
        </w:trPr>
        <w:tc>
          <w:tcPr>
            <w:tcW w:w="2430"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keepNext/>
              <w:keepLines/>
              <w:rPr>
                <w:rFonts w:eastAsia="ヒラギノ角ゴ Pro W3"/>
                <w:sz w:val="22"/>
                <w:szCs w:val="22"/>
              </w:rPr>
            </w:pPr>
            <w:r w:rsidRPr="009C79E5">
              <w:rPr>
                <w:sz w:val="22"/>
                <w:szCs w:val="22"/>
              </w:rPr>
              <w:t>May 10, 2013</w:t>
            </w:r>
          </w:p>
        </w:tc>
        <w:tc>
          <w:tcPr>
            <w:tcW w:w="4631"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keepNext/>
              <w:keepLines/>
              <w:rPr>
                <w:rFonts w:eastAsia="ヒラギノ角ゴ Pro W3"/>
                <w:sz w:val="22"/>
                <w:szCs w:val="22"/>
              </w:rPr>
            </w:pPr>
            <w:r w:rsidRPr="009C79E5">
              <w:rPr>
                <w:sz w:val="22"/>
                <w:szCs w:val="22"/>
              </w:rPr>
              <w:t>DC Office on Aging’s Senior Symposium (symposium)</w:t>
            </w:r>
          </w:p>
        </w:tc>
        <w:tc>
          <w:tcPr>
            <w:tcW w:w="2299"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keepNext/>
              <w:keepLines/>
              <w:rPr>
                <w:rFonts w:eastAsia="ヒラギノ角ゴ Pro W3"/>
                <w:sz w:val="22"/>
                <w:szCs w:val="22"/>
              </w:rPr>
            </w:pPr>
            <w:r w:rsidRPr="009C79E5">
              <w:rPr>
                <w:sz w:val="22"/>
                <w:szCs w:val="22"/>
              </w:rPr>
              <w:t>Washington, DC</w:t>
            </w:r>
          </w:p>
        </w:tc>
      </w:tr>
      <w:tr w:rsidR="00C93461" w:rsidRPr="009C79E5" w:rsidTr="00DD5B74">
        <w:trPr>
          <w:cantSplit/>
          <w:trHeight w:val="242"/>
        </w:trPr>
        <w:tc>
          <w:tcPr>
            <w:tcW w:w="2430"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rPr>
                <w:rFonts w:eastAsia="ヒラギノ角ゴ Pro W3"/>
                <w:sz w:val="22"/>
                <w:szCs w:val="22"/>
              </w:rPr>
            </w:pPr>
            <w:r w:rsidRPr="009C79E5">
              <w:rPr>
                <w:sz w:val="22"/>
                <w:szCs w:val="22"/>
              </w:rPr>
              <w:t>May 18, 2013</w:t>
            </w:r>
          </w:p>
          <w:p w:rsidR="00C93461" w:rsidRPr="009C79E5" w:rsidRDefault="00C93461" w:rsidP="00476E6F">
            <w:pPr>
              <w:rPr>
                <w:rFonts w:eastAsia="ヒラギノ角ゴ Pro W3"/>
                <w:sz w:val="22"/>
                <w:szCs w:val="22"/>
              </w:rPr>
            </w:pPr>
          </w:p>
        </w:tc>
        <w:tc>
          <w:tcPr>
            <w:tcW w:w="4631"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rPr>
                <w:rFonts w:eastAsia="ヒラギノ角ゴ Pro W3"/>
                <w:sz w:val="22"/>
                <w:szCs w:val="22"/>
              </w:rPr>
            </w:pPr>
            <w:r w:rsidRPr="009C79E5">
              <w:rPr>
                <w:sz w:val="22"/>
                <w:szCs w:val="22"/>
              </w:rPr>
              <w:t>DC Office of the Chief Technology Officer’s Digital DC Conference (conference)</w:t>
            </w:r>
          </w:p>
        </w:tc>
        <w:tc>
          <w:tcPr>
            <w:tcW w:w="2299"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rPr>
                <w:rFonts w:eastAsia="ヒラギノ角ゴ Pro W3"/>
                <w:sz w:val="22"/>
                <w:szCs w:val="22"/>
              </w:rPr>
            </w:pPr>
            <w:r w:rsidRPr="009C79E5">
              <w:rPr>
                <w:sz w:val="22"/>
                <w:szCs w:val="22"/>
              </w:rPr>
              <w:t>Washington, DC</w:t>
            </w:r>
          </w:p>
          <w:p w:rsidR="00C93461" w:rsidRPr="009C79E5" w:rsidRDefault="00C93461" w:rsidP="00476E6F">
            <w:pPr>
              <w:rPr>
                <w:rFonts w:eastAsia="ヒラギノ角ゴ Pro W3"/>
                <w:sz w:val="22"/>
                <w:szCs w:val="22"/>
              </w:rPr>
            </w:pPr>
          </w:p>
        </w:tc>
      </w:tr>
      <w:tr w:rsidR="00C93461" w:rsidRPr="009C79E5" w:rsidTr="00DD5B74">
        <w:trPr>
          <w:cantSplit/>
          <w:trHeight w:val="242"/>
        </w:trPr>
        <w:tc>
          <w:tcPr>
            <w:tcW w:w="2430"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rPr>
                <w:rFonts w:eastAsia="ヒラギノ角ゴ Pro W3"/>
                <w:sz w:val="22"/>
                <w:szCs w:val="22"/>
              </w:rPr>
            </w:pPr>
            <w:r w:rsidRPr="009C79E5">
              <w:rPr>
                <w:sz w:val="22"/>
                <w:szCs w:val="22"/>
              </w:rPr>
              <w:t>May 20, 2013</w:t>
            </w:r>
          </w:p>
        </w:tc>
        <w:tc>
          <w:tcPr>
            <w:tcW w:w="4631"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rPr>
                <w:rFonts w:eastAsia="ヒラギノ角ゴ Pro W3"/>
                <w:sz w:val="22"/>
                <w:szCs w:val="22"/>
              </w:rPr>
            </w:pPr>
            <w:r w:rsidRPr="009C79E5">
              <w:rPr>
                <w:sz w:val="22"/>
                <w:szCs w:val="22"/>
              </w:rPr>
              <w:t>DDW/Department of State EMPOWER program with group of Filipinos (meeting)</w:t>
            </w:r>
          </w:p>
        </w:tc>
        <w:tc>
          <w:tcPr>
            <w:tcW w:w="2299"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rPr>
                <w:rFonts w:eastAsia="ヒラギノ角ゴ Pro W3"/>
                <w:sz w:val="22"/>
                <w:szCs w:val="22"/>
              </w:rPr>
            </w:pPr>
            <w:r w:rsidRPr="009C79E5">
              <w:rPr>
                <w:sz w:val="22"/>
                <w:szCs w:val="22"/>
              </w:rPr>
              <w:t>Washington, DC</w:t>
            </w:r>
          </w:p>
        </w:tc>
      </w:tr>
      <w:tr w:rsidR="00C93461" w:rsidRPr="009C79E5" w:rsidTr="00DD5B74">
        <w:trPr>
          <w:cantSplit/>
          <w:trHeight w:val="480"/>
        </w:trPr>
        <w:tc>
          <w:tcPr>
            <w:tcW w:w="2430"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rPr>
                <w:rFonts w:eastAsia="ヒラギノ角ゴ Pro W3"/>
                <w:sz w:val="22"/>
                <w:szCs w:val="22"/>
              </w:rPr>
            </w:pPr>
            <w:r w:rsidRPr="009C79E5">
              <w:rPr>
                <w:sz w:val="22"/>
                <w:szCs w:val="22"/>
              </w:rPr>
              <w:t>May 23-27, 2013</w:t>
            </w:r>
          </w:p>
        </w:tc>
        <w:tc>
          <w:tcPr>
            <w:tcW w:w="4631"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rPr>
                <w:rFonts w:eastAsia="ヒラギノ角ゴ Pro W3"/>
                <w:sz w:val="22"/>
                <w:szCs w:val="22"/>
              </w:rPr>
            </w:pPr>
            <w:r w:rsidRPr="009C79E5">
              <w:rPr>
                <w:sz w:val="22"/>
                <w:szCs w:val="22"/>
              </w:rPr>
              <w:t>Germany Deaf History International Organization (instructional seminars in three cities)</w:t>
            </w:r>
          </w:p>
        </w:tc>
        <w:tc>
          <w:tcPr>
            <w:tcW w:w="2299"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rPr>
                <w:rFonts w:eastAsia="ヒラギノ角ゴ Pro W3"/>
                <w:sz w:val="22"/>
                <w:szCs w:val="22"/>
              </w:rPr>
            </w:pPr>
            <w:r w:rsidRPr="009C79E5">
              <w:rPr>
                <w:sz w:val="22"/>
                <w:szCs w:val="22"/>
              </w:rPr>
              <w:t>Frankfurt, Timmendorfer, and Munich, Germany</w:t>
            </w:r>
          </w:p>
        </w:tc>
      </w:tr>
      <w:tr w:rsidR="00C93461" w:rsidRPr="009C79E5" w:rsidTr="00DD5B74">
        <w:trPr>
          <w:cantSplit/>
          <w:trHeight w:val="773"/>
        </w:trPr>
        <w:tc>
          <w:tcPr>
            <w:tcW w:w="2430"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rPr>
                <w:rFonts w:eastAsia="ヒラギノ角ゴ Pro W3"/>
                <w:sz w:val="22"/>
                <w:szCs w:val="22"/>
              </w:rPr>
            </w:pPr>
            <w:r w:rsidRPr="009C79E5">
              <w:rPr>
                <w:sz w:val="22"/>
                <w:szCs w:val="22"/>
              </w:rPr>
              <w:t>June 3-4, 2013</w:t>
            </w:r>
          </w:p>
        </w:tc>
        <w:tc>
          <w:tcPr>
            <w:tcW w:w="4631"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rPr>
                <w:rFonts w:eastAsia="ヒラギノ角ゴ Pro W3"/>
                <w:sz w:val="22"/>
                <w:szCs w:val="22"/>
              </w:rPr>
            </w:pPr>
            <w:r w:rsidRPr="009C79E5">
              <w:rPr>
                <w:sz w:val="22"/>
                <w:szCs w:val="22"/>
              </w:rPr>
              <w:t>International Telecommunications Union, Telecommunications Sector  (various workshops)</w:t>
            </w:r>
          </w:p>
        </w:tc>
        <w:tc>
          <w:tcPr>
            <w:tcW w:w="2299"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rPr>
                <w:rFonts w:eastAsia="ヒラギノ角ゴ Pro W3"/>
                <w:sz w:val="22"/>
                <w:szCs w:val="22"/>
              </w:rPr>
            </w:pPr>
            <w:r w:rsidRPr="009C79E5">
              <w:rPr>
                <w:sz w:val="22"/>
                <w:szCs w:val="22"/>
              </w:rPr>
              <w:t>Geneva, Switzerland (remote from Gallaudet University, Washington, DC)</w:t>
            </w:r>
          </w:p>
        </w:tc>
      </w:tr>
      <w:tr w:rsidR="00C93461" w:rsidRPr="009C79E5" w:rsidTr="00DD5B74">
        <w:trPr>
          <w:cantSplit/>
          <w:trHeight w:val="1007"/>
        </w:trPr>
        <w:tc>
          <w:tcPr>
            <w:tcW w:w="2430"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keepNext/>
              <w:keepLines/>
              <w:rPr>
                <w:rFonts w:eastAsia="ヒラギノ角ゴ Pro W3"/>
                <w:sz w:val="22"/>
                <w:szCs w:val="22"/>
              </w:rPr>
            </w:pPr>
            <w:r w:rsidRPr="009C79E5">
              <w:rPr>
                <w:sz w:val="22"/>
                <w:szCs w:val="22"/>
              </w:rPr>
              <w:t>June 5, 2013</w:t>
            </w:r>
          </w:p>
        </w:tc>
        <w:tc>
          <w:tcPr>
            <w:tcW w:w="4631"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rPr>
                <w:rFonts w:eastAsia="ヒラギノ角ゴ Pro W3"/>
                <w:sz w:val="22"/>
                <w:szCs w:val="22"/>
              </w:rPr>
            </w:pPr>
            <w:r w:rsidRPr="009C79E5">
              <w:rPr>
                <w:sz w:val="22"/>
                <w:szCs w:val="22"/>
              </w:rPr>
              <w:t>Pre-M-Enabling Summit Briefing Sessions on</w:t>
            </w:r>
          </w:p>
          <w:p w:rsidR="00C93461" w:rsidRPr="009C79E5" w:rsidRDefault="00C93461" w:rsidP="00476E6F">
            <w:pPr>
              <w:rPr>
                <w:rFonts w:eastAsia="ヒラギノ角ゴ Pro W3"/>
                <w:sz w:val="22"/>
                <w:szCs w:val="22"/>
              </w:rPr>
            </w:pPr>
            <w:r w:rsidRPr="009C79E5">
              <w:rPr>
                <w:sz w:val="22"/>
                <w:szCs w:val="22"/>
              </w:rPr>
              <w:t>Implementation of the 21st Century Communications and Video Accessibility Act (conference)</w:t>
            </w:r>
          </w:p>
        </w:tc>
        <w:tc>
          <w:tcPr>
            <w:tcW w:w="2299"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keepNext/>
              <w:keepLines/>
              <w:rPr>
                <w:rFonts w:eastAsia="ヒラギノ角ゴ Pro W3"/>
                <w:sz w:val="22"/>
                <w:szCs w:val="22"/>
              </w:rPr>
            </w:pPr>
            <w:r w:rsidRPr="009C79E5">
              <w:rPr>
                <w:sz w:val="22"/>
                <w:szCs w:val="22"/>
              </w:rPr>
              <w:t>Washington, DC</w:t>
            </w:r>
          </w:p>
        </w:tc>
      </w:tr>
      <w:tr w:rsidR="00C93461" w:rsidRPr="009C79E5" w:rsidTr="00DD5B74">
        <w:trPr>
          <w:cantSplit/>
          <w:trHeight w:val="330"/>
        </w:trPr>
        <w:tc>
          <w:tcPr>
            <w:tcW w:w="2430"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keepNext/>
              <w:keepLines/>
              <w:rPr>
                <w:rFonts w:eastAsia="ヒラギノ角ゴ Pro W3"/>
                <w:sz w:val="22"/>
                <w:szCs w:val="22"/>
              </w:rPr>
            </w:pPr>
            <w:r w:rsidRPr="009C79E5">
              <w:rPr>
                <w:sz w:val="22"/>
                <w:szCs w:val="22"/>
              </w:rPr>
              <w:t>June 6-7, 2013</w:t>
            </w:r>
          </w:p>
        </w:tc>
        <w:tc>
          <w:tcPr>
            <w:tcW w:w="4631"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rPr>
                <w:rFonts w:eastAsia="ヒラギノ角ゴ Pro W3"/>
                <w:sz w:val="22"/>
                <w:szCs w:val="22"/>
              </w:rPr>
            </w:pPr>
            <w:r w:rsidRPr="009C79E5">
              <w:rPr>
                <w:sz w:val="22"/>
                <w:szCs w:val="22"/>
              </w:rPr>
              <w:t>M-Enabling Summit (conference)</w:t>
            </w:r>
          </w:p>
        </w:tc>
        <w:tc>
          <w:tcPr>
            <w:tcW w:w="2299"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keepNext/>
              <w:keepLines/>
              <w:rPr>
                <w:rFonts w:eastAsia="ヒラギノ角ゴ Pro W3"/>
                <w:sz w:val="22"/>
                <w:szCs w:val="22"/>
              </w:rPr>
            </w:pPr>
            <w:r w:rsidRPr="009C79E5">
              <w:rPr>
                <w:sz w:val="22"/>
                <w:szCs w:val="22"/>
              </w:rPr>
              <w:t>Arlington, VA</w:t>
            </w:r>
          </w:p>
        </w:tc>
      </w:tr>
      <w:tr w:rsidR="00C93461" w:rsidRPr="009C79E5" w:rsidTr="00DD5B74">
        <w:trPr>
          <w:cantSplit/>
          <w:trHeight w:val="476"/>
        </w:trPr>
        <w:tc>
          <w:tcPr>
            <w:tcW w:w="2430"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keepNext/>
              <w:keepLines/>
              <w:rPr>
                <w:rFonts w:eastAsia="ヒラギノ角ゴ Pro W3"/>
                <w:sz w:val="22"/>
                <w:szCs w:val="22"/>
              </w:rPr>
            </w:pPr>
            <w:r w:rsidRPr="009C79E5">
              <w:rPr>
                <w:sz w:val="22"/>
                <w:szCs w:val="22"/>
              </w:rPr>
              <w:t>June 5, 2013</w:t>
            </w:r>
          </w:p>
        </w:tc>
        <w:tc>
          <w:tcPr>
            <w:tcW w:w="4631"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rPr>
                <w:rFonts w:eastAsia="ヒラギノ角ゴ Pro W3"/>
                <w:sz w:val="22"/>
                <w:szCs w:val="22"/>
              </w:rPr>
            </w:pPr>
            <w:r w:rsidRPr="009C79E5">
              <w:rPr>
                <w:sz w:val="22"/>
                <w:szCs w:val="22"/>
              </w:rPr>
              <w:t>Sprint STARS Conference (conference)</w:t>
            </w:r>
          </w:p>
        </w:tc>
        <w:tc>
          <w:tcPr>
            <w:tcW w:w="2299"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keepNext/>
              <w:keepLines/>
              <w:rPr>
                <w:rFonts w:eastAsia="ヒラギノ角ゴ Pro W3"/>
                <w:sz w:val="22"/>
                <w:szCs w:val="22"/>
              </w:rPr>
            </w:pPr>
            <w:r w:rsidRPr="009C79E5">
              <w:rPr>
                <w:sz w:val="22"/>
                <w:szCs w:val="22"/>
              </w:rPr>
              <w:t>(remote from Washington, DC)</w:t>
            </w:r>
          </w:p>
        </w:tc>
      </w:tr>
      <w:tr w:rsidR="00C93461" w:rsidRPr="009C79E5" w:rsidTr="00DD5B74">
        <w:trPr>
          <w:cantSplit/>
          <w:trHeight w:val="480"/>
        </w:trPr>
        <w:tc>
          <w:tcPr>
            <w:tcW w:w="2430"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rPr>
                <w:rFonts w:eastAsia="ヒラギノ角ゴ Pro W3"/>
                <w:sz w:val="22"/>
                <w:szCs w:val="22"/>
              </w:rPr>
            </w:pPr>
            <w:r w:rsidRPr="009C79E5">
              <w:rPr>
                <w:sz w:val="22"/>
                <w:szCs w:val="22"/>
              </w:rPr>
              <w:t>June 12, 2013</w:t>
            </w:r>
          </w:p>
          <w:p w:rsidR="00C93461" w:rsidRPr="009C79E5" w:rsidRDefault="00C93461" w:rsidP="00476E6F">
            <w:pPr>
              <w:rPr>
                <w:rFonts w:eastAsia="ヒラギノ角ゴ Pro W3"/>
                <w:sz w:val="22"/>
                <w:szCs w:val="22"/>
              </w:rPr>
            </w:pPr>
          </w:p>
        </w:tc>
        <w:tc>
          <w:tcPr>
            <w:tcW w:w="4631"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rPr>
                <w:rFonts w:eastAsia="ヒラギノ角ゴ Pro W3"/>
                <w:sz w:val="22"/>
                <w:szCs w:val="22"/>
              </w:rPr>
            </w:pPr>
            <w:r w:rsidRPr="009C79E5">
              <w:rPr>
                <w:sz w:val="22"/>
                <w:szCs w:val="22"/>
              </w:rPr>
              <w:t>Cloud and Accessibility Workshop at the National Science Foundation (workshop)</w:t>
            </w:r>
          </w:p>
        </w:tc>
        <w:tc>
          <w:tcPr>
            <w:tcW w:w="2299"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rPr>
                <w:rFonts w:eastAsia="ヒラギノ角ゴ Pro W3"/>
                <w:sz w:val="22"/>
                <w:szCs w:val="22"/>
              </w:rPr>
            </w:pPr>
            <w:r w:rsidRPr="009C79E5">
              <w:rPr>
                <w:sz w:val="22"/>
                <w:szCs w:val="22"/>
              </w:rPr>
              <w:t>Arlington, VA</w:t>
            </w:r>
          </w:p>
          <w:p w:rsidR="00C93461" w:rsidRPr="009C79E5" w:rsidRDefault="00C93461" w:rsidP="00476E6F">
            <w:pPr>
              <w:keepNext/>
              <w:keepLines/>
              <w:rPr>
                <w:rFonts w:eastAsia="ヒラギノ角ゴ Pro W3"/>
                <w:sz w:val="22"/>
                <w:szCs w:val="22"/>
              </w:rPr>
            </w:pPr>
          </w:p>
        </w:tc>
      </w:tr>
      <w:tr w:rsidR="00C93461" w:rsidRPr="009C79E5" w:rsidTr="00DD5B74">
        <w:trPr>
          <w:cantSplit/>
          <w:trHeight w:val="125"/>
        </w:trPr>
        <w:tc>
          <w:tcPr>
            <w:tcW w:w="2430"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keepNext/>
              <w:keepLines/>
              <w:rPr>
                <w:rFonts w:eastAsia="ヒラギノ角ゴ Pro W3"/>
                <w:sz w:val="22"/>
                <w:szCs w:val="22"/>
              </w:rPr>
            </w:pPr>
            <w:r w:rsidRPr="009C79E5">
              <w:rPr>
                <w:sz w:val="22"/>
                <w:szCs w:val="22"/>
              </w:rPr>
              <w:t>June 14, 2013</w:t>
            </w:r>
          </w:p>
        </w:tc>
        <w:tc>
          <w:tcPr>
            <w:tcW w:w="4631"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rPr>
                <w:rFonts w:eastAsia="ヒラギノ角ゴ Pro W3"/>
                <w:sz w:val="22"/>
                <w:szCs w:val="22"/>
              </w:rPr>
            </w:pPr>
            <w:r w:rsidRPr="009C79E5">
              <w:rPr>
                <w:sz w:val="22"/>
                <w:szCs w:val="22"/>
              </w:rPr>
              <w:t xml:space="preserve">Emergency Access Advisory Committee Meeting </w:t>
            </w:r>
          </w:p>
        </w:tc>
        <w:tc>
          <w:tcPr>
            <w:tcW w:w="2299"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keepNext/>
              <w:keepLines/>
              <w:rPr>
                <w:rFonts w:eastAsia="ヒラギノ角ゴ Pro W3"/>
                <w:sz w:val="22"/>
                <w:szCs w:val="22"/>
              </w:rPr>
            </w:pPr>
            <w:r w:rsidRPr="009C79E5">
              <w:rPr>
                <w:sz w:val="22"/>
                <w:szCs w:val="22"/>
              </w:rPr>
              <w:t>Washington, DC</w:t>
            </w:r>
          </w:p>
        </w:tc>
      </w:tr>
      <w:tr w:rsidR="00C93461" w:rsidRPr="009C79E5" w:rsidTr="00DD5B74">
        <w:trPr>
          <w:cantSplit/>
          <w:trHeight w:val="480"/>
        </w:trPr>
        <w:tc>
          <w:tcPr>
            <w:tcW w:w="2430"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rPr>
                <w:rFonts w:eastAsia="ヒラギノ角ゴ Pro W3"/>
                <w:sz w:val="22"/>
                <w:szCs w:val="22"/>
              </w:rPr>
            </w:pPr>
            <w:r w:rsidRPr="009C79E5">
              <w:rPr>
                <w:sz w:val="22"/>
                <w:szCs w:val="22"/>
              </w:rPr>
              <w:t>June 18, 2013</w:t>
            </w:r>
          </w:p>
        </w:tc>
        <w:tc>
          <w:tcPr>
            <w:tcW w:w="4631"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rPr>
                <w:rFonts w:eastAsia="ヒラギノ角ゴ Pro W3"/>
                <w:sz w:val="22"/>
                <w:szCs w:val="22"/>
              </w:rPr>
            </w:pPr>
            <w:r w:rsidRPr="009C79E5">
              <w:rPr>
                <w:sz w:val="22"/>
                <w:szCs w:val="22"/>
              </w:rPr>
              <w:t>State and Local Government Webinar:</w:t>
            </w:r>
            <w:r w:rsidRPr="009C79E5">
              <w:rPr>
                <w:sz w:val="22"/>
                <w:szCs w:val="22"/>
              </w:rPr>
              <w:br/>
              <w:t>Accessible Next Generation 911 and Text to 911 (webinar)</w:t>
            </w:r>
          </w:p>
        </w:tc>
        <w:tc>
          <w:tcPr>
            <w:tcW w:w="2299"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rPr>
                <w:rFonts w:eastAsia="ヒラギノ角ゴ Pro W3"/>
                <w:sz w:val="22"/>
                <w:szCs w:val="22"/>
              </w:rPr>
            </w:pPr>
            <w:r w:rsidRPr="009C79E5">
              <w:rPr>
                <w:sz w:val="22"/>
                <w:szCs w:val="22"/>
              </w:rPr>
              <w:t xml:space="preserve">Washington DC </w:t>
            </w:r>
          </w:p>
        </w:tc>
      </w:tr>
      <w:tr w:rsidR="00C93461" w:rsidRPr="009C79E5" w:rsidTr="00DD5B74">
        <w:trPr>
          <w:cantSplit/>
          <w:trHeight w:val="480"/>
        </w:trPr>
        <w:tc>
          <w:tcPr>
            <w:tcW w:w="2430"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rPr>
                <w:rFonts w:eastAsia="ヒラギノ角ゴ Pro W3"/>
                <w:sz w:val="22"/>
                <w:szCs w:val="22"/>
              </w:rPr>
            </w:pPr>
            <w:r w:rsidRPr="009C79E5">
              <w:rPr>
                <w:sz w:val="22"/>
                <w:szCs w:val="22"/>
              </w:rPr>
              <w:t>July 1, 2013</w:t>
            </w:r>
          </w:p>
        </w:tc>
        <w:tc>
          <w:tcPr>
            <w:tcW w:w="4631"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rPr>
                <w:rFonts w:eastAsia="ヒラギノ角ゴ Pro W3"/>
                <w:sz w:val="22"/>
                <w:szCs w:val="22"/>
              </w:rPr>
            </w:pPr>
            <w:r w:rsidRPr="009C79E5">
              <w:rPr>
                <w:sz w:val="22"/>
                <w:szCs w:val="22"/>
              </w:rPr>
              <w:t>National Association of Telecommunications Officers and Advisors (webinar)</w:t>
            </w:r>
          </w:p>
        </w:tc>
        <w:tc>
          <w:tcPr>
            <w:tcW w:w="2299"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rPr>
                <w:rFonts w:eastAsia="ヒラギノ角ゴ Pro W3"/>
                <w:sz w:val="22"/>
                <w:szCs w:val="22"/>
              </w:rPr>
            </w:pPr>
            <w:r w:rsidRPr="009C79E5">
              <w:rPr>
                <w:sz w:val="22"/>
                <w:szCs w:val="22"/>
              </w:rPr>
              <w:t>Briefing via Webinar, Washington, DC</w:t>
            </w:r>
          </w:p>
        </w:tc>
      </w:tr>
      <w:tr w:rsidR="00C93461" w:rsidRPr="009C79E5" w:rsidTr="00DD5B74">
        <w:trPr>
          <w:cantSplit/>
          <w:trHeight w:val="143"/>
        </w:trPr>
        <w:tc>
          <w:tcPr>
            <w:tcW w:w="2430"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keepNext/>
              <w:keepLines/>
              <w:jc w:val="center"/>
              <w:rPr>
                <w:rFonts w:eastAsia="ヒラギノ角ゴ Pro W3"/>
                <w:b/>
                <w:sz w:val="22"/>
                <w:szCs w:val="22"/>
              </w:rPr>
            </w:pPr>
            <w:r w:rsidRPr="009C79E5">
              <w:rPr>
                <w:b/>
                <w:sz w:val="22"/>
                <w:szCs w:val="22"/>
              </w:rPr>
              <w:t>Date(s)</w:t>
            </w:r>
          </w:p>
        </w:tc>
        <w:tc>
          <w:tcPr>
            <w:tcW w:w="4631"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keepNext/>
              <w:keepLines/>
              <w:jc w:val="center"/>
              <w:rPr>
                <w:rFonts w:eastAsia="ヒラギノ角ゴ Pro W3"/>
                <w:b/>
                <w:sz w:val="22"/>
                <w:szCs w:val="22"/>
              </w:rPr>
            </w:pPr>
            <w:r w:rsidRPr="009C79E5">
              <w:rPr>
                <w:b/>
                <w:sz w:val="22"/>
                <w:szCs w:val="22"/>
              </w:rPr>
              <w:t>Group Name (Type of Event)</w:t>
            </w:r>
          </w:p>
        </w:tc>
        <w:tc>
          <w:tcPr>
            <w:tcW w:w="2299"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keepNext/>
              <w:keepLines/>
              <w:jc w:val="center"/>
              <w:rPr>
                <w:rFonts w:eastAsia="ヒラギノ角ゴ Pro W3"/>
                <w:b/>
                <w:sz w:val="22"/>
                <w:szCs w:val="22"/>
              </w:rPr>
            </w:pPr>
            <w:r w:rsidRPr="009C79E5">
              <w:rPr>
                <w:b/>
                <w:sz w:val="22"/>
                <w:szCs w:val="22"/>
              </w:rPr>
              <w:t>Location</w:t>
            </w:r>
          </w:p>
        </w:tc>
      </w:tr>
      <w:tr w:rsidR="00C93461" w:rsidRPr="009C79E5" w:rsidTr="00DD5B74">
        <w:trPr>
          <w:cantSplit/>
          <w:trHeight w:val="480"/>
        </w:trPr>
        <w:tc>
          <w:tcPr>
            <w:tcW w:w="2430"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keepNext/>
              <w:keepLines/>
              <w:rPr>
                <w:rFonts w:eastAsia="ヒラギノ角ゴ Pro W3"/>
                <w:sz w:val="22"/>
                <w:szCs w:val="22"/>
              </w:rPr>
            </w:pPr>
            <w:r w:rsidRPr="009C79E5">
              <w:rPr>
                <w:sz w:val="22"/>
                <w:szCs w:val="22"/>
              </w:rPr>
              <w:t>July 16, 2013</w:t>
            </w:r>
          </w:p>
        </w:tc>
        <w:tc>
          <w:tcPr>
            <w:tcW w:w="4631"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keepNext/>
              <w:keepLines/>
              <w:rPr>
                <w:rFonts w:eastAsia="ヒラギノ角ゴ Pro W3"/>
                <w:sz w:val="22"/>
                <w:szCs w:val="22"/>
              </w:rPr>
            </w:pPr>
            <w:r w:rsidRPr="009C79E5">
              <w:rPr>
                <w:sz w:val="22"/>
                <w:szCs w:val="22"/>
              </w:rPr>
              <w:t>Accessibility &amp; Innovation Initiative Speaker Series Presents Clayton Lewis: The Future of Inclusive Design Online (speaker series)</w:t>
            </w:r>
          </w:p>
        </w:tc>
        <w:tc>
          <w:tcPr>
            <w:tcW w:w="2299"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keepNext/>
              <w:keepLines/>
              <w:rPr>
                <w:rFonts w:eastAsia="ヒラギノ角ゴ Pro W3"/>
                <w:sz w:val="22"/>
                <w:szCs w:val="22"/>
              </w:rPr>
            </w:pPr>
            <w:r w:rsidRPr="009C79E5">
              <w:rPr>
                <w:sz w:val="22"/>
                <w:szCs w:val="22"/>
              </w:rPr>
              <w:t>Washington, DC</w:t>
            </w:r>
          </w:p>
        </w:tc>
      </w:tr>
      <w:tr w:rsidR="00C93461" w:rsidRPr="009C79E5" w:rsidTr="00DD5B74">
        <w:trPr>
          <w:cantSplit/>
          <w:trHeight w:val="480"/>
        </w:trPr>
        <w:tc>
          <w:tcPr>
            <w:tcW w:w="2430"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rPr>
                <w:rFonts w:eastAsia="ヒラギノ角ゴ Pro W3"/>
                <w:sz w:val="22"/>
                <w:szCs w:val="22"/>
              </w:rPr>
            </w:pPr>
            <w:r w:rsidRPr="009C79E5">
              <w:rPr>
                <w:sz w:val="22"/>
                <w:szCs w:val="22"/>
              </w:rPr>
              <w:t xml:space="preserve">July 20-23, 2013 </w:t>
            </w:r>
          </w:p>
          <w:p w:rsidR="00C93461" w:rsidRPr="009C79E5" w:rsidRDefault="00C93461" w:rsidP="00476E6F">
            <w:pPr>
              <w:rPr>
                <w:rFonts w:eastAsia="ヒラギノ角ゴ Pro W3"/>
                <w:sz w:val="22"/>
                <w:szCs w:val="22"/>
              </w:rPr>
            </w:pPr>
          </w:p>
        </w:tc>
        <w:tc>
          <w:tcPr>
            <w:tcW w:w="4631"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rPr>
                <w:rFonts w:eastAsia="ヒラギノ角ゴ Pro W3"/>
                <w:sz w:val="22"/>
                <w:szCs w:val="22"/>
              </w:rPr>
            </w:pPr>
            <w:r w:rsidRPr="009C79E5">
              <w:rPr>
                <w:sz w:val="22"/>
                <w:szCs w:val="22"/>
              </w:rPr>
              <w:t>National Council of La Raza’s Annual Conference (conference)</w:t>
            </w:r>
          </w:p>
        </w:tc>
        <w:tc>
          <w:tcPr>
            <w:tcW w:w="2299"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rPr>
                <w:rFonts w:eastAsia="ヒラギノ角ゴ Pro W3"/>
                <w:sz w:val="22"/>
                <w:szCs w:val="22"/>
              </w:rPr>
            </w:pPr>
            <w:r w:rsidRPr="009C79E5">
              <w:rPr>
                <w:sz w:val="22"/>
                <w:szCs w:val="22"/>
              </w:rPr>
              <w:t>New Orleans, LA</w:t>
            </w:r>
          </w:p>
          <w:p w:rsidR="00C93461" w:rsidRPr="009C79E5" w:rsidRDefault="00C93461" w:rsidP="00476E6F">
            <w:pPr>
              <w:rPr>
                <w:rFonts w:eastAsia="ヒラギノ角ゴ Pro W3"/>
                <w:sz w:val="22"/>
                <w:szCs w:val="22"/>
              </w:rPr>
            </w:pPr>
          </w:p>
        </w:tc>
      </w:tr>
      <w:tr w:rsidR="00C93461" w:rsidRPr="009C79E5" w:rsidTr="00DD5B74">
        <w:trPr>
          <w:cantSplit/>
          <w:trHeight w:val="206"/>
        </w:trPr>
        <w:tc>
          <w:tcPr>
            <w:tcW w:w="2430"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rPr>
                <w:rFonts w:eastAsia="ヒラギノ角ゴ Pro W3"/>
                <w:sz w:val="22"/>
                <w:szCs w:val="22"/>
              </w:rPr>
            </w:pPr>
            <w:r w:rsidRPr="009C79E5">
              <w:rPr>
                <w:sz w:val="22"/>
                <w:szCs w:val="22"/>
              </w:rPr>
              <w:t>August 6, 2013</w:t>
            </w:r>
          </w:p>
        </w:tc>
        <w:tc>
          <w:tcPr>
            <w:tcW w:w="4631"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rPr>
                <w:rFonts w:eastAsia="ヒラギノ角ゴ Pro W3"/>
                <w:sz w:val="22"/>
                <w:szCs w:val="22"/>
              </w:rPr>
            </w:pPr>
            <w:r w:rsidRPr="009C79E5">
              <w:rPr>
                <w:sz w:val="22"/>
                <w:szCs w:val="22"/>
              </w:rPr>
              <w:t>National Night Out (event)</w:t>
            </w:r>
          </w:p>
        </w:tc>
        <w:tc>
          <w:tcPr>
            <w:tcW w:w="2299"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rPr>
                <w:rFonts w:eastAsia="ヒラギノ角ゴ Pro W3"/>
                <w:sz w:val="22"/>
                <w:szCs w:val="22"/>
              </w:rPr>
            </w:pPr>
            <w:r w:rsidRPr="009C79E5">
              <w:rPr>
                <w:sz w:val="22"/>
                <w:szCs w:val="22"/>
              </w:rPr>
              <w:t>Washington, DC</w:t>
            </w:r>
          </w:p>
        </w:tc>
      </w:tr>
      <w:tr w:rsidR="00C93461" w:rsidRPr="009C79E5" w:rsidTr="00DD5B74">
        <w:trPr>
          <w:cantSplit/>
          <w:trHeight w:val="720"/>
        </w:trPr>
        <w:tc>
          <w:tcPr>
            <w:tcW w:w="2430"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rPr>
                <w:rFonts w:eastAsia="ヒラギノ角ゴ Pro W3"/>
                <w:sz w:val="22"/>
                <w:szCs w:val="22"/>
              </w:rPr>
            </w:pPr>
            <w:r w:rsidRPr="009C79E5">
              <w:rPr>
                <w:sz w:val="22"/>
                <w:szCs w:val="22"/>
              </w:rPr>
              <w:t>August 14-17, 2013</w:t>
            </w:r>
          </w:p>
        </w:tc>
        <w:tc>
          <w:tcPr>
            <w:tcW w:w="4631"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rPr>
                <w:rFonts w:eastAsia="ヒラギノ角ゴ Pro W3"/>
                <w:sz w:val="22"/>
                <w:szCs w:val="22"/>
              </w:rPr>
            </w:pPr>
            <w:r w:rsidRPr="009C79E5">
              <w:rPr>
                <w:sz w:val="22"/>
                <w:szCs w:val="22"/>
              </w:rPr>
              <w:t>M-Enabling Australasia Conference (conference)</w:t>
            </w:r>
          </w:p>
        </w:tc>
        <w:tc>
          <w:tcPr>
            <w:tcW w:w="2299"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rPr>
                <w:rFonts w:eastAsia="ヒラギノ角ゴ Pro W3"/>
                <w:sz w:val="22"/>
                <w:szCs w:val="22"/>
              </w:rPr>
            </w:pPr>
            <w:r w:rsidRPr="009C79E5">
              <w:rPr>
                <w:sz w:val="22"/>
                <w:szCs w:val="22"/>
              </w:rPr>
              <w:t>Sydney, Australia (also remote to Brisbane and Melbourne)</w:t>
            </w:r>
          </w:p>
        </w:tc>
      </w:tr>
      <w:tr w:rsidR="00C93461" w:rsidRPr="009C79E5" w:rsidTr="00DD5B74">
        <w:trPr>
          <w:cantSplit/>
          <w:trHeight w:val="278"/>
        </w:trPr>
        <w:tc>
          <w:tcPr>
            <w:tcW w:w="2430"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rPr>
                <w:rFonts w:eastAsia="ヒラギノ角ゴ Pro W3"/>
                <w:sz w:val="22"/>
                <w:szCs w:val="22"/>
              </w:rPr>
            </w:pPr>
            <w:r w:rsidRPr="009C79E5">
              <w:rPr>
                <w:sz w:val="22"/>
                <w:szCs w:val="22"/>
              </w:rPr>
              <w:t>August 27, 2013</w:t>
            </w:r>
          </w:p>
        </w:tc>
        <w:tc>
          <w:tcPr>
            <w:tcW w:w="4631"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rPr>
                <w:rFonts w:eastAsia="ヒラギノ角ゴ Pro W3"/>
                <w:sz w:val="22"/>
                <w:szCs w:val="22"/>
              </w:rPr>
            </w:pPr>
            <w:r w:rsidRPr="009C79E5">
              <w:rPr>
                <w:sz w:val="22"/>
                <w:szCs w:val="22"/>
              </w:rPr>
              <w:t>Deaf Seniors of America (workshop)</w:t>
            </w:r>
          </w:p>
        </w:tc>
        <w:tc>
          <w:tcPr>
            <w:tcW w:w="2299"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rPr>
                <w:rFonts w:eastAsia="ヒラギノ角ゴ Pro W3"/>
                <w:sz w:val="22"/>
                <w:szCs w:val="22"/>
              </w:rPr>
            </w:pPr>
            <w:r w:rsidRPr="009C79E5">
              <w:rPr>
                <w:sz w:val="22"/>
                <w:szCs w:val="22"/>
              </w:rPr>
              <w:t>Baltimore, MD</w:t>
            </w:r>
          </w:p>
        </w:tc>
      </w:tr>
      <w:tr w:rsidR="00C93461" w:rsidRPr="009C79E5" w:rsidTr="00DD5B74">
        <w:trPr>
          <w:cantSplit/>
          <w:trHeight w:val="480"/>
        </w:trPr>
        <w:tc>
          <w:tcPr>
            <w:tcW w:w="2430"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rPr>
                <w:rFonts w:eastAsia="ヒラギノ角ゴ Pro W3"/>
                <w:sz w:val="22"/>
                <w:szCs w:val="22"/>
              </w:rPr>
            </w:pPr>
            <w:r w:rsidRPr="009C79E5">
              <w:rPr>
                <w:sz w:val="22"/>
                <w:szCs w:val="22"/>
              </w:rPr>
              <w:t>September 12, 2013</w:t>
            </w:r>
          </w:p>
        </w:tc>
        <w:tc>
          <w:tcPr>
            <w:tcW w:w="4631"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rPr>
                <w:rFonts w:eastAsia="ヒラギノ角ゴ Pro W3"/>
                <w:sz w:val="22"/>
                <w:szCs w:val="22"/>
              </w:rPr>
            </w:pPr>
            <w:r w:rsidRPr="009C79E5">
              <w:rPr>
                <w:sz w:val="22"/>
                <w:szCs w:val="22"/>
              </w:rPr>
              <w:t>Accessibility &amp; Innovation Initiative Speaker Series Presents Yevgen Borodin: Improving Accessibility for the General Public (speaker series)</w:t>
            </w:r>
          </w:p>
        </w:tc>
        <w:tc>
          <w:tcPr>
            <w:tcW w:w="2299"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rPr>
                <w:rFonts w:eastAsia="ヒラギノ角ゴ Pro W3"/>
                <w:sz w:val="22"/>
                <w:szCs w:val="22"/>
              </w:rPr>
            </w:pPr>
            <w:r w:rsidRPr="009C79E5">
              <w:rPr>
                <w:sz w:val="22"/>
                <w:szCs w:val="22"/>
              </w:rPr>
              <w:t>Washington, DC</w:t>
            </w:r>
          </w:p>
        </w:tc>
      </w:tr>
      <w:tr w:rsidR="00C93461" w:rsidRPr="009C79E5" w:rsidTr="00DD5B74">
        <w:trPr>
          <w:cantSplit/>
          <w:trHeight w:val="692"/>
        </w:trPr>
        <w:tc>
          <w:tcPr>
            <w:tcW w:w="2430"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rPr>
                <w:rFonts w:eastAsia="ヒラギノ角ゴ Pro W3"/>
                <w:sz w:val="22"/>
                <w:szCs w:val="22"/>
              </w:rPr>
            </w:pPr>
            <w:r w:rsidRPr="009C79E5">
              <w:rPr>
                <w:sz w:val="22"/>
                <w:szCs w:val="22"/>
              </w:rPr>
              <w:t>September 26, 2013</w:t>
            </w:r>
          </w:p>
        </w:tc>
        <w:tc>
          <w:tcPr>
            <w:tcW w:w="4631"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rPr>
                <w:rFonts w:eastAsia="ヒラギノ角ゴ Pro W3"/>
                <w:sz w:val="22"/>
                <w:szCs w:val="22"/>
              </w:rPr>
            </w:pPr>
            <w:r w:rsidRPr="009C79E5">
              <w:rPr>
                <w:sz w:val="22"/>
                <w:szCs w:val="22"/>
              </w:rPr>
              <w:t>Telecommunications Equipment Distribution Program Association Conference (conference)</w:t>
            </w:r>
          </w:p>
        </w:tc>
        <w:tc>
          <w:tcPr>
            <w:tcW w:w="2299"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rPr>
                <w:rFonts w:eastAsia="ヒラギノ角ゴ Pro W3"/>
                <w:sz w:val="22"/>
                <w:szCs w:val="22"/>
              </w:rPr>
            </w:pPr>
            <w:r w:rsidRPr="009C79E5">
              <w:rPr>
                <w:sz w:val="22"/>
                <w:szCs w:val="22"/>
              </w:rPr>
              <w:t>Albuquerque, NM (remote presentation via video conferencing)</w:t>
            </w:r>
            <w:r w:rsidRPr="009C79E5">
              <w:rPr>
                <w:sz w:val="22"/>
                <w:szCs w:val="22"/>
              </w:rPr>
              <w:tab/>
            </w:r>
          </w:p>
        </w:tc>
      </w:tr>
      <w:tr w:rsidR="00C93461" w:rsidRPr="009C79E5" w:rsidTr="00DD5B74">
        <w:trPr>
          <w:cantSplit/>
          <w:trHeight w:val="323"/>
        </w:trPr>
        <w:tc>
          <w:tcPr>
            <w:tcW w:w="2430"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rPr>
                <w:rFonts w:eastAsia="ヒラギノ角ゴ Pro W3"/>
                <w:sz w:val="22"/>
                <w:szCs w:val="22"/>
              </w:rPr>
            </w:pPr>
            <w:r w:rsidRPr="009C79E5">
              <w:rPr>
                <w:sz w:val="22"/>
                <w:szCs w:val="22"/>
              </w:rPr>
              <w:t>October 7, 2013</w:t>
            </w:r>
          </w:p>
        </w:tc>
        <w:tc>
          <w:tcPr>
            <w:tcW w:w="4631"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rPr>
                <w:rFonts w:eastAsia="ヒラギノ角ゴ Pro W3"/>
                <w:bCs/>
                <w:sz w:val="22"/>
                <w:szCs w:val="22"/>
              </w:rPr>
            </w:pPr>
            <w:r w:rsidRPr="009C79E5">
              <w:rPr>
                <w:bCs/>
                <w:sz w:val="22"/>
                <w:szCs w:val="22"/>
              </w:rPr>
              <w:t>FCC Intergovernmental Advisory Committee (meeting)</w:t>
            </w:r>
          </w:p>
        </w:tc>
        <w:tc>
          <w:tcPr>
            <w:tcW w:w="2299"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BF0859" w:rsidRDefault="00C93461" w:rsidP="00476E6F">
            <w:pPr>
              <w:rPr>
                <w:rFonts w:eastAsia="ヒラギノ角ゴ Pro W3"/>
                <w:sz w:val="22"/>
                <w:szCs w:val="22"/>
              </w:rPr>
            </w:pPr>
            <w:r w:rsidRPr="009C79E5">
              <w:rPr>
                <w:rStyle w:val="Strong1"/>
                <w:rFonts w:ascii="Times New Roman" w:hAnsi="Times New Roman"/>
                <w:b w:val="0"/>
                <w:color w:val="auto"/>
                <w:sz w:val="22"/>
                <w:szCs w:val="22"/>
              </w:rPr>
              <w:t>Washington, DC</w:t>
            </w:r>
          </w:p>
        </w:tc>
      </w:tr>
      <w:tr w:rsidR="00C93461" w:rsidRPr="009C79E5" w:rsidTr="00DD5B74">
        <w:trPr>
          <w:cantSplit/>
          <w:trHeight w:val="720"/>
        </w:trPr>
        <w:tc>
          <w:tcPr>
            <w:tcW w:w="2430"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rPr>
                <w:rFonts w:eastAsia="ヒラギノ角ゴ Pro W3"/>
                <w:sz w:val="22"/>
                <w:szCs w:val="22"/>
              </w:rPr>
            </w:pPr>
            <w:r w:rsidRPr="009C79E5">
              <w:rPr>
                <w:sz w:val="22"/>
                <w:szCs w:val="22"/>
              </w:rPr>
              <w:t>October 29, 2013</w:t>
            </w:r>
          </w:p>
        </w:tc>
        <w:tc>
          <w:tcPr>
            <w:tcW w:w="4631"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rPr>
                <w:rFonts w:eastAsia="ヒラギノ角ゴ Pro W3"/>
                <w:sz w:val="22"/>
                <w:szCs w:val="22"/>
              </w:rPr>
            </w:pPr>
            <w:r w:rsidRPr="009C79E5">
              <w:rPr>
                <w:sz w:val="22"/>
                <w:szCs w:val="22"/>
              </w:rPr>
              <w:t>The Cutting Edge of Access:  How Social Media is Advancing Opportunities for People with Disabilities to Connect, Create and Contribute (instructional seminar)</w:t>
            </w:r>
          </w:p>
        </w:tc>
        <w:tc>
          <w:tcPr>
            <w:tcW w:w="2299"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rPr>
                <w:rFonts w:eastAsia="ヒラギノ角ゴ Pro W3"/>
                <w:sz w:val="22"/>
                <w:szCs w:val="22"/>
              </w:rPr>
            </w:pPr>
            <w:r w:rsidRPr="009C79E5">
              <w:rPr>
                <w:sz w:val="22"/>
                <w:szCs w:val="22"/>
              </w:rPr>
              <w:t>San Francisco, CA (remote participation)</w:t>
            </w:r>
          </w:p>
        </w:tc>
      </w:tr>
      <w:tr w:rsidR="00C93461" w:rsidRPr="009C79E5" w:rsidTr="00DD5B74">
        <w:trPr>
          <w:cantSplit/>
          <w:trHeight w:val="480"/>
        </w:trPr>
        <w:tc>
          <w:tcPr>
            <w:tcW w:w="2430"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rPr>
                <w:rFonts w:eastAsia="ヒラギノ角ゴ Pro W3"/>
                <w:sz w:val="22"/>
                <w:szCs w:val="22"/>
              </w:rPr>
            </w:pPr>
            <w:r w:rsidRPr="009C79E5">
              <w:rPr>
                <w:sz w:val="22"/>
                <w:szCs w:val="22"/>
              </w:rPr>
              <w:t>October 30, 2013</w:t>
            </w:r>
          </w:p>
        </w:tc>
        <w:tc>
          <w:tcPr>
            <w:tcW w:w="4631"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rPr>
                <w:rFonts w:eastAsia="ヒラギノ角ゴ Pro W3"/>
                <w:sz w:val="22"/>
                <w:szCs w:val="22"/>
              </w:rPr>
            </w:pPr>
            <w:r w:rsidRPr="009C79E5">
              <w:rPr>
                <w:sz w:val="22"/>
                <w:szCs w:val="22"/>
              </w:rPr>
              <w:t>Southeast Regional Institute on Deafness Conference (conference)</w:t>
            </w:r>
          </w:p>
        </w:tc>
        <w:tc>
          <w:tcPr>
            <w:tcW w:w="2299"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rPr>
                <w:rFonts w:eastAsia="ヒラギノ角ゴ Pro W3"/>
                <w:sz w:val="22"/>
                <w:szCs w:val="22"/>
              </w:rPr>
            </w:pPr>
            <w:r w:rsidRPr="009C79E5">
              <w:rPr>
                <w:sz w:val="22"/>
                <w:szCs w:val="22"/>
              </w:rPr>
              <w:t>Orlando, FL</w:t>
            </w:r>
          </w:p>
        </w:tc>
      </w:tr>
      <w:tr w:rsidR="00C93461" w:rsidRPr="009C79E5" w:rsidTr="00DD5B74">
        <w:trPr>
          <w:cantSplit/>
          <w:trHeight w:val="480"/>
        </w:trPr>
        <w:tc>
          <w:tcPr>
            <w:tcW w:w="2430"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rPr>
                <w:rFonts w:eastAsia="ヒラギノ角ゴ Pro W3"/>
                <w:sz w:val="22"/>
                <w:szCs w:val="22"/>
              </w:rPr>
            </w:pPr>
            <w:r w:rsidRPr="009C79E5">
              <w:rPr>
                <w:sz w:val="22"/>
                <w:szCs w:val="22"/>
              </w:rPr>
              <w:t>November 2, 2013</w:t>
            </w:r>
          </w:p>
        </w:tc>
        <w:tc>
          <w:tcPr>
            <w:tcW w:w="4631"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rPr>
                <w:rFonts w:eastAsia="ヒラギノ角ゴ Pro W3"/>
                <w:sz w:val="22"/>
                <w:szCs w:val="22"/>
              </w:rPr>
            </w:pPr>
            <w:r w:rsidRPr="009C79E5">
              <w:rPr>
                <w:sz w:val="22"/>
                <w:szCs w:val="22"/>
              </w:rPr>
              <w:t>Maryland Association of the Deaf and PCRID Joint Conference (conference)</w:t>
            </w:r>
          </w:p>
        </w:tc>
        <w:tc>
          <w:tcPr>
            <w:tcW w:w="2299"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rPr>
                <w:rFonts w:eastAsia="ヒラギノ角ゴ Pro W3"/>
                <w:sz w:val="22"/>
                <w:szCs w:val="22"/>
              </w:rPr>
            </w:pPr>
            <w:r w:rsidRPr="009C79E5">
              <w:rPr>
                <w:sz w:val="22"/>
                <w:szCs w:val="22"/>
              </w:rPr>
              <w:t>Columbia, MD</w:t>
            </w:r>
          </w:p>
        </w:tc>
      </w:tr>
      <w:tr w:rsidR="00C93461" w:rsidRPr="009C79E5" w:rsidTr="00DD5B74">
        <w:trPr>
          <w:cantSplit/>
          <w:trHeight w:val="480"/>
        </w:trPr>
        <w:tc>
          <w:tcPr>
            <w:tcW w:w="2430"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rPr>
                <w:rFonts w:eastAsia="ヒラギノ角ゴ Pro W3"/>
                <w:sz w:val="22"/>
                <w:szCs w:val="22"/>
              </w:rPr>
            </w:pPr>
            <w:r w:rsidRPr="009C79E5">
              <w:rPr>
                <w:sz w:val="22"/>
                <w:szCs w:val="22"/>
              </w:rPr>
              <w:t>November 2, 2013</w:t>
            </w:r>
          </w:p>
          <w:p w:rsidR="00C93461" w:rsidRPr="009C79E5" w:rsidRDefault="00C93461" w:rsidP="00476E6F">
            <w:pPr>
              <w:rPr>
                <w:rFonts w:eastAsia="ヒラギノ角ゴ Pro W3"/>
                <w:sz w:val="22"/>
                <w:szCs w:val="22"/>
              </w:rPr>
            </w:pPr>
          </w:p>
        </w:tc>
        <w:tc>
          <w:tcPr>
            <w:tcW w:w="4631"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rPr>
                <w:rFonts w:eastAsia="ヒラギノ角ゴ Pro W3"/>
                <w:sz w:val="22"/>
                <w:szCs w:val="22"/>
              </w:rPr>
            </w:pPr>
            <w:r w:rsidRPr="009C79E5">
              <w:rPr>
                <w:sz w:val="22"/>
                <w:szCs w:val="22"/>
              </w:rPr>
              <w:t>American Council of the Blind of Maryland Convention (convention)</w:t>
            </w:r>
          </w:p>
        </w:tc>
        <w:tc>
          <w:tcPr>
            <w:tcW w:w="2299"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rPr>
                <w:rFonts w:eastAsia="ヒラギノ角ゴ Pro W3"/>
                <w:sz w:val="22"/>
                <w:szCs w:val="22"/>
              </w:rPr>
            </w:pPr>
            <w:r w:rsidRPr="009C79E5">
              <w:rPr>
                <w:sz w:val="22"/>
                <w:szCs w:val="22"/>
              </w:rPr>
              <w:t>Baltimore, MD</w:t>
            </w:r>
          </w:p>
          <w:p w:rsidR="00C93461" w:rsidRPr="009C79E5" w:rsidRDefault="00C93461" w:rsidP="00476E6F">
            <w:pPr>
              <w:rPr>
                <w:rFonts w:eastAsia="ヒラギノ角ゴ Pro W3"/>
                <w:sz w:val="22"/>
                <w:szCs w:val="22"/>
              </w:rPr>
            </w:pPr>
          </w:p>
        </w:tc>
      </w:tr>
      <w:tr w:rsidR="00C93461" w:rsidRPr="009C79E5" w:rsidTr="00DD5B74">
        <w:trPr>
          <w:cantSplit/>
          <w:trHeight w:val="20"/>
        </w:trPr>
        <w:tc>
          <w:tcPr>
            <w:tcW w:w="2430"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rPr>
                <w:rFonts w:eastAsia="ヒラギノ角ゴ Pro W3"/>
                <w:sz w:val="22"/>
                <w:szCs w:val="22"/>
              </w:rPr>
            </w:pPr>
            <w:r w:rsidRPr="009C79E5">
              <w:rPr>
                <w:sz w:val="22"/>
                <w:szCs w:val="22"/>
              </w:rPr>
              <w:t>November 6, 2013</w:t>
            </w:r>
          </w:p>
        </w:tc>
        <w:tc>
          <w:tcPr>
            <w:tcW w:w="4631"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rPr>
                <w:rFonts w:eastAsia="ヒラギノ角ゴ Pro W3"/>
                <w:sz w:val="22"/>
                <w:szCs w:val="22"/>
              </w:rPr>
            </w:pPr>
            <w:r w:rsidRPr="009C79E5">
              <w:rPr>
                <w:sz w:val="22"/>
                <w:szCs w:val="22"/>
              </w:rPr>
              <w:t>TIA TR-41 Standards Committee Meeting (meeting)</w:t>
            </w:r>
          </w:p>
        </w:tc>
        <w:tc>
          <w:tcPr>
            <w:tcW w:w="2299"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rPr>
                <w:rFonts w:eastAsia="ヒラギノ角ゴ Pro W3"/>
                <w:sz w:val="22"/>
                <w:szCs w:val="22"/>
              </w:rPr>
            </w:pPr>
            <w:r w:rsidRPr="009C79E5">
              <w:rPr>
                <w:sz w:val="22"/>
                <w:szCs w:val="22"/>
              </w:rPr>
              <w:t>Arlington, VA</w:t>
            </w:r>
          </w:p>
        </w:tc>
      </w:tr>
      <w:tr w:rsidR="00C93461" w:rsidRPr="009C79E5" w:rsidTr="00DD5B74">
        <w:trPr>
          <w:cantSplit/>
          <w:trHeight w:val="143"/>
        </w:trPr>
        <w:tc>
          <w:tcPr>
            <w:tcW w:w="2430"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jc w:val="center"/>
              <w:rPr>
                <w:rFonts w:eastAsia="ヒラギノ角ゴ Pro W3"/>
                <w:b/>
                <w:sz w:val="22"/>
                <w:szCs w:val="22"/>
              </w:rPr>
            </w:pPr>
            <w:r w:rsidRPr="009C79E5">
              <w:rPr>
                <w:b/>
                <w:sz w:val="22"/>
                <w:szCs w:val="22"/>
              </w:rPr>
              <w:t>Date(s)</w:t>
            </w:r>
          </w:p>
        </w:tc>
        <w:tc>
          <w:tcPr>
            <w:tcW w:w="4631"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jc w:val="center"/>
              <w:rPr>
                <w:rFonts w:eastAsia="ヒラギノ角ゴ Pro W3"/>
                <w:b/>
                <w:sz w:val="22"/>
                <w:szCs w:val="22"/>
              </w:rPr>
            </w:pPr>
            <w:r w:rsidRPr="009C79E5">
              <w:rPr>
                <w:b/>
                <w:sz w:val="22"/>
                <w:szCs w:val="22"/>
              </w:rPr>
              <w:t>Group Name (Type of Event)</w:t>
            </w:r>
          </w:p>
        </w:tc>
        <w:tc>
          <w:tcPr>
            <w:tcW w:w="2299"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jc w:val="center"/>
              <w:rPr>
                <w:rFonts w:eastAsia="ヒラギノ角ゴ Pro W3"/>
                <w:b/>
                <w:sz w:val="22"/>
                <w:szCs w:val="22"/>
              </w:rPr>
            </w:pPr>
            <w:r w:rsidRPr="009C79E5">
              <w:rPr>
                <w:b/>
                <w:sz w:val="22"/>
                <w:szCs w:val="22"/>
              </w:rPr>
              <w:t>Location</w:t>
            </w:r>
          </w:p>
        </w:tc>
      </w:tr>
      <w:tr w:rsidR="00C93461" w:rsidRPr="009C79E5" w:rsidTr="00DD5B74">
        <w:trPr>
          <w:cantSplit/>
          <w:trHeight w:val="20"/>
        </w:trPr>
        <w:tc>
          <w:tcPr>
            <w:tcW w:w="2430"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rPr>
                <w:rFonts w:eastAsia="ヒラギノ角ゴ Pro W3"/>
                <w:sz w:val="22"/>
                <w:szCs w:val="22"/>
              </w:rPr>
            </w:pPr>
            <w:r w:rsidRPr="009C79E5">
              <w:rPr>
                <w:sz w:val="22"/>
                <w:szCs w:val="22"/>
              </w:rPr>
              <w:t>November 21, 2013</w:t>
            </w:r>
          </w:p>
        </w:tc>
        <w:tc>
          <w:tcPr>
            <w:tcW w:w="4631"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rPr>
                <w:rFonts w:eastAsia="ヒラギノ角ゴ Pro W3"/>
                <w:sz w:val="22"/>
                <w:szCs w:val="22"/>
              </w:rPr>
            </w:pPr>
            <w:r w:rsidRPr="009C79E5">
              <w:rPr>
                <w:sz w:val="22"/>
                <w:szCs w:val="22"/>
              </w:rPr>
              <w:t>CTIA’s Accessibility Outreach Initiative (workshop)</w:t>
            </w:r>
          </w:p>
        </w:tc>
        <w:tc>
          <w:tcPr>
            <w:tcW w:w="2299"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rPr>
                <w:rFonts w:eastAsia="ヒラギノ角ゴ Pro W3"/>
                <w:sz w:val="22"/>
                <w:szCs w:val="22"/>
              </w:rPr>
            </w:pPr>
            <w:r w:rsidRPr="009C79E5">
              <w:rPr>
                <w:sz w:val="22"/>
                <w:szCs w:val="22"/>
              </w:rPr>
              <w:t>Washington, DC</w:t>
            </w:r>
          </w:p>
        </w:tc>
      </w:tr>
      <w:tr w:rsidR="00C93461" w:rsidRPr="009C79E5" w:rsidTr="00DD5B74">
        <w:trPr>
          <w:cantSplit/>
          <w:trHeight w:val="480"/>
        </w:trPr>
        <w:tc>
          <w:tcPr>
            <w:tcW w:w="2430"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BF0859" w:rsidRDefault="00C93461" w:rsidP="00476E6F">
            <w:pPr>
              <w:rPr>
                <w:rFonts w:eastAsia="ヒラギノ角ゴ Pro W3"/>
                <w:sz w:val="22"/>
                <w:szCs w:val="22"/>
              </w:rPr>
            </w:pPr>
            <w:r w:rsidRPr="009C79E5">
              <w:rPr>
                <w:rStyle w:val="Strong1"/>
                <w:rFonts w:ascii="Times New Roman" w:hAnsi="Times New Roman"/>
                <w:b w:val="0"/>
                <w:color w:val="auto"/>
                <w:sz w:val="22"/>
                <w:szCs w:val="22"/>
              </w:rPr>
              <w:t>December 4-6, 2013</w:t>
            </w:r>
          </w:p>
        </w:tc>
        <w:tc>
          <w:tcPr>
            <w:tcW w:w="4631"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BF0859" w:rsidRDefault="00C93461" w:rsidP="00476E6F">
            <w:pPr>
              <w:rPr>
                <w:rFonts w:eastAsia="ヒラギノ角ゴ Pro W3"/>
                <w:sz w:val="22"/>
                <w:szCs w:val="22"/>
              </w:rPr>
            </w:pPr>
            <w:r w:rsidRPr="009C79E5">
              <w:rPr>
                <w:rStyle w:val="Strong1"/>
                <w:rFonts w:ascii="Times New Roman" w:hAnsi="Times New Roman"/>
                <w:b w:val="0"/>
                <w:color w:val="auto"/>
                <w:sz w:val="22"/>
                <w:szCs w:val="22"/>
              </w:rPr>
              <w:t>National Conference of State Legislatures (NCSL) (conference)</w:t>
            </w:r>
          </w:p>
        </w:tc>
        <w:tc>
          <w:tcPr>
            <w:tcW w:w="2299"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BF0859" w:rsidRDefault="00C93461" w:rsidP="00476E6F">
            <w:pPr>
              <w:rPr>
                <w:rFonts w:eastAsia="ヒラギノ角ゴ Pro W3"/>
                <w:sz w:val="22"/>
                <w:szCs w:val="22"/>
              </w:rPr>
            </w:pPr>
            <w:r w:rsidRPr="009C79E5">
              <w:rPr>
                <w:rStyle w:val="Strong1"/>
                <w:rFonts w:ascii="Times New Roman" w:hAnsi="Times New Roman"/>
                <w:b w:val="0"/>
                <w:color w:val="auto"/>
                <w:sz w:val="22"/>
                <w:szCs w:val="22"/>
              </w:rPr>
              <w:t>Washington, DC</w:t>
            </w:r>
          </w:p>
        </w:tc>
      </w:tr>
      <w:tr w:rsidR="00C93461" w:rsidRPr="009C79E5" w:rsidTr="00DD5B74">
        <w:trPr>
          <w:cantSplit/>
          <w:trHeight w:val="206"/>
        </w:trPr>
        <w:tc>
          <w:tcPr>
            <w:tcW w:w="2430"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rPr>
                <w:rStyle w:val="Strong1"/>
                <w:rFonts w:ascii="Times New Roman" w:hAnsi="Times New Roman"/>
                <w:b w:val="0"/>
                <w:color w:val="auto"/>
                <w:sz w:val="22"/>
                <w:szCs w:val="22"/>
              </w:rPr>
            </w:pPr>
            <w:r w:rsidRPr="009C79E5">
              <w:rPr>
                <w:rStyle w:val="Strong1"/>
                <w:rFonts w:ascii="Times New Roman" w:hAnsi="Times New Roman"/>
                <w:b w:val="0"/>
                <w:color w:val="auto"/>
                <w:sz w:val="22"/>
                <w:szCs w:val="22"/>
              </w:rPr>
              <w:t>January 15, 2014</w:t>
            </w:r>
          </w:p>
        </w:tc>
        <w:tc>
          <w:tcPr>
            <w:tcW w:w="4631"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rPr>
                <w:rStyle w:val="Strong1"/>
                <w:rFonts w:ascii="Times New Roman" w:hAnsi="Times New Roman"/>
                <w:b w:val="0"/>
                <w:color w:val="auto"/>
                <w:sz w:val="22"/>
                <w:szCs w:val="22"/>
              </w:rPr>
            </w:pPr>
            <w:r w:rsidRPr="00BF0859">
              <w:rPr>
                <w:sz w:val="22"/>
                <w:szCs w:val="22"/>
              </w:rPr>
              <w:t>A</w:t>
            </w:r>
            <w:r w:rsidRPr="00FF1FD9">
              <w:rPr>
                <w:sz w:val="22"/>
                <w:szCs w:val="22"/>
              </w:rPr>
              <w:t>merican Council of the Blind Legislative Seminar (conference)</w:t>
            </w:r>
          </w:p>
        </w:tc>
        <w:tc>
          <w:tcPr>
            <w:tcW w:w="2299"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rPr>
                <w:rStyle w:val="Strong1"/>
                <w:rFonts w:ascii="Times New Roman" w:hAnsi="Times New Roman"/>
                <w:b w:val="0"/>
                <w:color w:val="auto"/>
                <w:sz w:val="22"/>
                <w:szCs w:val="22"/>
              </w:rPr>
            </w:pPr>
            <w:r w:rsidRPr="009C79E5">
              <w:rPr>
                <w:rStyle w:val="Strong1"/>
                <w:rFonts w:ascii="Times New Roman" w:hAnsi="Times New Roman"/>
                <w:b w:val="0"/>
                <w:color w:val="auto"/>
                <w:sz w:val="22"/>
                <w:szCs w:val="22"/>
              </w:rPr>
              <w:t>Washington, DC</w:t>
            </w:r>
          </w:p>
        </w:tc>
      </w:tr>
      <w:tr w:rsidR="00C93461" w:rsidRPr="009C79E5" w:rsidTr="00DD5B74">
        <w:trPr>
          <w:cantSplit/>
          <w:trHeight w:val="330"/>
        </w:trPr>
        <w:tc>
          <w:tcPr>
            <w:tcW w:w="2430"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rPr>
                <w:rFonts w:eastAsia="ヒラギノ角ゴ Pro W3"/>
                <w:sz w:val="22"/>
                <w:szCs w:val="22"/>
              </w:rPr>
            </w:pPr>
            <w:r w:rsidRPr="009C79E5">
              <w:rPr>
                <w:sz w:val="22"/>
                <w:szCs w:val="22"/>
              </w:rPr>
              <w:t>January 17, 2013</w:t>
            </w:r>
          </w:p>
        </w:tc>
        <w:tc>
          <w:tcPr>
            <w:tcW w:w="4631"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rPr>
                <w:rFonts w:eastAsia="ヒラギノ角ゴ Pro W3"/>
                <w:sz w:val="22"/>
                <w:szCs w:val="22"/>
              </w:rPr>
            </w:pPr>
            <w:r w:rsidRPr="009C79E5">
              <w:rPr>
                <w:sz w:val="22"/>
                <w:szCs w:val="22"/>
              </w:rPr>
              <w:t>iTRS National Outreach Program Stakeholders Meeting (meeting)</w:t>
            </w:r>
          </w:p>
        </w:tc>
        <w:tc>
          <w:tcPr>
            <w:tcW w:w="2299"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rPr>
                <w:rFonts w:eastAsia="ヒラギノ角ゴ Pro W3"/>
                <w:sz w:val="22"/>
                <w:szCs w:val="22"/>
              </w:rPr>
            </w:pPr>
            <w:r w:rsidRPr="009C79E5">
              <w:rPr>
                <w:sz w:val="22"/>
                <w:szCs w:val="22"/>
              </w:rPr>
              <w:t>Washington, DC</w:t>
            </w:r>
          </w:p>
        </w:tc>
      </w:tr>
      <w:tr w:rsidR="00C93461" w:rsidRPr="009C79E5" w:rsidTr="00DD5B74">
        <w:trPr>
          <w:cantSplit/>
          <w:trHeight w:val="431"/>
        </w:trPr>
        <w:tc>
          <w:tcPr>
            <w:tcW w:w="2430"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rPr>
                <w:rFonts w:eastAsia="ヒラギノ角ゴ Pro W3"/>
                <w:sz w:val="22"/>
                <w:szCs w:val="22"/>
              </w:rPr>
            </w:pPr>
            <w:r w:rsidRPr="009C79E5">
              <w:rPr>
                <w:sz w:val="22"/>
                <w:szCs w:val="22"/>
              </w:rPr>
              <w:t>January 28, 2014</w:t>
            </w:r>
          </w:p>
        </w:tc>
        <w:tc>
          <w:tcPr>
            <w:tcW w:w="4631"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pStyle w:val="PlainText"/>
              <w:rPr>
                <w:rFonts w:ascii="Times New Roman" w:hAnsi="Times New Roman"/>
                <w:szCs w:val="22"/>
              </w:rPr>
            </w:pPr>
            <w:r w:rsidRPr="009C79E5">
              <w:rPr>
                <w:rFonts w:ascii="Times New Roman" w:hAnsi="Times New Roman"/>
                <w:szCs w:val="22"/>
              </w:rPr>
              <w:t>Practicing Law Institute/2014 Broadband and Cable Law Conference (conference, panel presentation)</w:t>
            </w:r>
          </w:p>
        </w:tc>
        <w:tc>
          <w:tcPr>
            <w:tcW w:w="2299"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rPr>
                <w:rFonts w:eastAsia="ヒラギノ角ゴ Pro W3"/>
                <w:sz w:val="22"/>
                <w:szCs w:val="22"/>
              </w:rPr>
            </w:pPr>
            <w:r w:rsidRPr="009C79E5">
              <w:rPr>
                <w:sz w:val="22"/>
                <w:szCs w:val="22"/>
              </w:rPr>
              <w:t>New York City, NY</w:t>
            </w:r>
          </w:p>
        </w:tc>
      </w:tr>
      <w:tr w:rsidR="00C93461" w:rsidRPr="009C79E5" w:rsidTr="00DD5B74">
        <w:trPr>
          <w:cantSplit/>
          <w:trHeight w:val="305"/>
        </w:trPr>
        <w:tc>
          <w:tcPr>
            <w:tcW w:w="2430"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rPr>
                <w:rFonts w:eastAsia="ヒラギノ角ゴ Pro W3"/>
                <w:sz w:val="22"/>
                <w:szCs w:val="22"/>
              </w:rPr>
            </w:pPr>
            <w:r w:rsidRPr="009C79E5">
              <w:rPr>
                <w:sz w:val="22"/>
                <w:szCs w:val="22"/>
                <w:lang w:val="en"/>
              </w:rPr>
              <w:t>February 6, 2014</w:t>
            </w:r>
          </w:p>
        </w:tc>
        <w:tc>
          <w:tcPr>
            <w:tcW w:w="4631"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pStyle w:val="PlainText"/>
              <w:rPr>
                <w:rFonts w:ascii="Times New Roman" w:hAnsi="Times New Roman"/>
                <w:szCs w:val="22"/>
              </w:rPr>
            </w:pPr>
            <w:r w:rsidRPr="009C79E5">
              <w:rPr>
                <w:rFonts w:ascii="Times New Roman" w:hAnsi="Times New Roman"/>
                <w:szCs w:val="22"/>
                <w:lang w:val="en"/>
              </w:rPr>
              <w:t>Delegation from Poland (meeting)</w:t>
            </w:r>
          </w:p>
        </w:tc>
        <w:tc>
          <w:tcPr>
            <w:tcW w:w="2299"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rPr>
                <w:rFonts w:eastAsia="ヒラギノ角ゴ Pro W3"/>
                <w:sz w:val="22"/>
                <w:szCs w:val="22"/>
              </w:rPr>
            </w:pPr>
            <w:r w:rsidRPr="009C79E5">
              <w:rPr>
                <w:sz w:val="22"/>
                <w:szCs w:val="22"/>
                <w:lang w:val="en"/>
              </w:rPr>
              <w:t>Washington, DC</w:t>
            </w:r>
          </w:p>
        </w:tc>
      </w:tr>
      <w:tr w:rsidR="00C93461" w:rsidRPr="009C79E5" w:rsidTr="00DD5B74">
        <w:trPr>
          <w:cantSplit/>
          <w:trHeight w:val="480"/>
        </w:trPr>
        <w:tc>
          <w:tcPr>
            <w:tcW w:w="2430"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rPr>
                <w:rFonts w:eastAsia="ヒラギノ角ゴ Pro W3"/>
                <w:sz w:val="22"/>
                <w:szCs w:val="22"/>
              </w:rPr>
            </w:pPr>
            <w:r w:rsidRPr="009C79E5">
              <w:rPr>
                <w:sz w:val="22"/>
                <w:szCs w:val="22"/>
                <w:lang w:val="en"/>
              </w:rPr>
              <w:t>February 12, 2014</w:t>
            </w:r>
          </w:p>
        </w:tc>
        <w:tc>
          <w:tcPr>
            <w:tcW w:w="4631"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pStyle w:val="PlainText"/>
              <w:rPr>
                <w:rFonts w:ascii="Times New Roman" w:hAnsi="Times New Roman"/>
                <w:szCs w:val="22"/>
              </w:rPr>
            </w:pPr>
            <w:r w:rsidRPr="009C79E5">
              <w:rPr>
                <w:rFonts w:ascii="Times New Roman" w:hAnsi="Times New Roman"/>
                <w:szCs w:val="22"/>
                <w:lang w:val="en"/>
              </w:rPr>
              <w:t>Delegation from Japan (Nippon Foundation):  (meeting via video conferencing)</w:t>
            </w:r>
          </w:p>
        </w:tc>
        <w:tc>
          <w:tcPr>
            <w:tcW w:w="2299"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rPr>
                <w:rFonts w:eastAsia="ヒラギノ角ゴ Pro W3"/>
                <w:sz w:val="22"/>
                <w:szCs w:val="22"/>
              </w:rPr>
            </w:pPr>
            <w:r w:rsidRPr="009C79E5">
              <w:rPr>
                <w:sz w:val="22"/>
                <w:szCs w:val="22"/>
                <w:lang w:val="en"/>
              </w:rPr>
              <w:t>Washington, DC</w:t>
            </w:r>
          </w:p>
        </w:tc>
      </w:tr>
      <w:tr w:rsidR="00C93461" w:rsidRPr="009C79E5" w:rsidTr="00DD5B74">
        <w:trPr>
          <w:cantSplit/>
          <w:trHeight w:val="480"/>
        </w:trPr>
        <w:tc>
          <w:tcPr>
            <w:tcW w:w="2430"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rPr>
                <w:rFonts w:eastAsia="ヒラギノ角ゴ Pro W3"/>
                <w:sz w:val="22"/>
                <w:szCs w:val="22"/>
              </w:rPr>
            </w:pPr>
            <w:r w:rsidRPr="009C79E5">
              <w:rPr>
                <w:sz w:val="22"/>
                <w:szCs w:val="22"/>
                <w:lang w:val="en"/>
              </w:rPr>
              <w:t>February 18, 2014</w:t>
            </w:r>
          </w:p>
        </w:tc>
        <w:tc>
          <w:tcPr>
            <w:tcW w:w="4631"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rPr>
                <w:rFonts w:eastAsia="ヒラギノ角ゴ Pro W3"/>
                <w:sz w:val="22"/>
                <w:szCs w:val="22"/>
              </w:rPr>
            </w:pPr>
            <w:r w:rsidRPr="009C79E5">
              <w:rPr>
                <w:sz w:val="22"/>
                <w:szCs w:val="22"/>
                <w:lang w:val="en"/>
              </w:rPr>
              <w:t>Workshop on IP-Based Relay Technologies (workshop)</w:t>
            </w:r>
          </w:p>
        </w:tc>
        <w:tc>
          <w:tcPr>
            <w:tcW w:w="2299"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rPr>
                <w:rFonts w:eastAsia="ヒラギノ角ゴ Pro W3"/>
                <w:sz w:val="22"/>
                <w:szCs w:val="22"/>
              </w:rPr>
            </w:pPr>
            <w:r w:rsidRPr="009C79E5">
              <w:rPr>
                <w:sz w:val="22"/>
                <w:szCs w:val="22"/>
                <w:lang w:val="en"/>
              </w:rPr>
              <w:t xml:space="preserve">Washington, DC  </w:t>
            </w:r>
          </w:p>
        </w:tc>
      </w:tr>
      <w:tr w:rsidR="00C93461" w:rsidRPr="009C79E5" w:rsidTr="00DD5B74">
        <w:trPr>
          <w:cantSplit/>
          <w:trHeight w:val="480"/>
        </w:trPr>
        <w:tc>
          <w:tcPr>
            <w:tcW w:w="2430"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rPr>
                <w:rFonts w:eastAsia="ヒラギノ角ゴ Pro W3"/>
                <w:sz w:val="22"/>
                <w:szCs w:val="22"/>
              </w:rPr>
            </w:pPr>
            <w:r w:rsidRPr="009C79E5">
              <w:rPr>
                <w:sz w:val="22"/>
                <w:szCs w:val="22"/>
              </w:rPr>
              <w:t>March 5, 2014</w:t>
            </w:r>
          </w:p>
        </w:tc>
        <w:tc>
          <w:tcPr>
            <w:tcW w:w="4631"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rPr>
                <w:rFonts w:eastAsia="ヒラギノ角ゴ Pro W3"/>
                <w:sz w:val="22"/>
                <w:szCs w:val="22"/>
              </w:rPr>
            </w:pPr>
            <w:r w:rsidRPr="009C79E5">
              <w:rPr>
                <w:sz w:val="22"/>
                <w:szCs w:val="22"/>
              </w:rPr>
              <w:t>Community Emergency Response Team (training and presentation)</w:t>
            </w:r>
          </w:p>
        </w:tc>
        <w:tc>
          <w:tcPr>
            <w:tcW w:w="2299"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rPr>
                <w:rFonts w:eastAsia="ヒラギノ角ゴ Pro W3"/>
                <w:sz w:val="22"/>
                <w:szCs w:val="22"/>
              </w:rPr>
            </w:pPr>
            <w:r w:rsidRPr="009C79E5">
              <w:rPr>
                <w:sz w:val="22"/>
                <w:szCs w:val="22"/>
              </w:rPr>
              <w:t>Washington DC</w:t>
            </w:r>
          </w:p>
        </w:tc>
      </w:tr>
      <w:tr w:rsidR="00C93461" w:rsidRPr="009C79E5" w:rsidTr="00DD5B74">
        <w:trPr>
          <w:cantSplit/>
          <w:trHeight w:val="480"/>
        </w:trPr>
        <w:tc>
          <w:tcPr>
            <w:tcW w:w="2430"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rPr>
                <w:rFonts w:eastAsia="ヒラギノ角ゴ Pro W3"/>
                <w:sz w:val="22"/>
                <w:szCs w:val="22"/>
                <w:lang w:val="en"/>
              </w:rPr>
            </w:pPr>
            <w:r w:rsidRPr="009C79E5">
              <w:rPr>
                <w:sz w:val="22"/>
                <w:szCs w:val="22"/>
                <w:lang w:val="en"/>
              </w:rPr>
              <w:t>March 11, 2014</w:t>
            </w:r>
          </w:p>
        </w:tc>
        <w:tc>
          <w:tcPr>
            <w:tcW w:w="4631"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rPr>
                <w:rFonts w:eastAsia="ヒラギノ角ゴ Pro W3"/>
                <w:sz w:val="22"/>
                <w:szCs w:val="22"/>
                <w:lang w:val="en"/>
              </w:rPr>
            </w:pPr>
            <w:r w:rsidRPr="009C79E5">
              <w:rPr>
                <w:sz w:val="22"/>
                <w:szCs w:val="22"/>
              </w:rPr>
              <w:t xml:space="preserve">Accessibility &amp; </w:t>
            </w:r>
            <w:r w:rsidRPr="009C79E5">
              <w:rPr>
                <w:sz w:val="22"/>
                <w:szCs w:val="22"/>
                <w:lang w:val="en"/>
              </w:rPr>
              <w:t>Innovation</w:t>
            </w:r>
            <w:r w:rsidRPr="009C79E5">
              <w:rPr>
                <w:sz w:val="22"/>
                <w:szCs w:val="22"/>
              </w:rPr>
              <w:t xml:space="preserve"> Initiative Speaker Series Presents Juan Gilbert: Innovation in Voting Accessibility (speaker series)</w:t>
            </w:r>
          </w:p>
        </w:tc>
        <w:tc>
          <w:tcPr>
            <w:tcW w:w="2299"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rPr>
                <w:rFonts w:eastAsia="ヒラギノ角ゴ Pro W3"/>
                <w:sz w:val="22"/>
                <w:szCs w:val="22"/>
                <w:lang w:val="en"/>
              </w:rPr>
            </w:pPr>
            <w:r w:rsidRPr="009C79E5">
              <w:rPr>
                <w:sz w:val="22"/>
                <w:szCs w:val="22"/>
                <w:lang w:val="en"/>
              </w:rPr>
              <w:t>Washington, DC</w:t>
            </w:r>
          </w:p>
        </w:tc>
      </w:tr>
      <w:tr w:rsidR="00C93461" w:rsidRPr="009C79E5" w:rsidTr="00DD5B74">
        <w:trPr>
          <w:cantSplit/>
          <w:trHeight w:val="467"/>
        </w:trPr>
        <w:tc>
          <w:tcPr>
            <w:tcW w:w="2430"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rPr>
                <w:sz w:val="22"/>
                <w:szCs w:val="22"/>
                <w:lang w:val="en"/>
              </w:rPr>
            </w:pPr>
            <w:r w:rsidRPr="009C79E5">
              <w:rPr>
                <w:sz w:val="22"/>
                <w:szCs w:val="22"/>
                <w:lang w:val="en"/>
              </w:rPr>
              <w:t>March 19, 2014</w:t>
            </w:r>
          </w:p>
        </w:tc>
        <w:tc>
          <w:tcPr>
            <w:tcW w:w="4631"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rPr>
                <w:sz w:val="22"/>
                <w:szCs w:val="22"/>
              </w:rPr>
            </w:pPr>
            <w:r w:rsidRPr="009C79E5">
              <w:rPr>
                <w:sz w:val="22"/>
                <w:szCs w:val="22"/>
              </w:rPr>
              <w:t>Hearing Loss Association of America Update on FCC Disability Regulations (webinar)</w:t>
            </w:r>
          </w:p>
        </w:tc>
        <w:tc>
          <w:tcPr>
            <w:tcW w:w="2299"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rPr>
                <w:sz w:val="22"/>
                <w:szCs w:val="22"/>
                <w:lang w:val="en"/>
              </w:rPr>
            </w:pPr>
            <w:r w:rsidRPr="009C79E5">
              <w:rPr>
                <w:sz w:val="22"/>
                <w:szCs w:val="22"/>
                <w:lang w:val="en"/>
              </w:rPr>
              <w:t>Washington, DC (remote participation)</w:t>
            </w:r>
          </w:p>
        </w:tc>
      </w:tr>
      <w:tr w:rsidR="00C93461" w:rsidRPr="009C79E5" w:rsidTr="00DD5B74">
        <w:trPr>
          <w:cantSplit/>
          <w:trHeight w:val="480"/>
        </w:trPr>
        <w:tc>
          <w:tcPr>
            <w:tcW w:w="2430"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rPr>
                <w:sz w:val="22"/>
                <w:szCs w:val="22"/>
                <w:lang w:val="en"/>
              </w:rPr>
            </w:pPr>
            <w:r w:rsidRPr="009C79E5">
              <w:rPr>
                <w:sz w:val="22"/>
                <w:szCs w:val="22"/>
                <w:lang w:val="en"/>
              </w:rPr>
              <w:t>March 21, 2014</w:t>
            </w:r>
          </w:p>
        </w:tc>
        <w:tc>
          <w:tcPr>
            <w:tcW w:w="4631"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rPr>
                <w:sz w:val="22"/>
                <w:szCs w:val="22"/>
              </w:rPr>
            </w:pPr>
            <w:r w:rsidRPr="009C79E5">
              <w:rPr>
                <w:sz w:val="22"/>
                <w:szCs w:val="22"/>
              </w:rPr>
              <w:t>Federal Communications Bar Association Brown Bag (instructional session)</w:t>
            </w:r>
          </w:p>
        </w:tc>
        <w:tc>
          <w:tcPr>
            <w:tcW w:w="2299"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rPr>
                <w:sz w:val="22"/>
                <w:szCs w:val="22"/>
                <w:lang w:val="en"/>
              </w:rPr>
            </w:pPr>
            <w:r w:rsidRPr="009C79E5">
              <w:rPr>
                <w:sz w:val="22"/>
                <w:szCs w:val="22"/>
                <w:lang w:val="en"/>
              </w:rPr>
              <w:t>Washington, DC</w:t>
            </w:r>
          </w:p>
        </w:tc>
      </w:tr>
      <w:tr w:rsidR="00C93461" w:rsidRPr="009C79E5" w:rsidTr="00DD5B74">
        <w:trPr>
          <w:cantSplit/>
          <w:trHeight w:val="480"/>
        </w:trPr>
        <w:tc>
          <w:tcPr>
            <w:tcW w:w="2430"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rPr>
                <w:rFonts w:eastAsia="ヒラギノ角ゴ Pro W3"/>
                <w:sz w:val="22"/>
                <w:szCs w:val="22"/>
                <w:lang w:val="en"/>
              </w:rPr>
            </w:pPr>
            <w:r w:rsidRPr="009C79E5">
              <w:rPr>
                <w:sz w:val="22"/>
                <w:szCs w:val="22"/>
                <w:lang w:val="en"/>
              </w:rPr>
              <w:t>March 23-26, 2014</w:t>
            </w:r>
          </w:p>
        </w:tc>
        <w:tc>
          <w:tcPr>
            <w:tcW w:w="4631"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pStyle w:val="NormalWeb"/>
              <w:spacing w:before="0" w:beforeAutospacing="0" w:after="0" w:afterAutospacing="0"/>
              <w:rPr>
                <w:rFonts w:eastAsia="Calibri"/>
                <w:sz w:val="22"/>
                <w:szCs w:val="22"/>
              </w:rPr>
            </w:pPr>
            <w:r w:rsidRPr="009C79E5">
              <w:rPr>
                <w:sz w:val="22"/>
                <w:szCs w:val="22"/>
              </w:rPr>
              <w:t>NENA Goes to Washington (conference)</w:t>
            </w:r>
          </w:p>
        </w:tc>
        <w:tc>
          <w:tcPr>
            <w:tcW w:w="2299"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rPr>
                <w:rFonts w:eastAsia="ヒラギノ角ゴ Pro W3"/>
                <w:sz w:val="22"/>
                <w:szCs w:val="22"/>
                <w:lang w:val="en"/>
              </w:rPr>
            </w:pPr>
            <w:r w:rsidRPr="009C79E5">
              <w:rPr>
                <w:sz w:val="22"/>
                <w:szCs w:val="22"/>
                <w:lang w:val="en"/>
              </w:rPr>
              <w:t>Washington, DC</w:t>
            </w:r>
          </w:p>
        </w:tc>
      </w:tr>
      <w:tr w:rsidR="00C93461" w:rsidRPr="009C79E5" w:rsidTr="00DD5B74">
        <w:trPr>
          <w:cantSplit/>
          <w:trHeight w:val="480"/>
        </w:trPr>
        <w:tc>
          <w:tcPr>
            <w:tcW w:w="2430"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rPr>
                <w:rFonts w:eastAsia="ヒラギノ角ゴ Pro W3"/>
                <w:sz w:val="22"/>
                <w:szCs w:val="22"/>
                <w:lang w:val="en"/>
              </w:rPr>
            </w:pPr>
            <w:r w:rsidRPr="009C79E5">
              <w:rPr>
                <w:sz w:val="22"/>
                <w:szCs w:val="22"/>
                <w:lang w:val="en"/>
              </w:rPr>
              <w:t>April 12, 2014</w:t>
            </w:r>
          </w:p>
        </w:tc>
        <w:tc>
          <w:tcPr>
            <w:tcW w:w="4631"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rPr>
                <w:rFonts w:eastAsia="ヒラギノ角ゴ Pro W3"/>
                <w:sz w:val="22"/>
                <w:szCs w:val="22"/>
              </w:rPr>
            </w:pPr>
            <w:r w:rsidRPr="009C79E5">
              <w:rPr>
                <w:sz w:val="22"/>
                <w:szCs w:val="22"/>
              </w:rPr>
              <w:t>Telecommunications Industry Association Spring Policy Summit (conference)</w:t>
            </w:r>
          </w:p>
        </w:tc>
        <w:tc>
          <w:tcPr>
            <w:tcW w:w="2299"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rPr>
                <w:rFonts w:eastAsia="ヒラギノ角ゴ Pro W3"/>
                <w:sz w:val="22"/>
                <w:szCs w:val="22"/>
              </w:rPr>
            </w:pPr>
            <w:r w:rsidRPr="009C79E5">
              <w:rPr>
                <w:sz w:val="22"/>
                <w:szCs w:val="22"/>
              </w:rPr>
              <w:t>Cambridge, MD</w:t>
            </w:r>
          </w:p>
          <w:p w:rsidR="00C93461" w:rsidRPr="009C79E5" w:rsidRDefault="00C93461" w:rsidP="00476E6F">
            <w:pPr>
              <w:rPr>
                <w:rFonts w:eastAsia="ヒラギノ角ゴ Pro W3"/>
                <w:sz w:val="22"/>
                <w:szCs w:val="22"/>
                <w:lang w:val="en"/>
              </w:rPr>
            </w:pPr>
          </w:p>
        </w:tc>
      </w:tr>
      <w:tr w:rsidR="00C93461" w:rsidRPr="009C79E5" w:rsidTr="00DD5B74">
        <w:trPr>
          <w:cantSplit/>
          <w:trHeight w:val="143"/>
        </w:trPr>
        <w:tc>
          <w:tcPr>
            <w:tcW w:w="2430"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keepNext/>
              <w:keepLines/>
              <w:jc w:val="center"/>
              <w:rPr>
                <w:rFonts w:eastAsia="ヒラギノ角ゴ Pro W3"/>
                <w:b/>
                <w:sz w:val="22"/>
                <w:szCs w:val="22"/>
              </w:rPr>
            </w:pPr>
            <w:r w:rsidRPr="009C79E5">
              <w:rPr>
                <w:b/>
                <w:sz w:val="22"/>
                <w:szCs w:val="22"/>
              </w:rPr>
              <w:t>Date(s)</w:t>
            </w:r>
          </w:p>
        </w:tc>
        <w:tc>
          <w:tcPr>
            <w:tcW w:w="4631"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keepNext/>
              <w:keepLines/>
              <w:jc w:val="center"/>
              <w:rPr>
                <w:rFonts w:eastAsia="ヒラギノ角ゴ Pro W3"/>
                <w:b/>
                <w:sz w:val="22"/>
                <w:szCs w:val="22"/>
              </w:rPr>
            </w:pPr>
            <w:r w:rsidRPr="009C79E5">
              <w:rPr>
                <w:b/>
                <w:sz w:val="22"/>
                <w:szCs w:val="22"/>
              </w:rPr>
              <w:t>Group Name (Type of Event)</w:t>
            </w:r>
          </w:p>
        </w:tc>
        <w:tc>
          <w:tcPr>
            <w:tcW w:w="2299"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keepNext/>
              <w:keepLines/>
              <w:jc w:val="center"/>
              <w:rPr>
                <w:rFonts w:eastAsia="ヒラギノ角ゴ Pro W3"/>
                <w:b/>
                <w:sz w:val="22"/>
                <w:szCs w:val="22"/>
              </w:rPr>
            </w:pPr>
            <w:r w:rsidRPr="009C79E5">
              <w:rPr>
                <w:b/>
                <w:sz w:val="22"/>
                <w:szCs w:val="22"/>
              </w:rPr>
              <w:t>Location</w:t>
            </w:r>
          </w:p>
        </w:tc>
      </w:tr>
      <w:tr w:rsidR="00C93461" w:rsidRPr="009C79E5" w:rsidTr="00DD5B74">
        <w:trPr>
          <w:cantSplit/>
          <w:trHeight w:val="480"/>
        </w:trPr>
        <w:tc>
          <w:tcPr>
            <w:tcW w:w="2430"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keepNext/>
              <w:keepLines/>
              <w:rPr>
                <w:sz w:val="22"/>
                <w:szCs w:val="22"/>
                <w:lang w:val="en"/>
              </w:rPr>
            </w:pPr>
            <w:r w:rsidRPr="009C79E5">
              <w:rPr>
                <w:sz w:val="22"/>
                <w:szCs w:val="22"/>
                <w:lang w:val="en"/>
              </w:rPr>
              <w:t>April 22, 2014</w:t>
            </w:r>
          </w:p>
        </w:tc>
        <w:tc>
          <w:tcPr>
            <w:tcW w:w="4631"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keepNext/>
              <w:keepLines/>
              <w:rPr>
                <w:sz w:val="22"/>
                <w:szCs w:val="22"/>
              </w:rPr>
            </w:pPr>
            <w:r w:rsidRPr="009C79E5">
              <w:rPr>
                <w:sz w:val="22"/>
                <w:szCs w:val="22"/>
              </w:rPr>
              <w:t>State and Local Government Webinar on Closed Captioning Quality Rules (webinar)</w:t>
            </w:r>
          </w:p>
        </w:tc>
        <w:tc>
          <w:tcPr>
            <w:tcW w:w="2299"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keepNext/>
              <w:keepLines/>
              <w:rPr>
                <w:sz w:val="22"/>
                <w:szCs w:val="22"/>
              </w:rPr>
            </w:pPr>
            <w:r w:rsidRPr="009C79E5">
              <w:rPr>
                <w:sz w:val="22"/>
                <w:szCs w:val="22"/>
              </w:rPr>
              <w:t>Washington, DC</w:t>
            </w:r>
          </w:p>
        </w:tc>
      </w:tr>
      <w:tr w:rsidR="00C93461" w:rsidRPr="009C79E5" w:rsidTr="00DD5B74">
        <w:trPr>
          <w:cantSplit/>
          <w:trHeight w:val="480"/>
        </w:trPr>
        <w:tc>
          <w:tcPr>
            <w:tcW w:w="2430"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rPr>
                <w:rFonts w:eastAsia="ヒラギノ角ゴ Pro W3"/>
                <w:sz w:val="22"/>
                <w:szCs w:val="22"/>
              </w:rPr>
            </w:pPr>
            <w:r w:rsidRPr="009C79E5">
              <w:rPr>
                <w:sz w:val="22"/>
                <w:szCs w:val="22"/>
              </w:rPr>
              <w:t>April 22, 2014</w:t>
            </w:r>
          </w:p>
        </w:tc>
        <w:tc>
          <w:tcPr>
            <w:tcW w:w="4631"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rPr>
                <w:rFonts w:eastAsia="ヒラギノ角ゴ Pro W3"/>
                <w:sz w:val="22"/>
                <w:szCs w:val="22"/>
              </w:rPr>
            </w:pPr>
            <w:r w:rsidRPr="009C79E5">
              <w:rPr>
                <w:sz w:val="22"/>
                <w:szCs w:val="22"/>
              </w:rPr>
              <w:t>USDA/Forest Service:  FCC Captioning Rules (training)</w:t>
            </w:r>
          </w:p>
        </w:tc>
        <w:tc>
          <w:tcPr>
            <w:tcW w:w="2299"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rPr>
                <w:rFonts w:eastAsia="ヒラギノ角ゴ Pro W3"/>
                <w:sz w:val="22"/>
                <w:szCs w:val="22"/>
              </w:rPr>
            </w:pPr>
            <w:r w:rsidRPr="009C79E5">
              <w:rPr>
                <w:sz w:val="22"/>
                <w:szCs w:val="22"/>
              </w:rPr>
              <w:t>Washington, DC</w:t>
            </w:r>
          </w:p>
        </w:tc>
      </w:tr>
      <w:tr w:rsidR="00C93461" w:rsidRPr="009C79E5" w:rsidTr="00DD5B74">
        <w:trPr>
          <w:cantSplit/>
          <w:trHeight w:val="480"/>
        </w:trPr>
        <w:tc>
          <w:tcPr>
            <w:tcW w:w="2430"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rPr>
                <w:rFonts w:eastAsia="ヒラギノ角ゴ Pro W3"/>
                <w:sz w:val="22"/>
                <w:szCs w:val="22"/>
              </w:rPr>
            </w:pPr>
            <w:r w:rsidRPr="009C79E5">
              <w:rPr>
                <w:sz w:val="22"/>
                <w:szCs w:val="22"/>
              </w:rPr>
              <w:t>April 24-25, 2014</w:t>
            </w:r>
          </w:p>
        </w:tc>
        <w:tc>
          <w:tcPr>
            <w:tcW w:w="4631"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rPr>
                <w:rFonts w:eastAsia="ヒラギノ角ゴ Pro W3"/>
                <w:sz w:val="22"/>
                <w:szCs w:val="22"/>
              </w:rPr>
            </w:pPr>
            <w:r w:rsidRPr="009C79E5">
              <w:rPr>
                <w:sz w:val="22"/>
                <w:szCs w:val="22"/>
              </w:rPr>
              <w:t>2014 Jacobus tenBroek Disability Law Symposium (conference)</w:t>
            </w:r>
          </w:p>
        </w:tc>
        <w:tc>
          <w:tcPr>
            <w:tcW w:w="2299"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rPr>
                <w:rFonts w:eastAsia="ヒラギノ角ゴ Pro W3"/>
                <w:sz w:val="22"/>
                <w:szCs w:val="22"/>
              </w:rPr>
            </w:pPr>
            <w:r w:rsidRPr="009C79E5">
              <w:rPr>
                <w:sz w:val="22"/>
                <w:szCs w:val="22"/>
              </w:rPr>
              <w:t>Baltimore, MD</w:t>
            </w:r>
          </w:p>
        </w:tc>
      </w:tr>
      <w:tr w:rsidR="00C93461" w:rsidRPr="009C79E5" w:rsidTr="00DD5B74">
        <w:trPr>
          <w:cantSplit/>
          <w:trHeight w:val="480"/>
        </w:trPr>
        <w:tc>
          <w:tcPr>
            <w:tcW w:w="2430"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rPr>
                <w:rFonts w:eastAsia="ヒラギノ角ゴ Pro W3"/>
                <w:sz w:val="22"/>
                <w:szCs w:val="22"/>
              </w:rPr>
            </w:pPr>
            <w:r w:rsidRPr="009C79E5">
              <w:rPr>
                <w:sz w:val="22"/>
                <w:szCs w:val="22"/>
              </w:rPr>
              <w:t>April 15, 2014</w:t>
            </w:r>
          </w:p>
          <w:p w:rsidR="00C93461" w:rsidRPr="009C79E5" w:rsidRDefault="00C93461" w:rsidP="00476E6F">
            <w:pPr>
              <w:rPr>
                <w:rFonts w:eastAsia="ヒラギノ角ゴ Pro W3"/>
                <w:sz w:val="22"/>
                <w:szCs w:val="22"/>
              </w:rPr>
            </w:pPr>
          </w:p>
        </w:tc>
        <w:tc>
          <w:tcPr>
            <w:tcW w:w="4631"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rPr>
                <w:rFonts w:eastAsia="ヒラギノ角ゴ Pro W3"/>
                <w:sz w:val="22"/>
                <w:szCs w:val="22"/>
              </w:rPr>
            </w:pPr>
            <w:r w:rsidRPr="009C79E5">
              <w:rPr>
                <w:sz w:val="22"/>
                <w:szCs w:val="22"/>
              </w:rPr>
              <w:t>Interstate Telecommunications Relay Service Fund Advisory Council Meeting (meeting)</w:t>
            </w:r>
          </w:p>
        </w:tc>
        <w:tc>
          <w:tcPr>
            <w:tcW w:w="2299"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rPr>
                <w:rFonts w:eastAsia="ヒラギノ角ゴ Pro W3"/>
                <w:sz w:val="22"/>
                <w:szCs w:val="22"/>
              </w:rPr>
            </w:pPr>
            <w:r w:rsidRPr="009C79E5">
              <w:rPr>
                <w:sz w:val="22"/>
                <w:szCs w:val="22"/>
              </w:rPr>
              <w:t>Harrisburg, PA</w:t>
            </w:r>
          </w:p>
          <w:p w:rsidR="00C93461" w:rsidRPr="009C79E5" w:rsidRDefault="00C93461" w:rsidP="00476E6F">
            <w:pPr>
              <w:rPr>
                <w:rFonts w:eastAsia="ヒラギノ角ゴ Pro W3"/>
                <w:sz w:val="22"/>
                <w:szCs w:val="22"/>
              </w:rPr>
            </w:pPr>
          </w:p>
        </w:tc>
      </w:tr>
      <w:tr w:rsidR="00C93461" w:rsidRPr="009C79E5" w:rsidTr="00DD5B74">
        <w:trPr>
          <w:cantSplit/>
          <w:trHeight w:val="480"/>
        </w:trPr>
        <w:tc>
          <w:tcPr>
            <w:tcW w:w="2430"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rPr>
                <w:rFonts w:eastAsia="ヒラギノ角ゴ Pro W3"/>
                <w:sz w:val="22"/>
                <w:szCs w:val="22"/>
              </w:rPr>
            </w:pPr>
            <w:r w:rsidRPr="009C79E5">
              <w:rPr>
                <w:sz w:val="22"/>
                <w:szCs w:val="22"/>
              </w:rPr>
              <w:t>May 7, 2014</w:t>
            </w:r>
          </w:p>
          <w:p w:rsidR="00C93461" w:rsidRPr="009C79E5" w:rsidRDefault="00C93461" w:rsidP="00476E6F">
            <w:pPr>
              <w:rPr>
                <w:rFonts w:eastAsia="ヒラギノ角ゴ Pro W3"/>
                <w:sz w:val="22"/>
                <w:szCs w:val="22"/>
              </w:rPr>
            </w:pPr>
          </w:p>
        </w:tc>
        <w:tc>
          <w:tcPr>
            <w:tcW w:w="4631"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rPr>
                <w:rFonts w:eastAsia="ヒラギノ角ゴ Pro W3"/>
                <w:sz w:val="22"/>
                <w:szCs w:val="22"/>
              </w:rPr>
            </w:pPr>
            <w:r w:rsidRPr="009C79E5">
              <w:rPr>
                <w:sz w:val="22"/>
                <w:szCs w:val="22"/>
              </w:rPr>
              <w:t>Sprint STARS Conference (conference)</w:t>
            </w:r>
          </w:p>
        </w:tc>
        <w:tc>
          <w:tcPr>
            <w:tcW w:w="2299"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rPr>
                <w:rFonts w:eastAsia="ヒラギノ角ゴ Pro W3"/>
                <w:sz w:val="22"/>
                <w:szCs w:val="22"/>
              </w:rPr>
            </w:pPr>
            <w:r w:rsidRPr="009C79E5">
              <w:rPr>
                <w:sz w:val="22"/>
                <w:szCs w:val="22"/>
              </w:rPr>
              <w:t>Hollywood, FL (via video remote)</w:t>
            </w:r>
          </w:p>
        </w:tc>
      </w:tr>
      <w:tr w:rsidR="00C93461" w:rsidRPr="009C79E5" w:rsidTr="00DD5B74">
        <w:trPr>
          <w:cantSplit/>
          <w:trHeight w:val="80"/>
        </w:trPr>
        <w:tc>
          <w:tcPr>
            <w:tcW w:w="2430"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rPr>
                <w:sz w:val="22"/>
                <w:szCs w:val="22"/>
              </w:rPr>
            </w:pPr>
            <w:r w:rsidRPr="009C79E5">
              <w:rPr>
                <w:sz w:val="22"/>
                <w:szCs w:val="22"/>
              </w:rPr>
              <w:t xml:space="preserve">May 20, 2014 </w:t>
            </w:r>
          </w:p>
        </w:tc>
        <w:tc>
          <w:tcPr>
            <w:tcW w:w="4631"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rPr>
                <w:sz w:val="22"/>
                <w:szCs w:val="22"/>
              </w:rPr>
            </w:pPr>
            <w:r w:rsidRPr="009C79E5">
              <w:rPr>
                <w:sz w:val="22"/>
                <w:szCs w:val="22"/>
              </w:rPr>
              <w:t>Hoover Middle School (instructional presentation)</w:t>
            </w:r>
          </w:p>
        </w:tc>
        <w:tc>
          <w:tcPr>
            <w:tcW w:w="2299"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rPr>
                <w:sz w:val="22"/>
                <w:szCs w:val="22"/>
              </w:rPr>
            </w:pPr>
            <w:r w:rsidRPr="009C79E5">
              <w:rPr>
                <w:sz w:val="22"/>
                <w:szCs w:val="22"/>
              </w:rPr>
              <w:t>Rockville, MD</w:t>
            </w:r>
          </w:p>
        </w:tc>
      </w:tr>
      <w:tr w:rsidR="00C93461" w:rsidRPr="009C79E5" w:rsidTr="00DD5B74">
        <w:trPr>
          <w:cantSplit/>
          <w:trHeight w:val="431"/>
        </w:trPr>
        <w:tc>
          <w:tcPr>
            <w:tcW w:w="2430"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rPr>
                <w:rFonts w:eastAsia="ヒラギノ角ゴ Pro W3"/>
                <w:sz w:val="22"/>
                <w:szCs w:val="22"/>
              </w:rPr>
            </w:pPr>
            <w:r w:rsidRPr="009C79E5">
              <w:rPr>
                <w:sz w:val="22"/>
                <w:szCs w:val="22"/>
              </w:rPr>
              <w:t>June 9, 2014</w:t>
            </w:r>
          </w:p>
        </w:tc>
        <w:tc>
          <w:tcPr>
            <w:tcW w:w="4631"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rPr>
                <w:rFonts w:eastAsia="ヒラギノ角ゴ Pro W3"/>
                <w:sz w:val="22"/>
                <w:szCs w:val="22"/>
              </w:rPr>
            </w:pPr>
            <w:r w:rsidRPr="009C79E5">
              <w:rPr>
                <w:sz w:val="22"/>
                <w:szCs w:val="22"/>
              </w:rPr>
              <w:t>Presentation of Chairman’s Awards for Advancement in Accessibility (event)</w:t>
            </w:r>
          </w:p>
        </w:tc>
        <w:tc>
          <w:tcPr>
            <w:tcW w:w="2299"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rPr>
                <w:rFonts w:eastAsia="ヒラギノ角ゴ Pro W3"/>
                <w:sz w:val="22"/>
                <w:szCs w:val="22"/>
              </w:rPr>
            </w:pPr>
            <w:r w:rsidRPr="009C79E5">
              <w:rPr>
                <w:sz w:val="22"/>
                <w:szCs w:val="22"/>
              </w:rPr>
              <w:t>Arlington, VA</w:t>
            </w:r>
          </w:p>
        </w:tc>
      </w:tr>
      <w:tr w:rsidR="00C93461" w:rsidRPr="009C79E5" w:rsidTr="00DD5B74">
        <w:trPr>
          <w:cantSplit/>
          <w:trHeight w:val="170"/>
        </w:trPr>
        <w:tc>
          <w:tcPr>
            <w:tcW w:w="2430"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rPr>
                <w:rFonts w:eastAsia="ヒラギノ角ゴ Pro W3"/>
                <w:sz w:val="22"/>
                <w:szCs w:val="22"/>
              </w:rPr>
            </w:pPr>
            <w:r w:rsidRPr="009C79E5">
              <w:rPr>
                <w:sz w:val="22"/>
                <w:szCs w:val="22"/>
              </w:rPr>
              <w:t>June 9-10, 2014</w:t>
            </w:r>
          </w:p>
        </w:tc>
        <w:tc>
          <w:tcPr>
            <w:tcW w:w="4631"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rPr>
                <w:rFonts w:eastAsia="ヒラギノ角ゴ Pro W3"/>
                <w:sz w:val="22"/>
                <w:szCs w:val="22"/>
              </w:rPr>
            </w:pPr>
            <w:r w:rsidRPr="009C79E5">
              <w:rPr>
                <w:sz w:val="22"/>
                <w:szCs w:val="22"/>
              </w:rPr>
              <w:t>M-Enabling Summit (conference)</w:t>
            </w:r>
          </w:p>
        </w:tc>
        <w:tc>
          <w:tcPr>
            <w:tcW w:w="2299"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rPr>
                <w:rFonts w:eastAsia="ヒラギノ角ゴ Pro W3"/>
                <w:sz w:val="22"/>
                <w:szCs w:val="22"/>
              </w:rPr>
            </w:pPr>
            <w:r w:rsidRPr="009C79E5">
              <w:rPr>
                <w:sz w:val="22"/>
                <w:szCs w:val="22"/>
              </w:rPr>
              <w:t>Arlington, VA</w:t>
            </w:r>
          </w:p>
        </w:tc>
      </w:tr>
      <w:tr w:rsidR="00C93461" w:rsidRPr="009C79E5" w:rsidTr="00DD5B74">
        <w:trPr>
          <w:cantSplit/>
          <w:trHeight w:val="480"/>
        </w:trPr>
        <w:tc>
          <w:tcPr>
            <w:tcW w:w="2430"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rPr>
                <w:rFonts w:eastAsia="ヒラギノ角ゴ Pro W3"/>
                <w:sz w:val="22"/>
                <w:szCs w:val="22"/>
              </w:rPr>
            </w:pPr>
            <w:r w:rsidRPr="009C79E5">
              <w:rPr>
                <w:sz w:val="22"/>
                <w:szCs w:val="22"/>
              </w:rPr>
              <w:t>June 11, 2014</w:t>
            </w:r>
          </w:p>
        </w:tc>
        <w:tc>
          <w:tcPr>
            <w:tcW w:w="4631"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rPr>
                <w:rFonts w:eastAsia="ヒラギノ角ゴ Pro W3"/>
                <w:sz w:val="22"/>
                <w:szCs w:val="22"/>
              </w:rPr>
            </w:pPr>
            <w:r w:rsidRPr="009C79E5">
              <w:rPr>
                <w:sz w:val="22"/>
                <w:szCs w:val="22"/>
              </w:rPr>
              <w:t>M-Enabling International Policy Briefing  (policy briefing)</w:t>
            </w:r>
          </w:p>
        </w:tc>
        <w:tc>
          <w:tcPr>
            <w:tcW w:w="2299"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rPr>
                <w:rFonts w:eastAsia="ヒラギノ角ゴ Pro W3"/>
                <w:sz w:val="22"/>
                <w:szCs w:val="22"/>
              </w:rPr>
            </w:pPr>
            <w:r w:rsidRPr="009C79E5">
              <w:rPr>
                <w:sz w:val="22"/>
                <w:szCs w:val="22"/>
              </w:rPr>
              <w:t>Washington, DC</w:t>
            </w:r>
          </w:p>
        </w:tc>
      </w:tr>
      <w:tr w:rsidR="00C93461" w:rsidRPr="009C79E5" w:rsidTr="00DD5B74">
        <w:trPr>
          <w:cantSplit/>
          <w:trHeight w:val="480"/>
        </w:trPr>
        <w:tc>
          <w:tcPr>
            <w:tcW w:w="2430"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rPr>
                <w:rFonts w:eastAsia="ヒラギノ角ゴ Pro W3"/>
                <w:sz w:val="22"/>
                <w:szCs w:val="22"/>
              </w:rPr>
            </w:pPr>
            <w:r w:rsidRPr="009C79E5">
              <w:rPr>
                <w:sz w:val="22"/>
                <w:szCs w:val="22"/>
              </w:rPr>
              <w:t>June 17, 2014</w:t>
            </w:r>
          </w:p>
        </w:tc>
        <w:tc>
          <w:tcPr>
            <w:tcW w:w="4631"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pStyle w:val="NormalWeb"/>
              <w:spacing w:before="0" w:beforeAutospacing="0" w:after="0" w:afterAutospacing="0"/>
              <w:rPr>
                <w:rFonts w:eastAsia="Calibri"/>
                <w:sz w:val="22"/>
                <w:szCs w:val="22"/>
              </w:rPr>
            </w:pPr>
            <w:r w:rsidRPr="009C79E5">
              <w:rPr>
                <w:sz w:val="22"/>
                <w:szCs w:val="22"/>
              </w:rPr>
              <w:t>NENA Education and Training Conference (conference)</w:t>
            </w:r>
          </w:p>
        </w:tc>
        <w:tc>
          <w:tcPr>
            <w:tcW w:w="2299"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rPr>
                <w:rFonts w:eastAsia="ヒラギノ角ゴ Pro W3"/>
                <w:sz w:val="22"/>
                <w:szCs w:val="22"/>
              </w:rPr>
            </w:pPr>
            <w:r w:rsidRPr="009C79E5">
              <w:rPr>
                <w:sz w:val="22"/>
                <w:szCs w:val="22"/>
              </w:rPr>
              <w:t>Nashville, TN (via video conference)</w:t>
            </w:r>
          </w:p>
        </w:tc>
      </w:tr>
      <w:tr w:rsidR="00C93461" w:rsidRPr="009C79E5" w:rsidTr="00DD5B74">
        <w:trPr>
          <w:cantSplit/>
          <w:trHeight w:val="330"/>
        </w:trPr>
        <w:tc>
          <w:tcPr>
            <w:tcW w:w="2430"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rPr>
                <w:rFonts w:eastAsia="ヒラギノ角ゴ Pro W3"/>
                <w:sz w:val="22"/>
                <w:szCs w:val="22"/>
              </w:rPr>
            </w:pPr>
            <w:r w:rsidRPr="009C79E5">
              <w:rPr>
                <w:sz w:val="22"/>
                <w:szCs w:val="22"/>
              </w:rPr>
              <w:t>June 26-29, 2014</w:t>
            </w:r>
          </w:p>
        </w:tc>
        <w:tc>
          <w:tcPr>
            <w:tcW w:w="4631"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rPr>
                <w:rFonts w:eastAsia="ヒラギノ角ゴ Pro W3"/>
                <w:sz w:val="22"/>
                <w:szCs w:val="22"/>
              </w:rPr>
            </w:pPr>
            <w:r w:rsidRPr="009C79E5">
              <w:rPr>
                <w:sz w:val="22"/>
                <w:szCs w:val="22"/>
              </w:rPr>
              <w:t>Hearing Loss Association of America Annual Conference (conference)</w:t>
            </w:r>
          </w:p>
        </w:tc>
        <w:tc>
          <w:tcPr>
            <w:tcW w:w="2299"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rPr>
                <w:rFonts w:eastAsia="ヒラギノ角ゴ Pro W3"/>
                <w:sz w:val="22"/>
                <w:szCs w:val="22"/>
              </w:rPr>
            </w:pPr>
            <w:r w:rsidRPr="009C79E5">
              <w:rPr>
                <w:sz w:val="22"/>
                <w:szCs w:val="22"/>
              </w:rPr>
              <w:t>Austin, TX</w:t>
            </w:r>
          </w:p>
        </w:tc>
      </w:tr>
      <w:tr w:rsidR="00C93461" w:rsidRPr="009C79E5" w:rsidTr="00DD5B74">
        <w:trPr>
          <w:cantSplit/>
          <w:trHeight w:val="330"/>
        </w:trPr>
        <w:tc>
          <w:tcPr>
            <w:tcW w:w="2430"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rPr>
                <w:rFonts w:eastAsia="ヒラギノ角ゴ Pro W3"/>
                <w:sz w:val="22"/>
                <w:szCs w:val="22"/>
              </w:rPr>
            </w:pPr>
            <w:r w:rsidRPr="009C79E5">
              <w:rPr>
                <w:sz w:val="22"/>
                <w:szCs w:val="22"/>
              </w:rPr>
              <w:t>June 27 - July 1, 2014</w:t>
            </w:r>
          </w:p>
          <w:p w:rsidR="00C93461" w:rsidRPr="009C79E5" w:rsidRDefault="00C93461" w:rsidP="00476E6F">
            <w:pPr>
              <w:rPr>
                <w:rFonts w:eastAsia="ヒラギノ角ゴ Pro W3"/>
                <w:sz w:val="22"/>
                <w:szCs w:val="22"/>
              </w:rPr>
            </w:pPr>
          </w:p>
        </w:tc>
        <w:tc>
          <w:tcPr>
            <w:tcW w:w="4631"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rPr>
                <w:rFonts w:eastAsia="ヒラギノ角ゴ Pro W3"/>
                <w:sz w:val="22"/>
                <w:szCs w:val="22"/>
              </w:rPr>
            </w:pPr>
            <w:r w:rsidRPr="009C79E5">
              <w:rPr>
                <w:sz w:val="22"/>
                <w:szCs w:val="22"/>
              </w:rPr>
              <w:t>American Library Association Annual Conference (conference booth)</w:t>
            </w:r>
          </w:p>
        </w:tc>
        <w:tc>
          <w:tcPr>
            <w:tcW w:w="2299"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rPr>
                <w:rFonts w:eastAsia="ヒラギノ角ゴ Pro W3"/>
                <w:sz w:val="22"/>
                <w:szCs w:val="22"/>
              </w:rPr>
            </w:pPr>
            <w:r w:rsidRPr="009C79E5">
              <w:rPr>
                <w:sz w:val="22"/>
                <w:szCs w:val="22"/>
              </w:rPr>
              <w:t>Las Vegas, NV</w:t>
            </w:r>
          </w:p>
          <w:p w:rsidR="00C93461" w:rsidRPr="009C79E5" w:rsidRDefault="00C93461" w:rsidP="00476E6F">
            <w:pPr>
              <w:rPr>
                <w:rFonts w:eastAsia="ヒラギノ角ゴ Pro W3"/>
                <w:sz w:val="22"/>
                <w:szCs w:val="22"/>
              </w:rPr>
            </w:pPr>
          </w:p>
        </w:tc>
      </w:tr>
      <w:tr w:rsidR="00C93461" w:rsidRPr="009C79E5" w:rsidTr="00DD5B74">
        <w:trPr>
          <w:cantSplit/>
          <w:trHeight w:val="330"/>
        </w:trPr>
        <w:tc>
          <w:tcPr>
            <w:tcW w:w="2430"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rPr>
                <w:rFonts w:eastAsia="ヒラギノ角ゴ Pro W3"/>
                <w:sz w:val="22"/>
                <w:szCs w:val="22"/>
              </w:rPr>
            </w:pPr>
            <w:r w:rsidRPr="009C79E5">
              <w:rPr>
                <w:sz w:val="22"/>
                <w:szCs w:val="22"/>
              </w:rPr>
              <w:t>July 1-5, 2014</w:t>
            </w:r>
          </w:p>
        </w:tc>
        <w:tc>
          <w:tcPr>
            <w:tcW w:w="4631"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rPr>
                <w:rFonts w:eastAsia="ヒラギノ角ゴ Pro W3"/>
                <w:sz w:val="22"/>
                <w:szCs w:val="22"/>
              </w:rPr>
            </w:pPr>
            <w:r w:rsidRPr="009C79E5">
              <w:rPr>
                <w:sz w:val="22"/>
                <w:szCs w:val="22"/>
              </w:rPr>
              <w:t>52nd Biennial National Association of the Deaf Conference (conference)</w:t>
            </w:r>
          </w:p>
        </w:tc>
        <w:tc>
          <w:tcPr>
            <w:tcW w:w="2299"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rPr>
                <w:rFonts w:eastAsia="ヒラギノ角ゴ Pro W3"/>
                <w:sz w:val="22"/>
                <w:szCs w:val="22"/>
              </w:rPr>
            </w:pPr>
            <w:r w:rsidRPr="009C79E5">
              <w:rPr>
                <w:sz w:val="22"/>
                <w:szCs w:val="22"/>
              </w:rPr>
              <w:t>Atlanta, GA</w:t>
            </w:r>
          </w:p>
        </w:tc>
      </w:tr>
      <w:tr w:rsidR="00C93461" w:rsidRPr="009C79E5" w:rsidTr="00DD5B74">
        <w:trPr>
          <w:cantSplit/>
          <w:trHeight w:val="269"/>
        </w:trPr>
        <w:tc>
          <w:tcPr>
            <w:tcW w:w="2430"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rPr>
                <w:sz w:val="22"/>
                <w:szCs w:val="22"/>
              </w:rPr>
            </w:pPr>
            <w:r w:rsidRPr="009C79E5">
              <w:rPr>
                <w:sz w:val="22"/>
                <w:szCs w:val="22"/>
              </w:rPr>
              <w:t>July 13-15, 2014</w:t>
            </w:r>
          </w:p>
        </w:tc>
        <w:tc>
          <w:tcPr>
            <w:tcW w:w="4631"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rPr>
                <w:sz w:val="22"/>
                <w:szCs w:val="22"/>
              </w:rPr>
            </w:pPr>
            <w:r w:rsidRPr="009C79E5">
              <w:rPr>
                <w:sz w:val="22"/>
                <w:szCs w:val="22"/>
              </w:rPr>
              <w:t>American Council of the Blind Video Description Conference (conference)</w:t>
            </w:r>
          </w:p>
          <w:p w:rsidR="00C93461" w:rsidRPr="009C79E5" w:rsidRDefault="00C93461" w:rsidP="00476E6F">
            <w:pPr>
              <w:rPr>
                <w:sz w:val="22"/>
                <w:szCs w:val="22"/>
              </w:rPr>
            </w:pPr>
          </w:p>
        </w:tc>
        <w:tc>
          <w:tcPr>
            <w:tcW w:w="2299"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rPr>
                <w:sz w:val="22"/>
                <w:szCs w:val="22"/>
              </w:rPr>
            </w:pPr>
            <w:r w:rsidRPr="009C79E5">
              <w:rPr>
                <w:sz w:val="22"/>
                <w:szCs w:val="22"/>
              </w:rPr>
              <w:t>Las Vegas, NV (prior taping prepared for delivery)</w:t>
            </w:r>
          </w:p>
        </w:tc>
      </w:tr>
      <w:tr w:rsidR="00C93461" w:rsidRPr="009C79E5" w:rsidTr="00DD5B74">
        <w:trPr>
          <w:cantSplit/>
          <w:trHeight w:val="143"/>
        </w:trPr>
        <w:tc>
          <w:tcPr>
            <w:tcW w:w="2430"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keepNext/>
              <w:keepLines/>
              <w:jc w:val="center"/>
              <w:rPr>
                <w:rFonts w:eastAsia="ヒラギノ角ゴ Pro W3"/>
                <w:b/>
                <w:sz w:val="22"/>
                <w:szCs w:val="22"/>
              </w:rPr>
            </w:pPr>
            <w:r w:rsidRPr="009C79E5">
              <w:rPr>
                <w:b/>
                <w:sz w:val="22"/>
                <w:szCs w:val="22"/>
              </w:rPr>
              <w:t>Date(s)</w:t>
            </w:r>
          </w:p>
        </w:tc>
        <w:tc>
          <w:tcPr>
            <w:tcW w:w="4631"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keepNext/>
              <w:keepLines/>
              <w:jc w:val="center"/>
              <w:rPr>
                <w:rFonts w:eastAsia="ヒラギノ角ゴ Pro W3"/>
                <w:b/>
                <w:sz w:val="22"/>
                <w:szCs w:val="22"/>
              </w:rPr>
            </w:pPr>
            <w:r w:rsidRPr="009C79E5">
              <w:rPr>
                <w:b/>
                <w:sz w:val="22"/>
                <w:szCs w:val="22"/>
              </w:rPr>
              <w:t>Group Name (Type of Event)</w:t>
            </w:r>
          </w:p>
        </w:tc>
        <w:tc>
          <w:tcPr>
            <w:tcW w:w="2299"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keepNext/>
              <w:keepLines/>
              <w:jc w:val="center"/>
              <w:rPr>
                <w:rFonts w:eastAsia="ヒラギノ角ゴ Pro W3"/>
                <w:b/>
                <w:sz w:val="22"/>
                <w:szCs w:val="22"/>
              </w:rPr>
            </w:pPr>
            <w:r w:rsidRPr="009C79E5">
              <w:rPr>
                <w:b/>
                <w:sz w:val="22"/>
                <w:szCs w:val="22"/>
              </w:rPr>
              <w:t>Location</w:t>
            </w:r>
          </w:p>
        </w:tc>
      </w:tr>
      <w:tr w:rsidR="00C93461" w:rsidRPr="009C79E5" w:rsidTr="00DD5B74">
        <w:trPr>
          <w:cantSplit/>
          <w:trHeight w:val="330"/>
        </w:trPr>
        <w:tc>
          <w:tcPr>
            <w:tcW w:w="2430"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keepNext/>
              <w:keepLines/>
              <w:rPr>
                <w:sz w:val="22"/>
                <w:szCs w:val="22"/>
              </w:rPr>
            </w:pPr>
            <w:r w:rsidRPr="009C79E5">
              <w:rPr>
                <w:sz w:val="22"/>
                <w:szCs w:val="22"/>
              </w:rPr>
              <w:t>July 15, 2014</w:t>
            </w:r>
          </w:p>
        </w:tc>
        <w:tc>
          <w:tcPr>
            <w:tcW w:w="4631"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keepNext/>
              <w:keepLines/>
              <w:rPr>
                <w:sz w:val="22"/>
                <w:szCs w:val="22"/>
              </w:rPr>
            </w:pPr>
            <w:r w:rsidRPr="009C79E5">
              <w:rPr>
                <w:sz w:val="22"/>
                <w:szCs w:val="22"/>
              </w:rPr>
              <w:t>Association of Assistive Technology Act Programs (ATAP) (meeting)</w:t>
            </w:r>
          </w:p>
        </w:tc>
        <w:tc>
          <w:tcPr>
            <w:tcW w:w="2299"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keepNext/>
              <w:keepLines/>
              <w:rPr>
                <w:sz w:val="22"/>
                <w:szCs w:val="22"/>
              </w:rPr>
            </w:pPr>
            <w:r w:rsidRPr="009C79E5">
              <w:rPr>
                <w:sz w:val="22"/>
                <w:szCs w:val="22"/>
              </w:rPr>
              <w:t>Washington, DC</w:t>
            </w:r>
          </w:p>
        </w:tc>
      </w:tr>
      <w:tr w:rsidR="00C93461" w:rsidRPr="009C79E5" w:rsidTr="00DD5B74">
        <w:trPr>
          <w:cantSplit/>
          <w:trHeight w:val="330"/>
        </w:trPr>
        <w:tc>
          <w:tcPr>
            <w:tcW w:w="2430"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rPr>
                <w:rFonts w:eastAsia="ヒラギノ角ゴ Pro W3"/>
                <w:sz w:val="22"/>
                <w:szCs w:val="22"/>
              </w:rPr>
            </w:pPr>
            <w:r w:rsidRPr="009C79E5">
              <w:rPr>
                <w:sz w:val="22"/>
                <w:szCs w:val="22"/>
              </w:rPr>
              <w:t>July 17, 2014</w:t>
            </w:r>
          </w:p>
        </w:tc>
        <w:tc>
          <w:tcPr>
            <w:tcW w:w="4631"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rPr>
                <w:rFonts w:eastAsia="ヒラギノ角ゴ Pro W3"/>
                <w:sz w:val="22"/>
                <w:szCs w:val="22"/>
              </w:rPr>
            </w:pPr>
            <w:r w:rsidRPr="009C79E5">
              <w:rPr>
                <w:sz w:val="22"/>
                <w:szCs w:val="22"/>
              </w:rPr>
              <w:t>FCC's Accessibility and Innovation Initiative: “Accessing Social Media” (workshop)</w:t>
            </w:r>
          </w:p>
        </w:tc>
        <w:tc>
          <w:tcPr>
            <w:tcW w:w="2299"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rPr>
                <w:rFonts w:eastAsia="ヒラギノ角ゴ Pro W3"/>
                <w:sz w:val="22"/>
                <w:szCs w:val="22"/>
              </w:rPr>
            </w:pPr>
            <w:r w:rsidRPr="009C79E5">
              <w:rPr>
                <w:sz w:val="22"/>
                <w:szCs w:val="22"/>
              </w:rPr>
              <w:t>Washington, DC</w:t>
            </w:r>
          </w:p>
        </w:tc>
      </w:tr>
      <w:tr w:rsidR="00C93461" w:rsidRPr="009C79E5" w:rsidTr="00DD5B74">
        <w:trPr>
          <w:cantSplit/>
          <w:trHeight w:val="330"/>
        </w:trPr>
        <w:tc>
          <w:tcPr>
            <w:tcW w:w="2430"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rPr>
                <w:sz w:val="22"/>
                <w:szCs w:val="22"/>
              </w:rPr>
            </w:pPr>
            <w:r w:rsidRPr="009C79E5">
              <w:rPr>
                <w:sz w:val="22"/>
                <w:szCs w:val="22"/>
              </w:rPr>
              <w:t>July 23, 2014</w:t>
            </w:r>
          </w:p>
        </w:tc>
        <w:tc>
          <w:tcPr>
            <w:tcW w:w="4631"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rPr>
                <w:sz w:val="22"/>
                <w:szCs w:val="22"/>
              </w:rPr>
            </w:pPr>
            <w:r w:rsidRPr="009C79E5">
              <w:rPr>
                <w:sz w:val="22"/>
                <w:szCs w:val="22"/>
              </w:rPr>
              <w:t>National Consumers League/American Association of People with Disabilities Symposium on Consumer Protection for People with Disabilities (conference)</w:t>
            </w:r>
          </w:p>
        </w:tc>
        <w:tc>
          <w:tcPr>
            <w:tcW w:w="2299"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rPr>
                <w:sz w:val="22"/>
                <w:szCs w:val="22"/>
              </w:rPr>
            </w:pPr>
            <w:r w:rsidRPr="009C79E5">
              <w:rPr>
                <w:sz w:val="22"/>
                <w:szCs w:val="22"/>
              </w:rPr>
              <w:t>Washington, DC</w:t>
            </w:r>
          </w:p>
        </w:tc>
      </w:tr>
      <w:tr w:rsidR="00C93461" w:rsidRPr="009C79E5" w:rsidTr="00DD5B74">
        <w:trPr>
          <w:cantSplit/>
          <w:trHeight w:val="330"/>
        </w:trPr>
        <w:tc>
          <w:tcPr>
            <w:tcW w:w="2430"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rPr>
                <w:rFonts w:eastAsia="ヒラギノ角ゴ Pro W3"/>
                <w:sz w:val="22"/>
                <w:szCs w:val="22"/>
              </w:rPr>
            </w:pPr>
            <w:r w:rsidRPr="009C79E5">
              <w:rPr>
                <w:sz w:val="22"/>
                <w:szCs w:val="22"/>
              </w:rPr>
              <w:t>July 29, 2014</w:t>
            </w:r>
          </w:p>
          <w:p w:rsidR="00C93461" w:rsidRPr="009C79E5" w:rsidRDefault="00C93461" w:rsidP="00476E6F">
            <w:pPr>
              <w:rPr>
                <w:rFonts w:eastAsia="ヒラギノ角ゴ Pro W3"/>
                <w:sz w:val="22"/>
                <w:szCs w:val="22"/>
              </w:rPr>
            </w:pPr>
          </w:p>
        </w:tc>
        <w:tc>
          <w:tcPr>
            <w:tcW w:w="4631"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rPr>
                <w:rFonts w:eastAsia="ヒラギノ角ゴ Pro W3"/>
                <w:sz w:val="22"/>
                <w:szCs w:val="22"/>
              </w:rPr>
            </w:pPr>
            <w:r w:rsidRPr="009C79E5">
              <w:rPr>
                <w:sz w:val="22"/>
                <w:szCs w:val="22"/>
              </w:rPr>
              <w:t>U.S. Access Board and Federal CIO Council webinar series on Section 508 best practices (remote presentation)</w:t>
            </w:r>
          </w:p>
        </w:tc>
        <w:tc>
          <w:tcPr>
            <w:tcW w:w="2299"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rPr>
                <w:rFonts w:eastAsia="ヒラギノ角ゴ Pro W3"/>
                <w:sz w:val="22"/>
                <w:szCs w:val="22"/>
              </w:rPr>
            </w:pPr>
            <w:r w:rsidRPr="009C79E5">
              <w:rPr>
                <w:sz w:val="22"/>
                <w:szCs w:val="22"/>
              </w:rPr>
              <w:t>Washington, DC</w:t>
            </w:r>
          </w:p>
          <w:p w:rsidR="00C93461" w:rsidRPr="009C79E5" w:rsidRDefault="00C93461" w:rsidP="00476E6F">
            <w:pPr>
              <w:rPr>
                <w:rFonts w:eastAsia="ヒラギノ角ゴ Pro W3"/>
                <w:sz w:val="22"/>
                <w:szCs w:val="22"/>
              </w:rPr>
            </w:pPr>
          </w:p>
        </w:tc>
      </w:tr>
      <w:tr w:rsidR="00C93461" w:rsidRPr="009C79E5" w:rsidTr="00DD5B74">
        <w:trPr>
          <w:cantSplit/>
          <w:trHeight w:val="431"/>
        </w:trPr>
        <w:tc>
          <w:tcPr>
            <w:tcW w:w="2430"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rPr>
                <w:sz w:val="22"/>
                <w:szCs w:val="22"/>
              </w:rPr>
            </w:pPr>
            <w:r w:rsidRPr="009C79E5">
              <w:rPr>
                <w:sz w:val="22"/>
                <w:szCs w:val="22"/>
              </w:rPr>
              <w:t xml:space="preserve">July 30 - </w:t>
            </w:r>
          </w:p>
          <w:p w:rsidR="00C93461" w:rsidRPr="009C79E5" w:rsidRDefault="00C93461" w:rsidP="00476E6F">
            <w:pPr>
              <w:rPr>
                <w:rFonts w:eastAsia="ヒラギノ角ゴ Pro W3"/>
                <w:sz w:val="22"/>
                <w:szCs w:val="22"/>
              </w:rPr>
            </w:pPr>
            <w:r w:rsidRPr="009C79E5">
              <w:rPr>
                <w:sz w:val="22"/>
                <w:szCs w:val="22"/>
              </w:rPr>
              <w:t>August 1, 2014</w:t>
            </w:r>
          </w:p>
        </w:tc>
        <w:tc>
          <w:tcPr>
            <w:tcW w:w="4631"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rPr>
                <w:rFonts w:eastAsia="ヒラギノ角ゴ Pro W3"/>
                <w:sz w:val="22"/>
                <w:szCs w:val="22"/>
              </w:rPr>
            </w:pPr>
            <w:r w:rsidRPr="009C79E5">
              <w:rPr>
                <w:sz w:val="22"/>
                <w:szCs w:val="22"/>
              </w:rPr>
              <w:t>International Deaf-Blind Expo (conference)</w:t>
            </w:r>
          </w:p>
        </w:tc>
        <w:tc>
          <w:tcPr>
            <w:tcW w:w="2299"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rPr>
                <w:rFonts w:eastAsia="ヒラギノ角ゴ Pro W3"/>
                <w:sz w:val="22"/>
                <w:szCs w:val="22"/>
              </w:rPr>
            </w:pPr>
            <w:r w:rsidRPr="009C79E5">
              <w:rPr>
                <w:sz w:val="22"/>
                <w:szCs w:val="22"/>
              </w:rPr>
              <w:t>Las Vegas, NV</w:t>
            </w:r>
          </w:p>
        </w:tc>
      </w:tr>
      <w:tr w:rsidR="00C93461" w:rsidRPr="009C79E5" w:rsidTr="00DD5B74">
        <w:trPr>
          <w:cantSplit/>
          <w:trHeight w:val="251"/>
        </w:trPr>
        <w:tc>
          <w:tcPr>
            <w:tcW w:w="2430"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rPr>
                <w:rFonts w:eastAsia="ヒラギノ角ゴ Pro W3"/>
                <w:sz w:val="22"/>
                <w:szCs w:val="22"/>
              </w:rPr>
            </w:pPr>
            <w:r w:rsidRPr="009C79E5">
              <w:rPr>
                <w:sz w:val="22"/>
                <w:szCs w:val="22"/>
              </w:rPr>
              <w:t>August 1-2, 2014</w:t>
            </w:r>
          </w:p>
        </w:tc>
        <w:tc>
          <w:tcPr>
            <w:tcW w:w="4631"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rPr>
                <w:rFonts w:eastAsia="ヒラギノ角ゴ Pro W3"/>
                <w:sz w:val="22"/>
                <w:szCs w:val="22"/>
              </w:rPr>
            </w:pPr>
            <w:r w:rsidRPr="009C79E5">
              <w:rPr>
                <w:sz w:val="22"/>
                <w:szCs w:val="22"/>
              </w:rPr>
              <w:t>American Association of the Deaf-Blind Symposium (conference)</w:t>
            </w:r>
          </w:p>
        </w:tc>
        <w:tc>
          <w:tcPr>
            <w:tcW w:w="2299"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rPr>
                <w:rFonts w:eastAsia="ヒラギノ角ゴ Pro W3"/>
                <w:sz w:val="22"/>
                <w:szCs w:val="22"/>
              </w:rPr>
            </w:pPr>
            <w:r w:rsidRPr="009C79E5">
              <w:rPr>
                <w:sz w:val="22"/>
                <w:szCs w:val="22"/>
              </w:rPr>
              <w:t>Las Vegas, NV</w:t>
            </w:r>
          </w:p>
        </w:tc>
      </w:tr>
      <w:tr w:rsidR="00C93461" w:rsidRPr="009C79E5" w:rsidTr="00DD5B74">
        <w:trPr>
          <w:cantSplit/>
          <w:trHeight w:val="170"/>
        </w:trPr>
        <w:tc>
          <w:tcPr>
            <w:tcW w:w="2430"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rPr>
                <w:rFonts w:eastAsia="ヒラギノ角ゴ Pro W3"/>
                <w:sz w:val="22"/>
                <w:szCs w:val="22"/>
              </w:rPr>
            </w:pPr>
            <w:r w:rsidRPr="009C79E5">
              <w:rPr>
                <w:sz w:val="22"/>
                <w:szCs w:val="22"/>
              </w:rPr>
              <w:t>August 20, 2014</w:t>
            </w:r>
          </w:p>
        </w:tc>
        <w:tc>
          <w:tcPr>
            <w:tcW w:w="4631"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pStyle w:val="NormalWeb"/>
              <w:spacing w:before="0" w:beforeAutospacing="0" w:after="0" w:afterAutospacing="0"/>
              <w:rPr>
                <w:rFonts w:eastAsia="Calibri"/>
                <w:sz w:val="22"/>
                <w:szCs w:val="22"/>
              </w:rPr>
            </w:pPr>
            <w:r w:rsidRPr="009C79E5">
              <w:rPr>
                <w:sz w:val="22"/>
                <w:szCs w:val="22"/>
              </w:rPr>
              <w:t>Telecommunications Industry Association, TR</w:t>
            </w:r>
            <w:r w:rsidRPr="009C79E5">
              <w:rPr>
                <w:sz w:val="22"/>
                <w:szCs w:val="22"/>
              </w:rPr>
              <w:noBreakHyphen/>
              <w:t>41 (accessibility) Committee Meeting (meeting)</w:t>
            </w:r>
          </w:p>
        </w:tc>
        <w:tc>
          <w:tcPr>
            <w:tcW w:w="2299"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rPr>
                <w:rFonts w:eastAsia="ヒラギノ角ゴ Pro W3"/>
                <w:sz w:val="22"/>
                <w:szCs w:val="22"/>
              </w:rPr>
            </w:pPr>
            <w:r w:rsidRPr="009C79E5">
              <w:rPr>
                <w:sz w:val="22"/>
                <w:szCs w:val="22"/>
              </w:rPr>
              <w:t>Arlington, VA</w:t>
            </w:r>
          </w:p>
        </w:tc>
      </w:tr>
      <w:tr w:rsidR="00C93461" w:rsidRPr="009C79E5" w:rsidTr="00DD5B74">
        <w:trPr>
          <w:cantSplit/>
          <w:trHeight w:val="386"/>
        </w:trPr>
        <w:tc>
          <w:tcPr>
            <w:tcW w:w="2430"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rPr>
                <w:sz w:val="22"/>
                <w:szCs w:val="22"/>
              </w:rPr>
            </w:pPr>
            <w:r w:rsidRPr="009C79E5">
              <w:rPr>
                <w:sz w:val="22"/>
                <w:szCs w:val="22"/>
              </w:rPr>
              <w:t>September 6, 2014</w:t>
            </w:r>
          </w:p>
        </w:tc>
        <w:tc>
          <w:tcPr>
            <w:tcW w:w="4631"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pStyle w:val="NormalWeb"/>
              <w:spacing w:before="0" w:beforeAutospacing="0" w:after="0" w:afterAutospacing="0"/>
              <w:rPr>
                <w:sz w:val="22"/>
                <w:szCs w:val="22"/>
              </w:rPr>
            </w:pPr>
            <w:r w:rsidRPr="009C79E5">
              <w:rPr>
                <w:sz w:val="22"/>
                <w:szCs w:val="22"/>
              </w:rPr>
              <w:t>Howard County Association of the Deaf (presentation)</w:t>
            </w:r>
          </w:p>
        </w:tc>
        <w:tc>
          <w:tcPr>
            <w:tcW w:w="2299"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rPr>
                <w:sz w:val="22"/>
                <w:szCs w:val="22"/>
              </w:rPr>
            </w:pPr>
            <w:r w:rsidRPr="009C79E5">
              <w:rPr>
                <w:sz w:val="22"/>
                <w:szCs w:val="22"/>
              </w:rPr>
              <w:t>Highland, MD</w:t>
            </w:r>
          </w:p>
        </w:tc>
      </w:tr>
      <w:tr w:rsidR="00C93461" w:rsidRPr="009C79E5" w:rsidTr="00DD5B74">
        <w:trPr>
          <w:cantSplit/>
          <w:trHeight w:val="476"/>
        </w:trPr>
        <w:tc>
          <w:tcPr>
            <w:tcW w:w="2430"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rPr>
                <w:rFonts w:eastAsia="ヒラギノ角ゴ Pro W3"/>
                <w:sz w:val="22"/>
                <w:szCs w:val="22"/>
              </w:rPr>
            </w:pPr>
            <w:r w:rsidRPr="009C79E5">
              <w:rPr>
                <w:sz w:val="22"/>
                <w:szCs w:val="22"/>
              </w:rPr>
              <w:t>September 19-20, 2014</w:t>
            </w:r>
          </w:p>
        </w:tc>
        <w:tc>
          <w:tcPr>
            <w:tcW w:w="4631"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rPr>
                <w:rFonts w:eastAsia="ヒラギノ角ゴ Pro W3"/>
                <w:sz w:val="22"/>
                <w:szCs w:val="22"/>
              </w:rPr>
            </w:pPr>
            <w:r w:rsidRPr="009C79E5">
              <w:rPr>
                <w:sz w:val="22"/>
                <w:szCs w:val="22"/>
              </w:rPr>
              <w:t>Telecommunications Equipment Distribution Program Association Conference (conference)</w:t>
            </w:r>
          </w:p>
        </w:tc>
        <w:tc>
          <w:tcPr>
            <w:tcW w:w="2299"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rPr>
                <w:rFonts w:eastAsia="ヒラギノ角ゴ Pro W3"/>
                <w:sz w:val="22"/>
                <w:szCs w:val="22"/>
              </w:rPr>
            </w:pPr>
            <w:r w:rsidRPr="009C79E5">
              <w:rPr>
                <w:sz w:val="22"/>
                <w:szCs w:val="22"/>
              </w:rPr>
              <w:t>Portland, ME</w:t>
            </w:r>
          </w:p>
        </w:tc>
      </w:tr>
      <w:tr w:rsidR="00C93461" w:rsidRPr="009C79E5" w:rsidTr="00DD5B74">
        <w:trPr>
          <w:cantSplit/>
          <w:trHeight w:val="215"/>
        </w:trPr>
        <w:tc>
          <w:tcPr>
            <w:tcW w:w="2430"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rPr>
                <w:rFonts w:eastAsia="ヒラギノ角ゴ Pro W3"/>
                <w:sz w:val="22"/>
                <w:szCs w:val="22"/>
              </w:rPr>
            </w:pPr>
            <w:r w:rsidRPr="009C79E5">
              <w:rPr>
                <w:sz w:val="22"/>
                <w:szCs w:val="22"/>
              </w:rPr>
              <w:t>September 21, 2014</w:t>
            </w:r>
          </w:p>
          <w:p w:rsidR="00C93461" w:rsidRPr="009C79E5" w:rsidRDefault="00C93461" w:rsidP="00476E6F">
            <w:pPr>
              <w:rPr>
                <w:rFonts w:eastAsia="ヒラギノ角ゴ Pro W3"/>
                <w:sz w:val="22"/>
                <w:szCs w:val="22"/>
              </w:rPr>
            </w:pPr>
          </w:p>
        </w:tc>
        <w:tc>
          <w:tcPr>
            <w:tcW w:w="4631"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rPr>
                <w:rFonts w:eastAsia="ヒラギノ角ゴ Pro W3"/>
                <w:sz w:val="22"/>
                <w:szCs w:val="22"/>
              </w:rPr>
            </w:pPr>
            <w:r w:rsidRPr="009C79E5">
              <w:rPr>
                <w:sz w:val="22"/>
                <w:szCs w:val="22"/>
              </w:rPr>
              <w:t>Interstate Telecommunications Relay Service Fund Advisory Council Meeting (meeting)</w:t>
            </w:r>
          </w:p>
        </w:tc>
        <w:tc>
          <w:tcPr>
            <w:tcW w:w="2299"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rPr>
                <w:rFonts w:eastAsia="ヒラギノ角ゴ Pro W3"/>
                <w:sz w:val="22"/>
                <w:szCs w:val="22"/>
              </w:rPr>
            </w:pPr>
            <w:r w:rsidRPr="009C79E5">
              <w:rPr>
                <w:sz w:val="22"/>
                <w:szCs w:val="22"/>
              </w:rPr>
              <w:t>Portland, ME</w:t>
            </w:r>
          </w:p>
          <w:p w:rsidR="00C93461" w:rsidRPr="009C79E5" w:rsidRDefault="00C93461" w:rsidP="00476E6F">
            <w:pPr>
              <w:rPr>
                <w:rFonts w:eastAsia="ヒラギノ角ゴ Pro W3"/>
                <w:sz w:val="22"/>
                <w:szCs w:val="22"/>
              </w:rPr>
            </w:pPr>
          </w:p>
        </w:tc>
      </w:tr>
      <w:tr w:rsidR="00C93461" w:rsidRPr="009C79E5" w:rsidTr="00DD5B74">
        <w:trPr>
          <w:cantSplit/>
          <w:trHeight w:val="395"/>
        </w:trPr>
        <w:tc>
          <w:tcPr>
            <w:tcW w:w="2430"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rPr>
                <w:rFonts w:eastAsia="ヒラギノ角ゴ Pro W3"/>
                <w:sz w:val="22"/>
                <w:szCs w:val="22"/>
              </w:rPr>
            </w:pPr>
            <w:r w:rsidRPr="009C79E5">
              <w:rPr>
                <w:sz w:val="22"/>
                <w:szCs w:val="22"/>
              </w:rPr>
              <w:t>September 22-23, 2014</w:t>
            </w:r>
          </w:p>
        </w:tc>
        <w:tc>
          <w:tcPr>
            <w:tcW w:w="4631"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rPr>
                <w:rFonts w:eastAsia="ヒラギノ角ゴ Pro W3"/>
                <w:sz w:val="22"/>
                <w:szCs w:val="22"/>
              </w:rPr>
            </w:pPr>
            <w:r w:rsidRPr="009C79E5">
              <w:rPr>
                <w:sz w:val="22"/>
                <w:szCs w:val="22"/>
              </w:rPr>
              <w:t>National Association for State Relay Administration Conference (conference)</w:t>
            </w:r>
          </w:p>
        </w:tc>
        <w:tc>
          <w:tcPr>
            <w:tcW w:w="2299"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C93461" w:rsidRPr="009C79E5" w:rsidRDefault="00C93461" w:rsidP="00476E6F">
            <w:pPr>
              <w:rPr>
                <w:rFonts w:eastAsia="ヒラギノ角ゴ Pro W3"/>
                <w:sz w:val="22"/>
                <w:szCs w:val="22"/>
              </w:rPr>
            </w:pPr>
            <w:r w:rsidRPr="009C79E5">
              <w:rPr>
                <w:sz w:val="22"/>
                <w:szCs w:val="22"/>
              </w:rPr>
              <w:t>Portland, ME</w:t>
            </w:r>
          </w:p>
          <w:p w:rsidR="00C93461" w:rsidRPr="009C79E5" w:rsidRDefault="00C93461" w:rsidP="00476E6F">
            <w:pPr>
              <w:rPr>
                <w:rFonts w:eastAsia="ヒラギノ角ゴ Pro W3"/>
                <w:sz w:val="22"/>
                <w:szCs w:val="22"/>
              </w:rPr>
            </w:pPr>
          </w:p>
        </w:tc>
      </w:tr>
    </w:tbl>
    <w:p w:rsidR="00C93461" w:rsidRPr="009C79E5" w:rsidRDefault="00C93461" w:rsidP="00476E6F">
      <w:pPr>
        <w:pStyle w:val="FreeForm"/>
        <w:rPr>
          <w:color w:val="auto"/>
          <w:sz w:val="22"/>
          <w:szCs w:val="22"/>
        </w:rPr>
      </w:pPr>
    </w:p>
    <w:p w:rsidR="00C93461" w:rsidRPr="009C79E5" w:rsidRDefault="00C93461" w:rsidP="00476E6F">
      <w:pPr>
        <w:pStyle w:val="NormalWeb"/>
        <w:spacing w:before="0" w:beforeAutospacing="0" w:after="0" w:afterAutospacing="0"/>
        <w:jc w:val="center"/>
        <w:rPr>
          <w:b/>
          <w:sz w:val="22"/>
          <w:szCs w:val="22"/>
        </w:rPr>
      </w:pPr>
      <w:r w:rsidRPr="009C79E5">
        <w:rPr>
          <w:b/>
          <w:sz w:val="22"/>
          <w:szCs w:val="22"/>
        </w:rPr>
        <w:br w:type="page"/>
        <w:t>CVAA-related Commission News Releases</w:t>
      </w:r>
    </w:p>
    <w:p w:rsidR="00C93461" w:rsidRPr="009C79E5" w:rsidRDefault="00C93461" w:rsidP="00476E6F">
      <w:pPr>
        <w:jc w:val="center"/>
        <w:rPr>
          <w:b/>
          <w:sz w:val="22"/>
          <w:szCs w:val="22"/>
        </w:rPr>
      </w:pPr>
    </w:p>
    <w:p w:rsidR="00C93461" w:rsidRPr="009C79E5" w:rsidRDefault="00C93461" w:rsidP="00476E6F">
      <w:pPr>
        <w:rPr>
          <w:sz w:val="22"/>
          <w:szCs w:val="22"/>
        </w:rPr>
      </w:pPr>
      <w:r w:rsidRPr="009C79E5">
        <w:rPr>
          <w:sz w:val="22"/>
          <w:szCs w:val="22"/>
        </w:rPr>
        <w:t>The FCC released the following news releases pertaining to the CVAA and related activities, from October 5, 2012 to October 8, 2014.</w:t>
      </w:r>
    </w:p>
    <w:p w:rsidR="00C93461" w:rsidRPr="009C79E5" w:rsidRDefault="00C93461" w:rsidP="00476E6F">
      <w:pPr>
        <w:pStyle w:val="NormalWeb"/>
        <w:spacing w:before="0" w:beforeAutospacing="0" w:after="0" w:afterAutospacing="0"/>
        <w:jc w:val="center"/>
        <w:rPr>
          <w:sz w:val="22"/>
          <w:szCs w:val="22"/>
        </w:rPr>
      </w:pPr>
    </w:p>
    <w:p w:rsidR="00C93461" w:rsidRPr="009C79E5" w:rsidRDefault="00C93461" w:rsidP="00476E6F">
      <w:pPr>
        <w:numPr>
          <w:ilvl w:val="0"/>
          <w:numId w:val="6"/>
        </w:numPr>
        <w:tabs>
          <w:tab w:val="clear" w:pos="720"/>
          <w:tab w:val="num" w:pos="360"/>
        </w:tabs>
        <w:autoSpaceDE w:val="0"/>
        <w:autoSpaceDN w:val="0"/>
        <w:adjustRightInd w:val="0"/>
        <w:ind w:left="360"/>
        <w:rPr>
          <w:sz w:val="22"/>
          <w:szCs w:val="22"/>
          <w:u w:val="single"/>
          <w:lang w:val="en"/>
        </w:rPr>
      </w:pPr>
      <w:r w:rsidRPr="009C79E5">
        <w:rPr>
          <w:sz w:val="22"/>
          <w:szCs w:val="22"/>
        </w:rPr>
        <w:t xml:space="preserve">FCC </w:t>
      </w:r>
      <w:r w:rsidRPr="009C79E5">
        <w:rPr>
          <w:bCs/>
          <w:sz w:val="22"/>
          <w:szCs w:val="22"/>
        </w:rPr>
        <w:t>Chairman</w:t>
      </w:r>
      <w:r w:rsidRPr="009C79E5">
        <w:rPr>
          <w:sz w:val="22"/>
          <w:szCs w:val="22"/>
        </w:rPr>
        <w:t xml:space="preserve"> Julius Genachowski to Honor Innovators in Accessibility Communications Technologies – December 5, 2012</w:t>
      </w:r>
    </w:p>
    <w:p w:rsidR="00C93461" w:rsidRPr="007B4C23" w:rsidRDefault="00B70410" w:rsidP="00476E6F">
      <w:pPr>
        <w:autoSpaceDE w:val="0"/>
        <w:autoSpaceDN w:val="0"/>
        <w:adjustRightInd w:val="0"/>
        <w:ind w:left="360"/>
        <w:rPr>
          <w:sz w:val="22"/>
          <w:szCs w:val="22"/>
        </w:rPr>
      </w:pPr>
      <w:hyperlink r:id="rId54" w:history="1">
        <w:r w:rsidR="00C93461" w:rsidRPr="005732A8">
          <w:rPr>
            <w:rStyle w:val="Hyperlink"/>
            <w:sz w:val="22"/>
            <w:szCs w:val="22"/>
          </w:rPr>
          <w:t>https://apps.fcc.gov/edocs_public/attachmatch/DOC-317727A1.pdf</w:t>
        </w:r>
      </w:hyperlink>
    </w:p>
    <w:p w:rsidR="00C93461" w:rsidRPr="005732A8" w:rsidRDefault="00C93461" w:rsidP="00476E6F">
      <w:pPr>
        <w:autoSpaceDE w:val="0"/>
        <w:autoSpaceDN w:val="0"/>
        <w:adjustRightInd w:val="0"/>
        <w:ind w:left="360"/>
        <w:rPr>
          <w:rStyle w:val="Hyperlink"/>
          <w:sz w:val="22"/>
          <w:szCs w:val="22"/>
          <w:lang w:val="en"/>
        </w:rPr>
      </w:pPr>
    </w:p>
    <w:p w:rsidR="00C93461" w:rsidRPr="006C02D7" w:rsidRDefault="00C93461" w:rsidP="00476E6F">
      <w:pPr>
        <w:numPr>
          <w:ilvl w:val="0"/>
          <w:numId w:val="6"/>
        </w:numPr>
        <w:tabs>
          <w:tab w:val="clear" w:pos="720"/>
          <w:tab w:val="num" w:pos="360"/>
        </w:tabs>
        <w:autoSpaceDE w:val="0"/>
        <w:autoSpaceDN w:val="0"/>
        <w:adjustRightInd w:val="0"/>
        <w:ind w:left="360"/>
        <w:rPr>
          <w:rStyle w:val="headlinedate"/>
          <w:color w:val="auto"/>
          <w:sz w:val="22"/>
          <w:szCs w:val="22"/>
          <w:u w:val="single"/>
          <w:lang w:val="en"/>
        </w:rPr>
      </w:pPr>
      <w:r w:rsidRPr="00BF0859">
        <w:rPr>
          <w:sz w:val="22"/>
          <w:szCs w:val="22"/>
          <w:shd w:val="clear" w:color="auto" w:fill="FFFFFF"/>
        </w:rPr>
        <w:t xml:space="preserve">FCC Chairman Julius Genachowski Announces Voluntary Commitment by Major U.S. Wireless Carriers &amp; Public Safety Leaders to Accelerate Nationwide Text-to-911 Services; Calls for Continued Engagement with FCC </w:t>
      </w:r>
      <w:r w:rsidRPr="00FF1FD9">
        <w:rPr>
          <w:sz w:val="22"/>
          <w:szCs w:val="22"/>
          <w:shd w:val="clear" w:color="auto" w:fill="FFFFFF"/>
        </w:rPr>
        <w:t>on Next-Generation 9-1-1 Initiatives – December 6, 2012</w:t>
      </w:r>
      <w:r w:rsidRPr="00FF1FD9">
        <w:rPr>
          <w:rStyle w:val="headlinedate"/>
          <w:color w:val="auto"/>
          <w:sz w:val="22"/>
          <w:szCs w:val="22"/>
          <w:shd w:val="clear" w:color="auto" w:fill="FFFFFF"/>
        </w:rPr>
        <w:t xml:space="preserve"> </w:t>
      </w:r>
    </w:p>
    <w:p w:rsidR="00C93461" w:rsidRPr="007B4C23" w:rsidRDefault="00B70410" w:rsidP="00476E6F">
      <w:pPr>
        <w:shd w:val="clear" w:color="auto" w:fill="FFFFFF"/>
        <w:tabs>
          <w:tab w:val="num" w:pos="360"/>
        </w:tabs>
        <w:ind w:left="360"/>
        <w:rPr>
          <w:rStyle w:val="Hyperlink"/>
          <w:sz w:val="22"/>
          <w:szCs w:val="22"/>
          <w:lang w:val="en"/>
        </w:rPr>
      </w:pPr>
      <w:hyperlink r:id="rId55" w:history="1">
        <w:r w:rsidR="00C93461" w:rsidRPr="005732A8">
          <w:rPr>
            <w:rStyle w:val="Hyperlink"/>
            <w:sz w:val="22"/>
            <w:szCs w:val="22"/>
            <w:lang w:val="en"/>
          </w:rPr>
          <w:t>https://apps.fcc.gov/edocs_public/attachmatch/DOC-317786A1.pdf</w:t>
        </w:r>
      </w:hyperlink>
    </w:p>
    <w:p w:rsidR="00C93461" w:rsidRPr="005732A8" w:rsidRDefault="00C93461" w:rsidP="00476E6F">
      <w:pPr>
        <w:shd w:val="clear" w:color="auto" w:fill="FFFFFF"/>
        <w:tabs>
          <w:tab w:val="num" w:pos="360"/>
        </w:tabs>
        <w:ind w:left="360"/>
        <w:rPr>
          <w:rStyle w:val="Hyperlink"/>
          <w:sz w:val="22"/>
          <w:szCs w:val="22"/>
          <w:lang w:val="en"/>
        </w:rPr>
      </w:pPr>
    </w:p>
    <w:p w:rsidR="00C93461" w:rsidRPr="005732A8" w:rsidRDefault="00C93461" w:rsidP="00476E6F">
      <w:pPr>
        <w:numPr>
          <w:ilvl w:val="0"/>
          <w:numId w:val="6"/>
        </w:numPr>
        <w:tabs>
          <w:tab w:val="clear" w:pos="720"/>
          <w:tab w:val="num" w:pos="360"/>
        </w:tabs>
        <w:autoSpaceDE w:val="0"/>
        <w:autoSpaceDN w:val="0"/>
        <w:adjustRightInd w:val="0"/>
        <w:ind w:left="360"/>
        <w:rPr>
          <w:sz w:val="22"/>
          <w:szCs w:val="22"/>
          <w:u w:val="single"/>
          <w:lang w:val="en"/>
        </w:rPr>
      </w:pPr>
      <w:r w:rsidRPr="00BF0859">
        <w:rPr>
          <w:sz w:val="22"/>
          <w:szCs w:val="22"/>
          <w:shd w:val="clear" w:color="auto" w:fill="FFFFFF"/>
        </w:rPr>
        <w:t>FCC Proposes Action to Accelerate the Availability of Nationwide Text-to-911 Service – December 12, 2012</w:t>
      </w:r>
      <w:r w:rsidRPr="00FF1FD9">
        <w:rPr>
          <w:sz w:val="22"/>
          <w:szCs w:val="22"/>
        </w:rPr>
        <w:br/>
      </w:r>
      <w:hyperlink r:id="rId56" w:history="1">
        <w:r w:rsidRPr="005732A8">
          <w:rPr>
            <w:rStyle w:val="Hyperlink"/>
            <w:sz w:val="22"/>
            <w:szCs w:val="22"/>
            <w:shd w:val="clear" w:color="auto" w:fill="FFFFFF"/>
          </w:rPr>
          <w:t>https://apps.fcc.gov/edocs_public/attachmatch/DOC-317918A1.pdf</w:t>
        </w:r>
      </w:hyperlink>
      <w:r w:rsidRPr="007B4C23">
        <w:rPr>
          <w:rStyle w:val="Hyperlink"/>
          <w:sz w:val="22"/>
          <w:szCs w:val="22"/>
          <w:shd w:val="clear" w:color="auto" w:fill="FFFFFF"/>
        </w:rPr>
        <w:t xml:space="preserve"> </w:t>
      </w:r>
    </w:p>
    <w:p w:rsidR="00C93461" w:rsidRPr="005732A8" w:rsidRDefault="00C93461" w:rsidP="00476E6F">
      <w:pPr>
        <w:shd w:val="clear" w:color="auto" w:fill="FFFFFF"/>
        <w:tabs>
          <w:tab w:val="num" w:pos="360"/>
        </w:tabs>
        <w:autoSpaceDE w:val="0"/>
        <w:autoSpaceDN w:val="0"/>
        <w:adjustRightInd w:val="0"/>
        <w:ind w:left="720"/>
        <w:rPr>
          <w:rStyle w:val="Hyperlink"/>
          <w:sz w:val="22"/>
          <w:szCs w:val="22"/>
          <w:lang w:val="en"/>
        </w:rPr>
      </w:pPr>
    </w:p>
    <w:p w:rsidR="00C93461" w:rsidRPr="007B4C23" w:rsidRDefault="00C93461" w:rsidP="00476E6F">
      <w:pPr>
        <w:numPr>
          <w:ilvl w:val="0"/>
          <w:numId w:val="6"/>
        </w:numPr>
        <w:tabs>
          <w:tab w:val="clear" w:pos="720"/>
          <w:tab w:val="num" w:pos="360"/>
        </w:tabs>
        <w:autoSpaceDE w:val="0"/>
        <w:autoSpaceDN w:val="0"/>
        <w:adjustRightInd w:val="0"/>
        <w:ind w:left="360"/>
        <w:rPr>
          <w:rStyle w:val="Hyperlink"/>
          <w:color w:val="auto"/>
          <w:sz w:val="22"/>
          <w:szCs w:val="22"/>
          <w:lang w:val="en"/>
        </w:rPr>
      </w:pPr>
      <w:r w:rsidRPr="009C79E5">
        <w:rPr>
          <w:sz w:val="22"/>
          <w:szCs w:val="22"/>
          <w:shd w:val="clear" w:color="auto" w:fill="FFFFFF"/>
        </w:rPr>
        <w:t xml:space="preserve">FCC </w:t>
      </w:r>
      <w:r w:rsidRPr="00BF0859">
        <w:rPr>
          <w:sz w:val="22"/>
          <w:szCs w:val="22"/>
          <w:shd w:val="clear" w:color="auto" w:fill="FFFFFF"/>
        </w:rPr>
        <w:t>Chairman Genachowski Honors Innovators in Accessibility Communications Technology in Ceremony Today – December 19, 2012</w:t>
      </w:r>
      <w:r w:rsidRPr="00FF1FD9">
        <w:rPr>
          <w:sz w:val="22"/>
          <w:szCs w:val="22"/>
        </w:rPr>
        <w:br/>
      </w:r>
      <w:hyperlink r:id="rId57" w:history="1">
        <w:r w:rsidRPr="005732A8">
          <w:rPr>
            <w:rStyle w:val="Hyperlink"/>
            <w:sz w:val="22"/>
            <w:szCs w:val="22"/>
            <w:shd w:val="clear" w:color="auto" w:fill="FFFFFF"/>
          </w:rPr>
          <w:t>https://apps.fcc.gov/edocs_public/attachmatch/DOC-318051A1.pdf</w:t>
        </w:r>
      </w:hyperlink>
    </w:p>
    <w:p w:rsidR="00C93461" w:rsidRPr="005732A8" w:rsidRDefault="00C93461" w:rsidP="00476E6F">
      <w:pPr>
        <w:shd w:val="clear" w:color="auto" w:fill="FFFFFF"/>
        <w:tabs>
          <w:tab w:val="num" w:pos="360"/>
        </w:tabs>
        <w:ind w:left="360"/>
        <w:rPr>
          <w:rStyle w:val="Hyperlink"/>
          <w:sz w:val="22"/>
          <w:szCs w:val="22"/>
          <w:lang w:val="en"/>
        </w:rPr>
      </w:pPr>
    </w:p>
    <w:p w:rsidR="00C93461" w:rsidRPr="00BF0859" w:rsidRDefault="00C93461" w:rsidP="00476E6F">
      <w:pPr>
        <w:numPr>
          <w:ilvl w:val="0"/>
          <w:numId w:val="6"/>
        </w:numPr>
        <w:tabs>
          <w:tab w:val="clear" w:pos="720"/>
          <w:tab w:val="num" w:pos="360"/>
        </w:tabs>
        <w:autoSpaceDE w:val="0"/>
        <w:autoSpaceDN w:val="0"/>
        <w:adjustRightInd w:val="0"/>
        <w:ind w:left="360"/>
        <w:rPr>
          <w:sz w:val="22"/>
          <w:szCs w:val="22"/>
        </w:rPr>
      </w:pPr>
      <w:r w:rsidRPr="00BF0859">
        <w:rPr>
          <w:sz w:val="22"/>
          <w:szCs w:val="22"/>
        </w:rPr>
        <w:t xml:space="preserve">FCC Adopts Rules to Help Inform and Protect Consumers During the Transition to Text-to-911 – May 17, 2013 </w:t>
      </w:r>
    </w:p>
    <w:p w:rsidR="00C93461" w:rsidRPr="007B4C23" w:rsidRDefault="00B70410" w:rsidP="00476E6F">
      <w:pPr>
        <w:shd w:val="clear" w:color="auto" w:fill="FFFFFF"/>
        <w:tabs>
          <w:tab w:val="num" w:pos="360"/>
        </w:tabs>
        <w:ind w:left="360"/>
        <w:rPr>
          <w:sz w:val="22"/>
          <w:szCs w:val="22"/>
        </w:rPr>
      </w:pPr>
      <w:hyperlink r:id="rId58" w:history="1">
        <w:r w:rsidR="00C93461" w:rsidRPr="005732A8">
          <w:rPr>
            <w:rStyle w:val="Hyperlink"/>
            <w:sz w:val="22"/>
            <w:szCs w:val="22"/>
          </w:rPr>
          <w:t>https://apps.fcc.gov/edocs_public/attachmatch/DOC-321040A1.pdf</w:t>
        </w:r>
      </w:hyperlink>
    </w:p>
    <w:p w:rsidR="00C93461" w:rsidRPr="005732A8" w:rsidRDefault="00C93461" w:rsidP="00476E6F">
      <w:pPr>
        <w:shd w:val="clear" w:color="auto" w:fill="FFFFFF"/>
        <w:tabs>
          <w:tab w:val="num" w:pos="360"/>
        </w:tabs>
        <w:ind w:left="360"/>
        <w:rPr>
          <w:rStyle w:val="Hyperlink"/>
          <w:sz w:val="22"/>
          <w:szCs w:val="22"/>
          <w:lang w:val="en"/>
        </w:rPr>
      </w:pPr>
    </w:p>
    <w:p w:rsidR="00C93461" w:rsidRPr="007B4C23" w:rsidRDefault="00C93461" w:rsidP="00476E6F">
      <w:pPr>
        <w:numPr>
          <w:ilvl w:val="0"/>
          <w:numId w:val="6"/>
        </w:numPr>
        <w:tabs>
          <w:tab w:val="clear" w:pos="720"/>
          <w:tab w:val="num" w:pos="360"/>
        </w:tabs>
        <w:autoSpaceDE w:val="0"/>
        <w:autoSpaceDN w:val="0"/>
        <w:adjustRightInd w:val="0"/>
        <w:ind w:left="360"/>
        <w:rPr>
          <w:sz w:val="22"/>
          <w:szCs w:val="22"/>
        </w:rPr>
      </w:pPr>
      <w:r w:rsidRPr="00BF0859">
        <w:rPr>
          <w:sz w:val="22"/>
          <w:szCs w:val="22"/>
        </w:rPr>
        <w:t>FCC Announces ‘Improving Accessibility for the General Public’ Event to Highlight &amp; Encourage Innovation in Accessibility Technologies – September 3, 2013</w:t>
      </w:r>
      <w:r w:rsidRPr="009C79E5">
        <w:rPr>
          <w:rStyle w:val="headlinedate"/>
          <w:color w:val="auto"/>
          <w:sz w:val="22"/>
          <w:szCs w:val="22"/>
        </w:rPr>
        <w:t xml:space="preserve"> </w:t>
      </w:r>
      <w:r w:rsidRPr="00BF0859">
        <w:rPr>
          <w:sz w:val="22"/>
          <w:szCs w:val="22"/>
        </w:rPr>
        <w:br/>
      </w:r>
      <w:hyperlink r:id="rId59" w:history="1">
        <w:r w:rsidRPr="005732A8">
          <w:rPr>
            <w:rStyle w:val="Hyperlink"/>
            <w:sz w:val="22"/>
            <w:szCs w:val="22"/>
          </w:rPr>
          <w:t>https://apps.fcc.gov/edocs_public/attachmatch/DOC-323140A1.pdf</w:t>
        </w:r>
      </w:hyperlink>
    </w:p>
    <w:p w:rsidR="00C93461" w:rsidRPr="005732A8" w:rsidRDefault="00C93461" w:rsidP="00476E6F">
      <w:pPr>
        <w:autoSpaceDE w:val="0"/>
        <w:autoSpaceDN w:val="0"/>
        <w:adjustRightInd w:val="0"/>
        <w:ind w:left="360"/>
        <w:rPr>
          <w:sz w:val="22"/>
          <w:szCs w:val="22"/>
        </w:rPr>
      </w:pPr>
    </w:p>
    <w:p w:rsidR="00C93461" w:rsidRPr="00BF0859" w:rsidRDefault="00C93461" w:rsidP="00476E6F">
      <w:pPr>
        <w:numPr>
          <w:ilvl w:val="0"/>
          <w:numId w:val="6"/>
        </w:numPr>
        <w:tabs>
          <w:tab w:val="clear" w:pos="720"/>
          <w:tab w:val="num" w:pos="360"/>
        </w:tabs>
        <w:autoSpaceDE w:val="0"/>
        <w:autoSpaceDN w:val="0"/>
        <w:adjustRightInd w:val="0"/>
        <w:ind w:left="360"/>
        <w:rPr>
          <w:sz w:val="22"/>
          <w:szCs w:val="22"/>
        </w:rPr>
      </w:pPr>
      <w:r w:rsidRPr="00BF0859">
        <w:rPr>
          <w:sz w:val="22"/>
          <w:szCs w:val="22"/>
        </w:rPr>
        <w:t>FCC Adopts New Rules to Make Video Devices Accessible to People with Disabilities – October 29, 2013</w:t>
      </w:r>
    </w:p>
    <w:p w:rsidR="00C93461" w:rsidRPr="007B4C23" w:rsidRDefault="00B70410" w:rsidP="00476E6F">
      <w:pPr>
        <w:autoSpaceDE w:val="0"/>
        <w:autoSpaceDN w:val="0"/>
        <w:adjustRightInd w:val="0"/>
        <w:ind w:firstLine="360"/>
        <w:rPr>
          <w:sz w:val="22"/>
          <w:szCs w:val="22"/>
        </w:rPr>
      </w:pPr>
      <w:hyperlink r:id="rId60" w:history="1">
        <w:r w:rsidR="00C93461" w:rsidRPr="005732A8">
          <w:rPr>
            <w:rStyle w:val="Hyperlink"/>
            <w:sz w:val="22"/>
            <w:szCs w:val="22"/>
          </w:rPr>
          <w:t>https://apps.fcc.gov/edocs_public/attachmatch/DOC-323761A1.pdf</w:t>
        </w:r>
      </w:hyperlink>
    </w:p>
    <w:p w:rsidR="00C93461" w:rsidRPr="005732A8" w:rsidRDefault="00C93461" w:rsidP="00476E6F">
      <w:pPr>
        <w:autoSpaceDE w:val="0"/>
        <w:autoSpaceDN w:val="0"/>
        <w:adjustRightInd w:val="0"/>
        <w:ind w:left="360"/>
        <w:rPr>
          <w:sz w:val="22"/>
          <w:szCs w:val="22"/>
        </w:rPr>
      </w:pPr>
    </w:p>
    <w:p w:rsidR="00C93461" w:rsidRPr="007B4C23" w:rsidRDefault="00C93461" w:rsidP="00476E6F">
      <w:pPr>
        <w:numPr>
          <w:ilvl w:val="0"/>
          <w:numId w:val="6"/>
        </w:numPr>
        <w:tabs>
          <w:tab w:val="clear" w:pos="720"/>
          <w:tab w:val="num" w:pos="360"/>
        </w:tabs>
        <w:autoSpaceDE w:val="0"/>
        <w:autoSpaceDN w:val="0"/>
        <w:adjustRightInd w:val="0"/>
        <w:ind w:left="360"/>
        <w:rPr>
          <w:sz w:val="22"/>
          <w:szCs w:val="22"/>
        </w:rPr>
      </w:pPr>
      <w:r w:rsidRPr="00BF0859">
        <w:rPr>
          <w:sz w:val="22"/>
          <w:szCs w:val="22"/>
        </w:rPr>
        <w:t>Acting Chairwoman Mignon Clyburn Statement on FCC’s Adoption of New Rules Making Digital Communications More Accessible to People with Disabilities – October 29, 3013</w:t>
      </w:r>
      <w:r w:rsidRPr="009C79E5">
        <w:rPr>
          <w:rStyle w:val="headlinedate"/>
          <w:color w:val="auto"/>
          <w:sz w:val="22"/>
          <w:szCs w:val="22"/>
        </w:rPr>
        <w:t xml:space="preserve"> </w:t>
      </w:r>
      <w:hyperlink r:id="rId61" w:history="1">
        <w:r w:rsidRPr="005732A8">
          <w:rPr>
            <w:rStyle w:val="Hyperlink"/>
            <w:sz w:val="22"/>
            <w:szCs w:val="22"/>
          </w:rPr>
          <w:t>https://apps.fcc.gov/edocs_public/attachmatch/DOC-323766A1.pdf</w:t>
        </w:r>
      </w:hyperlink>
    </w:p>
    <w:p w:rsidR="00C93461" w:rsidRPr="005732A8" w:rsidRDefault="00C93461" w:rsidP="00476E6F">
      <w:pPr>
        <w:rPr>
          <w:sz w:val="22"/>
          <w:szCs w:val="22"/>
        </w:rPr>
      </w:pPr>
    </w:p>
    <w:p w:rsidR="00C93461" w:rsidRPr="007B4C23" w:rsidRDefault="00C93461" w:rsidP="00476E6F">
      <w:pPr>
        <w:numPr>
          <w:ilvl w:val="0"/>
          <w:numId w:val="6"/>
        </w:numPr>
        <w:tabs>
          <w:tab w:val="clear" w:pos="720"/>
          <w:tab w:val="num" w:pos="360"/>
        </w:tabs>
        <w:autoSpaceDE w:val="0"/>
        <w:autoSpaceDN w:val="0"/>
        <w:adjustRightInd w:val="0"/>
        <w:ind w:left="360"/>
        <w:rPr>
          <w:sz w:val="22"/>
          <w:szCs w:val="22"/>
        </w:rPr>
      </w:pPr>
      <w:r w:rsidRPr="00BF0859">
        <w:rPr>
          <w:sz w:val="22"/>
          <w:szCs w:val="22"/>
        </w:rPr>
        <w:t xml:space="preserve">FCC </w:t>
      </w:r>
      <w:r w:rsidRPr="00BF0859">
        <w:rPr>
          <w:rStyle w:val="field-content"/>
          <w:sz w:val="22"/>
          <w:szCs w:val="22"/>
        </w:rPr>
        <w:t>Sets</w:t>
      </w:r>
      <w:r w:rsidRPr="00BF0859">
        <w:rPr>
          <w:sz w:val="22"/>
          <w:szCs w:val="22"/>
        </w:rPr>
        <w:t xml:space="preserve"> Path for Widespread Text-to-911 Deployment – January 30, 2014 </w:t>
      </w:r>
      <w:hyperlink r:id="rId62" w:history="1">
        <w:r w:rsidRPr="005732A8">
          <w:rPr>
            <w:rStyle w:val="Hyperlink"/>
            <w:sz w:val="22"/>
            <w:szCs w:val="22"/>
          </w:rPr>
          <w:t>https://apps.fcc.gov/edocs_public/attachmatch/DOC-325351A1.pdf</w:t>
        </w:r>
      </w:hyperlink>
    </w:p>
    <w:p w:rsidR="00C93461" w:rsidRPr="005732A8" w:rsidRDefault="00C93461" w:rsidP="00476E6F">
      <w:pPr>
        <w:shd w:val="clear" w:color="auto" w:fill="FFFFFF"/>
        <w:autoSpaceDE w:val="0"/>
        <w:autoSpaceDN w:val="0"/>
        <w:adjustRightInd w:val="0"/>
        <w:ind w:left="720"/>
        <w:rPr>
          <w:sz w:val="22"/>
          <w:szCs w:val="22"/>
        </w:rPr>
      </w:pPr>
    </w:p>
    <w:p w:rsidR="00C93461" w:rsidRPr="00FF1FD9" w:rsidRDefault="00C93461" w:rsidP="00476E6F">
      <w:pPr>
        <w:numPr>
          <w:ilvl w:val="0"/>
          <w:numId w:val="6"/>
        </w:numPr>
        <w:tabs>
          <w:tab w:val="clear" w:pos="720"/>
          <w:tab w:val="num" w:pos="360"/>
        </w:tabs>
        <w:autoSpaceDE w:val="0"/>
        <w:autoSpaceDN w:val="0"/>
        <w:adjustRightInd w:val="0"/>
        <w:ind w:left="360"/>
        <w:rPr>
          <w:rStyle w:val="field-content"/>
          <w:sz w:val="22"/>
          <w:szCs w:val="22"/>
        </w:rPr>
      </w:pPr>
      <w:r w:rsidRPr="00BF0859">
        <w:rPr>
          <w:rStyle w:val="field-content"/>
          <w:sz w:val="22"/>
          <w:szCs w:val="22"/>
        </w:rPr>
        <w:t>FCC Chairman’s Award Winner to Address ‘Innovation in Voting Accessibility’ at Accessibility &amp; Innovation Event</w:t>
      </w:r>
      <w:r w:rsidRPr="00FF1FD9">
        <w:rPr>
          <w:sz w:val="22"/>
          <w:szCs w:val="22"/>
        </w:rPr>
        <w:t xml:space="preserve"> – </w:t>
      </w:r>
      <w:r w:rsidRPr="00FF1FD9">
        <w:rPr>
          <w:rStyle w:val="field-content"/>
          <w:sz w:val="22"/>
          <w:szCs w:val="22"/>
        </w:rPr>
        <w:t xml:space="preserve">February 12, 2014 </w:t>
      </w:r>
    </w:p>
    <w:p w:rsidR="00C93461" w:rsidRPr="007B4C23" w:rsidRDefault="00B70410" w:rsidP="00476E6F">
      <w:pPr>
        <w:autoSpaceDE w:val="0"/>
        <w:autoSpaceDN w:val="0"/>
        <w:adjustRightInd w:val="0"/>
        <w:ind w:firstLine="360"/>
        <w:rPr>
          <w:sz w:val="22"/>
          <w:szCs w:val="22"/>
        </w:rPr>
      </w:pPr>
      <w:hyperlink r:id="rId63" w:history="1">
        <w:r w:rsidR="00C93461" w:rsidRPr="005732A8">
          <w:rPr>
            <w:rStyle w:val="Hyperlink"/>
            <w:sz w:val="22"/>
            <w:szCs w:val="22"/>
          </w:rPr>
          <w:t>https://apps.fcc.gov/edocs_public/attachmatch/DOC-325600A1.pdf</w:t>
        </w:r>
      </w:hyperlink>
    </w:p>
    <w:p w:rsidR="00C93461" w:rsidRPr="005732A8" w:rsidRDefault="00C93461" w:rsidP="00476E6F">
      <w:pPr>
        <w:autoSpaceDE w:val="0"/>
        <w:autoSpaceDN w:val="0"/>
        <w:adjustRightInd w:val="0"/>
        <w:ind w:left="360"/>
        <w:rPr>
          <w:sz w:val="22"/>
          <w:szCs w:val="22"/>
        </w:rPr>
      </w:pPr>
    </w:p>
    <w:p w:rsidR="00C93461" w:rsidRPr="00FF1FD9" w:rsidRDefault="00C93461" w:rsidP="00476E6F">
      <w:pPr>
        <w:numPr>
          <w:ilvl w:val="0"/>
          <w:numId w:val="6"/>
        </w:numPr>
        <w:tabs>
          <w:tab w:val="clear" w:pos="720"/>
          <w:tab w:val="num" w:pos="360"/>
        </w:tabs>
        <w:autoSpaceDE w:val="0"/>
        <w:autoSpaceDN w:val="0"/>
        <w:adjustRightInd w:val="0"/>
        <w:ind w:left="360"/>
        <w:rPr>
          <w:rStyle w:val="field-content"/>
          <w:sz w:val="22"/>
          <w:szCs w:val="22"/>
        </w:rPr>
      </w:pPr>
      <w:r w:rsidRPr="00BF0859">
        <w:rPr>
          <w:rStyle w:val="field-content"/>
          <w:sz w:val="22"/>
          <w:szCs w:val="22"/>
        </w:rPr>
        <w:t>FCC Seeking Nominations for the Third Annual Chairman’s Awards for Advancement in Accessibility (Chairman’s AAA)</w:t>
      </w:r>
      <w:r w:rsidRPr="00FF1FD9">
        <w:rPr>
          <w:sz w:val="22"/>
          <w:szCs w:val="22"/>
        </w:rPr>
        <w:t xml:space="preserve"> – </w:t>
      </w:r>
      <w:r w:rsidRPr="00FF1FD9">
        <w:rPr>
          <w:rStyle w:val="field-content"/>
          <w:sz w:val="22"/>
          <w:szCs w:val="22"/>
        </w:rPr>
        <w:t xml:space="preserve">February 12, 2014 </w:t>
      </w:r>
    </w:p>
    <w:p w:rsidR="00C93461" w:rsidRPr="007B4C23" w:rsidRDefault="00B70410" w:rsidP="00476E6F">
      <w:pPr>
        <w:shd w:val="clear" w:color="auto" w:fill="FFFFFF"/>
        <w:tabs>
          <w:tab w:val="num" w:pos="360"/>
        </w:tabs>
        <w:ind w:left="360"/>
        <w:rPr>
          <w:rStyle w:val="Hyperlink"/>
          <w:sz w:val="22"/>
          <w:szCs w:val="22"/>
          <w:lang w:val="en"/>
        </w:rPr>
      </w:pPr>
      <w:hyperlink r:id="rId64" w:history="1">
        <w:r w:rsidR="00C93461" w:rsidRPr="005732A8">
          <w:rPr>
            <w:rStyle w:val="Hyperlink"/>
            <w:sz w:val="22"/>
            <w:szCs w:val="22"/>
            <w:lang w:val="en"/>
          </w:rPr>
          <w:t>https://apps.fcc.gov/edocs_public/attachmatch/DOC-325592A1.pdf</w:t>
        </w:r>
      </w:hyperlink>
    </w:p>
    <w:p w:rsidR="00C93461" w:rsidRPr="005732A8" w:rsidRDefault="00C93461" w:rsidP="00476E6F">
      <w:pPr>
        <w:shd w:val="clear" w:color="auto" w:fill="FFFFFF"/>
        <w:tabs>
          <w:tab w:val="num" w:pos="360"/>
        </w:tabs>
        <w:ind w:left="360"/>
        <w:rPr>
          <w:rStyle w:val="Hyperlink"/>
          <w:sz w:val="22"/>
          <w:szCs w:val="22"/>
          <w:lang w:val="en"/>
        </w:rPr>
      </w:pPr>
    </w:p>
    <w:p w:rsidR="00C93461" w:rsidRPr="00BF0859" w:rsidRDefault="00C93461" w:rsidP="00476E6F">
      <w:pPr>
        <w:keepNext/>
        <w:keepLines/>
        <w:numPr>
          <w:ilvl w:val="0"/>
          <w:numId w:val="6"/>
        </w:numPr>
        <w:tabs>
          <w:tab w:val="clear" w:pos="720"/>
          <w:tab w:val="num" w:pos="360"/>
        </w:tabs>
        <w:autoSpaceDE w:val="0"/>
        <w:autoSpaceDN w:val="0"/>
        <w:adjustRightInd w:val="0"/>
        <w:ind w:left="360"/>
        <w:rPr>
          <w:sz w:val="22"/>
          <w:szCs w:val="22"/>
        </w:rPr>
      </w:pPr>
      <w:r w:rsidRPr="00BF0859">
        <w:rPr>
          <w:sz w:val="22"/>
          <w:szCs w:val="22"/>
        </w:rPr>
        <w:t>FCC Moves to Upgrade TV Closed Captioning Quality – February 20, 2014</w:t>
      </w:r>
    </w:p>
    <w:p w:rsidR="00C93461" w:rsidRPr="007B4C23" w:rsidRDefault="00B70410" w:rsidP="00476E6F">
      <w:pPr>
        <w:keepNext/>
        <w:keepLines/>
        <w:shd w:val="clear" w:color="auto" w:fill="FFFFFF"/>
        <w:tabs>
          <w:tab w:val="num" w:pos="360"/>
        </w:tabs>
        <w:ind w:left="360"/>
        <w:rPr>
          <w:sz w:val="22"/>
          <w:szCs w:val="22"/>
        </w:rPr>
      </w:pPr>
      <w:hyperlink r:id="rId65" w:history="1">
        <w:r w:rsidR="00C93461" w:rsidRPr="005732A8">
          <w:rPr>
            <w:rStyle w:val="Hyperlink"/>
            <w:sz w:val="22"/>
            <w:szCs w:val="22"/>
          </w:rPr>
          <w:t>https://apps.fcc.gov/edocs_public/attachmatch/DOC-325695A1.pdf</w:t>
        </w:r>
      </w:hyperlink>
    </w:p>
    <w:p w:rsidR="00C93461" w:rsidRPr="005732A8" w:rsidRDefault="00C93461" w:rsidP="00476E6F">
      <w:pPr>
        <w:shd w:val="clear" w:color="auto" w:fill="FFFFFF"/>
        <w:tabs>
          <w:tab w:val="num" w:pos="360"/>
        </w:tabs>
        <w:ind w:left="360"/>
        <w:rPr>
          <w:rStyle w:val="Hyperlink"/>
          <w:sz w:val="22"/>
          <w:szCs w:val="22"/>
          <w:lang w:val="en"/>
        </w:rPr>
      </w:pPr>
    </w:p>
    <w:p w:rsidR="00C93461" w:rsidRPr="00FF1FD9" w:rsidRDefault="00C93461" w:rsidP="00476E6F">
      <w:pPr>
        <w:numPr>
          <w:ilvl w:val="0"/>
          <w:numId w:val="6"/>
        </w:numPr>
        <w:shd w:val="clear" w:color="auto" w:fill="FFFFFF"/>
        <w:tabs>
          <w:tab w:val="clear" w:pos="720"/>
          <w:tab w:val="num" w:pos="360"/>
        </w:tabs>
        <w:autoSpaceDE w:val="0"/>
        <w:autoSpaceDN w:val="0"/>
        <w:adjustRightInd w:val="0"/>
        <w:ind w:left="360"/>
        <w:rPr>
          <w:sz w:val="22"/>
          <w:szCs w:val="22"/>
        </w:rPr>
      </w:pPr>
      <w:r w:rsidRPr="00BF0859">
        <w:rPr>
          <w:rStyle w:val="field-content"/>
          <w:sz w:val="22"/>
          <w:szCs w:val="22"/>
        </w:rPr>
        <w:t>FCC Chairman Wheeler to Honor Innovators in Accessibility Communications Technology</w:t>
      </w:r>
      <w:r w:rsidRPr="00BF0859">
        <w:rPr>
          <w:sz w:val="22"/>
          <w:szCs w:val="22"/>
        </w:rPr>
        <w:t xml:space="preserve"> with Annual Awards – </w:t>
      </w:r>
      <w:r w:rsidRPr="00FF1FD9">
        <w:rPr>
          <w:rStyle w:val="field-content"/>
          <w:sz w:val="22"/>
          <w:szCs w:val="22"/>
        </w:rPr>
        <w:t xml:space="preserve">June 4, 2014 </w:t>
      </w:r>
    </w:p>
    <w:p w:rsidR="00C93461" w:rsidRPr="007B4C23" w:rsidRDefault="00B70410" w:rsidP="00476E6F">
      <w:pPr>
        <w:shd w:val="clear" w:color="auto" w:fill="FFFFFF"/>
        <w:autoSpaceDE w:val="0"/>
        <w:autoSpaceDN w:val="0"/>
        <w:adjustRightInd w:val="0"/>
        <w:ind w:left="360"/>
        <w:rPr>
          <w:rStyle w:val="field-content"/>
          <w:sz w:val="22"/>
          <w:szCs w:val="22"/>
        </w:rPr>
      </w:pPr>
      <w:hyperlink r:id="rId66" w:history="1">
        <w:r w:rsidR="00C93461" w:rsidRPr="005732A8">
          <w:rPr>
            <w:rStyle w:val="Hyperlink"/>
            <w:sz w:val="22"/>
            <w:szCs w:val="22"/>
          </w:rPr>
          <w:t>https://apps.fcc.gov/edocs_public/attachmatch/DOC-327441A1.pdf</w:t>
        </w:r>
      </w:hyperlink>
    </w:p>
    <w:p w:rsidR="00C93461" w:rsidRPr="005732A8" w:rsidRDefault="00C93461" w:rsidP="00476E6F">
      <w:pPr>
        <w:shd w:val="clear" w:color="auto" w:fill="FFFFFF"/>
        <w:autoSpaceDE w:val="0"/>
        <w:autoSpaceDN w:val="0"/>
        <w:adjustRightInd w:val="0"/>
        <w:ind w:left="360"/>
        <w:rPr>
          <w:rStyle w:val="field-content"/>
          <w:sz w:val="22"/>
          <w:szCs w:val="22"/>
        </w:rPr>
      </w:pPr>
    </w:p>
    <w:p w:rsidR="00C93461" w:rsidRPr="00FF1FD9" w:rsidRDefault="00C93461" w:rsidP="00476E6F">
      <w:pPr>
        <w:numPr>
          <w:ilvl w:val="0"/>
          <w:numId w:val="6"/>
        </w:numPr>
        <w:shd w:val="clear" w:color="auto" w:fill="FFFFFF"/>
        <w:tabs>
          <w:tab w:val="clear" w:pos="720"/>
          <w:tab w:val="num" w:pos="360"/>
        </w:tabs>
        <w:autoSpaceDE w:val="0"/>
        <w:autoSpaceDN w:val="0"/>
        <w:adjustRightInd w:val="0"/>
        <w:ind w:left="360"/>
        <w:rPr>
          <w:rStyle w:val="field-content"/>
          <w:sz w:val="22"/>
          <w:szCs w:val="22"/>
        </w:rPr>
      </w:pPr>
      <w:r w:rsidRPr="00BF0859">
        <w:rPr>
          <w:rStyle w:val="field-content"/>
          <w:sz w:val="22"/>
          <w:szCs w:val="22"/>
        </w:rPr>
        <w:t>FCC Chairman Wheeler Honors Innovators in Accessibility Communications Technology with Annual Awards</w:t>
      </w:r>
      <w:r w:rsidRPr="00FF1FD9">
        <w:rPr>
          <w:sz w:val="22"/>
          <w:szCs w:val="22"/>
        </w:rPr>
        <w:t xml:space="preserve"> – </w:t>
      </w:r>
      <w:r w:rsidRPr="00FF1FD9">
        <w:rPr>
          <w:rStyle w:val="field-content"/>
          <w:sz w:val="22"/>
          <w:szCs w:val="22"/>
        </w:rPr>
        <w:t xml:space="preserve">June 9, 2014 </w:t>
      </w:r>
    </w:p>
    <w:p w:rsidR="00C93461" w:rsidRPr="007B4C23" w:rsidRDefault="00B70410" w:rsidP="00476E6F">
      <w:pPr>
        <w:shd w:val="clear" w:color="auto" w:fill="FFFFFF"/>
        <w:tabs>
          <w:tab w:val="num" w:pos="360"/>
        </w:tabs>
        <w:ind w:left="360"/>
        <w:rPr>
          <w:rStyle w:val="Hyperlink"/>
          <w:sz w:val="22"/>
          <w:szCs w:val="22"/>
        </w:rPr>
      </w:pPr>
      <w:hyperlink r:id="rId67" w:history="1">
        <w:r w:rsidR="00C93461" w:rsidRPr="005732A8">
          <w:rPr>
            <w:rStyle w:val="Hyperlink"/>
            <w:sz w:val="22"/>
            <w:szCs w:val="22"/>
          </w:rPr>
          <w:t>https://apps.fcc.gov/edocs_public/attachmatch/DOC-327485A1.pdf</w:t>
        </w:r>
      </w:hyperlink>
    </w:p>
    <w:p w:rsidR="00C93461" w:rsidRPr="005732A8" w:rsidRDefault="00C93461" w:rsidP="00476E6F">
      <w:pPr>
        <w:shd w:val="clear" w:color="auto" w:fill="FFFFFF"/>
        <w:tabs>
          <w:tab w:val="num" w:pos="360"/>
        </w:tabs>
        <w:ind w:left="360"/>
        <w:rPr>
          <w:rStyle w:val="Hyperlink"/>
          <w:sz w:val="22"/>
          <w:szCs w:val="22"/>
        </w:rPr>
      </w:pPr>
    </w:p>
    <w:p w:rsidR="00C93461" w:rsidRPr="00FF1FD9" w:rsidRDefault="00C93461" w:rsidP="00476E6F">
      <w:pPr>
        <w:numPr>
          <w:ilvl w:val="0"/>
          <w:numId w:val="6"/>
        </w:numPr>
        <w:shd w:val="clear" w:color="auto" w:fill="FFFFFF"/>
        <w:tabs>
          <w:tab w:val="clear" w:pos="720"/>
          <w:tab w:val="num" w:pos="360"/>
        </w:tabs>
        <w:autoSpaceDE w:val="0"/>
        <w:autoSpaceDN w:val="0"/>
        <w:adjustRightInd w:val="0"/>
        <w:ind w:left="360"/>
        <w:rPr>
          <w:rStyle w:val="Hyperlink"/>
          <w:color w:val="auto"/>
          <w:sz w:val="22"/>
          <w:szCs w:val="22"/>
        </w:rPr>
      </w:pPr>
      <w:r w:rsidRPr="00BF0859">
        <w:rPr>
          <w:sz w:val="22"/>
          <w:szCs w:val="22"/>
        </w:rPr>
        <w:t xml:space="preserve">FCC </w:t>
      </w:r>
      <w:r w:rsidRPr="00BF0859">
        <w:rPr>
          <w:rStyle w:val="field-content"/>
          <w:sz w:val="22"/>
          <w:szCs w:val="22"/>
        </w:rPr>
        <w:t>Launches</w:t>
      </w:r>
      <w:r w:rsidRPr="00BF0859">
        <w:rPr>
          <w:sz w:val="22"/>
          <w:szCs w:val="22"/>
        </w:rPr>
        <w:t xml:space="preserve"> Support Line for Consumers who are Deaf and Hard of Hearing Using American Sign Language over Videophone – June 10, 2014</w:t>
      </w:r>
    </w:p>
    <w:p w:rsidR="00C93461" w:rsidRPr="007B4C23" w:rsidRDefault="00B70410" w:rsidP="00476E6F">
      <w:pPr>
        <w:shd w:val="clear" w:color="auto" w:fill="FFFFFF"/>
        <w:tabs>
          <w:tab w:val="num" w:pos="360"/>
        </w:tabs>
        <w:ind w:left="360"/>
        <w:rPr>
          <w:rStyle w:val="field-content"/>
          <w:sz w:val="22"/>
          <w:szCs w:val="22"/>
        </w:rPr>
      </w:pPr>
      <w:hyperlink r:id="rId68" w:history="1">
        <w:r w:rsidR="00C93461" w:rsidRPr="005732A8">
          <w:rPr>
            <w:rStyle w:val="Hyperlink"/>
            <w:sz w:val="22"/>
            <w:szCs w:val="22"/>
          </w:rPr>
          <w:t>https://apps.fcc.gov/edocs_public/attachmatch/DOC-327495A1.pdf</w:t>
        </w:r>
      </w:hyperlink>
      <w:r w:rsidR="00C93461" w:rsidRPr="007B4C23">
        <w:rPr>
          <w:rStyle w:val="field-content"/>
          <w:sz w:val="22"/>
          <w:szCs w:val="22"/>
        </w:rPr>
        <w:t xml:space="preserve"> </w:t>
      </w:r>
    </w:p>
    <w:p w:rsidR="00C93461" w:rsidRPr="005732A8" w:rsidRDefault="00C93461" w:rsidP="00476E6F">
      <w:pPr>
        <w:shd w:val="clear" w:color="auto" w:fill="FFFFFF"/>
        <w:tabs>
          <w:tab w:val="num" w:pos="360"/>
        </w:tabs>
        <w:ind w:left="360"/>
        <w:rPr>
          <w:rStyle w:val="field-content"/>
          <w:sz w:val="22"/>
          <w:szCs w:val="22"/>
        </w:rPr>
      </w:pPr>
    </w:p>
    <w:p w:rsidR="00C93461" w:rsidRPr="00BF0859" w:rsidRDefault="00C93461" w:rsidP="00476E6F">
      <w:pPr>
        <w:numPr>
          <w:ilvl w:val="0"/>
          <w:numId w:val="6"/>
        </w:numPr>
        <w:shd w:val="clear" w:color="auto" w:fill="FFFFFF"/>
        <w:tabs>
          <w:tab w:val="clear" w:pos="720"/>
          <w:tab w:val="num" w:pos="360"/>
        </w:tabs>
        <w:autoSpaceDE w:val="0"/>
        <w:autoSpaceDN w:val="0"/>
        <w:adjustRightInd w:val="0"/>
        <w:ind w:left="360"/>
        <w:rPr>
          <w:rStyle w:val="field-content"/>
          <w:sz w:val="22"/>
          <w:szCs w:val="22"/>
        </w:rPr>
      </w:pPr>
      <w:r w:rsidRPr="00BF0859">
        <w:rPr>
          <w:rStyle w:val="field-content"/>
          <w:sz w:val="22"/>
          <w:szCs w:val="22"/>
        </w:rPr>
        <w:t>FCC Holding Workshop on Accessibility and Social Media</w:t>
      </w:r>
      <w:r w:rsidRPr="00BF0859">
        <w:rPr>
          <w:sz w:val="22"/>
          <w:szCs w:val="22"/>
        </w:rPr>
        <w:t xml:space="preserve"> – </w:t>
      </w:r>
      <w:r w:rsidRPr="00BF0859">
        <w:rPr>
          <w:rStyle w:val="field-content"/>
          <w:sz w:val="22"/>
          <w:szCs w:val="22"/>
        </w:rPr>
        <w:t xml:space="preserve">July 10, 2014 </w:t>
      </w:r>
    </w:p>
    <w:p w:rsidR="00C93461" w:rsidRPr="007B4C23" w:rsidRDefault="00B70410" w:rsidP="00476E6F">
      <w:pPr>
        <w:shd w:val="clear" w:color="auto" w:fill="FFFFFF"/>
        <w:tabs>
          <w:tab w:val="num" w:pos="360"/>
        </w:tabs>
        <w:ind w:left="360"/>
        <w:rPr>
          <w:rStyle w:val="field-content"/>
          <w:sz w:val="22"/>
          <w:szCs w:val="22"/>
        </w:rPr>
      </w:pPr>
      <w:hyperlink r:id="rId69" w:history="1">
        <w:r w:rsidR="00C93461" w:rsidRPr="005732A8">
          <w:rPr>
            <w:rStyle w:val="Hyperlink"/>
            <w:sz w:val="22"/>
            <w:szCs w:val="22"/>
          </w:rPr>
          <w:t>https://apps.fcc.gov/edocs_public/attachmatch/DOC-328151A1.pdf</w:t>
        </w:r>
      </w:hyperlink>
    </w:p>
    <w:p w:rsidR="00C93461" w:rsidRPr="005732A8" w:rsidRDefault="00C93461" w:rsidP="00476E6F">
      <w:pPr>
        <w:shd w:val="clear" w:color="auto" w:fill="FFFFFF"/>
        <w:tabs>
          <w:tab w:val="num" w:pos="360"/>
        </w:tabs>
        <w:ind w:left="360"/>
        <w:rPr>
          <w:rStyle w:val="Hyperlink"/>
          <w:sz w:val="22"/>
          <w:szCs w:val="22"/>
          <w:lang w:val="en"/>
        </w:rPr>
      </w:pPr>
    </w:p>
    <w:p w:rsidR="00C93461" w:rsidRPr="00FF1FD9" w:rsidRDefault="00C93461" w:rsidP="00476E6F">
      <w:pPr>
        <w:numPr>
          <w:ilvl w:val="0"/>
          <w:numId w:val="6"/>
        </w:numPr>
        <w:shd w:val="clear" w:color="auto" w:fill="FFFFFF"/>
        <w:tabs>
          <w:tab w:val="clear" w:pos="720"/>
          <w:tab w:val="num" w:pos="360"/>
        </w:tabs>
        <w:autoSpaceDE w:val="0"/>
        <w:autoSpaceDN w:val="0"/>
        <w:adjustRightInd w:val="0"/>
        <w:ind w:left="360"/>
        <w:rPr>
          <w:rStyle w:val="field-content"/>
          <w:sz w:val="22"/>
          <w:szCs w:val="22"/>
        </w:rPr>
      </w:pPr>
      <w:r w:rsidRPr="00BF0859">
        <w:rPr>
          <w:rStyle w:val="field-content"/>
          <w:sz w:val="22"/>
          <w:szCs w:val="22"/>
        </w:rPr>
        <w:t>FCC Moves to Ensure Online Video Clips Are Accessible to Americans who are Deaf or Hard of Hearing</w:t>
      </w:r>
      <w:r w:rsidRPr="00FF1FD9">
        <w:rPr>
          <w:sz w:val="22"/>
          <w:szCs w:val="22"/>
        </w:rPr>
        <w:t xml:space="preserve"> – </w:t>
      </w:r>
      <w:r w:rsidRPr="00FF1FD9">
        <w:rPr>
          <w:rStyle w:val="field-content"/>
          <w:sz w:val="22"/>
          <w:szCs w:val="22"/>
        </w:rPr>
        <w:t xml:space="preserve">July 11, 2014 </w:t>
      </w:r>
    </w:p>
    <w:p w:rsidR="00C93461" w:rsidRPr="007B4C23" w:rsidRDefault="00B70410" w:rsidP="00476E6F">
      <w:pPr>
        <w:shd w:val="clear" w:color="auto" w:fill="FFFFFF"/>
        <w:autoSpaceDE w:val="0"/>
        <w:autoSpaceDN w:val="0"/>
        <w:adjustRightInd w:val="0"/>
        <w:ind w:left="360"/>
        <w:rPr>
          <w:rStyle w:val="field-content"/>
          <w:sz w:val="22"/>
          <w:szCs w:val="22"/>
        </w:rPr>
      </w:pPr>
      <w:hyperlink r:id="rId70" w:history="1">
        <w:r w:rsidR="00C93461" w:rsidRPr="005732A8">
          <w:rPr>
            <w:rStyle w:val="Hyperlink"/>
            <w:sz w:val="22"/>
            <w:szCs w:val="22"/>
          </w:rPr>
          <w:t>https://apps.fcc.gov/edocs_public/attachmatch/DOC-328173A1.pdf</w:t>
        </w:r>
      </w:hyperlink>
    </w:p>
    <w:p w:rsidR="00C93461" w:rsidRPr="005732A8" w:rsidRDefault="00C93461" w:rsidP="00476E6F">
      <w:pPr>
        <w:shd w:val="clear" w:color="auto" w:fill="FFFFFF"/>
        <w:tabs>
          <w:tab w:val="num" w:pos="360"/>
        </w:tabs>
        <w:rPr>
          <w:rStyle w:val="Hyperlink"/>
          <w:sz w:val="22"/>
          <w:szCs w:val="22"/>
          <w:lang w:val="en"/>
        </w:rPr>
      </w:pPr>
      <w:r w:rsidRPr="005732A8" w:rsidDel="00B41F9D">
        <w:rPr>
          <w:sz w:val="22"/>
          <w:szCs w:val="22"/>
        </w:rPr>
        <w:t xml:space="preserve"> </w:t>
      </w:r>
    </w:p>
    <w:p w:rsidR="009A1330" w:rsidRPr="00BF0859" w:rsidRDefault="009A1330" w:rsidP="00476E6F">
      <w:pPr>
        <w:jc w:val="center"/>
        <w:rPr>
          <w:b/>
          <w:sz w:val="22"/>
          <w:szCs w:val="22"/>
        </w:rPr>
      </w:pPr>
      <w:r w:rsidRPr="00415ABF">
        <w:rPr>
          <w:sz w:val="22"/>
          <w:szCs w:val="22"/>
        </w:rPr>
        <w:br w:type="page"/>
      </w:r>
      <w:r w:rsidRPr="00BF0859">
        <w:rPr>
          <w:b/>
          <w:sz w:val="22"/>
          <w:szCs w:val="22"/>
        </w:rPr>
        <w:t>APPENDIX D</w:t>
      </w:r>
    </w:p>
    <w:p w:rsidR="001F2FA3" w:rsidRPr="00FF1FD9" w:rsidRDefault="001F2FA3" w:rsidP="00476E6F">
      <w:pPr>
        <w:autoSpaceDE w:val="0"/>
        <w:autoSpaceDN w:val="0"/>
        <w:adjustRightInd w:val="0"/>
        <w:jc w:val="center"/>
        <w:rPr>
          <w:b/>
          <w:sz w:val="22"/>
          <w:szCs w:val="22"/>
        </w:rPr>
      </w:pPr>
    </w:p>
    <w:p w:rsidR="009A1330" w:rsidRPr="006C02D7" w:rsidRDefault="009A1330" w:rsidP="00476E6F">
      <w:pPr>
        <w:autoSpaceDE w:val="0"/>
        <w:autoSpaceDN w:val="0"/>
        <w:adjustRightInd w:val="0"/>
        <w:jc w:val="center"/>
        <w:rPr>
          <w:b/>
          <w:sz w:val="22"/>
          <w:szCs w:val="22"/>
        </w:rPr>
      </w:pPr>
      <w:r w:rsidRPr="006C02D7">
        <w:rPr>
          <w:b/>
          <w:sz w:val="22"/>
          <w:szCs w:val="22"/>
        </w:rPr>
        <w:t>CVAA Consumer Guides</w:t>
      </w:r>
    </w:p>
    <w:p w:rsidR="008554CF" w:rsidRPr="009C79E5" w:rsidRDefault="008554CF" w:rsidP="00476E6F">
      <w:pPr>
        <w:autoSpaceDE w:val="0"/>
        <w:autoSpaceDN w:val="0"/>
        <w:adjustRightInd w:val="0"/>
        <w:jc w:val="center"/>
        <w:rPr>
          <w:b/>
          <w:sz w:val="22"/>
          <w:szCs w:val="22"/>
        </w:rPr>
      </w:pPr>
    </w:p>
    <w:p w:rsidR="009A1330" w:rsidRPr="009C79E5" w:rsidRDefault="009A1330" w:rsidP="00476E6F">
      <w:pPr>
        <w:autoSpaceDE w:val="0"/>
        <w:autoSpaceDN w:val="0"/>
        <w:adjustRightInd w:val="0"/>
        <w:jc w:val="center"/>
        <w:rPr>
          <w:sz w:val="22"/>
          <w:szCs w:val="22"/>
        </w:rPr>
      </w:pPr>
    </w:p>
    <w:p w:rsidR="00C93461" w:rsidRPr="009C79E5" w:rsidRDefault="00C93461" w:rsidP="00476E6F">
      <w:pPr>
        <w:autoSpaceDE w:val="0"/>
        <w:autoSpaceDN w:val="0"/>
        <w:adjustRightInd w:val="0"/>
        <w:rPr>
          <w:b/>
          <w:sz w:val="22"/>
          <w:szCs w:val="22"/>
        </w:rPr>
      </w:pPr>
      <w:r w:rsidRPr="009C79E5">
        <w:rPr>
          <w:sz w:val="22"/>
          <w:szCs w:val="22"/>
        </w:rPr>
        <w:t>The consumer guides listed below have been prepared and distributed by the FCC to provide consumers and industry with easy-to-understand information about the CVAA and its implementing regulations.</w:t>
      </w:r>
    </w:p>
    <w:p w:rsidR="00C93461" w:rsidRPr="009C79E5" w:rsidRDefault="00C93461" w:rsidP="00476E6F">
      <w:pPr>
        <w:autoSpaceDE w:val="0"/>
        <w:autoSpaceDN w:val="0"/>
        <w:adjustRightInd w:val="0"/>
        <w:jc w:val="center"/>
        <w:rPr>
          <w:sz w:val="22"/>
          <w:szCs w:val="22"/>
        </w:rPr>
      </w:pPr>
    </w:p>
    <w:p w:rsidR="009A1330" w:rsidRPr="009C79E5" w:rsidRDefault="009A1330" w:rsidP="00476E6F">
      <w:pPr>
        <w:autoSpaceDE w:val="0"/>
        <w:autoSpaceDN w:val="0"/>
        <w:adjustRightInd w:val="0"/>
        <w:rPr>
          <w:b/>
          <w:sz w:val="22"/>
          <w:szCs w:val="22"/>
        </w:rPr>
      </w:pPr>
      <w:r w:rsidRPr="009C79E5">
        <w:rPr>
          <w:b/>
          <w:sz w:val="22"/>
          <w:szCs w:val="22"/>
        </w:rPr>
        <w:t>Twenty-First Century Communications and Video Accessibility Act of 2010</w:t>
      </w:r>
    </w:p>
    <w:p w:rsidR="009A1330" w:rsidRPr="009C79E5" w:rsidRDefault="009A1330" w:rsidP="00476E6F">
      <w:pPr>
        <w:autoSpaceDE w:val="0"/>
        <w:autoSpaceDN w:val="0"/>
        <w:adjustRightInd w:val="0"/>
        <w:rPr>
          <w:sz w:val="22"/>
          <w:szCs w:val="22"/>
        </w:rPr>
      </w:pPr>
    </w:p>
    <w:p w:rsidR="009A1330" w:rsidRPr="009C79E5" w:rsidRDefault="009A1330" w:rsidP="00476E6F">
      <w:pPr>
        <w:autoSpaceDE w:val="0"/>
        <w:autoSpaceDN w:val="0"/>
        <w:adjustRightInd w:val="0"/>
        <w:rPr>
          <w:sz w:val="22"/>
          <w:szCs w:val="22"/>
        </w:rPr>
      </w:pPr>
      <w:r w:rsidRPr="009C79E5">
        <w:rPr>
          <w:sz w:val="22"/>
          <w:szCs w:val="22"/>
        </w:rPr>
        <w:t>HTML:</w:t>
      </w:r>
    </w:p>
    <w:p w:rsidR="009A1330" w:rsidRPr="007B4C23" w:rsidRDefault="00B70410" w:rsidP="00476E6F">
      <w:pPr>
        <w:autoSpaceDE w:val="0"/>
        <w:autoSpaceDN w:val="0"/>
        <w:adjustRightInd w:val="0"/>
        <w:rPr>
          <w:sz w:val="22"/>
          <w:szCs w:val="22"/>
        </w:rPr>
      </w:pPr>
      <w:hyperlink r:id="rId71" w:history="1">
        <w:r w:rsidR="009A1330" w:rsidRPr="005732A8">
          <w:rPr>
            <w:rStyle w:val="Hyperlink"/>
            <w:sz w:val="22"/>
            <w:szCs w:val="22"/>
          </w:rPr>
          <w:t>http://www.fcc.gov/guides/21st-century-communications-and-video-accessibility-act-2010</w:t>
        </w:r>
      </w:hyperlink>
    </w:p>
    <w:p w:rsidR="009A1330" w:rsidRPr="00BF0859" w:rsidRDefault="009A1330" w:rsidP="00476E6F">
      <w:pPr>
        <w:autoSpaceDE w:val="0"/>
        <w:autoSpaceDN w:val="0"/>
        <w:adjustRightInd w:val="0"/>
        <w:rPr>
          <w:sz w:val="22"/>
          <w:szCs w:val="22"/>
        </w:rPr>
      </w:pPr>
      <w:r w:rsidRPr="00BF0859">
        <w:rPr>
          <w:sz w:val="22"/>
          <w:szCs w:val="22"/>
        </w:rPr>
        <w:t>PDF:</w:t>
      </w:r>
    </w:p>
    <w:p w:rsidR="009A1330" w:rsidRPr="007B4C23" w:rsidRDefault="00B70410" w:rsidP="00476E6F">
      <w:pPr>
        <w:autoSpaceDE w:val="0"/>
        <w:autoSpaceDN w:val="0"/>
        <w:adjustRightInd w:val="0"/>
        <w:rPr>
          <w:sz w:val="22"/>
          <w:szCs w:val="22"/>
        </w:rPr>
      </w:pPr>
      <w:hyperlink r:id="rId72" w:history="1">
        <w:r w:rsidR="009A1330" w:rsidRPr="005732A8">
          <w:rPr>
            <w:rStyle w:val="Hyperlink"/>
            <w:sz w:val="22"/>
            <w:szCs w:val="22"/>
          </w:rPr>
          <w:t>http://www.fcc.gov/cgb/consumerfacts/CVAA-access-act.pdf</w:t>
        </w:r>
      </w:hyperlink>
    </w:p>
    <w:p w:rsidR="009A1330" w:rsidRPr="005732A8" w:rsidRDefault="009A1330" w:rsidP="00476E6F">
      <w:pPr>
        <w:autoSpaceDE w:val="0"/>
        <w:autoSpaceDN w:val="0"/>
        <w:adjustRightInd w:val="0"/>
        <w:rPr>
          <w:b/>
          <w:sz w:val="22"/>
          <w:szCs w:val="22"/>
        </w:rPr>
      </w:pPr>
    </w:p>
    <w:p w:rsidR="009A1330" w:rsidRPr="00BF0859" w:rsidRDefault="009A1330" w:rsidP="00476E6F">
      <w:pPr>
        <w:autoSpaceDE w:val="0"/>
        <w:autoSpaceDN w:val="0"/>
        <w:adjustRightInd w:val="0"/>
        <w:rPr>
          <w:b/>
          <w:sz w:val="22"/>
          <w:szCs w:val="22"/>
        </w:rPr>
      </w:pPr>
      <w:r w:rsidRPr="00BF0859">
        <w:rPr>
          <w:b/>
          <w:sz w:val="22"/>
          <w:szCs w:val="22"/>
        </w:rPr>
        <w:t>National Deaf-Blind Equipment Distribution Program</w:t>
      </w:r>
    </w:p>
    <w:p w:rsidR="009A1330" w:rsidRPr="00FF1FD9" w:rsidRDefault="009A1330" w:rsidP="00476E6F">
      <w:pPr>
        <w:autoSpaceDE w:val="0"/>
        <w:autoSpaceDN w:val="0"/>
        <w:adjustRightInd w:val="0"/>
        <w:rPr>
          <w:sz w:val="22"/>
          <w:szCs w:val="22"/>
        </w:rPr>
      </w:pPr>
    </w:p>
    <w:p w:rsidR="009A1330" w:rsidRPr="006C02D7" w:rsidRDefault="009A1330" w:rsidP="00476E6F">
      <w:pPr>
        <w:autoSpaceDE w:val="0"/>
        <w:autoSpaceDN w:val="0"/>
        <w:adjustRightInd w:val="0"/>
        <w:rPr>
          <w:sz w:val="22"/>
          <w:szCs w:val="22"/>
        </w:rPr>
      </w:pPr>
      <w:r w:rsidRPr="006C02D7">
        <w:rPr>
          <w:sz w:val="22"/>
          <w:szCs w:val="22"/>
        </w:rPr>
        <w:t>HTML:</w:t>
      </w:r>
    </w:p>
    <w:p w:rsidR="009A1330" w:rsidRPr="007B4C23" w:rsidRDefault="00B70410" w:rsidP="00476E6F">
      <w:pPr>
        <w:autoSpaceDE w:val="0"/>
        <w:autoSpaceDN w:val="0"/>
        <w:adjustRightInd w:val="0"/>
        <w:rPr>
          <w:sz w:val="22"/>
          <w:szCs w:val="22"/>
        </w:rPr>
      </w:pPr>
      <w:hyperlink r:id="rId73" w:history="1">
        <w:r w:rsidR="009A1330" w:rsidRPr="005732A8">
          <w:rPr>
            <w:rStyle w:val="Hyperlink"/>
            <w:sz w:val="22"/>
            <w:szCs w:val="22"/>
          </w:rPr>
          <w:t>http://www.fcc.gov/guides/national-deaf-blind-equipment-distribution-program</w:t>
        </w:r>
      </w:hyperlink>
    </w:p>
    <w:p w:rsidR="009A1330" w:rsidRPr="00BF0859" w:rsidRDefault="009A1330" w:rsidP="00476E6F">
      <w:pPr>
        <w:autoSpaceDE w:val="0"/>
        <w:autoSpaceDN w:val="0"/>
        <w:adjustRightInd w:val="0"/>
        <w:rPr>
          <w:sz w:val="22"/>
          <w:szCs w:val="22"/>
        </w:rPr>
      </w:pPr>
      <w:r w:rsidRPr="00BF0859">
        <w:rPr>
          <w:sz w:val="22"/>
          <w:szCs w:val="22"/>
        </w:rPr>
        <w:t>PDF:</w:t>
      </w:r>
    </w:p>
    <w:p w:rsidR="009A1330" w:rsidRPr="007B4C23" w:rsidRDefault="00B70410" w:rsidP="00476E6F">
      <w:pPr>
        <w:autoSpaceDE w:val="0"/>
        <w:autoSpaceDN w:val="0"/>
        <w:adjustRightInd w:val="0"/>
        <w:rPr>
          <w:sz w:val="22"/>
          <w:szCs w:val="22"/>
        </w:rPr>
      </w:pPr>
      <w:hyperlink r:id="rId74" w:history="1">
        <w:r w:rsidR="009A1330" w:rsidRPr="005732A8">
          <w:rPr>
            <w:rStyle w:val="Hyperlink"/>
            <w:sz w:val="22"/>
            <w:szCs w:val="22"/>
          </w:rPr>
          <w:t>http://transition.fcc.gov/cgb/consumerfacts/NDBEDP.pdf</w:t>
        </w:r>
      </w:hyperlink>
    </w:p>
    <w:p w:rsidR="009A1330" w:rsidRPr="005732A8" w:rsidRDefault="009A1330" w:rsidP="00476E6F">
      <w:pPr>
        <w:autoSpaceDE w:val="0"/>
        <w:autoSpaceDN w:val="0"/>
        <w:adjustRightInd w:val="0"/>
        <w:rPr>
          <w:sz w:val="22"/>
          <w:szCs w:val="22"/>
        </w:rPr>
      </w:pPr>
    </w:p>
    <w:p w:rsidR="009A1330" w:rsidRPr="00BF0859" w:rsidRDefault="009A1330" w:rsidP="00476E6F">
      <w:pPr>
        <w:autoSpaceDE w:val="0"/>
        <w:autoSpaceDN w:val="0"/>
        <w:adjustRightInd w:val="0"/>
        <w:rPr>
          <w:b/>
          <w:sz w:val="22"/>
          <w:szCs w:val="22"/>
          <w:lang w:val="es-ES"/>
        </w:rPr>
      </w:pPr>
      <w:r w:rsidRPr="00BF0859">
        <w:rPr>
          <w:b/>
          <w:sz w:val="22"/>
          <w:szCs w:val="22"/>
          <w:lang w:val="es-ES"/>
        </w:rPr>
        <w:t>Video Description</w:t>
      </w:r>
    </w:p>
    <w:p w:rsidR="009A1330" w:rsidRPr="00FF1FD9" w:rsidRDefault="009A1330" w:rsidP="00476E6F">
      <w:pPr>
        <w:autoSpaceDE w:val="0"/>
        <w:autoSpaceDN w:val="0"/>
        <w:adjustRightInd w:val="0"/>
        <w:rPr>
          <w:sz w:val="22"/>
          <w:szCs w:val="22"/>
          <w:lang w:val="es-ES"/>
        </w:rPr>
      </w:pPr>
    </w:p>
    <w:p w:rsidR="009A1330" w:rsidRPr="006C02D7" w:rsidRDefault="009A1330" w:rsidP="00476E6F">
      <w:pPr>
        <w:autoSpaceDE w:val="0"/>
        <w:autoSpaceDN w:val="0"/>
        <w:adjustRightInd w:val="0"/>
        <w:rPr>
          <w:sz w:val="22"/>
          <w:szCs w:val="22"/>
          <w:lang w:val="es-ES"/>
        </w:rPr>
      </w:pPr>
      <w:r w:rsidRPr="006C02D7">
        <w:rPr>
          <w:sz w:val="22"/>
          <w:szCs w:val="22"/>
          <w:lang w:val="es-ES"/>
        </w:rPr>
        <w:t>HTML:</w:t>
      </w:r>
    </w:p>
    <w:p w:rsidR="009A1330" w:rsidRPr="007B4C23" w:rsidRDefault="00B70410" w:rsidP="00476E6F">
      <w:pPr>
        <w:autoSpaceDE w:val="0"/>
        <w:autoSpaceDN w:val="0"/>
        <w:adjustRightInd w:val="0"/>
        <w:rPr>
          <w:sz w:val="22"/>
          <w:szCs w:val="22"/>
          <w:lang w:val="es-ES"/>
        </w:rPr>
      </w:pPr>
      <w:hyperlink r:id="rId75" w:history="1">
        <w:r w:rsidR="009A1330" w:rsidRPr="005732A8">
          <w:rPr>
            <w:rStyle w:val="Hyperlink"/>
            <w:sz w:val="22"/>
            <w:szCs w:val="22"/>
            <w:lang w:val="es-ES"/>
          </w:rPr>
          <w:t>http://www.fcc.gov/guides/video-description</w:t>
        </w:r>
      </w:hyperlink>
    </w:p>
    <w:p w:rsidR="009A1330" w:rsidRPr="00BF0859" w:rsidRDefault="009A1330" w:rsidP="00476E6F">
      <w:pPr>
        <w:autoSpaceDE w:val="0"/>
        <w:autoSpaceDN w:val="0"/>
        <w:adjustRightInd w:val="0"/>
        <w:rPr>
          <w:sz w:val="22"/>
          <w:szCs w:val="22"/>
          <w:lang w:val="es-ES"/>
        </w:rPr>
      </w:pPr>
      <w:r w:rsidRPr="00BF0859">
        <w:rPr>
          <w:sz w:val="22"/>
          <w:szCs w:val="22"/>
          <w:lang w:val="es-ES"/>
        </w:rPr>
        <w:t>PDF:</w:t>
      </w:r>
    </w:p>
    <w:p w:rsidR="009A1330" w:rsidRPr="007B4C23" w:rsidRDefault="00B70410" w:rsidP="00476E6F">
      <w:pPr>
        <w:autoSpaceDE w:val="0"/>
        <w:autoSpaceDN w:val="0"/>
        <w:adjustRightInd w:val="0"/>
        <w:rPr>
          <w:sz w:val="22"/>
          <w:szCs w:val="22"/>
          <w:lang w:val="es-ES"/>
        </w:rPr>
      </w:pPr>
      <w:hyperlink r:id="rId76" w:history="1">
        <w:r w:rsidR="009A1330" w:rsidRPr="005732A8">
          <w:rPr>
            <w:rStyle w:val="Hyperlink"/>
            <w:sz w:val="22"/>
            <w:szCs w:val="22"/>
            <w:lang w:val="es-ES"/>
          </w:rPr>
          <w:t>http://hraunfoss.fcc.gov/edocs_public/attachmatch/DOC-314799A1.pdf</w:t>
        </w:r>
      </w:hyperlink>
    </w:p>
    <w:p w:rsidR="009A1330" w:rsidRPr="005732A8" w:rsidRDefault="009A1330" w:rsidP="00476E6F">
      <w:pPr>
        <w:autoSpaceDE w:val="0"/>
        <w:autoSpaceDN w:val="0"/>
        <w:adjustRightInd w:val="0"/>
        <w:rPr>
          <w:sz w:val="22"/>
          <w:szCs w:val="22"/>
          <w:lang w:val="es-ES"/>
        </w:rPr>
      </w:pPr>
    </w:p>
    <w:p w:rsidR="009A1330" w:rsidRPr="00BF0859" w:rsidRDefault="009A1330" w:rsidP="00476E6F">
      <w:pPr>
        <w:autoSpaceDE w:val="0"/>
        <w:autoSpaceDN w:val="0"/>
        <w:adjustRightInd w:val="0"/>
        <w:rPr>
          <w:b/>
          <w:sz w:val="22"/>
          <w:szCs w:val="22"/>
        </w:rPr>
      </w:pPr>
      <w:r w:rsidRPr="00BF0859">
        <w:rPr>
          <w:b/>
          <w:sz w:val="22"/>
          <w:szCs w:val="22"/>
        </w:rPr>
        <w:t>Captioning of Internet Video Programming</w:t>
      </w:r>
    </w:p>
    <w:p w:rsidR="009A1330" w:rsidRPr="00FF1FD9" w:rsidRDefault="009A1330" w:rsidP="00476E6F">
      <w:pPr>
        <w:autoSpaceDE w:val="0"/>
        <w:autoSpaceDN w:val="0"/>
        <w:adjustRightInd w:val="0"/>
        <w:rPr>
          <w:sz w:val="22"/>
          <w:szCs w:val="22"/>
        </w:rPr>
      </w:pPr>
    </w:p>
    <w:p w:rsidR="009A1330" w:rsidRPr="006C02D7" w:rsidRDefault="009A1330" w:rsidP="00476E6F">
      <w:pPr>
        <w:autoSpaceDE w:val="0"/>
        <w:autoSpaceDN w:val="0"/>
        <w:adjustRightInd w:val="0"/>
        <w:rPr>
          <w:sz w:val="22"/>
          <w:szCs w:val="22"/>
        </w:rPr>
      </w:pPr>
      <w:r w:rsidRPr="006C02D7">
        <w:rPr>
          <w:sz w:val="22"/>
          <w:szCs w:val="22"/>
        </w:rPr>
        <w:t>HTML:</w:t>
      </w:r>
    </w:p>
    <w:p w:rsidR="009A1330" w:rsidRPr="007B4C23" w:rsidRDefault="00B70410" w:rsidP="00476E6F">
      <w:pPr>
        <w:autoSpaceDE w:val="0"/>
        <w:autoSpaceDN w:val="0"/>
        <w:adjustRightInd w:val="0"/>
        <w:rPr>
          <w:sz w:val="22"/>
          <w:szCs w:val="22"/>
        </w:rPr>
      </w:pPr>
      <w:hyperlink r:id="rId77" w:history="1">
        <w:r w:rsidR="009A1330" w:rsidRPr="005732A8">
          <w:rPr>
            <w:rStyle w:val="Hyperlink"/>
            <w:sz w:val="22"/>
            <w:szCs w:val="22"/>
          </w:rPr>
          <w:t>http://www.fcc.gov/guides/captioning-internet-video-programming</w:t>
        </w:r>
      </w:hyperlink>
    </w:p>
    <w:p w:rsidR="009A1330" w:rsidRPr="007B4C23" w:rsidRDefault="009A1330" w:rsidP="00476E6F">
      <w:pPr>
        <w:autoSpaceDE w:val="0"/>
        <w:autoSpaceDN w:val="0"/>
        <w:adjustRightInd w:val="0"/>
        <w:rPr>
          <w:sz w:val="22"/>
          <w:szCs w:val="22"/>
        </w:rPr>
      </w:pPr>
      <w:r w:rsidRPr="00BF0859">
        <w:rPr>
          <w:sz w:val="22"/>
          <w:szCs w:val="22"/>
        </w:rPr>
        <w:t>PDF:</w:t>
      </w:r>
      <w:r w:rsidRPr="00BF0859">
        <w:rPr>
          <w:sz w:val="22"/>
          <w:szCs w:val="22"/>
        </w:rPr>
        <w:br/>
      </w:r>
      <w:hyperlink r:id="rId78" w:history="1">
        <w:r w:rsidRPr="005732A8">
          <w:rPr>
            <w:rStyle w:val="Hyperlink"/>
            <w:sz w:val="22"/>
            <w:szCs w:val="22"/>
          </w:rPr>
          <w:t>http://www.fcc.gov/cgb/consumerfacts/captionsinternet.pdf</w:t>
        </w:r>
      </w:hyperlink>
    </w:p>
    <w:p w:rsidR="009A1330" w:rsidRPr="005732A8" w:rsidRDefault="009A1330" w:rsidP="00476E6F">
      <w:pPr>
        <w:autoSpaceDE w:val="0"/>
        <w:autoSpaceDN w:val="0"/>
        <w:adjustRightInd w:val="0"/>
        <w:rPr>
          <w:sz w:val="22"/>
          <w:szCs w:val="22"/>
        </w:rPr>
      </w:pPr>
    </w:p>
    <w:p w:rsidR="009A1330" w:rsidRPr="00BF0859" w:rsidRDefault="009A1330" w:rsidP="00476E6F">
      <w:pPr>
        <w:autoSpaceDE w:val="0"/>
        <w:autoSpaceDN w:val="0"/>
        <w:adjustRightInd w:val="0"/>
        <w:rPr>
          <w:b/>
          <w:sz w:val="22"/>
          <w:szCs w:val="22"/>
        </w:rPr>
      </w:pPr>
      <w:r w:rsidRPr="00BF0859">
        <w:rPr>
          <w:b/>
          <w:sz w:val="22"/>
          <w:szCs w:val="22"/>
        </w:rPr>
        <w:t>Display of Captioning on Equipment Used to View Video Programming</w:t>
      </w:r>
    </w:p>
    <w:p w:rsidR="009A1330" w:rsidRPr="00FF1FD9" w:rsidRDefault="009A1330" w:rsidP="00476E6F">
      <w:pPr>
        <w:autoSpaceDE w:val="0"/>
        <w:autoSpaceDN w:val="0"/>
        <w:adjustRightInd w:val="0"/>
        <w:rPr>
          <w:sz w:val="22"/>
          <w:szCs w:val="22"/>
        </w:rPr>
      </w:pPr>
    </w:p>
    <w:p w:rsidR="009A1330" w:rsidRPr="006C02D7" w:rsidRDefault="009A1330" w:rsidP="00476E6F">
      <w:pPr>
        <w:autoSpaceDE w:val="0"/>
        <w:autoSpaceDN w:val="0"/>
        <w:adjustRightInd w:val="0"/>
        <w:rPr>
          <w:sz w:val="22"/>
          <w:szCs w:val="22"/>
        </w:rPr>
      </w:pPr>
      <w:r w:rsidRPr="006C02D7">
        <w:rPr>
          <w:sz w:val="22"/>
          <w:szCs w:val="22"/>
        </w:rPr>
        <w:t>HTML:</w:t>
      </w:r>
    </w:p>
    <w:p w:rsidR="009A1330" w:rsidRPr="007B4C23" w:rsidRDefault="00B70410" w:rsidP="00476E6F">
      <w:pPr>
        <w:autoSpaceDE w:val="0"/>
        <w:autoSpaceDN w:val="0"/>
        <w:adjustRightInd w:val="0"/>
        <w:rPr>
          <w:sz w:val="22"/>
          <w:szCs w:val="22"/>
        </w:rPr>
      </w:pPr>
      <w:hyperlink r:id="rId79" w:history="1">
        <w:r w:rsidR="009A1330" w:rsidRPr="005732A8">
          <w:rPr>
            <w:rStyle w:val="Hyperlink"/>
            <w:sz w:val="22"/>
            <w:szCs w:val="22"/>
          </w:rPr>
          <w:t>http://www.fcc.gov/guides/display-captioning-equipment-used-view-video-programming</w:t>
        </w:r>
      </w:hyperlink>
    </w:p>
    <w:p w:rsidR="009A1330" w:rsidRPr="00BF0859" w:rsidRDefault="009A1330" w:rsidP="00476E6F">
      <w:pPr>
        <w:autoSpaceDE w:val="0"/>
        <w:autoSpaceDN w:val="0"/>
        <w:adjustRightInd w:val="0"/>
        <w:rPr>
          <w:sz w:val="22"/>
          <w:szCs w:val="22"/>
        </w:rPr>
      </w:pPr>
      <w:r w:rsidRPr="00BF0859">
        <w:rPr>
          <w:sz w:val="22"/>
          <w:szCs w:val="22"/>
        </w:rPr>
        <w:t>PDF:</w:t>
      </w:r>
    </w:p>
    <w:p w:rsidR="00A1191D" w:rsidRDefault="00B70410" w:rsidP="00476E6F">
      <w:pPr>
        <w:autoSpaceDE w:val="0"/>
        <w:autoSpaceDN w:val="0"/>
        <w:adjustRightInd w:val="0"/>
        <w:rPr>
          <w:sz w:val="22"/>
          <w:szCs w:val="22"/>
        </w:rPr>
      </w:pPr>
      <w:hyperlink r:id="rId80" w:history="1">
        <w:r w:rsidR="00A1191D" w:rsidRPr="005732A8">
          <w:rPr>
            <w:rStyle w:val="Hyperlink"/>
            <w:sz w:val="22"/>
            <w:szCs w:val="22"/>
          </w:rPr>
          <w:t>http://www.fcc.gov/cgb/consumerfacts/captionsequipment.pdf</w:t>
        </w:r>
      </w:hyperlink>
    </w:p>
    <w:p w:rsidR="009A1330" w:rsidRPr="00476E6F" w:rsidRDefault="009A1330" w:rsidP="00476E6F">
      <w:pPr>
        <w:rPr>
          <w:sz w:val="22"/>
          <w:szCs w:val="22"/>
        </w:rPr>
      </w:pPr>
    </w:p>
    <w:p w:rsidR="0009499C" w:rsidRPr="00476E6F" w:rsidRDefault="0009499C" w:rsidP="00476E6F">
      <w:pPr>
        <w:keepNext/>
        <w:keepLines/>
        <w:suppressLineNumbers/>
        <w:tabs>
          <w:tab w:val="left" w:pos="4320"/>
        </w:tabs>
        <w:suppressAutoHyphens/>
        <w:rPr>
          <w:sz w:val="22"/>
          <w:szCs w:val="22"/>
        </w:rPr>
      </w:pPr>
    </w:p>
    <w:sectPr w:rsidR="0009499C" w:rsidRPr="00476E6F" w:rsidSect="00B10A3C">
      <w:headerReference w:type="even" r:id="rId81"/>
      <w:headerReference w:type="default" r:id="rId82"/>
      <w:footerReference w:type="even" r:id="rId83"/>
      <w:footerReference w:type="default" r:id="rId84"/>
      <w:headerReference w:type="first" r:id="rId85"/>
      <w:footerReference w:type="first" r:id="rId86"/>
      <w:pgSz w:w="12240" w:h="15840"/>
      <w:pgMar w:top="1440" w:right="1440" w:bottom="1440" w:left="1440" w:header="720" w:footer="25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FD0" w:rsidRDefault="00367FD0">
      <w:r>
        <w:separator/>
      </w:r>
    </w:p>
  </w:endnote>
  <w:endnote w:type="continuationSeparator" w:id="0">
    <w:p w:rsidR="00367FD0" w:rsidRDefault="00367FD0">
      <w:r>
        <w:continuationSeparator/>
      </w:r>
    </w:p>
  </w:endnote>
  <w:endnote w:type="continuationNotice" w:id="1">
    <w:p w:rsidR="00367FD0" w:rsidRDefault="00367F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Lucida Grande">
    <w:altName w:val="Courier New"/>
    <w:charset w:val="00"/>
    <w:family w:val="auto"/>
    <w:pitch w:val="variable"/>
    <w:sig w:usb0="00000003" w:usb1="00000000" w:usb2="00000000" w:usb3="00000000" w:csb0="00000001" w:csb1="00000000"/>
  </w:font>
  <w:font w:name="ヒラギノ角ゴ Pro W3">
    <w:altName w:val="MS Mincho"/>
    <w:charset w:val="00"/>
    <w:family w:val="roman"/>
    <w:pitch w:val="default"/>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8B6" w:rsidRDefault="000A68B6">
    <w:pPr>
      <w:pStyle w:val="Footer"/>
      <w:framePr w:wrap="around" w:vAnchor="text" w:hAnchor="margin" w:xAlign="center" w:y="1"/>
      <w:rPr>
        <w:rStyle w:val="PageNumber"/>
        <w:szCs w:val="24"/>
      </w:rPr>
    </w:pPr>
    <w:r>
      <w:rPr>
        <w:rStyle w:val="PageNumber"/>
      </w:rPr>
      <w:fldChar w:fldCharType="begin"/>
    </w:r>
    <w:r>
      <w:rPr>
        <w:rStyle w:val="PageNumber"/>
      </w:rPr>
      <w:instrText xml:space="preserve">PAGE  </w:instrText>
    </w:r>
    <w:r>
      <w:rPr>
        <w:rStyle w:val="PageNumber"/>
      </w:rPr>
      <w:fldChar w:fldCharType="end"/>
    </w:r>
  </w:p>
  <w:p w:rsidR="000A68B6" w:rsidRDefault="000A68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8B6" w:rsidRPr="009C79E5" w:rsidRDefault="000A68B6">
    <w:pPr>
      <w:pStyle w:val="Footer"/>
      <w:jc w:val="center"/>
      <w:rPr>
        <w:sz w:val="22"/>
        <w:szCs w:val="22"/>
      </w:rPr>
    </w:pPr>
    <w:r w:rsidRPr="009C79E5">
      <w:rPr>
        <w:sz w:val="22"/>
        <w:szCs w:val="22"/>
      </w:rPr>
      <w:fldChar w:fldCharType="begin"/>
    </w:r>
    <w:r w:rsidRPr="009C79E5">
      <w:rPr>
        <w:sz w:val="22"/>
        <w:szCs w:val="22"/>
      </w:rPr>
      <w:instrText xml:space="preserve"> PAGE   \* MERGEFORMAT </w:instrText>
    </w:r>
    <w:r w:rsidRPr="009C79E5">
      <w:rPr>
        <w:sz w:val="22"/>
        <w:szCs w:val="22"/>
      </w:rPr>
      <w:fldChar w:fldCharType="separate"/>
    </w:r>
    <w:r w:rsidR="00B70410">
      <w:rPr>
        <w:noProof/>
        <w:sz w:val="22"/>
        <w:szCs w:val="22"/>
      </w:rPr>
      <w:t>2</w:t>
    </w:r>
    <w:r w:rsidRPr="009C79E5">
      <w:rPr>
        <w:noProof/>
        <w:sz w:val="22"/>
        <w:szCs w:val="22"/>
      </w:rPr>
      <w:fldChar w:fldCharType="end"/>
    </w:r>
  </w:p>
  <w:p w:rsidR="000A68B6" w:rsidRDefault="000A68B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64B" w:rsidRDefault="00AB76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FD0" w:rsidRDefault="00367FD0">
      <w:r>
        <w:separator/>
      </w:r>
    </w:p>
  </w:footnote>
  <w:footnote w:type="continuationSeparator" w:id="0">
    <w:p w:rsidR="00367FD0" w:rsidRDefault="00367FD0">
      <w:r>
        <w:continuationSeparator/>
      </w:r>
    </w:p>
  </w:footnote>
  <w:footnote w:type="continuationNotice" w:id="1">
    <w:p w:rsidR="00367FD0" w:rsidRDefault="00367FD0"/>
  </w:footnote>
  <w:footnote w:id="2">
    <w:p w:rsidR="000A68B6" w:rsidRPr="00FF1FD9" w:rsidRDefault="000A68B6" w:rsidP="00476E6F">
      <w:pPr>
        <w:pStyle w:val="FootnoteText"/>
        <w:spacing w:after="120"/>
      </w:pPr>
      <w:r w:rsidRPr="00FF1FD9">
        <w:rPr>
          <w:rStyle w:val="FootnoteReference"/>
        </w:rPr>
        <w:footnoteRef/>
      </w:r>
      <w:r w:rsidRPr="00FF1FD9">
        <w:t xml:space="preserve"> Pub. L. No. 111-260, 124 Stat. 2751 (2010) (as codified in various sections of 47 U.S.C.); Pub. L. 111-265, 124 Stat. 2795 (2010) (making technical corrections to the CVAA).  The foregoing are collectively referred to as the CVAA.  </w:t>
      </w:r>
    </w:p>
  </w:footnote>
  <w:footnote w:id="3">
    <w:p w:rsidR="000A68B6" w:rsidRPr="00FF1FD9" w:rsidRDefault="000A68B6" w:rsidP="00476E6F">
      <w:pPr>
        <w:pStyle w:val="FootnoteText"/>
        <w:spacing w:after="120"/>
      </w:pPr>
      <w:r w:rsidRPr="00FF1FD9">
        <w:rPr>
          <w:rStyle w:val="FootnoteReference"/>
        </w:rPr>
        <w:footnoteRef/>
      </w:r>
      <w:r w:rsidRPr="00FF1FD9">
        <w:t xml:space="preserve"> S. Rep. No. 111-386 at 1 (Senate Report); H.R. Rep. No. 111-563 at 19 (House Report) (2010) (noting that the communications marketplace had undergone a “fundamental transformation” since Congress adopted Section 255 of the Act in 1996).  </w:t>
      </w:r>
      <w:r w:rsidRPr="00FF1FD9">
        <w:rPr>
          <w:i/>
        </w:rPr>
        <w:t>See</w:t>
      </w:r>
      <w:r w:rsidRPr="00FF1FD9">
        <w:t xml:space="preserve"> 47 U.S.C. § 255 (requiring access to telecommunications services and equipment).</w:t>
      </w:r>
    </w:p>
  </w:footnote>
  <w:footnote w:id="4">
    <w:p w:rsidR="000A68B6" w:rsidRPr="009C79E5" w:rsidRDefault="000A68B6" w:rsidP="00476E6F">
      <w:pPr>
        <w:pStyle w:val="Default"/>
        <w:spacing w:after="120"/>
        <w:rPr>
          <w:rFonts w:ascii="Times New Roman" w:hAnsi="Times New Roman" w:cs="Times New Roman"/>
          <w:color w:val="auto"/>
          <w:sz w:val="20"/>
          <w:szCs w:val="20"/>
        </w:rPr>
      </w:pPr>
      <w:r w:rsidRPr="009C79E5">
        <w:rPr>
          <w:rStyle w:val="FootnoteReference"/>
          <w:rFonts w:ascii="Times New Roman" w:hAnsi="Times New Roman"/>
          <w:color w:val="auto"/>
          <w:sz w:val="20"/>
          <w:szCs w:val="20"/>
        </w:rPr>
        <w:footnoteRef/>
      </w:r>
      <w:r w:rsidRPr="009C79E5">
        <w:rPr>
          <w:rFonts w:ascii="Times New Roman" w:hAnsi="Times New Roman" w:cs="Times New Roman"/>
          <w:color w:val="auto"/>
          <w:sz w:val="20"/>
          <w:szCs w:val="20"/>
        </w:rPr>
        <w:t xml:space="preserve"> Senate Report at 1-2;</w:t>
      </w:r>
      <w:r w:rsidRPr="009C79E5">
        <w:rPr>
          <w:rFonts w:ascii="Times New Roman" w:hAnsi="Times New Roman" w:cs="Times New Roman"/>
          <w:i/>
          <w:color w:val="auto"/>
          <w:sz w:val="20"/>
          <w:szCs w:val="20"/>
        </w:rPr>
        <w:t xml:space="preserve"> </w:t>
      </w:r>
      <w:r w:rsidRPr="009C79E5">
        <w:rPr>
          <w:rFonts w:ascii="Times New Roman" w:hAnsi="Times New Roman" w:cs="Times New Roman"/>
          <w:color w:val="auto"/>
          <w:sz w:val="20"/>
          <w:szCs w:val="20"/>
        </w:rPr>
        <w:t>House Report at 19.</w:t>
      </w:r>
    </w:p>
  </w:footnote>
  <w:footnote w:id="5">
    <w:p w:rsidR="000A68B6" w:rsidRPr="009C79E5" w:rsidRDefault="000A68B6" w:rsidP="00476E6F">
      <w:pPr>
        <w:spacing w:after="120"/>
        <w:rPr>
          <w:sz w:val="20"/>
          <w:szCs w:val="20"/>
        </w:rPr>
      </w:pPr>
      <w:r w:rsidRPr="00FF1FD9">
        <w:rPr>
          <w:rStyle w:val="FootnoteReference"/>
          <w:sz w:val="20"/>
          <w:szCs w:val="20"/>
        </w:rPr>
        <w:footnoteRef/>
      </w:r>
      <w:r w:rsidRPr="00FF1FD9">
        <w:rPr>
          <w:sz w:val="20"/>
          <w:szCs w:val="20"/>
        </w:rPr>
        <w:t xml:space="preserve"> </w:t>
      </w:r>
      <w:r w:rsidRPr="00FF1FD9">
        <w:rPr>
          <w:i/>
          <w:sz w:val="20"/>
          <w:szCs w:val="20"/>
        </w:rPr>
        <w:t xml:space="preserve">See </w:t>
      </w:r>
      <w:r w:rsidRPr="006C02D7">
        <w:rPr>
          <w:sz w:val="20"/>
          <w:szCs w:val="20"/>
        </w:rPr>
        <w:t xml:space="preserve">Section 717(b)(1) of the Act, as added by the CVAA, codified at 47 U.S.C. § 618(b)(1).  Biennial reports must be submitted to the Committee on Commerce, Science, and Transportation of the Senate, and the Committee on </w:t>
      </w:r>
      <w:r w:rsidRPr="009C5E08">
        <w:rPr>
          <w:sz w:val="20"/>
          <w:szCs w:val="20"/>
        </w:rPr>
        <w:t xml:space="preserve">Energy and Commerce of the House of Representatives.  </w:t>
      </w:r>
      <w:r w:rsidRPr="009C5E08">
        <w:rPr>
          <w:i/>
          <w:sz w:val="20"/>
          <w:szCs w:val="20"/>
        </w:rPr>
        <w:t>Id.  See also</w:t>
      </w:r>
      <w:r w:rsidRPr="009C5E08">
        <w:rPr>
          <w:sz w:val="20"/>
          <w:szCs w:val="20"/>
        </w:rPr>
        <w:t xml:space="preserve"> Senate Report at 9;</w:t>
      </w:r>
      <w:r w:rsidRPr="009C79E5">
        <w:rPr>
          <w:i/>
          <w:sz w:val="20"/>
          <w:szCs w:val="20"/>
        </w:rPr>
        <w:t xml:space="preserve"> </w:t>
      </w:r>
      <w:r w:rsidRPr="009C79E5">
        <w:rPr>
          <w:sz w:val="20"/>
          <w:szCs w:val="20"/>
        </w:rPr>
        <w:t xml:space="preserve">House Report at 27 (the report should “assess[] the level of compliance with the requirements of [the CVAA], as well as other matters related to the effectiveness of the Commission’s complaint resolution process”).  </w:t>
      </w:r>
    </w:p>
  </w:footnote>
  <w:footnote w:id="6">
    <w:p w:rsidR="000A68B6" w:rsidRPr="009C79E5" w:rsidRDefault="000A68B6" w:rsidP="00476E6F">
      <w:pPr>
        <w:pStyle w:val="FootnoteText"/>
        <w:spacing w:after="120"/>
      </w:pPr>
      <w:r w:rsidRPr="009C79E5">
        <w:rPr>
          <w:rStyle w:val="FootnoteReference"/>
        </w:rPr>
        <w:footnoteRef/>
      </w:r>
      <w:r w:rsidRPr="009C79E5">
        <w:t xml:space="preserve"> </w:t>
      </w:r>
      <w:r w:rsidRPr="009C79E5">
        <w:rPr>
          <w:i/>
        </w:rPr>
        <w:t>See Implementation of Sections 716 and 717 of the Communications Act of 1934, as Enacted by the Twenty-First Century Communications and Video Accessibility Act of 2010</w:t>
      </w:r>
      <w:r w:rsidRPr="009C79E5">
        <w:t>, CG Docket No. 10-213, Biennial Report to Congress as Required by the Twenty-First Century Communications and Video Accessibility Act of 2010, DA 12-1602, 27 FCC Rcd 12204 (CGB 2012) (</w:t>
      </w:r>
      <w:r w:rsidRPr="009C79E5">
        <w:rPr>
          <w:i/>
        </w:rPr>
        <w:t>2012 CVAA Biennial Report</w:t>
      </w:r>
      <w:r w:rsidRPr="009C79E5">
        <w:t xml:space="preserve">), available at  </w:t>
      </w:r>
      <w:hyperlink r:id="rId1" w:history="1">
        <w:r w:rsidRPr="009C79E5">
          <w:rPr>
            <w:rStyle w:val="Hyperlink1"/>
          </w:rPr>
          <w:t>https://apps.fcc.gov/edocs_public/attachmatch/DA-12-1602A1.pdf</w:t>
        </w:r>
      </w:hyperlink>
      <w:r w:rsidRPr="009C79E5">
        <w:t xml:space="preserve">.  Both the </w:t>
      </w:r>
      <w:r w:rsidRPr="009C79E5">
        <w:rPr>
          <w:i/>
        </w:rPr>
        <w:t xml:space="preserve">2012 CVAA Biennial Report </w:t>
      </w:r>
      <w:r w:rsidRPr="009C79E5">
        <w:t xml:space="preserve">and the current </w:t>
      </w:r>
      <w:r w:rsidRPr="009C79E5">
        <w:rPr>
          <w:i/>
        </w:rPr>
        <w:t>Report</w:t>
      </w:r>
      <w:r w:rsidRPr="009C79E5">
        <w:t xml:space="preserve"> were prepared pursuant to CGB’s delegated authority.  47 C.F.R. § 0.361.  This </w:t>
      </w:r>
      <w:r w:rsidRPr="009C79E5">
        <w:rPr>
          <w:i/>
        </w:rPr>
        <w:t>Report</w:t>
      </w:r>
      <w:r w:rsidRPr="009C79E5">
        <w:t xml:space="preserve"> is being submitted concurrently to the Committees. </w:t>
      </w:r>
    </w:p>
  </w:footnote>
  <w:footnote w:id="7">
    <w:p w:rsidR="000A68B6" w:rsidRPr="00FF1FD9" w:rsidRDefault="000A68B6" w:rsidP="00476E6F">
      <w:pPr>
        <w:spacing w:after="120"/>
        <w:rPr>
          <w:sz w:val="20"/>
          <w:szCs w:val="20"/>
          <w:lang w:bidi="x-none"/>
        </w:rPr>
      </w:pPr>
      <w:r w:rsidRPr="00FF1FD9">
        <w:rPr>
          <w:rStyle w:val="FootnoteReference"/>
          <w:sz w:val="20"/>
          <w:szCs w:val="20"/>
        </w:rPr>
        <w:footnoteRef/>
      </w:r>
      <w:r w:rsidRPr="00FF1FD9">
        <w:rPr>
          <w:sz w:val="20"/>
          <w:szCs w:val="20"/>
        </w:rPr>
        <w:t xml:space="preserve"> </w:t>
      </w:r>
      <w:r w:rsidRPr="00FF1FD9">
        <w:rPr>
          <w:i/>
          <w:sz w:val="20"/>
          <w:szCs w:val="20"/>
        </w:rPr>
        <w:t>2012 CVAA Biennial Report,</w:t>
      </w:r>
      <w:r w:rsidRPr="00FF1FD9">
        <w:rPr>
          <w:sz w:val="20"/>
          <w:szCs w:val="20"/>
        </w:rPr>
        <w:t xml:space="preserve"> 27 FCC Rcd at 12205-6, ¶ 2.</w:t>
      </w:r>
    </w:p>
  </w:footnote>
  <w:footnote w:id="8">
    <w:p w:rsidR="000A68B6" w:rsidRPr="009C79E5" w:rsidRDefault="000A68B6" w:rsidP="00476E6F">
      <w:pPr>
        <w:pStyle w:val="FootnoteText"/>
        <w:spacing w:after="120"/>
      </w:pPr>
      <w:r w:rsidRPr="006C02D7">
        <w:rPr>
          <w:rStyle w:val="FootnoteReference"/>
        </w:rPr>
        <w:footnoteRef/>
      </w:r>
      <w:r w:rsidRPr="009C5E08">
        <w:t xml:space="preserve"> Since the submission of the </w:t>
      </w:r>
      <w:r w:rsidRPr="009C5E08">
        <w:rPr>
          <w:i/>
        </w:rPr>
        <w:t>2012 CVAA Biennial Report</w:t>
      </w:r>
      <w:r w:rsidRPr="009C79E5">
        <w:t>, the Commission has released the following reports and orders adopting implementing regulations:</w:t>
      </w:r>
    </w:p>
    <w:p w:rsidR="000A68B6" w:rsidRPr="009C5E08" w:rsidRDefault="000A68B6" w:rsidP="00476E6F">
      <w:pPr>
        <w:spacing w:after="120"/>
        <w:rPr>
          <w:rStyle w:val="Strong"/>
          <w:i/>
          <w:iCs/>
          <w:sz w:val="20"/>
          <w:szCs w:val="20"/>
        </w:rPr>
      </w:pPr>
      <w:r w:rsidRPr="009C79E5">
        <w:rPr>
          <w:i/>
          <w:sz w:val="20"/>
          <w:szCs w:val="20"/>
        </w:rPr>
        <w:t>Accessible Emergency Information, and Apparatus Requirements for Emergency Information and Video Description:  Implementation of the Twenty-First Century Communications and Video Accessibility Act of 2010; Video Description:  Implementation of the Twenty-First Century Communications and Video Accessibility Act of 2010,</w:t>
      </w:r>
      <w:r w:rsidRPr="009C79E5">
        <w:rPr>
          <w:sz w:val="20"/>
          <w:szCs w:val="20"/>
        </w:rPr>
        <w:t xml:space="preserve"> MB Docket Nos. 12-107 and 11-43, Report and Order and Further Notice of Proposed Rulemaking, FCC 13-45, 28 FCC Rcd 4871 (2013), available at </w:t>
      </w:r>
      <w:hyperlink r:id="rId2" w:history="1">
        <w:r w:rsidRPr="009C79E5">
          <w:rPr>
            <w:rStyle w:val="Hyperlink1"/>
            <w:szCs w:val="20"/>
          </w:rPr>
          <w:t>https://apps.fcc.gov/edocs_public/attachmatch/FCC-13-45A1.pdf</w:t>
        </w:r>
      </w:hyperlink>
      <w:r w:rsidRPr="00FF1FD9">
        <w:rPr>
          <w:sz w:val="20"/>
          <w:szCs w:val="20"/>
        </w:rPr>
        <w:t xml:space="preserve"> </w:t>
      </w:r>
      <w:r w:rsidRPr="00FF1FD9">
        <w:rPr>
          <w:rStyle w:val="Strong"/>
          <w:b w:val="0"/>
          <w:sz w:val="20"/>
          <w:szCs w:val="20"/>
        </w:rPr>
        <w:t>(</w:t>
      </w:r>
      <w:r w:rsidRPr="00FF1FD9">
        <w:rPr>
          <w:sz w:val="20"/>
          <w:szCs w:val="20"/>
        </w:rPr>
        <w:t>adopting rules requiring that emergency information provided in video programming be made accessible to individuals who are blind or visually impaired and that certain apparatus be capable of de</w:t>
      </w:r>
      <w:r w:rsidRPr="006C02D7">
        <w:rPr>
          <w:sz w:val="20"/>
          <w:szCs w:val="20"/>
        </w:rPr>
        <w:t>livering video description and emergency information).</w:t>
      </w:r>
    </w:p>
    <w:p w:rsidR="000A68B6" w:rsidRPr="009C79E5" w:rsidRDefault="000A68B6" w:rsidP="00476E6F">
      <w:pPr>
        <w:pStyle w:val="NormalWeb"/>
        <w:spacing w:before="0" w:beforeAutospacing="0" w:after="120" w:afterAutospacing="0"/>
        <w:rPr>
          <w:sz w:val="20"/>
          <w:szCs w:val="20"/>
        </w:rPr>
      </w:pPr>
      <w:r w:rsidRPr="009C79E5">
        <w:rPr>
          <w:i/>
          <w:sz w:val="20"/>
          <w:szCs w:val="20"/>
        </w:rPr>
        <w:t>Implementation of Sections 716 and 717 of the Communications Act of 1934, as Enacted by the Twenty-First Century Communications and Video Accessibility Act of 2010; Amendments to the Commission’s Rules Implementing Sections 255 and 251(a) of the Communications Act of 1934, as Enacted by the Telecommunications Act of 1996; Accessible Mobile Phone Options for People who are Blind, Deaf-Blind, or Have Low Vision</w:t>
      </w:r>
      <w:r w:rsidRPr="009C79E5">
        <w:rPr>
          <w:sz w:val="20"/>
          <w:szCs w:val="20"/>
        </w:rPr>
        <w:t>, CG Docket Nos. 10-213 and 10-145, WT Docket No. 96-198, Second Report and Order, FCC 13-57, 28 FCC Rcd 5957 (2013), available at</w:t>
      </w:r>
      <w:r w:rsidRPr="00FF1FD9">
        <w:rPr>
          <w:color w:val="000000"/>
          <w:sz w:val="20"/>
          <w:szCs w:val="20"/>
        </w:rPr>
        <w:t xml:space="preserve"> </w:t>
      </w:r>
      <w:hyperlink r:id="rId3" w:history="1">
        <w:r w:rsidRPr="009C79E5">
          <w:rPr>
            <w:rStyle w:val="Hyperlink1"/>
            <w:rFonts w:eastAsia="ヒラギノ角ゴ Pro W3"/>
            <w:szCs w:val="20"/>
          </w:rPr>
          <w:t>https://apps.fcc.gov/edocs_public/attachmatch/FCC-13-57A1.pdf</w:t>
        </w:r>
      </w:hyperlink>
      <w:r w:rsidRPr="009C79E5">
        <w:rPr>
          <w:color w:val="000000"/>
          <w:sz w:val="20"/>
          <w:szCs w:val="20"/>
        </w:rPr>
        <w:t xml:space="preserve"> </w:t>
      </w:r>
      <w:r w:rsidRPr="009C79E5">
        <w:rPr>
          <w:sz w:val="20"/>
          <w:szCs w:val="20"/>
        </w:rPr>
        <w:t xml:space="preserve">(implementing Section 718 and part of Section 716 of the Act to ensure that people with disabilities have access to emerging and innovative advanced communications technologies). </w:t>
      </w:r>
    </w:p>
    <w:p w:rsidR="000A68B6" w:rsidRPr="009C79E5" w:rsidRDefault="000A68B6" w:rsidP="00476E6F">
      <w:pPr>
        <w:pStyle w:val="FootnoteText"/>
        <w:spacing w:after="120"/>
      </w:pPr>
      <w:r w:rsidRPr="00FF1FD9">
        <w:rPr>
          <w:i/>
        </w:rPr>
        <w:t xml:space="preserve">Facilitating the Deployment of Text-to-911 and Other Next Generation 911 Applications; Framework for Next </w:t>
      </w:r>
      <w:r w:rsidRPr="006C02D7">
        <w:rPr>
          <w:i/>
        </w:rPr>
        <w:t>Generation 911 Deployment</w:t>
      </w:r>
      <w:r w:rsidRPr="009C5E08">
        <w:t>, PS Dockets Nos. 11-153 and 10-255, Report and Order, FCC 13-64, 28 FCC Rcd 7556</w:t>
      </w:r>
      <w:r w:rsidRPr="009C79E5">
        <w:t xml:space="preserve"> (2013), available at </w:t>
      </w:r>
      <w:hyperlink r:id="rId4" w:history="1">
        <w:r w:rsidRPr="009C79E5">
          <w:rPr>
            <w:rStyle w:val="Hyperlink"/>
          </w:rPr>
          <w:t>https://apps.fcc.gov/edocs_public/attachmatch/FCC-13-64A1.pdf</w:t>
        </w:r>
      </w:hyperlink>
      <w:r w:rsidRPr="009C79E5">
        <w:rPr>
          <w:rStyle w:val="Hyperlink"/>
          <w:u w:val="none"/>
        </w:rPr>
        <w:t xml:space="preserve"> </w:t>
      </w:r>
      <w:r w:rsidRPr="009C79E5">
        <w:rPr>
          <w:rStyle w:val="Hyperlink"/>
          <w:color w:val="auto"/>
          <w:u w:val="none"/>
        </w:rPr>
        <w:t>(</w:t>
      </w:r>
      <w:r w:rsidRPr="009C79E5">
        <w:t xml:space="preserve">requiring all wireless carriers and providers of interconnected text messaging services to provide an automatic bounce-back text message to consumers who try to send a text message to 911 where text-to-911 is not available).  </w:t>
      </w:r>
    </w:p>
    <w:p w:rsidR="000A68B6" w:rsidRPr="009C79E5" w:rsidRDefault="000A68B6" w:rsidP="00476E6F">
      <w:pPr>
        <w:pStyle w:val="FootnoteText"/>
        <w:spacing w:after="120"/>
        <w:rPr>
          <w:rStyle w:val="Emphasis"/>
          <w:i w:val="0"/>
        </w:rPr>
      </w:pPr>
      <w:r w:rsidRPr="009C79E5">
        <w:rPr>
          <w:i/>
        </w:rPr>
        <w:t>Accessibility of User Interfaces, and Video Programming Guides and Menus; Accessible Emergency Information, and Apparatus Requirements for Emergency Information and Video Description:  Implementation of the Twenty-First Century Communications and Video Accessibility Act of 2010</w:t>
      </w:r>
      <w:r w:rsidRPr="009C79E5">
        <w:t>,</w:t>
      </w:r>
      <w:r w:rsidRPr="009C79E5" w:rsidDel="00841AE4">
        <w:t xml:space="preserve"> </w:t>
      </w:r>
      <w:r w:rsidRPr="009C79E5">
        <w:t xml:space="preserve">MB Docket Nos. 12-108 and 12-107, Report and Order and Further Notice of Proposed Rulemaking, FCC 13-138, 28 FCC Rcd 17330 (2013), available at </w:t>
      </w:r>
      <w:hyperlink r:id="rId5" w:history="1">
        <w:r w:rsidRPr="009C79E5">
          <w:rPr>
            <w:rStyle w:val="Hyperlink1"/>
          </w:rPr>
          <w:t>https://apps.fcc.gov/edocs_public/attachmatch/FCC-13-138A1.pdf</w:t>
        </w:r>
      </w:hyperlink>
      <w:r w:rsidRPr="009C79E5">
        <w:t xml:space="preserve"> (adopting rules requiring accessibility of user interfaces and video programming guides and menus).</w:t>
      </w:r>
      <w:r w:rsidRPr="009C79E5">
        <w:rPr>
          <w:rStyle w:val="Emphasis"/>
          <w:b/>
        </w:rPr>
        <w:t xml:space="preserve"> </w:t>
      </w:r>
    </w:p>
    <w:p w:rsidR="000A68B6" w:rsidRPr="009C79E5" w:rsidRDefault="000A68B6" w:rsidP="00476E6F">
      <w:pPr>
        <w:pStyle w:val="CommentText1"/>
        <w:spacing w:after="120"/>
        <w:rPr>
          <w:color w:val="auto"/>
        </w:rPr>
      </w:pPr>
      <w:r w:rsidRPr="009C79E5">
        <w:rPr>
          <w:i/>
          <w:color w:val="auto"/>
          <w:shd w:val="clear" w:color="auto" w:fill="FFFFFF"/>
        </w:rPr>
        <w:t>Closed Captioning of Internet Protocol-Delivered Video Programming</w:t>
      </w:r>
      <w:r w:rsidRPr="009C79E5">
        <w:rPr>
          <w:bCs/>
          <w:i/>
          <w:color w:val="auto"/>
          <w:shd w:val="clear" w:color="auto" w:fill="FFFFFF"/>
        </w:rPr>
        <w:t xml:space="preserve">: </w:t>
      </w:r>
      <w:r w:rsidRPr="009C79E5">
        <w:rPr>
          <w:i/>
          <w:color w:val="auto"/>
          <w:shd w:val="clear" w:color="auto" w:fill="FFFFFF"/>
        </w:rPr>
        <w:t xml:space="preserve"> Implementation of the Twenty-First Century Communications and Video Accessibility Act of 2010; Closed Captioning of Internet Protocol-Delivered Video Clips</w:t>
      </w:r>
      <w:r w:rsidRPr="009C79E5">
        <w:rPr>
          <w:bCs/>
          <w:i/>
          <w:color w:val="auto"/>
          <w:shd w:val="clear" w:color="auto" w:fill="FFFFFF"/>
        </w:rPr>
        <w:t>,</w:t>
      </w:r>
      <w:r w:rsidRPr="009C79E5">
        <w:rPr>
          <w:color w:val="auto"/>
        </w:rPr>
        <w:t xml:space="preserve"> MB Docket No. 11-154, Second Order on Reconsideration and Second Further Notice of Proposed Rulemaking, FCC 14-97, 29 FCC Rcd 8687 (2014), available at </w:t>
      </w:r>
      <w:hyperlink r:id="rId6" w:history="1">
        <w:r w:rsidRPr="009C79E5">
          <w:rPr>
            <w:rStyle w:val="Hyperlink1"/>
          </w:rPr>
          <w:t>https://apps.fcc.gov/edocs_public/attachmatch/FCC-14-97A1.pdf</w:t>
        </w:r>
      </w:hyperlink>
      <w:r w:rsidRPr="009C79E5">
        <w:t xml:space="preserve"> </w:t>
      </w:r>
      <w:r w:rsidRPr="009C79E5">
        <w:rPr>
          <w:color w:val="auto"/>
        </w:rPr>
        <w:t>(extending Internet protocol closed captioning requirements to certain excerpts of video programming that has been shown on television with closed captioning).</w:t>
      </w:r>
    </w:p>
    <w:p w:rsidR="000A68B6" w:rsidRPr="009C79E5" w:rsidRDefault="000A68B6" w:rsidP="00476E6F">
      <w:pPr>
        <w:pStyle w:val="CommentText1"/>
        <w:spacing w:after="120"/>
        <w:rPr>
          <w:color w:val="auto"/>
        </w:rPr>
      </w:pPr>
      <w:r w:rsidRPr="009C79E5">
        <w:rPr>
          <w:i/>
          <w:color w:val="auto"/>
        </w:rPr>
        <w:t>Facilitating the Deployment of Text-to-911 and Other Next Generation 911 Applications; Framework for Next Generation 911 Deployment</w:t>
      </w:r>
      <w:r w:rsidRPr="009C79E5">
        <w:rPr>
          <w:color w:val="auto"/>
        </w:rPr>
        <w:t xml:space="preserve">, PS Docket Nos. 11-153 and 10-255, Second Report and Order and Third Further Notice of Proposed Rulemaking, FCC 14-118, 29 FCC Rcd 9846 (2014), available at </w:t>
      </w:r>
      <w:hyperlink r:id="rId7" w:history="1">
        <w:r w:rsidRPr="009C79E5">
          <w:rPr>
            <w:rStyle w:val="Hyperlink"/>
          </w:rPr>
          <w:t>https://apps.fcc.gov/edocs_public/attachmatch/FCC-14-118A1.pdf</w:t>
        </w:r>
      </w:hyperlink>
      <w:r w:rsidRPr="009C79E5">
        <w:t xml:space="preserve"> </w:t>
      </w:r>
      <w:r w:rsidRPr="009C79E5">
        <w:rPr>
          <w:color w:val="auto"/>
        </w:rPr>
        <w:t xml:space="preserve">(requiring providers of interconnected text messaging applications to be capable of supporting text-to-911 service by December 31, 2014, and thereafter to implement text-to-911 by June 30, 2015 or within six months from the date of a Public Safety Answering Point (PSAP) request, whichever is later, for that PSAP). </w:t>
      </w:r>
    </w:p>
  </w:footnote>
  <w:footnote w:id="9">
    <w:p w:rsidR="000A68B6" w:rsidRPr="009C5E08" w:rsidRDefault="000A68B6" w:rsidP="00476E6F">
      <w:pPr>
        <w:pStyle w:val="FootnoteText"/>
        <w:spacing w:after="120"/>
      </w:pPr>
      <w:r w:rsidRPr="00FF1FD9">
        <w:rPr>
          <w:rStyle w:val="FootnoteReference"/>
        </w:rPr>
        <w:footnoteRef/>
      </w:r>
      <w:r w:rsidRPr="00FF1FD9">
        <w:t xml:space="preserve"> The CVAA required the Commission to prescribe regulations to implement Sections 204 and 205 of the CVAA by October 9, 2013, a deadline that occurred during a shutdown of the Federal government due to a lapse in ap</w:t>
      </w:r>
      <w:r w:rsidRPr="006C02D7">
        <w:t xml:space="preserve">propriations, when the Commission could not conduct normal business operations.  </w:t>
      </w:r>
      <w:r w:rsidRPr="009C5E08">
        <w:rPr>
          <w:i/>
        </w:rPr>
        <w:t>See</w:t>
      </w:r>
      <w:r w:rsidRPr="009C5E08">
        <w:t xml:space="preserve"> CVAA, §§ 204(b), 205(b).  The Commission adopted a report and order with final rules to implement these sections within two weeks after the government re-opened. </w:t>
      </w:r>
    </w:p>
  </w:footnote>
  <w:footnote w:id="10">
    <w:p w:rsidR="000A68B6" w:rsidRPr="009C79E5" w:rsidRDefault="000A68B6" w:rsidP="00476E6F">
      <w:pPr>
        <w:pStyle w:val="FootnoteText"/>
        <w:spacing w:after="120"/>
      </w:pPr>
      <w:r w:rsidRPr="009C79E5">
        <w:rPr>
          <w:rStyle w:val="FootnoteReference"/>
        </w:rPr>
        <w:footnoteRef/>
      </w:r>
      <w:r w:rsidRPr="009C79E5">
        <w:t xml:space="preserve"> CVAA, § 104(a); codified at 47 U.S.C. § 618(b).  </w:t>
      </w:r>
    </w:p>
  </w:footnote>
  <w:footnote w:id="11">
    <w:p w:rsidR="000A68B6" w:rsidRPr="009C79E5" w:rsidRDefault="000A68B6" w:rsidP="00476E6F">
      <w:pPr>
        <w:pStyle w:val="FootnoteText"/>
        <w:spacing w:after="120"/>
      </w:pPr>
      <w:r w:rsidRPr="009C79E5">
        <w:rPr>
          <w:rStyle w:val="FootnoteReference"/>
        </w:rPr>
        <w:footnoteRef/>
      </w:r>
      <w:r w:rsidRPr="009C79E5">
        <w:t xml:space="preserve"> 47 U.S.C. §§ 255, 617, 618(a), 619.</w:t>
      </w:r>
    </w:p>
  </w:footnote>
  <w:footnote w:id="12">
    <w:p w:rsidR="000A68B6" w:rsidRPr="009C79E5" w:rsidRDefault="000A68B6" w:rsidP="00476E6F">
      <w:pPr>
        <w:pStyle w:val="FootnoteText"/>
        <w:spacing w:after="120"/>
      </w:pPr>
      <w:r w:rsidRPr="009C79E5">
        <w:rPr>
          <w:rStyle w:val="FootnoteReference"/>
        </w:rPr>
        <w:footnoteRef/>
      </w:r>
      <w:r w:rsidRPr="009C79E5">
        <w:t xml:space="preserve"> CVAA, § 104(a); 47 U.S.C. §§ 617, 618, 619.</w:t>
      </w:r>
    </w:p>
  </w:footnote>
  <w:footnote w:id="13">
    <w:p w:rsidR="000A68B6" w:rsidRPr="009C79E5" w:rsidRDefault="000A68B6" w:rsidP="00476E6F">
      <w:pPr>
        <w:pStyle w:val="FootnoteText"/>
        <w:spacing w:after="120"/>
      </w:pPr>
      <w:r w:rsidRPr="009C79E5">
        <w:rPr>
          <w:rStyle w:val="FootnoteReference"/>
        </w:rPr>
        <w:footnoteRef/>
      </w:r>
      <w:r w:rsidRPr="009C79E5">
        <w:t xml:space="preserve"> 47 U.S.C. §§ 617, 619.</w:t>
      </w:r>
    </w:p>
  </w:footnote>
  <w:footnote w:id="14">
    <w:p w:rsidR="000A68B6" w:rsidRPr="009C79E5" w:rsidRDefault="000A68B6" w:rsidP="00476E6F">
      <w:pPr>
        <w:pStyle w:val="FootnoteText"/>
        <w:spacing w:after="120"/>
      </w:pPr>
      <w:r w:rsidRPr="009C79E5">
        <w:rPr>
          <w:rStyle w:val="FootnoteReference"/>
        </w:rPr>
        <w:footnoteRef/>
      </w:r>
      <w:r w:rsidRPr="009C79E5">
        <w:t xml:space="preserve"> 47 U.S.C. § 618(a),</w:t>
      </w:r>
    </w:p>
  </w:footnote>
  <w:footnote w:id="15">
    <w:p w:rsidR="000A68B6" w:rsidRPr="009C79E5" w:rsidRDefault="000A68B6" w:rsidP="00476E6F">
      <w:pPr>
        <w:pStyle w:val="FootnoteText"/>
        <w:spacing w:after="120"/>
      </w:pPr>
      <w:r w:rsidRPr="009C79E5">
        <w:rPr>
          <w:rStyle w:val="FootnoteReference"/>
        </w:rPr>
        <w:footnoteRef/>
      </w:r>
      <w:r w:rsidRPr="009C79E5">
        <w:t xml:space="preserve"> 47 U.S.C. § 618(b)(1).  </w:t>
      </w:r>
    </w:p>
  </w:footnote>
  <w:footnote w:id="16">
    <w:p w:rsidR="000A68B6" w:rsidRPr="009C79E5" w:rsidRDefault="000A68B6" w:rsidP="00476E6F">
      <w:pPr>
        <w:pStyle w:val="FootnoteText"/>
        <w:spacing w:after="120"/>
      </w:pPr>
      <w:r w:rsidRPr="009C79E5">
        <w:rPr>
          <w:rStyle w:val="FootnoteReference"/>
        </w:rPr>
        <w:footnoteRef/>
      </w:r>
      <w:r w:rsidRPr="009C79E5">
        <w:t xml:space="preserve"> For convenience, in the list of required information and assessments, each item is cross-referenced to the section of the </w:t>
      </w:r>
      <w:r w:rsidRPr="009C79E5">
        <w:rPr>
          <w:i/>
        </w:rPr>
        <w:t>Report</w:t>
      </w:r>
      <w:r w:rsidRPr="009C79E5">
        <w:t xml:space="preserve"> addressing that item.</w:t>
      </w:r>
    </w:p>
  </w:footnote>
  <w:footnote w:id="17">
    <w:p w:rsidR="000A68B6" w:rsidRPr="009C79E5" w:rsidRDefault="000A68B6" w:rsidP="00476E6F">
      <w:pPr>
        <w:pStyle w:val="FootnoteText"/>
        <w:spacing w:after="120"/>
      </w:pPr>
      <w:r w:rsidRPr="009C79E5">
        <w:rPr>
          <w:rStyle w:val="FootnoteReference"/>
        </w:rPr>
        <w:footnoteRef/>
      </w:r>
      <w:r w:rsidRPr="009C79E5">
        <w:t xml:space="preserve"> </w:t>
      </w:r>
      <w:r w:rsidRPr="009C79E5">
        <w:rPr>
          <w:i/>
        </w:rPr>
        <w:t xml:space="preserve">See </w:t>
      </w:r>
      <w:r w:rsidRPr="009C79E5">
        <w:t xml:space="preserve">47 U.S.C. § 618(b)(1). </w:t>
      </w:r>
    </w:p>
  </w:footnote>
  <w:footnote w:id="18">
    <w:p w:rsidR="000A68B6" w:rsidRPr="009C79E5" w:rsidRDefault="000A68B6" w:rsidP="00476E6F">
      <w:pPr>
        <w:pStyle w:val="CommentText1"/>
        <w:spacing w:after="120"/>
        <w:rPr>
          <w:rFonts w:eastAsia="Times New Roman"/>
          <w:color w:val="auto"/>
          <w:lang w:bidi="x-none"/>
        </w:rPr>
      </w:pPr>
      <w:r w:rsidRPr="009C79E5">
        <w:rPr>
          <w:rStyle w:val="FootnoteReference"/>
          <w:color w:val="auto"/>
        </w:rPr>
        <w:footnoteRef/>
      </w:r>
      <w:r w:rsidRPr="009C79E5">
        <w:rPr>
          <w:color w:val="auto"/>
        </w:rPr>
        <w:t xml:space="preserve"> </w:t>
      </w:r>
      <w:r w:rsidRPr="009C79E5">
        <w:rPr>
          <w:i/>
          <w:color w:val="auto"/>
        </w:rPr>
        <w:t>Consumer and Governmental Affairs Bureau Seeks Comment on the Accessibility of Communications Technologies for the 2014 Biennial Report Under the Twenty-First Century Communications and Video Accessibility Act</w:t>
      </w:r>
      <w:r w:rsidRPr="009C79E5">
        <w:rPr>
          <w:color w:val="auto"/>
        </w:rPr>
        <w:t>, CG Docket No. 10-213, Public Notice, DA 14-828, 29 FCC Rcd 7316 (CGB 2014) (</w:t>
      </w:r>
      <w:r w:rsidRPr="009C79E5">
        <w:rPr>
          <w:i/>
          <w:color w:val="auto"/>
        </w:rPr>
        <w:t>2014 CVAA Assessment PN</w:t>
      </w:r>
      <w:r w:rsidRPr="009C79E5">
        <w:rPr>
          <w:color w:val="auto"/>
        </w:rPr>
        <w:t xml:space="preserve">), available at  </w:t>
      </w:r>
      <w:hyperlink r:id="rId8" w:history="1">
        <w:r w:rsidRPr="009C79E5">
          <w:rPr>
            <w:rStyle w:val="Hyperlink1"/>
          </w:rPr>
          <w:t>https://apps.fcc.gov/edocs_public/attachmatch/DA-14-828A1.pdf</w:t>
        </w:r>
      </w:hyperlink>
      <w:r w:rsidRPr="009C79E5">
        <w:t>.</w:t>
      </w:r>
    </w:p>
  </w:footnote>
  <w:footnote w:id="19">
    <w:p w:rsidR="000A68B6" w:rsidRPr="009C5E08" w:rsidRDefault="000A68B6" w:rsidP="00476E6F">
      <w:pPr>
        <w:spacing w:after="120"/>
        <w:rPr>
          <w:sz w:val="20"/>
          <w:szCs w:val="20"/>
          <w:lang w:bidi="x-none"/>
        </w:rPr>
      </w:pPr>
      <w:r w:rsidRPr="00FF1FD9">
        <w:rPr>
          <w:rStyle w:val="FootnoteReference"/>
          <w:sz w:val="20"/>
          <w:szCs w:val="20"/>
        </w:rPr>
        <w:footnoteRef/>
      </w:r>
      <w:r w:rsidRPr="00FF1FD9">
        <w:rPr>
          <w:sz w:val="20"/>
          <w:szCs w:val="20"/>
        </w:rPr>
        <w:t xml:space="preserve"> In response to the </w:t>
      </w:r>
      <w:r w:rsidRPr="00FF1FD9">
        <w:rPr>
          <w:i/>
          <w:sz w:val="20"/>
          <w:szCs w:val="20"/>
        </w:rPr>
        <w:t>2014 CVAA Assessment PN</w:t>
      </w:r>
      <w:r w:rsidRPr="00FF1FD9">
        <w:rPr>
          <w:sz w:val="20"/>
          <w:szCs w:val="20"/>
        </w:rPr>
        <w:t xml:space="preserve">, three comments were filed by consumer groups, numerous comments were filed by individual consumers, and four comments were </w:t>
      </w:r>
      <w:r w:rsidRPr="006C02D7">
        <w:rPr>
          <w:sz w:val="20"/>
          <w:szCs w:val="20"/>
        </w:rPr>
        <w:t>filed by industry parties.  See Appendix A for a list of commenters.</w:t>
      </w:r>
    </w:p>
  </w:footnote>
  <w:footnote w:id="20">
    <w:p w:rsidR="000A68B6" w:rsidRPr="009C79E5" w:rsidRDefault="000A68B6" w:rsidP="00476E6F">
      <w:pPr>
        <w:pStyle w:val="FootnoteText"/>
        <w:spacing w:after="120"/>
        <w:rPr>
          <w:lang w:bidi="x-none"/>
        </w:rPr>
      </w:pPr>
      <w:r w:rsidRPr="009C79E5">
        <w:rPr>
          <w:rStyle w:val="FootnoteReference"/>
        </w:rPr>
        <w:footnoteRef/>
      </w:r>
      <w:r w:rsidRPr="009C79E5">
        <w:t xml:space="preserve"> 47 U.S.C. § 618(b)(2); </w:t>
      </w:r>
      <w:r w:rsidRPr="009C79E5">
        <w:rPr>
          <w:i/>
        </w:rPr>
        <w:t>Consumer and Governmental Affairs Bureau Seeks Comment on its Tentative Findings About the Accessibility of Communications Technologies for the 2014 Biennial Report Under the Twenty-First Century Communications and Video Accessibility Act</w:t>
      </w:r>
      <w:r w:rsidRPr="009C79E5">
        <w:t>, CG Docket No. 10-213, Public Notice, DA 14-1255, 29 FCC Rcd ___</w:t>
      </w:r>
      <w:r w:rsidRPr="00FF1FD9">
        <w:t xml:space="preserve"> (CGB, rel. Aug. 28, 2014) (</w:t>
      </w:r>
      <w:r w:rsidRPr="00FF1FD9">
        <w:rPr>
          <w:i/>
        </w:rPr>
        <w:t>2014 CVAA Tentative Findings PN</w:t>
      </w:r>
      <w:r w:rsidRPr="00FF1FD9">
        <w:t xml:space="preserve">), available at </w:t>
      </w:r>
      <w:hyperlink r:id="rId9" w:history="1">
        <w:r w:rsidRPr="009C79E5">
          <w:rPr>
            <w:rStyle w:val="Hyperlink"/>
          </w:rPr>
          <w:t>https://apps.fcc.gov/edocs_public/attachmatch/DA-14-1255A1.pdf</w:t>
        </w:r>
      </w:hyperlink>
      <w:r w:rsidRPr="009C79E5">
        <w:t>.</w:t>
      </w:r>
    </w:p>
  </w:footnote>
  <w:footnote w:id="21">
    <w:p w:rsidR="000A68B6" w:rsidRPr="00FF1FD9" w:rsidRDefault="000A68B6" w:rsidP="00476E6F">
      <w:pPr>
        <w:pStyle w:val="FootnoteText"/>
        <w:spacing w:after="120"/>
      </w:pPr>
      <w:r w:rsidRPr="009C79E5">
        <w:rPr>
          <w:rStyle w:val="FootnoteReference"/>
        </w:rPr>
        <w:footnoteRef/>
      </w:r>
      <w:r w:rsidRPr="009C79E5">
        <w:t xml:space="preserve"> </w:t>
      </w:r>
      <w:r w:rsidRPr="009C79E5">
        <w:rPr>
          <w:i/>
        </w:rPr>
        <w:t>2014 CVAA Tentative Findings PN</w:t>
      </w:r>
      <w:r w:rsidRPr="009C79E5">
        <w:t>, 29 FCC Rcd at ___,</w:t>
      </w:r>
      <w:r w:rsidRPr="00FF1FD9">
        <w:t xml:space="preserve"> ¶ 13.</w:t>
      </w:r>
    </w:p>
  </w:footnote>
  <w:footnote w:id="22">
    <w:p w:rsidR="000A68B6" w:rsidRPr="009C79E5" w:rsidRDefault="000A68B6" w:rsidP="00476E6F">
      <w:pPr>
        <w:pStyle w:val="FootnoteText"/>
        <w:spacing w:after="120"/>
      </w:pPr>
      <w:r w:rsidRPr="006C02D7">
        <w:rPr>
          <w:rStyle w:val="FootnoteReference"/>
        </w:rPr>
        <w:footnoteRef/>
      </w:r>
      <w:r w:rsidRPr="009C5E08">
        <w:t xml:space="preserve"> </w:t>
      </w:r>
      <w:r w:rsidRPr="009C5E08">
        <w:rPr>
          <w:i/>
        </w:rPr>
        <w:t>Id.</w:t>
      </w:r>
    </w:p>
  </w:footnote>
  <w:footnote w:id="23">
    <w:p w:rsidR="000A68B6" w:rsidRPr="009C79E5" w:rsidRDefault="000A68B6" w:rsidP="00476E6F">
      <w:pPr>
        <w:pStyle w:val="FootnoteText"/>
        <w:spacing w:after="120"/>
      </w:pPr>
      <w:r w:rsidRPr="009C79E5">
        <w:rPr>
          <w:rStyle w:val="FootnoteReference"/>
        </w:rPr>
        <w:footnoteRef/>
      </w:r>
      <w:r w:rsidRPr="009C79E5">
        <w:t xml:space="preserve"> </w:t>
      </w:r>
      <w:r w:rsidRPr="009C79E5">
        <w:rPr>
          <w:i/>
        </w:rPr>
        <w:t>Id.</w:t>
      </w:r>
    </w:p>
  </w:footnote>
  <w:footnote w:id="24">
    <w:p w:rsidR="000A68B6" w:rsidRPr="009C79E5" w:rsidRDefault="000A68B6" w:rsidP="00476E6F">
      <w:pPr>
        <w:pStyle w:val="FootnoteText"/>
        <w:spacing w:after="120"/>
      </w:pPr>
      <w:r w:rsidRPr="009C79E5">
        <w:rPr>
          <w:rStyle w:val="FootnoteReference"/>
        </w:rPr>
        <w:footnoteRef/>
      </w:r>
      <w:r w:rsidRPr="009C79E5">
        <w:t xml:space="preserve"> </w:t>
      </w:r>
      <w:r w:rsidRPr="009C79E5">
        <w:rPr>
          <w:i/>
        </w:rPr>
        <w:t>Id</w:t>
      </w:r>
      <w:r w:rsidRPr="009C79E5">
        <w:t>.</w:t>
      </w:r>
    </w:p>
  </w:footnote>
  <w:footnote w:id="25">
    <w:p w:rsidR="000A68B6" w:rsidRPr="009C79E5" w:rsidRDefault="000A68B6" w:rsidP="00476E6F">
      <w:pPr>
        <w:pStyle w:val="FootnoteText"/>
        <w:spacing w:after="120"/>
        <w:rPr>
          <w:lang w:bidi="x-none"/>
        </w:rPr>
      </w:pPr>
      <w:r w:rsidRPr="009C79E5">
        <w:rPr>
          <w:rStyle w:val="FootnoteReference"/>
        </w:rPr>
        <w:footnoteRef/>
      </w:r>
      <w:r w:rsidRPr="009C79E5">
        <w:t xml:space="preserve"> Only two consumer groups, one industry party, and two accessibility-related entities filed comments in response to the </w:t>
      </w:r>
      <w:r w:rsidRPr="009C79E5">
        <w:rPr>
          <w:i/>
        </w:rPr>
        <w:t>2014 CVAA Tentative Findings PN</w:t>
      </w:r>
      <w:r w:rsidRPr="009C79E5">
        <w:t xml:space="preserve">.  See Appendix A for a list of commenters. </w:t>
      </w:r>
    </w:p>
  </w:footnote>
  <w:footnote w:id="26">
    <w:p w:rsidR="000A68B6" w:rsidRPr="009C79E5" w:rsidRDefault="000A68B6" w:rsidP="00476E6F">
      <w:pPr>
        <w:pStyle w:val="FootnoteText"/>
        <w:spacing w:after="120"/>
      </w:pPr>
      <w:r w:rsidRPr="009C79E5">
        <w:rPr>
          <w:rStyle w:val="FootnoteReference"/>
        </w:rPr>
        <w:footnoteRef/>
      </w:r>
      <w:r w:rsidRPr="009C79E5">
        <w:t xml:space="preserve"> </w:t>
      </w:r>
      <w:r w:rsidRPr="009C79E5">
        <w:rPr>
          <w:i/>
        </w:rPr>
        <w:t xml:space="preserve">See </w:t>
      </w:r>
      <w:r w:rsidRPr="009C79E5">
        <w:t xml:space="preserve">¶¶ 39-45, </w:t>
      </w:r>
      <w:r w:rsidRPr="009C79E5">
        <w:rPr>
          <w:i/>
        </w:rPr>
        <w:t>infra</w:t>
      </w:r>
      <w:r w:rsidRPr="009C79E5">
        <w:t xml:space="preserve"> (findings on compliance with Sections 255, 716, and 718), ¶¶ 49-50, </w:t>
      </w:r>
      <w:r w:rsidRPr="009C79E5">
        <w:rPr>
          <w:i/>
        </w:rPr>
        <w:t>infra</w:t>
      </w:r>
      <w:r w:rsidRPr="009C79E5">
        <w:t xml:space="preserve"> (findings on accessibility barriers in new communications technologies), and ¶ 70, </w:t>
      </w:r>
      <w:r w:rsidRPr="009C79E5">
        <w:rPr>
          <w:i/>
        </w:rPr>
        <w:t>infra</w:t>
      </w:r>
      <w:r w:rsidRPr="009C79E5">
        <w:t xml:space="preserve"> (findings on the effect of Section 717’s recordkeeping and enforcement requirements on the development and deployment of new communications technologies).</w:t>
      </w:r>
    </w:p>
  </w:footnote>
  <w:footnote w:id="27">
    <w:p w:rsidR="000A68B6" w:rsidRPr="009C79E5" w:rsidRDefault="000A68B6" w:rsidP="00476E6F">
      <w:pPr>
        <w:pStyle w:val="FootnoteText"/>
        <w:spacing w:after="120"/>
      </w:pPr>
      <w:r w:rsidRPr="009C79E5">
        <w:rPr>
          <w:rStyle w:val="FootnoteReference"/>
        </w:rPr>
        <w:footnoteRef/>
      </w:r>
      <w:r w:rsidRPr="009C79E5">
        <w:t xml:space="preserve"> 47 U.S.C. §§ 255(b), (c).  </w:t>
      </w:r>
      <w:r w:rsidRPr="009C79E5">
        <w:rPr>
          <w:i/>
        </w:rPr>
        <w:t>See also</w:t>
      </w:r>
      <w:r w:rsidRPr="009C79E5">
        <w:t xml:space="preserve"> 47 C.F.R. Part 6 and Part 7.  “Readily achievable” is defined as “easily accomplishable and able to be carried out without much difficulty or expense.”  42 U.S.C. § 12181(9). </w:t>
      </w:r>
    </w:p>
  </w:footnote>
  <w:footnote w:id="28">
    <w:p w:rsidR="000A68B6" w:rsidRPr="00FF1FD9" w:rsidRDefault="000A68B6" w:rsidP="00476E6F">
      <w:pPr>
        <w:spacing w:after="120"/>
        <w:rPr>
          <w:sz w:val="20"/>
          <w:szCs w:val="20"/>
          <w:lang w:bidi="x-none"/>
        </w:rPr>
      </w:pPr>
      <w:r w:rsidRPr="00FF1FD9">
        <w:rPr>
          <w:rStyle w:val="FootnoteReference"/>
          <w:sz w:val="20"/>
          <w:szCs w:val="20"/>
        </w:rPr>
        <w:footnoteRef/>
      </w:r>
      <w:r w:rsidRPr="00FF1FD9">
        <w:rPr>
          <w:sz w:val="20"/>
          <w:szCs w:val="20"/>
        </w:rPr>
        <w:t xml:space="preserve"> 47 U.S.C. § 255(d).</w:t>
      </w:r>
    </w:p>
  </w:footnote>
  <w:footnote w:id="29">
    <w:p w:rsidR="000A68B6" w:rsidRPr="00FF1FD9" w:rsidRDefault="000A68B6" w:rsidP="00476E6F">
      <w:pPr>
        <w:pStyle w:val="FootnoteText"/>
        <w:spacing w:after="120"/>
      </w:pPr>
      <w:r w:rsidRPr="006C02D7">
        <w:rPr>
          <w:rStyle w:val="FootnoteReference"/>
        </w:rPr>
        <w:footnoteRef/>
      </w:r>
      <w:r w:rsidRPr="009C5E08">
        <w:t xml:space="preserve"> </w:t>
      </w:r>
      <w:r w:rsidRPr="009C79E5">
        <w:rPr>
          <w:i/>
        </w:rPr>
        <w:t>See Implementation of Sections 255 and 251(a)(2) of the Communications Act of 1934, as Enacted by the Telecommunications Act of 1996:  Access to Telecommunications Service, Telecommunications Equipment and Customer Premises Equipment by Persons with Disabilities</w:t>
      </w:r>
      <w:r w:rsidRPr="009C79E5">
        <w:t>, WT Docket No. 96-198, Report and Order and Further Notice of Inquiry, FCC 99-181, 16 FCC Rcd 6417, 6449, ¶ 77 (1999) (</w:t>
      </w:r>
      <w:r w:rsidRPr="009C79E5">
        <w:rPr>
          <w:i/>
        </w:rPr>
        <w:t>Section 255 Order</w:t>
      </w:r>
      <w:r w:rsidRPr="009C79E5">
        <w:t xml:space="preserve">).  </w:t>
      </w:r>
      <w:r w:rsidRPr="009C79E5">
        <w:rPr>
          <w:i/>
        </w:rPr>
        <w:t>See also</w:t>
      </w:r>
      <w:r w:rsidRPr="009C79E5">
        <w:t xml:space="preserve"> 47 C.F.R. Part 6.  </w:t>
      </w:r>
    </w:p>
  </w:footnote>
  <w:footnote w:id="30">
    <w:p w:rsidR="000A68B6" w:rsidRPr="006C02D7" w:rsidRDefault="000A68B6" w:rsidP="00476E6F">
      <w:pPr>
        <w:pStyle w:val="FootnoteText"/>
        <w:spacing w:after="120"/>
      </w:pPr>
      <w:r w:rsidRPr="00FF1FD9">
        <w:rPr>
          <w:rStyle w:val="FootnoteReference"/>
        </w:rPr>
        <w:footnoteRef/>
      </w:r>
      <w:r w:rsidRPr="00FF1FD9">
        <w:t xml:space="preserve"> The Act defines telecommunications equipment as “equipment, other than customer premises equipment, used by a carrier to provide telecommunications services, and includes software integral to such equipment (including upgrades).”  47 U.S.C. § 153(52).  It defines “customer premises equipment” as “equipment employed on the premises of a person (other than a ca</w:t>
      </w:r>
      <w:r w:rsidRPr="006C02D7">
        <w:t>rrier) to originate, route or terminate telecommunications.”  47 U.S.C. § 153(16).</w:t>
      </w:r>
    </w:p>
  </w:footnote>
  <w:footnote w:id="31">
    <w:p w:rsidR="000A68B6" w:rsidRPr="009C79E5" w:rsidRDefault="000A68B6" w:rsidP="00476E6F">
      <w:pPr>
        <w:pStyle w:val="FootnoteText"/>
        <w:spacing w:after="120"/>
      </w:pPr>
      <w:r w:rsidRPr="009C5E08">
        <w:rPr>
          <w:rStyle w:val="FootnoteReference"/>
        </w:rPr>
        <w:footnoteRef/>
      </w:r>
      <w:r w:rsidRPr="009C5E08">
        <w:t xml:space="preserve"> 47 C.F.R. Part 7.  </w:t>
      </w:r>
      <w:r w:rsidRPr="009C5E08">
        <w:rPr>
          <w:i/>
        </w:rPr>
        <w:t>See also</w:t>
      </w:r>
      <w:r w:rsidRPr="009C79E5">
        <w:t xml:space="preserve"> FCC Section 255 Consumer Guide available at </w:t>
      </w:r>
      <w:hyperlink r:id="rId10" w:history="1">
        <w:r w:rsidRPr="009C79E5">
          <w:rPr>
            <w:rStyle w:val="Hyperlink1"/>
          </w:rPr>
          <w:t>http://www.fcc.gov/guides/disabled-persons-telecommunications-access-section-255</w:t>
        </w:r>
      </w:hyperlink>
      <w:r w:rsidRPr="009C79E5">
        <w:t xml:space="preserve">.  </w:t>
      </w:r>
    </w:p>
  </w:footnote>
  <w:footnote w:id="32">
    <w:p w:rsidR="000A68B6" w:rsidRPr="00FF1FD9" w:rsidRDefault="000A68B6" w:rsidP="00476E6F">
      <w:pPr>
        <w:autoSpaceDE w:val="0"/>
        <w:autoSpaceDN w:val="0"/>
        <w:adjustRightInd w:val="0"/>
        <w:spacing w:after="120"/>
        <w:rPr>
          <w:sz w:val="20"/>
          <w:szCs w:val="20"/>
        </w:rPr>
      </w:pPr>
      <w:r w:rsidRPr="00FF1FD9">
        <w:rPr>
          <w:rStyle w:val="FootnoteReference"/>
          <w:sz w:val="20"/>
          <w:szCs w:val="20"/>
        </w:rPr>
        <w:footnoteRef/>
      </w:r>
      <w:r w:rsidRPr="00FF1FD9">
        <w:rPr>
          <w:sz w:val="20"/>
          <w:szCs w:val="20"/>
        </w:rPr>
        <w:t xml:space="preserve"> </w:t>
      </w:r>
      <w:r w:rsidRPr="009C79E5">
        <w:rPr>
          <w:i/>
          <w:sz w:val="20"/>
          <w:szCs w:val="20"/>
        </w:rPr>
        <w:t>Implementation of Sections 255 and 251(a)(2) of the Communications Act of 1934, as Enacted by the Telecommunications Act of 1996: Access to Telecommunications Service, Telecommunications Equipment and Customer Premises Equipment by Persons with Disabilities; Telecommunications Relay Services and Speech-to-Speech Services for Individuals with Hearing and Speech Disabilities</w:t>
      </w:r>
      <w:r w:rsidRPr="009C79E5">
        <w:rPr>
          <w:sz w:val="20"/>
          <w:szCs w:val="20"/>
        </w:rPr>
        <w:t>, WC Docket No. 04-36, WT Docket No. 96-198, CG Docket No. 03-123, CC Docket No. 92-105, Report and Order, FCC 07-110, 22 FCC Rcd 11275 (2007) (</w:t>
      </w:r>
      <w:r w:rsidRPr="009C79E5">
        <w:rPr>
          <w:i/>
          <w:sz w:val="20"/>
          <w:szCs w:val="20"/>
        </w:rPr>
        <w:t>Section 255 VoIP Order</w:t>
      </w:r>
      <w:r w:rsidRPr="009C79E5">
        <w:rPr>
          <w:sz w:val="20"/>
          <w:szCs w:val="20"/>
        </w:rPr>
        <w:t xml:space="preserve">), available at </w:t>
      </w:r>
      <w:hyperlink r:id="rId11" w:history="1">
        <w:r w:rsidRPr="009C79E5">
          <w:rPr>
            <w:rStyle w:val="Hyperlink1"/>
            <w:szCs w:val="20"/>
          </w:rPr>
          <w:t>https://apps.fcc.gov/edocs_public/attachmatch/FCC-07-110A1.pdf</w:t>
        </w:r>
      </w:hyperlink>
      <w:r w:rsidRPr="00FF1FD9">
        <w:rPr>
          <w:color w:val="020202"/>
          <w:sz w:val="20"/>
          <w:szCs w:val="20"/>
        </w:rPr>
        <w:t>.</w:t>
      </w:r>
    </w:p>
  </w:footnote>
  <w:footnote w:id="33">
    <w:p w:rsidR="000A68B6" w:rsidRPr="00FF1FD9" w:rsidRDefault="000A68B6" w:rsidP="00476E6F">
      <w:pPr>
        <w:pStyle w:val="FootnoteText"/>
        <w:spacing w:after="120"/>
      </w:pPr>
      <w:r w:rsidRPr="00FF1FD9">
        <w:rPr>
          <w:rStyle w:val="FootnoteReference"/>
        </w:rPr>
        <w:footnoteRef/>
      </w:r>
      <w:r w:rsidRPr="00FF1FD9">
        <w:t xml:space="preserve"> 47 U.S.C. §§ 617(a)(1), (b)(1), (g).  </w:t>
      </w:r>
    </w:p>
  </w:footnote>
  <w:footnote w:id="34">
    <w:p w:rsidR="000A68B6" w:rsidRPr="009C79E5" w:rsidRDefault="000A68B6" w:rsidP="00476E6F">
      <w:pPr>
        <w:pStyle w:val="FootnoteText"/>
        <w:spacing w:after="120"/>
      </w:pPr>
      <w:r w:rsidRPr="006C02D7">
        <w:rPr>
          <w:rStyle w:val="FootnoteReference"/>
        </w:rPr>
        <w:footnoteRef/>
      </w:r>
      <w:r w:rsidRPr="009C5E08">
        <w:t xml:space="preserve"> 47 U.S.C. § 153(1).  </w:t>
      </w:r>
      <w:r w:rsidRPr="009C5E08">
        <w:rPr>
          <w:i/>
        </w:rPr>
        <w:t>See also</w:t>
      </w:r>
      <w:r w:rsidRPr="009C5E08">
        <w:t xml:space="preserve"> 47 C.F.R. § 14.10(c).  Section 716 of the Act does not apply to services or equipment, including interconnected VoIP services and equipment, which were subject to Sect</w:t>
      </w:r>
      <w:r w:rsidRPr="009C79E5">
        <w:t xml:space="preserve">ion 255 on October 7, 2010.  47 U.S.C. § 617(f).  Those services and equipment remain subject to the requirements of Section 255.  </w:t>
      </w:r>
      <w:r w:rsidRPr="009C79E5">
        <w:rPr>
          <w:i/>
        </w:rPr>
        <w:t>Id.</w:t>
      </w:r>
      <w:r w:rsidRPr="009C79E5">
        <w:t xml:space="preserve">  </w:t>
      </w:r>
    </w:p>
  </w:footnote>
  <w:footnote w:id="35">
    <w:p w:rsidR="000A68B6" w:rsidRPr="009C79E5" w:rsidRDefault="000A68B6" w:rsidP="00476E6F">
      <w:pPr>
        <w:pStyle w:val="FootnoteText"/>
        <w:spacing w:after="120"/>
      </w:pPr>
      <w:r w:rsidRPr="009C79E5">
        <w:rPr>
          <w:rStyle w:val="FootnoteReference"/>
        </w:rPr>
        <w:footnoteRef/>
      </w:r>
      <w:r w:rsidRPr="009C79E5">
        <w:t xml:space="preserve"> </w:t>
      </w:r>
      <w:r w:rsidRPr="009C79E5">
        <w:rPr>
          <w:i/>
        </w:rPr>
        <w:t>See</w:t>
      </w:r>
      <w:r w:rsidRPr="009C79E5">
        <w:t xml:space="preserve"> 47 U.S.C. §§ 153(25), 153(36); 47 C.F.R. § 9.3.  </w:t>
      </w:r>
    </w:p>
  </w:footnote>
  <w:footnote w:id="36">
    <w:p w:rsidR="000A68B6" w:rsidRPr="009C79E5" w:rsidRDefault="000A68B6" w:rsidP="00476E6F">
      <w:pPr>
        <w:pStyle w:val="FootnoteText"/>
        <w:spacing w:after="120"/>
      </w:pPr>
      <w:r w:rsidRPr="009C79E5">
        <w:rPr>
          <w:rStyle w:val="FootnoteReference"/>
        </w:rPr>
        <w:footnoteRef/>
      </w:r>
      <w:r w:rsidRPr="009C79E5">
        <w:t xml:space="preserve"> 47 U.S.C. § 153(19).  </w:t>
      </w:r>
    </w:p>
  </w:footnote>
  <w:footnote w:id="37">
    <w:p w:rsidR="000A68B6" w:rsidRPr="009C79E5" w:rsidRDefault="000A68B6" w:rsidP="00476E6F">
      <w:pPr>
        <w:pStyle w:val="FootnoteText"/>
        <w:spacing w:after="120"/>
      </w:pPr>
      <w:r w:rsidRPr="009C79E5">
        <w:rPr>
          <w:rStyle w:val="FootnoteReference"/>
        </w:rPr>
        <w:footnoteRef/>
      </w:r>
      <w:r w:rsidRPr="009C79E5">
        <w:t xml:space="preserve"> 47 U.S.C. § 153(27).</w:t>
      </w:r>
    </w:p>
  </w:footnote>
  <w:footnote w:id="38">
    <w:p w:rsidR="000A68B6" w:rsidRPr="009C79E5" w:rsidRDefault="000A68B6" w:rsidP="00476E6F">
      <w:pPr>
        <w:pStyle w:val="FootnoteText"/>
        <w:spacing w:after="120"/>
      </w:pPr>
      <w:r w:rsidRPr="009C79E5">
        <w:rPr>
          <w:rStyle w:val="FootnoteReference"/>
        </w:rPr>
        <w:footnoteRef/>
      </w:r>
      <w:r w:rsidRPr="009C79E5">
        <w:t xml:space="preserve"> 47 U.S.C. §§ 617(a)(2)(A), (b)(2)(A).  </w:t>
      </w:r>
    </w:p>
  </w:footnote>
  <w:footnote w:id="39">
    <w:p w:rsidR="000A68B6" w:rsidRPr="009C79E5" w:rsidRDefault="000A68B6" w:rsidP="00476E6F">
      <w:pPr>
        <w:pStyle w:val="FootnoteText"/>
        <w:spacing w:after="120"/>
      </w:pPr>
      <w:r w:rsidRPr="009C79E5">
        <w:rPr>
          <w:rStyle w:val="FootnoteReference"/>
        </w:rPr>
        <w:footnoteRef/>
      </w:r>
      <w:r w:rsidRPr="009C79E5">
        <w:t xml:space="preserve"> 47 U.S.C. §§ 617(a)(2)(B), (b)(2)(B).  </w:t>
      </w:r>
    </w:p>
  </w:footnote>
  <w:footnote w:id="40">
    <w:p w:rsidR="000A68B6" w:rsidRPr="009C79E5" w:rsidRDefault="000A68B6" w:rsidP="00476E6F">
      <w:pPr>
        <w:pStyle w:val="FootnoteText"/>
        <w:spacing w:after="120"/>
      </w:pPr>
      <w:r w:rsidRPr="009C79E5">
        <w:rPr>
          <w:rStyle w:val="FootnoteReference"/>
        </w:rPr>
        <w:footnoteRef/>
      </w:r>
      <w:r w:rsidRPr="009C79E5">
        <w:t xml:space="preserve"> 47 U.S.C. §§ 617(c).  </w:t>
      </w:r>
    </w:p>
  </w:footnote>
  <w:footnote w:id="41">
    <w:p w:rsidR="000A68B6" w:rsidRPr="009C79E5" w:rsidRDefault="000A68B6" w:rsidP="00476E6F">
      <w:pPr>
        <w:pStyle w:val="FootnoteText"/>
        <w:spacing w:after="120"/>
      </w:pPr>
      <w:r w:rsidRPr="009C79E5">
        <w:rPr>
          <w:rStyle w:val="FootnoteReference"/>
        </w:rPr>
        <w:footnoteRef/>
      </w:r>
      <w:r w:rsidRPr="009C79E5">
        <w:t xml:space="preserve"> 47 U.S.C. § 618(a).  </w:t>
      </w:r>
      <w:r w:rsidRPr="009C79E5">
        <w:rPr>
          <w:i/>
        </w:rPr>
        <w:t xml:space="preserve">See </w:t>
      </w:r>
      <w:r w:rsidRPr="009C79E5">
        <w:t xml:space="preserve">Section III.C of this </w:t>
      </w:r>
      <w:r w:rsidRPr="009C79E5">
        <w:rPr>
          <w:i/>
        </w:rPr>
        <w:t>Report</w:t>
      </w:r>
      <w:r w:rsidRPr="009C79E5">
        <w:t xml:space="preserve">, </w:t>
      </w:r>
      <w:r w:rsidRPr="009C79E5">
        <w:rPr>
          <w:i/>
        </w:rPr>
        <w:t>infra</w:t>
      </w:r>
      <w:r w:rsidRPr="009C79E5">
        <w:t xml:space="preserve"> (describing other requirements under Section 717 of the Act, as well as actions taken by the Commission to implement Section 717 of the Act since the submission of the </w:t>
      </w:r>
      <w:r w:rsidRPr="009C79E5">
        <w:rPr>
          <w:i/>
        </w:rPr>
        <w:t>2012 CVAA Biennial Report</w:t>
      </w:r>
      <w:r w:rsidRPr="009C79E5">
        <w:t xml:space="preserve">).  </w:t>
      </w:r>
      <w:r w:rsidRPr="009C79E5">
        <w:rPr>
          <w:i/>
        </w:rPr>
        <w:t>See also</w:t>
      </w:r>
      <w:r w:rsidRPr="009C79E5">
        <w:t xml:space="preserve"> ¶¶ 54-55, </w:t>
      </w:r>
      <w:r w:rsidRPr="009C79E5">
        <w:rPr>
          <w:i/>
        </w:rPr>
        <w:t>infra</w:t>
      </w:r>
      <w:r w:rsidRPr="009C79E5">
        <w:t xml:space="preserve"> (summarizing the new complaint procedures established by the Commission pursuant to Section 717(a) of the Act).  </w:t>
      </w:r>
    </w:p>
  </w:footnote>
  <w:footnote w:id="42">
    <w:p w:rsidR="000A68B6" w:rsidRPr="009C79E5" w:rsidRDefault="000A68B6" w:rsidP="00476E6F">
      <w:pPr>
        <w:pStyle w:val="FootnoteText"/>
        <w:spacing w:after="120"/>
      </w:pPr>
      <w:r w:rsidRPr="009C79E5">
        <w:rPr>
          <w:rStyle w:val="FootnoteReference"/>
        </w:rPr>
        <w:footnoteRef/>
      </w:r>
      <w:r w:rsidRPr="009C79E5">
        <w:t xml:space="preserve"> 47 U.S.C. § 618(a)(5)(A).</w:t>
      </w:r>
    </w:p>
  </w:footnote>
  <w:footnote w:id="43">
    <w:p w:rsidR="000A68B6" w:rsidRPr="009C79E5" w:rsidRDefault="000A68B6" w:rsidP="00476E6F">
      <w:pPr>
        <w:pStyle w:val="FootnoteText"/>
        <w:spacing w:after="120"/>
      </w:pPr>
      <w:r w:rsidRPr="009C79E5">
        <w:rPr>
          <w:rStyle w:val="FootnoteReference"/>
        </w:rPr>
        <w:footnoteRef/>
      </w:r>
      <w:r w:rsidRPr="009C79E5">
        <w:t xml:space="preserve"> 47 U.S.C. § 618(a)(5)(C).</w:t>
      </w:r>
    </w:p>
  </w:footnote>
  <w:footnote w:id="44">
    <w:p w:rsidR="000A68B6" w:rsidRPr="009C79E5" w:rsidRDefault="000A68B6" w:rsidP="00476E6F">
      <w:pPr>
        <w:pStyle w:val="FootnoteText"/>
        <w:spacing w:after="120"/>
      </w:pPr>
      <w:r w:rsidRPr="009C79E5">
        <w:rPr>
          <w:rStyle w:val="FootnoteReference"/>
        </w:rPr>
        <w:footnoteRef/>
      </w:r>
      <w:r w:rsidRPr="009C79E5">
        <w:t xml:space="preserve"> 47 U.S.C. § 618(a)(5)(B).</w:t>
      </w:r>
    </w:p>
  </w:footnote>
  <w:footnote w:id="45">
    <w:p w:rsidR="000A68B6" w:rsidRPr="009C79E5" w:rsidRDefault="000A68B6" w:rsidP="00476E6F">
      <w:pPr>
        <w:spacing w:after="120"/>
        <w:rPr>
          <w:sz w:val="20"/>
          <w:szCs w:val="20"/>
        </w:rPr>
      </w:pPr>
      <w:r w:rsidRPr="00FF1FD9">
        <w:rPr>
          <w:rStyle w:val="FootnoteReference"/>
          <w:sz w:val="20"/>
          <w:szCs w:val="20"/>
        </w:rPr>
        <w:footnoteRef/>
      </w:r>
      <w:r w:rsidRPr="00FF1FD9">
        <w:rPr>
          <w:sz w:val="20"/>
          <w:szCs w:val="20"/>
        </w:rPr>
        <w:t xml:space="preserve"> </w:t>
      </w:r>
      <w:r w:rsidRPr="006C02D7">
        <w:rPr>
          <w:i/>
          <w:sz w:val="20"/>
          <w:szCs w:val="20"/>
        </w:rPr>
        <w:t>Implementation of Sections 716 and 717 of the Communications Act of 1934, as Enacted by the Twenty-First Century Communications and Video Accessibility Act of 2010; Amendments to the Commis</w:t>
      </w:r>
      <w:r w:rsidRPr="009C5E08">
        <w:rPr>
          <w:i/>
          <w:sz w:val="20"/>
          <w:szCs w:val="20"/>
        </w:rPr>
        <w:t>sion’s Rules Implementing Sections 255 and 251(a)(2) of the Communications Act of 1934, as Enacted by the Telecommunications Act of 1996; and In the Matter of Accessible Mobile Phone Options for People who are Blind, Deaf-Blind, or Have Low Vision</w:t>
      </w:r>
      <w:r w:rsidRPr="009C79E5">
        <w:rPr>
          <w:sz w:val="20"/>
          <w:szCs w:val="20"/>
        </w:rPr>
        <w:t xml:space="preserve">, CG Docket Nos. 10-213 and 10-145, WT Docket No. 96-198, Report and Order and Further Notice </w:t>
      </w:r>
      <w:r w:rsidRPr="009C79E5">
        <w:rPr>
          <w:vanish/>
          <w:sz w:val="20"/>
          <w:szCs w:val="20"/>
        </w:rPr>
        <w:br/>
      </w:r>
      <w:r w:rsidRPr="009C79E5">
        <w:rPr>
          <w:sz w:val="20"/>
          <w:szCs w:val="20"/>
        </w:rPr>
        <w:t xml:space="preserve">of Proposed Rulemaking, FCC 11-151, 26 </w:t>
      </w:r>
      <w:r w:rsidRPr="009C79E5">
        <w:rPr>
          <w:bCs/>
          <w:sz w:val="20"/>
          <w:szCs w:val="20"/>
        </w:rPr>
        <w:t>FCC Rcd 14557</w:t>
      </w:r>
      <w:r w:rsidRPr="009C79E5">
        <w:rPr>
          <w:sz w:val="20"/>
          <w:szCs w:val="20"/>
        </w:rPr>
        <w:t xml:space="preserve"> (2011) (</w:t>
      </w:r>
      <w:r w:rsidRPr="009C79E5">
        <w:rPr>
          <w:i/>
          <w:sz w:val="20"/>
          <w:szCs w:val="20"/>
        </w:rPr>
        <w:t xml:space="preserve">ACS Report and Order </w:t>
      </w:r>
      <w:r w:rsidRPr="009C79E5">
        <w:rPr>
          <w:sz w:val="20"/>
          <w:szCs w:val="20"/>
        </w:rPr>
        <w:t xml:space="preserve">and </w:t>
      </w:r>
      <w:r w:rsidRPr="009C79E5">
        <w:rPr>
          <w:i/>
          <w:sz w:val="20"/>
          <w:szCs w:val="20"/>
        </w:rPr>
        <w:t>ACS FNPRM</w:t>
      </w:r>
      <w:r w:rsidRPr="009C79E5">
        <w:rPr>
          <w:sz w:val="20"/>
          <w:szCs w:val="20"/>
        </w:rPr>
        <w:t xml:space="preserve">).  The rules adopted in the </w:t>
      </w:r>
      <w:r w:rsidRPr="009C79E5">
        <w:rPr>
          <w:i/>
          <w:sz w:val="20"/>
          <w:szCs w:val="20"/>
        </w:rPr>
        <w:t>ACS Report and Order</w:t>
      </w:r>
      <w:r w:rsidRPr="009C79E5">
        <w:rPr>
          <w:sz w:val="20"/>
          <w:szCs w:val="20"/>
        </w:rPr>
        <w:t xml:space="preserve"> are codified in</w:t>
      </w:r>
      <w:r w:rsidRPr="009C79E5">
        <w:rPr>
          <w:i/>
          <w:sz w:val="20"/>
          <w:szCs w:val="20"/>
        </w:rPr>
        <w:t xml:space="preserve"> </w:t>
      </w:r>
      <w:r w:rsidRPr="009C79E5">
        <w:rPr>
          <w:sz w:val="20"/>
          <w:szCs w:val="20"/>
        </w:rPr>
        <w:t>47 C.F.R. Part 14.</w:t>
      </w:r>
      <w:r w:rsidRPr="00FF1FD9">
        <w:rPr>
          <w:sz w:val="20"/>
          <w:szCs w:val="20"/>
        </w:rPr>
        <w:t xml:space="preserve">  </w:t>
      </w:r>
      <w:r w:rsidRPr="006C02D7">
        <w:rPr>
          <w:i/>
          <w:sz w:val="20"/>
          <w:szCs w:val="20"/>
        </w:rPr>
        <w:t xml:space="preserve">See also </w:t>
      </w:r>
      <w:r w:rsidRPr="009C5E08">
        <w:rPr>
          <w:sz w:val="20"/>
          <w:szCs w:val="20"/>
        </w:rPr>
        <w:t xml:space="preserve">Section III.C of this </w:t>
      </w:r>
      <w:r w:rsidRPr="009C79E5">
        <w:rPr>
          <w:i/>
          <w:sz w:val="20"/>
          <w:szCs w:val="20"/>
        </w:rPr>
        <w:t>Report</w:t>
      </w:r>
      <w:r w:rsidRPr="009C79E5">
        <w:rPr>
          <w:sz w:val="20"/>
          <w:szCs w:val="20"/>
        </w:rPr>
        <w:t xml:space="preserve">, </w:t>
      </w:r>
      <w:r w:rsidRPr="009C79E5">
        <w:rPr>
          <w:i/>
          <w:sz w:val="20"/>
          <w:szCs w:val="20"/>
        </w:rPr>
        <w:t>infra</w:t>
      </w:r>
      <w:r w:rsidRPr="009C79E5">
        <w:rPr>
          <w:sz w:val="20"/>
          <w:szCs w:val="20"/>
        </w:rPr>
        <w:t xml:space="preserve"> (summarizing other actions taken by the Commission with respect to the implementation of Sections 716 and 717 of the Act).</w:t>
      </w:r>
    </w:p>
  </w:footnote>
  <w:footnote w:id="46">
    <w:p w:rsidR="000A68B6" w:rsidRPr="009C79E5" w:rsidRDefault="000A68B6" w:rsidP="00476E6F">
      <w:pPr>
        <w:spacing w:after="120"/>
        <w:rPr>
          <w:sz w:val="20"/>
          <w:szCs w:val="20"/>
          <w:lang w:bidi="x-none"/>
        </w:rPr>
      </w:pPr>
      <w:r w:rsidRPr="00FF1FD9">
        <w:rPr>
          <w:rStyle w:val="FootnoteReference"/>
          <w:sz w:val="20"/>
          <w:szCs w:val="20"/>
        </w:rPr>
        <w:footnoteRef/>
      </w:r>
      <w:r w:rsidRPr="00FF1FD9">
        <w:rPr>
          <w:sz w:val="20"/>
          <w:szCs w:val="20"/>
        </w:rPr>
        <w:t xml:space="preserve"> </w:t>
      </w:r>
      <w:r w:rsidRPr="006C02D7">
        <w:rPr>
          <w:i/>
          <w:sz w:val="20"/>
          <w:szCs w:val="20"/>
        </w:rPr>
        <w:t>ACS Report and Order</w:t>
      </w:r>
      <w:r w:rsidRPr="009C5E08">
        <w:rPr>
          <w:sz w:val="20"/>
          <w:szCs w:val="20"/>
        </w:rPr>
        <w:t xml:space="preserve">, 26 FCC Rcd at 14602, ¶ 108.  The rules became effective 30 days after their publication in the Federal Register on December 30, 2011.  </w:t>
      </w:r>
      <w:r w:rsidRPr="009C79E5">
        <w:rPr>
          <w:i/>
          <w:sz w:val="20"/>
          <w:szCs w:val="20"/>
        </w:rPr>
        <w:t>Id.</w:t>
      </w:r>
      <w:r w:rsidRPr="009C79E5">
        <w:rPr>
          <w:sz w:val="20"/>
          <w:szCs w:val="20"/>
        </w:rPr>
        <w:t xml:space="preserve">, 26 FCC Rcd at 14696, ¶ 328.  </w:t>
      </w:r>
      <w:r w:rsidRPr="009C79E5">
        <w:rPr>
          <w:i/>
          <w:sz w:val="20"/>
          <w:szCs w:val="20"/>
        </w:rPr>
        <w:t>See also</w:t>
      </w:r>
      <w:r w:rsidRPr="009C79E5">
        <w:rPr>
          <w:sz w:val="20"/>
          <w:szCs w:val="20"/>
        </w:rPr>
        <w:t xml:space="preserve"> 76 Fed. Reg. 82240 (Dec. 30, 2011). </w:t>
      </w:r>
    </w:p>
  </w:footnote>
  <w:footnote w:id="47">
    <w:p w:rsidR="000A68B6" w:rsidRPr="009C79E5" w:rsidRDefault="000A68B6" w:rsidP="00476E6F">
      <w:pPr>
        <w:pStyle w:val="FootnoteText"/>
        <w:spacing w:after="120"/>
      </w:pPr>
      <w:r w:rsidRPr="009C79E5">
        <w:rPr>
          <w:rStyle w:val="FootnoteReference"/>
        </w:rPr>
        <w:footnoteRef/>
      </w:r>
      <w:r w:rsidRPr="009C79E5">
        <w:t xml:space="preserve"> 47 U.S.C. § 618(a)(5)(A).</w:t>
      </w:r>
    </w:p>
  </w:footnote>
  <w:footnote w:id="48">
    <w:p w:rsidR="000A68B6" w:rsidRPr="009C79E5" w:rsidRDefault="000A68B6" w:rsidP="00476E6F">
      <w:pPr>
        <w:pStyle w:val="FootnoteText"/>
        <w:spacing w:after="120"/>
      </w:pPr>
      <w:r w:rsidRPr="009C79E5">
        <w:rPr>
          <w:rStyle w:val="FootnoteReference"/>
        </w:rPr>
        <w:footnoteRef/>
      </w:r>
      <w:r w:rsidRPr="009C79E5">
        <w:t xml:space="preserve"> </w:t>
      </w:r>
      <w:r w:rsidRPr="009C79E5">
        <w:rPr>
          <w:i/>
        </w:rPr>
        <w:t>ACS Report and Order</w:t>
      </w:r>
      <w:r w:rsidRPr="009C79E5">
        <w:t>, 26 FCC Rcd at 14602-3, ¶ 110.</w:t>
      </w:r>
    </w:p>
  </w:footnote>
  <w:footnote w:id="49">
    <w:p w:rsidR="000A68B6" w:rsidRPr="009C79E5" w:rsidRDefault="000A68B6" w:rsidP="00476E6F">
      <w:pPr>
        <w:pStyle w:val="FootnoteText"/>
        <w:spacing w:after="120"/>
      </w:pPr>
      <w:r w:rsidRPr="009C79E5">
        <w:rPr>
          <w:rStyle w:val="FootnoteReference"/>
        </w:rPr>
        <w:footnoteRef/>
      </w:r>
      <w:r w:rsidRPr="009C79E5">
        <w:t xml:space="preserve"> 47 C.F.R. §§ 14.30(c), 14.32-14.37.</w:t>
      </w:r>
    </w:p>
  </w:footnote>
  <w:footnote w:id="50">
    <w:p w:rsidR="000A68B6" w:rsidRPr="009C79E5" w:rsidRDefault="000A68B6" w:rsidP="00476E6F">
      <w:pPr>
        <w:pStyle w:val="FootnoteText"/>
        <w:spacing w:after="120"/>
      </w:pPr>
      <w:r w:rsidRPr="009C79E5">
        <w:rPr>
          <w:rStyle w:val="FootnoteReference"/>
        </w:rPr>
        <w:footnoteRef/>
      </w:r>
      <w:r w:rsidRPr="009C79E5">
        <w:t xml:space="preserve"> 47 U.S.C. § 619(a).  </w:t>
      </w:r>
    </w:p>
  </w:footnote>
  <w:footnote w:id="51">
    <w:p w:rsidR="000A68B6" w:rsidRPr="009C79E5" w:rsidRDefault="000A68B6" w:rsidP="00476E6F">
      <w:pPr>
        <w:pStyle w:val="FootnoteText"/>
        <w:spacing w:after="120"/>
      </w:pPr>
      <w:r w:rsidRPr="009C79E5">
        <w:rPr>
          <w:rStyle w:val="FootnoteReference"/>
        </w:rPr>
        <w:footnoteRef/>
      </w:r>
      <w:r w:rsidRPr="009C79E5">
        <w:t xml:space="preserve"> 47 U.S.C. § 619(b).</w:t>
      </w:r>
    </w:p>
  </w:footnote>
  <w:footnote w:id="52">
    <w:p w:rsidR="000A68B6" w:rsidRPr="009C79E5" w:rsidRDefault="000A68B6" w:rsidP="00476E6F">
      <w:pPr>
        <w:spacing w:after="120"/>
        <w:rPr>
          <w:sz w:val="20"/>
          <w:szCs w:val="20"/>
        </w:rPr>
      </w:pPr>
      <w:r w:rsidRPr="00FF1FD9">
        <w:rPr>
          <w:rStyle w:val="FootnoteReference"/>
          <w:sz w:val="20"/>
          <w:szCs w:val="20"/>
        </w:rPr>
        <w:footnoteRef/>
      </w:r>
      <w:r w:rsidRPr="00FF1FD9">
        <w:rPr>
          <w:sz w:val="20"/>
          <w:szCs w:val="20"/>
        </w:rPr>
        <w:t xml:space="preserve"> CVAA, § 104(b); 47 C.F.R. §§ 14.60-61.</w:t>
      </w:r>
      <w:r w:rsidRPr="00FF1FD9">
        <w:rPr>
          <w:i/>
          <w:sz w:val="20"/>
          <w:szCs w:val="20"/>
        </w:rPr>
        <w:t xml:space="preserve">  Implementation of Sections 716 and 717 of the Communications Act of 1934, as Enacted by the Twenty-First Century Communications and Video Acce</w:t>
      </w:r>
      <w:r w:rsidRPr="006C02D7">
        <w:rPr>
          <w:i/>
          <w:sz w:val="20"/>
          <w:szCs w:val="20"/>
        </w:rPr>
        <w:t>ssibility Act of 2010; Amendments to the Commission’s Rules Implementing Sections 255 and 251(a)(2) of the Communications Act of 1934, as Enacted by the Telecommunications Act of 1996; and In the Matter of Accessible Mobile Phone Options for People who are</w:t>
      </w:r>
      <w:r w:rsidRPr="009C5E08">
        <w:rPr>
          <w:i/>
          <w:sz w:val="20"/>
          <w:szCs w:val="20"/>
        </w:rPr>
        <w:t xml:space="preserve"> Blind, Deaf-Blind, or Have Low Vision</w:t>
      </w:r>
      <w:r w:rsidRPr="009C5E08">
        <w:rPr>
          <w:sz w:val="20"/>
          <w:szCs w:val="20"/>
        </w:rPr>
        <w:t>, CG Docket Nos. 10-213 and 10-145, WT Docket No. 96-198</w:t>
      </w:r>
      <w:r w:rsidRPr="009C79E5">
        <w:rPr>
          <w:sz w:val="20"/>
          <w:szCs w:val="20"/>
        </w:rPr>
        <w:t xml:space="preserve">, Second Report and Order, FCC 13-57, 28 FCC Rcd 5957 (2013), available at </w:t>
      </w:r>
      <w:hyperlink r:id="rId12" w:history="1">
        <w:r w:rsidRPr="009C79E5">
          <w:rPr>
            <w:rStyle w:val="Hyperlink1"/>
            <w:rFonts w:eastAsia="ヒラギノ角ゴ Pro W3"/>
            <w:szCs w:val="20"/>
          </w:rPr>
          <w:t>https://apps.fcc.gov/edocs_public/attachmatch/FCC-13-57A1.pdf</w:t>
        </w:r>
      </w:hyperlink>
      <w:r w:rsidRPr="00FF1FD9">
        <w:rPr>
          <w:color w:val="000000"/>
          <w:sz w:val="20"/>
          <w:szCs w:val="20"/>
        </w:rPr>
        <w:t xml:space="preserve"> </w:t>
      </w:r>
      <w:r w:rsidRPr="009C79E5">
        <w:rPr>
          <w:sz w:val="20"/>
          <w:szCs w:val="20"/>
        </w:rPr>
        <w:t xml:space="preserve">(implementing Section 718 and part of Section 716 of the Act to ensure that people with disabilities have access to emerging and innovative advanced communications technologies).  </w:t>
      </w:r>
      <w:r w:rsidRPr="00FF1FD9">
        <w:rPr>
          <w:i/>
          <w:sz w:val="20"/>
          <w:szCs w:val="20"/>
        </w:rPr>
        <w:t xml:space="preserve">See also </w:t>
      </w:r>
      <w:r w:rsidRPr="006C02D7">
        <w:rPr>
          <w:sz w:val="20"/>
          <w:szCs w:val="20"/>
        </w:rPr>
        <w:t xml:space="preserve">Section III.C </w:t>
      </w:r>
      <w:r w:rsidRPr="009C5E08">
        <w:rPr>
          <w:sz w:val="20"/>
          <w:szCs w:val="20"/>
        </w:rPr>
        <w:t xml:space="preserve">of this </w:t>
      </w:r>
      <w:r w:rsidRPr="009C5E08">
        <w:rPr>
          <w:i/>
          <w:sz w:val="20"/>
          <w:szCs w:val="20"/>
        </w:rPr>
        <w:t>Report</w:t>
      </w:r>
      <w:r w:rsidRPr="009C79E5">
        <w:rPr>
          <w:sz w:val="20"/>
          <w:szCs w:val="20"/>
        </w:rPr>
        <w:t xml:space="preserve">, </w:t>
      </w:r>
      <w:r w:rsidRPr="009C79E5">
        <w:rPr>
          <w:i/>
          <w:sz w:val="20"/>
          <w:szCs w:val="20"/>
        </w:rPr>
        <w:t>infra</w:t>
      </w:r>
      <w:r w:rsidRPr="009C79E5">
        <w:rPr>
          <w:sz w:val="20"/>
          <w:szCs w:val="20"/>
        </w:rPr>
        <w:t xml:space="preserve"> (summarizing Commission actions with respect to the implementation of Section 718 of the Act).</w:t>
      </w:r>
    </w:p>
  </w:footnote>
  <w:footnote w:id="53">
    <w:p w:rsidR="000A68B6" w:rsidRPr="006C02D7" w:rsidRDefault="000A68B6" w:rsidP="00476E6F">
      <w:pPr>
        <w:pStyle w:val="FootnoteText"/>
        <w:spacing w:after="120"/>
      </w:pPr>
      <w:r w:rsidRPr="00FF1FD9">
        <w:rPr>
          <w:rStyle w:val="FootnoteReference"/>
        </w:rPr>
        <w:footnoteRef/>
      </w:r>
      <w:r w:rsidRPr="006C02D7">
        <w:t xml:space="preserve"> 47 U.S.C. §§ 255, 617, 619; 47 C.F.R. Part 6, Part 7, Part 14. </w:t>
      </w:r>
    </w:p>
  </w:footnote>
  <w:footnote w:id="54">
    <w:p w:rsidR="000A68B6" w:rsidRPr="00FF1FD9" w:rsidRDefault="000A68B6" w:rsidP="00476E6F">
      <w:pPr>
        <w:pStyle w:val="FootnoteText"/>
        <w:spacing w:after="120"/>
      </w:pPr>
      <w:r w:rsidRPr="006C02D7">
        <w:rPr>
          <w:rStyle w:val="FootnoteReference"/>
        </w:rPr>
        <w:footnoteRef/>
      </w:r>
      <w:r w:rsidRPr="009C5E08">
        <w:t xml:space="preserve"> 47 U.S.C. § 255; 47 C.F.R. Part 6 and Part 7.  </w:t>
      </w:r>
      <w:r w:rsidRPr="009C5E08">
        <w:rPr>
          <w:i/>
        </w:rPr>
        <w:t xml:space="preserve">See also </w:t>
      </w:r>
      <w:r w:rsidRPr="009C79E5">
        <w:rPr>
          <w:i/>
        </w:rPr>
        <w:t>Section 255 Order</w:t>
      </w:r>
      <w:r w:rsidRPr="009C79E5">
        <w:t xml:space="preserve">, 16 FCC Rcd at 6466-6487, ¶¶ 109-166; </w:t>
      </w:r>
      <w:r w:rsidRPr="009C79E5">
        <w:rPr>
          <w:i/>
        </w:rPr>
        <w:t>Section 255 VoIP Order</w:t>
      </w:r>
      <w:r w:rsidRPr="009C79E5">
        <w:t>, 22 FCC Rcd at 11289, ¶ 25.</w:t>
      </w:r>
    </w:p>
  </w:footnote>
  <w:footnote w:id="55">
    <w:p w:rsidR="000A68B6" w:rsidRPr="009C5E08" w:rsidRDefault="000A68B6" w:rsidP="00476E6F">
      <w:pPr>
        <w:pStyle w:val="FootnoteText"/>
        <w:spacing w:after="120"/>
      </w:pPr>
      <w:r w:rsidRPr="006C02D7">
        <w:rPr>
          <w:rStyle w:val="FootnoteReference"/>
        </w:rPr>
        <w:footnoteRef/>
      </w:r>
      <w:r w:rsidRPr="009C5E08">
        <w:t xml:space="preserve"> 47 C.F.R. §§ 14.32-14.37.</w:t>
      </w:r>
    </w:p>
  </w:footnote>
  <w:footnote w:id="56">
    <w:p w:rsidR="000A68B6" w:rsidRPr="009C79E5" w:rsidRDefault="000A68B6" w:rsidP="00476E6F">
      <w:pPr>
        <w:pStyle w:val="FootnoteText"/>
        <w:spacing w:after="120"/>
      </w:pPr>
      <w:r w:rsidRPr="009C79E5">
        <w:rPr>
          <w:rStyle w:val="FootnoteReference"/>
        </w:rPr>
        <w:footnoteRef/>
      </w:r>
      <w:r w:rsidRPr="009C79E5">
        <w:t xml:space="preserve"> 47 C.F.R. § 14.30(c).</w:t>
      </w:r>
    </w:p>
  </w:footnote>
  <w:footnote w:id="57">
    <w:p w:rsidR="000A68B6" w:rsidRPr="009C79E5" w:rsidRDefault="000A68B6" w:rsidP="00476E6F">
      <w:pPr>
        <w:pStyle w:val="FootnoteText"/>
        <w:spacing w:after="120"/>
      </w:pPr>
      <w:r w:rsidRPr="009C79E5">
        <w:rPr>
          <w:rStyle w:val="FootnoteReference"/>
        </w:rPr>
        <w:footnoteRef/>
      </w:r>
      <w:r w:rsidRPr="009C79E5">
        <w:t xml:space="preserve"> 47 U.S.C. § 618(b)(2).  As noted in the </w:t>
      </w:r>
      <w:r w:rsidRPr="009C79E5">
        <w:rPr>
          <w:i/>
        </w:rPr>
        <w:t>2012 CVAA Biennial Report</w:t>
      </w:r>
      <w:r w:rsidRPr="009C79E5">
        <w:t xml:space="preserve">, we believe it is most appropriate for these periodic reports to review complaints for the time period 1/1/20XX - 12/31/20XX+1.  We generally find that this approach  allows the Commission adequate time to solicit public comment on the issues that it must address in such reports, consistent with Section 717(b)(2), and best achieves the CVAA’s objectives.  </w:t>
      </w:r>
      <w:r w:rsidRPr="009C79E5">
        <w:rPr>
          <w:i/>
        </w:rPr>
        <w:t>See 2012 CVAA Biennial Report</w:t>
      </w:r>
      <w:r w:rsidRPr="009C79E5">
        <w:t xml:space="preserve">, 26 FCC Rcd at 12212, ¶ 16.  Limiting the review in this </w:t>
      </w:r>
      <w:r w:rsidRPr="009C79E5">
        <w:rPr>
          <w:i/>
        </w:rPr>
        <w:t>Report</w:t>
      </w:r>
      <w:r w:rsidRPr="009C79E5">
        <w:t xml:space="preserve"> to complaints received as of December 31, 2013, allowed the Commission to compile the relevant information and to seek comment on our tentative findings.  </w:t>
      </w:r>
    </w:p>
  </w:footnote>
  <w:footnote w:id="58">
    <w:p w:rsidR="000A68B6" w:rsidRPr="009C79E5" w:rsidRDefault="000A68B6" w:rsidP="00476E6F">
      <w:pPr>
        <w:pStyle w:val="FootnoteText"/>
        <w:spacing w:after="120"/>
      </w:pPr>
      <w:r w:rsidRPr="009C79E5">
        <w:rPr>
          <w:rStyle w:val="FootnoteReference"/>
        </w:rPr>
        <w:footnoteRef/>
      </w:r>
      <w:r w:rsidRPr="009C79E5">
        <w:t xml:space="preserve"> 47 U.S.C. § 618(b)(1)(A). </w:t>
      </w:r>
    </w:p>
  </w:footnote>
  <w:footnote w:id="59">
    <w:p w:rsidR="000A68B6" w:rsidRPr="009C79E5" w:rsidRDefault="000A68B6" w:rsidP="00476E6F">
      <w:pPr>
        <w:pStyle w:val="FootnoteText"/>
        <w:spacing w:after="120"/>
      </w:pPr>
      <w:r w:rsidRPr="009C79E5">
        <w:rPr>
          <w:rStyle w:val="FootnoteReference"/>
        </w:rPr>
        <w:footnoteRef/>
      </w:r>
      <w:r w:rsidRPr="009C79E5">
        <w:t xml:space="preserve"> </w:t>
      </w:r>
      <w:r w:rsidRPr="009C79E5">
        <w:rPr>
          <w:i/>
        </w:rPr>
        <w:t>2014 CVAA Assessment PN,</w:t>
      </w:r>
      <w:r w:rsidRPr="009C79E5">
        <w:t xml:space="preserve"> 29 FCC Rcd at 7320-7322, ¶¶ 7- 11.</w:t>
      </w:r>
    </w:p>
  </w:footnote>
  <w:footnote w:id="60">
    <w:p w:rsidR="000A68B6" w:rsidRPr="009C79E5" w:rsidRDefault="000A68B6" w:rsidP="00476E6F">
      <w:pPr>
        <w:pStyle w:val="FootnoteText"/>
        <w:spacing w:after="120"/>
      </w:pPr>
      <w:r w:rsidRPr="009C79E5">
        <w:rPr>
          <w:rStyle w:val="FootnoteReference"/>
        </w:rPr>
        <w:footnoteRef/>
      </w:r>
      <w:r w:rsidRPr="009C79E5">
        <w:t xml:space="preserve"> Comments of the National Association of the Deaf; Telecommunications for the Deaf and Hard of Hearing, Inc.; Deaf and Hard of Hearing Consumer Advocacy Network; Association of Late-Deafened Adults, Inc.; Hearing Loss Association of America; California Coalition of Agencies Serving the Deaf and Hard of Hearing; Cerebral Palsy and Deaf Organization; and Telecommunication-RERC (Technology Access Program at Gallaudet University and Trace Center at the University of Wisconsin-Madison)  (collectively referred to herein as Consumer Groups) (Consumer Groups Comments) at 3.</w:t>
      </w:r>
    </w:p>
  </w:footnote>
  <w:footnote w:id="61">
    <w:p w:rsidR="000A68B6" w:rsidRPr="009C79E5" w:rsidRDefault="000A68B6" w:rsidP="00476E6F">
      <w:pPr>
        <w:pStyle w:val="FootnoteText"/>
        <w:spacing w:after="120"/>
      </w:pPr>
      <w:r w:rsidRPr="009C79E5">
        <w:rPr>
          <w:rStyle w:val="FootnoteReference"/>
        </w:rPr>
        <w:footnoteRef/>
      </w:r>
      <w:r w:rsidRPr="009C79E5">
        <w:t xml:space="preserve"> Consumer Groups Comments at 2.  Consumer Groups point to a new feature for Apple’s iPhone, which offers a direct connection to some brands of hearing aids, and the fact that some hearing aid compatible handsets work better with some hearing aid brands than with others, as examples of the problems inherent in this type of proprietary solution.  </w:t>
      </w:r>
      <w:r w:rsidRPr="009C79E5">
        <w:rPr>
          <w:i/>
        </w:rPr>
        <w:t>Id</w:t>
      </w:r>
      <w:r w:rsidRPr="009C79E5">
        <w:t>.</w:t>
      </w:r>
    </w:p>
  </w:footnote>
  <w:footnote w:id="62">
    <w:p w:rsidR="000A68B6" w:rsidRPr="009C79E5" w:rsidRDefault="000A68B6" w:rsidP="00476E6F">
      <w:pPr>
        <w:pStyle w:val="FootnoteText"/>
        <w:spacing w:after="120"/>
      </w:pPr>
      <w:r w:rsidRPr="009C79E5">
        <w:rPr>
          <w:rStyle w:val="FootnoteReference"/>
        </w:rPr>
        <w:footnoteRef/>
      </w:r>
      <w:r w:rsidRPr="009C79E5">
        <w:t xml:space="preserve"> CTS is a type of telecommunications relay service (TRS) that permits people who can speak, but who have a hearing loss and have difficulty hearing over the telephone, to speak directly to another party on a telephone call and to use a “captioned telephone” or computer software to simultaneously listen to the other party and read captions of what that party is saying.  Generally, TRS enables an individual who is deaf, hard of hearing, deaf-blind, or who has a speech disability to engage in communication by wire or radio with one or more individuals in a manner that is functionally equivalent to the ability of a hearing individual who does not have a speech disability to communicate using voice communication services by wire or radio.  47 U.S.C. § 225(a)(3).  For more information about TRS, see the FCC consumer guide available at </w:t>
      </w:r>
      <w:hyperlink r:id="rId13" w:history="1">
        <w:r w:rsidRPr="009C79E5">
          <w:rPr>
            <w:rStyle w:val="Hyperlink"/>
          </w:rPr>
          <w:t>http://www.fcc.gov/guides/telecommunications-relay-service-trs</w:t>
        </w:r>
      </w:hyperlink>
      <w:r w:rsidRPr="009C79E5">
        <w:t>.</w:t>
      </w:r>
    </w:p>
  </w:footnote>
  <w:footnote w:id="63">
    <w:p w:rsidR="000A68B6" w:rsidRPr="009C79E5" w:rsidRDefault="000A68B6" w:rsidP="00476E6F">
      <w:pPr>
        <w:pStyle w:val="FootnoteText"/>
        <w:spacing w:after="120"/>
        <w:rPr>
          <w:i/>
        </w:rPr>
      </w:pPr>
      <w:r w:rsidRPr="009C79E5">
        <w:rPr>
          <w:rStyle w:val="FootnoteReference"/>
        </w:rPr>
        <w:footnoteRef/>
      </w:r>
      <w:r w:rsidRPr="009C79E5">
        <w:t xml:space="preserve"> Consumer Groups Comments at 9.  In particular, Consumer Groups note that CTS often cannot operate without a wireline infrastructure, and that service personnel do not appear to be trained in strategies that permit CTS to function on a purely wireless infrastructure.  </w:t>
      </w:r>
      <w:r w:rsidRPr="009C79E5">
        <w:rPr>
          <w:i/>
        </w:rPr>
        <w:t xml:space="preserve">Id.  </w:t>
      </w:r>
      <w:r w:rsidRPr="009C79E5">
        <w:t xml:space="preserve">In comments submitted in response to the Commission’s proceeding on the Open Internet, Consumer Groups allege that “standalone analog and IP captioned telephones do not work reliably on telephone services that are provided via wireless base stations.”  </w:t>
      </w:r>
      <w:r w:rsidRPr="009C79E5">
        <w:rPr>
          <w:i/>
        </w:rPr>
        <w:t xml:space="preserve">See </w:t>
      </w:r>
      <w:r w:rsidRPr="009C79E5">
        <w:t xml:space="preserve">Comments of Telecommunications for the Deaf and Hard of Hearing, Inc. (TDI), National Association of the Deaf (NAD), Hearing Loss Association of America (HLAA), Deaf and Hard of Hearing Consumer Advocacy Network (DHHCAN), Rehabilitation Engineering Research Center on Telecommunications Access (RERC-TA), Clayton H. Lewis, </w:t>
      </w:r>
      <w:r w:rsidRPr="009C79E5">
        <w:rPr>
          <w:i/>
        </w:rPr>
        <w:t>Protecting and Promoting the Open Internet</w:t>
      </w:r>
      <w:r w:rsidRPr="009C79E5">
        <w:t xml:space="preserve">, GN Docket No. 14-28 (Jul. 18, 2014) at 12, available at </w:t>
      </w:r>
      <w:hyperlink r:id="rId14" w:history="1">
        <w:r w:rsidRPr="009C79E5">
          <w:rPr>
            <w:rStyle w:val="Hyperlink"/>
          </w:rPr>
          <w:t>http://apps.fcc.gov/ecfs/document/view?id=7521707584</w:t>
        </w:r>
      </w:hyperlink>
      <w:r w:rsidRPr="009C79E5">
        <w:t>.</w:t>
      </w:r>
    </w:p>
  </w:footnote>
  <w:footnote w:id="64">
    <w:p w:rsidR="000A68B6" w:rsidRPr="009C79E5" w:rsidRDefault="000A68B6" w:rsidP="00476E6F">
      <w:pPr>
        <w:pStyle w:val="FootnoteText"/>
        <w:spacing w:after="120"/>
      </w:pPr>
      <w:r w:rsidRPr="009C79E5">
        <w:rPr>
          <w:rStyle w:val="FootnoteReference"/>
        </w:rPr>
        <w:footnoteRef/>
      </w:r>
      <w:r w:rsidRPr="009C79E5">
        <w:t xml:space="preserve"> Consumer Groups Comments at 3.</w:t>
      </w:r>
    </w:p>
  </w:footnote>
  <w:footnote w:id="65">
    <w:p w:rsidR="000A68B6" w:rsidRPr="009C79E5" w:rsidRDefault="000A68B6" w:rsidP="00476E6F">
      <w:pPr>
        <w:pStyle w:val="FootnoteText"/>
        <w:spacing w:after="120"/>
      </w:pPr>
      <w:r w:rsidRPr="009C79E5">
        <w:rPr>
          <w:rStyle w:val="FootnoteReference"/>
        </w:rPr>
        <w:footnoteRef/>
      </w:r>
      <w:r w:rsidRPr="009C79E5">
        <w:t xml:space="preserve"> </w:t>
      </w:r>
      <w:r w:rsidRPr="009C79E5">
        <w:rPr>
          <w:i/>
        </w:rPr>
        <w:t>See 2012 CVAA Biennial Report</w:t>
      </w:r>
      <w:r w:rsidRPr="009C79E5">
        <w:t>, 27 FCC Rcd at 12206, ¶ 29.</w:t>
      </w:r>
      <w:r w:rsidRPr="009C79E5">
        <w:rPr>
          <w:i/>
        </w:rPr>
        <w:t xml:space="preserve"> </w:t>
      </w:r>
      <w:r w:rsidRPr="009C79E5">
        <w:t xml:space="preserve"> </w:t>
      </w:r>
    </w:p>
  </w:footnote>
  <w:footnote w:id="66">
    <w:p w:rsidR="000A68B6" w:rsidRPr="009C79E5" w:rsidRDefault="000A68B6" w:rsidP="00476E6F">
      <w:pPr>
        <w:pStyle w:val="FootnoteText"/>
        <w:spacing w:after="120"/>
      </w:pPr>
      <w:r w:rsidRPr="009C79E5">
        <w:rPr>
          <w:rStyle w:val="FootnoteReference"/>
        </w:rPr>
        <w:footnoteRef/>
      </w:r>
      <w:r w:rsidRPr="009C79E5">
        <w:t xml:space="preserve"> </w:t>
      </w:r>
      <w:r w:rsidRPr="009C79E5">
        <w:rPr>
          <w:i/>
        </w:rPr>
        <w:t>Id.</w:t>
      </w:r>
      <w:r w:rsidRPr="009C79E5">
        <w:t xml:space="preserve"> at 4-5.  </w:t>
      </w:r>
      <w:r w:rsidRPr="009C79E5">
        <w:rPr>
          <w:i/>
        </w:rPr>
        <w:t>See also 2012 CVAA Biennial Report</w:t>
      </w:r>
      <w:r w:rsidRPr="009C79E5">
        <w:t xml:space="preserve">, 27 FCC Rcd at 12206, ¶ 29. </w:t>
      </w:r>
    </w:p>
  </w:footnote>
  <w:footnote w:id="67">
    <w:p w:rsidR="000A68B6" w:rsidRPr="009C79E5" w:rsidRDefault="000A68B6" w:rsidP="00476E6F">
      <w:pPr>
        <w:spacing w:after="120"/>
        <w:rPr>
          <w:sz w:val="20"/>
          <w:szCs w:val="20"/>
        </w:rPr>
      </w:pPr>
      <w:r w:rsidRPr="00FF1FD9">
        <w:rPr>
          <w:rStyle w:val="FootnoteReference"/>
          <w:sz w:val="20"/>
          <w:szCs w:val="20"/>
        </w:rPr>
        <w:footnoteRef/>
      </w:r>
      <w:r w:rsidRPr="00FF1FD9">
        <w:rPr>
          <w:sz w:val="20"/>
          <w:szCs w:val="20"/>
        </w:rPr>
        <w:t xml:space="preserve"> Consumer Groups Comments at 4-5.  VRS is defined in the Commission’s rules as “a telecommunications relay service that allows people with heari</w:t>
      </w:r>
      <w:r w:rsidRPr="006C02D7">
        <w:rPr>
          <w:sz w:val="20"/>
          <w:szCs w:val="20"/>
        </w:rPr>
        <w:t>ng or speech disabilities who use sign language to communicate with voice telephone users through video equipment.  The video link al</w:t>
      </w:r>
      <w:r w:rsidRPr="009C5E08">
        <w:rPr>
          <w:sz w:val="20"/>
          <w:szCs w:val="20"/>
        </w:rPr>
        <w:t xml:space="preserve">lows the [communication assistant] to view and interpret the party’s signed conversation and relay the conversation back and forth with a voice caller.” 47 C.F.R. § 64.601(a)(40).  As we noted in the </w:t>
      </w:r>
      <w:r w:rsidRPr="009C79E5">
        <w:rPr>
          <w:i/>
          <w:sz w:val="20"/>
          <w:szCs w:val="20"/>
        </w:rPr>
        <w:t>2014 CVAA Tentative Findings PN,</w:t>
      </w:r>
      <w:r w:rsidRPr="009C79E5">
        <w:rPr>
          <w:sz w:val="20"/>
          <w:szCs w:val="20"/>
        </w:rPr>
        <w:t xml:space="preserve"> “[i]ssues related to the </w:t>
      </w:r>
      <w:r w:rsidRPr="009C79E5">
        <w:rPr>
          <w:i/>
          <w:sz w:val="20"/>
          <w:szCs w:val="20"/>
        </w:rPr>
        <w:t xml:space="preserve">interoperability </w:t>
      </w:r>
      <w:r w:rsidRPr="009C79E5">
        <w:rPr>
          <w:sz w:val="20"/>
          <w:szCs w:val="20"/>
        </w:rPr>
        <w:t xml:space="preserve">of video conferencing services and equipment are the subject of a pending Commission proceeding.”  </w:t>
      </w:r>
      <w:r w:rsidRPr="009C79E5">
        <w:rPr>
          <w:i/>
          <w:sz w:val="20"/>
          <w:szCs w:val="20"/>
        </w:rPr>
        <w:t>2014 CVAA Tentative Findings PN</w:t>
      </w:r>
      <w:r w:rsidRPr="009C79E5">
        <w:rPr>
          <w:sz w:val="20"/>
          <w:szCs w:val="20"/>
        </w:rPr>
        <w:t>, 29 FCC Rcd at ___</w:t>
      </w:r>
      <w:r w:rsidRPr="00FF1FD9">
        <w:rPr>
          <w:sz w:val="20"/>
          <w:szCs w:val="20"/>
        </w:rPr>
        <w:t xml:space="preserve">, Attachment n.9 (emphasis added).  </w:t>
      </w:r>
      <w:r w:rsidRPr="00FF1FD9">
        <w:rPr>
          <w:i/>
          <w:sz w:val="20"/>
          <w:szCs w:val="20"/>
        </w:rPr>
        <w:t>See also ACS FNPRM</w:t>
      </w:r>
      <w:r w:rsidRPr="00FF1FD9">
        <w:rPr>
          <w:sz w:val="20"/>
          <w:szCs w:val="20"/>
        </w:rPr>
        <w:t>, 26 FCC Rcd at 14684-87, ¶¶ 301-3</w:t>
      </w:r>
      <w:r w:rsidRPr="006C02D7">
        <w:rPr>
          <w:sz w:val="20"/>
          <w:szCs w:val="20"/>
        </w:rPr>
        <w:t>05.  In its comments in response to the</w:t>
      </w:r>
      <w:r w:rsidRPr="009C5E08">
        <w:rPr>
          <w:sz w:val="20"/>
          <w:szCs w:val="20"/>
        </w:rPr>
        <w:t xml:space="preserve"> </w:t>
      </w:r>
      <w:r w:rsidRPr="009C79E5">
        <w:rPr>
          <w:i/>
          <w:sz w:val="20"/>
          <w:szCs w:val="20"/>
        </w:rPr>
        <w:t>2014 CVAA Tentative Findings PN</w:t>
      </w:r>
      <w:r w:rsidRPr="009C79E5">
        <w:rPr>
          <w:sz w:val="20"/>
          <w:szCs w:val="20"/>
        </w:rPr>
        <w:t xml:space="preserve">, CTIA asserts that the “absence of a definition” of “interoperable” video conferencing service “means that companies do not know what is expected of them in terms of any compliance” and, therefore, complaints that such services are inaccessible are premature.  Comments of CTIA – The Wireless Association (CTIA Comments on Tentative Findings) at 3.  </w:t>
      </w:r>
    </w:p>
  </w:footnote>
  <w:footnote w:id="68">
    <w:p w:rsidR="000A68B6" w:rsidRPr="009C79E5" w:rsidRDefault="000A68B6" w:rsidP="00476E6F">
      <w:pPr>
        <w:pStyle w:val="FootnoteText"/>
        <w:spacing w:after="120"/>
      </w:pPr>
      <w:r w:rsidRPr="009C79E5">
        <w:rPr>
          <w:rStyle w:val="FootnoteReference"/>
        </w:rPr>
        <w:footnoteRef/>
      </w:r>
      <w:r w:rsidRPr="009C79E5">
        <w:t xml:space="preserve"> Consumer Groups Comments at 6.</w:t>
      </w:r>
    </w:p>
  </w:footnote>
  <w:footnote w:id="69">
    <w:p w:rsidR="000A68B6" w:rsidRPr="009C79E5" w:rsidRDefault="000A68B6" w:rsidP="00476E6F">
      <w:pPr>
        <w:pStyle w:val="FootnoteText"/>
        <w:spacing w:after="120"/>
      </w:pPr>
      <w:r w:rsidRPr="009C79E5">
        <w:rPr>
          <w:rStyle w:val="FootnoteReference"/>
        </w:rPr>
        <w:footnoteRef/>
      </w:r>
      <w:r w:rsidRPr="009C79E5">
        <w:t xml:space="preserve"> </w:t>
      </w:r>
      <w:r w:rsidRPr="009C79E5">
        <w:rPr>
          <w:i/>
        </w:rPr>
        <w:t>Id</w:t>
      </w:r>
      <w:r w:rsidRPr="009C79E5">
        <w:t xml:space="preserve">.  </w:t>
      </w:r>
    </w:p>
  </w:footnote>
  <w:footnote w:id="70">
    <w:p w:rsidR="000A68B6" w:rsidRPr="009C79E5" w:rsidRDefault="000A68B6" w:rsidP="00476E6F">
      <w:pPr>
        <w:pStyle w:val="FootnoteText"/>
        <w:widowControl w:val="0"/>
        <w:spacing w:after="120"/>
        <w:rPr>
          <w:i/>
        </w:rPr>
      </w:pPr>
      <w:r w:rsidRPr="009C79E5">
        <w:rPr>
          <w:rStyle w:val="FootnoteReference"/>
        </w:rPr>
        <w:footnoteRef/>
      </w:r>
      <w:r w:rsidRPr="009C79E5">
        <w:t xml:space="preserve"> </w:t>
      </w:r>
      <w:r w:rsidRPr="009C79E5">
        <w:rPr>
          <w:i/>
        </w:rPr>
        <w:t>Id</w:t>
      </w:r>
      <w:r w:rsidRPr="009C79E5">
        <w:t xml:space="preserve">.  Consumer Groups raised this issue as well in 2012.  </w:t>
      </w:r>
      <w:r w:rsidRPr="009C79E5">
        <w:rPr>
          <w:i/>
        </w:rPr>
        <w:t>See 2012 CVAA Biennial Report</w:t>
      </w:r>
      <w:r w:rsidRPr="009C79E5">
        <w:t>, 27 FCC Rcd at 12221-22, ¶¶ 44-45 (advocating for inclusion of relay services to make online gaming voice communication accessible to deaf and hard of hearing gamers).  Note, however, that the Commission</w:t>
      </w:r>
      <w:r w:rsidRPr="009C79E5">
        <w:rPr>
          <w:i/>
        </w:rPr>
        <w:t xml:space="preserve"> </w:t>
      </w:r>
      <w:r w:rsidRPr="009C79E5">
        <w:t xml:space="preserve">granted class waivers of the advanced communications services accessibility rules until October 8, 2015, for gaming consoles, services and software.  </w:t>
      </w:r>
      <w:r w:rsidRPr="009C79E5">
        <w:rPr>
          <w:i/>
        </w:rPr>
        <w:t>See Implementation of Sections 716 and 717 of the Communications Act of 1934, as Enacted by the Twenty-First Century Communications and Video Accessibility Act of 2010; Petitions for Class Waivers of Sections 716 and 717 of the Communications Act and Part 14 of the Commission’s Rules Requiring Access to Advanced Communications Services (ACS) and Equipment by People with Disabilitie</w:t>
      </w:r>
      <w:r w:rsidRPr="009C79E5">
        <w:t>s, CG Docket 10-213, Order, DA 12-1645, 27 FCC Rcd 12970, 12982-92, ¶¶ 23-41 (CGB 2012) (</w:t>
      </w:r>
      <w:r w:rsidRPr="009C79E5">
        <w:rPr>
          <w:i/>
        </w:rPr>
        <w:t>ACS Waiver Order</w:t>
      </w:r>
      <w:r w:rsidRPr="009C79E5">
        <w:t xml:space="preserve">), available at </w:t>
      </w:r>
      <w:hyperlink r:id="rId15" w:history="1">
        <w:r w:rsidRPr="009C79E5">
          <w:rPr>
            <w:rStyle w:val="Hyperlink1"/>
          </w:rPr>
          <w:t>https://apps.fcc.gov/edocs_public/attachmatch/DA-12-1645A1.pdf</w:t>
        </w:r>
      </w:hyperlink>
      <w:r w:rsidRPr="009C79E5">
        <w:t xml:space="preserve">.  In response to the </w:t>
      </w:r>
      <w:r w:rsidRPr="009C79E5">
        <w:rPr>
          <w:i/>
        </w:rPr>
        <w:t>2014 CVAA Tentative Findings PN</w:t>
      </w:r>
      <w:r w:rsidRPr="009C79E5">
        <w:t xml:space="preserve">, CTIA remarks on the Commission’s notes that some concerns raised by consumers are or may be beyond the scope of this </w:t>
      </w:r>
      <w:r w:rsidRPr="009C79E5">
        <w:rPr>
          <w:i/>
        </w:rPr>
        <w:t>Report</w:t>
      </w:r>
      <w:r w:rsidRPr="009C79E5">
        <w:t xml:space="preserve">, outside the Commission’s jurisdiction, or subject to waivers from the Commission’s accessibility rules.  CTIA Comments on Tentative Findings at 6.  </w:t>
      </w:r>
      <w:r w:rsidRPr="009C79E5">
        <w:rPr>
          <w:i/>
        </w:rPr>
        <w:t xml:space="preserve">See also, e.g., </w:t>
      </w:r>
      <w:r w:rsidRPr="009C79E5">
        <w:t xml:space="preserve">nn.105, 225, 226, 229, </w:t>
      </w:r>
      <w:r w:rsidRPr="009C79E5">
        <w:rPr>
          <w:i/>
        </w:rPr>
        <w:t>infra</w:t>
      </w:r>
      <w:r w:rsidRPr="009C79E5">
        <w:t xml:space="preserve">.  CTIA contends that the Commission’s notes do not “clearly distinguish[ ] which concerns suggest a potential problem with CVAA compliance . . . and which are matters that are not covered by the CVAA but that the accessibility community would like to see addressed in the future.”  CTIA Comments on Tentative Findings at 6-7.  Contrary to CTIA’s suggestion, our mention of these concerns does not necessarily suggest “a failure by industry to comply with any CVAA obligations or FCC rules.”  CTIA Comments on Tentative Findings at 7.  Instead, we included these consumers’ comments about inaccessible products and services, along with such explanatory notes where appropriate, to provide guidance about the scope of this </w:t>
      </w:r>
      <w:r w:rsidRPr="009C79E5">
        <w:rPr>
          <w:i/>
        </w:rPr>
        <w:t>Report</w:t>
      </w:r>
      <w:r w:rsidRPr="009C79E5">
        <w:t xml:space="preserve">, which, for the benefit of Congress, discusses concerns beyond the scope of what the Commission is required to report on under Section 717(b)(1) of the Act.  </w:t>
      </w:r>
      <w:r w:rsidRPr="009C79E5">
        <w:rPr>
          <w:i/>
        </w:rPr>
        <w:t xml:space="preserve">See infra </w:t>
      </w:r>
      <w:r w:rsidRPr="009C79E5">
        <w:t xml:space="preserve">nn.105, 232.  </w:t>
      </w:r>
    </w:p>
  </w:footnote>
  <w:footnote w:id="71">
    <w:p w:rsidR="000A68B6" w:rsidRPr="009C79E5" w:rsidRDefault="000A68B6" w:rsidP="00476E6F">
      <w:pPr>
        <w:pStyle w:val="FootnoteText"/>
        <w:spacing w:after="120"/>
      </w:pPr>
      <w:r w:rsidRPr="009C79E5">
        <w:rPr>
          <w:rStyle w:val="FootnoteReference"/>
        </w:rPr>
        <w:footnoteRef/>
      </w:r>
      <w:r w:rsidRPr="009C79E5">
        <w:t xml:space="preserve"> Comments of the American Council of the Blind (ACB Comments) at 2.  ACB advocates for all devices to be accessible, not just a select few.  </w:t>
      </w:r>
      <w:r w:rsidRPr="009C79E5">
        <w:rPr>
          <w:i/>
        </w:rPr>
        <w:t xml:space="preserve">Id.  </w:t>
      </w:r>
      <w:r w:rsidRPr="009C79E5">
        <w:t xml:space="preserve">ACB reports that it believes that the relationship between the carrier and the original equipment manufacturer (OEM) “is often the reason why accessibility is either obscured or broken on various handsets,” and suggests that accessibility can be achieved through “greater communication of expectations from the carrier to the OEM.”  </w:t>
      </w:r>
      <w:r w:rsidRPr="009C79E5">
        <w:rPr>
          <w:i/>
        </w:rPr>
        <w:t>Id</w:t>
      </w:r>
      <w:r w:rsidRPr="009C79E5">
        <w:t>.</w:t>
      </w:r>
    </w:p>
  </w:footnote>
  <w:footnote w:id="72">
    <w:p w:rsidR="000A68B6" w:rsidRPr="009C79E5" w:rsidRDefault="000A68B6" w:rsidP="00476E6F">
      <w:pPr>
        <w:pStyle w:val="FootnoteText"/>
        <w:spacing w:after="120"/>
      </w:pPr>
      <w:r w:rsidRPr="009C79E5">
        <w:rPr>
          <w:rStyle w:val="FootnoteReference"/>
        </w:rPr>
        <w:footnoteRef/>
      </w:r>
      <w:r w:rsidRPr="009C79E5">
        <w:t xml:space="preserve"> </w:t>
      </w:r>
      <w:r w:rsidRPr="009C79E5">
        <w:rPr>
          <w:i/>
        </w:rPr>
        <w:t>Id</w:t>
      </w:r>
      <w:r w:rsidRPr="009C79E5">
        <w:t>.</w:t>
      </w:r>
    </w:p>
  </w:footnote>
  <w:footnote w:id="73">
    <w:p w:rsidR="000A68B6" w:rsidRPr="009C79E5" w:rsidRDefault="000A68B6" w:rsidP="00476E6F">
      <w:pPr>
        <w:pStyle w:val="FootnoteText"/>
        <w:spacing w:after="120"/>
      </w:pPr>
      <w:r w:rsidRPr="009C79E5">
        <w:rPr>
          <w:rStyle w:val="FootnoteReference"/>
        </w:rPr>
        <w:footnoteRef/>
      </w:r>
      <w:r w:rsidRPr="009C79E5">
        <w:t xml:space="preserve"> ACB points to HeyTell and Zello as examples of these types of applications.  </w:t>
      </w:r>
      <w:r w:rsidRPr="009C79E5">
        <w:rPr>
          <w:i/>
        </w:rPr>
        <w:t>Id</w:t>
      </w:r>
      <w:r w:rsidRPr="009C79E5">
        <w:t>.</w:t>
      </w:r>
    </w:p>
  </w:footnote>
  <w:footnote w:id="74">
    <w:p w:rsidR="000A68B6" w:rsidRPr="009C79E5" w:rsidRDefault="000A68B6" w:rsidP="00476E6F">
      <w:pPr>
        <w:pStyle w:val="FootnoteText"/>
        <w:spacing w:after="120"/>
      </w:pPr>
      <w:r w:rsidRPr="009C79E5">
        <w:rPr>
          <w:rStyle w:val="FootnoteReference"/>
        </w:rPr>
        <w:footnoteRef/>
      </w:r>
      <w:r w:rsidRPr="009C79E5">
        <w:t xml:space="preserve"> </w:t>
      </w:r>
      <w:r w:rsidRPr="009C79E5">
        <w:rPr>
          <w:i/>
        </w:rPr>
        <w:t>Id.</w:t>
      </w:r>
      <w:r w:rsidRPr="009C79E5">
        <w:t xml:space="preserve"> at 3.  </w:t>
      </w:r>
    </w:p>
  </w:footnote>
  <w:footnote w:id="75">
    <w:p w:rsidR="000A68B6" w:rsidRPr="009C79E5" w:rsidRDefault="000A68B6" w:rsidP="00476E6F">
      <w:pPr>
        <w:pStyle w:val="FootnoteText"/>
        <w:spacing w:after="120"/>
      </w:pPr>
      <w:r w:rsidRPr="009C79E5">
        <w:rPr>
          <w:rStyle w:val="FootnoteReference"/>
        </w:rPr>
        <w:footnoteRef/>
      </w:r>
      <w:r w:rsidRPr="009C79E5">
        <w:t xml:space="preserve"> ACB Comments on Tentative Findings at 2.</w:t>
      </w:r>
    </w:p>
  </w:footnote>
  <w:footnote w:id="76">
    <w:p w:rsidR="000A68B6" w:rsidRPr="009C79E5" w:rsidRDefault="000A68B6" w:rsidP="00476E6F">
      <w:pPr>
        <w:pStyle w:val="FootnoteText"/>
        <w:spacing w:after="120"/>
      </w:pPr>
      <w:r w:rsidRPr="009C79E5">
        <w:rPr>
          <w:rStyle w:val="FootnoteReference"/>
        </w:rPr>
        <w:footnoteRef/>
      </w:r>
      <w:r w:rsidRPr="009C79E5">
        <w:t xml:space="preserve"> </w:t>
      </w:r>
      <w:r w:rsidRPr="009C79E5">
        <w:rPr>
          <w:i/>
        </w:rPr>
        <w:t>Id.</w:t>
      </w:r>
      <w:r w:rsidRPr="009C79E5">
        <w:t xml:space="preserve"> at 1.</w:t>
      </w:r>
    </w:p>
  </w:footnote>
  <w:footnote w:id="77">
    <w:p w:rsidR="000A68B6" w:rsidRPr="009C79E5" w:rsidRDefault="000A68B6" w:rsidP="00476E6F">
      <w:pPr>
        <w:pStyle w:val="FootnoteText"/>
        <w:spacing w:after="120"/>
      </w:pPr>
      <w:r w:rsidRPr="009C79E5">
        <w:rPr>
          <w:rStyle w:val="FootnoteReference"/>
        </w:rPr>
        <w:footnoteRef/>
      </w:r>
      <w:r w:rsidRPr="009C79E5">
        <w:t xml:space="preserve"> </w:t>
      </w:r>
      <w:r w:rsidRPr="009C79E5">
        <w:rPr>
          <w:i/>
        </w:rPr>
        <w:t>Id.</w:t>
      </w:r>
      <w:r w:rsidRPr="009C79E5">
        <w:t xml:space="preserve"> at 2.</w:t>
      </w:r>
    </w:p>
  </w:footnote>
  <w:footnote w:id="78">
    <w:p w:rsidR="000A68B6" w:rsidRPr="009C79E5" w:rsidRDefault="000A68B6" w:rsidP="00476E6F">
      <w:pPr>
        <w:pStyle w:val="FootnoteText"/>
        <w:spacing w:after="120"/>
      </w:pPr>
      <w:r w:rsidRPr="009C79E5">
        <w:rPr>
          <w:rStyle w:val="FootnoteReference"/>
        </w:rPr>
        <w:footnoteRef/>
      </w:r>
      <w:r w:rsidRPr="009C79E5">
        <w:t xml:space="preserve"> </w:t>
      </w:r>
      <w:r w:rsidRPr="009C79E5">
        <w:rPr>
          <w:i/>
        </w:rPr>
        <w:t>Id.</w:t>
      </w:r>
      <w:r w:rsidRPr="009C79E5">
        <w:t xml:space="preserve"> at 2-3.</w:t>
      </w:r>
    </w:p>
  </w:footnote>
  <w:footnote w:id="79">
    <w:p w:rsidR="000A68B6" w:rsidRPr="009C79E5" w:rsidRDefault="000A68B6" w:rsidP="00476E6F">
      <w:pPr>
        <w:pStyle w:val="FootnoteText"/>
        <w:spacing w:after="120"/>
      </w:pPr>
      <w:r w:rsidRPr="009C79E5">
        <w:rPr>
          <w:rStyle w:val="FootnoteReference"/>
        </w:rPr>
        <w:footnoteRef/>
      </w:r>
      <w:r w:rsidRPr="009C79E5">
        <w:t xml:space="preserve"> </w:t>
      </w:r>
      <w:r w:rsidRPr="009C79E5">
        <w:rPr>
          <w:i/>
        </w:rPr>
        <w:t>Id.</w:t>
      </w:r>
      <w:r w:rsidRPr="009C79E5">
        <w:t xml:space="preserve"> at 1.  We note, however, that the accessibility of some features or functions that may be available on devices that are used for advanced communications services, such as information provided through banking applications, fall outside the Commission’s jurisdiction.  </w:t>
      </w:r>
      <w:r w:rsidRPr="009C79E5">
        <w:rPr>
          <w:i/>
        </w:rPr>
        <w:t xml:space="preserve">See </w:t>
      </w:r>
      <w:r w:rsidRPr="009C79E5">
        <w:t>ACB Comments on Tentative Findings at 1.  Similarly, ACB notes that “advanced services” are being delivered through set-top boxes, but it is not clear whether any of these services to which ACB alludes fall within the Commission’s jurisdiction.  ACB Comments on Tentative Findings at 2.  We also note that the Commission granted a class waiver of the advanced communications accessibility rules until October 8, 2015, for set-top boxes that are leased by cable operators to their customers.</w:t>
      </w:r>
      <w:r w:rsidRPr="009C79E5">
        <w:rPr>
          <w:i/>
        </w:rPr>
        <w:t xml:space="preserve">  ACS Waiver Order</w:t>
      </w:r>
      <w:r w:rsidRPr="009C79E5">
        <w:t>, 27 FCC Rcd at 12978-82, ¶¶ 15-22.</w:t>
      </w:r>
    </w:p>
  </w:footnote>
  <w:footnote w:id="80">
    <w:p w:rsidR="000A68B6" w:rsidRPr="009C79E5" w:rsidRDefault="000A68B6" w:rsidP="00476E6F">
      <w:pPr>
        <w:pStyle w:val="FootnoteText"/>
        <w:spacing w:after="120"/>
      </w:pPr>
      <w:r w:rsidRPr="009C79E5">
        <w:rPr>
          <w:rStyle w:val="FootnoteReference"/>
        </w:rPr>
        <w:footnoteRef/>
      </w:r>
      <w:r w:rsidRPr="009C79E5">
        <w:t xml:space="preserve"> ACB Comments on Tentative Findings at 2.</w:t>
      </w:r>
    </w:p>
  </w:footnote>
  <w:footnote w:id="81">
    <w:p w:rsidR="000A68B6" w:rsidRPr="009C79E5" w:rsidRDefault="000A68B6" w:rsidP="00476E6F">
      <w:pPr>
        <w:pStyle w:val="FootnoteText"/>
        <w:spacing w:after="120"/>
      </w:pPr>
      <w:r w:rsidRPr="009C79E5">
        <w:rPr>
          <w:rStyle w:val="FootnoteReference"/>
        </w:rPr>
        <w:footnoteRef/>
      </w:r>
      <w:r w:rsidRPr="009C79E5">
        <w:t xml:space="preserve"> </w:t>
      </w:r>
      <w:r w:rsidRPr="009C79E5">
        <w:rPr>
          <w:i/>
        </w:rPr>
        <w:t>Id.</w:t>
      </w:r>
      <w:r w:rsidRPr="009C79E5">
        <w:t xml:space="preserve"> at 1.</w:t>
      </w:r>
    </w:p>
  </w:footnote>
  <w:footnote w:id="82">
    <w:p w:rsidR="000A68B6" w:rsidRPr="009C79E5" w:rsidRDefault="000A68B6" w:rsidP="00476E6F">
      <w:pPr>
        <w:pStyle w:val="FootnoteText"/>
        <w:spacing w:after="120"/>
      </w:pPr>
      <w:r w:rsidRPr="009C79E5">
        <w:rPr>
          <w:rStyle w:val="FootnoteReference"/>
        </w:rPr>
        <w:footnoteRef/>
      </w:r>
      <w:r w:rsidRPr="009C79E5">
        <w:t xml:space="preserve"> Comments of the American Foundation for the Blind (AFB Comments on Tentative Findings) at 2.  </w:t>
      </w:r>
      <w:r w:rsidRPr="009C79E5">
        <w:rPr>
          <w:i/>
        </w:rPr>
        <w:t>See also</w:t>
      </w:r>
      <w:r w:rsidRPr="009C79E5">
        <w:t xml:space="preserve"> ¶ 23, </w:t>
      </w:r>
      <w:r w:rsidRPr="009C79E5">
        <w:rPr>
          <w:i/>
        </w:rPr>
        <w:t>infra.</w:t>
      </w:r>
      <w:r w:rsidRPr="009C79E5">
        <w:t xml:space="preserve"> </w:t>
      </w:r>
    </w:p>
  </w:footnote>
  <w:footnote w:id="83">
    <w:p w:rsidR="000A68B6" w:rsidRPr="009C79E5" w:rsidRDefault="000A68B6" w:rsidP="00476E6F">
      <w:pPr>
        <w:pStyle w:val="FootnoteText"/>
        <w:spacing w:after="120"/>
      </w:pPr>
      <w:r w:rsidRPr="009C79E5">
        <w:rPr>
          <w:rStyle w:val="FootnoteReference"/>
        </w:rPr>
        <w:footnoteRef/>
      </w:r>
      <w:r w:rsidRPr="009C79E5">
        <w:t xml:space="preserve"> AFB Comments on Tentative Findings at 2.  </w:t>
      </w:r>
    </w:p>
  </w:footnote>
  <w:footnote w:id="84">
    <w:p w:rsidR="000A68B6" w:rsidRPr="009C79E5" w:rsidRDefault="000A68B6" w:rsidP="00476E6F">
      <w:pPr>
        <w:pStyle w:val="FootnoteText"/>
        <w:spacing w:after="120"/>
      </w:pPr>
      <w:r w:rsidRPr="009C79E5">
        <w:rPr>
          <w:rStyle w:val="FootnoteReference"/>
        </w:rPr>
        <w:footnoteRef/>
      </w:r>
      <w:r w:rsidRPr="009C79E5">
        <w:t xml:space="preserve"> </w:t>
      </w:r>
      <w:r w:rsidRPr="009C79E5">
        <w:rPr>
          <w:i/>
        </w:rPr>
        <w:t>Id</w:t>
      </w:r>
      <w:r w:rsidRPr="009C79E5">
        <w:t xml:space="preserve">.  </w:t>
      </w:r>
    </w:p>
  </w:footnote>
  <w:footnote w:id="85">
    <w:p w:rsidR="000A68B6" w:rsidRPr="009C79E5" w:rsidRDefault="000A68B6" w:rsidP="00476E6F">
      <w:pPr>
        <w:pStyle w:val="FootnoteText"/>
        <w:spacing w:after="120"/>
      </w:pPr>
      <w:r w:rsidRPr="009C79E5">
        <w:rPr>
          <w:rStyle w:val="FootnoteReference"/>
        </w:rPr>
        <w:footnoteRef/>
      </w:r>
      <w:r w:rsidRPr="009C79E5">
        <w:t xml:space="preserve"> Comments of the American Association of the Deaf-Blind (AADB Comments) at 2.  </w:t>
      </w:r>
    </w:p>
  </w:footnote>
  <w:footnote w:id="86">
    <w:p w:rsidR="000A68B6" w:rsidRPr="009C79E5" w:rsidRDefault="000A68B6" w:rsidP="00476E6F">
      <w:pPr>
        <w:pStyle w:val="FootnoteText"/>
        <w:spacing w:after="120"/>
      </w:pPr>
      <w:r w:rsidRPr="009C79E5">
        <w:rPr>
          <w:rStyle w:val="FootnoteReference"/>
        </w:rPr>
        <w:footnoteRef/>
      </w:r>
      <w:r w:rsidRPr="009C79E5">
        <w:t xml:space="preserve"> AADB Comments at 5.  ACB agrees and notes that individuals who are deaf-blind are unable to receive notifications that they have received a text or notification on a device, without constantly checking the device itself.  ACB Comments at 1.</w:t>
      </w:r>
    </w:p>
  </w:footnote>
  <w:footnote w:id="87">
    <w:p w:rsidR="000A68B6" w:rsidRPr="009C79E5" w:rsidRDefault="000A68B6" w:rsidP="00476E6F">
      <w:pPr>
        <w:pStyle w:val="FootnoteText"/>
        <w:spacing w:after="120"/>
      </w:pPr>
      <w:r w:rsidRPr="009C79E5">
        <w:rPr>
          <w:rStyle w:val="FootnoteReference"/>
        </w:rPr>
        <w:footnoteRef/>
      </w:r>
      <w:r w:rsidRPr="009C79E5">
        <w:t xml:space="preserve"> AADB Comments at 5.  AADB also notes that it can be quite challenging to connect assistive technology, such as Braille displays and notetakers, through Bluetooth to mobile devices.  </w:t>
      </w:r>
      <w:r w:rsidRPr="009C79E5">
        <w:rPr>
          <w:i/>
        </w:rPr>
        <w:t>Id.</w:t>
      </w:r>
      <w:r w:rsidRPr="009C79E5">
        <w:t xml:space="preserve"> at 4.</w:t>
      </w:r>
    </w:p>
  </w:footnote>
  <w:footnote w:id="88">
    <w:p w:rsidR="000A68B6" w:rsidRPr="009C79E5" w:rsidRDefault="000A68B6" w:rsidP="00476E6F">
      <w:pPr>
        <w:pStyle w:val="FootnoteText"/>
        <w:spacing w:after="120"/>
      </w:pPr>
      <w:r w:rsidRPr="009C79E5">
        <w:rPr>
          <w:rStyle w:val="FootnoteReference"/>
        </w:rPr>
        <w:footnoteRef/>
      </w:r>
      <w:r w:rsidRPr="009C79E5">
        <w:t xml:space="preserve"> </w:t>
      </w:r>
      <w:r w:rsidRPr="009C79E5">
        <w:rPr>
          <w:i/>
        </w:rPr>
        <w:t>Id.</w:t>
      </w:r>
      <w:r w:rsidRPr="009C79E5">
        <w:t xml:space="preserve"> at 2.  </w:t>
      </w:r>
    </w:p>
  </w:footnote>
  <w:footnote w:id="89">
    <w:p w:rsidR="000A68B6" w:rsidRPr="009C79E5" w:rsidRDefault="000A68B6" w:rsidP="00476E6F">
      <w:pPr>
        <w:pStyle w:val="FootnoteText"/>
        <w:spacing w:after="120"/>
      </w:pPr>
      <w:r w:rsidRPr="009C79E5">
        <w:rPr>
          <w:rStyle w:val="FootnoteReference"/>
        </w:rPr>
        <w:footnoteRef/>
      </w:r>
      <w:r w:rsidRPr="009C79E5">
        <w:t xml:space="preserve"> </w:t>
      </w:r>
      <w:r w:rsidRPr="009C79E5">
        <w:rPr>
          <w:i/>
        </w:rPr>
        <w:t>Id.</w:t>
      </w:r>
      <w:r w:rsidRPr="009C79E5">
        <w:t xml:space="preserve"> at 5.</w:t>
      </w:r>
    </w:p>
  </w:footnote>
  <w:footnote w:id="90">
    <w:p w:rsidR="000A68B6" w:rsidRPr="009C79E5" w:rsidRDefault="000A68B6" w:rsidP="00476E6F">
      <w:pPr>
        <w:pStyle w:val="FootnoteText"/>
        <w:spacing w:after="120"/>
        <w:rPr>
          <w:i/>
        </w:rPr>
      </w:pPr>
      <w:r w:rsidRPr="009C79E5">
        <w:rPr>
          <w:rStyle w:val="FootnoteReference"/>
        </w:rPr>
        <w:footnoteRef/>
      </w:r>
      <w:r w:rsidRPr="009C79E5">
        <w:t xml:space="preserve"> </w:t>
      </w:r>
      <w:r w:rsidRPr="009C79E5">
        <w:rPr>
          <w:i/>
        </w:rPr>
        <w:t>Id.</w:t>
      </w:r>
      <w:r w:rsidRPr="009C79E5">
        <w:t xml:space="preserve"> at 3.</w:t>
      </w:r>
    </w:p>
  </w:footnote>
  <w:footnote w:id="91">
    <w:p w:rsidR="000A68B6" w:rsidRPr="009C79E5" w:rsidRDefault="000A68B6" w:rsidP="00476E6F">
      <w:pPr>
        <w:pStyle w:val="FootnoteText"/>
        <w:spacing w:after="120"/>
        <w:rPr>
          <w:i/>
        </w:rPr>
      </w:pPr>
      <w:r w:rsidRPr="009C79E5">
        <w:rPr>
          <w:rStyle w:val="FootnoteReference"/>
        </w:rPr>
        <w:footnoteRef/>
      </w:r>
      <w:r w:rsidRPr="009C79E5">
        <w:t xml:space="preserve"> </w:t>
      </w:r>
      <w:r w:rsidRPr="009C79E5">
        <w:rPr>
          <w:i/>
        </w:rPr>
        <w:t>Id.</w:t>
      </w:r>
    </w:p>
  </w:footnote>
  <w:footnote w:id="92">
    <w:p w:rsidR="000A68B6" w:rsidRPr="009C79E5" w:rsidRDefault="000A68B6" w:rsidP="00476E6F">
      <w:pPr>
        <w:pStyle w:val="FootnoteText"/>
        <w:spacing w:after="120"/>
      </w:pPr>
      <w:r w:rsidRPr="009C79E5">
        <w:rPr>
          <w:rStyle w:val="FootnoteReference"/>
        </w:rPr>
        <w:footnoteRef/>
      </w:r>
      <w:r w:rsidRPr="009C79E5">
        <w:t xml:space="preserve"> </w:t>
      </w:r>
      <w:r w:rsidRPr="009C79E5">
        <w:rPr>
          <w:i/>
        </w:rPr>
        <w:t xml:space="preserve">Id. </w:t>
      </w:r>
      <w:r w:rsidRPr="009C79E5">
        <w:t xml:space="preserve"> AADB suggests that its members would benefit from requirements mandating mobile phones to be fully accessible to deaf-blind individuals.  </w:t>
      </w:r>
      <w:r w:rsidRPr="009C79E5">
        <w:rPr>
          <w:i/>
        </w:rPr>
        <w:t>Id.</w:t>
      </w:r>
      <w:r w:rsidRPr="009C79E5">
        <w:t xml:space="preserve"> at 4.  Sections 255 and 716 do, in fact, require the telecommunications and advanced communications services functions on mobile phones to be accessible to all persons with disabilities, though flexibility is provided in the manner in which this can be achieved, as noted above.  </w:t>
      </w:r>
      <w:r w:rsidRPr="009C79E5">
        <w:rPr>
          <w:i/>
        </w:rPr>
        <w:t xml:space="preserve">See </w:t>
      </w:r>
      <w:r w:rsidRPr="009C79E5">
        <w:t xml:space="preserve">¶¶ 9-11, </w:t>
      </w:r>
      <w:r w:rsidRPr="009C79E5">
        <w:rPr>
          <w:i/>
        </w:rPr>
        <w:t>supra</w:t>
      </w:r>
      <w:r w:rsidRPr="009C79E5">
        <w:t xml:space="preserve">.  Similarly, Section 718 requires Internet browsers built into mobile phones to be accessible to individuals who are blind or visually impaired, also as noted above.  </w:t>
      </w:r>
      <w:r w:rsidRPr="009C79E5">
        <w:rPr>
          <w:i/>
        </w:rPr>
        <w:t xml:space="preserve">See </w:t>
      </w:r>
      <w:r w:rsidRPr="009C79E5">
        <w:t xml:space="preserve">¶ 14, </w:t>
      </w:r>
      <w:r w:rsidRPr="009C79E5">
        <w:rPr>
          <w:i/>
        </w:rPr>
        <w:t>supra</w:t>
      </w:r>
    </w:p>
  </w:footnote>
  <w:footnote w:id="93">
    <w:p w:rsidR="000A68B6" w:rsidRPr="009C79E5" w:rsidRDefault="000A68B6" w:rsidP="00476E6F">
      <w:pPr>
        <w:pStyle w:val="FootnoteText"/>
        <w:spacing w:after="120"/>
      </w:pPr>
      <w:r w:rsidRPr="009C79E5">
        <w:rPr>
          <w:rStyle w:val="FootnoteReference"/>
        </w:rPr>
        <w:footnoteRef/>
      </w:r>
      <w:r w:rsidRPr="009C79E5">
        <w:t xml:space="preserve"> Comments of Georgia Institute of Technology, Center for Advanced Communications Policy (CACP), and the Rehabilitation Engineering Research Center for Wireless Technologies (Wireless RERC) (Wireless RERC Comments on Tentative Findings) at 7.  </w:t>
      </w:r>
    </w:p>
  </w:footnote>
  <w:footnote w:id="94">
    <w:p w:rsidR="000A68B6" w:rsidRPr="009C79E5" w:rsidRDefault="000A68B6" w:rsidP="00476E6F">
      <w:pPr>
        <w:pStyle w:val="FootnoteText"/>
        <w:spacing w:after="120"/>
      </w:pPr>
      <w:r w:rsidRPr="009C79E5">
        <w:rPr>
          <w:rStyle w:val="FootnoteReference"/>
        </w:rPr>
        <w:footnoteRef/>
      </w:r>
      <w:r w:rsidRPr="009C79E5">
        <w:t xml:space="preserve"> </w:t>
      </w:r>
      <w:r w:rsidRPr="009C79E5">
        <w:rPr>
          <w:i/>
        </w:rPr>
        <w:t>Id.</w:t>
      </w:r>
      <w:r w:rsidRPr="009C79E5">
        <w:t xml:space="preserve">  </w:t>
      </w:r>
    </w:p>
  </w:footnote>
  <w:footnote w:id="95">
    <w:p w:rsidR="000A68B6" w:rsidRPr="009C79E5" w:rsidRDefault="000A68B6" w:rsidP="00476E6F">
      <w:pPr>
        <w:pStyle w:val="FootnoteText"/>
        <w:spacing w:after="120"/>
      </w:pPr>
      <w:r w:rsidRPr="009C79E5">
        <w:rPr>
          <w:rStyle w:val="FootnoteReference"/>
        </w:rPr>
        <w:footnoteRef/>
      </w:r>
      <w:r w:rsidRPr="009C79E5">
        <w:t xml:space="preserve"> Wireless RERC Comments on Tentative Findings at 9.  </w:t>
      </w:r>
      <w:r w:rsidRPr="009C79E5">
        <w:rPr>
          <w:i/>
        </w:rPr>
        <w:t>See also</w:t>
      </w:r>
      <w:r w:rsidRPr="009C79E5">
        <w:t xml:space="preserve"> ¶ 25, </w:t>
      </w:r>
      <w:r w:rsidRPr="009C79E5">
        <w:rPr>
          <w:i/>
        </w:rPr>
        <w:t>infra</w:t>
      </w:r>
      <w:r w:rsidRPr="009C79E5">
        <w:t xml:space="preserve"> (CTIA explaining that the platform-based approach is enabling accessibility features to be more consistently available), ¶ 27, </w:t>
      </w:r>
      <w:r w:rsidRPr="009C79E5">
        <w:rPr>
          <w:i/>
        </w:rPr>
        <w:t>infra</w:t>
      </w:r>
      <w:r w:rsidRPr="009C79E5">
        <w:t xml:space="preserve"> (TIA asserting that the platform approach leverages the principle of universal design).</w:t>
      </w:r>
    </w:p>
  </w:footnote>
  <w:footnote w:id="96">
    <w:p w:rsidR="000A68B6" w:rsidRPr="009C79E5" w:rsidRDefault="000A68B6" w:rsidP="00476E6F">
      <w:pPr>
        <w:pStyle w:val="FootnoteText"/>
        <w:spacing w:after="120"/>
      </w:pPr>
      <w:r w:rsidRPr="009C79E5">
        <w:rPr>
          <w:rStyle w:val="FootnoteReference"/>
        </w:rPr>
        <w:footnoteRef/>
      </w:r>
      <w:r w:rsidRPr="009C79E5">
        <w:t xml:space="preserve"> Wireless RERC Comments on Tentative Findings at 10 (reporting that, of the 54% of survey respondents with disabilities who use smartphones, 89% used smartphones that operate on the iOS or Android platform).  </w:t>
      </w:r>
      <w:r w:rsidRPr="009C79E5">
        <w:rPr>
          <w:i/>
        </w:rPr>
        <w:t>See also, e.g.,</w:t>
      </w:r>
      <w:r w:rsidRPr="009C79E5">
        <w:t xml:space="preserve"> ¶ 21, </w:t>
      </w:r>
      <w:r w:rsidRPr="009C79E5">
        <w:rPr>
          <w:i/>
        </w:rPr>
        <w:t>supra</w:t>
      </w:r>
      <w:r w:rsidRPr="009C79E5">
        <w:t xml:space="preserve"> (AFB remarking on the accessibility of devices operating on the iOS, Android, and other platforms).</w:t>
      </w:r>
    </w:p>
  </w:footnote>
  <w:footnote w:id="97">
    <w:p w:rsidR="000A68B6" w:rsidRPr="009C79E5" w:rsidRDefault="000A68B6" w:rsidP="00476E6F">
      <w:pPr>
        <w:pStyle w:val="FootnoteText"/>
        <w:spacing w:after="120"/>
      </w:pPr>
      <w:r w:rsidRPr="009C79E5">
        <w:rPr>
          <w:rStyle w:val="FootnoteReference"/>
        </w:rPr>
        <w:footnoteRef/>
      </w:r>
      <w:r w:rsidRPr="009C79E5">
        <w:t xml:space="preserve"> Wireless RERC Comments on Tentative Findings at 10 (stating, as an example, that “changes to multi-touch functionality in Android (4.0 to 4.1) have made the BrailleTouch app not function correctly”).  </w:t>
      </w:r>
    </w:p>
  </w:footnote>
  <w:footnote w:id="98">
    <w:p w:rsidR="000A68B6" w:rsidRPr="009C79E5" w:rsidRDefault="000A68B6" w:rsidP="00476E6F">
      <w:pPr>
        <w:pStyle w:val="FootnoteText"/>
        <w:spacing w:after="120"/>
      </w:pPr>
      <w:r w:rsidRPr="009C79E5">
        <w:rPr>
          <w:rStyle w:val="FootnoteReference"/>
        </w:rPr>
        <w:footnoteRef/>
      </w:r>
      <w:r w:rsidRPr="009C79E5">
        <w:t xml:space="preserve"> </w:t>
      </w:r>
      <w:r w:rsidRPr="009C79E5">
        <w:rPr>
          <w:i/>
        </w:rPr>
        <w:t xml:space="preserve">Id. </w:t>
      </w:r>
      <w:r w:rsidRPr="009C79E5">
        <w:t>at 10.</w:t>
      </w:r>
    </w:p>
  </w:footnote>
  <w:footnote w:id="99">
    <w:p w:rsidR="000A68B6" w:rsidRPr="009C79E5" w:rsidRDefault="000A68B6" w:rsidP="00476E6F">
      <w:pPr>
        <w:pStyle w:val="FootnoteText"/>
        <w:spacing w:after="120"/>
      </w:pPr>
      <w:r w:rsidRPr="009C79E5">
        <w:rPr>
          <w:rStyle w:val="FootnoteReference"/>
        </w:rPr>
        <w:footnoteRef/>
      </w:r>
      <w:r w:rsidRPr="009C79E5">
        <w:t xml:space="preserve"> </w:t>
      </w:r>
      <w:r w:rsidRPr="009C79E5">
        <w:rPr>
          <w:i/>
        </w:rPr>
        <w:t xml:space="preserve">Id. </w:t>
      </w:r>
      <w:r w:rsidRPr="009C79E5">
        <w:t>at 9-10.</w:t>
      </w:r>
    </w:p>
  </w:footnote>
  <w:footnote w:id="100">
    <w:p w:rsidR="000A68B6" w:rsidRPr="009C79E5" w:rsidRDefault="000A68B6" w:rsidP="00476E6F">
      <w:pPr>
        <w:pStyle w:val="FootnoteText"/>
        <w:spacing w:after="120"/>
      </w:pPr>
      <w:r w:rsidRPr="009C79E5">
        <w:rPr>
          <w:rStyle w:val="FootnoteReference"/>
        </w:rPr>
        <w:footnoteRef/>
      </w:r>
      <w:r w:rsidRPr="009C79E5">
        <w:t xml:space="preserve"> </w:t>
      </w:r>
      <w:r w:rsidRPr="009C79E5">
        <w:rPr>
          <w:i/>
        </w:rPr>
        <w:t xml:space="preserve">Id. </w:t>
      </w:r>
      <w:r w:rsidRPr="009C79E5">
        <w:t>at 7-8.</w:t>
      </w:r>
    </w:p>
  </w:footnote>
  <w:footnote w:id="101">
    <w:p w:rsidR="000A68B6" w:rsidRPr="00FF1FD9" w:rsidRDefault="000A68B6" w:rsidP="00476E6F">
      <w:pPr>
        <w:pStyle w:val="FootnoteText"/>
        <w:spacing w:after="120"/>
      </w:pPr>
      <w:r w:rsidRPr="009C79E5">
        <w:rPr>
          <w:rStyle w:val="FootnoteReference"/>
        </w:rPr>
        <w:footnoteRef/>
      </w:r>
      <w:r w:rsidRPr="009C79E5">
        <w:t xml:space="preserve"> We erroneously reported, in the </w:t>
      </w:r>
      <w:r w:rsidRPr="009C79E5">
        <w:rPr>
          <w:i/>
        </w:rPr>
        <w:t>2014 CVAA Tentative Findings PN</w:t>
      </w:r>
      <w:r w:rsidRPr="009C79E5">
        <w:t xml:space="preserve">, that 29 individuals filed comments.  </w:t>
      </w:r>
      <w:r w:rsidRPr="009C79E5">
        <w:rPr>
          <w:i/>
        </w:rPr>
        <w:t>See 2014 CVAA Tentative Findings PN</w:t>
      </w:r>
      <w:r w:rsidRPr="009C79E5">
        <w:t>, 29 FCC Rcd at ___,</w:t>
      </w:r>
      <w:r w:rsidRPr="00FF1FD9">
        <w:t xml:space="preserve"> Attachment ¶ 6.  The correct number is 25.</w:t>
      </w:r>
    </w:p>
  </w:footnote>
  <w:footnote w:id="102">
    <w:p w:rsidR="000A68B6" w:rsidRPr="009C79E5" w:rsidRDefault="000A68B6" w:rsidP="00476E6F">
      <w:pPr>
        <w:pStyle w:val="FootnoteText"/>
        <w:spacing w:after="120"/>
      </w:pPr>
      <w:r w:rsidRPr="006C02D7">
        <w:rPr>
          <w:rStyle w:val="FootnoteReference"/>
        </w:rPr>
        <w:footnoteRef/>
      </w:r>
      <w:r w:rsidRPr="006C02D7">
        <w:t xml:space="preserve"> </w:t>
      </w:r>
      <w:r w:rsidRPr="006C02D7">
        <w:rPr>
          <w:i/>
        </w:rPr>
        <w:t>See,</w:t>
      </w:r>
      <w:r w:rsidRPr="009C5E08">
        <w:t xml:space="preserve"> </w:t>
      </w:r>
      <w:r w:rsidRPr="009C79E5">
        <w:rPr>
          <w:i/>
        </w:rPr>
        <w:t>e.g.,</w:t>
      </w:r>
      <w:r w:rsidRPr="009C79E5">
        <w:t xml:space="preserve"> Comments of Fred M. Scott; Comments of  Jake Joehl; Comments of Tristen and Turlock Breitenfeldt; Comments of Jeanette Schmoyer; Comments of Karen Palau; Comments of Anne Jarry; Comments of Sandy Spalletta.  </w:t>
      </w:r>
    </w:p>
  </w:footnote>
  <w:footnote w:id="103">
    <w:p w:rsidR="000A68B6" w:rsidRPr="009C79E5" w:rsidRDefault="000A68B6" w:rsidP="00476E6F">
      <w:pPr>
        <w:pStyle w:val="FootnoteText"/>
        <w:spacing w:after="120"/>
      </w:pPr>
      <w:r w:rsidRPr="009C79E5">
        <w:rPr>
          <w:rStyle w:val="FootnoteReference"/>
        </w:rPr>
        <w:footnoteRef/>
      </w:r>
      <w:r w:rsidRPr="009C79E5">
        <w:t xml:space="preserve"> </w:t>
      </w:r>
      <w:r w:rsidRPr="009C79E5">
        <w:rPr>
          <w:i/>
        </w:rPr>
        <w:t xml:space="preserve">See </w:t>
      </w:r>
      <w:r w:rsidRPr="009C79E5">
        <w:t>Comments of Ronald Flormata at 2 (“Needless to say, I can easily use my iPhone to . . . browse the web. . ..”); Comments of Katie Frederick (“When it comes to accessing the Internet/web, I find this process straightforward when using any of my technologies,” which include an Apple iPhone.).</w:t>
      </w:r>
    </w:p>
  </w:footnote>
  <w:footnote w:id="104">
    <w:p w:rsidR="000A68B6" w:rsidRPr="009C79E5" w:rsidRDefault="000A68B6" w:rsidP="00476E6F">
      <w:pPr>
        <w:pStyle w:val="FootnoteText"/>
        <w:spacing w:after="120"/>
      </w:pPr>
      <w:r w:rsidRPr="009C79E5">
        <w:rPr>
          <w:rStyle w:val="FootnoteReference"/>
        </w:rPr>
        <w:footnoteRef/>
      </w:r>
      <w:r w:rsidRPr="009C79E5">
        <w:t xml:space="preserve"> </w:t>
      </w:r>
      <w:r w:rsidRPr="009C79E5">
        <w:rPr>
          <w:i/>
        </w:rPr>
        <w:t xml:space="preserve">See, e.g., </w:t>
      </w:r>
      <w:r w:rsidRPr="009C79E5">
        <w:t>Comments of Al Posner (allow user to set a default magnification level); Comments of Russ Zochowski (provide ability to use Siri to add or edit contacts or delete messages); Comments of Sandy Spalletta (provide ability to locate answer button, phone and keyboard buttons); Comments of Kevin Lee (offer ability to decrease speed of Siri voice).</w:t>
      </w:r>
    </w:p>
  </w:footnote>
  <w:footnote w:id="105">
    <w:p w:rsidR="000A68B6" w:rsidRPr="009C79E5" w:rsidRDefault="000A68B6" w:rsidP="00476E6F">
      <w:pPr>
        <w:pStyle w:val="FootnoteText"/>
        <w:spacing w:after="120"/>
      </w:pPr>
      <w:r w:rsidRPr="009C79E5">
        <w:rPr>
          <w:rStyle w:val="FootnoteReference"/>
        </w:rPr>
        <w:footnoteRef/>
      </w:r>
      <w:r w:rsidRPr="009C79E5">
        <w:t xml:space="preserve"> As discussed below, approximately 15% of all informal complaints and RDAs received during the reporting period involved complaints about inaccessible wireless handsets received in conjunction with subscriptions for telephone services under the Commission’s Lifeline program.  </w:t>
      </w:r>
      <w:r w:rsidRPr="009C79E5">
        <w:rPr>
          <w:i/>
        </w:rPr>
        <w:t>See</w:t>
      </w:r>
      <w:r w:rsidRPr="009C79E5">
        <w:t xml:space="preserve"> ¶ 58, </w:t>
      </w:r>
      <w:r w:rsidRPr="009C79E5">
        <w:rPr>
          <w:i/>
        </w:rPr>
        <w:t>infra</w:t>
      </w:r>
      <w:r w:rsidRPr="009C79E5">
        <w:t xml:space="preserve">.  Since 1985, the Lifeline program, which is supported by the Universal Service Fund, has provided a discount on phone service for qualifying low-income consumers to ensure that all Americans have the opportunity and security that telephone service brings.  In 2005, Lifeline discounts were made available to qualifying low-income consumers on pre-paid wireless service plans, in addition to traditional landline service.  </w:t>
      </w:r>
      <w:r w:rsidRPr="009C79E5">
        <w:rPr>
          <w:i/>
        </w:rPr>
        <w:t>See</w:t>
      </w:r>
      <w:r w:rsidRPr="009C79E5">
        <w:t xml:space="preserve"> “Lifeline Program for Low-Income Consumers” at </w:t>
      </w:r>
      <w:hyperlink r:id="rId16" w:history="1">
        <w:r w:rsidRPr="009C79E5">
          <w:rPr>
            <w:rStyle w:val="Hyperlink1"/>
          </w:rPr>
          <w:t>http://www.fcc.gov/lifeline</w:t>
        </w:r>
      </w:hyperlink>
      <w:r w:rsidRPr="009C79E5">
        <w:t xml:space="preserve"> (last viewed Oct. 3, 2014).  </w:t>
      </w:r>
    </w:p>
  </w:footnote>
  <w:footnote w:id="106">
    <w:p w:rsidR="000A68B6" w:rsidRPr="009C79E5" w:rsidRDefault="000A68B6" w:rsidP="00476E6F">
      <w:pPr>
        <w:pStyle w:val="FootnoteText"/>
        <w:spacing w:after="120"/>
      </w:pPr>
      <w:r w:rsidRPr="009C79E5">
        <w:rPr>
          <w:rStyle w:val="FootnoteReference"/>
        </w:rPr>
        <w:footnoteRef/>
      </w:r>
      <w:r w:rsidRPr="009C79E5">
        <w:t xml:space="preserve"> </w:t>
      </w:r>
      <w:r w:rsidRPr="009C79E5">
        <w:rPr>
          <w:i/>
        </w:rPr>
        <w:t xml:space="preserve">See, e.g., </w:t>
      </w:r>
      <w:r w:rsidRPr="009C79E5">
        <w:t xml:space="preserve">Comments of Andrea Roth (“Assurance Wireless phones that are provided for low-income individuals, are not very accessible.  It would be better if they at least had voice-dialing capability.”); Comments of Percy Chavez (telephones from prepaid wireless provider “are not accessible at all”).  A number of the commenters noted concerns that are outside the scope of what the Commission is required to report on under Section 717(b)(1) of the Act, but which we nonetheless include for the benefit of Congress.  </w:t>
      </w:r>
      <w:r w:rsidRPr="009C79E5">
        <w:rPr>
          <w:i/>
        </w:rPr>
        <w:t xml:space="preserve">See infra </w:t>
      </w:r>
      <w:r w:rsidRPr="009C79E5">
        <w:t>n.232.  For example, some commenters expressed concern regarding the inaccessibility of websites (</w:t>
      </w:r>
      <w:r w:rsidRPr="009C79E5">
        <w:rPr>
          <w:i/>
        </w:rPr>
        <w:t>see, e.g.,</w:t>
      </w:r>
      <w:r w:rsidRPr="009C79E5">
        <w:t xml:space="preserve"> Comments of Al Posner; Comments of Larry McMillan; Comments of Kevin Lee; Comments of Ronald Kaplan); inaccessibility of software applications (</w:t>
      </w:r>
      <w:r w:rsidRPr="009C79E5">
        <w:rPr>
          <w:i/>
        </w:rPr>
        <w:t>see, e.g.,</w:t>
      </w:r>
      <w:r w:rsidRPr="009C79E5">
        <w:t xml:space="preserve"> Comments of Rhonda Staats; Comments of Karen Palau); and, generally, the overutilization of touch screen and touch pad input devices on household appliances and other devices (</w:t>
      </w:r>
      <w:r w:rsidRPr="009C79E5">
        <w:rPr>
          <w:i/>
        </w:rPr>
        <w:t>see, e.g.,</w:t>
      </w:r>
      <w:r w:rsidRPr="009C79E5">
        <w:t xml:space="preserve"> Comments of Al Posner; Comments of Ron Kolesar).</w:t>
      </w:r>
    </w:p>
  </w:footnote>
  <w:footnote w:id="107">
    <w:p w:rsidR="000A68B6" w:rsidRPr="009C79E5" w:rsidRDefault="000A68B6" w:rsidP="00476E6F">
      <w:pPr>
        <w:pStyle w:val="FootnoteText"/>
        <w:spacing w:after="120"/>
      </w:pPr>
      <w:r w:rsidRPr="009C79E5">
        <w:rPr>
          <w:rStyle w:val="FootnoteReference"/>
        </w:rPr>
        <w:footnoteRef/>
      </w:r>
      <w:r w:rsidRPr="009C79E5">
        <w:t xml:space="preserve"> Comments of CTIA – the Wireless Association (CTIA Comments) at 8.</w:t>
      </w:r>
    </w:p>
  </w:footnote>
  <w:footnote w:id="108">
    <w:p w:rsidR="000A68B6" w:rsidRPr="009C79E5" w:rsidRDefault="000A68B6" w:rsidP="00476E6F">
      <w:pPr>
        <w:pStyle w:val="FootnoteText"/>
        <w:spacing w:after="120"/>
      </w:pPr>
      <w:r w:rsidRPr="009C79E5">
        <w:rPr>
          <w:rStyle w:val="FootnoteReference"/>
        </w:rPr>
        <w:footnoteRef/>
      </w:r>
      <w:r w:rsidRPr="009C79E5">
        <w:t xml:space="preserve"> CTIA Comments at 9.</w:t>
      </w:r>
    </w:p>
  </w:footnote>
  <w:footnote w:id="109">
    <w:p w:rsidR="000A68B6" w:rsidRPr="009C79E5" w:rsidRDefault="000A68B6" w:rsidP="00476E6F">
      <w:pPr>
        <w:pStyle w:val="FootnoteText"/>
        <w:spacing w:after="120"/>
      </w:pPr>
      <w:r w:rsidRPr="009C79E5">
        <w:rPr>
          <w:rStyle w:val="FootnoteReference"/>
        </w:rPr>
        <w:footnoteRef/>
      </w:r>
      <w:r w:rsidRPr="009C79E5">
        <w:t xml:space="preserve"> </w:t>
      </w:r>
      <w:r w:rsidRPr="009C79E5">
        <w:rPr>
          <w:i/>
        </w:rPr>
        <w:t>Id.</w:t>
      </w:r>
      <w:r w:rsidRPr="009C79E5">
        <w:t xml:space="preserve"> at 15-17.  CTIA mentions Pantech’s Breeze flip phones that utilize universal design principles, and Sprint’s Kyocera Kona, Verve, and Duraplus phones that offer a variety of accessibility features.  </w:t>
      </w:r>
      <w:r w:rsidRPr="009C79E5">
        <w:rPr>
          <w:i/>
        </w:rPr>
        <w:t xml:space="preserve">Id. </w:t>
      </w:r>
      <w:r w:rsidRPr="009C79E5">
        <w:t xml:space="preserve">at 15-16.  In addition, CTIA points to new offerings that focus specifically on the delivery of wireless services to people with disabilities, such as GreatCall, which specializes in products and services designed for seniors, as well as Odin Mobile and Project RAY, which market services and offer accessible phones to individuals who are blind or visually impaired.  </w:t>
      </w:r>
      <w:r w:rsidRPr="009C79E5">
        <w:rPr>
          <w:i/>
        </w:rPr>
        <w:t xml:space="preserve">Id. </w:t>
      </w:r>
      <w:r w:rsidRPr="009C79E5">
        <w:t>at 16-17.</w:t>
      </w:r>
    </w:p>
  </w:footnote>
  <w:footnote w:id="110">
    <w:p w:rsidR="000A68B6" w:rsidRPr="009C79E5" w:rsidRDefault="000A68B6" w:rsidP="00476E6F">
      <w:pPr>
        <w:pStyle w:val="FootnoteText"/>
        <w:spacing w:after="120"/>
      </w:pPr>
      <w:r w:rsidRPr="009C79E5">
        <w:rPr>
          <w:rStyle w:val="FootnoteReference"/>
        </w:rPr>
        <w:footnoteRef/>
      </w:r>
      <w:r w:rsidRPr="009C79E5">
        <w:t xml:space="preserve"> </w:t>
      </w:r>
      <w:r w:rsidRPr="009C79E5">
        <w:rPr>
          <w:i/>
        </w:rPr>
        <w:t>Id.</w:t>
      </w:r>
      <w:r w:rsidRPr="009C79E5">
        <w:t xml:space="preserve"> at 9-10.</w:t>
      </w:r>
    </w:p>
  </w:footnote>
  <w:footnote w:id="111">
    <w:p w:rsidR="000A68B6" w:rsidRPr="009C79E5" w:rsidRDefault="000A68B6" w:rsidP="00476E6F">
      <w:pPr>
        <w:pStyle w:val="FootnoteText"/>
        <w:spacing w:after="120"/>
      </w:pPr>
      <w:r w:rsidRPr="009C79E5">
        <w:rPr>
          <w:rStyle w:val="FootnoteReference"/>
        </w:rPr>
        <w:footnoteRef/>
      </w:r>
      <w:r w:rsidRPr="009C79E5">
        <w:t xml:space="preserve"> </w:t>
      </w:r>
      <w:r w:rsidRPr="009C79E5">
        <w:rPr>
          <w:i/>
        </w:rPr>
        <w:t>Id.</w:t>
      </w:r>
      <w:r w:rsidRPr="009C79E5">
        <w:t xml:space="preserve"> at 10-12.  CTIA cites, as examples, Apple’s VoiceOver screen reader and platform support for more than 40 refreshable Braille displays; Google’s Android operating system with a built-in TalkBack screen reader that also offers Explore by Touch  (audible output activated by touching the screen) and BrailleBack (to help make supported refreshable Braille displays via Bluetooth); Blackberry 10’s operating system that includes screen reader software, BlackBerry Magnify, and voice control; Microsoft’s Windows Phone 8.1 that offers the Narrator screen reader and hands-free operation by voice control.  </w:t>
      </w:r>
      <w:r w:rsidRPr="009C79E5">
        <w:rPr>
          <w:i/>
        </w:rPr>
        <w:t>Id.</w:t>
      </w:r>
      <w:r w:rsidRPr="009C79E5">
        <w:t xml:space="preserve"> at 10-11.  CTIA also reports that manufacturers, such as Nokia, include built-in accessibility features in their products, including voice controls, adjustable fonts, text-to-speech, Nuance Talks, screen readers, and message readers.  </w:t>
      </w:r>
      <w:r w:rsidRPr="009C79E5">
        <w:rPr>
          <w:i/>
        </w:rPr>
        <w:t>Id.</w:t>
      </w:r>
      <w:r w:rsidRPr="009C79E5">
        <w:t xml:space="preserve"> at 11.  CTIA also mentions HTC’s adjustable font sizes for e-mail and webpages; Samsung’s Galaxy 5’s Dark Screen option; LG G2’s built-in screen magnifier; and Motorola Moto X’s combined screen reader with a Braille display.  </w:t>
      </w:r>
      <w:r w:rsidRPr="009C79E5">
        <w:rPr>
          <w:i/>
        </w:rPr>
        <w:t>Id.</w:t>
      </w:r>
      <w:r w:rsidRPr="009C79E5">
        <w:t xml:space="preserve"> at 11-12.  Additional accessibility features for individuals who are blind or visually impaired are offered by service providers, such as Sprint’s “Accessible Now” voice guidance software to help set up and activate its LG F3, Flex, and G2 phones.  </w:t>
      </w:r>
      <w:r w:rsidRPr="009C79E5">
        <w:rPr>
          <w:i/>
        </w:rPr>
        <w:t>Id.</w:t>
      </w:r>
      <w:r w:rsidRPr="009C79E5">
        <w:t xml:space="preserve"> at 12.  </w:t>
      </w:r>
    </w:p>
  </w:footnote>
  <w:footnote w:id="112">
    <w:p w:rsidR="000A68B6" w:rsidRPr="009C79E5" w:rsidRDefault="000A68B6" w:rsidP="00476E6F">
      <w:pPr>
        <w:pStyle w:val="FootnoteText"/>
        <w:spacing w:after="120"/>
      </w:pPr>
      <w:r w:rsidRPr="009C79E5">
        <w:rPr>
          <w:rStyle w:val="FootnoteReference"/>
        </w:rPr>
        <w:footnoteRef/>
      </w:r>
      <w:r w:rsidRPr="009C79E5">
        <w:t xml:space="preserve"> </w:t>
      </w:r>
      <w:r w:rsidRPr="009C79E5">
        <w:rPr>
          <w:i/>
        </w:rPr>
        <w:t>Id.</w:t>
      </w:r>
      <w:r w:rsidRPr="009C79E5">
        <w:t xml:space="preserve"> at 12-13.  CTIA reports that, in addition to hearing aid compatibility and volume control, many wireless devices include visual and vibrating alerts for calls, texts, e-mails, and other notifications.  </w:t>
      </w:r>
      <w:r w:rsidRPr="009C79E5">
        <w:rPr>
          <w:i/>
        </w:rPr>
        <w:t>Id.</w:t>
      </w:r>
      <w:r w:rsidRPr="009C79E5">
        <w:t xml:space="preserve"> at 12.  In addition, smartphones with front-facing cameras enable video communication by American Sign Language users.  </w:t>
      </w:r>
      <w:r w:rsidRPr="009C79E5">
        <w:rPr>
          <w:i/>
        </w:rPr>
        <w:t xml:space="preserve">Id. </w:t>
      </w:r>
      <w:r w:rsidRPr="009C79E5">
        <w:t xml:space="preserve">at 13.  According to CTIA, Motorola devices offer CrystalTalk (a noise-masking algorithm); and Blackberry devices offer a Natural Sound feature (to hear nuances and variations in tone).  </w:t>
      </w:r>
      <w:r w:rsidRPr="009C79E5">
        <w:rPr>
          <w:i/>
        </w:rPr>
        <w:t>Id.</w:t>
      </w:r>
      <w:r w:rsidRPr="009C79E5">
        <w:t xml:space="preserve"> at 13.</w:t>
      </w:r>
    </w:p>
  </w:footnote>
  <w:footnote w:id="113">
    <w:p w:rsidR="000A68B6" w:rsidRPr="009C79E5" w:rsidRDefault="000A68B6" w:rsidP="00476E6F">
      <w:pPr>
        <w:pStyle w:val="FootnoteText"/>
        <w:spacing w:after="120"/>
      </w:pPr>
      <w:r w:rsidRPr="009C79E5">
        <w:rPr>
          <w:rStyle w:val="FootnoteReference"/>
        </w:rPr>
        <w:footnoteRef/>
      </w:r>
      <w:r w:rsidRPr="009C79E5">
        <w:t xml:space="preserve"> </w:t>
      </w:r>
      <w:r w:rsidRPr="009C79E5">
        <w:rPr>
          <w:i/>
        </w:rPr>
        <w:t>Id.</w:t>
      </w:r>
      <w:r w:rsidRPr="009C79E5">
        <w:t xml:space="preserve"> at 13-14.  For example, CTIA mentions “dexterity features, such as ‘no slip’ coatings, external stylus support, external keyboard support, predictive text (auto-correct), voice commands, and Bluetooth connectivity.”  </w:t>
      </w:r>
      <w:r w:rsidRPr="009C79E5">
        <w:rPr>
          <w:i/>
        </w:rPr>
        <w:t>Id.</w:t>
      </w:r>
      <w:r w:rsidRPr="009C79E5">
        <w:t xml:space="preserve"> at 13.  According to CTIA, HTC offers smartphones with haptic feedback; Apple offers AssistiveTouch to suit an individual’s physical needs and to support third-party assistive technology, such as Bluetooth-enabled switch hardware; and Google’s Android offers Touch and Hold Delay and TalkBack speech features.  </w:t>
      </w:r>
      <w:r w:rsidRPr="009C79E5">
        <w:rPr>
          <w:i/>
        </w:rPr>
        <w:t>Id.</w:t>
      </w:r>
      <w:r w:rsidRPr="009C79E5">
        <w:t xml:space="preserve"> at 13-14.</w:t>
      </w:r>
    </w:p>
  </w:footnote>
  <w:footnote w:id="114">
    <w:p w:rsidR="000A68B6" w:rsidRPr="009C79E5" w:rsidRDefault="000A68B6" w:rsidP="00476E6F">
      <w:pPr>
        <w:pStyle w:val="FootnoteText"/>
        <w:spacing w:after="120"/>
        <w:rPr>
          <w:i/>
        </w:rPr>
      </w:pPr>
      <w:r w:rsidRPr="009C79E5">
        <w:rPr>
          <w:rStyle w:val="FootnoteReference"/>
        </w:rPr>
        <w:footnoteRef/>
      </w:r>
      <w:r w:rsidRPr="009C79E5">
        <w:t xml:space="preserve"> </w:t>
      </w:r>
      <w:r w:rsidRPr="009C79E5">
        <w:rPr>
          <w:i/>
        </w:rPr>
        <w:t>Id.</w:t>
      </w:r>
      <w:r w:rsidRPr="009C79E5">
        <w:t xml:space="preserve"> at 14.  Features that are useful for individuals with cognitive disabilities include photo contact lists, voice dialing and operations, and options to eliminate screen time-outs.  </w:t>
      </w:r>
      <w:r w:rsidRPr="009C79E5">
        <w:rPr>
          <w:i/>
        </w:rPr>
        <w:t xml:space="preserve">Id.  </w:t>
      </w:r>
      <w:r w:rsidRPr="009C79E5">
        <w:t xml:space="preserve">CTIA mentions that Pantech’s Breeze phones have simplified display options and Samsung offers an “easy” mode on its Android-based smartphones.  </w:t>
      </w:r>
      <w:r w:rsidRPr="009C79E5">
        <w:rPr>
          <w:i/>
        </w:rPr>
        <w:t>Id.</w:t>
      </w:r>
    </w:p>
  </w:footnote>
  <w:footnote w:id="115">
    <w:p w:rsidR="000A68B6" w:rsidRPr="009C79E5" w:rsidRDefault="000A68B6" w:rsidP="00476E6F">
      <w:pPr>
        <w:pStyle w:val="FootnoteText"/>
        <w:spacing w:after="120"/>
      </w:pPr>
      <w:r w:rsidRPr="009C79E5">
        <w:rPr>
          <w:rStyle w:val="FootnoteReference"/>
        </w:rPr>
        <w:footnoteRef/>
      </w:r>
      <w:r w:rsidRPr="009C79E5">
        <w:t xml:space="preserve"> </w:t>
      </w:r>
      <w:r w:rsidRPr="009C79E5">
        <w:rPr>
          <w:i/>
        </w:rPr>
        <w:t>Id.</w:t>
      </w:r>
      <w:r w:rsidRPr="009C79E5">
        <w:t xml:space="preserve"> at 14.  For example, CTIA points to Apple’s Siri program that responds to voice commands and Microsoft’s Windows Phone Cortana application that can be accessed by voice or by text.  </w:t>
      </w:r>
      <w:r w:rsidRPr="009C79E5">
        <w:rPr>
          <w:i/>
        </w:rPr>
        <w:t>Id.</w:t>
      </w:r>
      <w:r w:rsidRPr="009C79E5">
        <w:t xml:space="preserve"> at 14-15.</w:t>
      </w:r>
    </w:p>
  </w:footnote>
  <w:footnote w:id="116">
    <w:p w:rsidR="000A68B6" w:rsidRPr="009C79E5" w:rsidRDefault="000A68B6" w:rsidP="00476E6F">
      <w:pPr>
        <w:pStyle w:val="FootnoteText"/>
        <w:spacing w:after="120"/>
      </w:pPr>
      <w:r w:rsidRPr="009C79E5">
        <w:rPr>
          <w:rStyle w:val="FootnoteReference"/>
        </w:rPr>
        <w:footnoteRef/>
      </w:r>
      <w:r w:rsidRPr="009C79E5">
        <w:t xml:space="preserve"> </w:t>
      </w:r>
      <w:r w:rsidRPr="009C79E5">
        <w:rPr>
          <w:i/>
        </w:rPr>
        <w:t>Id.</w:t>
      </w:r>
      <w:r w:rsidRPr="009C79E5">
        <w:t xml:space="preserve"> at 18-24.</w:t>
      </w:r>
    </w:p>
  </w:footnote>
  <w:footnote w:id="117">
    <w:p w:rsidR="000A68B6" w:rsidRPr="009C79E5" w:rsidRDefault="000A68B6" w:rsidP="00476E6F">
      <w:pPr>
        <w:pStyle w:val="FootnoteText"/>
        <w:spacing w:after="120"/>
      </w:pPr>
      <w:r w:rsidRPr="009C79E5">
        <w:rPr>
          <w:rStyle w:val="FootnoteReference"/>
        </w:rPr>
        <w:footnoteRef/>
      </w:r>
      <w:r w:rsidRPr="009C79E5">
        <w:t xml:space="preserve"> </w:t>
      </w:r>
      <w:r w:rsidRPr="009C79E5">
        <w:rPr>
          <w:i/>
        </w:rPr>
        <w:t>Id.</w:t>
      </w:r>
      <w:r w:rsidRPr="009C79E5">
        <w:t xml:space="preserve"> at 18-20.</w:t>
      </w:r>
    </w:p>
  </w:footnote>
  <w:footnote w:id="118">
    <w:p w:rsidR="000A68B6" w:rsidRPr="009C79E5" w:rsidRDefault="000A68B6" w:rsidP="00476E6F">
      <w:pPr>
        <w:pStyle w:val="FootnoteText"/>
        <w:spacing w:after="120"/>
      </w:pPr>
      <w:r w:rsidRPr="009C79E5">
        <w:rPr>
          <w:rStyle w:val="FootnoteReference"/>
        </w:rPr>
        <w:footnoteRef/>
      </w:r>
      <w:r w:rsidRPr="009C79E5">
        <w:t xml:space="preserve"> </w:t>
      </w:r>
      <w:r w:rsidRPr="009C79E5">
        <w:rPr>
          <w:i/>
        </w:rPr>
        <w:t>Id.</w:t>
      </w:r>
      <w:r w:rsidRPr="009C79E5">
        <w:t xml:space="preserve"> at 20-21, 23-24.</w:t>
      </w:r>
    </w:p>
  </w:footnote>
  <w:footnote w:id="119">
    <w:p w:rsidR="000A68B6" w:rsidRPr="009C79E5" w:rsidRDefault="000A68B6" w:rsidP="00476E6F">
      <w:pPr>
        <w:pStyle w:val="FootnoteText"/>
        <w:spacing w:after="120"/>
        <w:rPr>
          <w:i/>
        </w:rPr>
      </w:pPr>
      <w:r w:rsidRPr="009C79E5">
        <w:rPr>
          <w:rStyle w:val="FootnoteReference"/>
        </w:rPr>
        <w:footnoteRef/>
      </w:r>
      <w:r w:rsidRPr="009C79E5">
        <w:t xml:space="preserve"> </w:t>
      </w:r>
      <w:r w:rsidRPr="009C79E5">
        <w:rPr>
          <w:i/>
        </w:rPr>
        <w:t>Id.</w:t>
      </w:r>
      <w:r w:rsidRPr="009C79E5">
        <w:t xml:space="preserve"> at 21-23.  In its comments, CTIA mentions applications that improve the accessibility of mobile devices, as well as applications that assist with productivity, such as apps that identify currency, colors, and images.  </w:t>
      </w:r>
      <w:r w:rsidRPr="009C79E5">
        <w:rPr>
          <w:i/>
        </w:rPr>
        <w:t>Id.</w:t>
      </w:r>
    </w:p>
  </w:footnote>
  <w:footnote w:id="120">
    <w:p w:rsidR="000A68B6" w:rsidRPr="009C79E5" w:rsidRDefault="000A68B6" w:rsidP="00476E6F">
      <w:pPr>
        <w:pStyle w:val="FootnoteText"/>
        <w:spacing w:after="120"/>
      </w:pPr>
      <w:r w:rsidRPr="009C79E5">
        <w:rPr>
          <w:rStyle w:val="FootnoteReference"/>
        </w:rPr>
        <w:footnoteRef/>
      </w:r>
      <w:r w:rsidRPr="009C79E5">
        <w:t xml:space="preserve"> </w:t>
      </w:r>
      <w:r w:rsidRPr="009C79E5">
        <w:rPr>
          <w:i/>
        </w:rPr>
        <w:t>Id.</w:t>
      </w:r>
      <w:r w:rsidRPr="009C79E5">
        <w:t xml:space="preserve"> at 24-25 (pointing to efforts by AT&amp;T, Sprint, T-Mobile, and Verizon Wireless to carry text-to-911 transmissions); Comments of the Telecommunications Industry Association (TIA Comments) at 8-9 (noting its work with standards groups to enable text-to-911).  </w:t>
      </w:r>
    </w:p>
  </w:footnote>
  <w:footnote w:id="121">
    <w:p w:rsidR="000A68B6" w:rsidRPr="009C79E5" w:rsidRDefault="000A68B6" w:rsidP="00476E6F">
      <w:pPr>
        <w:pStyle w:val="FootnoteText"/>
        <w:spacing w:after="120"/>
      </w:pPr>
      <w:r w:rsidRPr="009C79E5">
        <w:rPr>
          <w:rStyle w:val="FootnoteReference"/>
        </w:rPr>
        <w:footnoteRef/>
      </w:r>
      <w:r w:rsidRPr="009C79E5">
        <w:t xml:space="preserve"> TIA Comments at 4.</w:t>
      </w:r>
    </w:p>
  </w:footnote>
  <w:footnote w:id="122">
    <w:p w:rsidR="000A68B6" w:rsidRPr="009C79E5" w:rsidRDefault="000A68B6" w:rsidP="00476E6F">
      <w:pPr>
        <w:pStyle w:val="FootnoteText"/>
        <w:spacing w:after="120"/>
      </w:pPr>
      <w:r w:rsidRPr="009C79E5">
        <w:rPr>
          <w:rStyle w:val="FootnoteReference"/>
        </w:rPr>
        <w:footnoteRef/>
      </w:r>
      <w:r w:rsidRPr="009C79E5">
        <w:t xml:space="preserve"> </w:t>
      </w:r>
      <w:r w:rsidRPr="009C79E5">
        <w:rPr>
          <w:i/>
        </w:rPr>
        <w:t>Id.</w:t>
      </w:r>
      <w:r w:rsidRPr="009C79E5">
        <w:t xml:space="preserve"> at 5-6.</w:t>
      </w:r>
    </w:p>
  </w:footnote>
  <w:footnote w:id="123">
    <w:p w:rsidR="000A68B6" w:rsidRPr="009C79E5" w:rsidRDefault="000A68B6" w:rsidP="00476E6F">
      <w:pPr>
        <w:pStyle w:val="FootnoteText"/>
        <w:spacing w:after="120"/>
      </w:pPr>
      <w:r w:rsidRPr="009C79E5">
        <w:rPr>
          <w:rStyle w:val="FootnoteReference"/>
        </w:rPr>
        <w:footnoteRef/>
      </w:r>
      <w:r w:rsidRPr="009C79E5">
        <w:t xml:space="preserve"> </w:t>
      </w:r>
      <w:r w:rsidRPr="009C79E5">
        <w:rPr>
          <w:i/>
        </w:rPr>
        <w:t>Id.</w:t>
      </w:r>
      <w:r w:rsidRPr="009C79E5">
        <w:t xml:space="preserve"> at 7-8.  </w:t>
      </w:r>
      <w:r w:rsidRPr="009C79E5">
        <w:rPr>
          <w:i/>
        </w:rPr>
        <w:t xml:space="preserve">See also </w:t>
      </w:r>
      <w:r w:rsidRPr="009C79E5">
        <w:t xml:space="preserve">Telecommunications Industry Association, Access to Telecommunications Equipment and Services by Persons with Disabilities, RM-11682, Petition for Rulemaking (filed Oct. 25, 2012) (TIA Petition).  </w:t>
      </w:r>
    </w:p>
  </w:footnote>
  <w:footnote w:id="124">
    <w:p w:rsidR="000A68B6" w:rsidRPr="009C79E5" w:rsidRDefault="000A68B6" w:rsidP="00476E6F">
      <w:pPr>
        <w:pStyle w:val="FootnoteText"/>
        <w:spacing w:after="120"/>
      </w:pPr>
      <w:r w:rsidRPr="009C79E5">
        <w:rPr>
          <w:rStyle w:val="FootnoteReference"/>
        </w:rPr>
        <w:footnoteRef/>
      </w:r>
      <w:r w:rsidRPr="009C79E5">
        <w:t xml:space="preserve"> TIA Comments at 8.  </w:t>
      </w:r>
    </w:p>
  </w:footnote>
  <w:footnote w:id="125">
    <w:p w:rsidR="000A68B6" w:rsidRPr="009C79E5" w:rsidRDefault="000A68B6" w:rsidP="00476E6F">
      <w:pPr>
        <w:pStyle w:val="FootnoteText"/>
        <w:spacing w:after="120"/>
      </w:pPr>
      <w:r w:rsidRPr="009C79E5">
        <w:rPr>
          <w:rStyle w:val="FootnoteReference"/>
        </w:rPr>
        <w:footnoteRef/>
      </w:r>
      <w:r w:rsidRPr="009C79E5">
        <w:t xml:space="preserve"> Comments of the Consumer Electronics Association (CEA Comments) at 4.  </w:t>
      </w:r>
    </w:p>
  </w:footnote>
  <w:footnote w:id="126">
    <w:p w:rsidR="000A68B6" w:rsidRPr="009C79E5" w:rsidRDefault="000A68B6" w:rsidP="00476E6F">
      <w:pPr>
        <w:pStyle w:val="FootnoteText"/>
        <w:spacing w:after="120"/>
      </w:pPr>
      <w:r w:rsidRPr="009C79E5">
        <w:rPr>
          <w:rStyle w:val="FootnoteReference"/>
        </w:rPr>
        <w:footnoteRef/>
      </w:r>
      <w:r w:rsidRPr="009C79E5">
        <w:t xml:space="preserve"> CEA Comments at 5.  CEA describes implementation of the accessibility requirements as “resource intensive and time-consuming.”  </w:t>
      </w:r>
      <w:r w:rsidRPr="009C79E5">
        <w:rPr>
          <w:i/>
        </w:rPr>
        <w:t>Id.</w:t>
      </w:r>
      <w:r w:rsidRPr="009C79E5">
        <w:t xml:space="preserve"> at 4-5.  Asserting, without more, that “smaller entities have encountered challenges in achieving compliance,” CEA recommends an exemption for small entities, “which will facilitate the entry and continued participation of small entrepreneurial businesses in providing innovative [advanced communications services and] equipment.”  </w:t>
      </w:r>
      <w:r w:rsidRPr="009C79E5">
        <w:rPr>
          <w:i/>
        </w:rPr>
        <w:t>Id.</w:t>
      </w:r>
      <w:r w:rsidRPr="009C79E5">
        <w:t xml:space="preserve"> at 5.</w:t>
      </w:r>
    </w:p>
  </w:footnote>
  <w:footnote w:id="127">
    <w:p w:rsidR="000A68B6" w:rsidRPr="009C79E5" w:rsidRDefault="000A68B6" w:rsidP="00476E6F">
      <w:pPr>
        <w:pStyle w:val="FootnoteText"/>
        <w:spacing w:after="120"/>
        <w:rPr>
          <w:i/>
        </w:rPr>
      </w:pPr>
      <w:r w:rsidRPr="009C79E5">
        <w:rPr>
          <w:rStyle w:val="FootnoteReference"/>
        </w:rPr>
        <w:footnoteRef/>
      </w:r>
      <w:r w:rsidRPr="009C79E5">
        <w:t xml:space="preserve"> </w:t>
      </w:r>
      <w:r w:rsidRPr="009C79E5">
        <w:rPr>
          <w:i/>
        </w:rPr>
        <w:t>Id.</w:t>
      </w:r>
      <w:r w:rsidRPr="009C79E5">
        <w:t xml:space="preserve"> at 3.  CEA also expresses appreciation for the Commission’s grant of limited waivers.  </w:t>
      </w:r>
      <w:r w:rsidRPr="009C79E5">
        <w:rPr>
          <w:i/>
        </w:rPr>
        <w:t xml:space="preserve">See ACS Waiver Order, </w:t>
      </w:r>
      <w:r w:rsidRPr="009C79E5">
        <w:t>27 FCC Rcd 12970 (</w:t>
      </w:r>
      <w:r w:rsidRPr="006C02D7">
        <w:t>granting class waivers of advanced communicatio</w:t>
      </w:r>
      <w:r w:rsidRPr="009C5E08">
        <w:t xml:space="preserve">ns services accessibility rules until October 8, 2015, for Internet protocol-enabled television sets, Internet-enabled digital video players, cable set-top boxes, and gaming consoles, services and software).  </w:t>
      </w:r>
      <w:r w:rsidRPr="009C79E5">
        <w:rPr>
          <w:i/>
        </w:rPr>
        <w:t xml:space="preserve">See also </w:t>
      </w:r>
      <w:r w:rsidRPr="009C79E5">
        <w:t xml:space="preserve">TIA Comments at 9-10 (expressing appreciation for the Commission’s careful consideration of past waiver requests relating to the advanced communications services accessibility requirements).  </w:t>
      </w:r>
    </w:p>
  </w:footnote>
  <w:footnote w:id="128">
    <w:p w:rsidR="000A68B6" w:rsidRPr="009C79E5" w:rsidRDefault="000A68B6" w:rsidP="00476E6F">
      <w:pPr>
        <w:pStyle w:val="FootnoteText"/>
        <w:spacing w:after="120"/>
      </w:pPr>
      <w:r w:rsidRPr="009C79E5">
        <w:rPr>
          <w:rStyle w:val="FootnoteReference"/>
        </w:rPr>
        <w:footnoteRef/>
      </w:r>
      <w:r w:rsidRPr="009C79E5">
        <w:t xml:space="preserve"> Comments of Microsoft, Inc. (Microsoft Comments) at 1. </w:t>
      </w:r>
    </w:p>
  </w:footnote>
  <w:footnote w:id="129">
    <w:p w:rsidR="000A68B6" w:rsidRPr="009C79E5" w:rsidRDefault="000A68B6" w:rsidP="00476E6F">
      <w:pPr>
        <w:pStyle w:val="FootnoteText"/>
        <w:spacing w:after="120"/>
      </w:pPr>
      <w:r w:rsidRPr="009C79E5">
        <w:rPr>
          <w:rStyle w:val="FootnoteReference"/>
        </w:rPr>
        <w:footnoteRef/>
      </w:r>
      <w:r w:rsidRPr="009C79E5">
        <w:t xml:space="preserve"> Microsoft Comments at 2-3.</w:t>
      </w:r>
    </w:p>
  </w:footnote>
  <w:footnote w:id="130">
    <w:p w:rsidR="000A68B6" w:rsidRPr="009C79E5" w:rsidRDefault="000A68B6" w:rsidP="00476E6F">
      <w:pPr>
        <w:pStyle w:val="FootnoteText"/>
        <w:spacing w:after="120"/>
      </w:pPr>
      <w:r w:rsidRPr="009C79E5">
        <w:rPr>
          <w:rStyle w:val="FootnoteReference"/>
        </w:rPr>
        <w:footnoteRef/>
      </w:r>
      <w:r w:rsidRPr="009C79E5">
        <w:t xml:space="preserve"> </w:t>
      </w:r>
      <w:r w:rsidRPr="009C79E5">
        <w:rPr>
          <w:i/>
        </w:rPr>
        <w:t>Id.</w:t>
      </w:r>
      <w:r w:rsidRPr="009C79E5">
        <w:t xml:space="preserve"> at 5-7.</w:t>
      </w:r>
    </w:p>
  </w:footnote>
  <w:footnote w:id="131">
    <w:p w:rsidR="000A68B6" w:rsidRPr="009C79E5" w:rsidRDefault="000A68B6" w:rsidP="00476E6F">
      <w:pPr>
        <w:pStyle w:val="FootnoteText"/>
        <w:spacing w:after="120"/>
      </w:pPr>
      <w:r w:rsidRPr="009C79E5">
        <w:rPr>
          <w:rStyle w:val="FootnoteReference"/>
        </w:rPr>
        <w:footnoteRef/>
      </w:r>
      <w:r w:rsidRPr="009C79E5">
        <w:t xml:space="preserve"> </w:t>
      </w:r>
      <w:r w:rsidRPr="009C79E5">
        <w:rPr>
          <w:i/>
        </w:rPr>
        <w:t>Id.</w:t>
      </w:r>
      <w:r w:rsidRPr="009C79E5">
        <w:t xml:space="preserve"> at 4.</w:t>
      </w:r>
    </w:p>
  </w:footnote>
  <w:footnote w:id="132">
    <w:p w:rsidR="000A68B6" w:rsidRPr="009C79E5" w:rsidRDefault="000A68B6" w:rsidP="00476E6F">
      <w:pPr>
        <w:pStyle w:val="FootnoteText"/>
        <w:spacing w:after="120"/>
      </w:pPr>
      <w:r w:rsidRPr="009C79E5">
        <w:rPr>
          <w:rStyle w:val="FootnoteReference"/>
        </w:rPr>
        <w:footnoteRef/>
      </w:r>
      <w:r w:rsidRPr="009C79E5">
        <w:t xml:space="preserve"> </w:t>
      </w:r>
      <w:r w:rsidRPr="009C79E5">
        <w:rPr>
          <w:i/>
        </w:rPr>
        <w:t>Id.</w:t>
      </w:r>
    </w:p>
  </w:footnote>
  <w:footnote w:id="133">
    <w:p w:rsidR="000A68B6" w:rsidRPr="009C79E5" w:rsidRDefault="000A68B6" w:rsidP="00476E6F">
      <w:pPr>
        <w:pStyle w:val="FootnoteText"/>
        <w:spacing w:after="120"/>
      </w:pPr>
      <w:r w:rsidRPr="009C79E5">
        <w:rPr>
          <w:rStyle w:val="FootnoteReference"/>
        </w:rPr>
        <w:footnoteRef/>
      </w:r>
      <w:r w:rsidRPr="009C79E5">
        <w:t xml:space="preserve"> </w:t>
      </w:r>
      <w:r w:rsidRPr="009C79E5">
        <w:rPr>
          <w:i/>
        </w:rPr>
        <w:t>Id.</w:t>
      </w:r>
      <w:r w:rsidRPr="009C79E5">
        <w:t xml:space="preserve"> at 7-8.</w:t>
      </w:r>
    </w:p>
  </w:footnote>
  <w:footnote w:id="134">
    <w:p w:rsidR="000A68B6" w:rsidRPr="009C79E5" w:rsidRDefault="000A68B6" w:rsidP="00476E6F">
      <w:pPr>
        <w:pStyle w:val="FootnoteText"/>
        <w:spacing w:after="120"/>
      </w:pPr>
      <w:r w:rsidRPr="009C79E5">
        <w:rPr>
          <w:rStyle w:val="FootnoteReference"/>
        </w:rPr>
        <w:footnoteRef/>
      </w:r>
      <w:r w:rsidRPr="009C79E5">
        <w:t xml:space="preserve"> </w:t>
      </w:r>
      <w:r w:rsidRPr="009C79E5">
        <w:rPr>
          <w:i/>
        </w:rPr>
        <w:t>See</w:t>
      </w:r>
      <w:r w:rsidRPr="009C79E5">
        <w:t xml:space="preserve"> 47 C.F.R. §§ 6.7(b)(3), 7.7(b)(3).</w:t>
      </w:r>
      <w:r w:rsidRPr="006C02D7">
        <w:t xml:space="preserve">  Beginning January 30, 2013, covered entities must keep records about their efforts to consult with people with disabilities.  </w:t>
      </w:r>
      <w:r w:rsidRPr="009C5E08">
        <w:rPr>
          <w:i/>
        </w:rPr>
        <w:t>See</w:t>
      </w:r>
      <w:r w:rsidRPr="009C79E5">
        <w:t xml:space="preserve"> 47 U.S.C. § 618(a)(5)(A); 47 C.F.R. § 14.31(a)(1). </w:t>
      </w:r>
    </w:p>
  </w:footnote>
  <w:footnote w:id="135">
    <w:p w:rsidR="000A68B6" w:rsidRPr="009C79E5" w:rsidRDefault="000A68B6" w:rsidP="00476E6F">
      <w:pPr>
        <w:pStyle w:val="FootnoteText"/>
        <w:spacing w:after="120"/>
      </w:pPr>
      <w:r w:rsidRPr="009C79E5">
        <w:rPr>
          <w:rStyle w:val="FootnoteReference"/>
        </w:rPr>
        <w:footnoteRef/>
      </w:r>
      <w:r w:rsidRPr="009C79E5">
        <w:t xml:space="preserve"> </w:t>
      </w:r>
      <w:r w:rsidRPr="009C79E5">
        <w:rPr>
          <w:i/>
        </w:rPr>
        <w:t>2014 CVAA Assessment PN</w:t>
      </w:r>
      <w:r w:rsidRPr="009C79E5">
        <w:t>, 29 FCC Rcd at 7320-7322, ¶¶ 7, 9, 10.</w:t>
      </w:r>
    </w:p>
  </w:footnote>
  <w:footnote w:id="136">
    <w:p w:rsidR="000A68B6" w:rsidRPr="009C79E5" w:rsidRDefault="000A68B6" w:rsidP="00476E6F">
      <w:pPr>
        <w:pStyle w:val="FootnoteText"/>
        <w:spacing w:after="120"/>
      </w:pPr>
      <w:r w:rsidRPr="009C79E5">
        <w:rPr>
          <w:rStyle w:val="FootnoteReference"/>
        </w:rPr>
        <w:footnoteRef/>
      </w:r>
      <w:r w:rsidRPr="009C79E5">
        <w:t xml:space="preserve"> Consumer Groups Comments at 3.</w:t>
      </w:r>
    </w:p>
  </w:footnote>
  <w:footnote w:id="137">
    <w:p w:rsidR="000A68B6" w:rsidRPr="009C79E5" w:rsidRDefault="000A68B6" w:rsidP="00476E6F">
      <w:pPr>
        <w:pStyle w:val="FootnoteText"/>
        <w:spacing w:after="120"/>
      </w:pPr>
      <w:r w:rsidRPr="009C79E5">
        <w:rPr>
          <w:rStyle w:val="FootnoteReference"/>
        </w:rPr>
        <w:footnoteRef/>
      </w:r>
      <w:r w:rsidRPr="009C79E5">
        <w:t xml:space="preserve"> </w:t>
      </w:r>
      <w:r w:rsidRPr="009C79E5">
        <w:rPr>
          <w:i/>
        </w:rPr>
        <w:t xml:space="preserve">Id. </w:t>
      </w:r>
      <w:r w:rsidRPr="009C79E5">
        <w:t xml:space="preserve">at n. 3, </w:t>
      </w:r>
      <w:r w:rsidRPr="009C79E5">
        <w:rPr>
          <w:i/>
        </w:rPr>
        <w:t>citing</w:t>
      </w:r>
      <w:r w:rsidRPr="009C79E5">
        <w:t xml:space="preserve"> “Possible Design Change for the iPhone 6 – Eliminating the Headphone Jack – Has Some Apple Fans Fuming,” NY Daily News, </w:t>
      </w:r>
      <w:hyperlink r:id="rId17" w:history="1">
        <w:r w:rsidRPr="009C79E5">
          <w:rPr>
            <w:rStyle w:val="Hyperlink"/>
          </w:rPr>
          <w:t>http://www.nydailynews.com/life-style/iphone-6-require-new-headphones-apple-fans-fuming-article-1.1826371</w:t>
        </w:r>
      </w:hyperlink>
      <w:r w:rsidRPr="009C79E5">
        <w:t xml:space="preserve"> (Jun. 12, 2014) (last viewed Oct. 3, 2014).  </w:t>
      </w:r>
    </w:p>
  </w:footnote>
  <w:footnote w:id="138">
    <w:p w:rsidR="000A68B6" w:rsidRPr="009C79E5" w:rsidRDefault="000A68B6" w:rsidP="00476E6F">
      <w:pPr>
        <w:pStyle w:val="FootnoteText"/>
        <w:spacing w:after="120"/>
      </w:pPr>
      <w:r w:rsidRPr="009C79E5">
        <w:rPr>
          <w:rStyle w:val="FootnoteReference"/>
        </w:rPr>
        <w:footnoteRef/>
      </w:r>
      <w:r w:rsidRPr="009C79E5">
        <w:t xml:space="preserve"> AADB Comments at 4.  Along these lines, AADB raises concerns about the transparency of the National Deaf-Blind Equipment Distribution Program (NDBEDP), a matter outside the scope of this </w:t>
      </w:r>
      <w:r w:rsidRPr="009C79E5">
        <w:rPr>
          <w:i/>
        </w:rPr>
        <w:t>Report</w:t>
      </w:r>
      <w:r w:rsidRPr="009C79E5">
        <w:t xml:space="preserve">, but nevertheless of importance to the Commission.  AADB expresses interest in having greater access to trends, patterns and statistics of programs certified under the NDBEDP, to better identify research needed for the development of communications devices for the deaf-blind community.  </w:t>
      </w:r>
      <w:r w:rsidRPr="009C79E5">
        <w:rPr>
          <w:i/>
        </w:rPr>
        <w:t>Id</w:t>
      </w:r>
      <w:r w:rsidRPr="009C79E5">
        <w:t>.</w:t>
      </w:r>
    </w:p>
  </w:footnote>
  <w:footnote w:id="139">
    <w:p w:rsidR="000A68B6" w:rsidRPr="009C79E5" w:rsidRDefault="000A68B6" w:rsidP="00476E6F">
      <w:pPr>
        <w:pStyle w:val="FootnoteText"/>
        <w:spacing w:after="120"/>
      </w:pPr>
      <w:r w:rsidRPr="009C79E5">
        <w:rPr>
          <w:rStyle w:val="FootnoteReference"/>
        </w:rPr>
        <w:footnoteRef/>
      </w:r>
      <w:r w:rsidRPr="009C79E5">
        <w:t xml:space="preserve"> </w:t>
      </w:r>
      <w:r w:rsidRPr="009C79E5">
        <w:rPr>
          <w:i/>
        </w:rPr>
        <w:t>Id.</w:t>
      </w:r>
      <w:r w:rsidRPr="009C79E5">
        <w:t xml:space="preserve"> at 5.</w:t>
      </w:r>
    </w:p>
  </w:footnote>
  <w:footnote w:id="140">
    <w:p w:rsidR="000A68B6" w:rsidRPr="009C79E5" w:rsidRDefault="000A68B6" w:rsidP="00476E6F">
      <w:pPr>
        <w:pStyle w:val="FootnoteText"/>
        <w:spacing w:after="120"/>
      </w:pPr>
      <w:r w:rsidRPr="009C79E5">
        <w:rPr>
          <w:rStyle w:val="FootnoteReference"/>
        </w:rPr>
        <w:footnoteRef/>
      </w:r>
      <w:r w:rsidRPr="009C79E5">
        <w:t xml:space="preserve"> CTIA Comments at 28.  For example, CTIA member companies have met with the American Foundation for the Blind, Hearing Loss Association of America, the Telecommunications Equipment Distribution Program Association, the National Association of the Deaf, the World Institute on Disability, and Telecommunications for the Deaf and Hard of Hearing, Inc.  </w:t>
      </w:r>
      <w:r w:rsidRPr="009C79E5">
        <w:rPr>
          <w:i/>
        </w:rPr>
        <w:t>Id.</w:t>
      </w:r>
      <w:r w:rsidRPr="009C79E5">
        <w:t xml:space="preserve"> at 28.</w:t>
      </w:r>
    </w:p>
  </w:footnote>
  <w:footnote w:id="141">
    <w:p w:rsidR="000A68B6" w:rsidRPr="009C79E5" w:rsidRDefault="000A68B6" w:rsidP="00476E6F">
      <w:pPr>
        <w:pStyle w:val="FootnoteText"/>
        <w:spacing w:after="120"/>
      </w:pPr>
      <w:r w:rsidRPr="009C79E5">
        <w:rPr>
          <w:rStyle w:val="FootnoteReference"/>
        </w:rPr>
        <w:footnoteRef/>
      </w:r>
      <w:r w:rsidRPr="009C79E5">
        <w:t xml:space="preserve"> </w:t>
      </w:r>
      <w:r w:rsidRPr="009C79E5">
        <w:rPr>
          <w:i/>
        </w:rPr>
        <w:t>Id.</w:t>
      </w:r>
      <w:r w:rsidRPr="009C79E5">
        <w:t xml:space="preserve"> at 28.</w:t>
      </w:r>
    </w:p>
  </w:footnote>
  <w:footnote w:id="142">
    <w:p w:rsidR="000A68B6" w:rsidRPr="009C79E5" w:rsidRDefault="000A68B6" w:rsidP="00476E6F">
      <w:pPr>
        <w:pStyle w:val="FootnoteText"/>
        <w:spacing w:after="120"/>
      </w:pPr>
      <w:r w:rsidRPr="009C79E5">
        <w:rPr>
          <w:rStyle w:val="FootnoteReference"/>
        </w:rPr>
        <w:footnoteRef/>
      </w:r>
      <w:r w:rsidRPr="009C79E5">
        <w:t xml:space="preserve"> </w:t>
      </w:r>
      <w:r w:rsidRPr="009C79E5">
        <w:rPr>
          <w:i/>
        </w:rPr>
        <w:t>Id.</w:t>
      </w:r>
      <w:r w:rsidRPr="009C79E5">
        <w:t xml:space="preserve"> at 8.  CTIA mentions, specifically, the establishment of a Corporate Accessible Technology Office by AT&amp;T, and Verizon’s online training courses for new employees about accessibility requirements.  </w:t>
      </w:r>
      <w:r w:rsidRPr="009C79E5">
        <w:rPr>
          <w:i/>
        </w:rPr>
        <w:t>Id.</w:t>
      </w:r>
      <w:r w:rsidRPr="009C79E5">
        <w:t xml:space="preserve"> at 8-9.</w:t>
      </w:r>
    </w:p>
  </w:footnote>
  <w:footnote w:id="143">
    <w:p w:rsidR="000A68B6" w:rsidRPr="009C79E5" w:rsidRDefault="000A68B6" w:rsidP="00476E6F">
      <w:pPr>
        <w:pStyle w:val="FootnoteText"/>
        <w:spacing w:after="120"/>
      </w:pPr>
      <w:r w:rsidRPr="009C79E5">
        <w:rPr>
          <w:rStyle w:val="FootnoteReference"/>
        </w:rPr>
        <w:footnoteRef/>
      </w:r>
      <w:r w:rsidRPr="009C79E5">
        <w:t xml:space="preserve"> </w:t>
      </w:r>
      <w:r w:rsidRPr="009C79E5">
        <w:rPr>
          <w:i/>
        </w:rPr>
        <w:t>Id.</w:t>
      </w:r>
      <w:r w:rsidRPr="009C79E5">
        <w:t xml:space="preserve"> at 30-32.</w:t>
      </w:r>
    </w:p>
  </w:footnote>
  <w:footnote w:id="144">
    <w:p w:rsidR="000A68B6" w:rsidRPr="009C79E5" w:rsidRDefault="000A68B6" w:rsidP="00476E6F">
      <w:pPr>
        <w:pStyle w:val="FootnoteText"/>
        <w:spacing w:after="120"/>
      </w:pPr>
      <w:r w:rsidRPr="009C79E5">
        <w:rPr>
          <w:rStyle w:val="FootnoteReference"/>
        </w:rPr>
        <w:footnoteRef/>
      </w:r>
      <w:r w:rsidRPr="009C79E5">
        <w:t xml:space="preserve"> </w:t>
      </w:r>
      <w:r w:rsidRPr="009C79E5">
        <w:rPr>
          <w:i/>
        </w:rPr>
        <w:t>Id.</w:t>
      </w:r>
      <w:r w:rsidRPr="009C79E5">
        <w:t xml:space="preserve"> at 12.</w:t>
      </w:r>
    </w:p>
  </w:footnote>
  <w:footnote w:id="145">
    <w:p w:rsidR="000A68B6" w:rsidRPr="009C79E5" w:rsidRDefault="000A68B6" w:rsidP="00476E6F">
      <w:pPr>
        <w:pStyle w:val="FootnoteText"/>
        <w:spacing w:after="120"/>
      </w:pPr>
      <w:r w:rsidRPr="009C79E5">
        <w:rPr>
          <w:rStyle w:val="FootnoteReference"/>
        </w:rPr>
        <w:footnoteRef/>
      </w:r>
      <w:r w:rsidRPr="009C79E5">
        <w:t xml:space="preserve"> </w:t>
      </w:r>
      <w:r w:rsidRPr="009C79E5">
        <w:rPr>
          <w:i/>
        </w:rPr>
        <w:t>Id.</w:t>
      </w:r>
      <w:r w:rsidRPr="009C79E5">
        <w:t xml:space="preserve"> at 31-32.</w:t>
      </w:r>
    </w:p>
  </w:footnote>
  <w:footnote w:id="146">
    <w:p w:rsidR="000A68B6" w:rsidRPr="009C79E5" w:rsidRDefault="000A68B6" w:rsidP="00476E6F">
      <w:pPr>
        <w:pStyle w:val="FootnoteText"/>
        <w:spacing w:after="120"/>
      </w:pPr>
      <w:r w:rsidRPr="009C79E5">
        <w:rPr>
          <w:rStyle w:val="FootnoteReference"/>
        </w:rPr>
        <w:footnoteRef/>
      </w:r>
      <w:r w:rsidRPr="009C79E5">
        <w:t xml:space="preserve"> TIA Comments at 4-5.</w:t>
      </w:r>
    </w:p>
  </w:footnote>
  <w:footnote w:id="147">
    <w:p w:rsidR="000A68B6" w:rsidRPr="009C79E5" w:rsidRDefault="000A68B6" w:rsidP="00476E6F">
      <w:pPr>
        <w:pStyle w:val="FootnoteText"/>
        <w:spacing w:after="120"/>
      </w:pPr>
      <w:r w:rsidRPr="009C79E5">
        <w:rPr>
          <w:rStyle w:val="FootnoteReference"/>
        </w:rPr>
        <w:footnoteRef/>
      </w:r>
      <w:r w:rsidRPr="009C79E5">
        <w:t xml:space="preserve"> </w:t>
      </w:r>
      <w:r w:rsidRPr="009C79E5">
        <w:rPr>
          <w:i/>
        </w:rPr>
        <w:t>Id.</w:t>
      </w:r>
      <w:r w:rsidRPr="009C79E5">
        <w:t xml:space="preserve"> at 6.  TIA mentions, for example, that it participated in sessions at the 2014 M-Enabling Summit in Virginia and the 2014 conference of the Hearing Loss Association of America.  </w:t>
      </w:r>
      <w:r w:rsidRPr="009C79E5">
        <w:rPr>
          <w:i/>
        </w:rPr>
        <w:t>Id</w:t>
      </w:r>
      <w:r w:rsidRPr="009C79E5">
        <w:t>.</w:t>
      </w:r>
    </w:p>
  </w:footnote>
  <w:footnote w:id="148">
    <w:p w:rsidR="000A68B6" w:rsidRPr="009C79E5" w:rsidRDefault="000A68B6" w:rsidP="00476E6F">
      <w:pPr>
        <w:pStyle w:val="FootnoteText"/>
        <w:spacing w:after="120"/>
      </w:pPr>
      <w:r w:rsidRPr="009C79E5">
        <w:rPr>
          <w:rStyle w:val="FootnoteReference"/>
        </w:rPr>
        <w:footnoteRef/>
      </w:r>
      <w:r w:rsidRPr="009C79E5">
        <w:t xml:space="preserve"> Microsoft Comments at 7.</w:t>
      </w:r>
    </w:p>
  </w:footnote>
  <w:footnote w:id="149">
    <w:p w:rsidR="000A68B6" w:rsidRPr="009C79E5" w:rsidRDefault="000A68B6" w:rsidP="00476E6F">
      <w:pPr>
        <w:pStyle w:val="FootnoteText"/>
        <w:spacing w:after="120"/>
      </w:pPr>
      <w:r w:rsidRPr="009C79E5">
        <w:rPr>
          <w:rStyle w:val="FootnoteReference"/>
        </w:rPr>
        <w:footnoteRef/>
      </w:r>
      <w:r w:rsidRPr="009C79E5">
        <w:t xml:space="preserve"> </w:t>
      </w:r>
      <w:r w:rsidRPr="009C79E5">
        <w:rPr>
          <w:i/>
        </w:rPr>
        <w:t>Id.</w:t>
      </w:r>
      <w:r w:rsidRPr="009C79E5">
        <w:t xml:space="preserve"> at 6.</w:t>
      </w:r>
    </w:p>
  </w:footnote>
  <w:footnote w:id="150">
    <w:p w:rsidR="000A68B6" w:rsidRPr="009C79E5" w:rsidRDefault="000A68B6" w:rsidP="00476E6F">
      <w:pPr>
        <w:pStyle w:val="FootnoteText"/>
        <w:spacing w:after="120"/>
      </w:pPr>
      <w:r w:rsidRPr="009C79E5">
        <w:rPr>
          <w:rStyle w:val="FootnoteReference"/>
        </w:rPr>
        <w:footnoteRef/>
      </w:r>
      <w:r w:rsidRPr="009C79E5">
        <w:t xml:space="preserve"> </w:t>
      </w:r>
      <w:r w:rsidRPr="009C79E5">
        <w:rPr>
          <w:i/>
        </w:rPr>
        <w:t>Id.</w:t>
      </w:r>
    </w:p>
  </w:footnote>
  <w:footnote w:id="151">
    <w:p w:rsidR="000A68B6" w:rsidRPr="009C79E5" w:rsidRDefault="000A68B6" w:rsidP="00476E6F">
      <w:pPr>
        <w:pStyle w:val="FootnoteText"/>
        <w:spacing w:after="120"/>
      </w:pPr>
      <w:r w:rsidRPr="009C79E5">
        <w:rPr>
          <w:rStyle w:val="FootnoteReference"/>
        </w:rPr>
        <w:footnoteRef/>
      </w:r>
      <w:r w:rsidRPr="009C79E5">
        <w:t xml:space="preserve"> </w:t>
      </w:r>
      <w:r w:rsidRPr="009C79E5">
        <w:rPr>
          <w:i/>
        </w:rPr>
        <w:t>2014 CVAA Assessment PN</w:t>
      </w:r>
      <w:r w:rsidRPr="009C79E5">
        <w:t>, 29 FCC Rcd at 7320-22, ¶¶ 8, 11.</w:t>
      </w:r>
    </w:p>
  </w:footnote>
  <w:footnote w:id="152">
    <w:p w:rsidR="000A68B6" w:rsidRPr="009C79E5" w:rsidRDefault="000A68B6" w:rsidP="00476E6F">
      <w:pPr>
        <w:pStyle w:val="FootnoteText"/>
        <w:spacing w:after="120"/>
      </w:pPr>
      <w:r w:rsidRPr="009C79E5">
        <w:rPr>
          <w:rStyle w:val="FootnoteReference"/>
        </w:rPr>
        <w:footnoteRef/>
      </w:r>
      <w:r w:rsidRPr="009C79E5">
        <w:t xml:space="preserve"> A product or service is “usable” if individuals with disabilities have access to the full functionality and documentation for the product or service, including instructions, product or service information (including accessible feature information), documentation and technical support functionally equivalent to that provided to individuals without disabilities.  </w:t>
      </w:r>
      <w:r w:rsidRPr="009C79E5">
        <w:rPr>
          <w:i/>
        </w:rPr>
        <w:t>See</w:t>
      </w:r>
      <w:r w:rsidRPr="009C79E5">
        <w:t xml:space="preserve"> 47 C.F.R. §§ 6.3(l), 7.3(l), 14.21(c).  </w:t>
      </w:r>
      <w:r w:rsidRPr="009C79E5">
        <w:rPr>
          <w:i/>
        </w:rPr>
        <w:t>See</w:t>
      </w:r>
      <w:r w:rsidRPr="009C79E5">
        <w:t xml:space="preserve"> </w:t>
      </w:r>
      <w:r w:rsidRPr="009C79E5">
        <w:rPr>
          <w:i/>
        </w:rPr>
        <w:t xml:space="preserve">also </w:t>
      </w:r>
      <w:r w:rsidRPr="009C79E5">
        <w:t>47 C.F.R. §§ 6.11, 7.11, 14.20(d), 14.60(b)(4) (prescribing usability obligations related to information, documentation, and training for covered entities).</w:t>
      </w:r>
    </w:p>
  </w:footnote>
  <w:footnote w:id="153">
    <w:p w:rsidR="000A68B6" w:rsidRPr="009C79E5" w:rsidRDefault="000A68B6" w:rsidP="00476E6F">
      <w:pPr>
        <w:pStyle w:val="FootnoteText"/>
        <w:spacing w:after="120"/>
      </w:pPr>
      <w:r w:rsidRPr="009C79E5">
        <w:rPr>
          <w:rStyle w:val="FootnoteReference"/>
        </w:rPr>
        <w:footnoteRef/>
      </w:r>
      <w:r w:rsidRPr="009C79E5">
        <w:t xml:space="preserve"> Consumer Groups Comments at 2.</w:t>
      </w:r>
    </w:p>
  </w:footnote>
  <w:footnote w:id="154">
    <w:p w:rsidR="000A68B6" w:rsidRPr="009C79E5" w:rsidRDefault="000A68B6" w:rsidP="00476E6F">
      <w:pPr>
        <w:pStyle w:val="FootnoteText"/>
        <w:spacing w:after="120"/>
      </w:pPr>
      <w:r w:rsidRPr="009C79E5">
        <w:rPr>
          <w:rStyle w:val="FootnoteReference"/>
        </w:rPr>
        <w:footnoteRef/>
      </w:r>
      <w:r w:rsidRPr="009C79E5">
        <w:t xml:space="preserve"> Wireless RERC Comments on Tentative Findings at 3.  Wireless RERC reports that “only 21% of respondents indicated that they were satisfied or very satisfied with the information found on provider and manufacturer websites and packaging, and 17% were satisfied or very satisfied with the information received from retail staff.”  </w:t>
      </w:r>
      <w:r w:rsidRPr="009C79E5">
        <w:rPr>
          <w:i/>
        </w:rPr>
        <w:t xml:space="preserve">Id. </w:t>
      </w:r>
      <w:r w:rsidRPr="009C79E5">
        <w:t>at 2-3.</w:t>
      </w:r>
    </w:p>
  </w:footnote>
  <w:footnote w:id="155">
    <w:p w:rsidR="000A68B6" w:rsidRPr="009C79E5" w:rsidRDefault="000A68B6" w:rsidP="00476E6F">
      <w:pPr>
        <w:pStyle w:val="FootnoteText"/>
        <w:spacing w:after="120"/>
      </w:pPr>
      <w:r w:rsidRPr="009C79E5">
        <w:rPr>
          <w:rStyle w:val="FootnoteReference"/>
        </w:rPr>
        <w:footnoteRef/>
      </w:r>
      <w:r w:rsidRPr="009C79E5">
        <w:t xml:space="preserve"> </w:t>
      </w:r>
      <w:r w:rsidRPr="009C79E5">
        <w:rPr>
          <w:i/>
        </w:rPr>
        <w:t xml:space="preserve">Id. </w:t>
      </w:r>
      <w:r w:rsidRPr="009C79E5">
        <w:t xml:space="preserve">at 5.  Wireless RERC also encourages industry to provide customer service support by video in American Sign Language (ASL), the primary language of many individuals who are deaf or hard of hearing, similar to the “ASL Consumer Support Line” established by the Commission.  </w:t>
      </w:r>
      <w:r w:rsidRPr="009C79E5">
        <w:rPr>
          <w:i/>
        </w:rPr>
        <w:t>Id.</w:t>
      </w:r>
      <w:r w:rsidRPr="009C79E5">
        <w:t xml:space="preserve"> at 5-6.  </w:t>
      </w:r>
      <w:r w:rsidRPr="009C79E5">
        <w:rPr>
          <w:i/>
        </w:rPr>
        <w:t xml:space="preserve">See also </w:t>
      </w:r>
      <w:r w:rsidRPr="009C79E5">
        <w:t xml:space="preserve">Section III.C of this </w:t>
      </w:r>
      <w:r w:rsidRPr="009C79E5">
        <w:rPr>
          <w:i/>
        </w:rPr>
        <w:t>Report</w:t>
      </w:r>
      <w:r w:rsidRPr="009C79E5">
        <w:t xml:space="preserve">, </w:t>
      </w:r>
      <w:r w:rsidRPr="009C79E5">
        <w:rPr>
          <w:i/>
        </w:rPr>
        <w:t>infra</w:t>
      </w:r>
      <w:r w:rsidRPr="009C79E5">
        <w:t>.</w:t>
      </w:r>
    </w:p>
  </w:footnote>
  <w:footnote w:id="156">
    <w:p w:rsidR="000A68B6" w:rsidRPr="009C79E5" w:rsidRDefault="000A68B6" w:rsidP="00476E6F">
      <w:pPr>
        <w:pStyle w:val="FootnoteText"/>
        <w:spacing w:after="120"/>
      </w:pPr>
      <w:r w:rsidRPr="009C79E5">
        <w:rPr>
          <w:rStyle w:val="FootnoteReference"/>
        </w:rPr>
        <w:footnoteRef/>
      </w:r>
      <w:r w:rsidRPr="009C79E5">
        <w:t xml:space="preserve"> AADB Comments at 5.</w:t>
      </w:r>
    </w:p>
  </w:footnote>
  <w:footnote w:id="157">
    <w:p w:rsidR="000A68B6" w:rsidRPr="009C79E5" w:rsidRDefault="000A68B6" w:rsidP="00476E6F">
      <w:pPr>
        <w:pStyle w:val="FootnoteText"/>
        <w:spacing w:after="120"/>
      </w:pPr>
      <w:r w:rsidRPr="009C79E5">
        <w:rPr>
          <w:rStyle w:val="FootnoteReference"/>
        </w:rPr>
        <w:footnoteRef/>
      </w:r>
      <w:r w:rsidRPr="009C79E5">
        <w:t xml:space="preserve"> </w:t>
      </w:r>
      <w:r w:rsidRPr="009C79E5">
        <w:rPr>
          <w:i/>
        </w:rPr>
        <w:t>Id.</w:t>
      </w:r>
      <w:r w:rsidRPr="009C79E5">
        <w:t xml:space="preserve"> at 3.</w:t>
      </w:r>
    </w:p>
  </w:footnote>
  <w:footnote w:id="158">
    <w:p w:rsidR="000A68B6" w:rsidRPr="009C79E5" w:rsidRDefault="000A68B6" w:rsidP="00476E6F">
      <w:pPr>
        <w:pStyle w:val="FootnoteText"/>
        <w:spacing w:after="120"/>
      </w:pPr>
      <w:r w:rsidRPr="009C79E5">
        <w:rPr>
          <w:rStyle w:val="FootnoteReference"/>
        </w:rPr>
        <w:footnoteRef/>
      </w:r>
      <w:r w:rsidRPr="009C79E5">
        <w:t xml:space="preserve"> ACB Comments on Tentative Findings at 2. </w:t>
      </w:r>
    </w:p>
  </w:footnote>
  <w:footnote w:id="159">
    <w:p w:rsidR="000A68B6" w:rsidRPr="009C79E5" w:rsidRDefault="000A68B6" w:rsidP="00476E6F">
      <w:pPr>
        <w:pStyle w:val="FootnoteText"/>
        <w:spacing w:after="120"/>
      </w:pPr>
      <w:r w:rsidRPr="009C79E5">
        <w:rPr>
          <w:rStyle w:val="FootnoteReference"/>
        </w:rPr>
        <w:footnoteRef/>
      </w:r>
      <w:r w:rsidRPr="009C79E5">
        <w:t xml:space="preserve"> AFB Comments on Tentative Findings at 2. </w:t>
      </w:r>
    </w:p>
  </w:footnote>
  <w:footnote w:id="160">
    <w:p w:rsidR="000A68B6" w:rsidRPr="009C79E5" w:rsidRDefault="000A68B6" w:rsidP="00476E6F">
      <w:pPr>
        <w:pStyle w:val="FootnoteText"/>
        <w:spacing w:after="120"/>
      </w:pPr>
      <w:r w:rsidRPr="009C79E5">
        <w:rPr>
          <w:rStyle w:val="FootnoteReference"/>
        </w:rPr>
        <w:footnoteRef/>
      </w:r>
      <w:r w:rsidRPr="009C79E5">
        <w:t xml:space="preserve"> </w:t>
      </w:r>
      <w:r w:rsidRPr="009C79E5">
        <w:rPr>
          <w:i/>
        </w:rPr>
        <w:t>Id</w:t>
      </w:r>
      <w:r w:rsidRPr="009C79E5">
        <w:t>.</w:t>
      </w:r>
    </w:p>
  </w:footnote>
  <w:footnote w:id="161">
    <w:p w:rsidR="000A68B6" w:rsidRPr="009C79E5" w:rsidRDefault="000A68B6" w:rsidP="00476E6F">
      <w:pPr>
        <w:pStyle w:val="FootnoteText"/>
        <w:spacing w:after="120"/>
      </w:pPr>
      <w:r w:rsidRPr="009C79E5">
        <w:rPr>
          <w:rStyle w:val="FootnoteReference"/>
        </w:rPr>
        <w:footnoteRef/>
      </w:r>
      <w:r w:rsidRPr="009C79E5">
        <w:t xml:space="preserve"> CTIA Comments at 17-18.</w:t>
      </w:r>
    </w:p>
  </w:footnote>
  <w:footnote w:id="162">
    <w:p w:rsidR="000A68B6" w:rsidRPr="009C79E5" w:rsidRDefault="000A68B6" w:rsidP="00476E6F">
      <w:pPr>
        <w:pStyle w:val="FootnoteText"/>
        <w:spacing w:after="120"/>
      </w:pPr>
      <w:r w:rsidRPr="009C79E5">
        <w:rPr>
          <w:rStyle w:val="FootnoteReference"/>
        </w:rPr>
        <w:footnoteRef/>
      </w:r>
      <w:r w:rsidRPr="009C79E5">
        <w:t xml:space="preserve"> </w:t>
      </w:r>
      <w:r w:rsidRPr="009C79E5">
        <w:rPr>
          <w:i/>
        </w:rPr>
        <w:t>Id.</w:t>
      </w:r>
      <w:r w:rsidRPr="009C79E5">
        <w:t xml:space="preserve"> at 26-30.  CTIA partners with the Mobile Manufacturers Forum to make the information collected through the Global Accessibility Reporting Initiative (GARI) available to consumers through AccessWireless.org website.  CTIA Comments at 27.  </w:t>
      </w:r>
      <w:r w:rsidRPr="009C79E5">
        <w:rPr>
          <w:i/>
        </w:rPr>
        <w:t>See also</w:t>
      </w:r>
      <w:r w:rsidRPr="009C79E5">
        <w:t xml:space="preserve"> TIA Comments at 8 (asserting that GARI continues to operate successfully) and 11 (stating that GARI is being used effectively by wireless manufacturers and is also leveraged effectively by the Commission’s Accessibility Clearinghouse).</w:t>
      </w:r>
    </w:p>
  </w:footnote>
  <w:footnote w:id="163">
    <w:p w:rsidR="000A68B6" w:rsidRPr="009C79E5" w:rsidRDefault="000A68B6" w:rsidP="00476E6F">
      <w:pPr>
        <w:pStyle w:val="FootnoteText"/>
        <w:spacing w:after="120"/>
      </w:pPr>
      <w:r w:rsidRPr="009C79E5">
        <w:rPr>
          <w:rStyle w:val="FootnoteReference"/>
        </w:rPr>
        <w:footnoteRef/>
      </w:r>
      <w:r w:rsidRPr="009C79E5">
        <w:t xml:space="preserve"> Microsoft Comments at 6.</w:t>
      </w:r>
    </w:p>
  </w:footnote>
  <w:footnote w:id="164">
    <w:p w:rsidR="000A68B6" w:rsidRPr="009C79E5" w:rsidRDefault="000A68B6" w:rsidP="00476E6F">
      <w:pPr>
        <w:pStyle w:val="FootnoteText"/>
        <w:spacing w:after="120"/>
      </w:pPr>
      <w:r w:rsidRPr="009C79E5">
        <w:rPr>
          <w:rStyle w:val="FootnoteReference"/>
        </w:rPr>
        <w:footnoteRef/>
      </w:r>
      <w:r w:rsidRPr="009C79E5">
        <w:t xml:space="preserve"> Consumer Groups Comments at 7-8.</w:t>
      </w:r>
    </w:p>
  </w:footnote>
  <w:footnote w:id="165">
    <w:p w:rsidR="000A68B6" w:rsidRPr="009C79E5" w:rsidRDefault="000A68B6" w:rsidP="00476E6F">
      <w:pPr>
        <w:pStyle w:val="FootnoteText"/>
        <w:spacing w:after="120"/>
      </w:pPr>
      <w:r w:rsidRPr="009C79E5">
        <w:rPr>
          <w:rStyle w:val="FootnoteReference"/>
        </w:rPr>
        <w:footnoteRef/>
      </w:r>
      <w:r w:rsidRPr="009C79E5">
        <w:t xml:space="preserve"> </w:t>
      </w:r>
      <w:r w:rsidRPr="009C79E5">
        <w:rPr>
          <w:i/>
        </w:rPr>
        <w:t>Id.</w:t>
      </w:r>
      <w:r w:rsidRPr="009C79E5">
        <w:t xml:space="preserve"> at 7.</w:t>
      </w:r>
    </w:p>
  </w:footnote>
  <w:footnote w:id="166">
    <w:p w:rsidR="000A68B6" w:rsidRPr="009C79E5" w:rsidRDefault="000A68B6" w:rsidP="00476E6F">
      <w:pPr>
        <w:pStyle w:val="CommentText"/>
        <w:spacing w:after="120"/>
      </w:pPr>
      <w:r w:rsidRPr="009C79E5">
        <w:rPr>
          <w:rStyle w:val="FootnoteReference"/>
        </w:rPr>
        <w:footnoteRef/>
      </w:r>
      <w:r w:rsidRPr="009C79E5">
        <w:t xml:space="preserve"> </w:t>
      </w:r>
      <w:r w:rsidRPr="009C79E5">
        <w:rPr>
          <w:i/>
        </w:rPr>
        <w:t>Id.</w:t>
      </w:r>
      <w:r w:rsidRPr="009C79E5">
        <w:t xml:space="preserve"> at 8, citing “FCC Questions Verizon Plan to Manage Data Speeds for Some Customers,” Wall Street Journal, </w:t>
      </w:r>
      <w:hyperlink r:id="rId18" w:history="1">
        <w:r w:rsidRPr="009C79E5">
          <w:rPr>
            <w:rStyle w:val="Hyperlink"/>
          </w:rPr>
          <w:t>http://online.wsj.com/articles/fcc-questions-verizon-plan-to-manage-data-speeds-for-some-costumers-1406756051</w:t>
        </w:r>
      </w:hyperlink>
      <w:r w:rsidRPr="009C79E5">
        <w:t xml:space="preserve"> (Jul. 30, 2014)</w:t>
      </w:r>
      <w:r w:rsidRPr="009C79E5">
        <w:rPr>
          <w:lang w:val="en-US"/>
        </w:rPr>
        <w:t xml:space="preserve"> (last viewed Oct. 3, 2014)</w:t>
      </w:r>
      <w:r w:rsidRPr="009C79E5">
        <w:t>.</w:t>
      </w:r>
    </w:p>
  </w:footnote>
  <w:footnote w:id="167">
    <w:p w:rsidR="000A68B6" w:rsidRPr="009C79E5" w:rsidRDefault="000A68B6" w:rsidP="00476E6F">
      <w:pPr>
        <w:pStyle w:val="FootnoteText"/>
        <w:spacing w:after="120"/>
      </w:pPr>
      <w:r w:rsidRPr="009C79E5">
        <w:rPr>
          <w:rStyle w:val="FootnoteReference"/>
        </w:rPr>
        <w:footnoteRef/>
      </w:r>
      <w:r w:rsidRPr="009C79E5">
        <w:t xml:space="preserve"> Consumer Groups Comments at 8.</w:t>
      </w:r>
    </w:p>
  </w:footnote>
  <w:footnote w:id="168">
    <w:p w:rsidR="000A68B6" w:rsidRPr="009C79E5" w:rsidRDefault="000A68B6" w:rsidP="00476E6F">
      <w:pPr>
        <w:pStyle w:val="FootnoteText"/>
        <w:spacing w:after="120"/>
      </w:pPr>
      <w:r w:rsidRPr="009C79E5">
        <w:rPr>
          <w:rStyle w:val="FootnoteReference"/>
        </w:rPr>
        <w:footnoteRef/>
      </w:r>
      <w:r w:rsidRPr="009C79E5">
        <w:t xml:space="preserve"> CTIA Comments at 8.</w:t>
      </w:r>
    </w:p>
  </w:footnote>
  <w:footnote w:id="169">
    <w:p w:rsidR="000A68B6" w:rsidRPr="009C79E5" w:rsidRDefault="000A68B6" w:rsidP="00476E6F">
      <w:pPr>
        <w:pStyle w:val="FootnoteText"/>
        <w:spacing w:after="120"/>
      </w:pPr>
      <w:r w:rsidRPr="009C79E5">
        <w:rPr>
          <w:rStyle w:val="FootnoteReference"/>
        </w:rPr>
        <w:footnoteRef/>
      </w:r>
      <w:r w:rsidRPr="009C79E5">
        <w:t xml:space="preserve"> </w:t>
      </w:r>
      <w:r w:rsidRPr="009C79E5">
        <w:rPr>
          <w:i/>
        </w:rPr>
        <w:t>Id.</w:t>
      </w:r>
      <w:r w:rsidRPr="009C79E5">
        <w:t xml:space="preserve"> at 7.  CTIA points to Sprint’s “Relay Data Plan,” AT&amp;T’s “Text Accessibility Plan” and “Senior Plan 200,” Verizon’s “Nationwide Messaging Plan” and “Nationwide 65 Plus Plan,” U.S. Cellular’s messaging options and messaging-only plans, and providers’ HD Voice services as examples of services that benefit people with disabilities and seniors.  </w:t>
      </w:r>
      <w:r w:rsidRPr="009C79E5">
        <w:rPr>
          <w:i/>
        </w:rPr>
        <w:t>Id.</w:t>
      </w:r>
      <w:r w:rsidRPr="009C79E5">
        <w:t xml:space="preserve"> at 7-8.</w:t>
      </w:r>
    </w:p>
  </w:footnote>
  <w:footnote w:id="170">
    <w:p w:rsidR="000A68B6" w:rsidRPr="009C79E5" w:rsidRDefault="000A68B6" w:rsidP="00476E6F">
      <w:pPr>
        <w:pStyle w:val="FootnoteText"/>
        <w:spacing w:after="120"/>
      </w:pPr>
      <w:r w:rsidRPr="009C79E5">
        <w:rPr>
          <w:rStyle w:val="FootnoteReference"/>
        </w:rPr>
        <w:footnoteRef/>
      </w:r>
      <w:r w:rsidRPr="009C79E5">
        <w:t xml:space="preserve"> As noted above, the Commission sought comment on these findings pursuant to Section 717(b)(2) of the Act.  </w:t>
      </w:r>
      <w:r w:rsidRPr="009C79E5">
        <w:rPr>
          <w:i/>
        </w:rPr>
        <w:t>See</w:t>
      </w:r>
      <w:r w:rsidRPr="009C79E5">
        <w:t xml:space="preserve"> ¶ 6, </w:t>
      </w:r>
      <w:r w:rsidRPr="009C79E5">
        <w:rPr>
          <w:i/>
        </w:rPr>
        <w:t>supra</w:t>
      </w:r>
      <w:r w:rsidRPr="009C79E5">
        <w:t xml:space="preserve">.  </w:t>
      </w:r>
    </w:p>
  </w:footnote>
  <w:footnote w:id="171">
    <w:p w:rsidR="000A68B6" w:rsidRPr="006C02D7" w:rsidRDefault="000A68B6" w:rsidP="00476E6F">
      <w:pPr>
        <w:pStyle w:val="FootnoteText"/>
        <w:spacing w:after="120"/>
        <w:rPr>
          <w:i/>
        </w:rPr>
      </w:pPr>
      <w:r w:rsidRPr="009C79E5">
        <w:rPr>
          <w:rStyle w:val="FootnoteReference"/>
        </w:rPr>
        <w:footnoteRef/>
      </w:r>
      <w:r w:rsidRPr="009C79E5">
        <w:t xml:space="preserve"> </w:t>
      </w:r>
      <w:r w:rsidRPr="009C79E5">
        <w:rPr>
          <w:i/>
        </w:rPr>
        <w:t>2014 CVAA Tentative Findings PN</w:t>
      </w:r>
      <w:r w:rsidRPr="009C79E5">
        <w:t>, 29 FCC Rcd at ___,</w:t>
      </w:r>
      <w:r w:rsidRPr="006C02D7">
        <w:t xml:space="preserve"> Attachment ¶ 21.</w:t>
      </w:r>
    </w:p>
  </w:footnote>
  <w:footnote w:id="172">
    <w:p w:rsidR="000A68B6" w:rsidRPr="009C5E08" w:rsidRDefault="000A68B6" w:rsidP="00476E6F">
      <w:pPr>
        <w:pStyle w:val="FootnoteText"/>
        <w:spacing w:after="120"/>
      </w:pPr>
      <w:r w:rsidRPr="009C5E08">
        <w:rPr>
          <w:rStyle w:val="FootnoteReference"/>
        </w:rPr>
        <w:footnoteRef/>
      </w:r>
      <w:r w:rsidRPr="009C79E5">
        <w:t xml:space="preserve"> </w:t>
      </w:r>
      <w:r w:rsidRPr="009C79E5">
        <w:rPr>
          <w:i/>
        </w:rPr>
        <w:t>Id.</w:t>
      </w:r>
      <w:r w:rsidRPr="009C79E5">
        <w:t>, 29 FCC Rcd at ___,</w:t>
      </w:r>
      <w:r w:rsidRPr="006C02D7">
        <w:t xml:space="preserve"> Attachment ¶¶ 22-23</w:t>
      </w:r>
      <w:r w:rsidRPr="006C02D7">
        <w:rPr>
          <w:i/>
        </w:rPr>
        <w:t>.</w:t>
      </w:r>
    </w:p>
  </w:footnote>
  <w:footnote w:id="173">
    <w:p w:rsidR="000A68B6" w:rsidRPr="009C5E08" w:rsidRDefault="000A68B6" w:rsidP="00476E6F">
      <w:pPr>
        <w:pStyle w:val="FootnoteText"/>
        <w:spacing w:after="120"/>
      </w:pPr>
      <w:r w:rsidRPr="009C79E5">
        <w:rPr>
          <w:rStyle w:val="FootnoteReference"/>
        </w:rPr>
        <w:footnoteRef/>
      </w:r>
      <w:r w:rsidRPr="009C79E5">
        <w:t xml:space="preserve"> </w:t>
      </w:r>
      <w:r w:rsidRPr="009C79E5">
        <w:rPr>
          <w:i/>
        </w:rPr>
        <w:t>Id.</w:t>
      </w:r>
    </w:p>
  </w:footnote>
  <w:footnote w:id="174">
    <w:p w:rsidR="000A68B6" w:rsidRPr="006C02D7" w:rsidRDefault="000A68B6" w:rsidP="00476E6F">
      <w:pPr>
        <w:pStyle w:val="FootnoteText"/>
        <w:spacing w:after="120"/>
      </w:pPr>
      <w:r w:rsidRPr="009C79E5">
        <w:rPr>
          <w:rStyle w:val="FootnoteReference"/>
        </w:rPr>
        <w:footnoteRef/>
      </w:r>
      <w:r w:rsidRPr="009C79E5">
        <w:t xml:space="preserve"> </w:t>
      </w:r>
      <w:r w:rsidRPr="009C79E5">
        <w:rPr>
          <w:i/>
        </w:rPr>
        <w:t>Id.</w:t>
      </w:r>
      <w:r w:rsidRPr="009C79E5">
        <w:t>, 29 FCC Rcd at ___,</w:t>
      </w:r>
      <w:r w:rsidRPr="006C02D7">
        <w:t xml:space="preserve"> Attachment ¶ 24.</w:t>
      </w:r>
    </w:p>
  </w:footnote>
  <w:footnote w:id="175">
    <w:p w:rsidR="000A68B6" w:rsidRPr="006C02D7" w:rsidRDefault="000A68B6" w:rsidP="00476E6F">
      <w:pPr>
        <w:pStyle w:val="FootnoteText"/>
        <w:spacing w:after="120"/>
      </w:pPr>
      <w:r w:rsidRPr="006C02D7">
        <w:rPr>
          <w:rStyle w:val="FootnoteReference"/>
        </w:rPr>
        <w:footnoteRef/>
      </w:r>
      <w:r w:rsidRPr="009C5E08">
        <w:t xml:space="preserve"> </w:t>
      </w:r>
      <w:r w:rsidRPr="009C79E5">
        <w:rPr>
          <w:i/>
        </w:rPr>
        <w:t>Id.</w:t>
      </w:r>
      <w:r w:rsidRPr="009C79E5">
        <w:t>, 29 FCC Rcd at ___,</w:t>
      </w:r>
      <w:r w:rsidRPr="006C02D7">
        <w:t xml:space="preserve"> Attachment ¶ 25.</w:t>
      </w:r>
    </w:p>
  </w:footnote>
  <w:footnote w:id="176">
    <w:p w:rsidR="000A68B6" w:rsidRPr="006C02D7" w:rsidRDefault="000A68B6" w:rsidP="00476E6F">
      <w:pPr>
        <w:pStyle w:val="FootnoteText"/>
        <w:spacing w:after="120"/>
      </w:pPr>
      <w:r w:rsidRPr="006C02D7">
        <w:rPr>
          <w:rStyle w:val="FootnoteReference"/>
        </w:rPr>
        <w:footnoteRef/>
      </w:r>
      <w:r w:rsidRPr="009C5E08">
        <w:t xml:space="preserve"> </w:t>
      </w:r>
      <w:r w:rsidRPr="009C79E5">
        <w:rPr>
          <w:i/>
        </w:rPr>
        <w:t>Id.</w:t>
      </w:r>
      <w:r w:rsidRPr="009C79E5">
        <w:t>, 29 FCC Rcd at ___,</w:t>
      </w:r>
      <w:r w:rsidRPr="006C02D7">
        <w:t xml:space="preserve"> Attachment ¶ 26.</w:t>
      </w:r>
    </w:p>
  </w:footnote>
  <w:footnote w:id="177">
    <w:p w:rsidR="000A68B6" w:rsidRPr="009C79E5" w:rsidRDefault="000A68B6" w:rsidP="00476E6F">
      <w:pPr>
        <w:pStyle w:val="FootnoteText"/>
        <w:spacing w:after="120"/>
      </w:pPr>
      <w:r w:rsidRPr="006C02D7">
        <w:rPr>
          <w:rStyle w:val="FootnoteReference"/>
        </w:rPr>
        <w:footnoteRef/>
      </w:r>
      <w:r w:rsidRPr="006C02D7">
        <w:t xml:space="preserve"> </w:t>
      </w:r>
      <w:r w:rsidRPr="009C5E08">
        <w:rPr>
          <w:i/>
        </w:rPr>
        <w:t>2012 CVAA Biennial Report</w:t>
      </w:r>
      <w:r w:rsidRPr="009C79E5">
        <w:t xml:space="preserve">, 27 FCC Rcd at 12219, ¶ 39. </w:t>
      </w:r>
    </w:p>
  </w:footnote>
  <w:footnote w:id="178">
    <w:p w:rsidR="000A68B6" w:rsidRPr="009C79E5" w:rsidRDefault="000A68B6" w:rsidP="00476E6F">
      <w:pPr>
        <w:pStyle w:val="FootnoteText"/>
        <w:spacing w:after="120"/>
      </w:pPr>
      <w:r w:rsidRPr="009C79E5">
        <w:rPr>
          <w:rStyle w:val="FootnoteReference"/>
        </w:rPr>
        <w:footnoteRef/>
      </w:r>
      <w:r w:rsidRPr="009C79E5">
        <w:t xml:space="preserve"> </w:t>
      </w:r>
      <w:r w:rsidRPr="009C79E5">
        <w:rPr>
          <w:i/>
        </w:rPr>
        <w:t xml:space="preserve">See </w:t>
      </w:r>
      <w:r w:rsidRPr="009C79E5">
        <w:t xml:space="preserve">¶ 25, n.108, </w:t>
      </w:r>
      <w:r w:rsidRPr="009C79E5">
        <w:rPr>
          <w:i/>
        </w:rPr>
        <w:t>supra</w:t>
      </w:r>
      <w:r w:rsidRPr="009C79E5">
        <w:t xml:space="preserve"> (CTIA reporting that Pantech’s Breeze and Sprint’s Kyocera Kona, Verve, and Duraplus feature phones have accessibility features, and that GreatCall, Odin Mobile, and Project RAY market services and offer accessible phones to seniors and individuals who are blind or visually impaired).</w:t>
      </w:r>
    </w:p>
  </w:footnote>
  <w:footnote w:id="179">
    <w:p w:rsidR="000A68B6" w:rsidRPr="009C79E5" w:rsidRDefault="000A68B6" w:rsidP="00476E6F">
      <w:pPr>
        <w:pStyle w:val="FootnoteText"/>
        <w:spacing w:after="120"/>
      </w:pPr>
      <w:r w:rsidRPr="009C79E5">
        <w:rPr>
          <w:rStyle w:val="FootnoteReference"/>
        </w:rPr>
        <w:footnoteRef/>
      </w:r>
      <w:r w:rsidRPr="009C79E5">
        <w:t xml:space="preserve"> </w:t>
      </w:r>
      <w:r w:rsidRPr="009C79E5">
        <w:rPr>
          <w:i/>
        </w:rPr>
        <w:t xml:space="preserve">See </w:t>
      </w:r>
      <w:r w:rsidRPr="009C79E5">
        <w:t xml:space="preserve">¶ 25, </w:t>
      </w:r>
      <w:r w:rsidRPr="009C79E5">
        <w:rPr>
          <w:i/>
        </w:rPr>
        <w:t>supra</w:t>
      </w:r>
      <w:r w:rsidRPr="009C79E5">
        <w:t xml:space="preserve"> (CTIA stating that wireless providers offer a wide range of devices with “low-end and high-end features, functions, and prices that include accessible features for people with disabilities”), nn.110-113, </w:t>
      </w:r>
      <w:r w:rsidRPr="009C79E5">
        <w:rPr>
          <w:i/>
        </w:rPr>
        <w:t>supra</w:t>
      </w:r>
      <w:r w:rsidRPr="009C79E5">
        <w:t xml:space="preserve"> (CTIA discussing features that make the telecommunications services functions on smartphones more accessible to individuals with disabilities).  </w:t>
      </w:r>
      <w:r w:rsidRPr="009C79E5">
        <w:rPr>
          <w:i/>
        </w:rPr>
        <w:t xml:space="preserve">See also </w:t>
      </w:r>
      <w:r w:rsidRPr="009C79E5">
        <w:t xml:space="preserve">¶ 18, </w:t>
      </w:r>
      <w:r w:rsidRPr="009C79E5">
        <w:rPr>
          <w:i/>
        </w:rPr>
        <w:t>supra</w:t>
      </w:r>
      <w:r w:rsidRPr="009C79E5">
        <w:t xml:space="preserve"> (Consumer Groups noting “improvement in accessibility under Section 255” and support for HD voice-enabled phones and better noise-cancelling technology); ¶ 20, </w:t>
      </w:r>
      <w:r w:rsidRPr="009C79E5">
        <w:rPr>
          <w:i/>
        </w:rPr>
        <w:t>supra</w:t>
      </w:r>
      <w:r w:rsidRPr="009C79E5">
        <w:t xml:space="preserve"> (ACB acknowledging that some mobile platforms now provide greater accessibility, including voice communication applications, that are accessible to individuals who are blind or visually impaired).</w:t>
      </w:r>
    </w:p>
  </w:footnote>
  <w:footnote w:id="180">
    <w:p w:rsidR="000A68B6" w:rsidRPr="009C79E5" w:rsidRDefault="000A68B6" w:rsidP="00476E6F">
      <w:pPr>
        <w:pStyle w:val="FootnoteText"/>
        <w:spacing w:after="120"/>
      </w:pPr>
      <w:r w:rsidRPr="009C79E5">
        <w:rPr>
          <w:rStyle w:val="FootnoteReference"/>
        </w:rPr>
        <w:footnoteRef/>
      </w:r>
      <w:r w:rsidRPr="009C79E5">
        <w:t xml:space="preserve"> </w:t>
      </w:r>
      <w:r w:rsidRPr="009C79E5">
        <w:rPr>
          <w:i/>
        </w:rPr>
        <w:t xml:space="preserve">See, e.g., </w:t>
      </w:r>
      <w:r w:rsidRPr="009C79E5">
        <w:t xml:space="preserve">¶ 25, n.108, </w:t>
      </w:r>
      <w:r w:rsidRPr="009C79E5">
        <w:rPr>
          <w:i/>
        </w:rPr>
        <w:t>supra</w:t>
      </w:r>
      <w:r w:rsidRPr="009C79E5">
        <w:t xml:space="preserve"> (CTIA discussing accessible feature phones and new entities that market services and offer accessible phones to seniors and individuals who are blind or visually impaired); ¶ 25, nn.110-113, </w:t>
      </w:r>
      <w:r w:rsidRPr="009C79E5">
        <w:rPr>
          <w:i/>
        </w:rPr>
        <w:t>supra</w:t>
      </w:r>
      <w:r w:rsidRPr="009C79E5">
        <w:t xml:space="preserve"> (CTIA reporting on features that make the advanced communications services functions on smartphones more accessible to individuals with disabilities).</w:t>
      </w:r>
    </w:p>
  </w:footnote>
  <w:footnote w:id="181">
    <w:p w:rsidR="000A68B6" w:rsidRPr="009C79E5" w:rsidRDefault="000A68B6" w:rsidP="00476E6F">
      <w:pPr>
        <w:pStyle w:val="FootnoteText"/>
        <w:spacing w:after="120"/>
      </w:pPr>
      <w:r w:rsidRPr="009C79E5">
        <w:rPr>
          <w:rStyle w:val="FootnoteReference"/>
        </w:rPr>
        <w:footnoteRef/>
      </w:r>
      <w:r w:rsidRPr="009C79E5">
        <w:t xml:space="preserve"> </w:t>
      </w:r>
      <w:r w:rsidRPr="009C79E5">
        <w:rPr>
          <w:i/>
        </w:rPr>
        <w:t xml:space="preserve">See, e.g., </w:t>
      </w:r>
      <w:r w:rsidRPr="009C79E5">
        <w:t xml:space="preserve">¶ 28, </w:t>
      </w:r>
      <w:r w:rsidRPr="009C79E5">
        <w:rPr>
          <w:i/>
        </w:rPr>
        <w:t>supra</w:t>
      </w:r>
      <w:r w:rsidRPr="009C79E5">
        <w:t xml:space="preserve"> (CEA reporting that its members are actively engaged in efforts to comply with the Commission’s advanced communications services accessibility rules); ¶ 29, </w:t>
      </w:r>
      <w:r w:rsidRPr="009C79E5">
        <w:rPr>
          <w:i/>
        </w:rPr>
        <w:t>supra</w:t>
      </w:r>
      <w:r w:rsidRPr="009C79E5">
        <w:t xml:space="preserve"> (Microsoft noting that it provides consumers with disabilities a choice of built-in or third-party accessibility solutions).</w:t>
      </w:r>
    </w:p>
  </w:footnote>
  <w:footnote w:id="182">
    <w:p w:rsidR="000A68B6" w:rsidRPr="009C79E5" w:rsidRDefault="000A68B6" w:rsidP="00476E6F">
      <w:pPr>
        <w:pStyle w:val="FootnoteText"/>
        <w:spacing w:after="120"/>
      </w:pPr>
      <w:r w:rsidRPr="009C79E5">
        <w:rPr>
          <w:rStyle w:val="FootnoteReference"/>
        </w:rPr>
        <w:footnoteRef/>
      </w:r>
      <w:r w:rsidRPr="009C79E5">
        <w:t xml:space="preserve"> </w:t>
      </w:r>
      <w:r w:rsidRPr="009C79E5">
        <w:rPr>
          <w:i/>
        </w:rPr>
        <w:t xml:space="preserve">See </w:t>
      </w:r>
      <w:r w:rsidRPr="009C79E5">
        <w:t xml:space="preserve">¶ 57, </w:t>
      </w:r>
      <w:r w:rsidRPr="009C79E5">
        <w:rPr>
          <w:i/>
        </w:rPr>
        <w:t xml:space="preserve">infra. </w:t>
      </w:r>
      <w:r w:rsidRPr="009C79E5">
        <w:t xml:space="preserve"> Consumers were permitted to request assistance or file informal complaints with the Commission with respect to alleged violations of Sections 716 beginning October 8, 2013.  </w:t>
      </w:r>
      <w:r w:rsidRPr="009C79E5">
        <w:rPr>
          <w:i/>
        </w:rPr>
        <w:t xml:space="preserve">See </w:t>
      </w:r>
      <w:r w:rsidRPr="009C79E5">
        <w:t xml:space="preserve">¶¶ 54-55, </w:t>
      </w:r>
      <w:r w:rsidRPr="009C79E5">
        <w:rPr>
          <w:i/>
        </w:rPr>
        <w:t>infra.</w:t>
      </w:r>
    </w:p>
  </w:footnote>
  <w:footnote w:id="183">
    <w:p w:rsidR="000A68B6" w:rsidRPr="009C79E5" w:rsidRDefault="000A68B6" w:rsidP="00476E6F">
      <w:pPr>
        <w:pStyle w:val="FootnoteText"/>
        <w:spacing w:after="120"/>
      </w:pPr>
      <w:r w:rsidRPr="009C79E5">
        <w:rPr>
          <w:rStyle w:val="FootnoteReference"/>
        </w:rPr>
        <w:footnoteRef/>
      </w:r>
      <w:r w:rsidRPr="009C79E5">
        <w:t xml:space="preserve"> For example, there is no evidence in the record as to what covered services and equipment were deployed during that three-month period.  Further, consumers may not be aware of the accessibility requirements mandated by Section 716 of the Act and the Commission’s rules, or of possible violations of those requirements, or of their right to request assistance from or to file complaints with the Commission with respect to the inaccessibility of advanced communications services and equipment.  </w:t>
      </w:r>
    </w:p>
  </w:footnote>
  <w:footnote w:id="184">
    <w:p w:rsidR="000A68B6" w:rsidRPr="009C79E5" w:rsidRDefault="000A68B6" w:rsidP="00476E6F">
      <w:pPr>
        <w:pStyle w:val="FootnoteText"/>
        <w:spacing w:after="120"/>
      </w:pPr>
      <w:r w:rsidRPr="009C79E5">
        <w:rPr>
          <w:rStyle w:val="FootnoteReference"/>
        </w:rPr>
        <w:footnoteRef/>
      </w:r>
      <w:r w:rsidRPr="009C79E5">
        <w:t xml:space="preserve"> AFB Comments on Tentative Findings at 2.  AFB maintains that the Commission should do more to raise such awareness, a responsibility that “is not the primary burden of organizations of and for people with disabilities to assume.” </w:t>
      </w:r>
      <w:r w:rsidRPr="009C79E5">
        <w:rPr>
          <w:i/>
        </w:rPr>
        <w:t>Id.</w:t>
      </w:r>
      <w:r w:rsidRPr="009C79E5">
        <w:t xml:space="preserve">  As discussed below, the Commission has undertaken a number of efforts in this regard.  </w:t>
      </w:r>
      <w:r w:rsidRPr="009C79E5">
        <w:rPr>
          <w:i/>
        </w:rPr>
        <w:t xml:space="preserve">See </w:t>
      </w:r>
      <w:r w:rsidRPr="009C79E5">
        <w:t xml:space="preserve">¶ 87, </w:t>
      </w:r>
      <w:r w:rsidRPr="009C79E5">
        <w:rPr>
          <w:i/>
        </w:rPr>
        <w:t>infra</w:t>
      </w:r>
      <w:r w:rsidRPr="009C79E5">
        <w:t xml:space="preserve"> (describing actions taken by Commission staff to inform the public about the protections and remedies available under Sections 255, 716, and 718 of the Act, as required by Section 717(e) of the Act).  </w:t>
      </w:r>
      <w:r w:rsidRPr="009C79E5">
        <w:rPr>
          <w:i/>
        </w:rPr>
        <w:t>See also</w:t>
      </w:r>
      <w:r w:rsidRPr="009C79E5">
        <w:t xml:space="preserve"> </w:t>
      </w:r>
      <w:r w:rsidRPr="009C79E5">
        <w:rPr>
          <w:i/>
        </w:rPr>
        <w:t>New Procedures for Telecommunications and Advanced Communications Accessibility Complaints</w:t>
      </w:r>
      <w:r w:rsidRPr="009C79E5">
        <w:t>, Public Notice, DA 13-2177, 28 FCC Rcd 15712 (CGB 2013) (</w:t>
      </w:r>
      <w:r w:rsidRPr="009C79E5">
        <w:rPr>
          <w:i/>
        </w:rPr>
        <w:t>Complaint Procedures Notice</w:t>
      </w:r>
      <w:r w:rsidRPr="009C79E5">
        <w:t xml:space="preserve">), available at </w:t>
      </w:r>
      <w:hyperlink r:id="rId19" w:history="1">
        <w:r w:rsidRPr="009C79E5">
          <w:rPr>
            <w:rStyle w:val="Hyperlink"/>
          </w:rPr>
          <w:t>https://apps.fcc.gov/edocs_public/attachmatch/DA-13-2177A1.pdf</w:t>
        </w:r>
      </w:hyperlink>
      <w:r w:rsidRPr="009C79E5">
        <w:t xml:space="preserve">.  AFB suggests that this </w:t>
      </w:r>
      <w:r w:rsidRPr="009C79E5">
        <w:rPr>
          <w:i/>
        </w:rPr>
        <w:t>Report</w:t>
      </w:r>
      <w:r w:rsidRPr="009C79E5">
        <w:t xml:space="preserve"> should affirm the Commission’s commitment to meeting its responsibility for consumer outreach and education and “ask the Congress for all appropriate help in doing so.”  AFB Comments on Tentative Findings at 2.  We will continue to conduct outreach to the public, consistent with our obligations under Section 717(e) of the Act.</w:t>
      </w:r>
    </w:p>
  </w:footnote>
  <w:footnote w:id="185">
    <w:p w:rsidR="000A68B6" w:rsidRPr="009C79E5" w:rsidRDefault="000A68B6" w:rsidP="00476E6F">
      <w:pPr>
        <w:pStyle w:val="FootnoteText"/>
        <w:spacing w:after="120"/>
      </w:pPr>
      <w:r w:rsidRPr="009C79E5">
        <w:rPr>
          <w:rStyle w:val="FootnoteReference"/>
        </w:rPr>
        <w:footnoteRef/>
      </w:r>
      <w:r w:rsidRPr="009C79E5">
        <w:t xml:space="preserve"> ACB Comments on Tentative Findings at 2.</w:t>
      </w:r>
    </w:p>
  </w:footnote>
  <w:footnote w:id="186">
    <w:p w:rsidR="000A68B6" w:rsidRPr="009C79E5" w:rsidRDefault="000A68B6" w:rsidP="00476E6F">
      <w:pPr>
        <w:pStyle w:val="FootnoteText"/>
        <w:spacing w:after="120"/>
      </w:pPr>
      <w:r w:rsidRPr="009C79E5">
        <w:rPr>
          <w:rStyle w:val="FootnoteReference"/>
        </w:rPr>
        <w:footnoteRef/>
      </w:r>
      <w:r w:rsidRPr="009C79E5">
        <w:t xml:space="preserve"> CTIA Comments at 8.</w:t>
      </w:r>
    </w:p>
  </w:footnote>
  <w:footnote w:id="187">
    <w:p w:rsidR="000A68B6" w:rsidRPr="009C79E5" w:rsidRDefault="000A68B6" w:rsidP="00476E6F">
      <w:pPr>
        <w:pStyle w:val="FootnoteText"/>
        <w:spacing w:after="120"/>
      </w:pPr>
      <w:r w:rsidRPr="009C79E5">
        <w:rPr>
          <w:rStyle w:val="FootnoteReference"/>
        </w:rPr>
        <w:footnoteRef/>
      </w:r>
      <w:r w:rsidRPr="009C79E5">
        <w:t xml:space="preserve"> </w:t>
      </w:r>
      <w:r w:rsidRPr="009C79E5">
        <w:rPr>
          <w:i/>
        </w:rPr>
        <w:t>See id.</w:t>
      </w:r>
      <w:r w:rsidRPr="009C79E5">
        <w:t xml:space="preserve"> at 10-12.  </w:t>
      </w:r>
      <w:r w:rsidRPr="009C79E5">
        <w:rPr>
          <w:i/>
        </w:rPr>
        <w:t>See, generally,</w:t>
      </w:r>
      <w:r w:rsidRPr="009C79E5">
        <w:t xml:space="preserve"> ¶ 25, nn.108, 110, </w:t>
      </w:r>
      <w:r w:rsidRPr="009C79E5">
        <w:rPr>
          <w:i/>
        </w:rPr>
        <w:t xml:space="preserve">supra </w:t>
      </w:r>
      <w:r w:rsidRPr="009C79E5">
        <w:t>(CTIA discussing accessible feature phones and new entities that market services and offer accessible phones to seniors and individuals who are blind or visually impaired; CTIA reporting on features that make the advanced communications services functions on smartphones more accessible to individuals who are blind or visually impaired).</w:t>
      </w:r>
    </w:p>
  </w:footnote>
  <w:footnote w:id="188">
    <w:p w:rsidR="000A68B6" w:rsidRPr="009C79E5" w:rsidRDefault="000A68B6" w:rsidP="00476E6F">
      <w:pPr>
        <w:pStyle w:val="FootnoteText"/>
        <w:spacing w:after="120"/>
      </w:pPr>
      <w:r w:rsidRPr="009C79E5">
        <w:rPr>
          <w:rStyle w:val="FootnoteReference"/>
        </w:rPr>
        <w:footnoteRef/>
      </w:r>
      <w:r w:rsidRPr="009C79E5">
        <w:t xml:space="preserve"> </w:t>
      </w:r>
      <w:r w:rsidRPr="009C79E5">
        <w:rPr>
          <w:i/>
        </w:rPr>
        <w:t>See</w:t>
      </w:r>
      <w:r w:rsidRPr="009C79E5">
        <w:t xml:space="preserve"> ¶ 24, n.102, </w:t>
      </w:r>
      <w:r w:rsidRPr="009C79E5">
        <w:rPr>
          <w:i/>
        </w:rPr>
        <w:t xml:space="preserve">supra.  </w:t>
      </w:r>
      <w:r w:rsidRPr="009C79E5">
        <w:t xml:space="preserve">Other individuals similarly commented on the accessibility of mobile devices, particularly the Apple iPhone, a mobile phone with a built-in Internet browser.  </w:t>
      </w:r>
      <w:r w:rsidRPr="009C79E5">
        <w:rPr>
          <w:i/>
        </w:rPr>
        <w:t>See</w:t>
      </w:r>
      <w:r w:rsidRPr="009C79E5">
        <w:t xml:space="preserve"> ¶ 24, </w:t>
      </w:r>
      <w:r w:rsidRPr="009C79E5">
        <w:rPr>
          <w:i/>
        </w:rPr>
        <w:t>supra</w:t>
      </w:r>
      <w:r w:rsidRPr="009C79E5">
        <w:t>.</w:t>
      </w:r>
    </w:p>
  </w:footnote>
  <w:footnote w:id="189">
    <w:p w:rsidR="000A68B6" w:rsidRPr="009C79E5" w:rsidRDefault="000A68B6" w:rsidP="00476E6F">
      <w:pPr>
        <w:pStyle w:val="FootnoteText"/>
        <w:spacing w:after="120"/>
      </w:pPr>
      <w:r w:rsidRPr="009C79E5">
        <w:rPr>
          <w:rStyle w:val="FootnoteReference"/>
        </w:rPr>
        <w:footnoteRef/>
      </w:r>
      <w:r w:rsidRPr="009C79E5">
        <w:t xml:space="preserve"> ACB Comments at 3.  </w:t>
      </w:r>
      <w:r w:rsidRPr="009C79E5">
        <w:rPr>
          <w:i/>
        </w:rPr>
        <w:t>See also</w:t>
      </w:r>
      <w:r w:rsidRPr="009C79E5">
        <w:t xml:space="preserve"> ¶ 20, </w:t>
      </w:r>
      <w:r w:rsidRPr="009C79E5">
        <w:rPr>
          <w:i/>
        </w:rPr>
        <w:t>supra</w:t>
      </w:r>
      <w:r w:rsidRPr="009C79E5">
        <w:t>.</w:t>
      </w:r>
    </w:p>
  </w:footnote>
  <w:footnote w:id="190">
    <w:p w:rsidR="000A68B6" w:rsidRPr="009C79E5" w:rsidRDefault="000A68B6" w:rsidP="00476E6F">
      <w:pPr>
        <w:pStyle w:val="FootnoteText"/>
        <w:spacing w:after="120"/>
      </w:pPr>
      <w:r w:rsidRPr="009C79E5">
        <w:rPr>
          <w:rStyle w:val="FootnoteReference"/>
        </w:rPr>
        <w:footnoteRef/>
      </w:r>
      <w:r w:rsidRPr="009C79E5">
        <w:t xml:space="preserve"> </w:t>
      </w:r>
      <w:r w:rsidRPr="009C79E5">
        <w:rPr>
          <w:i/>
        </w:rPr>
        <w:t xml:space="preserve">But see </w:t>
      </w:r>
      <w:r w:rsidRPr="009C79E5">
        <w:t xml:space="preserve">¶ 20, </w:t>
      </w:r>
      <w:r w:rsidRPr="009C79E5">
        <w:rPr>
          <w:i/>
        </w:rPr>
        <w:t>supra</w:t>
      </w:r>
      <w:r w:rsidRPr="009C79E5">
        <w:t xml:space="preserve">.  ACB states that, even with a built-in screen reader, not all of the Windows Phone features are accessible.  </w:t>
      </w:r>
      <w:r w:rsidRPr="009C79E5">
        <w:rPr>
          <w:i/>
        </w:rPr>
        <w:t xml:space="preserve">Id.  </w:t>
      </w:r>
      <w:r w:rsidRPr="009C79E5">
        <w:t>ACB does not, however, identify the Internet browser as one of those inaccessible features.</w:t>
      </w:r>
    </w:p>
  </w:footnote>
  <w:footnote w:id="191">
    <w:p w:rsidR="000A68B6" w:rsidRPr="009C79E5" w:rsidRDefault="000A68B6" w:rsidP="00476E6F">
      <w:pPr>
        <w:pStyle w:val="FootnoteText"/>
        <w:spacing w:after="120"/>
      </w:pPr>
      <w:r w:rsidRPr="009C79E5">
        <w:rPr>
          <w:rStyle w:val="FootnoteReference"/>
        </w:rPr>
        <w:footnoteRef/>
      </w:r>
      <w:r w:rsidRPr="009C79E5">
        <w:t xml:space="preserve"> </w:t>
      </w:r>
      <w:r w:rsidRPr="009C79E5">
        <w:rPr>
          <w:i/>
        </w:rPr>
        <w:t xml:space="preserve">See </w:t>
      </w:r>
      <w:r w:rsidRPr="009C79E5">
        <w:t xml:space="preserve">¶ 41, </w:t>
      </w:r>
      <w:r w:rsidRPr="009C79E5">
        <w:rPr>
          <w:i/>
        </w:rPr>
        <w:t>supra</w:t>
      </w:r>
      <w:r w:rsidRPr="009C79E5">
        <w:t>.</w:t>
      </w:r>
    </w:p>
  </w:footnote>
  <w:footnote w:id="192">
    <w:p w:rsidR="000A68B6" w:rsidRPr="009C79E5" w:rsidRDefault="000A68B6" w:rsidP="00476E6F">
      <w:pPr>
        <w:pStyle w:val="FootnoteText"/>
        <w:spacing w:after="120"/>
      </w:pPr>
      <w:r w:rsidRPr="009C79E5">
        <w:rPr>
          <w:rStyle w:val="FootnoteReference"/>
        </w:rPr>
        <w:footnoteRef/>
      </w:r>
      <w:r w:rsidRPr="009C79E5">
        <w:t xml:space="preserve"> </w:t>
      </w:r>
      <w:r w:rsidRPr="009C79E5">
        <w:rPr>
          <w:i/>
        </w:rPr>
        <w:t xml:space="preserve">See </w:t>
      </w:r>
      <w:r w:rsidRPr="009C79E5">
        <w:t xml:space="preserve">¶ 57, </w:t>
      </w:r>
      <w:r w:rsidRPr="009C79E5">
        <w:rPr>
          <w:i/>
        </w:rPr>
        <w:t>infra.</w:t>
      </w:r>
    </w:p>
  </w:footnote>
  <w:footnote w:id="193">
    <w:p w:rsidR="000A68B6" w:rsidRPr="009C79E5" w:rsidRDefault="000A68B6" w:rsidP="00476E6F">
      <w:pPr>
        <w:pStyle w:val="FootnoteText"/>
        <w:spacing w:after="120"/>
      </w:pPr>
      <w:r w:rsidRPr="009C79E5">
        <w:rPr>
          <w:rStyle w:val="FootnoteReference"/>
        </w:rPr>
        <w:footnoteRef/>
      </w:r>
      <w:r w:rsidRPr="009C79E5">
        <w:t xml:space="preserve"> For example, there is no evidence in the record as to what mobile phones with built-in Internet browsers were deployed during that three-month period.  Further, consumers may not be aware of the accessibility requirements mandated by Section 718 of the Act and the Commission’s rules, or of possible violations of those requirements, or of their right to request assistance from or to file complaints with the Commission with respect to the inaccessibility of Internet browsers built into mobile phones.  </w:t>
      </w:r>
    </w:p>
  </w:footnote>
  <w:footnote w:id="194">
    <w:p w:rsidR="000A68B6" w:rsidRPr="009C79E5" w:rsidRDefault="000A68B6" w:rsidP="00476E6F">
      <w:pPr>
        <w:pStyle w:val="FootnoteText"/>
        <w:spacing w:after="120"/>
      </w:pPr>
      <w:r w:rsidRPr="009C79E5">
        <w:rPr>
          <w:rStyle w:val="FootnoteReference"/>
        </w:rPr>
        <w:footnoteRef/>
      </w:r>
      <w:r w:rsidRPr="009C79E5">
        <w:t xml:space="preserve"> </w:t>
      </w:r>
      <w:r w:rsidRPr="009C79E5">
        <w:rPr>
          <w:i/>
        </w:rPr>
        <w:t xml:space="preserve">See </w:t>
      </w:r>
      <w:r w:rsidRPr="009C79E5">
        <w:t xml:space="preserve">¶ 19, </w:t>
      </w:r>
      <w:r w:rsidRPr="009C79E5">
        <w:rPr>
          <w:i/>
        </w:rPr>
        <w:t>supra</w:t>
      </w:r>
      <w:r w:rsidRPr="009C79E5">
        <w:t xml:space="preserve"> (Consumer Groups noting the need for accessible alerting systems for incoming video calls or other messages).  Wireless RERC reports that it is working to find ways to provide access to alerts through third-party devices (</w:t>
      </w:r>
      <w:r w:rsidRPr="009C79E5">
        <w:rPr>
          <w:i/>
        </w:rPr>
        <w:t>e.g.</w:t>
      </w:r>
      <w:r w:rsidRPr="009C79E5">
        <w:t>, vibrating bed shakers and strobe lights) and will share its findings with industry to further enhance accessibility.  Wireless RERC Comments on Tentative Findings at 8.</w:t>
      </w:r>
    </w:p>
  </w:footnote>
  <w:footnote w:id="195">
    <w:p w:rsidR="000A68B6" w:rsidRPr="009C79E5" w:rsidRDefault="000A68B6" w:rsidP="00476E6F">
      <w:pPr>
        <w:pStyle w:val="FootnoteText"/>
        <w:spacing w:after="120"/>
      </w:pPr>
      <w:r w:rsidRPr="009C79E5">
        <w:rPr>
          <w:rStyle w:val="FootnoteReference"/>
        </w:rPr>
        <w:footnoteRef/>
      </w:r>
      <w:r w:rsidRPr="009C79E5">
        <w:t xml:space="preserve"> </w:t>
      </w:r>
      <w:r w:rsidRPr="009C79E5">
        <w:rPr>
          <w:i/>
        </w:rPr>
        <w:t xml:space="preserve">See, e.g., </w:t>
      </w:r>
      <w:r w:rsidRPr="009C79E5">
        <w:t xml:space="preserve">¶ 18, </w:t>
      </w:r>
      <w:r w:rsidRPr="009C79E5">
        <w:rPr>
          <w:i/>
        </w:rPr>
        <w:t>supra</w:t>
      </w:r>
      <w:r w:rsidRPr="009C79E5">
        <w:t xml:space="preserve"> (Consumer Groups reporting concerns about problems with CTS relay delivered over wireless systems); ¶ 30, </w:t>
      </w:r>
      <w:r w:rsidRPr="009C79E5">
        <w:rPr>
          <w:i/>
        </w:rPr>
        <w:t>supra</w:t>
      </w:r>
      <w:r w:rsidRPr="009C79E5">
        <w:t xml:space="preserve"> (Consumer Groups expressing concerns about the need to maintain connections for neckloops or other assistive devices).</w:t>
      </w:r>
    </w:p>
  </w:footnote>
  <w:footnote w:id="196">
    <w:p w:rsidR="000A68B6" w:rsidRPr="009C79E5" w:rsidRDefault="000A68B6" w:rsidP="00476E6F">
      <w:pPr>
        <w:pStyle w:val="FootnoteText"/>
        <w:spacing w:after="120"/>
      </w:pPr>
      <w:r w:rsidRPr="009C79E5">
        <w:rPr>
          <w:rStyle w:val="FootnoteReference"/>
        </w:rPr>
        <w:footnoteRef/>
      </w:r>
      <w:r w:rsidRPr="009C79E5">
        <w:t xml:space="preserve"> </w:t>
      </w:r>
      <w:r w:rsidRPr="009C79E5">
        <w:rPr>
          <w:i/>
        </w:rPr>
        <w:t>See</w:t>
      </w:r>
      <w:r w:rsidRPr="009C79E5">
        <w:t xml:space="preserve"> ¶ 30, </w:t>
      </w:r>
      <w:r w:rsidRPr="009C79E5">
        <w:rPr>
          <w:i/>
        </w:rPr>
        <w:t>supra</w:t>
      </w:r>
      <w:r w:rsidRPr="009C79E5">
        <w:t xml:space="preserve"> (Consumer Groups expressing concern that re-engineering happens too often without consideration of the needs of people who are deaf or hard of hearing; AADB expressing concern that people who are deaf-blind have insufficient opportunity to provide input into research and development of new communications technologies). </w:t>
      </w:r>
    </w:p>
  </w:footnote>
  <w:footnote w:id="197">
    <w:p w:rsidR="000A68B6" w:rsidRPr="009C79E5" w:rsidRDefault="000A68B6" w:rsidP="00476E6F">
      <w:pPr>
        <w:pStyle w:val="FootnoteText"/>
        <w:spacing w:after="120"/>
      </w:pPr>
      <w:r w:rsidRPr="009C79E5">
        <w:rPr>
          <w:rStyle w:val="FootnoteReference"/>
        </w:rPr>
        <w:footnoteRef/>
      </w:r>
      <w:r w:rsidRPr="009C79E5">
        <w:t xml:space="preserve"> ACB Comments on Tentative Findings at 1 (noting, as examples, accessibility advances that have been made in Android devices and Windows Phones); AFB Comments on Tentative Findings at 1 (concurring that industry has made progress with respect to the accessibility of equipment and services that are subject to Sections 255, 716, and 718) .</w:t>
      </w:r>
    </w:p>
  </w:footnote>
  <w:footnote w:id="198">
    <w:p w:rsidR="000A68B6" w:rsidRPr="009C79E5" w:rsidRDefault="000A68B6" w:rsidP="00476E6F">
      <w:pPr>
        <w:pStyle w:val="FootnoteText"/>
        <w:spacing w:after="120"/>
      </w:pPr>
      <w:r w:rsidRPr="009C79E5">
        <w:rPr>
          <w:rStyle w:val="FootnoteReference"/>
        </w:rPr>
        <w:footnoteRef/>
      </w:r>
      <w:r w:rsidRPr="009C79E5">
        <w:t xml:space="preserve"> </w:t>
      </w:r>
      <w:r w:rsidRPr="009C79E5">
        <w:rPr>
          <w:i/>
        </w:rPr>
        <w:t xml:space="preserve">See </w:t>
      </w:r>
      <w:r w:rsidRPr="009C79E5">
        <w:t xml:space="preserve">¶ 21, </w:t>
      </w:r>
      <w:r w:rsidRPr="009C79E5">
        <w:rPr>
          <w:i/>
        </w:rPr>
        <w:t>supra</w:t>
      </w:r>
      <w:r w:rsidRPr="009C79E5">
        <w:t xml:space="preserve"> (ACB reporting about accessibility problems with online business meeting applications and the default screen reader in Android-based devices; AFB reporting on accessibility deficiencies in Android-based devices and a lack of consistency by manufacturers and carriers in the implementation of accessibility features in products and services using this system).</w:t>
      </w:r>
    </w:p>
  </w:footnote>
  <w:footnote w:id="199">
    <w:p w:rsidR="000A68B6" w:rsidRPr="009C79E5" w:rsidRDefault="000A68B6" w:rsidP="00476E6F">
      <w:pPr>
        <w:pStyle w:val="FootnoteText"/>
        <w:spacing w:after="120"/>
      </w:pPr>
      <w:r w:rsidRPr="009C79E5">
        <w:rPr>
          <w:rStyle w:val="FootnoteReference"/>
        </w:rPr>
        <w:footnoteRef/>
      </w:r>
      <w:r w:rsidRPr="009C79E5">
        <w:t xml:space="preserve"> </w:t>
      </w:r>
      <w:r w:rsidRPr="009C79E5">
        <w:rPr>
          <w:i/>
        </w:rPr>
        <w:t xml:space="preserve">See </w:t>
      </w:r>
      <w:r w:rsidRPr="009C79E5">
        <w:t xml:space="preserve">¶ 25, </w:t>
      </w:r>
      <w:r w:rsidRPr="009C79E5">
        <w:rPr>
          <w:i/>
        </w:rPr>
        <w:t>supra</w:t>
      </w:r>
      <w:r w:rsidRPr="009C79E5">
        <w:t xml:space="preserve"> (CTIA explaining that the move to a platform-based approach by manufacturers ensures that accessibility features are more consistently available).  </w:t>
      </w:r>
      <w:r w:rsidRPr="009C79E5">
        <w:rPr>
          <w:i/>
        </w:rPr>
        <w:t xml:space="preserve">See also </w:t>
      </w:r>
      <w:r w:rsidRPr="009C79E5">
        <w:t xml:space="preserve">¶ 27, </w:t>
      </w:r>
      <w:r w:rsidRPr="009C79E5">
        <w:rPr>
          <w:i/>
        </w:rPr>
        <w:t>supra</w:t>
      </w:r>
      <w:r w:rsidRPr="009C79E5">
        <w:t xml:space="preserve"> (TIA noting that the software platform approach for inclusion of accessibility features leverages the principle of universal design and greatly simplifies upgrades).</w:t>
      </w:r>
    </w:p>
  </w:footnote>
  <w:footnote w:id="200">
    <w:p w:rsidR="000A68B6" w:rsidRPr="009C79E5" w:rsidRDefault="000A68B6" w:rsidP="00476E6F">
      <w:pPr>
        <w:pStyle w:val="FootnoteText"/>
        <w:spacing w:after="120"/>
      </w:pPr>
      <w:r w:rsidRPr="009C79E5">
        <w:rPr>
          <w:rStyle w:val="FootnoteReference"/>
        </w:rPr>
        <w:footnoteRef/>
      </w:r>
      <w:r w:rsidRPr="009C79E5">
        <w:t xml:space="preserve"> </w:t>
      </w:r>
      <w:r w:rsidRPr="009C79E5">
        <w:rPr>
          <w:i/>
        </w:rPr>
        <w:t xml:space="preserve">See </w:t>
      </w:r>
      <w:r w:rsidRPr="009C79E5">
        <w:t xml:space="preserve">¶ 22, </w:t>
      </w:r>
      <w:r w:rsidRPr="009C79E5">
        <w:rPr>
          <w:i/>
        </w:rPr>
        <w:t xml:space="preserve">supra. </w:t>
      </w:r>
      <w:r w:rsidRPr="009C79E5">
        <w:t xml:space="preserve">(AADB observing that upgrades or updates sometimes cause a device or app to become less accessible or totally inaccessible for the user who is deaf-blind), ¶ 23, </w:t>
      </w:r>
      <w:r w:rsidRPr="009C79E5">
        <w:rPr>
          <w:i/>
        </w:rPr>
        <w:t>supra</w:t>
      </w:r>
      <w:r w:rsidRPr="009C79E5">
        <w:t xml:space="preserve"> (Wireless RERC expressing the need to ensure that software updates do not disable accessibility).  </w:t>
      </w:r>
      <w:r w:rsidRPr="009C79E5">
        <w:rPr>
          <w:i/>
        </w:rPr>
        <w:t xml:space="preserve">See also </w:t>
      </w:r>
      <w:r w:rsidRPr="009C79E5">
        <w:t xml:space="preserve">¶ 47, </w:t>
      </w:r>
      <w:r w:rsidRPr="009C79E5">
        <w:rPr>
          <w:i/>
        </w:rPr>
        <w:t xml:space="preserve">infra </w:t>
      </w:r>
      <w:r w:rsidRPr="009C79E5">
        <w:t>(discussing this further as an accessibility barrier to new communications technologies).</w:t>
      </w:r>
    </w:p>
  </w:footnote>
  <w:footnote w:id="201">
    <w:p w:rsidR="000A68B6" w:rsidRPr="009C79E5" w:rsidRDefault="000A68B6" w:rsidP="00476E6F">
      <w:pPr>
        <w:pStyle w:val="FootnoteText"/>
        <w:spacing w:after="120"/>
      </w:pPr>
      <w:r w:rsidRPr="009C79E5">
        <w:rPr>
          <w:rStyle w:val="FootnoteReference"/>
        </w:rPr>
        <w:footnoteRef/>
      </w:r>
      <w:r w:rsidRPr="009C79E5">
        <w:t xml:space="preserve"> </w:t>
      </w:r>
      <w:r w:rsidRPr="009C79E5">
        <w:rPr>
          <w:i/>
        </w:rPr>
        <w:t xml:space="preserve">See </w:t>
      </w:r>
      <w:r w:rsidRPr="009C79E5">
        <w:t xml:space="preserve">¶ 22, </w:t>
      </w:r>
      <w:r w:rsidRPr="009C79E5">
        <w:rPr>
          <w:i/>
        </w:rPr>
        <w:t xml:space="preserve">supra </w:t>
      </w:r>
      <w:r w:rsidRPr="009C79E5">
        <w:t>(comments of AADB)</w:t>
      </w:r>
      <w:r w:rsidRPr="009C79E5">
        <w:rPr>
          <w:i/>
        </w:rPr>
        <w:t xml:space="preserve">.  See also </w:t>
      </w:r>
      <w:r w:rsidRPr="009C79E5">
        <w:t xml:space="preserve">¶ 47, </w:t>
      </w:r>
      <w:r w:rsidRPr="009C79E5">
        <w:rPr>
          <w:i/>
        </w:rPr>
        <w:t>infra</w:t>
      </w:r>
      <w:r w:rsidRPr="009C79E5">
        <w:t xml:space="preserve"> (discussing this further as an accessibility barrier to new communications technologies).</w:t>
      </w:r>
    </w:p>
  </w:footnote>
  <w:footnote w:id="202">
    <w:p w:rsidR="000A68B6" w:rsidRPr="009C79E5" w:rsidRDefault="000A68B6" w:rsidP="00476E6F">
      <w:pPr>
        <w:pStyle w:val="FootnoteText"/>
        <w:spacing w:after="120"/>
      </w:pPr>
      <w:r w:rsidRPr="009C79E5">
        <w:rPr>
          <w:rStyle w:val="FootnoteReference"/>
        </w:rPr>
        <w:footnoteRef/>
      </w:r>
      <w:r w:rsidRPr="009C79E5">
        <w:t xml:space="preserve"> </w:t>
      </w:r>
      <w:r w:rsidRPr="009C79E5">
        <w:rPr>
          <w:i/>
        </w:rPr>
        <w:t xml:space="preserve">See </w:t>
      </w:r>
      <w:r w:rsidRPr="009C79E5">
        <w:t xml:space="preserve">¶ 24, </w:t>
      </w:r>
      <w:r w:rsidRPr="009C79E5">
        <w:rPr>
          <w:i/>
        </w:rPr>
        <w:t xml:space="preserve">supra.  See also </w:t>
      </w:r>
      <w:r w:rsidRPr="009C79E5">
        <w:t xml:space="preserve">¶ 58, </w:t>
      </w:r>
      <w:r w:rsidRPr="009C79E5">
        <w:rPr>
          <w:i/>
        </w:rPr>
        <w:t>infra</w:t>
      </w:r>
      <w:r w:rsidRPr="009C79E5">
        <w:t xml:space="preserve"> (CGB reporting on consumer complaints about inaccessible wireless handsets received in conjunction with Lifeline services).  In response to the </w:t>
      </w:r>
      <w:r w:rsidRPr="009C79E5">
        <w:rPr>
          <w:i/>
        </w:rPr>
        <w:t>2014 CVAA Tentative Findings PN</w:t>
      </w:r>
      <w:r w:rsidRPr="009C79E5">
        <w:t>, the Wireless RERC asserts that compliance with the CVAA by service providers under the Lifeline program is needed to support universal service for people who are economically disadvantaged, including many older adults and people with disabilities.  Wireless RERC Comments on Tentative Findings at 11.</w:t>
      </w:r>
    </w:p>
  </w:footnote>
  <w:footnote w:id="203">
    <w:p w:rsidR="000A68B6" w:rsidRPr="009C79E5" w:rsidRDefault="000A68B6" w:rsidP="00476E6F">
      <w:pPr>
        <w:pStyle w:val="FootnoteText"/>
        <w:spacing w:after="120"/>
      </w:pPr>
      <w:r w:rsidRPr="009C79E5">
        <w:rPr>
          <w:rStyle w:val="FootnoteReference"/>
        </w:rPr>
        <w:footnoteRef/>
      </w:r>
      <w:r w:rsidRPr="009C79E5">
        <w:t xml:space="preserve"> </w:t>
      </w:r>
      <w:r w:rsidRPr="009C79E5">
        <w:rPr>
          <w:i/>
        </w:rPr>
        <w:t xml:space="preserve">See </w:t>
      </w:r>
      <w:r w:rsidRPr="009C79E5">
        <w:t xml:space="preserve">¶ 38, </w:t>
      </w:r>
      <w:r w:rsidRPr="009C79E5">
        <w:rPr>
          <w:i/>
        </w:rPr>
        <w:t>supra</w:t>
      </w:r>
      <w:r w:rsidRPr="009C79E5">
        <w:t xml:space="preserve"> (comments of CTIA)</w:t>
      </w:r>
      <w:r w:rsidRPr="009C79E5">
        <w:rPr>
          <w:i/>
        </w:rPr>
        <w:t>.</w:t>
      </w:r>
    </w:p>
  </w:footnote>
  <w:footnote w:id="204">
    <w:p w:rsidR="000A68B6" w:rsidRPr="009C79E5" w:rsidRDefault="000A68B6" w:rsidP="00476E6F">
      <w:pPr>
        <w:pStyle w:val="FootnoteText"/>
        <w:spacing w:after="120"/>
      </w:pPr>
      <w:r w:rsidRPr="009C79E5">
        <w:rPr>
          <w:rStyle w:val="FootnoteReference"/>
        </w:rPr>
        <w:footnoteRef/>
      </w:r>
      <w:r w:rsidRPr="009C79E5">
        <w:t xml:space="preserve"> </w:t>
      </w:r>
      <w:r w:rsidRPr="009C79E5">
        <w:rPr>
          <w:i/>
        </w:rPr>
        <w:t xml:space="preserve">See </w:t>
      </w:r>
      <w:r w:rsidRPr="009C79E5">
        <w:t xml:space="preserve">¶ 37, </w:t>
      </w:r>
      <w:r w:rsidRPr="009C79E5">
        <w:rPr>
          <w:i/>
        </w:rPr>
        <w:t>supra</w:t>
      </w:r>
      <w:r w:rsidRPr="009C79E5">
        <w:t xml:space="preserve"> (comments of Consumer Groups)</w:t>
      </w:r>
      <w:r w:rsidRPr="009C79E5">
        <w:rPr>
          <w:i/>
        </w:rPr>
        <w:t>.</w:t>
      </w:r>
    </w:p>
  </w:footnote>
  <w:footnote w:id="205">
    <w:p w:rsidR="000A68B6" w:rsidRPr="009C79E5" w:rsidRDefault="000A68B6" w:rsidP="00476E6F">
      <w:pPr>
        <w:pStyle w:val="FootnoteText"/>
        <w:spacing w:after="120"/>
      </w:pPr>
      <w:r w:rsidRPr="009C79E5">
        <w:rPr>
          <w:rStyle w:val="FootnoteReference"/>
        </w:rPr>
        <w:footnoteRef/>
      </w:r>
      <w:r w:rsidRPr="009C79E5">
        <w:t xml:space="preserve"> </w:t>
      </w:r>
      <w:r w:rsidRPr="009C79E5">
        <w:rPr>
          <w:i/>
        </w:rPr>
        <w:t>See</w:t>
      </w:r>
      <w:r w:rsidRPr="009C79E5">
        <w:t xml:space="preserve"> 47 U.S.C. § 618(a)(5)(a)(i).</w:t>
      </w:r>
    </w:p>
  </w:footnote>
  <w:footnote w:id="206">
    <w:p w:rsidR="000A68B6" w:rsidRPr="009C79E5" w:rsidRDefault="000A68B6" w:rsidP="00476E6F">
      <w:pPr>
        <w:pStyle w:val="FootnoteText"/>
        <w:spacing w:after="120"/>
      </w:pPr>
      <w:r w:rsidRPr="009C79E5">
        <w:rPr>
          <w:rStyle w:val="FootnoteReference"/>
        </w:rPr>
        <w:footnoteRef/>
      </w:r>
      <w:r w:rsidRPr="009C79E5">
        <w:t xml:space="preserve"> Wireless RERC Comments on Tentative Findings at 9, 12.</w:t>
      </w:r>
    </w:p>
  </w:footnote>
  <w:footnote w:id="207">
    <w:p w:rsidR="000A68B6" w:rsidRPr="009C79E5" w:rsidRDefault="000A68B6" w:rsidP="00476E6F">
      <w:pPr>
        <w:pStyle w:val="FootnoteText"/>
        <w:spacing w:after="120"/>
      </w:pPr>
      <w:r w:rsidRPr="009C79E5">
        <w:rPr>
          <w:rStyle w:val="FootnoteReference"/>
        </w:rPr>
        <w:footnoteRef/>
      </w:r>
      <w:r w:rsidRPr="009C79E5">
        <w:t xml:space="preserve"> </w:t>
      </w:r>
      <w:r w:rsidRPr="009C79E5">
        <w:rPr>
          <w:i/>
        </w:rPr>
        <w:t xml:space="preserve">See </w:t>
      </w:r>
      <w:r w:rsidRPr="009C79E5">
        <w:t xml:space="preserve">¶ 31, </w:t>
      </w:r>
      <w:r w:rsidRPr="009C79E5">
        <w:rPr>
          <w:i/>
        </w:rPr>
        <w:t xml:space="preserve">supra </w:t>
      </w:r>
      <w:r w:rsidRPr="009C79E5">
        <w:t xml:space="preserve">(CTIA reporting that its member companies have met with various disability-related organizations and consumer representatives), ¶ 32, </w:t>
      </w:r>
      <w:r w:rsidRPr="009C79E5">
        <w:rPr>
          <w:i/>
        </w:rPr>
        <w:t>supra</w:t>
      </w:r>
      <w:r w:rsidRPr="009C79E5">
        <w:t xml:space="preserve"> (TIA reporting that its members continue to liaise with the disability community to ensure inclusive design, and that consultation with individuals with disabilities on research and development is taking place at both the company and industry association levels), ¶ 33, </w:t>
      </w:r>
      <w:r w:rsidRPr="009C79E5">
        <w:rPr>
          <w:i/>
        </w:rPr>
        <w:t>supra</w:t>
      </w:r>
      <w:r w:rsidRPr="009C79E5">
        <w:t xml:space="preserve"> (Microsoft reporting that it holds an annual summit with Microsoft employees and disability rights advocates).</w:t>
      </w:r>
    </w:p>
  </w:footnote>
  <w:footnote w:id="208">
    <w:p w:rsidR="000A68B6" w:rsidRPr="009C79E5" w:rsidRDefault="000A68B6" w:rsidP="00476E6F">
      <w:pPr>
        <w:pStyle w:val="FootnoteText"/>
        <w:spacing w:after="120"/>
      </w:pPr>
      <w:r w:rsidRPr="009C79E5">
        <w:rPr>
          <w:rStyle w:val="FootnoteReference"/>
        </w:rPr>
        <w:footnoteRef/>
      </w:r>
      <w:r w:rsidRPr="009C79E5">
        <w:t xml:space="preserve"> </w:t>
      </w:r>
      <w:r w:rsidRPr="009C79E5">
        <w:rPr>
          <w:i/>
        </w:rPr>
        <w:t xml:space="preserve">See </w:t>
      </w:r>
      <w:r w:rsidRPr="009C79E5">
        <w:t xml:space="preserve">¶ 31, n.141, </w:t>
      </w:r>
      <w:r w:rsidRPr="009C79E5">
        <w:rPr>
          <w:i/>
        </w:rPr>
        <w:t>supra</w:t>
      </w:r>
      <w:r w:rsidRPr="009C79E5">
        <w:t xml:space="preserve"> (CTIA noting, specifically, the establishment of a Corporate Accessible Technology Office by AT&amp;T, and Verizon’s online training courses for new employees about accessibility requirements).</w:t>
      </w:r>
    </w:p>
  </w:footnote>
  <w:footnote w:id="209">
    <w:p w:rsidR="000A68B6" w:rsidRPr="009C79E5" w:rsidRDefault="000A68B6" w:rsidP="00476E6F">
      <w:pPr>
        <w:pStyle w:val="FootnoteText"/>
        <w:spacing w:after="120"/>
      </w:pPr>
      <w:r w:rsidRPr="009C79E5">
        <w:rPr>
          <w:rStyle w:val="FootnoteReference"/>
        </w:rPr>
        <w:footnoteRef/>
      </w:r>
      <w:r w:rsidRPr="009C79E5">
        <w:t xml:space="preserve"> </w:t>
      </w:r>
      <w:r w:rsidRPr="009C79E5">
        <w:rPr>
          <w:i/>
        </w:rPr>
        <w:t xml:space="preserve">See </w:t>
      </w:r>
      <w:r w:rsidRPr="009C79E5">
        <w:t xml:space="preserve">¶ 31, </w:t>
      </w:r>
      <w:r w:rsidRPr="009C79E5">
        <w:rPr>
          <w:i/>
        </w:rPr>
        <w:t>supra</w:t>
      </w:r>
      <w:r w:rsidRPr="009C79E5">
        <w:t xml:space="preserve"> (CTIA reporting wireless provider initiatives, including advisory panels).</w:t>
      </w:r>
    </w:p>
  </w:footnote>
  <w:footnote w:id="210">
    <w:p w:rsidR="000A68B6" w:rsidRPr="009C79E5" w:rsidRDefault="000A68B6" w:rsidP="00476E6F">
      <w:pPr>
        <w:pStyle w:val="FootnoteText"/>
        <w:spacing w:after="120"/>
      </w:pPr>
      <w:r w:rsidRPr="009C79E5">
        <w:rPr>
          <w:rStyle w:val="FootnoteReference"/>
        </w:rPr>
        <w:footnoteRef/>
      </w:r>
      <w:r w:rsidRPr="009C79E5">
        <w:t xml:space="preserve"> </w:t>
      </w:r>
      <w:r w:rsidRPr="009C79E5">
        <w:rPr>
          <w:i/>
        </w:rPr>
        <w:t xml:space="preserve">See </w:t>
      </w:r>
      <w:r w:rsidRPr="009C79E5">
        <w:t xml:space="preserve">¶ 33, </w:t>
      </w:r>
      <w:r w:rsidRPr="009C79E5">
        <w:rPr>
          <w:i/>
        </w:rPr>
        <w:t>supra</w:t>
      </w:r>
      <w:r w:rsidRPr="009C79E5">
        <w:t xml:space="preserve"> (Microsoft reporting that it hires individuals with disabilities as usability testers).</w:t>
      </w:r>
    </w:p>
  </w:footnote>
  <w:footnote w:id="211">
    <w:p w:rsidR="000A68B6" w:rsidRPr="009C79E5" w:rsidRDefault="000A68B6" w:rsidP="00476E6F">
      <w:pPr>
        <w:pStyle w:val="FootnoteText"/>
        <w:spacing w:after="120"/>
      </w:pPr>
      <w:r w:rsidRPr="009C79E5">
        <w:rPr>
          <w:rStyle w:val="FootnoteReference"/>
        </w:rPr>
        <w:footnoteRef/>
      </w:r>
      <w:r w:rsidRPr="009C79E5">
        <w:t xml:space="preserve"> </w:t>
      </w:r>
      <w:r w:rsidRPr="009C79E5">
        <w:rPr>
          <w:i/>
        </w:rPr>
        <w:t xml:space="preserve">See </w:t>
      </w:r>
      <w:r w:rsidRPr="009C79E5">
        <w:t xml:space="preserve">¶ 30, </w:t>
      </w:r>
      <w:r w:rsidRPr="009C79E5">
        <w:rPr>
          <w:i/>
        </w:rPr>
        <w:t>supra</w:t>
      </w:r>
      <w:r w:rsidRPr="009C79E5">
        <w:t>, citing Consumer Groups Comments at 3 (raising concerns about the possible negative effects of elimination of the headphone jack on future models of smartphones).</w:t>
      </w:r>
    </w:p>
  </w:footnote>
  <w:footnote w:id="212">
    <w:p w:rsidR="000A68B6" w:rsidRPr="009C79E5" w:rsidRDefault="000A68B6" w:rsidP="00476E6F">
      <w:pPr>
        <w:pStyle w:val="FootnoteText"/>
        <w:spacing w:after="120"/>
      </w:pPr>
      <w:r w:rsidRPr="009C79E5">
        <w:rPr>
          <w:rStyle w:val="FootnoteReference"/>
        </w:rPr>
        <w:footnoteRef/>
      </w:r>
      <w:r w:rsidRPr="009C79E5">
        <w:t xml:space="preserve"> </w:t>
      </w:r>
      <w:r w:rsidRPr="009C79E5">
        <w:rPr>
          <w:i/>
        </w:rPr>
        <w:t xml:space="preserve">See </w:t>
      </w:r>
      <w:r w:rsidRPr="009C79E5">
        <w:t xml:space="preserve">¶ 30, </w:t>
      </w:r>
      <w:r w:rsidRPr="009C79E5">
        <w:rPr>
          <w:i/>
        </w:rPr>
        <w:t>supra</w:t>
      </w:r>
      <w:r w:rsidRPr="009C79E5">
        <w:t xml:space="preserve">.  </w:t>
      </w:r>
    </w:p>
  </w:footnote>
  <w:footnote w:id="213">
    <w:p w:rsidR="000A68B6" w:rsidRPr="009C79E5" w:rsidRDefault="000A68B6" w:rsidP="00476E6F">
      <w:pPr>
        <w:pStyle w:val="FootnoteText"/>
        <w:spacing w:after="120"/>
      </w:pPr>
      <w:r w:rsidRPr="009C79E5">
        <w:rPr>
          <w:rStyle w:val="FootnoteReference"/>
        </w:rPr>
        <w:footnoteRef/>
      </w:r>
      <w:r w:rsidRPr="009C79E5">
        <w:t xml:space="preserve"> As noted above, a product or service is “usable” if individuals with disabilities have access to the full functionality and documentation for the product or service, including instructions, product or service information (including accessible feature information), documentation and technical support functionally equivalent to that provided to individuals without disabilities.  </w:t>
      </w:r>
      <w:r w:rsidRPr="009C79E5">
        <w:rPr>
          <w:i/>
        </w:rPr>
        <w:t>See</w:t>
      </w:r>
      <w:r w:rsidRPr="009C79E5">
        <w:t xml:space="preserve"> ¶ 33, n.151, </w:t>
      </w:r>
      <w:r w:rsidRPr="009C79E5">
        <w:rPr>
          <w:i/>
        </w:rPr>
        <w:t>supra</w:t>
      </w:r>
      <w:r w:rsidRPr="009C79E5">
        <w:t>.</w:t>
      </w:r>
    </w:p>
  </w:footnote>
  <w:footnote w:id="214">
    <w:p w:rsidR="000A68B6" w:rsidRPr="009C79E5" w:rsidRDefault="000A68B6" w:rsidP="00476E6F">
      <w:pPr>
        <w:pStyle w:val="FootnoteText"/>
        <w:spacing w:after="120"/>
      </w:pPr>
      <w:r w:rsidRPr="009C79E5">
        <w:rPr>
          <w:rStyle w:val="FootnoteReference"/>
        </w:rPr>
        <w:footnoteRef/>
      </w:r>
      <w:r w:rsidRPr="009C79E5">
        <w:t xml:space="preserve"> </w:t>
      </w:r>
      <w:r w:rsidRPr="009C79E5">
        <w:rPr>
          <w:i/>
        </w:rPr>
        <w:t xml:space="preserve">See, e.g., </w:t>
      </w:r>
      <w:r w:rsidRPr="009C79E5">
        <w:t xml:space="preserve">¶ 35, </w:t>
      </w:r>
      <w:r w:rsidRPr="009C79E5">
        <w:rPr>
          <w:i/>
        </w:rPr>
        <w:t xml:space="preserve">supra </w:t>
      </w:r>
      <w:r w:rsidRPr="009C79E5">
        <w:t xml:space="preserve">(CTIA reporting that its members provide information about accessible products and services through a variety of means); ¶ 36, </w:t>
      </w:r>
      <w:r w:rsidRPr="009C79E5">
        <w:rPr>
          <w:i/>
        </w:rPr>
        <w:t>supra</w:t>
      </w:r>
      <w:r w:rsidRPr="009C79E5">
        <w:t xml:space="preserve"> (Microsoft noting that its customer assistance is available from staff specially trained on accessibility issues).</w:t>
      </w:r>
    </w:p>
  </w:footnote>
  <w:footnote w:id="215">
    <w:p w:rsidR="000A68B6" w:rsidRPr="009C79E5" w:rsidRDefault="000A68B6" w:rsidP="00476E6F">
      <w:pPr>
        <w:pStyle w:val="FootnoteText"/>
        <w:spacing w:after="120"/>
      </w:pPr>
      <w:r w:rsidRPr="009C79E5">
        <w:rPr>
          <w:rStyle w:val="FootnoteReference"/>
        </w:rPr>
        <w:footnoteRef/>
      </w:r>
      <w:r w:rsidRPr="009C79E5">
        <w:t xml:space="preserve"> </w:t>
      </w:r>
      <w:r w:rsidRPr="009C79E5">
        <w:rPr>
          <w:i/>
        </w:rPr>
        <w:t xml:space="preserve">See </w:t>
      </w:r>
      <w:r w:rsidRPr="009C79E5">
        <w:t xml:space="preserve">¶ 34, </w:t>
      </w:r>
      <w:r w:rsidRPr="009C79E5">
        <w:rPr>
          <w:i/>
        </w:rPr>
        <w:t>supra.</w:t>
      </w:r>
      <w:r w:rsidRPr="009C79E5">
        <w:rPr>
          <w:i/>
        </w:rPr>
        <w:tab/>
      </w:r>
    </w:p>
  </w:footnote>
  <w:footnote w:id="216">
    <w:p w:rsidR="000A68B6" w:rsidRPr="009C79E5" w:rsidRDefault="000A68B6" w:rsidP="00476E6F">
      <w:pPr>
        <w:pStyle w:val="FootnoteText"/>
        <w:spacing w:after="120"/>
      </w:pPr>
      <w:r w:rsidRPr="009C79E5">
        <w:rPr>
          <w:rStyle w:val="FootnoteReference"/>
        </w:rPr>
        <w:footnoteRef/>
      </w:r>
      <w:r w:rsidRPr="009C79E5">
        <w:t xml:space="preserve"> </w:t>
      </w:r>
      <w:r w:rsidRPr="009C79E5">
        <w:rPr>
          <w:i/>
        </w:rPr>
        <w:t xml:space="preserve">Id. </w:t>
      </w:r>
    </w:p>
  </w:footnote>
  <w:footnote w:id="217">
    <w:p w:rsidR="000A68B6" w:rsidRPr="009C79E5" w:rsidRDefault="000A68B6" w:rsidP="00476E6F">
      <w:pPr>
        <w:pStyle w:val="FootnoteText"/>
        <w:spacing w:after="120"/>
      </w:pPr>
      <w:r w:rsidRPr="009C79E5">
        <w:rPr>
          <w:rStyle w:val="FootnoteReference"/>
        </w:rPr>
        <w:footnoteRef/>
      </w:r>
      <w:r w:rsidRPr="009C79E5">
        <w:t xml:space="preserve"> </w:t>
      </w:r>
      <w:r w:rsidRPr="009C79E5">
        <w:rPr>
          <w:i/>
        </w:rPr>
        <w:t xml:space="preserve">Id. </w:t>
      </w:r>
    </w:p>
  </w:footnote>
  <w:footnote w:id="218">
    <w:p w:rsidR="000A68B6" w:rsidRPr="009C79E5" w:rsidRDefault="000A68B6" w:rsidP="00476E6F">
      <w:pPr>
        <w:pStyle w:val="FootnoteText"/>
        <w:spacing w:after="120"/>
      </w:pPr>
      <w:r w:rsidRPr="009C79E5">
        <w:rPr>
          <w:rStyle w:val="FootnoteReference"/>
        </w:rPr>
        <w:footnoteRef/>
      </w:r>
      <w:r w:rsidRPr="009C79E5">
        <w:t xml:space="preserve"> </w:t>
      </w:r>
      <w:r w:rsidRPr="009C79E5">
        <w:rPr>
          <w:i/>
        </w:rPr>
        <w:t xml:space="preserve">See </w:t>
      </w:r>
      <w:r w:rsidRPr="009C79E5">
        <w:t xml:space="preserve">¶ 59, </w:t>
      </w:r>
      <w:r w:rsidRPr="009C79E5">
        <w:rPr>
          <w:i/>
        </w:rPr>
        <w:t>infra.</w:t>
      </w:r>
    </w:p>
  </w:footnote>
  <w:footnote w:id="219">
    <w:p w:rsidR="000A68B6" w:rsidRPr="009C79E5" w:rsidRDefault="000A68B6" w:rsidP="00476E6F">
      <w:pPr>
        <w:pStyle w:val="FootnoteText"/>
        <w:spacing w:after="120"/>
      </w:pPr>
      <w:r w:rsidRPr="009C79E5">
        <w:rPr>
          <w:rStyle w:val="FootnoteReference"/>
        </w:rPr>
        <w:footnoteRef/>
      </w:r>
      <w:r w:rsidRPr="009C79E5">
        <w:t xml:space="preserve"> 47 U.S.C. § 618(b)(1)(B).</w:t>
      </w:r>
    </w:p>
  </w:footnote>
  <w:footnote w:id="220">
    <w:p w:rsidR="000A68B6" w:rsidRPr="009C79E5" w:rsidRDefault="000A68B6" w:rsidP="00476E6F">
      <w:pPr>
        <w:pStyle w:val="FootnoteText"/>
        <w:spacing w:after="120"/>
      </w:pPr>
      <w:r w:rsidRPr="009C79E5">
        <w:rPr>
          <w:rStyle w:val="FootnoteReference"/>
        </w:rPr>
        <w:footnoteRef/>
      </w:r>
      <w:r w:rsidRPr="009C79E5">
        <w:t xml:space="preserve"> </w:t>
      </w:r>
      <w:r w:rsidRPr="009C79E5">
        <w:rPr>
          <w:i/>
        </w:rPr>
        <w:t xml:space="preserve">2012 CVAA Biennial </w:t>
      </w:r>
      <w:r w:rsidRPr="009C79E5">
        <w:t>Report, 27 FCC Rcd at 12222, ¶ 46.</w:t>
      </w:r>
    </w:p>
  </w:footnote>
  <w:footnote w:id="221">
    <w:p w:rsidR="000A68B6" w:rsidRPr="009C79E5" w:rsidRDefault="000A68B6" w:rsidP="00476E6F">
      <w:pPr>
        <w:pStyle w:val="FootnoteText"/>
        <w:spacing w:after="120"/>
      </w:pPr>
      <w:r w:rsidRPr="009C79E5">
        <w:rPr>
          <w:rStyle w:val="FootnoteReference"/>
        </w:rPr>
        <w:footnoteRef/>
      </w:r>
      <w:r w:rsidRPr="009C79E5">
        <w:t xml:space="preserve"> </w:t>
      </w:r>
      <w:r w:rsidRPr="009C79E5">
        <w:rPr>
          <w:i/>
        </w:rPr>
        <w:t>2014 CVAA Assessment PN</w:t>
      </w:r>
      <w:r w:rsidRPr="009C79E5">
        <w:t>, 29 FCC Rcd at 7322, ¶ 12.</w:t>
      </w:r>
    </w:p>
  </w:footnote>
  <w:footnote w:id="222">
    <w:p w:rsidR="000A68B6" w:rsidRPr="009C79E5" w:rsidRDefault="000A68B6" w:rsidP="00476E6F">
      <w:pPr>
        <w:pStyle w:val="FootnoteText"/>
        <w:spacing w:after="120"/>
      </w:pPr>
      <w:r w:rsidRPr="009C79E5">
        <w:rPr>
          <w:rStyle w:val="FootnoteReference"/>
        </w:rPr>
        <w:footnoteRef/>
      </w:r>
      <w:r w:rsidRPr="009C79E5">
        <w:t xml:space="preserve"> </w:t>
      </w:r>
      <w:r w:rsidRPr="009C79E5">
        <w:rPr>
          <w:i/>
        </w:rPr>
        <w:t>Id.</w:t>
      </w:r>
    </w:p>
  </w:footnote>
  <w:footnote w:id="223">
    <w:p w:rsidR="000A68B6" w:rsidRPr="009C79E5" w:rsidRDefault="000A68B6" w:rsidP="00476E6F">
      <w:pPr>
        <w:pStyle w:val="FootnoteText"/>
        <w:spacing w:after="120"/>
      </w:pPr>
      <w:r w:rsidRPr="009C79E5">
        <w:rPr>
          <w:rStyle w:val="FootnoteReference"/>
        </w:rPr>
        <w:footnoteRef/>
      </w:r>
      <w:r w:rsidRPr="009C79E5">
        <w:t xml:space="preserve"> Consumer Groups Comments at 8-9.</w:t>
      </w:r>
    </w:p>
  </w:footnote>
  <w:footnote w:id="224">
    <w:p w:rsidR="000A68B6" w:rsidRPr="009C79E5" w:rsidRDefault="000A68B6" w:rsidP="00476E6F">
      <w:pPr>
        <w:pStyle w:val="FootnoteText"/>
        <w:spacing w:after="120"/>
      </w:pPr>
      <w:r w:rsidRPr="009C79E5">
        <w:rPr>
          <w:rStyle w:val="FootnoteReference"/>
        </w:rPr>
        <w:footnoteRef/>
      </w:r>
      <w:r w:rsidRPr="009C79E5">
        <w:t xml:space="preserve"> </w:t>
      </w:r>
      <w:r w:rsidRPr="009C79E5">
        <w:rPr>
          <w:i/>
        </w:rPr>
        <w:t>Id.</w:t>
      </w:r>
      <w:r w:rsidRPr="009C79E5">
        <w:t xml:space="preserve"> at 8.  To address these issues, Consumer Groups urge the development of a new type of relay service that would enable such individuals to benefit from interpreters who are physically present, or to be matched with VRS communication assistants who can understand and communicate with them.  </w:t>
      </w:r>
      <w:r w:rsidRPr="009C79E5">
        <w:rPr>
          <w:i/>
        </w:rPr>
        <w:t>Id</w:t>
      </w:r>
      <w:r w:rsidRPr="009C79E5">
        <w:t xml:space="preserve">.  </w:t>
      </w:r>
    </w:p>
  </w:footnote>
  <w:footnote w:id="225">
    <w:p w:rsidR="000A68B6" w:rsidRPr="009C79E5" w:rsidRDefault="000A68B6" w:rsidP="00476E6F">
      <w:pPr>
        <w:pStyle w:val="FootnoteText"/>
        <w:spacing w:after="120"/>
      </w:pPr>
      <w:r w:rsidRPr="009C79E5">
        <w:rPr>
          <w:rStyle w:val="FootnoteReference"/>
        </w:rPr>
        <w:footnoteRef/>
      </w:r>
      <w:r w:rsidRPr="009C79E5">
        <w:t xml:space="preserve"> IP Relay service is defined in the Commission’s rules as a form of TRS “that permits an individual with a hearing or a speech disability to communicate in text using an Internet Protocol-enabled device via the Internet, rather than using a text telephone (TTY) and the public switched telephone network.”  47 C.F.R. § 64.601(17).</w:t>
      </w:r>
    </w:p>
  </w:footnote>
  <w:footnote w:id="226">
    <w:p w:rsidR="000A68B6" w:rsidRPr="009C79E5" w:rsidRDefault="000A68B6" w:rsidP="00476E6F">
      <w:pPr>
        <w:pStyle w:val="FootnoteText"/>
        <w:spacing w:after="120"/>
      </w:pPr>
      <w:r w:rsidRPr="009C79E5">
        <w:rPr>
          <w:rStyle w:val="FootnoteReference"/>
        </w:rPr>
        <w:footnoteRef/>
      </w:r>
      <w:r w:rsidRPr="009C79E5">
        <w:t xml:space="preserve"> AADB Comments at 3, 5; ACB Comments at 2.  AADB states that manufacturers, software developers, and others often proclaim that products, such as digital talking books or audio only temperature apps, are “fully accessible” when they are not accessible to individuals who are deaf-blind.  AADB Comments at 2.  These kinds of products, however, do not fall within the scope of this </w:t>
      </w:r>
      <w:r w:rsidRPr="009C79E5">
        <w:rPr>
          <w:i/>
        </w:rPr>
        <w:t>Report</w:t>
      </w:r>
      <w:r w:rsidRPr="009C79E5">
        <w:t xml:space="preserve"> to the extent they do not provide advanced communication services.  In addition, AADB expresses dissatisfaction with their members’ ability to access captions or video descriptions on video or television programs through their assistive devices, matters that are also outside the scope of this </w:t>
      </w:r>
      <w:r w:rsidRPr="009C79E5">
        <w:rPr>
          <w:i/>
        </w:rPr>
        <w:t>Report</w:t>
      </w:r>
      <w:r w:rsidRPr="009C79E5">
        <w:t xml:space="preserve">.  </w:t>
      </w:r>
      <w:r w:rsidRPr="009C79E5">
        <w:rPr>
          <w:i/>
        </w:rPr>
        <w:t>Id.</w:t>
      </w:r>
      <w:r w:rsidRPr="009C79E5">
        <w:t xml:space="preserve"> at 5.</w:t>
      </w:r>
    </w:p>
  </w:footnote>
  <w:footnote w:id="227">
    <w:p w:rsidR="000A68B6" w:rsidRPr="009C79E5" w:rsidRDefault="000A68B6" w:rsidP="00476E6F">
      <w:pPr>
        <w:pStyle w:val="FootnoteText"/>
        <w:spacing w:after="120"/>
      </w:pPr>
      <w:r w:rsidRPr="009C79E5">
        <w:rPr>
          <w:rStyle w:val="FootnoteReference"/>
        </w:rPr>
        <w:footnoteRef/>
      </w:r>
      <w:r w:rsidRPr="009C79E5">
        <w:t xml:space="preserve"> ACB Comments at 2-3.  We note, however, that the Commission has granted a class waiver of the advanced communications services accessibility rules until October 8, 2015, for Internet protocol-enabled television sets.  </w:t>
      </w:r>
      <w:r w:rsidRPr="009C79E5">
        <w:rPr>
          <w:i/>
        </w:rPr>
        <w:t>ACS Waiver Order</w:t>
      </w:r>
      <w:r w:rsidRPr="009C79E5">
        <w:t>, 27 FCC Rcd at 12973-78, ¶¶ 6-14.</w:t>
      </w:r>
    </w:p>
  </w:footnote>
  <w:footnote w:id="228">
    <w:p w:rsidR="000A68B6" w:rsidRPr="009C79E5" w:rsidRDefault="000A68B6" w:rsidP="00476E6F">
      <w:pPr>
        <w:pStyle w:val="FootnoteText"/>
        <w:spacing w:after="120"/>
      </w:pPr>
      <w:r w:rsidRPr="009C79E5">
        <w:rPr>
          <w:rStyle w:val="FootnoteReference"/>
        </w:rPr>
        <w:footnoteRef/>
      </w:r>
      <w:r w:rsidRPr="009C79E5">
        <w:t xml:space="preserve"> ACB Comments at 2.</w:t>
      </w:r>
    </w:p>
  </w:footnote>
  <w:footnote w:id="229">
    <w:p w:rsidR="000A68B6" w:rsidRPr="009C79E5" w:rsidRDefault="000A68B6" w:rsidP="00476E6F">
      <w:pPr>
        <w:pStyle w:val="FootnoteText"/>
        <w:spacing w:after="120"/>
      </w:pPr>
      <w:r w:rsidRPr="009C79E5">
        <w:rPr>
          <w:rStyle w:val="FootnoteReference"/>
        </w:rPr>
        <w:footnoteRef/>
      </w:r>
      <w:r w:rsidRPr="009C79E5">
        <w:t xml:space="preserve"> </w:t>
      </w:r>
      <w:r w:rsidRPr="009C79E5">
        <w:rPr>
          <w:i/>
        </w:rPr>
        <w:t>Id</w:t>
      </w:r>
      <w:r w:rsidRPr="009C79E5">
        <w:t>.</w:t>
      </w:r>
    </w:p>
  </w:footnote>
  <w:footnote w:id="230">
    <w:p w:rsidR="000A68B6" w:rsidRPr="009C79E5" w:rsidRDefault="000A68B6" w:rsidP="00476E6F">
      <w:pPr>
        <w:pStyle w:val="FootnoteText"/>
        <w:spacing w:after="120"/>
      </w:pPr>
      <w:r w:rsidRPr="009C79E5">
        <w:rPr>
          <w:rStyle w:val="FootnoteReference"/>
        </w:rPr>
        <w:footnoteRef/>
      </w:r>
      <w:r w:rsidRPr="009C79E5">
        <w:t xml:space="preserve"> </w:t>
      </w:r>
      <w:r w:rsidRPr="009C79E5">
        <w:rPr>
          <w:i/>
        </w:rPr>
        <w:t>Id</w:t>
      </w:r>
      <w:r w:rsidRPr="009C79E5">
        <w:t xml:space="preserve">. at 2.  Although we note ACB’s praise for the accessibility of Comcast’s new set-top box here, it is not clear whether any of the navigation device features to which ACB alludes enables access to the communications technologies covered by this </w:t>
      </w:r>
      <w:r w:rsidRPr="009C79E5">
        <w:rPr>
          <w:i/>
        </w:rPr>
        <w:t>Report</w:t>
      </w:r>
      <w:r w:rsidRPr="009C79E5">
        <w:t>.  We also note that the Commission granted a class waiver of the advanced communications accessibility rules until October 8, 2015, for set-top boxes that are leased by cable operators to their customers.</w:t>
      </w:r>
      <w:r w:rsidRPr="009C79E5">
        <w:rPr>
          <w:i/>
        </w:rPr>
        <w:t xml:space="preserve">  ACS Waiver Order</w:t>
      </w:r>
      <w:r w:rsidRPr="009C79E5">
        <w:t xml:space="preserve">, 27 FCC Rcd at 12978-82, ¶¶ 15-22.  </w:t>
      </w:r>
      <w:r w:rsidRPr="009C79E5">
        <w:rPr>
          <w:i/>
        </w:rPr>
        <w:t>See also</w:t>
      </w:r>
      <w:r w:rsidRPr="009C79E5">
        <w:t xml:space="preserve"> Section III.J of this </w:t>
      </w:r>
      <w:r w:rsidRPr="009C79E5">
        <w:rPr>
          <w:i/>
        </w:rPr>
        <w:t>Report</w:t>
      </w:r>
      <w:r w:rsidRPr="009C79E5">
        <w:t xml:space="preserve">, </w:t>
      </w:r>
      <w:r w:rsidRPr="009C79E5">
        <w:rPr>
          <w:i/>
        </w:rPr>
        <w:t>infra</w:t>
      </w:r>
      <w:r w:rsidRPr="009C79E5">
        <w:t xml:space="preserve"> (summarizing accessibility requirements for video programming guides and menus provided by navigation devices).</w:t>
      </w:r>
    </w:p>
  </w:footnote>
  <w:footnote w:id="231">
    <w:p w:rsidR="000A68B6" w:rsidRPr="009C79E5" w:rsidRDefault="000A68B6" w:rsidP="00476E6F">
      <w:pPr>
        <w:pStyle w:val="FootnoteText"/>
        <w:spacing w:after="120"/>
      </w:pPr>
      <w:r w:rsidRPr="009C79E5">
        <w:rPr>
          <w:rStyle w:val="FootnoteReference"/>
        </w:rPr>
        <w:footnoteRef/>
      </w:r>
      <w:r w:rsidRPr="009C79E5">
        <w:t xml:space="preserve"> CTIA Comments at 36.  Further, with a goal toward reducing regulation, CTIA suggests that the Commission evaluate the continued need for wireless phones to be compatible with TTYs, which CTIA says may be outdated.  </w:t>
      </w:r>
      <w:r w:rsidRPr="009C79E5">
        <w:rPr>
          <w:i/>
        </w:rPr>
        <w:t>Id.</w:t>
      </w:r>
      <w:r w:rsidRPr="009C79E5">
        <w:t xml:space="preserve"> at 39-40. </w:t>
      </w:r>
    </w:p>
  </w:footnote>
  <w:footnote w:id="232">
    <w:p w:rsidR="000A68B6" w:rsidRPr="009C79E5" w:rsidRDefault="000A68B6" w:rsidP="00476E6F">
      <w:pPr>
        <w:pStyle w:val="FootnoteText"/>
        <w:spacing w:after="120"/>
      </w:pPr>
      <w:r w:rsidRPr="009C79E5">
        <w:rPr>
          <w:rStyle w:val="FootnoteReference"/>
        </w:rPr>
        <w:footnoteRef/>
      </w:r>
      <w:r w:rsidRPr="009C79E5">
        <w:t xml:space="preserve"> TIA Comments at 9.  TIA asserts that strict application of the advanced communications services accessibility requirements would harm the public interest without meaningfully increasing access to advanced communications services for people with disabilities.  </w:t>
      </w:r>
      <w:r w:rsidRPr="009C79E5">
        <w:rPr>
          <w:i/>
        </w:rPr>
        <w:t>Id.</w:t>
      </w:r>
      <w:r w:rsidRPr="009C79E5">
        <w:t xml:space="preserve"> at 10.  Microsoft also cites with approval the Commission’s flexible regulations.  Microsoft Comments at 3.  While Microsoft uses as an example the Commission’s efforts to focus on ease of use rather than specific solutions for its closed captioning requirements, we note that the Commission’s rules governing closed captioning fall outside the scope of the communications accessibility discussion in this </w:t>
      </w:r>
      <w:r w:rsidRPr="009C79E5">
        <w:rPr>
          <w:i/>
        </w:rPr>
        <w:t>Report</w:t>
      </w:r>
      <w:r w:rsidRPr="009C79E5">
        <w:t xml:space="preserve">.  </w:t>
      </w:r>
      <w:r w:rsidRPr="009C79E5">
        <w:rPr>
          <w:i/>
        </w:rPr>
        <w:t>Id.</w:t>
      </w:r>
      <w:r w:rsidRPr="009C79E5">
        <w:t xml:space="preserve"> at 3-4.</w:t>
      </w:r>
    </w:p>
  </w:footnote>
  <w:footnote w:id="233">
    <w:p w:rsidR="000A68B6" w:rsidRPr="009C79E5" w:rsidRDefault="000A68B6" w:rsidP="00476E6F">
      <w:pPr>
        <w:pStyle w:val="FootnoteText"/>
        <w:spacing w:after="120"/>
      </w:pPr>
      <w:r w:rsidRPr="009C79E5">
        <w:rPr>
          <w:rStyle w:val="FootnoteReference"/>
        </w:rPr>
        <w:footnoteRef/>
      </w:r>
      <w:r w:rsidRPr="009C79E5">
        <w:t xml:space="preserve"> CEA Comments at 5-6.  With respect to accessibility barriers that exist in new technologies, CEA recommends that the Commission’s evaluation be limited to services and equipment that are subject to Sections 255, 716, and 718 of the Act.  </w:t>
      </w:r>
      <w:r w:rsidRPr="009C79E5">
        <w:rPr>
          <w:i/>
        </w:rPr>
        <w:t>Id.</w:t>
      </w:r>
      <w:r w:rsidRPr="009C79E5">
        <w:t xml:space="preserve"> at 6.  As noted in its </w:t>
      </w:r>
      <w:r w:rsidRPr="009C79E5">
        <w:rPr>
          <w:i/>
        </w:rPr>
        <w:t>2012 CVAA Biennial Report</w:t>
      </w:r>
      <w:r w:rsidRPr="009C79E5">
        <w:t xml:space="preserve">, the Commission believes that Congress will be better informed about the state of communications that are or are not accessible to individuals with disabilities, the impact of the CVAA, and the need for additional legislative action, if any, if the Commission’s report includes an account of accessibility barriers with respect to “new communications technologies” without regard to whether they fall within or outside the scope of the Act and including both those that can and cannot be eliminated with reasonable effort or expense.  </w:t>
      </w:r>
      <w:r w:rsidRPr="009C79E5">
        <w:rPr>
          <w:i/>
        </w:rPr>
        <w:t>2012 CVAA Biennial Report</w:t>
      </w:r>
      <w:r w:rsidRPr="009C79E5">
        <w:t>, 27 FCC Rcd at 12222, ¶ 45.</w:t>
      </w:r>
    </w:p>
  </w:footnote>
  <w:footnote w:id="234">
    <w:p w:rsidR="000A68B6" w:rsidRPr="009C79E5" w:rsidRDefault="000A68B6" w:rsidP="00476E6F">
      <w:pPr>
        <w:pStyle w:val="FootnoteText"/>
        <w:spacing w:after="120"/>
      </w:pPr>
      <w:r w:rsidRPr="009C79E5">
        <w:rPr>
          <w:rStyle w:val="FootnoteReference"/>
        </w:rPr>
        <w:footnoteRef/>
      </w:r>
      <w:r w:rsidRPr="009C79E5">
        <w:t xml:space="preserve"> As noted above, the Commission sought comment on these findings pursuant to Section 717(b)(2) of the Act.  </w:t>
      </w:r>
      <w:r w:rsidRPr="009C79E5">
        <w:rPr>
          <w:i/>
        </w:rPr>
        <w:t>See</w:t>
      </w:r>
      <w:r w:rsidRPr="009C79E5">
        <w:t xml:space="preserve"> ¶ 6, </w:t>
      </w:r>
      <w:r w:rsidRPr="009C79E5">
        <w:rPr>
          <w:i/>
        </w:rPr>
        <w:t>supra</w:t>
      </w:r>
      <w:r w:rsidRPr="009C79E5">
        <w:t xml:space="preserve">.  </w:t>
      </w:r>
    </w:p>
  </w:footnote>
  <w:footnote w:id="235">
    <w:p w:rsidR="000A68B6" w:rsidRPr="009C5E08" w:rsidRDefault="000A68B6" w:rsidP="00476E6F">
      <w:pPr>
        <w:pStyle w:val="FootnoteText"/>
        <w:spacing w:after="120"/>
      </w:pPr>
      <w:r w:rsidRPr="009C79E5">
        <w:rPr>
          <w:rStyle w:val="FootnoteReference"/>
        </w:rPr>
        <w:footnoteRef/>
      </w:r>
      <w:r w:rsidRPr="009C79E5">
        <w:t xml:space="preserve"> </w:t>
      </w:r>
      <w:r w:rsidRPr="009C79E5">
        <w:rPr>
          <w:i/>
        </w:rPr>
        <w:t>See</w:t>
      </w:r>
      <w:r w:rsidRPr="009C79E5">
        <w:t xml:space="preserve"> </w:t>
      </w:r>
      <w:r w:rsidRPr="009C79E5">
        <w:rPr>
          <w:i/>
        </w:rPr>
        <w:t>2014 CVAA Tentative Findings PN</w:t>
      </w:r>
      <w:r w:rsidRPr="009C79E5">
        <w:t>, 29 FCC Rcd at ___,</w:t>
      </w:r>
      <w:r w:rsidRPr="006C02D7">
        <w:t xml:space="preserve"> </w:t>
      </w:r>
      <w:r w:rsidRPr="009C5E08">
        <w:t>Attachment ¶ 30.</w:t>
      </w:r>
    </w:p>
  </w:footnote>
  <w:footnote w:id="236">
    <w:p w:rsidR="000A68B6" w:rsidRPr="009C79E5" w:rsidRDefault="000A68B6" w:rsidP="00476E6F">
      <w:pPr>
        <w:pStyle w:val="FootnoteText"/>
        <w:spacing w:after="120"/>
      </w:pPr>
      <w:r w:rsidRPr="009C5E08">
        <w:rPr>
          <w:rStyle w:val="FootnoteReference"/>
        </w:rPr>
        <w:footnoteRef/>
      </w:r>
      <w:r w:rsidRPr="009C79E5">
        <w:t xml:space="preserve"> Comments in response to the </w:t>
      </w:r>
      <w:r w:rsidRPr="009C79E5">
        <w:rPr>
          <w:i/>
        </w:rPr>
        <w:t>2014</w:t>
      </w:r>
      <w:r w:rsidRPr="009C79E5">
        <w:t xml:space="preserve"> </w:t>
      </w:r>
      <w:r w:rsidRPr="009C79E5">
        <w:rPr>
          <w:i/>
        </w:rPr>
        <w:t>CVAA Tentative Findings PN</w:t>
      </w:r>
      <w:r w:rsidRPr="009C79E5">
        <w:t xml:space="preserve"> did not specifically address our tentative findings with respect to accessibility barriers in new communications technologies.  </w:t>
      </w:r>
    </w:p>
  </w:footnote>
  <w:footnote w:id="237">
    <w:p w:rsidR="000A68B6" w:rsidRPr="009C79E5" w:rsidRDefault="000A68B6" w:rsidP="00476E6F">
      <w:pPr>
        <w:pStyle w:val="FootnoteText"/>
        <w:spacing w:after="120"/>
      </w:pPr>
      <w:r w:rsidRPr="009C79E5">
        <w:rPr>
          <w:rStyle w:val="FootnoteReference"/>
        </w:rPr>
        <w:footnoteRef/>
      </w:r>
      <w:r w:rsidRPr="009C79E5">
        <w:t xml:space="preserve"> </w:t>
      </w:r>
      <w:r w:rsidRPr="009C79E5">
        <w:rPr>
          <w:i/>
        </w:rPr>
        <w:t xml:space="preserve">See </w:t>
      </w:r>
      <w:r w:rsidRPr="009C79E5">
        <w:t xml:space="preserve">¶¶ 31-33, </w:t>
      </w:r>
      <w:r w:rsidRPr="009C79E5">
        <w:rPr>
          <w:i/>
        </w:rPr>
        <w:t>supra</w:t>
      </w:r>
      <w:r w:rsidRPr="009C79E5">
        <w:t xml:space="preserve"> (CTIA, TIA, and Microsoft reporting on efforts to consult with individuals with disabilities – from research and development through product testing).</w:t>
      </w:r>
    </w:p>
  </w:footnote>
  <w:footnote w:id="238">
    <w:p w:rsidR="000A68B6" w:rsidRPr="009C79E5" w:rsidRDefault="000A68B6" w:rsidP="00476E6F">
      <w:pPr>
        <w:pStyle w:val="FootnoteText"/>
        <w:spacing w:after="120"/>
      </w:pPr>
      <w:r w:rsidRPr="009C79E5">
        <w:rPr>
          <w:rStyle w:val="FootnoteReference"/>
        </w:rPr>
        <w:footnoteRef/>
      </w:r>
      <w:r w:rsidRPr="009C79E5">
        <w:t xml:space="preserve"> </w:t>
      </w:r>
      <w:r w:rsidRPr="009C79E5">
        <w:rPr>
          <w:i/>
        </w:rPr>
        <w:t xml:space="preserve">See </w:t>
      </w:r>
      <w:r w:rsidRPr="009C79E5">
        <w:t xml:space="preserve">¶ 28, </w:t>
      </w:r>
      <w:r w:rsidRPr="009C79E5">
        <w:rPr>
          <w:i/>
        </w:rPr>
        <w:t>supra</w:t>
      </w:r>
      <w:r w:rsidRPr="009C79E5">
        <w:t xml:space="preserve"> (CEA discussing its members’ efforts to comply with advanced communications services accessibility requirements).</w:t>
      </w:r>
    </w:p>
  </w:footnote>
  <w:footnote w:id="239">
    <w:p w:rsidR="000A68B6" w:rsidRPr="009C79E5" w:rsidRDefault="000A68B6" w:rsidP="00476E6F">
      <w:pPr>
        <w:pStyle w:val="FootnoteText"/>
        <w:spacing w:after="120"/>
      </w:pPr>
      <w:r w:rsidRPr="009C79E5">
        <w:rPr>
          <w:rStyle w:val="FootnoteReference"/>
        </w:rPr>
        <w:footnoteRef/>
      </w:r>
      <w:r w:rsidRPr="009C79E5">
        <w:t xml:space="preserve"> </w:t>
      </w:r>
      <w:r w:rsidRPr="009C79E5">
        <w:rPr>
          <w:i/>
        </w:rPr>
        <w:t xml:space="preserve">See </w:t>
      </w:r>
      <w:r w:rsidRPr="009C79E5">
        <w:t xml:space="preserve">¶¶ 25-26, </w:t>
      </w:r>
      <w:r w:rsidRPr="009C79E5">
        <w:rPr>
          <w:i/>
        </w:rPr>
        <w:t>supra</w:t>
      </w:r>
      <w:r w:rsidRPr="009C79E5">
        <w:t xml:space="preserve"> (comments of CTIA)</w:t>
      </w:r>
      <w:r w:rsidRPr="009C79E5">
        <w:rPr>
          <w:i/>
        </w:rPr>
        <w:t>.</w:t>
      </w:r>
    </w:p>
  </w:footnote>
  <w:footnote w:id="240">
    <w:p w:rsidR="000A68B6" w:rsidRPr="009C79E5" w:rsidRDefault="000A68B6" w:rsidP="00476E6F">
      <w:pPr>
        <w:pStyle w:val="FootnoteText"/>
        <w:spacing w:after="120"/>
      </w:pPr>
      <w:r w:rsidRPr="009C79E5">
        <w:rPr>
          <w:rStyle w:val="FootnoteReference"/>
        </w:rPr>
        <w:footnoteRef/>
      </w:r>
      <w:r w:rsidRPr="009C79E5">
        <w:t xml:space="preserve"> </w:t>
      </w:r>
      <w:r w:rsidRPr="009C79E5">
        <w:rPr>
          <w:i/>
        </w:rPr>
        <w:t xml:space="preserve">See </w:t>
      </w:r>
      <w:r w:rsidRPr="009C79E5">
        <w:t xml:space="preserve">¶¶ 22, 47, </w:t>
      </w:r>
      <w:r w:rsidRPr="009C79E5">
        <w:rPr>
          <w:i/>
        </w:rPr>
        <w:t>supra</w:t>
      </w:r>
      <w:r w:rsidRPr="009C79E5">
        <w:t xml:space="preserve"> (Consumer Groups advocating for a new type of relay service for such individuals).  </w:t>
      </w:r>
    </w:p>
  </w:footnote>
  <w:footnote w:id="241">
    <w:p w:rsidR="000A68B6" w:rsidRPr="009C79E5" w:rsidRDefault="000A68B6" w:rsidP="00476E6F">
      <w:pPr>
        <w:pStyle w:val="FootnoteText"/>
        <w:spacing w:after="120"/>
      </w:pPr>
      <w:r w:rsidRPr="009C79E5">
        <w:rPr>
          <w:rStyle w:val="FootnoteReference"/>
        </w:rPr>
        <w:footnoteRef/>
      </w:r>
      <w:r w:rsidRPr="009C79E5">
        <w:t xml:space="preserve"> </w:t>
      </w:r>
      <w:r w:rsidRPr="009C79E5">
        <w:rPr>
          <w:i/>
        </w:rPr>
        <w:t xml:space="preserve">See </w:t>
      </w:r>
      <w:r w:rsidRPr="009C79E5">
        <w:t xml:space="preserve">¶ 47, </w:t>
      </w:r>
      <w:r w:rsidRPr="009C79E5">
        <w:rPr>
          <w:i/>
        </w:rPr>
        <w:t>supra</w:t>
      </w:r>
      <w:r w:rsidRPr="009C79E5">
        <w:t>.</w:t>
      </w:r>
    </w:p>
  </w:footnote>
  <w:footnote w:id="242">
    <w:p w:rsidR="000A68B6" w:rsidRPr="009C79E5" w:rsidRDefault="000A68B6" w:rsidP="00476E6F">
      <w:pPr>
        <w:pStyle w:val="FootnoteText"/>
        <w:spacing w:after="120"/>
      </w:pPr>
      <w:r w:rsidRPr="009C79E5">
        <w:rPr>
          <w:rStyle w:val="FootnoteReference"/>
        </w:rPr>
        <w:footnoteRef/>
      </w:r>
      <w:r w:rsidRPr="009C79E5">
        <w:t xml:space="preserve"> </w:t>
      </w:r>
      <w:r w:rsidRPr="009C79E5">
        <w:rPr>
          <w:i/>
        </w:rPr>
        <w:t xml:space="preserve">See </w:t>
      </w:r>
      <w:r w:rsidRPr="009C79E5">
        <w:t xml:space="preserve">¶ 19, </w:t>
      </w:r>
      <w:r w:rsidRPr="009C79E5">
        <w:rPr>
          <w:i/>
        </w:rPr>
        <w:t>supra</w:t>
      </w:r>
      <w:r w:rsidRPr="009C79E5">
        <w:t xml:space="preserve"> (Consumer Groups discussing accessibility barriers with respect to video conferencing services and equipment).</w:t>
      </w:r>
    </w:p>
  </w:footnote>
  <w:footnote w:id="243">
    <w:p w:rsidR="000A68B6" w:rsidRPr="009C79E5" w:rsidRDefault="000A68B6" w:rsidP="00476E6F">
      <w:pPr>
        <w:pStyle w:val="FootnoteText"/>
        <w:spacing w:after="120"/>
      </w:pPr>
      <w:r w:rsidRPr="009C79E5">
        <w:rPr>
          <w:rStyle w:val="FootnoteReference"/>
        </w:rPr>
        <w:footnoteRef/>
      </w:r>
      <w:r w:rsidRPr="009C79E5">
        <w:t xml:space="preserve">  </w:t>
      </w:r>
      <w:r w:rsidRPr="009C79E5">
        <w:rPr>
          <w:i/>
        </w:rPr>
        <w:t>See</w:t>
      </w:r>
      <w:r w:rsidRPr="009C79E5">
        <w:t xml:space="preserve"> </w:t>
      </w:r>
      <w:r w:rsidRPr="009C79E5">
        <w:rPr>
          <w:i/>
        </w:rPr>
        <w:t>2014 CVAA Tentative Findings PN</w:t>
      </w:r>
      <w:r w:rsidRPr="009C79E5">
        <w:t>, 29 FCC Rcd at ___,</w:t>
      </w:r>
      <w:r w:rsidRPr="006C02D7">
        <w:t xml:space="preserve"> Attachment ¶ 31.  As noted above, CTIA asserts that concerns about the accessibility of interoperable video conferencing services are premature, given th</w:t>
      </w:r>
      <w:r w:rsidRPr="009C5E08">
        <w:t>at the Commission has not resolved the issue of how to</w:t>
      </w:r>
      <w:r w:rsidRPr="009C79E5">
        <w:t xml:space="preserve"> define the term “interoperable.”  </w:t>
      </w:r>
      <w:r w:rsidRPr="009C79E5">
        <w:rPr>
          <w:i/>
        </w:rPr>
        <w:t>See</w:t>
      </w:r>
      <w:r w:rsidRPr="009C79E5">
        <w:t xml:space="preserve"> n.66, </w:t>
      </w:r>
      <w:r w:rsidRPr="009C79E5">
        <w:rPr>
          <w:i/>
        </w:rPr>
        <w:t>supra</w:t>
      </w:r>
      <w:r w:rsidRPr="009C79E5">
        <w:t>.</w:t>
      </w:r>
      <w:r w:rsidRPr="009C79E5">
        <w:rPr>
          <w:i/>
        </w:rPr>
        <w:t xml:space="preserve">  See also</w:t>
      </w:r>
      <w:r w:rsidRPr="009C79E5">
        <w:t xml:space="preserve"> CTIA Comments on Tentative Findings at 3.  Nonetheless, we believe that our tentative finding that accessibility barriers still exist continues to be supported, in part, by these concerns expressed by Consumer Groups.</w:t>
      </w:r>
    </w:p>
  </w:footnote>
  <w:footnote w:id="244">
    <w:p w:rsidR="000A68B6" w:rsidRPr="009C79E5" w:rsidRDefault="000A68B6" w:rsidP="00476E6F">
      <w:pPr>
        <w:pStyle w:val="FootnoteText"/>
        <w:spacing w:after="120"/>
      </w:pPr>
      <w:r w:rsidRPr="009C79E5">
        <w:rPr>
          <w:rStyle w:val="FootnoteReference"/>
        </w:rPr>
        <w:footnoteRef/>
      </w:r>
      <w:r w:rsidRPr="009C79E5">
        <w:t xml:space="preserve"> </w:t>
      </w:r>
      <w:r w:rsidRPr="009C79E5">
        <w:rPr>
          <w:i/>
        </w:rPr>
        <w:t xml:space="preserve">See </w:t>
      </w:r>
      <w:r w:rsidRPr="009C79E5">
        <w:t xml:space="preserve">¶ 47, </w:t>
      </w:r>
      <w:r w:rsidRPr="009C79E5">
        <w:rPr>
          <w:i/>
        </w:rPr>
        <w:t>supra</w:t>
      </w:r>
      <w:r w:rsidRPr="009C79E5">
        <w:t xml:space="preserve"> (comments of Consumer Groups).</w:t>
      </w:r>
    </w:p>
  </w:footnote>
  <w:footnote w:id="245">
    <w:p w:rsidR="000A68B6" w:rsidRPr="009C79E5" w:rsidRDefault="000A68B6" w:rsidP="00476E6F">
      <w:pPr>
        <w:pStyle w:val="FootnoteText"/>
        <w:spacing w:after="120"/>
      </w:pPr>
      <w:r w:rsidRPr="009C79E5">
        <w:rPr>
          <w:rStyle w:val="FootnoteReference"/>
        </w:rPr>
        <w:footnoteRef/>
      </w:r>
      <w:r w:rsidRPr="009C79E5">
        <w:t xml:space="preserve"> </w:t>
      </w:r>
      <w:r w:rsidRPr="009C79E5">
        <w:rPr>
          <w:i/>
        </w:rPr>
        <w:t xml:space="preserve">See, e.g., </w:t>
      </w:r>
      <w:r w:rsidRPr="009C79E5">
        <w:t xml:space="preserve">¶ 47, </w:t>
      </w:r>
      <w:r w:rsidRPr="009C79E5">
        <w:rPr>
          <w:i/>
        </w:rPr>
        <w:t>supra</w:t>
      </w:r>
      <w:r w:rsidRPr="009C79E5">
        <w:t xml:space="preserve"> (ACB discussing upgrades to Skype that make its user interface more difficult to use); ¶ 22, </w:t>
      </w:r>
      <w:r w:rsidRPr="009C79E5">
        <w:rPr>
          <w:i/>
        </w:rPr>
        <w:t xml:space="preserve">supra </w:t>
      </w:r>
      <w:r w:rsidRPr="009C79E5">
        <w:t>(AADB noting that upgrades or updates sometimes cause a device or app to become less accessible or totally inaccessible for the user who is deaf-blind).</w:t>
      </w:r>
    </w:p>
  </w:footnote>
  <w:footnote w:id="246">
    <w:p w:rsidR="000A68B6" w:rsidRPr="009C79E5" w:rsidRDefault="000A68B6" w:rsidP="00476E6F">
      <w:pPr>
        <w:pStyle w:val="FootnoteText"/>
        <w:spacing w:after="120"/>
      </w:pPr>
      <w:r w:rsidRPr="009C79E5">
        <w:rPr>
          <w:rStyle w:val="FootnoteReference"/>
        </w:rPr>
        <w:footnoteRef/>
      </w:r>
      <w:r w:rsidRPr="009C79E5">
        <w:t xml:space="preserve"> 47 U.S.C. §§ 618(b)(1)(C)-(F).  </w:t>
      </w:r>
    </w:p>
  </w:footnote>
  <w:footnote w:id="247">
    <w:p w:rsidR="000A68B6" w:rsidRPr="009C79E5" w:rsidRDefault="000A68B6" w:rsidP="00476E6F">
      <w:pPr>
        <w:pStyle w:val="FootnoteText"/>
        <w:spacing w:after="120"/>
      </w:pPr>
      <w:r w:rsidRPr="009C79E5">
        <w:rPr>
          <w:rStyle w:val="FootnoteReference"/>
        </w:rPr>
        <w:footnoteRef/>
      </w:r>
      <w:r w:rsidRPr="009C79E5">
        <w:t xml:space="preserve"> </w:t>
      </w:r>
      <w:r w:rsidRPr="009C79E5">
        <w:rPr>
          <w:i/>
        </w:rPr>
        <w:t>See</w:t>
      </w:r>
      <w:r w:rsidRPr="009C79E5">
        <w:t xml:space="preserve"> 47 C.F.R. §§ 6.16-6.20, 7.16-7.20.  No formal complaints regarding accessibility were filed during the period covered by this </w:t>
      </w:r>
      <w:r w:rsidRPr="009C79E5">
        <w:rPr>
          <w:i/>
        </w:rPr>
        <w:t>Report</w:t>
      </w:r>
      <w:r w:rsidRPr="009C79E5">
        <w:t>.  See 47 C.F.R. §§ 6.21-6.22, 7.21-7.22 (formal complaint procedures).</w:t>
      </w:r>
    </w:p>
  </w:footnote>
  <w:footnote w:id="248">
    <w:p w:rsidR="000A68B6" w:rsidRPr="009C79E5" w:rsidRDefault="000A68B6" w:rsidP="00476E6F">
      <w:pPr>
        <w:pStyle w:val="FootnoteText"/>
        <w:spacing w:after="120"/>
      </w:pPr>
      <w:r w:rsidRPr="009C79E5">
        <w:rPr>
          <w:rStyle w:val="FootnoteReference"/>
        </w:rPr>
        <w:footnoteRef/>
      </w:r>
      <w:r w:rsidRPr="009C79E5">
        <w:t xml:space="preserve"> 47 C.F.R. §§ 6.17(a), 7.17(a).  </w:t>
      </w:r>
    </w:p>
  </w:footnote>
  <w:footnote w:id="249">
    <w:p w:rsidR="000A68B6" w:rsidRPr="009C79E5" w:rsidRDefault="000A68B6" w:rsidP="00476E6F">
      <w:pPr>
        <w:pStyle w:val="FootnoteText"/>
        <w:spacing w:after="120"/>
      </w:pPr>
      <w:r w:rsidRPr="009C79E5">
        <w:rPr>
          <w:rStyle w:val="FootnoteReference"/>
        </w:rPr>
        <w:footnoteRef/>
      </w:r>
      <w:r w:rsidRPr="009C79E5">
        <w:t xml:space="preserve"> </w:t>
      </w:r>
      <w:r w:rsidRPr="009C79E5">
        <w:rPr>
          <w:i/>
        </w:rPr>
        <w:t>See</w:t>
      </w:r>
      <w:r w:rsidRPr="009C79E5">
        <w:t xml:space="preserve"> 47 C.F.R. §§ 6.18(a), 7.18(a).</w:t>
      </w:r>
    </w:p>
  </w:footnote>
  <w:footnote w:id="250">
    <w:p w:rsidR="000A68B6" w:rsidRPr="009C79E5" w:rsidRDefault="000A68B6" w:rsidP="00476E6F">
      <w:pPr>
        <w:pStyle w:val="FootnoteText"/>
        <w:spacing w:after="120"/>
      </w:pPr>
      <w:r w:rsidRPr="009C79E5">
        <w:rPr>
          <w:rStyle w:val="FootnoteReference"/>
        </w:rPr>
        <w:footnoteRef/>
      </w:r>
      <w:r w:rsidRPr="009C79E5">
        <w:t xml:space="preserve"> 47 C.F.R. §§ 6.19, 7.19.</w:t>
      </w:r>
    </w:p>
  </w:footnote>
  <w:footnote w:id="251">
    <w:p w:rsidR="000A68B6" w:rsidRPr="009C79E5" w:rsidRDefault="000A68B6" w:rsidP="00476E6F">
      <w:pPr>
        <w:pStyle w:val="FootnoteText"/>
        <w:spacing w:after="120"/>
      </w:pPr>
      <w:r w:rsidRPr="009C79E5">
        <w:rPr>
          <w:rStyle w:val="FootnoteReference"/>
        </w:rPr>
        <w:footnoteRef/>
      </w:r>
      <w:r w:rsidRPr="009C79E5">
        <w:t xml:space="preserve"> </w:t>
      </w:r>
      <w:r w:rsidRPr="009C79E5">
        <w:rPr>
          <w:i/>
        </w:rPr>
        <w:t>See</w:t>
      </w:r>
      <w:r w:rsidRPr="009C79E5">
        <w:t xml:space="preserve"> 47 C.F.R. §§ 6.18(a)-(b), 7.18(a)-(b).</w:t>
      </w:r>
    </w:p>
  </w:footnote>
  <w:footnote w:id="252">
    <w:p w:rsidR="000A68B6" w:rsidRPr="009C79E5" w:rsidRDefault="000A68B6" w:rsidP="00476E6F">
      <w:pPr>
        <w:pStyle w:val="FootnoteText"/>
        <w:spacing w:after="120"/>
      </w:pPr>
      <w:r w:rsidRPr="009C79E5">
        <w:rPr>
          <w:rStyle w:val="FootnoteReference"/>
        </w:rPr>
        <w:footnoteRef/>
      </w:r>
      <w:r w:rsidRPr="009C79E5">
        <w:t xml:space="preserve"> </w:t>
      </w:r>
      <w:r w:rsidRPr="009C79E5">
        <w:rPr>
          <w:i/>
        </w:rPr>
        <w:t>See</w:t>
      </w:r>
      <w:r w:rsidRPr="009C79E5">
        <w:t xml:space="preserve"> 47 C.F.R. §§ 6.20(b)-(c), 7.20(b)-(c).</w:t>
      </w:r>
    </w:p>
  </w:footnote>
  <w:footnote w:id="253">
    <w:p w:rsidR="000A68B6" w:rsidRPr="009C79E5" w:rsidRDefault="000A68B6" w:rsidP="00476E6F">
      <w:pPr>
        <w:pStyle w:val="FootnoteText"/>
        <w:spacing w:after="120"/>
      </w:pPr>
      <w:r w:rsidRPr="009C79E5">
        <w:rPr>
          <w:rStyle w:val="FootnoteReference"/>
        </w:rPr>
        <w:footnoteRef/>
      </w:r>
      <w:r w:rsidRPr="009C79E5">
        <w:t xml:space="preserve"> </w:t>
      </w:r>
      <w:r w:rsidRPr="009C79E5">
        <w:rPr>
          <w:i/>
        </w:rPr>
        <w:t>See</w:t>
      </w:r>
      <w:r w:rsidRPr="009C79E5">
        <w:t xml:space="preserve"> 47 C.F.R. §§ 6.20(c)-(d), 7.20(c)-(d).</w:t>
      </w:r>
    </w:p>
  </w:footnote>
  <w:footnote w:id="254">
    <w:p w:rsidR="000A68B6" w:rsidRPr="006C02D7" w:rsidRDefault="000A68B6" w:rsidP="00476E6F">
      <w:pPr>
        <w:spacing w:after="120"/>
        <w:rPr>
          <w:sz w:val="20"/>
          <w:szCs w:val="20"/>
          <w:lang w:bidi="x-none"/>
        </w:rPr>
      </w:pPr>
      <w:r w:rsidRPr="006C02D7">
        <w:rPr>
          <w:rStyle w:val="FootnoteReference"/>
          <w:sz w:val="20"/>
          <w:szCs w:val="20"/>
        </w:rPr>
        <w:footnoteRef/>
      </w:r>
      <w:r w:rsidRPr="006C02D7">
        <w:rPr>
          <w:sz w:val="20"/>
          <w:szCs w:val="20"/>
        </w:rPr>
        <w:t xml:space="preserve"> </w:t>
      </w:r>
      <w:r w:rsidRPr="006C02D7">
        <w:rPr>
          <w:i/>
          <w:sz w:val="20"/>
          <w:szCs w:val="20"/>
        </w:rPr>
        <w:t>See</w:t>
      </w:r>
      <w:r w:rsidRPr="009C5E08">
        <w:rPr>
          <w:sz w:val="20"/>
          <w:szCs w:val="20"/>
        </w:rPr>
        <w:t xml:space="preserve"> 47 C.F.R. §§ 14.32 (consumer dispute assistance), 14.34-14.37 (informal complaints), 14.38-14.52 (formal complaints).  </w:t>
      </w:r>
      <w:r w:rsidRPr="009C79E5">
        <w:rPr>
          <w:i/>
          <w:sz w:val="20"/>
          <w:szCs w:val="20"/>
        </w:rPr>
        <w:t xml:space="preserve">See also New Procedures for Telecommunications and Advanced Communications Accessibility Complaints, </w:t>
      </w:r>
      <w:r w:rsidRPr="009C79E5">
        <w:rPr>
          <w:sz w:val="20"/>
          <w:szCs w:val="20"/>
        </w:rPr>
        <w:t>FCC 13-2177, Public Notice, 28 FCC Rcd 15712</w:t>
      </w:r>
      <w:r w:rsidRPr="009C79E5">
        <w:rPr>
          <w:i/>
          <w:sz w:val="20"/>
          <w:szCs w:val="20"/>
        </w:rPr>
        <w:t xml:space="preserve"> </w:t>
      </w:r>
      <w:r w:rsidRPr="009C79E5">
        <w:rPr>
          <w:sz w:val="20"/>
          <w:szCs w:val="20"/>
        </w:rPr>
        <w:t xml:space="preserve">(CGB 2013),  available at </w:t>
      </w:r>
      <w:hyperlink r:id="rId20" w:history="1">
        <w:r w:rsidRPr="009C79E5">
          <w:rPr>
            <w:rStyle w:val="Hyperlink1"/>
            <w:szCs w:val="20"/>
          </w:rPr>
          <w:t>https://apps.fcc.gov/edocs_public/attachmatch/DA-13-2177A1.pdf</w:t>
        </w:r>
      </w:hyperlink>
      <w:r w:rsidRPr="00FF1FD9">
        <w:rPr>
          <w:sz w:val="20"/>
          <w:szCs w:val="20"/>
        </w:rPr>
        <w:t>.</w:t>
      </w:r>
    </w:p>
  </w:footnote>
  <w:footnote w:id="255">
    <w:p w:rsidR="000A68B6" w:rsidRPr="009C79E5" w:rsidRDefault="000A68B6" w:rsidP="00476E6F">
      <w:pPr>
        <w:pStyle w:val="FootnoteText"/>
        <w:spacing w:after="120"/>
      </w:pPr>
      <w:r w:rsidRPr="006C02D7">
        <w:rPr>
          <w:rStyle w:val="FootnoteReference"/>
        </w:rPr>
        <w:footnoteRef/>
      </w:r>
      <w:r w:rsidRPr="009C5E08">
        <w:t xml:space="preserve"> Prior to </w:t>
      </w:r>
      <w:r w:rsidRPr="009C79E5">
        <w:t xml:space="preserve">October 8, 2013, consumers were able to file informal complaints with DRO alleging a violation of Section 255 of the Act without the prerequisite filing of an RDA.  </w:t>
      </w:r>
    </w:p>
  </w:footnote>
  <w:footnote w:id="256">
    <w:p w:rsidR="000A68B6" w:rsidRPr="009C79E5" w:rsidRDefault="000A68B6" w:rsidP="00476E6F">
      <w:pPr>
        <w:pStyle w:val="FootnoteText"/>
        <w:spacing w:after="120"/>
      </w:pPr>
      <w:r w:rsidRPr="009C79E5">
        <w:rPr>
          <w:rStyle w:val="FootnoteReference"/>
        </w:rPr>
        <w:footnoteRef/>
      </w:r>
      <w:r w:rsidRPr="009C79E5">
        <w:t xml:space="preserve"> 47 C.F.R. § 14.32(e).  </w:t>
      </w:r>
      <w:r w:rsidRPr="009C79E5">
        <w:rPr>
          <w:i/>
        </w:rPr>
        <w:t>See also ACS Report and Order</w:t>
      </w:r>
      <w:r w:rsidRPr="009C79E5">
        <w:t>, 26 FCC Rcd at 14658, ¶ 237.  Although, previously, consumers could file informal complaints alleging a violation of Section 255, 716, or 718 of the Act with DRO, these complaints must now be filed with the Commission’s Enforcement Bureau.  47 C.F.R. § 14.34(a).  However, since October 8, 2013, consumers are still able to file formal complaints with the Enforcement Bureau without first submitting requests for dispute assistance.  47 C.F.R. §§ 14.38-14.52</w:t>
      </w:r>
    </w:p>
  </w:footnote>
  <w:footnote w:id="257">
    <w:p w:rsidR="000A68B6" w:rsidRPr="009C79E5" w:rsidRDefault="000A68B6" w:rsidP="00476E6F">
      <w:pPr>
        <w:pStyle w:val="FootnoteText"/>
        <w:spacing w:after="120"/>
      </w:pPr>
      <w:r w:rsidRPr="009C79E5">
        <w:rPr>
          <w:rStyle w:val="FootnoteReference"/>
        </w:rPr>
        <w:footnoteRef/>
      </w:r>
      <w:r w:rsidRPr="009C79E5">
        <w:t xml:space="preserve"> 47 C.F.R. § 14.34(b).</w:t>
      </w:r>
    </w:p>
  </w:footnote>
  <w:footnote w:id="258">
    <w:p w:rsidR="000A68B6" w:rsidRPr="009C79E5" w:rsidRDefault="000A68B6" w:rsidP="00476E6F">
      <w:pPr>
        <w:pStyle w:val="FootnoteText"/>
        <w:spacing w:after="120"/>
      </w:pPr>
      <w:r w:rsidRPr="009C79E5">
        <w:rPr>
          <w:rStyle w:val="FootnoteReference"/>
        </w:rPr>
        <w:footnoteRef/>
      </w:r>
      <w:r w:rsidRPr="009C79E5">
        <w:t xml:space="preserve"> 47 C.F.R. § 14.35(a).  </w:t>
      </w:r>
    </w:p>
  </w:footnote>
  <w:footnote w:id="259">
    <w:p w:rsidR="000A68B6" w:rsidRPr="009C79E5" w:rsidRDefault="000A68B6" w:rsidP="00476E6F">
      <w:pPr>
        <w:pStyle w:val="FootnoteText"/>
        <w:spacing w:after="120"/>
      </w:pPr>
      <w:r w:rsidRPr="009C79E5">
        <w:rPr>
          <w:rStyle w:val="FootnoteReference"/>
        </w:rPr>
        <w:footnoteRef/>
      </w:r>
      <w:r w:rsidRPr="009C79E5">
        <w:t xml:space="preserve"> 47 C.F.R. §§ 14.36(b)-(c).  The complainant may then file a reply.  47 C.F.R. § 14.36(d).</w:t>
      </w:r>
    </w:p>
  </w:footnote>
  <w:footnote w:id="260">
    <w:p w:rsidR="000A68B6" w:rsidRPr="009C79E5" w:rsidRDefault="000A68B6" w:rsidP="00476E6F">
      <w:pPr>
        <w:tabs>
          <w:tab w:val="left" w:pos="360"/>
        </w:tabs>
        <w:spacing w:after="120"/>
        <w:rPr>
          <w:sz w:val="20"/>
          <w:szCs w:val="20"/>
          <w:lang w:bidi="x-none"/>
        </w:rPr>
      </w:pPr>
      <w:r w:rsidRPr="006C02D7">
        <w:rPr>
          <w:rStyle w:val="FootnoteReference"/>
          <w:sz w:val="20"/>
          <w:szCs w:val="20"/>
        </w:rPr>
        <w:footnoteRef/>
      </w:r>
      <w:r w:rsidRPr="006C02D7">
        <w:rPr>
          <w:sz w:val="20"/>
          <w:szCs w:val="20"/>
        </w:rPr>
        <w:t xml:space="preserve"> 47 U.S.C. § 618(a)(3)(B) and (4).  </w:t>
      </w:r>
      <w:r w:rsidRPr="009C5E08">
        <w:rPr>
          <w:i/>
          <w:sz w:val="20"/>
          <w:szCs w:val="20"/>
        </w:rPr>
        <w:t>See also</w:t>
      </w:r>
      <w:r w:rsidRPr="009C79E5">
        <w:rPr>
          <w:sz w:val="20"/>
          <w:szCs w:val="20"/>
        </w:rPr>
        <w:t xml:space="preserve"> 47 C.F.R. § 14.37(a). </w:t>
      </w:r>
    </w:p>
  </w:footnote>
  <w:footnote w:id="261">
    <w:p w:rsidR="000A68B6" w:rsidRPr="009C79E5" w:rsidRDefault="000A68B6" w:rsidP="00476E6F">
      <w:pPr>
        <w:pStyle w:val="FootnoteText"/>
        <w:spacing w:after="120"/>
      </w:pPr>
      <w:r w:rsidRPr="009C79E5">
        <w:rPr>
          <w:rStyle w:val="FootnoteReference"/>
        </w:rPr>
        <w:footnoteRef/>
      </w:r>
      <w:r w:rsidRPr="009C79E5">
        <w:t xml:space="preserve"> 47 U.S.C. § 618(a)(3)(B)(i).  </w:t>
      </w:r>
      <w:r w:rsidRPr="009C79E5">
        <w:rPr>
          <w:i/>
        </w:rPr>
        <w:t>See also</w:t>
      </w:r>
      <w:r w:rsidRPr="009C79E5">
        <w:t xml:space="preserve"> 47 C.F.R. § 14.37(b).  Any manufacturer or service provider that is the subject of such order has a reasonable opportunity to comment on the Commission’s proposed remedial action before the Commission issues a final order with respect to that action.  47 U.S.C. § 618(a)(4).  </w:t>
      </w:r>
      <w:r w:rsidRPr="009C79E5">
        <w:rPr>
          <w:i/>
        </w:rPr>
        <w:t>See also</w:t>
      </w:r>
      <w:r w:rsidRPr="009C79E5">
        <w:t xml:space="preserve"> 47 C.F.R. § 14.37(c).</w:t>
      </w:r>
    </w:p>
  </w:footnote>
  <w:footnote w:id="262">
    <w:p w:rsidR="000A68B6" w:rsidRPr="009C79E5" w:rsidRDefault="000A68B6" w:rsidP="00476E6F">
      <w:pPr>
        <w:pStyle w:val="FootnoteText"/>
        <w:spacing w:after="120"/>
      </w:pPr>
      <w:r w:rsidRPr="009C79E5">
        <w:rPr>
          <w:rStyle w:val="FootnoteReference"/>
        </w:rPr>
        <w:footnoteRef/>
      </w:r>
      <w:r w:rsidRPr="009C79E5">
        <w:t xml:space="preserve"> </w:t>
      </w:r>
      <w:r w:rsidRPr="009C79E5">
        <w:rPr>
          <w:i/>
        </w:rPr>
        <w:t xml:space="preserve">See 2012 CVAA Biennial </w:t>
      </w:r>
      <w:r w:rsidRPr="009C79E5">
        <w:t>Report, 27 FCC Rcd at 12224, ¶ 49, n.148.</w:t>
      </w:r>
    </w:p>
  </w:footnote>
  <w:footnote w:id="263">
    <w:p w:rsidR="000A68B6" w:rsidRPr="009C79E5" w:rsidRDefault="000A68B6" w:rsidP="00476E6F">
      <w:pPr>
        <w:pStyle w:val="FootnoteText"/>
        <w:spacing w:after="120"/>
      </w:pPr>
      <w:r w:rsidRPr="009C79E5">
        <w:rPr>
          <w:rStyle w:val="FootnoteReference"/>
        </w:rPr>
        <w:footnoteRef/>
      </w:r>
      <w:r w:rsidRPr="009C79E5">
        <w:t xml:space="preserve"> From January 1, 2012, until October 8, 2013, consumers filing Section 255 accessibility complaints utilized the Commission’s prior informal complaint procedures.  </w:t>
      </w:r>
      <w:r w:rsidRPr="009C79E5">
        <w:rPr>
          <w:i/>
        </w:rPr>
        <w:t>See</w:t>
      </w:r>
      <w:r w:rsidRPr="009C79E5">
        <w:t xml:space="preserve"> ¶ 53, </w:t>
      </w:r>
      <w:r w:rsidRPr="009C79E5">
        <w:rPr>
          <w:i/>
        </w:rPr>
        <w:t>supra</w:t>
      </w:r>
      <w:r w:rsidRPr="009C79E5">
        <w:t>.</w:t>
      </w:r>
    </w:p>
  </w:footnote>
  <w:footnote w:id="264">
    <w:p w:rsidR="000A68B6" w:rsidRPr="009C79E5" w:rsidRDefault="000A68B6" w:rsidP="00476E6F">
      <w:pPr>
        <w:pStyle w:val="FootnoteText"/>
        <w:spacing w:after="120"/>
      </w:pPr>
      <w:r w:rsidRPr="009C79E5">
        <w:rPr>
          <w:rStyle w:val="FootnoteReference"/>
        </w:rPr>
        <w:footnoteRef/>
      </w:r>
      <w:r w:rsidRPr="009C79E5">
        <w:t xml:space="preserve"> From October 8, 2013, through December 31, 2013, consumers filing Section 255 accessibility complaints utilized the Commission’s new accessibility complaint procedures.  </w:t>
      </w:r>
      <w:r w:rsidRPr="009C79E5">
        <w:rPr>
          <w:i/>
        </w:rPr>
        <w:t xml:space="preserve">See </w:t>
      </w:r>
      <w:r w:rsidRPr="009C79E5">
        <w:t xml:space="preserve">¶¶ 54-55, </w:t>
      </w:r>
      <w:r w:rsidRPr="009C79E5">
        <w:rPr>
          <w:i/>
        </w:rPr>
        <w:t xml:space="preserve">supra.  </w:t>
      </w:r>
      <w:r w:rsidRPr="009C79E5">
        <w:t>Also during this period, and perhaps due to consumer unfamiliarity with the new accessibility complaint procedures, DRO received an additional 21 RDAs, but because these did not involve violations of Section 255, 716 or 718, DRO converted these to complaints filed under other provisions of the Act.  These 21 RDAs are therefore not included in the above statistics.</w:t>
      </w:r>
    </w:p>
  </w:footnote>
  <w:footnote w:id="265">
    <w:p w:rsidR="000A68B6" w:rsidRPr="009C79E5" w:rsidRDefault="000A68B6" w:rsidP="00476E6F">
      <w:pPr>
        <w:pStyle w:val="FootnoteText"/>
        <w:spacing w:after="120"/>
      </w:pPr>
      <w:r w:rsidRPr="009C79E5">
        <w:rPr>
          <w:rStyle w:val="FootnoteReference"/>
        </w:rPr>
        <w:footnoteRef/>
      </w:r>
      <w:r w:rsidRPr="009C79E5">
        <w:t xml:space="preserve"> For example, a deaf consumer alleged that her major mobile telephone service provider refused to communicate with her about her account through TRS, suggesting instead that it communicate with the consumer’s 14-year-old daughter or by having the complainant physically appear at one of the provider’s stores.  The consumer’s complaint was resolved when DRO informed the provider of its obligation to </w:t>
      </w:r>
      <w:r w:rsidRPr="009C79E5">
        <w:rPr>
          <w:rStyle w:val="ptext-2"/>
        </w:rPr>
        <w:t>ensure usable customer service and technical support in call centers that support their products</w:t>
      </w:r>
      <w:r w:rsidRPr="009C79E5">
        <w:t xml:space="preserve">.  </w:t>
      </w:r>
      <w:r w:rsidRPr="009C79E5">
        <w:rPr>
          <w:i/>
        </w:rPr>
        <w:t xml:space="preserve">See </w:t>
      </w:r>
      <w:r w:rsidRPr="009C79E5">
        <w:t>47 C.F.R. § 6.11(a)(3).</w:t>
      </w:r>
    </w:p>
  </w:footnote>
  <w:footnote w:id="266">
    <w:p w:rsidR="000A68B6" w:rsidRPr="009C79E5" w:rsidRDefault="000A68B6" w:rsidP="00476E6F">
      <w:pPr>
        <w:pStyle w:val="FootnoteText"/>
        <w:spacing w:after="120"/>
      </w:pPr>
      <w:r w:rsidRPr="009C79E5">
        <w:rPr>
          <w:rStyle w:val="FootnoteReference"/>
        </w:rPr>
        <w:footnoteRef/>
      </w:r>
      <w:r w:rsidRPr="009C79E5">
        <w:t xml:space="preserve"> For example, one service provider worked with a consumer who had difficulty in finding an accessible mobile handset with sufficiently strong signal reception in his home.  The service provider allowed the consumer to test several models until the consumer was able to find an accessible handset that he could use.</w:t>
      </w:r>
    </w:p>
  </w:footnote>
  <w:footnote w:id="267">
    <w:p w:rsidR="000A68B6" w:rsidRPr="009C79E5" w:rsidRDefault="000A68B6" w:rsidP="00476E6F">
      <w:pPr>
        <w:pStyle w:val="FootnoteText"/>
        <w:spacing w:after="120"/>
      </w:pPr>
      <w:r w:rsidRPr="009C79E5">
        <w:rPr>
          <w:rStyle w:val="FootnoteReference"/>
        </w:rPr>
        <w:footnoteRef/>
      </w:r>
      <w:r w:rsidRPr="009C79E5">
        <w:t xml:space="preserve"> 47 U.S.C. § 618(b)(1)(G).</w:t>
      </w:r>
    </w:p>
  </w:footnote>
  <w:footnote w:id="268">
    <w:p w:rsidR="000A68B6" w:rsidRPr="009C79E5" w:rsidRDefault="000A68B6" w:rsidP="00476E6F">
      <w:pPr>
        <w:pStyle w:val="FootnoteText"/>
        <w:spacing w:after="120"/>
      </w:pPr>
      <w:r w:rsidRPr="009C79E5">
        <w:rPr>
          <w:rStyle w:val="FootnoteReference"/>
        </w:rPr>
        <w:footnoteRef/>
      </w:r>
      <w:r w:rsidRPr="009C79E5">
        <w:t xml:space="preserve"> 47 U.S.C. § 618(a).  The Commission’s rules require service providers and equipment manufacturers to maintain records to demonstrate compliance with Sections 255, 716, and 718 when a complaint is filed.  47 C.F.R. § 14.36(a).  Entities must certify annually to the Commission that they have kept records pertaining to the accessibility of their products beginning January 30, 2013.  </w:t>
      </w:r>
      <w:r w:rsidRPr="009C79E5">
        <w:rPr>
          <w:i/>
        </w:rPr>
        <w:t>See</w:t>
      </w:r>
      <w:r w:rsidRPr="009C79E5">
        <w:t xml:space="preserve"> 47 U.S.C. § 618(a)(5)(B); 47 C.F.R. § 14.31.  In response to an informal complaint, the manufacturer or service provider “must produce documents demonstrating its due diligence in exploring accessibility and achievability . . . throughout the design, development, testing, and deployment stages of a product or service.”  47 C.F.R. § 14.36(a).  Since October 8, 2013, the Commission also has been required to investigate complaints filed under these sections and to issue orders on such investigations within 180 days after an informal complaint is filed, unless the complaint is resolved before that time.  47 C.F.R. § 14.37(a).</w:t>
      </w:r>
    </w:p>
  </w:footnote>
  <w:footnote w:id="269">
    <w:p w:rsidR="000A68B6" w:rsidRPr="009C79E5" w:rsidRDefault="000A68B6" w:rsidP="00476E6F">
      <w:pPr>
        <w:pStyle w:val="FootnoteText"/>
        <w:spacing w:after="120"/>
      </w:pPr>
      <w:r w:rsidRPr="009C79E5">
        <w:rPr>
          <w:rStyle w:val="FootnoteReference"/>
        </w:rPr>
        <w:footnoteRef/>
      </w:r>
      <w:r w:rsidRPr="009C79E5">
        <w:t xml:space="preserve"> </w:t>
      </w:r>
      <w:r w:rsidRPr="009C79E5">
        <w:rPr>
          <w:i/>
        </w:rPr>
        <w:t>2014 CVAA Assessment PN</w:t>
      </w:r>
      <w:r w:rsidRPr="009C79E5">
        <w:t>, 29 FCC Rcd at 7323, ¶ 14.</w:t>
      </w:r>
    </w:p>
  </w:footnote>
  <w:footnote w:id="270">
    <w:p w:rsidR="000A68B6" w:rsidRPr="009C79E5" w:rsidRDefault="000A68B6" w:rsidP="00476E6F">
      <w:pPr>
        <w:pStyle w:val="FootnoteText"/>
        <w:spacing w:after="120"/>
      </w:pPr>
      <w:r w:rsidRPr="009C79E5">
        <w:rPr>
          <w:rStyle w:val="FootnoteReference"/>
        </w:rPr>
        <w:footnoteRef/>
      </w:r>
      <w:r w:rsidRPr="009C79E5">
        <w:t xml:space="preserve"> </w:t>
      </w:r>
      <w:r w:rsidRPr="009C79E5">
        <w:rPr>
          <w:i/>
        </w:rPr>
        <w:t>Id</w:t>
      </w:r>
      <w:r w:rsidRPr="009C79E5">
        <w:t xml:space="preserve">. </w:t>
      </w:r>
    </w:p>
  </w:footnote>
  <w:footnote w:id="271">
    <w:p w:rsidR="000A68B6" w:rsidRPr="009C79E5" w:rsidRDefault="000A68B6" w:rsidP="00476E6F">
      <w:pPr>
        <w:pStyle w:val="FootnoteText"/>
        <w:spacing w:after="120"/>
      </w:pPr>
      <w:r w:rsidRPr="009C79E5">
        <w:rPr>
          <w:rStyle w:val="FootnoteReference"/>
        </w:rPr>
        <w:footnoteRef/>
      </w:r>
      <w:r w:rsidRPr="009C79E5">
        <w:t xml:space="preserve"> CTIA Comments at 34.</w:t>
      </w:r>
    </w:p>
  </w:footnote>
  <w:footnote w:id="272">
    <w:p w:rsidR="000A68B6" w:rsidRPr="009C79E5" w:rsidRDefault="000A68B6" w:rsidP="00476E6F">
      <w:pPr>
        <w:pStyle w:val="FootnoteText"/>
        <w:spacing w:after="120"/>
      </w:pPr>
      <w:r w:rsidRPr="009C79E5">
        <w:rPr>
          <w:rStyle w:val="FootnoteReference"/>
        </w:rPr>
        <w:footnoteRef/>
      </w:r>
      <w:r w:rsidRPr="009C79E5">
        <w:t xml:space="preserve"> </w:t>
      </w:r>
      <w:r w:rsidRPr="009C79E5">
        <w:rPr>
          <w:i/>
        </w:rPr>
        <w:t>Id.</w:t>
      </w:r>
    </w:p>
  </w:footnote>
  <w:footnote w:id="273">
    <w:p w:rsidR="000A68B6" w:rsidRPr="009C79E5" w:rsidRDefault="000A68B6" w:rsidP="00476E6F">
      <w:pPr>
        <w:pStyle w:val="FootnoteText"/>
        <w:spacing w:after="120"/>
      </w:pPr>
      <w:r w:rsidRPr="009C79E5">
        <w:rPr>
          <w:rStyle w:val="FootnoteReference"/>
        </w:rPr>
        <w:footnoteRef/>
      </w:r>
      <w:r w:rsidRPr="009C79E5">
        <w:t xml:space="preserve"> </w:t>
      </w:r>
      <w:r w:rsidRPr="009C79E5">
        <w:rPr>
          <w:i/>
        </w:rPr>
        <w:t>Id.</w:t>
      </w:r>
    </w:p>
  </w:footnote>
  <w:footnote w:id="274">
    <w:p w:rsidR="000A68B6" w:rsidRPr="009C79E5" w:rsidRDefault="000A68B6" w:rsidP="00476E6F">
      <w:pPr>
        <w:pStyle w:val="FootnoteText"/>
        <w:spacing w:after="120"/>
      </w:pPr>
      <w:r w:rsidRPr="009C79E5">
        <w:rPr>
          <w:rStyle w:val="FootnoteReference"/>
        </w:rPr>
        <w:footnoteRef/>
      </w:r>
      <w:r w:rsidRPr="009C79E5">
        <w:t xml:space="preserve"> </w:t>
      </w:r>
      <w:r w:rsidRPr="009C79E5">
        <w:rPr>
          <w:i/>
        </w:rPr>
        <w:t>Id.</w:t>
      </w:r>
      <w:r w:rsidRPr="009C79E5">
        <w:t xml:space="preserve"> at 35-36.  CTIA also recommends streamlining hearing aid compatibility reporting requirements.  </w:t>
      </w:r>
      <w:r w:rsidRPr="009C79E5">
        <w:rPr>
          <w:i/>
        </w:rPr>
        <w:t>Id.</w:t>
      </w:r>
      <w:r w:rsidRPr="009C79E5">
        <w:t xml:space="preserve"> at 35.  Hearing aid compatibility reporting requirements are outside the scope of Section 717 of the Act.</w:t>
      </w:r>
    </w:p>
  </w:footnote>
  <w:footnote w:id="275">
    <w:p w:rsidR="000A68B6" w:rsidRPr="009C79E5" w:rsidRDefault="000A68B6" w:rsidP="00476E6F">
      <w:pPr>
        <w:pStyle w:val="FootnoteText"/>
        <w:spacing w:after="120"/>
      </w:pPr>
      <w:r w:rsidRPr="009C79E5">
        <w:rPr>
          <w:rStyle w:val="FootnoteReference"/>
        </w:rPr>
        <w:footnoteRef/>
      </w:r>
      <w:r w:rsidRPr="009C79E5">
        <w:t xml:space="preserve"> </w:t>
      </w:r>
      <w:r w:rsidRPr="009C79E5">
        <w:rPr>
          <w:i/>
        </w:rPr>
        <w:t>Id.</w:t>
      </w:r>
      <w:r w:rsidRPr="009C79E5">
        <w:t xml:space="preserve"> at 34-36.</w:t>
      </w:r>
    </w:p>
  </w:footnote>
  <w:footnote w:id="276">
    <w:p w:rsidR="000A68B6" w:rsidRPr="009C79E5" w:rsidRDefault="000A68B6" w:rsidP="00476E6F">
      <w:pPr>
        <w:spacing w:after="120"/>
        <w:rPr>
          <w:sz w:val="20"/>
          <w:szCs w:val="20"/>
        </w:rPr>
      </w:pPr>
      <w:r w:rsidRPr="006C02D7">
        <w:rPr>
          <w:rStyle w:val="FootnoteReference"/>
          <w:sz w:val="20"/>
          <w:szCs w:val="20"/>
        </w:rPr>
        <w:footnoteRef/>
      </w:r>
      <w:r w:rsidRPr="006C02D7">
        <w:rPr>
          <w:sz w:val="20"/>
          <w:szCs w:val="20"/>
        </w:rPr>
        <w:t xml:space="preserve"> </w:t>
      </w:r>
      <w:r w:rsidRPr="009C5E08">
        <w:rPr>
          <w:i/>
          <w:sz w:val="20"/>
          <w:szCs w:val="20"/>
        </w:rPr>
        <w:t>Id.</w:t>
      </w:r>
      <w:r w:rsidRPr="009C79E5">
        <w:rPr>
          <w:sz w:val="20"/>
          <w:szCs w:val="20"/>
        </w:rPr>
        <w:t xml:space="preserve"> at 36, </w:t>
      </w:r>
      <w:r w:rsidRPr="009C79E5">
        <w:rPr>
          <w:i/>
          <w:sz w:val="20"/>
          <w:szCs w:val="20"/>
        </w:rPr>
        <w:t>citing</w:t>
      </w:r>
      <w:r w:rsidRPr="009C79E5">
        <w:rPr>
          <w:sz w:val="20"/>
          <w:szCs w:val="20"/>
        </w:rPr>
        <w:t xml:space="preserve"> PN Comments of CTIA-The Wireless Association – Accessibility of Communications Technologies, Docket No. 10-213 (filed Jul. 25, 2012) at 19-20 (recognizing that the “development of an effective recordkeeping process may require some experience with the rules and their enforcement,” CTIA urged the Commission not to “penalize entities that are attempting in good faith to comply with the rules”).</w:t>
      </w:r>
    </w:p>
  </w:footnote>
  <w:footnote w:id="277">
    <w:p w:rsidR="000A68B6" w:rsidRPr="009C79E5" w:rsidRDefault="000A68B6" w:rsidP="00476E6F">
      <w:pPr>
        <w:pStyle w:val="FootnoteText"/>
        <w:spacing w:after="120"/>
      </w:pPr>
      <w:r w:rsidRPr="009C79E5">
        <w:rPr>
          <w:rStyle w:val="FootnoteReference"/>
        </w:rPr>
        <w:footnoteRef/>
      </w:r>
      <w:r w:rsidRPr="009C79E5">
        <w:t xml:space="preserve"> TIA Comments at 10.</w:t>
      </w:r>
    </w:p>
  </w:footnote>
  <w:footnote w:id="278">
    <w:p w:rsidR="000A68B6" w:rsidRPr="009C79E5" w:rsidRDefault="000A68B6" w:rsidP="00476E6F">
      <w:pPr>
        <w:pStyle w:val="FootnoteText"/>
        <w:spacing w:after="120"/>
      </w:pPr>
      <w:r w:rsidRPr="009C79E5">
        <w:rPr>
          <w:rStyle w:val="FootnoteReference"/>
        </w:rPr>
        <w:footnoteRef/>
      </w:r>
      <w:r w:rsidRPr="009C79E5">
        <w:t xml:space="preserve"> CEA Comments at 6.</w:t>
      </w:r>
    </w:p>
  </w:footnote>
  <w:footnote w:id="279">
    <w:p w:rsidR="000A68B6" w:rsidRPr="009C79E5" w:rsidRDefault="000A68B6" w:rsidP="00476E6F">
      <w:pPr>
        <w:pStyle w:val="FootnoteText"/>
        <w:spacing w:after="120"/>
      </w:pPr>
      <w:r w:rsidRPr="009C79E5">
        <w:rPr>
          <w:rStyle w:val="FootnoteReference"/>
        </w:rPr>
        <w:footnoteRef/>
      </w:r>
      <w:r w:rsidRPr="009C79E5">
        <w:t xml:space="preserve"> As noted above, the Commission sought comment on these findings pursuant to Section 717(b)(2) of the Act.  </w:t>
      </w:r>
      <w:r w:rsidRPr="009C79E5">
        <w:rPr>
          <w:i/>
        </w:rPr>
        <w:t>See</w:t>
      </w:r>
      <w:r w:rsidRPr="009C79E5">
        <w:t xml:space="preserve"> ¶ 6, </w:t>
      </w:r>
      <w:r w:rsidRPr="009C79E5">
        <w:rPr>
          <w:i/>
        </w:rPr>
        <w:t>supra</w:t>
      </w:r>
      <w:r w:rsidRPr="009C79E5">
        <w:t xml:space="preserve">. </w:t>
      </w:r>
    </w:p>
  </w:footnote>
  <w:footnote w:id="280">
    <w:p w:rsidR="000A68B6" w:rsidRPr="006C02D7" w:rsidRDefault="000A68B6" w:rsidP="00476E6F">
      <w:pPr>
        <w:pStyle w:val="FootnoteText"/>
        <w:spacing w:after="120"/>
      </w:pPr>
      <w:r w:rsidRPr="009C79E5">
        <w:rPr>
          <w:rStyle w:val="FootnoteReference"/>
        </w:rPr>
        <w:footnoteRef/>
      </w:r>
      <w:r w:rsidRPr="009C79E5">
        <w:t xml:space="preserve"> </w:t>
      </w:r>
      <w:r w:rsidRPr="009C79E5">
        <w:rPr>
          <w:i/>
        </w:rPr>
        <w:t>See 2014 CVAA Tentative Findings PN</w:t>
      </w:r>
      <w:r w:rsidRPr="009C79E5">
        <w:t>, 29 FCC Rcd at ___,</w:t>
      </w:r>
      <w:r w:rsidRPr="006C02D7">
        <w:t xml:space="preserve"> Attachment ¶ 51.</w:t>
      </w:r>
    </w:p>
  </w:footnote>
  <w:footnote w:id="281">
    <w:p w:rsidR="000A68B6" w:rsidRPr="009C79E5" w:rsidRDefault="000A68B6" w:rsidP="00476E6F">
      <w:pPr>
        <w:pStyle w:val="FootnoteText"/>
        <w:spacing w:after="120"/>
      </w:pPr>
      <w:r w:rsidRPr="009C5E08">
        <w:rPr>
          <w:rStyle w:val="FootnoteReference"/>
        </w:rPr>
        <w:footnoteRef/>
      </w:r>
      <w:r w:rsidRPr="009C79E5">
        <w:t xml:space="preserve"> </w:t>
      </w:r>
      <w:r w:rsidRPr="009C79E5">
        <w:rPr>
          <w:i/>
        </w:rPr>
        <w:t xml:space="preserve">See, e.g., </w:t>
      </w:r>
      <w:r w:rsidRPr="009C79E5">
        <w:t xml:space="preserve">¶ 25, n.108, </w:t>
      </w:r>
      <w:r w:rsidRPr="009C79E5">
        <w:rPr>
          <w:i/>
        </w:rPr>
        <w:t>supra</w:t>
      </w:r>
      <w:r w:rsidRPr="009C79E5">
        <w:t xml:space="preserve"> (CTIA discussing accessible feature phones and new entities that market services and offer accessible phones to seniors and individuals who are blind or visually impaired); ¶ 25, nn.110-113, </w:t>
      </w:r>
      <w:r w:rsidRPr="009C79E5">
        <w:rPr>
          <w:i/>
        </w:rPr>
        <w:t>supra</w:t>
      </w:r>
      <w:r w:rsidRPr="009C79E5">
        <w:t xml:space="preserve"> (CTIA reporting on features that make the advanced communications services functions on smartphones more accessible to individuals with disabilities); ¶ 28, </w:t>
      </w:r>
      <w:r w:rsidRPr="009C79E5">
        <w:rPr>
          <w:i/>
        </w:rPr>
        <w:t>supra</w:t>
      </w:r>
      <w:r w:rsidRPr="009C79E5">
        <w:t xml:space="preserve"> (CEA reporting that its members are actively engaged in efforts to comply with the Commission’s advanced communications services accessibility rules); ¶ 29, </w:t>
      </w:r>
      <w:r w:rsidRPr="009C79E5">
        <w:rPr>
          <w:i/>
        </w:rPr>
        <w:t>supra</w:t>
      </w:r>
      <w:r w:rsidRPr="009C79E5">
        <w:t xml:space="preserve"> (Microsoft noting that it provides consumers with disabilities a choice of built-in or third-party accessibility solutions).  </w:t>
      </w:r>
      <w:r w:rsidRPr="009C79E5">
        <w:rPr>
          <w:i/>
        </w:rPr>
        <w:t xml:space="preserve">See also </w:t>
      </w:r>
      <w:r w:rsidRPr="009C79E5">
        <w:t xml:space="preserve">¶ 68, </w:t>
      </w:r>
      <w:r w:rsidRPr="009C79E5">
        <w:rPr>
          <w:i/>
        </w:rPr>
        <w:t xml:space="preserve">supra </w:t>
      </w:r>
      <w:r w:rsidRPr="009C79E5">
        <w:t>(CTIA discussing wireless industry and accessibility community collaborations).</w:t>
      </w:r>
    </w:p>
  </w:footnote>
  <w:footnote w:id="282">
    <w:p w:rsidR="000A68B6" w:rsidRPr="006C02D7" w:rsidRDefault="000A68B6" w:rsidP="00476E6F">
      <w:pPr>
        <w:pStyle w:val="FootnoteText"/>
        <w:spacing w:after="120"/>
      </w:pPr>
      <w:r w:rsidRPr="009C79E5">
        <w:rPr>
          <w:rStyle w:val="FootnoteReference"/>
        </w:rPr>
        <w:footnoteRef/>
      </w:r>
      <w:r w:rsidRPr="009C79E5">
        <w:t xml:space="preserve"> </w:t>
      </w:r>
      <w:r w:rsidRPr="009C79E5">
        <w:rPr>
          <w:i/>
        </w:rPr>
        <w:t>See 2014 CVAA Tentative Findings PN</w:t>
      </w:r>
      <w:r w:rsidRPr="009C79E5">
        <w:t>, 29 FCC Rcd at ___,</w:t>
      </w:r>
      <w:r w:rsidRPr="006C02D7">
        <w:t xml:space="preserve"> Attachment ¶ 51</w:t>
      </w:r>
    </w:p>
  </w:footnote>
  <w:footnote w:id="283">
    <w:p w:rsidR="000A68B6" w:rsidRPr="009C79E5" w:rsidRDefault="000A68B6" w:rsidP="00476E6F">
      <w:pPr>
        <w:pStyle w:val="FootnoteText"/>
        <w:spacing w:after="120"/>
      </w:pPr>
      <w:r w:rsidRPr="009C5E08">
        <w:rPr>
          <w:rStyle w:val="FootnoteReference"/>
        </w:rPr>
        <w:footnoteRef/>
      </w:r>
      <w:r w:rsidRPr="009C79E5">
        <w:t xml:space="preserve"> </w:t>
      </w:r>
      <w:r w:rsidRPr="009C79E5">
        <w:rPr>
          <w:i/>
        </w:rPr>
        <w:t>See,</w:t>
      </w:r>
      <w:r w:rsidRPr="009C79E5">
        <w:t xml:space="preserve"> </w:t>
      </w:r>
      <w:r w:rsidRPr="009C79E5">
        <w:rPr>
          <w:i/>
        </w:rPr>
        <w:t>e.g.,</w:t>
      </w:r>
      <w:r w:rsidRPr="009C79E5">
        <w:t xml:space="preserve"> “Ten Breakthrough Technologies 2013:  Smart Watches,” available at </w:t>
      </w:r>
      <w:hyperlink r:id="rId21" w:history="1">
        <w:r w:rsidRPr="009C79E5">
          <w:rPr>
            <w:rStyle w:val="Hyperlink"/>
          </w:rPr>
          <w:t>http://www.technologyreview.com/featuredstory/513376/smart-watches/</w:t>
        </w:r>
      </w:hyperlink>
      <w:r w:rsidRPr="009C79E5">
        <w:t xml:space="preserve"> (last viewed Oct. 3, 2014) (Pebble smart watches “connect wirelessly to an iPhone or Android phone and displays notifications, messages, and other simple data of the user’s choosing”); “Google Glass,” available at </w:t>
      </w:r>
      <w:hyperlink r:id="rId22" w:history="1">
        <w:r w:rsidRPr="009C79E5">
          <w:rPr>
            <w:rStyle w:val="Hyperlink"/>
          </w:rPr>
          <w:t>http://www.google.com/glass/start/what-it-does/</w:t>
        </w:r>
      </w:hyperlink>
      <w:r w:rsidRPr="009C79E5">
        <w:t xml:space="preserve"> (last viewed Oct. 3, 2014) (Send a Message:  “Whether you ski, snowboard, snowshoe or anything in between, it’s never easy to keep track of your friends.  With Glass, you can keep your mittens on and send messages hands free through SMS or Hangouts.”).</w:t>
      </w:r>
    </w:p>
  </w:footnote>
  <w:footnote w:id="284">
    <w:p w:rsidR="000A68B6" w:rsidRPr="006C02D7" w:rsidRDefault="000A68B6" w:rsidP="00476E6F">
      <w:pPr>
        <w:pStyle w:val="FootnoteText"/>
        <w:spacing w:after="120"/>
      </w:pPr>
      <w:r w:rsidRPr="009C79E5">
        <w:rPr>
          <w:rStyle w:val="FootnoteReference"/>
        </w:rPr>
        <w:footnoteRef/>
      </w:r>
      <w:r w:rsidRPr="009C79E5">
        <w:t xml:space="preserve"> </w:t>
      </w:r>
      <w:r w:rsidRPr="009C79E5">
        <w:rPr>
          <w:i/>
        </w:rPr>
        <w:t>2014 CVAA Tentative Findings PN</w:t>
      </w:r>
      <w:r w:rsidRPr="009C79E5">
        <w:t>, 29 FCC Rcd at ___,</w:t>
      </w:r>
      <w:r w:rsidRPr="006C02D7">
        <w:t xml:space="preserve"> ¶ 13.</w:t>
      </w:r>
    </w:p>
  </w:footnote>
  <w:footnote w:id="285">
    <w:p w:rsidR="000A68B6" w:rsidRPr="009C79E5" w:rsidRDefault="000A68B6" w:rsidP="00476E6F">
      <w:pPr>
        <w:pStyle w:val="FootnoteText"/>
        <w:spacing w:after="120"/>
      </w:pPr>
      <w:r w:rsidRPr="009C5E08">
        <w:rPr>
          <w:rStyle w:val="FootnoteReference"/>
        </w:rPr>
        <w:footnoteRef/>
      </w:r>
      <w:r w:rsidRPr="009C79E5">
        <w:t xml:space="preserve"> Comments of Inclusive Technologies (IT Comments on Tentative Findings) at 1.  Inclusive Technologies is a small business consultancy on accessible information and communications technologies.  IT Comments on Tentative Findings at 1.</w:t>
      </w:r>
    </w:p>
  </w:footnote>
  <w:footnote w:id="286">
    <w:p w:rsidR="000A68B6" w:rsidRPr="009C79E5" w:rsidRDefault="000A68B6" w:rsidP="00476E6F">
      <w:pPr>
        <w:pStyle w:val="FootnoteText"/>
        <w:spacing w:after="120"/>
      </w:pPr>
      <w:r w:rsidRPr="009C79E5">
        <w:rPr>
          <w:rStyle w:val="FootnoteReference"/>
        </w:rPr>
        <w:footnoteRef/>
      </w:r>
      <w:r w:rsidRPr="009C79E5">
        <w:t xml:space="preserve"> </w:t>
      </w:r>
      <w:r w:rsidRPr="009C79E5">
        <w:rPr>
          <w:i/>
        </w:rPr>
        <w:t>Id.</w:t>
      </w:r>
      <w:r w:rsidRPr="009C79E5">
        <w:t xml:space="preserve"> at 1-2.  </w:t>
      </w:r>
      <w:r w:rsidRPr="009C79E5">
        <w:rPr>
          <w:i/>
        </w:rPr>
        <w:t>See also</w:t>
      </w:r>
      <w:r w:rsidRPr="009C79E5">
        <w:t xml:space="preserve"> ¶ 35, n.161, </w:t>
      </w:r>
      <w:r w:rsidRPr="009C79E5">
        <w:rPr>
          <w:i/>
        </w:rPr>
        <w:t>supra</w:t>
      </w:r>
      <w:r w:rsidRPr="009C79E5">
        <w:t xml:space="preserve">; Section III.C of this </w:t>
      </w:r>
      <w:r w:rsidRPr="009C79E5">
        <w:rPr>
          <w:i/>
        </w:rPr>
        <w:t>Report</w:t>
      </w:r>
      <w:r w:rsidRPr="009C79E5">
        <w:t xml:space="preserve">, </w:t>
      </w:r>
      <w:r w:rsidRPr="009C79E5">
        <w:rPr>
          <w:i/>
        </w:rPr>
        <w:t>supra</w:t>
      </w:r>
      <w:r w:rsidRPr="009C79E5">
        <w:t xml:space="preserve"> (providing information about the Accessibility Clearinghouse).  Inclusive Technologies also encourages the Commission “to do much more to disseminate the availability of this information resource to consumers with disabilities.”  IT Comments on Tentative Findings at 2.</w:t>
      </w:r>
    </w:p>
  </w:footnote>
  <w:footnote w:id="287">
    <w:p w:rsidR="000A68B6" w:rsidRPr="009C79E5" w:rsidRDefault="000A68B6" w:rsidP="00476E6F">
      <w:pPr>
        <w:pStyle w:val="FootnoteText"/>
        <w:spacing w:after="120"/>
      </w:pPr>
      <w:r w:rsidRPr="009C79E5">
        <w:rPr>
          <w:rStyle w:val="FootnoteReference"/>
        </w:rPr>
        <w:footnoteRef/>
      </w:r>
      <w:r w:rsidRPr="009C79E5">
        <w:t xml:space="preserve"> </w:t>
      </w:r>
      <w:r w:rsidRPr="009C79E5">
        <w:rPr>
          <w:i/>
        </w:rPr>
        <w:t>Id.</w:t>
      </w:r>
      <w:r w:rsidRPr="009C79E5">
        <w:t xml:space="preserve"> (emphasis in original).</w:t>
      </w:r>
    </w:p>
  </w:footnote>
  <w:footnote w:id="288">
    <w:p w:rsidR="000A68B6" w:rsidRPr="009C79E5" w:rsidRDefault="000A68B6" w:rsidP="00476E6F">
      <w:pPr>
        <w:pStyle w:val="FootnoteText"/>
        <w:spacing w:after="120"/>
      </w:pPr>
      <w:r w:rsidRPr="009C79E5">
        <w:rPr>
          <w:rStyle w:val="FootnoteReference"/>
        </w:rPr>
        <w:footnoteRef/>
      </w:r>
      <w:r w:rsidRPr="009C79E5">
        <w:t xml:space="preserve"> AFB Comments on Tentative Findings at 3.</w:t>
      </w:r>
    </w:p>
  </w:footnote>
  <w:footnote w:id="289">
    <w:p w:rsidR="000A68B6" w:rsidRPr="009C79E5" w:rsidRDefault="000A68B6" w:rsidP="00476E6F">
      <w:pPr>
        <w:spacing w:after="120"/>
        <w:rPr>
          <w:sz w:val="20"/>
          <w:szCs w:val="20"/>
          <w:lang w:bidi="x-none"/>
        </w:rPr>
      </w:pPr>
      <w:r w:rsidRPr="006C02D7">
        <w:rPr>
          <w:rStyle w:val="FootnoteReference"/>
          <w:sz w:val="20"/>
          <w:szCs w:val="20"/>
        </w:rPr>
        <w:footnoteRef/>
      </w:r>
      <w:r w:rsidRPr="006C02D7">
        <w:rPr>
          <w:sz w:val="20"/>
          <w:szCs w:val="20"/>
        </w:rPr>
        <w:t xml:space="preserve"> As noted above, this </w:t>
      </w:r>
      <w:r w:rsidRPr="009C5E08">
        <w:rPr>
          <w:i/>
          <w:sz w:val="20"/>
          <w:szCs w:val="20"/>
        </w:rPr>
        <w:t>Report</w:t>
      </w:r>
      <w:r w:rsidRPr="009C79E5">
        <w:rPr>
          <w:sz w:val="20"/>
          <w:szCs w:val="20"/>
        </w:rPr>
        <w:t xml:space="preserve"> generally covers the time period between January 1, 2012, and December 31, 2013.  </w:t>
      </w:r>
      <w:r w:rsidRPr="009C79E5">
        <w:rPr>
          <w:i/>
          <w:sz w:val="20"/>
          <w:szCs w:val="20"/>
        </w:rPr>
        <w:t>See</w:t>
      </w:r>
      <w:r w:rsidRPr="009C79E5">
        <w:rPr>
          <w:sz w:val="20"/>
          <w:szCs w:val="20"/>
        </w:rPr>
        <w:t xml:space="preserve"> ¶ 16, </w:t>
      </w:r>
      <w:r w:rsidRPr="009C79E5">
        <w:rPr>
          <w:i/>
          <w:sz w:val="20"/>
          <w:szCs w:val="20"/>
        </w:rPr>
        <w:t>supra</w:t>
      </w:r>
      <w:r w:rsidRPr="009C79E5">
        <w:rPr>
          <w:sz w:val="20"/>
          <w:szCs w:val="20"/>
        </w:rPr>
        <w:t xml:space="preserve">.  For this section of this </w:t>
      </w:r>
      <w:r w:rsidRPr="009C79E5">
        <w:rPr>
          <w:i/>
          <w:sz w:val="20"/>
          <w:szCs w:val="20"/>
        </w:rPr>
        <w:t>Report</w:t>
      </w:r>
      <w:r w:rsidRPr="009C79E5">
        <w:rPr>
          <w:sz w:val="20"/>
          <w:szCs w:val="20"/>
        </w:rPr>
        <w:t xml:space="preserve">, however, we describe actions taken after October 5, 2012, the date the </w:t>
      </w:r>
      <w:r w:rsidRPr="009C79E5">
        <w:rPr>
          <w:i/>
          <w:sz w:val="20"/>
          <w:szCs w:val="20"/>
        </w:rPr>
        <w:t>2012 CVAA Biennial Report</w:t>
      </w:r>
      <w:r w:rsidRPr="009C79E5">
        <w:rPr>
          <w:sz w:val="20"/>
          <w:szCs w:val="20"/>
        </w:rPr>
        <w:t xml:space="preserve"> was released, and before the release of this </w:t>
      </w:r>
      <w:r w:rsidRPr="009C79E5">
        <w:rPr>
          <w:i/>
          <w:sz w:val="20"/>
          <w:szCs w:val="20"/>
        </w:rPr>
        <w:t>Report</w:t>
      </w:r>
      <w:r w:rsidRPr="009C79E5">
        <w:rPr>
          <w:sz w:val="20"/>
          <w:szCs w:val="20"/>
        </w:rPr>
        <w:t xml:space="preserve">. </w:t>
      </w:r>
    </w:p>
  </w:footnote>
  <w:footnote w:id="290">
    <w:p w:rsidR="000A68B6" w:rsidRPr="009C79E5" w:rsidRDefault="000A68B6" w:rsidP="00476E6F">
      <w:pPr>
        <w:pStyle w:val="FootnoteText"/>
        <w:spacing w:after="120"/>
      </w:pPr>
      <w:r w:rsidRPr="009C79E5">
        <w:rPr>
          <w:rStyle w:val="FootnoteReference"/>
        </w:rPr>
        <w:footnoteRef/>
      </w:r>
      <w:r w:rsidRPr="009C79E5">
        <w:t xml:space="preserve"> See Appendix B for a list of CVAA-related items released by the Commission since October 2012.</w:t>
      </w:r>
    </w:p>
  </w:footnote>
  <w:footnote w:id="291">
    <w:p w:rsidR="000A68B6" w:rsidRPr="009C79E5" w:rsidRDefault="000A68B6" w:rsidP="00476E6F">
      <w:pPr>
        <w:pStyle w:val="FootnoteText"/>
        <w:spacing w:after="120"/>
        <w:rPr>
          <w:lang w:bidi="x-none"/>
        </w:rPr>
      </w:pPr>
      <w:r w:rsidRPr="009C79E5">
        <w:rPr>
          <w:rStyle w:val="FootnoteReference"/>
        </w:rPr>
        <w:footnoteRef/>
      </w:r>
      <w:r w:rsidRPr="009C79E5">
        <w:t xml:space="preserve"> The CVAA required the Commission to prescribe regulations to implement Sections 204 and 205 of the CVAA by October 9, 2013, a deadline that occurred during a shutdown of the federal government due to a lapse in appropriations, when the Commission could not conduct normal business operations.  </w:t>
      </w:r>
      <w:r w:rsidRPr="009C79E5">
        <w:rPr>
          <w:i/>
        </w:rPr>
        <w:t>See</w:t>
      </w:r>
      <w:r w:rsidRPr="009C79E5">
        <w:t xml:space="preserve"> CVAA, §§ 204(b), 205(b).  The Commission adopted a report and order with final rules to implement these sections within two weeks after the government re-opened.</w:t>
      </w:r>
    </w:p>
  </w:footnote>
  <w:footnote w:id="292">
    <w:p w:rsidR="000A68B6" w:rsidRPr="009C79E5" w:rsidRDefault="000A68B6" w:rsidP="00476E6F">
      <w:pPr>
        <w:pStyle w:val="FootnoteText"/>
        <w:spacing w:after="120"/>
        <w:rPr>
          <w:lang w:bidi="x-none"/>
        </w:rPr>
      </w:pPr>
      <w:r w:rsidRPr="009C79E5">
        <w:rPr>
          <w:rStyle w:val="FootnoteReference"/>
        </w:rPr>
        <w:footnoteRef/>
      </w:r>
      <w:r w:rsidRPr="009C79E5">
        <w:t xml:space="preserve"> 47 U.S.C. § 610; 47 C.F.R. § 20.19.</w:t>
      </w:r>
    </w:p>
  </w:footnote>
  <w:footnote w:id="293">
    <w:p w:rsidR="000A68B6" w:rsidRPr="009C79E5" w:rsidRDefault="000A68B6" w:rsidP="00476E6F">
      <w:pPr>
        <w:pStyle w:val="FootnoteText"/>
        <w:spacing w:after="120"/>
        <w:rPr>
          <w:lang w:bidi="x-none"/>
        </w:rPr>
      </w:pPr>
      <w:r w:rsidRPr="009C79E5">
        <w:rPr>
          <w:rStyle w:val="FootnoteReference"/>
        </w:rPr>
        <w:footnoteRef/>
      </w:r>
      <w:r w:rsidRPr="009C79E5">
        <w:t xml:space="preserve"> </w:t>
      </w:r>
      <w:r w:rsidRPr="009C79E5">
        <w:rPr>
          <w:i/>
        </w:rPr>
        <w:t>Id</w:t>
      </w:r>
      <w:r w:rsidRPr="009C79E5">
        <w:t>.</w:t>
      </w:r>
    </w:p>
  </w:footnote>
  <w:footnote w:id="294">
    <w:p w:rsidR="000A68B6" w:rsidRPr="009C79E5" w:rsidRDefault="000A68B6" w:rsidP="00476E6F">
      <w:pPr>
        <w:spacing w:after="120"/>
        <w:rPr>
          <w:sz w:val="20"/>
          <w:szCs w:val="20"/>
          <w:lang w:bidi="x-none"/>
        </w:rPr>
      </w:pPr>
      <w:r w:rsidRPr="006C02D7">
        <w:rPr>
          <w:rStyle w:val="FootnoteReference"/>
          <w:sz w:val="20"/>
          <w:szCs w:val="20"/>
        </w:rPr>
        <w:footnoteRef/>
      </w:r>
      <w:r w:rsidRPr="006C02D7">
        <w:rPr>
          <w:sz w:val="20"/>
          <w:szCs w:val="20"/>
        </w:rPr>
        <w:t xml:space="preserve"> CVAA, § 102(a)(1), amending 47 U.S.C. § 610(b)(1).  Pursuant to Section 710(e) of the Act, in any rulemaking to implement the HAC provisions, “the Commission shall </w:t>
      </w:r>
      <w:r w:rsidRPr="009C5E08">
        <w:rPr>
          <w:sz w:val="20"/>
          <w:szCs w:val="20"/>
        </w:rPr>
        <w:t>specifically consider the costs and benefi</w:t>
      </w:r>
      <w:r w:rsidRPr="009C79E5">
        <w:rPr>
          <w:sz w:val="20"/>
          <w:szCs w:val="20"/>
        </w:rPr>
        <w:t xml:space="preserve">ts to all telephone users, including persons with and without hearing loss,” in accordance with technical- and market-related parameters specified in this provision.  47 U.S.C. § 610(e). </w:t>
      </w:r>
    </w:p>
  </w:footnote>
  <w:footnote w:id="295">
    <w:p w:rsidR="000A68B6" w:rsidRPr="009C79E5" w:rsidRDefault="000A68B6" w:rsidP="00476E6F">
      <w:pPr>
        <w:pStyle w:val="FootnoteText"/>
        <w:spacing w:after="120"/>
        <w:rPr>
          <w:lang w:bidi="x-none"/>
        </w:rPr>
      </w:pPr>
      <w:r w:rsidRPr="009C79E5">
        <w:rPr>
          <w:rStyle w:val="FootnoteReference"/>
        </w:rPr>
        <w:footnoteRef/>
      </w:r>
      <w:r w:rsidRPr="009C79E5">
        <w:t xml:space="preserve"> CVAA, § 102(b), amending 47 U.S.C. § 610(c).  The Commission is directed to consult with the public in establishing or approving such technical standards.  47 U.S.C. § 610(c).</w:t>
      </w:r>
    </w:p>
  </w:footnote>
  <w:footnote w:id="296">
    <w:p w:rsidR="000A68B6" w:rsidRPr="009C79E5" w:rsidRDefault="000A68B6" w:rsidP="00476E6F">
      <w:pPr>
        <w:pStyle w:val="FootnoteText"/>
        <w:spacing w:after="120"/>
        <w:rPr>
          <w:lang w:bidi="x-none"/>
        </w:rPr>
      </w:pPr>
      <w:r w:rsidRPr="009C79E5">
        <w:rPr>
          <w:rStyle w:val="FootnoteReference"/>
        </w:rPr>
        <w:footnoteRef/>
      </w:r>
      <w:r w:rsidRPr="009C79E5">
        <w:t xml:space="preserve"> CVAA § 102(a)(2), amending 47 U.S.C. § 610(b)(2)(B).</w:t>
      </w:r>
    </w:p>
  </w:footnote>
  <w:footnote w:id="297">
    <w:p w:rsidR="000A68B6" w:rsidRPr="006C02D7" w:rsidRDefault="000A68B6" w:rsidP="00476E6F">
      <w:pPr>
        <w:pStyle w:val="FootnoteText3"/>
        <w:spacing w:after="120"/>
        <w:rPr>
          <w:rFonts w:ascii="Times New Roman" w:eastAsia="Times New Roman" w:hAnsi="Times New Roman"/>
          <w:i/>
          <w:color w:val="auto"/>
          <w:sz w:val="20"/>
          <w:lang w:bidi="x-none"/>
        </w:rPr>
      </w:pPr>
      <w:r w:rsidRPr="009C79E5">
        <w:rPr>
          <w:rStyle w:val="FootnoteReference2"/>
          <w:rFonts w:ascii="Times New Roman" w:hAnsi="Times New Roman"/>
          <w:color w:val="auto"/>
          <w:sz w:val="20"/>
        </w:rPr>
        <w:footnoteRef/>
      </w:r>
      <w:r w:rsidRPr="009C79E5">
        <w:rPr>
          <w:rFonts w:ascii="Times New Roman" w:hAnsi="Times New Roman"/>
          <w:color w:val="auto"/>
          <w:sz w:val="20"/>
        </w:rPr>
        <w:t xml:space="preserve"> Telecommunications Industry Association, Access to Telecommunications Equipment and Services by Persons with Disabilities, RM-11682, Petition for Rulemaking (filed Oct. 25, 2012) (TIA Petition) (seeking to revise the Commission’s rules to reference the most recent TIA HAC volume control standard).  </w:t>
      </w:r>
      <w:r w:rsidRPr="009C79E5">
        <w:rPr>
          <w:rFonts w:ascii="Times New Roman" w:hAnsi="Times New Roman"/>
          <w:i/>
          <w:color w:val="auto"/>
          <w:sz w:val="20"/>
        </w:rPr>
        <w:t xml:space="preserve">See also </w:t>
      </w:r>
      <w:r w:rsidRPr="009C79E5">
        <w:rPr>
          <w:rFonts w:ascii="Times New Roman" w:hAnsi="Times New Roman"/>
          <w:color w:val="auto"/>
          <w:sz w:val="20"/>
        </w:rPr>
        <w:t>47 C.F.R. § 68.317.</w:t>
      </w:r>
    </w:p>
  </w:footnote>
  <w:footnote w:id="298">
    <w:p w:rsidR="000A68B6" w:rsidRPr="006C02D7" w:rsidRDefault="000A68B6" w:rsidP="00476E6F">
      <w:pPr>
        <w:pStyle w:val="FootnoteText3"/>
        <w:spacing w:after="120"/>
        <w:rPr>
          <w:rFonts w:ascii="Times New Roman" w:eastAsia="Times New Roman" w:hAnsi="Times New Roman"/>
          <w:color w:val="auto"/>
          <w:sz w:val="20"/>
          <w:lang w:bidi="x-none"/>
        </w:rPr>
      </w:pPr>
      <w:r w:rsidRPr="009C79E5">
        <w:rPr>
          <w:rStyle w:val="FootnoteReference2"/>
          <w:rFonts w:ascii="Times New Roman" w:hAnsi="Times New Roman"/>
          <w:color w:val="auto"/>
          <w:sz w:val="20"/>
        </w:rPr>
        <w:footnoteRef/>
      </w:r>
      <w:r w:rsidRPr="009C79E5">
        <w:rPr>
          <w:rFonts w:ascii="Times New Roman" w:hAnsi="Times New Roman"/>
          <w:color w:val="auto"/>
          <w:sz w:val="20"/>
        </w:rPr>
        <w:t xml:space="preserve"> TIA Petition at 4.</w:t>
      </w:r>
    </w:p>
  </w:footnote>
  <w:footnote w:id="299">
    <w:p w:rsidR="000A68B6" w:rsidRPr="006C02D7" w:rsidRDefault="000A68B6" w:rsidP="00476E6F">
      <w:pPr>
        <w:pStyle w:val="FootnoteText3"/>
        <w:spacing w:after="120"/>
        <w:rPr>
          <w:rFonts w:ascii="Times New Roman" w:eastAsia="Times New Roman" w:hAnsi="Times New Roman"/>
          <w:color w:val="auto"/>
          <w:sz w:val="20"/>
          <w:lang w:bidi="x-none"/>
        </w:rPr>
      </w:pPr>
      <w:r w:rsidRPr="009C79E5">
        <w:rPr>
          <w:rStyle w:val="FootnoteReference2"/>
          <w:rFonts w:ascii="Times New Roman" w:hAnsi="Times New Roman"/>
          <w:color w:val="auto"/>
          <w:sz w:val="20"/>
        </w:rPr>
        <w:footnoteRef/>
      </w:r>
      <w:r w:rsidRPr="009C79E5">
        <w:rPr>
          <w:rFonts w:ascii="Times New Roman" w:hAnsi="Times New Roman"/>
          <w:color w:val="auto"/>
          <w:sz w:val="20"/>
        </w:rPr>
        <w:t xml:space="preserve"> </w:t>
      </w:r>
      <w:r w:rsidRPr="009C79E5">
        <w:rPr>
          <w:rFonts w:ascii="Times New Roman" w:hAnsi="Times New Roman"/>
          <w:i/>
          <w:color w:val="auto"/>
          <w:sz w:val="20"/>
        </w:rPr>
        <w:t>Id.</w:t>
      </w:r>
      <w:r w:rsidRPr="009C79E5">
        <w:rPr>
          <w:rFonts w:ascii="Times New Roman" w:hAnsi="Times New Roman"/>
          <w:color w:val="auto"/>
          <w:sz w:val="20"/>
        </w:rPr>
        <w:t xml:space="preserve"> at 7.</w:t>
      </w:r>
    </w:p>
  </w:footnote>
  <w:footnote w:id="300">
    <w:p w:rsidR="000A68B6" w:rsidRPr="006C02D7" w:rsidRDefault="000A68B6" w:rsidP="00476E6F">
      <w:pPr>
        <w:pStyle w:val="FootnoteText3"/>
        <w:spacing w:after="120"/>
        <w:rPr>
          <w:rFonts w:ascii="Times New Roman" w:eastAsia="Times New Roman" w:hAnsi="Times New Roman"/>
          <w:color w:val="auto"/>
          <w:sz w:val="20"/>
          <w:lang w:bidi="x-none"/>
        </w:rPr>
      </w:pPr>
      <w:r w:rsidRPr="009C79E5">
        <w:rPr>
          <w:rStyle w:val="FootnoteReference2"/>
          <w:rFonts w:ascii="Times New Roman" w:hAnsi="Times New Roman"/>
          <w:color w:val="auto"/>
          <w:sz w:val="20"/>
        </w:rPr>
        <w:footnoteRef/>
      </w:r>
      <w:r w:rsidRPr="009C79E5">
        <w:rPr>
          <w:rFonts w:ascii="Times New Roman" w:hAnsi="Times New Roman"/>
          <w:color w:val="auto"/>
          <w:sz w:val="20"/>
        </w:rPr>
        <w:t xml:space="preserve"> </w:t>
      </w:r>
      <w:r w:rsidRPr="009C79E5">
        <w:rPr>
          <w:rFonts w:ascii="Times New Roman" w:hAnsi="Times New Roman"/>
          <w:i/>
          <w:color w:val="auto"/>
          <w:sz w:val="20"/>
        </w:rPr>
        <w:t>Id</w:t>
      </w:r>
      <w:r w:rsidRPr="009C79E5">
        <w:rPr>
          <w:rFonts w:ascii="Times New Roman" w:hAnsi="Times New Roman"/>
          <w:color w:val="auto"/>
          <w:sz w:val="20"/>
        </w:rPr>
        <w:t>. at 16, n.27.</w:t>
      </w:r>
    </w:p>
  </w:footnote>
  <w:footnote w:id="301">
    <w:p w:rsidR="000A68B6" w:rsidRPr="006C02D7" w:rsidRDefault="000A68B6" w:rsidP="00476E6F">
      <w:pPr>
        <w:pStyle w:val="FootnoteText3"/>
        <w:spacing w:after="120"/>
        <w:rPr>
          <w:rFonts w:ascii="Times New Roman" w:eastAsia="Times New Roman" w:hAnsi="Times New Roman"/>
          <w:color w:val="auto"/>
          <w:sz w:val="20"/>
          <w:lang w:bidi="x-none"/>
        </w:rPr>
      </w:pPr>
      <w:r w:rsidRPr="009C79E5">
        <w:rPr>
          <w:rStyle w:val="FootnoteReference2"/>
          <w:rFonts w:ascii="Times New Roman" w:hAnsi="Times New Roman"/>
          <w:color w:val="auto"/>
          <w:sz w:val="20"/>
        </w:rPr>
        <w:footnoteRef/>
      </w:r>
      <w:r w:rsidRPr="009C79E5">
        <w:rPr>
          <w:rFonts w:ascii="Times New Roman" w:hAnsi="Times New Roman"/>
          <w:color w:val="auto"/>
          <w:sz w:val="20"/>
        </w:rPr>
        <w:t xml:space="preserve"> </w:t>
      </w:r>
      <w:r w:rsidRPr="009C79E5">
        <w:rPr>
          <w:rFonts w:ascii="Times New Roman" w:hAnsi="Times New Roman"/>
          <w:i/>
          <w:color w:val="auto"/>
          <w:sz w:val="20"/>
        </w:rPr>
        <w:t>Id</w:t>
      </w:r>
      <w:r w:rsidRPr="009C79E5">
        <w:rPr>
          <w:rFonts w:ascii="Times New Roman" w:hAnsi="Times New Roman"/>
          <w:color w:val="auto"/>
          <w:sz w:val="20"/>
        </w:rPr>
        <w:t>. at 11.</w:t>
      </w:r>
    </w:p>
  </w:footnote>
  <w:footnote w:id="302">
    <w:p w:rsidR="000A68B6" w:rsidRPr="006C02D7" w:rsidRDefault="000A68B6" w:rsidP="00476E6F">
      <w:pPr>
        <w:pStyle w:val="FootnoteText3"/>
        <w:spacing w:after="120"/>
        <w:rPr>
          <w:rFonts w:ascii="Times New Roman" w:eastAsia="Times New Roman" w:hAnsi="Times New Roman"/>
          <w:color w:val="auto"/>
          <w:sz w:val="20"/>
          <w:lang w:bidi="x-none"/>
        </w:rPr>
      </w:pPr>
      <w:r w:rsidRPr="009C79E5">
        <w:rPr>
          <w:rStyle w:val="FootnoteReference2"/>
          <w:rFonts w:ascii="Times New Roman" w:hAnsi="Times New Roman"/>
          <w:color w:val="auto"/>
          <w:sz w:val="20"/>
        </w:rPr>
        <w:footnoteRef/>
      </w:r>
      <w:r w:rsidRPr="009C79E5">
        <w:rPr>
          <w:rFonts w:ascii="Times New Roman" w:hAnsi="Times New Roman"/>
          <w:color w:val="auto"/>
          <w:sz w:val="20"/>
        </w:rPr>
        <w:t xml:space="preserve"> </w:t>
      </w:r>
      <w:r w:rsidRPr="009C79E5">
        <w:rPr>
          <w:rFonts w:ascii="Times New Roman" w:hAnsi="Times New Roman"/>
          <w:i/>
          <w:color w:val="auto"/>
          <w:sz w:val="20"/>
        </w:rPr>
        <w:t>Id</w:t>
      </w:r>
      <w:r w:rsidRPr="009C79E5">
        <w:rPr>
          <w:rFonts w:ascii="Times New Roman" w:hAnsi="Times New Roman"/>
          <w:color w:val="auto"/>
          <w:sz w:val="20"/>
        </w:rPr>
        <w:t>. at 13, 16.</w:t>
      </w:r>
    </w:p>
  </w:footnote>
  <w:footnote w:id="303">
    <w:p w:rsidR="000A68B6" w:rsidRPr="006C02D7" w:rsidRDefault="000A68B6" w:rsidP="00476E6F">
      <w:pPr>
        <w:pStyle w:val="FootnoteText3"/>
        <w:spacing w:after="120"/>
        <w:rPr>
          <w:rFonts w:ascii="Times New Roman" w:eastAsia="Times New Roman" w:hAnsi="Times New Roman"/>
          <w:color w:val="auto"/>
          <w:sz w:val="20"/>
          <w:lang w:bidi="x-none"/>
        </w:rPr>
      </w:pPr>
      <w:r w:rsidRPr="009C79E5">
        <w:rPr>
          <w:rStyle w:val="FootnoteReference2"/>
          <w:rFonts w:ascii="Times New Roman" w:hAnsi="Times New Roman"/>
          <w:color w:val="auto"/>
          <w:sz w:val="20"/>
        </w:rPr>
        <w:footnoteRef/>
      </w:r>
      <w:r w:rsidRPr="009C79E5">
        <w:rPr>
          <w:rFonts w:ascii="Times New Roman" w:hAnsi="Times New Roman"/>
          <w:color w:val="auto"/>
          <w:sz w:val="20"/>
        </w:rPr>
        <w:t xml:space="preserve"> </w:t>
      </w:r>
      <w:r w:rsidRPr="009C79E5">
        <w:rPr>
          <w:rFonts w:ascii="Times New Roman" w:hAnsi="Times New Roman"/>
          <w:i/>
          <w:color w:val="auto"/>
          <w:sz w:val="20"/>
        </w:rPr>
        <w:t>Id</w:t>
      </w:r>
      <w:r w:rsidRPr="009C79E5">
        <w:rPr>
          <w:rFonts w:ascii="Times New Roman" w:hAnsi="Times New Roman"/>
          <w:color w:val="auto"/>
          <w:sz w:val="20"/>
        </w:rPr>
        <w:t>. at 15-16.</w:t>
      </w:r>
    </w:p>
  </w:footnote>
  <w:footnote w:id="304">
    <w:p w:rsidR="000A68B6" w:rsidRPr="009C79E5" w:rsidRDefault="000A68B6" w:rsidP="00476E6F">
      <w:pPr>
        <w:pStyle w:val="FootnoteText"/>
        <w:spacing w:after="120"/>
      </w:pPr>
      <w:r w:rsidRPr="009C5E08">
        <w:rPr>
          <w:rStyle w:val="FootnoteReference"/>
        </w:rPr>
        <w:footnoteRef/>
      </w:r>
      <w:r w:rsidRPr="009C79E5">
        <w:t xml:space="preserve"> </w:t>
      </w:r>
      <w:r w:rsidRPr="009C79E5">
        <w:rPr>
          <w:i/>
        </w:rPr>
        <w:t xml:space="preserve">Request for Comment on Petition for Rulemaking Filed by the Telecommunications Industry Association Regarding Hearing Aid Compatibility Volume Control Requirements, </w:t>
      </w:r>
      <w:r w:rsidRPr="009C79E5">
        <w:t xml:space="preserve">CG Docket No. 13-46, Public Notice, </w:t>
      </w:r>
      <w:r w:rsidRPr="009C79E5">
        <w:rPr>
          <w:bCs/>
        </w:rPr>
        <w:t xml:space="preserve">DA 13-1601, 28 FCC Rcd 10338 (CGB 2013), available at </w:t>
      </w:r>
      <w:hyperlink r:id="rId23" w:history="1">
        <w:r w:rsidRPr="009C79E5">
          <w:rPr>
            <w:rStyle w:val="Hyperlink1"/>
          </w:rPr>
          <w:t>https://apps.fcc.gov/edocs_public/attachmatch/DA-13-1601A1.pdf</w:t>
        </w:r>
      </w:hyperlink>
      <w:r w:rsidRPr="009C79E5">
        <w:rPr>
          <w:bCs/>
        </w:rPr>
        <w:t>.</w:t>
      </w:r>
    </w:p>
  </w:footnote>
  <w:footnote w:id="305">
    <w:p w:rsidR="000A68B6" w:rsidRPr="009C79E5" w:rsidRDefault="000A68B6" w:rsidP="00476E6F">
      <w:pPr>
        <w:pStyle w:val="FootnoteText"/>
        <w:spacing w:after="120"/>
        <w:rPr>
          <w:rStyle w:val="Hyperlink1"/>
          <w:color w:val="auto"/>
        </w:rPr>
      </w:pPr>
      <w:r w:rsidRPr="009C79E5">
        <w:rPr>
          <w:rStyle w:val="FootnoteReference"/>
        </w:rPr>
        <w:footnoteRef/>
      </w:r>
      <w:r w:rsidRPr="009C79E5">
        <w:t xml:space="preserve"> CVAA, §§ 103(a) and (b).</w:t>
      </w:r>
    </w:p>
  </w:footnote>
  <w:footnote w:id="306">
    <w:p w:rsidR="000A68B6" w:rsidRPr="009C79E5" w:rsidRDefault="000A68B6" w:rsidP="00476E6F">
      <w:pPr>
        <w:pStyle w:val="FootnoteText"/>
        <w:spacing w:after="120"/>
      </w:pPr>
      <w:r w:rsidRPr="009C79E5">
        <w:rPr>
          <w:rStyle w:val="FootnoteReference"/>
        </w:rPr>
        <w:footnoteRef/>
      </w:r>
      <w:r w:rsidRPr="009C79E5">
        <w:t xml:space="preserve"> CVAA, § 103(a), amending Section 225(a)(3) of the Act, 47 U.S.C. § 225(a)(3).  The new definition is as follows:</w:t>
      </w:r>
    </w:p>
    <w:p w:rsidR="000A68B6" w:rsidRPr="009C79E5" w:rsidRDefault="000A68B6" w:rsidP="00476E6F">
      <w:pPr>
        <w:pStyle w:val="FootnoteText"/>
        <w:spacing w:after="120"/>
        <w:ind w:left="720"/>
      </w:pPr>
      <w:r w:rsidRPr="009C79E5">
        <w:t>The term “telecommunications relay services” means telephone transmission services that provide the ability for an individual who is deaf, hard of hearing, deaf-blind, or who has a speech disability to engage in communication by wire or radio with one or more individuals, in a manner that is functionally equivalent to the ability of a hearing individual who does not have a speech disability to communicate using voice communication services by wire or radio.</w:t>
      </w:r>
    </w:p>
    <w:p w:rsidR="000A68B6" w:rsidRPr="009C79E5" w:rsidRDefault="000A68B6" w:rsidP="00476E6F">
      <w:pPr>
        <w:pStyle w:val="FootnoteText"/>
        <w:spacing w:after="120"/>
        <w:rPr>
          <w:lang w:bidi="x-none"/>
        </w:rPr>
      </w:pPr>
      <w:r w:rsidRPr="009C79E5">
        <w:rPr>
          <w:i/>
        </w:rPr>
        <w:t>See also</w:t>
      </w:r>
      <w:r w:rsidRPr="009C79E5">
        <w:t xml:space="preserve"> Title IV of the Americans with Disabilities Act of 1990 (ADA), Pub. Law 101-336, 104 Stat. 327.</w:t>
      </w:r>
    </w:p>
  </w:footnote>
  <w:footnote w:id="307">
    <w:p w:rsidR="000A68B6" w:rsidRPr="009C79E5" w:rsidRDefault="000A68B6" w:rsidP="00476E6F">
      <w:pPr>
        <w:pStyle w:val="FootnoteText"/>
        <w:spacing w:after="120"/>
      </w:pPr>
      <w:r w:rsidRPr="009C79E5">
        <w:rPr>
          <w:rStyle w:val="FootnoteReference"/>
        </w:rPr>
        <w:footnoteRef/>
      </w:r>
      <w:r w:rsidRPr="009C79E5">
        <w:t xml:space="preserve"> </w:t>
      </w:r>
      <w:r w:rsidRPr="009C79E5">
        <w:rPr>
          <w:i/>
        </w:rPr>
        <w:t>Id.</w:t>
      </w:r>
    </w:p>
  </w:footnote>
  <w:footnote w:id="308">
    <w:p w:rsidR="000A68B6" w:rsidRPr="009C79E5" w:rsidRDefault="000A68B6" w:rsidP="00476E6F">
      <w:pPr>
        <w:pStyle w:val="FootnoteText"/>
        <w:spacing w:after="120"/>
      </w:pPr>
      <w:r w:rsidRPr="009C79E5">
        <w:rPr>
          <w:rStyle w:val="FootnoteReference"/>
        </w:rPr>
        <w:footnoteRef/>
      </w:r>
      <w:r w:rsidRPr="009C79E5">
        <w:t xml:space="preserve"> S. Rep. No. 111-386 at 7 (2010) (Senate Report); H.R. Rep. No. 111-563 at 23 (2010) (House Report).</w:t>
      </w:r>
    </w:p>
  </w:footnote>
  <w:footnote w:id="309">
    <w:p w:rsidR="000A68B6" w:rsidRPr="009C79E5" w:rsidRDefault="000A68B6" w:rsidP="00476E6F">
      <w:pPr>
        <w:pStyle w:val="FootnoteText"/>
        <w:spacing w:after="120"/>
      </w:pPr>
      <w:r w:rsidRPr="009C79E5">
        <w:rPr>
          <w:rStyle w:val="FootnoteReference"/>
        </w:rPr>
        <w:footnoteRef/>
      </w:r>
      <w:r w:rsidRPr="009C79E5">
        <w:t xml:space="preserve"> </w:t>
      </w:r>
      <w:r w:rsidRPr="009C79E5">
        <w:rPr>
          <w:i/>
        </w:rPr>
        <w:t>Telecommunications Relay Services and Speech-to-Speech Services for Individuals with Hearing and Speech Disabilities; Waivers of iTRS Mandatory Minimum Standards</w:t>
      </w:r>
      <w:r w:rsidRPr="009C79E5">
        <w:t>, CG Docket No. 03-123, Report and Order, Order, Declaratory Ruling, and Further Notice of Proposed Rulemaking, FCC 14-125, 29 FCC Rcd ___, ___,</w:t>
      </w:r>
      <w:r w:rsidRPr="006C02D7">
        <w:t xml:space="preserve"> ¶¶ 62-66 (rel. Aug. 22, 2014), available at </w:t>
      </w:r>
      <w:hyperlink r:id="rId24" w:history="1">
        <w:r w:rsidRPr="009C79E5">
          <w:rPr>
            <w:rStyle w:val="Hyperlink"/>
          </w:rPr>
          <w:t>https://apps.fcc.gov/edocs_public/attachmatch/FCC-14-125A1.pdf</w:t>
        </w:r>
      </w:hyperlink>
      <w:r w:rsidRPr="009C79E5">
        <w:t xml:space="preserve">.  </w:t>
      </w:r>
      <w:r w:rsidRPr="009C79E5">
        <w:rPr>
          <w:i/>
        </w:rPr>
        <w:t>See also</w:t>
      </w:r>
      <w:r w:rsidRPr="009C79E5">
        <w:t xml:space="preserve"> 47 C.F.R. § 64.610(a)(32).</w:t>
      </w:r>
    </w:p>
  </w:footnote>
  <w:footnote w:id="310">
    <w:p w:rsidR="000A68B6" w:rsidRPr="009C5E08" w:rsidRDefault="000A68B6" w:rsidP="00476E6F">
      <w:pPr>
        <w:pStyle w:val="FootnoteText"/>
        <w:spacing w:after="120"/>
        <w:rPr>
          <w:lang w:bidi="x-none"/>
        </w:rPr>
      </w:pPr>
      <w:r w:rsidRPr="009C79E5">
        <w:rPr>
          <w:rStyle w:val="FootnoteReference"/>
        </w:rPr>
        <w:footnoteRef/>
      </w:r>
      <w:r w:rsidRPr="009C79E5">
        <w:t xml:space="preserve"> On May 31, 2007, the Commission extended Section 225’s TRS requirements to interconnected VoIP service providers, including the requirement that such providers contribute to the TRS Fund.  </w:t>
      </w:r>
      <w:r w:rsidRPr="009C79E5">
        <w:rPr>
          <w:i/>
        </w:rPr>
        <w:t xml:space="preserve">See Implementation of </w:t>
      </w:r>
      <w:r w:rsidRPr="006C02D7">
        <w:rPr>
          <w:i/>
        </w:rPr>
        <w:t>Sections</w:t>
      </w:r>
      <w:r w:rsidRPr="009C79E5">
        <w:rPr>
          <w:i/>
        </w:rPr>
        <w:t xml:space="preserve"> 255 and 251(a)(2) of the Communications Act of 1934, as Enacted by the Telecommunications Act of 1996: Access to Telecommunications Service, Telecommunications Equipment and Customer Premises Equipment by Persons with Disabilities; Telecommunications Relay Services and Speech-to-Speech Services for Individuals With Hearing and Speech Disabilities</w:t>
      </w:r>
      <w:r w:rsidRPr="009C79E5">
        <w:t>, WT Docket Nos. 04-36, 96-198, CG Docket No. 03-123, CC Docket No. 92-105, Report and Order, FCC 07-110, 22</w:t>
      </w:r>
      <w:r w:rsidRPr="006C02D7">
        <w:t xml:space="preserve"> FCC Rcd 11275, 11291-97, ¶¶ 32-43 (2007).</w:t>
      </w:r>
    </w:p>
  </w:footnote>
  <w:footnote w:id="311">
    <w:p w:rsidR="000A68B6" w:rsidRPr="009C79E5" w:rsidRDefault="000A68B6" w:rsidP="00476E6F">
      <w:pPr>
        <w:pStyle w:val="FootnoteText"/>
        <w:spacing w:after="120"/>
      </w:pPr>
      <w:r w:rsidRPr="009C79E5">
        <w:rPr>
          <w:rStyle w:val="FootnoteReference"/>
        </w:rPr>
        <w:footnoteRef/>
      </w:r>
      <w:r w:rsidRPr="009C79E5">
        <w:t xml:space="preserve"> CVAA, § 103(b); 47 U.S.C. § 616.  </w:t>
      </w:r>
      <w:r w:rsidRPr="009C79E5">
        <w:rPr>
          <w:i/>
        </w:rPr>
        <w:t>See also Contributions to the Telecommunications Relay Services Fund</w:t>
      </w:r>
      <w:r w:rsidRPr="009C79E5">
        <w:t>, CG Docket No. 11-47, Report and Order, FCC 11-150, 26 FCC Rcd 14532 (2011) (</w:t>
      </w:r>
      <w:r w:rsidRPr="009C79E5">
        <w:rPr>
          <w:i/>
        </w:rPr>
        <w:t>TRS Contribution Report and Order</w:t>
      </w:r>
      <w:r w:rsidRPr="009C79E5">
        <w:t xml:space="preserve">), available at </w:t>
      </w:r>
      <w:hyperlink r:id="rId25" w:history="1">
        <w:r w:rsidRPr="009C79E5">
          <w:rPr>
            <w:rStyle w:val="Hyperlink"/>
          </w:rPr>
          <w:t>https://apps.fcc.gov/edocs_public/attachmatch/FCC-11-150A1.pdf</w:t>
        </w:r>
      </w:hyperlink>
      <w:r w:rsidRPr="009C79E5">
        <w:t xml:space="preserve">.  </w:t>
      </w:r>
      <w:r w:rsidRPr="009C79E5">
        <w:rPr>
          <w:i/>
        </w:rPr>
        <w:t>See also</w:t>
      </w:r>
      <w:r w:rsidRPr="009C79E5">
        <w:t xml:space="preserve"> 47 C.F.R. §§ 1.47(h), 64.601, and 64.604(c)(5)(iii), as amended.  </w:t>
      </w:r>
    </w:p>
  </w:footnote>
  <w:footnote w:id="312">
    <w:p w:rsidR="000A68B6" w:rsidRPr="009C79E5" w:rsidRDefault="000A68B6" w:rsidP="00476E6F">
      <w:pPr>
        <w:pStyle w:val="FootnoteText"/>
        <w:spacing w:after="120"/>
      </w:pPr>
      <w:r w:rsidRPr="009C79E5">
        <w:rPr>
          <w:rStyle w:val="FootnoteReference"/>
        </w:rPr>
        <w:footnoteRef/>
      </w:r>
      <w:r w:rsidRPr="009C79E5">
        <w:t xml:space="preserve"> </w:t>
      </w:r>
      <w:r w:rsidRPr="009C79E5">
        <w:rPr>
          <w:i/>
        </w:rPr>
        <w:t>TRS Contributions Report and Order,</w:t>
      </w:r>
      <w:r w:rsidRPr="009C79E5">
        <w:t xml:space="preserve"> 26 FCC Rcd at 14543, 14545-6, ¶¶ 23, 31.</w:t>
      </w:r>
    </w:p>
  </w:footnote>
  <w:footnote w:id="313">
    <w:p w:rsidR="000A68B6" w:rsidRPr="006C02D7" w:rsidRDefault="000A68B6" w:rsidP="00476E6F">
      <w:pPr>
        <w:pStyle w:val="FootnoteText"/>
        <w:spacing w:after="120"/>
      </w:pPr>
      <w:r w:rsidRPr="009C79E5">
        <w:rPr>
          <w:rStyle w:val="FootnoteReference"/>
        </w:rPr>
        <w:footnoteRef/>
      </w:r>
      <w:r w:rsidRPr="009C79E5">
        <w:t xml:space="preserve"> </w:t>
      </w:r>
      <w:r w:rsidRPr="009C79E5">
        <w:rPr>
          <w:i/>
        </w:rPr>
        <w:t>See, e.g., id.,</w:t>
      </w:r>
      <w:r w:rsidRPr="009C79E5">
        <w:t xml:space="preserve"> 26 FCC Rcd at 14538, ¶ 14 (all TRS Fund contributions are assessed against interstate end-user revenues)</w:t>
      </w:r>
      <w:r w:rsidRPr="006C02D7">
        <w:t>.</w:t>
      </w:r>
    </w:p>
  </w:footnote>
  <w:footnote w:id="314">
    <w:p w:rsidR="000A68B6" w:rsidRPr="009C79E5" w:rsidRDefault="000A68B6" w:rsidP="00476E6F">
      <w:pPr>
        <w:pStyle w:val="FootnoteText"/>
        <w:spacing w:after="120"/>
      </w:pPr>
      <w:r w:rsidRPr="009C5E08">
        <w:rPr>
          <w:rStyle w:val="FootnoteReference"/>
        </w:rPr>
        <w:footnoteRef/>
      </w:r>
      <w:r w:rsidRPr="009C79E5">
        <w:rPr>
          <w:i/>
        </w:rPr>
        <w:t xml:space="preserve"> See </w:t>
      </w:r>
      <w:r w:rsidRPr="009C79E5">
        <w:t>76 Fed. Reg. 65965 (Oct. 25, 2011).</w:t>
      </w:r>
    </w:p>
  </w:footnote>
  <w:footnote w:id="315">
    <w:p w:rsidR="000A68B6" w:rsidRPr="009C79E5" w:rsidRDefault="000A68B6" w:rsidP="00476E6F">
      <w:pPr>
        <w:pStyle w:val="FootnoteText"/>
        <w:spacing w:after="120"/>
        <w:rPr>
          <w:lang w:bidi="x-none"/>
        </w:rPr>
      </w:pPr>
      <w:r w:rsidRPr="009C79E5">
        <w:rPr>
          <w:rStyle w:val="FootnoteReference"/>
        </w:rPr>
        <w:footnoteRef/>
      </w:r>
      <w:r w:rsidRPr="009C79E5">
        <w:t xml:space="preserve"> CVAA, § 104(a), adding Sections 716, 717, and 718 to the Act, codified at 47 U.S.C. §§ 617, 618, and 619.  Section 104(b) of the CVAA establishes October 8, 2013 as the effective date for Section 718 of the Act.  CVAA, § 104(b).  Sections 104(c) and (d) of the CVAA established forfeiture penalties for violations of Section 255, 716, or 718 of the Act, and the right to appeal Commission determinations of such complaints to the United States Court of Appeals for the District of Columbia.  CVAA, §§ 104(c) and (d).</w:t>
      </w:r>
    </w:p>
  </w:footnote>
  <w:footnote w:id="316">
    <w:p w:rsidR="000A68B6" w:rsidRPr="009C79E5" w:rsidRDefault="000A68B6" w:rsidP="00476E6F">
      <w:pPr>
        <w:pStyle w:val="FootnoteText"/>
        <w:spacing w:after="120"/>
        <w:rPr>
          <w:lang w:bidi="x-none"/>
        </w:rPr>
      </w:pPr>
      <w:r w:rsidRPr="009C79E5">
        <w:rPr>
          <w:rStyle w:val="FootnoteReference"/>
        </w:rPr>
        <w:footnoteRef/>
      </w:r>
      <w:r w:rsidRPr="009C79E5">
        <w:t xml:space="preserve"> 47 U.S.C. § 617.</w:t>
      </w:r>
    </w:p>
  </w:footnote>
  <w:footnote w:id="317">
    <w:p w:rsidR="000A68B6" w:rsidRPr="009C79E5" w:rsidRDefault="000A68B6" w:rsidP="00476E6F">
      <w:pPr>
        <w:pStyle w:val="Paratitle"/>
        <w:tabs>
          <w:tab w:val="clear" w:pos="9270"/>
        </w:tabs>
        <w:spacing w:after="120"/>
        <w:rPr>
          <w:spacing w:val="0"/>
          <w:sz w:val="20"/>
          <w:szCs w:val="20"/>
          <w:lang w:bidi="x-none"/>
        </w:rPr>
      </w:pPr>
      <w:r w:rsidRPr="009C79E5">
        <w:rPr>
          <w:rStyle w:val="FootnoteReference"/>
          <w:sz w:val="20"/>
          <w:szCs w:val="20"/>
        </w:rPr>
        <w:footnoteRef/>
      </w:r>
      <w:r w:rsidRPr="009C79E5">
        <w:rPr>
          <w:sz w:val="20"/>
          <w:szCs w:val="20"/>
        </w:rPr>
        <w:t xml:space="preserve"> Section II.A of this </w:t>
      </w:r>
      <w:r w:rsidRPr="009C79E5">
        <w:rPr>
          <w:i/>
          <w:sz w:val="20"/>
          <w:szCs w:val="20"/>
        </w:rPr>
        <w:t>Report</w:t>
      </w:r>
      <w:r w:rsidRPr="009C79E5">
        <w:rPr>
          <w:sz w:val="20"/>
          <w:szCs w:val="20"/>
        </w:rPr>
        <w:t xml:space="preserve"> provides brief summaries of Sections 255, 716, and 718.</w:t>
      </w:r>
    </w:p>
  </w:footnote>
  <w:footnote w:id="318">
    <w:p w:rsidR="000A68B6" w:rsidRPr="009C79E5" w:rsidRDefault="000A68B6" w:rsidP="00476E6F">
      <w:pPr>
        <w:pStyle w:val="FootnoteText"/>
        <w:spacing w:after="120"/>
        <w:rPr>
          <w:lang w:bidi="x-none"/>
        </w:rPr>
      </w:pPr>
      <w:r w:rsidRPr="009C79E5">
        <w:rPr>
          <w:rStyle w:val="FootnoteReference"/>
        </w:rPr>
        <w:footnoteRef/>
      </w:r>
      <w:r w:rsidRPr="009C79E5">
        <w:t xml:space="preserve"> 47 U.S.C. §§ 618(a)-(e).</w:t>
      </w:r>
    </w:p>
  </w:footnote>
  <w:footnote w:id="319">
    <w:p w:rsidR="000A68B6" w:rsidRPr="009C79E5" w:rsidRDefault="000A68B6" w:rsidP="00476E6F">
      <w:pPr>
        <w:pStyle w:val="FootnoteText"/>
        <w:spacing w:after="120"/>
        <w:rPr>
          <w:lang w:bidi="x-none"/>
        </w:rPr>
      </w:pPr>
      <w:r w:rsidRPr="009C79E5">
        <w:rPr>
          <w:rStyle w:val="FootnoteReference"/>
        </w:rPr>
        <w:footnoteRef/>
      </w:r>
      <w:r w:rsidRPr="009C79E5">
        <w:t xml:space="preserve"> 47 U.S.C. § 619.</w:t>
      </w:r>
    </w:p>
  </w:footnote>
  <w:footnote w:id="320">
    <w:p w:rsidR="000A68B6" w:rsidRPr="009C5E08" w:rsidRDefault="000A68B6" w:rsidP="00476E6F">
      <w:pPr>
        <w:spacing w:after="120"/>
        <w:rPr>
          <w:sz w:val="20"/>
          <w:szCs w:val="20"/>
          <w:lang w:bidi="x-none"/>
        </w:rPr>
      </w:pPr>
      <w:r w:rsidRPr="006C02D7">
        <w:rPr>
          <w:rStyle w:val="FootnoteReference"/>
          <w:sz w:val="20"/>
          <w:szCs w:val="20"/>
        </w:rPr>
        <w:footnoteRef/>
      </w:r>
      <w:r w:rsidRPr="006C02D7">
        <w:rPr>
          <w:sz w:val="20"/>
          <w:szCs w:val="20"/>
        </w:rPr>
        <w:t xml:space="preserve"> </w:t>
      </w:r>
      <w:r w:rsidRPr="006C02D7">
        <w:rPr>
          <w:i/>
          <w:sz w:val="20"/>
          <w:szCs w:val="20"/>
        </w:rPr>
        <w:t>Implementation of Sections 716 and 717 of the Communications Act of 1934, as Enacted by the Twenty-First Century Communications and Video Accessibility Act of 2010; Amendmen</w:t>
      </w:r>
      <w:r w:rsidRPr="009C5E08">
        <w:rPr>
          <w:i/>
          <w:sz w:val="20"/>
          <w:szCs w:val="20"/>
        </w:rPr>
        <w:t>ts to the Commission’s Rules Implementing Sections 255 and 251(a)(2) of the Communications Act of 1934, as Enacted by the Telecommunications Act of 1996; In the Matter of Accessible Mobile Phone Options for People who are Blind, Deaf-Blind, or Have Low Vis</w:t>
      </w:r>
      <w:r w:rsidRPr="009C79E5">
        <w:rPr>
          <w:i/>
          <w:sz w:val="20"/>
          <w:szCs w:val="20"/>
        </w:rPr>
        <w:t>ion</w:t>
      </w:r>
      <w:r w:rsidRPr="009C79E5">
        <w:rPr>
          <w:sz w:val="20"/>
          <w:szCs w:val="20"/>
        </w:rPr>
        <w:t>, CG Docket Nos. 10-213 and 10-145, WT Docket No. 96-198, Report and Order and Further Notice of Proposed Rulemaking, FCC 11-151, 26 FCC Rcd 14557 (2011) (</w:t>
      </w:r>
      <w:r w:rsidRPr="009C79E5">
        <w:rPr>
          <w:i/>
          <w:sz w:val="20"/>
          <w:szCs w:val="20"/>
        </w:rPr>
        <w:t>ACS Report and Order</w:t>
      </w:r>
      <w:r w:rsidRPr="009C79E5">
        <w:rPr>
          <w:sz w:val="20"/>
          <w:szCs w:val="20"/>
        </w:rPr>
        <w:t xml:space="preserve"> and </w:t>
      </w:r>
      <w:r w:rsidRPr="009C79E5">
        <w:rPr>
          <w:i/>
          <w:sz w:val="20"/>
          <w:szCs w:val="20"/>
        </w:rPr>
        <w:t>ACS FNPRM</w:t>
      </w:r>
      <w:r w:rsidRPr="009C79E5">
        <w:rPr>
          <w:sz w:val="20"/>
          <w:szCs w:val="20"/>
        </w:rPr>
        <w:t xml:space="preserve">), available at </w:t>
      </w:r>
      <w:hyperlink r:id="rId26" w:history="1">
        <w:r w:rsidRPr="009C79E5">
          <w:rPr>
            <w:rStyle w:val="Hyperlink"/>
            <w:sz w:val="20"/>
            <w:szCs w:val="20"/>
          </w:rPr>
          <w:t>https://apps.fcc.gov/edocs_public/attachmatch/FCC-11-151A1.pdf</w:t>
        </w:r>
      </w:hyperlink>
      <w:r w:rsidRPr="00FF1FD9">
        <w:rPr>
          <w:sz w:val="20"/>
          <w:szCs w:val="20"/>
        </w:rPr>
        <w:t xml:space="preserve">.  </w:t>
      </w:r>
      <w:r w:rsidRPr="006C02D7">
        <w:rPr>
          <w:i/>
          <w:sz w:val="20"/>
          <w:szCs w:val="20"/>
        </w:rPr>
        <w:t xml:space="preserve">See also </w:t>
      </w:r>
      <w:r w:rsidRPr="006C02D7">
        <w:rPr>
          <w:sz w:val="20"/>
          <w:szCs w:val="20"/>
        </w:rPr>
        <w:t xml:space="preserve">47 C.F.R. Part 14.  </w:t>
      </w:r>
    </w:p>
  </w:footnote>
  <w:footnote w:id="321">
    <w:p w:rsidR="000A68B6" w:rsidRPr="009C79E5" w:rsidRDefault="000A68B6" w:rsidP="00476E6F">
      <w:pPr>
        <w:pStyle w:val="FootnoteText"/>
        <w:spacing w:after="120"/>
        <w:rPr>
          <w:lang w:bidi="x-none"/>
        </w:rPr>
      </w:pPr>
      <w:r w:rsidRPr="009C79E5">
        <w:rPr>
          <w:rStyle w:val="FootnoteReference"/>
        </w:rPr>
        <w:footnoteRef/>
      </w:r>
      <w:r w:rsidRPr="009C79E5">
        <w:t xml:space="preserve"> </w:t>
      </w:r>
      <w:r w:rsidRPr="009C79E5">
        <w:rPr>
          <w:i/>
        </w:rPr>
        <w:t>See ACS Report and Order</w:t>
      </w:r>
      <w:r w:rsidRPr="009C79E5">
        <w:t xml:space="preserve">, 26 FCC Rcd at 14602, 14696, ¶¶ 108, 328.  </w:t>
      </w:r>
      <w:r w:rsidRPr="009C79E5">
        <w:rPr>
          <w:i/>
        </w:rPr>
        <w:t>See also</w:t>
      </w:r>
      <w:r w:rsidRPr="009C79E5">
        <w:t xml:space="preserve"> 76 Fed. Reg. 82240 (Dec. 30, 2011).</w:t>
      </w:r>
    </w:p>
  </w:footnote>
  <w:footnote w:id="322">
    <w:p w:rsidR="000A68B6" w:rsidRPr="009C79E5" w:rsidRDefault="000A68B6" w:rsidP="00476E6F">
      <w:pPr>
        <w:pStyle w:val="FootnoteText"/>
        <w:spacing w:after="120"/>
        <w:rPr>
          <w:lang w:bidi="x-none"/>
        </w:rPr>
      </w:pPr>
      <w:r w:rsidRPr="009C79E5">
        <w:rPr>
          <w:rStyle w:val="FootnoteReference"/>
        </w:rPr>
        <w:footnoteRef/>
      </w:r>
      <w:r w:rsidRPr="009C79E5">
        <w:t xml:space="preserve"> </w:t>
      </w:r>
      <w:r w:rsidRPr="009C79E5">
        <w:rPr>
          <w:i/>
        </w:rPr>
        <w:t>ACS Report and Order</w:t>
      </w:r>
      <w:r w:rsidRPr="009C79E5">
        <w:t>, 26 FCC Rcd at 14602-3, ¶ 110.  The rules do not apply to customized equipment or services that are not offered directly to the public.  47 U.S.C. § 617(i); 47 C.F.R. § 14.3.</w:t>
      </w:r>
    </w:p>
  </w:footnote>
  <w:footnote w:id="323">
    <w:p w:rsidR="000A68B6" w:rsidRPr="009C79E5" w:rsidRDefault="000A68B6" w:rsidP="00476E6F">
      <w:pPr>
        <w:pStyle w:val="FootnoteText"/>
        <w:spacing w:after="120"/>
        <w:rPr>
          <w:lang w:bidi="x-none"/>
        </w:rPr>
      </w:pPr>
      <w:r w:rsidRPr="009C79E5">
        <w:rPr>
          <w:rStyle w:val="FootnoteReference"/>
        </w:rPr>
        <w:footnoteRef/>
      </w:r>
      <w:r w:rsidRPr="009C79E5">
        <w:t xml:space="preserve"> 47 U.S.C. § 618(a)(5)(A).  </w:t>
      </w:r>
    </w:p>
  </w:footnote>
  <w:footnote w:id="324">
    <w:p w:rsidR="000A68B6" w:rsidRPr="009C79E5" w:rsidRDefault="000A68B6" w:rsidP="00476E6F">
      <w:pPr>
        <w:pStyle w:val="FootnoteText"/>
        <w:spacing w:after="120"/>
      </w:pPr>
      <w:r w:rsidRPr="009C79E5">
        <w:rPr>
          <w:rStyle w:val="FootnoteReference"/>
        </w:rPr>
        <w:footnoteRef/>
      </w:r>
      <w:r w:rsidRPr="009C79E5">
        <w:t xml:space="preserve"> </w:t>
      </w:r>
      <w:r w:rsidRPr="009C79E5">
        <w:rPr>
          <w:i/>
        </w:rPr>
        <w:t>Accessibility Recordkeeping Compliance</w:t>
      </w:r>
      <w:r w:rsidRPr="006C02D7">
        <w:rPr>
          <w:i/>
        </w:rPr>
        <w:t xml:space="preserve"> and Contact Information Reporting Requirements for Entities Subject to Sections 255, 716, and 718 of the Communications Act</w:t>
      </w:r>
      <w:r w:rsidRPr="009C5E08">
        <w:t>, Public Notice, DA 13-114, 28 FCC Rcd 415 (CGB 2013) (</w:t>
      </w:r>
      <w:r w:rsidRPr="009C79E5">
        <w:rPr>
          <w:i/>
        </w:rPr>
        <w:t>2013 RCCCI Registry Notice</w:t>
      </w:r>
      <w:r w:rsidRPr="009C79E5">
        <w:t xml:space="preserve">), available at </w:t>
      </w:r>
      <w:hyperlink r:id="rId27" w:history="1">
        <w:r w:rsidRPr="009C79E5">
          <w:rPr>
            <w:rStyle w:val="Hyperlink1"/>
          </w:rPr>
          <w:t>https://apps.fcc.gov/edocs_public/attachmatch/DA-13-114A1.pdf</w:t>
        </w:r>
      </w:hyperlink>
      <w:r w:rsidRPr="009C79E5">
        <w:t xml:space="preserve">.  </w:t>
      </w:r>
    </w:p>
  </w:footnote>
  <w:footnote w:id="325">
    <w:p w:rsidR="000A68B6" w:rsidRPr="009C79E5" w:rsidRDefault="000A68B6" w:rsidP="00476E6F">
      <w:pPr>
        <w:pStyle w:val="FootnoteText"/>
        <w:spacing w:after="120"/>
        <w:rPr>
          <w:i/>
          <w:lang w:bidi="x-none"/>
        </w:rPr>
      </w:pPr>
      <w:r w:rsidRPr="009C79E5">
        <w:rPr>
          <w:rStyle w:val="FootnoteReference"/>
        </w:rPr>
        <w:footnoteRef/>
      </w:r>
      <w:r w:rsidRPr="009C79E5">
        <w:t xml:space="preserve"> 47 C.F.R. § 14.31(a).  Specifically, covered entities must keep records of their efforts to consult with people with disabilities, descriptions of the accessibility features of their products and services, and information about the compatibility of their products and services with peripheral devices or specialized customer premises equipment commonly used by people with disabilities to achieve access.  </w:t>
      </w:r>
      <w:r w:rsidRPr="009C79E5">
        <w:rPr>
          <w:i/>
        </w:rPr>
        <w:t>Id.</w:t>
      </w:r>
    </w:p>
  </w:footnote>
  <w:footnote w:id="326">
    <w:p w:rsidR="000A68B6" w:rsidRPr="009C79E5" w:rsidRDefault="000A68B6" w:rsidP="00476E6F">
      <w:pPr>
        <w:pStyle w:val="FootnoteText"/>
        <w:spacing w:after="120"/>
        <w:rPr>
          <w:lang w:bidi="x-none"/>
        </w:rPr>
      </w:pPr>
      <w:r w:rsidRPr="009C79E5">
        <w:rPr>
          <w:rStyle w:val="FootnoteReference"/>
        </w:rPr>
        <w:footnoteRef/>
      </w:r>
      <w:r w:rsidRPr="009C79E5">
        <w:t xml:space="preserve"> 47 C.F.R. § 14.31(b).  </w:t>
      </w:r>
    </w:p>
  </w:footnote>
  <w:footnote w:id="327">
    <w:p w:rsidR="000A68B6" w:rsidRPr="009C79E5" w:rsidRDefault="000A68B6" w:rsidP="00476E6F">
      <w:pPr>
        <w:pStyle w:val="FootnoteText"/>
        <w:spacing w:after="120"/>
      </w:pPr>
      <w:r w:rsidRPr="009C79E5">
        <w:rPr>
          <w:rStyle w:val="FootnoteReference"/>
        </w:rPr>
        <w:footnoteRef/>
      </w:r>
      <w:r w:rsidRPr="009C79E5">
        <w:t xml:space="preserve"> </w:t>
      </w:r>
      <w:r w:rsidRPr="009C79E5">
        <w:rPr>
          <w:i/>
        </w:rPr>
        <w:t>2013 RCCCI Registry Notice</w:t>
      </w:r>
      <w:r w:rsidRPr="009C79E5">
        <w:t>, 28 FCC Rcd at 415.</w:t>
      </w:r>
    </w:p>
  </w:footnote>
  <w:footnote w:id="328">
    <w:p w:rsidR="000A68B6" w:rsidRPr="009C79E5" w:rsidRDefault="000A68B6" w:rsidP="00476E6F">
      <w:pPr>
        <w:pStyle w:val="FootnoteText"/>
        <w:spacing w:after="120"/>
        <w:rPr>
          <w:lang w:bidi="x-none"/>
        </w:rPr>
      </w:pPr>
      <w:r w:rsidRPr="009C79E5">
        <w:rPr>
          <w:rStyle w:val="FootnoteReference"/>
        </w:rPr>
        <w:footnoteRef/>
      </w:r>
      <w:r w:rsidRPr="009C79E5">
        <w:t xml:space="preserve"> </w:t>
      </w:r>
      <w:r w:rsidRPr="009C79E5">
        <w:rPr>
          <w:i/>
        </w:rPr>
        <w:t>Accessibility Recordkeeping Compliance and Contact Information Reporting Requirements for Entities Subject to Sections 255, 716, and 718 of the Communications Act</w:t>
      </w:r>
      <w:r w:rsidRPr="009C79E5">
        <w:t xml:space="preserve">, Public Notice, DA 14-354, 29 FCC Rcd 2827 (CGB 2014) </w:t>
      </w:r>
      <w:r w:rsidRPr="006C02D7">
        <w:t>(</w:t>
      </w:r>
      <w:r w:rsidRPr="006C02D7">
        <w:rPr>
          <w:i/>
        </w:rPr>
        <w:t>2014 RCCCI Registry Reminder</w:t>
      </w:r>
      <w:r w:rsidRPr="006C02D7">
        <w:t>)</w:t>
      </w:r>
      <w:r w:rsidRPr="009C79E5">
        <w:t xml:space="preserve">, available at </w:t>
      </w:r>
      <w:hyperlink r:id="rId28" w:history="1">
        <w:r w:rsidRPr="009C79E5">
          <w:rPr>
            <w:rStyle w:val="Hyperlink1"/>
          </w:rPr>
          <w:t>https://apps.fcc.gov/edocs_public/attachmatch/DA-14-354A1.pdf</w:t>
        </w:r>
      </w:hyperlink>
      <w:r w:rsidRPr="009C79E5">
        <w:rPr>
          <w:color w:val="262626"/>
        </w:rPr>
        <w:t>.</w:t>
      </w:r>
    </w:p>
  </w:footnote>
  <w:footnote w:id="329">
    <w:p w:rsidR="000A68B6" w:rsidRPr="009C79E5" w:rsidRDefault="000A68B6" w:rsidP="00476E6F">
      <w:pPr>
        <w:pStyle w:val="FootnoteText"/>
        <w:spacing w:after="120"/>
      </w:pPr>
      <w:r w:rsidRPr="009C79E5">
        <w:rPr>
          <w:rStyle w:val="FootnoteReference"/>
        </w:rPr>
        <w:footnoteRef/>
      </w:r>
      <w:r w:rsidRPr="009C79E5">
        <w:t xml:space="preserve"> 47 U.S.C. § 619.</w:t>
      </w:r>
    </w:p>
  </w:footnote>
  <w:footnote w:id="330">
    <w:p w:rsidR="000A68B6" w:rsidRPr="009C79E5" w:rsidRDefault="000A68B6" w:rsidP="00476E6F">
      <w:pPr>
        <w:pStyle w:val="FootnoteText"/>
        <w:spacing w:after="120"/>
      </w:pPr>
      <w:r w:rsidRPr="009C79E5">
        <w:rPr>
          <w:rStyle w:val="FootnoteReference"/>
        </w:rPr>
        <w:footnoteRef/>
      </w:r>
      <w:r w:rsidRPr="009C79E5">
        <w:t xml:space="preserve"> </w:t>
      </w:r>
      <w:r w:rsidRPr="009C79E5">
        <w:rPr>
          <w:i/>
        </w:rPr>
        <w:t>Implementation of Sections 716 and 717 of the Communications Act of 1934, as Enacted by the Twenty-First Century Communications and Video Accessibility Act of 2010; Amendments to the Commission’s Rules Implementing Sections 255 and 251(a)(2) of the Communications Act of 1934, as Enacted by the Telecommunications Act of 1996; In the Matter of Accessible Mobile Phone Options for People who are Blind, Deaf-Blind, or Have Low Vision</w:t>
      </w:r>
      <w:r w:rsidRPr="009C79E5">
        <w:t>, CG Docket Nos. 10-213 and 10-145, WT Docket No. 96-198, Second Report and Order, FCC 13-57, 28 FCC Rcd 5957 (2013) (</w:t>
      </w:r>
      <w:r w:rsidRPr="009C79E5">
        <w:rPr>
          <w:i/>
        </w:rPr>
        <w:t>Second Report and Order</w:t>
      </w:r>
      <w:r w:rsidRPr="009C79E5">
        <w:t xml:space="preserve">), available at </w:t>
      </w:r>
      <w:hyperlink r:id="rId29" w:history="1">
        <w:r w:rsidRPr="009C79E5">
          <w:rPr>
            <w:rStyle w:val="Hyperlink1"/>
          </w:rPr>
          <w:t>https://apps.fcc.gov/edocs_public/attachmatch/FCC-13-57A1.pdf</w:t>
        </w:r>
      </w:hyperlink>
      <w:r w:rsidRPr="009C79E5">
        <w:rPr>
          <w:rStyle w:val="Hyperlink1"/>
        </w:rPr>
        <w:t xml:space="preserve">. </w:t>
      </w:r>
    </w:p>
  </w:footnote>
  <w:footnote w:id="331">
    <w:p w:rsidR="000A68B6" w:rsidRPr="009C79E5" w:rsidRDefault="000A68B6" w:rsidP="00476E6F">
      <w:pPr>
        <w:pStyle w:val="FootnoteText"/>
        <w:spacing w:after="120"/>
      </w:pPr>
      <w:r w:rsidRPr="009C79E5">
        <w:rPr>
          <w:rStyle w:val="FootnoteReference"/>
        </w:rPr>
        <w:footnoteRef/>
      </w:r>
      <w:r w:rsidRPr="009C79E5">
        <w:t xml:space="preserve"> CVAA § 104(b); </w:t>
      </w:r>
      <w:r w:rsidRPr="009C79E5">
        <w:rPr>
          <w:i/>
        </w:rPr>
        <w:t>Second Report and Order</w:t>
      </w:r>
      <w:r w:rsidRPr="009C79E5">
        <w:t>, 28 FCC Rcd at 5966, ¶ 16.</w:t>
      </w:r>
    </w:p>
  </w:footnote>
  <w:footnote w:id="332">
    <w:p w:rsidR="000A68B6" w:rsidRPr="009C79E5" w:rsidRDefault="000A68B6" w:rsidP="00476E6F">
      <w:pPr>
        <w:pStyle w:val="FootnoteText"/>
        <w:spacing w:after="120"/>
      </w:pPr>
      <w:r w:rsidRPr="009C79E5">
        <w:rPr>
          <w:rStyle w:val="FootnoteReference"/>
        </w:rPr>
        <w:footnoteRef/>
      </w:r>
      <w:r w:rsidRPr="009C79E5">
        <w:t xml:space="preserve"> </w:t>
      </w:r>
      <w:r w:rsidRPr="009C79E5">
        <w:rPr>
          <w:i/>
        </w:rPr>
        <w:t>Second Report and Order</w:t>
      </w:r>
      <w:r w:rsidRPr="009C79E5">
        <w:t>, 28 FCC Rcd at 5966-67, ¶ 17; 47 C.F.R. §§ 14.60-61.</w:t>
      </w:r>
    </w:p>
  </w:footnote>
  <w:footnote w:id="333">
    <w:p w:rsidR="000A68B6" w:rsidRPr="009C79E5" w:rsidRDefault="000A68B6" w:rsidP="00476E6F">
      <w:pPr>
        <w:pStyle w:val="FootnoteText"/>
        <w:spacing w:after="120"/>
      </w:pPr>
      <w:r w:rsidRPr="009C79E5">
        <w:rPr>
          <w:rStyle w:val="FootnoteReference"/>
        </w:rPr>
        <w:footnoteRef/>
      </w:r>
      <w:r w:rsidRPr="009C79E5">
        <w:t xml:space="preserve"> </w:t>
      </w:r>
      <w:r w:rsidRPr="009C79E5">
        <w:rPr>
          <w:i/>
        </w:rPr>
        <w:t>Second Report and Order</w:t>
      </w:r>
      <w:r w:rsidRPr="009C79E5">
        <w:t>, 28 FCC Rcd at 5973, ¶ 34; 47 C.F.R. § 14.31.</w:t>
      </w:r>
    </w:p>
  </w:footnote>
  <w:footnote w:id="334">
    <w:p w:rsidR="000A68B6" w:rsidRPr="009C79E5" w:rsidRDefault="000A68B6" w:rsidP="00476E6F">
      <w:pPr>
        <w:pStyle w:val="FootnoteText"/>
        <w:spacing w:after="120"/>
        <w:rPr>
          <w:lang w:bidi="x-none"/>
        </w:rPr>
      </w:pPr>
      <w:r w:rsidRPr="009C79E5">
        <w:rPr>
          <w:rStyle w:val="FootnoteReference"/>
        </w:rPr>
        <w:footnoteRef/>
      </w:r>
      <w:r w:rsidRPr="009C79E5">
        <w:t xml:space="preserve"> </w:t>
      </w:r>
      <w:r w:rsidRPr="009C79E5">
        <w:rPr>
          <w:i/>
        </w:rPr>
        <w:t>New Procedures for Telecommunications and Advanced Communications Accessibility Complaints</w:t>
      </w:r>
      <w:r w:rsidRPr="009C79E5">
        <w:t>, Public Notice, DA 13-2177, 28 FCC Rcd 15712 (CGB 2013) (</w:t>
      </w:r>
      <w:r w:rsidRPr="009C79E5">
        <w:rPr>
          <w:i/>
        </w:rPr>
        <w:t>Complaint Procedures Notice</w:t>
      </w:r>
      <w:r w:rsidRPr="009C79E5">
        <w:t xml:space="preserve">), available at </w:t>
      </w:r>
      <w:hyperlink r:id="rId30" w:history="1">
        <w:r w:rsidRPr="009C79E5">
          <w:rPr>
            <w:rStyle w:val="Hyperlink"/>
          </w:rPr>
          <w:t>https://apps.fcc.gov/edocs_public/attachmatch/DA-13-2177A1.pdf</w:t>
        </w:r>
      </w:hyperlink>
      <w:r w:rsidRPr="009C79E5">
        <w:rPr>
          <w:rStyle w:val="Hyperlink1"/>
          <w:color w:val="262626"/>
        </w:rPr>
        <w:t xml:space="preserve">. </w:t>
      </w:r>
    </w:p>
  </w:footnote>
  <w:footnote w:id="335">
    <w:p w:rsidR="000A68B6" w:rsidRPr="009C79E5" w:rsidRDefault="000A68B6" w:rsidP="00476E6F">
      <w:pPr>
        <w:pStyle w:val="FootnoteText"/>
        <w:spacing w:after="120"/>
      </w:pPr>
      <w:r w:rsidRPr="009C79E5">
        <w:rPr>
          <w:rStyle w:val="FootnoteReference"/>
        </w:rPr>
        <w:footnoteRef/>
      </w:r>
      <w:r w:rsidRPr="009C79E5">
        <w:t xml:space="preserve"> </w:t>
      </w:r>
      <w:r w:rsidRPr="009C79E5">
        <w:rPr>
          <w:i/>
        </w:rPr>
        <w:t xml:space="preserve">Id.  See also </w:t>
      </w:r>
      <w:r w:rsidRPr="009C79E5">
        <w:t xml:space="preserve">¶¶ 54-55, </w:t>
      </w:r>
      <w:r w:rsidRPr="009C79E5">
        <w:rPr>
          <w:i/>
        </w:rPr>
        <w:t>supra</w:t>
      </w:r>
      <w:r w:rsidRPr="009C79E5">
        <w:t xml:space="preserve"> (summarizing the new complaint procedures).</w:t>
      </w:r>
    </w:p>
  </w:footnote>
  <w:footnote w:id="336">
    <w:p w:rsidR="000A68B6" w:rsidRPr="009C79E5" w:rsidRDefault="000A68B6" w:rsidP="00476E6F">
      <w:pPr>
        <w:pStyle w:val="FootnoteText"/>
        <w:spacing w:after="120"/>
        <w:rPr>
          <w:lang w:bidi="x-none"/>
        </w:rPr>
      </w:pPr>
      <w:r w:rsidRPr="009C79E5">
        <w:rPr>
          <w:rStyle w:val="FootnoteReference"/>
        </w:rPr>
        <w:footnoteRef/>
      </w:r>
      <w:r w:rsidRPr="009C79E5">
        <w:t xml:space="preserve"> 47 C.F.R. § 14.30(c).  </w:t>
      </w:r>
      <w:r w:rsidRPr="009C79E5">
        <w:rPr>
          <w:i/>
        </w:rPr>
        <w:t>See also</w:t>
      </w:r>
      <w:r w:rsidRPr="009C79E5">
        <w:t xml:space="preserve"> 47 C.F.R. §§ 14.32 (consumer dispute assistance), 14.34-14.37 (informal complaints), 14.38-14.52 (formal complaints). </w:t>
      </w:r>
    </w:p>
  </w:footnote>
  <w:footnote w:id="337">
    <w:p w:rsidR="000A68B6" w:rsidRPr="009C79E5" w:rsidRDefault="000A68B6" w:rsidP="00476E6F">
      <w:pPr>
        <w:pStyle w:val="FootnoteText"/>
        <w:spacing w:after="120"/>
      </w:pPr>
      <w:r w:rsidRPr="009C79E5">
        <w:rPr>
          <w:rStyle w:val="FootnoteReference"/>
        </w:rPr>
        <w:footnoteRef/>
      </w:r>
      <w:r w:rsidRPr="009C79E5">
        <w:t xml:space="preserve"> </w:t>
      </w:r>
      <w:r w:rsidRPr="009C79E5">
        <w:rPr>
          <w:i/>
        </w:rPr>
        <w:t xml:space="preserve">FCC Launches Support Line for Consumers who Are Deaf and Hard of Hearing Using American Sign Language Over Videophone:  FCC’s Video Consumer Support Service Is the First of Its Kind Among Federal Government Agencies, </w:t>
      </w:r>
      <w:r w:rsidRPr="009C79E5">
        <w:t xml:space="preserve">News Release (Jun. 10, 2014), available at </w:t>
      </w:r>
      <w:hyperlink r:id="rId31" w:history="1">
        <w:r w:rsidRPr="009C79E5">
          <w:rPr>
            <w:rStyle w:val="Hyperlink1"/>
          </w:rPr>
          <w:t>http://www.fcc.gov/document/fcc-adds-american-sign-language-consumer-support-line-videophone</w:t>
        </w:r>
      </w:hyperlink>
      <w:r w:rsidRPr="009C79E5">
        <w:t>.</w:t>
      </w:r>
    </w:p>
  </w:footnote>
  <w:footnote w:id="338">
    <w:p w:rsidR="000A68B6" w:rsidRPr="009C79E5" w:rsidRDefault="000A68B6" w:rsidP="00476E6F">
      <w:pPr>
        <w:pStyle w:val="FootnoteText"/>
        <w:spacing w:after="120"/>
      </w:pPr>
      <w:r w:rsidRPr="009C79E5">
        <w:rPr>
          <w:rStyle w:val="FootnoteReference"/>
        </w:rPr>
        <w:footnoteRef/>
      </w:r>
      <w:r w:rsidRPr="009C79E5">
        <w:t xml:space="preserve"> In addition, consumers may use the ASL Consumer Support Line to obtain information on a wide range of general telecommunications matters, such as billing and cramming issues, as well as non-CVAA disability-related matters.</w:t>
      </w:r>
    </w:p>
  </w:footnote>
  <w:footnote w:id="339">
    <w:p w:rsidR="000A68B6" w:rsidRPr="009C79E5" w:rsidRDefault="000A68B6" w:rsidP="00476E6F">
      <w:pPr>
        <w:pStyle w:val="FootnoteText"/>
        <w:spacing w:after="120"/>
      </w:pPr>
      <w:r w:rsidRPr="009C79E5">
        <w:rPr>
          <w:rStyle w:val="FootnoteReference"/>
        </w:rPr>
        <w:footnoteRef/>
      </w:r>
      <w:r w:rsidRPr="009C79E5">
        <w:t xml:space="preserve"> The Commission has procedures for the filing and consideration of petitions for waiver from the accessibility rules for multipurpose services and equipment that is capable of accessing an advanced communications service, but is designed primarily for purposes other than using advanced communications services.  </w:t>
      </w:r>
      <w:r w:rsidRPr="009C79E5">
        <w:rPr>
          <w:i/>
        </w:rPr>
        <w:t xml:space="preserve">See </w:t>
      </w:r>
      <w:r w:rsidRPr="009C79E5">
        <w:t xml:space="preserve">47 U.S.C. § 617(h)(1); 47 C.F.R. § 14.5.  </w:t>
      </w:r>
    </w:p>
  </w:footnote>
  <w:footnote w:id="340">
    <w:p w:rsidR="000A68B6" w:rsidRPr="009C79E5" w:rsidRDefault="000A68B6" w:rsidP="00476E6F">
      <w:pPr>
        <w:pStyle w:val="FootnoteText"/>
        <w:spacing w:after="120"/>
        <w:rPr>
          <w:lang w:bidi="x-none"/>
        </w:rPr>
      </w:pPr>
      <w:r w:rsidRPr="009C79E5">
        <w:rPr>
          <w:rStyle w:val="FootnoteReference"/>
        </w:rPr>
        <w:footnoteRef/>
      </w:r>
      <w:r w:rsidRPr="009C79E5">
        <w:t xml:space="preserve"> </w:t>
      </w:r>
      <w:r w:rsidRPr="009C79E5">
        <w:rPr>
          <w:i/>
        </w:rPr>
        <w:t>Implementation of Sections 716 and 717 of the Communications Act of 1934, as Enacted by the Twenty-First Century Communications and Video Accessibility Act of 2010; Consumer Electronics Association; National Cable &amp; Telecommunications Association; Entertainment Services Association; Petitions for Class Waivers of Sections 716 and 717 of the Communications Act and Part 14 of the Commission’s Rules Requiring Access to Advanced Communications Services (ACS) and Equipment by People with Disabilities</w:t>
      </w:r>
      <w:r w:rsidRPr="009C79E5">
        <w:t>, CG Docket 10-213, Order, DA 12-1645, 27 FCC Rcd 12970 (CGB 2012) (</w:t>
      </w:r>
      <w:r w:rsidRPr="009C79E5">
        <w:rPr>
          <w:i/>
        </w:rPr>
        <w:t>CEA, NCTA, ESA Waiver Order</w:t>
      </w:r>
      <w:r w:rsidRPr="009C79E5">
        <w:t xml:space="preserve">), available at </w:t>
      </w:r>
      <w:hyperlink r:id="rId32" w:history="1">
        <w:r w:rsidRPr="009C79E5">
          <w:rPr>
            <w:rStyle w:val="Hyperlink1"/>
          </w:rPr>
          <w:t>https://apps.fcc.gov/edocs_public/attachmatch/DA-12-1645A1.pdf</w:t>
        </w:r>
      </w:hyperlink>
      <w:r w:rsidRPr="009C79E5">
        <w:rPr>
          <w:color w:val="262626"/>
        </w:rPr>
        <w:t xml:space="preserve">.  </w:t>
      </w:r>
    </w:p>
  </w:footnote>
  <w:footnote w:id="341">
    <w:p w:rsidR="000A68B6" w:rsidRPr="009C79E5" w:rsidRDefault="000A68B6" w:rsidP="00476E6F">
      <w:pPr>
        <w:pStyle w:val="FootnoteText"/>
        <w:spacing w:after="120"/>
        <w:rPr>
          <w:lang w:bidi="x-none"/>
        </w:rPr>
      </w:pPr>
      <w:r w:rsidRPr="009C79E5">
        <w:rPr>
          <w:rStyle w:val="FootnoteReference"/>
        </w:rPr>
        <w:footnoteRef/>
      </w:r>
      <w:r w:rsidRPr="009C79E5">
        <w:t xml:space="preserve"> Consumer Electronics Association Petition for Waiver, CG Docket No. 10-213 (filed Mar. 22, 2012), available at </w:t>
      </w:r>
      <w:hyperlink r:id="rId33" w:history="1">
        <w:r w:rsidRPr="009C79E5">
          <w:rPr>
            <w:rStyle w:val="Hyperlink"/>
          </w:rPr>
          <w:t>http://apps.fcc.gov/ecfs/document/view?id=7021902799</w:t>
        </w:r>
      </w:hyperlink>
      <w:r w:rsidRPr="009C79E5">
        <w:t xml:space="preserve"> (requesting a waiver for Internet protocol-enabled television sets and Internet protocol-enabled digital video players manufactured before July 1, 2016). </w:t>
      </w:r>
    </w:p>
  </w:footnote>
  <w:footnote w:id="342">
    <w:p w:rsidR="000A68B6" w:rsidRPr="009C79E5" w:rsidRDefault="000A68B6" w:rsidP="00476E6F">
      <w:pPr>
        <w:pStyle w:val="FootnoteText"/>
        <w:spacing w:after="120"/>
        <w:rPr>
          <w:lang w:bidi="x-none"/>
        </w:rPr>
      </w:pPr>
      <w:r w:rsidRPr="009C79E5">
        <w:rPr>
          <w:rStyle w:val="FootnoteReference"/>
        </w:rPr>
        <w:footnoteRef/>
      </w:r>
      <w:r w:rsidRPr="009C79E5">
        <w:t xml:space="preserve"> National Cable &amp; Telecommunications Association Petition for Waiver, CG Docket No. 10-213 (filed Jun. 1, 2012), available at </w:t>
      </w:r>
      <w:hyperlink r:id="rId34" w:history="1">
        <w:r w:rsidRPr="009C79E5">
          <w:rPr>
            <w:rStyle w:val="Hyperlink"/>
          </w:rPr>
          <w:t>http://apps.fcc.gov/ecfs/document/view?id=7021921284</w:t>
        </w:r>
      </w:hyperlink>
      <w:r w:rsidRPr="009C79E5" w:rsidDel="00683D9E">
        <w:t xml:space="preserve"> </w:t>
      </w:r>
      <w:r w:rsidRPr="009C79E5">
        <w:t>(requesting a waiver for set-top boxes leased by cable operators to their customers and manufactured before July 1, 2016).</w:t>
      </w:r>
    </w:p>
  </w:footnote>
  <w:footnote w:id="343">
    <w:p w:rsidR="000A68B6" w:rsidRPr="009C79E5" w:rsidRDefault="000A68B6" w:rsidP="00476E6F">
      <w:pPr>
        <w:pStyle w:val="FootnoteText"/>
        <w:spacing w:after="120"/>
        <w:rPr>
          <w:lang w:bidi="x-none"/>
        </w:rPr>
      </w:pPr>
      <w:r w:rsidRPr="009C79E5">
        <w:rPr>
          <w:rStyle w:val="FootnoteReference"/>
        </w:rPr>
        <w:footnoteRef/>
      </w:r>
      <w:r w:rsidRPr="009C79E5">
        <w:t xml:space="preserve"> Petition of the Entertainment Software Association, CG Docket No. 10-213 (filed Mar. 21, 2012), available at </w:t>
      </w:r>
      <w:hyperlink r:id="rId35" w:history="1">
        <w:r w:rsidRPr="009C79E5">
          <w:rPr>
            <w:rStyle w:val="Hyperlink"/>
          </w:rPr>
          <w:t>http://apps.fcc.gov/ecfs/document/view?id=7021902591</w:t>
        </w:r>
      </w:hyperlink>
      <w:r w:rsidRPr="009C79E5">
        <w:t xml:space="preserve"> (requesting an eight-year waiver until October 8, 2012, for gaming consoles, services, and software).</w:t>
      </w:r>
    </w:p>
  </w:footnote>
  <w:footnote w:id="344">
    <w:p w:rsidR="000A68B6" w:rsidRPr="009C79E5" w:rsidRDefault="000A68B6" w:rsidP="00476E6F">
      <w:pPr>
        <w:pStyle w:val="FootnoteText"/>
        <w:spacing w:after="120"/>
        <w:rPr>
          <w:lang w:bidi="x-none"/>
        </w:rPr>
      </w:pPr>
      <w:r w:rsidRPr="009C79E5">
        <w:rPr>
          <w:rStyle w:val="FootnoteReference"/>
        </w:rPr>
        <w:footnoteRef/>
      </w:r>
      <w:r w:rsidRPr="009C79E5">
        <w:t xml:space="preserve"> </w:t>
      </w:r>
      <w:r w:rsidRPr="009C79E5">
        <w:rPr>
          <w:i/>
        </w:rPr>
        <w:t>CEA, NCTA, ESA Waiver Order</w:t>
      </w:r>
      <w:r w:rsidRPr="009C79E5">
        <w:t xml:space="preserve">, 27 FCC Rcd at 12975-76, 12980, 12987, ¶¶ 10, 18, 35.  These waivers were granted after the receipt of public comment on each petition.  </w:t>
      </w:r>
      <w:r w:rsidRPr="009C79E5">
        <w:rPr>
          <w:i/>
        </w:rPr>
        <w:t>See</w:t>
      </w:r>
      <w:r w:rsidRPr="009C79E5">
        <w:t xml:space="preserve"> </w:t>
      </w:r>
      <w:r w:rsidRPr="009C79E5">
        <w:rPr>
          <w:i/>
          <w:iCs/>
        </w:rPr>
        <w:t>Request for Comment; Petition for Class Waiver of Commission’s Rules for Access to Advanced Communications Services and Equipment by People with Disabilities</w:t>
      </w:r>
      <w:r w:rsidRPr="009C79E5">
        <w:t xml:space="preserve">, CG Docket No. 10-213, Public Notice, DA 12-759, 27 FCC Rcd 5202 (CGB 2012), available at </w:t>
      </w:r>
      <w:hyperlink r:id="rId36" w:history="1">
        <w:r w:rsidRPr="009C79E5">
          <w:rPr>
            <w:rStyle w:val="Hyperlink"/>
          </w:rPr>
          <w:t>https://apps.fcc.gov/edocs_public/attachmatch/DA-12-759A1.pdf</w:t>
        </w:r>
      </w:hyperlink>
      <w:r w:rsidRPr="009C79E5">
        <w:rPr>
          <w:color w:val="010101"/>
        </w:rPr>
        <w:t>.</w:t>
      </w:r>
    </w:p>
  </w:footnote>
  <w:footnote w:id="345">
    <w:p w:rsidR="000A68B6" w:rsidRPr="009C79E5" w:rsidRDefault="000A68B6" w:rsidP="00476E6F">
      <w:pPr>
        <w:pStyle w:val="FootnoteText"/>
        <w:spacing w:after="120"/>
        <w:rPr>
          <w:lang w:bidi="x-none"/>
        </w:rPr>
      </w:pPr>
      <w:r w:rsidRPr="009C79E5">
        <w:rPr>
          <w:rStyle w:val="FootnoteReference"/>
        </w:rPr>
        <w:footnoteRef/>
      </w:r>
      <w:r w:rsidRPr="009C79E5">
        <w:t xml:space="preserve"> </w:t>
      </w:r>
      <w:r w:rsidRPr="009C79E5">
        <w:rPr>
          <w:i/>
        </w:rPr>
        <w:t xml:space="preserve">Implementation of Sections 716 and 717 of the Communications Act of 1934, as Enacted by the Twenty-First Century Communications and Video Accessibility Act of 2010; </w:t>
      </w:r>
      <w:r w:rsidRPr="009C79E5">
        <w:rPr>
          <w:i/>
          <w:shd w:val="clear" w:color="auto" w:fill="FFFFFF"/>
        </w:rPr>
        <w:t>Coalition of E-Reader Manufacturers’ Petition for Class Waiver of Sections 716 and 717 of the Communications Act and Part 14 of the Commission’s Rules Requiring Access to Advance Communications Services (ACS) and Equipment by People with Disabilities</w:t>
      </w:r>
      <w:r w:rsidRPr="009C79E5">
        <w:rPr>
          <w:shd w:val="clear" w:color="auto" w:fill="FFFFFF"/>
        </w:rPr>
        <w:t>, CG Docket No. 10-213, Order, DA 14-95, 29 FCC Rcd 674 (CGB 2014) (</w:t>
      </w:r>
      <w:r w:rsidRPr="009C79E5">
        <w:rPr>
          <w:i/>
          <w:shd w:val="clear" w:color="auto" w:fill="FFFFFF"/>
        </w:rPr>
        <w:t>E-Reader Waiver Order</w:t>
      </w:r>
      <w:r w:rsidRPr="009C79E5">
        <w:rPr>
          <w:shd w:val="clear" w:color="auto" w:fill="FFFFFF"/>
        </w:rPr>
        <w:t xml:space="preserve">), available at </w:t>
      </w:r>
      <w:hyperlink r:id="rId37" w:history="1">
        <w:r w:rsidRPr="009C79E5">
          <w:rPr>
            <w:rStyle w:val="Hyperlink"/>
            <w:shd w:val="clear" w:color="auto" w:fill="FFFFFF"/>
          </w:rPr>
          <w:t>https://apps.fcc.gov/edocs_public/attachmatch/DA-14-95A1.pdf</w:t>
        </w:r>
      </w:hyperlink>
      <w:r w:rsidRPr="009C79E5">
        <w:rPr>
          <w:color w:val="262626"/>
          <w:shd w:val="clear" w:color="auto" w:fill="FFFFFF"/>
        </w:rPr>
        <w:t xml:space="preserve">.  </w:t>
      </w:r>
      <w:r w:rsidRPr="009C79E5">
        <w:rPr>
          <w:i/>
          <w:shd w:val="clear" w:color="auto" w:fill="FFFFFF"/>
        </w:rPr>
        <w:t>See also</w:t>
      </w:r>
      <w:r w:rsidRPr="009C79E5">
        <w:rPr>
          <w:shd w:val="clear" w:color="auto" w:fill="FFFFFF"/>
        </w:rPr>
        <w:t xml:space="preserve"> </w:t>
      </w:r>
      <w:r w:rsidRPr="009C79E5">
        <w:rPr>
          <w:i/>
        </w:rPr>
        <w:t xml:space="preserve">Request for Comment Petition for Class Waiver of Commission’s Rules for Access </w:t>
      </w:r>
      <w:r w:rsidRPr="009C79E5">
        <w:rPr>
          <w:rStyle w:val="Strong1"/>
          <w:rFonts w:ascii="Times New Roman" w:hAnsi="Times New Roman"/>
          <w:b w:val="0"/>
          <w:i/>
          <w:color w:val="auto"/>
        </w:rPr>
        <w:t>to</w:t>
      </w:r>
      <w:r w:rsidRPr="009C79E5">
        <w:rPr>
          <w:i/>
        </w:rPr>
        <w:t xml:space="preserve"> Advanced Communications Services and Equipment by People with Disabilities</w:t>
      </w:r>
      <w:r w:rsidRPr="009C79E5">
        <w:t xml:space="preserve">, CG Docket No. 10-213, Public Notice, DA 13-1686, 28 FCC Rcd 11147 (CGB 2013), available at </w:t>
      </w:r>
      <w:hyperlink r:id="rId38" w:history="1">
        <w:r w:rsidRPr="009C79E5">
          <w:rPr>
            <w:rStyle w:val="Hyperlink"/>
            <w:shd w:val="clear" w:color="auto" w:fill="FFFFFF"/>
          </w:rPr>
          <w:t>https://apps.fcc.gov/edocs_public/attachmatch/DA-13-1686A1.pdf</w:t>
        </w:r>
      </w:hyperlink>
      <w:r w:rsidRPr="009C79E5">
        <w:rPr>
          <w:color w:val="262626"/>
          <w:shd w:val="clear" w:color="auto" w:fill="FFFFFF"/>
        </w:rPr>
        <w:t xml:space="preserve"> </w:t>
      </w:r>
      <w:r w:rsidRPr="009C79E5">
        <w:t xml:space="preserve">(seeking comment on the petition).  The Coalition of E-Reader Manufacturers filed a new petition to extend the waiver beyond January 28, 2015.  </w:t>
      </w:r>
      <w:r w:rsidRPr="009C79E5">
        <w:rPr>
          <w:i/>
        </w:rPr>
        <w:t>See</w:t>
      </w:r>
      <w:r w:rsidRPr="009C79E5">
        <w:t xml:space="preserve"> Coalition of E-Reader Manufacturers Petition for Extension of Waiver, CG Docket 10-213 (filed Sept. 4, 2014), available at </w:t>
      </w:r>
      <w:hyperlink r:id="rId39" w:history="1">
        <w:r w:rsidRPr="009C79E5">
          <w:rPr>
            <w:rStyle w:val="Hyperlink"/>
          </w:rPr>
          <w:t>http://apps.fcc.gov/ecfs/document/view?id=7521827908</w:t>
        </w:r>
      </w:hyperlink>
      <w:r w:rsidRPr="009C79E5">
        <w:t xml:space="preserve">.  </w:t>
      </w:r>
      <w:r w:rsidRPr="009C79E5">
        <w:rPr>
          <w:i/>
          <w:shd w:val="clear" w:color="auto" w:fill="FFFFFF"/>
        </w:rPr>
        <w:t>See also</w:t>
      </w:r>
      <w:r w:rsidRPr="009C79E5">
        <w:rPr>
          <w:shd w:val="clear" w:color="auto" w:fill="FFFFFF"/>
        </w:rPr>
        <w:t xml:space="preserve"> </w:t>
      </w:r>
      <w:r w:rsidRPr="009C79E5">
        <w:rPr>
          <w:i/>
        </w:rPr>
        <w:t xml:space="preserve">Request for Comment on Petition for Extension of Class Waiver of Commission’s Rules for Access </w:t>
      </w:r>
      <w:r w:rsidRPr="009C79E5">
        <w:rPr>
          <w:rStyle w:val="Strong1"/>
          <w:rFonts w:ascii="Times New Roman" w:hAnsi="Times New Roman"/>
          <w:b w:val="0"/>
          <w:i/>
          <w:color w:val="auto"/>
        </w:rPr>
        <w:t>to</w:t>
      </w:r>
      <w:r w:rsidRPr="009C79E5">
        <w:rPr>
          <w:i/>
        </w:rPr>
        <w:t xml:space="preserve"> Advanced Communications Services and Equipment by People with Disabilities</w:t>
      </w:r>
      <w:r w:rsidRPr="009C79E5">
        <w:t>, CG Docket No. 10-213, Public Notice, DA 14-1403, 29 FCC Rcd ___ (CGB, rel. Sept. 26, 2014), available at</w:t>
      </w:r>
      <w:r w:rsidRPr="009C79E5">
        <w:rPr>
          <w:color w:val="262626"/>
        </w:rPr>
        <w:t xml:space="preserve"> </w:t>
      </w:r>
      <w:hyperlink r:id="rId40" w:history="1">
        <w:r w:rsidRPr="009C79E5">
          <w:rPr>
            <w:rStyle w:val="Hyperlink"/>
          </w:rPr>
          <w:t>https://apps.fcc.gov/edocs_public/attachmatch/DA-14-1403A1.pdf</w:t>
        </w:r>
      </w:hyperlink>
      <w:r w:rsidRPr="009C79E5">
        <w:rPr>
          <w:color w:val="262626"/>
        </w:rPr>
        <w:t xml:space="preserve"> </w:t>
      </w:r>
      <w:r w:rsidRPr="009C79E5">
        <w:t xml:space="preserve">(seeking comment on the petition for an extension).  </w:t>
      </w:r>
    </w:p>
  </w:footnote>
  <w:footnote w:id="346">
    <w:p w:rsidR="000A68B6" w:rsidRPr="006C02D7" w:rsidRDefault="000A68B6" w:rsidP="00476E6F">
      <w:pPr>
        <w:spacing w:after="120"/>
        <w:rPr>
          <w:sz w:val="20"/>
          <w:szCs w:val="20"/>
        </w:rPr>
      </w:pPr>
      <w:r w:rsidRPr="006C02D7">
        <w:rPr>
          <w:rStyle w:val="FootnoteReference"/>
          <w:sz w:val="20"/>
          <w:szCs w:val="20"/>
        </w:rPr>
        <w:footnoteRef/>
      </w:r>
      <w:r w:rsidRPr="006C02D7">
        <w:rPr>
          <w:sz w:val="20"/>
          <w:szCs w:val="20"/>
        </w:rPr>
        <w:t xml:space="preserve"> Coalition of E-Reader Manufacturers Petition for Waiver, CG Docket 10-213 (filed May 16, 2013), available at </w:t>
      </w:r>
      <w:hyperlink r:id="rId41" w:history="1">
        <w:r w:rsidRPr="009C79E5">
          <w:rPr>
            <w:rStyle w:val="Hyperlink"/>
            <w:sz w:val="20"/>
            <w:szCs w:val="20"/>
          </w:rPr>
          <w:t>http://apps.fcc.gov/ecfs/document/view?id=7022314526</w:t>
        </w:r>
      </w:hyperlink>
      <w:r w:rsidRPr="00FF1FD9">
        <w:rPr>
          <w:rStyle w:val="Hyperlink"/>
          <w:sz w:val="20"/>
          <w:szCs w:val="20"/>
        </w:rPr>
        <w:t>.</w:t>
      </w:r>
    </w:p>
  </w:footnote>
  <w:footnote w:id="347">
    <w:p w:rsidR="000A68B6" w:rsidRPr="009C79E5" w:rsidRDefault="000A68B6" w:rsidP="00476E6F">
      <w:pPr>
        <w:spacing w:after="120"/>
        <w:rPr>
          <w:sz w:val="20"/>
          <w:szCs w:val="20"/>
        </w:rPr>
      </w:pPr>
      <w:r w:rsidRPr="006C02D7">
        <w:rPr>
          <w:rStyle w:val="FootnoteReference"/>
          <w:sz w:val="20"/>
          <w:szCs w:val="20"/>
        </w:rPr>
        <w:footnoteRef/>
      </w:r>
      <w:r w:rsidRPr="006C02D7">
        <w:rPr>
          <w:sz w:val="20"/>
          <w:szCs w:val="20"/>
        </w:rPr>
        <w:t xml:space="preserve"> </w:t>
      </w:r>
      <w:r w:rsidRPr="006C02D7">
        <w:rPr>
          <w:i/>
          <w:sz w:val="20"/>
          <w:szCs w:val="20"/>
        </w:rPr>
        <w:t>E-Reader Waiver Order</w:t>
      </w:r>
      <w:r w:rsidRPr="009C5E08">
        <w:rPr>
          <w:sz w:val="20"/>
          <w:szCs w:val="20"/>
        </w:rPr>
        <w:t xml:space="preserve">, </w:t>
      </w:r>
      <w:r w:rsidRPr="009C79E5">
        <w:rPr>
          <w:sz w:val="20"/>
          <w:szCs w:val="20"/>
          <w:shd w:val="clear" w:color="auto" w:fill="FFFFFF"/>
        </w:rPr>
        <w:t xml:space="preserve">29 FCC Rcd at 682-683, ¶ 15.  These characteristics distinguish basic e-readers from a broader class of devices, such as tablets, that have e-reader functions or features but are more commonly marketed and used for purposes associated with advanced communications services.  </w:t>
      </w:r>
      <w:r w:rsidRPr="009C79E5">
        <w:rPr>
          <w:i/>
          <w:sz w:val="20"/>
          <w:szCs w:val="20"/>
          <w:shd w:val="clear" w:color="auto" w:fill="FFFFFF"/>
        </w:rPr>
        <w:t>Id.</w:t>
      </w:r>
      <w:r w:rsidRPr="009C79E5">
        <w:rPr>
          <w:sz w:val="20"/>
          <w:szCs w:val="20"/>
          <w:shd w:val="clear" w:color="auto" w:fill="FFFFFF"/>
        </w:rPr>
        <w:t>, 29 FCC Rcd at 682, ¶ 15.</w:t>
      </w:r>
    </w:p>
  </w:footnote>
  <w:footnote w:id="348">
    <w:p w:rsidR="000A68B6" w:rsidRPr="009C79E5" w:rsidRDefault="000A68B6" w:rsidP="00476E6F">
      <w:pPr>
        <w:pStyle w:val="FootnoteText"/>
        <w:spacing w:after="120"/>
        <w:rPr>
          <w:lang w:bidi="x-none"/>
        </w:rPr>
      </w:pPr>
      <w:r w:rsidRPr="009C79E5">
        <w:rPr>
          <w:rStyle w:val="FootnoteReference"/>
        </w:rPr>
        <w:footnoteRef/>
      </w:r>
      <w:r w:rsidRPr="009C79E5">
        <w:t xml:space="preserve"> 47 U.S.C. § 618(d).</w:t>
      </w:r>
    </w:p>
  </w:footnote>
  <w:footnote w:id="349">
    <w:p w:rsidR="000A68B6" w:rsidRPr="009C79E5" w:rsidRDefault="000A68B6" w:rsidP="00476E6F">
      <w:pPr>
        <w:pStyle w:val="FootnoteText"/>
        <w:spacing w:after="120"/>
        <w:rPr>
          <w:lang w:bidi="x-none"/>
        </w:rPr>
      </w:pPr>
      <w:r w:rsidRPr="009C79E5">
        <w:rPr>
          <w:rStyle w:val="FootnoteReference"/>
        </w:rPr>
        <w:footnoteRef/>
      </w:r>
      <w:r w:rsidRPr="009C79E5">
        <w:t xml:space="preserve"> </w:t>
      </w:r>
      <w:r w:rsidRPr="009C79E5">
        <w:rPr>
          <w:i/>
        </w:rPr>
        <w:t>Id</w:t>
      </w:r>
      <w:r w:rsidRPr="009C79E5">
        <w:t>.</w:t>
      </w:r>
    </w:p>
  </w:footnote>
  <w:footnote w:id="350">
    <w:p w:rsidR="000A68B6" w:rsidRPr="009C79E5" w:rsidRDefault="000A68B6" w:rsidP="00476E6F">
      <w:pPr>
        <w:pStyle w:val="FootnoteText"/>
        <w:spacing w:after="120"/>
        <w:rPr>
          <w:lang w:bidi="x-none"/>
        </w:rPr>
      </w:pPr>
      <w:r w:rsidRPr="009C79E5">
        <w:rPr>
          <w:rStyle w:val="FootnoteReference"/>
        </w:rPr>
        <w:footnoteRef/>
      </w:r>
      <w:r w:rsidRPr="009C79E5">
        <w:t xml:space="preserve"> Companies wishing to contribute information about accessibility solutions may contact </w:t>
      </w:r>
      <w:hyperlink r:id="rId42" w:history="1">
        <w:r w:rsidRPr="009C79E5">
          <w:rPr>
            <w:rStyle w:val="Hyperlink1"/>
          </w:rPr>
          <w:t>Clearinghouse@fcc.gov</w:t>
        </w:r>
      </w:hyperlink>
      <w:r w:rsidRPr="009C79E5">
        <w:t xml:space="preserve">.  </w:t>
      </w:r>
    </w:p>
  </w:footnote>
  <w:footnote w:id="351">
    <w:p w:rsidR="000A68B6" w:rsidRPr="009C79E5" w:rsidRDefault="000A68B6" w:rsidP="00476E6F">
      <w:pPr>
        <w:pStyle w:val="FootnoteText"/>
        <w:spacing w:after="120"/>
        <w:rPr>
          <w:lang w:bidi="x-none"/>
        </w:rPr>
      </w:pPr>
      <w:r w:rsidRPr="009C79E5">
        <w:rPr>
          <w:rStyle w:val="FootnoteReference"/>
        </w:rPr>
        <w:footnoteRef/>
      </w:r>
      <w:r w:rsidRPr="009C79E5">
        <w:t xml:space="preserve"> 47 U.S.C. § 618(e).</w:t>
      </w:r>
    </w:p>
  </w:footnote>
  <w:footnote w:id="352">
    <w:p w:rsidR="000A68B6" w:rsidRPr="009C79E5" w:rsidRDefault="000A68B6" w:rsidP="00476E6F">
      <w:pPr>
        <w:pStyle w:val="FootnoteText"/>
        <w:spacing w:after="120"/>
        <w:rPr>
          <w:lang w:bidi="x-none"/>
        </w:rPr>
      </w:pPr>
      <w:r w:rsidRPr="009C79E5">
        <w:rPr>
          <w:rStyle w:val="FootnoteReference"/>
        </w:rPr>
        <w:footnoteRef/>
      </w:r>
      <w:r w:rsidRPr="009C79E5">
        <w:t xml:space="preserve"> These events are listed in Appendix C to this </w:t>
      </w:r>
      <w:r w:rsidRPr="009C79E5">
        <w:rPr>
          <w:i/>
        </w:rPr>
        <w:t>Report</w:t>
      </w:r>
      <w:r w:rsidRPr="009C79E5">
        <w:t xml:space="preserve">. </w:t>
      </w:r>
    </w:p>
  </w:footnote>
  <w:footnote w:id="353">
    <w:p w:rsidR="000A68B6" w:rsidRPr="009C79E5" w:rsidRDefault="000A68B6" w:rsidP="00476E6F">
      <w:pPr>
        <w:pStyle w:val="FootnoteText"/>
        <w:spacing w:after="120"/>
        <w:rPr>
          <w:lang w:bidi="x-none"/>
        </w:rPr>
      </w:pPr>
      <w:r w:rsidRPr="009C79E5">
        <w:rPr>
          <w:rStyle w:val="FootnoteReference"/>
        </w:rPr>
        <w:footnoteRef/>
      </w:r>
      <w:r w:rsidRPr="009C79E5">
        <w:t xml:space="preserve"> A list of these consumer guides is provided in Appendix D to this </w:t>
      </w:r>
      <w:r w:rsidRPr="009C79E5">
        <w:rPr>
          <w:i/>
        </w:rPr>
        <w:t>Report</w:t>
      </w:r>
      <w:r w:rsidRPr="009C79E5">
        <w:t xml:space="preserve">. </w:t>
      </w:r>
    </w:p>
  </w:footnote>
  <w:footnote w:id="354">
    <w:p w:rsidR="000A68B6" w:rsidRPr="009C79E5" w:rsidRDefault="000A68B6" w:rsidP="00476E6F">
      <w:pPr>
        <w:pStyle w:val="FootnoteText"/>
        <w:spacing w:after="120"/>
        <w:rPr>
          <w:lang w:bidi="x-none"/>
        </w:rPr>
      </w:pPr>
      <w:r w:rsidRPr="009C79E5">
        <w:rPr>
          <w:rStyle w:val="FootnoteReference"/>
        </w:rPr>
        <w:footnoteRef/>
      </w:r>
      <w:r w:rsidRPr="009C79E5">
        <w:t xml:space="preserve"> Although Section 105 of the CVAA is entitled “Relay services for deaf-blind individuals,” this section actually authorizes financial support for programs that distribute communications equipment to low-income individuals who are deaf-blind, which the Commission refers to as the “National Deaf-Blind Equipment Distribution Program.”  </w:t>
      </w:r>
    </w:p>
  </w:footnote>
  <w:footnote w:id="355">
    <w:p w:rsidR="000A68B6" w:rsidRPr="006C02D7" w:rsidRDefault="000A68B6" w:rsidP="00476E6F">
      <w:pPr>
        <w:spacing w:after="120"/>
        <w:rPr>
          <w:sz w:val="20"/>
          <w:szCs w:val="20"/>
          <w:lang w:bidi="x-none"/>
        </w:rPr>
      </w:pPr>
      <w:r w:rsidRPr="006C02D7">
        <w:rPr>
          <w:rStyle w:val="FootnoteReference"/>
          <w:sz w:val="20"/>
          <w:szCs w:val="20"/>
        </w:rPr>
        <w:footnoteRef/>
      </w:r>
      <w:r w:rsidRPr="006C02D7">
        <w:rPr>
          <w:sz w:val="20"/>
          <w:szCs w:val="20"/>
        </w:rPr>
        <w:t xml:space="preserve"> CVAA, § 105, adding Section 719 to the Act, codified at 47 U.S.C. § 620.  </w:t>
      </w:r>
    </w:p>
  </w:footnote>
  <w:footnote w:id="356">
    <w:p w:rsidR="000A68B6" w:rsidRPr="009C79E5" w:rsidRDefault="000A68B6" w:rsidP="00476E6F">
      <w:pPr>
        <w:pStyle w:val="FootnoteText"/>
        <w:spacing w:after="120"/>
        <w:rPr>
          <w:lang w:bidi="x-none"/>
        </w:rPr>
      </w:pPr>
      <w:r w:rsidRPr="009C5E08">
        <w:rPr>
          <w:rStyle w:val="FootnoteReference"/>
        </w:rPr>
        <w:footnoteRef/>
      </w:r>
      <w:r w:rsidRPr="009C79E5">
        <w:t xml:space="preserve"> 47 U.S.C. § 620(a). </w:t>
      </w:r>
    </w:p>
  </w:footnote>
  <w:footnote w:id="357">
    <w:p w:rsidR="000A68B6" w:rsidRPr="009C79E5" w:rsidRDefault="000A68B6" w:rsidP="00476E6F">
      <w:pPr>
        <w:pStyle w:val="FootnoteText"/>
        <w:spacing w:after="120"/>
        <w:rPr>
          <w:lang w:bidi="x-none"/>
        </w:rPr>
      </w:pPr>
      <w:r w:rsidRPr="009C79E5">
        <w:rPr>
          <w:rStyle w:val="FootnoteReference"/>
        </w:rPr>
        <w:footnoteRef/>
      </w:r>
      <w:r w:rsidRPr="009C79E5">
        <w:t xml:space="preserve"> 47 U.S.C. § 620(c).</w:t>
      </w:r>
    </w:p>
  </w:footnote>
  <w:footnote w:id="358">
    <w:p w:rsidR="000A68B6" w:rsidRPr="009C79E5" w:rsidRDefault="000A68B6" w:rsidP="00476E6F">
      <w:pPr>
        <w:pStyle w:val="FootnoteText"/>
        <w:spacing w:after="120"/>
        <w:rPr>
          <w:lang w:bidi="x-none"/>
        </w:rPr>
      </w:pPr>
      <w:r w:rsidRPr="009C79E5">
        <w:rPr>
          <w:rStyle w:val="FootnoteReference"/>
        </w:rPr>
        <w:footnoteRef/>
      </w:r>
      <w:r w:rsidRPr="009C79E5">
        <w:t xml:space="preserve"> </w:t>
      </w:r>
      <w:r w:rsidRPr="009C79E5">
        <w:rPr>
          <w:i/>
        </w:rPr>
        <w:t>Implementation of the Twenty-First Century Communications and Video Accessibility Act of 2010, Section 105, Relay Services for Deaf-Blind Individuals</w:t>
      </w:r>
      <w:r w:rsidRPr="009C79E5">
        <w:t>, CG Docket No. 10-210, Report and Order, FCC 11-56, 26 FCC Rcd 5640 (2011) (</w:t>
      </w:r>
      <w:r w:rsidRPr="009C79E5">
        <w:rPr>
          <w:i/>
        </w:rPr>
        <w:t>NDBEDP Pilot Program Order</w:t>
      </w:r>
      <w:r w:rsidRPr="009C79E5">
        <w:t xml:space="preserve">), available at </w:t>
      </w:r>
      <w:hyperlink r:id="rId43" w:history="1">
        <w:r w:rsidRPr="009C79E5">
          <w:rPr>
            <w:rStyle w:val="Hyperlink"/>
          </w:rPr>
          <w:t>https://apps.fcc.gov/edocs_public/attachmatch/FCC-11-56A1.pdf</w:t>
        </w:r>
      </w:hyperlink>
      <w:r w:rsidRPr="009C79E5">
        <w:t xml:space="preserve">.  </w:t>
      </w:r>
      <w:r w:rsidRPr="009C79E5">
        <w:rPr>
          <w:i/>
        </w:rPr>
        <w:t>See also</w:t>
      </w:r>
      <w:r w:rsidRPr="009C79E5">
        <w:t xml:space="preserve"> 47 C.F.R. § 64.610; </w:t>
      </w:r>
      <w:r w:rsidRPr="009C79E5">
        <w:rPr>
          <w:i/>
          <w:lang w:val="en"/>
        </w:rPr>
        <w:t>Commission Announces Launch of the National Deaf-Blind Equipment Distribution Program,</w:t>
      </w:r>
      <w:r w:rsidRPr="009C79E5">
        <w:rPr>
          <w:lang w:val="en"/>
        </w:rPr>
        <w:t xml:space="preserve"> </w:t>
      </w:r>
      <w:r w:rsidRPr="009C79E5">
        <w:t xml:space="preserve">CG Docket No. 10-210, Public Notice, </w:t>
      </w:r>
      <w:r w:rsidRPr="009C79E5">
        <w:rPr>
          <w:lang w:val="en"/>
        </w:rPr>
        <w:t xml:space="preserve">DA 12-1051, 27 FCC Rcd 7403 (CGB 2012), available at </w:t>
      </w:r>
      <w:hyperlink r:id="rId44" w:history="1">
        <w:r w:rsidRPr="009C79E5">
          <w:rPr>
            <w:rStyle w:val="Hyperlink"/>
          </w:rPr>
          <w:t>https://apps.fcc.gov/edocs_public/attachmatch/DA-12-1051A1.pdf</w:t>
        </w:r>
      </w:hyperlink>
      <w:r w:rsidRPr="009C79E5">
        <w:rPr>
          <w:lang w:val="en"/>
        </w:rPr>
        <w:t>.</w:t>
      </w:r>
    </w:p>
  </w:footnote>
  <w:footnote w:id="359">
    <w:p w:rsidR="000A68B6" w:rsidRPr="009C5E08" w:rsidRDefault="000A68B6" w:rsidP="00476E6F">
      <w:pPr>
        <w:pStyle w:val="FootnoteText"/>
        <w:spacing w:after="120"/>
      </w:pPr>
      <w:r w:rsidRPr="009C79E5">
        <w:rPr>
          <w:rStyle w:val="FootnoteReference"/>
        </w:rPr>
        <w:footnoteRef/>
      </w:r>
      <w:r w:rsidRPr="009C79E5">
        <w:t xml:space="preserve"> </w:t>
      </w:r>
      <w:r w:rsidRPr="009C79E5">
        <w:rPr>
          <w:i/>
        </w:rPr>
        <w:t>NDBEDP Pilot Program Order</w:t>
      </w:r>
      <w:r w:rsidRPr="009C79E5">
        <w:t xml:space="preserve">, 26 FCC Rcd at 5646, ¶ 12.  </w:t>
      </w:r>
      <w:r w:rsidRPr="009C79E5">
        <w:rPr>
          <w:i/>
        </w:rPr>
        <w:t xml:space="preserve">See also </w:t>
      </w:r>
      <w:r w:rsidRPr="009C79E5">
        <w:rPr>
          <w:i/>
          <w:lang w:val="en"/>
        </w:rPr>
        <w:t>Commission Announces Entities Certified to Participate in the National Deaf-Blind Equipment Distribution Program,</w:t>
      </w:r>
      <w:r w:rsidRPr="009C79E5">
        <w:rPr>
          <w:lang w:val="en"/>
        </w:rPr>
        <w:t xml:space="preserve"> </w:t>
      </w:r>
      <w:r w:rsidRPr="009C79E5">
        <w:t xml:space="preserve">CG Docket No. 10-210, Public Notice, </w:t>
      </w:r>
      <w:r w:rsidRPr="009C79E5">
        <w:rPr>
          <w:lang w:val="en"/>
        </w:rPr>
        <w:t xml:space="preserve">DA 12-1050, 27 FCC Rcd 7397 (CGB 2012), available at </w:t>
      </w:r>
      <w:hyperlink r:id="rId45" w:history="1">
        <w:r w:rsidRPr="009C79E5">
          <w:rPr>
            <w:rStyle w:val="Hyperlink"/>
          </w:rPr>
          <w:t>https://apps.fcc.gov/edocs_public/attachmatch/DA-12-1050A1.pdf</w:t>
        </w:r>
      </w:hyperlink>
      <w:r w:rsidRPr="009C79E5">
        <w:rPr>
          <w:lang w:val="en"/>
        </w:rPr>
        <w:t xml:space="preserve">.  </w:t>
      </w:r>
      <w:r w:rsidRPr="009C79E5">
        <w:t xml:space="preserve">Eligible individuals must be “deaf-blind,” as defined in the Helen Keller National Center Act.  </w:t>
      </w:r>
      <w:r w:rsidRPr="009C79E5">
        <w:rPr>
          <w:i/>
        </w:rPr>
        <w:t xml:space="preserve">See </w:t>
      </w:r>
      <w:r w:rsidRPr="009C79E5">
        <w:t xml:space="preserve">47 U.S.C. § 620(b), </w:t>
      </w:r>
      <w:r w:rsidRPr="009C79E5">
        <w:rPr>
          <w:i/>
          <w:iCs/>
        </w:rPr>
        <w:t xml:space="preserve">citing </w:t>
      </w:r>
      <w:r w:rsidRPr="009C79E5">
        <w:t xml:space="preserve">29 U.S.C. § 1905(2).  </w:t>
      </w:r>
      <w:r w:rsidRPr="006C02D7">
        <w:rPr>
          <w:i/>
        </w:rPr>
        <w:t>See also NDBEDP Pilot Program Order</w:t>
      </w:r>
      <w:r w:rsidRPr="006C02D7">
        <w:t xml:space="preserve">, 26 FCC Rcd at 5650-2, ¶¶ 23-27. </w:t>
      </w:r>
      <w:r w:rsidRPr="009C79E5">
        <w:t xml:space="preserve"> Eligible individuals must also be “</w:t>
      </w:r>
      <w:r w:rsidRPr="006C02D7">
        <w:t xml:space="preserve">low income,” which the Commission defined as having income that does not exceed 400% of the Federal Poverty Guidelines.  </w:t>
      </w:r>
      <w:r w:rsidRPr="006C02D7">
        <w:rPr>
          <w:i/>
        </w:rPr>
        <w:t xml:space="preserve">See </w:t>
      </w:r>
      <w:r w:rsidRPr="009C79E5">
        <w:t xml:space="preserve">47 U.S.C. § 620(a); 47 C.F.R. § 64.610(d)(2).  </w:t>
      </w:r>
      <w:r w:rsidRPr="006C02D7">
        <w:rPr>
          <w:i/>
        </w:rPr>
        <w:t>See also NDBEDP Pilot Program Order</w:t>
      </w:r>
      <w:r w:rsidRPr="009C5E08">
        <w:t xml:space="preserve">, 26 FCC Rcd at 5654-7, ¶¶ 33-37. </w:t>
      </w:r>
    </w:p>
  </w:footnote>
  <w:footnote w:id="360">
    <w:p w:rsidR="000A68B6" w:rsidRPr="009C79E5" w:rsidRDefault="000A68B6" w:rsidP="00476E6F">
      <w:pPr>
        <w:pStyle w:val="FootnoteText"/>
        <w:spacing w:after="120"/>
      </w:pPr>
      <w:r w:rsidRPr="009C79E5">
        <w:rPr>
          <w:rStyle w:val="FootnoteReference"/>
        </w:rPr>
        <w:footnoteRef/>
      </w:r>
      <w:r w:rsidRPr="009C79E5">
        <w:t xml:space="preserve"> </w:t>
      </w:r>
      <w:r w:rsidRPr="009C79E5">
        <w:rPr>
          <w:i/>
        </w:rPr>
        <w:t>NDBEDP Pilot Program Order</w:t>
      </w:r>
      <w:r w:rsidRPr="009C79E5">
        <w:t xml:space="preserve">, 26 FCC Rcd at 5676, ¶ 80.  </w:t>
      </w:r>
      <w:r w:rsidRPr="009C79E5">
        <w:rPr>
          <w:i/>
        </w:rPr>
        <w:t>See also Perkins School for the Blind to Conduct National Outreach for the National Deaf-Blind Equipment Distribution Program</w:t>
      </w:r>
      <w:r w:rsidRPr="009C79E5">
        <w:t xml:space="preserve">, CG Docket No. 10-210, Public Notice, DA 12-910, 27 FCC Rcd 6143 (CGB 2012), available at </w:t>
      </w:r>
      <w:hyperlink r:id="rId46" w:history="1">
        <w:r w:rsidRPr="009C79E5">
          <w:rPr>
            <w:rStyle w:val="Hyperlink"/>
          </w:rPr>
          <w:t>https://apps.fcc.gov/edocs_public/attachmatch/DA-12-910A1.pdf</w:t>
        </w:r>
      </w:hyperlink>
      <w:r w:rsidRPr="009C79E5">
        <w:t xml:space="preserve"> (selecting the Perkins School for the Blind, in partnership with the Helen Keller National Center and FableVision, to conduct national outreach for the pilot NDBEDP).</w:t>
      </w:r>
    </w:p>
  </w:footnote>
  <w:footnote w:id="361">
    <w:p w:rsidR="000A68B6" w:rsidRPr="006C02D7" w:rsidRDefault="000A68B6" w:rsidP="00476E6F">
      <w:pPr>
        <w:spacing w:after="120"/>
        <w:rPr>
          <w:sz w:val="20"/>
          <w:szCs w:val="20"/>
          <w:lang w:bidi="x-none"/>
        </w:rPr>
      </w:pPr>
      <w:r w:rsidRPr="006C02D7">
        <w:rPr>
          <w:rStyle w:val="FootnoteReference"/>
          <w:sz w:val="20"/>
          <w:szCs w:val="20"/>
        </w:rPr>
        <w:footnoteRef/>
      </w:r>
      <w:r w:rsidRPr="006C02D7">
        <w:rPr>
          <w:sz w:val="20"/>
          <w:szCs w:val="20"/>
        </w:rPr>
        <w:t xml:space="preserve"> Year One Highlights (September 2013) at 2-5 (a presentation produced by the Perkins School for the Blind summarizing national outreach efforts and outcomes achieved by NDBEDP certified programs), available at </w:t>
      </w:r>
      <w:hyperlink r:id="rId47" w:history="1">
        <w:r w:rsidRPr="009C79E5">
          <w:rPr>
            <w:rStyle w:val="Hyperlink1"/>
            <w:szCs w:val="20"/>
          </w:rPr>
          <w:t>http://apps.fcc.gov/ecfs/document/view?id=7520958851</w:t>
        </w:r>
      </w:hyperlink>
      <w:r w:rsidRPr="00FF1FD9">
        <w:rPr>
          <w:sz w:val="20"/>
          <w:szCs w:val="20"/>
        </w:rPr>
        <w:t xml:space="preserve">. </w:t>
      </w:r>
    </w:p>
  </w:footnote>
  <w:footnote w:id="362">
    <w:p w:rsidR="000A68B6" w:rsidRPr="006C02D7" w:rsidRDefault="000A68B6" w:rsidP="00476E6F">
      <w:pPr>
        <w:pStyle w:val="FootnoteText"/>
        <w:spacing w:after="120"/>
      </w:pPr>
      <w:r w:rsidRPr="006C02D7">
        <w:rPr>
          <w:rStyle w:val="FootnoteReference"/>
        </w:rPr>
        <w:footnoteRef/>
      </w:r>
      <w:r w:rsidRPr="006C02D7">
        <w:t xml:space="preserve"> </w:t>
      </w:r>
      <w:r w:rsidRPr="006C02D7">
        <w:rPr>
          <w:i/>
        </w:rPr>
        <w:t>NDBEDP Pilot Program Order</w:t>
      </w:r>
      <w:r w:rsidRPr="006C02D7">
        <w:t xml:space="preserve">, 26 FCC Rcd at 5675-76, ¶ 79-80. </w:t>
      </w:r>
    </w:p>
  </w:footnote>
  <w:footnote w:id="363">
    <w:p w:rsidR="000A68B6" w:rsidRPr="009C79E5" w:rsidRDefault="000A68B6" w:rsidP="00476E6F">
      <w:pPr>
        <w:pStyle w:val="FootnoteText"/>
        <w:spacing w:after="120"/>
      </w:pPr>
      <w:r w:rsidRPr="009C5E08">
        <w:rPr>
          <w:rStyle w:val="FootnoteReference"/>
        </w:rPr>
        <w:footnoteRef/>
      </w:r>
      <w:r w:rsidRPr="009C79E5">
        <w:t xml:space="preserve"> During the first two years of the NDBEDP pilot program, the entities selected to participate in the NDBEDP for seven states (Nevada, Mississippi, Vermont, Nebraska, Indiana, Minnesota, and Iowa) relinquished their certifications.  The Commission certified other entities to continue distributing NDBEDP equipment and providing related services to eligible individuals in those states.  </w:t>
      </w:r>
      <w:r w:rsidRPr="009C79E5">
        <w:rPr>
          <w:i/>
        </w:rPr>
        <w:t>See</w:t>
      </w:r>
      <w:r w:rsidRPr="009C79E5">
        <w:t xml:space="preserve"> </w:t>
      </w:r>
      <w:hyperlink r:id="rId48" w:history="1">
        <w:r w:rsidRPr="009C79E5">
          <w:rPr>
            <w:rStyle w:val="Hyperlink"/>
          </w:rPr>
          <w:t>http://www.fcc.gov/ndbedp</w:t>
        </w:r>
      </w:hyperlink>
      <w:r w:rsidRPr="009C79E5">
        <w:t xml:space="preserve">.  </w:t>
      </w:r>
    </w:p>
  </w:footnote>
  <w:footnote w:id="364">
    <w:p w:rsidR="000A68B6" w:rsidRPr="009C79E5" w:rsidRDefault="000A68B6" w:rsidP="00476E6F">
      <w:pPr>
        <w:pStyle w:val="FootnoteText"/>
        <w:spacing w:after="120"/>
        <w:rPr>
          <w:lang w:bidi="x-none"/>
        </w:rPr>
      </w:pPr>
      <w:r w:rsidRPr="009C79E5">
        <w:rPr>
          <w:rStyle w:val="FootnoteReference"/>
        </w:rPr>
        <w:footnoteRef/>
      </w:r>
      <w:r w:rsidRPr="009C79E5">
        <w:t xml:space="preserve">  </w:t>
      </w:r>
      <w:r w:rsidRPr="009C79E5">
        <w:rPr>
          <w:i/>
        </w:rPr>
        <w:t>See</w:t>
      </w:r>
      <w:r w:rsidRPr="009C79E5">
        <w:t xml:space="preserve"> 2012-2013 NDBEDP Reimbursement Requests at </w:t>
      </w:r>
      <w:hyperlink r:id="rId49" w:history="1">
        <w:r w:rsidRPr="009C79E5">
          <w:rPr>
            <w:rStyle w:val="Hyperlink"/>
          </w:rPr>
          <w:t>http://r-l-s-a.com/TRS/2012-2013%20NDBEDP%20Reimbursement%20requests.xlsx</w:t>
        </w:r>
      </w:hyperlink>
      <w:r w:rsidRPr="009C79E5">
        <w:t xml:space="preserve"> (last viewed Sept. 5, 2014)</w:t>
      </w:r>
    </w:p>
  </w:footnote>
  <w:footnote w:id="365">
    <w:p w:rsidR="000A68B6" w:rsidRPr="009C79E5" w:rsidRDefault="000A68B6" w:rsidP="00476E6F">
      <w:pPr>
        <w:pStyle w:val="FootnoteText"/>
        <w:spacing w:after="120"/>
      </w:pPr>
      <w:r w:rsidRPr="009C79E5">
        <w:rPr>
          <w:rStyle w:val="FootnoteReference"/>
        </w:rPr>
        <w:footnoteRef/>
      </w:r>
      <w:r w:rsidRPr="009C79E5">
        <w:t xml:space="preserve"> </w:t>
      </w:r>
      <w:r w:rsidRPr="009C79E5">
        <w:rPr>
          <w:i/>
        </w:rPr>
        <w:t xml:space="preserve">See </w:t>
      </w:r>
      <w:r w:rsidRPr="009C79E5">
        <w:rPr>
          <w:bCs/>
          <w:i/>
        </w:rPr>
        <w:t xml:space="preserve">Bureau Announces 2013-2014 State Allocations for the National Deaf-Blind Equipment Distribution Program, </w:t>
      </w:r>
      <w:r w:rsidRPr="009C79E5">
        <w:rPr>
          <w:bCs/>
        </w:rPr>
        <w:t xml:space="preserve">Public Notice, DA 13-1488, 28 FCC Rcd 9243 (CGB 2013), available at </w:t>
      </w:r>
      <w:hyperlink r:id="rId50" w:history="1">
        <w:r w:rsidRPr="009C79E5">
          <w:rPr>
            <w:rStyle w:val="Hyperlink"/>
          </w:rPr>
          <w:t>https://apps.fcc.gov/edocs_public/attachmatch/DA-13-1488A1.pdf</w:t>
        </w:r>
      </w:hyperlink>
      <w:r w:rsidRPr="009C79E5">
        <w:t xml:space="preserve">.  </w:t>
      </w:r>
    </w:p>
  </w:footnote>
  <w:footnote w:id="366">
    <w:p w:rsidR="000A68B6" w:rsidRPr="009C79E5" w:rsidRDefault="000A68B6" w:rsidP="00476E6F">
      <w:pPr>
        <w:pStyle w:val="FootnoteText"/>
        <w:spacing w:after="120"/>
      </w:pPr>
      <w:r w:rsidRPr="009C79E5">
        <w:rPr>
          <w:rStyle w:val="FootnoteReference"/>
        </w:rPr>
        <w:footnoteRef/>
      </w:r>
      <w:r w:rsidRPr="009C79E5">
        <w:t xml:space="preserve"> </w:t>
      </w:r>
      <w:r w:rsidRPr="009C79E5">
        <w:rPr>
          <w:i/>
        </w:rPr>
        <w:t>See</w:t>
      </w:r>
      <w:r w:rsidRPr="009C79E5">
        <w:t xml:space="preserve"> 2013-2014 NDBEDP Reimbursement Requests at </w:t>
      </w:r>
      <w:hyperlink r:id="rId51" w:history="1">
        <w:r w:rsidRPr="009C79E5">
          <w:rPr>
            <w:rStyle w:val="Hyperlink1"/>
          </w:rPr>
          <w:t>http://www.r-l-s-a.com/TRS/2013-2014%20NDBEDP%20Reimbursement%20requests.xlsx</w:t>
        </w:r>
      </w:hyperlink>
      <w:r w:rsidRPr="009C79E5">
        <w:t xml:space="preserve"> (last viewed Sept. 5, 2014).</w:t>
      </w:r>
    </w:p>
  </w:footnote>
  <w:footnote w:id="367">
    <w:p w:rsidR="000A68B6" w:rsidRPr="006C02D7" w:rsidRDefault="000A68B6" w:rsidP="00476E6F">
      <w:pPr>
        <w:spacing w:after="120"/>
        <w:rPr>
          <w:sz w:val="20"/>
          <w:szCs w:val="20"/>
        </w:rPr>
      </w:pPr>
      <w:r w:rsidRPr="006C02D7">
        <w:rPr>
          <w:rStyle w:val="FootnoteReference"/>
          <w:sz w:val="20"/>
          <w:szCs w:val="20"/>
        </w:rPr>
        <w:footnoteRef/>
      </w:r>
      <w:r w:rsidRPr="006C02D7">
        <w:rPr>
          <w:sz w:val="20"/>
          <w:szCs w:val="20"/>
        </w:rPr>
        <w:t xml:space="preserve"> </w:t>
      </w:r>
      <w:r w:rsidRPr="006C02D7">
        <w:rPr>
          <w:i/>
          <w:sz w:val="20"/>
          <w:szCs w:val="20"/>
          <w:shd w:val="clear" w:color="auto" w:fill="FFFFFF"/>
        </w:rPr>
        <w:t>Implementation of the Twenty-First Century Communications and Video Accessibility Act of 2010, Section 105, Relay Services for Deaf-Blind Individuals; Order Extending NDBEDP Pilot Program to June 30, 2015</w:t>
      </w:r>
      <w:r w:rsidRPr="009C5E08">
        <w:rPr>
          <w:sz w:val="20"/>
          <w:szCs w:val="20"/>
          <w:shd w:val="clear" w:color="auto" w:fill="FFFFFF"/>
        </w:rPr>
        <w:t>, CG Docket No. 10-210, Order, DA 14-170, 29 FCC Rcd 1234 (CGB 2014) (</w:t>
      </w:r>
      <w:r w:rsidRPr="009C79E5">
        <w:rPr>
          <w:i/>
          <w:sz w:val="20"/>
          <w:szCs w:val="20"/>
          <w:shd w:val="clear" w:color="auto" w:fill="FFFFFF"/>
        </w:rPr>
        <w:t>NDBEDP Pilot Program Third Year Order</w:t>
      </w:r>
      <w:r w:rsidRPr="009C79E5">
        <w:rPr>
          <w:sz w:val="20"/>
          <w:szCs w:val="20"/>
          <w:shd w:val="clear" w:color="auto" w:fill="FFFFFF"/>
        </w:rPr>
        <w:t xml:space="preserve">), available at </w:t>
      </w:r>
      <w:hyperlink r:id="rId52" w:history="1">
        <w:r w:rsidRPr="009C79E5">
          <w:rPr>
            <w:rStyle w:val="Hyperlink"/>
            <w:sz w:val="20"/>
            <w:szCs w:val="20"/>
          </w:rPr>
          <w:t>https://apps.fcc.gov/edocs_public/attachmatch/DA-14-170A1.pdf</w:t>
        </w:r>
      </w:hyperlink>
      <w:r w:rsidRPr="006C02D7">
        <w:rPr>
          <w:sz w:val="20"/>
          <w:szCs w:val="20"/>
        </w:rPr>
        <w:t xml:space="preserve">.  </w:t>
      </w:r>
      <w:r w:rsidRPr="006C02D7">
        <w:rPr>
          <w:i/>
          <w:sz w:val="20"/>
          <w:szCs w:val="20"/>
        </w:rPr>
        <w:t xml:space="preserve">See also </w:t>
      </w:r>
      <w:r w:rsidRPr="009C79E5">
        <w:rPr>
          <w:bCs/>
          <w:i/>
          <w:sz w:val="20"/>
          <w:szCs w:val="20"/>
        </w:rPr>
        <w:t xml:space="preserve">Bureau Announces 2014-2015 State Allocations for the National Deaf-Blind Equipment Distribution Program, </w:t>
      </w:r>
      <w:r w:rsidRPr="009C79E5">
        <w:rPr>
          <w:bCs/>
          <w:sz w:val="20"/>
          <w:szCs w:val="20"/>
        </w:rPr>
        <w:t xml:space="preserve">Public Notice, DA 14-947, 29 FCC Rcd 8056 (CGB 2014), available at </w:t>
      </w:r>
      <w:hyperlink r:id="rId53" w:history="1">
        <w:r w:rsidRPr="009C79E5">
          <w:rPr>
            <w:rStyle w:val="Hyperlink1"/>
            <w:szCs w:val="20"/>
          </w:rPr>
          <w:t>https://apps.fcc.gov/edocs_public/attachmatch/DA-14-947A1.pdf</w:t>
        </w:r>
      </w:hyperlink>
      <w:r w:rsidRPr="00FF1FD9">
        <w:rPr>
          <w:rStyle w:val="Hyperlink1"/>
          <w:szCs w:val="20"/>
        </w:rPr>
        <w:t>.</w:t>
      </w:r>
    </w:p>
  </w:footnote>
  <w:footnote w:id="368">
    <w:p w:rsidR="000A68B6" w:rsidRPr="006C02D7" w:rsidRDefault="000A68B6" w:rsidP="00476E6F">
      <w:pPr>
        <w:pStyle w:val="FootnoteText"/>
        <w:spacing w:after="120"/>
        <w:rPr>
          <w:lang w:bidi="x-none"/>
        </w:rPr>
      </w:pPr>
      <w:r w:rsidRPr="006C02D7">
        <w:rPr>
          <w:rStyle w:val="FootnoteReference"/>
        </w:rPr>
        <w:footnoteRef/>
      </w:r>
      <w:r w:rsidRPr="006C02D7">
        <w:t xml:space="preserve"> </w:t>
      </w:r>
      <w:r w:rsidRPr="009C79E5">
        <w:rPr>
          <w:i/>
          <w:shd w:val="clear" w:color="auto" w:fill="FFFFFF"/>
        </w:rPr>
        <w:t>NDBEDP Pilot Program Third Year Order</w:t>
      </w:r>
      <w:r w:rsidRPr="009C79E5">
        <w:rPr>
          <w:shd w:val="clear" w:color="auto" w:fill="FFFFFF"/>
        </w:rPr>
        <w:t>, 29 FCC Rcd at 1236, ¶ 7.</w:t>
      </w:r>
      <w:r w:rsidRPr="006C02D7">
        <w:t xml:space="preserve"> </w:t>
      </w:r>
    </w:p>
  </w:footnote>
  <w:footnote w:id="369">
    <w:p w:rsidR="000A68B6" w:rsidRPr="009C79E5" w:rsidRDefault="000A68B6" w:rsidP="00476E6F">
      <w:pPr>
        <w:pStyle w:val="FootnoteText"/>
        <w:spacing w:after="120"/>
        <w:rPr>
          <w:i/>
        </w:rPr>
      </w:pPr>
      <w:r w:rsidRPr="009C5E08">
        <w:rPr>
          <w:rStyle w:val="FootnoteReference"/>
        </w:rPr>
        <w:footnoteRef/>
      </w:r>
      <w:r w:rsidRPr="009C79E5">
        <w:t xml:space="preserve"> </w:t>
      </w:r>
      <w:r w:rsidRPr="009C79E5">
        <w:rPr>
          <w:i/>
        </w:rPr>
        <w:t>Consumer and Governmental Affairs Bureau Seeks Comment on the National Deaf-Blind Equipment Distribution Program</w:t>
      </w:r>
      <w:r w:rsidRPr="009C79E5">
        <w:t xml:space="preserve">, </w:t>
      </w:r>
      <w:r w:rsidRPr="009C79E5">
        <w:rPr>
          <w:bCs/>
        </w:rPr>
        <w:t>CG Docket No. 10-210,</w:t>
      </w:r>
      <w:r w:rsidRPr="009C79E5">
        <w:rPr>
          <w:b/>
          <w:bCs/>
        </w:rPr>
        <w:t xml:space="preserve"> </w:t>
      </w:r>
      <w:r w:rsidRPr="009C79E5">
        <w:t xml:space="preserve">Public Notice, </w:t>
      </w:r>
      <w:r w:rsidRPr="009C79E5">
        <w:rPr>
          <w:bCs/>
        </w:rPr>
        <w:t xml:space="preserve">DA 14-1128, </w:t>
      </w:r>
      <w:r w:rsidRPr="009C79E5">
        <w:t xml:space="preserve">29 FCC Rcd 9451 (CGB 2014), available at </w:t>
      </w:r>
      <w:hyperlink r:id="rId54" w:history="1">
        <w:r w:rsidRPr="009C79E5">
          <w:rPr>
            <w:rStyle w:val="Hyperlink1"/>
          </w:rPr>
          <w:t>http://transition.fcc.gov/Daily_Releases/Daily_Business/2014/db0801/DA-14-1128A1.pdf</w:t>
        </w:r>
      </w:hyperlink>
      <w:r w:rsidRPr="009C79E5">
        <w:t xml:space="preserve">.  </w:t>
      </w:r>
    </w:p>
  </w:footnote>
  <w:footnote w:id="370">
    <w:p w:rsidR="000A68B6" w:rsidRPr="009C79E5" w:rsidRDefault="000A68B6" w:rsidP="00476E6F">
      <w:pPr>
        <w:pStyle w:val="FootnoteText"/>
        <w:spacing w:after="120"/>
        <w:rPr>
          <w:lang w:bidi="x-none"/>
        </w:rPr>
      </w:pPr>
      <w:r w:rsidRPr="009C79E5">
        <w:rPr>
          <w:rStyle w:val="FootnoteReference"/>
        </w:rPr>
        <w:footnoteRef/>
      </w:r>
      <w:r w:rsidRPr="009C79E5">
        <w:rPr>
          <w:lang w:val="es-ES_tradnl"/>
        </w:rPr>
        <w:t xml:space="preserve"> CVAA, §§ 106(a), (c).</w:t>
      </w:r>
    </w:p>
  </w:footnote>
  <w:footnote w:id="371">
    <w:p w:rsidR="000A68B6" w:rsidRPr="009C79E5" w:rsidRDefault="000A68B6" w:rsidP="00476E6F">
      <w:pPr>
        <w:pStyle w:val="FootnoteText"/>
        <w:spacing w:after="120"/>
        <w:rPr>
          <w:lang w:bidi="x-none"/>
        </w:rPr>
      </w:pPr>
      <w:r w:rsidRPr="009C79E5">
        <w:rPr>
          <w:rStyle w:val="FootnoteReference"/>
        </w:rPr>
        <w:footnoteRef/>
      </w:r>
      <w:r w:rsidRPr="009C79E5">
        <w:rPr>
          <w:lang w:val="es-ES_tradnl"/>
        </w:rPr>
        <w:t xml:space="preserve"> CVAA, § 106(g).</w:t>
      </w:r>
    </w:p>
  </w:footnote>
  <w:footnote w:id="372">
    <w:p w:rsidR="000A68B6" w:rsidRPr="009C79E5" w:rsidRDefault="000A68B6" w:rsidP="00476E6F">
      <w:pPr>
        <w:pStyle w:val="FootnoteText"/>
        <w:spacing w:after="120"/>
      </w:pPr>
      <w:r w:rsidRPr="009C79E5">
        <w:rPr>
          <w:rStyle w:val="FootnoteReference"/>
        </w:rPr>
        <w:footnoteRef/>
      </w:r>
      <w:r w:rsidRPr="009C79E5">
        <w:t xml:space="preserve"> </w:t>
      </w:r>
      <w:r w:rsidRPr="009C79E5">
        <w:rPr>
          <w:i/>
        </w:rPr>
        <w:t>Emergency Access Advisory Committee Announcement of Members</w:t>
      </w:r>
      <w:r w:rsidRPr="009C79E5">
        <w:t xml:space="preserve">, Public Notice, DA 10-2318, 25 FCC Rcd 17084 (CGB 2010), available at </w:t>
      </w:r>
      <w:hyperlink r:id="rId55" w:history="1">
        <w:r w:rsidRPr="009C79E5">
          <w:rPr>
            <w:rStyle w:val="Hyperlink"/>
          </w:rPr>
          <w:t>https://apps.fcc.gov/edocs_public/attachmatch/DA-10-2318A1.pdf</w:t>
        </w:r>
      </w:hyperlink>
      <w:r w:rsidRPr="009C79E5">
        <w:t>.</w:t>
      </w:r>
    </w:p>
  </w:footnote>
  <w:footnote w:id="373">
    <w:p w:rsidR="000A68B6" w:rsidRPr="009C79E5" w:rsidRDefault="000A68B6" w:rsidP="00476E6F">
      <w:pPr>
        <w:pStyle w:val="FootnoteText"/>
        <w:spacing w:after="120"/>
      </w:pPr>
      <w:r w:rsidRPr="009C79E5">
        <w:rPr>
          <w:rStyle w:val="FootnoteReference"/>
        </w:rPr>
        <w:footnoteRef/>
      </w:r>
      <w:r w:rsidRPr="009C79E5">
        <w:t xml:space="preserve"> EAAC, </w:t>
      </w:r>
      <w:r w:rsidRPr="009C79E5">
        <w:rPr>
          <w:i/>
        </w:rPr>
        <w:t>Report on Emergency Calling for Persons with Disabilities Survey Review and Analysis 2011</w:t>
      </w:r>
      <w:r w:rsidRPr="009C79E5">
        <w:t xml:space="preserve"> (</w:t>
      </w:r>
      <w:r w:rsidRPr="009C79E5">
        <w:rPr>
          <w:i/>
        </w:rPr>
        <w:t>EAAC Survey Report</w:t>
      </w:r>
      <w:r w:rsidRPr="009C79E5">
        <w:t xml:space="preserve">) (Jul. 21, 2011), available at </w:t>
      </w:r>
      <w:hyperlink r:id="rId56" w:history="1">
        <w:r w:rsidRPr="009C79E5">
          <w:rPr>
            <w:rStyle w:val="Hyperlink"/>
          </w:rPr>
          <w:t>http://transition.fcc.gov/cgb/dro/EAAC/EAAC-REPORT.pdf</w:t>
        </w:r>
      </w:hyperlink>
      <w:r w:rsidRPr="009C79E5">
        <w:rPr>
          <w:rStyle w:val="Hyperlink"/>
        </w:rPr>
        <w:t xml:space="preserve"> </w:t>
      </w:r>
      <w:r w:rsidRPr="009C79E5">
        <w:t>(reporting on 3149 completed surveys).</w:t>
      </w:r>
    </w:p>
  </w:footnote>
  <w:footnote w:id="374">
    <w:p w:rsidR="000A68B6" w:rsidRPr="006C02D7" w:rsidRDefault="000A68B6" w:rsidP="00476E6F">
      <w:pPr>
        <w:autoSpaceDE w:val="0"/>
        <w:autoSpaceDN w:val="0"/>
        <w:adjustRightInd w:val="0"/>
        <w:spacing w:after="120"/>
        <w:rPr>
          <w:sz w:val="20"/>
          <w:szCs w:val="20"/>
        </w:rPr>
      </w:pPr>
      <w:r w:rsidRPr="006C02D7">
        <w:rPr>
          <w:rStyle w:val="FootnoteReference"/>
          <w:sz w:val="20"/>
          <w:szCs w:val="20"/>
        </w:rPr>
        <w:footnoteRef/>
      </w:r>
      <w:r w:rsidRPr="006C02D7">
        <w:rPr>
          <w:sz w:val="20"/>
          <w:szCs w:val="20"/>
        </w:rPr>
        <w:t xml:space="preserve"> EAAC, </w:t>
      </w:r>
      <w:r w:rsidRPr="006C02D7">
        <w:rPr>
          <w:i/>
          <w:sz w:val="20"/>
          <w:szCs w:val="20"/>
        </w:rPr>
        <w:t xml:space="preserve">Emergency Access Advisory Committee Report and Recommendations </w:t>
      </w:r>
      <w:r w:rsidRPr="006C02D7">
        <w:rPr>
          <w:sz w:val="20"/>
          <w:szCs w:val="20"/>
        </w:rPr>
        <w:t>(</w:t>
      </w:r>
      <w:r w:rsidRPr="006C02D7">
        <w:rPr>
          <w:i/>
          <w:sz w:val="20"/>
          <w:szCs w:val="20"/>
        </w:rPr>
        <w:t>EAAC Report and Recommendations</w:t>
      </w:r>
      <w:r w:rsidRPr="006C02D7">
        <w:rPr>
          <w:sz w:val="20"/>
          <w:szCs w:val="20"/>
        </w:rPr>
        <w:t xml:space="preserve">) (Dec. 6, 2011), </w:t>
      </w:r>
      <w:r w:rsidRPr="006C02D7">
        <w:rPr>
          <w:bCs/>
          <w:sz w:val="20"/>
          <w:szCs w:val="20"/>
        </w:rPr>
        <w:t xml:space="preserve">available at </w:t>
      </w:r>
      <w:hyperlink r:id="rId57" w:history="1">
        <w:r w:rsidRPr="009C79E5">
          <w:rPr>
            <w:rStyle w:val="Hyperlink"/>
            <w:bCs/>
            <w:sz w:val="20"/>
            <w:szCs w:val="20"/>
          </w:rPr>
          <w:t>https://apps.fcc.gov/edocs_public/attachmatch/DOC-312161A1.pdf</w:t>
        </w:r>
      </w:hyperlink>
      <w:r w:rsidRPr="00FF1FD9">
        <w:rPr>
          <w:bCs/>
          <w:sz w:val="20"/>
          <w:szCs w:val="20"/>
        </w:rPr>
        <w:t xml:space="preserve">. </w:t>
      </w:r>
    </w:p>
  </w:footnote>
  <w:footnote w:id="375">
    <w:p w:rsidR="000A68B6" w:rsidRPr="009C79E5" w:rsidRDefault="000A68B6" w:rsidP="00476E6F">
      <w:pPr>
        <w:pStyle w:val="FootnoteText"/>
        <w:spacing w:after="120"/>
        <w:rPr>
          <w:lang w:bidi="x-none"/>
        </w:rPr>
      </w:pPr>
      <w:r w:rsidRPr="006C02D7">
        <w:rPr>
          <w:rStyle w:val="FootnoteReference"/>
        </w:rPr>
        <w:footnoteRef/>
      </w:r>
      <w:r w:rsidRPr="006C02D7">
        <w:t xml:space="preserve"> EAAC, </w:t>
      </w:r>
      <w:r w:rsidRPr="006C02D7">
        <w:rPr>
          <w:i/>
        </w:rPr>
        <w:t>Report of Emergency Access Advisory Committee (EAAC) Subcommittee 1 on Interim Text Messaging to 9-1-1</w:t>
      </w:r>
      <w:r w:rsidRPr="009C5E08">
        <w:t xml:space="preserve"> (Mar. 1, 2013), available at </w:t>
      </w:r>
      <w:hyperlink r:id="rId58" w:history="1">
        <w:r w:rsidRPr="009C79E5">
          <w:rPr>
            <w:rStyle w:val="Hyperlink"/>
          </w:rPr>
          <w:t>https://apps.fcc.gov/edocs_public/attachmatch/DOC-319329A1.pdf</w:t>
        </w:r>
      </w:hyperlink>
      <w:r w:rsidRPr="009C79E5">
        <w:t xml:space="preserve">. </w:t>
      </w:r>
    </w:p>
  </w:footnote>
  <w:footnote w:id="376">
    <w:p w:rsidR="000A68B6" w:rsidRPr="009C79E5" w:rsidRDefault="000A68B6" w:rsidP="00476E6F">
      <w:pPr>
        <w:pStyle w:val="FootnoteText"/>
        <w:spacing w:after="120"/>
      </w:pPr>
      <w:r w:rsidRPr="009C79E5">
        <w:rPr>
          <w:rStyle w:val="FootnoteReference"/>
        </w:rPr>
        <w:footnoteRef/>
      </w:r>
      <w:r w:rsidRPr="009C79E5">
        <w:t xml:space="preserve"> EAAC, </w:t>
      </w:r>
      <w:r w:rsidRPr="009C79E5">
        <w:rPr>
          <w:bCs/>
          <w:i/>
        </w:rPr>
        <w:t xml:space="preserve">Emergency Access Advisory Committee (EAAC) </w:t>
      </w:r>
      <w:r w:rsidRPr="009C79E5">
        <w:rPr>
          <w:i/>
        </w:rPr>
        <w:t>Working Group 3 Recommendations on Current 9-1-1 and Next Generation 9-1-1:  Media Communication Line Services Used to Ensure Effective Communication with Callers with Disabilities</w:t>
      </w:r>
      <w:r w:rsidRPr="009C79E5">
        <w:t xml:space="preserve"> (Mar. 1, 2013), available at </w:t>
      </w:r>
      <w:hyperlink r:id="rId59" w:history="1">
        <w:r w:rsidRPr="009C79E5">
          <w:rPr>
            <w:rStyle w:val="Hyperlink"/>
          </w:rPr>
          <w:t>https://apps.fcc.gov/edocs_public/attachmatch/DOC-319394A1.pdf</w:t>
        </w:r>
      </w:hyperlink>
      <w:r w:rsidRPr="009C79E5">
        <w:t xml:space="preserve">. </w:t>
      </w:r>
    </w:p>
  </w:footnote>
  <w:footnote w:id="377">
    <w:p w:rsidR="000A68B6" w:rsidRPr="00FF1FD9" w:rsidRDefault="000A68B6" w:rsidP="00476E6F">
      <w:pPr>
        <w:spacing w:after="120"/>
        <w:rPr>
          <w:sz w:val="20"/>
          <w:szCs w:val="20"/>
        </w:rPr>
      </w:pPr>
      <w:r w:rsidRPr="006C02D7">
        <w:rPr>
          <w:rStyle w:val="FootnoteReference"/>
          <w:sz w:val="20"/>
          <w:szCs w:val="20"/>
        </w:rPr>
        <w:footnoteRef/>
      </w:r>
      <w:r w:rsidRPr="006C02D7">
        <w:rPr>
          <w:sz w:val="20"/>
          <w:szCs w:val="20"/>
        </w:rPr>
        <w:t xml:space="preserve"> EAAC, </w:t>
      </w:r>
      <w:r w:rsidRPr="006C02D7">
        <w:rPr>
          <w:bCs/>
          <w:i/>
          <w:sz w:val="20"/>
          <w:szCs w:val="20"/>
        </w:rPr>
        <w:t xml:space="preserve">Emergency Access Advisory Committee (EAAC) Report on TTY Transition </w:t>
      </w:r>
      <w:r w:rsidRPr="006C02D7">
        <w:rPr>
          <w:sz w:val="20"/>
          <w:szCs w:val="20"/>
        </w:rPr>
        <w:t xml:space="preserve">(Mar. 11, 2013), available at </w:t>
      </w:r>
      <w:hyperlink r:id="rId60" w:history="1">
        <w:r w:rsidRPr="009C79E5">
          <w:rPr>
            <w:rStyle w:val="Hyperlink"/>
            <w:sz w:val="20"/>
            <w:szCs w:val="20"/>
          </w:rPr>
          <w:t>https://apps.fcc.gov/edocs_public/attachmatch/DOC-319386A1.pdf</w:t>
        </w:r>
      </w:hyperlink>
      <w:r w:rsidRPr="00FF1FD9">
        <w:rPr>
          <w:sz w:val="20"/>
          <w:szCs w:val="20"/>
        </w:rPr>
        <w:t xml:space="preserve">. </w:t>
      </w:r>
    </w:p>
  </w:footnote>
  <w:footnote w:id="378">
    <w:p w:rsidR="000A68B6" w:rsidRPr="009C79E5" w:rsidRDefault="000A68B6" w:rsidP="00476E6F">
      <w:pPr>
        <w:pStyle w:val="FootnoteText"/>
        <w:spacing w:after="120"/>
        <w:rPr>
          <w:lang w:bidi="x-none"/>
        </w:rPr>
      </w:pPr>
      <w:r w:rsidRPr="006C02D7">
        <w:rPr>
          <w:rStyle w:val="FootnoteReference"/>
        </w:rPr>
        <w:footnoteRef/>
      </w:r>
      <w:r w:rsidRPr="006C02D7">
        <w:t xml:space="preserve"> EAAC, </w:t>
      </w:r>
      <w:r w:rsidRPr="006C02D7">
        <w:rPr>
          <w:bCs/>
          <w:i/>
        </w:rPr>
        <w:t xml:space="preserve">Emergency Access Advisory Committee (EAAC) </w:t>
      </w:r>
      <w:r w:rsidRPr="009C5E08">
        <w:rPr>
          <w:i/>
        </w:rPr>
        <w:t>Report on procedures for calls between TTY users and NG9-1-1 PSAPs</w:t>
      </w:r>
      <w:r w:rsidRPr="009C79E5">
        <w:t xml:space="preserve"> (Jun. 14, 2013), available at </w:t>
      </w:r>
      <w:hyperlink r:id="rId61" w:history="1">
        <w:r w:rsidRPr="009C79E5">
          <w:rPr>
            <w:rStyle w:val="Hyperlink"/>
          </w:rPr>
          <w:t>https://apps.fcc.gov/edocs_public/attachmatch/DOC-321705A1.pdf</w:t>
        </w:r>
      </w:hyperlink>
      <w:r w:rsidRPr="009C79E5">
        <w:t xml:space="preserve">; EAAC, </w:t>
      </w:r>
      <w:r w:rsidRPr="009C79E5">
        <w:rPr>
          <w:bCs/>
          <w:i/>
        </w:rPr>
        <w:t>Emergency Access Advisory Committee (EAAC</w:t>
      </w:r>
      <w:r w:rsidRPr="009C79E5">
        <w:rPr>
          <w:bCs/>
        </w:rPr>
        <w:t xml:space="preserve">) </w:t>
      </w:r>
      <w:r w:rsidRPr="009C79E5">
        <w:rPr>
          <w:i/>
        </w:rPr>
        <w:t>Proposed procedures for the TTY as a text terminal in legacy 9-1-1 PSAPs without IP connection</w:t>
      </w:r>
      <w:r w:rsidRPr="009C79E5">
        <w:t xml:space="preserve"> (Jun. 14, 2013), available at </w:t>
      </w:r>
      <w:hyperlink r:id="rId62" w:history="1">
        <w:r w:rsidRPr="009C79E5">
          <w:rPr>
            <w:rStyle w:val="Hyperlink"/>
          </w:rPr>
          <w:t>https://apps.fcc.gov/edocs_public/attachmatch/DOC-321704A1.pdf</w:t>
        </w:r>
      </w:hyperlink>
      <w:r w:rsidRPr="009C79E5">
        <w:t xml:space="preserve">; and EAAC, </w:t>
      </w:r>
      <w:r w:rsidRPr="009C79E5">
        <w:rPr>
          <w:bCs/>
          <w:i/>
        </w:rPr>
        <w:t>Emergency Access Advisory Committee (EAAC) Working Group 7</w:t>
      </w:r>
      <w:r w:rsidRPr="009C79E5">
        <w:rPr>
          <w:i/>
        </w:rPr>
        <w:t>Report on Recommendations on Time Alignment</w:t>
      </w:r>
      <w:r w:rsidRPr="009C79E5">
        <w:t xml:space="preserve"> (Jun. 14, 2013), available at </w:t>
      </w:r>
      <w:hyperlink r:id="rId63" w:history="1">
        <w:r w:rsidRPr="009C79E5">
          <w:rPr>
            <w:rStyle w:val="Hyperlink"/>
          </w:rPr>
          <w:t>https://apps.fcc.gov/edocs_public/attachmatch/DOC-321740A1.pdf</w:t>
        </w:r>
      </w:hyperlink>
      <w:r w:rsidRPr="009C79E5">
        <w:t xml:space="preserve">. </w:t>
      </w:r>
    </w:p>
  </w:footnote>
  <w:footnote w:id="379">
    <w:p w:rsidR="000A68B6" w:rsidRPr="009C79E5" w:rsidRDefault="000A68B6" w:rsidP="00476E6F">
      <w:pPr>
        <w:pStyle w:val="FootnoteText"/>
        <w:spacing w:after="120"/>
        <w:rPr>
          <w:lang w:bidi="x-none"/>
        </w:rPr>
      </w:pPr>
      <w:r w:rsidRPr="009C79E5">
        <w:rPr>
          <w:rStyle w:val="FootnoteReference"/>
        </w:rPr>
        <w:footnoteRef/>
      </w:r>
      <w:r w:rsidRPr="009C79E5">
        <w:t xml:space="preserve"> EAAC, </w:t>
      </w:r>
      <w:r w:rsidRPr="009C79E5">
        <w:rPr>
          <w:bCs/>
          <w:i/>
        </w:rPr>
        <w:t xml:space="preserve">Emergency Access Advisory Committee (EAAC) </w:t>
      </w:r>
      <w:r w:rsidRPr="009C79E5">
        <w:rPr>
          <w:i/>
        </w:rPr>
        <w:t>Report on gaps in NENA i3 NG9-1-1 specifications related to EAAC accessibility reports</w:t>
      </w:r>
      <w:r w:rsidRPr="009C79E5">
        <w:t xml:space="preserve"> (Jul. 10, 2013), available at </w:t>
      </w:r>
      <w:hyperlink r:id="rId64" w:history="1">
        <w:r w:rsidRPr="009C79E5">
          <w:rPr>
            <w:rStyle w:val="Hyperlink"/>
          </w:rPr>
          <w:t>https://apps.fcc.gov/edocs_public/attachmatch/DOC-322164A1.pdf</w:t>
        </w:r>
      </w:hyperlink>
      <w:r w:rsidRPr="009C79E5">
        <w:t xml:space="preserve">. </w:t>
      </w:r>
    </w:p>
  </w:footnote>
  <w:footnote w:id="380">
    <w:p w:rsidR="000A68B6" w:rsidRPr="009C79E5" w:rsidRDefault="000A68B6" w:rsidP="00476E6F">
      <w:pPr>
        <w:pStyle w:val="FootnoteText"/>
        <w:spacing w:after="120"/>
        <w:rPr>
          <w:lang w:bidi="x-none"/>
        </w:rPr>
      </w:pPr>
      <w:r w:rsidRPr="009C79E5">
        <w:rPr>
          <w:rStyle w:val="FootnoteReference"/>
        </w:rPr>
        <w:footnoteRef/>
      </w:r>
      <w:r w:rsidRPr="009C79E5">
        <w:t xml:space="preserve"> </w:t>
      </w:r>
      <w:r w:rsidRPr="009C79E5">
        <w:rPr>
          <w:i/>
        </w:rPr>
        <w:t>Id.</w:t>
      </w:r>
      <w:r w:rsidRPr="009C79E5">
        <w:t xml:space="preserve"> at 3.</w:t>
      </w:r>
    </w:p>
  </w:footnote>
  <w:footnote w:id="381">
    <w:p w:rsidR="000A68B6" w:rsidRPr="009C79E5" w:rsidRDefault="000A68B6" w:rsidP="00476E6F">
      <w:pPr>
        <w:pStyle w:val="FootnoteText"/>
        <w:spacing w:after="120"/>
      </w:pPr>
      <w:r w:rsidRPr="009C79E5">
        <w:rPr>
          <w:rStyle w:val="FootnoteReference"/>
        </w:rPr>
        <w:footnoteRef/>
      </w:r>
      <w:r w:rsidRPr="009C79E5">
        <w:t xml:space="preserve"> </w:t>
      </w:r>
      <w:r w:rsidRPr="009C79E5">
        <w:rPr>
          <w:lang w:val="es-ES_tradnl"/>
        </w:rPr>
        <w:t>CVAA, § 106(g).</w:t>
      </w:r>
    </w:p>
  </w:footnote>
  <w:footnote w:id="382">
    <w:p w:rsidR="000A68B6" w:rsidRPr="009C79E5" w:rsidRDefault="000A68B6" w:rsidP="00476E6F">
      <w:pPr>
        <w:pStyle w:val="FootnoteText1"/>
        <w:spacing w:after="120"/>
        <w:rPr>
          <w:rFonts w:ascii="Times New Roman" w:eastAsia="Times New Roman" w:hAnsi="Times New Roman"/>
          <w:color w:val="auto"/>
          <w:lang w:bidi="x-none"/>
        </w:rPr>
      </w:pPr>
      <w:r w:rsidRPr="009C79E5">
        <w:rPr>
          <w:rFonts w:ascii="Times New Roman" w:hAnsi="Times New Roman"/>
          <w:color w:val="auto"/>
          <w:vertAlign w:val="superscript"/>
        </w:rPr>
        <w:footnoteRef/>
      </w:r>
      <w:r w:rsidRPr="009C79E5">
        <w:rPr>
          <w:rFonts w:ascii="Times New Roman" w:hAnsi="Times New Roman"/>
          <w:color w:val="auto"/>
        </w:rPr>
        <w:t xml:space="preserve"> </w:t>
      </w:r>
      <w:r w:rsidRPr="009C79E5">
        <w:rPr>
          <w:rFonts w:ascii="Times New Roman" w:hAnsi="Times New Roman"/>
          <w:i/>
          <w:color w:val="auto"/>
        </w:rPr>
        <w:t>Facilitating the Deployment of Text-to-911 and Other Next Generation 911 Applications; Framework for Next Generation 911 Deployment</w:t>
      </w:r>
      <w:r w:rsidRPr="009C79E5">
        <w:rPr>
          <w:rFonts w:ascii="Times New Roman" w:hAnsi="Times New Roman"/>
          <w:color w:val="auto"/>
        </w:rPr>
        <w:t xml:space="preserve">, PS Docket Nos. 11-153 and 10-255, Further Notice of Proposed Rulemaking, </w:t>
      </w:r>
      <w:r w:rsidRPr="009C79E5">
        <w:rPr>
          <w:rFonts w:ascii="Times New Roman" w:eastAsia="Lucida Grande" w:hAnsi="Times New Roman"/>
          <w:color w:val="auto"/>
        </w:rPr>
        <w:t>FCC 12-149,</w:t>
      </w:r>
      <w:r w:rsidRPr="009C79E5">
        <w:rPr>
          <w:rFonts w:ascii="Times New Roman" w:hAnsi="Times New Roman"/>
          <w:color w:val="auto"/>
        </w:rPr>
        <w:t xml:space="preserve"> 27 FCC Rcd 15659 (2012) (</w:t>
      </w:r>
      <w:r w:rsidRPr="009C79E5">
        <w:rPr>
          <w:rFonts w:ascii="Times New Roman" w:hAnsi="Times New Roman"/>
          <w:i/>
          <w:color w:val="auto"/>
        </w:rPr>
        <w:t>Text-to-911 FNPRM</w:t>
      </w:r>
      <w:r w:rsidRPr="009C79E5">
        <w:rPr>
          <w:rFonts w:ascii="Times New Roman" w:hAnsi="Times New Roman"/>
          <w:color w:val="auto"/>
        </w:rPr>
        <w:t xml:space="preserve">), available at </w:t>
      </w:r>
      <w:hyperlink r:id="rId65" w:history="1">
        <w:r w:rsidRPr="009C79E5">
          <w:rPr>
            <w:rStyle w:val="Hyperlink1"/>
            <w:rFonts w:ascii="Times New Roman" w:hAnsi="Times New Roman"/>
          </w:rPr>
          <w:t>https://apps.fcc.gov/edocs_public/attachmatch/FCC-12-149A1.pdf</w:t>
        </w:r>
      </w:hyperlink>
      <w:r w:rsidRPr="009C79E5">
        <w:rPr>
          <w:rFonts w:ascii="Times New Roman" w:hAnsi="Times New Roman"/>
        </w:rPr>
        <w:t>.</w:t>
      </w:r>
    </w:p>
  </w:footnote>
  <w:footnote w:id="383">
    <w:p w:rsidR="000A68B6" w:rsidRPr="009C79E5" w:rsidRDefault="000A68B6" w:rsidP="00476E6F">
      <w:pPr>
        <w:pStyle w:val="NormalWeb"/>
        <w:shd w:val="clear" w:color="auto" w:fill="FFFFFF"/>
        <w:spacing w:before="0" w:beforeAutospacing="0" w:after="120" w:afterAutospacing="0"/>
        <w:rPr>
          <w:i/>
          <w:sz w:val="20"/>
          <w:szCs w:val="20"/>
          <w:lang w:bidi="x-none"/>
        </w:rPr>
      </w:pPr>
      <w:r w:rsidRPr="009C79E5">
        <w:rPr>
          <w:sz w:val="20"/>
          <w:szCs w:val="20"/>
          <w:vertAlign w:val="superscript"/>
        </w:rPr>
        <w:footnoteRef/>
      </w:r>
      <w:r w:rsidRPr="009C79E5">
        <w:rPr>
          <w:sz w:val="20"/>
          <w:szCs w:val="20"/>
        </w:rPr>
        <w:t xml:space="preserve"> In December 2012, AT&amp;T, Sprint Nextel, T-Mobile, and Verizon entered into a voluntary agreement with NENA and APCO International to provide text-to-911 service by May 15, 2014, to PSAPs capable of, and that requested to receive, text-to-911 service.  </w:t>
      </w:r>
      <w:r w:rsidRPr="009C79E5">
        <w:rPr>
          <w:i/>
          <w:sz w:val="20"/>
          <w:szCs w:val="20"/>
          <w:shd w:val="clear" w:color="auto" w:fill="FFFFFF"/>
        </w:rPr>
        <w:t>Text-to-911 FNPRM</w:t>
      </w:r>
      <w:r w:rsidRPr="009C79E5">
        <w:rPr>
          <w:sz w:val="20"/>
          <w:szCs w:val="20"/>
          <w:shd w:val="clear" w:color="auto" w:fill="FFFFFF"/>
        </w:rPr>
        <w:t>, 27 FCC Rcd at 15742, Appendix C.</w:t>
      </w:r>
    </w:p>
  </w:footnote>
  <w:footnote w:id="384">
    <w:p w:rsidR="000A68B6" w:rsidRPr="009C79E5" w:rsidRDefault="000A68B6" w:rsidP="00476E6F">
      <w:pPr>
        <w:pStyle w:val="FootnoteText"/>
        <w:spacing w:after="120"/>
      </w:pPr>
      <w:r w:rsidRPr="009C79E5">
        <w:rPr>
          <w:rStyle w:val="FootnoteReference"/>
        </w:rPr>
        <w:footnoteRef/>
      </w:r>
      <w:r w:rsidRPr="009C79E5">
        <w:t xml:space="preserve"> </w:t>
      </w:r>
      <w:r w:rsidRPr="009C79E5">
        <w:rPr>
          <w:i/>
        </w:rPr>
        <w:t>Text-to-911 FNPRM</w:t>
      </w:r>
      <w:r w:rsidRPr="009C79E5">
        <w:t>, 27 FCC Rcd at 15660-61, ¶¶ 2-3.</w:t>
      </w:r>
    </w:p>
  </w:footnote>
  <w:footnote w:id="385">
    <w:p w:rsidR="000A68B6" w:rsidRPr="009C79E5" w:rsidRDefault="000A68B6" w:rsidP="00476E6F">
      <w:pPr>
        <w:pStyle w:val="NormalWeb"/>
        <w:shd w:val="clear" w:color="auto" w:fill="FFFFFF"/>
        <w:spacing w:before="0" w:beforeAutospacing="0" w:after="120" w:afterAutospacing="0"/>
        <w:rPr>
          <w:i/>
          <w:sz w:val="20"/>
          <w:szCs w:val="20"/>
          <w:lang w:bidi="x-none"/>
        </w:rPr>
      </w:pPr>
      <w:r w:rsidRPr="009C79E5">
        <w:rPr>
          <w:sz w:val="20"/>
          <w:szCs w:val="20"/>
          <w:vertAlign w:val="superscript"/>
        </w:rPr>
        <w:footnoteRef/>
      </w:r>
      <w:r w:rsidRPr="009C79E5">
        <w:rPr>
          <w:sz w:val="20"/>
          <w:szCs w:val="20"/>
        </w:rPr>
        <w:t xml:space="preserve"> </w:t>
      </w:r>
      <w:r w:rsidRPr="009C79E5">
        <w:rPr>
          <w:i/>
          <w:sz w:val="20"/>
          <w:szCs w:val="20"/>
        </w:rPr>
        <w:t>Id.</w:t>
      </w:r>
      <w:r w:rsidRPr="009C79E5">
        <w:rPr>
          <w:sz w:val="20"/>
          <w:szCs w:val="20"/>
        </w:rPr>
        <w:t>, 27 FCC Rcd at 15661, ¶ 3.</w:t>
      </w:r>
    </w:p>
  </w:footnote>
  <w:footnote w:id="386">
    <w:p w:rsidR="000A68B6" w:rsidRPr="006C02D7" w:rsidRDefault="000A68B6" w:rsidP="00476E6F">
      <w:pPr>
        <w:pStyle w:val="FootnoteText1"/>
        <w:spacing w:after="120"/>
        <w:rPr>
          <w:rFonts w:ascii="Times New Roman" w:eastAsia="Times New Roman" w:hAnsi="Times New Roman"/>
          <w:color w:val="auto"/>
          <w:lang w:bidi="x-none"/>
        </w:rPr>
      </w:pPr>
      <w:r w:rsidRPr="009C79E5">
        <w:rPr>
          <w:rFonts w:ascii="Times New Roman" w:hAnsi="Times New Roman"/>
          <w:color w:val="auto"/>
          <w:vertAlign w:val="superscript"/>
        </w:rPr>
        <w:footnoteRef/>
      </w:r>
      <w:r w:rsidRPr="009C79E5">
        <w:rPr>
          <w:rFonts w:ascii="Times New Roman" w:hAnsi="Times New Roman"/>
          <w:color w:val="auto"/>
        </w:rPr>
        <w:t xml:space="preserve"> </w:t>
      </w:r>
      <w:r w:rsidRPr="009C79E5">
        <w:rPr>
          <w:rFonts w:ascii="Times New Roman" w:hAnsi="Times New Roman"/>
          <w:i/>
          <w:color w:val="auto"/>
        </w:rPr>
        <w:t>Facilitating the Deployment of Text-to-911 and Other Next Generation 911 Applications; Framework for Next Generation 911 Deployment</w:t>
      </w:r>
      <w:r w:rsidRPr="009C79E5">
        <w:rPr>
          <w:rFonts w:ascii="Times New Roman" w:hAnsi="Times New Roman"/>
          <w:color w:val="auto"/>
        </w:rPr>
        <w:t>, PS Dockets Nos. 11-153 and 10-255, Report and Order, FCC 13-64, 28 FCC Rcd 7556, 7576, ¶ 59 (2013) (</w:t>
      </w:r>
      <w:r w:rsidRPr="009C79E5">
        <w:rPr>
          <w:rFonts w:ascii="Times New Roman" w:hAnsi="Times New Roman"/>
          <w:i/>
          <w:color w:val="auto"/>
        </w:rPr>
        <w:t>Bounce-Back Order</w:t>
      </w:r>
      <w:r w:rsidRPr="009C79E5">
        <w:rPr>
          <w:rFonts w:ascii="Times New Roman" w:hAnsi="Times New Roman"/>
          <w:color w:val="auto"/>
        </w:rPr>
        <w:t xml:space="preserve">), available at </w:t>
      </w:r>
      <w:hyperlink r:id="rId66" w:history="1">
        <w:r w:rsidRPr="009C79E5">
          <w:rPr>
            <w:rStyle w:val="Hyperlink"/>
            <w:rFonts w:ascii="Times New Roman" w:hAnsi="Times New Roman"/>
          </w:rPr>
          <w:t>https://apps.fcc.gov/edocs_public/attachmatch/FCC-13-64A1.pdf</w:t>
        </w:r>
      </w:hyperlink>
      <w:r w:rsidRPr="009C79E5">
        <w:rPr>
          <w:rStyle w:val="Hyperlink1"/>
          <w:rFonts w:ascii="Times New Roman" w:hAnsi="Times New Roman"/>
        </w:rPr>
        <w:t xml:space="preserve"> </w:t>
      </w:r>
      <w:r w:rsidRPr="009C79E5">
        <w:rPr>
          <w:rFonts w:ascii="Times New Roman" w:hAnsi="Times New Roman"/>
        </w:rPr>
        <w:t xml:space="preserve">.  </w:t>
      </w:r>
      <w:r w:rsidRPr="009C79E5">
        <w:rPr>
          <w:rFonts w:ascii="Times New Roman" w:hAnsi="Times New Roman"/>
          <w:color w:val="auto"/>
        </w:rPr>
        <w:t xml:space="preserve">Interconnected text providers are providers of software applications that enable a consumer to send text messages to all or substantially all text-capable U.S. telephone numbers and receive text messages from the same.  </w:t>
      </w:r>
      <w:r w:rsidRPr="009C79E5">
        <w:rPr>
          <w:rFonts w:ascii="Times New Roman" w:hAnsi="Times New Roman"/>
          <w:i/>
          <w:color w:val="auto"/>
        </w:rPr>
        <w:t>Bounce-Back Order</w:t>
      </w:r>
      <w:r w:rsidRPr="009C79E5">
        <w:rPr>
          <w:rFonts w:ascii="Times New Roman" w:hAnsi="Times New Roman"/>
          <w:color w:val="auto"/>
        </w:rPr>
        <w:t>, 28 FCC Rcd at 7556, ¶ 1.</w:t>
      </w:r>
    </w:p>
  </w:footnote>
  <w:footnote w:id="387">
    <w:p w:rsidR="000A68B6" w:rsidRPr="009C79E5" w:rsidRDefault="000A68B6" w:rsidP="00476E6F">
      <w:pPr>
        <w:pStyle w:val="FootnoteText"/>
        <w:spacing w:after="120"/>
      </w:pPr>
      <w:r w:rsidRPr="009C5E08">
        <w:rPr>
          <w:rStyle w:val="FootnoteReference"/>
        </w:rPr>
        <w:footnoteRef/>
      </w:r>
      <w:r w:rsidRPr="009C79E5">
        <w:t xml:space="preserve"> </w:t>
      </w:r>
      <w:r w:rsidRPr="009C79E5">
        <w:rPr>
          <w:i/>
        </w:rPr>
        <w:t>Bounce-Back Order</w:t>
      </w:r>
      <w:r w:rsidRPr="009C79E5">
        <w:t>, 28 FCC Rcd at 7581, ¶ 69.</w:t>
      </w:r>
    </w:p>
  </w:footnote>
  <w:footnote w:id="388">
    <w:p w:rsidR="000A68B6" w:rsidRPr="009C79E5" w:rsidRDefault="000A68B6" w:rsidP="00476E6F">
      <w:pPr>
        <w:pStyle w:val="FootnoteText"/>
        <w:spacing w:after="120"/>
        <w:rPr>
          <w:lang w:bidi="x-none"/>
        </w:rPr>
      </w:pPr>
      <w:r w:rsidRPr="009C79E5">
        <w:rPr>
          <w:rStyle w:val="FootnoteReference"/>
        </w:rPr>
        <w:footnoteRef/>
      </w:r>
      <w:r w:rsidRPr="009C79E5">
        <w:t xml:space="preserve"> </w:t>
      </w:r>
      <w:r w:rsidRPr="009C79E5">
        <w:rPr>
          <w:i/>
        </w:rPr>
        <w:t>Facilitating the Deployment of Text-to-911 and Other Next Generation 911 Applications; Framework for Next Generation 911 Deployment</w:t>
      </w:r>
      <w:r w:rsidRPr="009C79E5">
        <w:t>, PS Docket Nos. 11-153 and 10-255, Policy Statement and Second Further Notice of Proposed Rulemaking, FCC 14-6, 29 FCC Rcd 1547, 1552, ¶ 10 (2014) (</w:t>
      </w:r>
      <w:r w:rsidRPr="009C79E5">
        <w:rPr>
          <w:i/>
        </w:rPr>
        <w:t xml:space="preserve">Text-to-911 Policy Statement </w:t>
      </w:r>
      <w:r w:rsidRPr="009C79E5">
        <w:t xml:space="preserve">and </w:t>
      </w:r>
      <w:r w:rsidRPr="009C79E5">
        <w:rPr>
          <w:i/>
        </w:rPr>
        <w:t>Text-to-911 Second FNPRM</w:t>
      </w:r>
      <w:r w:rsidRPr="009C79E5">
        <w:t xml:space="preserve">), available at </w:t>
      </w:r>
      <w:hyperlink r:id="rId67" w:history="1">
        <w:r w:rsidRPr="009C79E5">
          <w:rPr>
            <w:rStyle w:val="Hyperlink"/>
          </w:rPr>
          <w:t>https://apps.fcc.gov/edocs_public/attachmatch/FCC-14-6A1.pdf</w:t>
        </w:r>
      </w:hyperlink>
      <w:r w:rsidRPr="009C79E5">
        <w:t xml:space="preserve">.  Noting Americans’ increasing reliance on text messaging, the Commission stated that access to 911 is a core value that should be maintained as technology changes.  </w:t>
      </w:r>
      <w:r w:rsidRPr="009C79E5">
        <w:rPr>
          <w:i/>
        </w:rPr>
        <w:t>Text-to-911 Policy Statement</w:t>
      </w:r>
      <w:r w:rsidRPr="009C79E5">
        <w:t>, 29 FCC Rcd at 1548, ¶¶ 1-2.</w:t>
      </w:r>
    </w:p>
  </w:footnote>
  <w:footnote w:id="389">
    <w:p w:rsidR="000A68B6" w:rsidRPr="009C79E5" w:rsidRDefault="000A68B6" w:rsidP="00476E6F">
      <w:pPr>
        <w:pStyle w:val="FootnoteText"/>
        <w:spacing w:after="120"/>
      </w:pPr>
      <w:r w:rsidRPr="009C79E5">
        <w:rPr>
          <w:rStyle w:val="FootnoteReference"/>
        </w:rPr>
        <w:footnoteRef/>
      </w:r>
      <w:r w:rsidRPr="009C79E5">
        <w:t xml:space="preserve"> </w:t>
      </w:r>
      <w:r w:rsidRPr="009C79E5">
        <w:rPr>
          <w:i/>
        </w:rPr>
        <w:t>Id.</w:t>
      </w:r>
      <w:r w:rsidRPr="009C79E5">
        <w:t xml:space="preserve">, 29 FCC Rcd at 1553, ¶ 16.  The Commission expressed its intent to “pursue a technologically-neutral approach that provides platform-independent norms for all stakeholders, based on high-level functional standards set by the relevant stakeholders in industry and the public safety community.”  </w:t>
      </w:r>
      <w:r w:rsidRPr="009C79E5">
        <w:rPr>
          <w:i/>
        </w:rPr>
        <w:t>Id.</w:t>
      </w:r>
      <w:r w:rsidRPr="009C79E5">
        <w:t xml:space="preserve">, 29 FCC Rcd at 1553, ¶ 15. </w:t>
      </w:r>
    </w:p>
  </w:footnote>
  <w:footnote w:id="390">
    <w:p w:rsidR="000A68B6" w:rsidRPr="009C79E5" w:rsidRDefault="000A68B6" w:rsidP="00476E6F">
      <w:pPr>
        <w:pStyle w:val="FootnoteText"/>
        <w:spacing w:after="120"/>
      </w:pPr>
      <w:r w:rsidRPr="009C79E5">
        <w:rPr>
          <w:rStyle w:val="FootnoteReference"/>
        </w:rPr>
        <w:footnoteRef/>
      </w:r>
      <w:r w:rsidRPr="009C79E5">
        <w:t xml:space="preserve"> </w:t>
      </w:r>
      <w:r w:rsidRPr="009C79E5">
        <w:rPr>
          <w:i/>
        </w:rPr>
        <w:t>Id.</w:t>
      </w:r>
      <w:r w:rsidRPr="009C79E5">
        <w:t>, 29 FCC Rcd at 1554, ¶ 18.</w:t>
      </w:r>
    </w:p>
  </w:footnote>
  <w:footnote w:id="391">
    <w:p w:rsidR="000A68B6" w:rsidRPr="006C02D7" w:rsidRDefault="000A68B6" w:rsidP="00476E6F">
      <w:pPr>
        <w:pStyle w:val="FootnoteText1"/>
        <w:spacing w:after="120"/>
        <w:rPr>
          <w:rFonts w:ascii="Times New Roman" w:eastAsia="Times New Roman" w:hAnsi="Times New Roman"/>
          <w:color w:val="auto"/>
          <w:lang w:bidi="x-none"/>
        </w:rPr>
      </w:pPr>
      <w:r w:rsidRPr="009C79E5">
        <w:rPr>
          <w:rFonts w:ascii="Times New Roman" w:hAnsi="Times New Roman"/>
          <w:color w:val="auto"/>
          <w:vertAlign w:val="superscript"/>
        </w:rPr>
        <w:footnoteRef/>
      </w:r>
      <w:r w:rsidRPr="009C79E5">
        <w:rPr>
          <w:rFonts w:ascii="Times New Roman" w:hAnsi="Times New Roman"/>
          <w:color w:val="auto"/>
        </w:rPr>
        <w:t xml:space="preserve"> </w:t>
      </w:r>
      <w:r w:rsidRPr="009C79E5">
        <w:rPr>
          <w:rFonts w:ascii="Times New Roman" w:hAnsi="Times New Roman"/>
          <w:i/>
          <w:color w:val="auto"/>
        </w:rPr>
        <w:t>See Text-to-911 Second FNPRM</w:t>
      </w:r>
      <w:r w:rsidRPr="009C79E5">
        <w:rPr>
          <w:rFonts w:ascii="Times New Roman" w:hAnsi="Times New Roman"/>
          <w:color w:val="auto"/>
        </w:rPr>
        <w:t>, 29 FCC Rcd at 1554-71, ¶¶ 20-66.</w:t>
      </w:r>
    </w:p>
  </w:footnote>
  <w:footnote w:id="392">
    <w:p w:rsidR="000A68B6" w:rsidRPr="009C79E5" w:rsidRDefault="000A68B6" w:rsidP="00476E6F">
      <w:pPr>
        <w:pStyle w:val="FootnoteText"/>
        <w:spacing w:after="120"/>
      </w:pPr>
      <w:r w:rsidRPr="009C5E08">
        <w:rPr>
          <w:rStyle w:val="FootnoteReference"/>
        </w:rPr>
        <w:footnoteRef/>
      </w:r>
      <w:r w:rsidRPr="009C79E5">
        <w:t xml:space="preserve"> </w:t>
      </w:r>
      <w:r w:rsidRPr="009C79E5">
        <w:rPr>
          <w:i/>
        </w:rPr>
        <w:t>Facilitating the Deployment of Text-to-911 and Other Next Generation 911 Applications; Framework for Next Generation 911 Deployment</w:t>
      </w:r>
      <w:r w:rsidRPr="009C79E5">
        <w:t xml:space="preserve">, PS Docket Nos. 11-153 and 10-255, Second Report and Order and Third Further Notice of Proposed Rulemaking, FCC 14-118, 29 FCC Rcd 9846 (2014), available at </w:t>
      </w:r>
      <w:hyperlink r:id="rId68" w:history="1">
        <w:r w:rsidRPr="009C79E5">
          <w:rPr>
            <w:rStyle w:val="Hyperlink"/>
          </w:rPr>
          <w:t>https://apps.fcc.gov/edocs_public/attachmatch/FCC-14-118A1.pdf</w:t>
        </w:r>
      </w:hyperlink>
      <w:r w:rsidRPr="009C79E5">
        <w:t>.</w:t>
      </w:r>
    </w:p>
  </w:footnote>
  <w:footnote w:id="393">
    <w:p w:rsidR="000A68B6" w:rsidRPr="009C79E5" w:rsidRDefault="000A68B6" w:rsidP="00476E6F">
      <w:pPr>
        <w:pStyle w:val="FootnoteText"/>
        <w:spacing w:after="120"/>
        <w:rPr>
          <w:i/>
        </w:rPr>
      </w:pPr>
      <w:r w:rsidRPr="009C79E5">
        <w:rPr>
          <w:rStyle w:val="FootnoteReference"/>
        </w:rPr>
        <w:footnoteRef/>
      </w:r>
      <w:r w:rsidRPr="009C79E5">
        <w:t xml:space="preserve"> </w:t>
      </w:r>
      <w:r w:rsidRPr="009C79E5">
        <w:rPr>
          <w:i/>
        </w:rPr>
        <w:t>Id.</w:t>
      </w:r>
      <w:r w:rsidRPr="009C79E5">
        <w:t xml:space="preserve">, 29 FCC Rcd at 9847, ¶ 1.  Beyond the importance of text-to-911 for people with disabilities, the Commission noted the crucial role that text-to-911 can play in protecting life and property when making a voice call would be dangerous, impractical, or impossible.  </w:t>
      </w:r>
      <w:r w:rsidRPr="009C79E5">
        <w:rPr>
          <w:i/>
        </w:rPr>
        <w:t>Id.</w:t>
      </w:r>
    </w:p>
  </w:footnote>
  <w:footnote w:id="394">
    <w:p w:rsidR="000A68B6" w:rsidRPr="009C79E5" w:rsidRDefault="000A68B6" w:rsidP="00476E6F">
      <w:pPr>
        <w:pStyle w:val="FootnoteText"/>
        <w:spacing w:after="120"/>
        <w:rPr>
          <w:i/>
        </w:rPr>
      </w:pPr>
      <w:r w:rsidRPr="009C79E5">
        <w:rPr>
          <w:rStyle w:val="FootnoteReference"/>
        </w:rPr>
        <w:footnoteRef/>
      </w:r>
      <w:r w:rsidRPr="009C79E5">
        <w:t xml:space="preserve"> </w:t>
      </w:r>
      <w:r w:rsidRPr="009C79E5">
        <w:rPr>
          <w:i/>
        </w:rPr>
        <w:t>Id.</w:t>
      </w:r>
      <w:r w:rsidRPr="009C79E5">
        <w:t>, 29 FCC Rcd at 9851, ¶ 10.</w:t>
      </w:r>
    </w:p>
  </w:footnote>
  <w:footnote w:id="395">
    <w:p w:rsidR="000A68B6" w:rsidRPr="009C79E5" w:rsidRDefault="000A68B6" w:rsidP="00476E6F">
      <w:pPr>
        <w:pStyle w:val="FootnoteText"/>
        <w:spacing w:after="120"/>
      </w:pPr>
      <w:r w:rsidRPr="009C79E5">
        <w:rPr>
          <w:rStyle w:val="FootnoteReference"/>
        </w:rPr>
        <w:footnoteRef/>
      </w:r>
      <w:r w:rsidRPr="009C79E5">
        <w:t xml:space="preserve"> </w:t>
      </w:r>
      <w:r w:rsidRPr="009C79E5">
        <w:rPr>
          <w:i/>
        </w:rPr>
        <w:t>Id.</w:t>
      </w:r>
      <w:r w:rsidRPr="009C79E5">
        <w:t>, 29 FCC Rcd at 9981-9903, ¶¶ 81-134.</w:t>
      </w:r>
    </w:p>
  </w:footnote>
  <w:footnote w:id="396">
    <w:p w:rsidR="000A68B6" w:rsidRPr="009C79E5" w:rsidRDefault="000A68B6" w:rsidP="00476E6F">
      <w:pPr>
        <w:pStyle w:val="FootnoteText"/>
        <w:spacing w:after="120"/>
        <w:rPr>
          <w:lang w:bidi="x-none"/>
        </w:rPr>
      </w:pPr>
      <w:r w:rsidRPr="009C79E5">
        <w:rPr>
          <w:rStyle w:val="FootnoteReference"/>
        </w:rPr>
        <w:footnoteRef/>
      </w:r>
      <w:r w:rsidRPr="009C79E5">
        <w:t xml:space="preserve"> Although the CVAA called this committee the “Video Programming and Emergency Access Advisory Committee,” the Commission has used the title “Video Programming Accessibility Advisory Committee” to establish the acronym “VPAAC,” rather than “VPEAAC,” to distinguish it from the Emergency Access Advisory Committee or “EAAC.”  See Section III.E of this </w:t>
      </w:r>
      <w:r w:rsidRPr="009C79E5">
        <w:rPr>
          <w:i/>
        </w:rPr>
        <w:t>Report</w:t>
      </w:r>
      <w:r w:rsidRPr="009C79E5">
        <w:t xml:space="preserve">, </w:t>
      </w:r>
      <w:r w:rsidRPr="009C79E5">
        <w:rPr>
          <w:i/>
        </w:rPr>
        <w:t>supra</w:t>
      </w:r>
      <w:r w:rsidRPr="009C79E5">
        <w:t>, for more information about the EAAC.</w:t>
      </w:r>
    </w:p>
  </w:footnote>
  <w:footnote w:id="397">
    <w:p w:rsidR="000A68B6" w:rsidRPr="009C79E5" w:rsidRDefault="000A68B6" w:rsidP="00476E6F">
      <w:pPr>
        <w:pStyle w:val="FootnoteText"/>
        <w:spacing w:after="120"/>
      </w:pPr>
      <w:r w:rsidRPr="009C79E5">
        <w:rPr>
          <w:rStyle w:val="FootnoteReference"/>
        </w:rPr>
        <w:footnoteRef/>
      </w:r>
      <w:r w:rsidRPr="009C79E5">
        <w:t xml:space="preserve"> CVAA, § 201.</w:t>
      </w:r>
    </w:p>
  </w:footnote>
  <w:footnote w:id="398">
    <w:p w:rsidR="000A68B6" w:rsidRPr="009C79E5" w:rsidRDefault="000A68B6" w:rsidP="00476E6F">
      <w:pPr>
        <w:pStyle w:val="FootnoteText"/>
        <w:spacing w:after="120"/>
        <w:rPr>
          <w:lang w:bidi="x-none"/>
        </w:rPr>
      </w:pPr>
      <w:r w:rsidRPr="009C79E5">
        <w:rPr>
          <w:rStyle w:val="FootnoteReference"/>
        </w:rPr>
        <w:footnoteRef/>
      </w:r>
      <w:r w:rsidRPr="009C79E5">
        <w:t xml:space="preserve"> CVAA, § 201(e)(1).  Closed captioning is the visual display of the audio portion of video programming, which provides access to individuals who are deaf or hard of hearing.  </w:t>
      </w:r>
      <w:r w:rsidRPr="009C79E5">
        <w:rPr>
          <w:i/>
        </w:rPr>
        <w:t>See</w:t>
      </w:r>
      <w:r w:rsidRPr="009C79E5">
        <w:t xml:space="preserve"> 47 C.F.R. § 79.1(a)(4).</w:t>
      </w:r>
    </w:p>
  </w:footnote>
  <w:footnote w:id="399">
    <w:p w:rsidR="000A68B6" w:rsidRPr="009C79E5" w:rsidRDefault="000A68B6" w:rsidP="00476E6F">
      <w:pPr>
        <w:pStyle w:val="FootnoteText"/>
        <w:spacing w:after="120"/>
        <w:rPr>
          <w:lang w:bidi="x-none"/>
        </w:rPr>
      </w:pPr>
      <w:r w:rsidRPr="009C79E5">
        <w:rPr>
          <w:rStyle w:val="FootnoteReference"/>
        </w:rPr>
        <w:footnoteRef/>
      </w:r>
      <w:r w:rsidRPr="009C79E5">
        <w:t xml:space="preserve"> CVAA, §§ 201(e)(2)(A)-(E).  Video description is audio narrated descriptions of a television program’s key visual elements that are inserted into natural pauses in the program’s dialogue, which makes video programming more accessible to individuals who are blind or visually impaired.  47 U.S.C. § 613(h)(1); 47 C.F.R. § 79.3(a)(3).</w:t>
      </w:r>
    </w:p>
  </w:footnote>
  <w:footnote w:id="400">
    <w:p w:rsidR="000A68B6" w:rsidRPr="009C79E5" w:rsidRDefault="000A68B6" w:rsidP="00476E6F">
      <w:pPr>
        <w:pStyle w:val="FootnoteText"/>
        <w:spacing w:after="120"/>
        <w:rPr>
          <w:lang w:bidi="x-none"/>
        </w:rPr>
      </w:pPr>
      <w:r w:rsidRPr="009C79E5">
        <w:rPr>
          <w:rStyle w:val="FootnoteReference"/>
        </w:rPr>
        <w:footnoteRef/>
      </w:r>
      <w:r w:rsidRPr="009C79E5">
        <w:t xml:space="preserve"> CVAA, §§ 201(e)(2)(F)-(H).  </w:t>
      </w:r>
      <w:r w:rsidRPr="009C79E5">
        <w:rPr>
          <w:i/>
        </w:rPr>
        <w:t>See</w:t>
      </w:r>
      <w:r w:rsidRPr="009C79E5">
        <w:t xml:space="preserve"> Section III.J of this </w:t>
      </w:r>
      <w:r w:rsidRPr="009C79E5">
        <w:rPr>
          <w:i/>
        </w:rPr>
        <w:t>Report</w:t>
      </w:r>
      <w:r w:rsidRPr="009C79E5">
        <w:t xml:space="preserve">, </w:t>
      </w:r>
      <w:r w:rsidRPr="009C79E5">
        <w:rPr>
          <w:i/>
        </w:rPr>
        <w:t>infra</w:t>
      </w:r>
      <w:r w:rsidRPr="009C79E5">
        <w:t xml:space="preserve"> (summarizing accessibility requirements for navigation devices).</w:t>
      </w:r>
    </w:p>
  </w:footnote>
  <w:footnote w:id="401">
    <w:p w:rsidR="000A68B6" w:rsidRPr="009C79E5" w:rsidRDefault="000A68B6" w:rsidP="00476E6F">
      <w:pPr>
        <w:pStyle w:val="FootnoteText"/>
        <w:spacing w:after="120"/>
      </w:pPr>
      <w:r w:rsidRPr="009C79E5">
        <w:rPr>
          <w:rStyle w:val="FootnoteReference"/>
        </w:rPr>
        <w:footnoteRef/>
      </w:r>
      <w:r w:rsidRPr="009C79E5">
        <w:t xml:space="preserve"> </w:t>
      </w:r>
      <w:r w:rsidRPr="009C79E5">
        <w:rPr>
          <w:i/>
        </w:rPr>
        <w:t>Video Programming and Emergency Access Advisory Committee Announcement of Members</w:t>
      </w:r>
      <w:r w:rsidRPr="009C79E5">
        <w:t xml:space="preserve">, Public Notice, DA 10-2320, 25 FCC Rcd 17094 (CGB 2010), available at </w:t>
      </w:r>
      <w:hyperlink r:id="rId69" w:history="1">
        <w:r w:rsidRPr="009C79E5">
          <w:rPr>
            <w:rStyle w:val="Hyperlink"/>
          </w:rPr>
          <w:t>https://apps.fcc.gov/edocs_public/attachmatch/DA-10-2320A1.pdf</w:t>
        </w:r>
      </w:hyperlink>
      <w:r w:rsidRPr="009C79E5">
        <w:t xml:space="preserve">. </w:t>
      </w:r>
    </w:p>
  </w:footnote>
  <w:footnote w:id="402">
    <w:p w:rsidR="000A68B6" w:rsidRPr="009C79E5" w:rsidRDefault="000A68B6" w:rsidP="00476E6F">
      <w:pPr>
        <w:pStyle w:val="FootnoteText"/>
        <w:spacing w:after="120"/>
      </w:pPr>
      <w:r w:rsidRPr="009C79E5">
        <w:rPr>
          <w:rStyle w:val="FootnoteReference"/>
        </w:rPr>
        <w:footnoteRef/>
      </w:r>
      <w:r w:rsidRPr="009C79E5">
        <w:t xml:space="preserve"> More information about the VPAAC is available at </w:t>
      </w:r>
      <w:hyperlink r:id="rId70" w:history="1">
        <w:r w:rsidRPr="009C79E5">
          <w:rPr>
            <w:rStyle w:val="Hyperlink"/>
          </w:rPr>
          <w:t>http://www.fcc.gov/encyclopedia/video-programming-accessibility-advisory-committee-vpaac</w:t>
        </w:r>
      </w:hyperlink>
      <w:r w:rsidRPr="009C79E5">
        <w:t xml:space="preserve">. </w:t>
      </w:r>
    </w:p>
  </w:footnote>
  <w:footnote w:id="403">
    <w:p w:rsidR="000A68B6" w:rsidRPr="009C79E5" w:rsidRDefault="000A68B6" w:rsidP="00476E6F">
      <w:pPr>
        <w:pStyle w:val="FootnoteText"/>
        <w:spacing w:after="120"/>
      </w:pPr>
      <w:r w:rsidRPr="009C79E5">
        <w:rPr>
          <w:rStyle w:val="FootnoteReference"/>
        </w:rPr>
        <w:footnoteRef/>
      </w:r>
      <w:r w:rsidRPr="009C79E5">
        <w:rPr>
          <w:lang w:val="en"/>
        </w:rPr>
        <w:t xml:space="preserve"> </w:t>
      </w:r>
      <w:r w:rsidRPr="009C79E5">
        <w:rPr>
          <w:i/>
          <w:lang w:val="en"/>
        </w:rPr>
        <w:t>First Report of the Video Programming Accessibility Advisory Committee on the Twenty-First Century Communications and Video Accessibility Act of 2010:  Closed Captioning of Video Programming Delivered Using Internet Protocol</w:t>
      </w:r>
      <w:r w:rsidRPr="009C79E5">
        <w:rPr>
          <w:lang w:val="en"/>
        </w:rPr>
        <w:t xml:space="preserve"> (Jul. 13, 2011), </w:t>
      </w:r>
      <w:r w:rsidRPr="009C79E5">
        <w:t xml:space="preserve">available at </w:t>
      </w:r>
      <w:hyperlink r:id="rId71" w:history="1">
        <w:r w:rsidRPr="009C79E5">
          <w:rPr>
            <w:rStyle w:val="Hyperlink"/>
          </w:rPr>
          <w:t>http://transition.fcc.gov/cgb/dro/VPAAC/First_VPAAC_Report_to_the_FCC_7-11-11_FINAL.pdf</w:t>
        </w:r>
      </w:hyperlink>
      <w:r w:rsidRPr="009C79E5">
        <w:t xml:space="preserve">. </w:t>
      </w:r>
    </w:p>
  </w:footnote>
  <w:footnote w:id="404">
    <w:p w:rsidR="000A68B6" w:rsidRPr="00FF1FD9" w:rsidRDefault="000A68B6" w:rsidP="00476E6F">
      <w:pPr>
        <w:autoSpaceDE w:val="0"/>
        <w:autoSpaceDN w:val="0"/>
        <w:adjustRightInd w:val="0"/>
        <w:spacing w:after="120"/>
        <w:rPr>
          <w:sz w:val="20"/>
          <w:szCs w:val="20"/>
        </w:rPr>
      </w:pPr>
      <w:r w:rsidRPr="006C02D7">
        <w:rPr>
          <w:rStyle w:val="FootnoteReference"/>
          <w:sz w:val="20"/>
          <w:szCs w:val="20"/>
        </w:rPr>
        <w:footnoteRef/>
      </w:r>
      <w:r w:rsidRPr="006C02D7">
        <w:rPr>
          <w:sz w:val="20"/>
          <w:szCs w:val="20"/>
        </w:rPr>
        <w:t xml:space="preserve"> </w:t>
      </w:r>
      <w:r w:rsidRPr="006C02D7">
        <w:rPr>
          <w:i/>
          <w:sz w:val="20"/>
          <w:szCs w:val="20"/>
        </w:rPr>
        <w:t>Second Report of the Video Programming Accessibility Advisory Committee on the Twenty-First Century Communications and Video Accessibility Act of 2010</w:t>
      </w:r>
      <w:r w:rsidRPr="006C02D7">
        <w:rPr>
          <w:sz w:val="20"/>
          <w:szCs w:val="20"/>
        </w:rPr>
        <w:t xml:space="preserve"> (Apr. 9, 2012):  (1) </w:t>
      </w:r>
      <w:r w:rsidRPr="006C02D7">
        <w:rPr>
          <w:i/>
          <w:sz w:val="20"/>
          <w:szCs w:val="20"/>
        </w:rPr>
        <w:t>Video Description</w:t>
      </w:r>
      <w:r w:rsidRPr="006C02D7">
        <w:rPr>
          <w:sz w:val="20"/>
          <w:szCs w:val="20"/>
        </w:rPr>
        <w:t xml:space="preserve">, available at </w:t>
      </w:r>
      <w:hyperlink w:history="1"/>
      <w:hyperlink r:id="rId72" w:history="1">
        <w:r w:rsidRPr="009C79E5">
          <w:rPr>
            <w:rStyle w:val="Hyperlink"/>
            <w:sz w:val="20"/>
            <w:szCs w:val="20"/>
          </w:rPr>
          <w:t>https://apps.fcc.gov/edocs_public/attachmatch/DOC-329400A1.pdf</w:t>
        </w:r>
      </w:hyperlink>
      <w:r w:rsidRPr="00FF1FD9">
        <w:rPr>
          <w:sz w:val="20"/>
          <w:szCs w:val="20"/>
        </w:rPr>
        <w:t xml:space="preserve">; </w:t>
      </w:r>
      <w:r w:rsidRPr="006C02D7">
        <w:rPr>
          <w:sz w:val="20"/>
          <w:szCs w:val="20"/>
        </w:rPr>
        <w:t xml:space="preserve">(2) </w:t>
      </w:r>
      <w:r w:rsidRPr="006C02D7">
        <w:rPr>
          <w:i/>
          <w:sz w:val="20"/>
          <w:szCs w:val="20"/>
        </w:rPr>
        <w:t>Access to Emergency Information</w:t>
      </w:r>
      <w:r w:rsidRPr="006C02D7">
        <w:rPr>
          <w:sz w:val="20"/>
          <w:szCs w:val="20"/>
        </w:rPr>
        <w:t xml:space="preserve">, available at </w:t>
      </w:r>
      <w:hyperlink w:history="1"/>
      <w:hyperlink r:id="rId73" w:history="1">
        <w:r w:rsidRPr="009C79E5">
          <w:rPr>
            <w:rStyle w:val="Hyperlink"/>
            <w:sz w:val="20"/>
            <w:szCs w:val="20"/>
          </w:rPr>
          <w:t>https://apps.fcc.gov/edocs_public/attachmatch/DOC-329401A1.pdf</w:t>
        </w:r>
      </w:hyperlink>
      <w:r w:rsidRPr="00FF1FD9">
        <w:rPr>
          <w:sz w:val="20"/>
          <w:szCs w:val="20"/>
        </w:rPr>
        <w:t xml:space="preserve">; </w:t>
      </w:r>
      <w:r w:rsidRPr="006C02D7">
        <w:rPr>
          <w:sz w:val="20"/>
          <w:szCs w:val="20"/>
        </w:rPr>
        <w:t xml:space="preserve">and (3) </w:t>
      </w:r>
      <w:r w:rsidRPr="006C02D7">
        <w:rPr>
          <w:i/>
          <w:sz w:val="20"/>
          <w:szCs w:val="20"/>
        </w:rPr>
        <w:t>User Interfaces, and Video Programming Guides and Menus</w:t>
      </w:r>
      <w:r w:rsidRPr="006C02D7">
        <w:rPr>
          <w:sz w:val="20"/>
          <w:szCs w:val="20"/>
        </w:rPr>
        <w:t xml:space="preserve">, available at </w:t>
      </w:r>
      <w:hyperlink w:history="1"/>
      <w:hyperlink r:id="rId74" w:history="1">
        <w:r w:rsidRPr="009C79E5">
          <w:rPr>
            <w:rStyle w:val="Hyperlink"/>
            <w:sz w:val="20"/>
            <w:szCs w:val="20"/>
          </w:rPr>
          <w:t>https://apps.fcc.gov/edocs_public/attachmatch/DOC-329402A1.pdf</w:t>
        </w:r>
      </w:hyperlink>
      <w:r w:rsidRPr="00FF1FD9">
        <w:rPr>
          <w:sz w:val="20"/>
          <w:szCs w:val="20"/>
        </w:rPr>
        <w:t xml:space="preserve">. </w:t>
      </w:r>
    </w:p>
  </w:footnote>
  <w:footnote w:id="405">
    <w:p w:rsidR="000A68B6" w:rsidRPr="009C79E5" w:rsidRDefault="000A68B6" w:rsidP="00476E6F">
      <w:pPr>
        <w:pStyle w:val="FootnoteText"/>
        <w:spacing w:after="120"/>
      </w:pPr>
      <w:r w:rsidRPr="006C02D7">
        <w:rPr>
          <w:rStyle w:val="FootnoteReference"/>
        </w:rPr>
        <w:footnoteRef/>
      </w:r>
      <w:r w:rsidRPr="006C02D7">
        <w:t xml:space="preserve"> </w:t>
      </w:r>
      <w:r w:rsidRPr="006C02D7">
        <w:rPr>
          <w:i/>
        </w:rPr>
        <w:t>Media Bureau and Consumer and Governmental Affairs Bureau Seek Comment on Second VPAAC Report:  Video Description and Acces</w:t>
      </w:r>
      <w:r w:rsidRPr="009C5E08">
        <w:rPr>
          <w:i/>
        </w:rPr>
        <w:t>s to Emergency Information</w:t>
      </w:r>
      <w:r w:rsidRPr="009C79E5">
        <w:t xml:space="preserve">, MB Docket No. 12-107, Public Notice, DA 12-636, 27 FCC Rcd 4195 (MB 2012) available at </w:t>
      </w:r>
      <w:hyperlink r:id="rId75" w:history="1">
        <w:r w:rsidRPr="009C79E5">
          <w:rPr>
            <w:rStyle w:val="Hyperlink"/>
          </w:rPr>
          <w:t>https://apps.fcc.gov/edocs_public/attachmatch/DA-12-636A1.pdf</w:t>
        </w:r>
      </w:hyperlink>
      <w:r w:rsidRPr="009C79E5">
        <w:t xml:space="preserve">; </w:t>
      </w:r>
      <w:r w:rsidRPr="009C79E5">
        <w:rPr>
          <w:i/>
        </w:rPr>
        <w:t>Media Bureau and Consumer and Governmental Affairs Bureau Seek Comment on Second VPAAC Report:  User Interfaces, and Video Programming Guides and Menus</w:t>
      </w:r>
      <w:r w:rsidRPr="009C79E5">
        <w:t xml:space="preserve">, MB Docket No. 12-108, Public Notice, DA 12-635, 27 FCC Rcd 4191 (MB 2012), available at </w:t>
      </w:r>
      <w:hyperlink r:id="rId76" w:history="1">
        <w:r w:rsidRPr="009C79E5">
          <w:rPr>
            <w:rStyle w:val="Hyperlink"/>
          </w:rPr>
          <w:t>https://apps.fcc.gov/edocs_public/attachmatch/DA-12-635A1.pdf</w:t>
        </w:r>
      </w:hyperlink>
      <w:r w:rsidRPr="009C79E5">
        <w:t xml:space="preserve">. </w:t>
      </w:r>
    </w:p>
  </w:footnote>
  <w:footnote w:id="406">
    <w:p w:rsidR="000A68B6" w:rsidRPr="009C79E5" w:rsidRDefault="000A68B6" w:rsidP="00476E6F">
      <w:pPr>
        <w:pStyle w:val="FootnoteText"/>
        <w:spacing w:after="120"/>
        <w:rPr>
          <w:lang w:bidi="x-none"/>
        </w:rPr>
      </w:pPr>
      <w:r w:rsidRPr="009C79E5">
        <w:rPr>
          <w:rStyle w:val="FootnoteReference"/>
        </w:rPr>
        <w:footnoteRef/>
      </w:r>
      <w:r w:rsidRPr="009C79E5">
        <w:t xml:space="preserve"> CVAA, § 202.</w:t>
      </w:r>
    </w:p>
  </w:footnote>
  <w:footnote w:id="407">
    <w:p w:rsidR="000A68B6" w:rsidRPr="009C79E5" w:rsidRDefault="000A68B6" w:rsidP="00476E6F">
      <w:pPr>
        <w:spacing w:after="120"/>
        <w:rPr>
          <w:sz w:val="20"/>
          <w:szCs w:val="20"/>
          <w:lang w:bidi="x-none"/>
        </w:rPr>
      </w:pPr>
      <w:r w:rsidRPr="006C02D7">
        <w:rPr>
          <w:rStyle w:val="FootnoteReference"/>
          <w:sz w:val="20"/>
          <w:szCs w:val="20"/>
        </w:rPr>
        <w:footnoteRef/>
      </w:r>
      <w:r w:rsidRPr="006C02D7">
        <w:rPr>
          <w:sz w:val="20"/>
          <w:szCs w:val="20"/>
        </w:rPr>
        <w:t xml:space="preserve"> CVAA, § 202(a); 47 U.S.C. §§ 613(f)(1) and (2).  The Commission adopted rules requiring video description in 2000, but those rules were vacated by the U.S. Court of Appeals for the District of Columbia Circuit.  </w:t>
      </w:r>
      <w:r w:rsidRPr="009C5E08">
        <w:rPr>
          <w:i/>
          <w:sz w:val="20"/>
          <w:szCs w:val="20"/>
        </w:rPr>
        <w:t>Motion Picture Ass’n of America, Inc. v. Federal Communications Comm.</w:t>
      </w:r>
      <w:r w:rsidRPr="009C79E5">
        <w:rPr>
          <w:sz w:val="20"/>
          <w:szCs w:val="20"/>
        </w:rPr>
        <w:t>, 309 F.3d 796 (D.C. Cir. 2002).</w:t>
      </w:r>
    </w:p>
  </w:footnote>
  <w:footnote w:id="408">
    <w:p w:rsidR="000A68B6" w:rsidRPr="009C79E5" w:rsidRDefault="000A68B6" w:rsidP="00476E6F">
      <w:pPr>
        <w:pStyle w:val="FootnoteText"/>
        <w:spacing w:after="120"/>
        <w:rPr>
          <w:lang w:bidi="x-none"/>
        </w:rPr>
      </w:pPr>
      <w:r w:rsidRPr="009C79E5">
        <w:rPr>
          <w:rStyle w:val="FootnoteReference"/>
        </w:rPr>
        <w:footnoteRef/>
      </w:r>
      <w:r w:rsidRPr="009C79E5">
        <w:t xml:space="preserve"> 47 U.S.C. § 613(f)(3).</w:t>
      </w:r>
    </w:p>
  </w:footnote>
  <w:footnote w:id="409">
    <w:p w:rsidR="000A68B6" w:rsidRPr="006C02D7" w:rsidRDefault="000A68B6" w:rsidP="00476E6F">
      <w:pPr>
        <w:pStyle w:val="FootnoteText"/>
        <w:spacing w:after="120"/>
        <w:rPr>
          <w:lang w:bidi="x-none"/>
        </w:rPr>
      </w:pPr>
      <w:r w:rsidRPr="009C79E5">
        <w:rPr>
          <w:rStyle w:val="FootnoteReference"/>
        </w:rPr>
        <w:footnoteRef/>
      </w:r>
      <w:r w:rsidRPr="009C79E5">
        <w:t xml:space="preserve"> 47 U.S.C. §§ 613(f)(4)(C)(i) and (ii).  </w:t>
      </w:r>
    </w:p>
  </w:footnote>
  <w:footnote w:id="410">
    <w:p w:rsidR="000A68B6" w:rsidRPr="009C79E5" w:rsidRDefault="000A68B6" w:rsidP="00476E6F">
      <w:pPr>
        <w:pStyle w:val="FootnoteText"/>
        <w:spacing w:after="120"/>
        <w:rPr>
          <w:lang w:bidi="x-none"/>
        </w:rPr>
      </w:pPr>
      <w:r w:rsidRPr="009C5E08">
        <w:rPr>
          <w:rStyle w:val="FootnoteReference"/>
        </w:rPr>
        <w:footnoteRef/>
      </w:r>
      <w:r w:rsidRPr="009C79E5">
        <w:t xml:space="preserve"> 47 U.S.C. §§ 613(f)(4)(A) and (B).</w:t>
      </w:r>
    </w:p>
  </w:footnote>
  <w:footnote w:id="411">
    <w:p w:rsidR="000A68B6" w:rsidRPr="009C79E5" w:rsidRDefault="000A68B6" w:rsidP="00476E6F">
      <w:pPr>
        <w:pStyle w:val="FootnoteText"/>
        <w:spacing w:after="120"/>
        <w:rPr>
          <w:lang w:bidi="x-none"/>
        </w:rPr>
      </w:pPr>
      <w:r w:rsidRPr="009C79E5">
        <w:rPr>
          <w:rStyle w:val="FootnoteReference"/>
        </w:rPr>
        <w:footnoteRef/>
      </w:r>
      <w:r w:rsidRPr="009C79E5">
        <w:t xml:space="preserve"> 47 U.S.C. § 613(f)(4)(C)(iii).</w:t>
      </w:r>
    </w:p>
  </w:footnote>
  <w:footnote w:id="412">
    <w:p w:rsidR="000A68B6" w:rsidRPr="009C79E5" w:rsidRDefault="000A68B6" w:rsidP="00476E6F">
      <w:pPr>
        <w:pStyle w:val="FootnoteText"/>
        <w:spacing w:after="120"/>
        <w:rPr>
          <w:lang w:bidi="x-none"/>
        </w:rPr>
      </w:pPr>
      <w:r w:rsidRPr="009C79E5">
        <w:rPr>
          <w:rStyle w:val="FootnoteReference"/>
        </w:rPr>
        <w:footnoteRef/>
      </w:r>
      <w:r w:rsidRPr="009C79E5">
        <w:t xml:space="preserve"> 47 U.S.C. § 613(f)(4)(C)(iv).</w:t>
      </w:r>
    </w:p>
  </w:footnote>
  <w:footnote w:id="413">
    <w:p w:rsidR="000A68B6" w:rsidRPr="009C5E08" w:rsidRDefault="000A68B6" w:rsidP="00476E6F">
      <w:pPr>
        <w:spacing w:after="120"/>
        <w:rPr>
          <w:sz w:val="20"/>
          <w:szCs w:val="20"/>
          <w:lang w:bidi="x-none"/>
        </w:rPr>
      </w:pPr>
      <w:r w:rsidRPr="006C02D7">
        <w:rPr>
          <w:rStyle w:val="FootnoteReference"/>
          <w:sz w:val="20"/>
          <w:szCs w:val="20"/>
        </w:rPr>
        <w:footnoteRef/>
      </w:r>
      <w:r w:rsidRPr="006C02D7">
        <w:rPr>
          <w:sz w:val="20"/>
          <w:szCs w:val="20"/>
        </w:rPr>
        <w:t xml:space="preserve"> </w:t>
      </w:r>
      <w:r w:rsidRPr="006C02D7">
        <w:rPr>
          <w:i/>
          <w:sz w:val="20"/>
          <w:szCs w:val="20"/>
        </w:rPr>
        <w:t>Video Description:  Implementation of the Twenty-First Century Communications and Video Accessibility Act of 2010</w:t>
      </w:r>
      <w:r w:rsidRPr="009C5E08">
        <w:rPr>
          <w:sz w:val="20"/>
          <w:szCs w:val="20"/>
        </w:rPr>
        <w:t>, MB Docket No. 11-43, Re</w:t>
      </w:r>
      <w:r w:rsidRPr="009C79E5">
        <w:rPr>
          <w:sz w:val="20"/>
          <w:szCs w:val="20"/>
        </w:rPr>
        <w:t>port and Order, FCC 11-126, 26 FCC Rcd 11847, 11848, ¶ 2 (2011) (</w:t>
      </w:r>
      <w:r w:rsidRPr="009C79E5">
        <w:rPr>
          <w:i/>
          <w:sz w:val="20"/>
          <w:szCs w:val="20"/>
        </w:rPr>
        <w:t>Video Description Report and Order</w:t>
      </w:r>
      <w:r w:rsidRPr="009C79E5">
        <w:rPr>
          <w:sz w:val="20"/>
          <w:szCs w:val="20"/>
        </w:rPr>
        <w:t xml:space="preserve">), available at </w:t>
      </w:r>
      <w:hyperlink r:id="rId77" w:history="1">
        <w:r w:rsidRPr="009C79E5">
          <w:rPr>
            <w:rStyle w:val="Hyperlink"/>
            <w:sz w:val="20"/>
            <w:szCs w:val="20"/>
          </w:rPr>
          <w:t>https://apps.fcc.gov/edocs_public/attachmatch/FCC-11-126A1.pdf</w:t>
        </w:r>
      </w:hyperlink>
      <w:r w:rsidRPr="006C02D7">
        <w:rPr>
          <w:sz w:val="20"/>
          <w:szCs w:val="20"/>
        </w:rPr>
        <w:t xml:space="preserve">; 47 C.F.R. § 79.3.  </w:t>
      </w:r>
    </w:p>
  </w:footnote>
  <w:footnote w:id="414">
    <w:p w:rsidR="000A68B6" w:rsidRPr="006C02D7" w:rsidRDefault="000A68B6" w:rsidP="00476E6F">
      <w:pPr>
        <w:pStyle w:val="FootnoteText"/>
        <w:spacing w:after="120"/>
        <w:rPr>
          <w:lang w:bidi="x-none"/>
        </w:rPr>
      </w:pPr>
      <w:r w:rsidRPr="009C79E5">
        <w:rPr>
          <w:rStyle w:val="FootnoteReference"/>
        </w:rPr>
        <w:footnoteRef/>
      </w:r>
      <w:r w:rsidRPr="009C79E5">
        <w:t xml:space="preserve"> </w:t>
      </w:r>
      <w:r w:rsidRPr="009C79E5">
        <w:rPr>
          <w:i/>
        </w:rPr>
        <w:t>Video Description Report and Order</w:t>
      </w:r>
      <w:r w:rsidRPr="009C79E5">
        <w:t xml:space="preserve">, 26 FCC Rcd at 11850-1, ¶ 5.  </w:t>
      </w:r>
    </w:p>
  </w:footnote>
  <w:footnote w:id="415">
    <w:p w:rsidR="000A68B6" w:rsidRPr="009C79E5" w:rsidRDefault="000A68B6" w:rsidP="00476E6F">
      <w:pPr>
        <w:pStyle w:val="FootnoteText"/>
        <w:spacing w:after="120"/>
        <w:rPr>
          <w:lang w:bidi="x-none"/>
        </w:rPr>
      </w:pPr>
      <w:r w:rsidRPr="006C02D7">
        <w:rPr>
          <w:rStyle w:val="FootnoteReference"/>
        </w:rPr>
        <w:footnoteRef/>
      </w:r>
      <w:r w:rsidRPr="006C02D7">
        <w:t xml:space="preserve"> </w:t>
      </w:r>
      <w:r w:rsidRPr="006C02D7">
        <w:rPr>
          <w:i/>
        </w:rPr>
        <w:t>Id</w:t>
      </w:r>
      <w:r w:rsidRPr="006C02D7">
        <w:t xml:space="preserve">., 26 FCC Rcd at 11850-1, ¶ 5.  Currently, the top five non-broadcast networks are USA, Disney Channel, TNT, Nickelodeon, and TBS.  </w:t>
      </w:r>
      <w:r w:rsidRPr="009C5E08">
        <w:rPr>
          <w:i/>
        </w:rPr>
        <w:t>Id</w:t>
      </w:r>
      <w:r w:rsidRPr="009C79E5">
        <w:t xml:space="preserve">., 26 FCC Rcd at 11854, ¶ 12.  ESPN and Fox News are excluded because they do not have at least 50 hours per quarter of prime time programming that is not live or near-live.  </w:t>
      </w:r>
      <w:r w:rsidRPr="009C79E5">
        <w:rPr>
          <w:i/>
        </w:rPr>
        <w:t>Id</w:t>
      </w:r>
      <w:r w:rsidRPr="009C79E5">
        <w:t xml:space="preserve">., 26 FCC Rcd at 11855, ¶ 14.  The first update to the top five non-broadcast networks will be on July 1, 2015 based on the ratings for the time period from October 2013 to September 2014.  47 C.F.R. § 79.3(b)(4).  </w:t>
      </w:r>
      <w:r w:rsidRPr="009C79E5">
        <w:rPr>
          <w:i/>
        </w:rPr>
        <w:t>See also</w:t>
      </w:r>
      <w:r w:rsidRPr="009C79E5">
        <w:t xml:space="preserve"> </w:t>
      </w:r>
      <w:r w:rsidRPr="009C79E5">
        <w:rPr>
          <w:i/>
        </w:rPr>
        <w:t>Video Description Report and Order</w:t>
      </w:r>
      <w:r w:rsidRPr="009C79E5">
        <w:t>, 26 FCC Rcd at 11857, ¶ 18.</w:t>
      </w:r>
    </w:p>
  </w:footnote>
  <w:footnote w:id="416">
    <w:p w:rsidR="000A68B6" w:rsidRPr="009C79E5" w:rsidRDefault="000A68B6" w:rsidP="00476E6F">
      <w:pPr>
        <w:pStyle w:val="FootnoteText"/>
        <w:spacing w:after="120"/>
        <w:rPr>
          <w:lang w:bidi="x-none"/>
        </w:rPr>
      </w:pPr>
      <w:r w:rsidRPr="009C79E5">
        <w:rPr>
          <w:rStyle w:val="FootnoteReference"/>
        </w:rPr>
        <w:footnoteRef/>
      </w:r>
      <w:r w:rsidRPr="009C79E5">
        <w:t xml:space="preserve"> </w:t>
      </w:r>
      <w:r w:rsidRPr="009C79E5">
        <w:rPr>
          <w:i/>
        </w:rPr>
        <w:t>Id</w:t>
      </w:r>
      <w:r w:rsidRPr="009C79E5">
        <w:t>., 26 FCC Rcd at 11858, 11862, ¶¶ 20, 28.</w:t>
      </w:r>
    </w:p>
  </w:footnote>
  <w:footnote w:id="417">
    <w:p w:rsidR="000A68B6" w:rsidRPr="009C79E5" w:rsidRDefault="000A68B6" w:rsidP="00476E6F">
      <w:pPr>
        <w:pStyle w:val="FootnoteText"/>
        <w:spacing w:after="120"/>
      </w:pPr>
      <w:r w:rsidRPr="009C79E5">
        <w:rPr>
          <w:rStyle w:val="FootnoteReference"/>
        </w:rPr>
        <w:footnoteRef/>
      </w:r>
      <w:r w:rsidRPr="009C79E5">
        <w:t xml:space="preserve"> </w:t>
      </w:r>
      <w:r w:rsidRPr="009C79E5">
        <w:rPr>
          <w:i/>
        </w:rPr>
        <w:t>Id.</w:t>
      </w:r>
      <w:r w:rsidRPr="009C79E5">
        <w:t>, 26 FCC Rcd at 11855-6, ¶ 16.</w:t>
      </w:r>
    </w:p>
  </w:footnote>
  <w:footnote w:id="418">
    <w:p w:rsidR="000A68B6" w:rsidRPr="00FF1FD9" w:rsidRDefault="000A68B6" w:rsidP="00476E6F">
      <w:pPr>
        <w:autoSpaceDE w:val="0"/>
        <w:autoSpaceDN w:val="0"/>
        <w:adjustRightInd w:val="0"/>
        <w:spacing w:after="120"/>
        <w:rPr>
          <w:sz w:val="20"/>
          <w:szCs w:val="20"/>
        </w:rPr>
      </w:pPr>
      <w:r w:rsidRPr="006C02D7">
        <w:rPr>
          <w:rStyle w:val="FootnoteReference"/>
          <w:sz w:val="20"/>
          <w:szCs w:val="20"/>
        </w:rPr>
        <w:footnoteRef/>
      </w:r>
      <w:r w:rsidRPr="006C02D7">
        <w:rPr>
          <w:sz w:val="20"/>
          <w:szCs w:val="20"/>
        </w:rPr>
        <w:t xml:space="preserve"> 47 U.S.C. § 613(f)(3); </w:t>
      </w:r>
      <w:r w:rsidRPr="006C02D7">
        <w:rPr>
          <w:bCs/>
          <w:i/>
          <w:sz w:val="20"/>
          <w:szCs w:val="20"/>
        </w:rPr>
        <w:t>Media Bureau Seeks Comment on Video Description in Video Programming Distributed on Television and on the Internet</w:t>
      </w:r>
      <w:r w:rsidRPr="009C5E08">
        <w:rPr>
          <w:sz w:val="20"/>
          <w:szCs w:val="20"/>
        </w:rPr>
        <w:t xml:space="preserve">,  MB Docket No. 11-43, Public Notice, DA 13-1438, 28 FCC Rcd 9043 (MB 2013), available at </w:t>
      </w:r>
      <w:hyperlink r:id="rId78" w:history="1">
        <w:r w:rsidRPr="009C79E5">
          <w:rPr>
            <w:rStyle w:val="Hyperlink"/>
            <w:sz w:val="20"/>
            <w:szCs w:val="20"/>
          </w:rPr>
          <w:t>https://apps.fcc.gov/edocs_public/attachmatch/DA-13-1438A1.pdf</w:t>
        </w:r>
      </w:hyperlink>
      <w:r w:rsidRPr="00FF1FD9">
        <w:rPr>
          <w:sz w:val="20"/>
          <w:szCs w:val="20"/>
        </w:rPr>
        <w:t>.</w:t>
      </w:r>
    </w:p>
  </w:footnote>
  <w:footnote w:id="419">
    <w:p w:rsidR="000A68B6" w:rsidRPr="009C79E5" w:rsidRDefault="000A68B6" w:rsidP="00476E6F">
      <w:pPr>
        <w:pStyle w:val="FootnoteText"/>
        <w:spacing w:after="120"/>
      </w:pPr>
      <w:r w:rsidRPr="006C02D7">
        <w:rPr>
          <w:rStyle w:val="FootnoteReference"/>
        </w:rPr>
        <w:footnoteRef/>
      </w:r>
      <w:r w:rsidRPr="006C02D7">
        <w:t xml:space="preserve"> </w:t>
      </w:r>
      <w:r w:rsidRPr="006C02D7">
        <w:rPr>
          <w:i/>
        </w:rPr>
        <w:t xml:space="preserve">Video Description:  </w:t>
      </w:r>
      <w:r w:rsidRPr="009C79E5">
        <w:rPr>
          <w:bCs/>
          <w:i/>
        </w:rPr>
        <w:t>Implementation of the Twenty-First Century Communications and Video Accessibility Act of 2010</w:t>
      </w:r>
      <w:r w:rsidRPr="009C79E5">
        <w:rPr>
          <w:bCs/>
        </w:rPr>
        <w:t xml:space="preserve">, </w:t>
      </w:r>
      <w:r w:rsidRPr="009C79E5">
        <w:t>MB Docket No. 11-43,</w:t>
      </w:r>
      <w:r w:rsidRPr="009C79E5">
        <w:rPr>
          <w:bCs/>
        </w:rPr>
        <w:t xml:space="preserve"> Report to Congress, DA 14-945, 29 FCC Rcd 8011 (MB 2014), available at </w:t>
      </w:r>
      <w:hyperlink r:id="rId79" w:history="1">
        <w:r w:rsidRPr="009C79E5">
          <w:rPr>
            <w:rStyle w:val="Hyperlink1"/>
          </w:rPr>
          <w:t>https://apps.fcc.gov/edocs_public/attachmatch/DA-14-945A1.pdf</w:t>
        </w:r>
      </w:hyperlink>
      <w:r w:rsidRPr="009C79E5">
        <w:rPr>
          <w:bCs/>
          <w:color w:val="333333"/>
        </w:rPr>
        <w:t>.</w:t>
      </w:r>
    </w:p>
  </w:footnote>
  <w:footnote w:id="420">
    <w:p w:rsidR="000A68B6" w:rsidRPr="009C79E5" w:rsidRDefault="000A68B6" w:rsidP="00A1191D">
      <w:pPr>
        <w:pStyle w:val="FootnoteText"/>
        <w:spacing w:after="120"/>
      </w:pPr>
      <w:r w:rsidRPr="009C79E5">
        <w:rPr>
          <w:rStyle w:val="FootnoteReference"/>
        </w:rPr>
        <w:footnoteRef/>
      </w:r>
      <w:r w:rsidRPr="009C79E5">
        <w:t xml:space="preserve"> </w:t>
      </w:r>
      <w:r w:rsidRPr="009C79E5">
        <w:rPr>
          <w:i/>
        </w:rPr>
        <w:t>Id.</w:t>
      </w:r>
      <w:r w:rsidRPr="009C79E5">
        <w:t>, 29 FCC Rcd at 8011, ¶ 1.</w:t>
      </w:r>
    </w:p>
  </w:footnote>
  <w:footnote w:id="421">
    <w:p w:rsidR="000A68B6" w:rsidRPr="009C79E5" w:rsidRDefault="000A68B6" w:rsidP="00A1191D">
      <w:pPr>
        <w:pStyle w:val="FootnoteText"/>
        <w:spacing w:after="120"/>
      </w:pPr>
      <w:r w:rsidRPr="009C79E5">
        <w:rPr>
          <w:rStyle w:val="FootnoteReference"/>
        </w:rPr>
        <w:footnoteRef/>
      </w:r>
      <w:r w:rsidRPr="009C79E5">
        <w:t xml:space="preserve"> </w:t>
      </w:r>
      <w:r w:rsidRPr="009C79E5">
        <w:rPr>
          <w:i/>
        </w:rPr>
        <w:t>Id.</w:t>
      </w:r>
      <w:r w:rsidRPr="009C79E5">
        <w:t>, 29 FCC Rcd at 8019, ¶ 17 (noting that some stations provide up to 88 hours of video description per calendar quarter).</w:t>
      </w:r>
    </w:p>
  </w:footnote>
  <w:footnote w:id="422">
    <w:p w:rsidR="000A68B6" w:rsidRPr="009C79E5" w:rsidRDefault="000A68B6" w:rsidP="00A1191D">
      <w:pPr>
        <w:pStyle w:val="FootnoteText"/>
        <w:spacing w:after="120"/>
      </w:pPr>
      <w:r w:rsidRPr="009C79E5">
        <w:rPr>
          <w:rStyle w:val="FootnoteReference"/>
        </w:rPr>
        <w:footnoteRef/>
      </w:r>
      <w:r w:rsidRPr="009C79E5">
        <w:t xml:space="preserve"> </w:t>
      </w:r>
      <w:r w:rsidRPr="009C79E5">
        <w:rPr>
          <w:i/>
        </w:rPr>
        <w:t>Id.</w:t>
      </w:r>
      <w:r w:rsidRPr="009C79E5">
        <w:t>, 29 FCC Rcd at 8011, ¶ 1</w:t>
      </w:r>
    </w:p>
  </w:footnote>
  <w:footnote w:id="423">
    <w:p w:rsidR="000A68B6" w:rsidRPr="009C79E5" w:rsidRDefault="000A68B6" w:rsidP="00A1191D">
      <w:pPr>
        <w:pStyle w:val="FootnoteText"/>
        <w:spacing w:after="120"/>
      </w:pPr>
      <w:r w:rsidRPr="009C79E5">
        <w:rPr>
          <w:rStyle w:val="FootnoteReference"/>
        </w:rPr>
        <w:footnoteRef/>
      </w:r>
      <w:r w:rsidRPr="009C79E5">
        <w:t xml:space="preserve"> </w:t>
      </w:r>
      <w:r w:rsidRPr="009C79E5">
        <w:rPr>
          <w:i/>
        </w:rPr>
        <w:t>Id.</w:t>
      </w:r>
      <w:r w:rsidRPr="009C79E5">
        <w:t>, 29 FCC Rcd at 8022, ¶ 24.</w:t>
      </w:r>
    </w:p>
  </w:footnote>
  <w:footnote w:id="424">
    <w:p w:rsidR="000A68B6" w:rsidRPr="009C79E5" w:rsidRDefault="000A68B6" w:rsidP="00A1191D">
      <w:pPr>
        <w:pStyle w:val="FootnoteText"/>
        <w:spacing w:after="120"/>
      </w:pPr>
      <w:r w:rsidRPr="009C79E5">
        <w:rPr>
          <w:rStyle w:val="FootnoteReference"/>
        </w:rPr>
        <w:footnoteRef/>
      </w:r>
      <w:r w:rsidRPr="009C79E5">
        <w:t xml:space="preserve"> </w:t>
      </w:r>
      <w:r w:rsidRPr="009C79E5">
        <w:rPr>
          <w:i/>
        </w:rPr>
        <w:t>Id.</w:t>
      </w:r>
      <w:r w:rsidRPr="009C79E5">
        <w:t>, 29 FCC Rcd at 8035, 8038, ¶¶ 56, 66-67.</w:t>
      </w:r>
    </w:p>
  </w:footnote>
  <w:footnote w:id="425">
    <w:p w:rsidR="000A68B6" w:rsidRPr="009C79E5" w:rsidRDefault="000A68B6" w:rsidP="00A1191D">
      <w:pPr>
        <w:pStyle w:val="FootnoteText"/>
        <w:spacing w:after="120"/>
      </w:pPr>
      <w:r w:rsidRPr="009C79E5">
        <w:rPr>
          <w:rStyle w:val="FootnoteReference"/>
        </w:rPr>
        <w:footnoteRef/>
      </w:r>
      <w:r w:rsidRPr="009C79E5">
        <w:t xml:space="preserve"> </w:t>
      </w:r>
      <w:r w:rsidRPr="009C79E5">
        <w:rPr>
          <w:i/>
        </w:rPr>
        <w:t>Accessible Emergency Information, and Apparatus Requirements for Emergency Information and Video Description:  Implementation of the Twenty-First Century Communications and Video Accessibility Act of 2010; Video Description:  Implementation of the Twenty-First Century Communications and Video Accessibility Act of 2010</w:t>
      </w:r>
      <w:r w:rsidRPr="009C79E5">
        <w:t>, MB Docket Nos. 12-107 and 11-43, Report and Order and Further Notice of Proposed Rulemaking, FCC 13-45, 28 FCC Rcd 4871 (2013) (</w:t>
      </w:r>
      <w:r w:rsidRPr="009C79E5">
        <w:rPr>
          <w:i/>
        </w:rPr>
        <w:t>Emergency Information and Video Description Order and FNPRM</w:t>
      </w:r>
      <w:r w:rsidRPr="009C79E5">
        <w:t xml:space="preserve">) (adopting rules requiring accessible televised emergency information and that certain video programming apparatus be capable of delivering accessible emergency information and video description), available at </w:t>
      </w:r>
      <w:hyperlink r:id="rId80" w:history="1">
        <w:r w:rsidRPr="009C79E5">
          <w:rPr>
            <w:rStyle w:val="Hyperlink"/>
          </w:rPr>
          <w:t>https://apps.fcc.gov/edocs_public/attachmatch/FCC-13-45A1.pdf</w:t>
        </w:r>
      </w:hyperlink>
      <w:r w:rsidRPr="009C79E5">
        <w:t xml:space="preserve">.  </w:t>
      </w:r>
      <w:r w:rsidRPr="009C79E5">
        <w:rPr>
          <w:i/>
        </w:rPr>
        <w:t>See also</w:t>
      </w:r>
      <w:r w:rsidRPr="009C79E5">
        <w:t xml:space="preserve"> Section III.H of this </w:t>
      </w:r>
      <w:r w:rsidRPr="009C79E5">
        <w:rPr>
          <w:i/>
        </w:rPr>
        <w:t>Report</w:t>
      </w:r>
      <w:r w:rsidRPr="009C79E5">
        <w:t xml:space="preserve">, </w:t>
      </w:r>
      <w:r w:rsidRPr="009C79E5">
        <w:rPr>
          <w:i/>
        </w:rPr>
        <w:t>infra</w:t>
      </w:r>
      <w:r w:rsidRPr="009C79E5">
        <w:t>.</w:t>
      </w:r>
    </w:p>
  </w:footnote>
  <w:footnote w:id="426">
    <w:p w:rsidR="000A68B6" w:rsidRPr="009C79E5" w:rsidRDefault="000A68B6" w:rsidP="00A1191D">
      <w:pPr>
        <w:pStyle w:val="FootnoteText"/>
        <w:spacing w:after="120"/>
      </w:pPr>
      <w:r w:rsidRPr="009C79E5">
        <w:rPr>
          <w:rStyle w:val="FootnoteReference"/>
        </w:rPr>
        <w:footnoteRef/>
      </w:r>
      <w:r w:rsidRPr="009C79E5">
        <w:t xml:space="preserve"> </w:t>
      </w:r>
      <w:r w:rsidRPr="009C79E5">
        <w:rPr>
          <w:i/>
        </w:rPr>
        <w:t>Emergency Information and Video Description Order and FNPRM</w:t>
      </w:r>
      <w:r w:rsidRPr="009C79E5">
        <w:t xml:space="preserve">, 28 FCC Rcd at 4906-07, 4909-10, 4913-16, ¶¶ 48-49, 52, 60-62.  </w:t>
      </w:r>
    </w:p>
  </w:footnote>
  <w:footnote w:id="427">
    <w:p w:rsidR="000A68B6" w:rsidRPr="009C79E5" w:rsidRDefault="000A68B6" w:rsidP="00A1191D">
      <w:pPr>
        <w:pStyle w:val="FootnoteText"/>
        <w:spacing w:after="120"/>
      </w:pPr>
      <w:r w:rsidRPr="009C79E5">
        <w:rPr>
          <w:rStyle w:val="FootnoteReference"/>
        </w:rPr>
        <w:footnoteRef/>
      </w:r>
      <w:r w:rsidRPr="009C79E5">
        <w:t xml:space="preserve"> </w:t>
      </w:r>
      <w:r w:rsidRPr="009C79E5">
        <w:rPr>
          <w:i/>
        </w:rPr>
        <w:t>Id.</w:t>
      </w:r>
      <w:r w:rsidRPr="009C79E5">
        <w:t xml:space="preserve">, 28 FCC Rcd at 4927-28, ¶¶ 83-84.  </w:t>
      </w:r>
    </w:p>
  </w:footnote>
  <w:footnote w:id="428">
    <w:p w:rsidR="000A68B6" w:rsidRPr="009C79E5" w:rsidRDefault="000A68B6" w:rsidP="00A1191D">
      <w:pPr>
        <w:pStyle w:val="FootnoteText"/>
        <w:spacing w:after="120"/>
        <w:rPr>
          <w:i/>
        </w:rPr>
      </w:pPr>
      <w:r w:rsidRPr="009C79E5">
        <w:rPr>
          <w:rStyle w:val="FootnoteReference"/>
        </w:rPr>
        <w:footnoteRef/>
      </w:r>
      <w:r w:rsidRPr="009C79E5">
        <w:t xml:space="preserve"> </w:t>
      </w:r>
      <w:r w:rsidRPr="009C79E5">
        <w:rPr>
          <w:i/>
        </w:rPr>
        <w:t>Id.</w:t>
      </w:r>
    </w:p>
  </w:footnote>
  <w:footnote w:id="429">
    <w:p w:rsidR="000A68B6" w:rsidRPr="009C79E5" w:rsidRDefault="000A68B6" w:rsidP="00A1191D">
      <w:pPr>
        <w:pStyle w:val="FootnoteText"/>
        <w:spacing w:after="120"/>
      </w:pPr>
      <w:r w:rsidRPr="009C79E5">
        <w:rPr>
          <w:rStyle w:val="FootnoteReference"/>
        </w:rPr>
        <w:footnoteRef/>
      </w:r>
      <w:r w:rsidRPr="009C79E5">
        <w:t xml:space="preserve"> </w:t>
      </w:r>
      <w:r w:rsidRPr="009C79E5">
        <w:rPr>
          <w:i/>
        </w:rPr>
        <w:t>Id.</w:t>
      </w:r>
      <w:r w:rsidRPr="009C79E5">
        <w:t>, 28 FCC Rcd at 4928-29, ¶ 85.</w:t>
      </w:r>
    </w:p>
  </w:footnote>
  <w:footnote w:id="430">
    <w:p w:rsidR="000A68B6" w:rsidRPr="009C79E5" w:rsidRDefault="000A68B6" w:rsidP="00A1191D">
      <w:pPr>
        <w:pStyle w:val="FootnoteText"/>
        <w:spacing w:after="120"/>
        <w:rPr>
          <w:lang w:bidi="x-none"/>
        </w:rPr>
      </w:pPr>
      <w:r w:rsidRPr="009C79E5">
        <w:rPr>
          <w:rStyle w:val="FootnoteReference"/>
        </w:rPr>
        <w:footnoteRef/>
      </w:r>
      <w:r w:rsidRPr="009C79E5">
        <w:t xml:space="preserve"> CVAA, § 202(a); 47 U.S.C. § 613(g).  The second VPAAC report was submitted to the Commission on April 9, 2012.  </w:t>
      </w:r>
      <w:r w:rsidRPr="009C79E5">
        <w:rPr>
          <w:i/>
        </w:rPr>
        <w:t>See</w:t>
      </w:r>
      <w:r w:rsidRPr="009C79E5">
        <w:t xml:space="preserve"> Section III.F of this </w:t>
      </w:r>
      <w:r w:rsidRPr="009C79E5">
        <w:rPr>
          <w:i/>
        </w:rPr>
        <w:t>Report</w:t>
      </w:r>
      <w:r w:rsidRPr="009C79E5">
        <w:t xml:space="preserve">, </w:t>
      </w:r>
      <w:r w:rsidRPr="009C79E5">
        <w:rPr>
          <w:i/>
        </w:rPr>
        <w:t>supra</w:t>
      </w:r>
      <w:r w:rsidRPr="009C79E5">
        <w:t xml:space="preserve">.  </w:t>
      </w:r>
      <w:r w:rsidRPr="009C79E5">
        <w:rPr>
          <w:i/>
        </w:rPr>
        <w:t>See also</w:t>
      </w:r>
      <w:r w:rsidRPr="009C79E5">
        <w:t xml:space="preserve"> 47 C.F.R. §§ 79.1 (defining video programming providers and distributors), 79.2 (defining emergency information).</w:t>
      </w:r>
    </w:p>
  </w:footnote>
  <w:footnote w:id="431">
    <w:p w:rsidR="000A68B6" w:rsidRPr="009C79E5" w:rsidRDefault="000A68B6" w:rsidP="00A1191D">
      <w:pPr>
        <w:pStyle w:val="FootnoteText"/>
        <w:spacing w:after="120"/>
        <w:rPr>
          <w:lang w:bidi="x-none"/>
        </w:rPr>
      </w:pPr>
      <w:r w:rsidRPr="009C79E5">
        <w:rPr>
          <w:rStyle w:val="FootnoteReference"/>
        </w:rPr>
        <w:footnoteRef/>
      </w:r>
      <w:r w:rsidRPr="009C79E5">
        <w:t xml:space="preserve"> </w:t>
      </w:r>
      <w:r w:rsidRPr="009C79E5">
        <w:rPr>
          <w:i/>
        </w:rPr>
        <w:t>Accessible Emergency Information, and Apparatus Requirements for Emergency Information and Video Description:  Implementation of the Twenty-First Century Communications and Video Accessibility Act of 2010</w:t>
      </w:r>
      <w:r w:rsidRPr="009C79E5">
        <w:t>, MB Docket No. 12-107, Notice of Proposed Rulemaking, FCC 12-142, 27 FCC Rcd 14728, 14734-40, ¶¶ 7-18 (2012) (</w:t>
      </w:r>
      <w:r w:rsidRPr="009C79E5">
        <w:rPr>
          <w:i/>
        </w:rPr>
        <w:t>Emergency Information and Video Description NPRM</w:t>
      </w:r>
      <w:r w:rsidRPr="009C79E5">
        <w:t xml:space="preserve">), available at </w:t>
      </w:r>
      <w:hyperlink r:id="rId81" w:history="1">
        <w:r w:rsidRPr="009C79E5">
          <w:rPr>
            <w:rStyle w:val="Hyperlink"/>
          </w:rPr>
          <w:t>https://apps.fcc.gov/edocs_public/attachmatch/FCC-12-142A1.pdf</w:t>
        </w:r>
      </w:hyperlink>
      <w:r w:rsidRPr="009C79E5">
        <w:t xml:space="preserve">.  </w:t>
      </w:r>
      <w:r w:rsidRPr="009C79E5">
        <w:rPr>
          <w:rStyle w:val="apple-converted-space"/>
          <w:color w:val="auto"/>
        </w:rPr>
        <w:t xml:space="preserve">This rulemaking proceeding was informed by comments received about the VPAAC’s second report.  </w:t>
      </w:r>
      <w:r w:rsidRPr="009C79E5">
        <w:rPr>
          <w:rStyle w:val="apple-converted-space"/>
          <w:i/>
          <w:color w:val="auto"/>
        </w:rPr>
        <w:t xml:space="preserve">See </w:t>
      </w:r>
      <w:r w:rsidRPr="009C79E5">
        <w:rPr>
          <w:rStyle w:val="apple-converted-space"/>
          <w:color w:val="auto"/>
        </w:rPr>
        <w:t xml:space="preserve">n.404, </w:t>
      </w:r>
      <w:r w:rsidRPr="009C79E5">
        <w:rPr>
          <w:rStyle w:val="apple-converted-space"/>
          <w:i/>
          <w:color w:val="auto"/>
        </w:rPr>
        <w:t>supra</w:t>
      </w:r>
      <w:r w:rsidRPr="006C02D7">
        <w:t xml:space="preserve">.  </w:t>
      </w:r>
      <w:r w:rsidRPr="006C02D7">
        <w:rPr>
          <w:i/>
        </w:rPr>
        <w:t>See also</w:t>
      </w:r>
      <w:r w:rsidRPr="009C5E08">
        <w:t xml:space="preserve"> Section III.F of this </w:t>
      </w:r>
      <w:r w:rsidRPr="009C79E5">
        <w:rPr>
          <w:i/>
        </w:rPr>
        <w:t>Report</w:t>
      </w:r>
      <w:r w:rsidRPr="009C79E5">
        <w:t xml:space="preserve">, </w:t>
      </w:r>
      <w:r w:rsidRPr="009C79E5">
        <w:rPr>
          <w:i/>
        </w:rPr>
        <w:t>supra</w:t>
      </w:r>
      <w:r w:rsidRPr="009C79E5">
        <w:t xml:space="preserve">.  In this proceeding, the Commission also sought comment on the implementation of CVAA requirements for certain video programming apparatus to make available accessible emergency information and video description.  </w:t>
      </w:r>
      <w:r w:rsidRPr="009C79E5">
        <w:rPr>
          <w:i/>
        </w:rPr>
        <w:t>See</w:t>
      </w:r>
      <w:r w:rsidRPr="009C79E5">
        <w:t xml:space="preserve"> Section III.H of this </w:t>
      </w:r>
      <w:r w:rsidRPr="009C79E5">
        <w:rPr>
          <w:i/>
        </w:rPr>
        <w:t>Report</w:t>
      </w:r>
      <w:r w:rsidRPr="009C79E5">
        <w:t xml:space="preserve">, </w:t>
      </w:r>
      <w:r w:rsidRPr="009C79E5">
        <w:rPr>
          <w:i/>
        </w:rPr>
        <w:t>infra</w:t>
      </w:r>
      <w:r w:rsidRPr="009C79E5">
        <w:t>.</w:t>
      </w:r>
    </w:p>
  </w:footnote>
  <w:footnote w:id="432">
    <w:p w:rsidR="000A68B6" w:rsidRPr="009C79E5" w:rsidRDefault="000A68B6" w:rsidP="00A1191D">
      <w:pPr>
        <w:pStyle w:val="FootnoteText"/>
        <w:spacing w:after="120"/>
      </w:pPr>
      <w:r w:rsidRPr="009C79E5">
        <w:rPr>
          <w:rStyle w:val="FootnoteReference"/>
        </w:rPr>
        <w:footnoteRef/>
      </w:r>
      <w:r w:rsidRPr="009C79E5">
        <w:t xml:space="preserve"> </w:t>
      </w:r>
      <w:r w:rsidRPr="009C79E5">
        <w:rPr>
          <w:i/>
        </w:rPr>
        <w:t>Emergency Information and Video Description NPRM</w:t>
      </w:r>
      <w:r w:rsidRPr="009C79E5">
        <w:t>, 27 FCC Rcd at 14729, ¶ 1.</w:t>
      </w:r>
    </w:p>
  </w:footnote>
  <w:footnote w:id="433">
    <w:p w:rsidR="000A68B6" w:rsidRPr="009C79E5" w:rsidRDefault="000A68B6" w:rsidP="00A1191D">
      <w:pPr>
        <w:pStyle w:val="FootnoteText"/>
        <w:spacing w:after="120"/>
      </w:pPr>
      <w:r w:rsidRPr="009C79E5">
        <w:rPr>
          <w:rStyle w:val="FootnoteReference"/>
        </w:rPr>
        <w:footnoteRef/>
      </w:r>
      <w:r w:rsidRPr="009C79E5">
        <w:t xml:space="preserve"> </w:t>
      </w:r>
      <w:r w:rsidRPr="009C79E5">
        <w:rPr>
          <w:i/>
        </w:rPr>
        <w:t>Accessible Emergency Information, and Apparatus Requirements for Emergency Information and Video Description:  Implementation of the Twenty-First Century Communications and Video Accessibility Act of 2010; Video Description:  Implementation of the Twenty-First Century Communications and Video Accessibility Act of 2010</w:t>
      </w:r>
      <w:r w:rsidRPr="009C79E5">
        <w:t>, MB Docket Nos. 12-107 and 11-43, Report and Order and Further Notice of Proposed Rulemaking, FCC 13-45, 28 FCC Rcd 4871 (2013) (</w:t>
      </w:r>
      <w:r w:rsidRPr="009C79E5">
        <w:rPr>
          <w:i/>
        </w:rPr>
        <w:t>Emergency Information and Video Description Order and FNPRM</w:t>
      </w:r>
      <w:r w:rsidRPr="009C79E5">
        <w:t xml:space="preserve">), available at </w:t>
      </w:r>
      <w:hyperlink r:id="rId82" w:history="1">
        <w:r w:rsidRPr="009C79E5">
          <w:rPr>
            <w:rStyle w:val="Hyperlink"/>
          </w:rPr>
          <w:t>https://apps.fcc.gov/edocs_public/attachmatch/FCC-13-45A1.pdf</w:t>
        </w:r>
      </w:hyperlink>
      <w:r w:rsidRPr="009C79E5">
        <w:t xml:space="preserve">.  </w:t>
      </w:r>
      <w:r w:rsidRPr="009C79E5">
        <w:rPr>
          <w:i/>
        </w:rPr>
        <w:t xml:space="preserve">See </w:t>
      </w:r>
      <w:r w:rsidRPr="009C79E5">
        <w:t xml:space="preserve">Section III.H of this </w:t>
      </w:r>
      <w:r w:rsidRPr="009C79E5">
        <w:rPr>
          <w:i/>
        </w:rPr>
        <w:t>Report</w:t>
      </w:r>
      <w:r w:rsidRPr="009C79E5">
        <w:t xml:space="preserve">, </w:t>
      </w:r>
      <w:r w:rsidRPr="009C79E5">
        <w:rPr>
          <w:i/>
        </w:rPr>
        <w:t>infra</w:t>
      </w:r>
      <w:r w:rsidRPr="009C79E5">
        <w:t xml:space="preserve"> (discussing requirements for certain video programming apparatus to make emergency information and video description available).</w:t>
      </w:r>
    </w:p>
  </w:footnote>
  <w:footnote w:id="434">
    <w:p w:rsidR="000A68B6" w:rsidRPr="009C79E5" w:rsidRDefault="000A68B6" w:rsidP="00A1191D">
      <w:pPr>
        <w:pStyle w:val="FootnoteText"/>
        <w:spacing w:after="120"/>
      </w:pPr>
      <w:r w:rsidRPr="009C79E5">
        <w:rPr>
          <w:rStyle w:val="FootnoteReference"/>
        </w:rPr>
        <w:footnoteRef/>
      </w:r>
      <w:r w:rsidRPr="009C79E5">
        <w:t xml:space="preserve"> </w:t>
      </w:r>
      <w:r w:rsidRPr="009C79E5">
        <w:rPr>
          <w:i/>
        </w:rPr>
        <w:t>Emergency Information and Video Description Order and FNPRM</w:t>
      </w:r>
      <w:r w:rsidRPr="009C79E5">
        <w:t xml:space="preserve">, 28 FCC Rcd at 4876-78, ¶ 7-8.  However, in certain situations, the rules do apply to IP-delivered video programming provided by covered MVPDs, such as AT&amp;T’s provision of its U-verse service.  </w:t>
      </w:r>
      <w:r w:rsidRPr="009C79E5">
        <w:rPr>
          <w:i/>
        </w:rPr>
        <w:t>Id</w:t>
      </w:r>
      <w:r w:rsidRPr="009C79E5">
        <w:t>., 28 FCC Rcd at 4878, n.30.</w:t>
      </w:r>
    </w:p>
  </w:footnote>
  <w:footnote w:id="435">
    <w:p w:rsidR="000A68B6" w:rsidRPr="009C79E5" w:rsidRDefault="000A68B6" w:rsidP="00A1191D">
      <w:pPr>
        <w:pStyle w:val="FootnoteText"/>
        <w:spacing w:after="120"/>
      </w:pPr>
      <w:r w:rsidRPr="009C79E5">
        <w:rPr>
          <w:rStyle w:val="FootnoteReference"/>
        </w:rPr>
        <w:footnoteRef/>
      </w:r>
      <w:r w:rsidRPr="009C79E5">
        <w:t xml:space="preserve"> </w:t>
      </w:r>
      <w:r w:rsidRPr="009C79E5">
        <w:rPr>
          <w:i/>
        </w:rPr>
        <w:t>Id.</w:t>
      </w:r>
      <w:r w:rsidRPr="009C79E5">
        <w:t xml:space="preserve">, 28 FCC Rcd at 4881, ¶ 12.  Section 79.2 of the Commission’s rules already require emergency information presented visually during a regularly scheduled newscast or a newscast that interrupts regular programming to be accessible to individuals who are blind or visually impaired.  </w:t>
      </w:r>
      <w:r w:rsidRPr="009C79E5">
        <w:rPr>
          <w:i/>
        </w:rPr>
        <w:t>Id.</w:t>
      </w:r>
      <w:r w:rsidRPr="009C79E5">
        <w:t xml:space="preserve">, 28 FCC Rcd at 4879-80, ¶ 10; 47 C.F.R. § 79.2.  </w:t>
      </w:r>
    </w:p>
  </w:footnote>
  <w:footnote w:id="436">
    <w:p w:rsidR="000A68B6" w:rsidRPr="009C79E5" w:rsidRDefault="000A68B6" w:rsidP="00A1191D">
      <w:pPr>
        <w:pStyle w:val="FootnoteText"/>
        <w:spacing w:after="120"/>
      </w:pPr>
      <w:r w:rsidRPr="009C79E5">
        <w:rPr>
          <w:rStyle w:val="FootnoteReference"/>
        </w:rPr>
        <w:footnoteRef/>
      </w:r>
      <w:r w:rsidRPr="009C79E5">
        <w:t xml:space="preserve"> </w:t>
      </w:r>
      <w:r w:rsidRPr="009C79E5">
        <w:rPr>
          <w:i/>
        </w:rPr>
        <w:t>Id.</w:t>
      </w:r>
      <w:r w:rsidRPr="009C79E5">
        <w:t xml:space="preserve">, 28 FCC Rcd at 4890-91, ¶ 23.  The information presented aurally must accurately and effectively communicate the critical details about and how to respond to the emergency to the same extent that this information is conveyed textually.  </w:t>
      </w:r>
      <w:r w:rsidRPr="009C79E5">
        <w:rPr>
          <w:i/>
        </w:rPr>
        <w:t>Id.</w:t>
      </w:r>
    </w:p>
  </w:footnote>
  <w:footnote w:id="437">
    <w:p w:rsidR="000A68B6" w:rsidRPr="009C79E5" w:rsidRDefault="000A68B6" w:rsidP="00A1191D">
      <w:pPr>
        <w:pStyle w:val="FootnoteText"/>
        <w:spacing w:after="120"/>
        <w:rPr>
          <w:i/>
        </w:rPr>
      </w:pPr>
      <w:r w:rsidRPr="009C79E5">
        <w:rPr>
          <w:rStyle w:val="FootnoteReference"/>
        </w:rPr>
        <w:footnoteRef/>
      </w:r>
      <w:r w:rsidRPr="009C79E5">
        <w:t xml:space="preserve"> </w:t>
      </w:r>
      <w:r w:rsidRPr="009C79E5">
        <w:rPr>
          <w:i/>
        </w:rPr>
        <w:t>Id.</w:t>
      </w:r>
      <w:r w:rsidRPr="009C79E5">
        <w:t xml:space="preserve">, 28 FCC Rcd at 4884, ¶ 16.  If used, text-to-speech generated audio must be intelligible and must use the correct pronunciation of relevant information to allow consumers to learn about and respond to the emergency.  </w:t>
      </w:r>
      <w:r w:rsidRPr="009C79E5">
        <w:rPr>
          <w:i/>
        </w:rPr>
        <w:t>Id.</w:t>
      </w:r>
    </w:p>
  </w:footnote>
  <w:footnote w:id="438">
    <w:p w:rsidR="000A68B6" w:rsidRPr="009C79E5" w:rsidRDefault="000A68B6" w:rsidP="00A1191D">
      <w:pPr>
        <w:pStyle w:val="FootnoteText"/>
        <w:spacing w:after="120"/>
      </w:pPr>
      <w:r w:rsidRPr="009C79E5">
        <w:rPr>
          <w:rStyle w:val="FootnoteReference"/>
        </w:rPr>
        <w:footnoteRef/>
      </w:r>
      <w:r w:rsidRPr="009C79E5">
        <w:t xml:space="preserve"> </w:t>
      </w:r>
      <w:r w:rsidRPr="009C79E5">
        <w:rPr>
          <w:i/>
        </w:rPr>
        <w:t>Id.</w:t>
      </w:r>
      <w:r w:rsidRPr="009C79E5">
        <w:t xml:space="preserve">, 28 FCC Rcd at 4881, ¶ 12.  </w:t>
      </w:r>
    </w:p>
  </w:footnote>
  <w:footnote w:id="439">
    <w:p w:rsidR="000A68B6" w:rsidRPr="009C79E5" w:rsidRDefault="000A68B6" w:rsidP="00A1191D">
      <w:pPr>
        <w:pStyle w:val="FootnoteText"/>
        <w:spacing w:after="120"/>
      </w:pPr>
      <w:r w:rsidRPr="009C79E5">
        <w:rPr>
          <w:rStyle w:val="FootnoteReference"/>
        </w:rPr>
        <w:footnoteRef/>
      </w:r>
      <w:r w:rsidRPr="009C79E5">
        <w:t xml:space="preserve"> </w:t>
      </w:r>
      <w:r w:rsidRPr="009C79E5">
        <w:rPr>
          <w:i/>
        </w:rPr>
        <w:t>Id.</w:t>
      </w:r>
      <w:r w:rsidRPr="009C79E5">
        <w:t>, 28 FCC Rcd at 4892-94, ¶ 26.</w:t>
      </w:r>
    </w:p>
  </w:footnote>
  <w:footnote w:id="440">
    <w:p w:rsidR="000A68B6" w:rsidRPr="009C79E5" w:rsidRDefault="000A68B6" w:rsidP="00A1191D">
      <w:pPr>
        <w:pStyle w:val="FootnoteText"/>
        <w:spacing w:after="120"/>
      </w:pPr>
      <w:r w:rsidRPr="009C79E5">
        <w:rPr>
          <w:rStyle w:val="FootnoteReference"/>
        </w:rPr>
        <w:footnoteRef/>
      </w:r>
      <w:r w:rsidRPr="009C79E5">
        <w:t xml:space="preserve"> </w:t>
      </w:r>
      <w:r w:rsidRPr="009C79E5">
        <w:rPr>
          <w:i/>
        </w:rPr>
        <w:t>Id.</w:t>
      </w:r>
      <w:r w:rsidRPr="009C79E5">
        <w:t xml:space="preserve">, 28 FCC Rcd at 4892, ¶ 25.  </w:t>
      </w:r>
    </w:p>
  </w:footnote>
  <w:footnote w:id="441">
    <w:p w:rsidR="000A68B6" w:rsidRPr="009C79E5" w:rsidRDefault="000A68B6" w:rsidP="00A1191D">
      <w:pPr>
        <w:pStyle w:val="FootnoteText"/>
        <w:spacing w:after="120"/>
      </w:pPr>
      <w:r w:rsidRPr="009C79E5">
        <w:rPr>
          <w:rStyle w:val="FootnoteReference"/>
        </w:rPr>
        <w:footnoteRef/>
      </w:r>
      <w:r w:rsidRPr="009C79E5">
        <w:t xml:space="preserve"> </w:t>
      </w:r>
      <w:r w:rsidRPr="009C79E5">
        <w:rPr>
          <w:i/>
        </w:rPr>
        <w:t xml:space="preserve">See </w:t>
      </w:r>
      <w:r w:rsidRPr="009C79E5">
        <w:t>47 C.F.R. §§ 79.105(a), 79.106(a).</w:t>
      </w:r>
    </w:p>
  </w:footnote>
  <w:footnote w:id="442">
    <w:p w:rsidR="000A68B6" w:rsidRPr="009C79E5" w:rsidRDefault="000A68B6" w:rsidP="00A1191D">
      <w:pPr>
        <w:pStyle w:val="FootnoteText"/>
        <w:spacing w:after="120"/>
      </w:pPr>
      <w:r w:rsidRPr="009C79E5">
        <w:rPr>
          <w:rStyle w:val="FootnoteReference"/>
        </w:rPr>
        <w:footnoteRef/>
      </w:r>
      <w:r w:rsidRPr="009C79E5">
        <w:t xml:space="preserve"> </w:t>
      </w:r>
      <w:r w:rsidRPr="009C79E5">
        <w:rPr>
          <w:i/>
        </w:rPr>
        <w:t>Emergency Information and Video Description Order and FNPRM</w:t>
      </w:r>
      <w:r w:rsidRPr="009C79E5">
        <w:t>, 28 FCC Rcd at 4902-03, ¶¶ 39-40.</w:t>
      </w:r>
    </w:p>
  </w:footnote>
  <w:footnote w:id="443">
    <w:p w:rsidR="000A68B6" w:rsidRPr="009C79E5" w:rsidRDefault="000A68B6" w:rsidP="00A1191D">
      <w:pPr>
        <w:pStyle w:val="FootnoteText"/>
        <w:spacing w:after="120"/>
      </w:pPr>
      <w:r w:rsidRPr="009C79E5">
        <w:rPr>
          <w:rStyle w:val="FootnoteReference"/>
        </w:rPr>
        <w:footnoteRef/>
      </w:r>
      <w:r w:rsidRPr="009C79E5">
        <w:t xml:space="preserve"> </w:t>
      </w:r>
      <w:r w:rsidRPr="009C79E5">
        <w:rPr>
          <w:i/>
        </w:rPr>
        <w:t>Id.</w:t>
      </w:r>
      <w:r w:rsidRPr="009C79E5">
        <w:t>, 28 FCC Rcd at 4903-05, ¶¶ 41-43.</w:t>
      </w:r>
    </w:p>
  </w:footnote>
  <w:footnote w:id="444">
    <w:p w:rsidR="000A68B6" w:rsidRPr="009C79E5" w:rsidRDefault="000A68B6" w:rsidP="00A1191D">
      <w:pPr>
        <w:pStyle w:val="FootnoteText"/>
        <w:spacing w:after="120"/>
      </w:pPr>
      <w:r w:rsidRPr="009C79E5">
        <w:rPr>
          <w:rStyle w:val="FootnoteReference"/>
        </w:rPr>
        <w:footnoteRef/>
      </w:r>
      <w:r w:rsidRPr="009C79E5">
        <w:t xml:space="preserve"> </w:t>
      </w:r>
      <w:r w:rsidRPr="009C79E5">
        <w:rPr>
          <w:i/>
        </w:rPr>
        <w:t>Id.</w:t>
      </w:r>
      <w:r w:rsidRPr="009C79E5">
        <w:t>, 28 FCC Rcd at 4904-05, ¶ 43.</w:t>
      </w:r>
    </w:p>
  </w:footnote>
  <w:footnote w:id="445">
    <w:p w:rsidR="000A68B6" w:rsidRPr="009C79E5" w:rsidRDefault="000A68B6" w:rsidP="00A1191D">
      <w:pPr>
        <w:pStyle w:val="FootnoteText"/>
        <w:spacing w:after="120"/>
      </w:pPr>
      <w:r w:rsidRPr="009C79E5">
        <w:rPr>
          <w:rStyle w:val="FootnoteReference"/>
        </w:rPr>
        <w:footnoteRef/>
      </w:r>
      <w:r w:rsidRPr="009C79E5">
        <w:t xml:space="preserve"> </w:t>
      </w:r>
      <w:r w:rsidRPr="009C79E5">
        <w:rPr>
          <w:i/>
        </w:rPr>
        <w:t>Id.</w:t>
      </w:r>
      <w:r w:rsidRPr="009C79E5">
        <w:t>, 28 FCC Rcd at 4926-27, 4929, ¶¶ 80, 86.</w:t>
      </w:r>
    </w:p>
  </w:footnote>
  <w:footnote w:id="446">
    <w:p w:rsidR="000A68B6" w:rsidRPr="009C79E5" w:rsidRDefault="000A68B6" w:rsidP="00A1191D">
      <w:pPr>
        <w:pStyle w:val="FootnoteText"/>
        <w:spacing w:after="120"/>
        <w:rPr>
          <w:lang w:bidi="x-none"/>
        </w:rPr>
      </w:pPr>
      <w:r w:rsidRPr="009C79E5">
        <w:rPr>
          <w:rStyle w:val="FootnoteReference"/>
        </w:rPr>
        <w:footnoteRef/>
      </w:r>
      <w:r w:rsidRPr="009C79E5">
        <w:t xml:space="preserve"> CVAA, § 202(a); 47 U.S.C. § 613(c)(2).  The first VPAAC report was submitted to the Commission on July 13, 2011.  </w:t>
      </w:r>
      <w:r w:rsidRPr="009C79E5">
        <w:rPr>
          <w:i/>
        </w:rPr>
        <w:t>See</w:t>
      </w:r>
      <w:r w:rsidRPr="009C79E5">
        <w:t xml:space="preserve"> Section III.F of this </w:t>
      </w:r>
      <w:r w:rsidRPr="009C79E5">
        <w:rPr>
          <w:i/>
        </w:rPr>
        <w:t>Report</w:t>
      </w:r>
      <w:r w:rsidRPr="009C79E5">
        <w:t xml:space="preserve">, </w:t>
      </w:r>
      <w:r w:rsidRPr="009C79E5">
        <w:rPr>
          <w:i/>
        </w:rPr>
        <w:t>supra</w:t>
      </w:r>
      <w:r w:rsidRPr="009C79E5">
        <w:t>.  Closed captioning is the visual display of the audio portion of video programming, which provides access to individuals who are deaf or hard of hearing.  See 47 C.F.R. § 79.1(a)(4).</w:t>
      </w:r>
    </w:p>
  </w:footnote>
  <w:footnote w:id="447">
    <w:p w:rsidR="000A68B6" w:rsidRPr="009C79E5" w:rsidRDefault="000A68B6" w:rsidP="00A1191D">
      <w:pPr>
        <w:pStyle w:val="FootnoteText"/>
        <w:spacing w:after="120"/>
        <w:rPr>
          <w:lang w:bidi="x-none"/>
        </w:rPr>
      </w:pPr>
      <w:r w:rsidRPr="009C79E5">
        <w:rPr>
          <w:rStyle w:val="FootnoteReference"/>
        </w:rPr>
        <w:footnoteRef/>
      </w:r>
      <w:r w:rsidRPr="009C79E5">
        <w:t xml:space="preserve"> </w:t>
      </w:r>
      <w:r w:rsidRPr="009C79E5">
        <w:rPr>
          <w:i/>
        </w:rPr>
        <w:t>Closed Captioning of Internet Protocol-Delivered Video Programming:  Implementation of the Twenty-First Century Communications and Video Accessibility Act of 2010</w:t>
      </w:r>
      <w:r w:rsidRPr="009C79E5">
        <w:t>, MB Docket No. 11-154, Report and Order, FCC 12-9, 27 FCC Rcd 787 (2012) (</w:t>
      </w:r>
      <w:r w:rsidRPr="009C79E5">
        <w:rPr>
          <w:i/>
        </w:rPr>
        <w:t>IP Closed Captioning Order</w:t>
      </w:r>
      <w:r w:rsidRPr="009C79E5">
        <w:t xml:space="preserve">), available at </w:t>
      </w:r>
      <w:hyperlink r:id="rId83" w:history="1">
        <w:r w:rsidRPr="009C79E5">
          <w:rPr>
            <w:rStyle w:val="Hyperlink"/>
          </w:rPr>
          <w:t>https://apps.fcc.gov/edocs_public/attachmatch/FCC-12-9A1.pdf</w:t>
        </w:r>
      </w:hyperlink>
      <w:r w:rsidRPr="009C79E5">
        <w:t xml:space="preserve">; 47 C.F.R. § 79.4.  As part of this proceeding, the Commission also adopted rules to implement the CVAA provision amending the requirements for closed captioning capabilities of certain apparatus on which consumers view video programming.  </w:t>
      </w:r>
      <w:r w:rsidRPr="009C79E5">
        <w:rPr>
          <w:i/>
        </w:rPr>
        <w:t>See</w:t>
      </w:r>
      <w:r w:rsidRPr="009C79E5">
        <w:t xml:space="preserve"> Section III.H of this </w:t>
      </w:r>
      <w:r w:rsidRPr="009C79E5">
        <w:rPr>
          <w:i/>
        </w:rPr>
        <w:t>Report</w:t>
      </w:r>
      <w:r w:rsidRPr="009C79E5">
        <w:t xml:space="preserve">, </w:t>
      </w:r>
      <w:r w:rsidRPr="009C79E5">
        <w:rPr>
          <w:i/>
        </w:rPr>
        <w:t>infra</w:t>
      </w:r>
      <w:r w:rsidRPr="009C79E5">
        <w:t xml:space="preserve">.  </w:t>
      </w:r>
    </w:p>
  </w:footnote>
  <w:footnote w:id="448">
    <w:p w:rsidR="000A68B6" w:rsidRPr="009C79E5" w:rsidRDefault="000A68B6" w:rsidP="00A1191D">
      <w:pPr>
        <w:pStyle w:val="FootnoteText"/>
        <w:spacing w:after="120"/>
        <w:rPr>
          <w:lang w:bidi="x-none"/>
        </w:rPr>
      </w:pPr>
      <w:r w:rsidRPr="009C79E5">
        <w:rPr>
          <w:rStyle w:val="FootnoteReference"/>
        </w:rPr>
        <w:footnoteRef/>
      </w:r>
      <w:r w:rsidRPr="009C79E5">
        <w:t xml:space="preserve"> 47 U.S.C. § 613(c)(2)(B); 47 C.F.R. §§ 79.4(b)(1)-(3).</w:t>
      </w:r>
      <w:r w:rsidRPr="009C79E5">
        <w:rPr>
          <w:i/>
        </w:rPr>
        <w:t xml:space="preserve">  See also Closed Captioning of Internet Protocol-Delivered Video Programming: Implementation of the Twenty-First Century Communications and Video Accessibility Act of 2010; Petitions for Temporary Partial Exemption or Limited Waiver</w:t>
      </w:r>
      <w:r w:rsidRPr="009C79E5">
        <w:t xml:space="preserve">, MB Docket No. 11-154, Memorandum Opinion and Order, DA 12-1354, 27 FCC Rcd 9630 (MB 2012) (granting an extension until January 1, 2014 of the requirement in Section 79.4(c)(2)(i) of the Commission’s rules that applications, plug-ins, or devices provided by video programming distributors and providers comply with the closed captioning display capabilities in Section 79.103(c) of the Commission’s rules), available at </w:t>
      </w:r>
      <w:hyperlink r:id="rId84" w:history="1">
        <w:r w:rsidRPr="009C79E5">
          <w:rPr>
            <w:rStyle w:val="Hyperlink"/>
          </w:rPr>
          <w:t>https://apps.fcc.gov/edocs_public/attachmatch/DA-12-1354A1.pdf</w:t>
        </w:r>
      </w:hyperlink>
      <w:r w:rsidRPr="009C79E5">
        <w:t>.</w:t>
      </w:r>
    </w:p>
  </w:footnote>
  <w:footnote w:id="449">
    <w:p w:rsidR="000A68B6" w:rsidRPr="009C79E5" w:rsidRDefault="000A68B6" w:rsidP="00A1191D">
      <w:pPr>
        <w:pStyle w:val="FootnoteText"/>
        <w:spacing w:after="120"/>
        <w:rPr>
          <w:lang w:bidi="x-none"/>
        </w:rPr>
      </w:pPr>
      <w:r w:rsidRPr="009C79E5">
        <w:rPr>
          <w:rStyle w:val="FootnoteReference"/>
        </w:rPr>
        <w:footnoteRef/>
      </w:r>
      <w:r w:rsidRPr="009C79E5">
        <w:t xml:space="preserve"> 47 U.S.C. § 613(c)(2)(B); 47 C.F.R. § 79.4(b)(4).</w:t>
      </w:r>
      <w:r w:rsidRPr="009C79E5">
        <w:rPr>
          <w:rStyle w:val="Strong1"/>
          <w:rFonts w:ascii="Times New Roman" w:hAnsi="Times New Roman"/>
          <w:color w:val="auto"/>
        </w:rPr>
        <w:t xml:space="preserve">  </w:t>
      </w:r>
    </w:p>
  </w:footnote>
  <w:footnote w:id="450">
    <w:p w:rsidR="000A68B6" w:rsidRPr="009C79E5" w:rsidRDefault="000A68B6" w:rsidP="00A1191D">
      <w:pPr>
        <w:pStyle w:val="FootnoteText"/>
        <w:spacing w:after="120"/>
      </w:pPr>
      <w:r w:rsidRPr="009C79E5">
        <w:rPr>
          <w:rStyle w:val="FootnoteReference"/>
        </w:rPr>
        <w:footnoteRef/>
      </w:r>
      <w:r w:rsidRPr="009C79E5">
        <w:t xml:space="preserve"> 47 U.S.C. § 613(c)(2).</w:t>
      </w:r>
    </w:p>
  </w:footnote>
  <w:footnote w:id="451">
    <w:p w:rsidR="000A68B6" w:rsidRPr="009C79E5" w:rsidRDefault="000A68B6" w:rsidP="00A1191D">
      <w:pPr>
        <w:pStyle w:val="FootnoteText"/>
        <w:tabs>
          <w:tab w:val="left" w:pos="3825"/>
        </w:tabs>
        <w:spacing w:after="120"/>
        <w:rPr>
          <w:lang w:bidi="x-none"/>
        </w:rPr>
      </w:pPr>
      <w:r w:rsidRPr="009C79E5">
        <w:rPr>
          <w:rStyle w:val="FootnoteReference"/>
        </w:rPr>
        <w:footnoteRef/>
      </w:r>
      <w:r w:rsidRPr="009C79E5">
        <w:t xml:space="preserve"> 47 C.F.R. §§ 79.4(d) and (e).</w:t>
      </w:r>
      <w:r w:rsidRPr="009C79E5">
        <w:tab/>
      </w:r>
    </w:p>
  </w:footnote>
  <w:footnote w:id="452">
    <w:p w:rsidR="000A68B6" w:rsidRPr="009C79E5" w:rsidRDefault="000A68B6" w:rsidP="00A1191D">
      <w:pPr>
        <w:pStyle w:val="FootnoteText"/>
        <w:spacing w:after="120"/>
      </w:pPr>
      <w:r w:rsidRPr="009C79E5">
        <w:rPr>
          <w:rStyle w:val="FootnoteReference"/>
        </w:rPr>
        <w:footnoteRef/>
      </w:r>
      <w:r w:rsidRPr="009C79E5">
        <w:t xml:space="preserve"> </w:t>
      </w:r>
      <w:r w:rsidRPr="009C79E5">
        <w:rPr>
          <w:i/>
        </w:rPr>
        <w:t>IP Closed Captioning Order</w:t>
      </w:r>
      <w:r w:rsidRPr="009C79E5">
        <w:t>, 27 FCC Rcd at 816-17, ¶¶ 44-45.</w:t>
      </w:r>
    </w:p>
  </w:footnote>
  <w:footnote w:id="453">
    <w:p w:rsidR="000A68B6" w:rsidRPr="006C02D7" w:rsidRDefault="000A68B6" w:rsidP="00A1191D">
      <w:pPr>
        <w:spacing w:after="120"/>
        <w:rPr>
          <w:sz w:val="20"/>
          <w:szCs w:val="20"/>
          <w:lang w:bidi="x-none"/>
        </w:rPr>
      </w:pPr>
      <w:r w:rsidRPr="006C02D7">
        <w:rPr>
          <w:rStyle w:val="FootnoteReference"/>
          <w:sz w:val="20"/>
          <w:szCs w:val="20"/>
        </w:rPr>
        <w:footnoteRef/>
      </w:r>
      <w:r w:rsidRPr="006C02D7">
        <w:rPr>
          <w:sz w:val="20"/>
          <w:szCs w:val="20"/>
        </w:rPr>
        <w:t xml:space="preserve"> Petition of Telecommunications for the Deaf and Hard of Hearing, Inc., National Association of the Deaf, Deaf and Hard of Hearing Consumer Advoca</w:t>
      </w:r>
      <w:r w:rsidRPr="009C5E08">
        <w:rPr>
          <w:sz w:val="20"/>
          <w:szCs w:val="20"/>
        </w:rPr>
        <w:t xml:space="preserve">cy Network, Association of Late-Deafened Adults, Hearing Loss Association of America, Cerebral Palsy and Deaf Organization, and the Technology Access Program at Gallaudet University for Reconsideration, MB Docket No. 11-154 (filed Apr. 27, 2012) (Consumer </w:t>
      </w:r>
      <w:r w:rsidRPr="009C79E5">
        <w:rPr>
          <w:sz w:val="20"/>
          <w:szCs w:val="20"/>
        </w:rPr>
        <w:t xml:space="preserve">Groups Petition), available at </w:t>
      </w:r>
      <w:hyperlink r:id="rId85" w:history="1">
        <w:r w:rsidRPr="009C79E5">
          <w:rPr>
            <w:rStyle w:val="Hyperlink1"/>
            <w:szCs w:val="20"/>
          </w:rPr>
          <w:t>http://apps.fcc.gov/ecfs/document/view?id=7021914512</w:t>
        </w:r>
      </w:hyperlink>
      <w:r w:rsidRPr="006C02D7">
        <w:rPr>
          <w:sz w:val="20"/>
          <w:szCs w:val="20"/>
        </w:rPr>
        <w:t xml:space="preserve">.  The Commission sought comment on this petition.  </w:t>
      </w:r>
      <w:r w:rsidRPr="009C5E08">
        <w:rPr>
          <w:i/>
          <w:sz w:val="20"/>
          <w:szCs w:val="20"/>
        </w:rPr>
        <w:t>Petitions for Reconsideration of Action in Rulemakin</w:t>
      </w:r>
      <w:r w:rsidRPr="009C79E5">
        <w:rPr>
          <w:i/>
          <w:sz w:val="20"/>
          <w:szCs w:val="20"/>
        </w:rPr>
        <w:t>g Proceeding</w:t>
      </w:r>
      <w:r w:rsidRPr="009C79E5">
        <w:rPr>
          <w:sz w:val="20"/>
          <w:szCs w:val="20"/>
        </w:rPr>
        <w:t>, Report No. 2951, Public Notice (rel. May 17, 2012), available at</w:t>
      </w:r>
      <w:r w:rsidRPr="006C02D7">
        <w:rPr>
          <w:sz w:val="20"/>
          <w:szCs w:val="20"/>
        </w:rPr>
        <w:t xml:space="preserve"> </w:t>
      </w:r>
      <w:hyperlink r:id="rId86" w:history="1">
        <w:r w:rsidRPr="009C79E5">
          <w:rPr>
            <w:rStyle w:val="Hyperlink"/>
            <w:sz w:val="20"/>
            <w:szCs w:val="20"/>
          </w:rPr>
          <w:t>https://apps.fcc.gov/edocs_public/attachmatch/DOC-314131A1.pdf</w:t>
        </w:r>
      </w:hyperlink>
      <w:r w:rsidRPr="00FF1FD9">
        <w:rPr>
          <w:sz w:val="20"/>
          <w:szCs w:val="20"/>
        </w:rPr>
        <w:t xml:space="preserve">.  </w:t>
      </w:r>
    </w:p>
  </w:footnote>
  <w:footnote w:id="454">
    <w:p w:rsidR="000A68B6" w:rsidRPr="009C79E5" w:rsidRDefault="000A68B6" w:rsidP="00A1191D">
      <w:pPr>
        <w:pStyle w:val="FootnoteText"/>
        <w:spacing w:after="120"/>
      </w:pPr>
      <w:r w:rsidRPr="006C02D7">
        <w:rPr>
          <w:rStyle w:val="FootnoteReference"/>
        </w:rPr>
        <w:footnoteRef/>
      </w:r>
      <w:r w:rsidRPr="006C02D7">
        <w:t xml:space="preserve"> </w:t>
      </w:r>
      <w:r w:rsidRPr="006C02D7">
        <w:rPr>
          <w:i/>
        </w:rPr>
        <w:t xml:space="preserve">See </w:t>
      </w:r>
      <w:r w:rsidRPr="009C5E08">
        <w:t>Consumer Groups Petition a</w:t>
      </w:r>
      <w:r w:rsidRPr="009C79E5">
        <w:t>t 14-15.</w:t>
      </w:r>
    </w:p>
  </w:footnote>
  <w:footnote w:id="455">
    <w:p w:rsidR="000A68B6" w:rsidRPr="00FF1FD9" w:rsidRDefault="000A68B6" w:rsidP="00A1191D">
      <w:pPr>
        <w:spacing w:after="120"/>
        <w:rPr>
          <w:sz w:val="20"/>
          <w:szCs w:val="20"/>
        </w:rPr>
      </w:pPr>
      <w:r w:rsidRPr="006C02D7">
        <w:rPr>
          <w:rStyle w:val="FootnoteReference"/>
          <w:sz w:val="20"/>
          <w:szCs w:val="20"/>
        </w:rPr>
        <w:footnoteRef/>
      </w:r>
      <w:r w:rsidRPr="006C02D7">
        <w:rPr>
          <w:sz w:val="20"/>
          <w:szCs w:val="20"/>
        </w:rPr>
        <w:t xml:space="preserve"> </w:t>
      </w:r>
      <w:r w:rsidRPr="006C02D7">
        <w:rPr>
          <w:i/>
          <w:sz w:val="20"/>
          <w:szCs w:val="20"/>
        </w:rPr>
        <w:t>Closed Captioning of Internet Protocol-Delivered Video Programming: Implementation of the Twenty-First Century Communications and Video Accessibility Act of 2010</w:t>
      </w:r>
      <w:r w:rsidRPr="009C5E08">
        <w:rPr>
          <w:sz w:val="20"/>
          <w:szCs w:val="20"/>
        </w:rPr>
        <w:t>, MB Docket No. 11-154, Order on Reconsideration and Further Notice of Proposed Rule</w:t>
      </w:r>
      <w:r w:rsidRPr="009C79E5">
        <w:rPr>
          <w:sz w:val="20"/>
          <w:szCs w:val="20"/>
        </w:rPr>
        <w:t>making, FCC 13-84, 28 FCC Rcd 8785, 8804, ¶ 30 (2013) (</w:t>
      </w:r>
      <w:r w:rsidRPr="009C79E5">
        <w:rPr>
          <w:i/>
          <w:sz w:val="20"/>
          <w:szCs w:val="20"/>
        </w:rPr>
        <w:t>Closed Captioning Order on Reconsideration and FNPRM</w:t>
      </w:r>
      <w:r w:rsidRPr="009C79E5">
        <w:rPr>
          <w:sz w:val="20"/>
          <w:szCs w:val="20"/>
        </w:rPr>
        <w:t xml:space="preserve">), available at </w:t>
      </w:r>
      <w:hyperlink r:id="rId87" w:history="1">
        <w:r w:rsidRPr="009C79E5">
          <w:rPr>
            <w:rStyle w:val="Hyperlink"/>
            <w:sz w:val="20"/>
            <w:szCs w:val="20"/>
          </w:rPr>
          <w:t>https://apps.fcc.gov/edocs_public/attachmatch/FCC-13-84A1.pdf</w:t>
        </w:r>
      </w:hyperlink>
      <w:r w:rsidRPr="00FF1FD9">
        <w:rPr>
          <w:sz w:val="20"/>
          <w:szCs w:val="20"/>
        </w:rPr>
        <w:t>.</w:t>
      </w:r>
    </w:p>
  </w:footnote>
  <w:footnote w:id="456">
    <w:p w:rsidR="000A68B6" w:rsidRPr="006C02D7" w:rsidRDefault="000A68B6" w:rsidP="00A1191D">
      <w:pPr>
        <w:pStyle w:val="FootnoteText"/>
        <w:spacing w:after="120"/>
        <w:rPr>
          <w:i/>
        </w:rPr>
      </w:pPr>
      <w:r w:rsidRPr="006C02D7">
        <w:rPr>
          <w:rStyle w:val="FootnoteReference"/>
        </w:rPr>
        <w:footnoteRef/>
      </w:r>
      <w:r w:rsidRPr="006C02D7">
        <w:t xml:space="preserve"> </w:t>
      </w:r>
      <w:r w:rsidRPr="006C02D7">
        <w:rPr>
          <w:i/>
        </w:rPr>
        <w:t>Id.</w:t>
      </w:r>
    </w:p>
  </w:footnote>
  <w:footnote w:id="457">
    <w:p w:rsidR="000A68B6" w:rsidRPr="006C02D7" w:rsidRDefault="000A68B6" w:rsidP="00A1191D">
      <w:pPr>
        <w:spacing w:after="120"/>
        <w:rPr>
          <w:sz w:val="20"/>
          <w:szCs w:val="20"/>
        </w:rPr>
      </w:pPr>
      <w:r w:rsidRPr="006C02D7">
        <w:rPr>
          <w:rStyle w:val="FootnoteReference"/>
          <w:sz w:val="20"/>
          <w:szCs w:val="20"/>
        </w:rPr>
        <w:footnoteRef/>
      </w:r>
      <w:r w:rsidRPr="006C02D7">
        <w:rPr>
          <w:sz w:val="20"/>
          <w:szCs w:val="20"/>
        </w:rPr>
        <w:t xml:space="preserve"> </w:t>
      </w:r>
      <w:r w:rsidRPr="006C02D7">
        <w:rPr>
          <w:i/>
          <w:sz w:val="20"/>
          <w:szCs w:val="20"/>
          <w:shd w:val="clear" w:color="auto" w:fill="FFFFFF"/>
        </w:rPr>
        <w:t>Media Bureau Seeks Comment on Closed Captioning of Internet Clips</w:t>
      </w:r>
      <w:r w:rsidRPr="006C02D7">
        <w:rPr>
          <w:sz w:val="20"/>
          <w:szCs w:val="20"/>
          <w:shd w:val="clear" w:color="auto" w:fill="FFFFFF"/>
        </w:rPr>
        <w:t>,</w:t>
      </w:r>
      <w:r w:rsidRPr="006C02D7">
        <w:rPr>
          <w:sz w:val="20"/>
          <w:szCs w:val="20"/>
        </w:rPr>
        <w:t xml:space="preserve"> MB Docket No. 11-154, </w:t>
      </w:r>
      <w:r w:rsidRPr="009C5E08">
        <w:rPr>
          <w:sz w:val="20"/>
          <w:szCs w:val="20"/>
          <w:shd w:val="clear" w:color="auto" w:fill="FFFFFF"/>
        </w:rPr>
        <w:t>Public Notice,</w:t>
      </w:r>
      <w:r w:rsidRPr="009C79E5">
        <w:rPr>
          <w:spacing w:val="-2"/>
          <w:sz w:val="20"/>
          <w:szCs w:val="20"/>
        </w:rPr>
        <w:t xml:space="preserve"> DA 13-2392, 28 FCC Rcd 16699 (MB 2013), available at </w:t>
      </w:r>
      <w:hyperlink r:id="rId88" w:history="1">
        <w:r w:rsidRPr="009C79E5">
          <w:rPr>
            <w:rStyle w:val="Hyperlink"/>
            <w:spacing w:val="-2"/>
            <w:sz w:val="20"/>
            <w:szCs w:val="20"/>
          </w:rPr>
          <w:t>https://apps.fcc.gov/edocs_public/attachmatch/DA-13-2392A1.pdf</w:t>
        </w:r>
      </w:hyperlink>
      <w:r w:rsidRPr="00FF1FD9">
        <w:rPr>
          <w:spacing w:val="-2"/>
          <w:sz w:val="20"/>
          <w:szCs w:val="20"/>
        </w:rPr>
        <w:t>.</w:t>
      </w:r>
    </w:p>
  </w:footnote>
  <w:footnote w:id="458">
    <w:p w:rsidR="000A68B6" w:rsidRPr="009C79E5" w:rsidRDefault="000A68B6" w:rsidP="00A1191D">
      <w:pPr>
        <w:pStyle w:val="FootnoteText1"/>
        <w:spacing w:after="120"/>
        <w:rPr>
          <w:rFonts w:ascii="Times New Roman" w:eastAsia="Times New Roman" w:hAnsi="Times New Roman"/>
          <w:color w:val="auto"/>
          <w:lang w:bidi="x-none"/>
        </w:rPr>
      </w:pPr>
      <w:r w:rsidRPr="009C79E5">
        <w:rPr>
          <w:rFonts w:ascii="Times New Roman" w:hAnsi="Times New Roman"/>
          <w:color w:val="auto"/>
          <w:vertAlign w:val="superscript"/>
        </w:rPr>
        <w:footnoteRef/>
      </w:r>
      <w:r w:rsidRPr="009C79E5">
        <w:rPr>
          <w:rFonts w:ascii="Times New Roman" w:hAnsi="Times New Roman"/>
          <w:color w:val="auto"/>
        </w:rPr>
        <w:t xml:space="preserve"> </w:t>
      </w:r>
      <w:r w:rsidRPr="006C02D7">
        <w:rPr>
          <w:rFonts w:ascii="Times New Roman" w:hAnsi="Times New Roman"/>
          <w:bCs/>
          <w:i/>
          <w:color w:val="auto"/>
          <w:shd w:val="clear" w:color="auto" w:fill="FFFFFF"/>
        </w:rPr>
        <w:t>Closed Captioning of Internet Protocol-Delivered Video Programming: Implementation of the Twenty-First Century Communications and Video Accessibility Act of 2010; Closed Captioning of Internet P</w:t>
      </w:r>
      <w:r w:rsidRPr="009C5E08">
        <w:rPr>
          <w:rFonts w:ascii="Times New Roman" w:hAnsi="Times New Roman"/>
          <w:bCs/>
          <w:i/>
          <w:color w:val="auto"/>
          <w:shd w:val="clear" w:color="auto" w:fill="FFFFFF"/>
        </w:rPr>
        <w:t>rotocol-Delivered Video Clips</w:t>
      </w:r>
      <w:r w:rsidRPr="009C79E5">
        <w:rPr>
          <w:rFonts w:ascii="Times New Roman" w:hAnsi="Times New Roman"/>
          <w:color w:val="auto"/>
          <w:spacing w:val="-2"/>
        </w:rPr>
        <w:t xml:space="preserve">, MB 11-154, Second Order on Reconsideration and Second Further Notice of Proposed Rulemaking, </w:t>
      </w:r>
      <w:r w:rsidRPr="006C02D7">
        <w:rPr>
          <w:rFonts w:ascii="Times New Roman" w:hAnsi="Times New Roman"/>
          <w:color w:val="auto"/>
          <w:spacing w:val="-2"/>
        </w:rPr>
        <w:t>FCC 14-97</w:t>
      </w:r>
      <w:r w:rsidRPr="009C79E5">
        <w:rPr>
          <w:rFonts w:ascii="Times New Roman" w:hAnsi="Times New Roman"/>
          <w:color w:val="auto"/>
          <w:spacing w:val="-2"/>
        </w:rPr>
        <w:t>, 29 FCC Rcd 8687 (2014) (</w:t>
      </w:r>
      <w:r w:rsidRPr="009C79E5">
        <w:rPr>
          <w:rFonts w:ascii="Times New Roman" w:hAnsi="Times New Roman"/>
          <w:i/>
          <w:color w:val="auto"/>
          <w:spacing w:val="-2"/>
        </w:rPr>
        <w:t>Video Clips Order</w:t>
      </w:r>
      <w:r w:rsidRPr="009C79E5">
        <w:rPr>
          <w:rFonts w:ascii="Times New Roman" w:hAnsi="Times New Roman"/>
          <w:color w:val="auto"/>
          <w:spacing w:val="-2"/>
        </w:rPr>
        <w:t xml:space="preserve">), available at </w:t>
      </w:r>
      <w:hyperlink r:id="rId89" w:history="1">
        <w:r w:rsidRPr="009C79E5">
          <w:rPr>
            <w:rStyle w:val="Hyperlink"/>
            <w:rFonts w:ascii="Times New Roman" w:hAnsi="Times New Roman"/>
          </w:rPr>
          <w:t>https://apps.fcc.gov/edocs_public/attachmatch/FCC-14-97A1.pdf</w:t>
        </w:r>
      </w:hyperlink>
      <w:r w:rsidRPr="009C79E5">
        <w:rPr>
          <w:rFonts w:ascii="Times New Roman" w:hAnsi="Times New Roman"/>
          <w:spacing w:val="-2"/>
        </w:rPr>
        <w:t xml:space="preserve">. </w:t>
      </w:r>
    </w:p>
  </w:footnote>
  <w:footnote w:id="459">
    <w:p w:rsidR="000A68B6" w:rsidRPr="009C79E5" w:rsidRDefault="000A68B6" w:rsidP="00A1191D">
      <w:pPr>
        <w:pStyle w:val="FootnoteText"/>
        <w:spacing w:after="120"/>
      </w:pPr>
      <w:r w:rsidRPr="009C79E5">
        <w:rPr>
          <w:rStyle w:val="FootnoteReference"/>
        </w:rPr>
        <w:footnoteRef/>
      </w:r>
      <w:r w:rsidRPr="009C79E5">
        <w:t xml:space="preserve"> </w:t>
      </w:r>
      <w:r w:rsidRPr="009C79E5">
        <w:rPr>
          <w:i/>
          <w:spacing w:val="-2"/>
        </w:rPr>
        <w:t>Video Clips Order</w:t>
      </w:r>
      <w:r w:rsidRPr="009C79E5">
        <w:t>, 29 FCC Rcd at 8692-93, ¶ 9.</w:t>
      </w:r>
    </w:p>
  </w:footnote>
  <w:footnote w:id="460">
    <w:p w:rsidR="000A68B6" w:rsidRPr="009C79E5" w:rsidRDefault="000A68B6" w:rsidP="00A1191D">
      <w:pPr>
        <w:pStyle w:val="FootnoteText"/>
        <w:spacing w:after="120"/>
        <w:rPr>
          <w:i/>
        </w:rPr>
      </w:pPr>
      <w:r w:rsidRPr="009C79E5">
        <w:rPr>
          <w:rStyle w:val="FootnoteReference"/>
        </w:rPr>
        <w:footnoteRef/>
      </w:r>
      <w:r w:rsidRPr="009C79E5">
        <w:t xml:space="preserve"> </w:t>
      </w:r>
      <w:r w:rsidRPr="009C79E5">
        <w:rPr>
          <w:i/>
        </w:rPr>
        <w:t>Id.</w:t>
      </w:r>
    </w:p>
  </w:footnote>
  <w:footnote w:id="461">
    <w:p w:rsidR="000A68B6" w:rsidRPr="009C79E5" w:rsidRDefault="000A68B6" w:rsidP="00A1191D">
      <w:pPr>
        <w:pStyle w:val="FootnoteText"/>
        <w:spacing w:after="120"/>
        <w:rPr>
          <w:i/>
        </w:rPr>
      </w:pPr>
      <w:r w:rsidRPr="009C79E5">
        <w:rPr>
          <w:rStyle w:val="FootnoteReference"/>
        </w:rPr>
        <w:footnoteRef/>
      </w:r>
      <w:r w:rsidRPr="009C79E5">
        <w:t xml:space="preserve"> </w:t>
      </w:r>
      <w:r w:rsidRPr="009C79E5">
        <w:rPr>
          <w:i/>
        </w:rPr>
        <w:t>Id.</w:t>
      </w:r>
    </w:p>
  </w:footnote>
  <w:footnote w:id="462">
    <w:p w:rsidR="000A68B6" w:rsidRPr="009C79E5" w:rsidRDefault="000A68B6" w:rsidP="00A1191D">
      <w:pPr>
        <w:pStyle w:val="FootnoteText"/>
        <w:spacing w:after="120"/>
        <w:rPr>
          <w:i/>
        </w:rPr>
      </w:pPr>
      <w:r w:rsidRPr="009C79E5">
        <w:rPr>
          <w:rStyle w:val="FootnoteReference"/>
        </w:rPr>
        <w:footnoteRef/>
      </w:r>
      <w:r w:rsidRPr="009C79E5">
        <w:t xml:space="preserve"> </w:t>
      </w:r>
      <w:r w:rsidRPr="009C79E5">
        <w:rPr>
          <w:i/>
        </w:rPr>
        <w:t>Id.</w:t>
      </w:r>
    </w:p>
  </w:footnote>
  <w:footnote w:id="463">
    <w:p w:rsidR="000A68B6" w:rsidRPr="009C79E5" w:rsidRDefault="000A68B6" w:rsidP="00A1191D">
      <w:pPr>
        <w:pStyle w:val="FootnoteText"/>
        <w:spacing w:after="120"/>
        <w:rPr>
          <w:i/>
        </w:rPr>
      </w:pPr>
      <w:r w:rsidRPr="009C79E5">
        <w:rPr>
          <w:rStyle w:val="FootnoteReference"/>
        </w:rPr>
        <w:footnoteRef/>
      </w:r>
      <w:r w:rsidRPr="009C79E5">
        <w:t xml:space="preserve"> </w:t>
      </w:r>
      <w:r w:rsidRPr="009C79E5">
        <w:rPr>
          <w:i/>
        </w:rPr>
        <w:t>Id.</w:t>
      </w:r>
    </w:p>
  </w:footnote>
  <w:footnote w:id="464">
    <w:p w:rsidR="000A68B6" w:rsidRPr="009C79E5" w:rsidRDefault="000A68B6" w:rsidP="00A1191D">
      <w:pPr>
        <w:pStyle w:val="FootnoteText"/>
        <w:spacing w:after="120"/>
        <w:rPr>
          <w:i/>
        </w:rPr>
      </w:pPr>
      <w:r w:rsidRPr="009C79E5">
        <w:rPr>
          <w:rStyle w:val="FootnoteReference"/>
        </w:rPr>
        <w:footnoteRef/>
      </w:r>
      <w:r w:rsidRPr="009C79E5">
        <w:t xml:space="preserve"> </w:t>
      </w:r>
      <w:r w:rsidRPr="009C79E5">
        <w:rPr>
          <w:i/>
        </w:rPr>
        <w:t xml:space="preserve">Id. </w:t>
      </w:r>
    </w:p>
  </w:footnote>
  <w:footnote w:id="465">
    <w:p w:rsidR="000A68B6" w:rsidRPr="009C79E5" w:rsidRDefault="000A68B6" w:rsidP="00A1191D">
      <w:pPr>
        <w:pStyle w:val="FootnoteText"/>
        <w:spacing w:after="120"/>
      </w:pPr>
      <w:r w:rsidRPr="009C79E5">
        <w:rPr>
          <w:rStyle w:val="FootnoteReference"/>
        </w:rPr>
        <w:footnoteRef/>
      </w:r>
      <w:r w:rsidRPr="009C79E5">
        <w:t xml:space="preserve"> </w:t>
      </w:r>
      <w:r w:rsidRPr="009C79E5">
        <w:rPr>
          <w:i/>
        </w:rPr>
        <w:t>Id.</w:t>
      </w:r>
      <w:r w:rsidRPr="009C79E5">
        <w:t>, 29 FCC Rcd at 8712-19, ¶¶ 36-50.</w:t>
      </w:r>
    </w:p>
  </w:footnote>
  <w:footnote w:id="466">
    <w:p w:rsidR="000A68B6" w:rsidRPr="009C79E5" w:rsidRDefault="000A68B6" w:rsidP="00A1191D">
      <w:pPr>
        <w:pStyle w:val="FootnoteText"/>
        <w:spacing w:after="120"/>
        <w:rPr>
          <w:lang w:bidi="x-none"/>
        </w:rPr>
      </w:pPr>
      <w:r w:rsidRPr="009C79E5">
        <w:rPr>
          <w:rStyle w:val="FootnoteReference"/>
        </w:rPr>
        <w:footnoteRef/>
      </w:r>
      <w:r w:rsidRPr="009C79E5">
        <w:t xml:space="preserve"> CVAA, § 202(c), amending 47 U.S.C. § 613(d)(3).  The CVAA also codified existing Commission policy that, during the pendency of an exemption petition, a provider or owner shall be exempt from having to provide closed captioning.  </w:t>
      </w:r>
      <w:r w:rsidRPr="009C79E5">
        <w:rPr>
          <w:i/>
        </w:rPr>
        <w:t>Id</w:t>
      </w:r>
      <w:r w:rsidRPr="009C79E5">
        <w:t xml:space="preserve">.  </w:t>
      </w:r>
      <w:r w:rsidRPr="009C79E5">
        <w:rPr>
          <w:i/>
        </w:rPr>
        <w:t>See also</w:t>
      </w:r>
      <w:r w:rsidRPr="009C79E5">
        <w:t xml:space="preserve"> 47 C.F.R. § 79.1(f)(11).  Congress also directed the Commission to act upon such an exemption petition within six months after receipt, unless the Commission finds that an extension of this period is necessary to determine whether the captioning requirements are economically burdensome.  </w:t>
      </w:r>
      <w:r w:rsidRPr="009C79E5">
        <w:rPr>
          <w:i/>
        </w:rPr>
        <w:t>See</w:t>
      </w:r>
      <w:r w:rsidRPr="009C79E5">
        <w:t xml:space="preserve"> CVAA, § 202(c), amending 47 U.S.C. § 613(d)(3).</w:t>
      </w:r>
    </w:p>
  </w:footnote>
  <w:footnote w:id="467">
    <w:p w:rsidR="000A68B6" w:rsidRPr="009C79E5" w:rsidRDefault="000A68B6" w:rsidP="00A1191D">
      <w:pPr>
        <w:pStyle w:val="FootnoteText"/>
        <w:spacing w:after="120"/>
      </w:pPr>
      <w:r w:rsidRPr="009C79E5">
        <w:rPr>
          <w:rStyle w:val="FootnoteReference"/>
        </w:rPr>
        <w:footnoteRef/>
      </w:r>
      <w:r w:rsidRPr="009C79E5">
        <w:t xml:space="preserve"> </w:t>
      </w:r>
      <w:r w:rsidRPr="009C79E5">
        <w:rPr>
          <w:i/>
        </w:rPr>
        <w:t>2012 CVAA Biennial Report</w:t>
      </w:r>
      <w:r w:rsidRPr="009C79E5">
        <w:t>, 27 FCC Rcd at 12250-51, ¶ 114.</w:t>
      </w:r>
    </w:p>
  </w:footnote>
  <w:footnote w:id="468">
    <w:p w:rsidR="000A68B6" w:rsidRPr="009C79E5" w:rsidRDefault="000A68B6" w:rsidP="00A1191D">
      <w:pPr>
        <w:spacing w:after="120"/>
        <w:rPr>
          <w:sz w:val="20"/>
          <w:szCs w:val="20"/>
          <w:lang w:bidi="x-none"/>
        </w:rPr>
      </w:pPr>
      <w:r w:rsidRPr="006C02D7">
        <w:rPr>
          <w:rStyle w:val="FootnoteReference"/>
          <w:sz w:val="20"/>
          <w:szCs w:val="20"/>
        </w:rPr>
        <w:footnoteRef/>
      </w:r>
      <w:r w:rsidRPr="006C02D7">
        <w:rPr>
          <w:sz w:val="20"/>
          <w:szCs w:val="20"/>
        </w:rPr>
        <w:t xml:space="preserve"> </w:t>
      </w:r>
      <w:r w:rsidRPr="006C02D7">
        <w:rPr>
          <w:i/>
          <w:sz w:val="20"/>
          <w:szCs w:val="20"/>
        </w:rPr>
        <w:t>See Interpretation of Economically Burdensome Standard; Amendment of Section 79.1(f) of the Commission’s Rules; Video Programming Accessibility</w:t>
      </w:r>
      <w:r w:rsidRPr="009C5E08">
        <w:rPr>
          <w:sz w:val="20"/>
          <w:szCs w:val="20"/>
        </w:rPr>
        <w:t xml:space="preserve">, </w:t>
      </w:r>
      <w:r w:rsidRPr="009C79E5">
        <w:rPr>
          <w:spacing w:val="-2"/>
          <w:sz w:val="20"/>
          <w:szCs w:val="20"/>
        </w:rPr>
        <w:t>CG Docket No. 11-175, Report and Order, FCC 12-83, 27 FCC Rcd 8831 (2012), available at</w:t>
      </w:r>
      <w:r w:rsidRPr="009C79E5">
        <w:rPr>
          <w:sz w:val="20"/>
          <w:szCs w:val="20"/>
        </w:rPr>
        <w:t xml:space="preserve"> </w:t>
      </w:r>
      <w:hyperlink r:id="rId90" w:history="1">
        <w:r w:rsidRPr="009C79E5">
          <w:rPr>
            <w:rStyle w:val="Hyperlink"/>
            <w:spacing w:val="-2"/>
            <w:sz w:val="20"/>
            <w:szCs w:val="20"/>
          </w:rPr>
          <w:t>https://apps.fcc.gov/edocs_public/attachmatch/FCC-12-83A1.pdf</w:t>
        </w:r>
      </w:hyperlink>
      <w:r w:rsidRPr="00FF1FD9">
        <w:rPr>
          <w:spacing w:val="-2"/>
          <w:sz w:val="20"/>
          <w:szCs w:val="20"/>
        </w:rPr>
        <w:t xml:space="preserve">. </w:t>
      </w:r>
      <w:r w:rsidRPr="006C02D7">
        <w:rPr>
          <w:sz w:val="20"/>
          <w:szCs w:val="20"/>
        </w:rPr>
        <w:t xml:space="preserve"> </w:t>
      </w:r>
      <w:r w:rsidRPr="006C02D7">
        <w:rPr>
          <w:i/>
          <w:sz w:val="20"/>
          <w:szCs w:val="20"/>
        </w:rPr>
        <w:t xml:space="preserve">See also </w:t>
      </w:r>
      <w:r w:rsidRPr="006C02D7">
        <w:rPr>
          <w:sz w:val="20"/>
          <w:szCs w:val="20"/>
        </w:rPr>
        <w:t>47 C.F.R. §§ 79.1(d)(2), 79.1(f)(1), (2), (3), (4</w:t>
      </w:r>
      <w:r w:rsidRPr="009C5E08">
        <w:rPr>
          <w:sz w:val="20"/>
          <w:szCs w:val="20"/>
        </w:rPr>
        <w:t>), (10), and (11) (codifying the revised nomenclature)</w:t>
      </w:r>
      <w:r w:rsidRPr="009C79E5">
        <w:rPr>
          <w:spacing w:val="-2"/>
          <w:sz w:val="20"/>
          <w:szCs w:val="20"/>
        </w:rPr>
        <w:t xml:space="preserve">. </w:t>
      </w:r>
    </w:p>
  </w:footnote>
  <w:footnote w:id="469">
    <w:p w:rsidR="000A68B6" w:rsidRPr="009C79E5" w:rsidRDefault="000A68B6" w:rsidP="00A1191D">
      <w:pPr>
        <w:pStyle w:val="FootnoteText"/>
        <w:spacing w:after="120"/>
        <w:rPr>
          <w:lang w:bidi="x-none"/>
        </w:rPr>
      </w:pPr>
      <w:r w:rsidRPr="009C79E5">
        <w:rPr>
          <w:rStyle w:val="FootnoteReference"/>
        </w:rPr>
        <w:footnoteRef/>
      </w:r>
      <w:r w:rsidRPr="009C79E5">
        <w:t xml:space="preserve"> CVAA, § 203.</w:t>
      </w:r>
    </w:p>
  </w:footnote>
  <w:footnote w:id="470">
    <w:p w:rsidR="000A68B6" w:rsidRPr="009C79E5" w:rsidRDefault="000A68B6" w:rsidP="00A1191D">
      <w:pPr>
        <w:pStyle w:val="FootnoteText"/>
        <w:spacing w:after="120"/>
        <w:rPr>
          <w:lang w:bidi="x-none"/>
        </w:rPr>
      </w:pPr>
      <w:r w:rsidRPr="009C79E5">
        <w:rPr>
          <w:rStyle w:val="FootnoteReference"/>
        </w:rPr>
        <w:footnoteRef/>
      </w:r>
      <w:r w:rsidRPr="009C79E5">
        <w:t xml:space="preserve"> CVAA, § 203(a), amending 47 U.S.C. § 303(u)(1)(A).  </w:t>
      </w:r>
    </w:p>
  </w:footnote>
  <w:footnote w:id="471">
    <w:p w:rsidR="000A68B6" w:rsidRPr="009C79E5" w:rsidRDefault="000A68B6" w:rsidP="00A1191D">
      <w:pPr>
        <w:pStyle w:val="FootnoteText"/>
        <w:spacing w:after="120"/>
        <w:rPr>
          <w:lang w:bidi="x-none"/>
        </w:rPr>
      </w:pPr>
      <w:r w:rsidRPr="009C79E5">
        <w:rPr>
          <w:rStyle w:val="FootnoteReference"/>
        </w:rPr>
        <w:footnoteRef/>
      </w:r>
      <w:r w:rsidRPr="009C79E5">
        <w:t xml:space="preserve"> CVAA, § 203(a), amending 47 U.S.C. § 303(u)(2)(A).  “Achievable” means “with reasonable effort or expense.”  47 U.S.C. § 617(g).</w:t>
      </w:r>
    </w:p>
  </w:footnote>
  <w:footnote w:id="472">
    <w:p w:rsidR="000A68B6" w:rsidRPr="009C79E5" w:rsidRDefault="000A68B6" w:rsidP="00A1191D">
      <w:pPr>
        <w:pStyle w:val="FootnoteText"/>
        <w:spacing w:after="120"/>
        <w:rPr>
          <w:lang w:bidi="x-none"/>
        </w:rPr>
      </w:pPr>
      <w:r w:rsidRPr="009C79E5">
        <w:rPr>
          <w:rStyle w:val="FootnoteReference"/>
        </w:rPr>
        <w:footnoteRef/>
      </w:r>
      <w:r w:rsidRPr="009C79E5">
        <w:t xml:space="preserve"> CVAA, § 203(b), adding 47 U.S.C. § 303(z)(1).</w:t>
      </w:r>
    </w:p>
  </w:footnote>
  <w:footnote w:id="473">
    <w:p w:rsidR="000A68B6" w:rsidRPr="009C79E5" w:rsidRDefault="000A68B6" w:rsidP="00A1191D">
      <w:pPr>
        <w:pStyle w:val="FootnoteText"/>
        <w:spacing w:after="120"/>
        <w:rPr>
          <w:lang w:bidi="x-none"/>
        </w:rPr>
      </w:pPr>
      <w:r w:rsidRPr="009C79E5">
        <w:rPr>
          <w:rStyle w:val="FootnoteReference"/>
        </w:rPr>
        <w:footnoteRef/>
      </w:r>
      <w:r w:rsidRPr="009C79E5">
        <w:t xml:space="preserve"> CVAA, § 203(b), adding 47 U.S.C. § 303(z)(2).</w:t>
      </w:r>
    </w:p>
  </w:footnote>
  <w:footnote w:id="474">
    <w:p w:rsidR="000A68B6" w:rsidRPr="009C79E5" w:rsidRDefault="000A68B6" w:rsidP="00A1191D">
      <w:pPr>
        <w:spacing w:after="120"/>
        <w:rPr>
          <w:sz w:val="20"/>
          <w:szCs w:val="20"/>
          <w:lang w:bidi="x-none"/>
        </w:rPr>
      </w:pPr>
      <w:r w:rsidRPr="006C02D7">
        <w:rPr>
          <w:rStyle w:val="FootnoteReference"/>
          <w:sz w:val="20"/>
          <w:szCs w:val="20"/>
        </w:rPr>
        <w:footnoteRef/>
      </w:r>
      <w:r w:rsidRPr="006C02D7">
        <w:rPr>
          <w:sz w:val="20"/>
          <w:szCs w:val="20"/>
        </w:rPr>
        <w:t xml:space="preserve"> </w:t>
      </w:r>
      <w:r w:rsidRPr="006C02D7">
        <w:rPr>
          <w:i/>
          <w:sz w:val="20"/>
          <w:szCs w:val="20"/>
        </w:rPr>
        <w:t>Closed Captioning of Internet Protocol-Delivered Video Programming: -Implementation of the Twenty-First Century Communications and Video Accessibility Act o</w:t>
      </w:r>
      <w:r w:rsidRPr="009C5E08">
        <w:rPr>
          <w:i/>
          <w:sz w:val="20"/>
          <w:szCs w:val="20"/>
        </w:rPr>
        <w:t>f 2010</w:t>
      </w:r>
      <w:r w:rsidRPr="009C79E5">
        <w:rPr>
          <w:sz w:val="20"/>
          <w:szCs w:val="20"/>
        </w:rPr>
        <w:t>, MB Docket No. 11-154, Report and Order, FCC 12-9, 27 FCC Rcd 787 (2012) (</w:t>
      </w:r>
      <w:r w:rsidRPr="009C79E5">
        <w:rPr>
          <w:i/>
          <w:sz w:val="20"/>
          <w:szCs w:val="20"/>
        </w:rPr>
        <w:t>IP Closed Captioning Order</w:t>
      </w:r>
      <w:r w:rsidRPr="009C79E5">
        <w:rPr>
          <w:sz w:val="20"/>
          <w:szCs w:val="20"/>
        </w:rPr>
        <w:t xml:space="preserve">), available at </w:t>
      </w:r>
      <w:hyperlink r:id="rId91" w:history="1">
        <w:r w:rsidRPr="009C79E5">
          <w:rPr>
            <w:rStyle w:val="Hyperlink"/>
            <w:sz w:val="20"/>
            <w:szCs w:val="20"/>
          </w:rPr>
          <w:t>https://apps.fcc.gov/edocs_public/attachmatch/FCC-12-9A1.pdf</w:t>
        </w:r>
      </w:hyperlink>
      <w:r w:rsidRPr="00FF1FD9">
        <w:rPr>
          <w:sz w:val="20"/>
          <w:szCs w:val="20"/>
        </w:rPr>
        <w:t xml:space="preserve">.  </w:t>
      </w:r>
      <w:r w:rsidRPr="006C02D7">
        <w:rPr>
          <w:i/>
          <w:sz w:val="20"/>
          <w:szCs w:val="20"/>
        </w:rPr>
        <w:t>See also</w:t>
      </w:r>
      <w:r w:rsidRPr="006C02D7">
        <w:rPr>
          <w:sz w:val="20"/>
          <w:szCs w:val="20"/>
        </w:rPr>
        <w:t xml:space="preserve"> 47 C.F.R. §§ 79.103 and 79.104.  In this proceeding, the Commission also adopted rules to implement the CVAA provision requiring closed captioning of video programming distributed using Internet protocol.  </w:t>
      </w:r>
      <w:r w:rsidRPr="009C5E08">
        <w:rPr>
          <w:i/>
          <w:sz w:val="20"/>
          <w:szCs w:val="20"/>
        </w:rPr>
        <w:t>See</w:t>
      </w:r>
      <w:r w:rsidRPr="009C79E5">
        <w:rPr>
          <w:sz w:val="20"/>
          <w:szCs w:val="20"/>
        </w:rPr>
        <w:t xml:space="preserve"> Section III.G of this </w:t>
      </w:r>
      <w:r w:rsidRPr="009C79E5">
        <w:rPr>
          <w:i/>
          <w:sz w:val="20"/>
          <w:szCs w:val="20"/>
        </w:rPr>
        <w:t>Report</w:t>
      </w:r>
      <w:r w:rsidRPr="009C79E5">
        <w:rPr>
          <w:sz w:val="20"/>
          <w:szCs w:val="20"/>
        </w:rPr>
        <w:t xml:space="preserve">, </w:t>
      </w:r>
      <w:r w:rsidRPr="009C79E5">
        <w:rPr>
          <w:i/>
          <w:sz w:val="20"/>
          <w:szCs w:val="20"/>
        </w:rPr>
        <w:t>supra</w:t>
      </w:r>
      <w:r w:rsidRPr="009C79E5">
        <w:rPr>
          <w:sz w:val="20"/>
          <w:szCs w:val="20"/>
        </w:rPr>
        <w:t xml:space="preserve">.  Section 203(d)(1) had required the Commission to adopt these rules within six months after the first VPAAC report is submitted to the Commission, or by January 13, 2012.  CVAA, § 203(d)(1).  The first VPAAC report was submitted to the Commission on July 13, 2011.  </w:t>
      </w:r>
      <w:r w:rsidRPr="009C79E5">
        <w:rPr>
          <w:i/>
          <w:sz w:val="20"/>
          <w:szCs w:val="20"/>
        </w:rPr>
        <w:t>See</w:t>
      </w:r>
      <w:r w:rsidRPr="009C79E5">
        <w:rPr>
          <w:sz w:val="20"/>
          <w:szCs w:val="20"/>
        </w:rPr>
        <w:t xml:space="preserve"> Section III.F of this </w:t>
      </w:r>
      <w:r w:rsidRPr="009C79E5">
        <w:rPr>
          <w:i/>
          <w:sz w:val="20"/>
          <w:szCs w:val="20"/>
        </w:rPr>
        <w:t>Report</w:t>
      </w:r>
      <w:r w:rsidRPr="009C79E5">
        <w:rPr>
          <w:sz w:val="20"/>
          <w:szCs w:val="20"/>
        </w:rPr>
        <w:t xml:space="preserve">, </w:t>
      </w:r>
      <w:r w:rsidRPr="009C79E5">
        <w:rPr>
          <w:i/>
          <w:sz w:val="20"/>
          <w:szCs w:val="20"/>
        </w:rPr>
        <w:t>supra</w:t>
      </w:r>
      <w:r w:rsidRPr="009C79E5">
        <w:rPr>
          <w:sz w:val="20"/>
          <w:szCs w:val="20"/>
        </w:rPr>
        <w:t>.</w:t>
      </w:r>
    </w:p>
  </w:footnote>
  <w:footnote w:id="475">
    <w:p w:rsidR="000A68B6" w:rsidRPr="009C79E5" w:rsidRDefault="000A68B6" w:rsidP="00A1191D">
      <w:pPr>
        <w:pStyle w:val="FootnoteText"/>
        <w:spacing w:after="120"/>
      </w:pPr>
      <w:r w:rsidRPr="009C79E5">
        <w:rPr>
          <w:rStyle w:val="FootnoteReference"/>
        </w:rPr>
        <w:footnoteRef/>
      </w:r>
      <w:r w:rsidRPr="009C79E5">
        <w:t xml:space="preserve"> </w:t>
      </w:r>
      <w:r w:rsidRPr="009C79E5">
        <w:rPr>
          <w:i/>
        </w:rPr>
        <w:t>IP Closed Captioning Order</w:t>
      </w:r>
      <w:r w:rsidRPr="009C79E5">
        <w:t xml:space="preserve">, 27 FCC Rcd at 790, ¶ 3.  </w:t>
      </w:r>
      <w:r w:rsidRPr="009C79E5">
        <w:rPr>
          <w:i/>
        </w:rPr>
        <w:t xml:space="preserve">But see </w:t>
      </w:r>
      <w:r w:rsidRPr="009C79E5">
        <w:t xml:space="preserve">¶ 120, </w:t>
      </w:r>
      <w:r w:rsidRPr="009C79E5">
        <w:rPr>
          <w:i/>
        </w:rPr>
        <w:t>infra</w:t>
      </w:r>
      <w:r w:rsidRPr="009C79E5">
        <w:t xml:space="preserve"> (summarizing the Commission’s response to the CEA petition for reconsideration).</w:t>
      </w:r>
    </w:p>
  </w:footnote>
  <w:footnote w:id="476">
    <w:p w:rsidR="000A68B6" w:rsidRPr="009C79E5" w:rsidRDefault="000A68B6" w:rsidP="00A1191D">
      <w:pPr>
        <w:pStyle w:val="FootnoteText"/>
        <w:spacing w:after="120"/>
        <w:rPr>
          <w:i/>
        </w:rPr>
      </w:pPr>
      <w:r w:rsidRPr="009C79E5">
        <w:rPr>
          <w:rStyle w:val="FootnoteReference"/>
        </w:rPr>
        <w:footnoteRef/>
      </w:r>
      <w:r w:rsidRPr="009C79E5">
        <w:t xml:space="preserve"> </w:t>
      </w:r>
      <w:r w:rsidRPr="009C79E5">
        <w:rPr>
          <w:i/>
        </w:rPr>
        <w:t>Id.</w:t>
      </w:r>
    </w:p>
  </w:footnote>
  <w:footnote w:id="477">
    <w:p w:rsidR="000A68B6" w:rsidRPr="009C79E5" w:rsidRDefault="000A68B6" w:rsidP="00A1191D">
      <w:pPr>
        <w:pStyle w:val="FootnoteText"/>
        <w:spacing w:after="120"/>
        <w:rPr>
          <w:i/>
        </w:rPr>
      </w:pPr>
      <w:r w:rsidRPr="009C79E5">
        <w:rPr>
          <w:rStyle w:val="FootnoteReference"/>
        </w:rPr>
        <w:footnoteRef/>
      </w:r>
      <w:r w:rsidRPr="009C79E5">
        <w:t xml:space="preserve"> </w:t>
      </w:r>
      <w:r w:rsidRPr="009C79E5">
        <w:rPr>
          <w:i/>
        </w:rPr>
        <w:t>Id.</w:t>
      </w:r>
    </w:p>
  </w:footnote>
  <w:footnote w:id="478">
    <w:p w:rsidR="000A68B6" w:rsidRPr="009C79E5" w:rsidRDefault="000A68B6" w:rsidP="00A1191D">
      <w:pPr>
        <w:pStyle w:val="FootnoteText"/>
        <w:spacing w:after="120"/>
        <w:rPr>
          <w:i/>
        </w:rPr>
      </w:pPr>
      <w:r w:rsidRPr="009C79E5">
        <w:rPr>
          <w:rStyle w:val="FootnoteReference"/>
        </w:rPr>
        <w:footnoteRef/>
      </w:r>
      <w:r w:rsidRPr="009C79E5">
        <w:t xml:space="preserve"> </w:t>
      </w:r>
      <w:r w:rsidRPr="009C79E5">
        <w:rPr>
          <w:i/>
        </w:rPr>
        <w:t>Id.</w:t>
      </w:r>
    </w:p>
  </w:footnote>
  <w:footnote w:id="479">
    <w:p w:rsidR="000A68B6" w:rsidRPr="009C79E5" w:rsidRDefault="000A68B6" w:rsidP="00A1191D">
      <w:pPr>
        <w:pStyle w:val="FootnoteText"/>
        <w:spacing w:after="120"/>
        <w:rPr>
          <w:lang w:bidi="x-none"/>
        </w:rPr>
      </w:pPr>
      <w:r w:rsidRPr="009C79E5">
        <w:rPr>
          <w:rStyle w:val="FootnoteReference"/>
        </w:rPr>
        <w:footnoteRef/>
      </w:r>
      <w:r w:rsidRPr="009C79E5">
        <w:t xml:space="preserve"> Petition of Consumer Electronics Association for Reconsideration, MB Docket No. 11-154 (filed Apr. 30, 2012) (CEA Petition) (requesting that the Commission apply the closed captioning rules only to apparatus with “video programming” players, not to removable media players, and to clarify that the compliance deadline refers to date of manufacture), available at </w:t>
      </w:r>
      <w:hyperlink r:id="rId92" w:history="1">
        <w:r w:rsidRPr="009C79E5">
          <w:rPr>
            <w:rStyle w:val="Hyperlink"/>
          </w:rPr>
          <w:t>http://apps.fcc.gov/ecfs/document/view?id=7021914799</w:t>
        </w:r>
      </w:hyperlink>
      <w:r w:rsidRPr="009C79E5">
        <w:t>; Petition of TVGuardian, LLC,</w:t>
      </w:r>
      <w:r w:rsidRPr="009C79E5">
        <w:rPr>
          <w:i/>
        </w:rPr>
        <w:t xml:space="preserve"> </w:t>
      </w:r>
      <w:r w:rsidRPr="009C79E5">
        <w:t xml:space="preserve">for Reconsideration, MB Docket No. 11-154 (filed Apr. 16, 2012) (TVGuardian Petition) (asking the Commission to require video programming providers and distributors and digital video source devices to pass through the closed captions data to the consumer equipment, with the same quality, including timing, as received), available at </w:t>
      </w:r>
      <w:hyperlink r:id="rId93" w:history="1">
        <w:r w:rsidRPr="009C79E5">
          <w:rPr>
            <w:rStyle w:val="Hyperlink"/>
          </w:rPr>
          <w:t>http://apps.fcc.gov/ecfs/document/view?id=7021910648</w:t>
        </w:r>
      </w:hyperlink>
      <w:r w:rsidRPr="009C79E5">
        <w:t xml:space="preserve">; Petition of Telecommunications for the Deaf and Hard of Hearing, Inc., National Association of the Deaf, Deaf and Hard of Hearing Consumer Advocacy Network, Association of Late-Deafened Adults, Hearing Loss Association of America, Cerebral Palsy and Deaf Organization, and the Technology Access Program at Gallaudet University for Reconsideration, MB Docket No. 11-154 (filed Apr. 27, 2012) (Consumer Groups Petition) (urging the Commission to impose synchronization requirements on device manufacturers), available at </w:t>
      </w:r>
      <w:hyperlink r:id="rId94" w:history="1">
        <w:r w:rsidRPr="009C79E5">
          <w:rPr>
            <w:rStyle w:val="Hyperlink1"/>
          </w:rPr>
          <w:t>http://apps.fcc.gov/ecfs/document/view?id=7021914512</w:t>
        </w:r>
      </w:hyperlink>
      <w:r w:rsidRPr="009C79E5">
        <w:t xml:space="preserve">.  The Commission sought comments on each of these petitions.  </w:t>
      </w:r>
      <w:r w:rsidRPr="009C79E5">
        <w:rPr>
          <w:i/>
        </w:rPr>
        <w:t>Petitions for Reconsideration of Action in Rulemaking Proceeding</w:t>
      </w:r>
      <w:r w:rsidRPr="009C79E5">
        <w:t xml:space="preserve">, MB Docket No. 11-154, Public Notice, Report No. 2951 (rel. May 17, 2012), available at </w:t>
      </w:r>
      <w:hyperlink r:id="rId95" w:history="1">
        <w:r w:rsidRPr="009C79E5">
          <w:rPr>
            <w:rStyle w:val="Hyperlink"/>
          </w:rPr>
          <w:t>https://apps.fcc.gov/edocs_public/attachmatch/DOC-314131A1.pdf</w:t>
        </w:r>
      </w:hyperlink>
      <w:r w:rsidRPr="009C79E5">
        <w:t>.</w:t>
      </w:r>
    </w:p>
  </w:footnote>
  <w:footnote w:id="480">
    <w:p w:rsidR="000A68B6" w:rsidRPr="009C79E5" w:rsidRDefault="000A68B6" w:rsidP="00A1191D">
      <w:pPr>
        <w:pStyle w:val="FootnoteText"/>
        <w:spacing w:after="120"/>
      </w:pPr>
      <w:r w:rsidRPr="009C79E5">
        <w:rPr>
          <w:rStyle w:val="FootnoteReference"/>
        </w:rPr>
        <w:footnoteRef/>
      </w:r>
      <w:r w:rsidRPr="009C79E5">
        <w:t xml:space="preserve"> </w:t>
      </w:r>
      <w:r w:rsidRPr="009C79E5">
        <w:rPr>
          <w:i/>
        </w:rPr>
        <w:t>Closed Captioning of Internet Protocol-Delivered Video Programming: Implementation of the Twenty-First Century Communications and Video Accessibility Act of 2010</w:t>
      </w:r>
      <w:r w:rsidRPr="009C79E5">
        <w:t xml:space="preserve">, MB Docket No. 11-154, </w:t>
      </w:r>
      <w:r w:rsidRPr="009C79E5">
        <w:rPr>
          <w:spacing w:val="-2"/>
        </w:rPr>
        <w:t xml:space="preserve">Order on Reconsideration and Further Notice of Proposed Rulemaking, </w:t>
      </w:r>
      <w:hyperlink r:id="rId96" w:history="1">
        <w:r w:rsidRPr="009C79E5">
          <w:rPr>
            <w:spacing w:val="-2"/>
          </w:rPr>
          <w:t>FCC 13-84</w:t>
        </w:r>
      </w:hyperlink>
      <w:r w:rsidRPr="009C79E5">
        <w:rPr>
          <w:spacing w:val="-2"/>
        </w:rPr>
        <w:t>, 28 FCC Rcd 8785 (2013)</w:t>
      </w:r>
      <w:r w:rsidRPr="009C79E5">
        <w:t xml:space="preserve"> (</w:t>
      </w:r>
      <w:r w:rsidRPr="009C79E5">
        <w:rPr>
          <w:i/>
        </w:rPr>
        <w:t>Closed Captioning Order on Reconsideration and FNPRM</w:t>
      </w:r>
      <w:r w:rsidRPr="009C79E5">
        <w:t>)</w:t>
      </w:r>
      <w:r w:rsidRPr="009C79E5">
        <w:rPr>
          <w:spacing w:val="-2"/>
        </w:rPr>
        <w:t xml:space="preserve">, available at </w:t>
      </w:r>
      <w:hyperlink r:id="rId97" w:history="1">
        <w:r w:rsidRPr="009C79E5">
          <w:rPr>
            <w:rStyle w:val="Hyperlink1"/>
          </w:rPr>
          <w:t>https://apps.fcc.gov/edocs_public/attachmatch/FCC-13-84A1.pdf</w:t>
        </w:r>
      </w:hyperlink>
      <w:r w:rsidRPr="009C79E5">
        <w:rPr>
          <w:rStyle w:val="Hyperlink1"/>
          <w:u w:val="none"/>
        </w:rPr>
        <w:t>.</w:t>
      </w:r>
    </w:p>
  </w:footnote>
  <w:footnote w:id="481">
    <w:p w:rsidR="000A68B6" w:rsidRPr="009C79E5" w:rsidRDefault="000A68B6" w:rsidP="00A1191D">
      <w:pPr>
        <w:pStyle w:val="FootnoteText"/>
        <w:spacing w:after="120"/>
      </w:pPr>
      <w:r w:rsidRPr="009C79E5">
        <w:rPr>
          <w:rStyle w:val="FootnoteReference"/>
        </w:rPr>
        <w:footnoteRef/>
      </w:r>
      <w:r w:rsidRPr="009C79E5">
        <w:t xml:space="preserve"> </w:t>
      </w:r>
      <w:r w:rsidRPr="009C79E5">
        <w:rPr>
          <w:i/>
        </w:rPr>
        <w:t xml:space="preserve">Id., </w:t>
      </w:r>
      <w:r w:rsidRPr="009C79E5">
        <w:rPr>
          <w:spacing w:val="-2"/>
        </w:rPr>
        <w:t xml:space="preserve">28 FCC Rcd at 8788-89, ¶¶ 5-7. </w:t>
      </w:r>
    </w:p>
  </w:footnote>
  <w:footnote w:id="482">
    <w:p w:rsidR="000A68B6" w:rsidRPr="009C79E5" w:rsidRDefault="000A68B6" w:rsidP="00A1191D">
      <w:pPr>
        <w:pStyle w:val="FootnoteText"/>
        <w:spacing w:after="120"/>
      </w:pPr>
      <w:r w:rsidRPr="009C79E5">
        <w:rPr>
          <w:rStyle w:val="FootnoteReference"/>
        </w:rPr>
        <w:footnoteRef/>
      </w:r>
      <w:r w:rsidRPr="009C79E5">
        <w:t xml:space="preserve"> </w:t>
      </w:r>
      <w:r w:rsidRPr="009C79E5">
        <w:rPr>
          <w:i/>
        </w:rPr>
        <w:t xml:space="preserve">Id., </w:t>
      </w:r>
      <w:r w:rsidRPr="009C79E5">
        <w:rPr>
          <w:spacing w:val="-2"/>
        </w:rPr>
        <w:t xml:space="preserve">28 FCC Rcd at 8789-90, ¶¶ 8-10.  </w:t>
      </w:r>
      <w:r w:rsidRPr="009C79E5">
        <w:rPr>
          <w:i/>
          <w:spacing w:val="-2"/>
        </w:rPr>
        <w:t xml:space="preserve">See also </w:t>
      </w:r>
      <w:r w:rsidRPr="009C79E5">
        <w:rPr>
          <w:spacing w:val="-2"/>
        </w:rPr>
        <w:t>note to 47 C.F.R. § 79.103(a).</w:t>
      </w:r>
    </w:p>
  </w:footnote>
  <w:footnote w:id="483">
    <w:p w:rsidR="000A68B6" w:rsidRPr="009C79E5" w:rsidRDefault="000A68B6" w:rsidP="00A1191D">
      <w:pPr>
        <w:pStyle w:val="FootnoteText"/>
        <w:spacing w:after="120"/>
      </w:pPr>
      <w:r w:rsidRPr="009C79E5">
        <w:rPr>
          <w:rStyle w:val="FootnoteReference"/>
        </w:rPr>
        <w:footnoteRef/>
      </w:r>
      <w:r w:rsidRPr="009C79E5">
        <w:t xml:space="preserve"> </w:t>
      </w:r>
      <w:r w:rsidRPr="009C79E5">
        <w:rPr>
          <w:i/>
        </w:rPr>
        <w:t xml:space="preserve">Closed Captioning Order on Reconsideration and FNPRM, </w:t>
      </w:r>
      <w:r w:rsidRPr="009C79E5">
        <w:rPr>
          <w:spacing w:val="-2"/>
        </w:rPr>
        <w:t>28 FCC Rcd at 8790-93, ¶¶ 11-15.  The classes of apparatus waived include devices that are primarily designed to capture and display still and/or consumer generated media (</w:t>
      </w:r>
      <w:r w:rsidRPr="009C79E5">
        <w:rPr>
          <w:i/>
          <w:spacing w:val="-2"/>
        </w:rPr>
        <w:t>e.g.</w:t>
      </w:r>
      <w:r w:rsidRPr="009C79E5">
        <w:rPr>
          <w:spacing w:val="-2"/>
        </w:rPr>
        <w:t>, digital still cameras, digital video cameras, baby monitors, security cameras, as well as microscopes, binoculars, and probes that act in combination with a digital video camera); and devices that are primarily designed to display still images (</w:t>
      </w:r>
      <w:r w:rsidRPr="009C79E5">
        <w:rPr>
          <w:i/>
          <w:spacing w:val="-2"/>
        </w:rPr>
        <w:t>e.g.</w:t>
      </w:r>
      <w:r w:rsidRPr="009C79E5">
        <w:rPr>
          <w:spacing w:val="-2"/>
        </w:rPr>
        <w:t xml:space="preserve">, digital picture frames).  </w:t>
      </w:r>
      <w:r w:rsidRPr="009C79E5">
        <w:rPr>
          <w:i/>
          <w:spacing w:val="-2"/>
        </w:rPr>
        <w:t>Id.</w:t>
      </w:r>
      <w:r w:rsidRPr="009C79E5">
        <w:rPr>
          <w:spacing w:val="-2"/>
        </w:rPr>
        <w:t xml:space="preserve"> </w:t>
      </w:r>
    </w:p>
  </w:footnote>
  <w:footnote w:id="484">
    <w:p w:rsidR="000A68B6" w:rsidRPr="009C79E5" w:rsidRDefault="000A68B6" w:rsidP="00A1191D">
      <w:pPr>
        <w:pStyle w:val="FootnoteText"/>
        <w:spacing w:after="120"/>
      </w:pPr>
      <w:r w:rsidRPr="009C79E5">
        <w:rPr>
          <w:rStyle w:val="FootnoteReference"/>
        </w:rPr>
        <w:footnoteRef/>
      </w:r>
      <w:r w:rsidRPr="009C79E5">
        <w:t xml:space="preserve"> </w:t>
      </w:r>
      <w:r w:rsidRPr="009C79E5">
        <w:rPr>
          <w:i/>
        </w:rPr>
        <w:t xml:space="preserve">Id., </w:t>
      </w:r>
      <w:r w:rsidRPr="009C79E5">
        <w:rPr>
          <w:spacing w:val="-2"/>
        </w:rPr>
        <w:t xml:space="preserve">28 FCC Rcd at 8793-98, ¶¶ 16-22.  Determination of a compliance deadline is pending </w:t>
      </w:r>
      <w:r w:rsidRPr="009C79E5">
        <w:t xml:space="preserve">resolution of related issues.  </w:t>
      </w:r>
      <w:r w:rsidRPr="009C79E5">
        <w:rPr>
          <w:i/>
        </w:rPr>
        <w:t xml:space="preserve">Id., </w:t>
      </w:r>
      <w:r w:rsidRPr="009C79E5">
        <w:rPr>
          <w:spacing w:val="-2"/>
        </w:rPr>
        <w:t xml:space="preserve">28 FCC Rcd at 8806-08, ¶¶ 35-37.  </w:t>
      </w:r>
    </w:p>
  </w:footnote>
  <w:footnote w:id="485">
    <w:p w:rsidR="000A68B6" w:rsidRPr="009C79E5" w:rsidRDefault="000A68B6" w:rsidP="00A1191D">
      <w:pPr>
        <w:pStyle w:val="FootnoteText"/>
        <w:spacing w:after="120"/>
      </w:pPr>
      <w:r w:rsidRPr="009C79E5">
        <w:rPr>
          <w:rStyle w:val="FootnoteReference"/>
        </w:rPr>
        <w:footnoteRef/>
      </w:r>
      <w:r w:rsidRPr="009C79E5">
        <w:t xml:space="preserve"> </w:t>
      </w:r>
      <w:r w:rsidRPr="009C79E5">
        <w:rPr>
          <w:i/>
        </w:rPr>
        <w:t xml:space="preserve">Id., </w:t>
      </w:r>
      <w:r w:rsidRPr="009C79E5">
        <w:rPr>
          <w:spacing w:val="-2"/>
        </w:rPr>
        <w:t>28 FCC Rcd at 8798-99, ¶¶ 23-25.</w:t>
      </w:r>
    </w:p>
  </w:footnote>
  <w:footnote w:id="486">
    <w:p w:rsidR="000A68B6" w:rsidRPr="009C79E5" w:rsidRDefault="000A68B6" w:rsidP="00A1191D">
      <w:pPr>
        <w:pStyle w:val="FootnoteText"/>
        <w:spacing w:after="120"/>
      </w:pPr>
      <w:r w:rsidRPr="009C79E5">
        <w:rPr>
          <w:rStyle w:val="FootnoteReference"/>
        </w:rPr>
        <w:footnoteRef/>
      </w:r>
      <w:r w:rsidRPr="009C79E5">
        <w:t xml:space="preserve"> </w:t>
      </w:r>
      <w:r w:rsidRPr="009C79E5">
        <w:rPr>
          <w:i/>
        </w:rPr>
        <w:t xml:space="preserve">Id., </w:t>
      </w:r>
      <w:r w:rsidRPr="009C79E5">
        <w:rPr>
          <w:spacing w:val="-2"/>
        </w:rPr>
        <w:t>28 FCC Rcd at 8799-8803, ¶¶ 26-29.</w:t>
      </w:r>
    </w:p>
  </w:footnote>
  <w:footnote w:id="487">
    <w:p w:rsidR="000A68B6" w:rsidRPr="009C79E5" w:rsidRDefault="000A68B6" w:rsidP="00A1191D">
      <w:pPr>
        <w:pStyle w:val="FootnoteText"/>
        <w:spacing w:after="120"/>
      </w:pPr>
      <w:r w:rsidRPr="009C79E5">
        <w:rPr>
          <w:rStyle w:val="FootnoteReference"/>
        </w:rPr>
        <w:footnoteRef/>
      </w:r>
      <w:r w:rsidRPr="009C79E5">
        <w:t xml:space="preserve"> </w:t>
      </w:r>
      <w:r w:rsidRPr="009C79E5">
        <w:rPr>
          <w:i/>
        </w:rPr>
        <w:t xml:space="preserve">Id., </w:t>
      </w:r>
      <w:r w:rsidRPr="009C79E5">
        <w:rPr>
          <w:spacing w:val="-2"/>
        </w:rPr>
        <w:t>28 FCC Rcd at 8780, ¶ 27.</w:t>
      </w:r>
    </w:p>
  </w:footnote>
  <w:footnote w:id="488">
    <w:p w:rsidR="000A68B6" w:rsidRPr="009C79E5" w:rsidRDefault="000A68B6" w:rsidP="00A1191D">
      <w:pPr>
        <w:pStyle w:val="FootnoteText"/>
        <w:spacing w:after="120"/>
      </w:pPr>
      <w:r w:rsidRPr="009C79E5">
        <w:rPr>
          <w:rStyle w:val="FootnoteReference"/>
        </w:rPr>
        <w:footnoteRef/>
      </w:r>
      <w:r w:rsidRPr="009C79E5">
        <w:t xml:space="preserve"> </w:t>
      </w:r>
      <w:r w:rsidRPr="009C79E5">
        <w:rPr>
          <w:i/>
        </w:rPr>
        <w:t xml:space="preserve">Id., </w:t>
      </w:r>
      <w:r w:rsidRPr="009C79E5">
        <w:rPr>
          <w:spacing w:val="-2"/>
        </w:rPr>
        <w:t>28 FCC Rcd at 8805-06, ¶¶ 31, 32-34.  In this proceeding, t</w:t>
      </w:r>
      <w:r w:rsidRPr="009C79E5">
        <w:t xml:space="preserve">he Commission also deferred resolution of whether to reconsider the Commission’s decision to exclude video clips from the scope of the IP closed captioning rules.  </w:t>
      </w:r>
      <w:r w:rsidRPr="009C79E5">
        <w:rPr>
          <w:i/>
        </w:rPr>
        <w:t xml:space="preserve">Id., </w:t>
      </w:r>
      <w:r w:rsidRPr="009C79E5">
        <w:rPr>
          <w:spacing w:val="-2"/>
        </w:rPr>
        <w:t xml:space="preserve">28 FCC Rcd at 8803-04, ¶ 30.  </w:t>
      </w:r>
      <w:r w:rsidRPr="009C79E5">
        <w:rPr>
          <w:i/>
        </w:rPr>
        <w:t>See also</w:t>
      </w:r>
      <w:r w:rsidRPr="009C79E5">
        <w:t xml:space="preserve"> Section III.G in this </w:t>
      </w:r>
      <w:r w:rsidRPr="009C79E5">
        <w:rPr>
          <w:i/>
        </w:rPr>
        <w:t>Report</w:t>
      </w:r>
      <w:r w:rsidRPr="009C79E5">
        <w:t xml:space="preserve">, </w:t>
      </w:r>
      <w:r w:rsidRPr="009C79E5">
        <w:rPr>
          <w:i/>
        </w:rPr>
        <w:t>supra</w:t>
      </w:r>
      <w:r w:rsidRPr="009C79E5">
        <w:t>.</w:t>
      </w:r>
    </w:p>
  </w:footnote>
  <w:footnote w:id="489">
    <w:p w:rsidR="000A68B6" w:rsidRPr="009C79E5" w:rsidRDefault="000A68B6" w:rsidP="00A1191D">
      <w:pPr>
        <w:pStyle w:val="FootnoteText"/>
        <w:spacing w:after="120"/>
        <w:rPr>
          <w:lang w:bidi="x-none"/>
        </w:rPr>
      </w:pPr>
      <w:r w:rsidRPr="009C79E5">
        <w:rPr>
          <w:rStyle w:val="FootnoteReference"/>
        </w:rPr>
        <w:footnoteRef/>
      </w:r>
      <w:r w:rsidRPr="009C79E5">
        <w:t xml:space="preserve"> CVAA, § 203(a), amending 47 U.S.C. §§ 303(u)(1)(B) and (C).</w:t>
      </w:r>
    </w:p>
  </w:footnote>
  <w:footnote w:id="490">
    <w:p w:rsidR="000A68B6" w:rsidRPr="009C79E5" w:rsidRDefault="000A68B6" w:rsidP="00A1191D">
      <w:pPr>
        <w:pStyle w:val="FootnoteText"/>
        <w:spacing w:after="120"/>
        <w:rPr>
          <w:lang w:bidi="x-none"/>
        </w:rPr>
      </w:pPr>
      <w:r w:rsidRPr="009C79E5">
        <w:rPr>
          <w:rStyle w:val="FootnoteReference"/>
        </w:rPr>
        <w:footnoteRef/>
      </w:r>
      <w:r w:rsidRPr="009C79E5">
        <w:t xml:space="preserve"> CVAA, § 203(a), amending 47 U.S.C. § 303(u)(2)(A).  </w:t>
      </w:r>
    </w:p>
  </w:footnote>
  <w:footnote w:id="491">
    <w:p w:rsidR="000A68B6" w:rsidRPr="009C79E5" w:rsidRDefault="000A68B6" w:rsidP="00A1191D">
      <w:pPr>
        <w:pStyle w:val="FootnoteText"/>
        <w:spacing w:after="120"/>
        <w:rPr>
          <w:lang w:bidi="x-none"/>
        </w:rPr>
      </w:pPr>
      <w:r w:rsidRPr="009C79E5">
        <w:rPr>
          <w:rStyle w:val="FootnoteReference"/>
        </w:rPr>
        <w:footnoteRef/>
      </w:r>
      <w:r w:rsidRPr="009C79E5">
        <w:t xml:space="preserve"> CVAA, § 203(b), adding 47 U.S.C. § 303(z)(1).</w:t>
      </w:r>
    </w:p>
  </w:footnote>
  <w:footnote w:id="492">
    <w:p w:rsidR="000A68B6" w:rsidRPr="009C79E5" w:rsidRDefault="000A68B6" w:rsidP="00A1191D">
      <w:pPr>
        <w:pStyle w:val="FootnoteText"/>
        <w:spacing w:after="120"/>
        <w:rPr>
          <w:lang w:bidi="x-none"/>
        </w:rPr>
      </w:pPr>
      <w:r w:rsidRPr="009C79E5">
        <w:rPr>
          <w:rStyle w:val="FootnoteReference"/>
        </w:rPr>
        <w:footnoteRef/>
      </w:r>
      <w:r w:rsidRPr="009C79E5">
        <w:t xml:space="preserve"> CVAA, § 203(b), adding 47 U.S.C. § 303(z)(2).</w:t>
      </w:r>
    </w:p>
  </w:footnote>
  <w:footnote w:id="493">
    <w:p w:rsidR="000A68B6" w:rsidRPr="009C79E5" w:rsidRDefault="000A68B6" w:rsidP="00A1191D">
      <w:pPr>
        <w:pStyle w:val="FootnoteText"/>
        <w:spacing w:after="120"/>
        <w:rPr>
          <w:lang w:bidi="x-none"/>
        </w:rPr>
      </w:pPr>
      <w:r w:rsidRPr="009C79E5">
        <w:rPr>
          <w:rStyle w:val="FootnoteReference"/>
        </w:rPr>
        <w:footnoteRef/>
      </w:r>
      <w:r w:rsidRPr="009C79E5">
        <w:t xml:space="preserve"> CVAA, § 203(d)(2).  The second VPAAC report was submitted to the Commission on April 9, 2012.  </w:t>
      </w:r>
      <w:r w:rsidRPr="009C79E5">
        <w:rPr>
          <w:i/>
        </w:rPr>
        <w:t>See</w:t>
      </w:r>
      <w:r w:rsidRPr="009C79E5">
        <w:t xml:space="preserve"> Section III.F of this </w:t>
      </w:r>
      <w:r w:rsidRPr="009C79E5">
        <w:rPr>
          <w:i/>
        </w:rPr>
        <w:t>Report</w:t>
      </w:r>
      <w:r w:rsidRPr="009C79E5">
        <w:t xml:space="preserve">, </w:t>
      </w:r>
      <w:r w:rsidRPr="009C79E5">
        <w:rPr>
          <w:i/>
        </w:rPr>
        <w:t>supra</w:t>
      </w:r>
      <w:r w:rsidRPr="009C79E5">
        <w:t xml:space="preserve">. </w:t>
      </w:r>
    </w:p>
  </w:footnote>
  <w:footnote w:id="494">
    <w:p w:rsidR="000A68B6" w:rsidRPr="009C79E5" w:rsidRDefault="000A68B6" w:rsidP="00A1191D">
      <w:pPr>
        <w:pStyle w:val="FootnoteText"/>
        <w:spacing w:after="120"/>
        <w:rPr>
          <w:lang w:bidi="x-none"/>
        </w:rPr>
      </w:pPr>
      <w:r w:rsidRPr="009C79E5">
        <w:rPr>
          <w:rStyle w:val="FootnoteReference"/>
        </w:rPr>
        <w:footnoteRef/>
      </w:r>
      <w:r w:rsidRPr="009C79E5">
        <w:t xml:space="preserve"> </w:t>
      </w:r>
      <w:r w:rsidRPr="009C79E5">
        <w:rPr>
          <w:i/>
        </w:rPr>
        <w:t>Accessible Emergency Information, and Apparatus Requirements for Emergency Information and Video Description:  Implementation of the Twenty-First Century Communications and Video Accessibility Act of 2010</w:t>
      </w:r>
      <w:r w:rsidRPr="009C79E5">
        <w:t>, MB Docket No. 12-107, Notice of Proposed Rulemaking, FCC 12-142, 27 FCC Rcd 14728, 14741-49, ¶¶ 19-37 (2012) (</w:t>
      </w:r>
      <w:r w:rsidRPr="009C79E5">
        <w:rPr>
          <w:i/>
        </w:rPr>
        <w:t>Emergency Information and Video Description NPRM</w:t>
      </w:r>
      <w:r w:rsidRPr="009C79E5">
        <w:t xml:space="preserve">), available at </w:t>
      </w:r>
      <w:hyperlink r:id="rId98" w:history="1">
        <w:r w:rsidRPr="009C79E5">
          <w:rPr>
            <w:rStyle w:val="Hyperlink"/>
          </w:rPr>
          <w:t>https://apps.fcc.gov/edocs_public/attachmatch/FCC-12-142A1.pdf</w:t>
        </w:r>
      </w:hyperlink>
      <w:r w:rsidRPr="009C79E5">
        <w:t xml:space="preserve">.  </w:t>
      </w:r>
      <w:r w:rsidRPr="009C79E5">
        <w:rPr>
          <w:rStyle w:val="apple-converted-space"/>
          <w:color w:val="auto"/>
        </w:rPr>
        <w:t xml:space="preserve">This rulemaking proceeding was informed by comments received about the VPAAC’s second report.  </w:t>
      </w:r>
      <w:r w:rsidRPr="009C79E5">
        <w:rPr>
          <w:rStyle w:val="apple-converted-space"/>
          <w:i/>
          <w:color w:val="auto"/>
        </w:rPr>
        <w:t xml:space="preserve">See </w:t>
      </w:r>
      <w:r w:rsidRPr="009C79E5">
        <w:rPr>
          <w:rStyle w:val="apple-converted-space"/>
          <w:color w:val="auto"/>
        </w:rPr>
        <w:t xml:space="preserve">n.404, </w:t>
      </w:r>
      <w:r w:rsidRPr="009C79E5">
        <w:rPr>
          <w:rStyle w:val="apple-converted-space"/>
          <w:i/>
          <w:color w:val="auto"/>
        </w:rPr>
        <w:t>supra</w:t>
      </w:r>
      <w:r w:rsidRPr="006C02D7">
        <w:t xml:space="preserve">.  </w:t>
      </w:r>
      <w:r w:rsidRPr="006C02D7">
        <w:rPr>
          <w:i/>
        </w:rPr>
        <w:t>See also</w:t>
      </w:r>
      <w:r w:rsidRPr="006C02D7">
        <w:t xml:space="preserve"> Section III.F of this </w:t>
      </w:r>
      <w:r w:rsidRPr="009C5E08">
        <w:rPr>
          <w:i/>
        </w:rPr>
        <w:t>Report</w:t>
      </w:r>
      <w:r w:rsidRPr="009C79E5">
        <w:t xml:space="preserve">, </w:t>
      </w:r>
      <w:r w:rsidRPr="009C79E5">
        <w:rPr>
          <w:i/>
        </w:rPr>
        <w:t>supra</w:t>
      </w:r>
      <w:r w:rsidRPr="009C79E5">
        <w:t xml:space="preserve">.  In this proceeding, the Commission also sought comment on the implementation of CVAA requirements for televised emergency information to be accessible to individuals who are blind or visually impaired.  </w:t>
      </w:r>
      <w:r w:rsidRPr="009C79E5">
        <w:rPr>
          <w:i/>
        </w:rPr>
        <w:t>See</w:t>
      </w:r>
      <w:r w:rsidRPr="009C79E5">
        <w:t xml:space="preserve"> Section III.G of this </w:t>
      </w:r>
      <w:r w:rsidRPr="009C79E5">
        <w:rPr>
          <w:i/>
        </w:rPr>
        <w:t>Report</w:t>
      </w:r>
      <w:r w:rsidRPr="009C79E5">
        <w:t xml:space="preserve">, </w:t>
      </w:r>
      <w:r w:rsidRPr="009C79E5">
        <w:rPr>
          <w:i/>
        </w:rPr>
        <w:t>supra</w:t>
      </w:r>
      <w:r w:rsidRPr="009C79E5">
        <w:t>.</w:t>
      </w:r>
    </w:p>
  </w:footnote>
  <w:footnote w:id="495">
    <w:p w:rsidR="000A68B6" w:rsidRPr="009C79E5" w:rsidRDefault="000A68B6" w:rsidP="00A1191D">
      <w:pPr>
        <w:pStyle w:val="FootnoteText"/>
        <w:spacing w:after="120"/>
      </w:pPr>
      <w:r w:rsidRPr="009C79E5">
        <w:rPr>
          <w:rStyle w:val="FootnoteReference"/>
        </w:rPr>
        <w:footnoteRef/>
      </w:r>
      <w:r w:rsidRPr="009C79E5">
        <w:t xml:space="preserve"> </w:t>
      </w:r>
      <w:r w:rsidRPr="009C79E5">
        <w:rPr>
          <w:i/>
        </w:rPr>
        <w:t>Accessible Emergency Information, and Apparatus Requirements for Emergency Information and Video Description:  Implementation of the Twenty-First Century Communications and Video Accessibility Act of 2010; Video Description:  Implementation of the Twenty-First Century Communications and Video Accessibility Act of 2010</w:t>
      </w:r>
      <w:r w:rsidRPr="009C79E5">
        <w:t>, MB Docket Nos. 12-107 and 11-43, Report and Order and Further Notice of Proposed Rulemaking, FCC 13-45, 28 FCC Rcd 4871 (2013) (</w:t>
      </w:r>
      <w:r w:rsidRPr="009C79E5">
        <w:rPr>
          <w:i/>
        </w:rPr>
        <w:t>Emergency Information and Video Description Order and FNPRM</w:t>
      </w:r>
      <w:r w:rsidRPr="009C79E5">
        <w:t xml:space="preserve">), available at </w:t>
      </w:r>
      <w:hyperlink r:id="rId99" w:history="1">
        <w:r w:rsidRPr="009C79E5">
          <w:rPr>
            <w:rStyle w:val="Hyperlink"/>
          </w:rPr>
          <w:t>https://apps.fcc.gov/edocs_public/attachmatch/FCC-13-45A1.pdf</w:t>
        </w:r>
      </w:hyperlink>
      <w:r w:rsidRPr="009C79E5">
        <w:t xml:space="preserve">.  </w:t>
      </w:r>
      <w:r w:rsidRPr="009C79E5">
        <w:rPr>
          <w:i/>
        </w:rPr>
        <w:t xml:space="preserve">See </w:t>
      </w:r>
      <w:r w:rsidRPr="009C79E5">
        <w:t xml:space="preserve">Section III.G of this </w:t>
      </w:r>
      <w:r w:rsidRPr="009C79E5">
        <w:rPr>
          <w:i/>
        </w:rPr>
        <w:t>Report</w:t>
      </w:r>
      <w:r w:rsidRPr="009C79E5">
        <w:t xml:space="preserve">, </w:t>
      </w:r>
      <w:r w:rsidRPr="009C79E5">
        <w:rPr>
          <w:i/>
        </w:rPr>
        <w:t>supra</w:t>
      </w:r>
      <w:r w:rsidRPr="009C79E5">
        <w:t xml:space="preserve"> (discussing requirements for televised emergency information to be accessible to individuals who are blind or visually impaired).</w:t>
      </w:r>
    </w:p>
  </w:footnote>
  <w:footnote w:id="496">
    <w:p w:rsidR="000A68B6" w:rsidRPr="009C79E5" w:rsidRDefault="000A68B6" w:rsidP="00A1191D">
      <w:pPr>
        <w:pStyle w:val="FootnoteText"/>
        <w:spacing w:after="120"/>
        <w:rPr>
          <w:i/>
        </w:rPr>
      </w:pPr>
      <w:r w:rsidRPr="009C79E5">
        <w:rPr>
          <w:rStyle w:val="FootnoteReference"/>
        </w:rPr>
        <w:footnoteRef/>
      </w:r>
      <w:r w:rsidRPr="009C79E5">
        <w:t xml:space="preserve"> </w:t>
      </w:r>
      <w:r w:rsidRPr="009C79E5">
        <w:rPr>
          <w:i/>
        </w:rPr>
        <w:t>Emergency Information and Video Description Order and FNPRM</w:t>
      </w:r>
      <w:r w:rsidRPr="009C79E5">
        <w:t xml:space="preserve">, 28 FCC Rcd at 4907, 4913-16, ¶¶ 49, 60-62.  </w:t>
      </w:r>
      <w:r w:rsidRPr="009C79E5">
        <w:rPr>
          <w:i/>
        </w:rPr>
        <w:t xml:space="preserve">See also </w:t>
      </w:r>
      <w:r w:rsidRPr="009C79E5">
        <w:t>47 C.F.R. §§ 79.2 (emergency information accessibility rules), 79.3 (video description rules).</w:t>
      </w:r>
    </w:p>
  </w:footnote>
  <w:footnote w:id="497">
    <w:p w:rsidR="000A68B6" w:rsidRPr="009C79E5" w:rsidRDefault="000A68B6" w:rsidP="00A1191D">
      <w:pPr>
        <w:pStyle w:val="FootnoteText"/>
        <w:spacing w:after="120"/>
      </w:pPr>
      <w:r w:rsidRPr="009C79E5">
        <w:rPr>
          <w:rStyle w:val="FootnoteReference"/>
        </w:rPr>
        <w:footnoteRef/>
      </w:r>
      <w:r w:rsidRPr="009C79E5">
        <w:t xml:space="preserve"> </w:t>
      </w:r>
      <w:r w:rsidRPr="009C79E5">
        <w:rPr>
          <w:i/>
        </w:rPr>
        <w:t>Emergency Information and Video Description Order and FNPRM</w:t>
      </w:r>
      <w:r w:rsidRPr="009C79E5">
        <w:t>, 28 FCC Rcd at 4909, 4913-16, ¶¶ 52, 60-62.</w:t>
      </w:r>
    </w:p>
  </w:footnote>
  <w:footnote w:id="498">
    <w:p w:rsidR="000A68B6" w:rsidRPr="009C79E5" w:rsidRDefault="000A68B6" w:rsidP="00A1191D">
      <w:pPr>
        <w:pStyle w:val="FootnoteText"/>
        <w:spacing w:after="120"/>
      </w:pPr>
      <w:r w:rsidRPr="009C79E5">
        <w:rPr>
          <w:rStyle w:val="FootnoteReference"/>
        </w:rPr>
        <w:footnoteRef/>
      </w:r>
      <w:r w:rsidRPr="009C79E5">
        <w:t xml:space="preserve"> </w:t>
      </w:r>
      <w:r w:rsidRPr="009C79E5">
        <w:rPr>
          <w:i/>
        </w:rPr>
        <w:t>Id.</w:t>
      </w:r>
      <w:r w:rsidRPr="009C79E5">
        <w:t>, 28 FCC Rcd at 4911, ¶ 55.</w:t>
      </w:r>
    </w:p>
  </w:footnote>
  <w:footnote w:id="499">
    <w:p w:rsidR="000A68B6" w:rsidRPr="009C79E5" w:rsidRDefault="000A68B6" w:rsidP="00A1191D">
      <w:pPr>
        <w:pStyle w:val="FootnoteText"/>
        <w:spacing w:after="120"/>
        <w:rPr>
          <w:i/>
        </w:rPr>
      </w:pPr>
      <w:r w:rsidRPr="009C79E5">
        <w:rPr>
          <w:rStyle w:val="FootnoteReference"/>
        </w:rPr>
        <w:footnoteRef/>
      </w:r>
      <w:r w:rsidRPr="009C79E5">
        <w:t xml:space="preserve"> </w:t>
      </w:r>
      <w:r w:rsidRPr="009C79E5">
        <w:rPr>
          <w:i/>
        </w:rPr>
        <w:t>Id.</w:t>
      </w:r>
      <w:r w:rsidRPr="009C79E5">
        <w:t xml:space="preserve">, 28 FCC Rcd at 4921-22, ¶¶ 72-73.  </w:t>
      </w:r>
    </w:p>
  </w:footnote>
  <w:footnote w:id="500">
    <w:p w:rsidR="000A68B6" w:rsidRPr="009C79E5" w:rsidRDefault="000A68B6" w:rsidP="00A1191D">
      <w:pPr>
        <w:pStyle w:val="FootnoteText"/>
        <w:spacing w:after="120"/>
      </w:pPr>
      <w:r w:rsidRPr="009C79E5">
        <w:rPr>
          <w:rStyle w:val="FootnoteReference"/>
        </w:rPr>
        <w:footnoteRef/>
      </w:r>
      <w:r w:rsidRPr="009C79E5">
        <w:t xml:space="preserve"> </w:t>
      </w:r>
      <w:r w:rsidRPr="009C79E5">
        <w:rPr>
          <w:i/>
        </w:rPr>
        <w:t>Id.</w:t>
      </w:r>
      <w:r w:rsidRPr="009C79E5">
        <w:t>, 28 FCC Rcd at 4906-07, ¶ 48.</w:t>
      </w:r>
      <w:r w:rsidRPr="009C79E5">
        <w:rPr>
          <w:rFonts w:eastAsia="Lucida Grande"/>
        </w:rPr>
        <w:t xml:space="preserve">  </w:t>
      </w:r>
    </w:p>
  </w:footnote>
  <w:footnote w:id="501">
    <w:p w:rsidR="000A68B6" w:rsidRPr="009C79E5" w:rsidRDefault="000A68B6" w:rsidP="00A1191D">
      <w:pPr>
        <w:pStyle w:val="FootnoteText"/>
        <w:spacing w:after="120"/>
      </w:pPr>
      <w:r w:rsidRPr="009C79E5">
        <w:rPr>
          <w:rStyle w:val="FootnoteReference"/>
        </w:rPr>
        <w:footnoteRef/>
      </w:r>
      <w:r w:rsidRPr="009C79E5">
        <w:t xml:space="preserve"> </w:t>
      </w:r>
      <w:r w:rsidRPr="009C79E5">
        <w:rPr>
          <w:i/>
        </w:rPr>
        <w:t xml:space="preserve">See </w:t>
      </w:r>
      <w:r w:rsidRPr="009C79E5">
        <w:t xml:space="preserve">47 C.F.R. §§ 79.105(a), 79.106(a).  </w:t>
      </w:r>
      <w:r w:rsidRPr="009C79E5">
        <w:rPr>
          <w:rFonts w:eastAsia="Lucida Grande"/>
        </w:rPr>
        <w:t xml:space="preserve">The Commission, however, granted DIRECTV a waiver with respect to the set-top box models on which it is unable to implement audio functionality for emergency information, conditioned on the requirement that it provide, upon request and at no additional cost to customers who are blind or visually impaired, a set-top box model that is capable of providing aural emergency information.  </w:t>
      </w:r>
      <w:r w:rsidRPr="009C79E5">
        <w:rPr>
          <w:i/>
        </w:rPr>
        <w:t>Id.</w:t>
      </w:r>
      <w:r w:rsidRPr="009C79E5">
        <w:t>, 28 FCC Rcd at 4905, ¶ 44.</w:t>
      </w:r>
    </w:p>
  </w:footnote>
  <w:footnote w:id="502">
    <w:p w:rsidR="000A68B6" w:rsidRPr="009C79E5" w:rsidRDefault="000A68B6" w:rsidP="00A1191D">
      <w:pPr>
        <w:pStyle w:val="FootnoteText"/>
        <w:spacing w:after="120"/>
      </w:pPr>
      <w:r w:rsidRPr="009C79E5">
        <w:rPr>
          <w:rStyle w:val="FootnoteReference"/>
        </w:rPr>
        <w:footnoteRef/>
      </w:r>
      <w:r w:rsidRPr="009C79E5">
        <w:t xml:space="preserve"> </w:t>
      </w:r>
      <w:r w:rsidRPr="009C79E5">
        <w:rPr>
          <w:i/>
        </w:rPr>
        <w:t>Id.</w:t>
      </w:r>
      <w:r w:rsidRPr="009C79E5">
        <w:t>, 28 FCC Rcd at 4926-27, 4928-29, ¶¶ 80-82, 85-86.</w:t>
      </w:r>
    </w:p>
  </w:footnote>
  <w:footnote w:id="503">
    <w:p w:rsidR="000A68B6" w:rsidRPr="009C79E5" w:rsidRDefault="000A68B6" w:rsidP="00A1191D">
      <w:pPr>
        <w:pStyle w:val="FootnoteText"/>
        <w:spacing w:after="120"/>
      </w:pPr>
      <w:r w:rsidRPr="009C79E5">
        <w:rPr>
          <w:rStyle w:val="FootnoteReference"/>
        </w:rPr>
        <w:footnoteRef/>
      </w:r>
      <w:r w:rsidRPr="009C79E5">
        <w:t xml:space="preserve"> </w:t>
      </w:r>
      <w:r w:rsidRPr="009C79E5">
        <w:rPr>
          <w:i/>
          <w:kern w:val="28"/>
        </w:rPr>
        <w:t xml:space="preserve">Accessibility of User Interfaces, and Video Programming Guides and Menus; </w:t>
      </w:r>
      <w:r w:rsidRPr="009C79E5">
        <w:rPr>
          <w:i/>
          <w:spacing w:val="-2"/>
        </w:rPr>
        <w:t>Accessible Emergency Information, and Apparatus Requirements for Emergency Information and Video Description:  Implementation of the Twenty-First Century Communications and Video Accessibility Act of 2010</w:t>
      </w:r>
      <w:r w:rsidRPr="009C79E5">
        <w:rPr>
          <w:spacing w:val="-2"/>
        </w:rPr>
        <w:t xml:space="preserve">,  </w:t>
      </w:r>
      <w:r w:rsidRPr="009C79E5">
        <w:t>MB Docket Nos. 12-108 and 12-107, Report and Order and Further Notice of Proposed Rulemaking, FCC 13-138, 28 FCC Rcd 17330 (2013) (</w:t>
      </w:r>
      <w:r w:rsidRPr="009C79E5">
        <w:rPr>
          <w:i/>
        </w:rPr>
        <w:t>User Interfaces, Programming Guides and Menus Order and FNPRM</w:t>
      </w:r>
      <w:r w:rsidRPr="009C79E5">
        <w:t xml:space="preserve">), available at </w:t>
      </w:r>
      <w:hyperlink r:id="rId100" w:history="1">
        <w:r w:rsidRPr="009C79E5">
          <w:rPr>
            <w:rStyle w:val="Hyperlink"/>
          </w:rPr>
          <w:t>https://apps.fcc.gov/edocs_public/attachmatch/FCC-13-138A1.pdf</w:t>
        </w:r>
      </w:hyperlink>
      <w:r w:rsidRPr="009C79E5">
        <w:t xml:space="preserve">.  </w:t>
      </w:r>
      <w:r w:rsidRPr="009C79E5">
        <w:rPr>
          <w:i/>
        </w:rPr>
        <w:t>See also</w:t>
      </w:r>
      <w:r w:rsidRPr="009C79E5">
        <w:t xml:space="preserve"> Sections III.I and K of this </w:t>
      </w:r>
      <w:r w:rsidRPr="009C79E5">
        <w:rPr>
          <w:i/>
        </w:rPr>
        <w:t>Report</w:t>
      </w:r>
      <w:r w:rsidRPr="009C79E5">
        <w:t xml:space="preserve">, </w:t>
      </w:r>
      <w:r w:rsidRPr="009C79E5">
        <w:rPr>
          <w:i/>
        </w:rPr>
        <w:t>infra</w:t>
      </w:r>
      <w:r w:rsidRPr="009C79E5">
        <w:t>.</w:t>
      </w:r>
    </w:p>
  </w:footnote>
  <w:footnote w:id="504">
    <w:p w:rsidR="000A68B6" w:rsidRPr="009C79E5" w:rsidRDefault="000A68B6" w:rsidP="00A1191D">
      <w:pPr>
        <w:pStyle w:val="FootnoteText"/>
        <w:spacing w:after="120"/>
      </w:pPr>
      <w:r w:rsidRPr="009C79E5">
        <w:rPr>
          <w:rStyle w:val="FootnoteReference"/>
        </w:rPr>
        <w:footnoteRef/>
      </w:r>
      <w:r w:rsidRPr="009C79E5">
        <w:rPr>
          <w:i/>
        </w:rPr>
        <w:t>User Interfaces, Programming Guides and Menus Order and FNPRM</w:t>
      </w:r>
      <w:r w:rsidRPr="009C79E5">
        <w:t>, 28 FCC Rcd at 17417-18, ¶¶ 145-147.</w:t>
      </w:r>
    </w:p>
  </w:footnote>
  <w:footnote w:id="505">
    <w:p w:rsidR="000A68B6" w:rsidRPr="009C79E5" w:rsidRDefault="000A68B6" w:rsidP="00A1191D">
      <w:pPr>
        <w:pStyle w:val="FootnoteText"/>
        <w:spacing w:after="120"/>
        <w:rPr>
          <w:i/>
        </w:rPr>
      </w:pPr>
      <w:r w:rsidRPr="009C79E5">
        <w:rPr>
          <w:rStyle w:val="FootnoteReference"/>
        </w:rPr>
        <w:footnoteRef/>
      </w:r>
      <w:r w:rsidRPr="009C79E5">
        <w:t xml:space="preserve"> </w:t>
      </w:r>
      <w:r w:rsidRPr="009C79E5">
        <w:rPr>
          <w:i/>
        </w:rPr>
        <w:t xml:space="preserve">Id. </w:t>
      </w:r>
    </w:p>
  </w:footnote>
  <w:footnote w:id="506">
    <w:p w:rsidR="000A68B6" w:rsidRPr="009C79E5" w:rsidRDefault="000A68B6" w:rsidP="00A1191D">
      <w:pPr>
        <w:pStyle w:val="FootnoteText"/>
        <w:spacing w:after="120"/>
        <w:rPr>
          <w:lang w:bidi="x-none"/>
        </w:rPr>
      </w:pPr>
      <w:r w:rsidRPr="009C79E5">
        <w:rPr>
          <w:rStyle w:val="FootnoteReference"/>
        </w:rPr>
        <w:footnoteRef/>
      </w:r>
      <w:r w:rsidRPr="009C79E5">
        <w:t xml:space="preserve"> CVAA, § 204.</w:t>
      </w:r>
    </w:p>
  </w:footnote>
  <w:footnote w:id="507">
    <w:p w:rsidR="000A68B6" w:rsidRPr="009C79E5" w:rsidRDefault="000A68B6" w:rsidP="00A1191D">
      <w:pPr>
        <w:pStyle w:val="FootnoteText"/>
        <w:spacing w:after="120"/>
      </w:pPr>
      <w:r w:rsidRPr="009C79E5">
        <w:rPr>
          <w:rStyle w:val="FootnoteReference"/>
        </w:rPr>
        <w:footnoteRef/>
      </w:r>
      <w:r w:rsidRPr="009C79E5">
        <w:t xml:space="preserve"> 47 U.S.C. § 303(aa)(4).  </w:t>
      </w:r>
      <w:r w:rsidRPr="009C79E5">
        <w:rPr>
          <w:i/>
        </w:rPr>
        <w:t>See</w:t>
      </w:r>
      <w:r w:rsidRPr="009C79E5">
        <w:t xml:space="preserve"> Section III.J of this </w:t>
      </w:r>
      <w:r w:rsidRPr="009C79E5">
        <w:rPr>
          <w:i/>
        </w:rPr>
        <w:t>Report</w:t>
      </w:r>
      <w:r w:rsidRPr="009C79E5">
        <w:t xml:space="preserve">, </w:t>
      </w:r>
      <w:r w:rsidRPr="009C79E5">
        <w:rPr>
          <w:i/>
        </w:rPr>
        <w:t>infra</w:t>
      </w:r>
      <w:r w:rsidRPr="009C79E5">
        <w:t xml:space="preserve"> (summarizing accessibility requirements for navigation devices).</w:t>
      </w:r>
    </w:p>
  </w:footnote>
  <w:footnote w:id="508">
    <w:p w:rsidR="000A68B6" w:rsidRPr="009C79E5" w:rsidRDefault="000A68B6" w:rsidP="00A1191D">
      <w:pPr>
        <w:pStyle w:val="FootnoteText"/>
        <w:spacing w:after="120"/>
        <w:rPr>
          <w:lang w:bidi="x-none"/>
        </w:rPr>
      </w:pPr>
      <w:r w:rsidRPr="009C79E5">
        <w:rPr>
          <w:rStyle w:val="FootnoteReference"/>
        </w:rPr>
        <w:footnoteRef/>
      </w:r>
      <w:r w:rsidRPr="009C79E5">
        <w:t xml:space="preserve"> CVAA, § 204(a); 47 U.S.C. §§ 303(aa)(1) and (2).</w:t>
      </w:r>
    </w:p>
  </w:footnote>
  <w:footnote w:id="509">
    <w:p w:rsidR="000A68B6" w:rsidRPr="009C79E5" w:rsidRDefault="000A68B6" w:rsidP="00A1191D">
      <w:pPr>
        <w:pStyle w:val="FootnoteText"/>
        <w:spacing w:after="120"/>
        <w:rPr>
          <w:lang w:bidi="x-none"/>
        </w:rPr>
      </w:pPr>
      <w:r w:rsidRPr="009C79E5">
        <w:rPr>
          <w:rStyle w:val="FootnoteReference"/>
        </w:rPr>
        <w:footnoteRef/>
      </w:r>
      <w:r w:rsidRPr="009C79E5">
        <w:t xml:space="preserve"> 47 U.S.C. § 303(aa)(3).  </w:t>
      </w:r>
    </w:p>
  </w:footnote>
  <w:footnote w:id="510">
    <w:p w:rsidR="000A68B6" w:rsidRPr="009C79E5" w:rsidRDefault="000A68B6" w:rsidP="00A1191D">
      <w:pPr>
        <w:pStyle w:val="FootnoteText"/>
        <w:spacing w:after="120"/>
        <w:rPr>
          <w:lang w:bidi="x-none"/>
        </w:rPr>
      </w:pPr>
      <w:r w:rsidRPr="009C79E5">
        <w:rPr>
          <w:rStyle w:val="FootnoteReference"/>
        </w:rPr>
        <w:footnoteRef/>
      </w:r>
      <w:r w:rsidRPr="009C79E5">
        <w:t xml:space="preserve"> </w:t>
      </w:r>
      <w:r w:rsidRPr="009C79E5">
        <w:rPr>
          <w:i/>
        </w:rPr>
        <w:t>Accessibility of User Interfaces, and Video Programming Guides and Menus</w:t>
      </w:r>
      <w:r w:rsidRPr="009C79E5">
        <w:t xml:space="preserve">, MB Docket No. 12-108, Notice of Proposed Rulemaking, FCC 13-77, 28 FCC Rcd 8506, (2013), available at </w:t>
      </w:r>
      <w:hyperlink r:id="rId101" w:history="1">
        <w:r w:rsidRPr="009C79E5">
          <w:rPr>
            <w:rStyle w:val="Hyperlink"/>
          </w:rPr>
          <w:t>https://apps.fcc.gov/edocs_public/attachmatch/FCC-13-77A1.pdf</w:t>
        </w:r>
      </w:hyperlink>
      <w:r w:rsidRPr="009C79E5">
        <w:t xml:space="preserve">.  </w:t>
      </w:r>
      <w:r w:rsidRPr="009C79E5">
        <w:rPr>
          <w:rStyle w:val="apple-converted-space"/>
          <w:color w:val="auto"/>
        </w:rPr>
        <w:t xml:space="preserve">This rulemaking proceeding was informed by comments received about the VPAAC’s second report.  </w:t>
      </w:r>
      <w:r w:rsidRPr="009C79E5">
        <w:rPr>
          <w:rStyle w:val="apple-converted-space"/>
          <w:i/>
          <w:color w:val="auto"/>
        </w:rPr>
        <w:t xml:space="preserve">See </w:t>
      </w:r>
      <w:r w:rsidRPr="009C79E5">
        <w:rPr>
          <w:rStyle w:val="apple-converted-space"/>
          <w:color w:val="auto"/>
        </w:rPr>
        <w:t xml:space="preserve">n.404, </w:t>
      </w:r>
      <w:r w:rsidRPr="009C79E5">
        <w:rPr>
          <w:rStyle w:val="apple-converted-space"/>
          <w:i/>
          <w:color w:val="auto"/>
        </w:rPr>
        <w:t>supra</w:t>
      </w:r>
      <w:r w:rsidRPr="006C02D7">
        <w:t xml:space="preserve">.  </w:t>
      </w:r>
      <w:r w:rsidRPr="006C02D7">
        <w:rPr>
          <w:i/>
        </w:rPr>
        <w:t>See also</w:t>
      </w:r>
      <w:r w:rsidRPr="006C02D7">
        <w:t xml:space="preserve"> Section III.F of this </w:t>
      </w:r>
      <w:r w:rsidRPr="009C5E08">
        <w:rPr>
          <w:i/>
        </w:rPr>
        <w:t>Report</w:t>
      </w:r>
      <w:r w:rsidRPr="009C79E5">
        <w:t xml:space="preserve">, </w:t>
      </w:r>
      <w:r w:rsidRPr="009C79E5">
        <w:rPr>
          <w:i/>
        </w:rPr>
        <w:t>supra</w:t>
      </w:r>
      <w:r w:rsidRPr="009C79E5">
        <w:t xml:space="preserve">.  In this proceeding, the Commission also sought comment on the implementation of CVAA accessibility requirements for navigation devices.  </w:t>
      </w:r>
      <w:r w:rsidRPr="009C79E5">
        <w:rPr>
          <w:i/>
        </w:rPr>
        <w:t>See</w:t>
      </w:r>
      <w:r w:rsidRPr="009C79E5">
        <w:t xml:space="preserve"> Section III.J of this </w:t>
      </w:r>
      <w:r w:rsidRPr="009C79E5">
        <w:rPr>
          <w:i/>
        </w:rPr>
        <w:t>Report</w:t>
      </w:r>
      <w:r w:rsidRPr="009C79E5">
        <w:t xml:space="preserve">, </w:t>
      </w:r>
      <w:r w:rsidRPr="009C79E5">
        <w:rPr>
          <w:i/>
        </w:rPr>
        <w:t>infra</w:t>
      </w:r>
      <w:r w:rsidRPr="009C79E5">
        <w:t>.</w:t>
      </w:r>
    </w:p>
  </w:footnote>
  <w:footnote w:id="511">
    <w:p w:rsidR="000A68B6" w:rsidRPr="009C79E5" w:rsidRDefault="000A68B6" w:rsidP="00A1191D">
      <w:pPr>
        <w:pStyle w:val="FootnoteText"/>
        <w:spacing w:after="120"/>
      </w:pPr>
      <w:r w:rsidRPr="009C79E5">
        <w:rPr>
          <w:vertAlign w:val="superscript"/>
        </w:rPr>
        <w:footnoteRef/>
      </w:r>
      <w:r w:rsidRPr="009C79E5">
        <w:t xml:space="preserve"> </w:t>
      </w:r>
      <w:r w:rsidRPr="009C79E5">
        <w:rPr>
          <w:i/>
          <w:kern w:val="28"/>
        </w:rPr>
        <w:t xml:space="preserve">Accessibility of User Interfaces, and Video Programming Guides and Menus; </w:t>
      </w:r>
      <w:r w:rsidRPr="009C79E5">
        <w:rPr>
          <w:i/>
          <w:spacing w:val="-2"/>
        </w:rPr>
        <w:t>Accessible Emergency Information, and Apparatus Requirements for Emergency Information and Video Description:  Implementation of the Twenty-First Century Communications and Video Accessibility Act of 2010</w:t>
      </w:r>
      <w:r w:rsidRPr="009C79E5">
        <w:rPr>
          <w:spacing w:val="-2"/>
        </w:rPr>
        <w:t xml:space="preserve">,  </w:t>
      </w:r>
      <w:r w:rsidRPr="009C79E5">
        <w:t>MB Docket Nos. 12-108 and 12-107, Report and Order and Further Notice of Proposed Rulemaking, FCC 13-138, 28 FCC Rcd 17330 (2013) (</w:t>
      </w:r>
      <w:r w:rsidRPr="009C79E5">
        <w:rPr>
          <w:i/>
        </w:rPr>
        <w:t>User Interfaces, Programming Guides and Menus Order and FNPRM</w:t>
      </w:r>
      <w:r w:rsidRPr="009C79E5">
        <w:t xml:space="preserve">), available at </w:t>
      </w:r>
      <w:hyperlink r:id="rId102" w:history="1">
        <w:r w:rsidRPr="009C79E5">
          <w:rPr>
            <w:rStyle w:val="Hyperlink"/>
          </w:rPr>
          <w:t>https://apps.fcc.gov/edocs_public/attachmatch/FCC-13-138A1.pdf</w:t>
        </w:r>
      </w:hyperlink>
      <w:r w:rsidRPr="009C79E5">
        <w:t xml:space="preserve">.  In this proceeding, the Commission also adopted rules implementing CVAA accessibility requirements for navigation devices.  </w:t>
      </w:r>
      <w:r w:rsidRPr="009C79E5">
        <w:rPr>
          <w:i/>
        </w:rPr>
        <w:t>See</w:t>
      </w:r>
      <w:r w:rsidRPr="009C79E5">
        <w:t xml:space="preserve"> Section III.J of this </w:t>
      </w:r>
      <w:r w:rsidRPr="009C79E5">
        <w:rPr>
          <w:i/>
        </w:rPr>
        <w:t>Report</w:t>
      </w:r>
      <w:r w:rsidRPr="009C79E5">
        <w:t xml:space="preserve">, </w:t>
      </w:r>
      <w:r w:rsidRPr="009C79E5">
        <w:rPr>
          <w:i/>
        </w:rPr>
        <w:t>infra</w:t>
      </w:r>
      <w:r w:rsidRPr="009C79E5">
        <w:t xml:space="preserve">.  The new rules also include procedures for the filing of consumer complaints.  </w:t>
      </w:r>
      <w:r w:rsidRPr="009C79E5">
        <w:rPr>
          <w:i/>
        </w:rPr>
        <w:t>User Interfaces, Programming Guides and Menus Order and FNPRM</w:t>
      </w:r>
      <w:r w:rsidRPr="009C79E5">
        <w:t xml:space="preserve">, 28 FCC Rcd at 17405-06, ¶ 120. Section 204(b) had required the Commission to adopt implementing regulations for these provisions within 18 months after the second VPAAC report was submitted to the Commission.  CVAA, § 204(b).  The second VPAAC report was submitted to the Commission on April 9, 2012.  </w:t>
      </w:r>
      <w:r w:rsidRPr="009C79E5">
        <w:rPr>
          <w:i/>
        </w:rPr>
        <w:t>See</w:t>
      </w:r>
      <w:r w:rsidRPr="009C79E5">
        <w:t xml:space="preserve"> Section III.F of this Report, </w:t>
      </w:r>
      <w:r w:rsidRPr="009C79E5">
        <w:rPr>
          <w:i/>
        </w:rPr>
        <w:t>supra</w:t>
      </w:r>
      <w:r w:rsidRPr="009C79E5">
        <w:t>.  The October 9, 2013 deadline for the Commission to prescribe regulations to implement Section 204 of the CVAA occurred during a shutdown of the federal government due to a lapse in appropriations, when the Commission could not conduct normal business operations.  CVAA, § 204(b).  The Commission adopted rules to implement Section 204 of the CVAA within two weeks after the government re-opened.</w:t>
      </w:r>
    </w:p>
  </w:footnote>
  <w:footnote w:id="512">
    <w:p w:rsidR="000A68B6" w:rsidRPr="009C79E5" w:rsidRDefault="000A68B6" w:rsidP="00A1191D">
      <w:pPr>
        <w:pStyle w:val="FootnoteText"/>
        <w:spacing w:after="120"/>
      </w:pPr>
      <w:r w:rsidRPr="009C79E5">
        <w:rPr>
          <w:rStyle w:val="FootnoteReference"/>
        </w:rPr>
        <w:footnoteRef/>
      </w:r>
      <w:r w:rsidRPr="009C79E5">
        <w:t xml:space="preserve"> </w:t>
      </w:r>
      <w:r w:rsidRPr="009C79E5">
        <w:rPr>
          <w:i/>
        </w:rPr>
        <w:t>User Interfaces, Programming Guides and Menus Order and FNPRM</w:t>
      </w:r>
      <w:r w:rsidRPr="009C79E5">
        <w:t xml:space="preserve">, 28 FCC Rcd at 17363, 17366-68, ¶¶ 54, 58.  </w:t>
      </w:r>
      <w:r w:rsidRPr="009C79E5">
        <w:rPr>
          <w:i/>
        </w:rPr>
        <w:t xml:space="preserve">See also </w:t>
      </w:r>
      <w:r w:rsidRPr="009C79E5">
        <w:t xml:space="preserve">Section III.F in this </w:t>
      </w:r>
      <w:r w:rsidRPr="009C79E5">
        <w:rPr>
          <w:i/>
        </w:rPr>
        <w:t>Report</w:t>
      </w:r>
      <w:r w:rsidRPr="009C79E5">
        <w:t xml:space="preserve">, </w:t>
      </w:r>
      <w:r w:rsidRPr="009C79E5">
        <w:rPr>
          <w:i/>
        </w:rPr>
        <w:t>supra</w:t>
      </w:r>
      <w:r w:rsidRPr="009C79E5">
        <w:t xml:space="preserve"> (describing the VPAAC and its reports).</w:t>
      </w:r>
    </w:p>
  </w:footnote>
  <w:footnote w:id="513">
    <w:p w:rsidR="000A68B6" w:rsidRPr="009C79E5" w:rsidRDefault="000A68B6" w:rsidP="00A1191D">
      <w:pPr>
        <w:pStyle w:val="FootnoteText"/>
        <w:spacing w:after="120"/>
      </w:pPr>
      <w:r w:rsidRPr="009C79E5">
        <w:rPr>
          <w:rStyle w:val="FootnoteReference"/>
        </w:rPr>
        <w:footnoteRef/>
      </w:r>
      <w:r w:rsidRPr="009C79E5">
        <w:t xml:space="preserve"> </w:t>
      </w:r>
      <w:r w:rsidRPr="009C79E5">
        <w:rPr>
          <w:i/>
        </w:rPr>
        <w:t>User Interfaces, Programming Guides and Menus Order and FNPRM</w:t>
      </w:r>
      <w:r w:rsidRPr="009C79E5">
        <w:t xml:space="preserve">, 28 FCC Rcd at 17371, ¶ 63.  </w:t>
      </w:r>
    </w:p>
  </w:footnote>
  <w:footnote w:id="514">
    <w:p w:rsidR="000A68B6" w:rsidRPr="009C79E5" w:rsidRDefault="000A68B6" w:rsidP="00A1191D">
      <w:pPr>
        <w:pStyle w:val="FootnoteText"/>
        <w:spacing w:after="120"/>
      </w:pPr>
      <w:r w:rsidRPr="009C79E5">
        <w:rPr>
          <w:rStyle w:val="FootnoteReference"/>
        </w:rPr>
        <w:footnoteRef/>
      </w:r>
      <w:r w:rsidRPr="009C79E5">
        <w:t xml:space="preserve"> </w:t>
      </w:r>
      <w:r w:rsidRPr="009C79E5">
        <w:rPr>
          <w:i/>
        </w:rPr>
        <w:t>Id.</w:t>
      </w:r>
      <w:r w:rsidRPr="009C79E5">
        <w:t>, 28 FCC Rcd at 17381-84, 17385, ¶¶ 81-83, 84, 86.</w:t>
      </w:r>
    </w:p>
  </w:footnote>
  <w:footnote w:id="515">
    <w:p w:rsidR="000A68B6" w:rsidRPr="009C79E5" w:rsidRDefault="000A68B6" w:rsidP="00A1191D">
      <w:pPr>
        <w:pStyle w:val="FootnoteText"/>
        <w:spacing w:after="120"/>
      </w:pPr>
      <w:r w:rsidRPr="009C79E5">
        <w:rPr>
          <w:rStyle w:val="FootnoteReference"/>
        </w:rPr>
        <w:footnoteRef/>
      </w:r>
      <w:r w:rsidRPr="009C79E5">
        <w:t xml:space="preserve"> </w:t>
      </w:r>
      <w:r w:rsidRPr="009C79E5">
        <w:rPr>
          <w:i/>
        </w:rPr>
        <w:t>Id.</w:t>
      </w:r>
      <w:r w:rsidRPr="009C79E5">
        <w:t xml:space="preserve">, 28 FCC Rcd at 17399, ¶ 111.  </w:t>
      </w:r>
      <w:r w:rsidRPr="009C79E5">
        <w:rPr>
          <w:i/>
        </w:rPr>
        <w:t xml:space="preserve">See also </w:t>
      </w:r>
      <w:r w:rsidRPr="009C79E5">
        <w:t>47 C.F.R. § 79.107(b).</w:t>
      </w:r>
    </w:p>
  </w:footnote>
  <w:footnote w:id="516">
    <w:p w:rsidR="000A68B6" w:rsidRPr="009C79E5" w:rsidRDefault="000A68B6" w:rsidP="00A1191D">
      <w:pPr>
        <w:pStyle w:val="FootnoteText"/>
        <w:spacing w:after="120"/>
      </w:pPr>
      <w:r w:rsidRPr="009C79E5">
        <w:rPr>
          <w:rStyle w:val="FootnoteReference"/>
        </w:rPr>
        <w:footnoteRef/>
      </w:r>
      <w:r w:rsidRPr="009C79E5">
        <w:t xml:space="preserve"> </w:t>
      </w:r>
      <w:r w:rsidRPr="009C79E5">
        <w:rPr>
          <w:i/>
        </w:rPr>
        <w:t>User Interfaces, Programming Guides and Menus Order and FNPRM</w:t>
      </w:r>
      <w:r w:rsidRPr="009C79E5">
        <w:t xml:space="preserve">, 28 FCC Rcd at 17348-49, ¶ 28.  </w:t>
      </w:r>
      <w:r w:rsidRPr="009C79E5">
        <w:rPr>
          <w:i/>
        </w:rPr>
        <w:t>See</w:t>
      </w:r>
      <w:r w:rsidRPr="009C79E5">
        <w:t xml:space="preserve"> Section III.J of this </w:t>
      </w:r>
      <w:r w:rsidRPr="009C79E5">
        <w:rPr>
          <w:i/>
        </w:rPr>
        <w:t>Report</w:t>
      </w:r>
      <w:r w:rsidRPr="009C79E5">
        <w:t xml:space="preserve">, </w:t>
      </w:r>
      <w:r w:rsidRPr="009C79E5">
        <w:rPr>
          <w:i/>
        </w:rPr>
        <w:t>infra</w:t>
      </w:r>
      <w:r w:rsidRPr="009C79E5">
        <w:t xml:space="preserve"> (summarizing accessibility requirements for navigation devices).</w:t>
      </w:r>
    </w:p>
  </w:footnote>
  <w:footnote w:id="517">
    <w:p w:rsidR="000A68B6" w:rsidRPr="009C79E5" w:rsidRDefault="000A68B6" w:rsidP="00A1191D">
      <w:pPr>
        <w:pStyle w:val="FootnoteText"/>
        <w:spacing w:after="120"/>
      </w:pPr>
      <w:r w:rsidRPr="009C79E5">
        <w:rPr>
          <w:rStyle w:val="FootnoteReference"/>
        </w:rPr>
        <w:footnoteRef/>
      </w:r>
      <w:r w:rsidRPr="009C79E5">
        <w:t xml:space="preserve"> </w:t>
      </w:r>
      <w:r w:rsidRPr="009C79E5">
        <w:rPr>
          <w:i/>
        </w:rPr>
        <w:t>User Interfaces, Programming Guides and Menus Order and FNPRM</w:t>
      </w:r>
      <w:r w:rsidRPr="009C79E5">
        <w:t xml:space="preserve">, 28 FCC Rcd at 17348-49 ¶ 28.  The rules also apply to video players that manufacturers embed in their devices, as well as third-party video players that manufacturers install in their devices before sale or that they direct consumers to add to the device after sale to enable the device to play video.  </w:t>
      </w:r>
      <w:r w:rsidRPr="009C79E5">
        <w:rPr>
          <w:i/>
        </w:rPr>
        <w:t xml:space="preserve">Id., </w:t>
      </w:r>
      <w:r w:rsidRPr="009C79E5">
        <w:t xml:space="preserve">28 FCC Rcd at 17353-54, ¶ 39.  Video programming applications that are installed by the manufacturer (or those that the manufacturer directs consumers to install), such as Netflix, Hulu, and Amazon, must also be made accessible under Section 204 of the CVAA.  </w:t>
      </w:r>
      <w:r w:rsidRPr="009C79E5">
        <w:rPr>
          <w:i/>
        </w:rPr>
        <w:t>Id.</w:t>
      </w:r>
      <w:r w:rsidRPr="009C79E5">
        <w:t>, 28 FCC Rcd at 17348, n.86.</w:t>
      </w:r>
    </w:p>
  </w:footnote>
  <w:footnote w:id="518">
    <w:p w:rsidR="000A68B6" w:rsidRPr="009C79E5" w:rsidRDefault="000A68B6" w:rsidP="00A1191D">
      <w:pPr>
        <w:pStyle w:val="FootnoteText"/>
        <w:spacing w:after="120"/>
      </w:pPr>
      <w:r w:rsidRPr="009C79E5">
        <w:rPr>
          <w:rStyle w:val="FootnoteReference"/>
        </w:rPr>
        <w:footnoteRef/>
      </w:r>
      <w:r w:rsidRPr="009C79E5">
        <w:t xml:space="preserve"> </w:t>
      </w:r>
      <w:r w:rsidRPr="009C79E5">
        <w:rPr>
          <w:i/>
        </w:rPr>
        <w:t>Id.</w:t>
      </w:r>
      <w:r w:rsidRPr="009C79E5">
        <w:t xml:space="preserve">, 28 FCC Rcd at 17349-50, ¶¶ 30-32.  </w:t>
      </w:r>
    </w:p>
  </w:footnote>
  <w:footnote w:id="519">
    <w:p w:rsidR="000A68B6" w:rsidRPr="009C79E5" w:rsidRDefault="000A68B6" w:rsidP="00A1191D">
      <w:pPr>
        <w:pStyle w:val="FootnoteText"/>
        <w:spacing w:after="120"/>
      </w:pPr>
      <w:r w:rsidRPr="009C79E5">
        <w:rPr>
          <w:rStyle w:val="FootnoteReference"/>
        </w:rPr>
        <w:footnoteRef/>
      </w:r>
      <w:r w:rsidRPr="009C79E5">
        <w:t xml:space="preserve"> </w:t>
      </w:r>
      <w:r w:rsidRPr="009C79E5">
        <w:rPr>
          <w:i/>
        </w:rPr>
        <w:t>Id.</w:t>
      </w:r>
      <w:r w:rsidRPr="009C79E5">
        <w:t xml:space="preserve">, 28 FCC Rcd at 17351, ¶ 34.  </w:t>
      </w:r>
    </w:p>
  </w:footnote>
  <w:footnote w:id="520">
    <w:p w:rsidR="000A68B6" w:rsidRPr="009C79E5" w:rsidRDefault="000A68B6" w:rsidP="00A1191D">
      <w:pPr>
        <w:pStyle w:val="FootnoteText"/>
        <w:spacing w:after="120"/>
      </w:pPr>
      <w:r w:rsidRPr="009C79E5">
        <w:rPr>
          <w:rStyle w:val="FootnoteReference"/>
        </w:rPr>
        <w:footnoteRef/>
      </w:r>
      <w:r w:rsidRPr="009C79E5">
        <w:t xml:space="preserve"> </w:t>
      </w:r>
      <w:r w:rsidRPr="009C79E5">
        <w:rPr>
          <w:i/>
        </w:rPr>
        <w:t>Id.</w:t>
      </w:r>
      <w:r w:rsidRPr="009C79E5">
        <w:t xml:space="preserve">, 28 FCC Rcd at 17352-53, ¶ 37.  </w:t>
      </w:r>
      <w:r w:rsidRPr="009C79E5">
        <w:rPr>
          <w:i/>
        </w:rPr>
        <w:t xml:space="preserve">See also </w:t>
      </w:r>
      <w:r w:rsidRPr="009C79E5">
        <w:t xml:space="preserve">Section III.H of this </w:t>
      </w:r>
      <w:r w:rsidRPr="009C79E5">
        <w:rPr>
          <w:i/>
        </w:rPr>
        <w:t>Report</w:t>
      </w:r>
      <w:r w:rsidRPr="009C79E5">
        <w:t xml:space="preserve">, </w:t>
      </w:r>
      <w:r w:rsidRPr="009C79E5">
        <w:rPr>
          <w:i/>
        </w:rPr>
        <w:t>supra</w:t>
      </w:r>
      <w:r w:rsidRPr="009C79E5">
        <w:t>, ¶ 121, n.482.</w:t>
      </w:r>
    </w:p>
  </w:footnote>
  <w:footnote w:id="521">
    <w:p w:rsidR="000A68B6" w:rsidRPr="009C79E5" w:rsidRDefault="000A68B6" w:rsidP="00A1191D">
      <w:pPr>
        <w:pStyle w:val="FootnoteText"/>
        <w:spacing w:after="120"/>
      </w:pPr>
      <w:r w:rsidRPr="009C79E5">
        <w:rPr>
          <w:rStyle w:val="FootnoteReference"/>
        </w:rPr>
        <w:footnoteRef/>
      </w:r>
      <w:r w:rsidRPr="009C79E5">
        <w:t xml:space="preserve"> </w:t>
      </w:r>
      <w:r w:rsidRPr="009C79E5">
        <w:rPr>
          <w:i/>
        </w:rPr>
        <w:t>User Interfaces, Programming Guides and Menus Order and FNPRM</w:t>
      </w:r>
      <w:r w:rsidRPr="009C79E5">
        <w:t xml:space="preserve">, 28 FCC Rcd at 17413-17, 17420, ¶¶ </w:t>
      </w:r>
      <w:r w:rsidRPr="009C79E5">
        <w:rPr>
          <w:rStyle w:val="Strong1"/>
          <w:rFonts w:ascii="Times New Roman" w:hAnsi="Times New Roman"/>
          <w:b w:val="0"/>
          <w:color w:val="auto"/>
        </w:rPr>
        <w:t xml:space="preserve">138-143, 152.  </w:t>
      </w:r>
    </w:p>
  </w:footnote>
  <w:footnote w:id="522">
    <w:p w:rsidR="000A68B6" w:rsidRPr="009C79E5" w:rsidRDefault="000A68B6" w:rsidP="00A1191D">
      <w:pPr>
        <w:pStyle w:val="FootnoteText"/>
        <w:spacing w:after="120"/>
      </w:pPr>
      <w:r w:rsidRPr="009C79E5">
        <w:rPr>
          <w:rStyle w:val="FootnoteReference"/>
        </w:rPr>
        <w:footnoteRef/>
      </w:r>
      <w:r w:rsidRPr="009C79E5">
        <w:t xml:space="preserve"> Petition for Reconsideration of National Association of the Deaf, Telecommunications for the Deaf and Hard of Hearing, Inc. Deaf and Hard of Hearing Consumer Advocacy Network, Association of Late-Deafened Adults, Inc. Hearing Loss Association of America, California Coalition of Agencies Serving the Deaf and Hard of Hearing, Cerebral Palsy and Deaf Organization, and Technology Access Program Gallaudet University</w:t>
      </w:r>
      <w:r w:rsidRPr="009C79E5">
        <w:rPr>
          <w:i/>
        </w:rPr>
        <w:t xml:space="preserve"> </w:t>
      </w:r>
      <w:r w:rsidRPr="009C79E5">
        <w:t xml:space="preserve">(Consumer Groups), MB Docket Nos. 12-108 and 12-107, filed January 20, 2014, available at </w:t>
      </w:r>
      <w:hyperlink r:id="rId103" w:history="1">
        <w:r w:rsidRPr="009C79E5">
          <w:rPr>
            <w:rStyle w:val="Hyperlink"/>
          </w:rPr>
          <w:t>http://apps.fcc.gov/ecfs/document/view?id=7521066871</w:t>
        </w:r>
      </w:hyperlink>
      <w:r w:rsidRPr="009C79E5">
        <w:t>.</w:t>
      </w:r>
    </w:p>
  </w:footnote>
  <w:footnote w:id="523">
    <w:p w:rsidR="000A68B6" w:rsidRPr="009C79E5" w:rsidRDefault="000A68B6" w:rsidP="00A1191D">
      <w:pPr>
        <w:pStyle w:val="FootnoteText"/>
        <w:spacing w:after="120"/>
        <w:rPr>
          <w:lang w:bidi="x-none"/>
        </w:rPr>
      </w:pPr>
      <w:r w:rsidRPr="009C79E5">
        <w:rPr>
          <w:rStyle w:val="FootnoteReference"/>
        </w:rPr>
        <w:footnoteRef/>
      </w:r>
      <w:r w:rsidRPr="009C79E5">
        <w:t xml:space="preserve"> </w:t>
      </w:r>
      <w:r w:rsidRPr="009C79E5">
        <w:rPr>
          <w:i/>
        </w:rPr>
        <w:t>Pleading Cycle Established for Oppositions and Replies to the Petition for Reconsideration of the User Interfaces Order</w:t>
      </w:r>
      <w:r w:rsidRPr="009C79E5">
        <w:t>, MB Docket Nos. 12-107 and 12-108, Public Notice, DA 14-159, 29 FCC Rcd 1192 (MB 2014), available at</w:t>
      </w:r>
      <w:r w:rsidRPr="006C02D7">
        <w:t xml:space="preserve"> </w:t>
      </w:r>
      <w:hyperlink r:id="rId104" w:history="1">
        <w:r w:rsidRPr="009C79E5">
          <w:rPr>
            <w:rStyle w:val="Hyperlink1"/>
          </w:rPr>
          <w:t>https://apps.fcc.gov/edocs_public/attachmatch/DA-14-159A1.pdf</w:t>
        </w:r>
      </w:hyperlink>
      <w:r w:rsidRPr="009C79E5">
        <w:t>.</w:t>
      </w:r>
    </w:p>
  </w:footnote>
  <w:footnote w:id="524">
    <w:p w:rsidR="000A68B6" w:rsidRPr="009C79E5" w:rsidRDefault="000A68B6" w:rsidP="00A1191D">
      <w:pPr>
        <w:pStyle w:val="FootnoteText"/>
        <w:spacing w:after="120"/>
        <w:rPr>
          <w:lang w:bidi="x-none"/>
        </w:rPr>
      </w:pPr>
      <w:r w:rsidRPr="009C79E5">
        <w:rPr>
          <w:rStyle w:val="FootnoteReference"/>
        </w:rPr>
        <w:footnoteRef/>
      </w:r>
      <w:r w:rsidRPr="009C79E5">
        <w:t xml:space="preserve"> CVAA, § 205.</w:t>
      </w:r>
    </w:p>
  </w:footnote>
  <w:footnote w:id="525">
    <w:p w:rsidR="000A68B6" w:rsidRPr="009C79E5" w:rsidRDefault="000A68B6" w:rsidP="00A1191D">
      <w:pPr>
        <w:pStyle w:val="FootnoteText"/>
        <w:spacing w:after="120"/>
      </w:pPr>
      <w:r w:rsidRPr="009C79E5">
        <w:rPr>
          <w:rStyle w:val="FootnoteReference"/>
        </w:rPr>
        <w:footnoteRef/>
      </w:r>
      <w:r w:rsidRPr="009C79E5">
        <w:t xml:space="preserve"> 47 U.S.C. § 303(bb)(1); 47 C.F.R. § 76.1200.  </w:t>
      </w:r>
    </w:p>
  </w:footnote>
  <w:footnote w:id="526">
    <w:p w:rsidR="000A68B6" w:rsidRPr="009C79E5" w:rsidRDefault="000A68B6" w:rsidP="00A1191D">
      <w:pPr>
        <w:pStyle w:val="FootnoteText"/>
        <w:spacing w:after="120"/>
        <w:rPr>
          <w:lang w:bidi="x-none"/>
        </w:rPr>
      </w:pPr>
      <w:r w:rsidRPr="009C79E5">
        <w:rPr>
          <w:rStyle w:val="FootnoteReference"/>
        </w:rPr>
        <w:footnoteRef/>
      </w:r>
      <w:r w:rsidRPr="009C79E5">
        <w:t xml:space="preserve"> CVAA, § 205(a); 47 U.S.C. § 303(bb)(1).</w:t>
      </w:r>
    </w:p>
  </w:footnote>
  <w:footnote w:id="527">
    <w:p w:rsidR="000A68B6" w:rsidRPr="009C79E5" w:rsidRDefault="000A68B6" w:rsidP="00A1191D">
      <w:pPr>
        <w:pStyle w:val="FootnoteText"/>
        <w:spacing w:after="120"/>
        <w:rPr>
          <w:lang w:bidi="x-none"/>
        </w:rPr>
      </w:pPr>
      <w:r w:rsidRPr="009C79E5">
        <w:rPr>
          <w:rStyle w:val="FootnoteReference"/>
        </w:rPr>
        <w:footnoteRef/>
      </w:r>
      <w:r w:rsidRPr="009C79E5">
        <w:t xml:space="preserve"> 47 U.S.C. § 303(bb)(2). </w:t>
      </w:r>
    </w:p>
  </w:footnote>
  <w:footnote w:id="528">
    <w:p w:rsidR="000A68B6" w:rsidRPr="009C79E5" w:rsidRDefault="000A68B6" w:rsidP="00A1191D">
      <w:pPr>
        <w:pStyle w:val="FootnoteText"/>
        <w:spacing w:after="120"/>
        <w:rPr>
          <w:lang w:bidi="x-none"/>
        </w:rPr>
      </w:pPr>
      <w:r w:rsidRPr="009C79E5">
        <w:rPr>
          <w:rStyle w:val="FootnoteReference"/>
        </w:rPr>
        <w:footnoteRef/>
      </w:r>
      <w:r w:rsidRPr="009C79E5">
        <w:t xml:space="preserve"> </w:t>
      </w:r>
      <w:r w:rsidRPr="009C79E5">
        <w:rPr>
          <w:i/>
        </w:rPr>
        <w:t>Accessibility of User Interfaces, and Video Programming Guides and Menus</w:t>
      </w:r>
      <w:r w:rsidRPr="009C79E5">
        <w:t xml:space="preserve">, MB Docket No. 12-108, Notice of Proposed Rulemaking, FCC 13-77, 28 FCC Rcd 8506 (2013), available at </w:t>
      </w:r>
      <w:hyperlink r:id="rId105" w:history="1">
        <w:r w:rsidRPr="009C79E5">
          <w:rPr>
            <w:rStyle w:val="Hyperlink"/>
          </w:rPr>
          <w:t>https://apps.fcc.gov/edocs_public/attachmatch/FCC-13-77A1.pdf</w:t>
        </w:r>
      </w:hyperlink>
      <w:r w:rsidRPr="009C79E5">
        <w:t xml:space="preserve">.  </w:t>
      </w:r>
      <w:r w:rsidRPr="009C79E5">
        <w:rPr>
          <w:rStyle w:val="apple-converted-space"/>
          <w:color w:val="auto"/>
        </w:rPr>
        <w:t xml:space="preserve">This rulemaking proceeding was informed by comments received about the VPAAC’s second report.  </w:t>
      </w:r>
      <w:r w:rsidRPr="009C79E5">
        <w:rPr>
          <w:rStyle w:val="apple-converted-space"/>
          <w:i/>
          <w:color w:val="auto"/>
        </w:rPr>
        <w:t xml:space="preserve">See </w:t>
      </w:r>
      <w:r w:rsidRPr="009C79E5">
        <w:rPr>
          <w:rStyle w:val="apple-converted-space"/>
          <w:color w:val="auto"/>
        </w:rPr>
        <w:t xml:space="preserve">n.404, </w:t>
      </w:r>
      <w:r w:rsidRPr="009C79E5">
        <w:rPr>
          <w:rStyle w:val="apple-converted-space"/>
          <w:i/>
          <w:color w:val="auto"/>
        </w:rPr>
        <w:t>supra</w:t>
      </w:r>
      <w:r w:rsidRPr="006C02D7">
        <w:t xml:space="preserve">.  </w:t>
      </w:r>
      <w:r w:rsidRPr="006C02D7">
        <w:rPr>
          <w:i/>
        </w:rPr>
        <w:t>See also</w:t>
      </w:r>
      <w:r w:rsidRPr="006C02D7">
        <w:t xml:space="preserve"> Section III.F of this </w:t>
      </w:r>
      <w:r w:rsidRPr="009C5E08">
        <w:rPr>
          <w:i/>
        </w:rPr>
        <w:t>Report</w:t>
      </w:r>
      <w:r w:rsidRPr="009C79E5">
        <w:t xml:space="preserve">, </w:t>
      </w:r>
      <w:r w:rsidRPr="009C79E5">
        <w:rPr>
          <w:i/>
        </w:rPr>
        <w:t>supra</w:t>
      </w:r>
      <w:r w:rsidRPr="009C79E5">
        <w:t xml:space="preserve">.  In this proceeding, the Commission also sought comment on the implementation of CVAA accessibility requirements for apparatus used to view video programming.  </w:t>
      </w:r>
      <w:r w:rsidRPr="009C79E5">
        <w:rPr>
          <w:i/>
        </w:rPr>
        <w:t>See</w:t>
      </w:r>
      <w:r w:rsidRPr="009C79E5">
        <w:t xml:space="preserve"> Section III.I of this </w:t>
      </w:r>
      <w:r w:rsidRPr="009C79E5">
        <w:rPr>
          <w:i/>
        </w:rPr>
        <w:t>Report</w:t>
      </w:r>
      <w:r w:rsidRPr="009C79E5">
        <w:t xml:space="preserve">, </w:t>
      </w:r>
      <w:r w:rsidRPr="009C79E5">
        <w:rPr>
          <w:i/>
        </w:rPr>
        <w:t>supra</w:t>
      </w:r>
      <w:r w:rsidRPr="009C79E5">
        <w:t>.</w:t>
      </w:r>
    </w:p>
  </w:footnote>
  <w:footnote w:id="529">
    <w:p w:rsidR="000A68B6" w:rsidRPr="009C79E5" w:rsidRDefault="000A68B6" w:rsidP="00A1191D">
      <w:pPr>
        <w:pStyle w:val="FootnoteText"/>
        <w:spacing w:after="120"/>
      </w:pPr>
      <w:r w:rsidRPr="009C79E5">
        <w:rPr>
          <w:vertAlign w:val="superscript"/>
        </w:rPr>
        <w:footnoteRef/>
      </w:r>
      <w:r w:rsidRPr="009C79E5">
        <w:t xml:space="preserve"> </w:t>
      </w:r>
      <w:r w:rsidRPr="009C79E5">
        <w:rPr>
          <w:i/>
          <w:kern w:val="28"/>
        </w:rPr>
        <w:t xml:space="preserve">Accessibility of User Interfaces, and Video Programming Guides and Menus; </w:t>
      </w:r>
      <w:r w:rsidRPr="009C79E5">
        <w:rPr>
          <w:i/>
          <w:spacing w:val="-2"/>
        </w:rPr>
        <w:t>Accessible Emergency Information, and Apparatus Requirements for Emergency Information and Video Description:  Implementation of the Twenty-First Century Communications and Video Accessibility Act of 2010</w:t>
      </w:r>
      <w:r w:rsidRPr="009C79E5">
        <w:rPr>
          <w:spacing w:val="-2"/>
        </w:rPr>
        <w:t xml:space="preserve">,  </w:t>
      </w:r>
      <w:r w:rsidRPr="009C79E5">
        <w:t>MB Docket Nos. 12-108 and 12-107, Report and Order and Further Notice of Proposed Rulemaking, FCC 13-138, 28 FCC Rcd 17330 (2013) (</w:t>
      </w:r>
      <w:r w:rsidRPr="009C79E5">
        <w:rPr>
          <w:i/>
        </w:rPr>
        <w:t>User Interfaces, Programming Guides and Menus Order and FNPRM</w:t>
      </w:r>
      <w:r w:rsidRPr="009C79E5">
        <w:t xml:space="preserve">), available at </w:t>
      </w:r>
      <w:hyperlink r:id="rId106" w:history="1">
        <w:r w:rsidRPr="009C79E5">
          <w:rPr>
            <w:rStyle w:val="Hyperlink"/>
          </w:rPr>
          <w:t>https://apps.fcc.gov/edocs_public/attachmatch/FCC-13-138A1.pdf</w:t>
        </w:r>
      </w:hyperlink>
      <w:r w:rsidRPr="009C79E5">
        <w:t xml:space="preserve">.  In this proceeding, the Commission also adopted rules implementing CVAA accessibility requirements for apparatus user interfaces.  </w:t>
      </w:r>
      <w:r w:rsidRPr="009C79E5">
        <w:rPr>
          <w:i/>
        </w:rPr>
        <w:t>See</w:t>
      </w:r>
      <w:r w:rsidRPr="009C79E5">
        <w:t xml:space="preserve"> Section III.I of this </w:t>
      </w:r>
      <w:r w:rsidRPr="009C79E5">
        <w:rPr>
          <w:i/>
        </w:rPr>
        <w:t>Report</w:t>
      </w:r>
      <w:r w:rsidRPr="009C79E5">
        <w:t xml:space="preserve">, </w:t>
      </w:r>
      <w:r w:rsidRPr="009C79E5">
        <w:rPr>
          <w:i/>
        </w:rPr>
        <w:t>supra</w:t>
      </w:r>
      <w:r w:rsidRPr="009C79E5">
        <w:t xml:space="preserve">.  The new rules also include procedures for the filing of consumer complaints.  </w:t>
      </w:r>
      <w:r w:rsidRPr="009C79E5">
        <w:rPr>
          <w:i/>
        </w:rPr>
        <w:t>User Interfaces, Programming Guides and Menus Order and FNPRM</w:t>
      </w:r>
      <w:r w:rsidRPr="009C79E5">
        <w:t xml:space="preserve">, 28 FCC Rcd at 17405-06, ¶ 120.  </w:t>
      </w:r>
      <w:r w:rsidRPr="009C79E5">
        <w:rPr>
          <w:rStyle w:val="Strong1"/>
          <w:rFonts w:ascii="Times New Roman" w:hAnsi="Times New Roman"/>
          <w:b w:val="0"/>
          <w:color w:val="auto"/>
        </w:rPr>
        <w:t xml:space="preserve">Section 205(b)(1) required the Commission to adopt implementing regulations for these provisions within 18 months after the second VPAAC report is submitted to the Commission.  </w:t>
      </w:r>
      <w:r w:rsidRPr="009C79E5">
        <w:t xml:space="preserve">CVAA, § 205(b)(1).  The second VPAAC report was submitted to the Commission on April 9, 2012.  </w:t>
      </w:r>
      <w:r w:rsidRPr="009C79E5">
        <w:rPr>
          <w:i/>
        </w:rPr>
        <w:t>See</w:t>
      </w:r>
      <w:r w:rsidRPr="009C79E5">
        <w:t xml:space="preserve"> Section III.F of this </w:t>
      </w:r>
      <w:r w:rsidRPr="009C79E5">
        <w:rPr>
          <w:i/>
        </w:rPr>
        <w:t>Report</w:t>
      </w:r>
      <w:r w:rsidRPr="009C79E5">
        <w:t xml:space="preserve">, </w:t>
      </w:r>
      <w:r w:rsidRPr="009C79E5">
        <w:rPr>
          <w:i/>
        </w:rPr>
        <w:t>supra.</w:t>
      </w:r>
      <w:r w:rsidRPr="009C79E5">
        <w:t xml:space="preserve">  The October 9, 2013 deadline for the Commission to prescribe regulations to implement Section 205 of the CVAA occurred during a shutdown of the federal government due to a lapse in appropriations, when the Commission could not conduct normal business operations.  CVAA, § 205(b)(1).  The Commission adopted rules to implement Section 205 of the CVAA within two weeks after the government re-opened.</w:t>
      </w:r>
    </w:p>
  </w:footnote>
  <w:footnote w:id="530">
    <w:p w:rsidR="000A68B6" w:rsidRPr="009C79E5" w:rsidRDefault="000A68B6" w:rsidP="00A1191D">
      <w:pPr>
        <w:pStyle w:val="FootnoteText"/>
        <w:spacing w:after="120"/>
      </w:pPr>
      <w:r w:rsidRPr="009C79E5">
        <w:rPr>
          <w:rStyle w:val="FootnoteReference"/>
        </w:rPr>
        <w:footnoteRef/>
      </w:r>
      <w:r w:rsidRPr="009C79E5">
        <w:t xml:space="preserve"> </w:t>
      </w:r>
      <w:r w:rsidRPr="009C79E5">
        <w:rPr>
          <w:i/>
        </w:rPr>
        <w:t>User Interfaces, Programming Guides and Menus Order and FNPRM</w:t>
      </w:r>
      <w:r w:rsidRPr="009C79E5">
        <w:t xml:space="preserve">, 28 FCC Rcd at 17337, ¶ 12.  </w:t>
      </w:r>
    </w:p>
  </w:footnote>
  <w:footnote w:id="531">
    <w:p w:rsidR="000A68B6" w:rsidRPr="009C79E5" w:rsidRDefault="000A68B6" w:rsidP="00A1191D">
      <w:pPr>
        <w:pStyle w:val="FootnoteText"/>
        <w:spacing w:after="120"/>
      </w:pPr>
      <w:r w:rsidRPr="009C79E5">
        <w:rPr>
          <w:rStyle w:val="FootnoteReference"/>
        </w:rPr>
        <w:footnoteRef/>
      </w:r>
      <w:r w:rsidRPr="009C79E5">
        <w:t xml:space="preserve"> </w:t>
      </w:r>
      <w:r w:rsidRPr="009C79E5">
        <w:rPr>
          <w:i/>
        </w:rPr>
        <w:t>Id.</w:t>
      </w:r>
      <w:r w:rsidRPr="009C79E5">
        <w:t>, 28 FCC Rcd at 17344-46, ¶ 23.</w:t>
      </w:r>
    </w:p>
  </w:footnote>
  <w:footnote w:id="532">
    <w:p w:rsidR="000A68B6" w:rsidRPr="009C79E5" w:rsidRDefault="000A68B6" w:rsidP="00A1191D">
      <w:pPr>
        <w:pStyle w:val="FootnoteText"/>
        <w:spacing w:after="120"/>
      </w:pPr>
      <w:r w:rsidRPr="009C79E5">
        <w:rPr>
          <w:rStyle w:val="FootnoteReference"/>
        </w:rPr>
        <w:footnoteRef/>
      </w:r>
      <w:r w:rsidRPr="009C79E5">
        <w:t xml:space="preserve"> </w:t>
      </w:r>
      <w:r w:rsidRPr="009C79E5">
        <w:rPr>
          <w:i/>
        </w:rPr>
        <w:t>Id.</w:t>
      </w:r>
      <w:r w:rsidRPr="009C79E5">
        <w:t>, 28 FCC Rcd at 17355-56, ¶ 43.</w:t>
      </w:r>
    </w:p>
  </w:footnote>
  <w:footnote w:id="533">
    <w:p w:rsidR="000A68B6" w:rsidRPr="009C79E5" w:rsidRDefault="000A68B6" w:rsidP="00A1191D">
      <w:pPr>
        <w:pStyle w:val="FootnoteText"/>
        <w:spacing w:after="120"/>
      </w:pPr>
      <w:r w:rsidRPr="009C79E5">
        <w:rPr>
          <w:rStyle w:val="FootnoteReference"/>
        </w:rPr>
        <w:footnoteRef/>
      </w:r>
      <w:r w:rsidRPr="009C79E5">
        <w:t xml:space="preserve"> </w:t>
      </w:r>
      <w:r w:rsidRPr="009C79E5">
        <w:rPr>
          <w:i/>
        </w:rPr>
        <w:t>Id.</w:t>
      </w:r>
      <w:r w:rsidRPr="009C79E5">
        <w:t xml:space="preserve">, 28 FCC Rcd at 17349-50, ¶¶ 30-32.  </w:t>
      </w:r>
    </w:p>
  </w:footnote>
  <w:footnote w:id="534">
    <w:p w:rsidR="000A68B6" w:rsidRPr="009C79E5" w:rsidRDefault="000A68B6" w:rsidP="00A1191D">
      <w:pPr>
        <w:pStyle w:val="FootnoteText"/>
        <w:spacing w:after="120"/>
      </w:pPr>
      <w:r w:rsidRPr="009C79E5">
        <w:rPr>
          <w:rStyle w:val="FootnoteReference"/>
        </w:rPr>
        <w:footnoteRef/>
      </w:r>
      <w:r w:rsidRPr="009C79E5">
        <w:t xml:space="preserve"> </w:t>
      </w:r>
      <w:r w:rsidRPr="009C79E5">
        <w:rPr>
          <w:i/>
        </w:rPr>
        <w:t>Id.</w:t>
      </w:r>
      <w:r w:rsidRPr="009C79E5">
        <w:t>, 28 FCC Rcd at 17371-72, ¶ 64</w:t>
      </w:r>
    </w:p>
  </w:footnote>
  <w:footnote w:id="535">
    <w:p w:rsidR="000A68B6" w:rsidRPr="009C79E5" w:rsidRDefault="000A68B6" w:rsidP="00A1191D">
      <w:pPr>
        <w:pStyle w:val="FootnoteText"/>
        <w:spacing w:after="120"/>
      </w:pPr>
      <w:r w:rsidRPr="009C79E5">
        <w:rPr>
          <w:rStyle w:val="FootnoteReference"/>
        </w:rPr>
        <w:footnoteRef/>
      </w:r>
      <w:r w:rsidRPr="009C79E5">
        <w:t xml:space="preserve"> </w:t>
      </w:r>
      <w:r w:rsidRPr="009C79E5">
        <w:rPr>
          <w:i/>
        </w:rPr>
        <w:t>Id.</w:t>
      </w:r>
      <w:r w:rsidRPr="009C79E5">
        <w:t xml:space="preserve">, 28 FCC Rcd at 17371-72, 17373-74, 71376, ¶¶ 64, 68, 72.  </w:t>
      </w:r>
      <w:r w:rsidRPr="009C79E5">
        <w:rPr>
          <w:i/>
        </w:rPr>
        <w:t xml:space="preserve">See also </w:t>
      </w:r>
      <w:r w:rsidRPr="009C79E5">
        <w:t xml:space="preserve">Section III.F in this </w:t>
      </w:r>
      <w:r w:rsidRPr="009C79E5">
        <w:rPr>
          <w:i/>
        </w:rPr>
        <w:t>Report</w:t>
      </w:r>
      <w:r w:rsidRPr="009C79E5">
        <w:t xml:space="preserve">, </w:t>
      </w:r>
      <w:r w:rsidRPr="009C79E5">
        <w:rPr>
          <w:i/>
        </w:rPr>
        <w:t>supra</w:t>
      </w:r>
      <w:r w:rsidRPr="009C79E5">
        <w:t xml:space="preserve"> (describing the VPAAC and its reports).</w:t>
      </w:r>
    </w:p>
  </w:footnote>
  <w:footnote w:id="536">
    <w:p w:rsidR="000A68B6" w:rsidRPr="009C79E5" w:rsidRDefault="000A68B6" w:rsidP="00A1191D">
      <w:pPr>
        <w:pStyle w:val="FootnoteText"/>
        <w:spacing w:after="120"/>
      </w:pPr>
      <w:r w:rsidRPr="009C79E5">
        <w:rPr>
          <w:rStyle w:val="FootnoteReference"/>
        </w:rPr>
        <w:footnoteRef/>
      </w:r>
      <w:r w:rsidRPr="009C79E5">
        <w:t xml:space="preserve"> </w:t>
      </w:r>
      <w:r w:rsidRPr="009C79E5">
        <w:rPr>
          <w:i/>
        </w:rPr>
        <w:t>User Interfaces, Programming Guides and Menus Order and FNPRM</w:t>
      </w:r>
      <w:r w:rsidRPr="009C79E5">
        <w:t>, 28 FCC Rcd at 17381-85, 17395, ¶¶ 81-83, 85-86, 104.</w:t>
      </w:r>
    </w:p>
  </w:footnote>
  <w:footnote w:id="537">
    <w:p w:rsidR="000A68B6" w:rsidRPr="009C79E5" w:rsidRDefault="000A68B6" w:rsidP="00A1191D">
      <w:pPr>
        <w:pStyle w:val="FootnoteText"/>
        <w:spacing w:after="120"/>
      </w:pPr>
      <w:r w:rsidRPr="009C79E5">
        <w:rPr>
          <w:rStyle w:val="FootnoteReference"/>
        </w:rPr>
        <w:footnoteRef/>
      </w:r>
      <w:r w:rsidRPr="009C79E5">
        <w:t xml:space="preserve"> </w:t>
      </w:r>
      <w:r w:rsidRPr="009C79E5">
        <w:rPr>
          <w:i/>
        </w:rPr>
        <w:t>Id.</w:t>
      </w:r>
      <w:r w:rsidRPr="009C79E5">
        <w:t xml:space="preserve">, 28 FCC Rcd at 17385-86, ¶ 87.  In certain limited circumstances, an MVPD may require verification that the consumer is blind or visually impaired.  </w:t>
      </w:r>
      <w:r w:rsidRPr="009C79E5">
        <w:rPr>
          <w:i/>
        </w:rPr>
        <w:t>Id.</w:t>
      </w:r>
      <w:r w:rsidRPr="009C79E5">
        <w:t>, 28 FCC Rcd at 17409-11, ¶ 132.</w:t>
      </w:r>
    </w:p>
  </w:footnote>
  <w:footnote w:id="538">
    <w:p w:rsidR="000A68B6" w:rsidRPr="009C79E5" w:rsidRDefault="000A68B6" w:rsidP="00A1191D">
      <w:pPr>
        <w:pStyle w:val="FootnoteText"/>
        <w:spacing w:after="120"/>
        <w:rPr>
          <w:i/>
        </w:rPr>
      </w:pPr>
      <w:r w:rsidRPr="009C79E5">
        <w:rPr>
          <w:rStyle w:val="FootnoteReference"/>
        </w:rPr>
        <w:footnoteRef/>
      </w:r>
      <w:r w:rsidRPr="009C79E5">
        <w:t xml:space="preserve"> </w:t>
      </w:r>
      <w:r w:rsidRPr="009C79E5">
        <w:rPr>
          <w:i/>
        </w:rPr>
        <w:t>Id.</w:t>
      </w:r>
      <w:r w:rsidRPr="009C79E5">
        <w:t xml:space="preserve">, 28 FCC Rcd at 17385-86, ¶ 87.  A manufacturer relying on retailers to fulfill requests from consumers who are blind or visually impaired must make a good faith effort to have such retailers make available compliant navigation devices to the same extent they make available navigation devices to other consumers generally.  </w:t>
      </w:r>
      <w:r w:rsidRPr="009C79E5">
        <w:rPr>
          <w:i/>
        </w:rPr>
        <w:t>Id.</w:t>
      </w:r>
    </w:p>
  </w:footnote>
  <w:footnote w:id="539">
    <w:p w:rsidR="000A68B6" w:rsidRPr="009C79E5" w:rsidRDefault="000A68B6" w:rsidP="00A1191D">
      <w:pPr>
        <w:pStyle w:val="FootnoteText"/>
        <w:spacing w:after="120"/>
      </w:pPr>
      <w:r w:rsidRPr="009C79E5">
        <w:rPr>
          <w:rStyle w:val="FootnoteReference"/>
        </w:rPr>
        <w:footnoteRef/>
      </w:r>
      <w:r w:rsidRPr="009C79E5">
        <w:t xml:space="preserve"> </w:t>
      </w:r>
      <w:r w:rsidRPr="009C79E5">
        <w:rPr>
          <w:i/>
        </w:rPr>
        <w:t>Id.</w:t>
      </w:r>
      <w:r w:rsidRPr="009C79E5">
        <w:t>, 28 FCC Rcd at 17389-90, ¶ 94.</w:t>
      </w:r>
    </w:p>
  </w:footnote>
  <w:footnote w:id="540">
    <w:p w:rsidR="000A68B6" w:rsidRPr="009C79E5" w:rsidRDefault="000A68B6" w:rsidP="00A1191D">
      <w:pPr>
        <w:pStyle w:val="FootnoteText"/>
        <w:spacing w:after="120"/>
      </w:pPr>
      <w:r w:rsidRPr="009C79E5">
        <w:rPr>
          <w:rStyle w:val="FootnoteReference"/>
        </w:rPr>
        <w:footnoteRef/>
      </w:r>
      <w:r w:rsidRPr="009C79E5">
        <w:t xml:space="preserve"> </w:t>
      </w:r>
      <w:r w:rsidRPr="009C79E5">
        <w:rPr>
          <w:i/>
        </w:rPr>
        <w:t>Id.</w:t>
      </w:r>
      <w:r w:rsidRPr="009C79E5">
        <w:t xml:space="preserve">, 28 FCC Rcd at 17399, ¶ 111.  </w:t>
      </w:r>
      <w:r w:rsidRPr="009C79E5">
        <w:rPr>
          <w:i/>
        </w:rPr>
        <w:t>See also</w:t>
      </w:r>
      <w:r w:rsidRPr="009C79E5">
        <w:t xml:space="preserve"> 47 C.F.R. § 79.108(b)..</w:t>
      </w:r>
    </w:p>
  </w:footnote>
  <w:footnote w:id="541">
    <w:p w:rsidR="000A68B6" w:rsidRPr="009C79E5" w:rsidRDefault="000A68B6" w:rsidP="00A1191D">
      <w:pPr>
        <w:pStyle w:val="FootnoteText"/>
        <w:spacing w:after="120"/>
      </w:pPr>
      <w:r w:rsidRPr="009C79E5">
        <w:rPr>
          <w:rStyle w:val="FootnoteReference"/>
        </w:rPr>
        <w:footnoteRef/>
      </w:r>
      <w:r w:rsidRPr="009C79E5">
        <w:t xml:space="preserve"> </w:t>
      </w:r>
      <w:r w:rsidRPr="009C79E5">
        <w:rPr>
          <w:i/>
        </w:rPr>
        <w:t>User Interfaces, Programming Guides and Menus Order and FNPRM</w:t>
      </w:r>
      <w:r w:rsidRPr="009C79E5">
        <w:t xml:space="preserve">, 28 FCC Rcd at 17401, ¶ 114.  </w:t>
      </w:r>
      <w:r w:rsidRPr="009C79E5">
        <w:rPr>
          <w:i/>
        </w:rPr>
        <w:t>See also</w:t>
      </w:r>
      <w:r w:rsidRPr="009C79E5">
        <w:t xml:space="preserve"> 47 C.F.R. §§ 79.108(b)(1), (2)..</w:t>
      </w:r>
    </w:p>
  </w:footnote>
  <w:footnote w:id="542">
    <w:p w:rsidR="000A68B6" w:rsidRPr="009C79E5" w:rsidRDefault="000A68B6" w:rsidP="00A1191D">
      <w:pPr>
        <w:pStyle w:val="FootnoteText"/>
        <w:spacing w:after="120"/>
      </w:pPr>
      <w:r w:rsidRPr="009C79E5">
        <w:rPr>
          <w:rStyle w:val="FootnoteReference"/>
        </w:rPr>
        <w:footnoteRef/>
      </w:r>
      <w:r w:rsidRPr="009C79E5">
        <w:t xml:space="preserve"> </w:t>
      </w:r>
      <w:r w:rsidRPr="009C79E5">
        <w:rPr>
          <w:i/>
        </w:rPr>
        <w:t>User Interfaces, Programming Guides and Menus Order and FNPRM</w:t>
      </w:r>
      <w:r w:rsidRPr="009C79E5">
        <w:t xml:space="preserve">, 28 FCC Rcd at 17414-17, 14719-20, ¶ </w:t>
      </w:r>
      <w:r w:rsidRPr="009C79E5">
        <w:rPr>
          <w:rStyle w:val="Strong1"/>
          <w:rFonts w:ascii="Times New Roman" w:hAnsi="Times New Roman"/>
          <w:b w:val="0"/>
          <w:color w:val="auto"/>
        </w:rPr>
        <w:t xml:space="preserve">139-144, 148-151.  </w:t>
      </w:r>
      <w:r w:rsidRPr="009C79E5">
        <w:rPr>
          <w:rStyle w:val="Strong1"/>
          <w:rFonts w:ascii="Times New Roman" w:hAnsi="Times New Roman"/>
          <w:b w:val="0"/>
          <w:i/>
          <w:color w:val="auto"/>
        </w:rPr>
        <w:t>See also</w:t>
      </w:r>
      <w:r w:rsidRPr="009C79E5">
        <w:rPr>
          <w:rStyle w:val="Strong1"/>
          <w:rFonts w:ascii="Times New Roman" w:hAnsi="Times New Roman"/>
          <w:b w:val="0"/>
          <w:color w:val="auto"/>
        </w:rPr>
        <w:t xml:space="preserve"> Section III.H in this </w:t>
      </w:r>
      <w:r w:rsidRPr="009C79E5">
        <w:rPr>
          <w:rStyle w:val="Strong1"/>
          <w:rFonts w:ascii="Times New Roman" w:hAnsi="Times New Roman"/>
          <w:b w:val="0"/>
          <w:i/>
          <w:color w:val="auto"/>
        </w:rPr>
        <w:t>Report</w:t>
      </w:r>
      <w:r w:rsidRPr="009C79E5">
        <w:rPr>
          <w:rStyle w:val="Strong1"/>
          <w:rFonts w:ascii="Times New Roman" w:hAnsi="Times New Roman"/>
          <w:b w:val="0"/>
          <w:color w:val="auto"/>
        </w:rPr>
        <w:t xml:space="preserve">, </w:t>
      </w:r>
      <w:r w:rsidRPr="009C79E5">
        <w:rPr>
          <w:rStyle w:val="Strong1"/>
          <w:rFonts w:ascii="Times New Roman" w:hAnsi="Times New Roman"/>
          <w:b w:val="0"/>
          <w:i/>
          <w:color w:val="auto"/>
        </w:rPr>
        <w:t>supra</w:t>
      </w:r>
      <w:r w:rsidRPr="009C79E5">
        <w:t>.</w:t>
      </w:r>
    </w:p>
  </w:footnote>
  <w:footnote w:id="543">
    <w:p w:rsidR="000A68B6" w:rsidRPr="009C79E5" w:rsidRDefault="000A68B6" w:rsidP="00A1191D">
      <w:pPr>
        <w:pStyle w:val="FootnoteText"/>
        <w:spacing w:after="120"/>
        <w:rPr>
          <w:lang w:bidi="x-none"/>
        </w:rPr>
      </w:pPr>
      <w:r w:rsidRPr="009C79E5">
        <w:rPr>
          <w:rStyle w:val="FootnoteReference"/>
        </w:rPr>
        <w:footnoteRef/>
      </w:r>
      <w:r w:rsidRPr="009C79E5">
        <w:t xml:space="preserve"> </w:t>
      </w:r>
      <w:r w:rsidRPr="009C79E5">
        <w:rPr>
          <w:i/>
        </w:rPr>
        <w:t>See</w:t>
      </w:r>
      <w:r w:rsidRPr="009C79E5">
        <w:t xml:space="preserve"> </w:t>
      </w:r>
      <w:hyperlink r:id="rId107" w:history="1">
        <w:r w:rsidRPr="009C79E5">
          <w:rPr>
            <w:rStyle w:val="Hyperlink1"/>
          </w:rPr>
          <w:t>http://www.broadband.gov/accessibilityandinnovation/</w:t>
        </w:r>
      </w:hyperlink>
      <w:r w:rsidRPr="009C79E5">
        <w:t xml:space="preserve">. </w:t>
      </w:r>
    </w:p>
  </w:footnote>
  <w:footnote w:id="544">
    <w:p w:rsidR="000A68B6" w:rsidRPr="009C79E5" w:rsidRDefault="000A68B6" w:rsidP="00A1191D">
      <w:pPr>
        <w:pStyle w:val="FootnoteText"/>
        <w:spacing w:after="120"/>
      </w:pPr>
      <w:r w:rsidRPr="009C79E5">
        <w:rPr>
          <w:rStyle w:val="FootnoteReference"/>
        </w:rPr>
        <w:footnoteRef/>
      </w:r>
      <w:r w:rsidRPr="009C79E5">
        <w:t xml:space="preserve"> </w:t>
      </w:r>
      <w:r w:rsidRPr="009C79E5">
        <w:rPr>
          <w:i/>
        </w:rPr>
        <w:t xml:space="preserve">See </w:t>
      </w:r>
      <w:r w:rsidRPr="009C79E5">
        <w:t xml:space="preserve">¶ 140, </w:t>
      </w:r>
      <w:r w:rsidRPr="009C79E5">
        <w:rPr>
          <w:i/>
        </w:rPr>
        <w:t>infra</w:t>
      </w:r>
      <w:r w:rsidRPr="009C79E5">
        <w:t xml:space="preserve"> (discussing the M-Enabling Summit).</w:t>
      </w:r>
    </w:p>
  </w:footnote>
  <w:footnote w:id="545">
    <w:p w:rsidR="000A68B6" w:rsidRPr="009C79E5" w:rsidRDefault="000A68B6" w:rsidP="00A1191D">
      <w:pPr>
        <w:pStyle w:val="NoSpacing"/>
        <w:spacing w:after="120"/>
        <w:rPr>
          <w:rFonts w:ascii="Times New Roman" w:hAnsi="Times New Roman"/>
          <w:sz w:val="20"/>
          <w:szCs w:val="20"/>
        </w:rPr>
      </w:pPr>
      <w:r w:rsidRPr="009C79E5">
        <w:rPr>
          <w:rStyle w:val="FootnoteReference"/>
          <w:rFonts w:ascii="Times New Roman" w:hAnsi="Times New Roman"/>
          <w:sz w:val="20"/>
          <w:szCs w:val="20"/>
        </w:rPr>
        <w:footnoteRef/>
      </w:r>
      <w:r w:rsidRPr="009C79E5">
        <w:rPr>
          <w:rFonts w:ascii="Times New Roman" w:hAnsi="Times New Roman"/>
          <w:sz w:val="20"/>
          <w:szCs w:val="20"/>
        </w:rPr>
        <w:t xml:space="preserve"> </w:t>
      </w:r>
      <w:r w:rsidRPr="009C79E5">
        <w:rPr>
          <w:rFonts w:ascii="Times New Roman" w:hAnsi="Times New Roman"/>
          <w:i/>
          <w:sz w:val="20"/>
          <w:szCs w:val="20"/>
        </w:rPr>
        <w:t>FCC Chairman Wheeler Honors Innovators in Acces</w:t>
      </w:r>
      <w:r w:rsidRPr="009C79E5">
        <w:rPr>
          <w:rFonts w:ascii="Times New Roman" w:hAnsi="Times New Roman"/>
          <w:i/>
          <w:sz w:val="20"/>
          <w:szCs w:val="20"/>
          <w:shd w:val="clear" w:color="auto" w:fill="FFFFFF"/>
        </w:rPr>
        <w:t>sibility Communications Technology with Annual Awards</w:t>
      </w:r>
      <w:r w:rsidRPr="009C79E5">
        <w:rPr>
          <w:rFonts w:ascii="Times New Roman" w:hAnsi="Times New Roman"/>
          <w:sz w:val="20"/>
          <w:szCs w:val="20"/>
          <w:shd w:val="clear" w:color="auto" w:fill="FFFFFF"/>
        </w:rPr>
        <w:t xml:space="preserve">, Press Release (Jun. 9, 2014), available at </w:t>
      </w:r>
      <w:hyperlink r:id="rId108" w:history="1">
        <w:r w:rsidRPr="009C79E5">
          <w:rPr>
            <w:rStyle w:val="Hyperlink"/>
            <w:rFonts w:ascii="Times New Roman" w:hAnsi="Times New Roman"/>
            <w:sz w:val="20"/>
            <w:szCs w:val="20"/>
          </w:rPr>
          <w:t>http://www.fcc.gov/document/chairman-wheeler-honors-innovators-accessibility</w:t>
        </w:r>
      </w:hyperlink>
      <w:r w:rsidRPr="009C79E5">
        <w:rPr>
          <w:rStyle w:val="Hyperlink1"/>
          <w:rFonts w:ascii="Times New Roman" w:hAnsi="Times New Roman"/>
          <w:szCs w:val="20"/>
        </w:rPr>
        <w:t>.</w:t>
      </w:r>
    </w:p>
  </w:footnote>
  <w:footnote w:id="546">
    <w:p w:rsidR="000A68B6" w:rsidRPr="009C79E5" w:rsidRDefault="000A68B6" w:rsidP="00A1191D">
      <w:pPr>
        <w:pStyle w:val="FootnoteText"/>
        <w:spacing w:after="120"/>
      </w:pPr>
      <w:r w:rsidRPr="009C79E5">
        <w:rPr>
          <w:rStyle w:val="FootnoteReference"/>
        </w:rPr>
        <w:footnoteRef/>
      </w:r>
      <w:r w:rsidRPr="009C79E5">
        <w:t xml:space="preserve"> The event was webcast and is available at </w:t>
      </w:r>
      <w:hyperlink r:id="rId109" w:history="1">
        <w:r w:rsidRPr="009C79E5">
          <w:rPr>
            <w:rStyle w:val="Hyperlink"/>
          </w:rPr>
          <w:t>http://www.fcc.gov/events/accessing-social-media</w:t>
        </w:r>
      </w:hyperlink>
      <w:r w:rsidRPr="009C79E5">
        <w:t xml:space="preserve">. </w:t>
      </w:r>
    </w:p>
  </w:footnote>
  <w:footnote w:id="547">
    <w:p w:rsidR="000A68B6" w:rsidRPr="009C79E5" w:rsidRDefault="000A68B6" w:rsidP="00A1191D">
      <w:pPr>
        <w:pStyle w:val="NoSpacing"/>
        <w:spacing w:after="120"/>
        <w:rPr>
          <w:rFonts w:ascii="Times New Roman" w:hAnsi="Times New Roman"/>
          <w:sz w:val="20"/>
          <w:szCs w:val="20"/>
        </w:rPr>
      </w:pPr>
      <w:r w:rsidRPr="009C79E5">
        <w:rPr>
          <w:rStyle w:val="FootnoteReference"/>
          <w:rFonts w:ascii="Times New Roman" w:hAnsi="Times New Roman"/>
          <w:sz w:val="20"/>
          <w:szCs w:val="20"/>
        </w:rPr>
        <w:footnoteRef/>
      </w:r>
      <w:r w:rsidRPr="009C79E5">
        <w:rPr>
          <w:rFonts w:ascii="Times New Roman" w:hAnsi="Times New Roman"/>
          <w:sz w:val="20"/>
          <w:szCs w:val="20"/>
        </w:rPr>
        <w:t xml:space="preserve"> </w:t>
      </w:r>
      <w:r w:rsidRPr="009C79E5">
        <w:rPr>
          <w:rFonts w:ascii="Times New Roman" w:hAnsi="Times New Roman"/>
          <w:i/>
          <w:sz w:val="20"/>
          <w:szCs w:val="20"/>
        </w:rPr>
        <w:t xml:space="preserve">See </w:t>
      </w:r>
      <w:hyperlink r:id="rId110" w:history="1">
        <w:r w:rsidRPr="009C79E5">
          <w:rPr>
            <w:rFonts w:ascii="Times New Roman" w:hAnsi="Times New Roman"/>
            <w:i/>
            <w:sz w:val="20"/>
            <w:szCs w:val="20"/>
          </w:rPr>
          <w:t>FCC Event: Accessing Social Media</w:t>
        </w:r>
      </w:hyperlink>
      <w:r w:rsidRPr="009C79E5">
        <w:rPr>
          <w:rFonts w:ascii="Times New Roman" w:hAnsi="Times New Roman"/>
          <w:sz w:val="20"/>
          <w:szCs w:val="20"/>
        </w:rPr>
        <w:t xml:space="preserve">, </w:t>
      </w:r>
      <w:hyperlink r:id="rId111" w:history="1">
        <w:r w:rsidRPr="009C79E5">
          <w:rPr>
            <w:rStyle w:val="Hyperlink"/>
            <w:rFonts w:ascii="Times New Roman" w:hAnsi="Times New Roman"/>
            <w:sz w:val="20"/>
            <w:szCs w:val="20"/>
          </w:rPr>
          <w:t>http://www.fcc.gov/events/accessing-social-media</w:t>
        </w:r>
      </w:hyperlink>
      <w:r w:rsidRPr="009C79E5">
        <w:rPr>
          <w:rFonts w:ascii="Times New Roman" w:hAnsi="Times New Roman"/>
          <w:sz w:val="20"/>
          <w:szCs w:val="20"/>
        </w:rPr>
        <w:t>.</w:t>
      </w:r>
    </w:p>
  </w:footnote>
  <w:footnote w:id="548">
    <w:p w:rsidR="000A68B6" w:rsidRPr="009C79E5" w:rsidRDefault="000A68B6" w:rsidP="00A1191D">
      <w:pPr>
        <w:pStyle w:val="FootnoteText"/>
        <w:spacing w:after="120"/>
        <w:rPr>
          <w:i/>
        </w:rPr>
      </w:pPr>
      <w:r w:rsidRPr="009C79E5">
        <w:rPr>
          <w:rStyle w:val="FootnoteReference"/>
        </w:rPr>
        <w:footnoteRef/>
      </w:r>
      <w:r w:rsidRPr="009C79E5">
        <w:t xml:space="preserve"> This event was webcast and is available at </w:t>
      </w:r>
      <w:hyperlink r:id="rId112" w:history="1">
        <w:r w:rsidRPr="009C79E5">
          <w:rPr>
            <w:rStyle w:val="Hyperlink"/>
          </w:rPr>
          <w:t>http://www.fcc.gov/events/accessibility-innovation-initiative-speaker-series-presents-clayton-lewis-future-inclusive-de</w:t>
        </w:r>
      </w:hyperlink>
      <w:r w:rsidRPr="009C79E5">
        <w:t xml:space="preserve">. </w:t>
      </w:r>
    </w:p>
  </w:footnote>
  <w:footnote w:id="549">
    <w:p w:rsidR="000A68B6" w:rsidRPr="009C79E5" w:rsidRDefault="000A68B6" w:rsidP="00A1191D">
      <w:pPr>
        <w:pStyle w:val="FootnoteText"/>
        <w:spacing w:after="120"/>
        <w:rPr>
          <w:i/>
        </w:rPr>
      </w:pPr>
      <w:r w:rsidRPr="009C79E5">
        <w:rPr>
          <w:rStyle w:val="FootnoteReference"/>
        </w:rPr>
        <w:footnoteRef/>
      </w:r>
      <w:r w:rsidRPr="009C79E5">
        <w:t xml:space="preserve"> This event was webcast and is available at </w:t>
      </w:r>
      <w:hyperlink r:id="rId113" w:history="1">
        <w:r w:rsidRPr="009C79E5">
          <w:rPr>
            <w:rStyle w:val="Hyperlink"/>
          </w:rPr>
          <w:t>http://www.fcc.gov/events/accessibility-innovation-initiative-speaker-series-presents-yevgen-borodin-improving-accessib</w:t>
        </w:r>
      </w:hyperlink>
      <w:r w:rsidRPr="009C79E5">
        <w:t xml:space="preserve">. </w:t>
      </w:r>
    </w:p>
  </w:footnote>
  <w:footnote w:id="550">
    <w:p w:rsidR="000A68B6" w:rsidRPr="009C79E5" w:rsidRDefault="000A68B6" w:rsidP="00A1191D">
      <w:pPr>
        <w:pStyle w:val="FootnoteText"/>
        <w:spacing w:after="120"/>
        <w:rPr>
          <w:i/>
        </w:rPr>
      </w:pPr>
      <w:r w:rsidRPr="009C79E5">
        <w:rPr>
          <w:rStyle w:val="FootnoteReference"/>
        </w:rPr>
        <w:footnoteRef/>
      </w:r>
      <w:r w:rsidRPr="009C79E5">
        <w:t xml:space="preserve"> This event was webcast and is available at </w:t>
      </w:r>
      <w:hyperlink r:id="rId114" w:history="1">
        <w:r w:rsidRPr="009C79E5">
          <w:rPr>
            <w:rStyle w:val="Hyperlink"/>
          </w:rPr>
          <w:t>http://www.fcc.gov/events/accessibility-innovation-initiative-speaker-series-presents-dr-juan-e-gilbert-innovation-voti</w:t>
        </w:r>
      </w:hyperlink>
      <w:r w:rsidRPr="009C79E5">
        <w:t xml:space="preserve">. </w:t>
      </w:r>
    </w:p>
  </w:footnote>
  <w:footnote w:id="551">
    <w:p w:rsidR="000A68B6" w:rsidRPr="009C79E5" w:rsidRDefault="000A68B6" w:rsidP="00A1191D">
      <w:pPr>
        <w:pStyle w:val="FootnoteText"/>
        <w:spacing w:after="120"/>
      </w:pPr>
      <w:r w:rsidRPr="009C79E5">
        <w:rPr>
          <w:rStyle w:val="FootnoteReference"/>
        </w:rPr>
        <w:footnoteRef/>
      </w:r>
      <w:r w:rsidRPr="009C79E5">
        <w:t xml:space="preserve"> The G3ict is a public-private partnership dedicated to facilitating the international implementation of the Digital Accessibility Agenda defined by the Convention on the Rights of Persons with Disabilities.  </w:t>
      </w:r>
      <w:r w:rsidRPr="009C79E5">
        <w:rPr>
          <w:i/>
        </w:rPr>
        <w:t xml:space="preserve">See </w:t>
      </w:r>
      <w:hyperlink r:id="rId115" w:history="1">
        <w:r w:rsidRPr="009C79E5">
          <w:rPr>
            <w:rStyle w:val="Hyperlink"/>
          </w:rPr>
          <w:t>http://g3ict.org/</w:t>
        </w:r>
      </w:hyperlink>
      <w:r w:rsidRPr="009C79E5">
        <w:t xml:space="preserve"> (last viewed Sept. 10, 2014).</w:t>
      </w:r>
    </w:p>
  </w:footnote>
  <w:footnote w:id="552">
    <w:p w:rsidR="000A68B6" w:rsidRPr="009C79E5" w:rsidRDefault="000A68B6" w:rsidP="00A1191D">
      <w:pPr>
        <w:pStyle w:val="FootnoteText"/>
        <w:spacing w:after="120"/>
      </w:pPr>
      <w:r w:rsidRPr="009C79E5">
        <w:rPr>
          <w:rStyle w:val="FootnoteReference"/>
        </w:rPr>
        <w:footnoteRef/>
      </w:r>
      <w:r w:rsidRPr="009C79E5">
        <w:t xml:space="preserve"> The Commission first partnered with G3ict in 2011.  </w:t>
      </w:r>
      <w:r w:rsidRPr="009C79E5">
        <w:rPr>
          <w:i/>
        </w:rPr>
        <w:t>See</w:t>
      </w:r>
      <w:r w:rsidRPr="009C79E5">
        <w:t xml:space="preserve"> </w:t>
      </w:r>
      <w:r w:rsidRPr="009C79E5">
        <w:rPr>
          <w:i/>
        </w:rPr>
        <w:t>2012 CVAA Biennial Report</w:t>
      </w:r>
      <w:r w:rsidRPr="009C79E5">
        <w:t>, 27 FCC Rcd at 12256, ¶ 126.</w:t>
      </w:r>
    </w:p>
  </w:footnote>
  <w:footnote w:id="553">
    <w:p w:rsidR="000A68B6" w:rsidRPr="009C79E5" w:rsidRDefault="000A68B6" w:rsidP="00A1191D">
      <w:pPr>
        <w:pStyle w:val="FootnoteText"/>
        <w:spacing w:after="120"/>
        <w:rPr>
          <w:lang w:bidi="x-none"/>
        </w:rPr>
      </w:pPr>
      <w:r w:rsidRPr="009C79E5">
        <w:rPr>
          <w:rStyle w:val="FootnoteReference"/>
        </w:rPr>
        <w:footnoteRef/>
      </w:r>
      <w:r w:rsidRPr="009C79E5">
        <w:t xml:space="preserve"> This is list of Commission actions since October 5, 2012, to implement the CVAA excludes public notices that announce scheduled meetings, upcoming events, pleading cycles for comments and reply comments, administrative matters, or similar notices.  See</w:t>
      </w:r>
      <w:r w:rsidRPr="009C79E5">
        <w:rPr>
          <w:i/>
        </w:rPr>
        <w:t xml:space="preserve"> </w:t>
      </w:r>
      <w:r w:rsidRPr="009C79E5">
        <w:t>Appendix C for a list of CVAA-related Commission news releases.</w:t>
      </w:r>
    </w:p>
  </w:footnote>
  <w:footnote w:id="554">
    <w:p w:rsidR="000A68B6" w:rsidRPr="009C79E5" w:rsidRDefault="000A68B6" w:rsidP="00A1191D">
      <w:pPr>
        <w:pStyle w:val="FootnoteText"/>
        <w:spacing w:after="120"/>
      </w:pPr>
      <w:r w:rsidRPr="009C79E5">
        <w:rPr>
          <w:rStyle w:val="FootnoteReference"/>
        </w:rPr>
        <w:footnoteRef/>
      </w:r>
      <w:r w:rsidRPr="009C79E5">
        <w:t xml:space="preserve"> From May 2013 to August 2014, the Commission released various public notices inviting applications for and announcing the certification of entities selected to distribute equipment in Nevada, Mississippi, Vermont, Nebraska, Indiana, Minnesota, and Iowa.  Each of the entities previously certified for those states relinquished their certification and were replaced in a timely fashion to avoid disruption of service to low-income individuals who are deaf-blind in in those states.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64B" w:rsidRDefault="00AB76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8B6" w:rsidRPr="000C70F4" w:rsidRDefault="000A68B6" w:rsidP="000C70F4">
    <w:pPr>
      <w:widowControl w:val="0"/>
      <w:tabs>
        <w:tab w:val="center" w:pos="4680"/>
        <w:tab w:val="right" w:pos="9360"/>
      </w:tabs>
      <w:jc w:val="center"/>
      <w:rPr>
        <w:b/>
        <w:kern w:val="28"/>
        <w:sz w:val="22"/>
        <w:szCs w:val="22"/>
      </w:rPr>
    </w:pPr>
    <w:r w:rsidRPr="000C70F4">
      <w:rPr>
        <w:b/>
        <w:kern w:val="28"/>
        <w:sz w:val="22"/>
        <w:szCs w:val="22"/>
      </w:rPr>
      <w:tab/>
      <w:t>Federal Communications Commission</w:t>
    </w:r>
    <w:r w:rsidRPr="000C70F4">
      <w:rPr>
        <w:b/>
        <w:kern w:val="28"/>
        <w:sz w:val="22"/>
        <w:szCs w:val="22"/>
      </w:rPr>
      <w:tab/>
    </w:r>
    <w:r>
      <w:rPr>
        <w:b/>
        <w:spacing w:val="-2"/>
        <w:kern w:val="28"/>
        <w:sz w:val="22"/>
        <w:szCs w:val="22"/>
      </w:rPr>
      <w:t>DA</w:t>
    </w:r>
    <w:r w:rsidRPr="000C70F4">
      <w:rPr>
        <w:b/>
        <w:spacing w:val="-2"/>
        <w:kern w:val="28"/>
        <w:sz w:val="22"/>
        <w:szCs w:val="22"/>
      </w:rPr>
      <w:t xml:space="preserve"> 1</w:t>
    </w:r>
    <w:r>
      <w:rPr>
        <w:b/>
        <w:spacing w:val="-2"/>
        <w:kern w:val="28"/>
        <w:sz w:val="22"/>
        <w:szCs w:val="22"/>
      </w:rPr>
      <w:t>4</w:t>
    </w:r>
    <w:r w:rsidRPr="000C70F4">
      <w:rPr>
        <w:b/>
        <w:spacing w:val="-2"/>
        <w:kern w:val="28"/>
        <w:sz w:val="22"/>
        <w:szCs w:val="22"/>
      </w:rPr>
      <w:t>-</w:t>
    </w:r>
    <w:r w:rsidR="006802A3">
      <w:rPr>
        <w:b/>
        <w:spacing w:val="-2"/>
        <w:kern w:val="28"/>
        <w:sz w:val="22"/>
        <w:szCs w:val="22"/>
      </w:rPr>
      <w:t>1470</w:t>
    </w:r>
    <w:r w:rsidRPr="000C70F4">
      <w:rPr>
        <w:b/>
        <w:kern w:val="28"/>
        <w:sz w:val="22"/>
        <w:szCs w:val="22"/>
      </w:rPr>
      <w:tab/>
    </w:r>
  </w:p>
  <w:p w:rsidR="000A68B6" w:rsidRPr="000C70F4" w:rsidRDefault="00B70410" w:rsidP="000C70F4">
    <w:pPr>
      <w:widowControl w:val="0"/>
      <w:tabs>
        <w:tab w:val="left" w:pos="-720"/>
      </w:tabs>
      <w:suppressAutoHyphens/>
      <w:spacing w:line="19" w:lineRule="exact"/>
      <w:rPr>
        <w:kern w:val="28"/>
        <w:sz w:val="22"/>
        <w:szCs w:val="20"/>
      </w:rPr>
    </w:pPr>
    <w:r>
      <w:rPr>
        <w:noProof/>
        <w:kern w:val="28"/>
        <w:sz w:val="22"/>
        <w:szCs w:val="20"/>
      </w:rPr>
      <w:pict>
        <v:rect id="_x0000_s2049" style="position:absolute;margin-left:0;margin-top:0;width:468pt;height:.95pt;z-index:-251658752;mso-position-horizontal-relative:margin" o:allowincell="f" fillcolor="black" stroked="f" strokeweight=".05pt">
          <v:fill color2="black"/>
          <v:textbox style="mso-next-textbox:#_x0000_s2049">
            <w:txbxContent>
              <w:p w:rsidR="000A68B6" w:rsidRDefault="000A68B6" w:rsidP="000C70F4"/>
            </w:txbxContent>
          </v:textbox>
          <w10:wrap anchorx="margin"/>
        </v:rect>
      </w:pict>
    </w:r>
  </w:p>
  <w:p w:rsidR="000A68B6" w:rsidRPr="00B10A3C" w:rsidRDefault="000A68B6">
    <w:pPr>
      <w:pStyle w:val="Header"/>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8B6" w:rsidRPr="00053D20" w:rsidRDefault="000A68B6" w:rsidP="00945686">
    <w:pPr>
      <w:pStyle w:val="Header"/>
      <w:tabs>
        <w:tab w:val="clear" w:pos="4320"/>
        <w:tab w:val="clear" w:pos="8640"/>
        <w:tab w:val="center" w:pos="4680"/>
        <w:tab w:val="right" w:pos="9360"/>
      </w:tabs>
      <w:rPr>
        <w:b/>
        <w:sz w:val="22"/>
        <w:szCs w:val="22"/>
        <w:u w:val="single"/>
        <w:lang w:val="en-US"/>
      </w:rPr>
    </w:pPr>
    <w:r>
      <w:rPr>
        <w:b/>
        <w:sz w:val="22"/>
        <w:szCs w:val="22"/>
        <w:u w:val="single"/>
      </w:rPr>
      <w:tab/>
      <w:t>Federal Communications Commission</w:t>
    </w:r>
    <w:r>
      <w:rPr>
        <w:b/>
        <w:sz w:val="22"/>
        <w:szCs w:val="22"/>
        <w:u w:val="single"/>
      </w:rPr>
      <w:tab/>
      <w:t>DA</w:t>
    </w:r>
    <w:r>
      <w:rPr>
        <w:b/>
        <w:spacing w:val="-2"/>
        <w:sz w:val="22"/>
        <w:szCs w:val="22"/>
        <w:u w:val="single"/>
      </w:rPr>
      <w:t xml:space="preserve"> 1</w:t>
    </w:r>
    <w:r w:rsidR="00053D20">
      <w:rPr>
        <w:b/>
        <w:spacing w:val="-2"/>
        <w:sz w:val="22"/>
        <w:szCs w:val="22"/>
        <w:u w:val="single"/>
        <w:lang w:val="en-US"/>
      </w:rPr>
      <w:t>4</w:t>
    </w:r>
    <w:r>
      <w:rPr>
        <w:b/>
        <w:spacing w:val="-2"/>
        <w:sz w:val="22"/>
        <w:szCs w:val="22"/>
        <w:u w:val="single"/>
      </w:rPr>
      <w:t>-</w:t>
    </w:r>
    <w:r w:rsidR="00053D20">
      <w:rPr>
        <w:b/>
        <w:spacing w:val="-2"/>
        <w:sz w:val="22"/>
        <w:szCs w:val="22"/>
        <w:u w:val="single"/>
        <w:lang w:val="en-US"/>
      </w:rPr>
      <w:t>1470</w:t>
    </w:r>
  </w:p>
  <w:p w:rsidR="000A68B6" w:rsidRPr="00B10A3C" w:rsidRDefault="000A68B6" w:rsidP="00B10A3C">
    <w:pPr>
      <w:pStyle w:val="Header"/>
      <w:tabs>
        <w:tab w:val="clear" w:pos="4320"/>
        <w:tab w:val="center" w:pos="46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A14190E"/>
    <w:lvl w:ilvl="0">
      <w:start w:val="1"/>
      <w:numFmt w:val="decimal"/>
      <w:lvlText w:val="%1."/>
      <w:lvlJc w:val="left"/>
      <w:pPr>
        <w:tabs>
          <w:tab w:val="num" w:pos="1800"/>
        </w:tabs>
        <w:ind w:left="1800" w:hanging="360"/>
      </w:pPr>
    </w:lvl>
  </w:abstractNum>
  <w:abstractNum w:abstractNumId="1">
    <w:nsid w:val="FFFFFF7D"/>
    <w:multiLevelType w:val="singleLevel"/>
    <w:tmpl w:val="87543DC0"/>
    <w:lvl w:ilvl="0">
      <w:start w:val="1"/>
      <w:numFmt w:val="decimal"/>
      <w:lvlText w:val="%1."/>
      <w:lvlJc w:val="left"/>
      <w:pPr>
        <w:tabs>
          <w:tab w:val="num" w:pos="1440"/>
        </w:tabs>
        <w:ind w:left="1440" w:hanging="360"/>
      </w:pPr>
    </w:lvl>
  </w:abstractNum>
  <w:abstractNum w:abstractNumId="2">
    <w:nsid w:val="FFFFFF7E"/>
    <w:multiLevelType w:val="singleLevel"/>
    <w:tmpl w:val="62F252F2"/>
    <w:lvl w:ilvl="0">
      <w:start w:val="1"/>
      <w:numFmt w:val="decimal"/>
      <w:lvlText w:val="%1."/>
      <w:lvlJc w:val="left"/>
      <w:pPr>
        <w:tabs>
          <w:tab w:val="num" w:pos="1080"/>
        </w:tabs>
        <w:ind w:left="1080" w:hanging="360"/>
      </w:pPr>
    </w:lvl>
  </w:abstractNum>
  <w:abstractNum w:abstractNumId="3">
    <w:nsid w:val="FFFFFF7F"/>
    <w:multiLevelType w:val="singleLevel"/>
    <w:tmpl w:val="C31464E6"/>
    <w:lvl w:ilvl="0">
      <w:start w:val="1"/>
      <w:numFmt w:val="decimal"/>
      <w:lvlText w:val="%1."/>
      <w:lvlJc w:val="left"/>
      <w:pPr>
        <w:tabs>
          <w:tab w:val="num" w:pos="720"/>
        </w:tabs>
        <w:ind w:left="720" w:hanging="360"/>
      </w:pPr>
    </w:lvl>
  </w:abstractNum>
  <w:abstractNum w:abstractNumId="4">
    <w:nsid w:val="FFFFFF80"/>
    <w:multiLevelType w:val="singleLevel"/>
    <w:tmpl w:val="9532433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C2C657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9B456E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4BCFB8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06EA5BC"/>
    <w:lvl w:ilvl="0">
      <w:start w:val="1"/>
      <w:numFmt w:val="decimal"/>
      <w:lvlText w:val="%1."/>
      <w:lvlJc w:val="left"/>
      <w:pPr>
        <w:tabs>
          <w:tab w:val="num" w:pos="360"/>
        </w:tabs>
        <w:ind w:left="360" w:hanging="360"/>
      </w:pPr>
    </w:lvl>
  </w:abstractNum>
  <w:abstractNum w:abstractNumId="9">
    <w:nsid w:val="FFFFFF89"/>
    <w:multiLevelType w:val="singleLevel"/>
    <w:tmpl w:val="FB242D7C"/>
    <w:lvl w:ilvl="0">
      <w:start w:val="1"/>
      <w:numFmt w:val="bullet"/>
      <w:lvlText w:val=""/>
      <w:lvlJc w:val="left"/>
      <w:pPr>
        <w:tabs>
          <w:tab w:val="num" w:pos="360"/>
        </w:tabs>
        <w:ind w:left="360" w:hanging="360"/>
      </w:pPr>
      <w:rPr>
        <w:rFonts w:ascii="Symbol" w:hAnsi="Symbol" w:hint="default"/>
      </w:rPr>
    </w:lvl>
  </w:abstractNum>
  <w:abstractNum w:abstractNumId="10">
    <w:nsid w:val="00000003"/>
    <w:multiLevelType w:val="multilevel"/>
    <w:tmpl w:val="87F064FC"/>
    <w:lvl w:ilvl="0">
      <w:start w:val="1"/>
      <w:numFmt w:val="decimal"/>
      <w:lvlText w:val="%1."/>
      <w:lvlJc w:val="left"/>
      <w:pPr>
        <w:ind w:left="0" w:firstLine="720"/>
      </w:pPr>
      <w:rPr>
        <w:rFonts w:hint="default"/>
        <w:i w:val="0"/>
        <w:color w:val="000000"/>
        <w:position w:val="0"/>
        <w:sz w:val="22"/>
      </w:rPr>
    </w:lvl>
    <w:lvl w:ilvl="1">
      <w:start w:val="1"/>
      <w:numFmt w:val="bullet"/>
      <w:lvlText w:val="•"/>
      <w:lvlJc w:val="left"/>
      <w:pPr>
        <w:tabs>
          <w:tab w:val="num" w:pos="-360"/>
        </w:tabs>
        <w:ind w:left="-360" w:firstLine="1080"/>
      </w:pPr>
      <w:rPr>
        <w:rFonts w:ascii="Lucida Grande" w:eastAsia="ヒラギノ角ゴ Pro W3" w:hAnsi="Symbol"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11">
    <w:nsid w:val="0000000A"/>
    <w:multiLevelType w:val="multilevel"/>
    <w:tmpl w:val="894EE87C"/>
    <w:lvl w:ilvl="0">
      <w:start w:val="1"/>
      <w:numFmt w:val="bullet"/>
      <w:lvlText w:val="·"/>
      <w:lvlJc w:val="left"/>
      <w:pPr>
        <w:tabs>
          <w:tab w:val="num" w:pos="360"/>
        </w:tabs>
        <w:ind w:left="360" w:firstLine="72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44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216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88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60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432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504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76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480"/>
      </w:pPr>
      <w:rPr>
        <w:rFonts w:ascii="Wingdings" w:eastAsia="ヒラギノ角ゴ Pro W3" w:hAnsi="Wingdings" w:hint="default"/>
        <w:color w:val="000000"/>
        <w:position w:val="0"/>
        <w:sz w:val="24"/>
      </w:rPr>
    </w:lvl>
  </w:abstractNum>
  <w:abstractNum w:abstractNumId="12">
    <w:nsid w:val="0000000B"/>
    <w:multiLevelType w:val="multilevel"/>
    <w:tmpl w:val="894EE87D"/>
    <w:lvl w:ilvl="0">
      <w:start w:val="1"/>
      <w:numFmt w:val="upperRoman"/>
      <w:lvlText w:val="%1."/>
      <w:lvlJc w:val="left"/>
      <w:pPr>
        <w:tabs>
          <w:tab w:val="num" w:pos="353"/>
        </w:tabs>
        <w:ind w:left="353" w:firstLine="7"/>
      </w:pPr>
      <w:rPr>
        <w:rFonts w:hint="default"/>
        <w:color w:val="000000"/>
        <w:position w:val="0"/>
        <w:sz w:val="24"/>
      </w:rPr>
    </w:lvl>
    <w:lvl w:ilvl="1">
      <w:start w:val="1"/>
      <w:numFmt w:val="upperLetter"/>
      <w:lvlText w:val="%2."/>
      <w:lvlJc w:val="left"/>
      <w:pPr>
        <w:tabs>
          <w:tab w:val="num" w:pos="432"/>
        </w:tabs>
        <w:ind w:left="432" w:firstLine="504"/>
      </w:pPr>
      <w:rPr>
        <w:rFonts w:hint="default"/>
        <w:color w:val="000000"/>
        <w:position w:val="0"/>
        <w:sz w:val="24"/>
      </w:rPr>
    </w:lvl>
    <w:lvl w:ilvl="2">
      <w:start w:val="1"/>
      <w:numFmt w:val="decimal"/>
      <w:isLgl/>
      <w:lvlText w:val="%3."/>
      <w:lvlJc w:val="left"/>
      <w:pPr>
        <w:tabs>
          <w:tab w:val="num" w:pos="360"/>
        </w:tabs>
        <w:ind w:left="360" w:firstLine="1447"/>
      </w:pPr>
      <w:rPr>
        <w:rFonts w:hint="default"/>
        <w:color w:val="000000"/>
        <w:position w:val="0"/>
        <w:sz w:val="24"/>
      </w:rPr>
    </w:lvl>
    <w:lvl w:ilvl="3">
      <w:start w:val="1"/>
      <w:numFmt w:val="lowerLetter"/>
      <w:suff w:val="nothing"/>
      <w:lvlText w:val="%4)"/>
      <w:lvlJc w:val="left"/>
      <w:pPr>
        <w:ind w:left="0" w:firstLine="2167"/>
      </w:pPr>
      <w:rPr>
        <w:rFonts w:hint="default"/>
        <w:color w:val="000000"/>
        <w:position w:val="0"/>
        <w:sz w:val="24"/>
      </w:rPr>
    </w:lvl>
    <w:lvl w:ilvl="4">
      <w:start w:val="1"/>
      <w:numFmt w:val="decimal"/>
      <w:isLgl/>
      <w:suff w:val="nothing"/>
      <w:lvlText w:val="(%5)"/>
      <w:lvlJc w:val="left"/>
      <w:pPr>
        <w:ind w:left="0" w:firstLine="2887"/>
      </w:pPr>
      <w:rPr>
        <w:rFonts w:hint="default"/>
        <w:color w:val="000000"/>
        <w:position w:val="0"/>
        <w:sz w:val="24"/>
      </w:rPr>
    </w:lvl>
    <w:lvl w:ilvl="5">
      <w:start w:val="1"/>
      <w:numFmt w:val="lowerLetter"/>
      <w:suff w:val="nothing"/>
      <w:lvlText w:val="(%6)"/>
      <w:lvlJc w:val="left"/>
      <w:pPr>
        <w:ind w:left="0" w:firstLine="3607"/>
      </w:pPr>
      <w:rPr>
        <w:rFonts w:hint="default"/>
        <w:color w:val="000000"/>
        <w:position w:val="0"/>
        <w:sz w:val="24"/>
      </w:rPr>
    </w:lvl>
    <w:lvl w:ilvl="6">
      <w:start w:val="1"/>
      <w:numFmt w:val="lowerRoman"/>
      <w:suff w:val="nothing"/>
      <w:lvlText w:val="(%7)"/>
      <w:lvlJc w:val="left"/>
      <w:pPr>
        <w:ind w:left="0" w:firstLine="4327"/>
      </w:pPr>
      <w:rPr>
        <w:rFonts w:hint="default"/>
        <w:color w:val="000000"/>
        <w:position w:val="0"/>
        <w:sz w:val="24"/>
      </w:rPr>
    </w:lvl>
    <w:lvl w:ilvl="7">
      <w:start w:val="1"/>
      <w:numFmt w:val="lowerLetter"/>
      <w:suff w:val="nothing"/>
      <w:lvlText w:val="(%8)"/>
      <w:lvlJc w:val="left"/>
      <w:pPr>
        <w:ind w:left="0" w:firstLine="5047"/>
      </w:pPr>
      <w:rPr>
        <w:rFonts w:hint="default"/>
        <w:color w:val="000000"/>
        <w:position w:val="0"/>
        <w:sz w:val="24"/>
      </w:rPr>
    </w:lvl>
    <w:lvl w:ilvl="8">
      <w:start w:val="1"/>
      <w:numFmt w:val="lowerRoman"/>
      <w:suff w:val="nothing"/>
      <w:lvlText w:val="(%9)"/>
      <w:lvlJc w:val="left"/>
      <w:pPr>
        <w:ind w:left="0" w:firstLine="5767"/>
      </w:pPr>
      <w:rPr>
        <w:rFonts w:hint="default"/>
        <w:color w:val="000000"/>
        <w:position w:val="0"/>
        <w:sz w:val="24"/>
      </w:rPr>
    </w:lvl>
  </w:abstractNum>
  <w:abstractNum w:abstractNumId="13">
    <w:nsid w:val="0000000D"/>
    <w:multiLevelType w:val="multilevel"/>
    <w:tmpl w:val="894EE87F"/>
    <w:lvl w:ilvl="0">
      <w:start w:val="1"/>
      <w:numFmt w:val="bullet"/>
      <w:lvlText w:val="·"/>
      <w:lvlJc w:val="left"/>
      <w:pPr>
        <w:tabs>
          <w:tab w:val="num" w:pos="360"/>
        </w:tabs>
        <w:ind w:left="360" w:firstLine="720"/>
      </w:pPr>
      <w:rPr>
        <w:rFonts w:ascii="Lucida Grande" w:eastAsia="ヒラギノ角ゴ Pro W3" w:hAnsi="Symbol" w:hint="default"/>
        <w:color w:val="000000"/>
        <w:position w:val="0"/>
        <w:sz w:val="24"/>
      </w:rPr>
    </w:lvl>
    <w:lvl w:ilvl="1">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2">
      <w:start w:val="1"/>
      <w:numFmt w:val="lowerRoman"/>
      <w:lvlText w:val="%3."/>
      <w:lvlJc w:val="left"/>
      <w:pPr>
        <w:tabs>
          <w:tab w:val="num" w:pos="360"/>
        </w:tabs>
        <w:ind w:left="360" w:firstLine="3240"/>
      </w:pPr>
      <w:rPr>
        <w:rFonts w:hint="default"/>
        <w:color w:val="000000"/>
        <w:position w:val="0"/>
        <w:sz w:val="24"/>
      </w:rPr>
    </w:lvl>
    <w:lvl w:ilvl="3">
      <w:start w:val="1"/>
      <w:numFmt w:val="decimal"/>
      <w:isLgl/>
      <w:lvlText w:val="%4."/>
      <w:lvlJc w:val="left"/>
      <w:pPr>
        <w:tabs>
          <w:tab w:val="num" w:pos="360"/>
        </w:tabs>
        <w:ind w:left="360" w:firstLine="3960"/>
      </w:pPr>
      <w:rPr>
        <w:rFonts w:hint="default"/>
        <w:color w:val="000000"/>
        <w:position w:val="0"/>
        <w:sz w:val="24"/>
      </w:rPr>
    </w:lvl>
    <w:lvl w:ilvl="4">
      <w:start w:val="1"/>
      <w:numFmt w:val="lowerLetter"/>
      <w:lvlText w:val="%5."/>
      <w:lvlJc w:val="left"/>
      <w:pPr>
        <w:tabs>
          <w:tab w:val="num" w:pos="360"/>
        </w:tabs>
        <w:ind w:left="360" w:firstLine="4680"/>
      </w:pPr>
      <w:rPr>
        <w:rFonts w:hint="default"/>
        <w:color w:val="000000"/>
        <w:position w:val="0"/>
        <w:sz w:val="24"/>
      </w:rPr>
    </w:lvl>
    <w:lvl w:ilvl="5">
      <w:start w:val="1"/>
      <w:numFmt w:val="lowerRoman"/>
      <w:lvlText w:val="%6."/>
      <w:lvlJc w:val="left"/>
      <w:pPr>
        <w:tabs>
          <w:tab w:val="num" w:pos="360"/>
        </w:tabs>
        <w:ind w:left="360" w:firstLine="5400"/>
      </w:pPr>
      <w:rPr>
        <w:rFonts w:hint="default"/>
        <w:color w:val="000000"/>
        <w:position w:val="0"/>
        <w:sz w:val="24"/>
      </w:rPr>
    </w:lvl>
    <w:lvl w:ilvl="6">
      <w:start w:val="1"/>
      <w:numFmt w:val="decimal"/>
      <w:isLgl/>
      <w:lvlText w:val="%7."/>
      <w:lvlJc w:val="left"/>
      <w:pPr>
        <w:tabs>
          <w:tab w:val="num" w:pos="360"/>
        </w:tabs>
        <w:ind w:left="360" w:firstLine="6120"/>
      </w:pPr>
      <w:rPr>
        <w:rFonts w:hint="default"/>
        <w:color w:val="000000"/>
        <w:position w:val="0"/>
        <w:sz w:val="24"/>
      </w:rPr>
    </w:lvl>
    <w:lvl w:ilvl="7">
      <w:start w:val="1"/>
      <w:numFmt w:val="lowerLetter"/>
      <w:lvlText w:val="%8."/>
      <w:lvlJc w:val="left"/>
      <w:pPr>
        <w:tabs>
          <w:tab w:val="num" w:pos="360"/>
        </w:tabs>
        <w:ind w:left="360" w:firstLine="6840"/>
      </w:pPr>
      <w:rPr>
        <w:rFonts w:hint="default"/>
        <w:color w:val="000000"/>
        <w:position w:val="0"/>
        <w:sz w:val="24"/>
      </w:rPr>
    </w:lvl>
    <w:lvl w:ilvl="8">
      <w:start w:val="1"/>
      <w:numFmt w:val="lowerRoman"/>
      <w:lvlText w:val="%9."/>
      <w:lvlJc w:val="left"/>
      <w:pPr>
        <w:tabs>
          <w:tab w:val="num" w:pos="360"/>
        </w:tabs>
        <w:ind w:left="360" w:firstLine="7560"/>
      </w:pPr>
      <w:rPr>
        <w:rFonts w:hint="default"/>
        <w:color w:val="000000"/>
        <w:position w:val="0"/>
        <w:sz w:val="24"/>
      </w:rPr>
    </w:lvl>
  </w:abstractNum>
  <w:abstractNum w:abstractNumId="14">
    <w:nsid w:val="0000000E"/>
    <w:multiLevelType w:val="multilevel"/>
    <w:tmpl w:val="894EE880"/>
    <w:lvl w:ilvl="0">
      <w:start w:val="1"/>
      <w:numFmt w:val="bullet"/>
      <w:lvlText w:val="·"/>
      <w:lvlJc w:val="left"/>
      <w:pPr>
        <w:tabs>
          <w:tab w:val="num" w:pos="360"/>
        </w:tabs>
        <w:ind w:left="360" w:firstLine="720"/>
      </w:pPr>
      <w:rPr>
        <w:rFonts w:ascii="Lucida Grande" w:eastAsia="ヒラギノ角ゴ Pro W3" w:hAnsi="Symbol" w:hint="default"/>
        <w:color w:val="000000"/>
        <w:position w:val="0"/>
        <w:sz w:val="24"/>
      </w:rPr>
    </w:lvl>
    <w:lvl w:ilvl="1">
      <w:start w:val="1"/>
      <w:numFmt w:val="decimal"/>
      <w:isLgl/>
      <w:lvlText w:val="%2."/>
      <w:lvlJc w:val="left"/>
      <w:pPr>
        <w:tabs>
          <w:tab w:val="num" w:pos="360"/>
        </w:tabs>
        <w:ind w:left="360" w:firstLine="1440"/>
      </w:pPr>
      <w:rPr>
        <w:rFonts w:hint="default"/>
        <w:color w:val="000000"/>
        <w:position w:val="0"/>
        <w:sz w:val="24"/>
      </w:rPr>
    </w:lvl>
    <w:lvl w:ilvl="2">
      <w:start w:val="1"/>
      <w:numFmt w:val="lowerLetter"/>
      <w:lvlText w:val="(%3)"/>
      <w:lvlJc w:val="left"/>
      <w:pPr>
        <w:tabs>
          <w:tab w:val="num" w:pos="360"/>
        </w:tabs>
        <w:ind w:left="360" w:firstLine="2160"/>
      </w:pPr>
      <w:rPr>
        <w:rFonts w:hint="default"/>
        <w:color w:val="000000"/>
        <w:position w:val="0"/>
        <w:sz w:val="24"/>
      </w:rPr>
    </w:lvl>
    <w:lvl w:ilvl="3">
      <w:start w:val="1"/>
      <w:numFmt w:val="bullet"/>
      <w:lvlText w:val="·"/>
      <w:lvlJc w:val="left"/>
      <w:pPr>
        <w:tabs>
          <w:tab w:val="num" w:pos="360"/>
        </w:tabs>
        <w:ind w:left="360" w:firstLine="288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60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432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504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76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480"/>
      </w:pPr>
      <w:rPr>
        <w:rFonts w:ascii="Wingdings" w:eastAsia="ヒラギノ角ゴ Pro W3" w:hAnsi="Wingdings" w:hint="default"/>
        <w:color w:val="000000"/>
        <w:position w:val="0"/>
        <w:sz w:val="24"/>
      </w:rPr>
    </w:lvl>
  </w:abstractNum>
  <w:abstractNum w:abstractNumId="15">
    <w:nsid w:val="00AE3FBE"/>
    <w:multiLevelType w:val="hybridMultilevel"/>
    <w:tmpl w:val="22104B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025A783C"/>
    <w:multiLevelType w:val="singleLevel"/>
    <w:tmpl w:val="35B0FFA2"/>
    <w:lvl w:ilvl="0">
      <w:start w:val="1"/>
      <w:numFmt w:val="decimal"/>
      <w:lvlText w:val="%1."/>
      <w:lvlJc w:val="left"/>
      <w:pPr>
        <w:tabs>
          <w:tab w:val="num" w:pos="1080"/>
        </w:tabs>
        <w:ind w:left="0" w:firstLine="720"/>
      </w:pPr>
      <w:rPr>
        <w:b w:val="0"/>
        <w:i w:val="0"/>
      </w:rPr>
    </w:lvl>
  </w:abstractNum>
  <w:abstractNum w:abstractNumId="17">
    <w:nsid w:val="02E079B9"/>
    <w:multiLevelType w:val="hybridMultilevel"/>
    <w:tmpl w:val="0FFA4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62E3D95"/>
    <w:multiLevelType w:val="hybridMultilevel"/>
    <w:tmpl w:val="7730E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05C44CF"/>
    <w:multiLevelType w:val="hybridMultilevel"/>
    <w:tmpl w:val="8FECF3BA"/>
    <w:lvl w:ilvl="0" w:tplc="FFFFFFFF">
      <w:start w:val="1"/>
      <w:numFmt w:val="decimal"/>
      <w:lvlText w:val="%1."/>
      <w:lvlJc w:val="left"/>
      <w:pPr>
        <w:tabs>
          <w:tab w:val="num" w:pos="2167"/>
        </w:tabs>
        <w:ind w:left="2167" w:hanging="360"/>
      </w:pPr>
      <w:rPr>
        <w:sz w:val="22"/>
        <w:szCs w:val="22"/>
      </w:rPr>
    </w:lvl>
    <w:lvl w:ilvl="1" w:tplc="04090019" w:tentative="1">
      <w:start w:val="1"/>
      <w:numFmt w:val="lowerLetter"/>
      <w:lvlText w:val="%2."/>
      <w:lvlJc w:val="left"/>
      <w:pPr>
        <w:tabs>
          <w:tab w:val="num" w:pos="2887"/>
        </w:tabs>
        <w:ind w:left="2887" w:hanging="360"/>
      </w:pPr>
    </w:lvl>
    <w:lvl w:ilvl="2" w:tplc="0409001B" w:tentative="1">
      <w:start w:val="1"/>
      <w:numFmt w:val="lowerRoman"/>
      <w:lvlText w:val="%3."/>
      <w:lvlJc w:val="right"/>
      <w:pPr>
        <w:tabs>
          <w:tab w:val="num" w:pos="3607"/>
        </w:tabs>
        <w:ind w:left="3607" w:hanging="180"/>
      </w:pPr>
    </w:lvl>
    <w:lvl w:ilvl="3" w:tplc="0409000F" w:tentative="1">
      <w:start w:val="1"/>
      <w:numFmt w:val="decimal"/>
      <w:lvlText w:val="%4."/>
      <w:lvlJc w:val="left"/>
      <w:pPr>
        <w:tabs>
          <w:tab w:val="num" w:pos="4327"/>
        </w:tabs>
        <w:ind w:left="4327" w:hanging="360"/>
      </w:pPr>
    </w:lvl>
    <w:lvl w:ilvl="4" w:tplc="04090019" w:tentative="1">
      <w:start w:val="1"/>
      <w:numFmt w:val="lowerLetter"/>
      <w:lvlText w:val="%5."/>
      <w:lvlJc w:val="left"/>
      <w:pPr>
        <w:tabs>
          <w:tab w:val="num" w:pos="5047"/>
        </w:tabs>
        <w:ind w:left="5047" w:hanging="360"/>
      </w:pPr>
    </w:lvl>
    <w:lvl w:ilvl="5" w:tplc="0409001B" w:tentative="1">
      <w:start w:val="1"/>
      <w:numFmt w:val="lowerRoman"/>
      <w:lvlText w:val="%6."/>
      <w:lvlJc w:val="right"/>
      <w:pPr>
        <w:tabs>
          <w:tab w:val="num" w:pos="5767"/>
        </w:tabs>
        <w:ind w:left="5767" w:hanging="180"/>
      </w:pPr>
    </w:lvl>
    <w:lvl w:ilvl="6" w:tplc="0409000F" w:tentative="1">
      <w:start w:val="1"/>
      <w:numFmt w:val="decimal"/>
      <w:lvlText w:val="%7."/>
      <w:lvlJc w:val="left"/>
      <w:pPr>
        <w:tabs>
          <w:tab w:val="num" w:pos="6487"/>
        </w:tabs>
        <w:ind w:left="6487" w:hanging="360"/>
      </w:pPr>
    </w:lvl>
    <w:lvl w:ilvl="7" w:tplc="04090019" w:tentative="1">
      <w:start w:val="1"/>
      <w:numFmt w:val="lowerLetter"/>
      <w:lvlText w:val="%8."/>
      <w:lvlJc w:val="left"/>
      <w:pPr>
        <w:tabs>
          <w:tab w:val="num" w:pos="7207"/>
        </w:tabs>
        <w:ind w:left="7207" w:hanging="360"/>
      </w:pPr>
    </w:lvl>
    <w:lvl w:ilvl="8" w:tplc="0409001B" w:tentative="1">
      <w:start w:val="1"/>
      <w:numFmt w:val="lowerRoman"/>
      <w:lvlText w:val="%9."/>
      <w:lvlJc w:val="right"/>
      <w:pPr>
        <w:tabs>
          <w:tab w:val="num" w:pos="7927"/>
        </w:tabs>
        <w:ind w:left="7927" w:hanging="180"/>
      </w:pPr>
    </w:lvl>
  </w:abstractNum>
  <w:abstractNum w:abstractNumId="20">
    <w:nsid w:val="125A275C"/>
    <w:multiLevelType w:val="hybridMultilevel"/>
    <w:tmpl w:val="5C84A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3D951A8"/>
    <w:multiLevelType w:val="hybridMultilevel"/>
    <w:tmpl w:val="323C7194"/>
    <w:lvl w:ilvl="0" w:tplc="04090013">
      <w:start w:val="1"/>
      <w:numFmt w:val="upperRoman"/>
      <w:lvlText w:val="%1."/>
      <w:lvlJc w:val="righ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5D73E01"/>
    <w:multiLevelType w:val="hybridMultilevel"/>
    <w:tmpl w:val="D910E2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9315BEC"/>
    <w:multiLevelType w:val="hybridMultilevel"/>
    <w:tmpl w:val="24146D50"/>
    <w:lvl w:ilvl="0" w:tplc="02DE72B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nsid w:val="443F674E"/>
    <w:multiLevelType w:val="hybridMultilevel"/>
    <w:tmpl w:val="AAC03B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91D2360"/>
    <w:multiLevelType w:val="hybridMultilevel"/>
    <w:tmpl w:val="3782C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A6C561E"/>
    <w:multiLevelType w:val="hybridMultilevel"/>
    <w:tmpl w:val="36F001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F083080"/>
    <w:multiLevelType w:val="multilevel"/>
    <w:tmpl w:val="0B4E06F6"/>
    <w:lvl w:ilvl="0">
      <w:start w:val="1"/>
      <w:numFmt w:val="upperRoman"/>
      <w:pStyle w:val="Heading1"/>
      <w:lvlText w:val="%1."/>
      <w:lvlJc w:val="left"/>
      <w:pPr>
        <w:tabs>
          <w:tab w:val="num" w:pos="367"/>
        </w:tabs>
        <w:ind w:left="360" w:hanging="353"/>
      </w:pPr>
      <w:rPr>
        <w:rFonts w:cs="Times New Roman" w:hint="default"/>
      </w:rPr>
    </w:lvl>
    <w:lvl w:ilvl="1">
      <w:start w:val="1"/>
      <w:numFmt w:val="upperLetter"/>
      <w:lvlText w:val="%2."/>
      <w:lvlJc w:val="left"/>
      <w:pPr>
        <w:tabs>
          <w:tab w:val="num" w:pos="936"/>
        </w:tabs>
        <w:ind w:left="936" w:hanging="432"/>
      </w:pPr>
      <w:rPr>
        <w:rFonts w:cs="Times New Roman" w:hint="default"/>
      </w:rPr>
    </w:lvl>
    <w:lvl w:ilvl="2">
      <w:start w:val="1"/>
      <w:numFmt w:val="decimal"/>
      <w:pStyle w:val="Heading3"/>
      <w:lvlText w:val="%3."/>
      <w:lvlJc w:val="left"/>
      <w:pPr>
        <w:tabs>
          <w:tab w:val="num" w:pos="1807"/>
        </w:tabs>
        <w:ind w:left="1447"/>
      </w:pPr>
      <w:rPr>
        <w:rFonts w:cs="Times New Roman" w:hint="default"/>
      </w:rPr>
    </w:lvl>
    <w:lvl w:ilvl="3">
      <w:start w:val="1"/>
      <w:numFmt w:val="lowerLetter"/>
      <w:pStyle w:val="Heading4"/>
      <w:lvlText w:val="%4)"/>
      <w:lvlJc w:val="left"/>
      <w:pPr>
        <w:tabs>
          <w:tab w:val="num" w:pos="2527"/>
        </w:tabs>
        <w:ind w:left="2167"/>
      </w:pPr>
      <w:rPr>
        <w:rFonts w:cs="Times New Roman" w:hint="default"/>
      </w:rPr>
    </w:lvl>
    <w:lvl w:ilvl="4">
      <w:start w:val="1"/>
      <w:numFmt w:val="decimal"/>
      <w:pStyle w:val="Heading5"/>
      <w:lvlText w:val="(%5)"/>
      <w:lvlJc w:val="left"/>
      <w:pPr>
        <w:tabs>
          <w:tab w:val="num" w:pos="3247"/>
        </w:tabs>
        <w:ind w:left="2887"/>
      </w:pPr>
      <w:rPr>
        <w:rFonts w:cs="Times New Roman" w:hint="default"/>
      </w:rPr>
    </w:lvl>
    <w:lvl w:ilvl="5">
      <w:start w:val="1"/>
      <w:numFmt w:val="lowerLetter"/>
      <w:pStyle w:val="Heading6"/>
      <w:lvlText w:val="(%6)"/>
      <w:lvlJc w:val="left"/>
      <w:pPr>
        <w:tabs>
          <w:tab w:val="num" w:pos="3967"/>
        </w:tabs>
        <w:ind w:left="3607"/>
      </w:pPr>
      <w:rPr>
        <w:rFonts w:cs="Times New Roman" w:hint="default"/>
      </w:rPr>
    </w:lvl>
    <w:lvl w:ilvl="6">
      <w:start w:val="1"/>
      <w:numFmt w:val="lowerRoman"/>
      <w:pStyle w:val="Heading7"/>
      <w:lvlText w:val="(%7)"/>
      <w:lvlJc w:val="left"/>
      <w:pPr>
        <w:tabs>
          <w:tab w:val="num" w:pos="4687"/>
        </w:tabs>
        <w:ind w:left="4327"/>
      </w:pPr>
      <w:rPr>
        <w:rFonts w:cs="Times New Roman" w:hint="default"/>
      </w:rPr>
    </w:lvl>
    <w:lvl w:ilvl="7">
      <w:start w:val="1"/>
      <w:numFmt w:val="lowerLetter"/>
      <w:pStyle w:val="Heading8"/>
      <w:lvlText w:val="(%8)"/>
      <w:lvlJc w:val="left"/>
      <w:pPr>
        <w:tabs>
          <w:tab w:val="num" w:pos="5407"/>
        </w:tabs>
        <w:ind w:left="5047"/>
      </w:pPr>
      <w:rPr>
        <w:rFonts w:cs="Times New Roman" w:hint="default"/>
      </w:rPr>
    </w:lvl>
    <w:lvl w:ilvl="8">
      <w:start w:val="1"/>
      <w:numFmt w:val="lowerRoman"/>
      <w:pStyle w:val="Heading9"/>
      <w:lvlText w:val="(%9)"/>
      <w:lvlJc w:val="left"/>
      <w:pPr>
        <w:tabs>
          <w:tab w:val="num" w:pos="6127"/>
        </w:tabs>
        <w:ind w:left="5767"/>
      </w:pPr>
      <w:rPr>
        <w:rFonts w:cs="Times New Roman" w:hint="default"/>
      </w:rPr>
    </w:lvl>
  </w:abstractNum>
  <w:abstractNum w:abstractNumId="29">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0">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31">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32">
    <w:nsid w:val="5D19412E"/>
    <w:multiLevelType w:val="hybridMultilevel"/>
    <w:tmpl w:val="6D2A51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34">
    <w:nsid w:val="5E2B5188"/>
    <w:multiLevelType w:val="hybridMultilevel"/>
    <w:tmpl w:val="59C2C706"/>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nsid w:val="61182925"/>
    <w:multiLevelType w:val="singleLevel"/>
    <w:tmpl w:val="D180CED0"/>
    <w:lvl w:ilvl="0">
      <w:start w:val="1"/>
      <w:numFmt w:val="decimal"/>
      <w:pStyle w:val="ParaNum0"/>
      <w:lvlText w:val="%1."/>
      <w:lvlJc w:val="left"/>
      <w:pPr>
        <w:tabs>
          <w:tab w:val="num" w:pos="1080"/>
        </w:tabs>
        <w:ind w:firstLine="720"/>
      </w:pPr>
      <w:rPr>
        <w:rFonts w:cs="Times New Roman"/>
      </w:rPr>
    </w:lvl>
  </w:abstractNum>
  <w:abstractNum w:abstractNumId="36">
    <w:nsid w:val="67393599"/>
    <w:multiLevelType w:val="hybridMultilevel"/>
    <w:tmpl w:val="F760A3F6"/>
    <w:lvl w:ilvl="0" w:tplc="83E68AAA">
      <w:start w:val="1"/>
      <w:numFmt w:val="decimal"/>
      <w:lvlText w:val="%1."/>
      <w:lvlJc w:val="left"/>
      <w:pPr>
        <w:tabs>
          <w:tab w:val="num" w:pos="720"/>
        </w:tabs>
        <w:ind w:left="720" w:hanging="360"/>
      </w:pPr>
      <w:rPr>
        <w:rFonts w:cs="Times New Roman"/>
        <w:i w:val="0"/>
        <w:sz w:val="22"/>
        <w:szCs w:val="22"/>
      </w:rPr>
    </w:lvl>
    <w:lvl w:ilvl="1" w:tplc="1D58036A">
      <w:start w:val="1"/>
      <w:numFmt w:val="bullet"/>
      <w:lvlText w:val=""/>
      <w:lvlJc w:val="left"/>
      <w:pPr>
        <w:tabs>
          <w:tab w:val="num" w:pos="1440"/>
        </w:tabs>
        <w:ind w:left="1440" w:hanging="360"/>
      </w:pPr>
      <w:rPr>
        <w:rFonts w:ascii="Symbol" w:hAnsi="Symbol" w:hint="default"/>
      </w:rPr>
    </w:lvl>
    <w:lvl w:ilvl="2" w:tplc="366047C4">
      <w:start w:val="1"/>
      <w:numFmt w:val="lowerRoman"/>
      <w:lvlText w:val="%3."/>
      <w:lvlJc w:val="right"/>
      <w:pPr>
        <w:tabs>
          <w:tab w:val="num" w:pos="2160"/>
        </w:tabs>
        <w:ind w:left="2160" w:hanging="180"/>
      </w:pPr>
      <w:rPr>
        <w:rFonts w:cs="Times New Roman"/>
      </w:rPr>
    </w:lvl>
    <w:lvl w:ilvl="3" w:tplc="7EDAE89E" w:tentative="1">
      <w:start w:val="1"/>
      <w:numFmt w:val="decimal"/>
      <w:lvlText w:val="%4."/>
      <w:lvlJc w:val="left"/>
      <w:pPr>
        <w:tabs>
          <w:tab w:val="num" w:pos="2880"/>
        </w:tabs>
        <w:ind w:left="2880" w:hanging="360"/>
      </w:pPr>
      <w:rPr>
        <w:rFonts w:cs="Times New Roman"/>
      </w:rPr>
    </w:lvl>
    <w:lvl w:ilvl="4" w:tplc="B1E08144" w:tentative="1">
      <w:start w:val="1"/>
      <w:numFmt w:val="lowerLetter"/>
      <w:lvlText w:val="%5."/>
      <w:lvlJc w:val="left"/>
      <w:pPr>
        <w:tabs>
          <w:tab w:val="num" w:pos="3600"/>
        </w:tabs>
        <w:ind w:left="3600" w:hanging="360"/>
      </w:pPr>
      <w:rPr>
        <w:rFonts w:cs="Times New Roman"/>
      </w:rPr>
    </w:lvl>
    <w:lvl w:ilvl="5" w:tplc="94143872" w:tentative="1">
      <w:start w:val="1"/>
      <w:numFmt w:val="lowerRoman"/>
      <w:lvlText w:val="%6."/>
      <w:lvlJc w:val="right"/>
      <w:pPr>
        <w:tabs>
          <w:tab w:val="num" w:pos="4320"/>
        </w:tabs>
        <w:ind w:left="4320" w:hanging="180"/>
      </w:pPr>
      <w:rPr>
        <w:rFonts w:cs="Times New Roman"/>
      </w:rPr>
    </w:lvl>
    <w:lvl w:ilvl="6" w:tplc="DA84781E" w:tentative="1">
      <w:start w:val="1"/>
      <w:numFmt w:val="decimal"/>
      <w:lvlText w:val="%7."/>
      <w:lvlJc w:val="left"/>
      <w:pPr>
        <w:tabs>
          <w:tab w:val="num" w:pos="5040"/>
        </w:tabs>
        <w:ind w:left="5040" w:hanging="360"/>
      </w:pPr>
      <w:rPr>
        <w:rFonts w:cs="Times New Roman"/>
      </w:rPr>
    </w:lvl>
    <w:lvl w:ilvl="7" w:tplc="8EF286D4" w:tentative="1">
      <w:start w:val="1"/>
      <w:numFmt w:val="lowerLetter"/>
      <w:lvlText w:val="%8."/>
      <w:lvlJc w:val="left"/>
      <w:pPr>
        <w:tabs>
          <w:tab w:val="num" w:pos="5760"/>
        </w:tabs>
        <w:ind w:left="5760" w:hanging="360"/>
      </w:pPr>
      <w:rPr>
        <w:rFonts w:cs="Times New Roman"/>
      </w:rPr>
    </w:lvl>
    <w:lvl w:ilvl="8" w:tplc="0DE442E8" w:tentative="1">
      <w:start w:val="1"/>
      <w:numFmt w:val="lowerRoman"/>
      <w:lvlText w:val="%9."/>
      <w:lvlJc w:val="right"/>
      <w:pPr>
        <w:tabs>
          <w:tab w:val="num" w:pos="6480"/>
        </w:tabs>
        <w:ind w:left="6480" w:hanging="180"/>
      </w:pPr>
      <w:rPr>
        <w:rFonts w:cs="Times New Roman"/>
      </w:rPr>
    </w:lvl>
  </w:abstractNum>
  <w:abstractNum w:abstractNumId="37">
    <w:nsid w:val="68C35B40"/>
    <w:multiLevelType w:val="hybridMultilevel"/>
    <w:tmpl w:val="F0686542"/>
    <w:lvl w:ilvl="0" w:tplc="8A66DCCE">
      <w:start w:val="1"/>
      <w:numFmt w:val="bullet"/>
      <w:lvlText w:val="o"/>
      <w:lvlJc w:val="left"/>
      <w:pPr>
        <w:ind w:left="720" w:hanging="360"/>
      </w:pPr>
      <w:rPr>
        <w:rFonts w:ascii="Courier New" w:hAnsi="Courier New" w:cs="Symbol" w:hint="default"/>
      </w:rPr>
    </w:lvl>
    <w:lvl w:ilvl="1" w:tplc="520624C4">
      <w:start w:val="1"/>
      <w:numFmt w:val="bullet"/>
      <w:lvlText w:val="o"/>
      <w:lvlJc w:val="left"/>
      <w:pPr>
        <w:ind w:left="1440" w:hanging="360"/>
      </w:pPr>
      <w:rPr>
        <w:rFonts w:ascii="Courier New" w:hAnsi="Courier New" w:cs="Symbol" w:hint="default"/>
      </w:rPr>
    </w:lvl>
    <w:lvl w:ilvl="2" w:tplc="E11A3FE4" w:tentative="1">
      <w:start w:val="1"/>
      <w:numFmt w:val="bullet"/>
      <w:lvlText w:val=""/>
      <w:lvlJc w:val="left"/>
      <w:pPr>
        <w:ind w:left="2160" w:hanging="360"/>
      </w:pPr>
      <w:rPr>
        <w:rFonts w:ascii="Wingdings" w:hAnsi="Wingdings" w:hint="default"/>
      </w:rPr>
    </w:lvl>
    <w:lvl w:ilvl="3" w:tplc="5F20C0F8" w:tentative="1">
      <w:start w:val="1"/>
      <w:numFmt w:val="bullet"/>
      <w:lvlText w:val=""/>
      <w:lvlJc w:val="left"/>
      <w:pPr>
        <w:ind w:left="2880" w:hanging="360"/>
      </w:pPr>
      <w:rPr>
        <w:rFonts w:ascii="Symbol" w:hAnsi="Symbol" w:hint="default"/>
      </w:rPr>
    </w:lvl>
    <w:lvl w:ilvl="4" w:tplc="5EF2C0B8" w:tentative="1">
      <w:start w:val="1"/>
      <w:numFmt w:val="bullet"/>
      <w:lvlText w:val="o"/>
      <w:lvlJc w:val="left"/>
      <w:pPr>
        <w:ind w:left="3600" w:hanging="360"/>
      </w:pPr>
      <w:rPr>
        <w:rFonts w:ascii="Courier New" w:hAnsi="Courier New" w:cs="Symbol" w:hint="default"/>
      </w:rPr>
    </w:lvl>
    <w:lvl w:ilvl="5" w:tplc="E3ACF480" w:tentative="1">
      <w:start w:val="1"/>
      <w:numFmt w:val="bullet"/>
      <w:lvlText w:val=""/>
      <w:lvlJc w:val="left"/>
      <w:pPr>
        <w:ind w:left="4320" w:hanging="360"/>
      </w:pPr>
      <w:rPr>
        <w:rFonts w:ascii="Wingdings" w:hAnsi="Wingdings" w:hint="default"/>
      </w:rPr>
    </w:lvl>
    <w:lvl w:ilvl="6" w:tplc="53B8481C" w:tentative="1">
      <w:start w:val="1"/>
      <w:numFmt w:val="bullet"/>
      <w:lvlText w:val=""/>
      <w:lvlJc w:val="left"/>
      <w:pPr>
        <w:ind w:left="5040" w:hanging="360"/>
      </w:pPr>
      <w:rPr>
        <w:rFonts w:ascii="Symbol" w:hAnsi="Symbol" w:hint="default"/>
      </w:rPr>
    </w:lvl>
    <w:lvl w:ilvl="7" w:tplc="EB2A3D44" w:tentative="1">
      <w:start w:val="1"/>
      <w:numFmt w:val="bullet"/>
      <w:lvlText w:val="o"/>
      <w:lvlJc w:val="left"/>
      <w:pPr>
        <w:ind w:left="5760" w:hanging="360"/>
      </w:pPr>
      <w:rPr>
        <w:rFonts w:ascii="Courier New" w:hAnsi="Courier New" w:cs="Symbol" w:hint="default"/>
      </w:rPr>
    </w:lvl>
    <w:lvl w:ilvl="8" w:tplc="AFE46F0E" w:tentative="1">
      <w:start w:val="1"/>
      <w:numFmt w:val="bullet"/>
      <w:lvlText w:val=""/>
      <w:lvlJc w:val="left"/>
      <w:pPr>
        <w:ind w:left="6480" w:hanging="360"/>
      </w:pPr>
      <w:rPr>
        <w:rFonts w:ascii="Wingdings" w:hAnsi="Wingdings" w:hint="default"/>
      </w:rPr>
    </w:lvl>
  </w:abstractNum>
  <w:abstractNum w:abstractNumId="38">
    <w:nsid w:val="796D0B6A"/>
    <w:multiLevelType w:val="hybridMultilevel"/>
    <w:tmpl w:val="4BB26B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5"/>
  </w:num>
  <w:num w:numId="2">
    <w:abstractNumId w:val="36"/>
  </w:num>
  <w:num w:numId="3">
    <w:abstractNumId w:val="28"/>
  </w:num>
  <w:num w:numId="4">
    <w:abstractNumId w:val="19"/>
  </w:num>
  <w:num w:numId="5">
    <w:abstractNumId w:val="34"/>
  </w:num>
  <w:num w:numId="6">
    <w:abstractNumId w:val="26"/>
  </w:num>
  <w:num w:numId="7">
    <w:abstractNumId w:val="31"/>
  </w:num>
  <w:num w:numId="8">
    <w:abstractNumId w:val="38"/>
  </w:num>
  <w:num w:numId="9">
    <w:abstractNumId w:val="11"/>
  </w:num>
  <w:num w:numId="10">
    <w:abstractNumId w:val="14"/>
  </w:num>
  <w:num w:numId="11">
    <w:abstractNumId w:val="13"/>
  </w:num>
  <w:num w:numId="12">
    <w:abstractNumId w:val="27"/>
  </w:num>
  <w:num w:numId="13">
    <w:abstractNumId w:val="23"/>
  </w:num>
  <w:num w:numId="14">
    <w:abstractNumId w:val="15"/>
  </w:num>
  <w:num w:numId="15">
    <w:abstractNumId w:val="25"/>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32"/>
  </w:num>
  <w:num w:numId="27">
    <w:abstractNumId w:val="17"/>
  </w:num>
  <w:num w:numId="28">
    <w:abstractNumId w:val="30"/>
  </w:num>
  <w:num w:numId="29">
    <w:abstractNumId w:val="33"/>
  </w:num>
  <w:num w:numId="30">
    <w:abstractNumId w:val="29"/>
  </w:num>
  <w:num w:numId="31">
    <w:abstractNumId w:val="24"/>
  </w:num>
  <w:num w:numId="32">
    <w:abstractNumId w:val="16"/>
  </w:num>
  <w:num w:numId="33">
    <w:abstractNumId w:val="18"/>
  </w:num>
  <w:num w:numId="34">
    <w:abstractNumId w:val="20"/>
  </w:num>
  <w:num w:numId="35">
    <w:abstractNumId w:val="37"/>
  </w:num>
  <w:num w:numId="36">
    <w:abstractNumId w:val="10"/>
  </w:num>
  <w:num w:numId="37">
    <w:abstractNumId w:val="12"/>
  </w:num>
  <w:num w:numId="38">
    <w:abstractNumId w:val="21"/>
  </w:num>
  <w:num w:numId="39">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C58DC"/>
    <w:rsid w:val="0000087D"/>
    <w:rsid w:val="00002E2E"/>
    <w:rsid w:val="00003C84"/>
    <w:rsid w:val="0000501F"/>
    <w:rsid w:val="000057E1"/>
    <w:rsid w:val="00006DCE"/>
    <w:rsid w:val="00014913"/>
    <w:rsid w:val="00014F2C"/>
    <w:rsid w:val="00015405"/>
    <w:rsid w:val="00021D5F"/>
    <w:rsid w:val="000270BC"/>
    <w:rsid w:val="0003025C"/>
    <w:rsid w:val="00030619"/>
    <w:rsid w:val="00030D47"/>
    <w:rsid w:val="00032B34"/>
    <w:rsid w:val="00034027"/>
    <w:rsid w:val="00037298"/>
    <w:rsid w:val="0004392B"/>
    <w:rsid w:val="000441CC"/>
    <w:rsid w:val="00044FDD"/>
    <w:rsid w:val="000453EA"/>
    <w:rsid w:val="00052417"/>
    <w:rsid w:val="00053D20"/>
    <w:rsid w:val="00054B43"/>
    <w:rsid w:val="00055A19"/>
    <w:rsid w:val="000576EB"/>
    <w:rsid w:val="000614E8"/>
    <w:rsid w:val="000622B7"/>
    <w:rsid w:val="00062463"/>
    <w:rsid w:val="000647A5"/>
    <w:rsid w:val="000656CF"/>
    <w:rsid w:val="00067A1E"/>
    <w:rsid w:val="000701C5"/>
    <w:rsid w:val="00075611"/>
    <w:rsid w:val="0008374B"/>
    <w:rsid w:val="0008420E"/>
    <w:rsid w:val="0008745E"/>
    <w:rsid w:val="000928FA"/>
    <w:rsid w:val="0009499C"/>
    <w:rsid w:val="00095F07"/>
    <w:rsid w:val="00096291"/>
    <w:rsid w:val="000A113F"/>
    <w:rsid w:val="000A20DF"/>
    <w:rsid w:val="000A460D"/>
    <w:rsid w:val="000A68B6"/>
    <w:rsid w:val="000B3BB0"/>
    <w:rsid w:val="000B405A"/>
    <w:rsid w:val="000B48C7"/>
    <w:rsid w:val="000C70F4"/>
    <w:rsid w:val="000C79C0"/>
    <w:rsid w:val="000D0213"/>
    <w:rsid w:val="000D0498"/>
    <w:rsid w:val="000D0FF7"/>
    <w:rsid w:val="000D2902"/>
    <w:rsid w:val="000D45F1"/>
    <w:rsid w:val="000D5A71"/>
    <w:rsid w:val="000E2159"/>
    <w:rsid w:val="000E2932"/>
    <w:rsid w:val="000E2C87"/>
    <w:rsid w:val="000E3F7C"/>
    <w:rsid w:val="000E4C26"/>
    <w:rsid w:val="000E6FDF"/>
    <w:rsid w:val="000E787F"/>
    <w:rsid w:val="000F2482"/>
    <w:rsid w:val="000F3EDE"/>
    <w:rsid w:val="000F470D"/>
    <w:rsid w:val="000F4E38"/>
    <w:rsid w:val="000F4E46"/>
    <w:rsid w:val="000F4F14"/>
    <w:rsid w:val="000F5C24"/>
    <w:rsid w:val="0010095A"/>
    <w:rsid w:val="00102EAF"/>
    <w:rsid w:val="0010706F"/>
    <w:rsid w:val="00110998"/>
    <w:rsid w:val="0011260B"/>
    <w:rsid w:val="00120772"/>
    <w:rsid w:val="0012164C"/>
    <w:rsid w:val="00123BB9"/>
    <w:rsid w:val="00125880"/>
    <w:rsid w:val="00133B34"/>
    <w:rsid w:val="00133D8F"/>
    <w:rsid w:val="00137011"/>
    <w:rsid w:val="001407CB"/>
    <w:rsid w:val="001419E8"/>
    <w:rsid w:val="00142517"/>
    <w:rsid w:val="00144A03"/>
    <w:rsid w:val="00145CE5"/>
    <w:rsid w:val="00146502"/>
    <w:rsid w:val="00150E80"/>
    <w:rsid w:val="00152968"/>
    <w:rsid w:val="00153873"/>
    <w:rsid w:val="00154FAF"/>
    <w:rsid w:val="001563EC"/>
    <w:rsid w:val="00162550"/>
    <w:rsid w:val="00162F31"/>
    <w:rsid w:val="00163EA2"/>
    <w:rsid w:val="001643BB"/>
    <w:rsid w:val="00164F37"/>
    <w:rsid w:val="001655B2"/>
    <w:rsid w:val="0016702B"/>
    <w:rsid w:val="001700D4"/>
    <w:rsid w:val="00170224"/>
    <w:rsid w:val="001706A8"/>
    <w:rsid w:val="001708BB"/>
    <w:rsid w:val="00172F9A"/>
    <w:rsid w:val="00183313"/>
    <w:rsid w:val="001850EF"/>
    <w:rsid w:val="00186985"/>
    <w:rsid w:val="001913F0"/>
    <w:rsid w:val="00193090"/>
    <w:rsid w:val="00194B05"/>
    <w:rsid w:val="001966B6"/>
    <w:rsid w:val="001A006F"/>
    <w:rsid w:val="001A2D34"/>
    <w:rsid w:val="001A4E4D"/>
    <w:rsid w:val="001B077E"/>
    <w:rsid w:val="001B2B84"/>
    <w:rsid w:val="001B363C"/>
    <w:rsid w:val="001B3BF3"/>
    <w:rsid w:val="001B5071"/>
    <w:rsid w:val="001C035F"/>
    <w:rsid w:val="001C0506"/>
    <w:rsid w:val="001C0AED"/>
    <w:rsid w:val="001C471D"/>
    <w:rsid w:val="001D05C1"/>
    <w:rsid w:val="001D32A2"/>
    <w:rsid w:val="001D4C10"/>
    <w:rsid w:val="001D5836"/>
    <w:rsid w:val="001D79ED"/>
    <w:rsid w:val="001E07E5"/>
    <w:rsid w:val="001E3007"/>
    <w:rsid w:val="001E4FF7"/>
    <w:rsid w:val="001E6796"/>
    <w:rsid w:val="001E7650"/>
    <w:rsid w:val="001E78C5"/>
    <w:rsid w:val="001F18F3"/>
    <w:rsid w:val="001F19D8"/>
    <w:rsid w:val="001F215B"/>
    <w:rsid w:val="001F2EBB"/>
    <w:rsid w:val="001F2FA3"/>
    <w:rsid w:val="001F359F"/>
    <w:rsid w:val="001F4A81"/>
    <w:rsid w:val="001F577C"/>
    <w:rsid w:val="001F7F24"/>
    <w:rsid w:val="0020166F"/>
    <w:rsid w:val="00201B5F"/>
    <w:rsid w:val="002066E5"/>
    <w:rsid w:val="002073D4"/>
    <w:rsid w:val="00214745"/>
    <w:rsid w:val="002152D6"/>
    <w:rsid w:val="0022106E"/>
    <w:rsid w:val="0022417F"/>
    <w:rsid w:val="00224457"/>
    <w:rsid w:val="002249EA"/>
    <w:rsid w:val="00225385"/>
    <w:rsid w:val="00225920"/>
    <w:rsid w:val="00225CEE"/>
    <w:rsid w:val="0023241B"/>
    <w:rsid w:val="00235198"/>
    <w:rsid w:val="0023702D"/>
    <w:rsid w:val="00237BA4"/>
    <w:rsid w:val="00240C57"/>
    <w:rsid w:val="002439B5"/>
    <w:rsid w:val="00245C3A"/>
    <w:rsid w:val="002471A7"/>
    <w:rsid w:val="002476A6"/>
    <w:rsid w:val="00252415"/>
    <w:rsid w:val="00255F0E"/>
    <w:rsid w:val="00257C1C"/>
    <w:rsid w:val="00257EAA"/>
    <w:rsid w:val="00264646"/>
    <w:rsid w:val="00264BB4"/>
    <w:rsid w:val="002650D7"/>
    <w:rsid w:val="00267E85"/>
    <w:rsid w:val="0027036C"/>
    <w:rsid w:val="00270A6B"/>
    <w:rsid w:val="00270D80"/>
    <w:rsid w:val="00274F03"/>
    <w:rsid w:val="0028048A"/>
    <w:rsid w:val="00280DFF"/>
    <w:rsid w:val="00281B44"/>
    <w:rsid w:val="00282008"/>
    <w:rsid w:val="002909C3"/>
    <w:rsid w:val="0029238A"/>
    <w:rsid w:val="00292FBF"/>
    <w:rsid w:val="0029319C"/>
    <w:rsid w:val="00295872"/>
    <w:rsid w:val="002A1DEA"/>
    <w:rsid w:val="002A2262"/>
    <w:rsid w:val="002C0F79"/>
    <w:rsid w:val="002C4D55"/>
    <w:rsid w:val="002C58FC"/>
    <w:rsid w:val="002D0CCD"/>
    <w:rsid w:val="002F6E9A"/>
    <w:rsid w:val="002F7C13"/>
    <w:rsid w:val="00300F3E"/>
    <w:rsid w:val="00303C9D"/>
    <w:rsid w:val="00304FBF"/>
    <w:rsid w:val="003072A8"/>
    <w:rsid w:val="00307410"/>
    <w:rsid w:val="00307696"/>
    <w:rsid w:val="00307967"/>
    <w:rsid w:val="00310F87"/>
    <w:rsid w:val="00313B0E"/>
    <w:rsid w:val="00315EB8"/>
    <w:rsid w:val="00317DF4"/>
    <w:rsid w:val="00321E5C"/>
    <w:rsid w:val="003236DF"/>
    <w:rsid w:val="003308A5"/>
    <w:rsid w:val="00331F03"/>
    <w:rsid w:val="003333FE"/>
    <w:rsid w:val="00334426"/>
    <w:rsid w:val="0033589B"/>
    <w:rsid w:val="00336CFD"/>
    <w:rsid w:val="00340C80"/>
    <w:rsid w:val="00341279"/>
    <w:rsid w:val="0034320A"/>
    <w:rsid w:val="003511DC"/>
    <w:rsid w:val="00351E0C"/>
    <w:rsid w:val="0035647D"/>
    <w:rsid w:val="00357140"/>
    <w:rsid w:val="003614F6"/>
    <w:rsid w:val="00362B35"/>
    <w:rsid w:val="003634AD"/>
    <w:rsid w:val="00364C36"/>
    <w:rsid w:val="003651EB"/>
    <w:rsid w:val="00366495"/>
    <w:rsid w:val="00367FD0"/>
    <w:rsid w:val="003709E9"/>
    <w:rsid w:val="00381DEC"/>
    <w:rsid w:val="003857D3"/>
    <w:rsid w:val="00386B60"/>
    <w:rsid w:val="00387008"/>
    <w:rsid w:val="00387179"/>
    <w:rsid w:val="00387C8F"/>
    <w:rsid w:val="00391C1D"/>
    <w:rsid w:val="00391CAD"/>
    <w:rsid w:val="003956A3"/>
    <w:rsid w:val="00396D7E"/>
    <w:rsid w:val="00397807"/>
    <w:rsid w:val="003A092E"/>
    <w:rsid w:val="003A20FE"/>
    <w:rsid w:val="003A31C1"/>
    <w:rsid w:val="003A4107"/>
    <w:rsid w:val="003A5C0D"/>
    <w:rsid w:val="003A611B"/>
    <w:rsid w:val="003A6229"/>
    <w:rsid w:val="003B23BA"/>
    <w:rsid w:val="003B374F"/>
    <w:rsid w:val="003B4470"/>
    <w:rsid w:val="003B4AA3"/>
    <w:rsid w:val="003C4030"/>
    <w:rsid w:val="003C4348"/>
    <w:rsid w:val="003C52B4"/>
    <w:rsid w:val="003C5CD3"/>
    <w:rsid w:val="003D2607"/>
    <w:rsid w:val="003D33C7"/>
    <w:rsid w:val="003D452D"/>
    <w:rsid w:val="003D62BE"/>
    <w:rsid w:val="003D7C6E"/>
    <w:rsid w:val="003E3C4B"/>
    <w:rsid w:val="003E506A"/>
    <w:rsid w:val="003E60F2"/>
    <w:rsid w:val="003E7A5D"/>
    <w:rsid w:val="003F0504"/>
    <w:rsid w:val="003F1FB3"/>
    <w:rsid w:val="003F4421"/>
    <w:rsid w:val="003F4496"/>
    <w:rsid w:val="003F4FD6"/>
    <w:rsid w:val="003F7743"/>
    <w:rsid w:val="004004E9"/>
    <w:rsid w:val="00401354"/>
    <w:rsid w:val="004035D1"/>
    <w:rsid w:val="00405483"/>
    <w:rsid w:val="00405CF4"/>
    <w:rsid w:val="00407810"/>
    <w:rsid w:val="00410455"/>
    <w:rsid w:val="004137A5"/>
    <w:rsid w:val="00415ABF"/>
    <w:rsid w:val="004160BB"/>
    <w:rsid w:val="0041631C"/>
    <w:rsid w:val="0041661B"/>
    <w:rsid w:val="0041681E"/>
    <w:rsid w:val="00416B28"/>
    <w:rsid w:val="004206A1"/>
    <w:rsid w:val="00421274"/>
    <w:rsid w:val="00421E3E"/>
    <w:rsid w:val="00421FD6"/>
    <w:rsid w:val="00422399"/>
    <w:rsid w:val="004236B0"/>
    <w:rsid w:val="004255A9"/>
    <w:rsid w:val="00432DC3"/>
    <w:rsid w:val="00432F0F"/>
    <w:rsid w:val="00434423"/>
    <w:rsid w:val="00441A9C"/>
    <w:rsid w:val="004438CD"/>
    <w:rsid w:val="0044435F"/>
    <w:rsid w:val="004453B7"/>
    <w:rsid w:val="00445727"/>
    <w:rsid w:val="00446DDF"/>
    <w:rsid w:val="00456337"/>
    <w:rsid w:val="00457923"/>
    <w:rsid w:val="00462CDF"/>
    <w:rsid w:val="00463244"/>
    <w:rsid w:val="004634A4"/>
    <w:rsid w:val="004714C8"/>
    <w:rsid w:val="00472B01"/>
    <w:rsid w:val="004748DE"/>
    <w:rsid w:val="00476E6F"/>
    <w:rsid w:val="00477007"/>
    <w:rsid w:val="00477DCD"/>
    <w:rsid w:val="004800BD"/>
    <w:rsid w:val="00480EED"/>
    <w:rsid w:val="004834D3"/>
    <w:rsid w:val="00485691"/>
    <w:rsid w:val="00486DFB"/>
    <w:rsid w:val="00492EC9"/>
    <w:rsid w:val="00495E28"/>
    <w:rsid w:val="004A0B5D"/>
    <w:rsid w:val="004A16BB"/>
    <w:rsid w:val="004A1C64"/>
    <w:rsid w:val="004A5DC2"/>
    <w:rsid w:val="004A6F90"/>
    <w:rsid w:val="004B0F0D"/>
    <w:rsid w:val="004B28FB"/>
    <w:rsid w:val="004B4092"/>
    <w:rsid w:val="004B4AD2"/>
    <w:rsid w:val="004B6FF0"/>
    <w:rsid w:val="004C3759"/>
    <w:rsid w:val="004D0CC0"/>
    <w:rsid w:val="004D10C8"/>
    <w:rsid w:val="004D1B18"/>
    <w:rsid w:val="004D31AF"/>
    <w:rsid w:val="004D4479"/>
    <w:rsid w:val="004D6474"/>
    <w:rsid w:val="004D6D01"/>
    <w:rsid w:val="004D6E33"/>
    <w:rsid w:val="004E1A28"/>
    <w:rsid w:val="004E3D6D"/>
    <w:rsid w:val="004E77D2"/>
    <w:rsid w:val="004F0525"/>
    <w:rsid w:val="004F384A"/>
    <w:rsid w:val="004F4F66"/>
    <w:rsid w:val="004F6707"/>
    <w:rsid w:val="00502E44"/>
    <w:rsid w:val="005035D8"/>
    <w:rsid w:val="0050737A"/>
    <w:rsid w:val="00512E91"/>
    <w:rsid w:val="00514525"/>
    <w:rsid w:val="005221E6"/>
    <w:rsid w:val="005249FA"/>
    <w:rsid w:val="005265DB"/>
    <w:rsid w:val="00526852"/>
    <w:rsid w:val="00530123"/>
    <w:rsid w:val="00530225"/>
    <w:rsid w:val="00530309"/>
    <w:rsid w:val="005334E4"/>
    <w:rsid w:val="00533DD8"/>
    <w:rsid w:val="00535C7E"/>
    <w:rsid w:val="00537A36"/>
    <w:rsid w:val="00540027"/>
    <w:rsid w:val="005426EE"/>
    <w:rsid w:val="00544E7F"/>
    <w:rsid w:val="0054760B"/>
    <w:rsid w:val="00557795"/>
    <w:rsid w:val="00557DEB"/>
    <w:rsid w:val="0056281F"/>
    <w:rsid w:val="00564BBF"/>
    <w:rsid w:val="0056564A"/>
    <w:rsid w:val="00565E9B"/>
    <w:rsid w:val="005661AF"/>
    <w:rsid w:val="005704C5"/>
    <w:rsid w:val="00571F1D"/>
    <w:rsid w:val="005732A8"/>
    <w:rsid w:val="00582933"/>
    <w:rsid w:val="00582D68"/>
    <w:rsid w:val="00584695"/>
    <w:rsid w:val="00586E86"/>
    <w:rsid w:val="00590B1C"/>
    <w:rsid w:val="00595092"/>
    <w:rsid w:val="005A5327"/>
    <w:rsid w:val="005B1130"/>
    <w:rsid w:val="005B1768"/>
    <w:rsid w:val="005B1942"/>
    <w:rsid w:val="005B370D"/>
    <w:rsid w:val="005B7F95"/>
    <w:rsid w:val="005C2107"/>
    <w:rsid w:val="005C5170"/>
    <w:rsid w:val="005C5FA7"/>
    <w:rsid w:val="005C736F"/>
    <w:rsid w:val="005D0005"/>
    <w:rsid w:val="005D0079"/>
    <w:rsid w:val="005D3D67"/>
    <w:rsid w:val="005D3E7D"/>
    <w:rsid w:val="005D4551"/>
    <w:rsid w:val="005D73EB"/>
    <w:rsid w:val="005E1C27"/>
    <w:rsid w:val="005E2B3C"/>
    <w:rsid w:val="005E42DF"/>
    <w:rsid w:val="005E4C93"/>
    <w:rsid w:val="005F238C"/>
    <w:rsid w:val="005F2EFC"/>
    <w:rsid w:val="005F45F2"/>
    <w:rsid w:val="005F4810"/>
    <w:rsid w:val="005F63E3"/>
    <w:rsid w:val="006043D5"/>
    <w:rsid w:val="006050E6"/>
    <w:rsid w:val="00606F95"/>
    <w:rsid w:val="006077C7"/>
    <w:rsid w:val="00610E59"/>
    <w:rsid w:val="00611074"/>
    <w:rsid w:val="00611D7C"/>
    <w:rsid w:val="006135F4"/>
    <w:rsid w:val="00614034"/>
    <w:rsid w:val="006155BF"/>
    <w:rsid w:val="00617344"/>
    <w:rsid w:val="00621230"/>
    <w:rsid w:val="00627306"/>
    <w:rsid w:val="006276EA"/>
    <w:rsid w:val="006311AD"/>
    <w:rsid w:val="0063167A"/>
    <w:rsid w:val="006319C8"/>
    <w:rsid w:val="00631D24"/>
    <w:rsid w:val="00632232"/>
    <w:rsid w:val="0063386E"/>
    <w:rsid w:val="00635417"/>
    <w:rsid w:val="00636C49"/>
    <w:rsid w:val="00640831"/>
    <w:rsid w:val="00642671"/>
    <w:rsid w:val="00643C47"/>
    <w:rsid w:val="00644516"/>
    <w:rsid w:val="006450E2"/>
    <w:rsid w:val="00647958"/>
    <w:rsid w:val="0065114D"/>
    <w:rsid w:val="00652134"/>
    <w:rsid w:val="00654142"/>
    <w:rsid w:val="006542FD"/>
    <w:rsid w:val="006576CF"/>
    <w:rsid w:val="006659FB"/>
    <w:rsid w:val="006705E3"/>
    <w:rsid w:val="00670EC2"/>
    <w:rsid w:val="006728B0"/>
    <w:rsid w:val="00672E66"/>
    <w:rsid w:val="006736AA"/>
    <w:rsid w:val="006738C5"/>
    <w:rsid w:val="00673903"/>
    <w:rsid w:val="006745B4"/>
    <w:rsid w:val="00674E20"/>
    <w:rsid w:val="00675221"/>
    <w:rsid w:val="006802A3"/>
    <w:rsid w:val="00681662"/>
    <w:rsid w:val="00681C7C"/>
    <w:rsid w:val="006823B4"/>
    <w:rsid w:val="00685B92"/>
    <w:rsid w:val="00686529"/>
    <w:rsid w:val="006878B0"/>
    <w:rsid w:val="006932B7"/>
    <w:rsid w:val="00694D22"/>
    <w:rsid w:val="0069589F"/>
    <w:rsid w:val="006A2936"/>
    <w:rsid w:val="006A4B33"/>
    <w:rsid w:val="006A6470"/>
    <w:rsid w:val="006B37A8"/>
    <w:rsid w:val="006B5029"/>
    <w:rsid w:val="006C02D7"/>
    <w:rsid w:val="006C58DC"/>
    <w:rsid w:val="006C772E"/>
    <w:rsid w:val="006D0CE1"/>
    <w:rsid w:val="006D3855"/>
    <w:rsid w:val="006D46C6"/>
    <w:rsid w:val="006D4A42"/>
    <w:rsid w:val="006D636A"/>
    <w:rsid w:val="006D63F3"/>
    <w:rsid w:val="006D7131"/>
    <w:rsid w:val="006E066B"/>
    <w:rsid w:val="006E2F0B"/>
    <w:rsid w:val="006E4061"/>
    <w:rsid w:val="006E55BE"/>
    <w:rsid w:val="006E56C2"/>
    <w:rsid w:val="006F0222"/>
    <w:rsid w:val="006F11CD"/>
    <w:rsid w:val="006F19A5"/>
    <w:rsid w:val="006F4AD5"/>
    <w:rsid w:val="006F5156"/>
    <w:rsid w:val="006F53A3"/>
    <w:rsid w:val="006F70B1"/>
    <w:rsid w:val="007001E0"/>
    <w:rsid w:val="0070486B"/>
    <w:rsid w:val="007064C1"/>
    <w:rsid w:val="00710CC0"/>
    <w:rsid w:val="0071134E"/>
    <w:rsid w:val="00711B9B"/>
    <w:rsid w:val="00711D66"/>
    <w:rsid w:val="0072164E"/>
    <w:rsid w:val="0072173F"/>
    <w:rsid w:val="00722E67"/>
    <w:rsid w:val="00724500"/>
    <w:rsid w:val="00730149"/>
    <w:rsid w:val="007315CE"/>
    <w:rsid w:val="00731BD9"/>
    <w:rsid w:val="00732B67"/>
    <w:rsid w:val="007335AC"/>
    <w:rsid w:val="00735F5F"/>
    <w:rsid w:val="00736754"/>
    <w:rsid w:val="007372BC"/>
    <w:rsid w:val="00737A2E"/>
    <w:rsid w:val="007401D9"/>
    <w:rsid w:val="007417C8"/>
    <w:rsid w:val="00743B44"/>
    <w:rsid w:val="007516F7"/>
    <w:rsid w:val="00752181"/>
    <w:rsid w:val="00754214"/>
    <w:rsid w:val="007544A5"/>
    <w:rsid w:val="007609BD"/>
    <w:rsid w:val="00770343"/>
    <w:rsid w:val="0077057E"/>
    <w:rsid w:val="00770F34"/>
    <w:rsid w:val="007723E0"/>
    <w:rsid w:val="00774E43"/>
    <w:rsid w:val="007768EC"/>
    <w:rsid w:val="00777A4B"/>
    <w:rsid w:val="0078061C"/>
    <w:rsid w:val="00782B22"/>
    <w:rsid w:val="0078447F"/>
    <w:rsid w:val="007915B8"/>
    <w:rsid w:val="0079442E"/>
    <w:rsid w:val="0079685B"/>
    <w:rsid w:val="00796E44"/>
    <w:rsid w:val="00797977"/>
    <w:rsid w:val="007B0E02"/>
    <w:rsid w:val="007B10F2"/>
    <w:rsid w:val="007B4C23"/>
    <w:rsid w:val="007B6615"/>
    <w:rsid w:val="007B7328"/>
    <w:rsid w:val="007C18F9"/>
    <w:rsid w:val="007C1C1E"/>
    <w:rsid w:val="007C1C25"/>
    <w:rsid w:val="007C2E9B"/>
    <w:rsid w:val="007C55C4"/>
    <w:rsid w:val="007C5B1C"/>
    <w:rsid w:val="007C71A2"/>
    <w:rsid w:val="007D0365"/>
    <w:rsid w:val="007D10BA"/>
    <w:rsid w:val="007D2330"/>
    <w:rsid w:val="007D40D2"/>
    <w:rsid w:val="007D4216"/>
    <w:rsid w:val="007D5E7F"/>
    <w:rsid w:val="007D78E6"/>
    <w:rsid w:val="007E2D26"/>
    <w:rsid w:val="007E2F23"/>
    <w:rsid w:val="007E4D03"/>
    <w:rsid w:val="007E7A32"/>
    <w:rsid w:val="007F1797"/>
    <w:rsid w:val="0080228A"/>
    <w:rsid w:val="00804DC1"/>
    <w:rsid w:val="00805254"/>
    <w:rsid w:val="008072D9"/>
    <w:rsid w:val="00807E63"/>
    <w:rsid w:val="0081429D"/>
    <w:rsid w:val="00815ED7"/>
    <w:rsid w:val="00816034"/>
    <w:rsid w:val="00820411"/>
    <w:rsid w:val="00820BEC"/>
    <w:rsid w:val="00820DC5"/>
    <w:rsid w:val="00822835"/>
    <w:rsid w:val="00822EF8"/>
    <w:rsid w:val="008253A1"/>
    <w:rsid w:val="008265ED"/>
    <w:rsid w:val="008348A5"/>
    <w:rsid w:val="008365D7"/>
    <w:rsid w:val="00837F0F"/>
    <w:rsid w:val="00847DB4"/>
    <w:rsid w:val="00850653"/>
    <w:rsid w:val="008509FC"/>
    <w:rsid w:val="00852A9A"/>
    <w:rsid w:val="00853371"/>
    <w:rsid w:val="008542E8"/>
    <w:rsid w:val="00854C35"/>
    <w:rsid w:val="008554CF"/>
    <w:rsid w:val="00855501"/>
    <w:rsid w:val="008561B1"/>
    <w:rsid w:val="00856E0C"/>
    <w:rsid w:val="00857142"/>
    <w:rsid w:val="00861817"/>
    <w:rsid w:val="00863983"/>
    <w:rsid w:val="008640B9"/>
    <w:rsid w:val="00864202"/>
    <w:rsid w:val="0086451F"/>
    <w:rsid w:val="008671EE"/>
    <w:rsid w:val="00873196"/>
    <w:rsid w:val="0087342D"/>
    <w:rsid w:val="00874124"/>
    <w:rsid w:val="00874EB5"/>
    <w:rsid w:val="00875587"/>
    <w:rsid w:val="008762DA"/>
    <w:rsid w:val="008763A6"/>
    <w:rsid w:val="00877CA7"/>
    <w:rsid w:val="008822C3"/>
    <w:rsid w:val="00882DF4"/>
    <w:rsid w:val="00885EB0"/>
    <w:rsid w:val="00886F64"/>
    <w:rsid w:val="00891FE2"/>
    <w:rsid w:val="0089354D"/>
    <w:rsid w:val="00893E18"/>
    <w:rsid w:val="00894548"/>
    <w:rsid w:val="00895B58"/>
    <w:rsid w:val="00897457"/>
    <w:rsid w:val="0089768D"/>
    <w:rsid w:val="00897E4F"/>
    <w:rsid w:val="008A1507"/>
    <w:rsid w:val="008A1627"/>
    <w:rsid w:val="008A1DB3"/>
    <w:rsid w:val="008A2052"/>
    <w:rsid w:val="008A2F1E"/>
    <w:rsid w:val="008A414D"/>
    <w:rsid w:val="008B2703"/>
    <w:rsid w:val="008B3F26"/>
    <w:rsid w:val="008B5D90"/>
    <w:rsid w:val="008B6550"/>
    <w:rsid w:val="008B6641"/>
    <w:rsid w:val="008B7E92"/>
    <w:rsid w:val="008C0186"/>
    <w:rsid w:val="008C4058"/>
    <w:rsid w:val="008C50CC"/>
    <w:rsid w:val="008C6AD4"/>
    <w:rsid w:val="008D4A6A"/>
    <w:rsid w:val="008D50C0"/>
    <w:rsid w:val="008D556C"/>
    <w:rsid w:val="008E01E7"/>
    <w:rsid w:val="008E4279"/>
    <w:rsid w:val="008F0DBD"/>
    <w:rsid w:val="008F1028"/>
    <w:rsid w:val="008F1159"/>
    <w:rsid w:val="008F18E1"/>
    <w:rsid w:val="0090001E"/>
    <w:rsid w:val="00901598"/>
    <w:rsid w:val="00903991"/>
    <w:rsid w:val="00904D82"/>
    <w:rsid w:val="00905776"/>
    <w:rsid w:val="0091024B"/>
    <w:rsid w:val="009104EE"/>
    <w:rsid w:val="0091328A"/>
    <w:rsid w:val="00914579"/>
    <w:rsid w:val="00915943"/>
    <w:rsid w:val="00915989"/>
    <w:rsid w:val="00916219"/>
    <w:rsid w:val="00917E86"/>
    <w:rsid w:val="0092194F"/>
    <w:rsid w:val="00924678"/>
    <w:rsid w:val="00924FE2"/>
    <w:rsid w:val="00925232"/>
    <w:rsid w:val="00925E1A"/>
    <w:rsid w:val="00935C50"/>
    <w:rsid w:val="00937059"/>
    <w:rsid w:val="009377E0"/>
    <w:rsid w:val="00942A1E"/>
    <w:rsid w:val="00944FED"/>
    <w:rsid w:val="00945686"/>
    <w:rsid w:val="009518A0"/>
    <w:rsid w:val="0095316E"/>
    <w:rsid w:val="00954DE8"/>
    <w:rsid w:val="009553E0"/>
    <w:rsid w:val="0095578E"/>
    <w:rsid w:val="009617A6"/>
    <w:rsid w:val="00963346"/>
    <w:rsid w:val="00965DFE"/>
    <w:rsid w:val="009660DC"/>
    <w:rsid w:val="009668D0"/>
    <w:rsid w:val="00970A85"/>
    <w:rsid w:val="00975116"/>
    <w:rsid w:val="009752B1"/>
    <w:rsid w:val="0097566B"/>
    <w:rsid w:val="00976365"/>
    <w:rsid w:val="00977F8A"/>
    <w:rsid w:val="00980C7C"/>
    <w:rsid w:val="00982745"/>
    <w:rsid w:val="00984D30"/>
    <w:rsid w:val="00987AA1"/>
    <w:rsid w:val="0099061C"/>
    <w:rsid w:val="00995874"/>
    <w:rsid w:val="00995DC5"/>
    <w:rsid w:val="00996C89"/>
    <w:rsid w:val="00996FF9"/>
    <w:rsid w:val="00997864"/>
    <w:rsid w:val="00997AA8"/>
    <w:rsid w:val="00997EF5"/>
    <w:rsid w:val="009A1330"/>
    <w:rsid w:val="009A257C"/>
    <w:rsid w:val="009A3721"/>
    <w:rsid w:val="009A5488"/>
    <w:rsid w:val="009A6E13"/>
    <w:rsid w:val="009B0001"/>
    <w:rsid w:val="009B0585"/>
    <w:rsid w:val="009B1096"/>
    <w:rsid w:val="009B4C32"/>
    <w:rsid w:val="009B60CF"/>
    <w:rsid w:val="009C0D20"/>
    <w:rsid w:val="009C25C0"/>
    <w:rsid w:val="009C40E3"/>
    <w:rsid w:val="009C5090"/>
    <w:rsid w:val="009C5E08"/>
    <w:rsid w:val="009C6437"/>
    <w:rsid w:val="009C79E5"/>
    <w:rsid w:val="009C7C3B"/>
    <w:rsid w:val="009C7C96"/>
    <w:rsid w:val="009C7E85"/>
    <w:rsid w:val="009D0EE7"/>
    <w:rsid w:val="009D13AF"/>
    <w:rsid w:val="009D1FE5"/>
    <w:rsid w:val="009D4761"/>
    <w:rsid w:val="009D6420"/>
    <w:rsid w:val="009D79D4"/>
    <w:rsid w:val="009E1112"/>
    <w:rsid w:val="009E1F9F"/>
    <w:rsid w:val="009E34F2"/>
    <w:rsid w:val="009E52EE"/>
    <w:rsid w:val="009E5643"/>
    <w:rsid w:val="009E5835"/>
    <w:rsid w:val="009E6EA8"/>
    <w:rsid w:val="009E7C5E"/>
    <w:rsid w:val="009F0EDE"/>
    <w:rsid w:val="009F190D"/>
    <w:rsid w:val="009F1B99"/>
    <w:rsid w:val="009F57F2"/>
    <w:rsid w:val="00A01D59"/>
    <w:rsid w:val="00A0260E"/>
    <w:rsid w:val="00A058FC"/>
    <w:rsid w:val="00A0726A"/>
    <w:rsid w:val="00A1191D"/>
    <w:rsid w:val="00A12E97"/>
    <w:rsid w:val="00A14B2C"/>
    <w:rsid w:val="00A1516B"/>
    <w:rsid w:val="00A154A4"/>
    <w:rsid w:val="00A17E3C"/>
    <w:rsid w:val="00A26235"/>
    <w:rsid w:val="00A27A6F"/>
    <w:rsid w:val="00A30170"/>
    <w:rsid w:val="00A33B2B"/>
    <w:rsid w:val="00A35340"/>
    <w:rsid w:val="00A415F0"/>
    <w:rsid w:val="00A44189"/>
    <w:rsid w:val="00A464F7"/>
    <w:rsid w:val="00A46EBF"/>
    <w:rsid w:val="00A5085E"/>
    <w:rsid w:val="00A53A00"/>
    <w:rsid w:val="00A541CF"/>
    <w:rsid w:val="00A57DF7"/>
    <w:rsid w:val="00A61935"/>
    <w:rsid w:val="00A6320B"/>
    <w:rsid w:val="00A638DB"/>
    <w:rsid w:val="00A665C1"/>
    <w:rsid w:val="00A70B3C"/>
    <w:rsid w:val="00A71305"/>
    <w:rsid w:val="00A74874"/>
    <w:rsid w:val="00A8362A"/>
    <w:rsid w:val="00A84E86"/>
    <w:rsid w:val="00A85000"/>
    <w:rsid w:val="00A8525F"/>
    <w:rsid w:val="00A86C9F"/>
    <w:rsid w:val="00A87A5A"/>
    <w:rsid w:val="00A87B81"/>
    <w:rsid w:val="00A91177"/>
    <w:rsid w:val="00A91AC5"/>
    <w:rsid w:val="00A921A9"/>
    <w:rsid w:val="00A9328A"/>
    <w:rsid w:val="00A93CA1"/>
    <w:rsid w:val="00A95303"/>
    <w:rsid w:val="00A97DC3"/>
    <w:rsid w:val="00AA4662"/>
    <w:rsid w:val="00AA66A4"/>
    <w:rsid w:val="00AA7A6C"/>
    <w:rsid w:val="00AB0DB6"/>
    <w:rsid w:val="00AB2981"/>
    <w:rsid w:val="00AB4848"/>
    <w:rsid w:val="00AB4CF2"/>
    <w:rsid w:val="00AB748B"/>
    <w:rsid w:val="00AB764B"/>
    <w:rsid w:val="00AC5920"/>
    <w:rsid w:val="00AC5BE4"/>
    <w:rsid w:val="00AC6131"/>
    <w:rsid w:val="00AC624D"/>
    <w:rsid w:val="00AC67B2"/>
    <w:rsid w:val="00AC6D60"/>
    <w:rsid w:val="00AD5E97"/>
    <w:rsid w:val="00AD6B18"/>
    <w:rsid w:val="00AE1129"/>
    <w:rsid w:val="00AE439E"/>
    <w:rsid w:val="00AE6E3D"/>
    <w:rsid w:val="00AF21BB"/>
    <w:rsid w:val="00AF560E"/>
    <w:rsid w:val="00AF6A85"/>
    <w:rsid w:val="00AF6BB2"/>
    <w:rsid w:val="00AF78EE"/>
    <w:rsid w:val="00AF7BD2"/>
    <w:rsid w:val="00B011A7"/>
    <w:rsid w:val="00B0321C"/>
    <w:rsid w:val="00B0324D"/>
    <w:rsid w:val="00B0764E"/>
    <w:rsid w:val="00B10A3C"/>
    <w:rsid w:val="00B10CE2"/>
    <w:rsid w:val="00B151D6"/>
    <w:rsid w:val="00B15991"/>
    <w:rsid w:val="00B160B1"/>
    <w:rsid w:val="00B17ECD"/>
    <w:rsid w:val="00B22220"/>
    <w:rsid w:val="00B224BC"/>
    <w:rsid w:val="00B25D41"/>
    <w:rsid w:val="00B2640E"/>
    <w:rsid w:val="00B319BE"/>
    <w:rsid w:val="00B36177"/>
    <w:rsid w:val="00B3771B"/>
    <w:rsid w:val="00B37D9A"/>
    <w:rsid w:val="00B41026"/>
    <w:rsid w:val="00B4149A"/>
    <w:rsid w:val="00B41F9D"/>
    <w:rsid w:val="00B42F44"/>
    <w:rsid w:val="00B50FA3"/>
    <w:rsid w:val="00B5428E"/>
    <w:rsid w:val="00B54F20"/>
    <w:rsid w:val="00B55F86"/>
    <w:rsid w:val="00B56EE4"/>
    <w:rsid w:val="00B636F9"/>
    <w:rsid w:val="00B660F3"/>
    <w:rsid w:val="00B67A91"/>
    <w:rsid w:val="00B70410"/>
    <w:rsid w:val="00B7149B"/>
    <w:rsid w:val="00B735C0"/>
    <w:rsid w:val="00B74D82"/>
    <w:rsid w:val="00B75689"/>
    <w:rsid w:val="00B92269"/>
    <w:rsid w:val="00B94263"/>
    <w:rsid w:val="00B94D6F"/>
    <w:rsid w:val="00BA3E09"/>
    <w:rsid w:val="00BA47D9"/>
    <w:rsid w:val="00BA5057"/>
    <w:rsid w:val="00BA752E"/>
    <w:rsid w:val="00BB0FD2"/>
    <w:rsid w:val="00BB1BE0"/>
    <w:rsid w:val="00BB5F17"/>
    <w:rsid w:val="00BB6E62"/>
    <w:rsid w:val="00BC0558"/>
    <w:rsid w:val="00BC3777"/>
    <w:rsid w:val="00BC415F"/>
    <w:rsid w:val="00BC6F21"/>
    <w:rsid w:val="00BD7BCE"/>
    <w:rsid w:val="00BE00E2"/>
    <w:rsid w:val="00BE4257"/>
    <w:rsid w:val="00BF0859"/>
    <w:rsid w:val="00BF0B1C"/>
    <w:rsid w:val="00BF1332"/>
    <w:rsid w:val="00BF1D1F"/>
    <w:rsid w:val="00BF1ED2"/>
    <w:rsid w:val="00BF21E8"/>
    <w:rsid w:val="00C02F89"/>
    <w:rsid w:val="00C03CFF"/>
    <w:rsid w:val="00C05A64"/>
    <w:rsid w:val="00C05FA6"/>
    <w:rsid w:val="00C1199B"/>
    <w:rsid w:val="00C143AA"/>
    <w:rsid w:val="00C16BCB"/>
    <w:rsid w:val="00C207C6"/>
    <w:rsid w:val="00C216F5"/>
    <w:rsid w:val="00C217E7"/>
    <w:rsid w:val="00C236CF"/>
    <w:rsid w:val="00C24253"/>
    <w:rsid w:val="00C30FC8"/>
    <w:rsid w:val="00C3535F"/>
    <w:rsid w:val="00C36D94"/>
    <w:rsid w:val="00C3755E"/>
    <w:rsid w:val="00C40588"/>
    <w:rsid w:val="00C40F44"/>
    <w:rsid w:val="00C41793"/>
    <w:rsid w:val="00C47C09"/>
    <w:rsid w:val="00C47DF2"/>
    <w:rsid w:val="00C50329"/>
    <w:rsid w:val="00C553A2"/>
    <w:rsid w:val="00C617E5"/>
    <w:rsid w:val="00C63335"/>
    <w:rsid w:val="00C634A2"/>
    <w:rsid w:val="00C643EE"/>
    <w:rsid w:val="00C67575"/>
    <w:rsid w:val="00C6758C"/>
    <w:rsid w:val="00C67DB8"/>
    <w:rsid w:val="00C71515"/>
    <w:rsid w:val="00C71572"/>
    <w:rsid w:val="00C7281E"/>
    <w:rsid w:val="00C74163"/>
    <w:rsid w:val="00C746CB"/>
    <w:rsid w:val="00C75195"/>
    <w:rsid w:val="00C768D9"/>
    <w:rsid w:val="00C77C0A"/>
    <w:rsid w:val="00C8073C"/>
    <w:rsid w:val="00C80B73"/>
    <w:rsid w:val="00C811D3"/>
    <w:rsid w:val="00C8231B"/>
    <w:rsid w:val="00C83833"/>
    <w:rsid w:val="00C838F5"/>
    <w:rsid w:val="00C848CF"/>
    <w:rsid w:val="00C863B0"/>
    <w:rsid w:val="00C90CC8"/>
    <w:rsid w:val="00C91A09"/>
    <w:rsid w:val="00C924BB"/>
    <w:rsid w:val="00C92667"/>
    <w:rsid w:val="00C93461"/>
    <w:rsid w:val="00C93C10"/>
    <w:rsid w:val="00CA06AC"/>
    <w:rsid w:val="00CA1117"/>
    <w:rsid w:val="00CA30DE"/>
    <w:rsid w:val="00CA3E6F"/>
    <w:rsid w:val="00CA6826"/>
    <w:rsid w:val="00CB37A4"/>
    <w:rsid w:val="00CB54F5"/>
    <w:rsid w:val="00CB5786"/>
    <w:rsid w:val="00CB5C64"/>
    <w:rsid w:val="00CC2EFF"/>
    <w:rsid w:val="00CC3600"/>
    <w:rsid w:val="00CC3F59"/>
    <w:rsid w:val="00CC6A26"/>
    <w:rsid w:val="00CC6ECA"/>
    <w:rsid w:val="00CC7DBA"/>
    <w:rsid w:val="00CD1BAD"/>
    <w:rsid w:val="00CD556F"/>
    <w:rsid w:val="00CE1AA0"/>
    <w:rsid w:val="00CE1E3E"/>
    <w:rsid w:val="00CE421A"/>
    <w:rsid w:val="00CE782E"/>
    <w:rsid w:val="00CF0857"/>
    <w:rsid w:val="00CF1742"/>
    <w:rsid w:val="00CF3128"/>
    <w:rsid w:val="00CF3710"/>
    <w:rsid w:val="00CF3725"/>
    <w:rsid w:val="00CF62F0"/>
    <w:rsid w:val="00CF794D"/>
    <w:rsid w:val="00D0101B"/>
    <w:rsid w:val="00D0297E"/>
    <w:rsid w:val="00D02E3A"/>
    <w:rsid w:val="00D04792"/>
    <w:rsid w:val="00D04F1D"/>
    <w:rsid w:val="00D05325"/>
    <w:rsid w:val="00D11905"/>
    <w:rsid w:val="00D142FF"/>
    <w:rsid w:val="00D20EF7"/>
    <w:rsid w:val="00D2160F"/>
    <w:rsid w:val="00D2753D"/>
    <w:rsid w:val="00D30B18"/>
    <w:rsid w:val="00D33AA8"/>
    <w:rsid w:val="00D34D1D"/>
    <w:rsid w:val="00D369AA"/>
    <w:rsid w:val="00D37C76"/>
    <w:rsid w:val="00D40CA1"/>
    <w:rsid w:val="00D41DD1"/>
    <w:rsid w:val="00D4458E"/>
    <w:rsid w:val="00D448E0"/>
    <w:rsid w:val="00D544BD"/>
    <w:rsid w:val="00D605D4"/>
    <w:rsid w:val="00D6123C"/>
    <w:rsid w:val="00D61A16"/>
    <w:rsid w:val="00D61E4E"/>
    <w:rsid w:val="00D656A0"/>
    <w:rsid w:val="00D65B1C"/>
    <w:rsid w:val="00D70960"/>
    <w:rsid w:val="00D70FD6"/>
    <w:rsid w:val="00D7163B"/>
    <w:rsid w:val="00D7574E"/>
    <w:rsid w:val="00D7605F"/>
    <w:rsid w:val="00D77A28"/>
    <w:rsid w:val="00D800A8"/>
    <w:rsid w:val="00D8030F"/>
    <w:rsid w:val="00D803D3"/>
    <w:rsid w:val="00D81AA3"/>
    <w:rsid w:val="00D82E19"/>
    <w:rsid w:val="00D86B5E"/>
    <w:rsid w:val="00D87FD0"/>
    <w:rsid w:val="00D91876"/>
    <w:rsid w:val="00D92A01"/>
    <w:rsid w:val="00D9316B"/>
    <w:rsid w:val="00D95DBD"/>
    <w:rsid w:val="00D976EC"/>
    <w:rsid w:val="00DA0383"/>
    <w:rsid w:val="00DA0EF8"/>
    <w:rsid w:val="00DA20CC"/>
    <w:rsid w:val="00DA3595"/>
    <w:rsid w:val="00DA4C30"/>
    <w:rsid w:val="00DA6F0E"/>
    <w:rsid w:val="00DA7B15"/>
    <w:rsid w:val="00DB2A9B"/>
    <w:rsid w:val="00DB3947"/>
    <w:rsid w:val="00DB5357"/>
    <w:rsid w:val="00DB5BA5"/>
    <w:rsid w:val="00DC237A"/>
    <w:rsid w:val="00DC26E8"/>
    <w:rsid w:val="00DC6057"/>
    <w:rsid w:val="00DC657D"/>
    <w:rsid w:val="00DC6EC1"/>
    <w:rsid w:val="00DC6ECA"/>
    <w:rsid w:val="00DD0919"/>
    <w:rsid w:val="00DD1361"/>
    <w:rsid w:val="00DD1938"/>
    <w:rsid w:val="00DD1BDC"/>
    <w:rsid w:val="00DD24F3"/>
    <w:rsid w:val="00DD5B74"/>
    <w:rsid w:val="00DD6099"/>
    <w:rsid w:val="00DD63FA"/>
    <w:rsid w:val="00DD79D2"/>
    <w:rsid w:val="00DE05E1"/>
    <w:rsid w:val="00DE48EA"/>
    <w:rsid w:val="00DE49B5"/>
    <w:rsid w:val="00DE5AE1"/>
    <w:rsid w:val="00DE6EEF"/>
    <w:rsid w:val="00DE71E7"/>
    <w:rsid w:val="00DE73AE"/>
    <w:rsid w:val="00DF297F"/>
    <w:rsid w:val="00DF3263"/>
    <w:rsid w:val="00DF4663"/>
    <w:rsid w:val="00E03B8B"/>
    <w:rsid w:val="00E0404B"/>
    <w:rsid w:val="00E06359"/>
    <w:rsid w:val="00E070F7"/>
    <w:rsid w:val="00E0744B"/>
    <w:rsid w:val="00E21A5B"/>
    <w:rsid w:val="00E25813"/>
    <w:rsid w:val="00E26608"/>
    <w:rsid w:val="00E32C28"/>
    <w:rsid w:val="00E34108"/>
    <w:rsid w:val="00E36DF7"/>
    <w:rsid w:val="00E37416"/>
    <w:rsid w:val="00E42B6F"/>
    <w:rsid w:val="00E42F10"/>
    <w:rsid w:val="00E430D6"/>
    <w:rsid w:val="00E43C9B"/>
    <w:rsid w:val="00E44D74"/>
    <w:rsid w:val="00E44D89"/>
    <w:rsid w:val="00E46602"/>
    <w:rsid w:val="00E467B4"/>
    <w:rsid w:val="00E50715"/>
    <w:rsid w:val="00E516F8"/>
    <w:rsid w:val="00E52BB9"/>
    <w:rsid w:val="00E5545C"/>
    <w:rsid w:val="00E55957"/>
    <w:rsid w:val="00E55E69"/>
    <w:rsid w:val="00E61738"/>
    <w:rsid w:val="00E61CF3"/>
    <w:rsid w:val="00E61D73"/>
    <w:rsid w:val="00E61DEC"/>
    <w:rsid w:val="00E62FF5"/>
    <w:rsid w:val="00E64013"/>
    <w:rsid w:val="00E729DF"/>
    <w:rsid w:val="00E73D05"/>
    <w:rsid w:val="00E73D3A"/>
    <w:rsid w:val="00E80117"/>
    <w:rsid w:val="00E8042C"/>
    <w:rsid w:val="00E80B64"/>
    <w:rsid w:val="00E80FDD"/>
    <w:rsid w:val="00E829BA"/>
    <w:rsid w:val="00E8480F"/>
    <w:rsid w:val="00E86C0D"/>
    <w:rsid w:val="00E8773B"/>
    <w:rsid w:val="00E916C9"/>
    <w:rsid w:val="00E95B0A"/>
    <w:rsid w:val="00EA08B8"/>
    <w:rsid w:val="00EA0B48"/>
    <w:rsid w:val="00EA104D"/>
    <w:rsid w:val="00EA2526"/>
    <w:rsid w:val="00EA4800"/>
    <w:rsid w:val="00EA4F35"/>
    <w:rsid w:val="00EA6947"/>
    <w:rsid w:val="00EA6E46"/>
    <w:rsid w:val="00EB0266"/>
    <w:rsid w:val="00EB17BA"/>
    <w:rsid w:val="00EB1DE4"/>
    <w:rsid w:val="00EB221D"/>
    <w:rsid w:val="00EB35E5"/>
    <w:rsid w:val="00EB4B29"/>
    <w:rsid w:val="00EB719D"/>
    <w:rsid w:val="00EC0DBE"/>
    <w:rsid w:val="00EC11D0"/>
    <w:rsid w:val="00EC2D70"/>
    <w:rsid w:val="00EC31C4"/>
    <w:rsid w:val="00EC388D"/>
    <w:rsid w:val="00EC3991"/>
    <w:rsid w:val="00EC4E12"/>
    <w:rsid w:val="00EC4F7D"/>
    <w:rsid w:val="00ED3886"/>
    <w:rsid w:val="00ED697F"/>
    <w:rsid w:val="00ED793E"/>
    <w:rsid w:val="00EE184D"/>
    <w:rsid w:val="00EE27B7"/>
    <w:rsid w:val="00EE474E"/>
    <w:rsid w:val="00EE564B"/>
    <w:rsid w:val="00EE6C52"/>
    <w:rsid w:val="00EE6C81"/>
    <w:rsid w:val="00EE7398"/>
    <w:rsid w:val="00EF0C2B"/>
    <w:rsid w:val="00EF5464"/>
    <w:rsid w:val="00EF7ACD"/>
    <w:rsid w:val="00F00494"/>
    <w:rsid w:val="00F024D9"/>
    <w:rsid w:val="00F02D7C"/>
    <w:rsid w:val="00F03B25"/>
    <w:rsid w:val="00F05EE3"/>
    <w:rsid w:val="00F0767B"/>
    <w:rsid w:val="00F154E8"/>
    <w:rsid w:val="00F17E0D"/>
    <w:rsid w:val="00F22DE5"/>
    <w:rsid w:val="00F23560"/>
    <w:rsid w:val="00F27C17"/>
    <w:rsid w:val="00F363C7"/>
    <w:rsid w:val="00F36849"/>
    <w:rsid w:val="00F450E8"/>
    <w:rsid w:val="00F47C04"/>
    <w:rsid w:val="00F52B93"/>
    <w:rsid w:val="00F52BD1"/>
    <w:rsid w:val="00F55FDD"/>
    <w:rsid w:val="00F575F8"/>
    <w:rsid w:val="00F602F3"/>
    <w:rsid w:val="00F60350"/>
    <w:rsid w:val="00F6357B"/>
    <w:rsid w:val="00F63F0E"/>
    <w:rsid w:val="00F70FB4"/>
    <w:rsid w:val="00F713C4"/>
    <w:rsid w:val="00F715E6"/>
    <w:rsid w:val="00F741D6"/>
    <w:rsid w:val="00F76D87"/>
    <w:rsid w:val="00F83B57"/>
    <w:rsid w:val="00F84600"/>
    <w:rsid w:val="00F87593"/>
    <w:rsid w:val="00F913BB"/>
    <w:rsid w:val="00F91F15"/>
    <w:rsid w:val="00F940D5"/>
    <w:rsid w:val="00F9689F"/>
    <w:rsid w:val="00F9769D"/>
    <w:rsid w:val="00FA5D14"/>
    <w:rsid w:val="00FA64D7"/>
    <w:rsid w:val="00FA7036"/>
    <w:rsid w:val="00FA7A25"/>
    <w:rsid w:val="00FB0A52"/>
    <w:rsid w:val="00FB0C04"/>
    <w:rsid w:val="00FC1D99"/>
    <w:rsid w:val="00FC43AA"/>
    <w:rsid w:val="00FD3430"/>
    <w:rsid w:val="00FD417A"/>
    <w:rsid w:val="00FD45D0"/>
    <w:rsid w:val="00FD579C"/>
    <w:rsid w:val="00FD58C6"/>
    <w:rsid w:val="00FD6834"/>
    <w:rsid w:val="00FE007A"/>
    <w:rsid w:val="00FE020B"/>
    <w:rsid w:val="00FE0AA7"/>
    <w:rsid w:val="00FE1D49"/>
    <w:rsid w:val="00FE2897"/>
    <w:rsid w:val="00FE5520"/>
    <w:rsid w:val="00FE736F"/>
    <w:rsid w:val="00FF0EAC"/>
    <w:rsid w:val="00FF1FD9"/>
    <w:rsid w:val="00FF3765"/>
    <w:rsid w:val="00FF6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iPriority="0" w:unhideWhenUsed="1"/>
    <w:lsdException w:name="header" w:locked="1" w:uiPriority="0"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iPriority="0"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1"/>
    <w:lsdException w:name="Body Text" w:locked="1" w:uiPriority="0" w:unhideWhenUsed="1"/>
    <w:lsdException w:name="Body Text Indent" w:locked="1" w:uiPriority="0"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iPriority="0" w:unhideWhenUsed="1"/>
    <w:lsdException w:name="Hyperlink" w:locked="1" w:unhideWhenUsed="1"/>
    <w:lsdException w:name="FollowedHyperlink" w:locked="1" w:uiPriority="0" w:unhideWhenUsed="1"/>
    <w:lsdException w:name="Strong" w:semiHidden="0" w:uiPriority="22" w:qFormat="1"/>
    <w:lsdException w:name="Emphasis" w:semiHidden="0" w:uiPriority="20" w:qFormat="1"/>
    <w:lsdException w:name="Document Map" w:locked="1" w:uiPriority="0"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iPriority="0"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iPriority="0"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iPriority="0"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B10A3C"/>
    <w:rPr>
      <w:sz w:val="24"/>
      <w:szCs w:val="24"/>
    </w:rPr>
  </w:style>
  <w:style w:type="paragraph" w:styleId="Heading1">
    <w:name w:val="heading 1"/>
    <w:basedOn w:val="Normal"/>
    <w:next w:val="Normal"/>
    <w:link w:val="Heading1Char1"/>
    <w:autoRedefine/>
    <w:qFormat/>
    <w:locked/>
    <w:rsid w:val="00B10A3C"/>
    <w:pPr>
      <w:keepNext/>
      <w:numPr>
        <w:numId w:val="3"/>
      </w:numPr>
      <w:spacing w:before="240" w:after="60"/>
      <w:outlineLvl w:val="0"/>
    </w:pPr>
    <w:rPr>
      <w:b/>
      <w:kern w:val="32"/>
      <w:sz w:val="32"/>
      <w:szCs w:val="20"/>
    </w:rPr>
  </w:style>
  <w:style w:type="paragraph" w:styleId="Heading2">
    <w:name w:val="heading 2"/>
    <w:basedOn w:val="Normal"/>
    <w:next w:val="Normal"/>
    <w:link w:val="Heading2Char"/>
    <w:autoRedefine/>
    <w:qFormat/>
    <w:locked/>
    <w:rsid w:val="00B10A3C"/>
    <w:pPr>
      <w:keepNext/>
      <w:ind w:left="720"/>
      <w:outlineLvl w:val="1"/>
    </w:pPr>
    <w:rPr>
      <w:b/>
      <w:bCs/>
      <w:iCs/>
      <w:sz w:val="22"/>
      <w:szCs w:val="22"/>
      <w:lang w:val="x-none" w:eastAsia="x-none"/>
    </w:rPr>
  </w:style>
  <w:style w:type="paragraph" w:styleId="Heading3">
    <w:name w:val="heading 3"/>
    <w:basedOn w:val="Normal"/>
    <w:link w:val="Heading3Char"/>
    <w:autoRedefine/>
    <w:qFormat/>
    <w:rsid w:val="00B10A3C"/>
    <w:pPr>
      <w:numPr>
        <w:ilvl w:val="2"/>
        <w:numId w:val="3"/>
      </w:numPr>
      <w:spacing w:before="100" w:beforeAutospacing="1" w:after="100" w:afterAutospacing="1"/>
      <w:outlineLvl w:val="2"/>
    </w:pPr>
    <w:rPr>
      <w:b/>
      <w:bCs/>
      <w:sz w:val="22"/>
      <w:szCs w:val="22"/>
    </w:rPr>
  </w:style>
  <w:style w:type="paragraph" w:styleId="Heading4">
    <w:name w:val="heading 4"/>
    <w:basedOn w:val="Normal"/>
    <w:next w:val="Normal"/>
    <w:link w:val="Heading4Char"/>
    <w:qFormat/>
    <w:locked/>
    <w:rsid w:val="00B10A3C"/>
    <w:pPr>
      <w:keepNext/>
      <w:numPr>
        <w:ilvl w:val="3"/>
        <w:numId w:val="3"/>
      </w:numPr>
      <w:spacing w:before="240" w:after="60"/>
      <w:outlineLvl w:val="3"/>
    </w:pPr>
    <w:rPr>
      <w:rFonts w:ascii="Calibri" w:hAnsi="Calibri"/>
      <w:b/>
      <w:bCs/>
      <w:sz w:val="28"/>
      <w:szCs w:val="28"/>
    </w:rPr>
  </w:style>
  <w:style w:type="paragraph" w:styleId="Heading5">
    <w:name w:val="heading 5"/>
    <w:basedOn w:val="Normal"/>
    <w:next w:val="Normal"/>
    <w:link w:val="Heading5Char"/>
    <w:qFormat/>
    <w:locked/>
    <w:rsid w:val="00B10A3C"/>
    <w:pPr>
      <w:numPr>
        <w:ilvl w:val="4"/>
        <w:numId w:val="3"/>
      </w:numPr>
      <w:spacing w:before="240" w:after="60"/>
      <w:outlineLvl w:val="4"/>
    </w:pPr>
    <w:rPr>
      <w:rFonts w:ascii="Calibri" w:hAnsi="Calibri"/>
      <w:b/>
      <w:bCs/>
      <w:i/>
      <w:iCs/>
      <w:sz w:val="26"/>
      <w:szCs w:val="26"/>
    </w:rPr>
  </w:style>
  <w:style w:type="paragraph" w:styleId="Heading6">
    <w:name w:val="heading 6"/>
    <w:basedOn w:val="Normal"/>
    <w:next w:val="Normal"/>
    <w:link w:val="Heading6Char"/>
    <w:qFormat/>
    <w:locked/>
    <w:rsid w:val="00B10A3C"/>
    <w:pPr>
      <w:numPr>
        <w:ilvl w:val="5"/>
        <w:numId w:val="3"/>
      </w:numPr>
      <w:spacing w:before="240" w:after="60"/>
      <w:outlineLvl w:val="5"/>
    </w:pPr>
    <w:rPr>
      <w:rFonts w:ascii="Calibri" w:hAnsi="Calibri"/>
      <w:b/>
      <w:bCs/>
      <w:sz w:val="20"/>
      <w:szCs w:val="20"/>
    </w:rPr>
  </w:style>
  <w:style w:type="paragraph" w:styleId="Heading7">
    <w:name w:val="heading 7"/>
    <w:basedOn w:val="Normal"/>
    <w:next w:val="Normal"/>
    <w:link w:val="Heading7Char"/>
    <w:qFormat/>
    <w:locked/>
    <w:rsid w:val="00B10A3C"/>
    <w:pPr>
      <w:numPr>
        <w:ilvl w:val="6"/>
        <w:numId w:val="3"/>
      </w:numPr>
      <w:spacing w:before="240" w:after="60"/>
      <w:outlineLvl w:val="6"/>
    </w:pPr>
    <w:rPr>
      <w:rFonts w:ascii="Calibri" w:hAnsi="Calibri"/>
    </w:rPr>
  </w:style>
  <w:style w:type="paragraph" w:styleId="Heading8">
    <w:name w:val="heading 8"/>
    <w:basedOn w:val="Normal"/>
    <w:next w:val="Normal"/>
    <w:link w:val="Heading8Char"/>
    <w:qFormat/>
    <w:locked/>
    <w:rsid w:val="00B10A3C"/>
    <w:pPr>
      <w:numPr>
        <w:ilvl w:val="7"/>
        <w:numId w:val="3"/>
      </w:numPr>
      <w:spacing w:before="240" w:after="60"/>
      <w:outlineLvl w:val="7"/>
    </w:pPr>
    <w:rPr>
      <w:rFonts w:ascii="Calibri" w:hAnsi="Calibri"/>
      <w:i/>
      <w:iCs/>
    </w:rPr>
  </w:style>
  <w:style w:type="paragraph" w:styleId="Heading9">
    <w:name w:val="heading 9"/>
    <w:basedOn w:val="Normal"/>
    <w:next w:val="Normal"/>
    <w:link w:val="Heading9Char"/>
    <w:qFormat/>
    <w:locked/>
    <w:rsid w:val="00B10A3C"/>
    <w:pPr>
      <w:numPr>
        <w:ilvl w:val="8"/>
        <w:numId w:val="3"/>
      </w:numPr>
      <w:spacing w:before="240" w:after="60"/>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link w:val="Heading1"/>
    <w:locked/>
    <w:rPr>
      <w:b/>
      <w:kern w:val="32"/>
      <w:sz w:val="32"/>
    </w:rPr>
  </w:style>
  <w:style w:type="character" w:customStyle="1" w:styleId="Heading2Char">
    <w:name w:val="Heading 2 Char"/>
    <w:link w:val="Heading2"/>
    <w:locked/>
    <w:rPr>
      <w:b/>
      <w:bCs/>
      <w:iCs/>
      <w:sz w:val="22"/>
      <w:szCs w:val="22"/>
      <w:lang w:val="x-none" w:eastAsia="x-none"/>
    </w:rPr>
  </w:style>
  <w:style w:type="character" w:customStyle="1" w:styleId="Heading3Char">
    <w:name w:val="Heading 3 Char"/>
    <w:link w:val="Heading3"/>
    <w:locked/>
    <w:rPr>
      <w:b/>
      <w:bCs/>
      <w:sz w:val="22"/>
      <w:szCs w:val="22"/>
    </w:rPr>
  </w:style>
  <w:style w:type="character" w:customStyle="1" w:styleId="Heading4Char">
    <w:name w:val="Heading 4 Char"/>
    <w:link w:val="Heading4"/>
    <w:locked/>
    <w:rPr>
      <w:rFonts w:ascii="Calibri" w:hAnsi="Calibri"/>
      <w:b/>
      <w:bCs/>
      <w:sz w:val="28"/>
      <w:szCs w:val="28"/>
    </w:rPr>
  </w:style>
  <w:style w:type="character" w:customStyle="1" w:styleId="Heading5Char">
    <w:name w:val="Heading 5 Char"/>
    <w:link w:val="Heading5"/>
    <w:locked/>
    <w:rPr>
      <w:rFonts w:ascii="Calibri" w:hAnsi="Calibri"/>
      <w:b/>
      <w:bCs/>
      <w:i/>
      <w:iCs/>
      <w:sz w:val="26"/>
      <w:szCs w:val="26"/>
    </w:rPr>
  </w:style>
  <w:style w:type="character" w:customStyle="1" w:styleId="Heading6Char">
    <w:name w:val="Heading 6 Char"/>
    <w:link w:val="Heading6"/>
    <w:locked/>
    <w:rPr>
      <w:rFonts w:ascii="Calibri" w:hAnsi="Calibri"/>
      <w:b/>
      <w:bCs/>
    </w:rPr>
  </w:style>
  <w:style w:type="character" w:customStyle="1" w:styleId="Heading7Char">
    <w:name w:val="Heading 7 Char"/>
    <w:link w:val="Heading7"/>
    <w:locked/>
    <w:rPr>
      <w:rFonts w:ascii="Calibri" w:hAnsi="Calibri"/>
      <w:sz w:val="24"/>
      <w:szCs w:val="24"/>
    </w:rPr>
  </w:style>
  <w:style w:type="character" w:customStyle="1" w:styleId="Heading8Char">
    <w:name w:val="Heading 8 Char"/>
    <w:link w:val="Heading8"/>
    <w:locked/>
    <w:rPr>
      <w:rFonts w:ascii="Calibri" w:hAnsi="Calibri"/>
      <w:i/>
      <w:iCs/>
      <w:sz w:val="24"/>
      <w:szCs w:val="24"/>
    </w:rPr>
  </w:style>
  <w:style w:type="character" w:customStyle="1" w:styleId="Heading9Char">
    <w:name w:val="Heading 9 Char"/>
    <w:link w:val="Heading9"/>
    <w:locked/>
    <w:rPr>
      <w:rFonts w:ascii="Cambria" w:hAnsi="Cambria"/>
    </w:rPr>
  </w:style>
  <w:style w:type="paragraph" w:styleId="BalloonText">
    <w:name w:val="Balloon Text"/>
    <w:basedOn w:val="Normal"/>
    <w:link w:val="BalloonTextChar1"/>
    <w:rsid w:val="00B10A3C"/>
    <w:rPr>
      <w:sz w:val="20"/>
      <w:szCs w:val="20"/>
    </w:rPr>
  </w:style>
  <w:style w:type="character" w:customStyle="1" w:styleId="BalloonTextChar1">
    <w:name w:val="Balloon Text Char1"/>
    <w:link w:val="BalloonText"/>
    <w:locked/>
  </w:style>
  <w:style w:type="character" w:customStyle="1" w:styleId="BalloonTextChar">
    <w:name w:val="Balloon Text Char"/>
    <w:uiPriority w:val="99"/>
    <w:rPr>
      <w:rFonts w:ascii="Lucida Grande" w:hAnsi="Lucida Grande"/>
      <w:sz w:val="18"/>
      <w:szCs w:val="18"/>
    </w:rPr>
  </w:style>
  <w:style w:type="character" w:customStyle="1" w:styleId="Heading1Char">
    <w:name w:val="Heading 1 Char"/>
    <w:uiPriority w:val="99"/>
    <w:locked/>
    <w:rPr>
      <w:rFonts w:ascii="Cambria" w:hAnsi="Cambria" w:cs="Times New Roman"/>
      <w:b/>
      <w:kern w:val="32"/>
      <w:sz w:val="32"/>
    </w:rPr>
  </w:style>
  <w:style w:type="paragraph" w:styleId="FootnoteText">
    <w:name w:val="footnote text"/>
    <w:aliases w:val="Footnote Text Char,Footnote Text Char3 Char,Footnote Text Char2 Char1 Char,Footnote Text Char Char Char Char1,Footnote Text Char1 Char Char1 Char Char,Footnote Text Char Char1 Char Char Char Char,Footnote Text Char1,Footnote Text Char5,fn"/>
    <w:basedOn w:val="Normal"/>
    <w:link w:val="FootnoteTextChar3"/>
    <w:uiPriority w:val="99"/>
    <w:rsid w:val="00B10A3C"/>
    <w:rPr>
      <w:sz w:val="20"/>
      <w:szCs w:val="20"/>
    </w:rPr>
  </w:style>
  <w:style w:type="character" w:customStyle="1" w:styleId="FootnoteTextChar3">
    <w:name w:val="Footnote Text Char3"/>
    <w:aliases w:val="Footnote Text Char Char1,Footnote Text Char3 Char Char1,Footnote Text Char2 Char1 Char Char1,Footnote Text Char Char Char Char1 Char1,Footnote Text Char1 Char Char1 Char Char Char1,Footnote Text Char Char1 Char Char Char Char Char1"/>
    <w:link w:val="FootnoteText"/>
    <w:uiPriority w:val="99"/>
    <w:locked/>
  </w:style>
  <w:style w:type="character" w:customStyle="1" w:styleId="FootnoteTextChar2">
    <w:name w:val="Footnote Text Char2"/>
    <w:aliases w:val="Footnote Text Char Char,Footnote Text Char3 Char Char,Footnote Text Char2 Char1 Char Char,Footnote Text Char Char Char Char1 Char,Footnote Text Char1 Char Char1 Char Char Char,Footnote Text Char Char1 Char Char Char Char Char,fn Char"/>
    <w:uiPriority w:val="99"/>
    <w:rsid w:val="00B10A3C"/>
    <w:rPr>
      <w:sz w:val="20"/>
      <w:szCs w:val="20"/>
    </w:rPr>
  </w:style>
  <w:style w:type="character" w:customStyle="1" w:styleId="FootnoteTextChar213">
    <w:name w:val="Footnote Text Char213"/>
    <w:aliases w:val="Footnote Text Char Char14,Footnote Text Char3 Char Char14,Footnote Text Char2 Char1 Char Char14,Footnote Text Char Char Char Char1 Char14,Footnote Text Char1 Char Char1 Char Char Char14,fn Cha"/>
    <w:uiPriority w:val="99"/>
    <w:semiHidden/>
    <w:locked/>
    <w:rPr>
      <w:rFonts w:cs="Times New Roman"/>
      <w:sz w:val="20"/>
      <w:szCs w:val="20"/>
    </w:rPr>
  </w:style>
  <w:style w:type="character" w:customStyle="1" w:styleId="FootnoteTextChar212">
    <w:name w:val="Footnote Text Char212"/>
    <w:aliases w:val="Footnote Text Char Char13,Footnote Text Char3 Char Char13,Footnote Text Char2 Char1 Char Char13,Footnote Text Char Char Char Char1 Char13,Footnote Text Char1 Char Char1 Char Char Char13,fn Cha4"/>
    <w:uiPriority w:val="99"/>
    <w:semiHidden/>
    <w:locked/>
    <w:rPr>
      <w:rFonts w:cs="Times New Roman"/>
      <w:sz w:val="20"/>
      <w:szCs w:val="20"/>
    </w:rPr>
  </w:style>
  <w:style w:type="character" w:customStyle="1" w:styleId="FootnoteTextChar211">
    <w:name w:val="Footnote Text Char211"/>
    <w:aliases w:val="Footnote Text Char Char12,Footnote Text Char3 Char Char12,Footnote Text Char2 Char1 Char Char12,Footnote Text Char Char Char Char1 Char12,Footnote Text Char1 Char Char1 Char Char Char12,fn Cha3"/>
    <w:uiPriority w:val="99"/>
    <w:semiHidden/>
    <w:locked/>
    <w:rPr>
      <w:rFonts w:cs="Times New Roman"/>
      <w:sz w:val="20"/>
      <w:szCs w:val="20"/>
    </w:rPr>
  </w:style>
  <w:style w:type="character" w:customStyle="1" w:styleId="FootnoteTextChar210">
    <w:name w:val="Footnote Text Char210"/>
    <w:aliases w:val="Footnote Text Char Char11,Footnote Text Char3 Char Char11,Footnote Text Char2 Char1 Char Char11,Footnote Text Char Char Char Char1 Char11,Footnote Text Char1 Char Char1 Char Char Char11,fn Cha2"/>
    <w:uiPriority w:val="99"/>
    <w:semiHidden/>
    <w:locked/>
    <w:rPr>
      <w:rFonts w:cs="Times New Roman"/>
      <w:sz w:val="20"/>
      <w:szCs w:val="20"/>
    </w:rPr>
  </w:style>
  <w:style w:type="character" w:customStyle="1" w:styleId="FootnoteTextChar29">
    <w:name w:val="Footnote Text Char29"/>
    <w:aliases w:val="Footnote Text Char Char10,Footnote Text Char3 Char Char10,Footnote Text Char2 Char1 Char Char10,Footnote Text Char Char Char Char1 Char10,Footnote Text Char1 Char Char1 Char Char Char10,fn Cha1"/>
    <w:uiPriority w:val="99"/>
    <w:semiHidden/>
    <w:rPr>
      <w:sz w:val="20"/>
    </w:rPr>
  </w:style>
  <w:style w:type="character" w:customStyle="1" w:styleId="FootnoteTextChar28">
    <w:name w:val="Footnote Text Char28"/>
    <w:aliases w:val="Footnote Text Char Char9,Footnote Text Char3 Char Char9,Footnote Text Char2 Char1 Char Char9,Footnote Text Char Char Char Char1 Char9,Footnote Text Char1 Char Char1 Char Char Char9,Footnote Text Char Char1 Char Char Char Char Char9"/>
    <w:uiPriority w:val="99"/>
    <w:semiHidden/>
    <w:locked/>
    <w:rPr>
      <w:sz w:val="20"/>
    </w:rPr>
  </w:style>
  <w:style w:type="character" w:customStyle="1" w:styleId="FootnoteTextChar27">
    <w:name w:val="Footnote Text Char27"/>
    <w:aliases w:val="Footnote Text Char Char8,Footnote Text Char3 Char Char8,Footnote Text Char2 Char1 Char Char8,Footnote Text Char Char Char Char1 Char8,Footnote Text Char1 Char Char1 Char Char Char8,Footnote Text Char Char1 Char Char Char Char Char8"/>
    <w:uiPriority w:val="99"/>
    <w:semiHidden/>
    <w:locked/>
    <w:rPr>
      <w:sz w:val="20"/>
    </w:rPr>
  </w:style>
  <w:style w:type="character" w:customStyle="1" w:styleId="FootnoteTextChar26">
    <w:name w:val="Footnote Text Char26"/>
    <w:aliases w:val="Footnote Text Char Char7,Footnote Text Char3 Char Char7,Footnote Text Char2 Char1 Char Char7,Footnote Text Char Char Char Char1 Char7,Footnote Text Char1 Char Char1 Char Char Char7,Footnote Text Char Char1 Char Char Char Char Char7"/>
    <w:uiPriority w:val="99"/>
    <w:semiHidden/>
    <w:rPr>
      <w:sz w:val="20"/>
    </w:rPr>
  </w:style>
  <w:style w:type="character" w:customStyle="1" w:styleId="FootnoteTextChar25">
    <w:name w:val="Footnote Text Char25"/>
    <w:aliases w:val="Footnote Text Char Char6,Footnote Text Char3 Char Char6,Footnote Text Char2 Char1 Char Char6,Footnote Text Char Char Char Char1 Char6,Footnote Text Char1 Char Char1 Char Char Char6,Footnote Text Char Char1 Char Char Char Char Char6"/>
    <w:uiPriority w:val="99"/>
    <w:semiHidden/>
    <w:locked/>
    <w:rPr>
      <w:sz w:val="20"/>
    </w:rPr>
  </w:style>
  <w:style w:type="character" w:customStyle="1" w:styleId="FootnoteTextChar24">
    <w:name w:val="Footnote Text Char24"/>
    <w:aliases w:val="Footnote Text Char Char5,Footnote Text Char3 Char Char5,Footnote Text Char2 Char1 Char Char5,Footnote Text Char Char Char Char1 Char5,Footnote Text Char1 Char Char1 Char Char Char5,Footnote Text Char Char1 Char Char Char Char Char5"/>
    <w:uiPriority w:val="99"/>
    <w:semiHidden/>
    <w:locked/>
    <w:rPr>
      <w:sz w:val="20"/>
    </w:rPr>
  </w:style>
  <w:style w:type="character" w:customStyle="1" w:styleId="FootnoteTextChar23">
    <w:name w:val="Footnote Text Char23"/>
    <w:aliases w:val="Footnote Text Char Char4,Footnote Text Char3 Char Char4,Footnote Text Char2 Char1 Char Char4,Footnote Text Char Char Char Char1 Char4,Footnote Text Char1 Char Char1 Char Char Char4,Footnote Text Char Char1 Char Char Char Char Char4"/>
    <w:uiPriority w:val="99"/>
    <w:semiHidden/>
    <w:locked/>
    <w:rPr>
      <w:sz w:val="20"/>
    </w:rPr>
  </w:style>
  <w:style w:type="character" w:customStyle="1" w:styleId="FootnoteTextChar22">
    <w:name w:val="Footnote Text Char22"/>
    <w:aliases w:val="Footnote Text Char Char3,Footnote Text Char3 Char Char3,Footnote Text Char2 Char1 Char Char3,Footnote Text Char Char Char Char1 Char3,Footnote Text Char1 Char Char1 Char Char Char3,Footnote Text Char Char1 Char Char Char Char Char3"/>
    <w:uiPriority w:val="99"/>
    <w:semiHidden/>
    <w:locked/>
    <w:rPr>
      <w:sz w:val="20"/>
    </w:rPr>
  </w:style>
  <w:style w:type="character" w:customStyle="1" w:styleId="FootnoteTextChar21">
    <w:name w:val="Footnote Text Char21"/>
    <w:aliases w:val="Footnote Text Char Char2,Footnote Text Char3 Char Char2,Footnote Text Char2 Char1 Char Char2,Footnote Text Char Char Char Char1 Char2,Footnote Text Char1 Char Char1 Char Char Char2,Footnote Text Char Char1 Char Char Char Char Char2"/>
    <w:uiPriority w:val="99"/>
    <w:semiHidden/>
    <w:locked/>
    <w:rPr>
      <w:sz w:val="20"/>
    </w:rPr>
  </w:style>
  <w:style w:type="character" w:styleId="FootnoteReference">
    <w:name w:val="footnote reference"/>
    <w:aliases w:val="Appel note de bas de p,Style 12,(NECG) Footnote Reference,Style 124,Style 13,fr,o,Style 3,FR,Style 17,Style 6,Footnote Reference/,Footnote Reference1"/>
    <w:uiPriority w:val="99"/>
    <w:rPr>
      <w:rFonts w:cs="Times New Roman"/>
      <w:vertAlign w:val="superscript"/>
    </w:rPr>
  </w:style>
  <w:style w:type="paragraph" w:styleId="Header">
    <w:name w:val="header"/>
    <w:basedOn w:val="Normal"/>
    <w:link w:val="HeaderChar"/>
    <w:rsid w:val="00B10A3C"/>
    <w:pPr>
      <w:tabs>
        <w:tab w:val="center" w:pos="4320"/>
        <w:tab w:val="right" w:pos="8640"/>
      </w:tabs>
    </w:pPr>
    <w:rPr>
      <w:szCs w:val="20"/>
      <w:lang w:val="x-none" w:eastAsia="x-none"/>
    </w:rPr>
  </w:style>
  <w:style w:type="character" w:customStyle="1" w:styleId="HeaderChar">
    <w:name w:val="Header Char"/>
    <w:link w:val="Header"/>
    <w:locked/>
    <w:rPr>
      <w:sz w:val="24"/>
      <w:lang w:val="x-none" w:eastAsia="x-none"/>
    </w:rPr>
  </w:style>
  <w:style w:type="paragraph" w:styleId="Footer">
    <w:name w:val="footer"/>
    <w:basedOn w:val="Normal"/>
    <w:link w:val="FooterChar"/>
    <w:uiPriority w:val="99"/>
    <w:rsid w:val="00B10A3C"/>
    <w:pPr>
      <w:tabs>
        <w:tab w:val="center" w:pos="4320"/>
        <w:tab w:val="right" w:pos="8640"/>
      </w:tabs>
    </w:pPr>
    <w:rPr>
      <w:szCs w:val="20"/>
      <w:lang w:val="x-none" w:eastAsia="x-none"/>
    </w:rPr>
  </w:style>
  <w:style w:type="character" w:customStyle="1" w:styleId="FooterChar">
    <w:name w:val="Footer Char"/>
    <w:link w:val="Footer"/>
    <w:uiPriority w:val="99"/>
    <w:locked/>
    <w:rPr>
      <w:sz w:val="24"/>
      <w:lang w:val="x-none" w:eastAsia="x-none"/>
    </w:rPr>
  </w:style>
  <w:style w:type="paragraph" w:customStyle="1" w:styleId="ParaNum0">
    <w:name w:val="ParaNum"/>
    <w:basedOn w:val="Normal"/>
    <w:link w:val="ParaNumChar1"/>
    <w:rsid w:val="00B10A3C"/>
    <w:pPr>
      <w:widowControl w:val="0"/>
      <w:numPr>
        <w:numId w:val="1"/>
      </w:numPr>
      <w:spacing w:after="120"/>
    </w:pPr>
    <w:rPr>
      <w:snapToGrid w:val="0"/>
      <w:kern w:val="28"/>
      <w:sz w:val="22"/>
      <w:szCs w:val="20"/>
    </w:rPr>
  </w:style>
  <w:style w:type="character" w:customStyle="1" w:styleId="ParaNumChar1">
    <w:name w:val="ParaNum Char1"/>
    <w:link w:val="ParaNum0"/>
    <w:locked/>
    <w:rPr>
      <w:snapToGrid w:val="0"/>
      <w:kern w:val="28"/>
      <w:sz w:val="22"/>
    </w:rPr>
  </w:style>
  <w:style w:type="character" w:styleId="CommentReference">
    <w:name w:val="annotation reference"/>
    <w:uiPriority w:val="99"/>
    <w:rPr>
      <w:rFonts w:cs="Times New Roman"/>
      <w:sz w:val="16"/>
    </w:rPr>
  </w:style>
  <w:style w:type="paragraph" w:styleId="CommentText">
    <w:name w:val="annotation text"/>
    <w:basedOn w:val="Normal"/>
    <w:link w:val="CommentTextChar1"/>
    <w:rPr>
      <w:sz w:val="20"/>
      <w:szCs w:val="20"/>
      <w:lang w:val="x-none" w:eastAsia="x-none"/>
    </w:rPr>
  </w:style>
  <w:style w:type="character" w:customStyle="1" w:styleId="CommentTextChar1">
    <w:name w:val="Comment Text Char1"/>
    <w:link w:val="CommentText"/>
    <w:locked/>
    <w:rPr>
      <w:rFonts w:cs="Times New Roman"/>
      <w:sz w:val="20"/>
    </w:rPr>
  </w:style>
  <w:style w:type="paragraph" w:styleId="CommentSubject">
    <w:name w:val="annotation subject"/>
    <w:basedOn w:val="CommentText"/>
    <w:next w:val="CommentText"/>
    <w:link w:val="CommentSubjectChar"/>
    <w:rsid w:val="00B10A3C"/>
    <w:rPr>
      <w:b/>
    </w:rPr>
  </w:style>
  <w:style w:type="character" w:customStyle="1" w:styleId="CommentSubjectChar">
    <w:name w:val="Comment Subject Char"/>
    <w:link w:val="CommentSubject"/>
    <w:locked/>
    <w:rPr>
      <w:b/>
      <w:lang w:val="x-none" w:eastAsia="x-none"/>
    </w:rPr>
  </w:style>
  <w:style w:type="character" w:customStyle="1" w:styleId="FootnoteTextChar1Char5">
    <w:name w:val="Footnote Text Char1 Char5"/>
    <w:aliases w:val="Footnote Text Char Char Char5,Footnote Text Char5 Char Char Char5,Footnote Text Char Char Char Char Char5,Footnote Text Char4 Char Char1 Char Char Char5,Footnote Text Char2 Char Char2 Char2 Char Char Char5"/>
    <w:uiPriority w:val="99"/>
    <w:semiHidden/>
    <w:rPr>
      <w:lang w:val="en-US" w:eastAsia="en-US"/>
    </w:rPr>
  </w:style>
  <w:style w:type="character" w:customStyle="1" w:styleId="enumbell1">
    <w:name w:val="enumbell1"/>
    <w:uiPriority w:val="99"/>
    <w:rPr>
      <w:b/>
    </w:rPr>
  </w:style>
  <w:style w:type="paragraph" w:customStyle="1" w:styleId="Default">
    <w:name w:val="Default"/>
    <w:pPr>
      <w:autoSpaceDE w:val="0"/>
      <w:autoSpaceDN w:val="0"/>
      <w:adjustRightInd w:val="0"/>
    </w:pPr>
    <w:rPr>
      <w:rFonts w:ascii="Calibri" w:hAnsi="Calibri" w:cs="Calibri"/>
      <w:color w:val="000000"/>
      <w:sz w:val="24"/>
      <w:szCs w:val="24"/>
    </w:rPr>
  </w:style>
  <w:style w:type="paragraph" w:styleId="TOC1">
    <w:name w:val="toc 1"/>
    <w:basedOn w:val="Normal"/>
    <w:next w:val="Normal"/>
    <w:semiHidden/>
    <w:rsid w:val="00B10A3C"/>
    <w:pPr>
      <w:tabs>
        <w:tab w:val="left" w:pos="360"/>
        <w:tab w:val="right" w:leader="dot" w:pos="9360"/>
      </w:tabs>
      <w:suppressAutoHyphens/>
      <w:ind w:left="360" w:right="720" w:hanging="360"/>
    </w:pPr>
    <w:rPr>
      <w:caps/>
      <w:noProof/>
    </w:rPr>
  </w:style>
  <w:style w:type="paragraph" w:styleId="TOAHeading">
    <w:name w:val="toa heading"/>
    <w:basedOn w:val="Normal"/>
    <w:next w:val="Normal"/>
    <w:uiPriority w:val="99"/>
    <w:semiHidden/>
    <w:pPr>
      <w:tabs>
        <w:tab w:val="right" w:pos="9360"/>
      </w:tabs>
      <w:suppressAutoHyphens/>
    </w:pPr>
  </w:style>
  <w:style w:type="paragraph" w:customStyle="1" w:styleId="Paratitle">
    <w:name w:val="Para title"/>
    <w:basedOn w:val="Normal"/>
    <w:uiPriority w:val="99"/>
    <w:pPr>
      <w:tabs>
        <w:tab w:val="center" w:pos="9270"/>
      </w:tabs>
      <w:spacing w:after="240"/>
    </w:pPr>
    <w:rPr>
      <w:spacing w:val="-2"/>
    </w:r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uiPriority w:val="99"/>
    <w:pPr>
      <w:jc w:val="center"/>
    </w:pPr>
    <w:rPr>
      <w:rFonts w:ascii="Times New Roman Bold" w:hAnsi="Times New Roman Bold"/>
      <w:b/>
      <w:bCs/>
      <w:caps/>
      <w:szCs w:val="22"/>
    </w:rPr>
  </w:style>
  <w:style w:type="character" w:styleId="Hyperlink">
    <w:name w:val="Hyperlink"/>
    <w:uiPriority w:val="99"/>
    <w:rPr>
      <w:rFonts w:cs="Times New Roman"/>
      <w:color w:val="0000FF"/>
      <w:u w:val="single"/>
    </w:rPr>
  </w:style>
  <w:style w:type="paragraph" w:styleId="HTMLPreformatted">
    <w:name w:val="HTML Preformatted"/>
    <w:basedOn w:val="Normal"/>
    <w:link w:val="HTMLPreformattedChar"/>
    <w:rsid w:val="00B10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Cs w:val="20"/>
      <w:lang w:val="x-none" w:eastAsia="x-none"/>
    </w:rPr>
  </w:style>
  <w:style w:type="character" w:customStyle="1" w:styleId="HTMLPreformattedChar">
    <w:name w:val="HTML Preformatted Char"/>
    <w:link w:val="HTMLPreformatted"/>
    <w:locked/>
    <w:rPr>
      <w:rFonts w:ascii="Courier New" w:hAnsi="Courier New"/>
      <w:sz w:val="24"/>
      <w:lang w:val="x-none" w:eastAsia="x-none"/>
    </w:rPr>
  </w:style>
  <w:style w:type="character" w:styleId="Strong">
    <w:name w:val="Strong"/>
    <w:uiPriority w:val="22"/>
    <w:qFormat/>
    <w:rPr>
      <w:rFonts w:cs="Times New Roman"/>
      <w:b/>
    </w:rPr>
  </w:style>
  <w:style w:type="paragraph" w:styleId="ListParagraph">
    <w:name w:val="List Paragraph"/>
    <w:basedOn w:val="Normal"/>
    <w:uiPriority w:val="34"/>
    <w:qFormat/>
    <w:rsid w:val="00B10A3C"/>
    <w:pPr>
      <w:spacing w:after="200" w:line="276" w:lineRule="auto"/>
      <w:ind w:left="720"/>
      <w:contextualSpacing/>
    </w:pPr>
    <w:rPr>
      <w:rFonts w:ascii="Calibri" w:hAnsi="Calibri"/>
      <w:sz w:val="22"/>
      <w:szCs w:val="22"/>
    </w:rPr>
  </w:style>
  <w:style w:type="paragraph" w:styleId="NormalWeb">
    <w:name w:val="Normal (Web)"/>
    <w:basedOn w:val="Normal"/>
    <w:uiPriority w:val="99"/>
    <w:rsid w:val="00B10A3C"/>
    <w:pPr>
      <w:spacing w:before="100" w:beforeAutospacing="1" w:after="100" w:afterAutospacing="1"/>
    </w:pPr>
  </w:style>
  <w:style w:type="character" w:styleId="Emphasis">
    <w:name w:val="Emphasis"/>
    <w:uiPriority w:val="20"/>
    <w:qFormat/>
    <w:rPr>
      <w:rFonts w:cs="Times New Roman"/>
      <w:i/>
    </w:rPr>
  </w:style>
  <w:style w:type="character" w:customStyle="1" w:styleId="enumxml1">
    <w:name w:val="enumxml1"/>
    <w:uiPriority w:val="99"/>
    <w:rPr>
      <w:b/>
    </w:rPr>
  </w:style>
  <w:style w:type="character" w:customStyle="1" w:styleId="ptext-18">
    <w:name w:val="ptext-18"/>
    <w:uiPriority w:val="99"/>
  </w:style>
  <w:style w:type="character" w:customStyle="1" w:styleId="EmailStyle71">
    <w:name w:val="EmailStyle71"/>
    <w:uiPriority w:val="99"/>
    <w:semiHidden/>
    <w:rPr>
      <w:rFonts w:ascii="Arial" w:hAnsi="Arial"/>
      <w:color w:val="000080"/>
      <w:sz w:val="20"/>
    </w:rPr>
  </w:style>
  <w:style w:type="character" w:styleId="PageNumber">
    <w:name w:val="page number"/>
    <w:rPr>
      <w:rFonts w:cs="Times New Roman"/>
    </w:rPr>
  </w:style>
  <w:style w:type="character" w:styleId="FollowedHyperlink">
    <w:name w:val="FollowedHyperlink"/>
    <w:rPr>
      <w:rFonts w:cs="Times New Roman"/>
      <w:color w:val="800080"/>
      <w:u w:val="single"/>
    </w:rPr>
  </w:style>
  <w:style w:type="paragraph" w:styleId="BodyTextIndent">
    <w:name w:val="Body Text Indent"/>
    <w:basedOn w:val="Normal"/>
    <w:link w:val="BodyTextIndentChar"/>
    <w:pPr>
      <w:ind w:left="720" w:hanging="720"/>
    </w:pPr>
    <w:rPr>
      <w:szCs w:val="20"/>
      <w:lang w:val="x-none" w:eastAsia="x-none"/>
    </w:rPr>
  </w:style>
  <w:style w:type="character" w:customStyle="1" w:styleId="BodyTextIndentChar">
    <w:name w:val="Body Text Indent Char"/>
    <w:link w:val="BodyTextIndent"/>
    <w:locked/>
    <w:rPr>
      <w:rFonts w:cs="Times New Roman"/>
      <w:sz w:val="24"/>
    </w:rPr>
  </w:style>
  <w:style w:type="paragraph" w:styleId="Revision">
    <w:name w:val="Revision"/>
    <w:hidden/>
    <w:uiPriority w:val="99"/>
    <w:semiHidden/>
    <w:rsid w:val="00B10A3C"/>
    <w:rPr>
      <w:sz w:val="24"/>
      <w:szCs w:val="24"/>
    </w:rPr>
  </w:style>
  <w:style w:type="paragraph" w:styleId="BodyText3">
    <w:name w:val="Body Text 3"/>
    <w:basedOn w:val="Normal"/>
    <w:link w:val="BodyText3Char"/>
    <w:uiPriority w:val="99"/>
    <w:locked/>
    <w:pPr>
      <w:spacing w:after="120"/>
    </w:pPr>
    <w:rPr>
      <w:sz w:val="16"/>
      <w:szCs w:val="16"/>
      <w:lang w:val="x-none" w:eastAsia="x-none"/>
    </w:rPr>
  </w:style>
  <w:style w:type="character" w:customStyle="1" w:styleId="BodyText3Char">
    <w:name w:val="Body Text 3 Char"/>
    <w:link w:val="BodyText3"/>
    <w:uiPriority w:val="99"/>
    <w:rPr>
      <w:sz w:val="16"/>
      <w:szCs w:val="16"/>
    </w:rPr>
  </w:style>
  <w:style w:type="paragraph" w:styleId="EndnoteText">
    <w:name w:val="endnote text"/>
    <w:basedOn w:val="Normal"/>
    <w:link w:val="EndnoteTextChar1"/>
    <w:uiPriority w:val="99"/>
    <w:semiHidden/>
    <w:locked/>
    <w:rPr>
      <w:szCs w:val="20"/>
    </w:rPr>
  </w:style>
  <w:style w:type="character" w:customStyle="1" w:styleId="EndnoteTextChar1">
    <w:name w:val="Endnote Text Char1"/>
    <w:link w:val="EndnoteText"/>
    <w:uiPriority w:val="99"/>
    <w:semiHidden/>
    <w:locked/>
    <w:rPr>
      <w:sz w:val="24"/>
      <w:lang w:val="en-US" w:eastAsia="en-US"/>
    </w:rPr>
  </w:style>
  <w:style w:type="character" w:customStyle="1" w:styleId="EndnoteTextChar">
    <w:name w:val="Endnote Text Char"/>
    <w:uiPriority w:val="99"/>
    <w:semiHidden/>
    <w:rPr>
      <w:sz w:val="20"/>
      <w:szCs w:val="20"/>
    </w:rPr>
  </w:style>
  <w:style w:type="character" w:customStyle="1" w:styleId="plain11">
    <w:name w:val="plain11"/>
    <w:rPr>
      <w:rFonts w:ascii="Verdana" w:hAnsi="Verdana" w:cs="Times New Roman"/>
      <w:color w:val="434343"/>
      <w:sz w:val="17"/>
      <w:szCs w:val="17"/>
    </w:rPr>
  </w:style>
  <w:style w:type="paragraph" w:styleId="BodyText">
    <w:name w:val="Body Text"/>
    <w:basedOn w:val="Normal"/>
    <w:link w:val="BodyTextChar"/>
    <w:unhideWhenUsed/>
    <w:locked/>
    <w:rsid w:val="00B10A3C"/>
    <w:pPr>
      <w:spacing w:after="120"/>
    </w:pPr>
    <w:rPr>
      <w:lang w:val="x-none" w:eastAsia="x-none"/>
    </w:rPr>
  </w:style>
  <w:style w:type="character" w:customStyle="1" w:styleId="BodyTextChar">
    <w:name w:val="Body Text Char"/>
    <w:link w:val="BodyText"/>
    <w:rPr>
      <w:sz w:val="24"/>
      <w:szCs w:val="24"/>
      <w:lang w:val="x-none" w:eastAsia="x-none"/>
    </w:rPr>
  </w:style>
  <w:style w:type="character" w:customStyle="1" w:styleId="CommentTextChar">
    <w:name w:val="Comment Text Char"/>
    <w:locked/>
    <w:rPr>
      <w:sz w:val="20"/>
    </w:rPr>
  </w:style>
  <w:style w:type="paragraph" w:customStyle="1" w:styleId="Title1">
    <w:name w:val="Title1"/>
    <w:basedOn w:val="Normal"/>
    <w:pPr>
      <w:spacing w:before="100" w:beforeAutospacing="1" w:after="100" w:afterAutospacing="1"/>
    </w:pPr>
    <w:rPr>
      <w:b/>
      <w:bCs/>
      <w:sz w:val="30"/>
      <w:szCs w:val="30"/>
    </w:rPr>
  </w:style>
  <w:style w:type="paragraph" w:styleId="Caption">
    <w:name w:val="caption"/>
    <w:basedOn w:val="Normal"/>
    <w:next w:val="Normal"/>
    <w:qFormat/>
    <w:pPr>
      <w:spacing w:before="120" w:after="120"/>
    </w:pPr>
    <w:rPr>
      <w:b/>
      <w:sz w:val="22"/>
      <w:szCs w:val="20"/>
    </w:rPr>
  </w:style>
  <w:style w:type="character" w:customStyle="1" w:styleId="volume">
    <w:name w:val="volume"/>
    <w:basedOn w:val="DefaultParagraphFont"/>
  </w:style>
  <w:style w:type="character" w:customStyle="1" w:styleId="page">
    <w:name w:val="page"/>
    <w:basedOn w:val="DefaultParagraphFont"/>
  </w:style>
  <w:style w:type="character" w:customStyle="1" w:styleId="st1">
    <w:name w:val="st1"/>
    <w:basedOn w:val="DefaultParagraphFont"/>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10pt">
    <w:name w:val="Style 10 pt"/>
    <w:rPr>
      <w:sz w:val="24"/>
    </w:rPr>
  </w:style>
  <w:style w:type="character" w:customStyle="1" w:styleId="Hyperlink1">
    <w:name w:val="Hyperlink1"/>
    <w:rsid w:val="001B5071"/>
    <w:rPr>
      <w:color w:val="0000FF"/>
      <w:sz w:val="20"/>
      <w:u w:val="single"/>
    </w:rPr>
  </w:style>
  <w:style w:type="paragraph" w:customStyle="1" w:styleId="Bullet">
    <w:name w:val="Bullet"/>
    <w:basedOn w:val="Normal"/>
    <w:rsid w:val="001B5071"/>
    <w:pPr>
      <w:widowControl w:val="0"/>
      <w:numPr>
        <w:numId w:val="7"/>
      </w:numPr>
      <w:tabs>
        <w:tab w:val="clear" w:pos="2520"/>
      </w:tabs>
      <w:spacing w:after="220"/>
      <w:ind w:left="2160" w:hanging="720"/>
      <w:jc w:val="both"/>
    </w:pPr>
    <w:rPr>
      <w:sz w:val="22"/>
      <w:szCs w:val="20"/>
    </w:rPr>
  </w:style>
  <w:style w:type="paragraph" w:customStyle="1" w:styleId="CommentText1">
    <w:name w:val="Comment Text1"/>
    <w:uiPriority w:val="99"/>
    <w:rsid w:val="001B5071"/>
    <w:rPr>
      <w:rFonts w:eastAsia="ヒラギノ角ゴ Pro W3"/>
      <w:color w:val="000000"/>
    </w:rPr>
  </w:style>
  <w:style w:type="paragraph" w:customStyle="1" w:styleId="Heading2A">
    <w:name w:val="Heading 2 A"/>
    <w:next w:val="Normal"/>
    <w:rsid w:val="00BF0B1C"/>
    <w:pPr>
      <w:keepNext/>
      <w:ind w:left="720"/>
      <w:outlineLvl w:val="1"/>
    </w:pPr>
    <w:rPr>
      <w:rFonts w:ascii="Times New Roman Bold" w:eastAsia="ヒラギノ角ゴ Pro W3" w:hAnsi="Times New Roman Bold"/>
      <w:color w:val="000000"/>
      <w:sz w:val="22"/>
    </w:rPr>
  </w:style>
  <w:style w:type="paragraph" w:customStyle="1" w:styleId="Heading3A">
    <w:name w:val="Heading 3 A"/>
    <w:rsid w:val="00BF0B1C"/>
    <w:pPr>
      <w:tabs>
        <w:tab w:val="left" w:pos="1807"/>
      </w:tabs>
      <w:spacing w:before="100" w:after="100"/>
      <w:outlineLvl w:val="2"/>
    </w:pPr>
    <w:rPr>
      <w:rFonts w:ascii="Times New Roman Bold" w:eastAsia="ヒラギノ角ゴ Pro W3" w:hAnsi="Times New Roman Bold"/>
      <w:color w:val="000000"/>
      <w:sz w:val="22"/>
    </w:rPr>
  </w:style>
  <w:style w:type="character" w:customStyle="1" w:styleId="ptext-2">
    <w:name w:val="ptext-2"/>
    <w:rsid w:val="00BF0B1C"/>
  </w:style>
  <w:style w:type="paragraph" w:customStyle="1" w:styleId="FootnoteText1">
    <w:name w:val="Footnote Text1"/>
    <w:rsid w:val="009C0D20"/>
    <w:rPr>
      <w:rFonts w:ascii="Helvetica" w:eastAsia="ヒラギノ角ゴ Pro W3" w:hAnsi="Helvetica"/>
      <w:color w:val="000000"/>
    </w:rPr>
  </w:style>
  <w:style w:type="character" w:customStyle="1" w:styleId="Strong1">
    <w:name w:val="Strong1"/>
    <w:rsid w:val="009C0D20"/>
    <w:rPr>
      <w:rFonts w:ascii="Lucida Grande" w:eastAsia="ヒラギノ角ゴ Pro W3" w:hAnsi="Lucida Grande"/>
      <w:b/>
      <w:i w:val="0"/>
      <w:color w:val="000000"/>
      <w:sz w:val="20"/>
    </w:rPr>
  </w:style>
  <w:style w:type="character" w:customStyle="1" w:styleId="apple-converted-space">
    <w:name w:val="apple-converted-space"/>
    <w:rsid w:val="009C0D20"/>
    <w:rPr>
      <w:color w:val="000000"/>
      <w:sz w:val="20"/>
    </w:rPr>
  </w:style>
  <w:style w:type="paragraph" w:customStyle="1" w:styleId="NormalWeb1">
    <w:name w:val="Normal (Web)1"/>
    <w:rsid w:val="001D79ED"/>
    <w:pPr>
      <w:spacing w:before="100" w:after="100"/>
    </w:pPr>
    <w:rPr>
      <w:rFonts w:eastAsia="ヒラギノ角ゴ Pro W3"/>
      <w:color w:val="000000"/>
      <w:sz w:val="24"/>
    </w:rPr>
  </w:style>
  <w:style w:type="character" w:customStyle="1" w:styleId="FootnoteReference2">
    <w:name w:val="Footnote Reference2"/>
    <w:rsid w:val="00E61CF3"/>
    <w:rPr>
      <w:color w:val="000000"/>
      <w:sz w:val="22"/>
      <w:vertAlign w:val="superscript"/>
    </w:rPr>
  </w:style>
  <w:style w:type="paragraph" w:customStyle="1" w:styleId="FootnoteText3">
    <w:name w:val="Footnote Text3"/>
    <w:rsid w:val="00E61CF3"/>
    <w:pPr>
      <w:tabs>
        <w:tab w:val="left" w:pos="720"/>
      </w:tabs>
      <w:spacing w:after="200"/>
    </w:pPr>
    <w:rPr>
      <w:rFonts w:ascii="Lucida Grande" w:eastAsia="ヒラギノ角ゴ Pro W3" w:hAnsi="Lucida Grande"/>
      <w:color w:val="000000"/>
      <w:sz w:val="22"/>
    </w:rPr>
  </w:style>
  <w:style w:type="character" w:customStyle="1" w:styleId="EmphasisA">
    <w:name w:val="Emphasis A"/>
    <w:rsid w:val="00E61CF3"/>
    <w:rPr>
      <w:rFonts w:ascii="Lucida Grande" w:eastAsia="ヒラギノ角ゴ Pro W3" w:hAnsi="Lucida Grande"/>
      <w:b w:val="0"/>
      <w:i w:val="0"/>
      <w:color w:val="000000"/>
      <w:sz w:val="20"/>
    </w:rPr>
  </w:style>
  <w:style w:type="paragraph" w:customStyle="1" w:styleId="Header1">
    <w:name w:val="Header1"/>
    <w:rsid w:val="004453B7"/>
    <w:pPr>
      <w:tabs>
        <w:tab w:val="center" w:pos="4320"/>
        <w:tab w:val="right" w:pos="8640"/>
      </w:tabs>
    </w:pPr>
    <w:rPr>
      <w:rFonts w:eastAsia="ヒラギノ角ゴ Pro W3"/>
      <w:color w:val="000000"/>
      <w:sz w:val="24"/>
    </w:rPr>
  </w:style>
  <w:style w:type="paragraph" w:customStyle="1" w:styleId="Footer1">
    <w:name w:val="Footer1"/>
    <w:rsid w:val="004453B7"/>
    <w:pPr>
      <w:tabs>
        <w:tab w:val="center" w:pos="4320"/>
        <w:tab w:val="right" w:pos="8640"/>
      </w:tabs>
    </w:pPr>
    <w:rPr>
      <w:rFonts w:eastAsia="ヒラギノ角ゴ Pro W3"/>
      <w:color w:val="000000"/>
      <w:sz w:val="24"/>
    </w:rPr>
  </w:style>
  <w:style w:type="paragraph" w:customStyle="1" w:styleId="FreeForm">
    <w:name w:val="Free Form"/>
    <w:uiPriority w:val="99"/>
    <w:rsid w:val="004453B7"/>
    <w:rPr>
      <w:rFonts w:eastAsia="ヒラギノ角ゴ Pro W3"/>
      <w:color w:val="000000"/>
    </w:rPr>
  </w:style>
  <w:style w:type="paragraph" w:customStyle="1" w:styleId="TOAHeading1">
    <w:name w:val="TOA Heading1"/>
    <w:next w:val="Normal"/>
    <w:rsid w:val="004453B7"/>
    <w:pPr>
      <w:tabs>
        <w:tab w:val="right" w:pos="9360"/>
      </w:tabs>
      <w:suppressAutoHyphens/>
    </w:pPr>
    <w:rPr>
      <w:rFonts w:eastAsia="ヒラギノ角ゴ Pro W3"/>
      <w:color w:val="000000"/>
      <w:sz w:val="24"/>
    </w:rPr>
  </w:style>
  <w:style w:type="character" w:customStyle="1" w:styleId="CommentReference1">
    <w:name w:val="Comment Reference1"/>
    <w:rsid w:val="004453B7"/>
    <w:rPr>
      <w:color w:val="000000"/>
      <w:sz w:val="16"/>
    </w:rPr>
  </w:style>
  <w:style w:type="paragraph" w:customStyle="1" w:styleId="BodyText1">
    <w:name w:val="Body Text1"/>
    <w:rsid w:val="004453B7"/>
    <w:pPr>
      <w:spacing w:after="120"/>
    </w:pPr>
    <w:rPr>
      <w:rFonts w:eastAsia="ヒラギノ角ゴ Pro W3"/>
      <w:color w:val="000000"/>
      <w:sz w:val="24"/>
    </w:rPr>
  </w:style>
  <w:style w:type="paragraph" w:customStyle="1" w:styleId="bodytext0">
    <w:name w:val="bodytext"/>
    <w:rsid w:val="004453B7"/>
    <w:pPr>
      <w:spacing w:before="100" w:after="100"/>
    </w:pPr>
    <w:rPr>
      <w:rFonts w:eastAsia="ヒラギノ角ゴ Pro W3"/>
      <w:color w:val="000000"/>
      <w:sz w:val="24"/>
    </w:rPr>
  </w:style>
  <w:style w:type="paragraph" w:customStyle="1" w:styleId="paranum1">
    <w:name w:val="paranum"/>
    <w:rsid w:val="004453B7"/>
    <w:pPr>
      <w:tabs>
        <w:tab w:val="left" w:pos="1080"/>
      </w:tabs>
      <w:spacing w:after="120"/>
      <w:ind w:firstLine="720"/>
    </w:pPr>
    <w:rPr>
      <w:rFonts w:eastAsia="ヒラギノ角ゴ Pro W3"/>
      <w:color w:val="000000"/>
      <w:sz w:val="22"/>
    </w:rPr>
  </w:style>
  <w:style w:type="character" w:customStyle="1" w:styleId="DefaultParagraphFont1">
    <w:name w:val="Default Paragraph Font 1"/>
    <w:rsid w:val="004453B7"/>
    <w:rPr>
      <w:color w:val="000000"/>
      <w:sz w:val="20"/>
    </w:rPr>
  </w:style>
  <w:style w:type="paragraph" w:customStyle="1" w:styleId="Title10">
    <w:name w:val="Title1"/>
    <w:rsid w:val="004453B7"/>
    <w:pPr>
      <w:spacing w:before="100" w:after="100"/>
    </w:pPr>
    <w:rPr>
      <w:rFonts w:ascii="Times New Roman Bold" w:eastAsia="ヒラギノ角ゴ Pro W3" w:hAnsi="Times New Roman Bold"/>
      <w:color w:val="000000"/>
      <w:sz w:val="30"/>
    </w:rPr>
  </w:style>
  <w:style w:type="character" w:customStyle="1" w:styleId="headlinedate">
    <w:name w:val="headlinedate"/>
    <w:rsid w:val="004453B7"/>
    <w:rPr>
      <w:color w:val="000000"/>
      <w:sz w:val="20"/>
    </w:rPr>
  </w:style>
  <w:style w:type="paragraph" w:customStyle="1" w:styleId="Heading4A">
    <w:name w:val="Heading 4 A"/>
    <w:next w:val="Normal"/>
    <w:rsid w:val="004453B7"/>
    <w:pPr>
      <w:keepNext/>
      <w:tabs>
        <w:tab w:val="left" w:pos="2527"/>
      </w:tabs>
      <w:spacing w:before="240" w:after="60"/>
      <w:outlineLvl w:val="3"/>
    </w:pPr>
    <w:rPr>
      <w:rFonts w:ascii="Lucida Grande" w:eastAsia="ヒラギノ角ゴ Pro W3" w:hAnsi="Lucida Grande"/>
      <w:b/>
      <w:color w:val="000000"/>
      <w:sz w:val="28"/>
    </w:rPr>
  </w:style>
  <w:style w:type="character" w:customStyle="1" w:styleId="PageNumber1">
    <w:name w:val="Page Number1"/>
    <w:rsid w:val="004453B7"/>
    <w:rPr>
      <w:color w:val="000000"/>
      <w:sz w:val="20"/>
    </w:rPr>
  </w:style>
  <w:style w:type="paragraph" w:styleId="NoSpacing">
    <w:name w:val="No Spacing"/>
    <w:uiPriority w:val="1"/>
    <w:qFormat/>
    <w:rsid w:val="004453B7"/>
    <w:rPr>
      <w:rFonts w:ascii="Calibri" w:hAnsi="Calibri"/>
      <w:sz w:val="22"/>
      <w:szCs w:val="22"/>
    </w:rPr>
  </w:style>
  <w:style w:type="paragraph" w:styleId="PlainText">
    <w:name w:val="Plain Text"/>
    <w:basedOn w:val="Normal"/>
    <w:link w:val="PlainTextChar"/>
    <w:uiPriority w:val="99"/>
    <w:unhideWhenUsed/>
    <w:locked/>
    <w:rsid w:val="00B10A3C"/>
    <w:rPr>
      <w:rFonts w:ascii="Calibri" w:eastAsia="Calibri" w:hAnsi="Calibri"/>
      <w:sz w:val="22"/>
      <w:szCs w:val="21"/>
    </w:rPr>
  </w:style>
  <w:style w:type="character" w:customStyle="1" w:styleId="PlainTextChar">
    <w:name w:val="Plain Text Char"/>
    <w:link w:val="PlainText"/>
    <w:uiPriority w:val="99"/>
    <w:rsid w:val="004453B7"/>
    <w:rPr>
      <w:rFonts w:ascii="Calibri" w:eastAsia="Calibri" w:hAnsi="Calibri"/>
      <w:sz w:val="22"/>
      <w:szCs w:val="21"/>
    </w:rPr>
  </w:style>
  <w:style w:type="character" w:customStyle="1" w:styleId="jobtitle">
    <w:name w:val="job_title"/>
    <w:rsid w:val="004453B7"/>
  </w:style>
  <w:style w:type="paragraph" w:customStyle="1" w:styleId="StyleParaNumFirstline01">
    <w:name w:val="Style ParaNum + First line:  0&quot;1"/>
    <w:basedOn w:val="ParaNum0"/>
    <w:rsid w:val="004453B7"/>
    <w:pPr>
      <w:widowControl/>
      <w:numPr>
        <w:numId w:val="0"/>
      </w:numPr>
      <w:tabs>
        <w:tab w:val="num" w:pos="1080"/>
      </w:tabs>
    </w:pPr>
    <w:rPr>
      <w:snapToGrid/>
      <w:kern w:val="0"/>
    </w:rPr>
  </w:style>
  <w:style w:type="character" w:customStyle="1" w:styleId="headlinedate1">
    <w:name w:val="headlinedate1"/>
    <w:rsid w:val="004453B7"/>
    <w:rPr>
      <w:vanish w:val="0"/>
      <w:webHidden w:val="0"/>
      <w:color w:val="808080"/>
      <w:specVanish w:val="0"/>
    </w:rPr>
  </w:style>
  <w:style w:type="character" w:customStyle="1" w:styleId="field-content">
    <w:name w:val="field-content"/>
    <w:rsid w:val="009A1330"/>
  </w:style>
  <w:style w:type="paragraph" w:styleId="BlockText">
    <w:name w:val="Block Text"/>
    <w:basedOn w:val="Normal"/>
    <w:locked/>
    <w:rsid w:val="00B10A3C"/>
    <w:pPr>
      <w:widowControl w:val="0"/>
      <w:spacing w:after="220"/>
      <w:ind w:left="1440" w:right="1440"/>
      <w:jc w:val="both"/>
    </w:pPr>
    <w:rPr>
      <w:sz w:val="22"/>
      <w:szCs w:val="20"/>
    </w:rPr>
  </w:style>
  <w:style w:type="paragraph" w:customStyle="1" w:styleId="NumberedList">
    <w:name w:val="Numbered List"/>
    <w:basedOn w:val="Normal"/>
    <w:rsid w:val="00B10A3C"/>
    <w:pPr>
      <w:numPr>
        <w:numId w:val="30"/>
      </w:numPr>
      <w:tabs>
        <w:tab w:val="clear" w:pos="1080"/>
      </w:tabs>
      <w:spacing w:after="220"/>
    </w:pPr>
    <w:rPr>
      <w:sz w:val="22"/>
      <w:szCs w:val="20"/>
    </w:rPr>
  </w:style>
  <w:style w:type="paragraph" w:customStyle="1" w:styleId="Paranum">
    <w:name w:val="Paranum"/>
    <w:basedOn w:val="Normal"/>
    <w:rsid w:val="00B10A3C"/>
    <w:pPr>
      <w:widowControl w:val="0"/>
      <w:numPr>
        <w:numId w:val="31"/>
      </w:numPr>
      <w:tabs>
        <w:tab w:val="clear" w:pos="1080"/>
      </w:tabs>
      <w:spacing w:after="220"/>
      <w:jc w:val="both"/>
    </w:pPr>
    <w:rPr>
      <w:sz w:val="22"/>
      <w:szCs w:val="20"/>
    </w:rPr>
  </w:style>
  <w:style w:type="paragraph" w:customStyle="1" w:styleId="TableFormat">
    <w:name w:val="Table Format"/>
    <w:basedOn w:val="Normal"/>
    <w:rsid w:val="00B10A3C"/>
    <w:pPr>
      <w:widowControl w:val="0"/>
      <w:tabs>
        <w:tab w:val="left" w:pos="5040"/>
      </w:tabs>
      <w:spacing w:after="220"/>
      <w:ind w:left="5040" w:hanging="3600"/>
      <w:jc w:val="both"/>
    </w:pPr>
    <w:rPr>
      <w:sz w:val="22"/>
      <w:szCs w:val="20"/>
    </w:rPr>
  </w:style>
  <w:style w:type="paragraph" w:styleId="DocumentMap">
    <w:name w:val="Document Map"/>
    <w:basedOn w:val="Normal"/>
    <w:link w:val="DocumentMapChar"/>
    <w:locked/>
    <w:rsid w:val="00B10A3C"/>
    <w:rPr>
      <w:rFonts w:ascii="Tahoma" w:hAnsi="Tahoma"/>
      <w:sz w:val="16"/>
      <w:szCs w:val="16"/>
      <w:lang w:val="x-none" w:eastAsia="x-none"/>
    </w:rPr>
  </w:style>
  <w:style w:type="character" w:customStyle="1" w:styleId="DocumentMapChar">
    <w:name w:val="Document Map Char"/>
    <w:basedOn w:val="DefaultParagraphFont"/>
    <w:link w:val="DocumentMap"/>
    <w:rsid w:val="00B10A3C"/>
    <w:rPr>
      <w:rFonts w:ascii="Tahoma" w:hAnsi="Tahoma"/>
      <w:sz w:val="16"/>
      <w:szCs w:val="16"/>
      <w:lang w:val="x-none" w:eastAsia="x-none"/>
    </w:rPr>
  </w:style>
  <w:style w:type="character" w:customStyle="1" w:styleId="CharChar6">
    <w:name w:val="Char Char6"/>
    <w:semiHidden/>
    <w:locked/>
    <w:rsid w:val="00B10A3C"/>
    <w:rPr>
      <w:rFonts w:cs="Times New Roman"/>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iPriority="0" w:unhideWhenUsed="1"/>
    <w:lsdException w:name="header" w:locked="1" w:uiPriority="0"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iPriority="0"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1"/>
    <w:lsdException w:name="Body Text" w:locked="1" w:uiPriority="0" w:unhideWhenUsed="1"/>
    <w:lsdException w:name="Body Text Indent" w:locked="1" w:uiPriority="0"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iPriority="0" w:unhideWhenUsed="1"/>
    <w:lsdException w:name="Hyperlink" w:locked="1" w:unhideWhenUsed="1"/>
    <w:lsdException w:name="FollowedHyperlink" w:locked="1" w:uiPriority="0" w:unhideWhenUsed="1"/>
    <w:lsdException w:name="Strong" w:semiHidden="0" w:uiPriority="22" w:qFormat="1"/>
    <w:lsdException w:name="Emphasis" w:semiHidden="0" w:uiPriority="20" w:qFormat="1"/>
    <w:lsdException w:name="Document Map" w:locked="1" w:uiPriority="0"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iPriority="0"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iPriority="0"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iPriority="0"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B10A3C"/>
    <w:rPr>
      <w:sz w:val="24"/>
      <w:szCs w:val="24"/>
    </w:rPr>
  </w:style>
  <w:style w:type="paragraph" w:styleId="Heading1">
    <w:name w:val="heading 1"/>
    <w:basedOn w:val="Normal"/>
    <w:next w:val="Normal"/>
    <w:link w:val="Heading1Char1"/>
    <w:autoRedefine/>
    <w:qFormat/>
    <w:locked/>
    <w:rsid w:val="00B10A3C"/>
    <w:pPr>
      <w:keepNext/>
      <w:numPr>
        <w:numId w:val="3"/>
      </w:numPr>
      <w:spacing w:before="240" w:after="60"/>
      <w:outlineLvl w:val="0"/>
    </w:pPr>
    <w:rPr>
      <w:b/>
      <w:kern w:val="32"/>
      <w:sz w:val="32"/>
      <w:szCs w:val="20"/>
    </w:rPr>
  </w:style>
  <w:style w:type="paragraph" w:styleId="Heading2">
    <w:name w:val="heading 2"/>
    <w:basedOn w:val="Normal"/>
    <w:next w:val="Normal"/>
    <w:link w:val="Heading2Char"/>
    <w:autoRedefine/>
    <w:qFormat/>
    <w:locked/>
    <w:rsid w:val="00B10A3C"/>
    <w:pPr>
      <w:keepNext/>
      <w:ind w:left="720"/>
      <w:outlineLvl w:val="1"/>
    </w:pPr>
    <w:rPr>
      <w:b/>
      <w:bCs/>
      <w:iCs/>
      <w:sz w:val="22"/>
      <w:szCs w:val="22"/>
      <w:lang w:val="x-none" w:eastAsia="x-none"/>
    </w:rPr>
  </w:style>
  <w:style w:type="paragraph" w:styleId="Heading3">
    <w:name w:val="heading 3"/>
    <w:basedOn w:val="Normal"/>
    <w:link w:val="Heading3Char"/>
    <w:autoRedefine/>
    <w:qFormat/>
    <w:rsid w:val="00B10A3C"/>
    <w:pPr>
      <w:numPr>
        <w:ilvl w:val="2"/>
        <w:numId w:val="3"/>
      </w:numPr>
      <w:spacing w:before="100" w:beforeAutospacing="1" w:after="100" w:afterAutospacing="1"/>
      <w:outlineLvl w:val="2"/>
    </w:pPr>
    <w:rPr>
      <w:b/>
      <w:bCs/>
      <w:sz w:val="22"/>
      <w:szCs w:val="22"/>
    </w:rPr>
  </w:style>
  <w:style w:type="paragraph" w:styleId="Heading4">
    <w:name w:val="heading 4"/>
    <w:basedOn w:val="Normal"/>
    <w:next w:val="Normal"/>
    <w:link w:val="Heading4Char"/>
    <w:qFormat/>
    <w:locked/>
    <w:rsid w:val="00B10A3C"/>
    <w:pPr>
      <w:keepNext/>
      <w:numPr>
        <w:ilvl w:val="3"/>
        <w:numId w:val="3"/>
      </w:numPr>
      <w:spacing w:before="240" w:after="60"/>
      <w:outlineLvl w:val="3"/>
    </w:pPr>
    <w:rPr>
      <w:rFonts w:ascii="Calibri" w:hAnsi="Calibri"/>
      <w:b/>
      <w:bCs/>
      <w:sz w:val="28"/>
      <w:szCs w:val="28"/>
    </w:rPr>
  </w:style>
  <w:style w:type="paragraph" w:styleId="Heading5">
    <w:name w:val="heading 5"/>
    <w:basedOn w:val="Normal"/>
    <w:next w:val="Normal"/>
    <w:link w:val="Heading5Char"/>
    <w:qFormat/>
    <w:locked/>
    <w:rsid w:val="00B10A3C"/>
    <w:pPr>
      <w:numPr>
        <w:ilvl w:val="4"/>
        <w:numId w:val="3"/>
      </w:numPr>
      <w:spacing w:before="240" w:after="60"/>
      <w:outlineLvl w:val="4"/>
    </w:pPr>
    <w:rPr>
      <w:rFonts w:ascii="Calibri" w:hAnsi="Calibri"/>
      <w:b/>
      <w:bCs/>
      <w:i/>
      <w:iCs/>
      <w:sz w:val="26"/>
      <w:szCs w:val="26"/>
    </w:rPr>
  </w:style>
  <w:style w:type="paragraph" w:styleId="Heading6">
    <w:name w:val="heading 6"/>
    <w:basedOn w:val="Normal"/>
    <w:next w:val="Normal"/>
    <w:link w:val="Heading6Char"/>
    <w:qFormat/>
    <w:locked/>
    <w:rsid w:val="00B10A3C"/>
    <w:pPr>
      <w:numPr>
        <w:ilvl w:val="5"/>
        <w:numId w:val="3"/>
      </w:numPr>
      <w:spacing w:before="240" w:after="60"/>
      <w:outlineLvl w:val="5"/>
    </w:pPr>
    <w:rPr>
      <w:rFonts w:ascii="Calibri" w:hAnsi="Calibri"/>
      <w:b/>
      <w:bCs/>
      <w:sz w:val="20"/>
      <w:szCs w:val="20"/>
    </w:rPr>
  </w:style>
  <w:style w:type="paragraph" w:styleId="Heading7">
    <w:name w:val="heading 7"/>
    <w:basedOn w:val="Normal"/>
    <w:next w:val="Normal"/>
    <w:link w:val="Heading7Char"/>
    <w:qFormat/>
    <w:locked/>
    <w:rsid w:val="00B10A3C"/>
    <w:pPr>
      <w:numPr>
        <w:ilvl w:val="6"/>
        <w:numId w:val="3"/>
      </w:numPr>
      <w:spacing w:before="240" w:after="60"/>
      <w:outlineLvl w:val="6"/>
    </w:pPr>
    <w:rPr>
      <w:rFonts w:ascii="Calibri" w:hAnsi="Calibri"/>
    </w:rPr>
  </w:style>
  <w:style w:type="paragraph" w:styleId="Heading8">
    <w:name w:val="heading 8"/>
    <w:basedOn w:val="Normal"/>
    <w:next w:val="Normal"/>
    <w:link w:val="Heading8Char"/>
    <w:qFormat/>
    <w:locked/>
    <w:rsid w:val="00B10A3C"/>
    <w:pPr>
      <w:numPr>
        <w:ilvl w:val="7"/>
        <w:numId w:val="3"/>
      </w:numPr>
      <w:spacing w:before="240" w:after="60"/>
      <w:outlineLvl w:val="7"/>
    </w:pPr>
    <w:rPr>
      <w:rFonts w:ascii="Calibri" w:hAnsi="Calibri"/>
      <w:i/>
      <w:iCs/>
    </w:rPr>
  </w:style>
  <w:style w:type="paragraph" w:styleId="Heading9">
    <w:name w:val="heading 9"/>
    <w:basedOn w:val="Normal"/>
    <w:next w:val="Normal"/>
    <w:link w:val="Heading9Char"/>
    <w:qFormat/>
    <w:locked/>
    <w:rsid w:val="00B10A3C"/>
    <w:pPr>
      <w:numPr>
        <w:ilvl w:val="8"/>
        <w:numId w:val="3"/>
      </w:numPr>
      <w:spacing w:before="240" w:after="60"/>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link w:val="Heading1"/>
    <w:locked/>
    <w:rPr>
      <w:b/>
      <w:kern w:val="32"/>
      <w:sz w:val="32"/>
    </w:rPr>
  </w:style>
  <w:style w:type="character" w:customStyle="1" w:styleId="Heading2Char">
    <w:name w:val="Heading 2 Char"/>
    <w:link w:val="Heading2"/>
    <w:locked/>
    <w:rPr>
      <w:b/>
      <w:bCs/>
      <w:iCs/>
      <w:sz w:val="22"/>
      <w:szCs w:val="22"/>
      <w:lang w:val="x-none" w:eastAsia="x-none"/>
    </w:rPr>
  </w:style>
  <w:style w:type="character" w:customStyle="1" w:styleId="Heading3Char">
    <w:name w:val="Heading 3 Char"/>
    <w:link w:val="Heading3"/>
    <w:locked/>
    <w:rPr>
      <w:b/>
      <w:bCs/>
      <w:sz w:val="22"/>
      <w:szCs w:val="22"/>
    </w:rPr>
  </w:style>
  <w:style w:type="character" w:customStyle="1" w:styleId="Heading4Char">
    <w:name w:val="Heading 4 Char"/>
    <w:link w:val="Heading4"/>
    <w:locked/>
    <w:rPr>
      <w:rFonts w:ascii="Calibri" w:hAnsi="Calibri"/>
      <w:b/>
      <w:bCs/>
      <w:sz w:val="28"/>
      <w:szCs w:val="28"/>
    </w:rPr>
  </w:style>
  <w:style w:type="character" w:customStyle="1" w:styleId="Heading5Char">
    <w:name w:val="Heading 5 Char"/>
    <w:link w:val="Heading5"/>
    <w:locked/>
    <w:rPr>
      <w:rFonts w:ascii="Calibri" w:hAnsi="Calibri"/>
      <w:b/>
      <w:bCs/>
      <w:i/>
      <w:iCs/>
      <w:sz w:val="26"/>
      <w:szCs w:val="26"/>
    </w:rPr>
  </w:style>
  <w:style w:type="character" w:customStyle="1" w:styleId="Heading6Char">
    <w:name w:val="Heading 6 Char"/>
    <w:link w:val="Heading6"/>
    <w:locked/>
    <w:rPr>
      <w:rFonts w:ascii="Calibri" w:hAnsi="Calibri"/>
      <w:b/>
      <w:bCs/>
    </w:rPr>
  </w:style>
  <w:style w:type="character" w:customStyle="1" w:styleId="Heading7Char">
    <w:name w:val="Heading 7 Char"/>
    <w:link w:val="Heading7"/>
    <w:locked/>
    <w:rPr>
      <w:rFonts w:ascii="Calibri" w:hAnsi="Calibri"/>
      <w:sz w:val="24"/>
      <w:szCs w:val="24"/>
    </w:rPr>
  </w:style>
  <w:style w:type="character" w:customStyle="1" w:styleId="Heading8Char">
    <w:name w:val="Heading 8 Char"/>
    <w:link w:val="Heading8"/>
    <w:locked/>
    <w:rPr>
      <w:rFonts w:ascii="Calibri" w:hAnsi="Calibri"/>
      <w:i/>
      <w:iCs/>
      <w:sz w:val="24"/>
      <w:szCs w:val="24"/>
    </w:rPr>
  </w:style>
  <w:style w:type="character" w:customStyle="1" w:styleId="Heading9Char">
    <w:name w:val="Heading 9 Char"/>
    <w:link w:val="Heading9"/>
    <w:locked/>
    <w:rPr>
      <w:rFonts w:ascii="Cambria" w:hAnsi="Cambria"/>
    </w:rPr>
  </w:style>
  <w:style w:type="paragraph" w:styleId="BalloonText">
    <w:name w:val="Balloon Text"/>
    <w:basedOn w:val="Normal"/>
    <w:link w:val="BalloonTextChar1"/>
    <w:rsid w:val="00B10A3C"/>
    <w:rPr>
      <w:sz w:val="20"/>
      <w:szCs w:val="20"/>
    </w:rPr>
  </w:style>
  <w:style w:type="character" w:customStyle="1" w:styleId="BalloonTextChar1">
    <w:name w:val="Balloon Text Char1"/>
    <w:link w:val="BalloonText"/>
    <w:locked/>
  </w:style>
  <w:style w:type="character" w:customStyle="1" w:styleId="BalloonTextChar">
    <w:name w:val="Balloon Text Char"/>
    <w:uiPriority w:val="99"/>
    <w:rPr>
      <w:rFonts w:ascii="Lucida Grande" w:hAnsi="Lucida Grande"/>
      <w:sz w:val="18"/>
      <w:szCs w:val="18"/>
    </w:rPr>
  </w:style>
  <w:style w:type="character" w:customStyle="1" w:styleId="Heading1Char">
    <w:name w:val="Heading 1 Char"/>
    <w:uiPriority w:val="99"/>
    <w:locked/>
    <w:rPr>
      <w:rFonts w:ascii="Cambria" w:hAnsi="Cambria" w:cs="Times New Roman"/>
      <w:b/>
      <w:kern w:val="32"/>
      <w:sz w:val="32"/>
    </w:rPr>
  </w:style>
  <w:style w:type="paragraph" w:styleId="FootnoteText">
    <w:name w:val="footnote text"/>
    <w:aliases w:val="Footnote Text Char,Footnote Text Char3 Char,Footnote Text Char2 Char1 Char,Footnote Text Char Char Char Char1,Footnote Text Char1 Char Char1 Char Char,Footnote Text Char Char1 Char Char Char Char,Footnote Text Char1,Footnote Text Char5,fn"/>
    <w:basedOn w:val="Normal"/>
    <w:link w:val="FootnoteTextChar3"/>
    <w:uiPriority w:val="99"/>
    <w:rsid w:val="00B10A3C"/>
    <w:rPr>
      <w:sz w:val="20"/>
      <w:szCs w:val="20"/>
    </w:rPr>
  </w:style>
  <w:style w:type="character" w:customStyle="1" w:styleId="FootnoteTextChar3">
    <w:name w:val="Footnote Text Char3"/>
    <w:aliases w:val="Footnote Text Char Char1,Footnote Text Char3 Char Char1,Footnote Text Char2 Char1 Char Char1,Footnote Text Char Char Char Char1 Char1,Footnote Text Char1 Char Char1 Char Char Char1,Footnote Text Char Char1 Char Char Char Char Char1"/>
    <w:link w:val="FootnoteText"/>
    <w:uiPriority w:val="99"/>
    <w:locked/>
  </w:style>
  <w:style w:type="character" w:customStyle="1" w:styleId="FootnoteTextChar2">
    <w:name w:val="Footnote Text Char2"/>
    <w:aliases w:val="Footnote Text Char Char,Footnote Text Char3 Char Char,Footnote Text Char2 Char1 Char Char,Footnote Text Char Char Char Char1 Char,Footnote Text Char1 Char Char1 Char Char Char,Footnote Text Char Char1 Char Char Char Char Char,fn Char"/>
    <w:uiPriority w:val="99"/>
    <w:rsid w:val="00B10A3C"/>
    <w:rPr>
      <w:sz w:val="20"/>
      <w:szCs w:val="20"/>
    </w:rPr>
  </w:style>
  <w:style w:type="character" w:customStyle="1" w:styleId="FootnoteTextChar213">
    <w:name w:val="Footnote Text Char213"/>
    <w:aliases w:val="Footnote Text Char Char14,Footnote Text Char3 Char Char14,Footnote Text Char2 Char1 Char Char14,Footnote Text Char Char Char Char1 Char14,Footnote Text Char1 Char Char1 Char Char Char14,fn Cha"/>
    <w:uiPriority w:val="99"/>
    <w:semiHidden/>
    <w:locked/>
    <w:rPr>
      <w:rFonts w:cs="Times New Roman"/>
      <w:sz w:val="20"/>
      <w:szCs w:val="20"/>
    </w:rPr>
  </w:style>
  <w:style w:type="character" w:customStyle="1" w:styleId="FootnoteTextChar212">
    <w:name w:val="Footnote Text Char212"/>
    <w:aliases w:val="Footnote Text Char Char13,Footnote Text Char3 Char Char13,Footnote Text Char2 Char1 Char Char13,Footnote Text Char Char Char Char1 Char13,Footnote Text Char1 Char Char1 Char Char Char13,fn Cha4"/>
    <w:uiPriority w:val="99"/>
    <w:semiHidden/>
    <w:locked/>
    <w:rPr>
      <w:rFonts w:cs="Times New Roman"/>
      <w:sz w:val="20"/>
      <w:szCs w:val="20"/>
    </w:rPr>
  </w:style>
  <w:style w:type="character" w:customStyle="1" w:styleId="FootnoteTextChar211">
    <w:name w:val="Footnote Text Char211"/>
    <w:aliases w:val="Footnote Text Char Char12,Footnote Text Char3 Char Char12,Footnote Text Char2 Char1 Char Char12,Footnote Text Char Char Char Char1 Char12,Footnote Text Char1 Char Char1 Char Char Char12,fn Cha3"/>
    <w:uiPriority w:val="99"/>
    <w:semiHidden/>
    <w:locked/>
    <w:rPr>
      <w:rFonts w:cs="Times New Roman"/>
      <w:sz w:val="20"/>
      <w:szCs w:val="20"/>
    </w:rPr>
  </w:style>
  <w:style w:type="character" w:customStyle="1" w:styleId="FootnoteTextChar210">
    <w:name w:val="Footnote Text Char210"/>
    <w:aliases w:val="Footnote Text Char Char11,Footnote Text Char3 Char Char11,Footnote Text Char2 Char1 Char Char11,Footnote Text Char Char Char Char1 Char11,Footnote Text Char1 Char Char1 Char Char Char11,fn Cha2"/>
    <w:uiPriority w:val="99"/>
    <w:semiHidden/>
    <w:locked/>
    <w:rPr>
      <w:rFonts w:cs="Times New Roman"/>
      <w:sz w:val="20"/>
      <w:szCs w:val="20"/>
    </w:rPr>
  </w:style>
  <w:style w:type="character" w:customStyle="1" w:styleId="FootnoteTextChar29">
    <w:name w:val="Footnote Text Char29"/>
    <w:aliases w:val="Footnote Text Char Char10,Footnote Text Char3 Char Char10,Footnote Text Char2 Char1 Char Char10,Footnote Text Char Char Char Char1 Char10,Footnote Text Char1 Char Char1 Char Char Char10,fn Cha1"/>
    <w:uiPriority w:val="99"/>
    <w:semiHidden/>
    <w:rPr>
      <w:sz w:val="20"/>
    </w:rPr>
  </w:style>
  <w:style w:type="character" w:customStyle="1" w:styleId="FootnoteTextChar28">
    <w:name w:val="Footnote Text Char28"/>
    <w:aliases w:val="Footnote Text Char Char9,Footnote Text Char3 Char Char9,Footnote Text Char2 Char1 Char Char9,Footnote Text Char Char Char Char1 Char9,Footnote Text Char1 Char Char1 Char Char Char9,Footnote Text Char Char1 Char Char Char Char Char9"/>
    <w:uiPriority w:val="99"/>
    <w:semiHidden/>
    <w:locked/>
    <w:rPr>
      <w:sz w:val="20"/>
    </w:rPr>
  </w:style>
  <w:style w:type="character" w:customStyle="1" w:styleId="FootnoteTextChar27">
    <w:name w:val="Footnote Text Char27"/>
    <w:aliases w:val="Footnote Text Char Char8,Footnote Text Char3 Char Char8,Footnote Text Char2 Char1 Char Char8,Footnote Text Char Char Char Char1 Char8,Footnote Text Char1 Char Char1 Char Char Char8,Footnote Text Char Char1 Char Char Char Char Char8"/>
    <w:uiPriority w:val="99"/>
    <w:semiHidden/>
    <w:locked/>
    <w:rPr>
      <w:sz w:val="20"/>
    </w:rPr>
  </w:style>
  <w:style w:type="character" w:customStyle="1" w:styleId="FootnoteTextChar26">
    <w:name w:val="Footnote Text Char26"/>
    <w:aliases w:val="Footnote Text Char Char7,Footnote Text Char3 Char Char7,Footnote Text Char2 Char1 Char Char7,Footnote Text Char Char Char Char1 Char7,Footnote Text Char1 Char Char1 Char Char Char7,Footnote Text Char Char1 Char Char Char Char Char7"/>
    <w:uiPriority w:val="99"/>
    <w:semiHidden/>
    <w:rPr>
      <w:sz w:val="20"/>
    </w:rPr>
  </w:style>
  <w:style w:type="character" w:customStyle="1" w:styleId="FootnoteTextChar25">
    <w:name w:val="Footnote Text Char25"/>
    <w:aliases w:val="Footnote Text Char Char6,Footnote Text Char3 Char Char6,Footnote Text Char2 Char1 Char Char6,Footnote Text Char Char Char Char1 Char6,Footnote Text Char1 Char Char1 Char Char Char6,Footnote Text Char Char1 Char Char Char Char Char6"/>
    <w:uiPriority w:val="99"/>
    <w:semiHidden/>
    <w:locked/>
    <w:rPr>
      <w:sz w:val="20"/>
    </w:rPr>
  </w:style>
  <w:style w:type="character" w:customStyle="1" w:styleId="FootnoteTextChar24">
    <w:name w:val="Footnote Text Char24"/>
    <w:aliases w:val="Footnote Text Char Char5,Footnote Text Char3 Char Char5,Footnote Text Char2 Char1 Char Char5,Footnote Text Char Char Char Char1 Char5,Footnote Text Char1 Char Char1 Char Char Char5,Footnote Text Char Char1 Char Char Char Char Char5"/>
    <w:uiPriority w:val="99"/>
    <w:semiHidden/>
    <w:locked/>
    <w:rPr>
      <w:sz w:val="20"/>
    </w:rPr>
  </w:style>
  <w:style w:type="character" w:customStyle="1" w:styleId="FootnoteTextChar23">
    <w:name w:val="Footnote Text Char23"/>
    <w:aliases w:val="Footnote Text Char Char4,Footnote Text Char3 Char Char4,Footnote Text Char2 Char1 Char Char4,Footnote Text Char Char Char Char1 Char4,Footnote Text Char1 Char Char1 Char Char Char4,Footnote Text Char Char1 Char Char Char Char Char4"/>
    <w:uiPriority w:val="99"/>
    <w:semiHidden/>
    <w:locked/>
    <w:rPr>
      <w:sz w:val="20"/>
    </w:rPr>
  </w:style>
  <w:style w:type="character" w:customStyle="1" w:styleId="FootnoteTextChar22">
    <w:name w:val="Footnote Text Char22"/>
    <w:aliases w:val="Footnote Text Char Char3,Footnote Text Char3 Char Char3,Footnote Text Char2 Char1 Char Char3,Footnote Text Char Char Char Char1 Char3,Footnote Text Char1 Char Char1 Char Char Char3,Footnote Text Char Char1 Char Char Char Char Char3"/>
    <w:uiPriority w:val="99"/>
    <w:semiHidden/>
    <w:locked/>
    <w:rPr>
      <w:sz w:val="20"/>
    </w:rPr>
  </w:style>
  <w:style w:type="character" w:customStyle="1" w:styleId="FootnoteTextChar21">
    <w:name w:val="Footnote Text Char21"/>
    <w:aliases w:val="Footnote Text Char Char2,Footnote Text Char3 Char Char2,Footnote Text Char2 Char1 Char Char2,Footnote Text Char Char Char Char1 Char2,Footnote Text Char1 Char Char1 Char Char Char2,Footnote Text Char Char1 Char Char Char Char Char2"/>
    <w:uiPriority w:val="99"/>
    <w:semiHidden/>
    <w:locked/>
    <w:rPr>
      <w:sz w:val="20"/>
    </w:rPr>
  </w:style>
  <w:style w:type="character" w:styleId="FootnoteReference">
    <w:name w:val="footnote reference"/>
    <w:aliases w:val="Appel note de bas de p,Style 12,(NECG) Footnote Reference,Style 124,Style 13,fr,o,Style 3,FR,Style 17,Style 6,Footnote Reference/,Footnote Reference1"/>
    <w:uiPriority w:val="99"/>
    <w:rPr>
      <w:rFonts w:cs="Times New Roman"/>
      <w:vertAlign w:val="superscript"/>
    </w:rPr>
  </w:style>
  <w:style w:type="paragraph" w:styleId="Header">
    <w:name w:val="header"/>
    <w:basedOn w:val="Normal"/>
    <w:link w:val="HeaderChar"/>
    <w:rsid w:val="00B10A3C"/>
    <w:pPr>
      <w:tabs>
        <w:tab w:val="center" w:pos="4320"/>
        <w:tab w:val="right" w:pos="8640"/>
      </w:tabs>
    </w:pPr>
    <w:rPr>
      <w:szCs w:val="20"/>
      <w:lang w:val="x-none" w:eastAsia="x-none"/>
    </w:rPr>
  </w:style>
  <w:style w:type="character" w:customStyle="1" w:styleId="HeaderChar">
    <w:name w:val="Header Char"/>
    <w:link w:val="Header"/>
    <w:locked/>
    <w:rPr>
      <w:sz w:val="24"/>
      <w:lang w:val="x-none" w:eastAsia="x-none"/>
    </w:rPr>
  </w:style>
  <w:style w:type="paragraph" w:styleId="Footer">
    <w:name w:val="footer"/>
    <w:basedOn w:val="Normal"/>
    <w:link w:val="FooterChar"/>
    <w:uiPriority w:val="99"/>
    <w:rsid w:val="00B10A3C"/>
    <w:pPr>
      <w:tabs>
        <w:tab w:val="center" w:pos="4320"/>
        <w:tab w:val="right" w:pos="8640"/>
      </w:tabs>
    </w:pPr>
    <w:rPr>
      <w:szCs w:val="20"/>
      <w:lang w:val="x-none" w:eastAsia="x-none"/>
    </w:rPr>
  </w:style>
  <w:style w:type="character" w:customStyle="1" w:styleId="FooterChar">
    <w:name w:val="Footer Char"/>
    <w:link w:val="Footer"/>
    <w:uiPriority w:val="99"/>
    <w:locked/>
    <w:rPr>
      <w:sz w:val="24"/>
      <w:lang w:val="x-none" w:eastAsia="x-none"/>
    </w:rPr>
  </w:style>
  <w:style w:type="paragraph" w:customStyle="1" w:styleId="ParaNum0">
    <w:name w:val="ParaNum"/>
    <w:basedOn w:val="Normal"/>
    <w:link w:val="ParaNumChar1"/>
    <w:rsid w:val="00B10A3C"/>
    <w:pPr>
      <w:widowControl w:val="0"/>
      <w:numPr>
        <w:numId w:val="1"/>
      </w:numPr>
      <w:spacing w:after="120"/>
    </w:pPr>
    <w:rPr>
      <w:snapToGrid w:val="0"/>
      <w:kern w:val="28"/>
      <w:sz w:val="22"/>
      <w:szCs w:val="20"/>
    </w:rPr>
  </w:style>
  <w:style w:type="character" w:customStyle="1" w:styleId="ParaNumChar1">
    <w:name w:val="ParaNum Char1"/>
    <w:link w:val="ParaNum0"/>
    <w:locked/>
    <w:rPr>
      <w:snapToGrid w:val="0"/>
      <w:kern w:val="28"/>
      <w:sz w:val="22"/>
    </w:rPr>
  </w:style>
  <w:style w:type="character" w:styleId="CommentReference">
    <w:name w:val="annotation reference"/>
    <w:uiPriority w:val="99"/>
    <w:rPr>
      <w:rFonts w:cs="Times New Roman"/>
      <w:sz w:val="16"/>
    </w:rPr>
  </w:style>
  <w:style w:type="paragraph" w:styleId="CommentText">
    <w:name w:val="annotation text"/>
    <w:basedOn w:val="Normal"/>
    <w:link w:val="CommentTextChar1"/>
    <w:rPr>
      <w:sz w:val="20"/>
      <w:szCs w:val="20"/>
      <w:lang w:val="x-none" w:eastAsia="x-none"/>
    </w:rPr>
  </w:style>
  <w:style w:type="character" w:customStyle="1" w:styleId="CommentTextChar1">
    <w:name w:val="Comment Text Char1"/>
    <w:link w:val="CommentText"/>
    <w:locked/>
    <w:rPr>
      <w:rFonts w:cs="Times New Roman"/>
      <w:sz w:val="20"/>
    </w:rPr>
  </w:style>
  <w:style w:type="paragraph" w:styleId="CommentSubject">
    <w:name w:val="annotation subject"/>
    <w:basedOn w:val="CommentText"/>
    <w:next w:val="CommentText"/>
    <w:link w:val="CommentSubjectChar"/>
    <w:rsid w:val="00B10A3C"/>
    <w:rPr>
      <w:b/>
    </w:rPr>
  </w:style>
  <w:style w:type="character" w:customStyle="1" w:styleId="CommentSubjectChar">
    <w:name w:val="Comment Subject Char"/>
    <w:link w:val="CommentSubject"/>
    <w:locked/>
    <w:rPr>
      <w:b/>
      <w:lang w:val="x-none" w:eastAsia="x-none"/>
    </w:rPr>
  </w:style>
  <w:style w:type="character" w:customStyle="1" w:styleId="FootnoteTextChar1Char5">
    <w:name w:val="Footnote Text Char1 Char5"/>
    <w:aliases w:val="Footnote Text Char Char Char5,Footnote Text Char5 Char Char Char5,Footnote Text Char Char Char Char Char5,Footnote Text Char4 Char Char1 Char Char Char5,Footnote Text Char2 Char Char2 Char2 Char Char Char5"/>
    <w:uiPriority w:val="99"/>
    <w:semiHidden/>
    <w:rPr>
      <w:lang w:val="en-US" w:eastAsia="en-US"/>
    </w:rPr>
  </w:style>
  <w:style w:type="character" w:customStyle="1" w:styleId="enumbell1">
    <w:name w:val="enumbell1"/>
    <w:uiPriority w:val="99"/>
    <w:rPr>
      <w:b/>
    </w:rPr>
  </w:style>
  <w:style w:type="paragraph" w:customStyle="1" w:styleId="Default">
    <w:name w:val="Default"/>
    <w:pPr>
      <w:autoSpaceDE w:val="0"/>
      <w:autoSpaceDN w:val="0"/>
      <w:adjustRightInd w:val="0"/>
    </w:pPr>
    <w:rPr>
      <w:rFonts w:ascii="Calibri" w:hAnsi="Calibri" w:cs="Calibri"/>
      <w:color w:val="000000"/>
      <w:sz w:val="24"/>
      <w:szCs w:val="24"/>
    </w:rPr>
  </w:style>
  <w:style w:type="paragraph" w:styleId="TOC1">
    <w:name w:val="toc 1"/>
    <w:basedOn w:val="Normal"/>
    <w:next w:val="Normal"/>
    <w:semiHidden/>
    <w:rsid w:val="00B10A3C"/>
    <w:pPr>
      <w:tabs>
        <w:tab w:val="left" w:pos="360"/>
        <w:tab w:val="right" w:leader="dot" w:pos="9360"/>
      </w:tabs>
      <w:suppressAutoHyphens/>
      <w:ind w:left="360" w:right="720" w:hanging="360"/>
    </w:pPr>
    <w:rPr>
      <w:caps/>
      <w:noProof/>
    </w:rPr>
  </w:style>
  <w:style w:type="paragraph" w:styleId="TOAHeading">
    <w:name w:val="toa heading"/>
    <w:basedOn w:val="Normal"/>
    <w:next w:val="Normal"/>
    <w:uiPriority w:val="99"/>
    <w:semiHidden/>
    <w:pPr>
      <w:tabs>
        <w:tab w:val="right" w:pos="9360"/>
      </w:tabs>
      <w:suppressAutoHyphens/>
    </w:pPr>
  </w:style>
  <w:style w:type="paragraph" w:customStyle="1" w:styleId="Paratitle">
    <w:name w:val="Para title"/>
    <w:basedOn w:val="Normal"/>
    <w:uiPriority w:val="99"/>
    <w:pPr>
      <w:tabs>
        <w:tab w:val="center" w:pos="9270"/>
      </w:tabs>
      <w:spacing w:after="240"/>
    </w:pPr>
    <w:rPr>
      <w:spacing w:val="-2"/>
    </w:r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uiPriority w:val="99"/>
    <w:pPr>
      <w:jc w:val="center"/>
    </w:pPr>
    <w:rPr>
      <w:rFonts w:ascii="Times New Roman Bold" w:hAnsi="Times New Roman Bold"/>
      <w:b/>
      <w:bCs/>
      <w:caps/>
      <w:szCs w:val="22"/>
    </w:rPr>
  </w:style>
  <w:style w:type="character" w:styleId="Hyperlink">
    <w:name w:val="Hyperlink"/>
    <w:uiPriority w:val="99"/>
    <w:rPr>
      <w:rFonts w:cs="Times New Roman"/>
      <w:color w:val="0000FF"/>
      <w:u w:val="single"/>
    </w:rPr>
  </w:style>
  <w:style w:type="paragraph" w:styleId="HTMLPreformatted">
    <w:name w:val="HTML Preformatted"/>
    <w:basedOn w:val="Normal"/>
    <w:link w:val="HTMLPreformattedChar"/>
    <w:rsid w:val="00B10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Cs w:val="20"/>
      <w:lang w:val="x-none" w:eastAsia="x-none"/>
    </w:rPr>
  </w:style>
  <w:style w:type="character" w:customStyle="1" w:styleId="HTMLPreformattedChar">
    <w:name w:val="HTML Preformatted Char"/>
    <w:link w:val="HTMLPreformatted"/>
    <w:locked/>
    <w:rPr>
      <w:rFonts w:ascii="Courier New" w:hAnsi="Courier New"/>
      <w:sz w:val="24"/>
      <w:lang w:val="x-none" w:eastAsia="x-none"/>
    </w:rPr>
  </w:style>
  <w:style w:type="character" w:styleId="Strong">
    <w:name w:val="Strong"/>
    <w:uiPriority w:val="22"/>
    <w:qFormat/>
    <w:rPr>
      <w:rFonts w:cs="Times New Roman"/>
      <w:b/>
    </w:rPr>
  </w:style>
  <w:style w:type="paragraph" w:styleId="ListParagraph">
    <w:name w:val="List Paragraph"/>
    <w:basedOn w:val="Normal"/>
    <w:uiPriority w:val="34"/>
    <w:qFormat/>
    <w:rsid w:val="00B10A3C"/>
    <w:pPr>
      <w:spacing w:after="200" w:line="276" w:lineRule="auto"/>
      <w:ind w:left="720"/>
      <w:contextualSpacing/>
    </w:pPr>
    <w:rPr>
      <w:rFonts w:ascii="Calibri" w:hAnsi="Calibri"/>
      <w:sz w:val="22"/>
      <w:szCs w:val="22"/>
    </w:rPr>
  </w:style>
  <w:style w:type="paragraph" w:styleId="NormalWeb">
    <w:name w:val="Normal (Web)"/>
    <w:basedOn w:val="Normal"/>
    <w:uiPriority w:val="99"/>
    <w:rsid w:val="00B10A3C"/>
    <w:pPr>
      <w:spacing w:before="100" w:beforeAutospacing="1" w:after="100" w:afterAutospacing="1"/>
    </w:pPr>
  </w:style>
  <w:style w:type="character" w:styleId="Emphasis">
    <w:name w:val="Emphasis"/>
    <w:uiPriority w:val="20"/>
    <w:qFormat/>
    <w:rPr>
      <w:rFonts w:cs="Times New Roman"/>
      <w:i/>
    </w:rPr>
  </w:style>
  <w:style w:type="character" w:customStyle="1" w:styleId="enumxml1">
    <w:name w:val="enumxml1"/>
    <w:uiPriority w:val="99"/>
    <w:rPr>
      <w:b/>
    </w:rPr>
  </w:style>
  <w:style w:type="character" w:customStyle="1" w:styleId="ptext-18">
    <w:name w:val="ptext-18"/>
    <w:uiPriority w:val="99"/>
  </w:style>
  <w:style w:type="character" w:customStyle="1" w:styleId="EmailStyle71">
    <w:name w:val="EmailStyle71"/>
    <w:uiPriority w:val="99"/>
    <w:semiHidden/>
    <w:rPr>
      <w:rFonts w:ascii="Arial" w:hAnsi="Arial"/>
      <w:color w:val="000080"/>
      <w:sz w:val="20"/>
    </w:rPr>
  </w:style>
  <w:style w:type="character" w:styleId="PageNumber">
    <w:name w:val="page number"/>
    <w:rPr>
      <w:rFonts w:cs="Times New Roman"/>
    </w:rPr>
  </w:style>
  <w:style w:type="character" w:styleId="FollowedHyperlink">
    <w:name w:val="FollowedHyperlink"/>
    <w:rPr>
      <w:rFonts w:cs="Times New Roman"/>
      <w:color w:val="800080"/>
      <w:u w:val="single"/>
    </w:rPr>
  </w:style>
  <w:style w:type="paragraph" w:styleId="BodyTextIndent">
    <w:name w:val="Body Text Indent"/>
    <w:basedOn w:val="Normal"/>
    <w:link w:val="BodyTextIndentChar"/>
    <w:pPr>
      <w:ind w:left="720" w:hanging="720"/>
    </w:pPr>
    <w:rPr>
      <w:szCs w:val="20"/>
      <w:lang w:val="x-none" w:eastAsia="x-none"/>
    </w:rPr>
  </w:style>
  <w:style w:type="character" w:customStyle="1" w:styleId="BodyTextIndentChar">
    <w:name w:val="Body Text Indent Char"/>
    <w:link w:val="BodyTextIndent"/>
    <w:locked/>
    <w:rPr>
      <w:rFonts w:cs="Times New Roman"/>
      <w:sz w:val="24"/>
    </w:rPr>
  </w:style>
  <w:style w:type="paragraph" w:styleId="Revision">
    <w:name w:val="Revision"/>
    <w:hidden/>
    <w:uiPriority w:val="99"/>
    <w:semiHidden/>
    <w:rsid w:val="00B10A3C"/>
    <w:rPr>
      <w:sz w:val="24"/>
      <w:szCs w:val="24"/>
    </w:rPr>
  </w:style>
  <w:style w:type="paragraph" w:styleId="BodyText3">
    <w:name w:val="Body Text 3"/>
    <w:basedOn w:val="Normal"/>
    <w:link w:val="BodyText3Char"/>
    <w:uiPriority w:val="99"/>
    <w:locked/>
    <w:pPr>
      <w:spacing w:after="120"/>
    </w:pPr>
    <w:rPr>
      <w:sz w:val="16"/>
      <w:szCs w:val="16"/>
      <w:lang w:val="x-none" w:eastAsia="x-none"/>
    </w:rPr>
  </w:style>
  <w:style w:type="character" w:customStyle="1" w:styleId="BodyText3Char">
    <w:name w:val="Body Text 3 Char"/>
    <w:link w:val="BodyText3"/>
    <w:uiPriority w:val="99"/>
    <w:rPr>
      <w:sz w:val="16"/>
      <w:szCs w:val="16"/>
    </w:rPr>
  </w:style>
  <w:style w:type="paragraph" w:styleId="EndnoteText">
    <w:name w:val="endnote text"/>
    <w:basedOn w:val="Normal"/>
    <w:link w:val="EndnoteTextChar1"/>
    <w:uiPriority w:val="99"/>
    <w:semiHidden/>
    <w:locked/>
    <w:rPr>
      <w:szCs w:val="20"/>
    </w:rPr>
  </w:style>
  <w:style w:type="character" w:customStyle="1" w:styleId="EndnoteTextChar1">
    <w:name w:val="Endnote Text Char1"/>
    <w:link w:val="EndnoteText"/>
    <w:uiPriority w:val="99"/>
    <w:semiHidden/>
    <w:locked/>
    <w:rPr>
      <w:sz w:val="24"/>
      <w:lang w:val="en-US" w:eastAsia="en-US"/>
    </w:rPr>
  </w:style>
  <w:style w:type="character" w:customStyle="1" w:styleId="EndnoteTextChar">
    <w:name w:val="Endnote Text Char"/>
    <w:uiPriority w:val="99"/>
    <w:semiHidden/>
    <w:rPr>
      <w:sz w:val="20"/>
      <w:szCs w:val="20"/>
    </w:rPr>
  </w:style>
  <w:style w:type="character" w:customStyle="1" w:styleId="plain11">
    <w:name w:val="plain11"/>
    <w:rPr>
      <w:rFonts w:ascii="Verdana" w:hAnsi="Verdana" w:cs="Times New Roman"/>
      <w:color w:val="434343"/>
      <w:sz w:val="17"/>
      <w:szCs w:val="17"/>
    </w:rPr>
  </w:style>
  <w:style w:type="paragraph" w:styleId="BodyText">
    <w:name w:val="Body Text"/>
    <w:basedOn w:val="Normal"/>
    <w:link w:val="BodyTextChar"/>
    <w:unhideWhenUsed/>
    <w:locked/>
    <w:rsid w:val="00B10A3C"/>
    <w:pPr>
      <w:spacing w:after="120"/>
    </w:pPr>
    <w:rPr>
      <w:lang w:val="x-none" w:eastAsia="x-none"/>
    </w:rPr>
  </w:style>
  <w:style w:type="character" w:customStyle="1" w:styleId="BodyTextChar">
    <w:name w:val="Body Text Char"/>
    <w:link w:val="BodyText"/>
    <w:rPr>
      <w:sz w:val="24"/>
      <w:szCs w:val="24"/>
      <w:lang w:val="x-none" w:eastAsia="x-none"/>
    </w:rPr>
  </w:style>
  <w:style w:type="character" w:customStyle="1" w:styleId="CommentTextChar">
    <w:name w:val="Comment Text Char"/>
    <w:locked/>
    <w:rPr>
      <w:sz w:val="20"/>
    </w:rPr>
  </w:style>
  <w:style w:type="paragraph" w:customStyle="1" w:styleId="Title1">
    <w:name w:val="Title1"/>
    <w:basedOn w:val="Normal"/>
    <w:pPr>
      <w:spacing w:before="100" w:beforeAutospacing="1" w:after="100" w:afterAutospacing="1"/>
    </w:pPr>
    <w:rPr>
      <w:b/>
      <w:bCs/>
      <w:sz w:val="30"/>
      <w:szCs w:val="30"/>
    </w:rPr>
  </w:style>
  <w:style w:type="paragraph" w:styleId="Caption">
    <w:name w:val="caption"/>
    <w:basedOn w:val="Normal"/>
    <w:next w:val="Normal"/>
    <w:qFormat/>
    <w:pPr>
      <w:spacing w:before="120" w:after="120"/>
    </w:pPr>
    <w:rPr>
      <w:b/>
      <w:sz w:val="22"/>
      <w:szCs w:val="20"/>
    </w:rPr>
  </w:style>
  <w:style w:type="character" w:customStyle="1" w:styleId="volume">
    <w:name w:val="volume"/>
    <w:basedOn w:val="DefaultParagraphFont"/>
  </w:style>
  <w:style w:type="character" w:customStyle="1" w:styleId="page">
    <w:name w:val="page"/>
    <w:basedOn w:val="DefaultParagraphFont"/>
  </w:style>
  <w:style w:type="character" w:customStyle="1" w:styleId="st1">
    <w:name w:val="st1"/>
    <w:basedOn w:val="DefaultParagraphFont"/>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10pt">
    <w:name w:val="Style 10 pt"/>
    <w:rPr>
      <w:sz w:val="24"/>
    </w:rPr>
  </w:style>
  <w:style w:type="character" w:customStyle="1" w:styleId="Hyperlink1">
    <w:name w:val="Hyperlink1"/>
    <w:rsid w:val="001B5071"/>
    <w:rPr>
      <w:color w:val="0000FF"/>
      <w:sz w:val="20"/>
      <w:u w:val="single"/>
    </w:rPr>
  </w:style>
  <w:style w:type="paragraph" w:customStyle="1" w:styleId="Bullet">
    <w:name w:val="Bullet"/>
    <w:basedOn w:val="Normal"/>
    <w:rsid w:val="001B5071"/>
    <w:pPr>
      <w:widowControl w:val="0"/>
      <w:numPr>
        <w:numId w:val="7"/>
      </w:numPr>
      <w:tabs>
        <w:tab w:val="clear" w:pos="2520"/>
      </w:tabs>
      <w:spacing w:after="220"/>
      <w:ind w:left="2160" w:hanging="720"/>
      <w:jc w:val="both"/>
    </w:pPr>
    <w:rPr>
      <w:sz w:val="22"/>
      <w:szCs w:val="20"/>
    </w:rPr>
  </w:style>
  <w:style w:type="paragraph" w:customStyle="1" w:styleId="CommentText1">
    <w:name w:val="Comment Text1"/>
    <w:uiPriority w:val="99"/>
    <w:rsid w:val="001B5071"/>
    <w:rPr>
      <w:rFonts w:eastAsia="ヒラギノ角ゴ Pro W3"/>
      <w:color w:val="000000"/>
    </w:rPr>
  </w:style>
  <w:style w:type="paragraph" w:customStyle="1" w:styleId="Heading2A">
    <w:name w:val="Heading 2 A"/>
    <w:next w:val="Normal"/>
    <w:rsid w:val="00BF0B1C"/>
    <w:pPr>
      <w:keepNext/>
      <w:ind w:left="720"/>
      <w:outlineLvl w:val="1"/>
    </w:pPr>
    <w:rPr>
      <w:rFonts w:ascii="Times New Roman Bold" w:eastAsia="ヒラギノ角ゴ Pro W3" w:hAnsi="Times New Roman Bold"/>
      <w:color w:val="000000"/>
      <w:sz w:val="22"/>
    </w:rPr>
  </w:style>
  <w:style w:type="paragraph" w:customStyle="1" w:styleId="Heading3A">
    <w:name w:val="Heading 3 A"/>
    <w:rsid w:val="00BF0B1C"/>
    <w:pPr>
      <w:tabs>
        <w:tab w:val="left" w:pos="1807"/>
      </w:tabs>
      <w:spacing w:before="100" w:after="100"/>
      <w:outlineLvl w:val="2"/>
    </w:pPr>
    <w:rPr>
      <w:rFonts w:ascii="Times New Roman Bold" w:eastAsia="ヒラギノ角ゴ Pro W3" w:hAnsi="Times New Roman Bold"/>
      <w:color w:val="000000"/>
      <w:sz w:val="22"/>
    </w:rPr>
  </w:style>
  <w:style w:type="character" w:customStyle="1" w:styleId="ptext-2">
    <w:name w:val="ptext-2"/>
    <w:rsid w:val="00BF0B1C"/>
  </w:style>
  <w:style w:type="paragraph" w:customStyle="1" w:styleId="FootnoteText1">
    <w:name w:val="Footnote Text1"/>
    <w:rsid w:val="009C0D20"/>
    <w:rPr>
      <w:rFonts w:ascii="Helvetica" w:eastAsia="ヒラギノ角ゴ Pro W3" w:hAnsi="Helvetica"/>
      <w:color w:val="000000"/>
    </w:rPr>
  </w:style>
  <w:style w:type="character" w:customStyle="1" w:styleId="Strong1">
    <w:name w:val="Strong1"/>
    <w:rsid w:val="009C0D20"/>
    <w:rPr>
      <w:rFonts w:ascii="Lucida Grande" w:eastAsia="ヒラギノ角ゴ Pro W3" w:hAnsi="Lucida Grande"/>
      <w:b/>
      <w:i w:val="0"/>
      <w:color w:val="000000"/>
      <w:sz w:val="20"/>
    </w:rPr>
  </w:style>
  <w:style w:type="character" w:customStyle="1" w:styleId="apple-converted-space">
    <w:name w:val="apple-converted-space"/>
    <w:rsid w:val="009C0D20"/>
    <w:rPr>
      <w:color w:val="000000"/>
      <w:sz w:val="20"/>
    </w:rPr>
  </w:style>
  <w:style w:type="paragraph" w:customStyle="1" w:styleId="NormalWeb1">
    <w:name w:val="Normal (Web)1"/>
    <w:rsid w:val="001D79ED"/>
    <w:pPr>
      <w:spacing w:before="100" w:after="100"/>
    </w:pPr>
    <w:rPr>
      <w:rFonts w:eastAsia="ヒラギノ角ゴ Pro W3"/>
      <w:color w:val="000000"/>
      <w:sz w:val="24"/>
    </w:rPr>
  </w:style>
  <w:style w:type="character" w:customStyle="1" w:styleId="FootnoteReference2">
    <w:name w:val="Footnote Reference2"/>
    <w:rsid w:val="00E61CF3"/>
    <w:rPr>
      <w:color w:val="000000"/>
      <w:sz w:val="22"/>
      <w:vertAlign w:val="superscript"/>
    </w:rPr>
  </w:style>
  <w:style w:type="paragraph" w:customStyle="1" w:styleId="FootnoteText3">
    <w:name w:val="Footnote Text3"/>
    <w:rsid w:val="00E61CF3"/>
    <w:pPr>
      <w:tabs>
        <w:tab w:val="left" w:pos="720"/>
      </w:tabs>
      <w:spacing w:after="200"/>
    </w:pPr>
    <w:rPr>
      <w:rFonts w:ascii="Lucida Grande" w:eastAsia="ヒラギノ角ゴ Pro W3" w:hAnsi="Lucida Grande"/>
      <w:color w:val="000000"/>
      <w:sz w:val="22"/>
    </w:rPr>
  </w:style>
  <w:style w:type="character" w:customStyle="1" w:styleId="EmphasisA">
    <w:name w:val="Emphasis A"/>
    <w:rsid w:val="00E61CF3"/>
    <w:rPr>
      <w:rFonts w:ascii="Lucida Grande" w:eastAsia="ヒラギノ角ゴ Pro W3" w:hAnsi="Lucida Grande"/>
      <w:b w:val="0"/>
      <w:i w:val="0"/>
      <w:color w:val="000000"/>
      <w:sz w:val="20"/>
    </w:rPr>
  </w:style>
  <w:style w:type="paragraph" w:customStyle="1" w:styleId="Header1">
    <w:name w:val="Header1"/>
    <w:rsid w:val="004453B7"/>
    <w:pPr>
      <w:tabs>
        <w:tab w:val="center" w:pos="4320"/>
        <w:tab w:val="right" w:pos="8640"/>
      </w:tabs>
    </w:pPr>
    <w:rPr>
      <w:rFonts w:eastAsia="ヒラギノ角ゴ Pro W3"/>
      <w:color w:val="000000"/>
      <w:sz w:val="24"/>
    </w:rPr>
  </w:style>
  <w:style w:type="paragraph" w:customStyle="1" w:styleId="Footer1">
    <w:name w:val="Footer1"/>
    <w:rsid w:val="004453B7"/>
    <w:pPr>
      <w:tabs>
        <w:tab w:val="center" w:pos="4320"/>
        <w:tab w:val="right" w:pos="8640"/>
      </w:tabs>
    </w:pPr>
    <w:rPr>
      <w:rFonts w:eastAsia="ヒラギノ角ゴ Pro W3"/>
      <w:color w:val="000000"/>
      <w:sz w:val="24"/>
    </w:rPr>
  </w:style>
  <w:style w:type="paragraph" w:customStyle="1" w:styleId="FreeForm">
    <w:name w:val="Free Form"/>
    <w:uiPriority w:val="99"/>
    <w:rsid w:val="004453B7"/>
    <w:rPr>
      <w:rFonts w:eastAsia="ヒラギノ角ゴ Pro W3"/>
      <w:color w:val="000000"/>
    </w:rPr>
  </w:style>
  <w:style w:type="paragraph" w:customStyle="1" w:styleId="TOAHeading1">
    <w:name w:val="TOA Heading1"/>
    <w:next w:val="Normal"/>
    <w:rsid w:val="004453B7"/>
    <w:pPr>
      <w:tabs>
        <w:tab w:val="right" w:pos="9360"/>
      </w:tabs>
      <w:suppressAutoHyphens/>
    </w:pPr>
    <w:rPr>
      <w:rFonts w:eastAsia="ヒラギノ角ゴ Pro W3"/>
      <w:color w:val="000000"/>
      <w:sz w:val="24"/>
    </w:rPr>
  </w:style>
  <w:style w:type="character" w:customStyle="1" w:styleId="CommentReference1">
    <w:name w:val="Comment Reference1"/>
    <w:rsid w:val="004453B7"/>
    <w:rPr>
      <w:color w:val="000000"/>
      <w:sz w:val="16"/>
    </w:rPr>
  </w:style>
  <w:style w:type="paragraph" w:customStyle="1" w:styleId="BodyText1">
    <w:name w:val="Body Text1"/>
    <w:rsid w:val="004453B7"/>
    <w:pPr>
      <w:spacing w:after="120"/>
    </w:pPr>
    <w:rPr>
      <w:rFonts w:eastAsia="ヒラギノ角ゴ Pro W3"/>
      <w:color w:val="000000"/>
      <w:sz w:val="24"/>
    </w:rPr>
  </w:style>
  <w:style w:type="paragraph" w:customStyle="1" w:styleId="bodytext0">
    <w:name w:val="bodytext"/>
    <w:rsid w:val="004453B7"/>
    <w:pPr>
      <w:spacing w:before="100" w:after="100"/>
    </w:pPr>
    <w:rPr>
      <w:rFonts w:eastAsia="ヒラギノ角ゴ Pro W3"/>
      <w:color w:val="000000"/>
      <w:sz w:val="24"/>
    </w:rPr>
  </w:style>
  <w:style w:type="paragraph" w:customStyle="1" w:styleId="paranum1">
    <w:name w:val="paranum"/>
    <w:rsid w:val="004453B7"/>
    <w:pPr>
      <w:tabs>
        <w:tab w:val="left" w:pos="1080"/>
      </w:tabs>
      <w:spacing w:after="120"/>
      <w:ind w:firstLine="720"/>
    </w:pPr>
    <w:rPr>
      <w:rFonts w:eastAsia="ヒラギノ角ゴ Pro W3"/>
      <w:color w:val="000000"/>
      <w:sz w:val="22"/>
    </w:rPr>
  </w:style>
  <w:style w:type="character" w:customStyle="1" w:styleId="DefaultParagraphFont1">
    <w:name w:val="Default Paragraph Font 1"/>
    <w:rsid w:val="004453B7"/>
    <w:rPr>
      <w:color w:val="000000"/>
      <w:sz w:val="20"/>
    </w:rPr>
  </w:style>
  <w:style w:type="paragraph" w:customStyle="1" w:styleId="Title10">
    <w:name w:val="Title1"/>
    <w:rsid w:val="004453B7"/>
    <w:pPr>
      <w:spacing w:before="100" w:after="100"/>
    </w:pPr>
    <w:rPr>
      <w:rFonts w:ascii="Times New Roman Bold" w:eastAsia="ヒラギノ角ゴ Pro W3" w:hAnsi="Times New Roman Bold"/>
      <w:color w:val="000000"/>
      <w:sz w:val="30"/>
    </w:rPr>
  </w:style>
  <w:style w:type="character" w:customStyle="1" w:styleId="headlinedate">
    <w:name w:val="headlinedate"/>
    <w:rsid w:val="004453B7"/>
    <w:rPr>
      <w:color w:val="000000"/>
      <w:sz w:val="20"/>
    </w:rPr>
  </w:style>
  <w:style w:type="paragraph" w:customStyle="1" w:styleId="Heading4A">
    <w:name w:val="Heading 4 A"/>
    <w:next w:val="Normal"/>
    <w:rsid w:val="004453B7"/>
    <w:pPr>
      <w:keepNext/>
      <w:tabs>
        <w:tab w:val="left" w:pos="2527"/>
      </w:tabs>
      <w:spacing w:before="240" w:after="60"/>
      <w:outlineLvl w:val="3"/>
    </w:pPr>
    <w:rPr>
      <w:rFonts w:ascii="Lucida Grande" w:eastAsia="ヒラギノ角ゴ Pro W3" w:hAnsi="Lucida Grande"/>
      <w:b/>
      <w:color w:val="000000"/>
      <w:sz w:val="28"/>
    </w:rPr>
  </w:style>
  <w:style w:type="character" w:customStyle="1" w:styleId="PageNumber1">
    <w:name w:val="Page Number1"/>
    <w:rsid w:val="004453B7"/>
    <w:rPr>
      <w:color w:val="000000"/>
      <w:sz w:val="20"/>
    </w:rPr>
  </w:style>
  <w:style w:type="paragraph" w:styleId="NoSpacing">
    <w:name w:val="No Spacing"/>
    <w:uiPriority w:val="1"/>
    <w:qFormat/>
    <w:rsid w:val="004453B7"/>
    <w:rPr>
      <w:rFonts w:ascii="Calibri" w:hAnsi="Calibri"/>
      <w:sz w:val="22"/>
      <w:szCs w:val="22"/>
    </w:rPr>
  </w:style>
  <w:style w:type="paragraph" w:styleId="PlainText">
    <w:name w:val="Plain Text"/>
    <w:basedOn w:val="Normal"/>
    <w:link w:val="PlainTextChar"/>
    <w:uiPriority w:val="99"/>
    <w:unhideWhenUsed/>
    <w:locked/>
    <w:rsid w:val="00B10A3C"/>
    <w:rPr>
      <w:rFonts w:ascii="Calibri" w:eastAsia="Calibri" w:hAnsi="Calibri"/>
      <w:sz w:val="22"/>
      <w:szCs w:val="21"/>
    </w:rPr>
  </w:style>
  <w:style w:type="character" w:customStyle="1" w:styleId="PlainTextChar">
    <w:name w:val="Plain Text Char"/>
    <w:link w:val="PlainText"/>
    <w:uiPriority w:val="99"/>
    <w:rsid w:val="004453B7"/>
    <w:rPr>
      <w:rFonts w:ascii="Calibri" w:eastAsia="Calibri" w:hAnsi="Calibri"/>
      <w:sz w:val="22"/>
      <w:szCs w:val="21"/>
    </w:rPr>
  </w:style>
  <w:style w:type="character" w:customStyle="1" w:styleId="jobtitle">
    <w:name w:val="job_title"/>
    <w:rsid w:val="004453B7"/>
  </w:style>
  <w:style w:type="paragraph" w:customStyle="1" w:styleId="StyleParaNumFirstline01">
    <w:name w:val="Style ParaNum + First line:  0&quot;1"/>
    <w:basedOn w:val="ParaNum0"/>
    <w:rsid w:val="004453B7"/>
    <w:pPr>
      <w:widowControl/>
      <w:numPr>
        <w:numId w:val="0"/>
      </w:numPr>
      <w:tabs>
        <w:tab w:val="num" w:pos="1080"/>
      </w:tabs>
    </w:pPr>
    <w:rPr>
      <w:snapToGrid/>
      <w:kern w:val="0"/>
    </w:rPr>
  </w:style>
  <w:style w:type="character" w:customStyle="1" w:styleId="headlinedate1">
    <w:name w:val="headlinedate1"/>
    <w:rsid w:val="004453B7"/>
    <w:rPr>
      <w:vanish w:val="0"/>
      <w:webHidden w:val="0"/>
      <w:color w:val="808080"/>
      <w:specVanish w:val="0"/>
    </w:rPr>
  </w:style>
  <w:style w:type="character" w:customStyle="1" w:styleId="field-content">
    <w:name w:val="field-content"/>
    <w:rsid w:val="009A1330"/>
  </w:style>
  <w:style w:type="paragraph" w:styleId="BlockText">
    <w:name w:val="Block Text"/>
    <w:basedOn w:val="Normal"/>
    <w:locked/>
    <w:rsid w:val="00B10A3C"/>
    <w:pPr>
      <w:widowControl w:val="0"/>
      <w:spacing w:after="220"/>
      <w:ind w:left="1440" w:right="1440"/>
      <w:jc w:val="both"/>
    </w:pPr>
    <w:rPr>
      <w:sz w:val="22"/>
      <w:szCs w:val="20"/>
    </w:rPr>
  </w:style>
  <w:style w:type="paragraph" w:customStyle="1" w:styleId="NumberedList">
    <w:name w:val="Numbered List"/>
    <w:basedOn w:val="Normal"/>
    <w:rsid w:val="00B10A3C"/>
    <w:pPr>
      <w:numPr>
        <w:numId w:val="30"/>
      </w:numPr>
      <w:tabs>
        <w:tab w:val="clear" w:pos="1080"/>
      </w:tabs>
      <w:spacing w:after="220"/>
    </w:pPr>
    <w:rPr>
      <w:sz w:val="22"/>
      <w:szCs w:val="20"/>
    </w:rPr>
  </w:style>
  <w:style w:type="paragraph" w:customStyle="1" w:styleId="Paranum">
    <w:name w:val="Paranum"/>
    <w:basedOn w:val="Normal"/>
    <w:rsid w:val="00B10A3C"/>
    <w:pPr>
      <w:widowControl w:val="0"/>
      <w:numPr>
        <w:numId w:val="31"/>
      </w:numPr>
      <w:tabs>
        <w:tab w:val="clear" w:pos="1080"/>
      </w:tabs>
      <w:spacing w:after="220"/>
      <w:jc w:val="both"/>
    </w:pPr>
    <w:rPr>
      <w:sz w:val="22"/>
      <w:szCs w:val="20"/>
    </w:rPr>
  </w:style>
  <w:style w:type="paragraph" w:customStyle="1" w:styleId="TableFormat">
    <w:name w:val="Table Format"/>
    <w:basedOn w:val="Normal"/>
    <w:rsid w:val="00B10A3C"/>
    <w:pPr>
      <w:widowControl w:val="0"/>
      <w:tabs>
        <w:tab w:val="left" w:pos="5040"/>
      </w:tabs>
      <w:spacing w:after="220"/>
      <w:ind w:left="5040" w:hanging="3600"/>
      <w:jc w:val="both"/>
    </w:pPr>
    <w:rPr>
      <w:sz w:val="22"/>
      <w:szCs w:val="20"/>
    </w:rPr>
  </w:style>
  <w:style w:type="paragraph" w:styleId="DocumentMap">
    <w:name w:val="Document Map"/>
    <w:basedOn w:val="Normal"/>
    <w:link w:val="DocumentMapChar"/>
    <w:locked/>
    <w:rsid w:val="00B10A3C"/>
    <w:rPr>
      <w:rFonts w:ascii="Tahoma" w:hAnsi="Tahoma"/>
      <w:sz w:val="16"/>
      <w:szCs w:val="16"/>
      <w:lang w:val="x-none" w:eastAsia="x-none"/>
    </w:rPr>
  </w:style>
  <w:style w:type="character" w:customStyle="1" w:styleId="DocumentMapChar">
    <w:name w:val="Document Map Char"/>
    <w:basedOn w:val="DefaultParagraphFont"/>
    <w:link w:val="DocumentMap"/>
    <w:rsid w:val="00B10A3C"/>
    <w:rPr>
      <w:rFonts w:ascii="Tahoma" w:hAnsi="Tahoma"/>
      <w:sz w:val="16"/>
      <w:szCs w:val="16"/>
      <w:lang w:val="x-none" w:eastAsia="x-none"/>
    </w:rPr>
  </w:style>
  <w:style w:type="character" w:customStyle="1" w:styleId="CharChar6">
    <w:name w:val="Char Char6"/>
    <w:semiHidden/>
    <w:locked/>
    <w:rsid w:val="00B10A3C"/>
    <w:rPr>
      <w:rFonts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332671">
      <w:bodyDiv w:val="1"/>
      <w:marLeft w:val="0"/>
      <w:marRight w:val="0"/>
      <w:marTop w:val="0"/>
      <w:marBottom w:val="0"/>
      <w:divBdr>
        <w:top w:val="none" w:sz="0" w:space="0" w:color="auto"/>
        <w:left w:val="none" w:sz="0" w:space="0" w:color="auto"/>
        <w:bottom w:val="none" w:sz="0" w:space="0" w:color="auto"/>
        <w:right w:val="none" w:sz="0" w:space="0" w:color="auto"/>
      </w:divBdr>
    </w:div>
    <w:div w:id="206263340">
      <w:bodyDiv w:val="1"/>
      <w:marLeft w:val="0"/>
      <w:marRight w:val="0"/>
      <w:marTop w:val="0"/>
      <w:marBottom w:val="0"/>
      <w:divBdr>
        <w:top w:val="none" w:sz="0" w:space="0" w:color="auto"/>
        <w:left w:val="none" w:sz="0" w:space="0" w:color="auto"/>
        <w:bottom w:val="none" w:sz="0" w:space="0" w:color="auto"/>
        <w:right w:val="none" w:sz="0" w:space="0" w:color="auto"/>
      </w:divBdr>
    </w:div>
    <w:div w:id="332267737">
      <w:bodyDiv w:val="1"/>
      <w:marLeft w:val="0"/>
      <w:marRight w:val="0"/>
      <w:marTop w:val="0"/>
      <w:marBottom w:val="0"/>
      <w:divBdr>
        <w:top w:val="none" w:sz="0" w:space="0" w:color="auto"/>
        <w:left w:val="none" w:sz="0" w:space="0" w:color="auto"/>
        <w:bottom w:val="none" w:sz="0" w:space="0" w:color="auto"/>
        <w:right w:val="none" w:sz="0" w:space="0" w:color="auto"/>
      </w:divBdr>
    </w:div>
    <w:div w:id="448475191">
      <w:bodyDiv w:val="1"/>
      <w:marLeft w:val="0"/>
      <w:marRight w:val="0"/>
      <w:marTop w:val="0"/>
      <w:marBottom w:val="0"/>
      <w:divBdr>
        <w:top w:val="none" w:sz="0" w:space="0" w:color="auto"/>
        <w:left w:val="none" w:sz="0" w:space="0" w:color="auto"/>
        <w:bottom w:val="none" w:sz="0" w:space="0" w:color="auto"/>
        <w:right w:val="none" w:sz="0" w:space="0" w:color="auto"/>
      </w:divBdr>
      <w:divsChild>
        <w:div w:id="469597784">
          <w:marLeft w:val="0"/>
          <w:marRight w:val="0"/>
          <w:marTop w:val="0"/>
          <w:marBottom w:val="0"/>
          <w:divBdr>
            <w:top w:val="none" w:sz="0" w:space="0" w:color="auto"/>
            <w:left w:val="none" w:sz="0" w:space="0" w:color="auto"/>
            <w:bottom w:val="none" w:sz="0" w:space="0" w:color="auto"/>
            <w:right w:val="none" w:sz="0" w:space="0" w:color="auto"/>
          </w:divBdr>
        </w:div>
        <w:div w:id="888494687">
          <w:marLeft w:val="0"/>
          <w:marRight w:val="0"/>
          <w:marTop w:val="0"/>
          <w:marBottom w:val="0"/>
          <w:divBdr>
            <w:top w:val="none" w:sz="0" w:space="0" w:color="auto"/>
            <w:left w:val="none" w:sz="0" w:space="0" w:color="auto"/>
            <w:bottom w:val="none" w:sz="0" w:space="0" w:color="auto"/>
            <w:right w:val="none" w:sz="0" w:space="0" w:color="auto"/>
          </w:divBdr>
        </w:div>
      </w:divsChild>
    </w:div>
    <w:div w:id="524636146">
      <w:bodyDiv w:val="1"/>
      <w:marLeft w:val="84"/>
      <w:marRight w:val="84"/>
      <w:marTop w:val="0"/>
      <w:marBottom w:val="0"/>
      <w:divBdr>
        <w:top w:val="none" w:sz="0" w:space="0" w:color="auto"/>
        <w:left w:val="none" w:sz="0" w:space="0" w:color="auto"/>
        <w:bottom w:val="none" w:sz="0" w:space="0" w:color="auto"/>
        <w:right w:val="none" w:sz="0" w:space="0" w:color="auto"/>
      </w:divBdr>
      <w:divsChild>
        <w:div w:id="1515194539">
          <w:marLeft w:val="0"/>
          <w:marRight w:val="0"/>
          <w:marTop w:val="0"/>
          <w:marBottom w:val="0"/>
          <w:divBdr>
            <w:top w:val="none" w:sz="0" w:space="0" w:color="auto"/>
            <w:left w:val="none" w:sz="0" w:space="0" w:color="auto"/>
            <w:bottom w:val="none" w:sz="0" w:space="0" w:color="auto"/>
            <w:right w:val="none" w:sz="0" w:space="0" w:color="auto"/>
          </w:divBdr>
          <w:divsChild>
            <w:div w:id="240218276">
              <w:marLeft w:val="0"/>
              <w:marRight w:val="0"/>
              <w:marTop w:val="0"/>
              <w:marBottom w:val="0"/>
              <w:divBdr>
                <w:top w:val="none" w:sz="0" w:space="0" w:color="auto"/>
                <w:left w:val="none" w:sz="0" w:space="0" w:color="auto"/>
                <w:bottom w:val="none" w:sz="0" w:space="0" w:color="auto"/>
                <w:right w:val="none" w:sz="0" w:space="0" w:color="auto"/>
              </w:divBdr>
              <w:divsChild>
                <w:div w:id="156402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470668">
      <w:bodyDiv w:val="1"/>
      <w:marLeft w:val="84"/>
      <w:marRight w:val="84"/>
      <w:marTop w:val="0"/>
      <w:marBottom w:val="0"/>
      <w:divBdr>
        <w:top w:val="none" w:sz="0" w:space="0" w:color="auto"/>
        <w:left w:val="none" w:sz="0" w:space="0" w:color="auto"/>
        <w:bottom w:val="none" w:sz="0" w:space="0" w:color="auto"/>
        <w:right w:val="none" w:sz="0" w:space="0" w:color="auto"/>
      </w:divBdr>
      <w:divsChild>
        <w:div w:id="1589919096">
          <w:marLeft w:val="0"/>
          <w:marRight w:val="0"/>
          <w:marTop w:val="0"/>
          <w:marBottom w:val="0"/>
          <w:divBdr>
            <w:top w:val="none" w:sz="0" w:space="0" w:color="auto"/>
            <w:left w:val="none" w:sz="0" w:space="0" w:color="auto"/>
            <w:bottom w:val="none" w:sz="0" w:space="0" w:color="auto"/>
            <w:right w:val="none" w:sz="0" w:space="0" w:color="auto"/>
          </w:divBdr>
          <w:divsChild>
            <w:div w:id="817373">
              <w:marLeft w:val="0"/>
              <w:marRight w:val="0"/>
              <w:marTop w:val="0"/>
              <w:marBottom w:val="0"/>
              <w:divBdr>
                <w:top w:val="none" w:sz="0" w:space="0" w:color="auto"/>
                <w:left w:val="none" w:sz="0" w:space="0" w:color="auto"/>
                <w:bottom w:val="none" w:sz="0" w:space="0" w:color="auto"/>
                <w:right w:val="none" w:sz="0" w:space="0" w:color="auto"/>
              </w:divBdr>
              <w:divsChild>
                <w:div w:id="30497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570619">
      <w:marLeft w:val="0"/>
      <w:marRight w:val="0"/>
      <w:marTop w:val="0"/>
      <w:marBottom w:val="0"/>
      <w:divBdr>
        <w:top w:val="none" w:sz="0" w:space="0" w:color="auto"/>
        <w:left w:val="none" w:sz="0" w:space="0" w:color="auto"/>
        <w:bottom w:val="none" w:sz="0" w:space="0" w:color="auto"/>
        <w:right w:val="none" w:sz="0" w:space="0" w:color="auto"/>
      </w:divBdr>
      <w:divsChild>
        <w:div w:id="976570649">
          <w:marLeft w:val="0"/>
          <w:marRight w:val="0"/>
          <w:marTop w:val="0"/>
          <w:marBottom w:val="0"/>
          <w:divBdr>
            <w:top w:val="none" w:sz="0" w:space="0" w:color="auto"/>
            <w:left w:val="none" w:sz="0" w:space="0" w:color="auto"/>
            <w:bottom w:val="none" w:sz="0" w:space="0" w:color="auto"/>
            <w:right w:val="none" w:sz="0" w:space="0" w:color="auto"/>
          </w:divBdr>
          <w:divsChild>
            <w:div w:id="976570665">
              <w:marLeft w:val="0"/>
              <w:marRight w:val="0"/>
              <w:marTop w:val="0"/>
              <w:marBottom w:val="0"/>
              <w:divBdr>
                <w:top w:val="none" w:sz="0" w:space="0" w:color="auto"/>
                <w:left w:val="none" w:sz="0" w:space="0" w:color="auto"/>
                <w:bottom w:val="none" w:sz="0" w:space="0" w:color="auto"/>
                <w:right w:val="none" w:sz="0" w:space="0" w:color="auto"/>
              </w:divBdr>
              <w:divsChild>
                <w:div w:id="976570661">
                  <w:marLeft w:val="0"/>
                  <w:marRight w:val="0"/>
                  <w:marTop w:val="0"/>
                  <w:marBottom w:val="0"/>
                  <w:divBdr>
                    <w:top w:val="none" w:sz="0" w:space="0" w:color="auto"/>
                    <w:left w:val="none" w:sz="0" w:space="0" w:color="auto"/>
                    <w:bottom w:val="none" w:sz="0" w:space="0" w:color="auto"/>
                    <w:right w:val="none" w:sz="0" w:space="0" w:color="auto"/>
                  </w:divBdr>
                  <w:divsChild>
                    <w:div w:id="976570629">
                      <w:marLeft w:val="0"/>
                      <w:marRight w:val="0"/>
                      <w:marTop w:val="0"/>
                      <w:marBottom w:val="0"/>
                      <w:divBdr>
                        <w:top w:val="none" w:sz="0" w:space="0" w:color="auto"/>
                        <w:left w:val="none" w:sz="0" w:space="0" w:color="auto"/>
                        <w:bottom w:val="none" w:sz="0" w:space="0" w:color="auto"/>
                        <w:right w:val="none" w:sz="0" w:space="0" w:color="auto"/>
                      </w:divBdr>
                      <w:divsChild>
                        <w:div w:id="976570694">
                          <w:marLeft w:val="0"/>
                          <w:marRight w:val="0"/>
                          <w:marTop w:val="0"/>
                          <w:marBottom w:val="0"/>
                          <w:divBdr>
                            <w:top w:val="none" w:sz="0" w:space="0" w:color="auto"/>
                            <w:left w:val="none" w:sz="0" w:space="0" w:color="auto"/>
                            <w:bottom w:val="none" w:sz="0" w:space="0" w:color="auto"/>
                            <w:right w:val="none" w:sz="0" w:space="0" w:color="auto"/>
                          </w:divBdr>
                          <w:divsChild>
                            <w:div w:id="976570698">
                              <w:marLeft w:val="0"/>
                              <w:marRight w:val="0"/>
                              <w:marTop w:val="0"/>
                              <w:marBottom w:val="0"/>
                              <w:divBdr>
                                <w:top w:val="none" w:sz="0" w:space="0" w:color="auto"/>
                                <w:left w:val="none" w:sz="0" w:space="0" w:color="auto"/>
                                <w:bottom w:val="none" w:sz="0" w:space="0" w:color="auto"/>
                                <w:right w:val="none" w:sz="0" w:space="0" w:color="auto"/>
                              </w:divBdr>
                              <w:divsChild>
                                <w:div w:id="97657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6570624">
      <w:marLeft w:val="0"/>
      <w:marRight w:val="0"/>
      <w:marTop w:val="0"/>
      <w:marBottom w:val="0"/>
      <w:divBdr>
        <w:top w:val="none" w:sz="0" w:space="0" w:color="auto"/>
        <w:left w:val="none" w:sz="0" w:space="0" w:color="auto"/>
        <w:bottom w:val="none" w:sz="0" w:space="0" w:color="auto"/>
        <w:right w:val="none" w:sz="0" w:space="0" w:color="auto"/>
      </w:divBdr>
    </w:div>
    <w:div w:id="976570625">
      <w:marLeft w:val="0"/>
      <w:marRight w:val="0"/>
      <w:marTop w:val="0"/>
      <w:marBottom w:val="0"/>
      <w:divBdr>
        <w:top w:val="none" w:sz="0" w:space="0" w:color="auto"/>
        <w:left w:val="none" w:sz="0" w:space="0" w:color="auto"/>
        <w:bottom w:val="none" w:sz="0" w:space="0" w:color="auto"/>
        <w:right w:val="none" w:sz="0" w:space="0" w:color="auto"/>
      </w:divBdr>
      <w:divsChild>
        <w:div w:id="976570622">
          <w:marLeft w:val="0"/>
          <w:marRight w:val="0"/>
          <w:marTop w:val="0"/>
          <w:marBottom w:val="0"/>
          <w:divBdr>
            <w:top w:val="none" w:sz="0" w:space="0" w:color="auto"/>
            <w:left w:val="none" w:sz="0" w:space="0" w:color="auto"/>
            <w:bottom w:val="none" w:sz="0" w:space="0" w:color="auto"/>
            <w:right w:val="none" w:sz="0" w:space="0" w:color="auto"/>
          </w:divBdr>
          <w:divsChild>
            <w:div w:id="976570682">
              <w:marLeft w:val="0"/>
              <w:marRight w:val="0"/>
              <w:marTop w:val="0"/>
              <w:marBottom w:val="0"/>
              <w:divBdr>
                <w:top w:val="none" w:sz="0" w:space="0" w:color="auto"/>
                <w:left w:val="none" w:sz="0" w:space="0" w:color="auto"/>
                <w:bottom w:val="none" w:sz="0" w:space="0" w:color="auto"/>
                <w:right w:val="none" w:sz="0" w:space="0" w:color="auto"/>
              </w:divBdr>
              <w:divsChild>
                <w:div w:id="976570660">
                  <w:marLeft w:val="0"/>
                  <w:marRight w:val="0"/>
                  <w:marTop w:val="0"/>
                  <w:marBottom w:val="0"/>
                  <w:divBdr>
                    <w:top w:val="none" w:sz="0" w:space="0" w:color="auto"/>
                    <w:left w:val="none" w:sz="0" w:space="0" w:color="auto"/>
                    <w:bottom w:val="none" w:sz="0" w:space="0" w:color="auto"/>
                    <w:right w:val="none" w:sz="0" w:space="0" w:color="auto"/>
                  </w:divBdr>
                  <w:divsChild>
                    <w:div w:id="976570640">
                      <w:marLeft w:val="0"/>
                      <w:marRight w:val="0"/>
                      <w:marTop w:val="0"/>
                      <w:marBottom w:val="0"/>
                      <w:divBdr>
                        <w:top w:val="none" w:sz="0" w:space="0" w:color="auto"/>
                        <w:left w:val="none" w:sz="0" w:space="0" w:color="auto"/>
                        <w:bottom w:val="none" w:sz="0" w:space="0" w:color="auto"/>
                        <w:right w:val="none" w:sz="0" w:space="0" w:color="auto"/>
                      </w:divBdr>
                      <w:divsChild>
                        <w:div w:id="976570636">
                          <w:marLeft w:val="0"/>
                          <w:marRight w:val="0"/>
                          <w:marTop w:val="0"/>
                          <w:marBottom w:val="0"/>
                          <w:divBdr>
                            <w:top w:val="none" w:sz="0" w:space="0" w:color="auto"/>
                            <w:left w:val="none" w:sz="0" w:space="0" w:color="auto"/>
                            <w:bottom w:val="none" w:sz="0" w:space="0" w:color="auto"/>
                            <w:right w:val="none" w:sz="0" w:space="0" w:color="auto"/>
                          </w:divBdr>
                          <w:divsChild>
                            <w:div w:id="976570638">
                              <w:marLeft w:val="0"/>
                              <w:marRight w:val="0"/>
                              <w:marTop w:val="0"/>
                              <w:marBottom w:val="0"/>
                              <w:divBdr>
                                <w:top w:val="none" w:sz="0" w:space="0" w:color="auto"/>
                                <w:left w:val="none" w:sz="0" w:space="0" w:color="auto"/>
                                <w:bottom w:val="none" w:sz="0" w:space="0" w:color="auto"/>
                                <w:right w:val="none" w:sz="0" w:space="0" w:color="auto"/>
                              </w:divBdr>
                              <w:divsChild>
                                <w:div w:id="976570667">
                                  <w:marLeft w:val="0"/>
                                  <w:marRight w:val="0"/>
                                  <w:marTop w:val="0"/>
                                  <w:marBottom w:val="0"/>
                                  <w:divBdr>
                                    <w:top w:val="none" w:sz="0" w:space="0" w:color="auto"/>
                                    <w:left w:val="none" w:sz="0" w:space="0" w:color="auto"/>
                                    <w:bottom w:val="none" w:sz="0" w:space="0" w:color="auto"/>
                                    <w:right w:val="none" w:sz="0" w:space="0" w:color="auto"/>
                                  </w:divBdr>
                                  <w:divsChild>
                                    <w:div w:id="976570673">
                                      <w:marLeft w:val="0"/>
                                      <w:marRight w:val="0"/>
                                      <w:marTop w:val="0"/>
                                      <w:marBottom w:val="0"/>
                                      <w:divBdr>
                                        <w:top w:val="none" w:sz="0" w:space="0" w:color="auto"/>
                                        <w:left w:val="none" w:sz="0" w:space="0" w:color="auto"/>
                                        <w:bottom w:val="none" w:sz="0" w:space="0" w:color="auto"/>
                                        <w:right w:val="none" w:sz="0" w:space="0" w:color="auto"/>
                                      </w:divBdr>
                                      <w:divsChild>
                                        <w:div w:id="976570645">
                                          <w:marLeft w:val="0"/>
                                          <w:marRight w:val="0"/>
                                          <w:marTop w:val="0"/>
                                          <w:marBottom w:val="0"/>
                                          <w:divBdr>
                                            <w:top w:val="none" w:sz="0" w:space="0" w:color="auto"/>
                                            <w:left w:val="none" w:sz="0" w:space="0" w:color="auto"/>
                                            <w:bottom w:val="none" w:sz="0" w:space="0" w:color="auto"/>
                                            <w:right w:val="none" w:sz="0" w:space="0" w:color="auto"/>
                                          </w:divBdr>
                                          <w:divsChild>
                                            <w:div w:id="976570642">
                                              <w:marLeft w:val="0"/>
                                              <w:marRight w:val="0"/>
                                              <w:marTop w:val="0"/>
                                              <w:marBottom w:val="0"/>
                                              <w:divBdr>
                                                <w:top w:val="none" w:sz="0" w:space="0" w:color="auto"/>
                                                <w:left w:val="none" w:sz="0" w:space="0" w:color="auto"/>
                                                <w:bottom w:val="none" w:sz="0" w:space="0" w:color="auto"/>
                                                <w:right w:val="none" w:sz="0" w:space="0" w:color="auto"/>
                                              </w:divBdr>
                                              <w:divsChild>
                                                <w:div w:id="976570683">
                                                  <w:marLeft w:val="0"/>
                                                  <w:marRight w:val="0"/>
                                                  <w:marTop w:val="0"/>
                                                  <w:marBottom w:val="0"/>
                                                  <w:divBdr>
                                                    <w:top w:val="none" w:sz="0" w:space="0" w:color="auto"/>
                                                    <w:left w:val="none" w:sz="0" w:space="0" w:color="auto"/>
                                                    <w:bottom w:val="none" w:sz="0" w:space="0" w:color="auto"/>
                                                    <w:right w:val="none" w:sz="0" w:space="0" w:color="auto"/>
                                                  </w:divBdr>
                                                  <w:divsChild>
                                                    <w:div w:id="976570684">
                                                      <w:marLeft w:val="0"/>
                                                      <w:marRight w:val="0"/>
                                                      <w:marTop w:val="0"/>
                                                      <w:marBottom w:val="0"/>
                                                      <w:divBdr>
                                                        <w:top w:val="none" w:sz="0" w:space="0" w:color="auto"/>
                                                        <w:left w:val="none" w:sz="0" w:space="0" w:color="auto"/>
                                                        <w:bottom w:val="none" w:sz="0" w:space="0" w:color="auto"/>
                                                        <w:right w:val="none" w:sz="0" w:space="0" w:color="auto"/>
                                                      </w:divBdr>
                                                      <w:divsChild>
                                                        <w:div w:id="976570662">
                                                          <w:marLeft w:val="0"/>
                                                          <w:marRight w:val="0"/>
                                                          <w:marTop w:val="0"/>
                                                          <w:marBottom w:val="0"/>
                                                          <w:divBdr>
                                                            <w:top w:val="none" w:sz="0" w:space="0" w:color="auto"/>
                                                            <w:left w:val="none" w:sz="0" w:space="0" w:color="auto"/>
                                                            <w:bottom w:val="none" w:sz="0" w:space="0" w:color="auto"/>
                                                            <w:right w:val="none" w:sz="0" w:space="0" w:color="auto"/>
                                                          </w:divBdr>
                                                          <w:divsChild>
                                                            <w:div w:id="976570618">
                                                              <w:marLeft w:val="0"/>
                                                              <w:marRight w:val="0"/>
                                                              <w:marTop w:val="0"/>
                                                              <w:marBottom w:val="0"/>
                                                              <w:divBdr>
                                                                <w:top w:val="none" w:sz="0" w:space="0" w:color="auto"/>
                                                                <w:left w:val="none" w:sz="0" w:space="0" w:color="auto"/>
                                                                <w:bottom w:val="none" w:sz="0" w:space="0" w:color="auto"/>
                                                                <w:right w:val="none" w:sz="0" w:space="0" w:color="auto"/>
                                                              </w:divBdr>
                                                              <w:divsChild>
                                                                <w:div w:id="976570627">
                                                                  <w:marLeft w:val="0"/>
                                                                  <w:marRight w:val="0"/>
                                                                  <w:marTop w:val="0"/>
                                                                  <w:marBottom w:val="0"/>
                                                                  <w:divBdr>
                                                                    <w:top w:val="none" w:sz="0" w:space="0" w:color="auto"/>
                                                                    <w:left w:val="none" w:sz="0" w:space="0" w:color="auto"/>
                                                                    <w:bottom w:val="none" w:sz="0" w:space="0" w:color="auto"/>
                                                                    <w:right w:val="none" w:sz="0" w:space="0" w:color="auto"/>
                                                                  </w:divBdr>
                                                                  <w:divsChild>
                                                                    <w:div w:id="976570675">
                                                                      <w:marLeft w:val="0"/>
                                                                      <w:marRight w:val="0"/>
                                                                      <w:marTop w:val="0"/>
                                                                      <w:marBottom w:val="0"/>
                                                                      <w:divBdr>
                                                                        <w:top w:val="none" w:sz="0" w:space="0" w:color="auto"/>
                                                                        <w:left w:val="none" w:sz="0" w:space="0" w:color="auto"/>
                                                                        <w:bottom w:val="none" w:sz="0" w:space="0" w:color="auto"/>
                                                                        <w:right w:val="none" w:sz="0" w:space="0" w:color="auto"/>
                                                                      </w:divBdr>
                                                                      <w:divsChild>
                                                                        <w:div w:id="97657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6570630">
      <w:marLeft w:val="0"/>
      <w:marRight w:val="0"/>
      <w:marTop w:val="0"/>
      <w:marBottom w:val="0"/>
      <w:divBdr>
        <w:top w:val="none" w:sz="0" w:space="0" w:color="auto"/>
        <w:left w:val="none" w:sz="0" w:space="0" w:color="auto"/>
        <w:bottom w:val="none" w:sz="0" w:space="0" w:color="auto"/>
        <w:right w:val="none" w:sz="0" w:space="0" w:color="auto"/>
      </w:divBdr>
    </w:div>
    <w:div w:id="976570644">
      <w:marLeft w:val="0"/>
      <w:marRight w:val="0"/>
      <w:marTop w:val="0"/>
      <w:marBottom w:val="0"/>
      <w:divBdr>
        <w:top w:val="none" w:sz="0" w:space="0" w:color="auto"/>
        <w:left w:val="none" w:sz="0" w:space="0" w:color="auto"/>
        <w:bottom w:val="none" w:sz="0" w:space="0" w:color="auto"/>
        <w:right w:val="none" w:sz="0" w:space="0" w:color="auto"/>
      </w:divBdr>
      <w:divsChild>
        <w:div w:id="976570632">
          <w:marLeft w:val="0"/>
          <w:marRight w:val="0"/>
          <w:marTop w:val="0"/>
          <w:marBottom w:val="0"/>
          <w:divBdr>
            <w:top w:val="none" w:sz="0" w:space="0" w:color="auto"/>
            <w:left w:val="none" w:sz="0" w:space="0" w:color="auto"/>
            <w:bottom w:val="none" w:sz="0" w:space="0" w:color="auto"/>
            <w:right w:val="none" w:sz="0" w:space="0" w:color="auto"/>
          </w:divBdr>
          <w:divsChild>
            <w:div w:id="976570670">
              <w:marLeft w:val="0"/>
              <w:marRight w:val="0"/>
              <w:marTop w:val="0"/>
              <w:marBottom w:val="0"/>
              <w:divBdr>
                <w:top w:val="none" w:sz="0" w:space="0" w:color="auto"/>
                <w:left w:val="none" w:sz="0" w:space="0" w:color="auto"/>
                <w:bottom w:val="none" w:sz="0" w:space="0" w:color="auto"/>
                <w:right w:val="none" w:sz="0" w:space="0" w:color="auto"/>
              </w:divBdr>
              <w:divsChild>
                <w:div w:id="976570688">
                  <w:marLeft w:val="0"/>
                  <w:marRight w:val="0"/>
                  <w:marTop w:val="0"/>
                  <w:marBottom w:val="0"/>
                  <w:divBdr>
                    <w:top w:val="none" w:sz="0" w:space="0" w:color="auto"/>
                    <w:left w:val="none" w:sz="0" w:space="0" w:color="auto"/>
                    <w:bottom w:val="none" w:sz="0" w:space="0" w:color="auto"/>
                    <w:right w:val="none" w:sz="0" w:space="0" w:color="auto"/>
                  </w:divBdr>
                  <w:divsChild>
                    <w:div w:id="976570680">
                      <w:marLeft w:val="0"/>
                      <w:marRight w:val="0"/>
                      <w:marTop w:val="0"/>
                      <w:marBottom w:val="0"/>
                      <w:divBdr>
                        <w:top w:val="none" w:sz="0" w:space="0" w:color="auto"/>
                        <w:left w:val="none" w:sz="0" w:space="0" w:color="auto"/>
                        <w:bottom w:val="none" w:sz="0" w:space="0" w:color="auto"/>
                        <w:right w:val="none" w:sz="0" w:space="0" w:color="auto"/>
                      </w:divBdr>
                      <w:divsChild>
                        <w:div w:id="976570671">
                          <w:marLeft w:val="0"/>
                          <w:marRight w:val="0"/>
                          <w:marTop w:val="0"/>
                          <w:marBottom w:val="0"/>
                          <w:divBdr>
                            <w:top w:val="none" w:sz="0" w:space="0" w:color="auto"/>
                            <w:left w:val="none" w:sz="0" w:space="0" w:color="auto"/>
                            <w:bottom w:val="none" w:sz="0" w:space="0" w:color="auto"/>
                            <w:right w:val="none" w:sz="0" w:space="0" w:color="auto"/>
                          </w:divBdr>
                          <w:divsChild>
                            <w:div w:id="976570700">
                              <w:marLeft w:val="0"/>
                              <w:marRight w:val="0"/>
                              <w:marTop w:val="0"/>
                              <w:marBottom w:val="0"/>
                              <w:divBdr>
                                <w:top w:val="none" w:sz="0" w:space="0" w:color="auto"/>
                                <w:left w:val="none" w:sz="0" w:space="0" w:color="auto"/>
                                <w:bottom w:val="none" w:sz="0" w:space="0" w:color="auto"/>
                                <w:right w:val="none" w:sz="0" w:space="0" w:color="auto"/>
                              </w:divBdr>
                              <w:divsChild>
                                <w:div w:id="97657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6570657">
      <w:marLeft w:val="0"/>
      <w:marRight w:val="0"/>
      <w:marTop w:val="0"/>
      <w:marBottom w:val="0"/>
      <w:divBdr>
        <w:top w:val="none" w:sz="0" w:space="0" w:color="auto"/>
        <w:left w:val="none" w:sz="0" w:space="0" w:color="auto"/>
        <w:bottom w:val="none" w:sz="0" w:space="0" w:color="auto"/>
        <w:right w:val="none" w:sz="0" w:space="0" w:color="auto"/>
      </w:divBdr>
    </w:div>
    <w:div w:id="976570676">
      <w:marLeft w:val="0"/>
      <w:marRight w:val="0"/>
      <w:marTop w:val="0"/>
      <w:marBottom w:val="0"/>
      <w:divBdr>
        <w:top w:val="none" w:sz="0" w:space="0" w:color="auto"/>
        <w:left w:val="none" w:sz="0" w:space="0" w:color="auto"/>
        <w:bottom w:val="none" w:sz="0" w:space="0" w:color="auto"/>
        <w:right w:val="none" w:sz="0" w:space="0" w:color="auto"/>
      </w:divBdr>
      <w:divsChild>
        <w:div w:id="976570663">
          <w:marLeft w:val="0"/>
          <w:marRight w:val="0"/>
          <w:marTop w:val="0"/>
          <w:marBottom w:val="0"/>
          <w:divBdr>
            <w:top w:val="none" w:sz="0" w:space="0" w:color="auto"/>
            <w:left w:val="none" w:sz="0" w:space="0" w:color="auto"/>
            <w:bottom w:val="none" w:sz="0" w:space="0" w:color="auto"/>
            <w:right w:val="none" w:sz="0" w:space="0" w:color="auto"/>
          </w:divBdr>
          <w:divsChild>
            <w:div w:id="976570628">
              <w:marLeft w:val="0"/>
              <w:marRight w:val="0"/>
              <w:marTop w:val="0"/>
              <w:marBottom w:val="0"/>
              <w:divBdr>
                <w:top w:val="none" w:sz="0" w:space="0" w:color="auto"/>
                <w:left w:val="none" w:sz="0" w:space="0" w:color="auto"/>
                <w:bottom w:val="none" w:sz="0" w:space="0" w:color="auto"/>
                <w:right w:val="none" w:sz="0" w:space="0" w:color="auto"/>
              </w:divBdr>
              <w:divsChild>
                <w:div w:id="976570653">
                  <w:marLeft w:val="0"/>
                  <w:marRight w:val="0"/>
                  <w:marTop w:val="0"/>
                  <w:marBottom w:val="0"/>
                  <w:divBdr>
                    <w:top w:val="none" w:sz="0" w:space="0" w:color="auto"/>
                    <w:left w:val="none" w:sz="0" w:space="0" w:color="auto"/>
                    <w:bottom w:val="none" w:sz="0" w:space="0" w:color="auto"/>
                    <w:right w:val="none" w:sz="0" w:space="0" w:color="auto"/>
                  </w:divBdr>
                  <w:divsChild>
                    <w:div w:id="976570635">
                      <w:marLeft w:val="0"/>
                      <w:marRight w:val="0"/>
                      <w:marTop w:val="0"/>
                      <w:marBottom w:val="0"/>
                      <w:divBdr>
                        <w:top w:val="none" w:sz="0" w:space="0" w:color="auto"/>
                        <w:left w:val="none" w:sz="0" w:space="0" w:color="auto"/>
                        <w:bottom w:val="none" w:sz="0" w:space="0" w:color="auto"/>
                        <w:right w:val="none" w:sz="0" w:space="0" w:color="auto"/>
                      </w:divBdr>
                      <w:divsChild>
                        <w:div w:id="976570650">
                          <w:marLeft w:val="0"/>
                          <w:marRight w:val="0"/>
                          <w:marTop w:val="0"/>
                          <w:marBottom w:val="0"/>
                          <w:divBdr>
                            <w:top w:val="none" w:sz="0" w:space="0" w:color="auto"/>
                            <w:left w:val="none" w:sz="0" w:space="0" w:color="auto"/>
                            <w:bottom w:val="none" w:sz="0" w:space="0" w:color="auto"/>
                            <w:right w:val="none" w:sz="0" w:space="0" w:color="auto"/>
                          </w:divBdr>
                          <w:divsChild>
                            <w:div w:id="976570678">
                              <w:marLeft w:val="0"/>
                              <w:marRight w:val="0"/>
                              <w:marTop w:val="0"/>
                              <w:marBottom w:val="0"/>
                              <w:divBdr>
                                <w:top w:val="none" w:sz="0" w:space="0" w:color="auto"/>
                                <w:left w:val="none" w:sz="0" w:space="0" w:color="auto"/>
                                <w:bottom w:val="none" w:sz="0" w:space="0" w:color="auto"/>
                                <w:right w:val="none" w:sz="0" w:space="0" w:color="auto"/>
                              </w:divBdr>
                              <w:divsChild>
                                <w:div w:id="976570668">
                                  <w:marLeft w:val="0"/>
                                  <w:marRight w:val="0"/>
                                  <w:marTop w:val="0"/>
                                  <w:marBottom w:val="0"/>
                                  <w:divBdr>
                                    <w:top w:val="none" w:sz="0" w:space="0" w:color="auto"/>
                                    <w:left w:val="none" w:sz="0" w:space="0" w:color="auto"/>
                                    <w:bottom w:val="none" w:sz="0" w:space="0" w:color="auto"/>
                                    <w:right w:val="none" w:sz="0" w:space="0" w:color="auto"/>
                                  </w:divBdr>
                                  <w:divsChild>
                                    <w:div w:id="976570666">
                                      <w:marLeft w:val="0"/>
                                      <w:marRight w:val="0"/>
                                      <w:marTop w:val="0"/>
                                      <w:marBottom w:val="0"/>
                                      <w:divBdr>
                                        <w:top w:val="none" w:sz="0" w:space="0" w:color="auto"/>
                                        <w:left w:val="none" w:sz="0" w:space="0" w:color="auto"/>
                                        <w:bottom w:val="none" w:sz="0" w:space="0" w:color="auto"/>
                                        <w:right w:val="none" w:sz="0" w:space="0" w:color="auto"/>
                                      </w:divBdr>
                                      <w:divsChild>
                                        <w:div w:id="976570656">
                                          <w:marLeft w:val="0"/>
                                          <w:marRight w:val="0"/>
                                          <w:marTop w:val="0"/>
                                          <w:marBottom w:val="0"/>
                                          <w:divBdr>
                                            <w:top w:val="none" w:sz="0" w:space="0" w:color="auto"/>
                                            <w:left w:val="none" w:sz="0" w:space="0" w:color="auto"/>
                                            <w:bottom w:val="none" w:sz="0" w:space="0" w:color="auto"/>
                                            <w:right w:val="none" w:sz="0" w:space="0" w:color="auto"/>
                                          </w:divBdr>
                                          <w:divsChild>
                                            <w:div w:id="976570620">
                                              <w:marLeft w:val="0"/>
                                              <w:marRight w:val="0"/>
                                              <w:marTop w:val="0"/>
                                              <w:marBottom w:val="0"/>
                                              <w:divBdr>
                                                <w:top w:val="none" w:sz="0" w:space="0" w:color="auto"/>
                                                <w:left w:val="none" w:sz="0" w:space="0" w:color="auto"/>
                                                <w:bottom w:val="none" w:sz="0" w:space="0" w:color="auto"/>
                                                <w:right w:val="none" w:sz="0" w:space="0" w:color="auto"/>
                                              </w:divBdr>
                                              <w:divsChild>
                                                <w:div w:id="976570674">
                                                  <w:marLeft w:val="0"/>
                                                  <w:marRight w:val="0"/>
                                                  <w:marTop w:val="0"/>
                                                  <w:marBottom w:val="0"/>
                                                  <w:divBdr>
                                                    <w:top w:val="none" w:sz="0" w:space="0" w:color="auto"/>
                                                    <w:left w:val="none" w:sz="0" w:space="0" w:color="auto"/>
                                                    <w:bottom w:val="none" w:sz="0" w:space="0" w:color="auto"/>
                                                    <w:right w:val="none" w:sz="0" w:space="0" w:color="auto"/>
                                                  </w:divBdr>
                                                  <w:divsChild>
                                                    <w:div w:id="976570679">
                                                      <w:marLeft w:val="0"/>
                                                      <w:marRight w:val="0"/>
                                                      <w:marTop w:val="0"/>
                                                      <w:marBottom w:val="0"/>
                                                      <w:divBdr>
                                                        <w:top w:val="none" w:sz="0" w:space="0" w:color="auto"/>
                                                        <w:left w:val="none" w:sz="0" w:space="0" w:color="auto"/>
                                                        <w:bottom w:val="none" w:sz="0" w:space="0" w:color="auto"/>
                                                        <w:right w:val="none" w:sz="0" w:space="0" w:color="auto"/>
                                                      </w:divBdr>
                                                      <w:divsChild>
                                                        <w:div w:id="976570655">
                                                          <w:marLeft w:val="0"/>
                                                          <w:marRight w:val="0"/>
                                                          <w:marTop w:val="0"/>
                                                          <w:marBottom w:val="0"/>
                                                          <w:divBdr>
                                                            <w:top w:val="none" w:sz="0" w:space="0" w:color="auto"/>
                                                            <w:left w:val="none" w:sz="0" w:space="0" w:color="auto"/>
                                                            <w:bottom w:val="none" w:sz="0" w:space="0" w:color="auto"/>
                                                            <w:right w:val="none" w:sz="0" w:space="0" w:color="auto"/>
                                                          </w:divBdr>
                                                          <w:divsChild>
                                                            <w:div w:id="976570702">
                                                              <w:marLeft w:val="0"/>
                                                              <w:marRight w:val="0"/>
                                                              <w:marTop w:val="0"/>
                                                              <w:marBottom w:val="0"/>
                                                              <w:divBdr>
                                                                <w:top w:val="none" w:sz="0" w:space="0" w:color="auto"/>
                                                                <w:left w:val="none" w:sz="0" w:space="0" w:color="auto"/>
                                                                <w:bottom w:val="none" w:sz="0" w:space="0" w:color="auto"/>
                                                                <w:right w:val="none" w:sz="0" w:space="0" w:color="auto"/>
                                                              </w:divBdr>
                                                              <w:divsChild>
                                                                <w:div w:id="976570701">
                                                                  <w:marLeft w:val="0"/>
                                                                  <w:marRight w:val="0"/>
                                                                  <w:marTop w:val="0"/>
                                                                  <w:marBottom w:val="0"/>
                                                                  <w:divBdr>
                                                                    <w:top w:val="none" w:sz="0" w:space="0" w:color="auto"/>
                                                                    <w:left w:val="none" w:sz="0" w:space="0" w:color="auto"/>
                                                                    <w:bottom w:val="none" w:sz="0" w:space="0" w:color="auto"/>
                                                                    <w:right w:val="none" w:sz="0" w:space="0" w:color="auto"/>
                                                                  </w:divBdr>
                                                                  <w:divsChild>
                                                                    <w:div w:id="976570631">
                                                                      <w:marLeft w:val="0"/>
                                                                      <w:marRight w:val="0"/>
                                                                      <w:marTop w:val="0"/>
                                                                      <w:marBottom w:val="0"/>
                                                                      <w:divBdr>
                                                                        <w:top w:val="none" w:sz="0" w:space="0" w:color="auto"/>
                                                                        <w:left w:val="none" w:sz="0" w:space="0" w:color="auto"/>
                                                                        <w:bottom w:val="none" w:sz="0" w:space="0" w:color="auto"/>
                                                                        <w:right w:val="none" w:sz="0" w:space="0" w:color="auto"/>
                                                                      </w:divBdr>
                                                                      <w:divsChild>
                                                                        <w:div w:id="976570672">
                                                                          <w:marLeft w:val="0"/>
                                                                          <w:marRight w:val="0"/>
                                                                          <w:marTop w:val="0"/>
                                                                          <w:marBottom w:val="0"/>
                                                                          <w:divBdr>
                                                                            <w:top w:val="none" w:sz="0" w:space="0" w:color="auto"/>
                                                                            <w:left w:val="none" w:sz="0" w:space="0" w:color="auto"/>
                                                                            <w:bottom w:val="none" w:sz="0" w:space="0" w:color="auto"/>
                                                                            <w:right w:val="none" w:sz="0" w:space="0" w:color="auto"/>
                                                                          </w:divBdr>
                                                                        </w:div>
                                                                      </w:divsChild>
                                                                    </w:div>
                                                                    <w:div w:id="976570654">
                                                                      <w:marLeft w:val="0"/>
                                                                      <w:marRight w:val="0"/>
                                                                      <w:marTop w:val="0"/>
                                                                      <w:marBottom w:val="0"/>
                                                                      <w:divBdr>
                                                                        <w:top w:val="none" w:sz="0" w:space="0" w:color="auto"/>
                                                                        <w:left w:val="none" w:sz="0" w:space="0" w:color="auto"/>
                                                                        <w:bottom w:val="none" w:sz="0" w:space="0" w:color="auto"/>
                                                                        <w:right w:val="none" w:sz="0" w:space="0" w:color="auto"/>
                                                                      </w:divBdr>
                                                                      <w:divsChild>
                                                                        <w:div w:id="97657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6570677">
      <w:marLeft w:val="0"/>
      <w:marRight w:val="0"/>
      <w:marTop w:val="0"/>
      <w:marBottom w:val="0"/>
      <w:divBdr>
        <w:top w:val="none" w:sz="0" w:space="0" w:color="auto"/>
        <w:left w:val="none" w:sz="0" w:space="0" w:color="auto"/>
        <w:bottom w:val="none" w:sz="0" w:space="0" w:color="auto"/>
        <w:right w:val="none" w:sz="0" w:space="0" w:color="auto"/>
      </w:divBdr>
      <w:divsChild>
        <w:div w:id="976570641">
          <w:marLeft w:val="0"/>
          <w:marRight w:val="0"/>
          <w:marTop w:val="0"/>
          <w:marBottom w:val="0"/>
          <w:divBdr>
            <w:top w:val="none" w:sz="0" w:space="0" w:color="auto"/>
            <w:left w:val="none" w:sz="0" w:space="0" w:color="auto"/>
            <w:bottom w:val="none" w:sz="0" w:space="0" w:color="auto"/>
            <w:right w:val="none" w:sz="0" w:space="0" w:color="auto"/>
          </w:divBdr>
          <w:divsChild>
            <w:div w:id="976570659">
              <w:marLeft w:val="0"/>
              <w:marRight w:val="0"/>
              <w:marTop w:val="0"/>
              <w:marBottom w:val="0"/>
              <w:divBdr>
                <w:top w:val="none" w:sz="0" w:space="0" w:color="auto"/>
                <w:left w:val="none" w:sz="0" w:space="0" w:color="auto"/>
                <w:bottom w:val="none" w:sz="0" w:space="0" w:color="auto"/>
                <w:right w:val="none" w:sz="0" w:space="0" w:color="auto"/>
              </w:divBdr>
              <w:divsChild>
                <w:div w:id="976570695">
                  <w:marLeft w:val="0"/>
                  <w:marRight w:val="0"/>
                  <w:marTop w:val="0"/>
                  <w:marBottom w:val="0"/>
                  <w:divBdr>
                    <w:top w:val="none" w:sz="0" w:space="0" w:color="auto"/>
                    <w:left w:val="none" w:sz="0" w:space="0" w:color="auto"/>
                    <w:bottom w:val="none" w:sz="0" w:space="0" w:color="auto"/>
                    <w:right w:val="none" w:sz="0" w:space="0" w:color="auto"/>
                  </w:divBdr>
                  <w:divsChild>
                    <w:div w:id="976570697">
                      <w:marLeft w:val="0"/>
                      <w:marRight w:val="0"/>
                      <w:marTop w:val="0"/>
                      <w:marBottom w:val="0"/>
                      <w:divBdr>
                        <w:top w:val="none" w:sz="0" w:space="0" w:color="auto"/>
                        <w:left w:val="none" w:sz="0" w:space="0" w:color="auto"/>
                        <w:bottom w:val="none" w:sz="0" w:space="0" w:color="auto"/>
                        <w:right w:val="none" w:sz="0" w:space="0" w:color="auto"/>
                      </w:divBdr>
                      <w:divsChild>
                        <w:div w:id="976570693">
                          <w:marLeft w:val="0"/>
                          <w:marRight w:val="0"/>
                          <w:marTop w:val="0"/>
                          <w:marBottom w:val="0"/>
                          <w:divBdr>
                            <w:top w:val="none" w:sz="0" w:space="0" w:color="auto"/>
                            <w:left w:val="none" w:sz="0" w:space="0" w:color="auto"/>
                            <w:bottom w:val="none" w:sz="0" w:space="0" w:color="auto"/>
                            <w:right w:val="none" w:sz="0" w:space="0" w:color="auto"/>
                          </w:divBdr>
                          <w:divsChild>
                            <w:div w:id="976570646">
                              <w:marLeft w:val="0"/>
                              <w:marRight w:val="0"/>
                              <w:marTop w:val="0"/>
                              <w:marBottom w:val="0"/>
                              <w:divBdr>
                                <w:top w:val="none" w:sz="0" w:space="0" w:color="auto"/>
                                <w:left w:val="none" w:sz="0" w:space="0" w:color="auto"/>
                                <w:bottom w:val="none" w:sz="0" w:space="0" w:color="auto"/>
                                <w:right w:val="none" w:sz="0" w:space="0" w:color="auto"/>
                              </w:divBdr>
                              <w:divsChild>
                                <w:div w:id="97657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6570681">
      <w:marLeft w:val="0"/>
      <w:marRight w:val="0"/>
      <w:marTop w:val="0"/>
      <w:marBottom w:val="0"/>
      <w:divBdr>
        <w:top w:val="none" w:sz="0" w:space="0" w:color="auto"/>
        <w:left w:val="none" w:sz="0" w:space="0" w:color="auto"/>
        <w:bottom w:val="none" w:sz="0" w:space="0" w:color="auto"/>
        <w:right w:val="none" w:sz="0" w:space="0" w:color="auto"/>
      </w:divBdr>
      <w:divsChild>
        <w:div w:id="976570623">
          <w:marLeft w:val="0"/>
          <w:marRight w:val="0"/>
          <w:marTop w:val="0"/>
          <w:marBottom w:val="0"/>
          <w:divBdr>
            <w:top w:val="none" w:sz="0" w:space="0" w:color="auto"/>
            <w:left w:val="none" w:sz="0" w:space="0" w:color="auto"/>
            <w:bottom w:val="none" w:sz="0" w:space="0" w:color="auto"/>
            <w:right w:val="none" w:sz="0" w:space="0" w:color="auto"/>
          </w:divBdr>
          <w:divsChild>
            <w:div w:id="976570686">
              <w:marLeft w:val="0"/>
              <w:marRight w:val="0"/>
              <w:marTop w:val="0"/>
              <w:marBottom w:val="0"/>
              <w:divBdr>
                <w:top w:val="none" w:sz="0" w:space="0" w:color="auto"/>
                <w:left w:val="none" w:sz="0" w:space="0" w:color="auto"/>
                <w:bottom w:val="none" w:sz="0" w:space="0" w:color="auto"/>
                <w:right w:val="none" w:sz="0" w:space="0" w:color="auto"/>
              </w:divBdr>
              <w:divsChild>
                <w:div w:id="976570689">
                  <w:marLeft w:val="0"/>
                  <w:marRight w:val="0"/>
                  <w:marTop w:val="0"/>
                  <w:marBottom w:val="0"/>
                  <w:divBdr>
                    <w:top w:val="none" w:sz="0" w:space="0" w:color="auto"/>
                    <w:left w:val="none" w:sz="0" w:space="0" w:color="auto"/>
                    <w:bottom w:val="none" w:sz="0" w:space="0" w:color="auto"/>
                    <w:right w:val="none" w:sz="0" w:space="0" w:color="auto"/>
                  </w:divBdr>
                  <w:divsChild>
                    <w:div w:id="976570652">
                      <w:marLeft w:val="0"/>
                      <w:marRight w:val="0"/>
                      <w:marTop w:val="0"/>
                      <w:marBottom w:val="0"/>
                      <w:divBdr>
                        <w:top w:val="none" w:sz="0" w:space="0" w:color="auto"/>
                        <w:left w:val="none" w:sz="0" w:space="0" w:color="auto"/>
                        <w:bottom w:val="none" w:sz="0" w:space="0" w:color="auto"/>
                        <w:right w:val="none" w:sz="0" w:space="0" w:color="auto"/>
                      </w:divBdr>
                      <w:divsChild>
                        <w:div w:id="976570691">
                          <w:marLeft w:val="0"/>
                          <w:marRight w:val="0"/>
                          <w:marTop w:val="0"/>
                          <w:marBottom w:val="0"/>
                          <w:divBdr>
                            <w:top w:val="none" w:sz="0" w:space="0" w:color="auto"/>
                            <w:left w:val="none" w:sz="0" w:space="0" w:color="auto"/>
                            <w:bottom w:val="none" w:sz="0" w:space="0" w:color="auto"/>
                            <w:right w:val="none" w:sz="0" w:space="0" w:color="auto"/>
                          </w:divBdr>
                          <w:divsChild>
                            <w:div w:id="976570633">
                              <w:marLeft w:val="0"/>
                              <w:marRight w:val="0"/>
                              <w:marTop w:val="0"/>
                              <w:marBottom w:val="0"/>
                              <w:divBdr>
                                <w:top w:val="none" w:sz="0" w:space="0" w:color="auto"/>
                                <w:left w:val="none" w:sz="0" w:space="0" w:color="auto"/>
                                <w:bottom w:val="none" w:sz="0" w:space="0" w:color="auto"/>
                                <w:right w:val="none" w:sz="0" w:space="0" w:color="auto"/>
                              </w:divBdr>
                              <w:divsChild>
                                <w:div w:id="976570647">
                                  <w:marLeft w:val="0"/>
                                  <w:marRight w:val="0"/>
                                  <w:marTop w:val="0"/>
                                  <w:marBottom w:val="0"/>
                                  <w:divBdr>
                                    <w:top w:val="none" w:sz="0" w:space="0" w:color="auto"/>
                                    <w:left w:val="none" w:sz="0" w:space="0" w:color="auto"/>
                                    <w:bottom w:val="none" w:sz="0" w:space="0" w:color="auto"/>
                                    <w:right w:val="none" w:sz="0" w:space="0" w:color="auto"/>
                                  </w:divBdr>
                                  <w:divsChild>
                                    <w:div w:id="976570664">
                                      <w:marLeft w:val="0"/>
                                      <w:marRight w:val="0"/>
                                      <w:marTop w:val="0"/>
                                      <w:marBottom w:val="0"/>
                                      <w:divBdr>
                                        <w:top w:val="none" w:sz="0" w:space="0" w:color="auto"/>
                                        <w:left w:val="none" w:sz="0" w:space="0" w:color="auto"/>
                                        <w:bottom w:val="none" w:sz="0" w:space="0" w:color="auto"/>
                                        <w:right w:val="none" w:sz="0" w:space="0" w:color="auto"/>
                                      </w:divBdr>
                                      <w:divsChild>
                                        <w:div w:id="976570639">
                                          <w:marLeft w:val="0"/>
                                          <w:marRight w:val="0"/>
                                          <w:marTop w:val="0"/>
                                          <w:marBottom w:val="0"/>
                                          <w:divBdr>
                                            <w:top w:val="none" w:sz="0" w:space="0" w:color="auto"/>
                                            <w:left w:val="none" w:sz="0" w:space="0" w:color="auto"/>
                                            <w:bottom w:val="none" w:sz="0" w:space="0" w:color="auto"/>
                                            <w:right w:val="none" w:sz="0" w:space="0" w:color="auto"/>
                                          </w:divBdr>
                                          <w:divsChild>
                                            <w:div w:id="976570687">
                                              <w:marLeft w:val="0"/>
                                              <w:marRight w:val="0"/>
                                              <w:marTop w:val="0"/>
                                              <w:marBottom w:val="0"/>
                                              <w:divBdr>
                                                <w:top w:val="none" w:sz="0" w:space="0" w:color="auto"/>
                                                <w:left w:val="none" w:sz="0" w:space="0" w:color="auto"/>
                                                <w:bottom w:val="none" w:sz="0" w:space="0" w:color="auto"/>
                                                <w:right w:val="none" w:sz="0" w:space="0" w:color="auto"/>
                                              </w:divBdr>
                                              <w:divsChild>
                                                <w:div w:id="976570643">
                                                  <w:marLeft w:val="0"/>
                                                  <w:marRight w:val="0"/>
                                                  <w:marTop w:val="0"/>
                                                  <w:marBottom w:val="0"/>
                                                  <w:divBdr>
                                                    <w:top w:val="none" w:sz="0" w:space="0" w:color="auto"/>
                                                    <w:left w:val="none" w:sz="0" w:space="0" w:color="auto"/>
                                                    <w:bottom w:val="none" w:sz="0" w:space="0" w:color="auto"/>
                                                    <w:right w:val="none" w:sz="0" w:space="0" w:color="auto"/>
                                                  </w:divBdr>
                                                  <w:divsChild>
                                                    <w:div w:id="976570696">
                                                      <w:marLeft w:val="0"/>
                                                      <w:marRight w:val="0"/>
                                                      <w:marTop w:val="0"/>
                                                      <w:marBottom w:val="0"/>
                                                      <w:divBdr>
                                                        <w:top w:val="none" w:sz="0" w:space="0" w:color="auto"/>
                                                        <w:left w:val="none" w:sz="0" w:space="0" w:color="auto"/>
                                                        <w:bottom w:val="none" w:sz="0" w:space="0" w:color="auto"/>
                                                        <w:right w:val="none" w:sz="0" w:space="0" w:color="auto"/>
                                                      </w:divBdr>
                                                      <w:divsChild>
                                                        <w:div w:id="976570637">
                                                          <w:marLeft w:val="0"/>
                                                          <w:marRight w:val="0"/>
                                                          <w:marTop w:val="0"/>
                                                          <w:marBottom w:val="0"/>
                                                          <w:divBdr>
                                                            <w:top w:val="none" w:sz="0" w:space="0" w:color="auto"/>
                                                            <w:left w:val="none" w:sz="0" w:space="0" w:color="auto"/>
                                                            <w:bottom w:val="none" w:sz="0" w:space="0" w:color="auto"/>
                                                            <w:right w:val="none" w:sz="0" w:space="0" w:color="auto"/>
                                                          </w:divBdr>
                                                          <w:divsChild>
                                                            <w:div w:id="976570669">
                                                              <w:marLeft w:val="0"/>
                                                              <w:marRight w:val="0"/>
                                                              <w:marTop w:val="0"/>
                                                              <w:marBottom w:val="0"/>
                                                              <w:divBdr>
                                                                <w:top w:val="none" w:sz="0" w:space="0" w:color="auto"/>
                                                                <w:left w:val="none" w:sz="0" w:space="0" w:color="auto"/>
                                                                <w:bottom w:val="none" w:sz="0" w:space="0" w:color="auto"/>
                                                                <w:right w:val="none" w:sz="0" w:space="0" w:color="auto"/>
                                                              </w:divBdr>
                                                              <w:divsChild>
                                                                <w:div w:id="976570626">
                                                                  <w:marLeft w:val="0"/>
                                                                  <w:marRight w:val="0"/>
                                                                  <w:marTop w:val="0"/>
                                                                  <w:marBottom w:val="0"/>
                                                                  <w:divBdr>
                                                                    <w:top w:val="none" w:sz="0" w:space="0" w:color="auto"/>
                                                                    <w:left w:val="none" w:sz="0" w:space="0" w:color="auto"/>
                                                                    <w:bottom w:val="none" w:sz="0" w:space="0" w:color="auto"/>
                                                                    <w:right w:val="none" w:sz="0" w:space="0" w:color="auto"/>
                                                                  </w:divBdr>
                                                                </w:div>
                                                                <w:div w:id="976570648">
                                                                  <w:marLeft w:val="0"/>
                                                                  <w:marRight w:val="0"/>
                                                                  <w:marTop w:val="0"/>
                                                                  <w:marBottom w:val="0"/>
                                                                  <w:divBdr>
                                                                    <w:top w:val="none" w:sz="0" w:space="0" w:color="auto"/>
                                                                    <w:left w:val="none" w:sz="0" w:space="0" w:color="auto"/>
                                                                    <w:bottom w:val="none" w:sz="0" w:space="0" w:color="auto"/>
                                                                    <w:right w:val="none" w:sz="0" w:space="0" w:color="auto"/>
                                                                  </w:divBdr>
                                                                </w:div>
                                                                <w:div w:id="976570685">
                                                                  <w:marLeft w:val="0"/>
                                                                  <w:marRight w:val="0"/>
                                                                  <w:marTop w:val="0"/>
                                                                  <w:marBottom w:val="0"/>
                                                                  <w:divBdr>
                                                                    <w:top w:val="none" w:sz="0" w:space="0" w:color="auto"/>
                                                                    <w:left w:val="none" w:sz="0" w:space="0" w:color="auto"/>
                                                                    <w:bottom w:val="none" w:sz="0" w:space="0" w:color="auto"/>
                                                                    <w:right w:val="none" w:sz="0" w:space="0" w:color="auto"/>
                                                                  </w:divBdr>
                                                                </w:div>
                                                                <w:div w:id="97657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76570690">
      <w:marLeft w:val="0"/>
      <w:marRight w:val="0"/>
      <w:marTop w:val="0"/>
      <w:marBottom w:val="0"/>
      <w:divBdr>
        <w:top w:val="none" w:sz="0" w:space="0" w:color="auto"/>
        <w:left w:val="none" w:sz="0" w:space="0" w:color="auto"/>
        <w:bottom w:val="none" w:sz="0" w:space="0" w:color="auto"/>
        <w:right w:val="none" w:sz="0" w:space="0" w:color="auto"/>
      </w:divBdr>
    </w:div>
    <w:div w:id="976570703">
      <w:marLeft w:val="0"/>
      <w:marRight w:val="0"/>
      <w:marTop w:val="0"/>
      <w:marBottom w:val="0"/>
      <w:divBdr>
        <w:top w:val="none" w:sz="0" w:space="0" w:color="auto"/>
        <w:left w:val="none" w:sz="0" w:space="0" w:color="auto"/>
        <w:bottom w:val="none" w:sz="0" w:space="0" w:color="auto"/>
        <w:right w:val="none" w:sz="0" w:space="0" w:color="auto"/>
      </w:divBdr>
    </w:div>
    <w:div w:id="976570721">
      <w:marLeft w:val="0"/>
      <w:marRight w:val="0"/>
      <w:marTop w:val="0"/>
      <w:marBottom w:val="0"/>
      <w:divBdr>
        <w:top w:val="none" w:sz="0" w:space="0" w:color="auto"/>
        <w:left w:val="none" w:sz="0" w:space="0" w:color="auto"/>
        <w:bottom w:val="none" w:sz="0" w:space="0" w:color="auto"/>
        <w:right w:val="none" w:sz="0" w:space="0" w:color="auto"/>
      </w:divBdr>
      <w:divsChild>
        <w:div w:id="976570708">
          <w:marLeft w:val="0"/>
          <w:marRight w:val="0"/>
          <w:marTop w:val="0"/>
          <w:marBottom w:val="0"/>
          <w:divBdr>
            <w:top w:val="none" w:sz="0" w:space="0" w:color="auto"/>
            <w:left w:val="none" w:sz="0" w:space="0" w:color="auto"/>
            <w:bottom w:val="none" w:sz="0" w:space="0" w:color="auto"/>
            <w:right w:val="none" w:sz="0" w:space="0" w:color="auto"/>
          </w:divBdr>
          <w:divsChild>
            <w:div w:id="976570718">
              <w:marLeft w:val="0"/>
              <w:marRight w:val="0"/>
              <w:marTop w:val="0"/>
              <w:marBottom w:val="0"/>
              <w:divBdr>
                <w:top w:val="none" w:sz="0" w:space="0" w:color="auto"/>
                <w:left w:val="none" w:sz="0" w:space="0" w:color="auto"/>
                <w:bottom w:val="none" w:sz="0" w:space="0" w:color="auto"/>
                <w:right w:val="none" w:sz="0" w:space="0" w:color="auto"/>
              </w:divBdr>
              <w:divsChild>
                <w:div w:id="976570704">
                  <w:marLeft w:val="0"/>
                  <w:marRight w:val="0"/>
                  <w:marTop w:val="0"/>
                  <w:marBottom w:val="0"/>
                  <w:divBdr>
                    <w:top w:val="none" w:sz="0" w:space="0" w:color="auto"/>
                    <w:left w:val="none" w:sz="0" w:space="0" w:color="auto"/>
                    <w:bottom w:val="none" w:sz="0" w:space="0" w:color="auto"/>
                    <w:right w:val="none" w:sz="0" w:space="0" w:color="auto"/>
                  </w:divBdr>
                  <w:divsChild>
                    <w:div w:id="976570709">
                      <w:marLeft w:val="0"/>
                      <w:marRight w:val="0"/>
                      <w:marTop w:val="0"/>
                      <w:marBottom w:val="0"/>
                      <w:divBdr>
                        <w:top w:val="none" w:sz="0" w:space="0" w:color="auto"/>
                        <w:left w:val="none" w:sz="0" w:space="0" w:color="auto"/>
                        <w:bottom w:val="none" w:sz="0" w:space="0" w:color="auto"/>
                        <w:right w:val="none" w:sz="0" w:space="0" w:color="auto"/>
                      </w:divBdr>
                      <w:divsChild>
                        <w:div w:id="976570715">
                          <w:marLeft w:val="0"/>
                          <w:marRight w:val="0"/>
                          <w:marTop w:val="0"/>
                          <w:marBottom w:val="0"/>
                          <w:divBdr>
                            <w:top w:val="none" w:sz="0" w:space="0" w:color="auto"/>
                            <w:left w:val="none" w:sz="0" w:space="0" w:color="auto"/>
                            <w:bottom w:val="none" w:sz="0" w:space="0" w:color="auto"/>
                            <w:right w:val="none" w:sz="0" w:space="0" w:color="auto"/>
                          </w:divBdr>
                          <w:divsChild>
                            <w:div w:id="976570711">
                              <w:marLeft w:val="0"/>
                              <w:marRight w:val="0"/>
                              <w:marTop w:val="0"/>
                              <w:marBottom w:val="0"/>
                              <w:divBdr>
                                <w:top w:val="none" w:sz="0" w:space="0" w:color="auto"/>
                                <w:left w:val="none" w:sz="0" w:space="0" w:color="auto"/>
                                <w:bottom w:val="none" w:sz="0" w:space="0" w:color="auto"/>
                                <w:right w:val="none" w:sz="0" w:space="0" w:color="auto"/>
                              </w:divBdr>
                              <w:divsChild>
                                <w:div w:id="976570716">
                                  <w:marLeft w:val="0"/>
                                  <w:marRight w:val="0"/>
                                  <w:marTop w:val="0"/>
                                  <w:marBottom w:val="0"/>
                                  <w:divBdr>
                                    <w:top w:val="none" w:sz="0" w:space="0" w:color="auto"/>
                                    <w:left w:val="none" w:sz="0" w:space="0" w:color="auto"/>
                                    <w:bottom w:val="none" w:sz="0" w:space="0" w:color="auto"/>
                                    <w:right w:val="none" w:sz="0" w:space="0" w:color="auto"/>
                                  </w:divBdr>
                                  <w:divsChild>
                                    <w:div w:id="976570710">
                                      <w:marLeft w:val="0"/>
                                      <w:marRight w:val="0"/>
                                      <w:marTop w:val="0"/>
                                      <w:marBottom w:val="0"/>
                                      <w:divBdr>
                                        <w:top w:val="none" w:sz="0" w:space="0" w:color="auto"/>
                                        <w:left w:val="none" w:sz="0" w:space="0" w:color="auto"/>
                                        <w:bottom w:val="none" w:sz="0" w:space="0" w:color="auto"/>
                                        <w:right w:val="none" w:sz="0" w:space="0" w:color="auto"/>
                                      </w:divBdr>
                                      <w:divsChild>
                                        <w:div w:id="976570719">
                                          <w:marLeft w:val="0"/>
                                          <w:marRight w:val="0"/>
                                          <w:marTop w:val="0"/>
                                          <w:marBottom w:val="0"/>
                                          <w:divBdr>
                                            <w:top w:val="none" w:sz="0" w:space="0" w:color="auto"/>
                                            <w:left w:val="none" w:sz="0" w:space="0" w:color="auto"/>
                                            <w:bottom w:val="none" w:sz="0" w:space="0" w:color="auto"/>
                                            <w:right w:val="none" w:sz="0" w:space="0" w:color="auto"/>
                                          </w:divBdr>
                                          <w:divsChild>
                                            <w:div w:id="976570712">
                                              <w:marLeft w:val="0"/>
                                              <w:marRight w:val="0"/>
                                              <w:marTop w:val="0"/>
                                              <w:marBottom w:val="0"/>
                                              <w:divBdr>
                                                <w:top w:val="none" w:sz="0" w:space="0" w:color="auto"/>
                                                <w:left w:val="none" w:sz="0" w:space="0" w:color="auto"/>
                                                <w:bottom w:val="none" w:sz="0" w:space="0" w:color="auto"/>
                                                <w:right w:val="none" w:sz="0" w:space="0" w:color="auto"/>
                                              </w:divBdr>
                                              <w:divsChild>
                                                <w:div w:id="976570706">
                                                  <w:marLeft w:val="0"/>
                                                  <w:marRight w:val="0"/>
                                                  <w:marTop w:val="0"/>
                                                  <w:marBottom w:val="0"/>
                                                  <w:divBdr>
                                                    <w:top w:val="none" w:sz="0" w:space="0" w:color="auto"/>
                                                    <w:left w:val="none" w:sz="0" w:space="0" w:color="auto"/>
                                                    <w:bottom w:val="none" w:sz="0" w:space="0" w:color="auto"/>
                                                    <w:right w:val="none" w:sz="0" w:space="0" w:color="auto"/>
                                                  </w:divBdr>
                                                  <w:divsChild>
                                                    <w:div w:id="976570705">
                                                      <w:marLeft w:val="0"/>
                                                      <w:marRight w:val="0"/>
                                                      <w:marTop w:val="0"/>
                                                      <w:marBottom w:val="0"/>
                                                      <w:divBdr>
                                                        <w:top w:val="none" w:sz="0" w:space="0" w:color="auto"/>
                                                        <w:left w:val="none" w:sz="0" w:space="0" w:color="auto"/>
                                                        <w:bottom w:val="none" w:sz="0" w:space="0" w:color="auto"/>
                                                        <w:right w:val="none" w:sz="0" w:space="0" w:color="auto"/>
                                                      </w:divBdr>
                                                      <w:divsChild>
                                                        <w:div w:id="976570714">
                                                          <w:marLeft w:val="0"/>
                                                          <w:marRight w:val="0"/>
                                                          <w:marTop w:val="0"/>
                                                          <w:marBottom w:val="0"/>
                                                          <w:divBdr>
                                                            <w:top w:val="none" w:sz="0" w:space="0" w:color="auto"/>
                                                            <w:left w:val="none" w:sz="0" w:space="0" w:color="auto"/>
                                                            <w:bottom w:val="none" w:sz="0" w:space="0" w:color="auto"/>
                                                            <w:right w:val="none" w:sz="0" w:space="0" w:color="auto"/>
                                                          </w:divBdr>
                                                          <w:divsChild>
                                                            <w:div w:id="976570720">
                                                              <w:marLeft w:val="0"/>
                                                              <w:marRight w:val="0"/>
                                                              <w:marTop w:val="0"/>
                                                              <w:marBottom w:val="0"/>
                                                              <w:divBdr>
                                                                <w:top w:val="none" w:sz="0" w:space="0" w:color="auto"/>
                                                                <w:left w:val="none" w:sz="0" w:space="0" w:color="auto"/>
                                                                <w:bottom w:val="none" w:sz="0" w:space="0" w:color="auto"/>
                                                                <w:right w:val="none" w:sz="0" w:space="0" w:color="auto"/>
                                                              </w:divBdr>
                                                              <w:divsChild>
                                                                <w:div w:id="976570707">
                                                                  <w:marLeft w:val="0"/>
                                                                  <w:marRight w:val="0"/>
                                                                  <w:marTop w:val="0"/>
                                                                  <w:marBottom w:val="0"/>
                                                                  <w:divBdr>
                                                                    <w:top w:val="none" w:sz="0" w:space="0" w:color="auto"/>
                                                                    <w:left w:val="none" w:sz="0" w:space="0" w:color="auto"/>
                                                                    <w:bottom w:val="none" w:sz="0" w:space="0" w:color="auto"/>
                                                                    <w:right w:val="none" w:sz="0" w:space="0" w:color="auto"/>
                                                                  </w:divBdr>
                                                                  <w:divsChild>
                                                                    <w:div w:id="976570713">
                                                                      <w:marLeft w:val="0"/>
                                                                      <w:marRight w:val="0"/>
                                                                      <w:marTop w:val="0"/>
                                                                      <w:marBottom w:val="0"/>
                                                                      <w:divBdr>
                                                                        <w:top w:val="none" w:sz="0" w:space="0" w:color="auto"/>
                                                                        <w:left w:val="none" w:sz="0" w:space="0" w:color="auto"/>
                                                                        <w:bottom w:val="none" w:sz="0" w:space="0" w:color="auto"/>
                                                                        <w:right w:val="none" w:sz="0" w:space="0" w:color="auto"/>
                                                                      </w:divBdr>
                                                                      <w:divsChild>
                                                                        <w:div w:id="97657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9639917">
      <w:bodyDiv w:val="1"/>
      <w:marLeft w:val="0"/>
      <w:marRight w:val="0"/>
      <w:marTop w:val="0"/>
      <w:marBottom w:val="0"/>
      <w:divBdr>
        <w:top w:val="none" w:sz="0" w:space="0" w:color="auto"/>
        <w:left w:val="none" w:sz="0" w:space="0" w:color="auto"/>
        <w:bottom w:val="none" w:sz="0" w:space="0" w:color="auto"/>
        <w:right w:val="none" w:sz="0" w:space="0" w:color="auto"/>
      </w:divBdr>
    </w:div>
    <w:div w:id="1587302227">
      <w:bodyDiv w:val="1"/>
      <w:marLeft w:val="0"/>
      <w:marRight w:val="0"/>
      <w:marTop w:val="0"/>
      <w:marBottom w:val="0"/>
      <w:divBdr>
        <w:top w:val="none" w:sz="0" w:space="0" w:color="auto"/>
        <w:left w:val="none" w:sz="0" w:space="0" w:color="auto"/>
        <w:bottom w:val="none" w:sz="0" w:space="0" w:color="auto"/>
        <w:right w:val="none" w:sz="0" w:space="0" w:color="auto"/>
      </w:divBdr>
    </w:div>
    <w:div w:id="1589997803">
      <w:bodyDiv w:val="1"/>
      <w:marLeft w:val="0"/>
      <w:marRight w:val="0"/>
      <w:marTop w:val="0"/>
      <w:marBottom w:val="0"/>
      <w:divBdr>
        <w:top w:val="none" w:sz="0" w:space="0" w:color="auto"/>
        <w:left w:val="none" w:sz="0" w:space="0" w:color="auto"/>
        <w:bottom w:val="none" w:sz="0" w:space="0" w:color="auto"/>
        <w:right w:val="none" w:sz="0" w:space="0" w:color="auto"/>
      </w:divBdr>
    </w:div>
    <w:div w:id="1668823294">
      <w:bodyDiv w:val="1"/>
      <w:marLeft w:val="0"/>
      <w:marRight w:val="0"/>
      <w:marTop w:val="0"/>
      <w:marBottom w:val="0"/>
      <w:divBdr>
        <w:top w:val="none" w:sz="0" w:space="0" w:color="auto"/>
        <w:left w:val="none" w:sz="0" w:space="0" w:color="auto"/>
        <w:bottom w:val="none" w:sz="0" w:space="0" w:color="auto"/>
        <w:right w:val="none" w:sz="0" w:space="0" w:color="auto"/>
      </w:divBdr>
      <w:divsChild>
        <w:div w:id="75592619">
          <w:marLeft w:val="0"/>
          <w:marRight w:val="0"/>
          <w:marTop w:val="0"/>
          <w:marBottom w:val="0"/>
          <w:divBdr>
            <w:top w:val="none" w:sz="0" w:space="0" w:color="auto"/>
            <w:left w:val="none" w:sz="0" w:space="0" w:color="auto"/>
            <w:bottom w:val="none" w:sz="0" w:space="0" w:color="auto"/>
            <w:right w:val="none" w:sz="0" w:space="0" w:color="auto"/>
          </w:divBdr>
        </w:div>
        <w:div w:id="240022989">
          <w:marLeft w:val="0"/>
          <w:marRight w:val="0"/>
          <w:marTop w:val="0"/>
          <w:marBottom w:val="0"/>
          <w:divBdr>
            <w:top w:val="none" w:sz="0" w:space="0" w:color="auto"/>
            <w:left w:val="none" w:sz="0" w:space="0" w:color="auto"/>
            <w:bottom w:val="none" w:sz="0" w:space="0" w:color="auto"/>
            <w:right w:val="none" w:sz="0" w:space="0" w:color="auto"/>
          </w:divBdr>
        </w:div>
        <w:div w:id="536084556">
          <w:marLeft w:val="0"/>
          <w:marRight w:val="0"/>
          <w:marTop w:val="0"/>
          <w:marBottom w:val="0"/>
          <w:divBdr>
            <w:top w:val="none" w:sz="0" w:space="0" w:color="auto"/>
            <w:left w:val="none" w:sz="0" w:space="0" w:color="auto"/>
            <w:bottom w:val="none" w:sz="0" w:space="0" w:color="auto"/>
            <w:right w:val="none" w:sz="0" w:space="0" w:color="auto"/>
          </w:divBdr>
        </w:div>
        <w:div w:id="1215853421">
          <w:marLeft w:val="0"/>
          <w:marRight w:val="0"/>
          <w:marTop w:val="0"/>
          <w:marBottom w:val="0"/>
          <w:divBdr>
            <w:top w:val="none" w:sz="0" w:space="0" w:color="auto"/>
            <w:left w:val="none" w:sz="0" w:space="0" w:color="auto"/>
            <w:bottom w:val="none" w:sz="0" w:space="0" w:color="auto"/>
            <w:right w:val="none" w:sz="0" w:space="0" w:color="auto"/>
          </w:divBdr>
        </w:div>
        <w:div w:id="1491486647">
          <w:marLeft w:val="0"/>
          <w:marRight w:val="0"/>
          <w:marTop w:val="0"/>
          <w:marBottom w:val="0"/>
          <w:divBdr>
            <w:top w:val="none" w:sz="0" w:space="0" w:color="auto"/>
            <w:left w:val="none" w:sz="0" w:space="0" w:color="auto"/>
            <w:bottom w:val="none" w:sz="0" w:space="0" w:color="auto"/>
            <w:right w:val="none" w:sz="0" w:space="0" w:color="auto"/>
          </w:divBdr>
        </w:div>
        <w:div w:id="1534727249">
          <w:marLeft w:val="0"/>
          <w:marRight w:val="0"/>
          <w:marTop w:val="0"/>
          <w:marBottom w:val="0"/>
          <w:divBdr>
            <w:top w:val="none" w:sz="0" w:space="0" w:color="auto"/>
            <w:left w:val="none" w:sz="0" w:space="0" w:color="auto"/>
            <w:bottom w:val="none" w:sz="0" w:space="0" w:color="auto"/>
            <w:right w:val="none" w:sz="0" w:space="0" w:color="auto"/>
          </w:divBdr>
        </w:div>
        <w:div w:id="1844129850">
          <w:marLeft w:val="0"/>
          <w:marRight w:val="0"/>
          <w:marTop w:val="0"/>
          <w:marBottom w:val="0"/>
          <w:divBdr>
            <w:top w:val="none" w:sz="0" w:space="0" w:color="auto"/>
            <w:left w:val="none" w:sz="0" w:space="0" w:color="auto"/>
            <w:bottom w:val="none" w:sz="0" w:space="0" w:color="auto"/>
            <w:right w:val="none" w:sz="0" w:space="0" w:color="auto"/>
          </w:divBdr>
        </w:div>
        <w:div w:id="1867519625">
          <w:marLeft w:val="0"/>
          <w:marRight w:val="0"/>
          <w:marTop w:val="0"/>
          <w:marBottom w:val="0"/>
          <w:divBdr>
            <w:top w:val="none" w:sz="0" w:space="0" w:color="auto"/>
            <w:left w:val="none" w:sz="0" w:space="0" w:color="auto"/>
            <w:bottom w:val="none" w:sz="0" w:space="0" w:color="auto"/>
            <w:right w:val="none" w:sz="0" w:space="0" w:color="auto"/>
          </w:divBdr>
        </w:div>
        <w:div w:id="1874074596">
          <w:marLeft w:val="0"/>
          <w:marRight w:val="0"/>
          <w:marTop w:val="0"/>
          <w:marBottom w:val="0"/>
          <w:divBdr>
            <w:top w:val="none" w:sz="0" w:space="0" w:color="auto"/>
            <w:left w:val="none" w:sz="0" w:space="0" w:color="auto"/>
            <w:bottom w:val="none" w:sz="0" w:space="0" w:color="auto"/>
            <w:right w:val="none" w:sz="0" w:space="0" w:color="auto"/>
          </w:divBdr>
        </w:div>
      </w:divsChild>
    </w:div>
    <w:div w:id="1834638064">
      <w:bodyDiv w:val="1"/>
      <w:marLeft w:val="0"/>
      <w:marRight w:val="0"/>
      <w:marTop w:val="0"/>
      <w:marBottom w:val="0"/>
      <w:divBdr>
        <w:top w:val="none" w:sz="0" w:space="0" w:color="auto"/>
        <w:left w:val="none" w:sz="0" w:space="0" w:color="auto"/>
        <w:bottom w:val="none" w:sz="0" w:space="0" w:color="auto"/>
        <w:right w:val="none" w:sz="0" w:space="0" w:color="auto"/>
      </w:divBdr>
      <w:divsChild>
        <w:div w:id="291520371">
          <w:marLeft w:val="0"/>
          <w:marRight w:val="0"/>
          <w:marTop w:val="0"/>
          <w:marBottom w:val="0"/>
          <w:divBdr>
            <w:top w:val="none" w:sz="0" w:space="0" w:color="auto"/>
            <w:left w:val="none" w:sz="0" w:space="0" w:color="auto"/>
            <w:bottom w:val="none" w:sz="0" w:space="0" w:color="auto"/>
            <w:right w:val="none" w:sz="0" w:space="0" w:color="auto"/>
          </w:divBdr>
        </w:div>
        <w:div w:id="479545009">
          <w:marLeft w:val="0"/>
          <w:marRight w:val="0"/>
          <w:marTop w:val="0"/>
          <w:marBottom w:val="0"/>
          <w:divBdr>
            <w:top w:val="none" w:sz="0" w:space="0" w:color="auto"/>
            <w:left w:val="none" w:sz="0" w:space="0" w:color="auto"/>
            <w:bottom w:val="none" w:sz="0" w:space="0" w:color="auto"/>
            <w:right w:val="none" w:sz="0" w:space="0" w:color="auto"/>
          </w:divBdr>
        </w:div>
        <w:div w:id="576207785">
          <w:marLeft w:val="0"/>
          <w:marRight w:val="0"/>
          <w:marTop w:val="0"/>
          <w:marBottom w:val="0"/>
          <w:divBdr>
            <w:top w:val="none" w:sz="0" w:space="0" w:color="auto"/>
            <w:left w:val="none" w:sz="0" w:space="0" w:color="auto"/>
            <w:bottom w:val="none" w:sz="0" w:space="0" w:color="auto"/>
            <w:right w:val="none" w:sz="0" w:space="0" w:color="auto"/>
          </w:divBdr>
        </w:div>
        <w:div w:id="728186096">
          <w:marLeft w:val="0"/>
          <w:marRight w:val="0"/>
          <w:marTop w:val="0"/>
          <w:marBottom w:val="0"/>
          <w:divBdr>
            <w:top w:val="none" w:sz="0" w:space="0" w:color="auto"/>
            <w:left w:val="none" w:sz="0" w:space="0" w:color="auto"/>
            <w:bottom w:val="none" w:sz="0" w:space="0" w:color="auto"/>
            <w:right w:val="none" w:sz="0" w:space="0" w:color="auto"/>
          </w:divBdr>
        </w:div>
        <w:div w:id="1097140501">
          <w:marLeft w:val="0"/>
          <w:marRight w:val="0"/>
          <w:marTop w:val="0"/>
          <w:marBottom w:val="0"/>
          <w:divBdr>
            <w:top w:val="none" w:sz="0" w:space="0" w:color="auto"/>
            <w:left w:val="none" w:sz="0" w:space="0" w:color="auto"/>
            <w:bottom w:val="none" w:sz="0" w:space="0" w:color="auto"/>
            <w:right w:val="none" w:sz="0" w:space="0" w:color="auto"/>
          </w:divBdr>
        </w:div>
        <w:div w:id="1315646792">
          <w:marLeft w:val="0"/>
          <w:marRight w:val="0"/>
          <w:marTop w:val="0"/>
          <w:marBottom w:val="0"/>
          <w:divBdr>
            <w:top w:val="none" w:sz="0" w:space="0" w:color="auto"/>
            <w:left w:val="none" w:sz="0" w:space="0" w:color="auto"/>
            <w:bottom w:val="none" w:sz="0" w:space="0" w:color="auto"/>
            <w:right w:val="none" w:sz="0" w:space="0" w:color="auto"/>
          </w:divBdr>
        </w:div>
        <w:div w:id="1703019684">
          <w:marLeft w:val="0"/>
          <w:marRight w:val="0"/>
          <w:marTop w:val="0"/>
          <w:marBottom w:val="0"/>
          <w:divBdr>
            <w:top w:val="none" w:sz="0" w:space="0" w:color="auto"/>
            <w:left w:val="none" w:sz="0" w:space="0" w:color="auto"/>
            <w:bottom w:val="none" w:sz="0" w:space="0" w:color="auto"/>
            <w:right w:val="none" w:sz="0" w:space="0" w:color="auto"/>
          </w:divBdr>
        </w:div>
        <w:div w:id="1787699019">
          <w:marLeft w:val="0"/>
          <w:marRight w:val="0"/>
          <w:marTop w:val="0"/>
          <w:marBottom w:val="0"/>
          <w:divBdr>
            <w:top w:val="none" w:sz="0" w:space="0" w:color="auto"/>
            <w:left w:val="none" w:sz="0" w:space="0" w:color="auto"/>
            <w:bottom w:val="none" w:sz="0" w:space="0" w:color="auto"/>
            <w:right w:val="none" w:sz="0" w:space="0" w:color="auto"/>
          </w:divBdr>
        </w:div>
      </w:divsChild>
    </w:div>
    <w:div w:id="2057924451">
      <w:bodyDiv w:val="1"/>
      <w:marLeft w:val="0"/>
      <w:marRight w:val="0"/>
      <w:marTop w:val="0"/>
      <w:marBottom w:val="0"/>
      <w:divBdr>
        <w:top w:val="none" w:sz="0" w:space="0" w:color="auto"/>
        <w:left w:val="none" w:sz="0" w:space="0" w:color="auto"/>
        <w:bottom w:val="none" w:sz="0" w:space="0" w:color="auto"/>
        <w:right w:val="none" w:sz="0" w:space="0" w:color="auto"/>
      </w:divBdr>
      <w:divsChild>
        <w:div w:id="280502613">
          <w:marLeft w:val="0"/>
          <w:marRight w:val="0"/>
          <w:marTop w:val="0"/>
          <w:marBottom w:val="0"/>
          <w:divBdr>
            <w:top w:val="none" w:sz="0" w:space="0" w:color="auto"/>
            <w:left w:val="none" w:sz="0" w:space="0" w:color="auto"/>
            <w:bottom w:val="none" w:sz="0" w:space="0" w:color="auto"/>
            <w:right w:val="none" w:sz="0" w:space="0" w:color="auto"/>
          </w:divBdr>
        </w:div>
        <w:div w:id="579943776">
          <w:marLeft w:val="0"/>
          <w:marRight w:val="0"/>
          <w:marTop w:val="0"/>
          <w:marBottom w:val="0"/>
          <w:divBdr>
            <w:top w:val="none" w:sz="0" w:space="0" w:color="auto"/>
            <w:left w:val="none" w:sz="0" w:space="0" w:color="auto"/>
            <w:bottom w:val="none" w:sz="0" w:space="0" w:color="auto"/>
            <w:right w:val="none" w:sz="0" w:space="0" w:color="auto"/>
          </w:divBdr>
        </w:div>
        <w:div w:id="601961687">
          <w:marLeft w:val="0"/>
          <w:marRight w:val="0"/>
          <w:marTop w:val="0"/>
          <w:marBottom w:val="0"/>
          <w:divBdr>
            <w:top w:val="none" w:sz="0" w:space="0" w:color="auto"/>
            <w:left w:val="none" w:sz="0" w:space="0" w:color="auto"/>
            <w:bottom w:val="none" w:sz="0" w:space="0" w:color="auto"/>
            <w:right w:val="none" w:sz="0" w:space="0" w:color="auto"/>
          </w:divBdr>
        </w:div>
        <w:div w:id="653338892">
          <w:marLeft w:val="0"/>
          <w:marRight w:val="0"/>
          <w:marTop w:val="0"/>
          <w:marBottom w:val="0"/>
          <w:divBdr>
            <w:top w:val="none" w:sz="0" w:space="0" w:color="auto"/>
            <w:left w:val="none" w:sz="0" w:space="0" w:color="auto"/>
            <w:bottom w:val="none" w:sz="0" w:space="0" w:color="auto"/>
            <w:right w:val="none" w:sz="0" w:space="0" w:color="auto"/>
          </w:divBdr>
        </w:div>
        <w:div w:id="1154642789">
          <w:marLeft w:val="0"/>
          <w:marRight w:val="0"/>
          <w:marTop w:val="0"/>
          <w:marBottom w:val="0"/>
          <w:divBdr>
            <w:top w:val="none" w:sz="0" w:space="0" w:color="auto"/>
            <w:left w:val="none" w:sz="0" w:space="0" w:color="auto"/>
            <w:bottom w:val="none" w:sz="0" w:space="0" w:color="auto"/>
            <w:right w:val="none" w:sz="0" w:space="0" w:color="auto"/>
          </w:divBdr>
        </w:div>
        <w:div w:id="1268195423">
          <w:marLeft w:val="0"/>
          <w:marRight w:val="0"/>
          <w:marTop w:val="0"/>
          <w:marBottom w:val="0"/>
          <w:divBdr>
            <w:top w:val="none" w:sz="0" w:space="0" w:color="auto"/>
            <w:left w:val="none" w:sz="0" w:space="0" w:color="auto"/>
            <w:bottom w:val="none" w:sz="0" w:space="0" w:color="auto"/>
            <w:right w:val="none" w:sz="0" w:space="0" w:color="auto"/>
          </w:divBdr>
        </w:div>
        <w:div w:id="1310672050">
          <w:marLeft w:val="0"/>
          <w:marRight w:val="0"/>
          <w:marTop w:val="0"/>
          <w:marBottom w:val="0"/>
          <w:divBdr>
            <w:top w:val="none" w:sz="0" w:space="0" w:color="auto"/>
            <w:left w:val="none" w:sz="0" w:space="0" w:color="auto"/>
            <w:bottom w:val="none" w:sz="0" w:space="0" w:color="auto"/>
            <w:right w:val="none" w:sz="0" w:space="0" w:color="auto"/>
          </w:divBdr>
        </w:div>
        <w:div w:id="1339382405">
          <w:marLeft w:val="0"/>
          <w:marRight w:val="0"/>
          <w:marTop w:val="0"/>
          <w:marBottom w:val="0"/>
          <w:divBdr>
            <w:top w:val="none" w:sz="0" w:space="0" w:color="auto"/>
            <w:left w:val="none" w:sz="0" w:space="0" w:color="auto"/>
            <w:bottom w:val="none" w:sz="0" w:space="0" w:color="auto"/>
            <w:right w:val="none" w:sz="0" w:space="0" w:color="auto"/>
          </w:divBdr>
        </w:div>
        <w:div w:id="1440023141">
          <w:marLeft w:val="0"/>
          <w:marRight w:val="0"/>
          <w:marTop w:val="0"/>
          <w:marBottom w:val="0"/>
          <w:divBdr>
            <w:top w:val="none" w:sz="0" w:space="0" w:color="auto"/>
            <w:left w:val="none" w:sz="0" w:space="0" w:color="auto"/>
            <w:bottom w:val="none" w:sz="0" w:space="0" w:color="auto"/>
            <w:right w:val="none" w:sz="0" w:space="0" w:color="auto"/>
          </w:divBdr>
        </w:div>
        <w:div w:id="1547764664">
          <w:marLeft w:val="0"/>
          <w:marRight w:val="0"/>
          <w:marTop w:val="0"/>
          <w:marBottom w:val="0"/>
          <w:divBdr>
            <w:top w:val="none" w:sz="0" w:space="0" w:color="auto"/>
            <w:left w:val="none" w:sz="0" w:space="0" w:color="auto"/>
            <w:bottom w:val="none" w:sz="0" w:space="0" w:color="auto"/>
            <w:right w:val="none" w:sz="0" w:space="0" w:color="auto"/>
          </w:divBdr>
        </w:div>
        <w:div w:id="1633749239">
          <w:marLeft w:val="0"/>
          <w:marRight w:val="0"/>
          <w:marTop w:val="0"/>
          <w:marBottom w:val="0"/>
          <w:divBdr>
            <w:top w:val="none" w:sz="0" w:space="0" w:color="auto"/>
            <w:left w:val="none" w:sz="0" w:space="0" w:color="auto"/>
            <w:bottom w:val="none" w:sz="0" w:space="0" w:color="auto"/>
            <w:right w:val="none" w:sz="0" w:space="0" w:color="auto"/>
          </w:divBdr>
        </w:div>
        <w:div w:id="1680081602">
          <w:marLeft w:val="0"/>
          <w:marRight w:val="0"/>
          <w:marTop w:val="0"/>
          <w:marBottom w:val="0"/>
          <w:divBdr>
            <w:top w:val="none" w:sz="0" w:space="0" w:color="auto"/>
            <w:left w:val="none" w:sz="0" w:space="0" w:color="auto"/>
            <w:bottom w:val="none" w:sz="0" w:space="0" w:color="auto"/>
            <w:right w:val="none" w:sz="0" w:space="0" w:color="auto"/>
          </w:divBdr>
        </w:div>
        <w:div w:id="1860074240">
          <w:marLeft w:val="0"/>
          <w:marRight w:val="0"/>
          <w:marTop w:val="0"/>
          <w:marBottom w:val="0"/>
          <w:divBdr>
            <w:top w:val="none" w:sz="0" w:space="0" w:color="auto"/>
            <w:left w:val="none" w:sz="0" w:space="0" w:color="auto"/>
            <w:bottom w:val="none" w:sz="0" w:space="0" w:color="auto"/>
            <w:right w:val="none" w:sz="0" w:space="0" w:color="auto"/>
          </w:divBdr>
        </w:div>
      </w:divsChild>
    </w:div>
    <w:div w:id="2136094777">
      <w:bodyDiv w:val="1"/>
      <w:marLeft w:val="0"/>
      <w:marRight w:val="0"/>
      <w:marTop w:val="0"/>
      <w:marBottom w:val="0"/>
      <w:divBdr>
        <w:top w:val="none" w:sz="0" w:space="0" w:color="auto"/>
        <w:left w:val="none" w:sz="0" w:space="0" w:color="auto"/>
        <w:bottom w:val="none" w:sz="0" w:space="0" w:color="auto"/>
        <w:right w:val="none" w:sz="0" w:space="0" w:color="auto"/>
      </w:divBdr>
      <w:divsChild>
        <w:div w:id="574172229">
          <w:marLeft w:val="0"/>
          <w:marRight w:val="0"/>
          <w:marTop w:val="0"/>
          <w:marBottom w:val="0"/>
          <w:divBdr>
            <w:top w:val="none" w:sz="0" w:space="0" w:color="auto"/>
            <w:left w:val="none" w:sz="0" w:space="0" w:color="auto"/>
            <w:bottom w:val="none" w:sz="0" w:space="0" w:color="auto"/>
            <w:right w:val="none" w:sz="0" w:space="0" w:color="auto"/>
          </w:divBdr>
        </w:div>
        <w:div w:id="945386773">
          <w:marLeft w:val="0"/>
          <w:marRight w:val="0"/>
          <w:marTop w:val="0"/>
          <w:marBottom w:val="0"/>
          <w:divBdr>
            <w:top w:val="none" w:sz="0" w:space="0" w:color="auto"/>
            <w:left w:val="none" w:sz="0" w:space="0" w:color="auto"/>
            <w:bottom w:val="none" w:sz="0" w:space="0" w:color="auto"/>
            <w:right w:val="none" w:sz="0" w:space="0" w:color="auto"/>
          </w:divBdr>
        </w:div>
        <w:div w:id="1337809675">
          <w:marLeft w:val="0"/>
          <w:marRight w:val="0"/>
          <w:marTop w:val="0"/>
          <w:marBottom w:val="0"/>
          <w:divBdr>
            <w:top w:val="none" w:sz="0" w:space="0" w:color="auto"/>
            <w:left w:val="none" w:sz="0" w:space="0" w:color="auto"/>
            <w:bottom w:val="none" w:sz="0" w:space="0" w:color="auto"/>
            <w:right w:val="none" w:sz="0" w:space="0" w:color="auto"/>
          </w:divBdr>
        </w:div>
        <w:div w:id="1346981370">
          <w:marLeft w:val="0"/>
          <w:marRight w:val="0"/>
          <w:marTop w:val="0"/>
          <w:marBottom w:val="0"/>
          <w:divBdr>
            <w:top w:val="none" w:sz="0" w:space="0" w:color="auto"/>
            <w:left w:val="none" w:sz="0" w:space="0" w:color="auto"/>
            <w:bottom w:val="none" w:sz="0" w:space="0" w:color="auto"/>
            <w:right w:val="none" w:sz="0" w:space="0" w:color="auto"/>
          </w:divBdr>
        </w:div>
        <w:div w:id="1536113518">
          <w:marLeft w:val="0"/>
          <w:marRight w:val="0"/>
          <w:marTop w:val="0"/>
          <w:marBottom w:val="0"/>
          <w:divBdr>
            <w:top w:val="none" w:sz="0" w:space="0" w:color="auto"/>
            <w:left w:val="none" w:sz="0" w:space="0" w:color="auto"/>
            <w:bottom w:val="none" w:sz="0" w:space="0" w:color="auto"/>
            <w:right w:val="none" w:sz="0" w:space="0" w:color="auto"/>
          </w:divBdr>
        </w:div>
        <w:div w:id="1885945239">
          <w:marLeft w:val="0"/>
          <w:marRight w:val="0"/>
          <w:marTop w:val="0"/>
          <w:marBottom w:val="0"/>
          <w:divBdr>
            <w:top w:val="none" w:sz="0" w:space="0" w:color="auto"/>
            <w:left w:val="none" w:sz="0" w:space="0" w:color="auto"/>
            <w:bottom w:val="none" w:sz="0" w:space="0" w:color="auto"/>
            <w:right w:val="none" w:sz="0" w:space="0" w:color="auto"/>
          </w:divBdr>
        </w:div>
        <w:div w:id="1983540580">
          <w:marLeft w:val="0"/>
          <w:marRight w:val="0"/>
          <w:marTop w:val="0"/>
          <w:marBottom w:val="0"/>
          <w:divBdr>
            <w:top w:val="none" w:sz="0" w:space="0" w:color="auto"/>
            <w:left w:val="none" w:sz="0" w:space="0" w:color="auto"/>
            <w:bottom w:val="none" w:sz="0" w:space="0" w:color="auto"/>
            <w:right w:val="none" w:sz="0" w:space="0" w:color="auto"/>
          </w:divBdr>
        </w:div>
        <w:div w:id="2126656350">
          <w:marLeft w:val="0"/>
          <w:marRight w:val="0"/>
          <w:marTop w:val="0"/>
          <w:marBottom w:val="0"/>
          <w:divBdr>
            <w:top w:val="none" w:sz="0" w:space="0" w:color="auto"/>
            <w:left w:val="none" w:sz="0" w:space="0" w:color="auto"/>
            <w:bottom w:val="none" w:sz="0" w:space="0" w:color="auto"/>
            <w:right w:val="none" w:sz="0" w:space="0" w:color="auto"/>
          </w:divBdr>
        </w:div>
      </w:divsChild>
    </w:div>
  </w:divs>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https://apps.fcc.gov/edocs_public/attachmatch/DA-14-1255A1.pdf" TargetMode="External"/><Relationship Id="rId18" Type="http://schemas.openxmlformats.org/officeDocument/2006/relationships/hyperlink" Target="https://apps.fcc.gov/edocs_public/attachmatch/FCC-13-57A1.pdf" TargetMode="External"/><Relationship Id="rId26" Type="http://schemas.openxmlformats.org/officeDocument/2006/relationships/hyperlink" Target="https://apps.fcc.gov/edocs_public/attachmatch/DA-14-1128A1.pdf" TargetMode="External"/><Relationship Id="rId39" Type="http://schemas.openxmlformats.org/officeDocument/2006/relationships/hyperlink" Target="https://apps.fcc.gov/edocs_public/attachmatch/DA-13-1438A1.pdf" TargetMode="External"/><Relationship Id="rId21" Type="http://schemas.openxmlformats.org/officeDocument/2006/relationships/hyperlink" Target="https://apps.fcc.gov/edocs_public/attachmatch/DA-14-95A1.pdf" TargetMode="External"/><Relationship Id="rId34" Type="http://schemas.openxmlformats.org/officeDocument/2006/relationships/hyperlink" Target="https://apps.fcc.gov/edocs_public/attachmatch/DOC-321740A1.pdf" TargetMode="External"/><Relationship Id="rId42" Type="http://schemas.openxmlformats.org/officeDocument/2006/relationships/hyperlink" Target="https://apps.fcc.gov/edocs_public/attachmatch/FCC-13-45A1.pdf" TargetMode="External"/><Relationship Id="rId47" Type="http://schemas.openxmlformats.org/officeDocument/2006/relationships/hyperlink" Target="https://apps.fcc.gov/edocs_public/attachmatch/FCC-12-142A1.pdf" TargetMode="External"/><Relationship Id="rId50" Type="http://schemas.openxmlformats.org/officeDocument/2006/relationships/hyperlink" Target="https://apps.fcc.gov/edocs_public/attachmatch/FCC-13-77A1.pdf" TargetMode="External"/><Relationship Id="rId55" Type="http://schemas.openxmlformats.org/officeDocument/2006/relationships/hyperlink" Target="https://apps.fcc.gov/edocs_public/attachmatch/DOC-317786A1.pdf" TargetMode="External"/><Relationship Id="rId63" Type="http://schemas.openxmlformats.org/officeDocument/2006/relationships/hyperlink" Target="https://apps.fcc.gov/edocs_public/attachmatch/DOC-325600A1.pdf" TargetMode="External"/><Relationship Id="rId68" Type="http://schemas.openxmlformats.org/officeDocument/2006/relationships/hyperlink" Target="https://apps.fcc.gov/edocs_public/attachmatch/DOC-327495A1.pdf" TargetMode="External"/><Relationship Id="rId76" Type="http://schemas.openxmlformats.org/officeDocument/2006/relationships/hyperlink" Target="http://hraunfoss.fcc.gov/edocs_public/attachmatch/DOC-314799A1.pdf" TargetMode="External"/><Relationship Id="rId84"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yperlink" Target="http://www.fcc.gov/guides/21st-century-communications-and-video-accessibility-act-2010" TargetMode="External"/><Relationship Id="rId2" Type="http://schemas.openxmlformats.org/officeDocument/2006/relationships/styles" Target="styles.xml"/><Relationship Id="rId16" Type="http://schemas.openxmlformats.org/officeDocument/2006/relationships/hyperlink" Target="https://apps.fcc.gov/edocs_public/attachmatch/DA-12-1645A1.pdf" TargetMode="External"/><Relationship Id="rId29" Type="http://schemas.openxmlformats.org/officeDocument/2006/relationships/hyperlink" Target="https://apps.fcc.gov/edocs_public/attachmatch/DOC-319394A1.pdf" TargetMode="External"/><Relationship Id="rId11" Type="http://schemas.openxmlformats.org/officeDocument/2006/relationships/hyperlink" Target="https://apps.fcc.gov/edocs_public/attachmatch/DA-14-828A1.pdf" TargetMode="External"/><Relationship Id="rId24" Type="http://schemas.openxmlformats.org/officeDocument/2006/relationships/hyperlink" Target="https://apps.fcc.gov/edocs_public/attachmatch/DA-14-170A1.pdf" TargetMode="External"/><Relationship Id="rId32" Type="http://schemas.openxmlformats.org/officeDocument/2006/relationships/hyperlink" Target="https://apps.fcc.gov/edocs_public/attachmatch/DOC-321705A1.pdf" TargetMode="External"/><Relationship Id="rId37" Type="http://schemas.openxmlformats.org/officeDocument/2006/relationships/hyperlink" Target="https://apps.fcc.gov/edocs_public/attachmatch/FCC-14-118A1.pdf" TargetMode="External"/><Relationship Id="rId40" Type="http://schemas.openxmlformats.org/officeDocument/2006/relationships/hyperlink" Target="https://apps.fcc.gov/edocs_public/attachmatch/DA-14-945A1.pdf" TargetMode="External"/><Relationship Id="rId45" Type="http://schemas.openxmlformats.org/officeDocument/2006/relationships/hyperlink" Target="https://apps.fcc.gov/edocs_public/attachmatch/FCC-14-97A1.pdf" TargetMode="External"/><Relationship Id="rId53" Type="http://schemas.openxmlformats.org/officeDocument/2006/relationships/hyperlink" Target="https://apps.fcc.gov/edocs_public/attachmatch/FCC-13-138A1.pdf" TargetMode="External"/><Relationship Id="rId58" Type="http://schemas.openxmlformats.org/officeDocument/2006/relationships/hyperlink" Target="https://apps.fcc.gov/edocs_public/attachmatch/DOC-321040A1.pdf" TargetMode="External"/><Relationship Id="rId66" Type="http://schemas.openxmlformats.org/officeDocument/2006/relationships/hyperlink" Target="https://apps.fcc.gov/edocs_public/attachmatch/DOC-327441A1.pdf" TargetMode="External"/><Relationship Id="rId74" Type="http://schemas.openxmlformats.org/officeDocument/2006/relationships/hyperlink" Target="http://transition.fcc.gov/cgb/consumerfacts/NDBEDP.pdf" TargetMode="External"/><Relationship Id="rId79" Type="http://schemas.openxmlformats.org/officeDocument/2006/relationships/hyperlink" Target="http://www.fcc.gov/guides/display-captioning-equipment-used-view-video-programming" TargetMode="External"/><Relationship Id="rId87"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apps.fcc.gov/edocs_public/attachmatch/DOC-323766A1.pdf" TargetMode="External"/><Relationship Id="rId82" Type="http://schemas.openxmlformats.org/officeDocument/2006/relationships/header" Target="header2.xml"/><Relationship Id="rId19" Type="http://schemas.openxmlformats.org/officeDocument/2006/relationships/hyperlink" Target="https://apps.fcc.gov/edocs_public/attachmatch/DA-13-1686A1.pdf" TargetMode="External"/><Relationship Id="rId4" Type="http://schemas.openxmlformats.org/officeDocument/2006/relationships/settings" Target="settings.xml"/><Relationship Id="rId9" Type="http://schemas.openxmlformats.org/officeDocument/2006/relationships/hyperlink" Target="http://www.icanconnect.org/" TargetMode="External"/><Relationship Id="rId14" Type="http://schemas.openxmlformats.org/officeDocument/2006/relationships/hyperlink" Target="https://apps.fcc.gov/edocs_public/attachmatch/DA-13-1601A1.pdf" TargetMode="External"/><Relationship Id="rId22" Type="http://schemas.openxmlformats.org/officeDocument/2006/relationships/hyperlink" Target="https://apps.fcc.gov/edocs_public/attachmatch/DA-14-354A1.pdf" TargetMode="External"/><Relationship Id="rId27" Type="http://schemas.openxmlformats.org/officeDocument/2006/relationships/hyperlink" Target="https://apps.fcc.gov/edocs_public/attachmatch/FCC-12-149A1.pdf" TargetMode="External"/><Relationship Id="rId30" Type="http://schemas.openxmlformats.org/officeDocument/2006/relationships/hyperlink" Target="https://apps.fcc.gov/edocs_public/attachmatch/DOC-319386A1.pdf" TargetMode="External"/><Relationship Id="rId35" Type="http://schemas.openxmlformats.org/officeDocument/2006/relationships/hyperlink" Target="https://apps.fcc.gov/edocs_public/attachmatch/DOC-322164A1.pdf" TargetMode="External"/><Relationship Id="rId43" Type="http://schemas.openxmlformats.org/officeDocument/2006/relationships/hyperlink" Target="https://apps.fcc.gov/edocs_public/attachmatch/FCC-13-84A1.pdf" TargetMode="External"/><Relationship Id="rId48" Type="http://schemas.openxmlformats.org/officeDocument/2006/relationships/hyperlink" Target="https://apps.fcc.gov/edocs_public/attachmatch/FCC-13-45A1.pdf" TargetMode="External"/><Relationship Id="rId56" Type="http://schemas.openxmlformats.org/officeDocument/2006/relationships/hyperlink" Target="https://apps.fcc.gov/edocs_public/attachmatch/DOC-317918A1.pdf" TargetMode="External"/><Relationship Id="rId64" Type="http://schemas.openxmlformats.org/officeDocument/2006/relationships/hyperlink" Target="https://apps.fcc.gov/edocs_public/attachmatch/DOC-325592A1.pdf" TargetMode="External"/><Relationship Id="rId69" Type="http://schemas.openxmlformats.org/officeDocument/2006/relationships/hyperlink" Target="https://apps.fcc.gov/edocs_public/attachmatch/DOC-328151A1.pdf" TargetMode="External"/><Relationship Id="rId77" Type="http://schemas.openxmlformats.org/officeDocument/2006/relationships/hyperlink" Target="http://www.fcc.gov/guides/captioning-internet-video-programming" TargetMode="External"/><Relationship Id="rId8" Type="http://schemas.openxmlformats.org/officeDocument/2006/relationships/hyperlink" Target="http://fcc.gov/AccessibilityClearinghouse" TargetMode="External"/><Relationship Id="rId51" Type="http://schemas.openxmlformats.org/officeDocument/2006/relationships/hyperlink" Target="https://apps.fcc.gov/edocs_public/attachmatch/FCC-13-138A1.pdf" TargetMode="External"/><Relationship Id="rId72" Type="http://schemas.openxmlformats.org/officeDocument/2006/relationships/hyperlink" Target="http://www.fcc.gov/cgb/consumerfacts/CVAA-access-act.pdf" TargetMode="External"/><Relationship Id="rId80" Type="http://schemas.openxmlformats.org/officeDocument/2006/relationships/hyperlink" Target="http://www.fcc.gov/cgb/consumerfacts/captionsequipment.pdf" TargetMode="External"/><Relationship Id="rId85" Type="http://schemas.openxmlformats.org/officeDocument/2006/relationships/header" Target="header3.xml"/><Relationship Id="rId3"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s://apps.fcc.gov/edocs_public/attachmatch/DA-13-114A1.pdf" TargetMode="External"/><Relationship Id="rId25" Type="http://schemas.openxmlformats.org/officeDocument/2006/relationships/hyperlink" Target="https://apps.fcc.gov/edocs_public/attachmatch/DA-14-947A1.pdf" TargetMode="External"/><Relationship Id="rId33" Type="http://schemas.openxmlformats.org/officeDocument/2006/relationships/hyperlink" Target="https://apps.fcc.gov/edocs_public/attachmatch/DOC-321704A1.pdf" TargetMode="External"/><Relationship Id="rId38" Type="http://schemas.openxmlformats.org/officeDocument/2006/relationships/hyperlink" Target="https://apps.fcc.gov/edocs_public/attachmatch/FCC-13-45A1.pdf" TargetMode="External"/><Relationship Id="rId46" Type="http://schemas.openxmlformats.org/officeDocument/2006/relationships/hyperlink" Target="https://apps.fcc.gov/edocs_public/attachmatch/FCC-13-84A1.pdf" TargetMode="External"/><Relationship Id="rId59" Type="http://schemas.openxmlformats.org/officeDocument/2006/relationships/hyperlink" Target="https://apps.fcc.gov/edocs_public/attachmatch/DOC-323140A1.pdf" TargetMode="External"/><Relationship Id="rId67" Type="http://schemas.openxmlformats.org/officeDocument/2006/relationships/hyperlink" Target="https://apps.fcc.gov/edocs_public/attachmatch/DOC-327485A1.pdf" TargetMode="External"/><Relationship Id="rId20" Type="http://schemas.openxmlformats.org/officeDocument/2006/relationships/hyperlink" Target="https://apps.fcc.gov/edocs_public/attachmatch/DA-13-2177A1.pdf" TargetMode="External"/><Relationship Id="rId41" Type="http://schemas.openxmlformats.org/officeDocument/2006/relationships/hyperlink" Target="https://apps.fcc.gov/edocs_public/attachmatch/FCC-12-142A1.pdf" TargetMode="External"/><Relationship Id="rId54" Type="http://schemas.openxmlformats.org/officeDocument/2006/relationships/hyperlink" Target="https://apps.fcc.gov/edocs_public/attachmatch/DOC-317727A1.pdf" TargetMode="External"/><Relationship Id="rId62" Type="http://schemas.openxmlformats.org/officeDocument/2006/relationships/hyperlink" Target="https://apps.fcc.gov/edocs_public/attachmatch/DOC-325351A1.pdf" TargetMode="External"/><Relationship Id="rId70" Type="http://schemas.openxmlformats.org/officeDocument/2006/relationships/hyperlink" Target="https://apps.fcc.gov/edocs_public/attachmatch/DOC-328173A1.pdf" TargetMode="External"/><Relationship Id="rId75" Type="http://schemas.openxmlformats.org/officeDocument/2006/relationships/hyperlink" Target="http://www.fcc.gov/guides/video-description" TargetMode="External"/><Relationship Id="rId83" Type="http://schemas.openxmlformats.org/officeDocument/2006/relationships/footer" Target="footer1.xml"/><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apps.fcc.gov/edocs_public/attachmatch/FCC-14-125A1.pdf" TargetMode="External"/><Relationship Id="rId23" Type="http://schemas.openxmlformats.org/officeDocument/2006/relationships/hyperlink" Target="https://apps.fcc.gov/edocs_public/attachmatch/DA-13-1488A1.pdf" TargetMode="External"/><Relationship Id="rId28" Type="http://schemas.openxmlformats.org/officeDocument/2006/relationships/hyperlink" Target="https://apps.fcc.gov/edocs_public/attachmatch/DOC-319329A1.pdf" TargetMode="External"/><Relationship Id="rId36" Type="http://schemas.openxmlformats.org/officeDocument/2006/relationships/hyperlink" Target="https://apps.fcc.gov/edocs_public/attachmatch/FCC-14-6A1.pdf" TargetMode="External"/><Relationship Id="rId49" Type="http://schemas.openxmlformats.org/officeDocument/2006/relationships/hyperlink" Target="https://apps.fcc.gov/edocs_public/attachmatch/FCC-13-138A1.pdf" TargetMode="External"/><Relationship Id="rId57" Type="http://schemas.openxmlformats.org/officeDocument/2006/relationships/hyperlink" Target="https://apps.fcc.gov/edocs_public/attachmatch/DOC-318051A1.pdf" TargetMode="External"/><Relationship Id="rId10" Type="http://schemas.openxmlformats.org/officeDocument/2006/relationships/hyperlink" Target="http://www.fcc.gov/cgb/ecfs/" TargetMode="External"/><Relationship Id="rId31" Type="http://schemas.openxmlformats.org/officeDocument/2006/relationships/hyperlink" Target="https://apps.fcc.gov/edocs_public/attachmatch/FCC-13-64A1.pdf" TargetMode="External"/><Relationship Id="rId44" Type="http://schemas.openxmlformats.org/officeDocument/2006/relationships/hyperlink" Target="https://apps.fcc.gov/edocs_public/attachmatch/DA-13-2392A1.pdf" TargetMode="External"/><Relationship Id="rId52" Type="http://schemas.openxmlformats.org/officeDocument/2006/relationships/hyperlink" Target="https://apps.fcc.gov/edocs_public/attachmatch/FCC-13-77A1.pdf" TargetMode="External"/><Relationship Id="rId60" Type="http://schemas.openxmlformats.org/officeDocument/2006/relationships/hyperlink" Target="https://apps.fcc.gov/edocs_public/attachmatch/DOC-323761A1.pdf" TargetMode="External"/><Relationship Id="rId65" Type="http://schemas.openxmlformats.org/officeDocument/2006/relationships/hyperlink" Target="https://apps.fcc.gov/edocs_public/attachmatch/DOC-325695A1.pdf" TargetMode="External"/><Relationship Id="rId73" Type="http://schemas.openxmlformats.org/officeDocument/2006/relationships/hyperlink" Target="http://www.fcc.gov/guides/national-deaf-blind-equipment-distribution-program" TargetMode="External"/><Relationship Id="rId78" Type="http://schemas.openxmlformats.org/officeDocument/2006/relationships/hyperlink" Target="http://www.fcc.gov/cgb/consumerfacts/captionsinternet.pdf" TargetMode="External"/><Relationship Id="rId81" Type="http://schemas.openxmlformats.org/officeDocument/2006/relationships/header" Target="header1.xml"/><Relationship Id="rId86" Type="http://schemas.openxmlformats.org/officeDocument/2006/relationships/footer" Target="footer3.xml"/></Relationships>
</file>

<file path=word/_rels/footnotes.xml.rels><?xml version="1.0" encoding="UTF-8" standalone="yes"?>
<Relationships xmlns="http://schemas.openxmlformats.org/package/2006/relationships"><Relationship Id="rId26" Type="http://schemas.openxmlformats.org/officeDocument/2006/relationships/hyperlink" Target="https://apps.fcc.gov/edocs_public/attachmatch/FCC-11-151A1.pdf" TargetMode="External"/><Relationship Id="rId21" Type="http://schemas.openxmlformats.org/officeDocument/2006/relationships/hyperlink" Target="http://www.technologyreview.com/featuredstory/513376/smart-watches/" TargetMode="External"/><Relationship Id="rId42" Type="http://schemas.openxmlformats.org/officeDocument/2006/relationships/hyperlink" Target="mailto:Clearinghouse@fcc.gov" TargetMode="External"/><Relationship Id="rId47" Type="http://schemas.openxmlformats.org/officeDocument/2006/relationships/hyperlink" Target="http://apps.fcc.gov/ecfs/document/view?id=7520958851" TargetMode="External"/><Relationship Id="rId63" Type="http://schemas.openxmlformats.org/officeDocument/2006/relationships/hyperlink" Target="https://apps.fcc.gov/edocs_public/attachmatch/DOC-321740A1.pdf" TargetMode="External"/><Relationship Id="rId68" Type="http://schemas.openxmlformats.org/officeDocument/2006/relationships/hyperlink" Target="https://apps.fcc.gov/edocs_public/attachmatch/FCC-14-118A1.pdf" TargetMode="External"/><Relationship Id="rId84" Type="http://schemas.openxmlformats.org/officeDocument/2006/relationships/hyperlink" Target="https://apps.fcc.gov/edocs_public/attachmatch/DA-12-1354A1.pdf" TargetMode="External"/><Relationship Id="rId89" Type="http://schemas.openxmlformats.org/officeDocument/2006/relationships/hyperlink" Target="https://apps.fcc.gov/edocs_public/attachmatch/FCC-14-97A1.pdf" TargetMode="External"/><Relationship Id="rId112" Type="http://schemas.openxmlformats.org/officeDocument/2006/relationships/hyperlink" Target="http://www.fcc.gov/events/accessibility-innovation-initiative-speaker-series-presents-clayton-lewis-future-inclusive-de" TargetMode="External"/><Relationship Id="rId16" Type="http://schemas.openxmlformats.org/officeDocument/2006/relationships/hyperlink" Target="http://www.fcc.gov/lifeline" TargetMode="External"/><Relationship Id="rId107" Type="http://schemas.openxmlformats.org/officeDocument/2006/relationships/hyperlink" Target="http://www.broadband.gov/accessibilityandinnovation/" TargetMode="External"/><Relationship Id="rId11" Type="http://schemas.openxmlformats.org/officeDocument/2006/relationships/hyperlink" Target="https://apps.fcc.gov/edocs_public/attachmatch/FCC-07-110A1.pdf" TargetMode="External"/><Relationship Id="rId24" Type="http://schemas.openxmlformats.org/officeDocument/2006/relationships/hyperlink" Target="https://apps.fcc.gov/edocs_public/attachmatch/FCC-14-125A1.pdf" TargetMode="External"/><Relationship Id="rId32" Type="http://schemas.openxmlformats.org/officeDocument/2006/relationships/hyperlink" Target="https://apps.fcc.gov/edocs_public/attachmatch/DA-12-1645A1.pdf" TargetMode="External"/><Relationship Id="rId37" Type="http://schemas.openxmlformats.org/officeDocument/2006/relationships/hyperlink" Target="https://apps.fcc.gov/edocs_public/attachmatch/DA-14-95A1.pdf" TargetMode="External"/><Relationship Id="rId40" Type="http://schemas.openxmlformats.org/officeDocument/2006/relationships/hyperlink" Target="https://apps.fcc.gov/edocs_public/attachmatch/DA-14-1403A1.pdf" TargetMode="External"/><Relationship Id="rId45" Type="http://schemas.openxmlformats.org/officeDocument/2006/relationships/hyperlink" Target="https://apps.fcc.gov/edocs_public/attachmatch/DA-12-1050A1.pdf" TargetMode="External"/><Relationship Id="rId53" Type="http://schemas.openxmlformats.org/officeDocument/2006/relationships/hyperlink" Target="https://apps.fcc.gov/edocs_public/attachmatch/DA-14-947A1.pdf" TargetMode="External"/><Relationship Id="rId58" Type="http://schemas.openxmlformats.org/officeDocument/2006/relationships/hyperlink" Target="https://apps.fcc.gov/edocs_public/attachmatch/DOC-319329A1.pdf" TargetMode="External"/><Relationship Id="rId66" Type="http://schemas.openxmlformats.org/officeDocument/2006/relationships/hyperlink" Target="https://apps.fcc.gov/edocs_public/attachmatch/FCC-13-64A1.pdf" TargetMode="External"/><Relationship Id="rId74" Type="http://schemas.openxmlformats.org/officeDocument/2006/relationships/hyperlink" Target="https://apps.fcc.gov/edocs_public/attachmatch/DOC-329402A1.pdf" TargetMode="External"/><Relationship Id="rId79" Type="http://schemas.openxmlformats.org/officeDocument/2006/relationships/hyperlink" Target="https://apps.fcc.gov/edocs_public/attachmatch/DA-14-945A1.pdf" TargetMode="External"/><Relationship Id="rId87" Type="http://schemas.openxmlformats.org/officeDocument/2006/relationships/hyperlink" Target="https://apps.fcc.gov/edocs_public/attachmatch/FCC-13-84A1.pdf" TargetMode="External"/><Relationship Id="rId102" Type="http://schemas.openxmlformats.org/officeDocument/2006/relationships/hyperlink" Target="https://apps.fcc.gov/edocs_public/attachmatch/FCC-13-138A1.pdf" TargetMode="External"/><Relationship Id="rId110" Type="http://schemas.openxmlformats.org/officeDocument/2006/relationships/hyperlink" Target="http://www.fcc.gov/events/accessing-social-media" TargetMode="External"/><Relationship Id="rId115" Type="http://schemas.openxmlformats.org/officeDocument/2006/relationships/hyperlink" Target="http://g3ict.org/" TargetMode="External"/><Relationship Id="rId5" Type="http://schemas.openxmlformats.org/officeDocument/2006/relationships/hyperlink" Target="https://apps.fcc.gov/edocs_public/attachmatch/FCC-13-138A1.pdf" TargetMode="External"/><Relationship Id="rId61" Type="http://schemas.openxmlformats.org/officeDocument/2006/relationships/hyperlink" Target="https://apps.fcc.gov/edocs_public/attachmatch/DOC-321705A1.pdf" TargetMode="External"/><Relationship Id="rId82" Type="http://schemas.openxmlformats.org/officeDocument/2006/relationships/hyperlink" Target="https://apps.fcc.gov/edocs_public/attachmatch/FCC-13-45A1.pdf" TargetMode="External"/><Relationship Id="rId90" Type="http://schemas.openxmlformats.org/officeDocument/2006/relationships/hyperlink" Target="https://apps.fcc.gov/edocs_public/attachmatch/FCC-12-83A1.pdf" TargetMode="External"/><Relationship Id="rId95" Type="http://schemas.openxmlformats.org/officeDocument/2006/relationships/hyperlink" Target="https://apps.fcc.gov/edocs_public/attachmatch/DOC-314131A1.pdf" TargetMode="External"/><Relationship Id="rId19" Type="http://schemas.openxmlformats.org/officeDocument/2006/relationships/hyperlink" Target="https://apps.fcc.gov/edocs_public/attachmatch/DA-13-2177A1.pdf" TargetMode="External"/><Relationship Id="rId14" Type="http://schemas.openxmlformats.org/officeDocument/2006/relationships/hyperlink" Target="http://apps.fcc.gov/ecfs/document/view?id=7521707584" TargetMode="External"/><Relationship Id="rId22" Type="http://schemas.openxmlformats.org/officeDocument/2006/relationships/hyperlink" Target="http://www.google.com/glass/start/what-it-does/" TargetMode="External"/><Relationship Id="rId27" Type="http://schemas.openxmlformats.org/officeDocument/2006/relationships/hyperlink" Target="https://apps.fcc.gov/edocs_public/attachmatch/DA-13-114A1.pdf" TargetMode="External"/><Relationship Id="rId30" Type="http://schemas.openxmlformats.org/officeDocument/2006/relationships/hyperlink" Target="https://apps.fcc.gov/edocs_public/attachmatch/DA-13-2177A1.pdf" TargetMode="External"/><Relationship Id="rId35" Type="http://schemas.openxmlformats.org/officeDocument/2006/relationships/hyperlink" Target="http://apps.fcc.gov/ecfs/document/view?id=7021902591" TargetMode="External"/><Relationship Id="rId43" Type="http://schemas.openxmlformats.org/officeDocument/2006/relationships/hyperlink" Target="https://apps.fcc.gov/edocs_public/attachmatch/FCC-11-56A1.pdf" TargetMode="External"/><Relationship Id="rId48" Type="http://schemas.openxmlformats.org/officeDocument/2006/relationships/hyperlink" Target="http://www.fcc.gov/ndbedp" TargetMode="External"/><Relationship Id="rId56" Type="http://schemas.openxmlformats.org/officeDocument/2006/relationships/hyperlink" Target="http://transition.fcc.gov/cgb/dro/EAAC/EAAC-REPORT.pdf" TargetMode="External"/><Relationship Id="rId64" Type="http://schemas.openxmlformats.org/officeDocument/2006/relationships/hyperlink" Target="https://apps.fcc.gov/edocs_public/attachmatch/DOC-322164A1.pdf" TargetMode="External"/><Relationship Id="rId69" Type="http://schemas.openxmlformats.org/officeDocument/2006/relationships/hyperlink" Target="https://apps.fcc.gov/edocs_public/attachmatch/DA-10-2320A1.pdf" TargetMode="External"/><Relationship Id="rId77" Type="http://schemas.openxmlformats.org/officeDocument/2006/relationships/hyperlink" Target="https://apps.fcc.gov/edocs_public/attachmatch/FCC-11-126A1.pdf" TargetMode="External"/><Relationship Id="rId100" Type="http://schemas.openxmlformats.org/officeDocument/2006/relationships/hyperlink" Target="https://apps.fcc.gov/edocs_public/attachmatch/FCC-13-138A1.pdf" TargetMode="External"/><Relationship Id="rId105" Type="http://schemas.openxmlformats.org/officeDocument/2006/relationships/hyperlink" Target="https://apps.fcc.gov/edocs_public/attachmatch/FCC-13-77A1.pdf" TargetMode="External"/><Relationship Id="rId113" Type="http://schemas.openxmlformats.org/officeDocument/2006/relationships/hyperlink" Target="http://www.fcc.gov/events/accessibility-innovation-initiative-speaker-series-presents-yevgen-borodin-improving-accessib" TargetMode="External"/><Relationship Id="rId8" Type="http://schemas.openxmlformats.org/officeDocument/2006/relationships/hyperlink" Target="https://apps.fcc.gov/edocs_public/attachmatch/DA-14-828A1.pdf" TargetMode="External"/><Relationship Id="rId51" Type="http://schemas.openxmlformats.org/officeDocument/2006/relationships/hyperlink" Target="http://www.r-l-s-a.com/TRS/2013-2014%20NDBEDP%20Reimbursement%20requests.xlsx" TargetMode="External"/><Relationship Id="rId72" Type="http://schemas.openxmlformats.org/officeDocument/2006/relationships/hyperlink" Target="https://apps.fcc.gov/edocs_public/attachmatch/DOC-329400A1.pdf" TargetMode="External"/><Relationship Id="rId80" Type="http://schemas.openxmlformats.org/officeDocument/2006/relationships/hyperlink" Target="https://apps.fcc.gov/edocs_public/attachmatch/FCC-13-45A1.pdf" TargetMode="External"/><Relationship Id="rId85" Type="http://schemas.openxmlformats.org/officeDocument/2006/relationships/hyperlink" Target="http://apps.fcc.gov/ecfs/document/view?id=7021914512" TargetMode="External"/><Relationship Id="rId93" Type="http://schemas.openxmlformats.org/officeDocument/2006/relationships/hyperlink" Target="http://apps.fcc.gov/ecfs/document/view?id=7021910648" TargetMode="External"/><Relationship Id="rId98" Type="http://schemas.openxmlformats.org/officeDocument/2006/relationships/hyperlink" Target="https://apps.fcc.gov/edocs_public/attachmatch/FCC-12-142A1.pdf" TargetMode="External"/><Relationship Id="rId3" Type="http://schemas.openxmlformats.org/officeDocument/2006/relationships/hyperlink" Target="https://apps.fcc.gov/edocs_public/attachmatch/FCC-13-57A1.pdf" TargetMode="External"/><Relationship Id="rId12" Type="http://schemas.openxmlformats.org/officeDocument/2006/relationships/hyperlink" Target="https://apps.fcc.gov/edocs_public/attachmatch/FCC-13-57A1.pdf" TargetMode="External"/><Relationship Id="rId17" Type="http://schemas.openxmlformats.org/officeDocument/2006/relationships/hyperlink" Target="http://www.nydailynews.com/life-style/iphone-6-require-new-headphones-apple-fans-fuming-article-1.1826371" TargetMode="External"/><Relationship Id="rId25" Type="http://schemas.openxmlformats.org/officeDocument/2006/relationships/hyperlink" Target="https://apps.fcc.gov/edocs_public/attachmatch/FCC-11-150A1.pdf" TargetMode="External"/><Relationship Id="rId33" Type="http://schemas.openxmlformats.org/officeDocument/2006/relationships/hyperlink" Target="http://apps.fcc.gov/ecfs/document/view?id=7021902799" TargetMode="External"/><Relationship Id="rId38" Type="http://schemas.openxmlformats.org/officeDocument/2006/relationships/hyperlink" Target="https://apps.fcc.gov/edocs_public/attachmatch/DA-13-1686A1.pdf" TargetMode="External"/><Relationship Id="rId46" Type="http://schemas.openxmlformats.org/officeDocument/2006/relationships/hyperlink" Target="https://apps.fcc.gov/edocs_public/attachmatch/DA-12-910A1.pdf" TargetMode="External"/><Relationship Id="rId59" Type="http://schemas.openxmlformats.org/officeDocument/2006/relationships/hyperlink" Target="https://apps.fcc.gov/edocs_public/attachmatch/DOC-319394A1.pdf" TargetMode="External"/><Relationship Id="rId67" Type="http://schemas.openxmlformats.org/officeDocument/2006/relationships/hyperlink" Target="https://apps.fcc.gov/edocs_public/attachmatch/FCC-14-6A1.pdf" TargetMode="External"/><Relationship Id="rId103" Type="http://schemas.openxmlformats.org/officeDocument/2006/relationships/hyperlink" Target="http://apps.fcc.gov/ecfs/document/view?id=7521066871" TargetMode="External"/><Relationship Id="rId108" Type="http://schemas.openxmlformats.org/officeDocument/2006/relationships/hyperlink" Target="http://www.fcc.gov/document/chairman-wheeler-honors-innovators-accessibility" TargetMode="External"/><Relationship Id="rId20" Type="http://schemas.openxmlformats.org/officeDocument/2006/relationships/hyperlink" Target="https://apps.fcc.gov/edocs_public/attachmatch/DA-13-2177A1.pdf" TargetMode="External"/><Relationship Id="rId41" Type="http://schemas.openxmlformats.org/officeDocument/2006/relationships/hyperlink" Target="http://apps.fcc.gov/ecfs/document/view?id=7022314526" TargetMode="External"/><Relationship Id="rId54" Type="http://schemas.openxmlformats.org/officeDocument/2006/relationships/hyperlink" Target="http://transition.fcc.gov/Daily_Releases/Daily_Business/2014/db0801/DA-14-1128A1.pdf" TargetMode="External"/><Relationship Id="rId62" Type="http://schemas.openxmlformats.org/officeDocument/2006/relationships/hyperlink" Target="https://apps.fcc.gov/edocs_public/attachmatch/DOC-321704A1.pdf" TargetMode="External"/><Relationship Id="rId70" Type="http://schemas.openxmlformats.org/officeDocument/2006/relationships/hyperlink" Target="http://www.fcc.gov/encyclopedia/video-programming-accessibility-advisory-committee-vpaac" TargetMode="External"/><Relationship Id="rId75" Type="http://schemas.openxmlformats.org/officeDocument/2006/relationships/hyperlink" Target="https://apps.fcc.gov/edocs_public/attachmatch/DA-12-636A1.pdf" TargetMode="External"/><Relationship Id="rId83" Type="http://schemas.openxmlformats.org/officeDocument/2006/relationships/hyperlink" Target="https://apps.fcc.gov/edocs_public/attachmatch/FCC-12-9A1.pdf" TargetMode="External"/><Relationship Id="rId88" Type="http://schemas.openxmlformats.org/officeDocument/2006/relationships/hyperlink" Target="https://apps.fcc.gov/edocs_public/attachmatch/DA-13-2392A1.pdf" TargetMode="External"/><Relationship Id="rId91" Type="http://schemas.openxmlformats.org/officeDocument/2006/relationships/hyperlink" Target="https://apps.fcc.gov/edocs_public/attachmatch/FCC-12-9A1.pdf" TargetMode="External"/><Relationship Id="rId96" Type="http://schemas.openxmlformats.org/officeDocument/2006/relationships/hyperlink" Target="http://hraunfoss.fcc.gov/edocs_public/attachmatch/FCC-13-84A1.pdf" TargetMode="External"/><Relationship Id="rId111" Type="http://schemas.openxmlformats.org/officeDocument/2006/relationships/hyperlink" Target="http://www.fcc.gov/events/accessing-social-media" TargetMode="External"/><Relationship Id="rId1" Type="http://schemas.openxmlformats.org/officeDocument/2006/relationships/hyperlink" Target="https://apps.fcc.gov/edocs_public/attachmatch/DA-12-1602A1.pdf" TargetMode="External"/><Relationship Id="rId6" Type="http://schemas.openxmlformats.org/officeDocument/2006/relationships/hyperlink" Target="https://apps.fcc.gov/edocs_public/attachmatch/FCC-14-97A1.pdf" TargetMode="External"/><Relationship Id="rId15" Type="http://schemas.openxmlformats.org/officeDocument/2006/relationships/hyperlink" Target="https://apps.fcc.gov/edocs_public/attachmatch/DA-12-1645A1.pdf" TargetMode="External"/><Relationship Id="rId23" Type="http://schemas.openxmlformats.org/officeDocument/2006/relationships/hyperlink" Target="https://apps.fcc.gov/edocs_public/attachmatch/DA-13-1601A1.pdf" TargetMode="External"/><Relationship Id="rId28" Type="http://schemas.openxmlformats.org/officeDocument/2006/relationships/hyperlink" Target="https://apps.fcc.gov/edocs_public/attachmatch/DA-14-354A1.pdf" TargetMode="External"/><Relationship Id="rId36" Type="http://schemas.openxmlformats.org/officeDocument/2006/relationships/hyperlink" Target="https://apps.fcc.gov/edocs_public/attachmatch/DA-12-759A1.pdf" TargetMode="External"/><Relationship Id="rId49" Type="http://schemas.openxmlformats.org/officeDocument/2006/relationships/hyperlink" Target="http://r-l-s-a.com/TRS/2012-2013%20NDBEDP%20Reimbursement%20requests.xlsx" TargetMode="External"/><Relationship Id="rId57" Type="http://schemas.openxmlformats.org/officeDocument/2006/relationships/hyperlink" Target="https://apps.fcc.gov/edocs_public/attachmatch/DOC-312161A1.pdf" TargetMode="External"/><Relationship Id="rId106" Type="http://schemas.openxmlformats.org/officeDocument/2006/relationships/hyperlink" Target="https://apps.fcc.gov/edocs_public/attachmatch/FCC-13-138A1.pdf" TargetMode="External"/><Relationship Id="rId114" Type="http://schemas.openxmlformats.org/officeDocument/2006/relationships/hyperlink" Target="http://www.fcc.gov/events/accessibility-innovation-initiative-speaker-series-presents-dr-juan-e-gilbert-innovation-voti" TargetMode="External"/><Relationship Id="rId10" Type="http://schemas.openxmlformats.org/officeDocument/2006/relationships/hyperlink" Target="http://www.fcc.gov/guides/disabled-persons-telecommunications-access-section-255" TargetMode="External"/><Relationship Id="rId31" Type="http://schemas.openxmlformats.org/officeDocument/2006/relationships/hyperlink" Target="http://www.fcc.gov/document/fcc-adds-american-sign-language-consumer-support-line-videophone" TargetMode="External"/><Relationship Id="rId44" Type="http://schemas.openxmlformats.org/officeDocument/2006/relationships/hyperlink" Target="https://apps.fcc.gov/edocs_public/attachmatch/DA-12-1051A1.pdf" TargetMode="External"/><Relationship Id="rId52" Type="http://schemas.openxmlformats.org/officeDocument/2006/relationships/hyperlink" Target="https://apps.fcc.gov/edocs_public/attachmatch/DA-14-170A1.pdf" TargetMode="External"/><Relationship Id="rId60" Type="http://schemas.openxmlformats.org/officeDocument/2006/relationships/hyperlink" Target="https://apps.fcc.gov/edocs_public/attachmatch/DOC-319386A1.pdf" TargetMode="External"/><Relationship Id="rId65" Type="http://schemas.openxmlformats.org/officeDocument/2006/relationships/hyperlink" Target="https://apps.fcc.gov/edocs_public/attachmatch/FCC-12-149A1.pdf" TargetMode="External"/><Relationship Id="rId73" Type="http://schemas.openxmlformats.org/officeDocument/2006/relationships/hyperlink" Target="https://apps.fcc.gov/edocs_public/attachmatch/DOC-329401A1.pdf" TargetMode="External"/><Relationship Id="rId78" Type="http://schemas.openxmlformats.org/officeDocument/2006/relationships/hyperlink" Target="https://apps.fcc.gov/edocs_public/attachmatch/DA-13-1438A1.pdf" TargetMode="External"/><Relationship Id="rId81" Type="http://schemas.openxmlformats.org/officeDocument/2006/relationships/hyperlink" Target="https://apps.fcc.gov/edocs_public/attachmatch/FCC-12-142A1.pdf" TargetMode="External"/><Relationship Id="rId86" Type="http://schemas.openxmlformats.org/officeDocument/2006/relationships/hyperlink" Target="https://apps.fcc.gov/edocs_public/attachmatch/DOC-314131A1.pdf" TargetMode="External"/><Relationship Id="rId94" Type="http://schemas.openxmlformats.org/officeDocument/2006/relationships/hyperlink" Target="http://apps.fcc.gov/ecfs/document/view?id=7021914512" TargetMode="External"/><Relationship Id="rId99" Type="http://schemas.openxmlformats.org/officeDocument/2006/relationships/hyperlink" Target="https://apps.fcc.gov/edocs_public/attachmatch/FCC-13-45A1.pdf" TargetMode="External"/><Relationship Id="rId101" Type="http://schemas.openxmlformats.org/officeDocument/2006/relationships/hyperlink" Target="https://apps.fcc.gov/edocs_public/attachmatch/FCC-13-77A1.pdf" TargetMode="External"/><Relationship Id="rId4" Type="http://schemas.openxmlformats.org/officeDocument/2006/relationships/hyperlink" Target="https://apps.fcc.gov/edocs_public/attachmatch/FCC-13-64A1.pdf" TargetMode="External"/><Relationship Id="rId9" Type="http://schemas.openxmlformats.org/officeDocument/2006/relationships/hyperlink" Target="https://apps.fcc.gov/edocs_public/attachmatch/DA-14-1255A1.pdf" TargetMode="External"/><Relationship Id="rId13" Type="http://schemas.openxmlformats.org/officeDocument/2006/relationships/hyperlink" Target="http://www.fcc.gov/guides/telecommunications-relay-service-trs" TargetMode="External"/><Relationship Id="rId18" Type="http://schemas.openxmlformats.org/officeDocument/2006/relationships/hyperlink" Target="http://online.wsj.com/articles/fcc-questions-verizon-plan-to-manage-data-speeds-for-some-costumers-1406756051" TargetMode="External"/><Relationship Id="rId39" Type="http://schemas.openxmlformats.org/officeDocument/2006/relationships/hyperlink" Target="http://apps.fcc.gov/ecfs/document/view?id=7521827908" TargetMode="External"/><Relationship Id="rId109" Type="http://schemas.openxmlformats.org/officeDocument/2006/relationships/hyperlink" Target="http://www.fcc.gov/events/accessing-social-media" TargetMode="External"/><Relationship Id="rId34" Type="http://schemas.openxmlformats.org/officeDocument/2006/relationships/hyperlink" Target="http://apps.fcc.gov/ecfs/document/view?id=7021921284" TargetMode="External"/><Relationship Id="rId50" Type="http://schemas.openxmlformats.org/officeDocument/2006/relationships/hyperlink" Target="https://apps.fcc.gov/edocs_public/attachmatch/DA-13-1488A1.pdf" TargetMode="External"/><Relationship Id="rId55" Type="http://schemas.openxmlformats.org/officeDocument/2006/relationships/hyperlink" Target="https://apps.fcc.gov/edocs_public/attachmatch/DA-10-2318A1.pdf" TargetMode="External"/><Relationship Id="rId76" Type="http://schemas.openxmlformats.org/officeDocument/2006/relationships/hyperlink" Target="https://apps.fcc.gov/edocs_public/attachmatch/DA-12-635A1.pdf" TargetMode="External"/><Relationship Id="rId97" Type="http://schemas.openxmlformats.org/officeDocument/2006/relationships/hyperlink" Target="https://apps.fcc.gov/edocs_public/attachmatch/FCC-13-84A1.pdf" TargetMode="External"/><Relationship Id="rId104" Type="http://schemas.openxmlformats.org/officeDocument/2006/relationships/hyperlink" Target="https://apps.fcc.gov/edocs_public/attachmatch/DA-14-159A1.pdf" TargetMode="External"/><Relationship Id="rId7" Type="http://schemas.openxmlformats.org/officeDocument/2006/relationships/hyperlink" Target="https://apps.fcc.gov/edocs_public/attachmatch/FCC-14-118A1.pdf" TargetMode="External"/><Relationship Id="rId71" Type="http://schemas.openxmlformats.org/officeDocument/2006/relationships/hyperlink" Target="http://transition.fcc.gov/cgb/dro/VPAAC/First_VPAAC_Report_to_the_FCC_7-11-11_FINAL.pdf" TargetMode="External"/><Relationship Id="rId92" Type="http://schemas.openxmlformats.org/officeDocument/2006/relationships/hyperlink" Target="http://apps.fcc.gov/ecfs/document/view?id=7021914799" TargetMode="External"/><Relationship Id="rId2" Type="http://schemas.openxmlformats.org/officeDocument/2006/relationships/hyperlink" Target="https://apps.fcc.gov/edocs_public/attachmatch/FCC-13-45A1.pdf" TargetMode="External"/><Relationship Id="rId29" Type="http://schemas.openxmlformats.org/officeDocument/2006/relationships/hyperlink" Target="https://apps.fcc.gov/edocs_public/attachmatch/FCC-13-57A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26149</Words>
  <Characters>156749</Characters>
  <Application>Microsoft Office Word</Application>
  <DocSecurity>0</DocSecurity>
  <Lines>2796</Lines>
  <Paragraphs>747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183143</CharactersWithSpaces>
  <SharedDoc>false</SharedDoc>
  <HyperlinkBase> </HyperlinkBase>
  <HLinks>
    <vt:vector size="1158" baseType="variant">
      <vt:variant>
        <vt:i4>2490484</vt:i4>
      </vt:variant>
      <vt:variant>
        <vt:i4>234</vt:i4>
      </vt:variant>
      <vt:variant>
        <vt:i4>0</vt:i4>
      </vt:variant>
      <vt:variant>
        <vt:i4>5</vt:i4>
      </vt:variant>
      <vt:variant>
        <vt:lpwstr>http://www.fcc.gov/cgb/consumerfacts/captionsequipment.pdf</vt:lpwstr>
      </vt:variant>
      <vt:variant>
        <vt:lpwstr/>
      </vt:variant>
      <vt:variant>
        <vt:i4>8060963</vt:i4>
      </vt:variant>
      <vt:variant>
        <vt:i4>231</vt:i4>
      </vt:variant>
      <vt:variant>
        <vt:i4>0</vt:i4>
      </vt:variant>
      <vt:variant>
        <vt:i4>5</vt:i4>
      </vt:variant>
      <vt:variant>
        <vt:lpwstr>http://www.fcc.gov/guides/display-captioning-equipment-used-view-video-programming</vt:lpwstr>
      </vt:variant>
      <vt:variant>
        <vt:lpwstr/>
      </vt:variant>
      <vt:variant>
        <vt:i4>65604</vt:i4>
      </vt:variant>
      <vt:variant>
        <vt:i4>228</vt:i4>
      </vt:variant>
      <vt:variant>
        <vt:i4>0</vt:i4>
      </vt:variant>
      <vt:variant>
        <vt:i4>5</vt:i4>
      </vt:variant>
      <vt:variant>
        <vt:lpwstr>http://www.fcc.gov/cgb/consumerfacts/captionsinternet.pdf</vt:lpwstr>
      </vt:variant>
      <vt:variant>
        <vt:lpwstr/>
      </vt:variant>
      <vt:variant>
        <vt:i4>8257645</vt:i4>
      </vt:variant>
      <vt:variant>
        <vt:i4>225</vt:i4>
      </vt:variant>
      <vt:variant>
        <vt:i4>0</vt:i4>
      </vt:variant>
      <vt:variant>
        <vt:i4>5</vt:i4>
      </vt:variant>
      <vt:variant>
        <vt:lpwstr>http://www.fcc.gov/guides/captioning-internet-video-programming</vt:lpwstr>
      </vt:variant>
      <vt:variant>
        <vt:lpwstr/>
      </vt:variant>
      <vt:variant>
        <vt:i4>6488079</vt:i4>
      </vt:variant>
      <vt:variant>
        <vt:i4>222</vt:i4>
      </vt:variant>
      <vt:variant>
        <vt:i4>0</vt:i4>
      </vt:variant>
      <vt:variant>
        <vt:i4>5</vt:i4>
      </vt:variant>
      <vt:variant>
        <vt:lpwstr>http://hraunfoss.fcc.gov/edocs_public/attachmatch/DOC-314799A1.pdf</vt:lpwstr>
      </vt:variant>
      <vt:variant>
        <vt:lpwstr/>
      </vt:variant>
      <vt:variant>
        <vt:i4>3014718</vt:i4>
      </vt:variant>
      <vt:variant>
        <vt:i4>219</vt:i4>
      </vt:variant>
      <vt:variant>
        <vt:i4>0</vt:i4>
      </vt:variant>
      <vt:variant>
        <vt:i4>5</vt:i4>
      </vt:variant>
      <vt:variant>
        <vt:lpwstr>http://www.fcc.gov/guides/video-description</vt:lpwstr>
      </vt:variant>
      <vt:variant>
        <vt:lpwstr/>
      </vt:variant>
      <vt:variant>
        <vt:i4>6488103</vt:i4>
      </vt:variant>
      <vt:variant>
        <vt:i4>216</vt:i4>
      </vt:variant>
      <vt:variant>
        <vt:i4>0</vt:i4>
      </vt:variant>
      <vt:variant>
        <vt:i4>5</vt:i4>
      </vt:variant>
      <vt:variant>
        <vt:lpwstr>http://transition.fcc.gov/cgb/consumerfacts/NDBEDP.pdf</vt:lpwstr>
      </vt:variant>
      <vt:variant>
        <vt:lpwstr/>
      </vt:variant>
      <vt:variant>
        <vt:i4>4587614</vt:i4>
      </vt:variant>
      <vt:variant>
        <vt:i4>213</vt:i4>
      </vt:variant>
      <vt:variant>
        <vt:i4>0</vt:i4>
      </vt:variant>
      <vt:variant>
        <vt:i4>5</vt:i4>
      </vt:variant>
      <vt:variant>
        <vt:lpwstr>http://www.fcc.gov/guides/national-deaf-blind-equipment-distribution-program</vt:lpwstr>
      </vt:variant>
      <vt:variant>
        <vt:lpwstr/>
      </vt:variant>
      <vt:variant>
        <vt:i4>786510</vt:i4>
      </vt:variant>
      <vt:variant>
        <vt:i4>210</vt:i4>
      </vt:variant>
      <vt:variant>
        <vt:i4>0</vt:i4>
      </vt:variant>
      <vt:variant>
        <vt:i4>5</vt:i4>
      </vt:variant>
      <vt:variant>
        <vt:lpwstr>http://www.fcc.gov/cgb/consumerfacts/CVAA-access-act.pdf</vt:lpwstr>
      </vt:variant>
      <vt:variant>
        <vt:lpwstr/>
      </vt:variant>
      <vt:variant>
        <vt:i4>6815861</vt:i4>
      </vt:variant>
      <vt:variant>
        <vt:i4>207</vt:i4>
      </vt:variant>
      <vt:variant>
        <vt:i4>0</vt:i4>
      </vt:variant>
      <vt:variant>
        <vt:i4>5</vt:i4>
      </vt:variant>
      <vt:variant>
        <vt:lpwstr>http://www.fcc.gov/guides/21st-century-communications-and-video-accessibility-act-2010</vt:lpwstr>
      </vt:variant>
      <vt:variant>
        <vt:lpwstr/>
      </vt:variant>
      <vt:variant>
        <vt:i4>3014727</vt:i4>
      </vt:variant>
      <vt:variant>
        <vt:i4>204</vt:i4>
      </vt:variant>
      <vt:variant>
        <vt:i4>0</vt:i4>
      </vt:variant>
      <vt:variant>
        <vt:i4>5</vt:i4>
      </vt:variant>
      <vt:variant>
        <vt:lpwstr>https://apps.fcc.gov/edocs_public/attachmatch/DOC-328173A1.pdf</vt:lpwstr>
      </vt:variant>
      <vt:variant>
        <vt:lpwstr/>
      </vt:variant>
      <vt:variant>
        <vt:i4>2883653</vt:i4>
      </vt:variant>
      <vt:variant>
        <vt:i4>201</vt:i4>
      </vt:variant>
      <vt:variant>
        <vt:i4>0</vt:i4>
      </vt:variant>
      <vt:variant>
        <vt:i4>5</vt:i4>
      </vt:variant>
      <vt:variant>
        <vt:lpwstr>https://apps.fcc.gov/edocs_public/attachmatch/DOC-328151A1.pdf</vt:lpwstr>
      </vt:variant>
      <vt:variant>
        <vt:lpwstr/>
      </vt:variant>
      <vt:variant>
        <vt:i4>2949190</vt:i4>
      </vt:variant>
      <vt:variant>
        <vt:i4>198</vt:i4>
      </vt:variant>
      <vt:variant>
        <vt:i4>0</vt:i4>
      </vt:variant>
      <vt:variant>
        <vt:i4>5</vt:i4>
      </vt:variant>
      <vt:variant>
        <vt:lpwstr>https://apps.fcc.gov/edocs_public/attachmatch/DOC-327495A1.pdf</vt:lpwstr>
      </vt:variant>
      <vt:variant>
        <vt:lpwstr/>
      </vt:variant>
      <vt:variant>
        <vt:i4>2949191</vt:i4>
      </vt:variant>
      <vt:variant>
        <vt:i4>195</vt:i4>
      </vt:variant>
      <vt:variant>
        <vt:i4>0</vt:i4>
      </vt:variant>
      <vt:variant>
        <vt:i4>5</vt:i4>
      </vt:variant>
      <vt:variant>
        <vt:lpwstr>https://apps.fcc.gov/edocs_public/attachmatch/DOC-327485A1.pdf</vt:lpwstr>
      </vt:variant>
      <vt:variant>
        <vt:lpwstr/>
      </vt:variant>
      <vt:variant>
        <vt:i4>2687051</vt:i4>
      </vt:variant>
      <vt:variant>
        <vt:i4>192</vt:i4>
      </vt:variant>
      <vt:variant>
        <vt:i4>0</vt:i4>
      </vt:variant>
      <vt:variant>
        <vt:i4>5</vt:i4>
      </vt:variant>
      <vt:variant>
        <vt:lpwstr>https://apps.fcc.gov/edocs_public/attachmatch/DOC-327441A1.pdf</vt:lpwstr>
      </vt:variant>
      <vt:variant>
        <vt:lpwstr/>
      </vt:variant>
      <vt:variant>
        <vt:i4>3080260</vt:i4>
      </vt:variant>
      <vt:variant>
        <vt:i4>189</vt:i4>
      </vt:variant>
      <vt:variant>
        <vt:i4>0</vt:i4>
      </vt:variant>
      <vt:variant>
        <vt:i4>5</vt:i4>
      </vt:variant>
      <vt:variant>
        <vt:lpwstr>https://apps.fcc.gov/edocs_public/attachmatch/DOC-325695A1.pdf</vt:lpwstr>
      </vt:variant>
      <vt:variant>
        <vt:lpwstr/>
      </vt:variant>
      <vt:variant>
        <vt:i4>2818116</vt:i4>
      </vt:variant>
      <vt:variant>
        <vt:i4>186</vt:i4>
      </vt:variant>
      <vt:variant>
        <vt:i4>0</vt:i4>
      </vt:variant>
      <vt:variant>
        <vt:i4>5</vt:i4>
      </vt:variant>
      <vt:variant>
        <vt:lpwstr>https://apps.fcc.gov/edocs_public/attachmatch/DOC-325592A1.pdf</vt:lpwstr>
      </vt:variant>
      <vt:variant>
        <vt:lpwstr/>
      </vt:variant>
      <vt:variant>
        <vt:i4>2752589</vt:i4>
      </vt:variant>
      <vt:variant>
        <vt:i4>183</vt:i4>
      </vt:variant>
      <vt:variant>
        <vt:i4>0</vt:i4>
      </vt:variant>
      <vt:variant>
        <vt:i4>5</vt:i4>
      </vt:variant>
      <vt:variant>
        <vt:lpwstr>https://apps.fcc.gov/edocs_public/attachmatch/DOC-325600A1.pdf</vt:lpwstr>
      </vt:variant>
      <vt:variant>
        <vt:lpwstr/>
      </vt:variant>
      <vt:variant>
        <vt:i4>3014728</vt:i4>
      </vt:variant>
      <vt:variant>
        <vt:i4>180</vt:i4>
      </vt:variant>
      <vt:variant>
        <vt:i4>0</vt:i4>
      </vt:variant>
      <vt:variant>
        <vt:i4>5</vt:i4>
      </vt:variant>
      <vt:variant>
        <vt:lpwstr>https://apps.fcc.gov/edocs_public/attachmatch/DOC-325351A1.pdf</vt:lpwstr>
      </vt:variant>
      <vt:variant>
        <vt:lpwstr/>
      </vt:variant>
      <vt:variant>
        <vt:i4>2949197</vt:i4>
      </vt:variant>
      <vt:variant>
        <vt:i4>177</vt:i4>
      </vt:variant>
      <vt:variant>
        <vt:i4>0</vt:i4>
      </vt:variant>
      <vt:variant>
        <vt:i4>5</vt:i4>
      </vt:variant>
      <vt:variant>
        <vt:lpwstr>https://apps.fcc.gov/edocs_public/attachmatch/DOC-323766A1.pdf</vt:lpwstr>
      </vt:variant>
      <vt:variant>
        <vt:lpwstr/>
      </vt:variant>
      <vt:variant>
        <vt:i4>2752589</vt:i4>
      </vt:variant>
      <vt:variant>
        <vt:i4>174</vt:i4>
      </vt:variant>
      <vt:variant>
        <vt:i4>0</vt:i4>
      </vt:variant>
      <vt:variant>
        <vt:i4>5</vt:i4>
      </vt:variant>
      <vt:variant>
        <vt:lpwstr>https://apps.fcc.gov/edocs_public/attachmatch/DOC-323761A1.pdf</vt:lpwstr>
      </vt:variant>
      <vt:variant>
        <vt:lpwstr/>
      </vt:variant>
      <vt:variant>
        <vt:i4>2949199</vt:i4>
      </vt:variant>
      <vt:variant>
        <vt:i4>171</vt:i4>
      </vt:variant>
      <vt:variant>
        <vt:i4>0</vt:i4>
      </vt:variant>
      <vt:variant>
        <vt:i4>5</vt:i4>
      </vt:variant>
      <vt:variant>
        <vt:lpwstr>https://apps.fcc.gov/edocs_public/attachmatch/DOC-323140A1.pdf</vt:lpwstr>
      </vt:variant>
      <vt:variant>
        <vt:lpwstr/>
      </vt:variant>
      <vt:variant>
        <vt:i4>2883661</vt:i4>
      </vt:variant>
      <vt:variant>
        <vt:i4>168</vt:i4>
      </vt:variant>
      <vt:variant>
        <vt:i4>0</vt:i4>
      </vt:variant>
      <vt:variant>
        <vt:i4>5</vt:i4>
      </vt:variant>
      <vt:variant>
        <vt:lpwstr>https://apps.fcc.gov/edocs_public/attachmatch/DOC-321040A1.pdf</vt:lpwstr>
      </vt:variant>
      <vt:variant>
        <vt:lpwstr/>
      </vt:variant>
      <vt:variant>
        <vt:i4>3014725</vt:i4>
      </vt:variant>
      <vt:variant>
        <vt:i4>165</vt:i4>
      </vt:variant>
      <vt:variant>
        <vt:i4>0</vt:i4>
      </vt:variant>
      <vt:variant>
        <vt:i4>5</vt:i4>
      </vt:variant>
      <vt:variant>
        <vt:lpwstr>https://apps.fcc.gov/edocs_public/attachmatch/DOC-318051A1.pdf</vt:lpwstr>
      </vt:variant>
      <vt:variant>
        <vt:lpwstr/>
      </vt:variant>
      <vt:variant>
        <vt:i4>3014734</vt:i4>
      </vt:variant>
      <vt:variant>
        <vt:i4>162</vt:i4>
      </vt:variant>
      <vt:variant>
        <vt:i4>0</vt:i4>
      </vt:variant>
      <vt:variant>
        <vt:i4>5</vt:i4>
      </vt:variant>
      <vt:variant>
        <vt:lpwstr>https://apps.fcc.gov/edocs_public/attachmatch/DOC-317918A1.pdf</vt:lpwstr>
      </vt:variant>
      <vt:variant>
        <vt:lpwstr/>
      </vt:variant>
      <vt:variant>
        <vt:i4>3014727</vt:i4>
      </vt:variant>
      <vt:variant>
        <vt:i4>159</vt:i4>
      </vt:variant>
      <vt:variant>
        <vt:i4>0</vt:i4>
      </vt:variant>
      <vt:variant>
        <vt:i4>5</vt:i4>
      </vt:variant>
      <vt:variant>
        <vt:lpwstr>https://apps.fcc.gov/edocs_public/attachmatch/DOC-317786A1.pdf</vt:lpwstr>
      </vt:variant>
      <vt:variant>
        <vt:lpwstr/>
      </vt:variant>
      <vt:variant>
        <vt:i4>3080269</vt:i4>
      </vt:variant>
      <vt:variant>
        <vt:i4>156</vt:i4>
      </vt:variant>
      <vt:variant>
        <vt:i4>0</vt:i4>
      </vt:variant>
      <vt:variant>
        <vt:i4>5</vt:i4>
      </vt:variant>
      <vt:variant>
        <vt:lpwstr>https://apps.fcc.gov/edocs_public/attachmatch/DOC-317727A1.pdf</vt:lpwstr>
      </vt:variant>
      <vt:variant>
        <vt:lpwstr/>
      </vt:variant>
      <vt:variant>
        <vt:i4>2621526</vt:i4>
      </vt:variant>
      <vt:variant>
        <vt:i4>153</vt:i4>
      </vt:variant>
      <vt:variant>
        <vt:i4>0</vt:i4>
      </vt:variant>
      <vt:variant>
        <vt:i4>5</vt:i4>
      </vt:variant>
      <vt:variant>
        <vt:lpwstr>https://apps.fcc.gov/edocs_public/attachmatch/FCC-13-138A1.pdf</vt:lpwstr>
      </vt:variant>
      <vt:variant>
        <vt:lpwstr/>
      </vt:variant>
      <vt:variant>
        <vt:i4>1703992</vt:i4>
      </vt:variant>
      <vt:variant>
        <vt:i4>150</vt:i4>
      </vt:variant>
      <vt:variant>
        <vt:i4>0</vt:i4>
      </vt:variant>
      <vt:variant>
        <vt:i4>5</vt:i4>
      </vt:variant>
      <vt:variant>
        <vt:lpwstr>https://apps.fcc.gov/edocs_public/attachmatch/FCC-13-77A1.pdf</vt:lpwstr>
      </vt:variant>
      <vt:variant>
        <vt:lpwstr/>
      </vt:variant>
      <vt:variant>
        <vt:i4>2621526</vt:i4>
      </vt:variant>
      <vt:variant>
        <vt:i4>147</vt:i4>
      </vt:variant>
      <vt:variant>
        <vt:i4>0</vt:i4>
      </vt:variant>
      <vt:variant>
        <vt:i4>5</vt:i4>
      </vt:variant>
      <vt:variant>
        <vt:lpwstr>https://apps.fcc.gov/edocs_public/attachmatch/FCC-13-138A1.pdf</vt:lpwstr>
      </vt:variant>
      <vt:variant>
        <vt:lpwstr/>
      </vt:variant>
      <vt:variant>
        <vt:i4>1703992</vt:i4>
      </vt:variant>
      <vt:variant>
        <vt:i4>144</vt:i4>
      </vt:variant>
      <vt:variant>
        <vt:i4>0</vt:i4>
      </vt:variant>
      <vt:variant>
        <vt:i4>5</vt:i4>
      </vt:variant>
      <vt:variant>
        <vt:lpwstr>https://apps.fcc.gov/edocs_public/attachmatch/FCC-13-77A1.pdf</vt:lpwstr>
      </vt:variant>
      <vt:variant>
        <vt:lpwstr/>
      </vt:variant>
      <vt:variant>
        <vt:i4>2621526</vt:i4>
      </vt:variant>
      <vt:variant>
        <vt:i4>141</vt:i4>
      </vt:variant>
      <vt:variant>
        <vt:i4>0</vt:i4>
      </vt:variant>
      <vt:variant>
        <vt:i4>5</vt:i4>
      </vt:variant>
      <vt:variant>
        <vt:lpwstr>https://apps.fcc.gov/edocs_public/attachmatch/FCC-13-138A1.pdf</vt:lpwstr>
      </vt:variant>
      <vt:variant>
        <vt:lpwstr/>
      </vt:variant>
      <vt:variant>
        <vt:i4>1638458</vt:i4>
      </vt:variant>
      <vt:variant>
        <vt:i4>138</vt:i4>
      </vt:variant>
      <vt:variant>
        <vt:i4>0</vt:i4>
      </vt:variant>
      <vt:variant>
        <vt:i4>5</vt:i4>
      </vt:variant>
      <vt:variant>
        <vt:lpwstr>https://apps.fcc.gov/edocs_public/attachmatch/FCC-13-45A1.pdf</vt:lpwstr>
      </vt:variant>
      <vt:variant>
        <vt:lpwstr/>
      </vt:variant>
      <vt:variant>
        <vt:i4>2293841</vt:i4>
      </vt:variant>
      <vt:variant>
        <vt:i4>135</vt:i4>
      </vt:variant>
      <vt:variant>
        <vt:i4>0</vt:i4>
      </vt:variant>
      <vt:variant>
        <vt:i4>5</vt:i4>
      </vt:variant>
      <vt:variant>
        <vt:lpwstr>https://apps.fcc.gov/edocs_public/attachmatch/FCC-12-142A1.pdf</vt:lpwstr>
      </vt:variant>
      <vt:variant>
        <vt:lpwstr/>
      </vt:variant>
      <vt:variant>
        <vt:i4>1376315</vt:i4>
      </vt:variant>
      <vt:variant>
        <vt:i4>132</vt:i4>
      </vt:variant>
      <vt:variant>
        <vt:i4>0</vt:i4>
      </vt:variant>
      <vt:variant>
        <vt:i4>5</vt:i4>
      </vt:variant>
      <vt:variant>
        <vt:lpwstr>https://apps.fcc.gov/edocs_public/attachmatch/FCC-13-84A1.pdf</vt:lpwstr>
      </vt:variant>
      <vt:variant>
        <vt:lpwstr/>
      </vt:variant>
      <vt:variant>
        <vt:i4>5701745</vt:i4>
      </vt:variant>
      <vt:variant>
        <vt:i4>129</vt:i4>
      </vt:variant>
      <vt:variant>
        <vt:i4>0</vt:i4>
      </vt:variant>
      <vt:variant>
        <vt:i4>5</vt:i4>
      </vt:variant>
      <vt:variant>
        <vt:lpwstr>http://hraunfoss.fcc.gov/edocs_public/attachmatch/FCC-13-84A1.pdf</vt:lpwstr>
      </vt:variant>
      <vt:variant>
        <vt:lpwstr/>
      </vt:variant>
      <vt:variant>
        <vt:i4>1245240</vt:i4>
      </vt:variant>
      <vt:variant>
        <vt:i4>126</vt:i4>
      </vt:variant>
      <vt:variant>
        <vt:i4>0</vt:i4>
      </vt:variant>
      <vt:variant>
        <vt:i4>5</vt:i4>
      </vt:variant>
      <vt:variant>
        <vt:lpwstr>https://apps.fcc.gov/edocs_public/attachmatch/FCC-14-97A1.pdf</vt:lpwstr>
      </vt:variant>
      <vt:variant>
        <vt:lpwstr/>
      </vt:variant>
      <vt:variant>
        <vt:i4>1245240</vt:i4>
      </vt:variant>
      <vt:variant>
        <vt:i4>123</vt:i4>
      </vt:variant>
      <vt:variant>
        <vt:i4>0</vt:i4>
      </vt:variant>
      <vt:variant>
        <vt:i4>5</vt:i4>
      </vt:variant>
      <vt:variant>
        <vt:lpwstr>https://apps.fcc.gov/edocs_public/attachmatch/FCC-14-97A1.pdf</vt:lpwstr>
      </vt:variant>
      <vt:variant>
        <vt:lpwstr/>
      </vt:variant>
      <vt:variant>
        <vt:i4>2097165</vt:i4>
      </vt:variant>
      <vt:variant>
        <vt:i4>120</vt:i4>
      </vt:variant>
      <vt:variant>
        <vt:i4>0</vt:i4>
      </vt:variant>
      <vt:variant>
        <vt:i4>5</vt:i4>
      </vt:variant>
      <vt:variant>
        <vt:lpwstr>https://apps.fcc.gov/edocs_public/attachmatch/DA-13-2392A1.pdf</vt:lpwstr>
      </vt:variant>
      <vt:variant>
        <vt:lpwstr/>
      </vt:variant>
      <vt:variant>
        <vt:i4>6422599</vt:i4>
      </vt:variant>
      <vt:variant>
        <vt:i4>117</vt:i4>
      </vt:variant>
      <vt:variant>
        <vt:i4>0</vt:i4>
      </vt:variant>
      <vt:variant>
        <vt:i4>5</vt:i4>
      </vt:variant>
      <vt:variant>
        <vt:lpwstr>http://hraunfoss.fcc.gov/edocs_public/attachmatch/DA-13-2392A1.pdf</vt:lpwstr>
      </vt:variant>
      <vt:variant>
        <vt:lpwstr/>
      </vt:variant>
      <vt:variant>
        <vt:i4>1376315</vt:i4>
      </vt:variant>
      <vt:variant>
        <vt:i4>114</vt:i4>
      </vt:variant>
      <vt:variant>
        <vt:i4>0</vt:i4>
      </vt:variant>
      <vt:variant>
        <vt:i4>5</vt:i4>
      </vt:variant>
      <vt:variant>
        <vt:lpwstr>https://apps.fcc.gov/edocs_public/attachmatch/FCC-13-84A1.pdf</vt:lpwstr>
      </vt:variant>
      <vt:variant>
        <vt:lpwstr/>
      </vt:variant>
      <vt:variant>
        <vt:i4>1638458</vt:i4>
      </vt:variant>
      <vt:variant>
        <vt:i4>111</vt:i4>
      </vt:variant>
      <vt:variant>
        <vt:i4>0</vt:i4>
      </vt:variant>
      <vt:variant>
        <vt:i4>5</vt:i4>
      </vt:variant>
      <vt:variant>
        <vt:lpwstr>https://apps.fcc.gov/edocs_public/attachmatch/FCC-13-45A1.pdf</vt:lpwstr>
      </vt:variant>
      <vt:variant>
        <vt:lpwstr/>
      </vt:variant>
      <vt:variant>
        <vt:i4>2293841</vt:i4>
      </vt:variant>
      <vt:variant>
        <vt:i4>108</vt:i4>
      </vt:variant>
      <vt:variant>
        <vt:i4>0</vt:i4>
      </vt:variant>
      <vt:variant>
        <vt:i4>5</vt:i4>
      </vt:variant>
      <vt:variant>
        <vt:lpwstr>https://apps.fcc.gov/edocs_public/attachmatch/FCC-12-142A1.pdf</vt:lpwstr>
      </vt:variant>
      <vt:variant>
        <vt:lpwstr/>
      </vt:variant>
      <vt:variant>
        <vt:i4>1638503</vt:i4>
      </vt:variant>
      <vt:variant>
        <vt:i4>105</vt:i4>
      </vt:variant>
      <vt:variant>
        <vt:i4>0</vt:i4>
      </vt:variant>
      <vt:variant>
        <vt:i4>5</vt:i4>
      </vt:variant>
      <vt:variant>
        <vt:lpwstr>https://apps.fcc.gov/edocs_public/attachmatch/DA-14-945A1.pdf</vt:lpwstr>
      </vt:variant>
      <vt:variant>
        <vt:lpwstr/>
      </vt:variant>
      <vt:variant>
        <vt:i4>2949124</vt:i4>
      </vt:variant>
      <vt:variant>
        <vt:i4>102</vt:i4>
      </vt:variant>
      <vt:variant>
        <vt:i4>0</vt:i4>
      </vt:variant>
      <vt:variant>
        <vt:i4>5</vt:i4>
      </vt:variant>
      <vt:variant>
        <vt:lpwstr>https://apps.fcc.gov/edocs_public/attachmatch/DA-13-1438A1.pdf</vt:lpwstr>
      </vt:variant>
      <vt:variant>
        <vt:lpwstr/>
      </vt:variant>
      <vt:variant>
        <vt:i4>7274574</vt:i4>
      </vt:variant>
      <vt:variant>
        <vt:i4>99</vt:i4>
      </vt:variant>
      <vt:variant>
        <vt:i4>0</vt:i4>
      </vt:variant>
      <vt:variant>
        <vt:i4>5</vt:i4>
      </vt:variant>
      <vt:variant>
        <vt:lpwstr>http://hraunfoss.fcc.gov/edocs_public/attachmatch/DA-13-1438A1.pdf</vt:lpwstr>
      </vt:variant>
      <vt:variant>
        <vt:lpwstr/>
      </vt:variant>
      <vt:variant>
        <vt:i4>1638458</vt:i4>
      </vt:variant>
      <vt:variant>
        <vt:i4>96</vt:i4>
      </vt:variant>
      <vt:variant>
        <vt:i4>0</vt:i4>
      </vt:variant>
      <vt:variant>
        <vt:i4>5</vt:i4>
      </vt:variant>
      <vt:variant>
        <vt:lpwstr>https://apps.fcc.gov/edocs_public/attachmatch/FCC-13-45A1.pdf</vt:lpwstr>
      </vt:variant>
      <vt:variant>
        <vt:lpwstr/>
      </vt:variant>
      <vt:variant>
        <vt:i4>3080276</vt:i4>
      </vt:variant>
      <vt:variant>
        <vt:i4>93</vt:i4>
      </vt:variant>
      <vt:variant>
        <vt:i4>0</vt:i4>
      </vt:variant>
      <vt:variant>
        <vt:i4>5</vt:i4>
      </vt:variant>
      <vt:variant>
        <vt:lpwstr>https://apps.fcc.gov/edocs_public/attachmatch/FCC-14-118A1.pdf</vt:lpwstr>
      </vt:variant>
      <vt:variant>
        <vt:lpwstr/>
      </vt:variant>
      <vt:variant>
        <vt:i4>1048677</vt:i4>
      </vt:variant>
      <vt:variant>
        <vt:i4>90</vt:i4>
      </vt:variant>
      <vt:variant>
        <vt:i4>0</vt:i4>
      </vt:variant>
      <vt:variant>
        <vt:i4>5</vt:i4>
      </vt:variant>
      <vt:variant>
        <vt:lpwstr>https://apps.fcc.gov/edocs_public/attachmatch/FCC-14-6A1.pdf</vt:lpwstr>
      </vt:variant>
      <vt:variant>
        <vt:lpwstr/>
      </vt:variant>
      <vt:variant>
        <vt:i4>2687052</vt:i4>
      </vt:variant>
      <vt:variant>
        <vt:i4>87</vt:i4>
      </vt:variant>
      <vt:variant>
        <vt:i4>0</vt:i4>
      </vt:variant>
      <vt:variant>
        <vt:i4>5</vt:i4>
      </vt:variant>
      <vt:variant>
        <vt:lpwstr>https://apps.fcc.gov/edocs_public/attachmatch/DOC-322164A1.pdf</vt:lpwstr>
      </vt:variant>
      <vt:variant>
        <vt:lpwstr/>
      </vt:variant>
      <vt:variant>
        <vt:i4>2818125</vt:i4>
      </vt:variant>
      <vt:variant>
        <vt:i4>84</vt:i4>
      </vt:variant>
      <vt:variant>
        <vt:i4>0</vt:i4>
      </vt:variant>
      <vt:variant>
        <vt:i4>5</vt:i4>
      </vt:variant>
      <vt:variant>
        <vt:lpwstr>https://apps.fcc.gov/edocs_public/attachmatch/DOC-321740A1.pdf</vt:lpwstr>
      </vt:variant>
      <vt:variant>
        <vt:lpwstr/>
      </vt:variant>
      <vt:variant>
        <vt:i4>3080265</vt:i4>
      </vt:variant>
      <vt:variant>
        <vt:i4>81</vt:i4>
      </vt:variant>
      <vt:variant>
        <vt:i4>0</vt:i4>
      </vt:variant>
      <vt:variant>
        <vt:i4>5</vt:i4>
      </vt:variant>
      <vt:variant>
        <vt:lpwstr>https://apps.fcc.gov/edocs_public/attachmatch/DOC-321704A1.pdf</vt:lpwstr>
      </vt:variant>
      <vt:variant>
        <vt:lpwstr/>
      </vt:variant>
      <vt:variant>
        <vt:i4>3014729</vt:i4>
      </vt:variant>
      <vt:variant>
        <vt:i4>78</vt:i4>
      </vt:variant>
      <vt:variant>
        <vt:i4>0</vt:i4>
      </vt:variant>
      <vt:variant>
        <vt:i4>5</vt:i4>
      </vt:variant>
      <vt:variant>
        <vt:lpwstr>https://apps.fcc.gov/edocs_public/attachmatch/DOC-321705A1.pdf</vt:lpwstr>
      </vt:variant>
      <vt:variant>
        <vt:lpwstr/>
      </vt:variant>
      <vt:variant>
        <vt:i4>1769531</vt:i4>
      </vt:variant>
      <vt:variant>
        <vt:i4>75</vt:i4>
      </vt:variant>
      <vt:variant>
        <vt:i4>0</vt:i4>
      </vt:variant>
      <vt:variant>
        <vt:i4>5</vt:i4>
      </vt:variant>
      <vt:variant>
        <vt:lpwstr>https://apps.fcc.gov/edocs_public/attachmatch/FCC-13-64A1.pdf</vt:lpwstr>
      </vt:variant>
      <vt:variant>
        <vt:lpwstr/>
      </vt:variant>
      <vt:variant>
        <vt:i4>2752585</vt:i4>
      </vt:variant>
      <vt:variant>
        <vt:i4>72</vt:i4>
      </vt:variant>
      <vt:variant>
        <vt:i4>0</vt:i4>
      </vt:variant>
      <vt:variant>
        <vt:i4>5</vt:i4>
      </vt:variant>
      <vt:variant>
        <vt:lpwstr>https://apps.fcc.gov/edocs_public/attachmatch/DOC-319386A1.pdf</vt:lpwstr>
      </vt:variant>
      <vt:variant>
        <vt:lpwstr/>
      </vt:variant>
      <vt:variant>
        <vt:i4>2621512</vt:i4>
      </vt:variant>
      <vt:variant>
        <vt:i4>69</vt:i4>
      </vt:variant>
      <vt:variant>
        <vt:i4>0</vt:i4>
      </vt:variant>
      <vt:variant>
        <vt:i4>5</vt:i4>
      </vt:variant>
      <vt:variant>
        <vt:lpwstr>https://apps.fcc.gov/edocs_public/attachmatch/DOC-319394A1.pdf</vt:lpwstr>
      </vt:variant>
      <vt:variant>
        <vt:lpwstr/>
      </vt:variant>
      <vt:variant>
        <vt:i4>2424899</vt:i4>
      </vt:variant>
      <vt:variant>
        <vt:i4>66</vt:i4>
      </vt:variant>
      <vt:variant>
        <vt:i4>0</vt:i4>
      </vt:variant>
      <vt:variant>
        <vt:i4>5</vt:i4>
      </vt:variant>
      <vt:variant>
        <vt:lpwstr>https://apps.fcc.gov/edocs_public/attachmatch/DOC-319329A1.pdf</vt:lpwstr>
      </vt:variant>
      <vt:variant>
        <vt:lpwstr/>
      </vt:variant>
      <vt:variant>
        <vt:i4>2621521</vt:i4>
      </vt:variant>
      <vt:variant>
        <vt:i4>63</vt:i4>
      </vt:variant>
      <vt:variant>
        <vt:i4>0</vt:i4>
      </vt:variant>
      <vt:variant>
        <vt:i4>5</vt:i4>
      </vt:variant>
      <vt:variant>
        <vt:lpwstr>https://apps.fcc.gov/edocs_public/attachmatch/FCC-12-149A1.pdf</vt:lpwstr>
      </vt:variant>
      <vt:variant>
        <vt:lpwstr/>
      </vt:variant>
      <vt:variant>
        <vt:i4>7077988</vt:i4>
      </vt:variant>
      <vt:variant>
        <vt:i4>60</vt:i4>
      </vt:variant>
      <vt:variant>
        <vt:i4>0</vt:i4>
      </vt:variant>
      <vt:variant>
        <vt:i4>5</vt:i4>
      </vt:variant>
      <vt:variant>
        <vt:lpwstr>http://transition.fcc.gov/Daily_Releases/Daily_Business/2014/db0801/DA-14-1128A1.pdf</vt:lpwstr>
      </vt:variant>
      <vt:variant>
        <vt:lpwstr/>
      </vt:variant>
      <vt:variant>
        <vt:i4>1704042</vt:i4>
      </vt:variant>
      <vt:variant>
        <vt:i4>57</vt:i4>
      </vt:variant>
      <vt:variant>
        <vt:i4>0</vt:i4>
      </vt:variant>
      <vt:variant>
        <vt:i4>5</vt:i4>
      </vt:variant>
      <vt:variant>
        <vt:lpwstr>https://apps.fcc.gov/edocs_public/attachmatch/DA-14-170A1.pdf</vt:lpwstr>
      </vt:variant>
      <vt:variant>
        <vt:lpwstr/>
      </vt:variant>
      <vt:variant>
        <vt:i4>1572972</vt:i4>
      </vt:variant>
      <vt:variant>
        <vt:i4>54</vt:i4>
      </vt:variant>
      <vt:variant>
        <vt:i4>0</vt:i4>
      </vt:variant>
      <vt:variant>
        <vt:i4>5</vt:i4>
      </vt:variant>
      <vt:variant>
        <vt:lpwstr>https://apps.fcc.gov/edocs_public/attachmatch/DA-14-354A1.pdf</vt:lpwstr>
      </vt:variant>
      <vt:variant>
        <vt:lpwstr/>
      </vt:variant>
      <vt:variant>
        <vt:i4>1310776</vt:i4>
      </vt:variant>
      <vt:variant>
        <vt:i4>51</vt:i4>
      </vt:variant>
      <vt:variant>
        <vt:i4>0</vt:i4>
      </vt:variant>
      <vt:variant>
        <vt:i4>5</vt:i4>
      </vt:variant>
      <vt:variant>
        <vt:lpwstr>https://apps.fcc.gov/edocs_public/attachmatch/DA-14-95A1.pdf</vt:lpwstr>
      </vt:variant>
      <vt:variant>
        <vt:lpwstr/>
      </vt:variant>
      <vt:variant>
        <vt:i4>2555907</vt:i4>
      </vt:variant>
      <vt:variant>
        <vt:i4>48</vt:i4>
      </vt:variant>
      <vt:variant>
        <vt:i4>0</vt:i4>
      </vt:variant>
      <vt:variant>
        <vt:i4>5</vt:i4>
      </vt:variant>
      <vt:variant>
        <vt:lpwstr>https://apps.fcc.gov/edocs_public/attachmatch/DA-13-2177A1.pdf</vt:lpwstr>
      </vt:variant>
      <vt:variant>
        <vt:lpwstr/>
      </vt:variant>
      <vt:variant>
        <vt:i4>2162703</vt:i4>
      </vt:variant>
      <vt:variant>
        <vt:i4>45</vt:i4>
      </vt:variant>
      <vt:variant>
        <vt:i4>0</vt:i4>
      </vt:variant>
      <vt:variant>
        <vt:i4>5</vt:i4>
      </vt:variant>
      <vt:variant>
        <vt:lpwstr>https://apps.fcc.gov/edocs_public/attachmatch/DA-13-1686A1.pdf</vt:lpwstr>
      </vt:variant>
      <vt:variant>
        <vt:lpwstr/>
      </vt:variant>
      <vt:variant>
        <vt:i4>1572920</vt:i4>
      </vt:variant>
      <vt:variant>
        <vt:i4>42</vt:i4>
      </vt:variant>
      <vt:variant>
        <vt:i4>0</vt:i4>
      </vt:variant>
      <vt:variant>
        <vt:i4>5</vt:i4>
      </vt:variant>
      <vt:variant>
        <vt:lpwstr>https://apps.fcc.gov/edocs_public/attachmatch/FCC-13-57A1.pdf</vt:lpwstr>
      </vt:variant>
      <vt:variant>
        <vt:lpwstr/>
      </vt:variant>
      <vt:variant>
        <vt:i4>1835113</vt:i4>
      </vt:variant>
      <vt:variant>
        <vt:i4>39</vt:i4>
      </vt:variant>
      <vt:variant>
        <vt:i4>0</vt:i4>
      </vt:variant>
      <vt:variant>
        <vt:i4>5</vt:i4>
      </vt:variant>
      <vt:variant>
        <vt:lpwstr>https://apps.fcc.gov/edocs_public/attachmatch/DA-13-114A1.pdf</vt:lpwstr>
      </vt:variant>
      <vt:variant>
        <vt:lpwstr/>
      </vt:variant>
      <vt:variant>
        <vt:i4>2228226</vt:i4>
      </vt:variant>
      <vt:variant>
        <vt:i4>36</vt:i4>
      </vt:variant>
      <vt:variant>
        <vt:i4>0</vt:i4>
      </vt:variant>
      <vt:variant>
        <vt:i4>5</vt:i4>
      </vt:variant>
      <vt:variant>
        <vt:lpwstr>https://apps.fcc.gov/edocs_public/attachmatch/DA-12-1645A1.pdf</vt:lpwstr>
      </vt:variant>
      <vt:variant>
        <vt:lpwstr/>
      </vt:variant>
      <vt:variant>
        <vt:i4>2228311</vt:i4>
      </vt:variant>
      <vt:variant>
        <vt:i4>33</vt:i4>
      </vt:variant>
      <vt:variant>
        <vt:i4>0</vt:i4>
      </vt:variant>
      <vt:variant>
        <vt:i4>5</vt:i4>
      </vt:variant>
      <vt:variant>
        <vt:lpwstr>https://apps.fcc.gov/edocs_public/attachmatch/FCC-14-125A1.pdf</vt:lpwstr>
      </vt:variant>
      <vt:variant>
        <vt:lpwstr/>
      </vt:variant>
      <vt:variant>
        <vt:i4>2490375</vt:i4>
      </vt:variant>
      <vt:variant>
        <vt:i4>30</vt:i4>
      </vt:variant>
      <vt:variant>
        <vt:i4>0</vt:i4>
      </vt:variant>
      <vt:variant>
        <vt:i4>5</vt:i4>
      </vt:variant>
      <vt:variant>
        <vt:lpwstr>https://apps.fcc.gov/edocs_public/attachmatch/DA-13-1601A1.pdf</vt:lpwstr>
      </vt:variant>
      <vt:variant>
        <vt:lpwstr/>
      </vt:variant>
      <vt:variant>
        <vt:i4>2490373</vt:i4>
      </vt:variant>
      <vt:variant>
        <vt:i4>27</vt:i4>
      </vt:variant>
      <vt:variant>
        <vt:i4>0</vt:i4>
      </vt:variant>
      <vt:variant>
        <vt:i4>5</vt:i4>
      </vt:variant>
      <vt:variant>
        <vt:lpwstr>https://apps.fcc.gov/edocs_public/attachmatch/DA-14-1255A1.pdf</vt:lpwstr>
      </vt:variant>
      <vt:variant>
        <vt:lpwstr/>
      </vt:variant>
      <vt:variant>
        <vt:i4>6946878</vt:i4>
      </vt:variant>
      <vt:variant>
        <vt:i4>24</vt:i4>
      </vt:variant>
      <vt:variant>
        <vt:i4>0</vt:i4>
      </vt:variant>
      <vt:variant>
        <vt:i4>5</vt:i4>
      </vt:variant>
      <vt:variant>
        <vt:lpwstr>http://apps.fcc.gov/ecfs/comment/view?id=6018253826</vt:lpwstr>
      </vt:variant>
      <vt:variant>
        <vt:lpwstr/>
      </vt:variant>
      <vt:variant>
        <vt:i4>7077950</vt:i4>
      </vt:variant>
      <vt:variant>
        <vt:i4>21</vt:i4>
      </vt:variant>
      <vt:variant>
        <vt:i4>0</vt:i4>
      </vt:variant>
      <vt:variant>
        <vt:i4>5</vt:i4>
      </vt:variant>
      <vt:variant>
        <vt:lpwstr>http://apps.fcc.gov/ecfs/comment/view?id=6018253849</vt:lpwstr>
      </vt:variant>
      <vt:variant>
        <vt:lpwstr/>
      </vt:variant>
      <vt:variant>
        <vt:i4>2031723</vt:i4>
      </vt:variant>
      <vt:variant>
        <vt:i4>18</vt:i4>
      </vt:variant>
      <vt:variant>
        <vt:i4>0</vt:i4>
      </vt:variant>
      <vt:variant>
        <vt:i4>5</vt:i4>
      </vt:variant>
      <vt:variant>
        <vt:lpwstr>https://apps.fcc.gov/edocs_public/attachmatch/DA-14-828A1.pdf</vt:lpwstr>
      </vt:variant>
      <vt:variant>
        <vt:lpwstr/>
      </vt:variant>
      <vt:variant>
        <vt:i4>1179653</vt:i4>
      </vt:variant>
      <vt:variant>
        <vt:i4>15</vt:i4>
      </vt:variant>
      <vt:variant>
        <vt:i4>0</vt:i4>
      </vt:variant>
      <vt:variant>
        <vt:i4>5</vt:i4>
      </vt:variant>
      <vt:variant>
        <vt:lpwstr>http://www.fcc.gov/cgb/ecfs/</vt:lpwstr>
      </vt:variant>
      <vt:variant>
        <vt:lpwstr/>
      </vt:variant>
      <vt:variant>
        <vt:i4>2097208</vt:i4>
      </vt:variant>
      <vt:variant>
        <vt:i4>12</vt:i4>
      </vt:variant>
      <vt:variant>
        <vt:i4>0</vt:i4>
      </vt:variant>
      <vt:variant>
        <vt:i4>5</vt:i4>
      </vt:variant>
      <vt:variant>
        <vt:lpwstr>http://www.fcc.gov/events/accessibility-innovation-initiative-speaker-series-presents-dr-juan-e-gilbert-innovation-voti</vt:lpwstr>
      </vt:variant>
      <vt:variant>
        <vt:lpwstr/>
      </vt:variant>
      <vt:variant>
        <vt:i4>8257633</vt:i4>
      </vt:variant>
      <vt:variant>
        <vt:i4>9</vt:i4>
      </vt:variant>
      <vt:variant>
        <vt:i4>0</vt:i4>
      </vt:variant>
      <vt:variant>
        <vt:i4>5</vt:i4>
      </vt:variant>
      <vt:variant>
        <vt:lpwstr>http://www.fcc.gov/events/accessibility-innovation-initiative-speaker-series-presents-yevgen-borodin-improving-accessib</vt:lpwstr>
      </vt:variant>
      <vt:variant>
        <vt:lpwstr/>
      </vt:variant>
      <vt:variant>
        <vt:i4>7077930</vt:i4>
      </vt:variant>
      <vt:variant>
        <vt:i4>6</vt:i4>
      </vt:variant>
      <vt:variant>
        <vt:i4>0</vt:i4>
      </vt:variant>
      <vt:variant>
        <vt:i4>5</vt:i4>
      </vt:variant>
      <vt:variant>
        <vt:lpwstr>http://www.fcc.gov/events/accessibility-innovation-initiative-speaker-series-presents-clayton-lewis-future-inclusive-de</vt:lpwstr>
      </vt:variant>
      <vt:variant>
        <vt:lpwstr/>
      </vt:variant>
      <vt:variant>
        <vt:i4>3604579</vt:i4>
      </vt:variant>
      <vt:variant>
        <vt:i4>3</vt:i4>
      </vt:variant>
      <vt:variant>
        <vt:i4>0</vt:i4>
      </vt:variant>
      <vt:variant>
        <vt:i4>5</vt:i4>
      </vt:variant>
      <vt:variant>
        <vt:lpwstr>http://www.icanconnect.org/</vt:lpwstr>
      </vt:variant>
      <vt:variant>
        <vt:lpwstr/>
      </vt:variant>
      <vt:variant>
        <vt:i4>4259852</vt:i4>
      </vt:variant>
      <vt:variant>
        <vt:i4>0</vt:i4>
      </vt:variant>
      <vt:variant>
        <vt:i4>0</vt:i4>
      </vt:variant>
      <vt:variant>
        <vt:i4>5</vt:i4>
      </vt:variant>
      <vt:variant>
        <vt:lpwstr>http://fcc.gov/AccessibilityClearinghouse</vt:lpwstr>
      </vt:variant>
      <vt:variant>
        <vt:lpwstr/>
      </vt:variant>
      <vt:variant>
        <vt:i4>5832709</vt:i4>
      </vt:variant>
      <vt:variant>
        <vt:i4>348</vt:i4>
      </vt:variant>
      <vt:variant>
        <vt:i4>0</vt:i4>
      </vt:variant>
      <vt:variant>
        <vt:i4>5</vt:i4>
      </vt:variant>
      <vt:variant>
        <vt:lpwstr>http://g3ict.org/</vt:lpwstr>
      </vt:variant>
      <vt:variant>
        <vt:lpwstr/>
      </vt:variant>
      <vt:variant>
        <vt:i4>2097208</vt:i4>
      </vt:variant>
      <vt:variant>
        <vt:i4>345</vt:i4>
      </vt:variant>
      <vt:variant>
        <vt:i4>0</vt:i4>
      </vt:variant>
      <vt:variant>
        <vt:i4>5</vt:i4>
      </vt:variant>
      <vt:variant>
        <vt:lpwstr>http://www.fcc.gov/events/accessibility-innovation-initiative-speaker-series-presents-dr-juan-e-gilbert-innovation-voti</vt:lpwstr>
      </vt:variant>
      <vt:variant>
        <vt:lpwstr/>
      </vt:variant>
      <vt:variant>
        <vt:i4>8257633</vt:i4>
      </vt:variant>
      <vt:variant>
        <vt:i4>342</vt:i4>
      </vt:variant>
      <vt:variant>
        <vt:i4>0</vt:i4>
      </vt:variant>
      <vt:variant>
        <vt:i4>5</vt:i4>
      </vt:variant>
      <vt:variant>
        <vt:lpwstr>http://www.fcc.gov/events/accessibility-innovation-initiative-speaker-series-presents-yevgen-borodin-improving-accessib</vt:lpwstr>
      </vt:variant>
      <vt:variant>
        <vt:lpwstr/>
      </vt:variant>
      <vt:variant>
        <vt:i4>7077930</vt:i4>
      </vt:variant>
      <vt:variant>
        <vt:i4>339</vt:i4>
      </vt:variant>
      <vt:variant>
        <vt:i4>0</vt:i4>
      </vt:variant>
      <vt:variant>
        <vt:i4>5</vt:i4>
      </vt:variant>
      <vt:variant>
        <vt:lpwstr>http://www.fcc.gov/events/accessibility-innovation-initiative-speaker-series-presents-clayton-lewis-future-inclusive-de</vt:lpwstr>
      </vt:variant>
      <vt:variant>
        <vt:lpwstr/>
      </vt:variant>
      <vt:variant>
        <vt:i4>5242905</vt:i4>
      </vt:variant>
      <vt:variant>
        <vt:i4>336</vt:i4>
      </vt:variant>
      <vt:variant>
        <vt:i4>0</vt:i4>
      </vt:variant>
      <vt:variant>
        <vt:i4>5</vt:i4>
      </vt:variant>
      <vt:variant>
        <vt:lpwstr>http://www.fcc.gov/events/accessing-social-media</vt:lpwstr>
      </vt:variant>
      <vt:variant>
        <vt:lpwstr/>
      </vt:variant>
      <vt:variant>
        <vt:i4>5242905</vt:i4>
      </vt:variant>
      <vt:variant>
        <vt:i4>333</vt:i4>
      </vt:variant>
      <vt:variant>
        <vt:i4>0</vt:i4>
      </vt:variant>
      <vt:variant>
        <vt:i4>5</vt:i4>
      </vt:variant>
      <vt:variant>
        <vt:lpwstr>http://www.fcc.gov/events/accessing-social-media</vt:lpwstr>
      </vt:variant>
      <vt:variant>
        <vt:lpwstr/>
      </vt:variant>
      <vt:variant>
        <vt:i4>5242905</vt:i4>
      </vt:variant>
      <vt:variant>
        <vt:i4>330</vt:i4>
      </vt:variant>
      <vt:variant>
        <vt:i4>0</vt:i4>
      </vt:variant>
      <vt:variant>
        <vt:i4>5</vt:i4>
      </vt:variant>
      <vt:variant>
        <vt:lpwstr>http://www.fcc.gov/events/accessing-social-media</vt:lpwstr>
      </vt:variant>
      <vt:variant>
        <vt:lpwstr/>
      </vt:variant>
      <vt:variant>
        <vt:i4>6160393</vt:i4>
      </vt:variant>
      <vt:variant>
        <vt:i4>327</vt:i4>
      </vt:variant>
      <vt:variant>
        <vt:i4>0</vt:i4>
      </vt:variant>
      <vt:variant>
        <vt:i4>5</vt:i4>
      </vt:variant>
      <vt:variant>
        <vt:lpwstr>http://www.fcc.gov/document/chairman-wheeler-honors-innovators-accessibility</vt:lpwstr>
      </vt:variant>
      <vt:variant>
        <vt:lpwstr/>
      </vt:variant>
      <vt:variant>
        <vt:i4>1835084</vt:i4>
      </vt:variant>
      <vt:variant>
        <vt:i4>324</vt:i4>
      </vt:variant>
      <vt:variant>
        <vt:i4>0</vt:i4>
      </vt:variant>
      <vt:variant>
        <vt:i4>5</vt:i4>
      </vt:variant>
      <vt:variant>
        <vt:lpwstr>http://www.broadband.gov/accessibilityandinnovation/</vt:lpwstr>
      </vt:variant>
      <vt:variant>
        <vt:lpwstr/>
      </vt:variant>
      <vt:variant>
        <vt:i4>2621526</vt:i4>
      </vt:variant>
      <vt:variant>
        <vt:i4>321</vt:i4>
      </vt:variant>
      <vt:variant>
        <vt:i4>0</vt:i4>
      </vt:variant>
      <vt:variant>
        <vt:i4>5</vt:i4>
      </vt:variant>
      <vt:variant>
        <vt:lpwstr>https://apps.fcc.gov/edocs_public/attachmatch/FCC-13-138A1.pdf</vt:lpwstr>
      </vt:variant>
      <vt:variant>
        <vt:lpwstr/>
      </vt:variant>
      <vt:variant>
        <vt:i4>1703992</vt:i4>
      </vt:variant>
      <vt:variant>
        <vt:i4>318</vt:i4>
      </vt:variant>
      <vt:variant>
        <vt:i4>0</vt:i4>
      </vt:variant>
      <vt:variant>
        <vt:i4>5</vt:i4>
      </vt:variant>
      <vt:variant>
        <vt:lpwstr>https://apps.fcc.gov/edocs_public/attachmatch/FCC-13-77A1.pdf</vt:lpwstr>
      </vt:variant>
      <vt:variant>
        <vt:lpwstr/>
      </vt:variant>
      <vt:variant>
        <vt:i4>1572963</vt:i4>
      </vt:variant>
      <vt:variant>
        <vt:i4>315</vt:i4>
      </vt:variant>
      <vt:variant>
        <vt:i4>0</vt:i4>
      </vt:variant>
      <vt:variant>
        <vt:i4>5</vt:i4>
      </vt:variant>
      <vt:variant>
        <vt:lpwstr>https://apps.fcc.gov/edocs_public/attachmatch/DA-14-159A1.pdf</vt:lpwstr>
      </vt:variant>
      <vt:variant>
        <vt:lpwstr/>
      </vt:variant>
      <vt:variant>
        <vt:i4>5439557</vt:i4>
      </vt:variant>
      <vt:variant>
        <vt:i4>312</vt:i4>
      </vt:variant>
      <vt:variant>
        <vt:i4>0</vt:i4>
      </vt:variant>
      <vt:variant>
        <vt:i4>5</vt:i4>
      </vt:variant>
      <vt:variant>
        <vt:lpwstr>http://apps.fcc.gov/ecfs/document/view?id=7521066871</vt:lpwstr>
      </vt:variant>
      <vt:variant>
        <vt:lpwstr/>
      </vt:variant>
      <vt:variant>
        <vt:i4>2621526</vt:i4>
      </vt:variant>
      <vt:variant>
        <vt:i4>309</vt:i4>
      </vt:variant>
      <vt:variant>
        <vt:i4>0</vt:i4>
      </vt:variant>
      <vt:variant>
        <vt:i4>5</vt:i4>
      </vt:variant>
      <vt:variant>
        <vt:lpwstr>https://apps.fcc.gov/edocs_public/attachmatch/FCC-13-138A1.pdf</vt:lpwstr>
      </vt:variant>
      <vt:variant>
        <vt:lpwstr/>
      </vt:variant>
      <vt:variant>
        <vt:i4>1703992</vt:i4>
      </vt:variant>
      <vt:variant>
        <vt:i4>306</vt:i4>
      </vt:variant>
      <vt:variant>
        <vt:i4>0</vt:i4>
      </vt:variant>
      <vt:variant>
        <vt:i4>5</vt:i4>
      </vt:variant>
      <vt:variant>
        <vt:lpwstr>https://apps.fcc.gov/edocs_public/attachmatch/FCC-13-77A1.pdf</vt:lpwstr>
      </vt:variant>
      <vt:variant>
        <vt:lpwstr/>
      </vt:variant>
      <vt:variant>
        <vt:i4>2621526</vt:i4>
      </vt:variant>
      <vt:variant>
        <vt:i4>303</vt:i4>
      </vt:variant>
      <vt:variant>
        <vt:i4>0</vt:i4>
      </vt:variant>
      <vt:variant>
        <vt:i4>5</vt:i4>
      </vt:variant>
      <vt:variant>
        <vt:lpwstr>https://apps.fcc.gov/edocs_public/attachmatch/FCC-13-138A1.pdf</vt:lpwstr>
      </vt:variant>
      <vt:variant>
        <vt:lpwstr/>
      </vt:variant>
      <vt:variant>
        <vt:i4>1638458</vt:i4>
      </vt:variant>
      <vt:variant>
        <vt:i4>300</vt:i4>
      </vt:variant>
      <vt:variant>
        <vt:i4>0</vt:i4>
      </vt:variant>
      <vt:variant>
        <vt:i4>5</vt:i4>
      </vt:variant>
      <vt:variant>
        <vt:lpwstr>https://apps.fcc.gov/edocs_public/attachmatch/FCC-13-45A1.pdf</vt:lpwstr>
      </vt:variant>
      <vt:variant>
        <vt:lpwstr/>
      </vt:variant>
      <vt:variant>
        <vt:i4>2293841</vt:i4>
      </vt:variant>
      <vt:variant>
        <vt:i4>297</vt:i4>
      </vt:variant>
      <vt:variant>
        <vt:i4>0</vt:i4>
      </vt:variant>
      <vt:variant>
        <vt:i4>5</vt:i4>
      </vt:variant>
      <vt:variant>
        <vt:lpwstr>https://apps.fcc.gov/edocs_public/attachmatch/FCC-12-142A1.pdf</vt:lpwstr>
      </vt:variant>
      <vt:variant>
        <vt:lpwstr/>
      </vt:variant>
      <vt:variant>
        <vt:i4>1376315</vt:i4>
      </vt:variant>
      <vt:variant>
        <vt:i4>294</vt:i4>
      </vt:variant>
      <vt:variant>
        <vt:i4>0</vt:i4>
      </vt:variant>
      <vt:variant>
        <vt:i4>5</vt:i4>
      </vt:variant>
      <vt:variant>
        <vt:lpwstr>https://apps.fcc.gov/edocs_public/attachmatch/FCC-13-84A1.pdf</vt:lpwstr>
      </vt:variant>
      <vt:variant>
        <vt:lpwstr/>
      </vt:variant>
      <vt:variant>
        <vt:i4>5701745</vt:i4>
      </vt:variant>
      <vt:variant>
        <vt:i4>291</vt:i4>
      </vt:variant>
      <vt:variant>
        <vt:i4>0</vt:i4>
      </vt:variant>
      <vt:variant>
        <vt:i4>5</vt:i4>
      </vt:variant>
      <vt:variant>
        <vt:lpwstr>http://hraunfoss.fcc.gov/edocs_public/attachmatch/FCC-13-84A1.pdf</vt:lpwstr>
      </vt:variant>
      <vt:variant>
        <vt:lpwstr/>
      </vt:variant>
      <vt:variant>
        <vt:i4>3080271</vt:i4>
      </vt:variant>
      <vt:variant>
        <vt:i4>288</vt:i4>
      </vt:variant>
      <vt:variant>
        <vt:i4>0</vt:i4>
      </vt:variant>
      <vt:variant>
        <vt:i4>5</vt:i4>
      </vt:variant>
      <vt:variant>
        <vt:lpwstr>https://apps.fcc.gov/edocs_public/attachmatch/DOC-314131A1.pdf</vt:lpwstr>
      </vt:variant>
      <vt:variant>
        <vt:lpwstr/>
      </vt:variant>
      <vt:variant>
        <vt:i4>6225992</vt:i4>
      </vt:variant>
      <vt:variant>
        <vt:i4>285</vt:i4>
      </vt:variant>
      <vt:variant>
        <vt:i4>0</vt:i4>
      </vt:variant>
      <vt:variant>
        <vt:i4>5</vt:i4>
      </vt:variant>
      <vt:variant>
        <vt:lpwstr>http://apps.fcc.gov/ecfs/document/view?id=7021914512</vt:lpwstr>
      </vt:variant>
      <vt:variant>
        <vt:lpwstr/>
      </vt:variant>
      <vt:variant>
        <vt:i4>5636169</vt:i4>
      </vt:variant>
      <vt:variant>
        <vt:i4>282</vt:i4>
      </vt:variant>
      <vt:variant>
        <vt:i4>0</vt:i4>
      </vt:variant>
      <vt:variant>
        <vt:i4>5</vt:i4>
      </vt:variant>
      <vt:variant>
        <vt:lpwstr>http://apps.fcc.gov/ecfs/document/view?id=7021910648</vt:lpwstr>
      </vt:variant>
      <vt:variant>
        <vt:lpwstr/>
      </vt:variant>
      <vt:variant>
        <vt:i4>5636160</vt:i4>
      </vt:variant>
      <vt:variant>
        <vt:i4>279</vt:i4>
      </vt:variant>
      <vt:variant>
        <vt:i4>0</vt:i4>
      </vt:variant>
      <vt:variant>
        <vt:i4>5</vt:i4>
      </vt:variant>
      <vt:variant>
        <vt:lpwstr>http://apps.fcc.gov/ecfs/document/view?id=7021914799</vt:lpwstr>
      </vt:variant>
      <vt:variant>
        <vt:lpwstr/>
      </vt:variant>
      <vt:variant>
        <vt:i4>1638501</vt:i4>
      </vt:variant>
      <vt:variant>
        <vt:i4>276</vt:i4>
      </vt:variant>
      <vt:variant>
        <vt:i4>0</vt:i4>
      </vt:variant>
      <vt:variant>
        <vt:i4>5</vt:i4>
      </vt:variant>
      <vt:variant>
        <vt:lpwstr>https://apps.fcc.gov/edocs_public/attachmatch/FCC-12-9A1.pdf</vt:lpwstr>
      </vt:variant>
      <vt:variant>
        <vt:lpwstr/>
      </vt:variant>
      <vt:variant>
        <vt:i4>1310780</vt:i4>
      </vt:variant>
      <vt:variant>
        <vt:i4>273</vt:i4>
      </vt:variant>
      <vt:variant>
        <vt:i4>0</vt:i4>
      </vt:variant>
      <vt:variant>
        <vt:i4>5</vt:i4>
      </vt:variant>
      <vt:variant>
        <vt:lpwstr>https://apps.fcc.gov/edocs_public/attachmatch/FCC-12-83A1.pdf</vt:lpwstr>
      </vt:variant>
      <vt:variant>
        <vt:lpwstr/>
      </vt:variant>
      <vt:variant>
        <vt:i4>1245240</vt:i4>
      </vt:variant>
      <vt:variant>
        <vt:i4>270</vt:i4>
      </vt:variant>
      <vt:variant>
        <vt:i4>0</vt:i4>
      </vt:variant>
      <vt:variant>
        <vt:i4>5</vt:i4>
      </vt:variant>
      <vt:variant>
        <vt:lpwstr>https://apps.fcc.gov/edocs_public/attachmatch/FCC-14-97A1.pdf</vt:lpwstr>
      </vt:variant>
      <vt:variant>
        <vt:lpwstr/>
      </vt:variant>
      <vt:variant>
        <vt:i4>1245240</vt:i4>
      </vt:variant>
      <vt:variant>
        <vt:i4>267</vt:i4>
      </vt:variant>
      <vt:variant>
        <vt:i4>0</vt:i4>
      </vt:variant>
      <vt:variant>
        <vt:i4>5</vt:i4>
      </vt:variant>
      <vt:variant>
        <vt:lpwstr>https://apps.fcc.gov/edocs_public/attachmatch/FCC-14-97A1.pdf</vt:lpwstr>
      </vt:variant>
      <vt:variant>
        <vt:lpwstr/>
      </vt:variant>
      <vt:variant>
        <vt:i4>2097165</vt:i4>
      </vt:variant>
      <vt:variant>
        <vt:i4>264</vt:i4>
      </vt:variant>
      <vt:variant>
        <vt:i4>0</vt:i4>
      </vt:variant>
      <vt:variant>
        <vt:i4>5</vt:i4>
      </vt:variant>
      <vt:variant>
        <vt:lpwstr>https://apps.fcc.gov/edocs_public/attachmatch/DA-13-2392A1.pdf</vt:lpwstr>
      </vt:variant>
      <vt:variant>
        <vt:lpwstr/>
      </vt:variant>
      <vt:variant>
        <vt:i4>6422599</vt:i4>
      </vt:variant>
      <vt:variant>
        <vt:i4>261</vt:i4>
      </vt:variant>
      <vt:variant>
        <vt:i4>0</vt:i4>
      </vt:variant>
      <vt:variant>
        <vt:i4>5</vt:i4>
      </vt:variant>
      <vt:variant>
        <vt:lpwstr>http://hraunfoss.fcc.gov/edocs_public/attachmatch/DA-13-2392A1.pdf</vt:lpwstr>
      </vt:variant>
      <vt:variant>
        <vt:lpwstr/>
      </vt:variant>
      <vt:variant>
        <vt:i4>1376315</vt:i4>
      </vt:variant>
      <vt:variant>
        <vt:i4>258</vt:i4>
      </vt:variant>
      <vt:variant>
        <vt:i4>0</vt:i4>
      </vt:variant>
      <vt:variant>
        <vt:i4>5</vt:i4>
      </vt:variant>
      <vt:variant>
        <vt:lpwstr>https://apps.fcc.gov/edocs_public/attachmatch/FCC-13-84A1.pdf</vt:lpwstr>
      </vt:variant>
      <vt:variant>
        <vt:lpwstr/>
      </vt:variant>
      <vt:variant>
        <vt:i4>3080271</vt:i4>
      </vt:variant>
      <vt:variant>
        <vt:i4>255</vt:i4>
      </vt:variant>
      <vt:variant>
        <vt:i4>0</vt:i4>
      </vt:variant>
      <vt:variant>
        <vt:i4>5</vt:i4>
      </vt:variant>
      <vt:variant>
        <vt:lpwstr>https://apps.fcc.gov/edocs_public/attachmatch/DOC-314131A1.pdf</vt:lpwstr>
      </vt:variant>
      <vt:variant>
        <vt:lpwstr/>
      </vt:variant>
      <vt:variant>
        <vt:i4>6225992</vt:i4>
      </vt:variant>
      <vt:variant>
        <vt:i4>252</vt:i4>
      </vt:variant>
      <vt:variant>
        <vt:i4>0</vt:i4>
      </vt:variant>
      <vt:variant>
        <vt:i4>5</vt:i4>
      </vt:variant>
      <vt:variant>
        <vt:lpwstr>http://apps.fcc.gov/ecfs/document/view?id=7021914512</vt:lpwstr>
      </vt:variant>
      <vt:variant>
        <vt:lpwstr/>
      </vt:variant>
      <vt:variant>
        <vt:i4>1638501</vt:i4>
      </vt:variant>
      <vt:variant>
        <vt:i4>249</vt:i4>
      </vt:variant>
      <vt:variant>
        <vt:i4>0</vt:i4>
      </vt:variant>
      <vt:variant>
        <vt:i4>5</vt:i4>
      </vt:variant>
      <vt:variant>
        <vt:lpwstr>https://apps.fcc.gov/edocs_public/attachmatch/FCC-12-9A1.pdf</vt:lpwstr>
      </vt:variant>
      <vt:variant>
        <vt:lpwstr/>
      </vt:variant>
      <vt:variant>
        <vt:i4>1638458</vt:i4>
      </vt:variant>
      <vt:variant>
        <vt:i4>246</vt:i4>
      </vt:variant>
      <vt:variant>
        <vt:i4>0</vt:i4>
      </vt:variant>
      <vt:variant>
        <vt:i4>5</vt:i4>
      </vt:variant>
      <vt:variant>
        <vt:lpwstr>https://apps.fcc.gov/edocs_public/attachmatch/FCC-13-45A1.pdf</vt:lpwstr>
      </vt:variant>
      <vt:variant>
        <vt:lpwstr/>
      </vt:variant>
      <vt:variant>
        <vt:i4>2293841</vt:i4>
      </vt:variant>
      <vt:variant>
        <vt:i4>243</vt:i4>
      </vt:variant>
      <vt:variant>
        <vt:i4>0</vt:i4>
      </vt:variant>
      <vt:variant>
        <vt:i4>5</vt:i4>
      </vt:variant>
      <vt:variant>
        <vt:lpwstr>https://apps.fcc.gov/edocs_public/attachmatch/FCC-12-142A1.pdf</vt:lpwstr>
      </vt:variant>
      <vt:variant>
        <vt:lpwstr/>
      </vt:variant>
      <vt:variant>
        <vt:i4>1638458</vt:i4>
      </vt:variant>
      <vt:variant>
        <vt:i4>240</vt:i4>
      </vt:variant>
      <vt:variant>
        <vt:i4>0</vt:i4>
      </vt:variant>
      <vt:variant>
        <vt:i4>5</vt:i4>
      </vt:variant>
      <vt:variant>
        <vt:lpwstr>https://apps.fcc.gov/edocs_public/attachmatch/FCC-13-45A1.pdf</vt:lpwstr>
      </vt:variant>
      <vt:variant>
        <vt:lpwstr/>
      </vt:variant>
      <vt:variant>
        <vt:i4>1638503</vt:i4>
      </vt:variant>
      <vt:variant>
        <vt:i4>237</vt:i4>
      </vt:variant>
      <vt:variant>
        <vt:i4>0</vt:i4>
      </vt:variant>
      <vt:variant>
        <vt:i4>5</vt:i4>
      </vt:variant>
      <vt:variant>
        <vt:lpwstr>https://apps.fcc.gov/edocs_public/attachmatch/DA-14-945A1.pdf</vt:lpwstr>
      </vt:variant>
      <vt:variant>
        <vt:lpwstr/>
      </vt:variant>
      <vt:variant>
        <vt:i4>2949124</vt:i4>
      </vt:variant>
      <vt:variant>
        <vt:i4>234</vt:i4>
      </vt:variant>
      <vt:variant>
        <vt:i4>0</vt:i4>
      </vt:variant>
      <vt:variant>
        <vt:i4>5</vt:i4>
      </vt:variant>
      <vt:variant>
        <vt:lpwstr>https://apps.fcc.gov/edocs_public/attachmatch/DA-13-1438A1.pdf</vt:lpwstr>
      </vt:variant>
      <vt:variant>
        <vt:lpwstr/>
      </vt:variant>
      <vt:variant>
        <vt:i4>7274574</vt:i4>
      </vt:variant>
      <vt:variant>
        <vt:i4>231</vt:i4>
      </vt:variant>
      <vt:variant>
        <vt:i4>0</vt:i4>
      </vt:variant>
      <vt:variant>
        <vt:i4>5</vt:i4>
      </vt:variant>
      <vt:variant>
        <vt:lpwstr>http://hraunfoss.fcc.gov/edocs_public/attachmatch/DA-13-1438A1.pdf</vt:lpwstr>
      </vt:variant>
      <vt:variant>
        <vt:lpwstr/>
      </vt:variant>
      <vt:variant>
        <vt:i4>2359383</vt:i4>
      </vt:variant>
      <vt:variant>
        <vt:i4>228</vt:i4>
      </vt:variant>
      <vt:variant>
        <vt:i4>0</vt:i4>
      </vt:variant>
      <vt:variant>
        <vt:i4>5</vt:i4>
      </vt:variant>
      <vt:variant>
        <vt:lpwstr>https://apps.fcc.gov/edocs_public/attachmatch/FCC-11-126A1.pdf</vt:lpwstr>
      </vt:variant>
      <vt:variant>
        <vt:lpwstr/>
      </vt:variant>
      <vt:variant>
        <vt:i4>1966190</vt:i4>
      </vt:variant>
      <vt:variant>
        <vt:i4>225</vt:i4>
      </vt:variant>
      <vt:variant>
        <vt:i4>0</vt:i4>
      </vt:variant>
      <vt:variant>
        <vt:i4>5</vt:i4>
      </vt:variant>
      <vt:variant>
        <vt:lpwstr>https://apps.fcc.gov/edocs_public/attachmatch/DA-12-635A1.pdf</vt:lpwstr>
      </vt:variant>
      <vt:variant>
        <vt:lpwstr/>
      </vt:variant>
      <vt:variant>
        <vt:i4>1966189</vt:i4>
      </vt:variant>
      <vt:variant>
        <vt:i4>222</vt:i4>
      </vt:variant>
      <vt:variant>
        <vt:i4>0</vt:i4>
      </vt:variant>
      <vt:variant>
        <vt:i4>5</vt:i4>
      </vt:variant>
      <vt:variant>
        <vt:lpwstr>https://apps.fcc.gov/edocs_public/attachmatch/DA-12-636A1.pdf</vt:lpwstr>
      </vt:variant>
      <vt:variant>
        <vt:lpwstr/>
      </vt:variant>
      <vt:variant>
        <vt:i4>2752577</vt:i4>
      </vt:variant>
      <vt:variant>
        <vt:i4>219</vt:i4>
      </vt:variant>
      <vt:variant>
        <vt:i4>0</vt:i4>
      </vt:variant>
      <vt:variant>
        <vt:i4>5</vt:i4>
      </vt:variant>
      <vt:variant>
        <vt:lpwstr>https://apps.fcc.gov/edocs_public/attachmatch/DOC-329402A1.pdf</vt:lpwstr>
      </vt:variant>
      <vt:variant>
        <vt:lpwstr/>
      </vt:variant>
      <vt:variant>
        <vt:i4>2687041</vt:i4>
      </vt:variant>
      <vt:variant>
        <vt:i4>213</vt:i4>
      </vt:variant>
      <vt:variant>
        <vt:i4>0</vt:i4>
      </vt:variant>
      <vt:variant>
        <vt:i4>5</vt:i4>
      </vt:variant>
      <vt:variant>
        <vt:lpwstr>https://apps.fcc.gov/edocs_public/attachmatch/DOC-329401A1.pdf</vt:lpwstr>
      </vt:variant>
      <vt:variant>
        <vt:lpwstr/>
      </vt:variant>
      <vt:variant>
        <vt:i4>2621505</vt:i4>
      </vt:variant>
      <vt:variant>
        <vt:i4>207</vt:i4>
      </vt:variant>
      <vt:variant>
        <vt:i4>0</vt:i4>
      </vt:variant>
      <vt:variant>
        <vt:i4>5</vt:i4>
      </vt:variant>
      <vt:variant>
        <vt:lpwstr>https://apps.fcc.gov/edocs_public/attachmatch/DOC-329400A1.pdf</vt:lpwstr>
      </vt:variant>
      <vt:variant>
        <vt:lpwstr/>
      </vt:variant>
      <vt:variant>
        <vt:i4>3866719</vt:i4>
      </vt:variant>
      <vt:variant>
        <vt:i4>201</vt:i4>
      </vt:variant>
      <vt:variant>
        <vt:i4>0</vt:i4>
      </vt:variant>
      <vt:variant>
        <vt:i4>5</vt:i4>
      </vt:variant>
      <vt:variant>
        <vt:lpwstr>http://transition.fcc.gov/cgb/dro/VPAAC/First_VPAAC_Report_to_the_FCC_7-11-11_FINAL.pdf</vt:lpwstr>
      </vt:variant>
      <vt:variant>
        <vt:lpwstr/>
      </vt:variant>
      <vt:variant>
        <vt:i4>5636181</vt:i4>
      </vt:variant>
      <vt:variant>
        <vt:i4>198</vt:i4>
      </vt:variant>
      <vt:variant>
        <vt:i4>0</vt:i4>
      </vt:variant>
      <vt:variant>
        <vt:i4>5</vt:i4>
      </vt:variant>
      <vt:variant>
        <vt:lpwstr>http://www.fcc.gov/encyclopedia/video-programming-accessibility-advisory-committee-vpaac</vt:lpwstr>
      </vt:variant>
      <vt:variant>
        <vt:lpwstr/>
      </vt:variant>
      <vt:variant>
        <vt:i4>2228229</vt:i4>
      </vt:variant>
      <vt:variant>
        <vt:i4>195</vt:i4>
      </vt:variant>
      <vt:variant>
        <vt:i4>0</vt:i4>
      </vt:variant>
      <vt:variant>
        <vt:i4>5</vt:i4>
      </vt:variant>
      <vt:variant>
        <vt:lpwstr>https://apps.fcc.gov/edocs_public/attachmatch/DA-10-2320A1.pdf</vt:lpwstr>
      </vt:variant>
      <vt:variant>
        <vt:lpwstr/>
      </vt:variant>
      <vt:variant>
        <vt:i4>3080276</vt:i4>
      </vt:variant>
      <vt:variant>
        <vt:i4>192</vt:i4>
      </vt:variant>
      <vt:variant>
        <vt:i4>0</vt:i4>
      </vt:variant>
      <vt:variant>
        <vt:i4>5</vt:i4>
      </vt:variant>
      <vt:variant>
        <vt:lpwstr>https://apps.fcc.gov/edocs_public/attachmatch/FCC-14-118A1.pdf</vt:lpwstr>
      </vt:variant>
      <vt:variant>
        <vt:lpwstr/>
      </vt:variant>
      <vt:variant>
        <vt:i4>1048677</vt:i4>
      </vt:variant>
      <vt:variant>
        <vt:i4>189</vt:i4>
      </vt:variant>
      <vt:variant>
        <vt:i4>0</vt:i4>
      </vt:variant>
      <vt:variant>
        <vt:i4>5</vt:i4>
      </vt:variant>
      <vt:variant>
        <vt:lpwstr>https://apps.fcc.gov/edocs_public/attachmatch/FCC-14-6A1.pdf</vt:lpwstr>
      </vt:variant>
      <vt:variant>
        <vt:lpwstr/>
      </vt:variant>
      <vt:variant>
        <vt:i4>1769531</vt:i4>
      </vt:variant>
      <vt:variant>
        <vt:i4>186</vt:i4>
      </vt:variant>
      <vt:variant>
        <vt:i4>0</vt:i4>
      </vt:variant>
      <vt:variant>
        <vt:i4>5</vt:i4>
      </vt:variant>
      <vt:variant>
        <vt:lpwstr>https://apps.fcc.gov/edocs_public/attachmatch/FCC-13-64A1.pdf</vt:lpwstr>
      </vt:variant>
      <vt:variant>
        <vt:lpwstr/>
      </vt:variant>
      <vt:variant>
        <vt:i4>2621521</vt:i4>
      </vt:variant>
      <vt:variant>
        <vt:i4>183</vt:i4>
      </vt:variant>
      <vt:variant>
        <vt:i4>0</vt:i4>
      </vt:variant>
      <vt:variant>
        <vt:i4>5</vt:i4>
      </vt:variant>
      <vt:variant>
        <vt:lpwstr>https://apps.fcc.gov/edocs_public/attachmatch/FCC-12-149A1.pdf</vt:lpwstr>
      </vt:variant>
      <vt:variant>
        <vt:lpwstr/>
      </vt:variant>
      <vt:variant>
        <vt:i4>2687052</vt:i4>
      </vt:variant>
      <vt:variant>
        <vt:i4>180</vt:i4>
      </vt:variant>
      <vt:variant>
        <vt:i4>0</vt:i4>
      </vt:variant>
      <vt:variant>
        <vt:i4>5</vt:i4>
      </vt:variant>
      <vt:variant>
        <vt:lpwstr>https://apps.fcc.gov/edocs_public/attachmatch/DOC-322164A1.pdf</vt:lpwstr>
      </vt:variant>
      <vt:variant>
        <vt:lpwstr/>
      </vt:variant>
      <vt:variant>
        <vt:i4>2818125</vt:i4>
      </vt:variant>
      <vt:variant>
        <vt:i4>177</vt:i4>
      </vt:variant>
      <vt:variant>
        <vt:i4>0</vt:i4>
      </vt:variant>
      <vt:variant>
        <vt:i4>5</vt:i4>
      </vt:variant>
      <vt:variant>
        <vt:lpwstr>https://apps.fcc.gov/edocs_public/attachmatch/DOC-321740A1.pdf</vt:lpwstr>
      </vt:variant>
      <vt:variant>
        <vt:lpwstr/>
      </vt:variant>
      <vt:variant>
        <vt:i4>3080265</vt:i4>
      </vt:variant>
      <vt:variant>
        <vt:i4>174</vt:i4>
      </vt:variant>
      <vt:variant>
        <vt:i4>0</vt:i4>
      </vt:variant>
      <vt:variant>
        <vt:i4>5</vt:i4>
      </vt:variant>
      <vt:variant>
        <vt:lpwstr>https://apps.fcc.gov/edocs_public/attachmatch/DOC-321704A1.pdf</vt:lpwstr>
      </vt:variant>
      <vt:variant>
        <vt:lpwstr/>
      </vt:variant>
      <vt:variant>
        <vt:i4>3014729</vt:i4>
      </vt:variant>
      <vt:variant>
        <vt:i4>171</vt:i4>
      </vt:variant>
      <vt:variant>
        <vt:i4>0</vt:i4>
      </vt:variant>
      <vt:variant>
        <vt:i4>5</vt:i4>
      </vt:variant>
      <vt:variant>
        <vt:lpwstr>https://apps.fcc.gov/edocs_public/attachmatch/DOC-321705A1.pdf</vt:lpwstr>
      </vt:variant>
      <vt:variant>
        <vt:lpwstr/>
      </vt:variant>
      <vt:variant>
        <vt:i4>2752585</vt:i4>
      </vt:variant>
      <vt:variant>
        <vt:i4>168</vt:i4>
      </vt:variant>
      <vt:variant>
        <vt:i4>0</vt:i4>
      </vt:variant>
      <vt:variant>
        <vt:i4>5</vt:i4>
      </vt:variant>
      <vt:variant>
        <vt:lpwstr>https://apps.fcc.gov/edocs_public/attachmatch/DOC-319386A1.pdf</vt:lpwstr>
      </vt:variant>
      <vt:variant>
        <vt:lpwstr/>
      </vt:variant>
      <vt:variant>
        <vt:i4>2621512</vt:i4>
      </vt:variant>
      <vt:variant>
        <vt:i4>165</vt:i4>
      </vt:variant>
      <vt:variant>
        <vt:i4>0</vt:i4>
      </vt:variant>
      <vt:variant>
        <vt:i4>5</vt:i4>
      </vt:variant>
      <vt:variant>
        <vt:lpwstr>https://apps.fcc.gov/edocs_public/attachmatch/DOC-319394A1.pdf</vt:lpwstr>
      </vt:variant>
      <vt:variant>
        <vt:lpwstr/>
      </vt:variant>
      <vt:variant>
        <vt:i4>2424899</vt:i4>
      </vt:variant>
      <vt:variant>
        <vt:i4>162</vt:i4>
      </vt:variant>
      <vt:variant>
        <vt:i4>0</vt:i4>
      </vt:variant>
      <vt:variant>
        <vt:i4>5</vt:i4>
      </vt:variant>
      <vt:variant>
        <vt:lpwstr>https://apps.fcc.gov/edocs_public/attachmatch/DOC-319329A1.pdf</vt:lpwstr>
      </vt:variant>
      <vt:variant>
        <vt:lpwstr/>
      </vt:variant>
      <vt:variant>
        <vt:i4>3080268</vt:i4>
      </vt:variant>
      <vt:variant>
        <vt:i4>159</vt:i4>
      </vt:variant>
      <vt:variant>
        <vt:i4>0</vt:i4>
      </vt:variant>
      <vt:variant>
        <vt:i4>5</vt:i4>
      </vt:variant>
      <vt:variant>
        <vt:lpwstr>https://apps.fcc.gov/edocs_public/attachmatch/DOC-312161A1.pdf</vt:lpwstr>
      </vt:variant>
      <vt:variant>
        <vt:lpwstr/>
      </vt:variant>
      <vt:variant>
        <vt:i4>2293878</vt:i4>
      </vt:variant>
      <vt:variant>
        <vt:i4>156</vt:i4>
      </vt:variant>
      <vt:variant>
        <vt:i4>0</vt:i4>
      </vt:variant>
      <vt:variant>
        <vt:i4>5</vt:i4>
      </vt:variant>
      <vt:variant>
        <vt:lpwstr>http://transition.fcc.gov/cgb/dro/EAAC/EAAC-REPORT.pdf</vt:lpwstr>
      </vt:variant>
      <vt:variant>
        <vt:lpwstr/>
      </vt:variant>
      <vt:variant>
        <vt:i4>2752518</vt:i4>
      </vt:variant>
      <vt:variant>
        <vt:i4>153</vt:i4>
      </vt:variant>
      <vt:variant>
        <vt:i4>0</vt:i4>
      </vt:variant>
      <vt:variant>
        <vt:i4>5</vt:i4>
      </vt:variant>
      <vt:variant>
        <vt:lpwstr>https://apps.fcc.gov/edocs_public/attachmatch/DA-10-2318A1.pdf</vt:lpwstr>
      </vt:variant>
      <vt:variant>
        <vt:lpwstr/>
      </vt:variant>
      <vt:variant>
        <vt:i4>7077988</vt:i4>
      </vt:variant>
      <vt:variant>
        <vt:i4>150</vt:i4>
      </vt:variant>
      <vt:variant>
        <vt:i4>0</vt:i4>
      </vt:variant>
      <vt:variant>
        <vt:i4>5</vt:i4>
      </vt:variant>
      <vt:variant>
        <vt:lpwstr>http://transition.fcc.gov/Daily_Releases/Daily_Business/2014/db0801/DA-14-1128A1.pdf</vt:lpwstr>
      </vt:variant>
      <vt:variant>
        <vt:lpwstr/>
      </vt:variant>
      <vt:variant>
        <vt:i4>1638501</vt:i4>
      </vt:variant>
      <vt:variant>
        <vt:i4>147</vt:i4>
      </vt:variant>
      <vt:variant>
        <vt:i4>0</vt:i4>
      </vt:variant>
      <vt:variant>
        <vt:i4>5</vt:i4>
      </vt:variant>
      <vt:variant>
        <vt:lpwstr>https://apps.fcc.gov/edocs_public/attachmatch/DA-14-947A1.pdf</vt:lpwstr>
      </vt:variant>
      <vt:variant>
        <vt:lpwstr/>
      </vt:variant>
      <vt:variant>
        <vt:i4>1704042</vt:i4>
      </vt:variant>
      <vt:variant>
        <vt:i4>144</vt:i4>
      </vt:variant>
      <vt:variant>
        <vt:i4>0</vt:i4>
      </vt:variant>
      <vt:variant>
        <vt:i4>5</vt:i4>
      </vt:variant>
      <vt:variant>
        <vt:lpwstr>https://apps.fcc.gov/edocs_public/attachmatch/DA-14-170A1.pdf</vt:lpwstr>
      </vt:variant>
      <vt:variant>
        <vt:lpwstr/>
      </vt:variant>
      <vt:variant>
        <vt:i4>7995440</vt:i4>
      </vt:variant>
      <vt:variant>
        <vt:i4>141</vt:i4>
      </vt:variant>
      <vt:variant>
        <vt:i4>0</vt:i4>
      </vt:variant>
      <vt:variant>
        <vt:i4>5</vt:i4>
      </vt:variant>
      <vt:variant>
        <vt:lpwstr>http://www.r-l-s-a.com/TRS/2013-2014 NDBEDP Reimbursement requests.xlsx</vt:lpwstr>
      </vt:variant>
      <vt:variant>
        <vt:lpwstr/>
      </vt:variant>
      <vt:variant>
        <vt:i4>2949135</vt:i4>
      </vt:variant>
      <vt:variant>
        <vt:i4>138</vt:i4>
      </vt:variant>
      <vt:variant>
        <vt:i4>0</vt:i4>
      </vt:variant>
      <vt:variant>
        <vt:i4>5</vt:i4>
      </vt:variant>
      <vt:variant>
        <vt:lpwstr>https://apps.fcc.gov/edocs_public/attachmatch/DA-13-1488A1.pdf</vt:lpwstr>
      </vt:variant>
      <vt:variant>
        <vt:lpwstr/>
      </vt:variant>
      <vt:variant>
        <vt:i4>8192104</vt:i4>
      </vt:variant>
      <vt:variant>
        <vt:i4>135</vt:i4>
      </vt:variant>
      <vt:variant>
        <vt:i4>0</vt:i4>
      </vt:variant>
      <vt:variant>
        <vt:i4>5</vt:i4>
      </vt:variant>
      <vt:variant>
        <vt:lpwstr>http://r-l-s-a.com/TRS/2012-2013 NDBEDP Reimbursement requests.xlsx</vt:lpwstr>
      </vt:variant>
      <vt:variant>
        <vt:lpwstr/>
      </vt:variant>
      <vt:variant>
        <vt:i4>5701724</vt:i4>
      </vt:variant>
      <vt:variant>
        <vt:i4>132</vt:i4>
      </vt:variant>
      <vt:variant>
        <vt:i4>0</vt:i4>
      </vt:variant>
      <vt:variant>
        <vt:i4>5</vt:i4>
      </vt:variant>
      <vt:variant>
        <vt:lpwstr>http://www.fcc.gov/ndbedp</vt:lpwstr>
      </vt:variant>
      <vt:variant>
        <vt:lpwstr/>
      </vt:variant>
      <vt:variant>
        <vt:i4>5308480</vt:i4>
      </vt:variant>
      <vt:variant>
        <vt:i4>129</vt:i4>
      </vt:variant>
      <vt:variant>
        <vt:i4>0</vt:i4>
      </vt:variant>
      <vt:variant>
        <vt:i4>5</vt:i4>
      </vt:variant>
      <vt:variant>
        <vt:lpwstr>http://apps.fcc.gov/ecfs/document/view?id=7520958851</vt:lpwstr>
      </vt:variant>
      <vt:variant>
        <vt:lpwstr/>
      </vt:variant>
      <vt:variant>
        <vt:i4>1835108</vt:i4>
      </vt:variant>
      <vt:variant>
        <vt:i4>126</vt:i4>
      </vt:variant>
      <vt:variant>
        <vt:i4>0</vt:i4>
      </vt:variant>
      <vt:variant>
        <vt:i4>5</vt:i4>
      </vt:variant>
      <vt:variant>
        <vt:lpwstr>https://apps.fcc.gov/edocs_public/attachmatch/DA-12-910A1.pdf</vt:lpwstr>
      </vt:variant>
      <vt:variant>
        <vt:lpwstr/>
      </vt:variant>
      <vt:variant>
        <vt:i4>2162691</vt:i4>
      </vt:variant>
      <vt:variant>
        <vt:i4>123</vt:i4>
      </vt:variant>
      <vt:variant>
        <vt:i4>0</vt:i4>
      </vt:variant>
      <vt:variant>
        <vt:i4>5</vt:i4>
      </vt:variant>
      <vt:variant>
        <vt:lpwstr>https://apps.fcc.gov/edocs_public/attachmatch/DA-12-1050A1.pdf</vt:lpwstr>
      </vt:variant>
      <vt:variant>
        <vt:lpwstr/>
      </vt:variant>
      <vt:variant>
        <vt:i4>2097155</vt:i4>
      </vt:variant>
      <vt:variant>
        <vt:i4>120</vt:i4>
      </vt:variant>
      <vt:variant>
        <vt:i4>0</vt:i4>
      </vt:variant>
      <vt:variant>
        <vt:i4>5</vt:i4>
      </vt:variant>
      <vt:variant>
        <vt:lpwstr>https://apps.fcc.gov/edocs_public/attachmatch/DA-12-1051A1.pdf</vt:lpwstr>
      </vt:variant>
      <vt:variant>
        <vt:lpwstr/>
      </vt:variant>
      <vt:variant>
        <vt:i4>1703993</vt:i4>
      </vt:variant>
      <vt:variant>
        <vt:i4>117</vt:i4>
      </vt:variant>
      <vt:variant>
        <vt:i4>0</vt:i4>
      </vt:variant>
      <vt:variant>
        <vt:i4>5</vt:i4>
      </vt:variant>
      <vt:variant>
        <vt:lpwstr>https://apps.fcc.gov/edocs_public/attachmatch/FCC-11-56A1.pdf</vt:lpwstr>
      </vt:variant>
      <vt:variant>
        <vt:lpwstr/>
      </vt:variant>
      <vt:variant>
        <vt:i4>1310775</vt:i4>
      </vt:variant>
      <vt:variant>
        <vt:i4>114</vt:i4>
      </vt:variant>
      <vt:variant>
        <vt:i4>0</vt:i4>
      </vt:variant>
      <vt:variant>
        <vt:i4>5</vt:i4>
      </vt:variant>
      <vt:variant>
        <vt:lpwstr>mailto:Clearinghouse@fcc.gov</vt:lpwstr>
      </vt:variant>
      <vt:variant>
        <vt:lpwstr/>
      </vt:variant>
      <vt:variant>
        <vt:i4>5767233</vt:i4>
      </vt:variant>
      <vt:variant>
        <vt:i4>111</vt:i4>
      </vt:variant>
      <vt:variant>
        <vt:i4>0</vt:i4>
      </vt:variant>
      <vt:variant>
        <vt:i4>5</vt:i4>
      </vt:variant>
      <vt:variant>
        <vt:lpwstr>http://apps.fcc.gov/ecfs/document/view?id=7022314526</vt:lpwstr>
      </vt:variant>
      <vt:variant>
        <vt:lpwstr/>
      </vt:variant>
      <vt:variant>
        <vt:i4>6225995</vt:i4>
      </vt:variant>
      <vt:variant>
        <vt:i4>108</vt:i4>
      </vt:variant>
      <vt:variant>
        <vt:i4>0</vt:i4>
      </vt:variant>
      <vt:variant>
        <vt:i4>5</vt:i4>
      </vt:variant>
      <vt:variant>
        <vt:lpwstr>http://apps.fcc.gov/ecfs/document/view?id=7521827908</vt:lpwstr>
      </vt:variant>
      <vt:variant>
        <vt:lpwstr/>
      </vt:variant>
      <vt:variant>
        <vt:i4>2162703</vt:i4>
      </vt:variant>
      <vt:variant>
        <vt:i4>105</vt:i4>
      </vt:variant>
      <vt:variant>
        <vt:i4>0</vt:i4>
      </vt:variant>
      <vt:variant>
        <vt:i4>5</vt:i4>
      </vt:variant>
      <vt:variant>
        <vt:lpwstr>https://apps.fcc.gov/edocs_public/attachmatch/DA-13-1686A1.pdf</vt:lpwstr>
      </vt:variant>
      <vt:variant>
        <vt:lpwstr/>
      </vt:variant>
      <vt:variant>
        <vt:i4>1310776</vt:i4>
      </vt:variant>
      <vt:variant>
        <vt:i4>102</vt:i4>
      </vt:variant>
      <vt:variant>
        <vt:i4>0</vt:i4>
      </vt:variant>
      <vt:variant>
        <vt:i4>5</vt:i4>
      </vt:variant>
      <vt:variant>
        <vt:lpwstr>https://apps.fcc.gov/edocs_public/attachmatch/DA-14-95A1.pdf</vt:lpwstr>
      </vt:variant>
      <vt:variant>
        <vt:lpwstr/>
      </vt:variant>
      <vt:variant>
        <vt:i4>1572963</vt:i4>
      </vt:variant>
      <vt:variant>
        <vt:i4>99</vt:i4>
      </vt:variant>
      <vt:variant>
        <vt:i4>0</vt:i4>
      </vt:variant>
      <vt:variant>
        <vt:i4>5</vt:i4>
      </vt:variant>
      <vt:variant>
        <vt:lpwstr>https://apps.fcc.gov/edocs_public/attachmatch/DA-12-759A1.pdf</vt:lpwstr>
      </vt:variant>
      <vt:variant>
        <vt:lpwstr/>
      </vt:variant>
      <vt:variant>
        <vt:i4>6094918</vt:i4>
      </vt:variant>
      <vt:variant>
        <vt:i4>96</vt:i4>
      </vt:variant>
      <vt:variant>
        <vt:i4>0</vt:i4>
      </vt:variant>
      <vt:variant>
        <vt:i4>5</vt:i4>
      </vt:variant>
      <vt:variant>
        <vt:lpwstr>http://apps.fcc.gov/ecfs/document/view?id=7021902591</vt:lpwstr>
      </vt:variant>
      <vt:variant>
        <vt:lpwstr/>
      </vt:variant>
      <vt:variant>
        <vt:i4>6094916</vt:i4>
      </vt:variant>
      <vt:variant>
        <vt:i4>93</vt:i4>
      </vt:variant>
      <vt:variant>
        <vt:i4>0</vt:i4>
      </vt:variant>
      <vt:variant>
        <vt:i4>5</vt:i4>
      </vt:variant>
      <vt:variant>
        <vt:lpwstr>http://apps.fcc.gov/ecfs/document/view?id=7021921284</vt:lpwstr>
      </vt:variant>
      <vt:variant>
        <vt:lpwstr/>
      </vt:variant>
      <vt:variant>
        <vt:i4>5701702</vt:i4>
      </vt:variant>
      <vt:variant>
        <vt:i4>90</vt:i4>
      </vt:variant>
      <vt:variant>
        <vt:i4>0</vt:i4>
      </vt:variant>
      <vt:variant>
        <vt:i4>5</vt:i4>
      </vt:variant>
      <vt:variant>
        <vt:lpwstr>http://apps.fcc.gov/ecfs/document/view?id=7021902799</vt:lpwstr>
      </vt:variant>
      <vt:variant>
        <vt:lpwstr/>
      </vt:variant>
      <vt:variant>
        <vt:i4>2228226</vt:i4>
      </vt:variant>
      <vt:variant>
        <vt:i4>87</vt:i4>
      </vt:variant>
      <vt:variant>
        <vt:i4>0</vt:i4>
      </vt:variant>
      <vt:variant>
        <vt:i4>5</vt:i4>
      </vt:variant>
      <vt:variant>
        <vt:lpwstr>https://apps.fcc.gov/edocs_public/attachmatch/DA-12-1645A1.pdf</vt:lpwstr>
      </vt:variant>
      <vt:variant>
        <vt:lpwstr/>
      </vt:variant>
      <vt:variant>
        <vt:i4>1310799</vt:i4>
      </vt:variant>
      <vt:variant>
        <vt:i4>84</vt:i4>
      </vt:variant>
      <vt:variant>
        <vt:i4>0</vt:i4>
      </vt:variant>
      <vt:variant>
        <vt:i4>5</vt:i4>
      </vt:variant>
      <vt:variant>
        <vt:lpwstr>http://www.fcc.gov/document/fcc-adds-american-sign-language-consumer-support-line-videophone</vt:lpwstr>
      </vt:variant>
      <vt:variant>
        <vt:lpwstr/>
      </vt:variant>
      <vt:variant>
        <vt:i4>2555907</vt:i4>
      </vt:variant>
      <vt:variant>
        <vt:i4>81</vt:i4>
      </vt:variant>
      <vt:variant>
        <vt:i4>0</vt:i4>
      </vt:variant>
      <vt:variant>
        <vt:i4>5</vt:i4>
      </vt:variant>
      <vt:variant>
        <vt:lpwstr>https://apps.fcc.gov/edocs_public/attachmatch/DA-13-2177A1.pdf</vt:lpwstr>
      </vt:variant>
      <vt:variant>
        <vt:lpwstr/>
      </vt:variant>
      <vt:variant>
        <vt:i4>1572920</vt:i4>
      </vt:variant>
      <vt:variant>
        <vt:i4>78</vt:i4>
      </vt:variant>
      <vt:variant>
        <vt:i4>0</vt:i4>
      </vt:variant>
      <vt:variant>
        <vt:i4>5</vt:i4>
      </vt:variant>
      <vt:variant>
        <vt:lpwstr>https://apps.fcc.gov/edocs_public/attachmatch/FCC-13-57A1.pdf</vt:lpwstr>
      </vt:variant>
      <vt:variant>
        <vt:lpwstr/>
      </vt:variant>
      <vt:variant>
        <vt:i4>1572972</vt:i4>
      </vt:variant>
      <vt:variant>
        <vt:i4>75</vt:i4>
      </vt:variant>
      <vt:variant>
        <vt:i4>0</vt:i4>
      </vt:variant>
      <vt:variant>
        <vt:i4>5</vt:i4>
      </vt:variant>
      <vt:variant>
        <vt:lpwstr>https://apps.fcc.gov/edocs_public/attachmatch/DA-14-354A1.pdf</vt:lpwstr>
      </vt:variant>
      <vt:variant>
        <vt:lpwstr/>
      </vt:variant>
      <vt:variant>
        <vt:i4>1835113</vt:i4>
      </vt:variant>
      <vt:variant>
        <vt:i4>72</vt:i4>
      </vt:variant>
      <vt:variant>
        <vt:i4>0</vt:i4>
      </vt:variant>
      <vt:variant>
        <vt:i4>5</vt:i4>
      </vt:variant>
      <vt:variant>
        <vt:lpwstr>https://apps.fcc.gov/edocs_public/attachmatch/DA-13-114A1.pdf</vt:lpwstr>
      </vt:variant>
      <vt:variant>
        <vt:lpwstr/>
      </vt:variant>
      <vt:variant>
        <vt:i4>2293840</vt:i4>
      </vt:variant>
      <vt:variant>
        <vt:i4>69</vt:i4>
      </vt:variant>
      <vt:variant>
        <vt:i4>0</vt:i4>
      </vt:variant>
      <vt:variant>
        <vt:i4>5</vt:i4>
      </vt:variant>
      <vt:variant>
        <vt:lpwstr>https://apps.fcc.gov/edocs_public/attachmatch/FCC-11-151A1.pdf</vt:lpwstr>
      </vt:variant>
      <vt:variant>
        <vt:lpwstr/>
      </vt:variant>
      <vt:variant>
        <vt:i4>2228304</vt:i4>
      </vt:variant>
      <vt:variant>
        <vt:i4>66</vt:i4>
      </vt:variant>
      <vt:variant>
        <vt:i4>0</vt:i4>
      </vt:variant>
      <vt:variant>
        <vt:i4>5</vt:i4>
      </vt:variant>
      <vt:variant>
        <vt:lpwstr>https://apps.fcc.gov/edocs_public/attachmatch/FCC-11-150A1.pdf</vt:lpwstr>
      </vt:variant>
      <vt:variant>
        <vt:lpwstr/>
      </vt:variant>
      <vt:variant>
        <vt:i4>2228311</vt:i4>
      </vt:variant>
      <vt:variant>
        <vt:i4>63</vt:i4>
      </vt:variant>
      <vt:variant>
        <vt:i4>0</vt:i4>
      </vt:variant>
      <vt:variant>
        <vt:i4>5</vt:i4>
      </vt:variant>
      <vt:variant>
        <vt:lpwstr>https://apps.fcc.gov/edocs_public/attachmatch/FCC-14-125A1.pdf</vt:lpwstr>
      </vt:variant>
      <vt:variant>
        <vt:lpwstr/>
      </vt:variant>
      <vt:variant>
        <vt:i4>2490375</vt:i4>
      </vt:variant>
      <vt:variant>
        <vt:i4>60</vt:i4>
      </vt:variant>
      <vt:variant>
        <vt:i4>0</vt:i4>
      </vt:variant>
      <vt:variant>
        <vt:i4>5</vt:i4>
      </vt:variant>
      <vt:variant>
        <vt:lpwstr>https://apps.fcc.gov/edocs_public/attachmatch/DA-13-1601A1.pdf</vt:lpwstr>
      </vt:variant>
      <vt:variant>
        <vt:lpwstr/>
      </vt:variant>
      <vt:variant>
        <vt:i4>8126574</vt:i4>
      </vt:variant>
      <vt:variant>
        <vt:i4>57</vt:i4>
      </vt:variant>
      <vt:variant>
        <vt:i4>0</vt:i4>
      </vt:variant>
      <vt:variant>
        <vt:i4>5</vt:i4>
      </vt:variant>
      <vt:variant>
        <vt:lpwstr>http://www.google.com/glass/start/what-it-does/</vt:lpwstr>
      </vt:variant>
      <vt:variant>
        <vt:lpwstr/>
      </vt:variant>
      <vt:variant>
        <vt:i4>3276904</vt:i4>
      </vt:variant>
      <vt:variant>
        <vt:i4>54</vt:i4>
      </vt:variant>
      <vt:variant>
        <vt:i4>0</vt:i4>
      </vt:variant>
      <vt:variant>
        <vt:i4>5</vt:i4>
      </vt:variant>
      <vt:variant>
        <vt:lpwstr>http://www.technologyreview.com/featuredstory/513376/smart-watches/</vt:lpwstr>
      </vt:variant>
      <vt:variant>
        <vt:lpwstr/>
      </vt:variant>
      <vt:variant>
        <vt:i4>2555907</vt:i4>
      </vt:variant>
      <vt:variant>
        <vt:i4>51</vt:i4>
      </vt:variant>
      <vt:variant>
        <vt:i4>0</vt:i4>
      </vt:variant>
      <vt:variant>
        <vt:i4>5</vt:i4>
      </vt:variant>
      <vt:variant>
        <vt:lpwstr>https://apps.fcc.gov/edocs_public/attachmatch/DA-13-2177A1.pdf</vt:lpwstr>
      </vt:variant>
      <vt:variant>
        <vt:lpwstr/>
      </vt:variant>
      <vt:variant>
        <vt:i4>5439492</vt:i4>
      </vt:variant>
      <vt:variant>
        <vt:i4>48</vt:i4>
      </vt:variant>
      <vt:variant>
        <vt:i4>0</vt:i4>
      </vt:variant>
      <vt:variant>
        <vt:i4>5</vt:i4>
      </vt:variant>
      <vt:variant>
        <vt:lpwstr>http://online.wsj.com/articles/fcc-questions-verizon-plan-to-manage-data-speeds-for-some-costumers-1406756051</vt:lpwstr>
      </vt:variant>
      <vt:variant>
        <vt:lpwstr/>
      </vt:variant>
      <vt:variant>
        <vt:i4>1769492</vt:i4>
      </vt:variant>
      <vt:variant>
        <vt:i4>45</vt:i4>
      </vt:variant>
      <vt:variant>
        <vt:i4>0</vt:i4>
      </vt:variant>
      <vt:variant>
        <vt:i4>5</vt:i4>
      </vt:variant>
      <vt:variant>
        <vt:lpwstr>http://www.nydailynews.com/life-style/iphone-6-require-new-headphones-apple-fans-fuming-article-1.1826371</vt:lpwstr>
      </vt:variant>
      <vt:variant>
        <vt:lpwstr/>
      </vt:variant>
      <vt:variant>
        <vt:i4>3604536</vt:i4>
      </vt:variant>
      <vt:variant>
        <vt:i4>42</vt:i4>
      </vt:variant>
      <vt:variant>
        <vt:i4>0</vt:i4>
      </vt:variant>
      <vt:variant>
        <vt:i4>5</vt:i4>
      </vt:variant>
      <vt:variant>
        <vt:lpwstr>http://www.fcc.gov/lifeline</vt:lpwstr>
      </vt:variant>
      <vt:variant>
        <vt:lpwstr/>
      </vt:variant>
      <vt:variant>
        <vt:i4>2228226</vt:i4>
      </vt:variant>
      <vt:variant>
        <vt:i4>39</vt:i4>
      </vt:variant>
      <vt:variant>
        <vt:i4>0</vt:i4>
      </vt:variant>
      <vt:variant>
        <vt:i4>5</vt:i4>
      </vt:variant>
      <vt:variant>
        <vt:lpwstr>https://apps.fcc.gov/edocs_public/attachmatch/DA-12-1645A1.pdf</vt:lpwstr>
      </vt:variant>
      <vt:variant>
        <vt:lpwstr/>
      </vt:variant>
      <vt:variant>
        <vt:i4>6094924</vt:i4>
      </vt:variant>
      <vt:variant>
        <vt:i4>36</vt:i4>
      </vt:variant>
      <vt:variant>
        <vt:i4>0</vt:i4>
      </vt:variant>
      <vt:variant>
        <vt:i4>5</vt:i4>
      </vt:variant>
      <vt:variant>
        <vt:lpwstr>http://apps.fcc.gov/ecfs/document/view?id=7521707584</vt:lpwstr>
      </vt:variant>
      <vt:variant>
        <vt:lpwstr/>
      </vt:variant>
      <vt:variant>
        <vt:i4>7405688</vt:i4>
      </vt:variant>
      <vt:variant>
        <vt:i4>33</vt:i4>
      </vt:variant>
      <vt:variant>
        <vt:i4>0</vt:i4>
      </vt:variant>
      <vt:variant>
        <vt:i4>5</vt:i4>
      </vt:variant>
      <vt:variant>
        <vt:lpwstr>http://www.fcc.gov/guides/telecommunications-relay-service-trs</vt:lpwstr>
      </vt:variant>
      <vt:variant>
        <vt:lpwstr/>
      </vt:variant>
      <vt:variant>
        <vt:i4>1572920</vt:i4>
      </vt:variant>
      <vt:variant>
        <vt:i4>30</vt:i4>
      </vt:variant>
      <vt:variant>
        <vt:i4>0</vt:i4>
      </vt:variant>
      <vt:variant>
        <vt:i4>5</vt:i4>
      </vt:variant>
      <vt:variant>
        <vt:lpwstr>https://apps.fcc.gov/edocs_public/attachmatch/FCC-13-57A1.pdf</vt:lpwstr>
      </vt:variant>
      <vt:variant>
        <vt:lpwstr/>
      </vt:variant>
      <vt:variant>
        <vt:i4>2359381</vt:i4>
      </vt:variant>
      <vt:variant>
        <vt:i4>27</vt:i4>
      </vt:variant>
      <vt:variant>
        <vt:i4>0</vt:i4>
      </vt:variant>
      <vt:variant>
        <vt:i4>5</vt:i4>
      </vt:variant>
      <vt:variant>
        <vt:lpwstr>https://apps.fcc.gov/edocs_public/attachmatch/FCC-07-110A1.pdf</vt:lpwstr>
      </vt:variant>
      <vt:variant>
        <vt:lpwstr/>
      </vt:variant>
      <vt:variant>
        <vt:i4>4259850</vt:i4>
      </vt:variant>
      <vt:variant>
        <vt:i4>24</vt:i4>
      </vt:variant>
      <vt:variant>
        <vt:i4>0</vt:i4>
      </vt:variant>
      <vt:variant>
        <vt:i4>5</vt:i4>
      </vt:variant>
      <vt:variant>
        <vt:lpwstr>http://www.fcc.gov/guides/disabled-persons-telecommunications-access-section-255</vt:lpwstr>
      </vt:variant>
      <vt:variant>
        <vt:lpwstr/>
      </vt:variant>
      <vt:variant>
        <vt:i4>2490373</vt:i4>
      </vt:variant>
      <vt:variant>
        <vt:i4>21</vt:i4>
      </vt:variant>
      <vt:variant>
        <vt:i4>0</vt:i4>
      </vt:variant>
      <vt:variant>
        <vt:i4>5</vt:i4>
      </vt:variant>
      <vt:variant>
        <vt:lpwstr>https://apps.fcc.gov/edocs_public/attachmatch/DA-14-1255A1.pdf</vt:lpwstr>
      </vt:variant>
      <vt:variant>
        <vt:lpwstr/>
      </vt:variant>
      <vt:variant>
        <vt:i4>2031723</vt:i4>
      </vt:variant>
      <vt:variant>
        <vt:i4>18</vt:i4>
      </vt:variant>
      <vt:variant>
        <vt:i4>0</vt:i4>
      </vt:variant>
      <vt:variant>
        <vt:i4>5</vt:i4>
      </vt:variant>
      <vt:variant>
        <vt:lpwstr>https://apps.fcc.gov/edocs_public/attachmatch/DA-14-828A1.pdf</vt:lpwstr>
      </vt:variant>
      <vt:variant>
        <vt:lpwstr/>
      </vt:variant>
      <vt:variant>
        <vt:i4>3080276</vt:i4>
      </vt:variant>
      <vt:variant>
        <vt:i4>15</vt:i4>
      </vt:variant>
      <vt:variant>
        <vt:i4>0</vt:i4>
      </vt:variant>
      <vt:variant>
        <vt:i4>5</vt:i4>
      </vt:variant>
      <vt:variant>
        <vt:lpwstr>https://apps.fcc.gov/edocs_public/attachmatch/FCC-14-118A1.pdf</vt:lpwstr>
      </vt:variant>
      <vt:variant>
        <vt:lpwstr/>
      </vt:variant>
      <vt:variant>
        <vt:i4>1245240</vt:i4>
      </vt:variant>
      <vt:variant>
        <vt:i4>12</vt:i4>
      </vt:variant>
      <vt:variant>
        <vt:i4>0</vt:i4>
      </vt:variant>
      <vt:variant>
        <vt:i4>5</vt:i4>
      </vt:variant>
      <vt:variant>
        <vt:lpwstr>https://apps.fcc.gov/edocs_public/attachmatch/FCC-14-97A1.pdf</vt:lpwstr>
      </vt:variant>
      <vt:variant>
        <vt:lpwstr/>
      </vt:variant>
      <vt:variant>
        <vt:i4>2621526</vt:i4>
      </vt:variant>
      <vt:variant>
        <vt:i4>9</vt:i4>
      </vt:variant>
      <vt:variant>
        <vt:i4>0</vt:i4>
      </vt:variant>
      <vt:variant>
        <vt:i4>5</vt:i4>
      </vt:variant>
      <vt:variant>
        <vt:lpwstr>https://apps.fcc.gov/edocs_public/attachmatch/FCC-13-138A1.pdf</vt:lpwstr>
      </vt:variant>
      <vt:variant>
        <vt:lpwstr/>
      </vt:variant>
      <vt:variant>
        <vt:i4>1572920</vt:i4>
      </vt:variant>
      <vt:variant>
        <vt:i4>6</vt:i4>
      </vt:variant>
      <vt:variant>
        <vt:i4>0</vt:i4>
      </vt:variant>
      <vt:variant>
        <vt:i4>5</vt:i4>
      </vt:variant>
      <vt:variant>
        <vt:lpwstr>https://apps.fcc.gov/edocs_public/attachmatch/FCC-13-57A1.pdf</vt:lpwstr>
      </vt:variant>
      <vt:variant>
        <vt:lpwstr/>
      </vt:variant>
      <vt:variant>
        <vt:i4>1638458</vt:i4>
      </vt:variant>
      <vt:variant>
        <vt:i4>3</vt:i4>
      </vt:variant>
      <vt:variant>
        <vt:i4>0</vt:i4>
      </vt:variant>
      <vt:variant>
        <vt:i4>5</vt:i4>
      </vt:variant>
      <vt:variant>
        <vt:lpwstr>https://apps.fcc.gov/edocs_public/attachmatch/FCC-13-45A1.pdf</vt:lpwstr>
      </vt:variant>
      <vt:variant>
        <vt:lpwstr/>
      </vt:variant>
      <vt:variant>
        <vt:i4>2424838</vt:i4>
      </vt:variant>
      <vt:variant>
        <vt:i4>0</vt:i4>
      </vt:variant>
      <vt:variant>
        <vt:i4>0</vt:i4>
      </vt:variant>
      <vt:variant>
        <vt:i4>5</vt:i4>
      </vt:variant>
      <vt:variant>
        <vt:lpwstr>https://apps.fcc.gov/edocs_public/attachmatch/DA-12-1602A1.pdf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2012-09-11T18:58:00Z</cp:lastPrinted>
  <dcterms:created xsi:type="dcterms:W3CDTF">2014-10-08T19:43:00Z</dcterms:created>
  <dcterms:modified xsi:type="dcterms:W3CDTF">2014-10-08T19:43:00Z</dcterms:modified>
  <cp:category> </cp:category>
  <cp:contentStatus> </cp:contentStatus>
</cp:coreProperties>
</file>