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2D9" w:rsidRPr="007229B7" w:rsidRDefault="007122D9" w:rsidP="007122D9">
      <w:pPr>
        <w:widowControl/>
        <w:jc w:val="right"/>
        <w:rPr>
          <w:b/>
          <w:szCs w:val="22"/>
        </w:rPr>
      </w:pPr>
      <w:bookmarkStart w:id="0" w:name="_GoBack"/>
      <w:bookmarkEnd w:id="0"/>
      <w:r w:rsidRPr="007229B7">
        <w:rPr>
          <w:b/>
          <w:szCs w:val="22"/>
        </w:rPr>
        <w:t>DA 1</w:t>
      </w:r>
      <w:r>
        <w:rPr>
          <w:b/>
          <w:szCs w:val="22"/>
        </w:rPr>
        <w:t>4</w:t>
      </w:r>
      <w:r w:rsidRPr="007229B7">
        <w:rPr>
          <w:b/>
          <w:szCs w:val="22"/>
        </w:rPr>
        <w:t>-</w:t>
      </w:r>
      <w:r w:rsidR="00404B82">
        <w:rPr>
          <w:b/>
          <w:szCs w:val="22"/>
        </w:rPr>
        <w:t>1397</w:t>
      </w:r>
    </w:p>
    <w:p w:rsidR="007122D9" w:rsidRPr="0064361C" w:rsidRDefault="007122D9" w:rsidP="007122D9">
      <w:pPr>
        <w:widowControl/>
        <w:spacing w:before="60"/>
        <w:jc w:val="right"/>
        <w:rPr>
          <w:szCs w:val="22"/>
        </w:rPr>
      </w:pPr>
      <w:r w:rsidRPr="002B02DA">
        <w:rPr>
          <w:b/>
          <w:szCs w:val="22"/>
        </w:rPr>
        <w:t xml:space="preserve">Released: </w:t>
      </w:r>
      <w:r w:rsidR="0085496D">
        <w:rPr>
          <w:b/>
          <w:szCs w:val="22"/>
        </w:rPr>
        <w:t>September 26, 2014</w:t>
      </w:r>
    </w:p>
    <w:p w:rsidR="007122D9" w:rsidRPr="0064361C" w:rsidRDefault="007122D9" w:rsidP="007122D9">
      <w:pPr>
        <w:widowControl/>
        <w:jc w:val="right"/>
        <w:rPr>
          <w:szCs w:val="22"/>
        </w:rPr>
      </w:pPr>
    </w:p>
    <w:p w:rsidR="007122D9" w:rsidRPr="0064361C" w:rsidRDefault="008C0389" w:rsidP="007122D9">
      <w:pPr>
        <w:widowControl/>
        <w:spacing w:after="240"/>
        <w:jc w:val="center"/>
        <w:rPr>
          <w:b/>
          <w:szCs w:val="22"/>
        </w:rPr>
      </w:pPr>
      <w:r>
        <w:rPr>
          <w:b/>
          <w:szCs w:val="22"/>
        </w:rPr>
        <w:t>REPLIES SOUGHT IN CONNECT AMERICA PHASE II CHALLENGE PROCESS</w:t>
      </w:r>
    </w:p>
    <w:p w:rsidR="007122D9" w:rsidRDefault="007122D9" w:rsidP="007122D9">
      <w:pPr>
        <w:widowControl/>
        <w:jc w:val="center"/>
        <w:rPr>
          <w:b/>
          <w:szCs w:val="22"/>
        </w:rPr>
      </w:pPr>
      <w:r w:rsidRPr="0064361C">
        <w:rPr>
          <w:b/>
          <w:szCs w:val="22"/>
        </w:rPr>
        <w:t>WC Docket No. 10-90</w:t>
      </w:r>
    </w:p>
    <w:p w:rsidR="007122D9" w:rsidRDefault="007122D9" w:rsidP="007122D9">
      <w:pPr>
        <w:widowControl/>
        <w:jc w:val="center"/>
        <w:rPr>
          <w:szCs w:val="22"/>
        </w:rPr>
      </w:pPr>
      <w:r>
        <w:rPr>
          <w:b/>
          <w:szCs w:val="22"/>
        </w:rPr>
        <w:t>WC Docket No. 14-93</w:t>
      </w:r>
    </w:p>
    <w:p w:rsidR="007122D9" w:rsidRDefault="007122D9" w:rsidP="0026453A">
      <w:pPr>
        <w:widowControl/>
      </w:pPr>
    </w:p>
    <w:p w:rsidR="007122D9" w:rsidRPr="005674DD" w:rsidRDefault="008C0389" w:rsidP="0026453A">
      <w:pPr>
        <w:widowControl/>
        <w:rPr>
          <w:b/>
        </w:rPr>
      </w:pPr>
      <w:r>
        <w:rPr>
          <w:b/>
        </w:rPr>
        <w:t>RESPONSES</w:t>
      </w:r>
      <w:r w:rsidR="007122D9" w:rsidRPr="005674DD">
        <w:rPr>
          <w:b/>
        </w:rPr>
        <w:t xml:space="preserve"> DUE: </w:t>
      </w:r>
      <w:r w:rsidR="00222953">
        <w:rPr>
          <w:b/>
        </w:rPr>
        <w:t>November 10, 2014</w:t>
      </w:r>
    </w:p>
    <w:p w:rsidR="007122D9" w:rsidRDefault="007122D9" w:rsidP="0026453A">
      <w:pPr>
        <w:widowControl/>
      </w:pPr>
    </w:p>
    <w:p w:rsidR="00A827BB" w:rsidRDefault="007122D9" w:rsidP="001A3018">
      <w:pPr>
        <w:pStyle w:val="ParaNum0"/>
        <w:widowControl/>
        <w:numPr>
          <w:ilvl w:val="0"/>
          <w:numId w:val="0"/>
        </w:numPr>
        <w:ind w:firstLine="720"/>
      </w:pPr>
      <w:r>
        <w:t xml:space="preserve">By this Public Notice, the Wireline Competition Bureau (Bureau) announces </w:t>
      </w:r>
      <w:r w:rsidR="0034189B">
        <w:t xml:space="preserve">it has completed its initial review of the Connect America Phase II challenges and has determined which of those challenges present sufficient evidence to </w:t>
      </w:r>
      <w:r w:rsidR="000463A8">
        <w:t>make a prima facie case that the status of the</w:t>
      </w:r>
      <w:r w:rsidR="00E173D8">
        <w:t xml:space="preserve"> census</w:t>
      </w:r>
      <w:r w:rsidR="000463A8">
        <w:t xml:space="preserve"> block should be changed for purposes of determining where Phase II support will be offered to price cap carriers.  We now announce </w:t>
      </w:r>
      <w:r>
        <w:t xml:space="preserve">the </w:t>
      </w:r>
      <w:r w:rsidR="00EB751A">
        <w:t xml:space="preserve">start of the reply period for </w:t>
      </w:r>
      <w:r>
        <w:t>the Connect America Phase II challenge process</w:t>
      </w:r>
      <w:r w:rsidR="009026EC">
        <w:t xml:space="preserve"> for price cap </w:t>
      </w:r>
      <w:r w:rsidR="00E70D25">
        <w:t>territories</w:t>
      </w:r>
      <w:r>
        <w:t xml:space="preserve">.  </w:t>
      </w:r>
    </w:p>
    <w:p w:rsidR="006F34B1" w:rsidRDefault="007122D9" w:rsidP="001A3018">
      <w:pPr>
        <w:pStyle w:val="ParaNum0"/>
        <w:widowControl/>
        <w:numPr>
          <w:ilvl w:val="0"/>
          <w:numId w:val="0"/>
        </w:numPr>
        <w:ind w:firstLine="720"/>
      </w:pPr>
      <w:r>
        <w:t xml:space="preserve">The Bureau </w:t>
      </w:r>
      <w:r w:rsidR="0034189B">
        <w:t>is releasing</w:t>
      </w:r>
      <w:r>
        <w:t xml:space="preserve"> </w:t>
      </w:r>
      <w:r w:rsidR="00EB751A">
        <w:t>two</w:t>
      </w:r>
      <w:r>
        <w:t xml:space="preserve"> list</w:t>
      </w:r>
      <w:r w:rsidR="00EB751A">
        <w:t>s</w:t>
      </w:r>
      <w:r>
        <w:t xml:space="preserve"> of census blocks.</w:t>
      </w:r>
      <w:r w:rsidR="00EB751A">
        <w:t xml:space="preserve">  The first, available at </w:t>
      </w:r>
      <w:hyperlink r:id="rId8" w:history="1">
        <w:r w:rsidR="00784E48" w:rsidRPr="00EF412A">
          <w:rPr>
            <w:rStyle w:val="Hyperlink"/>
          </w:rPr>
          <w:t>https://apps.fcc.gov/edocs_public/attachmatch/DOC-329607A1.xlsx</w:t>
        </w:r>
      </w:hyperlink>
      <w:r w:rsidR="00784E48">
        <w:t xml:space="preserve"> </w:t>
      </w:r>
      <w:r w:rsidR="00EB751A">
        <w:t xml:space="preserve">, is a list of census blocks for which a party has made a prima facie challenge that the block should not be eligible for Phase II support.  The second, available at </w:t>
      </w:r>
      <w:hyperlink r:id="rId9" w:history="1">
        <w:r w:rsidR="00784E48" w:rsidRPr="00EF412A">
          <w:rPr>
            <w:rStyle w:val="Hyperlink"/>
          </w:rPr>
          <w:t>https://apps.fcc.gov/edocs_public/attachmatch/DOC-329606A1.xlsx</w:t>
        </w:r>
      </w:hyperlink>
      <w:r w:rsidR="00784E48">
        <w:t xml:space="preserve"> </w:t>
      </w:r>
      <w:r w:rsidR="00EB751A">
        <w:t>, is a list of blocks for which a party has made a prima facie challenge that the block should</w:t>
      </w:r>
      <w:r>
        <w:t xml:space="preserve"> </w:t>
      </w:r>
      <w:r w:rsidR="00EB751A">
        <w:t>be eligible for Phase II support.</w:t>
      </w:r>
      <w:r w:rsidR="006F4305">
        <w:rPr>
          <w:rStyle w:val="FootnoteReference"/>
        </w:rPr>
        <w:footnoteReference w:id="2"/>
      </w:r>
      <w:r w:rsidR="00351210">
        <w:t xml:space="preserve">  </w:t>
      </w:r>
    </w:p>
    <w:p w:rsidR="007122D9" w:rsidRDefault="007122D9" w:rsidP="001A3018">
      <w:pPr>
        <w:pStyle w:val="ParaNum0"/>
        <w:widowControl/>
        <w:numPr>
          <w:ilvl w:val="0"/>
          <w:numId w:val="0"/>
        </w:numPr>
        <w:ind w:firstLine="720"/>
      </w:pPr>
      <w:r>
        <w:t xml:space="preserve">Parties have until </w:t>
      </w:r>
      <w:r w:rsidR="00222953">
        <w:rPr>
          <w:b/>
        </w:rPr>
        <w:t>November 10, 2014</w:t>
      </w:r>
      <w:r>
        <w:t xml:space="preserve">, </w:t>
      </w:r>
      <w:r w:rsidRPr="009E5C0D">
        <w:t>45 days</w:t>
      </w:r>
      <w:r>
        <w:t xml:space="preserve"> from the release of this Public Notice</w:t>
      </w:r>
      <w:r w:rsidR="00E70D25">
        <w:t>,</w:t>
      </w:r>
      <w:r>
        <w:t xml:space="preserve"> to file an FCC Form 505 to </w:t>
      </w:r>
      <w:r w:rsidR="00EB751A">
        <w:t>respond to</w:t>
      </w:r>
      <w:r>
        <w:t xml:space="preserve"> the </w:t>
      </w:r>
      <w:r w:rsidR="008225F1">
        <w:t xml:space="preserve">inclusion of particular </w:t>
      </w:r>
      <w:r w:rsidR="002747E7">
        <w:t xml:space="preserve">census </w:t>
      </w:r>
      <w:r w:rsidR="008225F1">
        <w:t xml:space="preserve">blocks on </w:t>
      </w:r>
      <w:r w:rsidR="006957EC">
        <w:t xml:space="preserve">either </w:t>
      </w:r>
      <w:r>
        <w:t>list</w:t>
      </w:r>
      <w:r w:rsidR="00E70D25">
        <w:t xml:space="preserve">.  </w:t>
      </w:r>
      <w:r w:rsidR="00EB751A">
        <w:rPr>
          <w:b/>
        </w:rPr>
        <w:t>Responses may only be filed regarding blocks for which a prima facie challenge has been made</w:t>
      </w:r>
      <w:r w:rsidR="008225F1" w:rsidRPr="009E5C0D">
        <w:rPr>
          <w:b/>
        </w:rPr>
        <w:t>.</w:t>
      </w:r>
      <w:r w:rsidR="008225F1">
        <w:t xml:space="preserve">  </w:t>
      </w:r>
      <w:r w:rsidR="00EB751A">
        <w:t xml:space="preserve">The Bureau will disregard any “response” regarding a block that </w:t>
      </w:r>
      <w:r w:rsidR="006F4305">
        <w:t>is not on either list.</w:t>
      </w:r>
      <w:r w:rsidR="00EB751A">
        <w:t xml:space="preserve">  </w:t>
      </w:r>
      <w:r>
        <w:t>More detailed filing instructions are below.</w:t>
      </w:r>
    </w:p>
    <w:p w:rsidR="00DB0C48" w:rsidRDefault="00DB0C48" w:rsidP="00DB0C48">
      <w:pPr>
        <w:pStyle w:val="ParaNum0"/>
        <w:widowControl/>
        <w:numPr>
          <w:ilvl w:val="0"/>
          <w:numId w:val="0"/>
        </w:numPr>
        <w:ind w:firstLine="720"/>
      </w:pPr>
      <w:r>
        <w:t xml:space="preserve">After assessing the challenges, responses, and evidence received, the Bureau will </w:t>
      </w:r>
      <w:r w:rsidR="006957EC">
        <w:t xml:space="preserve">at a future date </w:t>
      </w:r>
      <w:r>
        <w:t>make a final determination as to which census blocks will be treated as unserved, and thus potentially eligible for Phase II support.</w:t>
      </w:r>
      <w:r>
        <w:rPr>
          <w:rStyle w:val="FootnoteReference"/>
        </w:rPr>
        <w:footnoteReference w:id="3"/>
      </w:r>
      <w:r>
        <w:t xml:space="preserve">  That final determination will be used in making an offer of Phase II model-based support to price cap carriers to fund the deployment of voice and broadband-capable infrastructure in their territories.</w:t>
      </w:r>
    </w:p>
    <w:p w:rsidR="007122D9" w:rsidRDefault="009026EC" w:rsidP="001A3018">
      <w:pPr>
        <w:pStyle w:val="ParaNum0"/>
        <w:widowControl/>
        <w:numPr>
          <w:ilvl w:val="0"/>
          <w:numId w:val="0"/>
        </w:numPr>
        <w:ind w:firstLine="720"/>
      </w:pPr>
      <w:r>
        <w:rPr>
          <w:b/>
          <w:i/>
        </w:rPr>
        <w:t xml:space="preserve">Background.  </w:t>
      </w:r>
      <w:r w:rsidR="007122D9">
        <w:t xml:space="preserve">In the </w:t>
      </w:r>
      <w:r w:rsidR="007122D9">
        <w:rPr>
          <w:i/>
        </w:rPr>
        <w:t>USF/ICC Transformation Order</w:t>
      </w:r>
      <w:r w:rsidR="007122D9">
        <w:t xml:space="preserve">, the Commission comprehensively reformed and modernized the universal service and intercarrier compensation systems to maintain voice </w:t>
      </w:r>
      <w:r w:rsidR="007122D9">
        <w:lastRenderedPageBreak/>
        <w:t>service and extend broadband-capable infrastructure to millions of Americans.</w:t>
      </w:r>
      <w:r w:rsidR="00AE573B">
        <w:rPr>
          <w:rStyle w:val="FootnoteReference"/>
        </w:rPr>
        <w:footnoteReference w:id="4"/>
      </w:r>
      <w:r w:rsidR="007122D9">
        <w:t xml:space="preserve">  As part of that reform, the Commission established Connect America Phase II, which w</w:t>
      </w:r>
      <w:r w:rsidR="008225F1">
        <w:t>ill</w:t>
      </w:r>
      <w:r w:rsidR="007122D9">
        <w:t xml:space="preserve"> provide ongoing support to promote the deployment of </w:t>
      </w:r>
      <w:r w:rsidR="006F34B1">
        <w:t xml:space="preserve">voice and </w:t>
      </w:r>
      <w:r w:rsidR="007122D9">
        <w:t>broadband-capable networks</w:t>
      </w:r>
      <w:r w:rsidR="00787413">
        <w:t xml:space="preserve"> in</w:t>
      </w:r>
      <w:r w:rsidR="00447BAA">
        <w:t xml:space="preserve"> high-cost areas </w:t>
      </w:r>
      <w:r w:rsidR="0034189B">
        <w:t xml:space="preserve">in </w:t>
      </w:r>
      <w:r w:rsidR="00787413">
        <w:t>price cap territories</w:t>
      </w:r>
      <w:r w:rsidR="007122D9">
        <w:t xml:space="preserve">.  The Commission specified that Phase II support would </w:t>
      </w:r>
      <w:r w:rsidR="008225F1">
        <w:t xml:space="preserve">not </w:t>
      </w:r>
      <w:r w:rsidR="007122D9">
        <w:t xml:space="preserve">be provided in areas served by an unsubsidized competitor, and it delegated to the Bureau the responsibility of determining </w:t>
      </w:r>
      <w:r w:rsidR="008225F1">
        <w:t>those</w:t>
      </w:r>
      <w:r w:rsidR="007122D9">
        <w:t xml:space="preserve"> areas.</w:t>
      </w:r>
      <w:r w:rsidR="007122D9">
        <w:rPr>
          <w:rStyle w:val="FootnoteReference"/>
        </w:rPr>
        <w:footnoteReference w:id="5"/>
      </w:r>
      <w:r w:rsidR="007122D9">
        <w:t xml:space="preserve">  The Commission also </w:t>
      </w:r>
      <w:r w:rsidR="008225F1">
        <w:t xml:space="preserve">specified that there be </w:t>
      </w:r>
      <w:r w:rsidR="007122D9">
        <w:t xml:space="preserve">a process by which parties could challenge that initial determination of whether or not an area </w:t>
      </w:r>
      <w:r w:rsidR="0034189B">
        <w:t>is</w:t>
      </w:r>
      <w:r w:rsidR="007122D9">
        <w:t xml:space="preserve"> unserved by an unsubsidized competitor.</w:t>
      </w:r>
    </w:p>
    <w:p w:rsidR="006F4305" w:rsidRDefault="007122D9" w:rsidP="0089179B">
      <w:pPr>
        <w:pStyle w:val="ParaNum0"/>
        <w:widowControl/>
        <w:numPr>
          <w:ilvl w:val="0"/>
          <w:numId w:val="0"/>
        </w:numPr>
        <w:ind w:firstLine="720"/>
      </w:pPr>
      <w:r>
        <w:t xml:space="preserve">The Bureau set forth the framework for the Commission-mandated challenge process in the </w:t>
      </w:r>
      <w:r>
        <w:rPr>
          <w:i/>
        </w:rPr>
        <w:t>Phase II Challenge Process Order</w:t>
      </w:r>
      <w:r>
        <w:t>.</w:t>
      </w:r>
      <w:r w:rsidR="003F167F">
        <w:rPr>
          <w:rStyle w:val="FootnoteReference"/>
        </w:rPr>
        <w:footnoteReference w:id="6"/>
      </w:r>
      <w:r>
        <w:t xml:space="preserve">  </w:t>
      </w:r>
      <w:r w:rsidR="004F6B24">
        <w:t xml:space="preserve">The challenge process is focused on whether an area is served or unserved by an unsubsidized competitor.  </w:t>
      </w:r>
      <w:r w:rsidR="00714F4E">
        <w:t>Using the National Broadband Map as a starting point, the Bureau preliminarily determine</w:t>
      </w:r>
      <w:r w:rsidR="006F34B1">
        <w:t>d</w:t>
      </w:r>
      <w:r w:rsidR="00714F4E">
        <w:t xml:space="preserve"> which census blocks were served or unserved by an unsubsidized competitor.  </w:t>
      </w:r>
    </w:p>
    <w:p w:rsidR="0089179B" w:rsidRDefault="006F4305" w:rsidP="004F6B24">
      <w:pPr>
        <w:pStyle w:val="ParaNum0"/>
        <w:widowControl/>
        <w:numPr>
          <w:ilvl w:val="0"/>
          <w:numId w:val="0"/>
        </w:numPr>
        <w:ind w:firstLine="720"/>
      </w:pPr>
      <w:r>
        <w:t xml:space="preserve">On </w:t>
      </w:r>
      <w:r w:rsidR="00E173D8">
        <w:t>June 30, 2014</w:t>
      </w:r>
      <w:r>
        <w:t>, the Bureau commenced the Phase II challenge process.</w:t>
      </w:r>
      <w:r>
        <w:rPr>
          <w:rStyle w:val="FootnoteReference"/>
        </w:rPr>
        <w:footnoteReference w:id="7"/>
      </w:r>
      <w:r>
        <w:t xml:space="preserve">  </w:t>
      </w:r>
      <w:r w:rsidR="00A93C8B">
        <w:t>P</w:t>
      </w:r>
      <w:r w:rsidR="00714F4E">
        <w:t xml:space="preserve">arties </w:t>
      </w:r>
      <w:r w:rsidR="00A93C8B">
        <w:t>then</w:t>
      </w:r>
      <w:r w:rsidR="00714F4E">
        <w:t xml:space="preserve"> </w:t>
      </w:r>
      <w:r w:rsidR="008C5BD4">
        <w:t>had</w:t>
      </w:r>
      <w:r w:rsidR="00714F4E">
        <w:t xml:space="preserve"> an opportunity to</w:t>
      </w:r>
      <w:r w:rsidR="008F3BC5">
        <w:t xml:space="preserve"> present evidence</w:t>
      </w:r>
      <w:r w:rsidR="00714F4E">
        <w:t xml:space="preserve"> contest</w:t>
      </w:r>
      <w:r w:rsidR="008F3BC5">
        <w:t>ing</w:t>
      </w:r>
      <w:r w:rsidR="00714F4E">
        <w:t xml:space="preserve"> the Bureau’s initial determination, arguing either that a census block deemed served should instead be treated as unserved, or that a census block deemed unserved should be treated as served.</w:t>
      </w:r>
      <w:r w:rsidR="00A93C8B">
        <w:rPr>
          <w:rStyle w:val="FootnoteReference"/>
        </w:rPr>
        <w:footnoteReference w:id="8"/>
      </w:r>
      <w:r w:rsidR="00714F4E">
        <w:t xml:space="preserve">  </w:t>
      </w:r>
      <w:r>
        <w:t xml:space="preserve">Challenges were due on August 14, 2014.  </w:t>
      </w:r>
      <w:r w:rsidR="008C5BD4">
        <w:t xml:space="preserve">More than 140 parties filed </w:t>
      </w:r>
      <w:r w:rsidR="007C59C8">
        <w:t>nearly</w:t>
      </w:r>
      <w:r w:rsidR="008C5BD4">
        <w:t xml:space="preserve"> 180,000 challenges.  The Bureau then undertook the process of determining which challenges presented sufficient evidence to merit putting the challenge up for reply.</w:t>
      </w:r>
      <w:r w:rsidR="00281B16">
        <w:t xml:space="preserve">  </w:t>
      </w:r>
      <w:r w:rsidR="00E57393">
        <w:t>T</w:t>
      </w:r>
      <w:r w:rsidR="0089179B">
        <w:t xml:space="preserve">he Commission directed the Bureau to commence the Phase II challenge process </w:t>
      </w:r>
      <w:r w:rsidR="004F6B24">
        <w:t xml:space="preserve">using the standard </w:t>
      </w:r>
      <w:r w:rsidR="0089179B">
        <w:t xml:space="preserve">established in the 2013 </w:t>
      </w:r>
      <w:r w:rsidR="0089179B">
        <w:rPr>
          <w:i/>
        </w:rPr>
        <w:t>Phase II Service Obligations Order.</w:t>
      </w:r>
      <w:r w:rsidR="004F6B24">
        <w:rPr>
          <w:rStyle w:val="FootnoteReference"/>
          <w:i/>
        </w:rPr>
        <w:footnoteReference w:id="9"/>
      </w:r>
      <w:r w:rsidR="0089179B">
        <w:rPr>
          <w:i/>
        </w:rPr>
        <w:t xml:space="preserve">  </w:t>
      </w:r>
      <w:r w:rsidR="00265571">
        <w:t>I</w:t>
      </w:r>
      <w:r w:rsidR="0089179B">
        <w:t xml:space="preserve">n order to qualify as “served” by an unsubsidized competitor, the census block must have voice service and broadband service with pricing that is reasonably comparable to that </w:t>
      </w:r>
      <w:r w:rsidR="00265571">
        <w:t xml:space="preserve">for similar services </w:t>
      </w:r>
      <w:r w:rsidR="0089179B">
        <w:t>in an urban area.  In addition, the broadband service must have speeds of 4 Mbps downstream and 1 Mbps upstream, a usage allowance of at least 100 GB, and latency of 100 ms or less.</w:t>
      </w:r>
      <w:r w:rsidR="0089179B">
        <w:rPr>
          <w:rStyle w:val="FootnoteReference"/>
        </w:rPr>
        <w:footnoteReference w:id="10"/>
      </w:r>
      <w:r w:rsidR="0089179B">
        <w:t xml:space="preserve"> </w:t>
      </w:r>
      <w:r w:rsidR="0089179B">
        <w:rPr>
          <w:i/>
        </w:rPr>
        <w:t xml:space="preserve"> </w:t>
      </w:r>
    </w:p>
    <w:p w:rsidR="00BC11F4" w:rsidRDefault="006E62F5" w:rsidP="004F6B24">
      <w:pPr>
        <w:pStyle w:val="ParaNum0"/>
        <w:widowControl/>
        <w:numPr>
          <w:ilvl w:val="0"/>
          <w:numId w:val="0"/>
        </w:numPr>
        <w:ind w:firstLine="720"/>
      </w:pPr>
      <w:r>
        <w:rPr>
          <w:b/>
          <w:i/>
        </w:rPr>
        <w:t>Unserved-to-Served Challenges.</w:t>
      </w:r>
      <w:r>
        <w:t xml:space="preserve">  The Bureau received 37,613 challenges that a census block appear</w:t>
      </w:r>
      <w:r w:rsidR="00D01AE3">
        <w:t xml:space="preserve">ing on the initial eligible list should be removed because it was already served.  The Bureau </w:t>
      </w:r>
      <w:r w:rsidR="00DB0C48">
        <w:t xml:space="preserve">concluded that </w:t>
      </w:r>
      <w:r w:rsidR="00D01AE3">
        <w:t xml:space="preserve">15,603 of these challenges </w:t>
      </w:r>
      <w:r w:rsidR="00DB0C48">
        <w:t xml:space="preserve">did not make a prima facie case </w:t>
      </w:r>
      <w:r w:rsidR="00D01AE3">
        <w:t xml:space="preserve">because they failed </w:t>
      </w:r>
      <w:r w:rsidR="00DB0C48">
        <w:t xml:space="preserve">to meet one of several </w:t>
      </w:r>
      <w:r w:rsidR="00D01AE3">
        <w:t xml:space="preserve">threshold criteria: 13,006 challenges related to census blocks categorized as </w:t>
      </w:r>
      <w:r w:rsidR="00E8047A">
        <w:t xml:space="preserve">below the high-cost </w:t>
      </w:r>
      <w:r w:rsidR="00DB0C48">
        <w:t xml:space="preserve">funding </w:t>
      </w:r>
      <w:r w:rsidR="00E8047A">
        <w:t>threshold</w:t>
      </w:r>
      <w:r w:rsidR="00D01AE3">
        <w:t>;</w:t>
      </w:r>
      <w:r w:rsidR="0051166E">
        <w:rPr>
          <w:rStyle w:val="FootnoteReference"/>
        </w:rPr>
        <w:footnoteReference w:id="11"/>
      </w:r>
      <w:r w:rsidR="00D01AE3">
        <w:t xml:space="preserve"> 77 challenges related to census blocks </w:t>
      </w:r>
      <w:r w:rsidR="00877A5B">
        <w:t xml:space="preserve">that already are deemed to be </w:t>
      </w:r>
      <w:r w:rsidR="00D01AE3">
        <w:t xml:space="preserve">completely </w:t>
      </w:r>
      <w:r w:rsidR="00D01AE3">
        <w:lastRenderedPageBreak/>
        <w:t>within rate-of-return territory;</w:t>
      </w:r>
      <w:r w:rsidR="0051166E">
        <w:rPr>
          <w:rStyle w:val="FootnoteReference"/>
        </w:rPr>
        <w:footnoteReference w:id="12"/>
      </w:r>
      <w:r w:rsidR="00D01AE3">
        <w:t xml:space="preserve"> 1,935 challenges related to census blocks </w:t>
      </w:r>
      <w:r w:rsidR="00DB0C48">
        <w:t xml:space="preserve">that were not on the initial list of eligible </w:t>
      </w:r>
      <w:r w:rsidR="00B224FC">
        <w:t xml:space="preserve">census </w:t>
      </w:r>
      <w:r w:rsidR="00DB0C48">
        <w:t xml:space="preserve">blocks because they </w:t>
      </w:r>
      <w:r w:rsidR="00D01AE3">
        <w:t xml:space="preserve">already </w:t>
      </w:r>
      <w:r w:rsidR="00DB0C48">
        <w:t xml:space="preserve">are shown </w:t>
      </w:r>
      <w:r w:rsidR="00D01AE3">
        <w:t>as served</w:t>
      </w:r>
      <w:r w:rsidR="00DB0C48">
        <w:t xml:space="preserve"> on the National Broadband map</w:t>
      </w:r>
      <w:r w:rsidR="00D01AE3">
        <w:t>;</w:t>
      </w:r>
      <w:r w:rsidR="0051166E">
        <w:rPr>
          <w:rStyle w:val="FootnoteReference"/>
        </w:rPr>
        <w:footnoteReference w:id="13"/>
      </w:r>
      <w:r w:rsidR="00D01AE3">
        <w:t xml:space="preserve"> and 585 challenges were </w:t>
      </w:r>
      <w:r w:rsidR="0051166E">
        <w:t xml:space="preserve">otherwise </w:t>
      </w:r>
      <w:r w:rsidR="00DB0C48">
        <w:t xml:space="preserve">deemed </w:t>
      </w:r>
      <w:r w:rsidR="0051166E">
        <w:t xml:space="preserve">invalid </w:t>
      </w:r>
      <w:r w:rsidR="00DB0C48">
        <w:t>on their face</w:t>
      </w:r>
      <w:r w:rsidR="00F7491B">
        <w:t xml:space="preserve"> as the Bureau was unable to match the FIPS code given by the challenger with any populated census block</w:t>
      </w:r>
      <w:r w:rsidR="0051166E">
        <w:t>.</w:t>
      </w:r>
      <w:r w:rsidR="002D6D1D">
        <w:rPr>
          <w:rStyle w:val="FootnoteReference"/>
        </w:rPr>
        <w:footnoteReference w:id="14"/>
      </w:r>
    </w:p>
    <w:p w:rsidR="00266CBE" w:rsidRDefault="00BC11F4" w:rsidP="004F6B24">
      <w:pPr>
        <w:pStyle w:val="ParaNum0"/>
        <w:widowControl/>
        <w:numPr>
          <w:ilvl w:val="0"/>
          <w:numId w:val="0"/>
        </w:numPr>
        <w:ind w:firstLine="720"/>
      </w:pPr>
      <w:r>
        <w:t xml:space="preserve">Of the remaining 22,010 challenges that met all the threshold requirements, </w:t>
      </w:r>
      <w:r w:rsidR="00610D19">
        <w:t xml:space="preserve">the Bureau concluded that </w:t>
      </w:r>
      <w:r>
        <w:t>1,8</w:t>
      </w:r>
      <w:r w:rsidR="007C59C8">
        <w:t>2</w:t>
      </w:r>
      <w:r>
        <w:t xml:space="preserve">7 </w:t>
      </w:r>
      <w:r w:rsidR="00610D19">
        <w:t xml:space="preserve">did </w:t>
      </w:r>
      <w:r>
        <w:t>not provid</w:t>
      </w:r>
      <w:r w:rsidR="00610D19">
        <w:t>e</w:t>
      </w:r>
      <w:r>
        <w:t xml:space="preserve"> sufficient evidence to establish a prima facie case that the census block in question is served by broadband and voice services meeting the Commission’s requirements.</w:t>
      </w:r>
      <w:r>
        <w:rPr>
          <w:rStyle w:val="FootnoteReference"/>
        </w:rPr>
        <w:footnoteReference w:id="15"/>
      </w:r>
      <w:r w:rsidR="00D01AE3">
        <w:t xml:space="preserve">  </w:t>
      </w:r>
      <w:r w:rsidR="00610D19">
        <w:t xml:space="preserve">The Bureau concluded that </w:t>
      </w:r>
      <w:r w:rsidR="00266CBE">
        <w:t xml:space="preserve">20,183 challenges </w:t>
      </w:r>
      <w:r w:rsidR="00610D19">
        <w:t>made a</w:t>
      </w:r>
      <w:r w:rsidR="00266CBE">
        <w:t xml:space="preserve"> valid prima facie cases that a census block should be treated as served</w:t>
      </w:r>
      <w:r w:rsidR="007215A5">
        <w:t>, with parties now having the opportunity to reply</w:t>
      </w:r>
      <w:r w:rsidR="00266CBE">
        <w:t>.</w:t>
      </w:r>
      <w:r w:rsidR="00266CBE">
        <w:rPr>
          <w:rStyle w:val="FootnoteReference"/>
        </w:rPr>
        <w:footnoteReference w:id="16"/>
      </w:r>
    </w:p>
    <w:p w:rsidR="006E62F5" w:rsidRDefault="00266CBE" w:rsidP="004F6B24">
      <w:pPr>
        <w:pStyle w:val="ParaNum0"/>
        <w:widowControl/>
        <w:numPr>
          <w:ilvl w:val="0"/>
          <w:numId w:val="0"/>
        </w:numPr>
        <w:ind w:firstLine="720"/>
      </w:pPr>
      <w:r>
        <w:t xml:space="preserve">In addition to these census blocks, </w:t>
      </w:r>
      <w:r w:rsidR="000F54AB">
        <w:t xml:space="preserve">petitioners filed </w:t>
      </w:r>
      <w:r>
        <w:t>requests for waiver in relation to 4,224 census blocks, asking the Bureau to waive the requirement that a census block have a current or former customer in order to be considered served.</w:t>
      </w:r>
      <w:r>
        <w:rPr>
          <w:rStyle w:val="FootnoteReference"/>
        </w:rPr>
        <w:footnoteReference w:id="17"/>
      </w:r>
      <w:r w:rsidR="006E62F5">
        <w:t xml:space="preserve"> </w:t>
      </w:r>
      <w:r w:rsidR="00FE2A6A">
        <w:t xml:space="preserve"> </w:t>
      </w:r>
      <w:r w:rsidR="006B2B88">
        <w:t xml:space="preserve">We </w:t>
      </w:r>
      <w:r w:rsidR="000F54AB">
        <w:t>were not persuaded by</w:t>
      </w:r>
      <w:r w:rsidR="006B2B88">
        <w:t xml:space="preserve"> the petitions for waiver as they relate to </w:t>
      </w:r>
      <w:r w:rsidR="00407177">
        <w:t>856</w:t>
      </w:r>
      <w:r w:rsidR="006B2B88">
        <w:t xml:space="preserve"> census blocks.</w:t>
      </w:r>
      <w:r w:rsidR="006B2B88">
        <w:rPr>
          <w:rStyle w:val="FootnoteReference"/>
        </w:rPr>
        <w:footnoteReference w:id="18"/>
      </w:r>
      <w:r w:rsidR="006B2B88">
        <w:t xml:space="preserve">  </w:t>
      </w:r>
      <w:r w:rsidR="00FE2A6A">
        <w:t>We grant waivers for 3,</w:t>
      </w:r>
      <w:r w:rsidR="00A344A8">
        <w:t>368</w:t>
      </w:r>
      <w:r w:rsidR="00FE2A6A">
        <w:t xml:space="preserve"> of these census blocks</w:t>
      </w:r>
      <w:r w:rsidR="000F54AB">
        <w:t>, concluding the petitioners have met the standard for granting a waiver</w:t>
      </w:r>
      <w:r w:rsidR="00FE2A6A">
        <w:t xml:space="preserve">.  For these </w:t>
      </w:r>
      <w:r w:rsidR="00CA688E">
        <w:t>census</w:t>
      </w:r>
      <w:r w:rsidR="00FE2A6A">
        <w:t xml:space="preserve"> blocks, </w:t>
      </w:r>
      <w:r w:rsidR="00CA688E">
        <w:t xml:space="preserve">parties provided evidence that special circumstances warrant deviating from the </w:t>
      </w:r>
      <w:r w:rsidR="000F54AB">
        <w:t>requirement</w:t>
      </w:r>
      <w:r w:rsidR="00CA688E">
        <w:t xml:space="preserve"> that a census block must have a current or former customer.  Parties variously argued that low population density, high poverty, or recent</w:t>
      </w:r>
      <w:r w:rsidR="00A344A8">
        <w:t>/ongoing</w:t>
      </w:r>
      <w:r w:rsidR="00CA688E">
        <w:t xml:space="preserve"> deployment explain the lack of a current or former customer.</w:t>
      </w:r>
      <w:r w:rsidR="00CA688E">
        <w:rPr>
          <w:rStyle w:val="FootnoteReference"/>
        </w:rPr>
        <w:footnoteReference w:id="19"/>
      </w:r>
      <w:r w:rsidR="00CA688E">
        <w:t xml:space="preserve">  We conclude that </w:t>
      </w:r>
      <w:r w:rsidR="00990989">
        <w:t xml:space="preserve">the public interest would be served by allowing these challenges to proceed to the next phase in the Phase II challenge process.  </w:t>
      </w:r>
      <w:r w:rsidR="006B2B88">
        <w:t>These 3,</w:t>
      </w:r>
      <w:r w:rsidR="009768EA">
        <w:t xml:space="preserve">368 </w:t>
      </w:r>
      <w:r w:rsidR="006B2B88">
        <w:t>census blocks also meet the threshold and evidentiary requirements noted above, and so we include them on the list of prima facie unserved-to-served challenges</w:t>
      </w:r>
      <w:r w:rsidR="007215A5">
        <w:t xml:space="preserve">, with parties </w:t>
      </w:r>
      <w:r w:rsidR="006957EC">
        <w:t xml:space="preserve">now </w:t>
      </w:r>
      <w:r w:rsidR="007215A5">
        <w:t>having the opportunity to reply</w:t>
      </w:r>
      <w:r w:rsidR="006B2B88">
        <w:t>.</w:t>
      </w:r>
    </w:p>
    <w:p w:rsidR="00266CBE" w:rsidRDefault="006B2B88" w:rsidP="004F6B24">
      <w:pPr>
        <w:pStyle w:val="ParaNum0"/>
        <w:widowControl/>
        <w:numPr>
          <w:ilvl w:val="0"/>
          <w:numId w:val="0"/>
        </w:numPr>
        <w:ind w:firstLine="720"/>
      </w:pPr>
      <w:r>
        <w:t xml:space="preserve">Lastly, </w:t>
      </w:r>
      <w:r w:rsidR="00272ADE">
        <w:t xml:space="preserve">challenges were filed relating to 683 census blocks that parties alleged fell entirely within rate-of-return study areas.  We </w:t>
      </w:r>
      <w:r w:rsidR="008F0C94">
        <w:t>dismiss</w:t>
      </w:r>
      <w:r w:rsidR="00990989">
        <w:t xml:space="preserve"> </w:t>
      </w:r>
      <w:r w:rsidR="008F0C94">
        <w:t>nine</w:t>
      </w:r>
      <w:r w:rsidR="00272ADE">
        <w:t xml:space="preserve"> of these challenges</w:t>
      </w:r>
      <w:r w:rsidR="008F0C94">
        <w:t xml:space="preserve"> as they</w:t>
      </w:r>
      <w:r w:rsidR="00272ADE">
        <w:t xml:space="preserve"> </w:t>
      </w:r>
      <w:r w:rsidR="008F0C94">
        <w:t>relate to issues of service below the census block level</w:t>
      </w:r>
      <w:r w:rsidR="00272ADE">
        <w:t>.</w:t>
      </w:r>
      <w:r w:rsidR="00272ADE">
        <w:rPr>
          <w:rStyle w:val="FootnoteReference"/>
        </w:rPr>
        <w:footnoteReference w:id="20"/>
      </w:r>
      <w:r w:rsidR="00272ADE">
        <w:t xml:space="preserve">  We determine that the remaining </w:t>
      </w:r>
      <w:r w:rsidR="008F0C94">
        <w:t>674</w:t>
      </w:r>
      <w:r w:rsidR="00272ADE">
        <w:t xml:space="preserve"> challenges provided sufficient evidence that the census blocks are located solely in rate-of-return territories.  Those census blocks have been added to the list of unserved-to-served </w:t>
      </w:r>
      <w:r w:rsidR="00990989">
        <w:t xml:space="preserve">prima facie </w:t>
      </w:r>
      <w:r w:rsidR="00272ADE">
        <w:t>challenges</w:t>
      </w:r>
      <w:r w:rsidR="00961262">
        <w:t xml:space="preserve">; opposing parties </w:t>
      </w:r>
      <w:r w:rsidR="006957EC">
        <w:t xml:space="preserve">now </w:t>
      </w:r>
      <w:r w:rsidR="00961262">
        <w:t>have the opportunity to reply</w:t>
      </w:r>
      <w:r w:rsidR="00272ADE">
        <w:t>.</w:t>
      </w:r>
    </w:p>
    <w:p w:rsidR="00727D2F" w:rsidRDefault="00727D2F" w:rsidP="00727D2F">
      <w:pPr>
        <w:pStyle w:val="ParaNum0"/>
        <w:widowControl/>
        <w:numPr>
          <w:ilvl w:val="0"/>
          <w:numId w:val="0"/>
        </w:numPr>
        <w:ind w:firstLine="720"/>
      </w:pPr>
      <w:r>
        <w:rPr>
          <w:b/>
          <w:i/>
        </w:rPr>
        <w:t>Served-to-Unserved Challenges.</w:t>
      </w:r>
      <w:r w:rsidR="007209EE">
        <w:rPr>
          <w:b/>
          <w:i/>
        </w:rPr>
        <w:t xml:space="preserve"> </w:t>
      </w:r>
      <w:r w:rsidR="00041ABA">
        <w:rPr>
          <w:b/>
          <w:i/>
        </w:rPr>
        <w:t xml:space="preserve"> </w:t>
      </w:r>
      <w:r w:rsidR="007209EE">
        <w:t xml:space="preserve">The Bureau received 135,815 challenges that a census block not appearing on the initial eligible list should be </w:t>
      </w:r>
      <w:r w:rsidR="00990989">
        <w:t>eligible for funding</w:t>
      </w:r>
      <w:r w:rsidR="007209EE">
        <w:t xml:space="preserve"> because it </w:t>
      </w:r>
      <w:r w:rsidR="00990989">
        <w:t>is</w:t>
      </w:r>
      <w:r w:rsidR="007209EE">
        <w:t xml:space="preserve"> unserved.  The Bureau </w:t>
      </w:r>
      <w:r w:rsidR="00990989">
        <w:t xml:space="preserve">concluded that </w:t>
      </w:r>
      <w:r w:rsidR="007209EE">
        <w:t xml:space="preserve">58,949 of these challenges </w:t>
      </w:r>
      <w:r w:rsidR="00990989">
        <w:t xml:space="preserve">failed to make a prima facie </w:t>
      </w:r>
      <w:r w:rsidR="007209EE">
        <w:t xml:space="preserve">because they failed </w:t>
      </w:r>
      <w:r w:rsidR="00990989">
        <w:t xml:space="preserve">to meet </w:t>
      </w:r>
      <w:r w:rsidR="007209EE">
        <w:t xml:space="preserve">some threshold criteria: 40,107 challenges related to census blocks categorized as </w:t>
      </w:r>
      <w:r w:rsidR="00E8047A">
        <w:t>below the high-cost threshold</w:t>
      </w:r>
      <w:r w:rsidR="007209EE">
        <w:t>;</w:t>
      </w:r>
      <w:r w:rsidR="007209EE">
        <w:rPr>
          <w:rStyle w:val="FootnoteReference"/>
        </w:rPr>
        <w:footnoteReference w:id="21"/>
      </w:r>
      <w:r>
        <w:rPr>
          <w:b/>
          <w:i/>
        </w:rPr>
        <w:t xml:space="preserve"> </w:t>
      </w:r>
      <w:r w:rsidR="007209EE">
        <w:t xml:space="preserve">136 challenges related to census blocks </w:t>
      </w:r>
      <w:r w:rsidR="00877A5B">
        <w:t xml:space="preserve">that already are deemed to be </w:t>
      </w:r>
      <w:r w:rsidR="007209EE">
        <w:t>completely within rate-of-return territory;</w:t>
      </w:r>
      <w:r w:rsidR="00B232C5">
        <w:rPr>
          <w:rStyle w:val="FootnoteReference"/>
        </w:rPr>
        <w:footnoteReference w:id="22"/>
      </w:r>
      <w:r w:rsidR="007209EE">
        <w:t xml:space="preserve"> </w:t>
      </w:r>
      <w:r w:rsidR="00E8047A">
        <w:t>one</w:t>
      </w:r>
      <w:r w:rsidR="007209EE">
        <w:t xml:space="preserve"> challenge related to a census block already listed </w:t>
      </w:r>
      <w:r w:rsidR="007215A5">
        <w:t xml:space="preserve">on the initial list of eligible </w:t>
      </w:r>
      <w:r w:rsidR="00B224FC">
        <w:t xml:space="preserve">census </w:t>
      </w:r>
      <w:r w:rsidR="007215A5">
        <w:t xml:space="preserve">blocks </w:t>
      </w:r>
      <w:r w:rsidR="007209EE">
        <w:t>as unserved;</w:t>
      </w:r>
      <w:r w:rsidR="00B232C5">
        <w:rPr>
          <w:rStyle w:val="FootnoteReference"/>
        </w:rPr>
        <w:footnoteReference w:id="23"/>
      </w:r>
      <w:r w:rsidR="007209EE">
        <w:t xml:space="preserve"> and 18,705 challenges were </w:t>
      </w:r>
      <w:r w:rsidR="009768EA">
        <w:t xml:space="preserve">deemed </w:t>
      </w:r>
      <w:r w:rsidR="007209EE">
        <w:t>otherwise invalid</w:t>
      </w:r>
      <w:r w:rsidR="007215A5">
        <w:t xml:space="preserve"> on their face</w:t>
      </w:r>
      <w:r w:rsidR="009768EA">
        <w:t xml:space="preserve"> as the Bureau was unable to match the FIPS code given by the challenger with any populated census block</w:t>
      </w:r>
      <w:r w:rsidR="007209EE">
        <w:t>.</w:t>
      </w:r>
      <w:r w:rsidR="00B232C5">
        <w:rPr>
          <w:rStyle w:val="FootnoteReference"/>
        </w:rPr>
        <w:footnoteReference w:id="24"/>
      </w:r>
    </w:p>
    <w:p w:rsidR="00727D2F" w:rsidRDefault="00B232C5" w:rsidP="004F6B24">
      <w:pPr>
        <w:pStyle w:val="ParaNum0"/>
        <w:widowControl/>
        <w:numPr>
          <w:ilvl w:val="0"/>
          <w:numId w:val="0"/>
        </w:numPr>
        <w:ind w:firstLine="720"/>
      </w:pPr>
      <w:r>
        <w:t xml:space="preserve">Of the remaining 76,866 challenges that met all the threshold requirements, </w:t>
      </w:r>
      <w:r w:rsidR="007215A5">
        <w:t xml:space="preserve">the Bureau concluded that </w:t>
      </w:r>
      <w:r>
        <w:t xml:space="preserve">4,418 </w:t>
      </w:r>
      <w:r w:rsidR="007215A5">
        <w:t>did</w:t>
      </w:r>
      <w:r>
        <w:t xml:space="preserve"> not provid</w:t>
      </w:r>
      <w:r w:rsidR="007215A5">
        <w:t>e</w:t>
      </w:r>
      <w:r>
        <w:t xml:space="preserve"> sufficient evidence to establish a prima facie case that the census block in question is unserved by broadband and voice services meeting the Commission’s requirements.</w:t>
      </w:r>
      <w:r>
        <w:rPr>
          <w:rStyle w:val="FootnoteReference"/>
        </w:rPr>
        <w:footnoteReference w:id="25"/>
      </w:r>
      <w:r w:rsidR="00652692">
        <w:t xml:space="preserve">  Additionally, </w:t>
      </w:r>
      <w:r w:rsidR="00961262">
        <w:t xml:space="preserve">a number of </w:t>
      </w:r>
      <w:r w:rsidR="00652692">
        <w:t>challenges challenged multiple providers in a given census block</w:t>
      </w:r>
      <w:r w:rsidR="00961262">
        <w:t>, arguing that none of those entities served the block in question</w:t>
      </w:r>
      <w:r w:rsidR="00652692">
        <w:t xml:space="preserve">.  </w:t>
      </w:r>
      <w:r w:rsidR="00961262">
        <w:t xml:space="preserve">In those situations where we conclude </w:t>
      </w:r>
      <w:r w:rsidR="00652692">
        <w:t>the challenge</w:t>
      </w:r>
      <w:r w:rsidR="00961262">
        <w:t>r failed to present a prima facie case with respect to</w:t>
      </w:r>
      <w:r w:rsidR="00652692">
        <w:t xml:space="preserve"> just one of those providers, </w:t>
      </w:r>
      <w:r w:rsidR="00961262">
        <w:t>we w</w:t>
      </w:r>
      <w:r w:rsidR="00ED66C1">
        <w:t xml:space="preserve">ill </w:t>
      </w:r>
      <w:r w:rsidR="00961262">
        <w:t xml:space="preserve">not review </w:t>
      </w:r>
      <w:r w:rsidR="007D68BF">
        <w:t xml:space="preserve">the party’s </w:t>
      </w:r>
      <w:r w:rsidR="00652692">
        <w:t xml:space="preserve">other challenges related to that census block (as only one provider is required to treat a census block as served).  </w:t>
      </w:r>
      <w:r w:rsidR="00961262">
        <w:t>Due to t</w:t>
      </w:r>
      <w:r w:rsidR="00652692">
        <w:t>his cascade effect</w:t>
      </w:r>
      <w:r w:rsidR="00961262">
        <w:t>, we conclude</w:t>
      </w:r>
      <w:r w:rsidR="00652692">
        <w:t xml:space="preserve"> an additional 1,580 challenges </w:t>
      </w:r>
      <w:r w:rsidR="00961262">
        <w:t>failed to make a prima facie case</w:t>
      </w:r>
      <w:r w:rsidR="00652692">
        <w:t>.</w:t>
      </w:r>
      <w:r w:rsidR="00652692">
        <w:rPr>
          <w:rStyle w:val="FootnoteReference"/>
        </w:rPr>
        <w:footnoteReference w:id="26"/>
      </w:r>
      <w:r w:rsidR="00652692">
        <w:t xml:space="preserve">  </w:t>
      </w:r>
      <w:r w:rsidR="007D68BF">
        <w:t xml:space="preserve">The remaining </w:t>
      </w:r>
      <w:r w:rsidR="00652692">
        <w:t xml:space="preserve">70,868 challenges were </w:t>
      </w:r>
      <w:r w:rsidR="007D68BF">
        <w:t>deemed</w:t>
      </w:r>
      <w:r w:rsidR="00652692">
        <w:t xml:space="preserve"> </w:t>
      </w:r>
      <w:r w:rsidR="007D68BF">
        <w:t>as making</w:t>
      </w:r>
      <w:r w:rsidR="00652692">
        <w:t xml:space="preserve"> a valid prima facie case that a census block should be treated as unserved</w:t>
      </w:r>
      <w:r w:rsidR="00ED66C1">
        <w:t>, with parties now having the opportunity to respond</w:t>
      </w:r>
      <w:r w:rsidR="00652692">
        <w:t>.</w:t>
      </w:r>
      <w:r w:rsidR="00652692">
        <w:rPr>
          <w:rStyle w:val="FootnoteReference"/>
        </w:rPr>
        <w:footnoteReference w:id="27"/>
      </w:r>
    </w:p>
    <w:p w:rsidR="00C2595E" w:rsidRDefault="00C2595E" w:rsidP="007C59C8">
      <w:pPr>
        <w:pStyle w:val="ParaNum0"/>
        <w:widowControl/>
        <w:numPr>
          <w:ilvl w:val="0"/>
          <w:numId w:val="0"/>
        </w:numPr>
        <w:ind w:firstLine="720"/>
      </w:pPr>
      <w:r>
        <w:rPr>
          <w:b/>
          <w:i/>
        </w:rPr>
        <w:t xml:space="preserve">Responses to Challenges.  </w:t>
      </w:r>
      <w:r>
        <w:t xml:space="preserve">Respondents have until </w:t>
      </w:r>
      <w:r w:rsidR="00170F88">
        <w:t>November 10, 2014</w:t>
      </w:r>
      <w:r>
        <w:t xml:space="preserve">, 45 days from the release of this Public Notice, to file their responses related to the list of census blocks for which prima facie challenges have been filed.  </w:t>
      </w:r>
      <w:r w:rsidR="00ED66C1">
        <w:t>As noted above, a</w:t>
      </w:r>
      <w:r>
        <w:t xml:space="preserve">fter the close of the response period, the Bureau will make its final determination as to whether the challenged census blocks will be treated as served or unserved by an unsubsidized competitor for the purposes of Phase II and will issue the final list of </w:t>
      </w:r>
      <w:r w:rsidR="00ED66C1">
        <w:t xml:space="preserve">eligible </w:t>
      </w:r>
      <w:r>
        <w:t xml:space="preserve">census blocks </w:t>
      </w:r>
      <w:r w:rsidR="00ED66C1">
        <w:t>t</w:t>
      </w:r>
      <w:r>
        <w:t>hat will be used for making an offer of Phase II model-based support to price cap carriers</w:t>
      </w:r>
      <w:r w:rsidR="007C59C8">
        <w:t>.</w:t>
      </w:r>
      <w:r w:rsidR="009768EA">
        <w:rPr>
          <w:rStyle w:val="FootnoteReference"/>
        </w:rPr>
        <w:footnoteReference w:id="28"/>
      </w:r>
      <w:r w:rsidR="003B160E">
        <w:t xml:space="preserve">  If no responses are received for a given </w:t>
      </w:r>
      <w:r w:rsidR="00B224FC">
        <w:t xml:space="preserve">prima facie </w:t>
      </w:r>
      <w:r w:rsidR="003B160E">
        <w:t>challenge, the challenge will be automatically granted.</w:t>
      </w:r>
    </w:p>
    <w:p w:rsidR="007C59C8" w:rsidRPr="00727D2F" w:rsidRDefault="007C59C8" w:rsidP="007C59C8">
      <w:pPr>
        <w:pStyle w:val="ParaNum0"/>
        <w:widowControl/>
        <w:numPr>
          <w:ilvl w:val="0"/>
          <w:numId w:val="0"/>
        </w:numPr>
        <w:ind w:firstLine="720"/>
      </w:pPr>
      <w:r>
        <w:t xml:space="preserve">The Bureau will not consider responses for any census block that </w:t>
      </w:r>
      <w:r w:rsidR="00ED66C1">
        <w:t>is not o</w:t>
      </w:r>
      <w:r w:rsidR="00B224FC">
        <w:t>n</w:t>
      </w:r>
      <w:r w:rsidR="00ED66C1">
        <w:t xml:space="preserve"> </w:t>
      </w:r>
      <w:r w:rsidR="00B224FC">
        <w:t xml:space="preserve">either of </w:t>
      </w:r>
      <w:r w:rsidR="00ED66C1">
        <w:t>the list</w:t>
      </w:r>
      <w:r w:rsidR="00B224FC">
        <w:t>s</w:t>
      </w:r>
      <w:r w:rsidR="00ED66C1">
        <w:t xml:space="preserve"> of census blocks for which there is </w:t>
      </w:r>
      <w:r>
        <w:t>a</w:t>
      </w:r>
      <w:r w:rsidR="007D68BF">
        <w:t xml:space="preserve"> prima facie challenge</w:t>
      </w:r>
      <w:r>
        <w:t xml:space="preserve">.  The response period is not an opportunity to challenge a census block that was not contested in the initial challenge period, nor is it an opportunity to provide further evidence in support of challenges that the Bureau determined failed to meet the prima facie standards. </w:t>
      </w:r>
    </w:p>
    <w:p w:rsidR="007122D9" w:rsidRDefault="004F6B24" w:rsidP="001A3018">
      <w:pPr>
        <w:pStyle w:val="ParaNum0"/>
        <w:widowControl/>
        <w:numPr>
          <w:ilvl w:val="0"/>
          <w:numId w:val="0"/>
        </w:numPr>
        <w:ind w:firstLine="720"/>
      </w:pPr>
      <w:r>
        <w:rPr>
          <w:b/>
          <w:i/>
        </w:rPr>
        <w:t xml:space="preserve">Filing </w:t>
      </w:r>
      <w:r w:rsidR="009026EC">
        <w:rPr>
          <w:b/>
          <w:i/>
        </w:rPr>
        <w:t xml:space="preserve">Process.  </w:t>
      </w:r>
      <w:r w:rsidR="008225F1">
        <w:t xml:space="preserve">To file a </w:t>
      </w:r>
      <w:r w:rsidR="00C2595E">
        <w:t>response</w:t>
      </w:r>
      <w:r w:rsidR="008225F1">
        <w:t>,</w:t>
      </w:r>
      <w:r w:rsidR="007122D9">
        <w:t xml:space="preserve"> parties </w:t>
      </w:r>
      <w:r w:rsidR="008225F1" w:rsidRPr="009E5C0D">
        <w:rPr>
          <w:i/>
        </w:rPr>
        <w:t>must</w:t>
      </w:r>
      <w:r w:rsidR="007122D9">
        <w:t xml:space="preserve"> complete FCC Form 505, available at</w:t>
      </w:r>
      <w:r w:rsidR="00376A3A">
        <w:t xml:space="preserve"> </w:t>
      </w:r>
      <w:r w:rsidR="00376A3A" w:rsidRPr="00376A3A">
        <w:t>http://www.fcc.gov/wcb/tapd/Challenge_Process/FCC_Form_505.xls</w:t>
      </w:r>
      <w:r w:rsidR="007122D9">
        <w:t xml:space="preserve">, and file it on the Commission’s Electronic Comment Filing System (ECFS).  </w:t>
      </w:r>
      <w:r w:rsidR="00ED66C1" w:rsidRPr="00E041A3">
        <w:rPr>
          <w:b/>
        </w:rPr>
        <w:t>Responses</w:t>
      </w:r>
      <w:r w:rsidR="00ED66C1">
        <w:rPr>
          <w:b/>
        </w:rPr>
        <w:t xml:space="preserve"> to c</w:t>
      </w:r>
      <w:r w:rsidR="007122D9" w:rsidRPr="0026453A">
        <w:rPr>
          <w:b/>
        </w:rPr>
        <w:t xml:space="preserve">hallenges must be filed in WC </w:t>
      </w:r>
      <w:r w:rsidR="007122D9" w:rsidRPr="0026453A">
        <w:rPr>
          <w:rFonts w:ascii="Times New Roman Bold" w:hAnsi="Times New Roman Bold"/>
          <w:b/>
        </w:rPr>
        <w:t>Docket</w:t>
      </w:r>
      <w:r w:rsidR="007122D9" w:rsidRPr="0026453A">
        <w:rPr>
          <w:b/>
        </w:rPr>
        <w:t xml:space="preserve"> No. </w:t>
      </w:r>
      <w:r w:rsidR="007122D9" w:rsidRPr="00870CAC">
        <w:rPr>
          <w:rFonts w:ascii="Times New Roman Bold" w:hAnsi="Times New Roman Bold"/>
          <w:b/>
          <w:caps/>
        </w:rPr>
        <w:t>14</w:t>
      </w:r>
      <w:r w:rsidR="007122D9" w:rsidRPr="004C5B03">
        <w:rPr>
          <w:b/>
        </w:rPr>
        <w:t>-</w:t>
      </w:r>
      <w:r w:rsidR="007122D9" w:rsidRPr="00746996">
        <w:rPr>
          <w:b/>
        </w:rPr>
        <w:t>93</w:t>
      </w:r>
      <w:r w:rsidR="009026EC" w:rsidRPr="009026EC">
        <w:t xml:space="preserve"> </w:t>
      </w:r>
      <w:r w:rsidR="009026EC">
        <w:rPr>
          <w:b/>
        </w:rPr>
        <w:t>using Form 505</w:t>
      </w:r>
      <w:r w:rsidR="007122D9" w:rsidRPr="009026EC">
        <w:rPr>
          <w:b/>
        </w:rPr>
        <w:t>.</w:t>
      </w:r>
      <w:r w:rsidR="007122D9" w:rsidRPr="004C5B03">
        <w:rPr>
          <w:b/>
        </w:rPr>
        <w:t xml:space="preserve">  </w:t>
      </w:r>
      <w:r w:rsidR="00ED66C1">
        <w:rPr>
          <w:b/>
        </w:rPr>
        <w:t>Responses</w:t>
      </w:r>
      <w:r w:rsidR="009026EC">
        <w:rPr>
          <w:b/>
        </w:rPr>
        <w:t xml:space="preserve"> not utilizing Form 505 will </w:t>
      </w:r>
      <w:r w:rsidR="00ED66C1">
        <w:rPr>
          <w:b/>
        </w:rPr>
        <w:t>not be considered</w:t>
      </w:r>
      <w:r w:rsidR="009026EC">
        <w:rPr>
          <w:b/>
        </w:rPr>
        <w:t xml:space="preserve">.  </w:t>
      </w:r>
      <w:r w:rsidR="007122D9">
        <w:t xml:space="preserve">In addition to filing </w:t>
      </w:r>
      <w:r w:rsidR="00ED66C1">
        <w:t>responses</w:t>
      </w:r>
      <w:r w:rsidR="007122D9">
        <w:t xml:space="preserve"> on ECFS, parties are also required to submit a copy of their </w:t>
      </w:r>
      <w:r w:rsidR="00ED66C1">
        <w:t xml:space="preserve">response to a </w:t>
      </w:r>
      <w:r w:rsidR="007122D9">
        <w:t xml:space="preserve">challenge in a native format to the Commission in one of two ways: either by e-mailing the files to </w:t>
      </w:r>
      <w:r w:rsidR="007122D9" w:rsidRPr="00DE793C">
        <w:t>Form505@fcc.gov</w:t>
      </w:r>
      <w:r w:rsidR="007122D9">
        <w:t xml:space="preserve"> or by delivering storage media containing the files to the </w:t>
      </w:r>
      <w:r w:rsidR="00872E9E">
        <w:t xml:space="preserve">Attention of Gilbert Smith, </w:t>
      </w:r>
      <w:r w:rsidR="007122D9">
        <w:t>Telecommunications Access Policy Division, Wireline Competition Bureau</w:t>
      </w:r>
      <w:r w:rsidR="009026EC">
        <w:t xml:space="preserve"> (see </w:t>
      </w:r>
      <w:r w:rsidR="00E8188B">
        <w:t>Procedural Matters</w:t>
      </w:r>
      <w:r w:rsidR="009026EC">
        <w:t xml:space="preserve"> below)</w:t>
      </w:r>
      <w:r w:rsidR="007122D9">
        <w:t xml:space="preserve">. </w:t>
      </w:r>
    </w:p>
    <w:p w:rsidR="007122D9" w:rsidRDefault="007122D9" w:rsidP="001A3018">
      <w:pPr>
        <w:pStyle w:val="ParaNum0"/>
        <w:widowControl/>
        <w:numPr>
          <w:ilvl w:val="0"/>
          <w:numId w:val="0"/>
        </w:numPr>
        <w:ind w:firstLine="720"/>
      </w:pPr>
      <w:r>
        <w:t xml:space="preserve">The Bureau has also created </w:t>
      </w:r>
      <w:r w:rsidRPr="009E5C0D">
        <w:rPr>
          <w:b/>
        </w:rPr>
        <w:t>a challenge process guide</w:t>
      </w:r>
      <w:r>
        <w:t xml:space="preserve">, designed to walk parties through the process of filing </w:t>
      </w:r>
      <w:r w:rsidR="00050A35">
        <w:t xml:space="preserve">and responding to </w:t>
      </w:r>
      <w:r>
        <w:t>challenge</w:t>
      </w:r>
      <w:r w:rsidR="00050A35">
        <w:t>s</w:t>
      </w:r>
      <w:r>
        <w:t xml:space="preserve">, as well as answer some frequently asked questions.  The guide can be found at </w:t>
      </w:r>
      <w:r w:rsidR="00FE4F85" w:rsidRPr="00FE4F85">
        <w:t>http://www.fcc.gov/wcb/tapd/Challenge_Process/ChallengeProcessGuide7-31-14.docx</w:t>
      </w:r>
      <w:r>
        <w:t xml:space="preserve">.  While this guide is designed to assist parties in </w:t>
      </w:r>
      <w:r w:rsidR="00050A35">
        <w:t xml:space="preserve">participating in the </w:t>
      </w:r>
      <w:r>
        <w:t>challenge</w:t>
      </w:r>
      <w:r w:rsidR="00050A35">
        <w:t xml:space="preserve"> process</w:t>
      </w:r>
      <w:r>
        <w:t xml:space="preserve">, parties </w:t>
      </w:r>
      <w:r w:rsidR="00050A35">
        <w:t xml:space="preserve">should also </w:t>
      </w:r>
      <w:r>
        <w:t xml:space="preserve">read the relevant </w:t>
      </w:r>
      <w:r w:rsidR="001A3018">
        <w:t>Commission and Bureau documents</w:t>
      </w:r>
      <w:r>
        <w:t xml:space="preserve"> related to the challenge process</w:t>
      </w:r>
      <w:r w:rsidR="009026EC">
        <w:t xml:space="preserve">, particularly the </w:t>
      </w:r>
      <w:r w:rsidR="009026EC">
        <w:rPr>
          <w:i/>
        </w:rPr>
        <w:t xml:space="preserve">Phase II Challenge Process Order </w:t>
      </w:r>
      <w:r w:rsidR="009026EC">
        <w:t xml:space="preserve">and the June 20, 2014 </w:t>
      </w:r>
      <w:r w:rsidR="00545C4B">
        <w:t>P</w:t>
      </w:r>
      <w:r w:rsidR="009026EC">
        <w:t xml:space="preserve">ublic </w:t>
      </w:r>
      <w:r w:rsidR="00545C4B">
        <w:t>N</w:t>
      </w:r>
      <w:r w:rsidR="009026EC">
        <w:t>otice providing additional guidance</w:t>
      </w:r>
      <w:r>
        <w:t>.</w:t>
      </w:r>
      <w:r>
        <w:rPr>
          <w:rStyle w:val="FootnoteReference"/>
        </w:rPr>
        <w:footnoteReference w:id="29"/>
      </w:r>
    </w:p>
    <w:p w:rsidR="007122D9" w:rsidRDefault="00B34BF6" w:rsidP="001A3018">
      <w:pPr>
        <w:pStyle w:val="ParaNum0"/>
        <w:widowControl/>
        <w:numPr>
          <w:ilvl w:val="0"/>
          <w:numId w:val="0"/>
        </w:numPr>
        <w:ind w:firstLine="720"/>
      </w:pPr>
      <w:r w:rsidRPr="00B34BF6">
        <w:rPr>
          <w:rFonts w:ascii="Times New Roman Bold" w:hAnsi="Times New Roman Bold"/>
          <w:b/>
          <w:i/>
        </w:rPr>
        <w:t>Procedural Matters</w:t>
      </w:r>
      <w:r w:rsidR="0089179B" w:rsidRPr="00746996">
        <w:rPr>
          <w:rFonts w:ascii="Times New Roman Bold" w:hAnsi="Times New Roman Bold"/>
          <w:i/>
          <w:caps/>
        </w:rPr>
        <w:t xml:space="preserve">.  </w:t>
      </w:r>
      <w:r w:rsidR="007122D9" w:rsidRPr="0089179B">
        <w:t>I</w:t>
      </w:r>
      <w:r w:rsidR="007122D9">
        <w:t xml:space="preserve">nterested parties may file </w:t>
      </w:r>
      <w:r w:rsidR="00ED66C1">
        <w:t xml:space="preserve">responses to </w:t>
      </w:r>
      <w:r w:rsidR="007122D9">
        <w:t xml:space="preserve">challenges </w:t>
      </w:r>
      <w:r w:rsidR="0089179B">
        <w:t xml:space="preserve">using Form 505 </w:t>
      </w:r>
      <w:r w:rsidR="007122D9">
        <w:t xml:space="preserve">on or before the date indicated on the first </w:t>
      </w:r>
      <w:r w:rsidR="007122D9" w:rsidRPr="00404B82">
        <w:t xml:space="preserve">page of this document.  </w:t>
      </w:r>
      <w:r w:rsidR="00ED66C1" w:rsidRPr="00404B82">
        <w:t>Responses to c</w:t>
      </w:r>
      <w:r w:rsidR="007122D9" w:rsidRPr="00404B82">
        <w:t xml:space="preserve">hallenges are to reference </w:t>
      </w:r>
      <w:r w:rsidR="007122D9" w:rsidRPr="00404B82">
        <w:rPr>
          <w:b/>
        </w:rPr>
        <w:t>WC Docket No. 14-93 and DA 14-</w:t>
      </w:r>
      <w:r w:rsidR="00404B82" w:rsidRPr="00404B82">
        <w:rPr>
          <w:b/>
        </w:rPr>
        <w:t>1397</w:t>
      </w:r>
      <w:r w:rsidR="007122D9">
        <w:rPr>
          <w:b/>
        </w:rPr>
        <w:t xml:space="preserve"> </w:t>
      </w:r>
      <w:r w:rsidR="007122D9">
        <w:t xml:space="preserve">and may be filed using the Commission’s Electronic Comment Filing System (ECFS).  </w:t>
      </w:r>
      <w:r w:rsidR="007122D9">
        <w:rPr>
          <w:i/>
        </w:rPr>
        <w:t>See Electronic Filing of Documents in Rulemaking Proceedings</w:t>
      </w:r>
      <w:r w:rsidR="007122D9">
        <w:t>, 63 Fed. Reg. 24121 (May 1, 1998).</w:t>
      </w:r>
    </w:p>
    <w:p w:rsidR="007122D9" w:rsidRDefault="007122D9" w:rsidP="009E5C0D">
      <w:pPr>
        <w:widowControl/>
        <w:numPr>
          <w:ilvl w:val="0"/>
          <w:numId w:val="11"/>
        </w:numPr>
        <w:tabs>
          <w:tab w:val="clear" w:pos="720"/>
          <w:tab w:val="left" w:pos="1440"/>
        </w:tabs>
        <w:ind w:firstLine="0"/>
      </w:pPr>
      <w:r>
        <w:t xml:space="preserve">Electronic Filers: </w:t>
      </w:r>
      <w:r w:rsidR="00ED66C1">
        <w:t>R</w:t>
      </w:r>
      <w:r>
        <w:t xml:space="preserve">esponses may be filed electronically using the Internet by accessing the ECFS: </w:t>
      </w:r>
      <w:r w:rsidRPr="00D15B48">
        <w:t>http://fjallfoss.fcc.gov/ecfs2/</w:t>
      </w:r>
      <w:r>
        <w:t xml:space="preserve">.  A electronic copy of the </w:t>
      </w:r>
      <w:r w:rsidR="00ED66C1">
        <w:t xml:space="preserve">response </w:t>
      </w:r>
      <w:r>
        <w:t xml:space="preserve">and accompanying evidence must also be e-mailed to </w:t>
      </w:r>
      <w:r w:rsidRPr="00B34BF6">
        <w:t>Form505@fcc.gov</w:t>
      </w:r>
      <w:r>
        <w:t xml:space="preserve"> or mailed on machine readable media to </w:t>
      </w:r>
      <w:r w:rsidR="00E8188B">
        <w:t xml:space="preserve">the </w:t>
      </w:r>
      <w:r w:rsidR="00872E9E">
        <w:t xml:space="preserve">Attention of Gilbert Smith, </w:t>
      </w:r>
      <w:r>
        <w:t>Telecommunications Access Policy Division, Wireline Competition Bureau, using the mailing methods discussed below for paper filers.</w:t>
      </w:r>
    </w:p>
    <w:p w:rsidR="007122D9" w:rsidRDefault="007122D9" w:rsidP="007122D9">
      <w:pPr>
        <w:widowControl/>
        <w:ind w:left="720"/>
      </w:pPr>
    </w:p>
    <w:p w:rsidR="00CD571D" w:rsidRDefault="007122D9" w:rsidP="007122D9">
      <w:pPr>
        <w:widowControl/>
        <w:numPr>
          <w:ilvl w:val="0"/>
          <w:numId w:val="9"/>
        </w:numPr>
        <w:tabs>
          <w:tab w:val="clear" w:pos="720"/>
        </w:tabs>
        <w:ind w:firstLine="0"/>
      </w:pPr>
      <w:r>
        <w:t xml:space="preserve">Paper Filers: Parties who choose to file by paper must file an original and one copy of each filing.  </w:t>
      </w:r>
      <w:r w:rsidR="00CD571D">
        <w:t xml:space="preserve">If more than one docket or rulemaking number appears in the caption of this proceeding, filers must submit two additional copies for each additional docket or rulemaking number.  </w:t>
      </w:r>
      <w:r>
        <w:t xml:space="preserve">Paper filers are still required to submit an electronic version of their </w:t>
      </w:r>
      <w:r w:rsidR="00ED66C1">
        <w:t>response</w:t>
      </w:r>
      <w:r>
        <w:t xml:space="preserve">, either by e-mail to </w:t>
      </w:r>
      <w:r w:rsidRPr="00B34BF6">
        <w:t>Form505@fcc.gov</w:t>
      </w:r>
      <w:r>
        <w:t xml:space="preserve"> or sent on machine readable media to </w:t>
      </w:r>
      <w:r w:rsidR="00872E9E">
        <w:t xml:space="preserve">the Attention of Gilbert Smith, </w:t>
      </w:r>
      <w:r>
        <w:t xml:space="preserve">Telecommunications Access Policy Division, Wireline Competition Bureau, using the mailing methods discussed below. </w:t>
      </w:r>
    </w:p>
    <w:p w:rsidR="00CD571D" w:rsidRDefault="00CD571D" w:rsidP="00CD571D">
      <w:pPr>
        <w:widowControl/>
        <w:ind w:left="720"/>
      </w:pPr>
    </w:p>
    <w:p w:rsidR="00CD571D" w:rsidRDefault="00CD571D" w:rsidP="009E5C0D">
      <w:pPr>
        <w:ind w:left="720"/>
      </w:pPr>
      <w:r>
        <w:t>Filings can be sent by hand or messenger delivery, by comm</w:t>
      </w:r>
      <w:r w:rsidR="002F4DFB">
        <w:t xml:space="preserve">ercial overnight courier, or by </w:t>
      </w:r>
      <w:r>
        <w:t>first-class or overnight U.S. Postal Service mail.  All filings must be addressed to the Commission’s Secretary, Office of the Secretary, Federal Communications Commission.</w:t>
      </w:r>
    </w:p>
    <w:p w:rsidR="007122D9" w:rsidRDefault="007122D9" w:rsidP="007122D9">
      <w:pPr>
        <w:widowControl/>
        <w:ind w:left="720"/>
      </w:pPr>
    </w:p>
    <w:p w:rsidR="00CD571D" w:rsidRDefault="00CD571D" w:rsidP="009E5C0D">
      <w:pPr>
        <w:widowControl/>
        <w:numPr>
          <w:ilvl w:val="0"/>
          <w:numId w:val="10"/>
        </w:numPr>
      </w:pPr>
      <w:r>
        <w:t xml:space="preserve">All hand-delivered or messenger-delivered paper filings for the Commission’s Secretary must be delivered to FCC Headquarters at </w:t>
      </w:r>
      <w:smartTag w:uri="urn:schemas-microsoft-com:office:smarttags" w:element="Street">
        <w:smartTag w:uri="urn:schemas-microsoft-com:office:smarttags" w:element="address">
          <w:r>
            <w:t>445 12</w:t>
          </w:r>
          <w:r w:rsidRPr="000B6EED">
            <w:rPr>
              <w:vertAlign w:val="superscript"/>
            </w:rPr>
            <w:t>th</w:t>
          </w:r>
          <w:r>
            <w:t xml:space="preserve"> St., SW</w:t>
          </w:r>
        </w:smartTag>
      </w:smartTag>
      <w:r>
        <w:t xml:space="preserve">, Room TW-A325, </w:t>
      </w:r>
      <w:smartTag w:uri="urn:schemas-microsoft-com:office:smarttags" w:element="place">
        <w:smartTag w:uri="urn:schemas-microsoft-com:office:smarttags" w:element="country-region">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smartTag>
      <w:r>
        <w:t xml:space="preserve">.  The filing hours are 8:00 a.m. to 7:00 p.m.  All hand deliveries must be held together with rubber bands or fasteners.  Any envelopes and boxes must be disposed of </w:t>
      </w:r>
      <w:r>
        <w:rPr>
          <w:u w:val="single"/>
        </w:rPr>
        <w:t>before</w:t>
      </w:r>
      <w:r>
        <w:t xml:space="preserve"> entering the building.  </w:t>
      </w:r>
    </w:p>
    <w:p w:rsidR="00CD571D" w:rsidRDefault="00CD571D" w:rsidP="009E5C0D">
      <w:pPr>
        <w:ind w:left="1080"/>
      </w:pPr>
    </w:p>
    <w:p w:rsidR="00CD571D" w:rsidRDefault="00CD571D" w:rsidP="009E5C0D">
      <w:pPr>
        <w:widowControl/>
        <w:numPr>
          <w:ilvl w:val="0"/>
          <w:numId w:val="10"/>
        </w:numPr>
      </w:pPr>
      <w:r>
        <w:t>Commercial overnight mail (other than U.S. Postal Service Express Mail and Priority Mail) must be sent to 9300 East Hampton Drive, Capitol Heights, MD 20743.</w:t>
      </w:r>
    </w:p>
    <w:p w:rsidR="00CD571D" w:rsidRDefault="00CD571D" w:rsidP="009E5C0D"/>
    <w:p w:rsidR="00CD571D" w:rsidRDefault="00CD571D" w:rsidP="009E5C0D">
      <w:pPr>
        <w:widowControl/>
        <w:numPr>
          <w:ilvl w:val="0"/>
          <w:numId w:val="10"/>
        </w:numPr>
      </w:pPr>
      <w:r>
        <w:t>U.S. Postal Service first-class, Express, and Priority mail must be addressed to 445 12</w:t>
      </w:r>
      <w:r>
        <w:rPr>
          <w:vertAlign w:val="superscript"/>
        </w:rPr>
        <w:t>th</w:t>
      </w:r>
      <w:r>
        <w:t xml:space="preserve"> Street, SW, Washington DC 20554.</w:t>
      </w:r>
    </w:p>
    <w:p w:rsidR="007122D9" w:rsidRDefault="007122D9" w:rsidP="0026453A">
      <w:pPr>
        <w:widowControl/>
      </w:pPr>
    </w:p>
    <w:p w:rsidR="00CD571D" w:rsidRDefault="00CD571D" w:rsidP="009E5C0D">
      <w:r>
        <w:t xml:space="preserve">People with Disabilities: To request materials in accessible formats for people with disabilities (braille, large print, electronic files, audio format), send an e-mail to </w:t>
      </w:r>
      <w:r w:rsidRPr="00B34BF6">
        <w:t>fcc504@fcc.gov</w:t>
      </w:r>
      <w:r>
        <w:t xml:space="preserve"> or call the Consumer &amp; Governmental Affairs Bureau at 202-418-0530 (voice), 202-418-0432 (tty).</w:t>
      </w:r>
    </w:p>
    <w:p w:rsidR="00CD571D" w:rsidRDefault="00CD571D" w:rsidP="00CD571D"/>
    <w:p w:rsidR="007122D9" w:rsidRDefault="007122D9" w:rsidP="0099721C">
      <w:pPr>
        <w:pStyle w:val="ParaNum0"/>
        <w:widowControl/>
        <w:numPr>
          <w:ilvl w:val="0"/>
          <w:numId w:val="0"/>
        </w:numPr>
      </w:pPr>
      <w:r>
        <w:t xml:space="preserve">For further information on this Public Notice, please contact </w:t>
      </w:r>
      <w:r w:rsidR="00872E9E">
        <w:t xml:space="preserve">Gilbert Smith, </w:t>
      </w:r>
      <w:r>
        <w:t>Telecommunications Access Policy Division, Wireline Competition Bureau at 202-418-7400</w:t>
      </w:r>
      <w:r w:rsidR="00CD571D">
        <w:t xml:space="preserve">, </w:t>
      </w:r>
      <w:r w:rsidR="00376A3A">
        <w:t>Form505@fcc.gov</w:t>
      </w:r>
      <w:r>
        <w:t>; or at TTY (202) 418-0484.</w:t>
      </w:r>
    </w:p>
    <w:p w:rsidR="007122D9" w:rsidRPr="00EE2438" w:rsidRDefault="007122D9" w:rsidP="007122D9">
      <w:pPr>
        <w:widowControl/>
        <w:spacing w:after="120"/>
        <w:jc w:val="center"/>
      </w:pPr>
      <w:r>
        <w:rPr>
          <w:b/>
          <w:szCs w:val="22"/>
        </w:rPr>
        <w:t>- FCC -</w:t>
      </w:r>
    </w:p>
    <w:p w:rsidR="006A0193" w:rsidRPr="007122D9" w:rsidRDefault="006A0193" w:rsidP="007122D9"/>
    <w:sectPr w:rsidR="006A0193" w:rsidRPr="007122D9" w:rsidSect="00E67BB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16" w:rsidRDefault="00216A16">
      <w:pPr>
        <w:spacing w:line="20" w:lineRule="exact"/>
      </w:pPr>
    </w:p>
  </w:endnote>
  <w:endnote w:type="continuationSeparator" w:id="0">
    <w:p w:rsidR="00216A16" w:rsidRDefault="00216A16"/>
  </w:endnote>
  <w:endnote w:type="continuationNotice" w:id="1">
    <w:p w:rsidR="00216A16" w:rsidRDefault="00216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rsidP="00E67BB8">
    <w:pPr>
      <w:pStyle w:val="Footer"/>
      <w:framePr w:wrap="around" w:vAnchor="text" w:hAnchor="margin" w:xAlign="center" w:y="1"/>
    </w:pPr>
    <w:r>
      <w:fldChar w:fldCharType="begin"/>
    </w:r>
    <w:r>
      <w:instrText xml:space="preserve">PAGE  </w:instrText>
    </w:r>
    <w:r>
      <w:fldChar w:fldCharType="end"/>
    </w:r>
  </w:p>
  <w:p w:rsidR="002F4DFB" w:rsidRDefault="002F4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rsidP="00E67BB8">
    <w:pPr>
      <w:pStyle w:val="Footer"/>
      <w:framePr w:wrap="around" w:vAnchor="text" w:hAnchor="margin" w:xAlign="center" w:y="1"/>
    </w:pPr>
    <w:r>
      <w:fldChar w:fldCharType="begin"/>
    </w:r>
    <w:r>
      <w:instrText xml:space="preserve">PAGE  </w:instrText>
    </w:r>
    <w:r>
      <w:fldChar w:fldCharType="separate"/>
    </w:r>
    <w:r w:rsidR="00A27E1D">
      <w:rPr>
        <w:noProof/>
      </w:rPr>
      <w:t>3</w:t>
    </w:r>
    <w:r>
      <w:rPr>
        <w:noProof/>
      </w:rPr>
      <w:fldChar w:fldCharType="end"/>
    </w:r>
  </w:p>
  <w:p w:rsidR="002F4DFB" w:rsidRDefault="002F4DF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16" w:rsidRDefault="00216A16">
      <w:r>
        <w:separator/>
      </w:r>
    </w:p>
  </w:footnote>
  <w:footnote w:type="continuationSeparator" w:id="0">
    <w:p w:rsidR="00216A16" w:rsidRDefault="00216A16">
      <w:pPr>
        <w:rPr>
          <w:sz w:val="20"/>
        </w:rPr>
      </w:pPr>
      <w:r>
        <w:rPr>
          <w:sz w:val="20"/>
        </w:rPr>
        <w:t xml:space="preserve">(Continued from previous page)  </w:t>
      </w:r>
      <w:r>
        <w:rPr>
          <w:sz w:val="20"/>
        </w:rPr>
        <w:separator/>
      </w:r>
    </w:p>
  </w:footnote>
  <w:footnote w:type="continuationNotice" w:id="1">
    <w:p w:rsidR="00216A16" w:rsidRDefault="00216A16" w:rsidP="00292F44">
      <w:pPr>
        <w:jc w:val="right"/>
        <w:rPr>
          <w:sz w:val="20"/>
        </w:rPr>
      </w:pPr>
      <w:r>
        <w:rPr>
          <w:sz w:val="20"/>
        </w:rPr>
        <w:t>(continued…)</w:t>
      </w:r>
    </w:p>
  </w:footnote>
  <w:footnote w:id="2">
    <w:p w:rsidR="006F4305" w:rsidRDefault="006F4305">
      <w:pPr>
        <w:pStyle w:val="FootnoteText"/>
      </w:pPr>
      <w:r>
        <w:rPr>
          <w:rStyle w:val="FootnoteReference"/>
        </w:rPr>
        <w:footnoteRef/>
      </w:r>
      <w:r>
        <w:t xml:space="preserve"> Whether a particular census block ultimately is on the final list of census blocks for which support is offered to price cap carriers in exchange for a state-level commitment will depend on where the Bureau ultimately sets the extremely high cost threshold.</w:t>
      </w:r>
    </w:p>
  </w:footnote>
  <w:footnote w:id="3">
    <w:p w:rsidR="00DB0C48" w:rsidRPr="00A93C8B" w:rsidRDefault="00DB0C48" w:rsidP="00DB0C48">
      <w:pPr>
        <w:pStyle w:val="FootnoteText"/>
      </w:pPr>
      <w:r>
        <w:rPr>
          <w:rStyle w:val="FootnoteReference"/>
        </w:rPr>
        <w:footnoteRef/>
      </w:r>
      <w:r>
        <w:t xml:space="preserve"> </w:t>
      </w:r>
      <w:r w:rsidR="00F7491B">
        <w:rPr>
          <w:i/>
        </w:rPr>
        <w:t>Connect America Fund</w:t>
      </w:r>
      <w:r w:rsidR="00F7491B">
        <w:t xml:space="preserve">, WC Docket No. 10-90, </w:t>
      </w:r>
      <w:r w:rsidR="002A15C9">
        <w:t xml:space="preserve">Report and Order, </w:t>
      </w:r>
      <w:r w:rsidR="00F7491B">
        <w:t>28 FCC Rcd 7211, 7220, paras. 21 (Wireline Comp. Bur. 2013) (</w:t>
      </w:r>
      <w:r w:rsidR="00F7491B">
        <w:rPr>
          <w:i/>
        </w:rPr>
        <w:t>Phase II Challenge Process Order</w:t>
      </w:r>
      <w:r w:rsidR="00F7491B">
        <w:t>).</w:t>
      </w:r>
    </w:p>
  </w:footnote>
  <w:footnote w:id="4">
    <w:p w:rsidR="00AE573B" w:rsidRPr="00AE573B" w:rsidRDefault="00AE573B">
      <w:pPr>
        <w:pStyle w:val="FootnoteText"/>
      </w:pPr>
      <w:r>
        <w:rPr>
          <w:rStyle w:val="FootnoteReference"/>
        </w:rPr>
        <w:footnoteRef/>
      </w:r>
      <w:r>
        <w:t xml:space="preserve"> </w:t>
      </w:r>
      <w:r>
        <w:rPr>
          <w:i/>
        </w:rPr>
        <w:t>Connect America Fund et al.</w:t>
      </w:r>
      <w:r>
        <w:t>, WC Docket No. 10-90 et al., Report and Order et al., 26 FCC Rcd 17663 (2011) (</w:t>
      </w:r>
      <w:r>
        <w:rPr>
          <w:i/>
        </w:rPr>
        <w:t>USF/ICC Transformation Order</w:t>
      </w:r>
      <w:r>
        <w:t>).</w:t>
      </w:r>
    </w:p>
  </w:footnote>
  <w:footnote w:id="5">
    <w:p w:rsidR="002F4DFB" w:rsidRPr="00605768" w:rsidRDefault="002F4DFB" w:rsidP="007122D9">
      <w:pPr>
        <w:pStyle w:val="FootnoteText"/>
      </w:pPr>
      <w:r>
        <w:rPr>
          <w:rStyle w:val="FootnoteReference"/>
        </w:rPr>
        <w:footnoteRef/>
      </w:r>
      <w:r>
        <w:t xml:space="preserve"> </w:t>
      </w:r>
      <w:r>
        <w:rPr>
          <w:i/>
        </w:rPr>
        <w:t xml:space="preserve">Id. </w:t>
      </w:r>
      <w:r>
        <w:t xml:space="preserve">at 17729, para. 170.  </w:t>
      </w:r>
    </w:p>
  </w:footnote>
  <w:footnote w:id="6">
    <w:p w:rsidR="003F167F" w:rsidRDefault="003F167F">
      <w:pPr>
        <w:pStyle w:val="FootnoteText"/>
      </w:pPr>
      <w:r>
        <w:rPr>
          <w:rStyle w:val="FootnoteReference"/>
        </w:rPr>
        <w:footnoteRef/>
      </w:r>
      <w:r>
        <w:t xml:space="preserve"> </w:t>
      </w:r>
      <w:r w:rsidR="00F7491B">
        <w:rPr>
          <w:i/>
        </w:rPr>
        <w:t>Phase II Challenge Process Order</w:t>
      </w:r>
      <w:r w:rsidR="00314803">
        <w:t>, 28 FCC Rcd</w:t>
      </w:r>
      <w:r w:rsidR="00F7491B">
        <w:t xml:space="preserve"> at</w:t>
      </w:r>
      <w:r w:rsidR="00314803">
        <w:t xml:space="preserve"> 7216-20, paras. 12-22</w:t>
      </w:r>
      <w:r>
        <w:t>.</w:t>
      </w:r>
    </w:p>
  </w:footnote>
  <w:footnote w:id="7">
    <w:p w:rsidR="006F4305" w:rsidRPr="00E173D8" w:rsidRDefault="006F4305">
      <w:pPr>
        <w:pStyle w:val="FootnoteText"/>
      </w:pPr>
      <w:r>
        <w:rPr>
          <w:rStyle w:val="FootnoteReference"/>
        </w:rPr>
        <w:footnoteRef/>
      </w:r>
      <w:r>
        <w:t xml:space="preserve"> </w:t>
      </w:r>
      <w:r w:rsidR="00E173D8">
        <w:rPr>
          <w:i/>
        </w:rPr>
        <w:t>Wireline Competition Bureau Commences Connect America Phase II Challenge Process</w:t>
      </w:r>
      <w:r w:rsidR="00E173D8">
        <w:t>, WC Docket No. 14-93 et al., Public Notice, 29 FCC Rcd 7986 (Wireline Comp. Bur. 2014)</w:t>
      </w:r>
      <w:r w:rsidR="002A15C9">
        <w:t xml:space="preserve"> (</w:t>
      </w:r>
      <w:r w:rsidR="002A15C9">
        <w:rPr>
          <w:i/>
        </w:rPr>
        <w:t>Phase II Challenge Process Commencement Public Notice</w:t>
      </w:r>
      <w:r w:rsidR="002A15C9">
        <w:t>)</w:t>
      </w:r>
      <w:r w:rsidR="00E173D8">
        <w:t>.</w:t>
      </w:r>
    </w:p>
  </w:footnote>
  <w:footnote w:id="8">
    <w:p w:rsidR="002F4DFB" w:rsidRPr="00F61891" w:rsidRDefault="002F4DFB">
      <w:pPr>
        <w:pStyle w:val="FootnoteText"/>
      </w:pPr>
      <w:r>
        <w:rPr>
          <w:rStyle w:val="FootnoteReference"/>
        </w:rPr>
        <w:footnoteRef/>
      </w:r>
      <w:r>
        <w:t xml:space="preserve"> </w:t>
      </w:r>
      <w:r w:rsidR="003F167F">
        <w:rPr>
          <w:i/>
        </w:rPr>
        <w:t xml:space="preserve">Id. </w:t>
      </w:r>
    </w:p>
  </w:footnote>
  <w:footnote w:id="9">
    <w:p w:rsidR="002F4DFB" w:rsidRDefault="002F4DFB">
      <w:pPr>
        <w:pStyle w:val="FootnoteText"/>
      </w:pPr>
      <w:r>
        <w:rPr>
          <w:rStyle w:val="FootnoteReference"/>
        </w:rPr>
        <w:footnoteRef/>
      </w:r>
      <w:r>
        <w:t xml:space="preserve"> </w:t>
      </w:r>
      <w:r>
        <w:rPr>
          <w:i/>
        </w:rPr>
        <w:t>Connect America Fund et al.</w:t>
      </w:r>
      <w:r>
        <w:t xml:space="preserve">, WC Docket No. 10-90 et al., Report and Order et al., </w:t>
      </w:r>
      <w:r w:rsidR="00314803">
        <w:t>29 FCC Rcd 7051, 7083</w:t>
      </w:r>
      <w:r>
        <w:t>, para. 90 (2014)</w:t>
      </w:r>
      <w:r w:rsidR="00314803">
        <w:t xml:space="preserve"> (</w:t>
      </w:r>
      <w:r w:rsidR="00314803">
        <w:rPr>
          <w:i/>
        </w:rPr>
        <w:t>Connect America Order and FNPRM</w:t>
      </w:r>
      <w:r w:rsidR="00314803">
        <w:t>)</w:t>
      </w:r>
      <w:r>
        <w:t xml:space="preserve">; </w:t>
      </w:r>
      <w:r>
        <w:rPr>
          <w:i/>
        </w:rPr>
        <w:t>see also Connect America Fund</w:t>
      </w:r>
      <w:r>
        <w:t>, WC Docket No. 10-90, Report and Order, 28 FCC Rcd 15060 (Wireline Comp. Bur. 2013) (</w:t>
      </w:r>
      <w:r>
        <w:rPr>
          <w:i/>
        </w:rPr>
        <w:t>Phase II Service Obligations Order</w:t>
      </w:r>
      <w:r>
        <w:t>).</w:t>
      </w:r>
    </w:p>
  </w:footnote>
  <w:footnote w:id="10">
    <w:p w:rsidR="002F4DFB" w:rsidRPr="00FF26A0" w:rsidRDefault="002F4DFB" w:rsidP="0089179B">
      <w:pPr>
        <w:pStyle w:val="FootnoteText"/>
      </w:pPr>
      <w:r>
        <w:rPr>
          <w:rStyle w:val="FootnoteReference"/>
        </w:rPr>
        <w:footnoteRef/>
      </w:r>
      <w:r>
        <w:t xml:space="preserve"> </w:t>
      </w:r>
      <w:r>
        <w:rPr>
          <w:i/>
        </w:rPr>
        <w:t>Phase II Service Obligations Order</w:t>
      </w:r>
      <w:r w:rsidRPr="00C1206E">
        <w:t>,</w:t>
      </w:r>
      <w:r>
        <w:t xml:space="preserve"> 28 FCC Rcd at 15076-80, paras. 39-47. </w:t>
      </w:r>
    </w:p>
  </w:footnote>
  <w:footnote w:id="11">
    <w:p w:rsidR="0051166E" w:rsidRPr="0051166E" w:rsidRDefault="0051166E">
      <w:pPr>
        <w:pStyle w:val="FootnoteText"/>
      </w:pPr>
      <w:r>
        <w:rPr>
          <w:rStyle w:val="FootnoteReference"/>
        </w:rPr>
        <w:footnoteRef/>
      </w:r>
      <w:r>
        <w:t xml:space="preserve"> As the Bureau stated in the </w:t>
      </w:r>
      <w:r>
        <w:rPr>
          <w:i/>
        </w:rPr>
        <w:t>Phase II Challenge Process Commencement Public Notice</w:t>
      </w:r>
      <w:r>
        <w:t xml:space="preserve">, parties may not challenge census blocks </w:t>
      </w:r>
      <w:r w:rsidR="00DB0C48">
        <w:t xml:space="preserve">where the average cost per funded location is </w:t>
      </w:r>
      <w:r>
        <w:t xml:space="preserve">below the high-cost threshold ($52.50).  </w:t>
      </w:r>
      <w:r w:rsidR="002A15C9">
        <w:rPr>
          <w:i/>
        </w:rPr>
        <w:t>Phase II Challenge Process Commencement Public Notice</w:t>
      </w:r>
      <w:r>
        <w:t xml:space="preserve">, 29 FCC Rcd </w:t>
      </w:r>
      <w:r w:rsidR="002A15C9">
        <w:t>at 7</w:t>
      </w:r>
      <w:r>
        <w:t>987-88.  Such challenges were filed by Amplex Electric (84 census blocks), Atlantic Broadband (12,918 census blocks), Cable TV of East Alabama (</w:t>
      </w:r>
      <w:r w:rsidR="00314803">
        <w:t>one</w:t>
      </w:r>
      <w:r>
        <w:t xml:space="preserve"> census block), Midcontinent Communications (</w:t>
      </w:r>
      <w:r w:rsidR="00314803">
        <w:t>two</w:t>
      </w:r>
      <w:r>
        <w:t xml:space="preserve"> census blocks), and Santa Rosa Telephone Cooperative CLEC (</w:t>
      </w:r>
      <w:r w:rsidR="00314803">
        <w:t>one</w:t>
      </w:r>
      <w:r>
        <w:t xml:space="preserve"> census block).</w:t>
      </w:r>
    </w:p>
  </w:footnote>
  <w:footnote w:id="12">
    <w:p w:rsidR="0051166E" w:rsidRDefault="0051166E" w:rsidP="0051166E">
      <w:pPr>
        <w:pStyle w:val="FootnoteText"/>
      </w:pPr>
      <w:r>
        <w:rPr>
          <w:rStyle w:val="FootnoteReference"/>
        </w:rPr>
        <w:footnoteRef/>
      </w:r>
      <w:r>
        <w:t xml:space="preserve"> Only price cap territories are eligible for Phase II support; </w:t>
      </w:r>
      <w:r w:rsidR="002065C1">
        <w:t xml:space="preserve">therefore, there is no need to adjudicate whether </w:t>
      </w:r>
      <w:r>
        <w:t>a non-price cap territory census block is served or unserved</w:t>
      </w:r>
      <w:r w:rsidR="002065C1">
        <w:t xml:space="preserve"> by an unsubsidized competitor</w:t>
      </w:r>
      <w:r>
        <w:t>.  Such challenges were filed by Atlantic Broadband (75 census blocks) and Farmers Telephone Company (</w:t>
      </w:r>
      <w:r w:rsidR="00314803">
        <w:t>two</w:t>
      </w:r>
      <w:r>
        <w:t xml:space="preserve"> census blocks).</w:t>
      </w:r>
    </w:p>
  </w:footnote>
  <w:footnote w:id="13">
    <w:p w:rsidR="0051166E" w:rsidRDefault="0051166E">
      <w:pPr>
        <w:pStyle w:val="FootnoteText"/>
      </w:pPr>
      <w:r>
        <w:rPr>
          <w:rStyle w:val="FootnoteReference"/>
        </w:rPr>
        <w:footnoteRef/>
      </w:r>
      <w:r>
        <w:t xml:space="preserve"> </w:t>
      </w:r>
      <w:r w:rsidR="002D6D1D">
        <w:t xml:space="preserve">As these census blocks </w:t>
      </w:r>
      <w:r w:rsidR="002065C1">
        <w:t>already were</w:t>
      </w:r>
      <w:r w:rsidR="002D6D1D">
        <w:t xml:space="preserve"> initially deemed served, there is no </w:t>
      </w:r>
      <w:r w:rsidR="002065C1">
        <w:t xml:space="preserve">need for the Bureau to adjudicate these challenges.  </w:t>
      </w:r>
      <w:r w:rsidR="002D6D1D">
        <w:t>Such challenges were filed by Atlantic Broadband (1,934 census blocks) and New Era Broadband (</w:t>
      </w:r>
      <w:r w:rsidR="00314803">
        <w:t>one</w:t>
      </w:r>
      <w:r w:rsidR="002D6D1D">
        <w:t xml:space="preserve"> census block).</w:t>
      </w:r>
    </w:p>
  </w:footnote>
  <w:footnote w:id="14">
    <w:p w:rsidR="002D6D1D" w:rsidRDefault="002D6D1D">
      <w:pPr>
        <w:pStyle w:val="FootnoteText"/>
      </w:pPr>
      <w:r>
        <w:rPr>
          <w:rStyle w:val="FootnoteReference"/>
        </w:rPr>
        <w:footnoteRef/>
      </w:r>
      <w:r>
        <w:t xml:space="preserve"> </w:t>
      </w:r>
      <w:r w:rsidR="00F7491B">
        <w:t xml:space="preserve">This may be because the FIPS code is erroneous (i.e., </w:t>
      </w:r>
      <w:r w:rsidR="004C2EAB">
        <w:t>the FIPS code does not match any census block in the United States</w:t>
      </w:r>
      <w:r w:rsidR="00F7491B">
        <w:t xml:space="preserve">), or the FIPS code is for a valid census block but that census block is unpopulated.  </w:t>
      </w:r>
      <w:r>
        <w:t>Such challenges were filed by All West/Utah, Inc. (</w:t>
      </w:r>
      <w:r w:rsidR="00314803">
        <w:t>one</w:t>
      </w:r>
      <w:r>
        <w:t xml:space="preserve"> census block), Atlantic Broadband (537 census blocks), BEK Communications Cooperative (</w:t>
      </w:r>
      <w:r w:rsidR="00314803">
        <w:t>four</w:t>
      </w:r>
      <w:r>
        <w:t xml:space="preserve"> census blocks), Cable TV of East Alabama (</w:t>
      </w:r>
      <w:r w:rsidR="00314803">
        <w:t>three</w:t>
      </w:r>
      <w:r>
        <w:t xml:space="preserve"> census blocks), Farmers Telephone Company (</w:t>
      </w:r>
      <w:r w:rsidR="00314803">
        <w:t>one</w:t>
      </w:r>
      <w:r>
        <w:t xml:space="preserve"> census block), Metrocast Communications (</w:t>
      </w:r>
      <w:r w:rsidR="00314803">
        <w:t>one</w:t>
      </w:r>
      <w:r>
        <w:t xml:space="preserve"> census block), New Era Broadband (</w:t>
      </w:r>
      <w:r w:rsidR="00314803">
        <w:t>one</w:t>
      </w:r>
      <w:r>
        <w:t xml:space="preserve"> census block), Northland Cable Television (</w:t>
      </w:r>
      <w:r w:rsidR="00314803">
        <w:t>two</w:t>
      </w:r>
      <w:r>
        <w:t xml:space="preserve"> census blocks), Randy Riddle dba ANR (33 census blocks), and Troy Cablevision (</w:t>
      </w:r>
      <w:r w:rsidR="00314803">
        <w:t>two</w:t>
      </w:r>
      <w:r>
        <w:t xml:space="preserve"> census blocks).</w:t>
      </w:r>
    </w:p>
  </w:footnote>
  <w:footnote w:id="15">
    <w:p w:rsidR="00BC11F4" w:rsidRDefault="00BC11F4">
      <w:pPr>
        <w:pStyle w:val="FootnoteText"/>
      </w:pPr>
      <w:r>
        <w:rPr>
          <w:rStyle w:val="FootnoteReference"/>
        </w:rPr>
        <w:footnoteRef/>
      </w:r>
      <w:r>
        <w:t xml:space="preserve"> Challenges </w:t>
      </w:r>
      <w:r w:rsidR="002065C1">
        <w:t xml:space="preserve">that did not make a prima facie case </w:t>
      </w:r>
      <w:r>
        <w:t xml:space="preserve">were filed by ALTIUS Communications (1,133 census blocks – the challenge did not provide evidence of meeting the performance requirements, </w:t>
      </w:r>
      <w:r w:rsidR="002065C1">
        <w:t xml:space="preserve">but rather </w:t>
      </w:r>
      <w:r>
        <w:t xml:space="preserve">only </w:t>
      </w:r>
      <w:r w:rsidR="002065C1">
        <w:t xml:space="preserve">specified </w:t>
      </w:r>
      <w:r>
        <w:t xml:space="preserve">where the challenger provided service), H&amp;B Cable Service (183 census blocks </w:t>
      </w:r>
      <w:r w:rsidR="00300E7D">
        <w:t>–</w:t>
      </w:r>
      <w:r>
        <w:t xml:space="preserve"> the challenge did not provide evidence of meeting the performance requirements, </w:t>
      </w:r>
      <w:r w:rsidR="002065C1">
        <w:t xml:space="preserve">but rather </w:t>
      </w:r>
      <w:r>
        <w:t xml:space="preserve">only </w:t>
      </w:r>
      <w:r w:rsidR="002065C1">
        <w:t xml:space="preserve">specified </w:t>
      </w:r>
      <w:r>
        <w:t xml:space="preserve">where the challenger provided service), IguanaNet (261 census blocks </w:t>
      </w:r>
      <w:r w:rsidR="00561EB9">
        <w:t>– the affidavit presented as evidence did not clearly show that usage allowance, latency, and pricing criteria were being met), and</w:t>
      </w:r>
      <w:r w:rsidR="00314803">
        <w:t xml:space="preserve"> Intelliwave (250 census blocks </w:t>
      </w:r>
      <w:r w:rsidR="00300E7D">
        <w:t>–</w:t>
      </w:r>
      <w:r w:rsidR="00561EB9">
        <w:t xml:space="preserve"> the Bureau </w:t>
      </w:r>
      <w:r w:rsidR="004C2EAB">
        <w:t>was not persuaded that the service offered at a rate of $104.95 per month met the reasonably comparable pricing requirement</w:t>
      </w:r>
      <w:r w:rsidR="00561EB9">
        <w:t>).</w:t>
      </w:r>
      <w:r w:rsidR="002065C1">
        <w:t xml:space="preserve">  </w:t>
      </w:r>
    </w:p>
  </w:footnote>
  <w:footnote w:id="16">
    <w:p w:rsidR="00266CBE" w:rsidRDefault="00266CBE">
      <w:pPr>
        <w:pStyle w:val="FootnoteText"/>
      </w:pPr>
      <w:r>
        <w:rPr>
          <w:rStyle w:val="FootnoteReference"/>
        </w:rPr>
        <w:footnoteRef/>
      </w:r>
      <w:r>
        <w:t xml:space="preserve"> The 20,183 challenges are for 19,753 unique census blocks, as some census blocks were challenged by more than one provider.</w:t>
      </w:r>
      <w:r w:rsidR="00A9084A">
        <w:t xml:space="preserve">  The Commission has instructed the Bureau not to prejudge the outcome of </w:t>
      </w:r>
      <w:r w:rsidR="007B0731">
        <w:t>questions raised in the pending Further Notice of Proposed Rulemaking</w:t>
      </w:r>
      <w:r w:rsidR="00FA6705">
        <w:t xml:space="preserve"> regarding</w:t>
      </w:r>
      <w:r w:rsidR="00A9084A">
        <w:t xml:space="preserve">.  </w:t>
      </w:r>
      <w:r w:rsidR="00376A3A">
        <w:rPr>
          <w:i/>
        </w:rPr>
        <w:t xml:space="preserve">Connect America Fund </w:t>
      </w:r>
      <w:r w:rsidR="00314803">
        <w:rPr>
          <w:i/>
        </w:rPr>
        <w:t>FNPRM</w:t>
      </w:r>
      <w:r w:rsidR="00314803">
        <w:t>,</w:t>
      </w:r>
      <w:r w:rsidR="00376A3A">
        <w:t xml:space="preserve"> 29 FCC Rcd 7051, 7083, para. 90 n.197.  </w:t>
      </w:r>
      <w:r w:rsidR="00A9084A">
        <w:t>Therefore, we have included subsidized providers in this list of census blocks.</w:t>
      </w:r>
    </w:p>
  </w:footnote>
  <w:footnote w:id="17">
    <w:p w:rsidR="00266CBE" w:rsidRPr="00266CBE" w:rsidRDefault="00266CBE">
      <w:pPr>
        <w:pStyle w:val="FootnoteText"/>
      </w:pPr>
      <w:r>
        <w:rPr>
          <w:rStyle w:val="FootnoteReference"/>
        </w:rPr>
        <w:footnoteRef/>
      </w:r>
      <w:r>
        <w:t xml:space="preserve"> </w:t>
      </w:r>
      <w:r>
        <w:rPr>
          <w:i/>
        </w:rPr>
        <w:t>Wireline Competition Bureau Provides Guidance Regarding Phase II Challenge Process</w:t>
      </w:r>
      <w:r>
        <w:t>, WC Docket No. 10-90, Public Notice, 29 FCC Rcd 7505, 7507-09, paras. 8-12 (Wireline Comp. Bur. 2014)</w:t>
      </w:r>
      <w:r w:rsidR="00FC4AAA">
        <w:t xml:space="preserve"> (</w:t>
      </w:r>
      <w:r w:rsidR="00FC4AAA">
        <w:rPr>
          <w:i/>
        </w:rPr>
        <w:t>Phase II Challenge Process Guidance Public Notice</w:t>
      </w:r>
      <w:r w:rsidR="00FC4AAA">
        <w:t>)</w:t>
      </w:r>
      <w:r>
        <w:t>.</w:t>
      </w:r>
    </w:p>
  </w:footnote>
  <w:footnote w:id="18">
    <w:p w:rsidR="006B2B88" w:rsidRDefault="006B2B88">
      <w:pPr>
        <w:pStyle w:val="FootnoteText"/>
      </w:pPr>
      <w:r>
        <w:rPr>
          <w:rStyle w:val="FootnoteReference"/>
        </w:rPr>
        <w:footnoteRef/>
      </w:r>
      <w:r>
        <w:t xml:space="preserve"> </w:t>
      </w:r>
      <w:r w:rsidR="004C2EAB">
        <w:t xml:space="preserve">In general, a waiver should be granted only where special circumstances warrant a deviation from the general rule, and it is shown that such a deviation will serve the public interest.  </w:t>
      </w:r>
      <w:r w:rsidR="004C2EAB">
        <w:rPr>
          <w:i/>
        </w:rPr>
        <w:t>Northeast Cellular Telephone Co. v. FCC</w:t>
      </w:r>
      <w:r w:rsidR="004C2EAB">
        <w:t>, 897 F.2d 1164, 1166 (D.C. Cir. 1990) (</w:t>
      </w:r>
      <w:r w:rsidR="004C2EAB">
        <w:rPr>
          <w:i/>
        </w:rPr>
        <w:t xml:space="preserve">citing </w:t>
      </w:r>
      <w:r w:rsidR="004C2EAB" w:rsidRPr="00E041A3">
        <w:rPr>
          <w:i/>
        </w:rPr>
        <w:t>WAIT Radio v. FC</w:t>
      </w:r>
      <w:r w:rsidR="002A15C9" w:rsidRPr="00E041A3">
        <w:rPr>
          <w:i/>
        </w:rPr>
        <w:t>C</w:t>
      </w:r>
      <w:r w:rsidR="004C2EAB">
        <w:t>, 418 F.2d 1153, 1159 (D.C. Cir. 1969)).</w:t>
      </w:r>
      <w:r w:rsidR="000F54AB">
        <w:t xml:space="preserve">  </w:t>
      </w:r>
      <w:r>
        <w:t>The</w:t>
      </w:r>
      <w:r w:rsidR="000F54AB">
        <w:t>se</w:t>
      </w:r>
      <w:r>
        <w:t xml:space="preserve"> petitions were filed by Amplex Electric (225 census bloc</w:t>
      </w:r>
      <w:r w:rsidR="00B627B3">
        <w:t>k</w:t>
      </w:r>
      <w:r>
        <w:t>s</w:t>
      </w:r>
      <w:r w:rsidR="00B627B3">
        <w:t xml:space="preserve"> </w:t>
      </w:r>
      <w:r w:rsidR="00300E7D">
        <w:t>–</w:t>
      </w:r>
      <w:r>
        <w:t xml:space="preserve"> the petition did not include evidence of special circumstances justifying a waiver)</w:t>
      </w:r>
      <w:r w:rsidR="00F65813">
        <w:t>,</w:t>
      </w:r>
      <w:r>
        <w:t xml:space="preserve"> Chariton Valley Telecom Corporation (</w:t>
      </w:r>
      <w:r w:rsidR="00B627B3">
        <w:t>seven</w:t>
      </w:r>
      <w:r>
        <w:t xml:space="preserve"> census blocks</w:t>
      </w:r>
      <w:r w:rsidR="00B627B3">
        <w:t xml:space="preserve"> </w:t>
      </w:r>
      <w:r w:rsidR="00300E7D">
        <w:t>–</w:t>
      </w:r>
      <w:r>
        <w:t xml:space="preserve"> the petition did not include evidence of special circumstances justifying a waiver)</w:t>
      </w:r>
      <w:r w:rsidR="00F65813">
        <w:t>,</w:t>
      </w:r>
      <w:r>
        <w:t xml:space="preserve"> CTC Telecommunications dba Mosaic Telecom (152 census blocks</w:t>
      </w:r>
      <w:r w:rsidR="00B627B3">
        <w:t xml:space="preserve"> </w:t>
      </w:r>
      <w:r w:rsidR="00300E7D">
        <w:t>–</w:t>
      </w:r>
      <w:r>
        <w:t xml:space="preserve"> the petition did not include evidence of special circumstances justifying a waiver)</w:t>
      </w:r>
      <w:r w:rsidR="00F65813">
        <w:t>,</w:t>
      </w:r>
      <w:r>
        <w:t xml:space="preserve"> and United Services (472 census blocks</w:t>
      </w:r>
      <w:r w:rsidR="00B627B3">
        <w:t xml:space="preserve"> </w:t>
      </w:r>
      <w:r w:rsidR="00300E7D">
        <w:t>–</w:t>
      </w:r>
      <w:r>
        <w:t xml:space="preserve"> the petition did not include evidence of special circumstances justifying a waiver).</w:t>
      </w:r>
    </w:p>
  </w:footnote>
  <w:footnote w:id="19">
    <w:p w:rsidR="00CA688E" w:rsidRDefault="00CA688E">
      <w:pPr>
        <w:pStyle w:val="FootnoteText"/>
      </w:pPr>
      <w:r>
        <w:rPr>
          <w:rStyle w:val="FootnoteReference"/>
        </w:rPr>
        <w:footnoteRef/>
      </w:r>
      <w:r>
        <w:t xml:space="preserve"> Some parties filed oppositions to these waiver requests.  </w:t>
      </w:r>
      <w:r w:rsidR="00376A3A">
        <w:rPr>
          <w:i/>
        </w:rPr>
        <w:t xml:space="preserve">See </w:t>
      </w:r>
      <w:r w:rsidR="00376A3A">
        <w:t xml:space="preserve">Opposition of Windstream Corporation to Petitions for Limited Waiver of CAF Phase II Evidentiary Requirement, WC Docket No. 10-90 et al. (filed Aug. 22, 2014); Opposition of the United States Telecom Association to the Petitions for Limited Waiver of the CAF Phase II Evidentiary Requirement by Allen’s TV Cable Service, Inc. et al., WC Docket No. 10-90 et al. (filed Aug. 25, 2014); Opposition of CenturyLink to Petitions for Limited Waiver of CAF Phase II Evidentiary Requirement, WC Docket No. 10-90 et al. (filed Aug. 25, 2014).  </w:t>
      </w:r>
      <w:r>
        <w:t>We conclude that the waivers in question were properly filed</w:t>
      </w:r>
      <w:r w:rsidR="000F54AB">
        <w:t xml:space="preserve"> in conjunction with these</w:t>
      </w:r>
      <w:r>
        <w:t xml:space="preserve"> challenge</w:t>
      </w:r>
      <w:r w:rsidR="000F54AB">
        <w:t>s</w:t>
      </w:r>
      <w:r>
        <w:t>.  The argument that parties were not afforded reasonable notice to respond to the waiver request is undermined both by the fact that parties did respond to the waiver request</w:t>
      </w:r>
      <w:r w:rsidR="002A15C9">
        <w:t>s</w:t>
      </w:r>
      <w:r>
        <w:t xml:space="preserve"> and that copies of the challenges (including waivers) were served on the interested parties.  Additionally, parties </w:t>
      </w:r>
      <w:r w:rsidR="000F54AB">
        <w:t xml:space="preserve">opposing grant of the waiver </w:t>
      </w:r>
      <w:r>
        <w:t xml:space="preserve">will have an opportunity in the response period to </w:t>
      </w:r>
      <w:r w:rsidR="000F54AB">
        <w:t>present their arguments as to why</w:t>
      </w:r>
      <w:r>
        <w:t xml:space="preserve"> the census blocks in question </w:t>
      </w:r>
      <w:r w:rsidR="000F54AB">
        <w:t xml:space="preserve">should treated as </w:t>
      </w:r>
      <w:r>
        <w:t xml:space="preserve">not served.  As for arguments </w:t>
      </w:r>
      <w:r w:rsidR="006B2B88">
        <w:t xml:space="preserve">that the evidence presented by the parties seeking waiver does not constitute special circumstances, </w:t>
      </w:r>
      <w:r w:rsidR="000F54AB">
        <w:t>we conclude that</w:t>
      </w:r>
      <w:r w:rsidR="006B2B88">
        <w:t xml:space="preserve"> low density or high poverty in the blocks, alleged by many parties, </w:t>
      </w:r>
      <w:r w:rsidR="000F54AB">
        <w:t xml:space="preserve">could </w:t>
      </w:r>
      <w:r w:rsidR="006B2B88">
        <w:t xml:space="preserve">provide a plausible explanation as to why a census block has access to service but no customers have taken advantage of it.  </w:t>
      </w:r>
      <w:r w:rsidR="00A344A8">
        <w:t xml:space="preserve">Similarly, recent or ongoing </w:t>
      </w:r>
      <w:r w:rsidR="00990989">
        <w:t xml:space="preserve">new </w:t>
      </w:r>
      <w:r w:rsidR="00A344A8">
        <w:t xml:space="preserve">deployment </w:t>
      </w:r>
      <w:r w:rsidR="00990989">
        <w:t>in a particular ar</w:t>
      </w:r>
      <w:r w:rsidR="00172C0C">
        <w:t>e</w:t>
      </w:r>
      <w:r w:rsidR="00990989">
        <w:t xml:space="preserve">a </w:t>
      </w:r>
      <w:r w:rsidR="00A344A8">
        <w:t xml:space="preserve">would also explain the lack of a current or former customer, as the </w:t>
      </w:r>
      <w:r w:rsidR="00990989">
        <w:t xml:space="preserve">new </w:t>
      </w:r>
      <w:r w:rsidR="00A344A8">
        <w:t>provider has had only a limited period of time to sign up potential customers.</w:t>
      </w:r>
    </w:p>
  </w:footnote>
  <w:footnote w:id="20">
    <w:p w:rsidR="00272ADE" w:rsidRDefault="00272ADE">
      <w:pPr>
        <w:pStyle w:val="FootnoteText"/>
      </w:pPr>
      <w:r>
        <w:rPr>
          <w:rStyle w:val="FootnoteReference"/>
        </w:rPr>
        <w:footnoteRef/>
      </w:r>
      <w:r>
        <w:t xml:space="preserve"> Peoples Telephone Cooperative filed a challenge relating to </w:t>
      </w:r>
      <w:r w:rsidR="00F65813">
        <w:t>nine</w:t>
      </w:r>
      <w:r>
        <w:t xml:space="preserve"> census blocks split between rate-of-return and price cap study areas, asking us to address sub-census block level issues related to funding for those locations.  As stated in the </w:t>
      </w:r>
      <w:r>
        <w:rPr>
          <w:i/>
        </w:rPr>
        <w:t>Phase II Challenge Process Order</w:t>
      </w:r>
      <w:r>
        <w:t xml:space="preserve">, we will not entertain </w:t>
      </w:r>
      <w:r w:rsidR="00F921F1">
        <w:t xml:space="preserve">challenges below the census block level, and thus we </w:t>
      </w:r>
      <w:r w:rsidR="00FC4AAA">
        <w:t xml:space="preserve">dismiss </w:t>
      </w:r>
      <w:r w:rsidR="00F921F1">
        <w:t>Peoples Telephone Cooperative’s challenge</w:t>
      </w:r>
      <w:r>
        <w:t xml:space="preserve">.  </w:t>
      </w:r>
      <w:r>
        <w:rPr>
          <w:i/>
        </w:rPr>
        <w:t>Phase II Challenge Process Order</w:t>
      </w:r>
      <w:r w:rsidR="00F921F1">
        <w:t>, 28 FCC Rcd at 7220, para. 22.</w:t>
      </w:r>
      <w:r w:rsidR="00990989">
        <w:t xml:space="preserve">  We note, however, that price cap carriers may not use funding to deploy service in rate-of-return study areas.</w:t>
      </w:r>
    </w:p>
  </w:footnote>
  <w:footnote w:id="21">
    <w:p w:rsidR="007209EE" w:rsidRDefault="007209EE">
      <w:pPr>
        <w:pStyle w:val="FootnoteText"/>
      </w:pPr>
      <w:r>
        <w:rPr>
          <w:rStyle w:val="FootnoteReference"/>
        </w:rPr>
        <w:footnoteRef/>
      </w:r>
      <w:r>
        <w:t xml:space="preserve"> </w:t>
      </w:r>
      <w:r w:rsidR="00B232C5">
        <w:t>Such challenges were filed by CenturyLink (2,621 census blocks)</w:t>
      </w:r>
      <w:r w:rsidR="00F65813">
        <w:t>,</w:t>
      </w:r>
      <w:r w:rsidR="00B232C5">
        <w:t xml:space="preserve"> the Clear Creek County Government (331 census blocks), FairPoint (12 census blocks), the Gilpin County Government (541 census blocks), Glenwood Telecommunications (397 census blocks), the Lake County Government (449 census blocks), LR Communications (124 census blocks), Myakka Communications (36 census blocks), </w:t>
      </w:r>
      <w:r w:rsidR="00041ABA">
        <w:t xml:space="preserve">the State of </w:t>
      </w:r>
      <w:r w:rsidR="00B232C5">
        <w:t>North Dakota</w:t>
      </w:r>
      <w:r w:rsidR="00041ABA">
        <w:t xml:space="preserve"> – Information Technology Department</w:t>
      </w:r>
      <w:r w:rsidR="00B232C5">
        <w:t xml:space="preserve"> (565 census blocks), Phillips County Telephone Company (234 census blocks), Secom, Inc. (34,796 census blocks), and the Suwanee Creek Homeowners’ Association (</w:t>
      </w:r>
      <w:r w:rsidR="00F65813">
        <w:t>one</w:t>
      </w:r>
      <w:r w:rsidR="00B232C5">
        <w:t xml:space="preserve"> census block).</w:t>
      </w:r>
    </w:p>
  </w:footnote>
  <w:footnote w:id="22">
    <w:p w:rsidR="00B232C5" w:rsidRDefault="00B232C5">
      <w:pPr>
        <w:pStyle w:val="FootnoteText"/>
      </w:pPr>
      <w:r>
        <w:rPr>
          <w:rStyle w:val="FootnoteReference"/>
        </w:rPr>
        <w:footnoteRef/>
      </w:r>
      <w:r>
        <w:t xml:space="preserve"> Such challenges were filed by Glenwood Telecommunications (19 census blocks), LR Communications (</w:t>
      </w:r>
      <w:r w:rsidR="00F65813">
        <w:t>three</w:t>
      </w:r>
      <w:r>
        <w:t xml:space="preserve"> census blocks), </w:t>
      </w:r>
      <w:r w:rsidR="00041ABA">
        <w:t>the State of North Dakota – Information Technology Department</w:t>
      </w:r>
      <w:r>
        <w:t xml:space="preserve"> (52 census blocks), Phillips County Telephone Company (</w:t>
      </w:r>
      <w:r w:rsidR="00F65813">
        <w:t>eight</w:t>
      </w:r>
      <w:r>
        <w:t xml:space="preserve"> census blocks), and Secom, Inc. (54 census blocks).</w:t>
      </w:r>
    </w:p>
  </w:footnote>
  <w:footnote w:id="23">
    <w:p w:rsidR="00B232C5" w:rsidRDefault="00B232C5">
      <w:pPr>
        <w:pStyle w:val="FootnoteText"/>
      </w:pPr>
      <w:r>
        <w:rPr>
          <w:rStyle w:val="FootnoteReference"/>
        </w:rPr>
        <w:footnoteRef/>
      </w:r>
      <w:r>
        <w:t xml:space="preserve"> This challenge was filed by </w:t>
      </w:r>
      <w:r w:rsidR="00041ABA">
        <w:t>the State of North Dakota – Information Technology Department</w:t>
      </w:r>
      <w:r>
        <w:t>.</w:t>
      </w:r>
    </w:p>
  </w:footnote>
  <w:footnote w:id="24">
    <w:p w:rsidR="00B232C5" w:rsidRDefault="00B232C5">
      <w:pPr>
        <w:pStyle w:val="FootnoteText"/>
      </w:pPr>
      <w:r>
        <w:rPr>
          <w:rStyle w:val="FootnoteReference"/>
        </w:rPr>
        <w:footnoteRef/>
      </w:r>
      <w:r>
        <w:t xml:space="preserve"> </w:t>
      </w:r>
      <w:r w:rsidR="009768EA">
        <w:t xml:space="preserve">This may be because the FIPS code is erroneous (i.e., the FIPS code does not match any census block in the United States), or the FIPS code is for a valid census block but that census block is unpopulated.  </w:t>
      </w:r>
      <w:r>
        <w:t xml:space="preserve">Such challenges were filed by the Clear Creek County Government (647 census blocks), the Gilpin County Government (827 census blocks), Glenwood Telecommunications (1,582 census blocks), the Lake County Government (220 census blocks), LR Communications (134 census blocks), </w:t>
      </w:r>
      <w:r w:rsidR="00041ABA">
        <w:t>the State of North Dakota – Information Technology Department</w:t>
      </w:r>
      <w:r>
        <w:t xml:space="preserve"> (3,117 census blocks), Phillips County Telephone Company (259 census blocks), and Secom, Inc. (11,919 census blocks).</w:t>
      </w:r>
    </w:p>
  </w:footnote>
  <w:footnote w:id="25">
    <w:p w:rsidR="00B232C5" w:rsidRDefault="00B232C5">
      <w:pPr>
        <w:pStyle w:val="FootnoteText"/>
      </w:pPr>
      <w:r>
        <w:rPr>
          <w:rStyle w:val="FootnoteReference"/>
        </w:rPr>
        <w:footnoteRef/>
      </w:r>
      <w:r>
        <w:t xml:space="preserve"> </w:t>
      </w:r>
      <w:r w:rsidR="00961262">
        <w:t>We conclude that the following c</w:t>
      </w:r>
      <w:r>
        <w:t xml:space="preserve">hallenges </w:t>
      </w:r>
      <w:r w:rsidR="00961262">
        <w:t xml:space="preserve">failed to present evidence sufficient to make a prima facie case for the following </w:t>
      </w:r>
      <w:r>
        <w:t>reasons</w:t>
      </w:r>
      <w:r w:rsidR="00961262">
        <w:t>:</w:t>
      </w:r>
      <w:r>
        <w:t xml:space="preserve"> Clear Creek County Government (238 census blocks – the challenge alleged the provider did not meet the </w:t>
      </w:r>
      <w:r w:rsidR="00961262">
        <w:t xml:space="preserve">reasonably comparable </w:t>
      </w:r>
      <w:r>
        <w:t>pricing requirement for broadband, but the provider’s prices are below $60), Frontier (</w:t>
      </w:r>
      <w:r w:rsidR="00652692">
        <w:t xml:space="preserve">1,812 census blocks – the challenge alleged a lack of voice service, but the </w:t>
      </w:r>
      <w:r w:rsidR="00FA6705">
        <w:t xml:space="preserve">evidence provided a link to the </w:t>
      </w:r>
      <w:r w:rsidR="00652692">
        <w:t>provider’s website</w:t>
      </w:r>
      <w:r w:rsidR="00FA6705">
        <w:t>, which</w:t>
      </w:r>
      <w:r w:rsidR="00652692">
        <w:t xml:space="preserve"> shows voice service is offered), the Gilpin County Government (203 census blocks </w:t>
      </w:r>
      <w:r w:rsidR="00300E7D">
        <w:t>–</w:t>
      </w:r>
      <w:r w:rsidR="00652692">
        <w:t xml:space="preserve"> the challenge alleged the provider did not meet the pricing requirement for broadband, but the provider’s prices are below $60), the Lake County Government (63 census blocks, the challenge alleged the provider did not meet the upload speed requirement, but the </w:t>
      </w:r>
      <w:r w:rsidR="00FA6705">
        <w:t xml:space="preserve">evidence provided a link to the </w:t>
      </w:r>
      <w:r w:rsidR="00652692">
        <w:t>provider’s website</w:t>
      </w:r>
      <w:r w:rsidR="00FA6705">
        <w:t>, which</w:t>
      </w:r>
      <w:r w:rsidR="00652692">
        <w:t xml:space="preserve"> lists an upload speed of 4 Mbps), and Secom, Inc. (2,102 challenges</w:t>
      </w:r>
      <w:r w:rsidR="00F65813">
        <w:t xml:space="preserve"> </w:t>
      </w:r>
      <w:r w:rsidR="00300E7D">
        <w:t>–</w:t>
      </w:r>
      <w:r w:rsidR="00652692">
        <w:t xml:space="preserve"> the challenge alleged the provider did not meet the upload speed requirement, but the </w:t>
      </w:r>
      <w:r w:rsidR="00FA6705">
        <w:t xml:space="preserve">evidence provided a link to the </w:t>
      </w:r>
      <w:r w:rsidR="00652692">
        <w:t>provider’s website</w:t>
      </w:r>
      <w:r w:rsidR="00FA6705">
        <w:t>, which</w:t>
      </w:r>
      <w:r w:rsidR="00652692">
        <w:t xml:space="preserve"> lists an upload speed of 4 Mbps; the challenge alleged the provider did not meet the pricing requirement for broadband, but the provider’s prices are below $60; and </w:t>
      </w:r>
      <w:r w:rsidR="00961262">
        <w:t>the challenge alleged no</w:t>
      </w:r>
      <w:r w:rsidR="00652692">
        <w:t xml:space="preserve"> voice</w:t>
      </w:r>
      <w:r w:rsidR="00961262">
        <w:t xml:space="preserve"> service</w:t>
      </w:r>
      <w:r w:rsidR="00652692">
        <w:t>, but the provider’s website shows voice service is offered).</w:t>
      </w:r>
    </w:p>
  </w:footnote>
  <w:footnote w:id="26">
    <w:p w:rsidR="00652692" w:rsidRDefault="00652692">
      <w:pPr>
        <w:pStyle w:val="FootnoteText"/>
      </w:pPr>
      <w:r>
        <w:rPr>
          <w:rStyle w:val="FootnoteReference"/>
        </w:rPr>
        <w:footnoteRef/>
      </w:r>
      <w:r>
        <w:t xml:space="preserve"> Such challenges were filed by the Clear Creek County Government (34 census blocks), the Gilpin County Government (371 census blocks), the Lake County Government (40 census blocks), and Secom, Inc. (1,135 census blocks).</w:t>
      </w:r>
    </w:p>
  </w:footnote>
  <w:footnote w:id="27">
    <w:p w:rsidR="00652692" w:rsidRDefault="00652692">
      <w:pPr>
        <w:pStyle w:val="FootnoteText"/>
      </w:pPr>
      <w:r>
        <w:rPr>
          <w:rStyle w:val="FootnoteReference"/>
        </w:rPr>
        <w:footnoteRef/>
      </w:r>
      <w:r>
        <w:t xml:space="preserve"> The 70,868 challenges are for 66,071 unique census blocks, as some blocks were challenged multiple times</w:t>
      </w:r>
      <w:r w:rsidR="00A71DB5">
        <w:t xml:space="preserve"> to account for multiple providers serving that census block</w:t>
      </w:r>
      <w:r>
        <w:t>.</w:t>
      </w:r>
    </w:p>
  </w:footnote>
  <w:footnote w:id="28">
    <w:p w:rsidR="009768EA" w:rsidRPr="00A71DB5" w:rsidRDefault="009768EA">
      <w:pPr>
        <w:pStyle w:val="FootnoteText"/>
      </w:pPr>
      <w:r>
        <w:rPr>
          <w:rStyle w:val="FootnoteReference"/>
        </w:rPr>
        <w:footnoteRef/>
      </w:r>
      <w:r>
        <w:t xml:space="preserve"> </w:t>
      </w:r>
      <w:r w:rsidR="00A71DB5">
        <w:t xml:space="preserve">The determinations of the challenge process will also be used in the rural broadband experiments.  For example, if the challenge process ultimately determines a given census block to be served, funding for that particular census block will not be available in the rural broadband experiments.  </w:t>
      </w:r>
      <w:r w:rsidR="00A71DB5">
        <w:rPr>
          <w:i/>
        </w:rPr>
        <w:t>Wireline Competition Bureau Announces Application Process for Entities Interested in Participating in the Rural Broadband Experiments</w:t>
      </w:r>
      <w:r w:rsidR="00A71DB5">
        <w:t xml:space="preserve">, </w:t>
      </w:r>
      <w:r w:rsidR="003B160E">
        <w:t>WC Docket No. 10-90 et al.</w:t>
      </w:r>
      <w:r w:rsidR="00A71DB5">
        <w:t xml:space="preserve">, </w:t>
      </w:r>
      <w:r w:rsidR="00FC4AAA">
        <w:t xml:space="preserve">Public Notice, </w:t>
      </w:r>
      <w:r w:rsidR="00A71DB5">
        <w:t>DA 14-1203, paras. 64-66 (Wireline Comp. Bur. rel. Aug. 19, 2014).</w:t>
      </w:r>
    </w:p>
  </w:footnote>
  <w:footnote w:id="29">
    <w:p w:rsidR="002F4DFB" w:rsidRPr="00B66F9A" w:rsidRDefault="002F4DFB" w:rsidP="007122D9">
      <w:pPr>
        <w:pStyle w:val="FootnoteText"/>
      </w:pPr>
      <w:r>
        <w:rPr>
          <w:rStyle w:val="FootnoteReference"/>
        </w:rPr>
        <w:footnoteRef/>
      </w:r>
      <w:r>
        <w:t xml:space="preserve"> </w:t>
      </w:r>
      <w:r w:rsidR="00FC4AAA">
        <w:rPr>
          <w:i/>
        </w:rPr>
        <w:t>Phase II Challenge Process Guidance Public Notice</w:t>
      </w:r>
      <w:r>
        <w:t xml:space="preserve">, </w:t>
      </w:r>
      <w:r w:rsidR="00F65813">
        <w:t>29 FCC Rcd</w:t>
      </w:r>
      <w:r w:rsidR="00FC4AAA">
        <w:t xml:space="preserve"> at</w:t>
      </w:r>
      <w:r w:rsidR="00F65813">
        <w:t xml:space="preserve"> 7505</w:t>
      </w:r>
      <w:r>
        <w:t xml:space="preserve">, </w:t>
      </w:r>
      <w:r>
        <w:rPr>
          <w:i/>
        </w:rPr>
        <w:t>Phase II Challenge Process Order</w:t>
      </w:r>
      <w:r>
        <w:t>, 28 FCC Rcd at 7211.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9F2" w:rsidRDefault="00876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Default="002F4DFB">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FB" w:rsidRPr="003C357E" w:rsidRDefault="002F4DFB" w:rsidP="003C357E">
    <w:pPr>
      <w:pStyle w:val="Header"/>
    </w:pPr>
    <w:r>
      <w:rPr>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DFB" w:rsidRPr="00533B5D" w:rsidRDefault="002F4DFB" w:rsidP="00E67BB8">
                          <w:pPr>
                            <w:rPr>
                              <w:rFonts w:ascii="Arial" w:hAnsi="Arial" w:cs="Arial"/>
                              <w:b/>
                              <w:sz w:val="20"/>
                            </w:rPr>
                          </w:pPr>
                          <w:r w:rsidRPr="00533B5D">
                            <w:rPr>
                              <w:rFonts w:ascii="Arial" w:hAnsi="Arial" w:cs="Arial"/>
                              <w:b/>
                              <w:sz w:val="20"/>
                            </w:rPr>
                            <w:t>Federal Communications</w:t>
                          </w:r>
                          <w:r>
                            <w:rPr>
                              <w:rFonts w:ascii="Arial" w:hAnsi="Arial" w:cs="Arial"/>
                              <w:b/>
                              <w:sz w:val="20"/>
                            </w:rPr>
                            <w:t xml:space="preserve"> </w:t>
                          </w:r>
                          <w:r w:rsidRPr="00533B5D">
                            <w:rPr>
                              <w:rFonts w:ascii="Arial" w:hAnsi="Arial" w:cs="Arial"/>
                              <w:b/>
                              <w:sz w:val="20"/>
                            </w:rPr>
                            <w:t>Commission</w:t>
                          </w:r>
                        </w:p>
                        <w:p w:rsidR="002F4DFB" w:rsidRPr="00533B5D" w:rsidRDefault="002F4DFB" w:rsidP="00E67BB8">
                          <w:pPr>
                            <w:rPr>
                              <w:rFonts w:ascii="Arial" w:hAnsi="Arial"/>
                              <w:b/>
                              <w:sz w:val="20"/>
                            </w:rPr>
                          </w:pPr>
                          <w:r w:rsidRPr="00533B5D">
                            <w:rPr>
                              <w:rFonts w:ascii="Arial" w:hAnsi="Arial" w:cs="Arial"/>
                              <w:b/>
                              <w:sz w:val="20"/>
                            </w:rPr>
                            <w:t>445 12</w:t>
                          </w:r>
                          <w:r w:rsidRPr="00533B5D">
                            <w:rPr>
                              <w:rFonts w:ascii="Arial" w:hAnsi="Arial" w:cs="Arial"/>
                              <w:b/>
                              <w:sz w:val="20"/>
                              <w:vertAlign w:val="superscript"/>
                            </w:rPr>
                            <w:t>th</w:t>
                          </w:r>
                          <w:r w:rsidRPr="00533B5D">
                            <w:rPr>
                              <w:rFonts w:ascii="Arial" w:hAnsi="Arial"/>
                              <w:b/>
                              <w:sz w:val="20"/>
                            </w:rPr>
                            <w:t xml:space="preserve"> St., S.W.</w:t>
                          </w:r>
                        </w:p>
                        <w:p w:rsidR="002F4DFB" w:rsidRPr="00533B5D" w:rsidRDefault="002F4DFB" w:rsidP="00E67BB8">
                          <w:pPr>
                            <w:rPr>
                              <w:rFonts w:ascii="Arial" w:hAnsi="Arial"/>
                              <w:sz w:val="20"/>
                            </w:rPr>
                          </w:pPr>
                          <w:r w:rsidRPr="00533B5D">
                            <w:rPr>
                              <w:rFonts w:ascii="Arial" w:hAnsi="Arial"/>
                              <w:b/>
                              <w:sz w:val="20"/>
                            </w:rPr>
                            <w:t>Washington, D.C.20554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FivP&#10;F4MCAAAPBQAADgAAAAAAAAAAAAAAAAAuAgAAZHJzL2Uyb0RvYy54bWxQSwECLQAUAAYACAAAACEA&#10;YFnZv94AAAAKAQAADwAAAAAAAAAAAAAAAADdBAAAZHJzL2Rvd25yZXYueG1sUEsFBgAAAAAEAAQA&#10;8wAAAOgFAAAAAA==&#10;" o:allowincell="f" stroked="f">
              <v:textbox>
                <w:txbxContent>
                  <w:p w:rsidR="002F4DFB" w:rsidRPr="00533B5D" w:rsidRDefault="002F4DFB" w:rsidP="00E67BB8">
                    <w:pPr>
                      <w:rPr>
                        <w:rFonts w:ascii="Arial" w:hAnsi="Arial" w:cs="Arial"/>
                        <w:b/>
                        <w:sz w:val="20"/>
                      </w:rPr>
                    </w:pPr>
                    <w:r w:rsidRPr="00533B5D">
                      <w:rPr>
                        <w:rFonts w:ascii="Arial" w:hAnsi="Arial" w:cs="Arial"/>
                        <w:b/>
                        <w:sz w:val="20"/>
                      </w:rPr>
                      <w:t>Federal Communications</w:t>
                    </w:r>
                    <w:r>
                      <w:rPr>
                        <w:rFonts w:ascii="Arial" w:hAnsi="Arial" w:cs="Arial"/>
                        <w:b/>
                        <w:sz w:val="20"/>
                      </w:rPr>
                      <w:t xml:space="preserve"> </w:t>
                    </w:r>
                    <w:r w:rsidRPr="00533B5D">
                      <w:rPr>
                        <w:rFonts w:ascii="Arial" w:hAnsi="Arial" w:cs="Arial"/>
                        <w:b/>
                        <w:sz w:val="20"/>
                      </w:rPr>
                      <w:t>Commission</w:t>
                    </w:r>
                  </w:p>
                  <w:p w:rsidR="002F4DFB" w:rsidRPr="00533B5D" w:rsidRDefault="002F4DFB" w:rsidP="00E67BB8">
                    <w:pPr>
                      <w:rPr>
                        <w:rFonts w:ascii="Arial" w:hAnsi="Arial"/>
                        <w:b/>
                        <w:sz w:val="20"/>
                      </w:rPr>
                    </w:pPr>
                    <w:r w:rsidRPr="00533B5D">
                      <w:rPr>
                        <w:rFonts w:ascii="Arial" w:hAnsi="Arial" w:cs="Arial"/>
                        <w:b/>
                        <w:sz w:val="20"/>
                      </w:rPr>
                      <w:t>445 12</w:t>
                    </w:r>
                    <w:r w:rsidRPr="00533B5D">
                      <w:rPr>
                        <w:rFonts w:ascii="Arial" w:hAnsi="Arial" w:cs="Arial"/>
                        <w:b/>
                        <w:sz w:val="20"/>
                        <w:vertAlign w:val="superscript"/>
                      </w:rPr>
                      <w:t>th</w:t>
                    </w:r>
                    <w:r w:rsidRPr="00533B5D">
                      <w:rPr>
                        <w:rFonts w:ascii="Arial" w:hAnsi="Arial"/>
                        <w:b/>
                        <w:sz w:val="20"/>
                      </w:rPr>
                      <w:t xml:space="preserve"> St., S.W.</w:t>
                    </w:r>
                  </w:p>
                  <w:p w:rsidR="002F4DFB" w:rsidRPr="00533B5D" w:rsidRDefault="002F4DFB" w:rsidP="00E67BB8">
                    <w:pPr>
                      <w:rPr>
                        <w:rFonts w:ascii="Arial" w:hAnsi="Arial"/>
                        <w:sz w:val="20"/>
                      </w:rPr>
                    </w:pPr>
                    <w:r w:rsidRPr="00533B5D">
                      <w:rPr>
                        <w:rFonts w:ascii="Arial" w:hAnsi="Arial"/>
                        <w:b/>
                        <w:sz w:val="20"/>
                      </w:rPr>
                      <w:t>Washington, D.C.20554</w:t>
                    </w:r>
                  </w:p>
                </w:txbxContent>
              </v:textbox>
            </v:shape>
          </w:pict>
        </mc:Fallback>
      </mc:AlternateContent>
    </w:r>
    <w:r w:rsidRPr="003C357E">
      <w:t>PUBLIC NOTICE</w:t>
    </w:r>
  </w:p>
  <w:p w:rsidR="002F4DFB" w:rsidRDefault="002F4DFB" w:rsidP="003C357E">
    <w:pPr>
      <w:pStyle w:val="Heade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3260090</wp:posOffset>
              </wp:positionH>
              <wp:positionV relativeFrom="paragraph">
                <wp:posOffset>117475</wp:posOffset>
              </wp:positionV>
              <wp:extent cx="2640965" cy="548640"/>
              <wp:effectExtent l="0" t="0" r="698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4DFB" w:rsidRPr="00E43544" w:rsidRDefault="002F4DFB" w:rsidP="00E67BB8">
                          <w:pPr>
                            <w:spacing w:before="40"/>
                            <w:jc w:val="right"/>
                            <w:rPr>
                              <w:rFonts w:ascii="Arial" w:hAnsi="Arial" w:cs="Arial"/>
                              <w:b/>
                              <w:sz w:val="16"/>
                            </w:rPr>
                          </w:pPr>
                          <w:r w:rsidRPr="00E43544">
                            <w:rPr>
                              <w:rFonts w:ascii="Arial" w:hAnsi="Arial" w:cs="Arial"/>
                              <w:b/>
                              <w:sz w:val="16"/>
                            </w:rPr>
                            <w:t>News Media Information 202 / 418-0500</w:t>
                          </w:r>
                        </w:p>
                        <w:p w:rsidR="002F4DFB" w:rsidRDefault="002F4DFB" w:rsidP="00E67BB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F4DFB" w:rsidRDefault="002F4DFB" w:rsidP="00E67BB8">
                          <w:pPr>
                            <w:jc w:val="right"/>
                            <w:rPr>
                              <w:rFonts w:ascii="Arial" w:hAnsi="Arial"/>
                              <w:b/>
                              <w:sz w:val="16"/>
                            </w:rPr>
                          </w:pPr>
                          <w:r>
                            <w:rPr>
                              <w:rFonts w:ascii="Arial" w:hAnsi="Arial"/>
                              <w:b/>
                              <w:sz w:val="16"/>
                            </w:rPr>
                            <w:t>TTY: 1-888-835-5322</w:t>
                          </w:r>
                        </w:p>
                        <w:p w:rsidR="002F4DFB" w:rsidRDefault="002F4DFB" w:rsidP="00E67BB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6.7pt;margin-top:9.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" stroked="f">
              <v:textbox inset=",0,,0">
                <w:txbxContent>
                  <w:p w:rsidR="002F4DFB" w:rsidRPr="00E43544" w:rsidRDefault="002F4DFB" w:rsidP="00E67BB8">
                    <w:pPr>
                      <w:spacing w:before="40"/>
                      <w:jc w:val="right"/>
                      <w:rPr>
                        <w:rFonts w:ascii="Arial" w:hAnsi="Arial" w:cs="Arial"/>
                        <w:b/>
                        <w:sz w:val="16"/>
                      </w:rPr>
                    </w:pPr>
                    <w:r w:rsidRPr="00E43544">
                      <w:rPr>
                        <w:rFonts w:ascii="Arial" w:hAnsi="Arial" w:cs="Arial"/>
                        <w:b/>
                        <w:sz w:val="16"/>
                      </w:rPr>
                      <w:t>News Media Information 202 / 418-0500</w:t>
                    </w:r>
                  </w:p>
                  <w:p w:rsidR="002F4DFB" w:rsidRDefault="002F4DFB" w:rsidP="00E67BB8">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2F4DFB" w:rsidRDefault="002F4DFB" w:rsidP="00E67BB8">
                    <w:pPr>
                      <w:jc w:val="right"/>
                      <w:rPr>
                        <w:rFonts w:ascii="Arial" w:hAnsi="Arial"/>
                        <w:b/>
                        <w:sz w:val="16"/>
                      </w:rPr>
                    </w:pPr>
                    <w:r>
                      <w:rPr>
                        <w:rFonts w:ascii="Arial" w:hAnsi="Arial"/>
                        <w:b/>
                        <w:sz w:val="16"/>
                      </w:rPr>
                      <w:t>TTY: 1-888-835-5322</w:t>
                    </w:r>
                  </w:p>
                  <w:p w:rsidR="002F4DFB" w:rsidRDefault="002F4DFB" w:rsidP="00E67BB8">
                    <w:pPr>
                      <w:jc w:val="right"/>
                    </w:pP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Kb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ROjMYV0JArbY21EZP6sVsNP3ukNJ1R9SeR4avZwNpWchI3qSEjTOAvxu+aAYx5OB1bNOp&#10;tX2AhAagU1TjfFeDnzyicDidFbM0Bd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BRtYpsWAgAAKwQAAA4AAAAAAAAAAAAAAAAALgIAAGRycy9lMm9Eb2MueG1sUEsBAi0AFAAGAAgA&#10;AAAhAPWnG6TdAAAACQEAAA8AAAAAAAAAAAAAAAAAcAQAAGRycy9kb3ducmV2LnhtbFBLBQYAAAAA&#10;BAAEAPMAAAB6BQAAAAA=&#10;" o:allowincell="f"/>
          </w:pict>
        </mc:Fallback>
      </mc:AlternateContent>
    </w:r>
  </w:p>
  <w:p w:rsidR="002F4DFB" w:rsidRPr="003C357E" w:rsidRDefault="002F4DFB" w:rsidP="003C3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902D07C"/>
    <w:lvl w:ilvl="0">
      <w:start w:val="1"/>
      <w:numFmt w:val="decimal"/>
      <w:lvlText w:val="%1."/>
      <w:lvlJc w:val="left"/>
      <w:pPr>
        <w:widowControl w:val="0"/>
        <w:tabs>
          <w:tab w:val="num" w:pos="1080"/>
        </w:tabs>
        <w:autoSpaceDE w:val="0"/>
        <w:autoSpaceDN w:val="0"/>
        <w:adjustRightInd w:val="0"/>
        <w:ind w:firstLine="720"/>
      </w:pPr>
      <w:rPr>
        <w:rFonts w:ascii="Times New Roman" w:hAnsi="Times New Roman" w:cs="Times New Roman"/>
        <w:b w:val="0"/>
        <w:bCs w:val="0"/>
        <w:i w:val="0"/>
        <w:iCs w:val="0"/>
        <w:caps w:val="0"/>
        <w:strike w:val="0"/>
        <w:dstrike w:val="0"/>
        <w:vanish w:val="0"/>
        <w:color w:val="000000"/>
        <w:spacing w:val="0"/>
        <w:sz w:val="22"/>
        <w:szCs w:val="22"/>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86888F8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2">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3">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4"/>
  </w:num>
  <w:num w:numId="2">
    <w:abstractNumId w:val="12"/>
  </w:num>
  <w:num w:numId="3">
    <w:abstractNumId w:val="6"/>
  </w:num>
  <w:num w:numId="4">
    <w:abstractNumId w:val="9"/>
  </w:num>
  <w:num w:numId="5">
    <w:abstractNumId w:val="5"/>
  </w:num>
  <w:num w:numId="6">
    <w:abstractNumId w:val="2"/>
  </w:num>
  <w:num w:numId="7">
    <w:abstractNumId w:val="12"/>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7"/>
  </w:num>
  <w:num w:numId="12">
    <w:abstractNumId w:val="8"/>
    <w:lvlOverride w:ilvl="0">
      <w:startOverride w:val="1"/>
    </w:lvlOverride>
  </w:num>
  <w:num w:numId="13">
    <w:abstractNumId w:val="6"/>
  </w:num>
  <w:num w:numId="14">
    <w:abstractNumId w:val="6"/>
  </w:num>
  <w:num w:numId="15">
    <w:abstractNumId w:val="12"/>
  </w:num>
  <w:num w:numId="16">
    <w:abstractNumId w:val="12"/>
  </w:num>
  <w:num w:numId="17">
    <w:abstractNumId w:val="12"/>
  </w:num>
  <w:num w:numId="18">
    <w:abstractNumId w:val="12"/>
  </w:num>
  <w:num w:numId="19">
    <w:abstractNumId w:val="8"/>
  </w:num>
  <w:num w:numId="20">
    <w:abstractNumId w:val="3"/>
  </w:num>
  <w:num w:numId="21">
    <w:abstractNumId w:val="12"/>
  </w:num>
  <w:num w:numId="22">
    <w:abstractNumId w:val="12"/>
  </w:num>
  <w:num w:numId="23">
    <w:abstractNumId w:val="6"/>
  </w:num>
  <w:num w:numId="24">
    <w:abstractNumId w:val="12"/>
  </w:num>
  <w:num w:numId="25">
    <w:abstractNumId w:val="12"/>
  </w:num>
  <w:num w:numId="26">
    <w:abstractNumId w:val="0"/>
  </w:num>
  <w:num w:numId="27">
    <w:abstractNumId w:val="12"/>
  </w:num>
  <w:num w:numId="28">
    <w:abstractNumId w:val="12"/>
  </w:num>
  <w:num w:numId="29">
    <w:abstractNumId w:val="12"/>
    <w:lvlOverride w:ilvl="0">
      <w:startOverride w:val="1"/>
    </w:lvlOverride>
  </w:num>
  <w:num w:numId="30">
    <w:abstractNumId w:val="10"/>
  </w:num>
  <w:num w:numId="31">
    <w:abstractNumId w:val="10"/>
  </w:num>
  <w:num w:numId="32">
    <w:abstractNumId w:val="10"/>
  </w:num>
  <w:num w:numId="33">
    <w:abstractNumId w:val="10"/>
  </w:num>
  <w:num w:numId="34">
    <w:abstractNumId w:val="12"/>
  </w:num>
  <w:num w:numId="35">
    <w:abstractNumId w:val="12"/>
  </w:num>
  <w:num w:numId="36">
    <w:abstractNumId w:val="10"/>
  </w:num>
  <w:num w:numId="37">
    <w:abstractNumId w:val="10"/>
  </w:num>
  <w:num w:numId="38">
    <w:abstractNumId w:val="10"/>
  </w:num>
  <w:num w:numId="39">
    <w:abstractNumId w:val="12"/>
  </w:num>
  <w:num w:numId="40">
    <w:abstractNumId w:val="11"/>
  </w:num>
  <w:num w:numId="41">
    <w:abstractNumId w:val="12"/>
  </w:num>
  <w:num w:numId="42">
    <w:abstractNumId w:val="12"/>
  </w:num>
  <w:num w:numId="43">
    <w:abstractNumId w:val="12"/>
  </w:num>
  <w:num w:numId="44">
    <w:abstractNumId w:val="12"/>
  </w:num>
  <w:num w:numId="45">
    <w:abstractNumId w:val="12"/>
  </w:num>
  <w:num w:numId="46">
    <w:abstractNumId w:val="12"/>
  </w:num>
  <w:num w:numId="47">
    <w:abstractNumId w:val="12"/>
  </w:num>
  <w:num w:numId="48">
    <w:abstractNumId w:val="12"/>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66C"/>
    <w:rsid w:val="00001556"/>
    <w:rsid w:val="000024C9"/>
    <w:rsid w:val="00003B07"/>
    <w:rsid w:val="00004F40"/>
    <w:rsid w:val="00005C7C"/>
    <w:rsid w:val="000069DE"/>
    <w:rsid w:val="00007ACC"/>
    <w:rsid w:val="00010664"/>
    <w:rsid w:val="000111B4"/>
    <w:rsid w:val="0001136D"/>
    <w:rsid w:val="000128E5"/>
    <w:rsid w:val="00012C0D"/>
    <w:rsid w:val="00012E9A"/>
    <w:rsid w:val="0001324C"/>
    <w:rsid w:val="00015FC9"/>
    <w:rsid w:val="00016B77"/>
    <w:rsid w:val="00022101"/>
    <w:rsid w:val="00023B82"/>
    <w:rsid w:val="0002462A"/>
    <w:rsid w:val="00026B53"/>
    <w:rsid w:val="00027E53"/>
    <w:rsid w:val="000308F0"/>
    <w:rsid w:val="00033F3B"/>
    <w:rsid w:val="00035D07"/>
    <w:rsid w:val="00036066"/>
    <w:rsid w:val="00036A4F"/>
    <w:rsid w:val="00036B00"/>
    <w:rsid w:val="0003796F"/>
    <w:rsid w:val="00037BAA"/>
    <w:rsid w:val="00041925"/>
    <w:rsid w:val="00041ABA"/>
    <w:rsid w:val="000427BF"/>
    <w:rsid w:val="00043362"/>
    <w:rsid w:val="00043707"/>
    <w:rsid w:val="0004447D"/>
    <w:rsid w:val="00045BF5"/>
    <w:rsid w:val="0004607F"/>
    <w:rsid w:val="000463A8"/>
    <w:rsid w:val="0005042F"/>
    <w:rsid w:val="00050A35"/>
    <w:rsid w:val="00053226"/>
    <w:rsid w:val="0005328A"/>
    <w:rsid w:val="000533AB"/>
    <w:rsid w:val="00053E6A"/>
    <w:rsid w:val="00053E93"/>
    <w:rsid w:val="00055039"/>
    <w:rsid w:val="000557FF"/>
    <w:rsid w:val="0005626F"/>
    <w:rsid w:val="0006029B"/>
    <w:rsid w:val="0006195B"/>
    <w:rsid w:val="00061A20"/>
    <w:rsid w:val="00061EE0"/>
    <w:rsid w:val="000621F5"/>
    <w:rsid w:val="000631C2"/>
    <w:rsid w:val="000634E2"/>
    <w:rsid w:val="00063CB0"/>
    <w:rsid w:val="000641CE"/>
    <w:rsid w:val="00065F46"/>
    <w:rsid w:val="00067492"/>
    <w:rsid w:val="000700C0"/>
    <w:rsid w:val="00070B3A"/>
    <w:rsid w:val="00072CF0"/>
    <w:rsid w:val="00073A40"/>
    <w:rsid w:val="00074AAB"/>
    <w:rsid w:val="0007523A"/>
    <w:rsid w:val="00075599"/>
    <w:rsid w:val="000758D8"/>
    <w:rsid w:val="00076E58"/>
    <w:rsid w:val="00076F44"/>
    <w:rsid w:val="0007701E"/>
    <w:rsid w:val="000778D8"/>
    <w:rsid w:val="00077CB9"/>
    <w:rsid w:val="00077E56"/>
    <w:rsid w:val="00080617"/>
    <w:rsid w:val="00080DE4"/>
    <w:rsid w:val="00081660"/>
    <w:rsid w:val="0008402E"/>
    <w:rsid w:val="00084F31"/>
    <w:rsid w:val="0008659A"/>
    <w:rsid w:val="0008659C"/>
    <w:rsid w:val="0008700C"/>
    <w:rsid w:val="000878B9"/>
    <w:rsid w:val="0009021B"/>
    <w:rsid w:val="00090310"/>
    <w:rsid w:val="00091020"/>
    <w:rsid w:val="000913C5"/>
    <w:rsid w:val="000916D3"/>
    <w:rsid w:val="0009178A"/>
    <w:rsid w:val="00093A37"/>
    <w:rsid w:val="0009468F"/>
    <w:rsid w:val="00095EEE"/>
    <w:rsid w:val="00096E9C"/>
    <w:rsid w:val="000A0BBF"/>
    <w:rsid w:val="000A0F68"/>
    <w:rsid w:val="000A0FC8"/>
    <w:rsid w:val="000A23BF"/>
    <w:rsid w:val="000A4CC2"/>
    <w:rsid w:val="000A5590"/>
    <w:rsid w:val="000A5D7E"/>
    <w:rsid w:val="000A6A80"/>
    <w:rsid w:val="000A75D2"/>
    <w:rsid w:val="000A7ECA"/>
    <w:rsid w:val="000B0C8B"/>
    <w:rsid w:val="000B0C98"/>
    <w:rsid w:val="000B1C28"/>
    <w:rsid w:val="000B1C70"/>
    <w:rsid w:val="000B2343"/>
    <w:rsid w:val="000B297F"/>
    <w:rsid w:val="000B52FF"/>
    <w:rsid w:val="000B72EE"/>
    <w:rsid w:val="000C46FF"/>
    <w:rsid w:val="000C5335"/>
    <w:rsid w:val="000C5902"/>
    <w:rsid w:val="000C6371"/>
    <w:rsid w:val="000C66C1"/>
    <w:rsid w:val="000C6A17"/>
    <w:rsid w:val="000C72D3"/>
    <w:rsid w:val="000D1B95"/>
    <w:rsid w:val="000D534C"/>
    <w:rsid w:val="000D55D7"/>
    <w:rsid w:val="000D5E23"/>
    <w:rsid w:val="000E0AC2"/>
    <w:rsid w:val="000E1090"/>
    <w:rsid w:val="000E16D0"/>
    <w:rsid w:val="000E17DF"/>
    <w:rsid w:val="000E3429"/>
    <w:rsid w:val="000E4D1C"/>
    <w:rsid w:val="000E5208"/>
    <w:rsid w:val="000E5A7E"/>
    <w:rsid w:val="000F2749"/>
    <w:rsid w:val="000F277A"/>
    <w:rsid w:val="000F3122"/>
    <w:rsid w:val="000F40B8"/>
    <w:rsid w:val="000F4378"/>
    <w:rsid w:val="000F54AB"/>
    <w:rsid w:val="000F5DF2"/>
    <w:rsid w:val="000F7E51"/>
    <w:rsid w:val="00101954"/>
    <w:rsid w:val="00102428"/>
    <w:rsid w:val="00102A29"/>
    <w:rsid w:val="0010483C"/>
    <w:rsid w:val="001052E6"/>
    <w:rsid w:val="0010793E"/>
    <w:rsid w:val="00107BF3"/>
    <w:rsid w:val="00110514"/>
    <w:rsid w:val="00110DD7"/>
    <w:rsid w:val="00110E31"/>
    <w:rsid w:val="00112DFA"/>
    <w:rsid w:val="001133B0"/>
    <w:rsid w:val="00113A13"/>
    <w:rsid w:val="00114781"/>
    <w:rsid w:val="00115AE8"/>
    <w:rsid w:val="00116B51"/>
    <w:rsid w:val="00120538"/>
    <w:rsid w:val="001217D3"/>
    <w:rsid w:val="001229B8"/>
    <w:rsid w:val="00123611"/>
    <w:rsid w:val="00124063"/>
    <w:rsid w:val="0012474C"/>
    <w:rsid w:val="00125C5B"/>
    <w:rsid w:val="001262EA"/>
    <w:rsid w:val="00126518"/>
    <w:rsid w:val="0012716B"/>
    <w:rsid w:val="0012739B"/>
    <w:rsid w:val="001274AA"/>
    <w:rsid w:val="00127B95"/>
    <w:rsid w:val="00130556"/>
    <w:rsid w:val="0013132F"/>
    <w:rsid w:val="00131439"/>
    <w:rsid w:val="00132B1E"/>
    <w:rsid w:val="00132EB3"/>
    <w:rsid w:val="00133FE3"/>
    <w:rsid w:val="00134AA5"/>
    <w:rsid w:val="00134B0A"/>
    <w:rsid w:val="00134CF9"/>
    <w:rsid w:val="00136CF5"/>
    <w:rsid w:val="00137A6A"/>
    <w:rsid w:val="00137D57"/>
    <w:rsid w:val="00141145"/>
    <w:rsid w:val="001426E0"/>
    <w:rsid w:val="00145613"/>
    <w:rsid w:val="00145697"/>
    <w:rsid w:val="001462DA"/>
    <w:rsid w:val="001468D8"/>
    <w:rsid w:val="001471A7"/>
    <w:rsid w:val="00147C1F"/>
    <w:rsid w:val="00150B21"/>
    <w:rsid w:val="00150ECE"/>
    <w:rsid w:val="0015162E"/>
    <w:rsid w:val="001516EF"/>
    <w:rsid w:val="00151C43"/>
    <w:rsid w:val="00153DE5"/>
    <w:rsid w:val="00154FCA"/>
    <w:rsid w:val="00155409"/>
    <w:rsid w:val="001561B3"/>
    <w:rsid w:val="001607E5"/>
    <w:rsid w:val="00160E28"/>
    <w:rsid w:val="0016339F"/>
    <w:rsid w:val="00164406"/>
    <w:rsid w:val="00164A78"/>
    <w:rsid w:val="001673FB"/>
    <w:rsid w:val="00167C07"/>
    <w:rsid w:val="00170949"/>
    <w:rsid w:val="00170BD8"/>
    <w:rsid w:val="00170F88"/>
    <w:rsid w:val="00171085"/>
    <w:rsid w:val="00171783"/>
    <w:rsid w:val="00171AA5"/>
    <w:rsid w:val="001722EF"/>
    <w:rsid w:val="00172C0C"/>
    <w:rsid w:val="00173117"/>
    <w:rsid w:val="001731A1"/>
    <w:rsid w:val="00174525"/>
    <w:rsid w:val="00174FA9"/>
    <w:rsid w:val="0017698D"/>
    <w:rsid w:val="001770EE"/>
    <w:rsid w:val="00177195"/>
    <w:rsid w:val="001775CB"/>
    <w:rsid w:val="001776F2"/>
    <w:rsid w:val="001778B7"/>
    <w:rsid w:val="001779CE"/>
    <w:rsid w:val="00182F6A"/>
    <w:rsid w:val="001850E3"/>
    <w:rsid w:val="00185D4B"/>
    <w:rsid w:val="0018698F"/>
    <w:rsid w:val="00186EA3"/>
    <w:rsid w:val="00187978"/>
    <w:rsid w:val="00187A5B"/>
    <w:rsid w:val="00190F55"/>
    <w:rsid w:val="001910C8"/>
    <w:rsid w:val="00191E40"/>
    <w:rsid w:val="001928D0"/>
    <w:rsid w:val="001957EB"/>
    <w:rsid w:val="00196116"/>
    <w:rsid w:val="001964B6"/>
    <w:rsid w:val="00196E8F"/>
    <w:rsid w:val="001A04E0"/>
    <w:rsid w:val="001A0FBB"/>
    <w:rsid w:val="001A22BE"/>
    <w:rsid w:val="001A3018"/>
    <w:rsid w:val="001A3FDE"/>
    <w:rsid w:val="001A4B0E"/>
    <w:rsid w:val="001A548D"/>
    <w:rsid w:val="001A5DFD"/>
    <w:rsid w:val="001A6229"/>
    <w:rsid w:val="001A666C"/>
    <w:rsid w:val="001A6EB6"/>
    <w:rsid w:val="001A73D6"/>
    <w:rsid w:val="001A7A08"/>
    <w:rsid w:val="001A7DDB"/>
    <w:rsid w:val="001B0C18"/>
    <w:rsid w:val="001B0C7E"/>
    <w:rsid w:val="001B1DE0"/>
    <w:rsid w:val="001B23BA"/>
    <w:rsid w:val="001B3E5C"/>
    <w:rsid w:val="001B3EEA"/>
    <w:rsid w:val="001B3FE9"/>
    <w:rsid w:val="001B46BC"/>
    <w:rsid w:val="001B5F75"/>
    <w:rsid w:val="001B6385"/>
    <w:rsid w:val="001B66C4"/>
    <w:rsid w:val="001B787B"/>
    <w:rsid w:val="001B7FC0"/>
    <w:rsid w:val="001C082A"/>
    <w:rsid w:val="001C0B2C"/>
    <w:rsid w:val="001C0C55"/>
    <w:rsid w:val="001C0C9F"/>
    <w:rsid w:val="001C14D3"/>
    <w:rsid w:val="001C1978"/>
    <w:rsid w:val="001C1AE9"/>
    <w:rsid w:val="001C2BA1"/>
    <w:rsid w:val="001C2C10"/>
    <w:rsid w:val="001C2CBF"/>
    <w:rsid w:val="001C3727"/>
    <w:rsid w:val="001C4E1D"/>
    <w:rsid w:val="001C5BBC"/>
    <w:rsid w:val="001C5DB8"/>
    <w:rsid w:val="001C72E7"/>
    <w:rsid w:val="001D011B"/>
    <w:rsid w:val="001D0759"/>
    <w:rsid w:val="001D1819"/>
    <w:rsid w:val="001D1EC7"/>
    <w:rsid w:val="001D44EB"/>
    <w:rsid w:val="001D4A9C"/>
    <w:rsid w:val="001D7023"/>
    <w:rsid w:val="001D7886"/>
    <w:rsid w:val="001D794A"/>
    <w:rsid w:val="001D797F"/>
    <w:rsid w:val="001E07A2"/>
    <w:rsid w:val="001E1876"/>
    <w:rsid w:val="001E1D96"/>
    <w:rsid w:val="001E1F45"/>
    <w:rsid w:val="001E326F"/>
    <w:rsid w:val="001E3596"/>
    <w:rsid w:val="001E515B"/>
    <w:rsid w:val="001E73AE"/>
    <w:rsid w:val="001F0827"/>
    <w:rsid w:val="001F0E70"/>
    <w:rsid w:val="001F1573"/>
    <w:rsid w:val="001F1BB8"/>
    <w:rsid w:val="001F24C5"/>
    <w:rsid w:val="001F2C82"/>
    <w:rsid w:val="001F2E14"/>
    <w:rsid w:val="001F3C72"/>
    <w:rsid w:val="001F4758"/>
    <w:rsid w:val="001F7679"/>
    <w:rsid w:val="001F7F98"/>
    <w:rsid w:val="0020387B"/>
    <w:rsid w:val="00204088"/>
    <w:rsid w:val="00204F8E"/>
    <w:rsid w:val="00205C57"/>
    <w:rsid w:val="002065C1"/>
    <w:rsid w:val="00206D2A"/>
    <w:rsid w:val="00211938"/>
    <w:rsid w:val="002125F5"/>
    <w:rsid w:val="002148E9"/>
    <w:rsid w:val="00215074"/>
    <w:rsid w:val="00215405"/>
    <w:rsid w:val="002157AD"/>
    <w:rsid w:val="0021689E"/>
    <w:rsid w:val="0021694C"/>
    <w:rsid w:val="00216A16"/>
    <w:rsid w:val="00216D45"/>
    <w:rsid w:val="002171FF"/>
    <w:rsid w:val="00217A72"/>
    <w:rsid w:val="002209F6"/>
    <w:rsid w:val="00220C21"/>
    <w:rsid w:val="00221449"/>
    <w:rsid w:val="00221F42"/>
    <w:rsid w:val="00222953"/>
    <w:rsid w:val="0022374C"/>
    <w:rsid w:val="00224316"/>
    <w:rsid w:val="00225A85"/>
    <w:rsid w:val="00226B8E"/>
    <w:rsid w:val="00226CD8"/>
    <w:rsid w:val="00227726"/>
    <w:rsid w:val="00227CC0"/>
    <w:rsid w:val="00227E07"/>
    <w:rsid w:val="00227ED3"/>
    <w:rsid w:val="00227FFD"/>
    <w:rsid w:val="00230007"/>
    <w:rsid w:val="00231121"/>
    <w:rsid w:val="0023327E"/>
    <w:rsid w:val="002332ED"/>
    <w:rsid w:val="0023430F"/>
    <w:rsid w:val="00234DB3"/>
    <w:rsid w:val="002354D7"/>
    <w:rsid w:val="002357F3"/>
    <w:rsid w:val="002358E6"/>
    <w:rsid w:val="002375F7"/>
    <w:rsid w:val="00237CDC"/>
    <w:rsid w:val="00237E8C"/>
    <w:rsid w:val="00240357"/>
    <w:rsid w:val="002405EF"/>
    <w:rsid w:val="00242889"/>
    <w:rsid w:val="002444F6"/>
    <w:rsid w:val="002474E6"/>
    <w:rsid w:val="00247740"/>
    <w:rsid w:val="002501E7"/>
    <w:rsid w:val="002505E2"/>
    <w:rsid w:val="00251542"/>
    <w:rsid w:val="00251718"/>
    <w:rsid w:val="00252919"/>
    <w:rsid w:val="00253932"/>
    <w:rsid w:val="00256488"/>
    <w:rsid w:val="00256C3C"/>
    <w:rsid w:val="00260381"/>
    <w:rsid w:val="00260774"/>
    <w:rsid w:val="002615BE"/>
    <w:rsid w:val="0026206C"/>
    <w:rsid w:val="0026453A"/>
    <w:rsid w:val="00264D3F"/>
    <w:rsid w:val="00265571"/>
    <w:rsid w:val="0026564B"/>
    <w:rsid w:val="00266CBE"/>
    <w:rsid w:val="00266E8E"/>
    <w:rsid w:val="00267E90"/>
    <w:rsid w:val="0027046B"/>
    <w:rsid w:val="00272053"/>
    <w:rsid w:val="00272428"/>
    <w:rsid w:val="00272ADE"/>
    <w:rsid w:val="00272EAA"/>
    <w:rsid w:val="00273A70"/>
    <w:rsid w:val="002747E7"/>
    <w:rsid w:val="00274C14"/>
    <w:rsid w:val="00275481"/>
    <w:rsid w:val="00275768"/>
    <w:rsid w:val="002766DF"/>
    <w:rsid w:val="0027670A"/>
    <w:rsid w:val="002770BF"/>
    <w:rsid w:val="00277AF1"/>
    <w:rsid w:val="00281B16"/>
    <w:rsid w:val="00283CD7"/>
    <w:rsid w:val="00284A23"/>
    <w:rsid w:val="002873D9"/>
    <w:rsid w:val="00290BC2"/>
    <w:rsid w:val="00291AA9"/>
    <w:rsid w:val="00291CBB"/>
    <w:rsid w:val="00292B0B"/>
    <w:rsid w:val="00292F44"/>
    <w:rsid w:val="0029426A"/>
    <w:rsid w:val="00294E5C"/>
    <w:rsid w:val="0029509F"/>
    <w:rsid w:val="00297DFF"/>
    <w:rsid w:val="002A12F8"/>
    <w:rsid w:val="002A15C9"/>
    <w:rsid w:val="002A16B3"/>
    <w:rsid w:val="002A76F1"/>
    <w:rsid w:val="002B02DA"/>
    <w:rsid w:val="002B0490"/>
    <w:rsid w:val="002B183A"/>
    <w:rsid w:val="002B2A0A"/>
    <w:rsid w:val="002B3419"/>
    <w:rsid w:val="002B45A7"/>
    <w:rsid w:val="002B4947"/>
    <w:rsid w:val="002B5376"/>
    <w:rsid w:val="002B7A98"/>
    <w:rsid w:val="002B7F24"/>
    <w:rsid w:val="002C1E53"/>
    <w:rsid w:val="002C23AD"/>
    <w:rsid w:val="002C23BE"/>
    <w:rsid w:val="002C240E"/>
    <w:rsid w:val="002C2F2F"/>
    <w:rsid w:val="002C66D1"/>
    <w:rsid w:val="002C69CB"/>
    <w:rsid w:val="002C6A42"/>
    <w:rsid w:val="002C73EF"/>
    <w:rsid w:val="002C7ADD"/>
    <w:rsid w:val="002D0943"/>
    <w:rsid w:val="002D0E4F"/>
    <w:rsid w:val="002D22BD"/>
    <w:rsid w:val="002D4DDA"/>
    <w:rsid w:val="002D558D"/>
    <w:rsid w:val="002D5D77"/>
    <w:rsid w:val="002D6CC1"/>
    <w:rsid w:val="002D6D1D"/>
    <w:rsid w:val="002D7352"/>
    <w:rsid w:val="002D7B5C"/>
    <w:rsid w:val="002E2164"/>
    <w:rsid w:val="002E2F47"/>
    <w:rsid w:val="002E3AE4"/>
    <w:rsid w:val="002E56ED"/>
    <w:rsid w:val="002E7F27"/>
    <w:rsid w:val="002F2C0A"/>
    <w:rsid w:val="002F2CAD"/>
    <w:rsid w:val="002F4DFB"/>
    <w:rsid w:val="002F5AC2"/>
    <w:rsid w:val="002F7EF4"/>
    <w:rsid w:val="00300E7D"/>
    <w:rsid w:val="003011E1"/>
    <w:rsid w:val="0030278A"/>
    <w:rsid w:val="003035F1"/>
    <w:rsid w:val="00304421"/>
    <w:rsid w:val="003060A7"/>
    <w:rsid w:val="0030638B"/>
    <w:rsid w:val="00306DC3"/>
    <w:rsid w:val="0031106C"/>
    <w:rsid w:val="00312620"/>
    <w:rsid w:val="00312E9A"/>
    <w:rsid w:val="00312FC0"/>
    <w:rsid w:val="003131CD"/>
    <w:rsid w:val="00314803"/>
    <w:rsid w:val="003162C8"/>
    <w:rsid w:val="00316A24"/>
    <w:rsid w:val="00320627"/>
    <w:rsid w:val="0032212A"/>
    <w:rsid w:val="0032347E"/>
    <w:rsid w:val="00324BF9"/>
    <w:rsid w:val="003254A1"/>
    <w:rsid w:val="00327A02"/>
    <w:rsid w:val="00327CFF"/>
    <w:rsid w:val="0033254B"/>
    <w:rsid w:val="00332D03"/>
    <w:rsid w:val="00333167"/>
    <w:rsid w:val="00333A16"/>
    <w:rsid w:val="00334084"/>
    <w:rsid w:val="003354C6"/>
    <w:rsid w:val="00335B53"/>
    <w:rsid w:val="00340549"/>
    <w:rsid w:val="0034073E"/>
    <w:rsid w:val="0034189B"/>
    <w:rsid w:val="00341E33"/>
    <w:rsid w:val="00342241"/>
    <w:rsid w:val="0034312A"/>
    <w:rsid w:val="00343E15"/>
    <w:rsid w:val="00344188"/>
    <w:rsid w:val="003445D1"/>
    <w:rsid w:val="00345269"/>
    <w:rsid w:val="00345ABB"/>
    <w:rsid w:val="00347986"/>
    <w:rsid w:val="003505F5"/>
    <w:rsid w:val="003506D7"/>
    <w:rsid w:val="00350D7F"/>
    <w:rsid w:val="00351210"/>
    <w:rsid w:val="00351A35"/>
    <w:rsid w:val="00351A9D"/>
    <w:rsid w:val="0035270F"/>
    <w:rsid w:val="00352826"/>
    <w:rsid w:val="00352A61"/>
    <w:rsid w:val="00354A42"/>
    <w:rsid w:val="003550CC"/>
    <w:rsid w:val="003572CC"/>
    <w:rsid w:val="00357B01"/>
    <w:rsid w:val="00361243"/>
    <w:rsid w:val="0036138D"/>
    <w:rsid w:val="003619CC"/>
    <w:rsid w:val="00361ED2"/>
    <w:rsid w:val="003626AE"/>
    <w:rsid w:val="003628F0"/>
    <w:rsid w:val="00363251"/>
    <w:rsid w:val="00364F9C"/>
    <w:rsid w:val="0036570E"/>
    <w:rsid w:val="00365B2F"/>
    <w:rsid w:val="003665AB"/>
    <w:rsid w:val="003702CD"/>
    <w:rsid w:val="003720C2"/>
    <w:rsid w:val="003727F9"/>
    <w:rsid w:val="003730D6"/>
    <w:rsid w:val="0037355B"/>
    <w:rsid w:val="00374C52"/>
    <w:rsid w:val="003752BC"/>
    <w:rsid w:val="00375D58"/>
    <w:rsid w:val="00376A3A"/>
    <w:rsid w:val="00377D7A"/>
    <w:rsid w:val="00380182"/>
    <w:rsid w:val="003822D3"/>
    <w:rsid w:val="003828B7"/>
    <w:rsid w:val="00384CE4"/>
    <w:rsid w:val="00385072"/>
    <w:rsid w:val="00386C0E"/>
    <w:rsid w:val="0038784E"/>
    <w:rsid w:val="00390822"/>
    <w:rsid w:val="003915A3"/>
    <w:rsid w:val="00392352"/>
    <w:rsid w:val="003926DF"/>
    <w:rsid w:val="003934C3"/>
    <w:rsid w:val="003941D3"/>
    <w:rsid w:val="0039427F"/>
    <w:rsid w:val="003955DF"/>
    <w:rsid w:val="003A0137"/>
    <w:rsid w:val="003A039F"/>
    <w:rsid w:val="003A0D33"/>
    <w:rsid w:val="003A1022"/>
    <w:rsid w:val="003A1152"/>
    <w:rsid w:val="003A4878"/>
    <w:rsid w:val="003A4DCD"/>
    <w:rsid w:val="003A6033"/>
    <w:rsid w:val="003A710D"/>
    <w:rsid w:val="003A7A12"/>
    <w:rsid w:val="003A7CFD"/>
    <w:rsid w:val="003B043B"/>
    <w:rsid w:val="003B0EB9"/>
    <w:rsid w:val="003B160E"/>
    <w:rsid w:val="003B1628"/>
    <w:rsid w:val="003B17E9"/>
    <w:rsid w:val="003B539E"/>
    <w:rsid w:val="003B7028"/>
    <w:rsid w:val="003B79A0"/>
    <w:rsid w:val="003C0053"/>
    <w:rsid w:val="003C1D13"/>
    <w:rsid w:val="003C357E"/>
    <w:rsid w:val="003C36DD"/>
    <w:rsid w:val="003C370A"/>
    <w:rsid w:val="003C4211"/>
    <w:rsid w:val="003C690F"/>
    <w:rsid w:val="003C6BB5"/>
    <w:rsid w:val="003D0F17"/>
    <w:rsid w:val="003D1B64"/>
    <w:rsid w:val="003D2428"/>
    <w:rsid w:val="003D27B8"/>
    <w:rsid w:val="003D29C2"/>
    <w:rsid w:val="003D2EB1"/>
    <w:rsid w:val="003D39CC"/>
    <w:rsid w:val="003D3F91"/>
    <w:rsid w:val="003D4ED7"/>
    <w:rsid w:val="003D513E"/>
    <w:rsid w:val="003D5E21"/>
    <w:rsid w:val="003D68E1"/>
    <w:rsid w:val="003D7EE1"/>
    <w:rsid w:val="003E3755"/>
    <w:rsid w:val="003E3E62"/>
    <w:rsid w:val="003E5A93"/>
    <w:rsid w:val="003E5C3E"/>
    <w:rsid w:val="003E7F44"/>
    <w:rsid w:val="003F167F"/>
    <w:rsid w:val="003F2A21"/>
    <w:rsid w:val="003F2DCC"/>
    <w:rsid w:val="003F2E54"/>
    <w:rsid w:val="003F33C7"/>
    <w:rsid w:val="003F44D6"/>
    <w:rsid w:val="003F4632"/>
    <w:rsid w:val="003F51A1"/>
    <w:rsid w:val="003F67C5"/>
    <w:rsid w:val="00400232"/>
    <w:rsid w:val="00401510"/>
    <w:rsid w:val="00401B22"/>
    <w:rsid w:val="0040472E"/>
    <w:rsid w:val="0040475B"/>
    <w:rsid w:val="00404B82"/>
    <w:rsid w:val="00404DB7"/>
    <w:rsid w:val="00405DDF"/>
    <w:rsid w:val="004062DD"/>
    <w:rsid w:val="00406E26"/>
    <w:rsid w:val="00407177"/>
    <w:rsid w:val="0040798B"/>
    <w:rsid w:val="00407F16"/>
    <w:rsid w:val="004107A2"/>
    <w:rsid w:val="00410BFC"/>
    <w:rsid w:val="004125C9"/>
    <w:rsid w:val="00412EFA"/>
    <w:rsid w:val="004130D9"/>
    <w:rsid w:val="00413476"/>
    <w:rsid w:val="004139DA"/>
    <w:rsid w:val="00413F89"/>
    <w:rsid w:val="0041472F"/>
    <w:rsid w:val="00415C37"/>
    <w:rsid w:val="00417270"/>
    <w:rsid w:val="004209B6"/>
    <w:rsid w:val="00420CCE"/>
    <w:rsid w:val="00421860"/>
    <w:rsid w:val="00422877"/>
    <w:rsid w:val="00424145"/>
    <w:rsid w:val="00426B63"/>
    <w:rsid w:val="00430B25"/>
    <w:rsid w:val="00430F94"/>
    <w:rsid w:val="00431225"/>
    <w:rsid w:val="00431287"/>
    <w:rsid w:val="004314FE"/>
    <w:rsid w:val="0043359D"/>
    <w:rsid w:val="00433BC7"/>
    <w:rsid w:val="00433EEE"/>
    <w:rsid w:val="00440D31"/>
    <w:rsid w:val="0044134C"/>
    <w:rsid w:val="00441CAD"/>
    <w:rsid w:val="00441EA5"/>
    <w:rsid w:val="0044391C"/>
    <w:rsid w:val="00444751"/>
    <w:rsid w:val="00445611"/>
    <w:rsid w:val="00446D33"/>
    <w:rsid w:val="00447BAA"/>
    <w:rsid w:val="00450216"/>
    <w:rsid w:val="00450C48"/>
    <w:rsid w:val="0045130F"/>
    <w:rsid w:val="0045505C"/>
    <w:rsid w:val="0045676C"/>
    <w:rsid w:val="004571F4"/>
    <w:rsid w:val="004578FB"/>
    <w:rsid w:val="00460B8E"/>
    <w:rsid w:val="00461279"/>
    <w:rsid w:val="00461558"/>
    <w:rsid w:val="004633FB"/>
    <w:rsid w:val="004640BD"/>
    <w:rsid w:val="00470926"/>
    <w:rsid w:val="0047130C"/>
    <w:rsid w:val="00472213"/>
    <w:rsid w:val="00473276"/>
    <w:rsid w:val="00474330"/>
    <w:rsid w:val="00474AB9"/>
    <w:rsid w:val="00474AF4"/>
    <w:rsid w:val="00474C91"/>
    <w:rsid w:val="00475090"/>
    <w:rsid w:val="00476140"/>
    <w:rsid w:val="00476C82"/>
    <w:rsid w:val="00477626"/>
    <w:rsid w:val="00480AC8"/>
    <w:rsid w:val="00482FF6"/>
    <w:rsid w:val="00484402"/>
    <w:rsid w:val="00484730"/>
    <w:rsid w:val="00485AC7"/>
    <w:rsid w:val="00485D03"/>
    <w:rsid w:val="004908EC"/>
    <w:rsid w:val="00491982"/>
    <w:rsid w:val="00494C9F"/>
    <w:rsid w:val="00495D61"/>
    <w:rsid w:val="004969B1"/>
    <w:rsid w:val="00497AB2"/>
    <w:rsid w:val="00497FE4"/>
    <w:rsid w:val="004A015F"/>
    <w:rsid w:val="004A0520"/>
    <w:rsid w:val="004A1A8D"/>
    <w:rsid w:val="004A2715"/>
    <w:rsid w:val="004A2A25"/>
    <w:rsid w:val="004A4204"/>
    <w:rsid w:val="004A4B9C"/>
    <w:rsid w:val="004A4EC5"/>
    <w:rsid w:val="004A6A31"/>
    <w:rsid w:val="004A7E86"/>
    <w:rsid w:val="004B0117"/>
    <w:rsid w:val="004B0415"/>
    <w:rsid w:val="004B25E0"/>
    <w:rsid w:val="004B4410"/>
    <w:rsid w:val="004B444A"/>
    <w:rsid w:val="004B4DD7"/>
    <w:rsid w:val="004B51A1"/>
    <w:rsid w:val="004C17E9"/>
    <w:rsid w:val="004C2EAB"/>
    <w:rsid w:val="004C46DF"/>
    <w:rsid w:val="004C5735"/>
    <w:rsid w:val="004C5F17"/>
    <w:rsid w:val="004C79F5"/>
    <w:rsid w:val="004D01B6"/>
    <w:rsid w:val="004D1C2F"/>
    <w:rsid w:val="004D260F"/>
    <w:rsid w:val="004D331C"/>
    <w:rsid w:val="004D4700"/>
    <w:rsid w:val="004D6658"/>
    <w:rsid w:val="004D68B2"/>
    <w:rsid w:val="004D736F"/>
    <w:rsid w:val="004D7994"/>
    <w:rsid w:val="004E2636"/>
    <w:rsid w:val="004E2C27"/>
    <w:rsid w:val="004E361E"/>
    <w:rsid w:val="004E3AD8"/>
    <w:rsid w:val="004E4B1C"/>
    <w:rsid w:val="004E4C8A"/>
    <w:rsid w:val="004E53DD"/>
    <w:rsid w:val="004E68D8"/>
    <w:rsid w:val="004F04A2"/>
    <w:rsid w:val="004F1A25"/>
    <w:rsid w:val="004F2AB9"/>
    <w:rsid w:val="004F2C03"/>
    <w:rsid w:val="004F2DD0"/>
    <w:rsid w:val="004F58C8"/>
    <w:rsid w:val="004F6B24"/>
    <w:rsid w:val="00501BC7"/>
    <w:rsid w:val="005021D4"/>
    <w:rsid w:val="00502DFC"/>
    <w:rsid w:val="0050329C"/>
    <w:rsid w:val="005033FB"/>
    <w:rsid w:val="00504B8D"/>
    <w:rsid w:val="005060AC"/>
    <w:rsid w:val="005100A8"/>
    <w:rsid w:val="0051043E"/>
    <w:rsid w:val="005110F4"/>
    <w:rsid w:val="00511393"/>
    <w:rsid w:val="0051166E"/>
    <w:rsid w:val="00511C79"/>
    <w:rsid w:val="005128A0"/>
    <w:rsid w:val="00512D55"/>
    <w:rsid w:val="00513DD5"/>
    <w:rsid w:val="0052005A"/>
    <w:rsid w:val="00520E00"/>
    <w:rsid w:val="00521900"/>
    <w:rsid w:val="00522903"/>
    <w:rsid w:val="00522C0E"/>
    <w:rsid w:val="00522E7C"/>
    <w:rsid w:val="005235D7"/>
    <w:rsid w:val="00523AE4"/>
    <w:rsid w:val="00524CC0"/>
    <w:rsid w:val="005261B4"/>
    <w:rsid w:val="00526C74"/>
    <w:rsid w:val="00526F46"/>
    <w:rsid w:val="00527583"/>
    <w:rsid w:val="00527E12"/>
    <w:rsid w:val="00530FE1"/>
    <w:rsid w:val="0053286B"/>
    <w:rsid w:val="00532DD2"/>
    <w:rsid w:val="00533B5D"/>
    <w:rsid w:val="005340C4"/>
    <w:rsid w:val="00534581"/>
    <w:rsid w:val="005349EB"/>
    <w:rsid w:val="00535238"/>
    <w:rsid w:val="005358AA"/>
    <w:rsid w:val="005361AC"/>
    <w:rsid w:val="0053687E"/>
    <w:rsid w:val="00536B3F"/>
    <w:rsid w:val="005406E5"/>
    <w:rsid w:val="00541C99"/>
    <w:rsid w:val="00543A48"/>
    <w:rsid w:val="00543B2A"/>
    <w:rsid w:val="0054582D"/>
    <w:rsid w:val="00545C4B"/>
    <w:rsid w:val="00546445"/>
    <w:rsid w:val="005475EB"/>
    <w:rsid w:val="00550B3F"/>
    <w:rsid w:val="005528EE"/>
    <w:rsid w:val="005559C1"/>
    <w:rsid w:val="0056021E"/>
    <w:rsid w:val="00561580"/>
    <w:rsid w:val="00561B04"/>
    <w:rsid w:val="00561EB9"/>
    <w:rsid w:val="0056336D"/>
    <w:rsid w:val="005674DD"/>
    <w:rsid w:val="0056764D"/>
    <w:rsid w:val="005676AC"/>
    <w:rsid w:val="0057024D"/>
    <w:rsid w:val="0057076A"/>
    <w:rsid w:val="005714C1"/>
    <w:rsid w:val="00572302"/>
    <w:rsid w:val="00572A34"/>
    <w:rsid w:val="00572C7C"/>
    <w:rsid w:val="00572CA7"/>
    <w:rsid w:val="00573C03"/>
    <w:rsid w:val="00574384"/>
    <w:rsid w:val="0057487D"/>
    <w:rsid w:val="00574FD4"/>
    <w:rsid w:val="00575C24"/>
    <w:rsid w:val="00580B7F"/>
    <w:rsid w:val="00581AFA"/>
    <w:rsid w:val="005830C8"/>
    <w:rsid w:val="00583D12"/>
    <w:rsid w:val="00584C72"/>
    <w:rsid w:val="0058581A"/>
    <w:rsid w:val="00586E49"/>
    <w:rsid w:val="00586F3C"/>
    <w:rsid w:val="00587E6F"/>
    <w:rsid w:val="00590393"/>
    <w:rsid w:val="00590D20"/>
    <w:rsid w:val="00591026"/>
    <w:rsid w:val="00591380"/>
    <w:rsid w:val="0059254D"/>
    <w:rsid w:val="00592A43"/>
    <w:rsid w:val="005932DF"/>
    <w:rsid w:val="00593338"/>
    <w:rsid w:val="00593EE1"/>
    <w:rsid w:val="0059658C"/>
    <w:rsid w:val="0059750F"/>
    <w:rsid w:val="005A0094"/>
    <w:rsid w:val="005A048A"/>
    <w:rsid w:val="005A0C99"/>
    <w:rsid w:val="005A129B"/>
    <w:rsid w:val="005A149A"/>
    <w:rsid w:val="005A2AF1"/>
    <w:rsid w:val="005A2ECC"/>
    <w:rsid w:val="005A46CF"/>
    <w:rsid w:val="005A475F"/>
    <w:rsid w:val="005A4F91"/>
    <w:rsid w:val="005B07D8"/>
    <w:rsid w:val="005B07F2"/>
    <w:rsid w:val="005B1EBF"/>
    <w:rsid w:val="005B2FE8"/>
    <w:rsid w:val="005B3E19"/>
    <w:rsid w:val="005B5B4A"/>
    <w:rsid w:val="005B6654"/>
    <w:rsid w:val="005B71E3"/>
    <w:rsid w:val="005B7551"/>
    <w:rsid w:val="005B7F32"/>
    <w:rsid w:val="005C0733"/>
    <w:rsid w:val="005C0C1B"/>
    <w:rsid w:val="005C0D12"/>
    <w:rsid w:val="005C12E6"/>
    <w:rsid w:val="005C1C45"/>
    <w:rsid w:val="005C1DC2"/>
    <w:rsid w:val="005C2BDA"/>
    <w:rsid w:val="005C2F5F"/>
    <w:rsid w:val="005C2FFC"/>
    <w:rsid w:val="005C378A"/>
    <w:rsid w:val="005C3B5A"/>
    <w:rsid w:val="005D14CA"/>
    <w:rsid w:val="005D1971"/>
    <w:rsid w:val="005D1B91"/>
    <w:rsid w:val="005D1C94"/>
    <w:rsid w:val="005D1E20"/>
    <w:rsid w:val="005D2D1C"/>
    <w:rsid w:val="005D365F"/>
    <w:rsid w:val="005D36DA"/>
    <w:rsid w:val="005D39F1"/>
    <w:rsid w:val="005D75CE"/>
    <w:rsid w:val="005E1480"/>
    <w:rsid w:val="005E220B"/>
    <w:rsid w:val="005E6AEE"/>
    <w:rsid w:val="005E73CA"/>
    <w:rsid w:val="005E7DEE"/>
    <w:rsid w:val="005F15DB"/>
    <w:rsid w:val="005F1726"/>
    <w:rsid w:val="005F18FA"/>
    <w:rsid w:val="005F2039"/>
    <w:rsid w:val="005F357E"/>
    <w:rsid w:val="005F4413"/>
    <w:rsid w:val="005F4675"/>
    <w:rsid w:val="005F4CCF"/>
    <w:rsid w:val="005F5172"/>
    <w:rsid w:val="005F7049"/>
    <w:rsid w:val="006027FD"/>
    <w:rsid w:val="00603104"/>
    <w:rsid w:val="00605768"/>
    <w:rsid w:val="00605BF0"/>
    <w:rsid w:val="006068B9"/>
    <w:rsid w:val="00607CED"/>
    <w:rsid w:val="00610815"/>
    <w:rsid w:val="00610D19"/>
    <w:rsid w:val="00611639"/>
    <w:rsid w:val="00611783"/>
    <w:rsid w:val="00613729"/>
    <w:rsid w:val="00613EF9"/>
    <w:rsid w:val="006147F6"/>
    <w:rsid w:val="00614FA2"/>
    <w:rsid w:val="006157B3"/>
    <w:rsid w:val="00620557"/>
    <w:rsid w:val="00620B29"/>
    <w:rsid w:val="006219C7"/>
    <w:rsid w:val="00621B59"/>
    <w:rsid w:val="0062206C"/>
    <w:rsid w:val="0062215A"/>
    <w:rsid w:val="00622500"/>
    <w:rsid w:val="0062258C"/>
    <w:rsid w:val="006225C3"/>
    <w:rsid w:val="00623F1C"/>
    <w:rsid w:val="006244AC"/>
    <w:rsid w:val="00624F6D"/>
    <w:rsid w:val="0062624D"/>
    <w:rsid w:val="00626806"/>
    <w:rsid w:val="00630B14"/>
    <w:rsid w:val="00631171"/>
    <w:rsid w:val="00632267"/>
    <w:rsid w:val="00632AF7"/>
    <w:rsid w:val="00632FFB"/>
    <w:rsid w:val="00634AA3"/>
    <w:rsid w:val="00635854"/>
    <w:rsid w:val="00635C6F"/>
    <w:rsid w:val="006370C2"/>
    <w:rsid w:val="00637359"/>
    <w:rsid w:val="006377A6"/>
    <w:rsid w:val="00637A04"/>
    <w:rsid w:val="00637EC2"/>
    <w:rsid w:val="00640810"/>
    <w:rsid w:val="00640AF4"/>
    <w:rsid w:val="00641C97"/>
    <w:rsid w:val="00642128"/>
    <w:rsid w:val="0064361C"/>
    <w:rsid w:val="00643DCF"/>
    <w:rsid w:val="00645EC7"/>
    <w:rsid w:val="00646632"/>
    <w:rsid w:val="00650571"/>
    <w:rsid w:val="006510C8"/>
    <w:rsid w:val="00651F81"/>
    <w:rsid w:val="00652182"/>
    <w:rsid w:val="00652692"/>
    <w:rsid w:val="00653807"/>
    <w:rsid w:val="00654F15"/>
    <w:rsid w:val="006568C1"/>
    <w:rsid w:val="00657D63"/>
    <w:rsid w:val="00660128"/>
    <w:rsid w:val="006606EF"/>
    <w:rsid w:val="00661CC9"/>
    <w:rsid w:val="006621F8"/>
    <w:rsid w:val="00662C7C"/>
    <w:rsid w:val="00663551"/>
    <w:rsid w:val="00663A5E"/>
    <w:rsid w:val="00664A58"/>
    <w:rsid w:val="006656E2"/>
    <w:rsid w:val="00665976"/>
    <w:rsid w:val="00665E36"/>
    <w:rsid w:val="00666445"/>
    <w:rsid w:val="00666452"/>
    <w:rsid w:val="00666682"/>
    <w:rsid w:val="00666884"/>
    <w:rsid w:val="00667502"/>
    <w:rsid w:val="00667B42"/>
    <w:rsid w:val="00670304"/>
    <w:rsid w:val="006709D4"/>
    <w:rsid w:val="00670BFE"/>
    <w:rsid w:val="00670E43"/>
    <w:rsid w:val="006718C8"/>
    <w:rsid w:val="00671F0D"/>
    <w:rsid w:val="00673132"/>
    <w:rsid w:val="0067436B"/>
    <w:rsid w:val="00674725"/>
    <w:rsid w:val="00674832"/>
    <w:rsid w:val="0067592C"/>
    <w:rsid w:val="00676787"/>
    <w:rsid w:val="00677681"/>
    <w:rsid w:val="006803E0"/>
    <w:rsid w:val="0068061D"/>
    <w:rsid w:val="006849D4"/>
    <w:rsid w:val="00684A30"/>
    <w:rsid w:val="00685B3B"/>
    <w:rsid w:val="00686437"/>
    <w:rsid w:val="0068714A"/>
    <w:rsid w:val="00687189"/>
    <w:rsid w:val="006871C4"/>
    <w:rsid w:val="00692B4B"/>
    <w:rsid w:val="00692D50"/>
    <w:rsid w:val="00693075"/>
    <w:rsid w:val="00695363"/>
    <w:rsid w:val="006955D2"/>
    <w:rsid w:val="006957EC"/>
    <w:rsid w:val="006963F4"/>
    <w:rsid w:val="00697738"/>
    <w:rsid w:val="006978BA"/>
    <w:rsid w:val="006A0193"/>
    <w:rsid w:val="006A0944"/>
    <w:rsid w:val="006A31E9"/>
    <w:rsid w:val="006A3227"/>
    <w:rsid w:val="006A42AB"/>
    <w:rsid w:val="006A46C1"/>
    <w:rsid w:val="006A4986"/>
    <w:rsid w:val="006A4A63"/>
    <w:rsid w:val="006A57CF"/>
    <w:rsid w:val="006B0066"/>
    <w:rsid w:val="006B1C02"/>
    <w:rsid w:val="006B2B88"/>
    <w:rsid w:val="006B31E1"/>
    <w:rsid w:val="006B457F"/>
    <w:rsid w:val="006B54E6"/>
    <w:rsid w:val="006B6595"/>
    <w:rsid w:val="006B7149"/>
    <w:rsid w:val="006B7EE2"/>
    <w:rsid w:val="006C00CC"/>
    <w:rsid w:val="006C0CAC"/>
    <w:rsid w:val="006C17E0"/>
    <w:rsid w:val="006C3C78"/>
    <w:rsid w:val="006C4612"/>
    <w:rsid w:val="006C4EDB"/>
    <w:rsid w:val="006C5463"/>
    <w:rsid w:val="006C54AD"/>
    <w:rsid w:val="006C601F"/>
    <w:rsid w:val="006C61C7"/>
    <w:rsid w:val="006C644C"/>
    <w:rsid w:val="006C7B25"/>
    <w:rsid w:val="006D0009"/>
    <w:rsid w:val="006D11EB"/>
    <w:rsid w:val="006D1484"/>
    <w:rsid w:val="006D1808"/>
    <w:rsid w:val="006D202E"/>
    <w:rsid w:val="006D417B"/>
    <w:rsid w:val="006D4E53"/>
    <w:rsid w:val="006D729E"/>
    <w:rsid w:val="006E04A6"/>
    <w:rsid w:val="006E05FD"/>
    <w:rsid w:val="006E13DD"/>
    <w:rsid w:val="006E2BFA"/>
    <w:rsid w:val="006E555F"/>
    <w:rsid w:val="006E62F5"/>
    <w:rsid w:val="006F16F3"/>
    <w:rsid w:val="006F1A06"/>
    <w:rsid w:val="006F1FE9"/>
    <w:rsid w:val="006F2306"/>
    <w:rsid w:val="006F2450"/>
    <w:rsid w:val="006F34B1"/>
    <w:rsid w:val="006F4305"/>
    <w:rsid w:val="006F5A36"/>
    <w:rsid w:val="006F5E35"/>
    <w:rsid w:val="006F7E51"/>
    <w:rsid w:val="007000E1"/>
    <w:rsid w:val="00703862"/>
    <w:rsid w:val="00704EEE"/>
    <w:rsid w:val="007061DC"/>
    <w:rsid w:val="0070649F"/>
    <w:rsid w:val="007075F4"/>
    <w:rsid w:val="00707C7B"/>
    <w:rsid w:val="007122D9"/>
    <w:rsid w:val="0071281D"/>
    <w:rsid w:val="007132AE"/>
    <w:rsid w:val="007134E9"/>
    <w:rsid w:val="00713766"/>
    <w:rsid w:val="007139F2"/>
    <w:rsid w:val="00714F4E"/>
    <w:rsid w:val="00715517"/>
    <w:rsid w:val="00715A61"/>
    <w:rsid w:val="00716716"/>
    <w:rsid w:val="00716C47"/>
    <w:rsid w:val="00716E3F"/>
    <w:rsid w:val="007209EE"/>
    <w:rsid w:val="007215A5"/>
    <w:rsid w:val="00721C52"/>
    <w:rsid w:val="007229B7"/>
    <w:rsid w:val="00724C16"/>
    <w:rsid w:val="00724CCD"/>
    <w:rsid w:val="00726EF2"/>
    <w:rsid w:val="007271BB"/>
    <w:rsid w:val="00727D2F"/>
    <w:rsid w:val="00730ED1"/>
    <w:rsid w:val="007310DD"/>
    <w:rsid w:val="00731491"/>
    <w:rsid w:val="00731944"/>
    <w:rsid w:val="00731CD6"/>
    <w:rsid w:val="00731D2C"/>
    <w:rsid w:val="00731E17"/>
    <w:rsid w:val="007345FB"/>
    <w:rsid w:val="00737D5F"/>
    <w:rsid w:val="007402BB"/>
    <w:rsid w:val="00741847"/>
    <w:rsid w:val="0074294E"/>
    <w:rsid w:val="00742D39"/>
    <w:rsid w:val="00744E51"/>
    <w:rsid w:val="00745032"/>
    <w:rsid w:val="00746996"/>
    <w:rsid w:val="00747286"/>
    <w:rsid w:val="0075018F"/>
    <w:rsid w:val="00750469"/>
    <w:rsid w:val="00750A8D"/>
    <w:rsid w:val="0075141A"/>
    <w:rsid w:val="00752130"/>
    <w:rsid w:val="007522D7"/>
    <w:rsid w:val="00752708"/>
    <w:rsid w:val="0075612F"/>
    <w:rsid w:val="0075678A"/>
    <w:rsid w:val="00757EDD"/>
    <w:rsid w:val="00757F59"/>
    <w:rsid w:val="007606A7"/>
    <w:rsid w:val="007607D2"/>
    <w:rsid w:val="00760838"/>
    <w:rsid w:val="00760BE1"/>
    <w:rsid w:val="00760CE8"/>
    <w:rsid w:val="0076407E"/>
    <w:rsid w:val="0076434D"/>
    <w:rsid w:val="00764370"/>
    <w:rsid w:val="007650FB"/>
    <w:rsid w:val="00765C52"/>
    <w:rsid w:val="00766365"/>
    <w:rsid w:val="007673C5"/>
    <w:rsid w:val="00767728"/>
    <w:rsid w:val="00770350"/>
    <w:rsid w:val="00770605"/>
    <w:rsid w:val="00770C7A"/>
    <w:rsid w:val="00771BBD"/>
    <w:rsid w:val="00771C5E"/>
    <w:rsid w:val="0077255F"/>
    <w:rsid w:val="00772869"/>
    <w:rsid w:val="00773F25"/>
    <w:rsid w:val="00773F69"/>
    <w:rsid w:val="00776917"/>
    <w:rsid w:val="00781186"/>
    <w:rsid w:val="007822E5"/>
    <w:rsid w:val="00783614"/>
    <w:rsid w:val="00783BB0"/>
    <w:rsid w:val="00783E0C"/>
    <w:rsid w:val="00783FE8"/>
    <w:rsid w:val="00784E48"/>
    <w:rsid w:val="00784F6D"/>
    <w:rsid w:val="0078533E"/>
    <w:rsid w:val="00785A35"/>
    <w:rsid w:val="00785F8A"/>
    <w:rsid w:val="0078667D"/>
    <w:rsid w:val="00787413"/>
    <w:rsid w:val="00787440"/>
    <w:rsid w:val="00787BC1"/>
    <w:rsid w:val="00790AA0"/>
    <w:rsid w:val="00792398"/>
    <w:rsid w:val="00792E98"/>
    <w:rsid w:val="00796A4C"/>
    <w:rsid w:val="00796CCC"/>
    <w:rsid w:val="007A05B2"/>
    <w:rsid w:val="007A10D5"/>
    <w:rsid w:val="007A11FC"/>
    <w:rsid w:val="007A1614"/>
    <w:rsid w:val="007A2B4C"/>
    <w:rsid w:val="007A355C"/>
    <w:rsid w:val="007B0731"/>
    <w:rsid w:val="007B14FA"/>
    <w:rsid w:val="007B2937"/>
    <w:rsid w:val="007B35D6"/>
    <w:rsid w:val="007C0590"/>
    <w:rsid w:val="007C09F3"/>
    <w:rsid w:val="007C1A90"/>
    <w:rsid w:val="007C2575"/>
    <w:rsid w:val="007C3A2E"/>
    <w:rsid w:val="007C3B93"/>
    <w:rsid w:val="007C59C8"/>
    <w:rsid w:val="007C614A"/>
    <w:rsid w:val="007C671D"/>
    <w:rsid w:val="007C682B"/>
    <w:rsid w:val="007C72F0"/>
    <w:rsid w:val="007C7BBD"/>
    <w:rsid w:val="007D0ECF"/>
    <w:rsid w:val="007D2338"/>
    <w:rsid w:val="007D29C0"/>
    <w:rsid w:val="007D4DFD"/>
    <w:rsid w:val="007D5912"/>
    <w:rsid w:val="007D68BF"/>
    <w:rsid w:val="007E0920"/>
    <w:rsid w:val="007E21FA"/>
    <w:rsid w:val="007E2682"/>
    <w:rsid w:val="007E3331"/>
    <w:rsid w:val="007E49F6"/>
    <w:rsid w:val="007E59A2"/>
    <w:rsid w:val="007E61D0"/>
    <w:rsid w:val="007E6473"/>
    <w:rsid w:val="007E6704"/>
    <w:rsid w:val="007E70D0"/>
    <w:rsid w:val="007E712A"/>
    <w:rsid w:val="007F13D6"/>
    <w:rsid w:val="007F1BAA"/>
    <w:rsid w:val="007F1FEB"/>
    <w:rsid w:val="007F2439"/>
    <w:rsid w:val="007F2660"/>
    <w:rsid w:val="007F4BCB"/>
    <w:rsid w:val="007F56D8"/>
    <w:rsid w:val="007F5DDA"/>
    <w:rsid w:val="007F6108"/>
    <w:rsid w:val="007F6E91"/>
    <w:rsid w:val="007F7528"/>
    <w:rsid w:val="00800A37"/>
    <w:rsid w:val="00800BD8"/>
    <w:rsid w:val="00801069"/>
    <w:rsid w:val="00801C7B"/>
    <w:rsid w:val="008047CE"/>
    <w:rsid w:val="00804E82"/>
    <w:rsid w:val="008051FC"/>
    <w:rsid w:val="00806C03"/>
    <w:rsid w:val="008079F6"/>
    <w:rsid w:val="00807A52"/>
    <w:rsid w:val="00811EA2"/>
    <w:rsid w:val="00813523"/>
    <w:rsid w:val="00813DF5"/>
    <w:rsid w:val="00813FFE"/>
    <w:rsid w:val="00814150"/>
    <w:rsid w:val="00815543"/>
    <w:rsid w:val="00816F76"/>
    <w:rsid w:val="008171D0"/>
    <w:rsid w:val="0081770A"/>
    <w:rsid w:val="0082056E"/>
    <w:rsid w:val="00821CBC"/>
    <w:rsid w:val="008225F1"/>
    <w:rsid w:val="0082361A"/>
    <w:rsid w:val="008259D4"/>
    <w:rsid w:val="0082759C"/>
    <w:rsid w:val="00827F8E"/>
    <w:rsid w:val="008310A4"/>
    <w:rsid w:val="00831EDB"/>
    <w:rsid w:val="00832BD9"/>
    <w:rsid w:val="00833199"/>
    <w:rsid w:val="008332C4"/>
    <w:rsid w:val="008335FF"/>
    <w:rsid w:val="00833627"/>
    <w:rsid w:val="00834A64"/>
    <w:rsid w:val="00834E51"/>
    <w:rsid w:val="00835C1B"/>
    <w:rsid w:val="00835CCA"/>
    <w:rsid w:val="00837E89"/>
    <w:rsid w:val="00841234"/>
    <w:rsid w:val="008420D4"/>
    <w:rsid w:val="00842166"/>
    <w:rsid w:val="00842A7F"/>
    <w:rsid w:val="00842D85"/>
    <w:rsid w:val="00843E89"/>
    <w:rsid w:val="0084481B"/>
    <w:rsid w:val="00844AEF"/>
    <w:rsid w:val="008450AE"/>
    <w:rsid w:val="0084716C"/>
    <w:rsid w:val="00847734"/>
    <w:rsid w:val="00850F50"/>
    <w:rsid w:val="00851738"/>
    <w:rsid w:val="00851A78"/>
    <w:rsid w:val="00851ECA"/>
    <w:rsid w:val="0085222E"/>
    <w:rsid w:val="008545CE"/>
    <w:rsid w:val="0085496D"/>
    <w:rsid w:val="0085524A"/>
    <w:rsid w:val="008554E5"/>
    <w:rsid w:val="008561C4"/>
    <w:rsid w:val="008561FF"/>
    <w:rsid w:val="00856B78"/>
    <w:rsid w:val="00856E96"/>
    <w:rsid w:val="00857711"/>
    <w:rsid w:val="00857B4C"/>
    <w:rsid w:val="00857C93"/>
    <w:rsid w:val="00857EE6"/>
    <w:rsid w:val="00861763"/>
    <w:rsid w:val="0086417D"/>
    <w:rsid w:val="00865362"/>
    <w:rsid w:val="00865883"/>
    <w:rsid w:val="00865F36"/>
    <w:rsid w:val="00867DC6"/>
    <w:rsid w:val="00870757"/>
    <w:rsid w:val="00871283"/>
    <w:rsid w:val="008713A4"/>
    <w:rsid w:val="008724C3"/>
    <w:rsid w:val="00872E9E"/>
    <w:rsid w:val="00873B8D"/>
    <w:rsid w:val="008760D9"/>
    <w:rsid w:val="008769F2"/>
    <w:rsid w:val="00877019"/>
    <w:rsid w:val="00877850"/>
    <w:rsid w:val="00877A5B"/>
    <w:rsid w:val="008810E1"/>
    <w:rsid w:val="0088335C"/>
    <w:rsid w:val="00884DD0"/>
    <w:rsid w:val="00884F2B"/>
    <w:rsid w:val="008860C6"/>
    <w:rsid w:val="00891406"/>
    <w:rsid w:val="0089179B"/>
    <w:rsid w:val="00891D08"/>
    <w:rsid w:val="00892487"/>
    <w:rsid w:val="0089286A"/>
    <w:rsid w:val="0089313E"/>
    <w:rsid w:val="00895987"/>
    <w:rsid w:val="008974FE"/>
    <w:rsid w:val="008979F8"/>
    <w:rsid w:val="008A01B4"/>
    <w:rsid w:val="008A03D5"/>
    <w:rsid w:val="008A10B4"/>
    <w:rsid w:val="008A1789"/>
    <w:rsid w:val="008A2053"/>
    <w:rsid w:val="008A2A04"/>
    <w:rsid w:val="008A3BA8"/>
    <w:rsid w:val="008A51E9"/>
    <w:rsid w:val="008A75D4"/>
    <w:rsid w:val="008A7AD7"/>
    <w:rsid w:val="008A7E5F"/>
    <w:rsid w:val="008B0B38"/>
    <w:rsid w:val="008B1BDB"/>
    <w:rsid w:val="008B1F12"/>
    <w:rsid w:val="008B1F3C"/>
    <w:rsid w:val="008B2064"/>
    <w:rsid w:val="008B3DA0"/>
    <w:rsid w:val="008B4C78"/>
    <w:rsid w:val="008B4D4A"/>
    <w:rsid w:val="008B79C3"/>
    <w:rsid w:val="008C01AF"/>
    <w:rsid w:val="008C0389"/>
    <w:rsid w:val="008C1DF3"/>
    <w:rsid w:val="008C3427"/>
    <w:rsid w:val="008C5A58"/>
    <w:rsid w:val="008C5BD4"/>
    <w:rsid w:val="008C68AF"/>
    <w:rsid w:val="008C7525"/>
    <w:rsid w:val="008C775E"/>
    <w:rsid w:val="008C7A69"/>
    <w:rsid w:val="008C7C31"/>
    <w:rsid w:val="008D01CF"/>
    <w:rsid w:val="008D0F84"/>
    <w:rsid w:val="008D266F"/>
    <w:rsid w:val="008D4152"/>
    <w:rsid w:val="008D5821"/>
    <w:rsid w:val="008D674D"/>
    <w:rsid w:val="008D7A1E"/>
    <w:rsid w:val="008E2622"/>
    <w:rsid w:val="008E41CA"/>
    <w:rsid w:val="008E4267"/>
    <w:rsid w:val="008E42A2"/>
    <w:rsid w:val="008E4CBD"/>
    <w:rsid w:val="008E559B"/>
    <w:rsid w:val="008E5D54"/>
    <w:rsid w:val="008E6572"/>
    <w:rsid w:val="008E6944"/>
    <w:rsid w:val="008E7B08"/>
    <w:rsid w:val="008E7F44"/>
    <w:rsid w:val="008F03A9"/>
    <w:rsid w:val="008F07F4"/>
    <w:rsid w:val="008F0C94"/>
    <w:rsid w:val="008F1C77"/>
    <w:rsid w:val="008F1F6F"/>
    <w:rsid w:val="008F273B"/>
    <w:rsid w:val="008F278C"/>
    <w:rsid w:val="008F29E4"/>
    <w:rsid w:val="008F35D0"/>
    <w:rsid w:val="008F3BC5"/>
    <w:rsid w:val="008F416A"/>
    <w:rsid w:val="008F5B08"/>
    <w:rsid w:val="008F5ECE"/>
    <w:rsid w:val="008F67C6"/>
    <w:rsid w:val="008F721C"/>
    <w:rsid w:val="00901232"/>
    <w:rsid w:val="00901E6C"/>
    <w:rsid w:val="009026EC"/>
    <w:rsid w:val="00902DB3"/>
    <w:rsid w:val="00902FDC"/>
    <w:rsid w:val="00903A4B"/>
    <w:rsid w:val="009049E3"/>
    <w:rsid w:val="0090502A"/>
    <w:rsid w:val="00906806"/>
    <w:rsid w:val="009107ED"/>
    <w:rsid w:val="009110B2"/>
    <w:rsid w:val="00912D39"/>
    <w:rsid w:val="009148CA"/>
    <w:rsid w:val="00915240"/>
    <w:rsid w:val="0091577C"/>
    <w:rsid w:val="0091592E"/>
    <w:rsid w:val="009160F7"/>
    <w:rsid w:val="009167B5"/>
    <w:rsid w:val="00916A07"/>
    <w:rsid w:val="00916A60"/>
    <w:rsid w:val="00916BB5"/>
    <w:rsid w:val="009209B3"/>
    <w:rsid w:val="00920D6A"/>
    <w:rsid w:val="00921CEE"/>
    <w:rsid w:val="00922084"/>
    <w:rsid w:val="0092343C"/>
    <w:rsid w:val="00925676"/>
    <w:rsid w:val="00925D9B"/>
    <w:rsid w:val="0093058C"/>
    <w:rsid w:val="0093061C"/>
    <w:rsid w:val="009312EF"/>
    <w:rsid w:val="0093273A"/>
    <w:rsid w:val="00932B17"/>
    <w:rsid w:val="009330D2"/>
    <w:rsid w:val="00933264"/>
    <w:rsid w:val="00933BCF"/>
    <w:rsid w:val="00933C37"/>
    <w:rsid w:val="00933F45"/>
    <w:rsid w:val="00934304"/>
    <w:rsid w:val="00940232"/>
    <w:rsid w:val="0094098B"/>
    <w:rsid w:val="00941EA2"/>
    <w:rsid w:val="00943F59"/>
    <w:rsid w:val="009447C2"/>
    <w:rsid w:val="00945343"/>
    <w:rsid w:val="00945FA0"/>
    <w:rsid w:val="00946B83"/>
    <w:rsid w:val="009474B3"/>
    <w:rsid w:val="00947600"/>
    <w:rsid w:val="009478BA"/>
    <w:rsid w:val="0095044D"/>
    <w:rsid w:val="00953B43"/>
    <w:rsid w:val="0095456E"/>
    <w:rsid w:val="0095618E"/>
    <w:rsid w:val="00961262"/>
    <w:rsid w:val="00961BF4"/>
    <w:rsid w:val="00962347"/>
    <w:rsid w:val="00963062"/>
    <w:rsid w:val="00963271"/>
    <w:rsid w:val="00963556"/>
    <w:rsid w:val="00966606"/>
    <w:rsid w:val="0097103F"/>
    <w:rsid w:val="0097169B"/>
    <w:rsid w:val="009724BC"/>
    <w:rsid w:val="009727A6"/>
    <w:rsid w:val="009728F7"/>
    <w:rsid w:val="00972902"/>
    <w:rsid w:val="00972BBE"/>
    <w:rsid w:val="00974774"/>
    <w:rsid w:val="00974F14"/>
    <w:rsid w:val="00975725"/>
    <w:rsid w:val="009768EA"/>
    <w:rsid w:val="00977BEA"/>
    <w:rsid w:val="009810A8"/>
    <w:rsid w:val="00981234"/>
    <w:rsid w:val="00981DB9"/>
    <w:rsid w:val="00981DF0"/>
    <w:rsid w:val="0098232E"/>
    <w:rsid w:val="0098382F"/>
    <w:rsid w:val="00985592"/>
    <w:rsid w:val="00985D1C"/>
    <w:rsid w:val="00987978"/>
    <w:rsid w:val="00987D6B"/>
    <w:rsid w:val="00990633"/>
    <w:rsid w:val="00990989"/>
    <w:rsid w:val="00991C08"/>
    <w:rsid w:val="00991FC1"/>
    <w:rsid w:val="00992195"/>
    <w:rsid w:val="0099277B"/>
    <w:rsid w:val="00992B2A"/>
    <w:rsid w:val="0099594E"/>
    <w:rsid w:val="009961E7"/>
    <w:rsid w:val="00996D99"/>
    <w:rsid w:val="0099721C"/>
    <w:rsid w:val="00997CF9"/>
    <w:rsid w:val="00997D6D"/>
    <w:rsid w:val="009A0EF4"/>
    <w:rsid w:val="009A1194"/>
    <w:rsid w:val="009A2AB6"/>
    <w:rsid w:val="009A441E"/>
    <w:rsid w:val="009A4957"/>
    <w:rsid w:val="009A546A"/>
    <w:rsid w:val="009A580E"/>
    <w:rsid w:val="009B0320"/>
    <w:rsid w:val="009B14E3"/>
    <w:rsid w:val="009B17AA"/>
    <w:rsid w:val="009B3AC2"/>
    <w:rsid w:val="009B487C"/>
    <w:rsid w:val="009B4BB4"/>
    <w:rsid w:val="009B5943"/>
    <w:rsid w:val="009B64B9"/>
    <w:rsid w:val="009B6E08"/>
    <w:rsid w:val="009B7FC4"/>
    <w:rsid w:val="009C07D6"/>
    <w:rsid w:val="009C0C2F"/>
    <w:rsid w:val="009C1720"/>
    <w:rsid w:val="009C1B45"/>
    <w:rsid w:val="009C20F8"/>
    <w:rsid w:val="009C2814"/>
    <w:rsid w:val="009C5B46"/>
    <w:rsid w:val="009D09DD"/>
    <w:rsid w:val="009D1665"/>
    <w:rsid w:val="009D2D0D"/>
    <w:rsid w:val="009D3276"/>
    <w:rsid w:val="009D381D"/>
    <w:rsid w:val="009D54A1"/>
    <w:rsid w:val="009D5C96"/>
    <w:rsid w:val="009D6D92"/>
    <w:rsid w:val="009D6DC1"/>
    <w:rsid w:val="009D75D9"/>
    <w:rsid w:val="009D77A2"/>
    <w:rsid w:val="009D7BE2"/>
    <w:rsid w:val="009E02E0"/>
    <w:rsid w:val="009E03C6"/>
    <w:rsid w:val="009E04B2"/>
    <w:rsid w:val="009E2A40"/>
    <w:rsid w:val="009E2C92"/>
    <w:rsid w:val="009E381B"/>
    <w:rsid w:val="009E5C0D"/>
    <w:rsid w:val="009E7A6C"/>
    <w:rsid w:val="009F1063"/>
    <w:rsid w:val="009F1347"/>
    <w:rsid w:val="009F3394"/>
    <w:rsid w:val="009F38A7"/>
    <w:rsid w:val="009F45EA"/>
    <w:rsid w:val="009F5085"/>
    <w:rsid w:val="009F66A6"/>
    <w:rsid w:val="009F66DB"/>
    <w:rsid w:val="009F722B"/>
    <w:rsid w:val="009F7644"/>
    <w:rsid w:val="00A00CF9"/>
    <w:rsid w:val="00A015A0"/>
    <w:rsid w:val="00A04513"/>
    <w:rsid w:val="00A04C6B"/>
    <w:rsid w:val="00A056A7"/>
    <w:rsid w:val="00A07C5D"/>
    <w:rsid w:val="00A11911"/>
    <w:rsid w:val="00A120B8"/>
    <w:rsid w:val="00A128D4"/>
    <w:rsid w:val="00A128D7"/>
    <w:rsid w:val="00A14330"/>
    <w:rsid w:val="00A14D44"/>
    <w:rsid w:val="00A15208"/>
    <w:rsid w:val="00A161A8"/>
    <w:rsid w:val="00A17762"/>
    <w:rsid w:val="00A17914"/>
    <w:rsid w:val="00A179B1"/>
    <w:rsid w:val="00A17C9B"/>
    <w:rsid w:val="00A20D87"/>
    <w:rsid w:val="00A21707"/>
    <w:rsid w:val="00A21D80"/>
    <w:rsid w:val="00A21F8C"/>
    <w:rsid w:val="00A2297E"/>
    <w:rsid w:val="00A23347"/>
    <w:rsid w:val="00A2388E"/>
    <w:rsid w:val="00A2397F"/>
    <w:rsid w:val="00A24EA2"/>
    <w:rsid w:val="00A25A54"/>
    <w:rsid w:val="00A25CF9"/>
    <w:rsid w:val="00A276A6"/>
    <w:rsid w:val="00A27E1D"/>
    <w:rsid w:val="00A317E7"/>
    <w:rsid w:val="00A32640"/>
    <w:rsid w:val="00A326A1"/>
    <w:rsid w:val="00A3277A"/>
    <w:rsid w:val="00A32A3D"/>
    <w:rsid w:val="00A32EFD"/>
    <w:rsid w:val="00A33416"/>
    <w:rsid w:val="00A344A8"/>
    <w:rsid w:val="00A3455F"/>
    <w:rsid w:val="00A34F2D"/>
    <w:rsid w:val="00A35048"/>
    <w:rsid w:val="00A369B0"/>
    <w:rsid w:val="00A37061"/>
    <w:rsid w:val="00A42076"/>
    <w:rsid w:val="00A42DA6"/>
    <w:rsid w:val="00A4335F"/>
    <w:rsid w:val="00A443EB"/>
    <w:rsid w:val="00A443FD"/>
    <w:rsid w:val="00A44E2B"/>
    <w:rsid w:val="00A4567A"/>
    <w:rsid w:val="00A50288"/>
    <w:rsid w:val="00A50290"/>
    <w:rsid w:val="00A50AA6"/>
    <w:rsid w:val="00A5406F"/>
    <w:rsid w:val="00A54F20"/>
    <w:rsid w:val="00A5667C"/>
    <w:rsid w:val="00A60BF4"/>
    <w:rsid w:val="00A6128E"/>
    <w:rsid w:val="00A613A0"/>
    <w:rsid w:val="00A62585"/>
    <w:rsid w:val="00A64576"/>
    <w:rsid w:val="00A645EE"/>
    <w:rsid w:val="00A64F0C"/>
    <w:rsid w:val="00A652D5"/>
    <w:rsid w:val="00A65411"/>
    <w:rsid w:val="00A65D7A"/>
    <w:rsid w:val="00A66B46"/>
    <w:rsid w:val="00A673A5"/>
    <w:rsid w:val="00A70135"/>
    <w:rsid w:val="00A70930"/>
    <w:rsid w:val="00A715F5"/>
    <w:rsid w:val="00A71DB5"/>
    <w:rsid w:val="00A73604"/>
    <w:rsid w:val="00A74055"/>
    <w:rsid w:val="00A74822"/>
    <w:rsid w:val="00A74C59"/>
    <w:rsid w:val="00A74F59"/>
    <w:rsid w:val="00A827BB"/>
    <w:rsid w:val="00A82DF4"/>
    <w:rsid w:val="00A83CC3"/>
    <w:rsid w:val="00A86B9E"/>
    <w:rsid w:val="00A87E0C"/>
    <w:rsid w:val="00A901B4"/>
    <w:rsid w:val="00A90848"/>
    <w:rsid w:val="00A9084A"/>
    <w:rsid w:val="00A90B6D"/>
    <w:rsid w:val="00A911B6"/>
    <w:rsid w:val="00A91AE6"/>
    <w:rsid w:val="00A93C8B"/>
    <w:rsid w:val="00A952C9"/>
    <w:rsid w:val="00A95C54"/>
    <w:rsid w:val="00A96045"/>
    <w:rsid w:val="00A965B4"/>
    <w:rsid w:val="00A968E4"/>
    <w:rsid w:val="00A97049"/>
    <w:rsid w:val="00AA0FFE"/>
    <w:rsid w:val="00AA2556"/>
    <w:rsid w:val="00AA3D63"/>
    <w:rsid w:val="00AA3FDE"/>
    <w:rsid w:val="00AA5CDA"/>
    <w:rsid w:val="00AA7045"/>
    <w:rsid w:val="00AB1237"/>
    <w:rsid w:val="00AB1AA0"/>
    <w:rsid w:val="00AB1CF8"/>
    <w:rsid w:val="00AB1E20"/>
    <w:rsid w:val="00AB30D1"/>
    <w:rsid w:val="00AB5B5C"/>
    <w:rsid w:val="00AC0A52"/>
    <w:rsid w:val="00AC1A8D"/>
    <w:rsid w:val="00AC1F5D"/>
    <w:rsid w:val="00AC2BD4"/>
    <w:rsid w:val="00AC3898"/>
    <w:rsid w:val="00AC4D85"/>
    <w:rsid w:val="00AC4EA0"/>
    <w:rsid w:val="00AC53F6"/>
    <w:rsid w:val="00AC665A"/>
    <w:rsid w:val="00AD1430"/>
    <w:rsid w:val="00AD22A9"/>
    <w:rsid w:val="00AD4D55"/>
    <w:rsid w:val="00AD57ED"/>
    <w:rsid w:val="00AD76FE"/>
    <w:rsid w:val="00AE03AB"/>
    <w:rsid w:val="00AE046C"/>
    <w:rsid w:val="00AE18CF"/>
    <w:rsid w:val="00AE25B5"/>
    <w:rsid w:val="00AE2B25"/>
    <w:rsid w:val="00AE2C5A"/>
    <w:rsid w:val="00AE2D3D"/>
    <w:rsid w:val="00AE3198"/>
    <w:rsid w:val="00AE3219"/>
    <w:rsid w:val="00AE55EA"/>
    <w:rsid w:val="00AE573B"/>
    <w:rsid w:val="00AE5F4D"/>
    <w:rsid w:val="00AE632D"/>
    <w:rsid w:val="00AE64CE"/>
    <w:rsid w:val="00AE6865"/>
    <w:rsid w:val="00AE6F9F"/>
    <w:rsid w:val="00AE71F4"/>
    <w:rsid w:val="00AE7F98"/>
    <w:rsid w:val="00AF0497"/>
    <w:rsid w:val="00AF1AEF"/>
    <w:rsid w:val="00AF1E02"/>
    <w:rsid w:val="00AF2A9F"/>
    <w:rsid w:val="00AF2CBE"/>
    <w:rsid w:val="00AF5783"/>
    <w:rsid w:val="00AF595F"/>
    <w:rsid w:val="00AF5BE5"/>
    <w:rsid w:val="00AF628A"/>
    <w:rsid w:val="00AF68FD"/>
    <w:rsid w:val="00AF71B8"/>
    <w:rsid w:val="00AF7EED"/>
    <w:rsid w:val="00B003E4"/>
    <w:rsid w:val="00B00845"/>
    <w:rsid w:val="00B02BEA"/>
    <w:rsid w:val="00B02D97"/>
    <w:rsid w:val="00B0331E"/>
    <w:rsid w:val="00B04902"/>
    <w:rsid w:val="00B05817"/>
    <w:rsid w:val="00B06326"/>
    <w:rsid w:val="00B06EF9"/>
    <w:rsid w:val="00B0745B"/>
    <w:rsid w:val="00B07826"/>
    <w:rsid w:val="00B10E66"/>
    <w:rsid w:val="00B11E3C"/>
    <w:rsid w:val="00B13100"/>
    <w:rsid w:val="00B136B0"/>
    <w:rsid w:val="00B13A35"/>
    <w:rsid w:val="00B157A4"/>
    <w:rsid w:val="00B224FC"/>
    <w:rsid w:val="00B22FB8"/>
    <w:rsid w:val="00B232C5"/>
    <w:rsid w:val="00B23416"/>
    <w:rsid w:val="00B237BB"/>
    <w:rsid w:val="00B2555B"/>
    <w:rsid w:val="00B256CE"/>
    <w:rsid w:val="00B25DC1"/>
    <w:rsid w:val="00B30197"/>
    <w:rsid w:val="00B320F3"/>
    <w:rsid w:val="00B32E4D"/>
    <w:rsid w:val="00B342F4"/>
    <w:rsid w:val="00B349CF"/>
    <w:rsid w:val="00B349F0"/>
    <w:rsid w:val="00B34BF6"/>
    <w:rsid w:val="00B34DA9"/>
    <w:rsid w:val="00B3584E"/>
    <w:rsid w:val="00B362D2"/>
    <w:rsid w:val="00B40972"/>
    <w:rsid w:val="00B42922"/>
    <w:rsid w:val="00B43207"/>
    <w:rsid w:val="00B4365C"/>
    <w:rsid w:val="00B44297"/>
    <w:rsid w:val="00B44BD8"/>
    <w:rsid w:val="00B456AA"/>
    <w:rsid w:val="00B468F0"/>
    <w:rsid w:val="00B46D3B"/>
    <w:rsid w:val="00B472B1"/>
    <w:rsid w:val="00B47702"/>
    <w:rsid w:val="00B47B0A"/>
    <w:rsid w:val="00B5066F"/>
    <w:rsid w:val="00B52CBF"/>
    <w:rsid w:val="00B52E8B"/>
    <w:rsid w:val="00B53CF6"/>
    <w:rsid w:val="00B543F1"/>
    <w:rsid w:val="00B55053"/>
    <w:rsid w:val="00B5672F"/>
    <w:rsid w:val="00B57613"/>
    <w:rsid w:val="00B576B4"/>
    <w:rsid w:val="00B624AB"/>
    <w:rsid w:val="00B627B3"/>
    <w:rsid w:val="00B646E7"/>
    <w:rsid w:val="00B65626"/>
    <w:rsid w:val="00B662AA"/>
    <w:rsid w:val="00B66AFE"/>
    <w:rsid w:val="00B66F9A"/>
    <w:rsid w:val="00B71597"/>
    <w:rsid w:val="00B71BC7"/>
    <w:rsid w:val="00B746BA"/>
    <w:rsid w:val="00B760CD"/>
    <w:rsid w:val="00B768DC"/>
    <w:rsid w:val="00B808F2"/>
    <w:rsid w:val="00B82312"/>
    <w:rsid w:val="00B8353A"/>
    <w:rsid w:val="00B835FE"/>
    <w:rsid w:val="00B84848"/>
    <w:rsid w:val="00B85DC3"/>
    <w:rsid w:val="00B86B81"/>
    <w:rsid w:val="00B919D5"/>
    <w:rsid w:val="00B950B1"/>
    <w:rsid w:val="00B9552E"/>
    <w:rsid w:val="00B95841"/>
    <w:rsid w:val="00B96C08"/>
    <w:rsid w:val="00B9792E"/>
    <w:rsid w:val="00BA09C5"/>
    <w:rsid w:val="00BA0C76"/>
    <w:rsid w:val="00BA0EFA"/>
    <w:rsid w:val="00BA169B"/>
    <w:rsid w:val="00BA16F1"/>
    <w:rsid w:val="00BA1E3C"/>
    <w:rsid w:val="00BA2376"/>
    <w:rsid w:val="00BA25E0"/>
    <w:rsid w:val="00BA5C93"/>
    <w:rsid w:val="00BA7367"/>
    <w:rsid w:val="00BA7F38"/>
    <w:rsid w:val="00BB04D1"/>
    <w:rsid w:val="00BB1149"/>
    <w:rsid w:val="00BB1E4C"/>
    <w:rsid w:val="00BB2190"/>
    <w:rsid w:val="00BB28C9"/>
    <w:rsid w:val="00BB2F9D"/>
    <w:rsid w:val="00BB379D"/>
    <w:rsid w:val="00BB3AA2"/>
    <w:rsid w:val="00BB5369"/>
    <w:rsid w:val="00BB741E"/>
    <w:rsid w:val="00BB7AF3"/>
    <w:rsid w:val="00BC02A0"/>
    <w:rsid w:val="00BC0811"/>
    <w:rsid w:val="00BC0BE2"/>
    <w:rsid w:val="00BC0CA7"/>
    <w:rsid w:val="00BC11F4"/>
    <w:rsid w:val="00BC17EB"/>
    <w:rsid w:val="00BC1B95"/>
    <w:rsid w:val="00BC2322"/>
    <w:rsid w:val="00BC3075"/>
    <w:rsid w:val="00BC4361"/>
    <w:rsid w:val="00BC5491"/>
    <w:rsid w:val="00BC5ECC"/>
    <w:rsid w:val="00BC6987"/>
    <w:rsid w:val="00BC699B"/>
    <w:rsid w:val="00BC6E82"/>
    <w:rsid w:val="00BD1AC8"/>
    <w:rsid w:val="00BD22A1"/>
    <w:rsid w:val="00BD423D"/>
    <w:rsid w:val="00BD4359"/>
    <w:rsid w:val="00BD528E"/>
    <w:rsid w:val="00BD57E7"/>
    <w:rsid w:val="00BD5D68"/>
    <w:rsid w:val="00BD7016"/>
    <w:rsid w:val="00BE1E0F"/>
    <w:rsid w:val="00BE21DD"/>
    <w:rsid w:val="00BE41EE"/>
    <w:rsid w:val="00BE481F"/>
    <w:rsid w:val="00BE48E4"/>
    <w:rsid w:val="00BE4E13"/>
    <w:rsid w:val="00BE4E52"/>
    <w:rsid w:val="00BE64BB"/>
    <w:rsid w:val="00BE64E4"/>
    <w:rsid w:val="00BE7BF3"/>
    <w:rsid w:val="00BE7F08"/>
    <w:rsid w:val="00BF2891"/>
    <w:rsid w:val="00BF2909"/>
    <w:rsid w:val="00BF326A"/>
    <w:rsid w:val="00BF3663"/>
    <w:rsid w:val="00BF4428"/>
    <w:rsid w:val="00BF4543"/>
    <w:rsid w:val="00BF75A3"/>
    <w:rsid w:val="00C01C4F"/>
    <w:rsid w:val="00C01E32"/>
    <w:rsid w:val="00C044E2"/>
    <w:rsid w:val="00C04F59"/>
    <w:rsid w:val="00C053FD"/>
    <w:rsid w:val="00C0679A"/>
    <w:rsid w:val="00C06A3F"/>
    <w:rsid w:val="00C06A9C"/>
    <w:rsid w:val="00C10FF3"/>
    <w:rsid w:val="00C11298"/>
    <w:rsid w:val="00C11DF8"/>
    <w:rsid w:val="00C11E43"/>
    <w:rsid w:val="00C1206E"/>
    <w:rsid w:val="00C12EA4"/>
    <w:rsid w:val="00C13518"/>
    <w:rsid w:val="00C13DE0"/>
    <w:rsid w:val="00C13E44"/>
    <w:rsid w:val="00C15899"/>
    <w:rsid w:val="00C17C1A"/>
    <w:rsid w:val="00C201E8"/>
    <w:rsid w:val="00C207A8"/>
    <w:rsid w:val="00C216D1"/>
    <w:rsid w:val="00C21A3F"/>
    <w:rsid w:val="00C22A94"/>
    <w:rsid w:val="00C22EC3"/>
    <w:rsid w:val="00C2595E"/>
    <w:rsid w:val="00C25B4A"/>
    <w:rsid w:val="00C25ED6"/>
    <w:rsid w:val="00C26978"/>
    <w:rsid w:val="00C269C3"/>
    <w:rsid w:val="00C270C9"/>
    <w:rsid w:val="00C2729D"/>
    <w:rsid w:val="00C30686"/>
    <w:rsid w:val="00C30D39"/>
    <w:rsid w:val="00C32510"/>
    <w:rsid w:val="00C3352A"/>
    <w:rsid w:val="00C35A8A"/>
    <w:rsid w:val="00C35D4A"/>
    <w:rsid w:val="00C373BD"/>
    <w:rsid w:val="00C376DD"/>
    <w:rsid w:val="00C37749"/>
    <w:rsid w:val="00C4054C"/>
    <w:rsid w:val="00C40E9B"/>
    <w:rsid w:val="00C41568"/>
    <w:rsid w:val="00C43F3F"/>
    <w:rsid w:val="00C47143"/>
    <w:rsid w:val="00C52DAC"/>
    <w:rsid w:val="00C52EDF"/>
    <w:rsid w:val="00C533F5"/>
    <w:rsid w:val="00C548EC"/>
    <w:rsid w:val="00C558BE"/>
    <w:rsid w:val="00C60220"/>
    <w:rsid w:val="00C6295A"/>
    <w:rsid w:val="00C62EF3"/>
    <w:rsid w:val="00C63232"/>
    <w:rsid w:val="00C64EB6"/>
    <w:rsid w:val="00C64F1B"/>
    <w:rsid w:val="00C65E63"/>
    <w:rsid w:val="00C663A4"/>
    <w:rsid w:val="00C66EED"/>
    <w:rsid w:val="00C70ACA"/>
    <w:rsid w:val="00C7157A"/>
    <w:rsid w:val="00C73BBF"/>
    <w:rsid w:val="00C73E87"/>
    <w:rsid w:val="00C74E41"/>
    <w:rsid w:val="00C752A4"/>
    <w:rsid w:val="00C75745"/>
    <w:rsid w:val="00C765BB"/>
    <w:rsid w:val="00C80146"/>
    <w:rsid w:val="00C8086C"/>
    <w:rsid w:val="00C8114A"/>
    <w:rsid w:val="00C8169D"/>
    <w:rsid w:val="00C82B6B"/>
    <w:rsid w:val="00C83228"/>
    <w:rsid w:val="00C84853"/>
    <w:rsid w:val="00C84CAC"/>
    <w:rsid w:val="00C8594A"/>
    <w:rsid w:val="00C91893"/>
    <w:rsid w:val="00C9374F"/>
    <w:rsid w:val="00C93D4E"/>
    <w:rsid w:val="00C94092"/>
    <w:rsid w:val="00C9438A"/>
    <w:rsid w:val="00C95EA5"/>
    <w:rsid w:val="00C96538"/>
    <w:rsid w:val="00C975D0"/>
    <w:rsid w:val="00CA0731"/>
    <w:rsid w:val="00CA252D"/>
    <w:rsid w:val="00CA25C3"/>
    <w:rsid w:val="00CA364A"/>
    <w:rsid w:val="00CA366F"/>
    <w:rsid w:val="00CA588C"/>
    <w:rsid w:val="00CA5A1A"/>
    <w:rsid w:val="00CA688E"/>
    <w:rsid w:val="00CA6D0A"/>
    <w:rsid w:val="00CA6FDA"/>
    <w:rsid w:val="00CA7957"/>
    <w:rsid w:val="00CB0EC9"/>
    <w:rsid w:val="00CB2043"/>
    <w:rsid w:val="00CB390C"/>
    <w:rsid w:val="00CB4513"/>
    <w:rsid w:val="00CB55FD"/>
    <w:rsid w:val="00CB59F0"/>
    <w:rsid w:val="00CB77A6"/>
    <w:rsid w:val="00CC00B8"/>
    <w:rsid w:val="00CC0455"/>
    <w:rsid w:val="00CC0BC8"/>
    <w:rsid w:val="00CC2E4C"/>
    <w:rsid w:val="00CC5ADF"/>
    <w:rsid w:val="00CC5F7C"/>
    <w:rsid w:val="00CD3B55"/>
    <w:rsid w:val="00CD411D"/>
    <w:rsid w:val="00CD571D"/>
    <w:rsid w:val="00CD58F5"/>
    <w:rsid w:val="00CD7026"/>
    <w:rsid w:val="00CD7D73"/>
    <w:rsid w:val="00CD7F7C"/>
    <w:rsid w:val="00CE12DE"/>
    <w:rsid w:val="00CE1A17"/>
    <w:rsid w:val="00CE1AF6"/>
    <w:rsid w:val="00CE294E"/>
    <w:rsid w:val="00CE3359"/>
    <w:rsid w:val="00CE4623"/>
    <w:rsid w:val="00CE6474"/>
    <w:rsid w:val="00CE6763"/>
    <w:rsid w:val="00CE77F3"/>
    <w:rsid w:val="00CE7C52"/>
    <w:rsid w:val="00CF09AC"/>
    <w:rsid w:val="00CF26ED"/>
    <w:rsid w:val="00CF286A"/>
    <w:rsid w:val="00CF3300"/>
    <w:rsid w:val="00CF4ECE"/>
    <w:rsid w:val="00CF56CA"/>
    <w:rsid w:val="00CF5B83"/>
    <w:rsid w:val="00CF6406"/>
    <w:rsid w:val="00D01AE3"/>
    <w:rsid w:val="00D0210D"/>
    <w:rsid w:val="00D0229C"/>
    <w:rsid w:val="00D03415"/>
    <w:rsid w:val="00D044DD"/>
    <w:rsid w:val="00D04879"/>
    <w:rsid w:val="00D04A50"/>
    <w:rsid w:val="00D04AFA"/>
    <w:rsid w:val="00D069A1"/>
    <w:rsid w:val="00D105E0"/>
    <w:rsid w:val="00D1350C"/>
    <w:rsid w:val="00D141F5"/>
    <w:rsid w:val="00D151C7"/>
    <w:rsid w:val="00D15B48"/>
    <w:rsid w:val="00D16048"/>
    <w:rsid w:val="00D1716C"/>
    <w:rsid w:val="00D17980"/>
    <w:rsid w:val="00D17C91"/>
    <w:rsid w:val="00D17F4A"/>
    <w:rsid w:val="00D2037C"/>
    <w:rsid w:val="00D224AB"/>
    <w:rsid w:val="00D243C3"/>
    <w:rsid w:val="00D24FFF"/>
    <w:rsid w:val="00D30C10"/>
    <w:rsid w:val="00D31A29"/>
    <w:rsid w:val="00D33D4B"/>
    <w:rsid w:val="00D34A55"/>
    <w:rsid w:val="00D34B52"/>
    <w:rsid w:val="00D354BD"/>
    <w:rsid w:val="00D4058F"/>
    <w:rsid w:val="00D40FDB"/>
    <w:rsid w:val="00D41064"/>
    <w:rsid w:val="00D413BC"/>
    <w:rsid w:val="00D41647"/>
    <w:rsid w:val="00D4253C"/>
    <w:rsid w:val="00D449CB"/>
    <w:rsid w:val="00D44FE6"/>
    <w:rsid w:val="00D4790A"/>
    <w:rsid w:val="00D506D6"/>
    <w:rsid w:val="00D51122"/>
    <w:rsid w:val="00D53675"/>
    <w:rsid w:val="00D53E3A"/>
    <w:rsid w:val="00D53E72"/>
    <w:rsid w:val="00D53FB5"/>
    <w:rsid w:val="00D57B2D"/>
    <w:rsid w:val="00D57D51"/>
    <w:rsid w:val="00D620FC"/>
    <w:rsid w:val="00D62806"/>
    <w:rsid w:val="00D62813"/>
    <w:rsid w:val="00D63B7E"/>
    <w:rsid w:val="00D63E7E"/>
    <w:rsid w:val="00D6454A"/>
    <w:rsid w:val="00D64FFB"/>
    <w:rsid w:val="00D6554B"/>
    <w:rsid w:val="00D65578"/>
    <w:rsid w:val="00D65989"/>
    <w:rsid w:val="00D65D62"/>
    <w:rsid w:val="00D65E5C"/>
    <w:rsid w:val="00D66627"/>
    <w:rsid w:val="00D714E0"/>
    <w:rsid w:val="00D72603"/>
    <w:rsid w:val="00D726BA"/>
    <w:rsid w:val="00D75352"/>
    <w:rsid w:val="00D77567"/>
    <w:rsid w:val="00D81FB4"/>
    <w:rsid w:val="00D8241D"/>
    <w:rsid w:val="00D828D4"/>
    <w:rsid w:val="00D84AE2"/>
    <w:rsid w:val="00D85B0B"/>
    <w:rsid w:val="00D8727F"/>
    <w:rsid w:val="00D911C5"/>
    <w:rsid w:val="00D91CD1"/>
    <w:rsid w:val="00D933F3"/>
    <w:rsid w:val="00D93692"/>
    <w:rsid w:val="00D93A72"/>
    <w:rsid w:val="00D943DB"/>
    <w:rsid w:val="00D96247"/>
    <w:rsid w:val="00D96E4E"/>
    <w:rsid w:val="00D97A5B"/>
    <w:rsid w:val="00D97D2A"/>
    <w:rsid w:val="00DA2714"/>
    <w:rsid w:val="00DA295D"/>
    <w:rsid w:val="00DA2E41"/>
    <w:rsid w:val="00DA3312"/>
    <w:rsid w:val="00DA3A0F"/>
    <w:rsid w:val="00DA3AF1"/>
    <w:rsid w:val="00DA455D"/>
    <w:rsid w:val="00DA4D31"/>
    <w:rsid w:val="00DA4F56"/>
    <w:rsid w:val="00DA4FA0"/>
    <w:rsid w:val="00DA65C7"/>
    <w:rsid w:val="00DA7368"/>
    <w:rsid w:val="00DB0C48"/>
    <w:rsid w:val="00DB17AC"/>
    <w:rsid w:val="00DB2BFB"/>
    <w:rsid w:val="00DB36F8"/>
    <w:rsid w:val="00DB3D8C"/>
    <w:rsid w:val="00DB3E16"/>
    <w:rsid w:val="00DB436F"/>
    <w:rsid w:val="00DB4469"/>
    <w:rsid w:val="00DB4716"/>
    <w:rsid w:val="00DB4C2A"/>
    <w:rsid w:val="00DB5545"/>
    <w:rsid w:val="00DB5624"/>
    <w:rsid w:val="00DB57BE"/>
    <w:rsid w:val="00DB5EA1"/>
    <w:rsid w:val="00DB714D"/>
    <w:rsid w:val="00DC065A"/>
    <w:rsid w:val="00DC0777"/>
    <w:rsid w:val="00DC17C2"/>
    <w:rsid w:val="00DC2134"/>
    <w:rsid w:val="00DC37E3"/>
    <w:rsid w:val="00DC45C3"/>
    <w:rsid w:val="00DC480A"/>
    <w:rsid w:val="00DC5508"/>
    <w:rsid w:val="00DC5CD1"/>
    <w:rsid w:val="00DC7543"/>
    <w:rsid w:val="00DC7766"/>
    <w:rsid w:val="00DD29A9"/>
    <w:rsid w:val="00DD36E1"/>
    <w:rsid w:val="00DD37CD"/>
    <w:rsid w:val="00DD3E48"/>
    <w:rsid w:val="00DD5436"/>
    <w:rsid w:val="00DD58C8"/>
    <w:rsid w:val="00DD7C3D"/>
    <w:rsid w:val="00DE0365"/>
    <w:rsid w:val="00DE1D5F"/>
    <w:rsid w:val="00DE2C7F"/>
    <w:rsid w:val="00DE33F7"/>
    <w:rsid w:val="00DE4770"/>
    <w:rsid w:val="00DE66BF"/>
    <w:rsid w:val="00DE747C"/>
    <w:rsid w:val="00DE793C"/>
    <w:rsid w:val="00DF119C"/>
    <w:rsid w:val="00DF1865"/>
    <w:rsid w:val="00DF1A4D"/>
    <w:rsid w:val="00DF1CB0"/>
    <w:rsid w:val="00DF1CB3"/>
    <w:rsid w:val="00DF243C"/>
    <w:rsid w:val="00DF42B1"/>
    <w:rsid w:val="00DF44B1"/>
    <w:rsid w:val="00DF4FC5"/>
    <w:rsid w:val="00DF503A"/>
    <w:rsid w:val="00DF5D67"/>
    <w:rsid w:val="00DF6006"/>
    <w:rsid w:val="00DF77A7"/>
    <w:rsid w:val="00E00B54"/>
    <w:rsid w:val="00E00DB1"/>
    <w:rsid w:val="00E00DEA"/>
    <w:rsid w:val="00E02ADB"/>
    <w:rsid w:val="00E040DE"/>
    <w:rsid w:val="00E041A3"/>
    <w:rsid w:val="00E045C8"/>
    <w:rsid w:val="00E04677"/>
    <w:rsid w:val="00E06C6C"/>
    <w:rsid w:val="00E06F08"/>
    <w:rsid w:val="00E076F7"/>
    <w:rsid w:val="00E10B12"/>
    <w:rsid w:val="00E11ACB"/>
    <w:rsid w:val="00E121D6"/>
    <w:rsid w:val="00E127BD"/>
    <w:rsid w:val="00E127DE"/>
    <w:rsid w:val="00E12998"/>
    <w:rsid w:val="00E1342A"/>
    <w:rsid w:val="00E13737"/>
    <w:rsid w:val="00E14969"/>
    <w:rsid w:val="00E15BD3"/>
    <w:rsid w:val="00E173D8"/>
    <w:rsid w:val="00E207CF"/>
    <w:rsid w:val="00E20EDC"/>
    <w:rsid w:val="00E234EC"/>
    <w:rsid w:val="00E23ACA"/>
    <w:rsid w:val="00E249C4"/>
    <w:rsid w:val="00E24ABA"/>
    <w:rsid w:val="00E24C2B"/>
    <w:rsid w:val="00E2548F"/>
    <w:rsid w:val="00E25529"/>
    <w:rsid w:val="00E27D00"/>
    <w:rsid w:val="00E27ECB"/>
    <w:rsid w:val="00E30194"/>
    <w:rsid w:val="00E307C8"/>
    <w:rsid w:val="00E3281A"/>
    <w:rsid w:val="00E331D2"/>
    <w:rsid w:val="00E33270"/>
    <w:rsid w:val="00E33648"/>
    <w:rsid w:val="00E3424B"/>
    <w:rsid w:val="00E367B4"/>
    <w:rsid w:val="00E41474"/>
    <w:rsid w:val="00E41AAF"/>
    <w:rsid w:val="00E4214B"/>
    <w:rsid w:val="00E42DE7"/>
    <w:rsid w:val="00E43544"/>
    <w:rsid w:val="00E435F6"/>
    <w:rsid w:val="00E43EE6"/>
    <w:rsid w:val="00E442E4"/>
    <w:rsid w:val="00E462B7"/>
    <w:rsid w:val="00E4785A"/>
    <w:rsid w:val="00E50670"/>
    <w:rsid w:val="00E5137C"/>
    <w:rsid w:val="00E51B52"/>
    <w:rsid w:val="00E52117"/>
    <w:rsid w:val="00E5261D"/>
    <w:rsid w:val="00E53E2F"/>
    <w:rsid w:val="00E54886"/>
    <w:rsid w:val="00E54895"/>
    <w:rsid w:val="00E56129"/>
    <w:rsid w:val="00E561CE"/>
    <w:rsid w:val="00E566E3"/>
    <w:rsid w:val="00E56F91"/>
    <w:rsid w:val="00E572DE"/>
    <w:rsid w:val="00E57393"/>
    <w:rsid w:val="00E60582"/>
    <w:rsid w:val="00E611BC"/>
    <w:rsid w:val="00E617FC"/>
    <w:rsid w:val="00E61FD1"/>
    <w:rsid w:val="00E633F8"/>
    <w:rsid w:val="00E647A1"/>
    <w:rsid w:val="00E64CEE"/>
    <w:rsid w:val="00E65756"/>
    <w:rsid w:val="00E66B83"/>
    <w:rsid w:val="00E67466"/>
    <w:rsid w:val="00E67BB8"/>
    <w:rsid w:val="00E70192"/>
    <w:rsid w:val="00E70C0E"/>
    <w:rsid w:val="00E70D25"/>
    <w:rsid w:val="00E71C61"/>
    <w:rsid w:val="00E75973"/>
    <w:rsid w:val="00E76B50"/>
    <w:rsid w:val="00E77292"/>
    <w:rsid w:val="00E77352"/>
    <w:rsid w:val="00E8047A"/>
    <w:rsid w:val="00E80542"/>
    <w:rsid w:val="00E80D73"/>
    <w:rsid w:val="00E81147"/>
    <w:rsid w:val="00E8188B"/>
    <w:rsid w:val="00E81CDB"/>
    <w:rsid w:val="00E81D95"/>
    <w:rsid w:val="00E82354"/>
    <w:rsid w:val="00E82381"/>
    <w:rsid w:val="00E82519"/>
    <w:rsid w:val="00E857B9"/>
    <w:rsid w:val="00E8618F"/>
    <w:rsid w:val="00E874CE"/>
    <w:rsid w:val="00E908B3"/>
    <w:rsid w:val="00E91476"/>
    <w:rsid w:val="00E91A87"/>
    <w:rsid w:val="00E91B1A"/>
    <w:rsid w:val="00E9239D"/>
    <w:rsid w:val="00E923CC"/>
    <w:rsid w:val="00E92B6B"/>
    <w:rsid w:val="00E93142"/>
    <w:rsid w:val="00E94429"/>
    <w:rsid w:val="00E9646F"/>
    <w:rsid w:val="00E97C92"/>
    <w:rsid w:val="00EA2372"/>
    <w:rsid w:val="00EA3335"/>
    <w:rsid w:val="00EA4354"/>
    <w:rsid w:val="00EA4EF6"/>
    <w:rsid w:val="00EA5BF6"/>
    <w:rsid w:val="00EA5D22"/>
    <w:rsid w:val="00EA5E28"/>
    <w:rsid w:val="00EA666D"/>
    <w:rsid w:val="00EA77EF"/>
    <w:rsid w:val="00EB0C02"/>
    <w:rsid w:val="00EB488B"/>
    <w:rsid w:val="00EB51E1"/>
    <w:rsid w:val="00EB5E5D"/>
    <w:rsid w:val="00EB6062"/>
    <w:rsid w:val="00EB6204"/>
    <w:rsid w:val="00EB6A71"/>
    <w:rsid w:val="00EB7515"/>
    <w:rsid w:val="00EB751A"/>
    <w:rsid w:val="00EB7863"/>
    <w:rsid w:val="00EB7A77"/>
    <w:rsid w:val="00EC106F"/>
    <w:rsid w:val="00EC157F"/>
    <w:rsid w:val="00EC16B3"/>
    <w:rsid w:val="00EC1F5E"/>
    <w:rsid w:val="00EC2D24"/>
    <w:rsid w:val="00EC31B7"/>
    <w:rsid w:val="00EC4770"/>
    <w:rsid w:val="00EC54A5"/>
    <w:rsid w:val="00EC62D9"/>
    <w:rsid w:val="00EC792C"/>
    <w:rsid w:val="00EC7B90"/>
    <w:rsid w:val="00ED00F0"/>
    <w:rsid w:val="00ED07CC"/>
    <w:rsid w:val="00ED1FC9"/>
    <w:rsid w:val="00ED2042"/>
    <w:rsid w:val="00ED3EEB"/>
    <w:rsid w:val="00ED54AC"/>
    <w:rsid w:val="00ED54FC"/>
    <w:rsid w:val="00ED5BAB"/>
    <w:rsid w:val="00ED66C1"/>
    <w:rsid w:val="00ED6E0A"/>
    <w:rsid w:val="00ED731F"/>
    <w:rsid w:val="00EE1125"/>
    <w:rsid w:val="00EE2438"/>
    <w:rsid w:val="00EE260E"/>
    <w:rsid w:val="00EE268B"/>
    <w:rsid w:val="00EE27E5"/>
    <w:rsid w:val="00EE5530"/>
    <w:rsid w:val="00EF1C6F"/>
    <w:rsid w:val="00EF21CE"/>
    <w:rsid w:val="00EF2952"/>
    <w:rsid w:val="00EF4057"/>
    <w:rsid w:val="00EF453F"/>
    <w:rsid w:val="00EF6154"/>
    <w:rsid w:val="00EF69CE"/>
    <w:rsid w:val="00EF74F0"/>
    <w:rsid w:val="00F002D6"/>
    <w:rsid w:val="00F0065B"/>
    <w:rsid w:val="00F02006"/>
    <w:rsid w:val="00F020D4"/>
    <w:rsid w:val="00F04DDC"/>
    <w:rsid w:val="00F0590F"/>
    <w:rsid w:val="00F05FD5"/>
    <w:rsid w:val="00F0671A"/>
    <w:rsid w:val="00F074C3"/>
    <w:rsid w:val="00F10DF2"/>
    <w:rsid w:val="00F116A3"/>
    <w:rsid w:val="00F1239C"/>
    <w:rsid w:val="00F13438"/>
    <w:rsid w:val="00F1405E"/>
    <w:rsid w:val="00F14A1B"/>
    <w:rsid w:val="00F14A2B"/>
    <w:rsid w:val="00F17D97"/>
    <w:rsid w:val="00F20093"/>
    <w:rsid w:val="00F20D91"/>
    <w:rsid w:val="00F2222C"/>
    <w:rsid w:val="00F23C35"/>
    <w:rsid w:val="00F2690A"/>
    <w:rsid w:val="00F3026D"/>
    <w:rsid w:val="00F315DF"/>
    <w:rsid w:val="00F320C8"/>
    <w:rsid w:val="00F3294C"/>
    <w:rsid w:val="00F34B12"/>
    <w:rsid w:val="00F35AFC"/>
    <w:rsid w:val="00F35F8B"/>
    <w:rsid w:val="00F422AB"/>
    <w:rsid w:val="00F43DEC"/>
    <w:rsid w:val="00F45D0D"/>
    <w:rsid w:val="00F477F1"/>
    <w:rsid w:val="00F479E8"/>
    <w:rsid w:val="00F51CA4"/>
    <w:rsid w:val="00F51EC5"/>
    <w:rsid w:val="00F547A8"/>
    <w:rsid w:val="00F547E5"/>
    <w:rsid w:val="00F56A5E"/>
    <w:rsid w:val="00F604EF"/>
    <w:rsid w:val="00F60A00"/>
    <w:rsid w:val="00F60FE6"/>
    <w:rsid w:val="00F61891"/>
    <w:rsid w:val="00F633DB"/>
    <w:rsid w:val="00F63499"/>
    <w:rsid w:val="00F64505"/>
    <w:rsid w:val="00F65813"/>
    <w:rsid w:val="00F65D13"/>
    <w:rsid w:val="00F6699E"/>
    <w:rsid w:val="00F67510"/>
    <w:rsid w:val="00F72563"/>
    <w:rsid w:val="00F73190"/>
    <w:rsid w:val="00F7491B"/>
    <w:rsid w:val="00F74BD2"/>
    <w:rsid w:val="00F7556D"/>
    <w:rsid w:val="00F75D4D"/>
    <w:rsid w:val="00F77994"/>
    <w:rsid w:val="00F77BEA"/>
    <w:rsid w:val="00F802F8"/>
    <w:rsid w:val="00F8238C"/>
    <w:rsid w:val="00F828C4"/>
    <w:rsid w:val="00F8419C"/>
    <w:rsid w:val="00F84312"/>
    <w:rsid w:val="00F87D1F"/>
    <w:rsid w:val="00F87D45"/>
    <w:rsid w:val="00F90198"/>
    <w:rsid w:val="00F906A0"/>
    <w:rsid w:val="00F90C9D"/>
    <w:rsid w:val="00F921F1"/>
    <w:rsid w:val="00F92B39"/>
    <w:rsid w:val="00F93359"/>
    <w:rsid w:val="00F93398"/>
    <w:rsid w:val="00F93E15"/>
    <w:rsid w:val="00F94CC0"/>
    <w:rsid w:val="00F9511A"/>
    <w:rsid w:val="00F96D2A"/>
    <w:rsid w:val="00FA0D79"/>
    <w:rsid w:val="00FA1BDF"/>
    <w:rsid w:val="00FA1F81"/>
    <w:rsid w:val="00FA3875"/>
    <w:rsid w:val="00FA4876"/>
    <w:rsid w:val="00FA4FF2"/>
    <w:rsid w:val="00FA6705"/>
    <w:rsid w:val="00FB08DB"/>
    <w:rsid w:val="00FB19ED"/>
    <w:rsid w:val="00FB21AB"/>
    <w:rsid w:val="00FB2C88"/>
    <w:rsid w:val="00FB5A09"/>
    <w:rsid w:val="00FC06FA"/>
    <w:rsid w:val="00FC11A7"/>
    <w:rsid w:val="00FC1E87"/>
    <w:rsid w:val="00FC2558"/>
    <w:rsid w:val="00FC2AB8"/>
    <w:rsid w:val="00FC3568"/>
    <w:rsid w:val="00FC36CF"/>
    <w:rsid w:val="00FC37CB"/>
    <w:rsid w:val="00FC410D"/>
    <w:rsid w:val="00FC4AAA"/>
    <w:rsid w:val="00FC5A04"/>
    <w:rsid w:val="00FC61FE"/>
    <w:rsid w:val="00FC6EC2"/>
    <w:rsid w:val="00FD0BA7"/>
    <w:rsid w:val="00FD0F6E"/>
    <w:rsid w:val="00FD1E46"/>
    <w:rsid w:val="00FD2652"/>
    <w:rsid w:val="00FD2CB4"/>
    <w:rsid w:val="00FD65B6"/>
    <w:rsid w:val="00FD6B46"/>
    <w:rsid w:val="00FD6F6B"/>
    <w:rsid w:val="00FE00B0"/>
    <w:rsid w:val="00FE01B0"/>
    <w:rsid w:val="00FE1BCE"/>
    <w:rsid w:val="00FE1EF7"/>
    <w:rsid w:val="00FE2107"/>
    <w:rsid w:val="00FE2A6A"/>
    <w:rsid w:val="00FE4F85"/>
    <w:rsid w:val="00FE521E"/>
    <w:rsid w:val="00FE675B"/>
    <w:rsid w:val="00FE695A"/>
    <w:rsid w:val="00FE6DD2"/>
    <w:rsid w:val="00FF00B1"/>
    <w:rsid w:val="00FF26A0"/>
    <w:rsid w:val="00FF346A"/>
    <w:rsid w:val="00FF3E33"/>
    <w:rsid w:val="00FF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0" w:unhideWhenUsed="0"/>
    <w:lsdException w:name="toc 2" w:locked="0" w:semiHidden="0" w:uiPriority="0" w:unhideWhenUsed="0"/>
    <w:lsdException w:name="toc 3" w:locked="0"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0"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0" w:semiHidden="0" w:uiPriority="0" w:unhideWhenUsed="0" w:qFormat="1"/>
    <w:lsdException w:name="Default Paragraph Font" w:locked="0" w:semiHidden="0" w:uiPriority="1" w:unhideWhenUsed="0"/>
    <w:lsdException w:name="Subtitle" w:locked="0" w:semiHidden="0" w:uiPriority="0" w:unhideWhenUsed="0" w:qFormat="1"/>
    <w:lsdException w:name="Block Text" w:uiPriority="0"/>
    <w:lsdException w:name="Hyperlink" w:uiPriority="0"/>
    <w:lsdException w:name="Strong" w:locked="0" w:semiHidden="0" w:unhideWhenUsed="0" w:qFormat="1"/>
    <w:lsdException w:name="Emphasis" w:locked="0" w:semiHidden="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7E1D"/>
    <w:pPr>
      <w:widowControl w:val="0"/>
    </w:pPr>
    <w:rPr>
      <w:snapToGrid w:val="0"/>
      <w:kern w:val="28"/>
      <w:sz w:val="22"/>
    </w:rPr>
  </w:style>
  <w:style w:type="paragraph" w:styleId="Heading1">
    <w:name w:val="heading 1"/>
    <w:basedOn w:val="Normal"/>
    <w:next w:val="ParaNum0"/>
    <w:link w:val="Heading1Char"/>
    <w:qFormat/>
    <w:rsid w:val="00A27E1D"/>
    <w:pPr>
      <w:keepNext/>
      <w:numPr>
        <w:numId w:val="3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A27E1D"/>
    <w:pPr>
      <w:keepNext/>
      <w:numPr>
        <w:ilvl w:val="1"/>
        <w:numId w:val="30"/>
      </w:numPr>
      <w:spacing w:after="120"/>
      <w:outlineLvl w:val="1"/>
    </w:pPr>
    <w:rPr>
      <w:b/>
    </w:rPr>
  </w:style>
  <w:style w:type="paragraph" w:styleId="Heading3">
    <w:name w:val="heading 3"/>
    <w:basedOn w:val="Normal"/>
    <w:next w:val="ParaNum0"/>
    <w:link w:val="Heading3Char"/>
    <w:qFormat/>
    <w:rsid w:val="00A27E1D"/>
    <w:pPr>
      <w:keepNext/>
      <w:numPr>
        <w:ilvl w:val="2"/>
        <w:numId w:val="30"/>
      </w:numPr>
      <w:tabs>
        <w:tab w:val="left" w:pos="2160"/>
      </w:tabs>
      <w:spacing w:after="120"/>
      <w:outlineLvl w:val="2"/>
    </w:pPr>
    <w:rPr>
      <w:b/>
    </w:rPr>
  </w:style>
  <w:style w:type="paragraph" w:styleId="Heading4">
    <w:name w:val="heading 4"/>
    <w:basedOn w:val="Normal"/>
    <w:next w:val="ParaNum0"/>
    <w:link w:val="Heading4Char"/>
    <w:qFormat/>
    <w:rsid w:val="00A27E1D"/>
    <w:pPr>
      <w:keepNext/>
      <w:numPr>
        <w:ilvl w:val="3"/>
        <w:numId w:val="30"/>
      </w:numPr>
      <w:tabs>
        <w:tab w:val="left" w:pos="2880"/>
      </w:tabs>
      <w:spacing w:after="120"/>
      <w:outlineLvl w:val="3"/>
    </w:pPr>
    <w:rPr>
      <w:b/>
    </w:rPr>
  </w:style>
  <w:style w:type="paragraph" w:styleId="Heading5">
    <w:name w:val="heading 5"/>
    <w:basedOn w:val="Normal"/>
    <w:next w:val="ParaNum0"/>
    <w:link w:val="Heading5Char"/>
    <w:qFormat/>
    <w:rsid w:val="00A27E1D"/>
    <w:pPr>
      <w:keepNext/>
      <w:numPr>
        <w:ilvl w:val="4"/>
        <w:numId w:val="30"/>
      </w:numPr>
      <w:tabs>
        <w:tab w:val="clear" w:pos="3960"/>
        <w:tab w:val="left" w:pos="3600"/>
      </w:tabs>
      <w:suppressAutoHyphens/>
      <w:spacing w:after="120"/>
      <w:outlineLvl w:val="4"/>
    </w:pPr>
    <w:rPr>
      <w:b/>
    </w:rPr>
  </w:style>
  <w:style w:type="paragraph" w:styleId="Heading6">
    <w:name w:val="heading 6"/>
    <w:basedOn w:val="Normal"/>
    <w:next w:val="ParaNum0"/>
    <w:link w:val="Heading6Char"/>
    <w:qFormat/>
    <w:rsid w:val="00A27E1D"/>
    <w:pPr>
      <w:numPr>
        <w:ilvl w:val="5"/>
        <w:numId w:val="30"/>
      </w:numPr>
      <w:tabs>
        <w:tab w:val="left" w:pos="4320"/>
      </w:tabs>
      <w:spacing w:after="120"/>
      <w:outlineLvl w:val="5"/>
    </w:pPr>
    <w:rPr>
      <w:b/>
    </w:rPr>
  </w:style>
  <w:style w:type="paragraph" w:styleId="Heading7">
    <w:name w:val="heading 7"/>
    <w:basedOn w:val="Normal"/>
    <w:next w:val="ParaNum0"/>
    <w:link w:val="Heading7Char"/>
    <w:qFormat/>
    <w:rsid w:val="00A27E1D"/>
    <w:pPr>
      <w:numPr>
        <w:ilvl w:val="7"/>
        <w:numId w:val="30"/>
      </w:numPr>
      <w:tabs>
        <w:tab w:val="clear" w:pos="5400"/>
        <w:tab w:val="left" w:pos="5040"/>
      </w:tabs>
      <w:spacing w:after="120"/>
      <w:ind w:hanging="720"/>
      <w:outlineLvl w:val="6"/>
    </w:pPr>
    <w:rPr>
      <w:b/>
    </w:rPr>
  </w:style>
  <w:style w:type="paragraph" w:styleId="Heading8">
    <w:name w:val="heading 8"/>
    <w:basedOn w:val="Normal"/>
    <w:next w:val="ParaNum0"/>
    <w:link w:val="Heading8Char"/>
    <w:qFormat/>
    <w:rsid w:val="00A27E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A27E1D"/>
    <w:pPr>
      <w:numPr>
        <w:ilvl w:val="8"/>
        <w:numId w:val="30"/>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A27E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E1D"/>
  </w:style>
  <w:style w:type="character" w:customStyle="1" w:styleId="Heading1Char">
    <w:name w:val="Heading 1 Char"/>
    <w:link w:val="Heading1"/>
    <w:locked/>
    <w:rsid w:val="00252919"/>
    <w:rPr>
      <w:rFonts w:ascii="Times New Roman Bold" w:hAnsi="Times New Roman Bold"/>
      <w:b/>
      <w:caps/>
      <w:snapToGrid w:val="0"/>
      <w:kern w:val="28"/>
      <w:sz w:val="22"/>
    </w:rPr>
  </w:style>
  <w:style w:type="character" w:customStyle="1" w:styleId="Heading2Char">
    <w:name w:val="Heading 2 Char"/>
    <w:link w:val="Heading2"/>
    <w:locked/>
    <w:rsid w:val="00252919"/>
    <w:rPr>
      <w:b/>
      <w:snapToGrid w:val="0"/>
      <w:kern w:val="28"/>
      <w:sz w:val="22"/>
    </w:rPr>
  </w:style>
  <w:style w:type="character" w:customStyle="1" w:styleId="Heading3Char">
    <w:name w:val="Heading 3 Char"/>
    <w:link w:val="Heading3"/>
    <w:locked/>
    <w:rsid w:val="00252919"/>
    <w:rPr>
      <w:b/>
      <w:snapToGrid w:val="0"/>
      <w:kern w:val="28"/>
      <w:sz w:val="22"/>
    </w:rPr>
  </w:style>
  <w:style w:type="character" w:customStyle="1" w:styleId="Heading4Char">
    <w:name w:val="Heading 4 Char"/>
    <w:link w:val="Heading4"/>
    <w:locked/>
    <w:rsid w:val="00252919"/>
    <w:rPr>
      <w:b/>
      <w:snapToGrid w:val="0"/>
      <w:kern w:val="28"/>
      <w:sz w:val="22"/>
    </w:rPr>
  </w:style>
  <w:style w:type="character" w:customStyle="1" w:styleId="Heading5Char">
    <w:name w:val="Heading 5 Char"/>
    <w:link w:val="Heading5"/>
    <w:locked/>
    <w:rsid w:val="00252919"/>
    <w:rPr>
      <w:b/>
      <w:snapToGrid w:val="0"/>
      <w:kern w:val="28"/>
      <w:sz w:val="22"/>
    </w:rPr>
  </w:style>
  <w:style w:type="character" w:customStyle="1" w:styleId="Heading6Char">
    <w:name w:val="Heading 6 Char"/>
    <w:link w:val="Heading6"/>
    <w:locked/>
    <w:rsid w:val="00252919"/>
    <w:rPr>
      <w:b/>
      <w:snapToGrid w:val="0"/>
      <w:kern w:val="28"/>
      <w:sz w:val="22"/>
    </w:rPr>
  </w:style>
  <w:style w:type="character" w:customStyle="1" w:styleId="Heading7Char">
    <w:name w:val="Heading 7 Char"/>
    <w:link w:val="Heading7"/>
    <w:locked/>
    <w:rsid w:val="00252919"/>
    <w:rPr>
      <w:b/>
      <w:snapToGrid w:val="0"/>
      <w:kern w:val="28"/>
      <w:sz w:val="22"/>
    </w:rPr>
  </w:style>
  <w:style w:type="character" w:customStyle="1" w:styleId="Heading8Char">
    <w:name w:val="Heading 8 Char"/>
    <w:link w:val="Heading8"/>
    <w:locked/>
    <w:rsid w:val="00252919"/>
    <w:rPr>
      <w:b/>
      <w:snapToGrid w:val="0"/>
      <w:kern w:val="28"/>
      <w:sz w:val="22"/>
    </w:rPr>
  </w:style>
  <w:style w:type="character" w:customStyle="1" w:styleId="Heading9Char">
    <w:name w:val="Heading 9 Char"/>
    <w:link w:val="Heading9"/>
    <w:locked/>
    <w:rsid w:val="00252919"/>
    <w:rPr>
      <w:b/>
      <w:snapToGrid w:val="0"/>
      <w:kern w:val="28"/>
      <w:sz w:val="22"/>
    </w:rPr>
  </w:style>
  <w:style w:type="paragraph" w:styleId="BalloonText">
    <w:name w:val="Balloon Text"/>
    <w:basedOn w:val="Normal"/>
    <w:link w:val="BalloonTextChar"/>
    <w:uiPriority w:val="99"/>
    <w:rsid w:val="00631171"/>
    <w:rPr>
      <w:rFonts w:ascii="Tahoma" w:hAnsi="Tahoma"/>
      <w:sz w:val="16"/>
      <w:szCs w:val="16"/>
      <w:lang w:eastAsia="ja-JP"/>
    </w:rPr>
  </w:style>
  <w:style w:type="character" w:customStyle="1" w:styleId="BalloonTextChar">
    <w:name w:val="Balloon Text Char"/>
    <w:link w:val="BalloonText"/>
    <w:uiPriority w:val="99"/>
    <w:locked/>
    <w:rsid w:val="00631171"/>
    <w:rPr>
      <w:rFonts w:ascii="Tahoma" w:hAnsi="Tahoma" w:cs="Times New Roman"/>
      <w:snapToGrid w:val="0"/>
      <w:kern w:val="28"/>
      <w:sz w:val="16"/>
    </w:rPr>
  </w:style>
  <w:style w:type="paragraph" w:customStyle="1" w:styleId="ParaNum0">
    <w:name w:val="ParaNum"/>
    <w:basedOn w:val="Normal"/>
    <w:link w:val="ParaNumChar"/>
    <w:rsid w:val="00A27E1D"/>
    <w:pPr>
      <w:numPr>
        <w:numId w:val="2"/>
      </w:numPr>
      <w:tabs>
        <w:tab w:val="clear" w:pos="1080"/>
        <w:tab w:val="num" w:pos="1440"/>
      </w:tabs>
      <w:spacing w:after="120"/>
    </w:pPr>
  </w:style>
  <w:style w:type="paragraph" w:styleId="EndnoteText">
    <w:name w:val="endnote text"/>
    <w:basedOn w:val="Normal"/>
    <w:link w:val="EndnoteTextChar"/>
    <w:semiHidden/>
    <w:rsid w:val="00A27E1D"/>
    <w:rPr>
      <w:sz w:val="20"/>
    </w:rPr>
  </w:style>
  <w:style w:type="character" w:customStyle="1" w:styleId="EndnoteTextChar">
    <w:name w:val="Endnote Text Char"/>
    <w:link w:val="EndnoteText"/>
    <w:semiHidden/>
    <w:locked/>
    <w:rsid w:val="00252919"/>
    <w:rPr>
      <w:snapToGrid w:val="0"/>
      <w:kern w:val="28"/>
    </w:rPr>
  </w:style>
  <w:style w:type="character" w:styleId="EndnoteReference">
    <w:name w:val="endnote reference"/>
    <w:semiHidden/>
    <w:rsid w:val="00A27E1D"/>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A27E1D"/>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01069"/>
  </w:style>
  <w:style w:type="character" w:styleId="FootnoteReference">
    <w:name w:val="footnote reference"/>
    <w:aliases w:val="Style 12,(NECG) Footnote Reference,Style 13,Appel note de bas de p,Style 124,fr,o,Style 3,FR,Style 17,Footnote Reference/,Style 6,Style 7"/>
    <w:rsid w:val="00A27E1D"/>
    <w:rPr>
      <w:rFonts w:ascii="Times New Roman" w:hAnsi="Times New Roman"/>
      <w:dstrike w:val="0"/>
      <w:color w:val="auto"/>
      <w:sz w:val="20"/>
      <w:vertAlign w:val="superscript"/>
    </w:rPr>
  </w:style>
  <w:style w:type="paragraph" w:styleId="TOC1">
    <w:name w:val="toc 1"/>
    <w:basedOn w:val="Normal"/>
    <w:next w:val="Normal"/>
    <w:rsid w:val="00A27E1D"/>
    <w:pPr>
      <w:tabs>
        <w:tab w:val="left" w:pos="360"/>
        <w:tab w:val="right" w:leader="dot" w:pos="9360"/>
      </w:tabs>
      <w:suppressAutoHyphens/>
      <w:ind w:left="360" w:right="720" w:hanging="360"/>
    </w:pPr>
    <w:rPr>
      <w:caps/>
      <w:noProof/>
    </w:rPr>
  </w:style>
  <w:style w:type="paragraph" w:styleId="TOC2">
    <w:name w:val="toc 2"/>
    <w:basedOn w:val="Normal"/>
    <w:next w:val="Normal"/>
    <w:rsid w:val="00A27E1D"/>
    <w:pPr>
      <w:tabs>
        <w:tab w:val="left" w:pos="720"/>
        <w:tab w:val="right" w:leader="dot" w:pos="9360"/>
      </w:tabs>
      <w:suppressAutoHyphens/>
      <w:ind w:left="720" w:right="720" w:hanging="360"/>
    </w:pPr>
    <w:rPr>
      <w:noProof/>
    </w:rPr>
  </w:style>
  <w:style w:type="paragraph" w:styleId="TOC3">
    <w:name w:val="toc 3"/>
    <w:basedOn w:val="Normal"/>
    <w:next w:val="Normal"/>
    <w:rsid w:val="00A27E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7E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7E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7E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7E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7E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7E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7E1D"/>
    <w:pPr>
      <w:tabs>
        <w:tab w:val="right" w:pos="9360"/>
      </w:tabs>
      <w:suppressAutoHyphens/>
    </w:pPr>
  </w:style>
  <w:style w:type="character" w:customStyle="1" w:styleId="EquationCaption">
    <w:name w:val="_Equation Caption"/>
    <w:rsid w:val="00A27E1D"/>
  </w:style>
  <w:style w:type="paragraph" w:styleId="Header">
    <w:name w:val="header"/>
    <w:basedOn w:val="Normal"/>
    <w:link w:val="HeaderChar"/>
    <w:autoRedefine/>
    <w:rsid w:val="00A27E1D"/>
    <w:pPr>
      <w:tabs>
        <w:tab w:val="center" w:pos="4680"/>
        <w:tab w:val="right" w:pos="9360"/>
      </w:tabs>
      <w:spacing w:before="40"/>
      <w:ind w:firstLine="1080"/>
    </w:pPr>
    <w:rPr>
      <w:rFonts w:ascii="News Gothic MT" w:hAnsi="News Gothic MT"/>
      <w:b/>
      <w:sz w:val="96"/>
    </w:rPr>
  </w:style>
  <w:style w:type="character" w:customStyle="1" w:styleId="HeaderChar">
    <w:name w:val="Header Char"/>
    <w:link w:val="Header"/>
    <w:locked/>
    <w:rsid w:val="003C357E"/>
    <w:rPr>
      <w:rFonts w:ascii="News Gothic MT" w:hAnsi="News Gothic MT"/>
      <w:b/>
      <w:snapToGrid w:val="0"/>
      <w:kern w:val="28"/>
      <w:sz w:val="96"/>
    </w:rPr>
  </w:style>
  <w:style w:type="paragraph" w:styleId="Footer">
    <w:name w:val="footer"/>
    <w:basedOn w:val="Normal"/>
    <w:link w:val="FooterChar"/>
    <w:rsid w:val="00A27E1D"/>
    <w:pPr>
      <w:tabs>
        <w:tab w:val="center" w:pos="4320"/>
        <w:tab w:val="right" w:pos="8640"/>
      </w:tabs>
    </w:pPr>
  </w:style>
  <w:style w:type="character" w:customStyle="1" w:styleId="FooterChar">
    <w:name w:val="Footer Char"/>
    <w:link w:val="Footer"/>
    <w:locked/>
    <w:rsid w:val="00252919"/>
    <w:rPr>
      <w:snapToGrid w:val="0"/>
      <w:kern w:val="28"/>
      <w:sz w:val="22"/>
    </w:rPr>
  </w:style>
  <w:style w:type="character" w:styleId="PageNumber">
    <w:name w:val="page number"/>
    <w:basedOn w:val="DefaultParagraphFont"/>
    <w:rsid w:val="00A27E1D"/>
  </w:style>
  <w:style w:type="paragraph" w:styleId="BlockText">
    <w:name w:val="Block Text"/>
    <w:basedOn w:val="Normal"/>
    <w:rsid w:val="00A27E1D"/>
    <w:pPr>
      <w:spacing w:after="240"/>
      <w:ind w:left="1440" w:right="1440"/>
    </w:pPr>
  </w:style>
  <w:style w:type="paragraph" w:customStyle="1" w:styleId="Paratitle">
    <w:name w:val="Para title"/>
    <w:basedOn w:val="Normal"/>
    <w:rsid w:val="00A27E1D"/>
    <w:pPr>
      <w:tabs>
        <w:tab w:val="center" w:pos="9270"/>
      </w:tabs>
      <w:spacing w:after="240"/>
    </w:pPr>
    <w:rPr>
      <w:spacing w:val="-2"/>
    </w:rPr>
  </w:style>
  <w:style w:type="paragraph" w:customStyle="1" w:styleId="Bullet">
    <w:name w:val="Bullet"/>
    <w:basedOn w:val="Normal"/>
    <w:rsid w:val="00A27E1D"/>
    <w:pPr>
      <w:tabs>
        <w:tab w:val="left" w:pos="2160"/>
      </w:tabs>
      <w:spacing w:after="220"/>
      <w:ind w:left="2160" w:hanging="720"/>
    </w:pPr>
  </w:style>
  <w:style w:type="paragraph" w:customStyle="1" w:styleId="TableFormat">
    <w:name w:val="TableFormat"/>
    <w:basedOn w:val="Bullet"/>
    <w:rsid w:val="00A27E1D"/>
    <w:pPr>
      <w:tabs>
        <w:tab w:val="clear" w:pos="2160"/>
        <w:tab w:val="left" w:pos="5040"/>
      </w:tabs>
      <w:ind w:left="5040" w:hanging="3600"/>
    </w:pPr>
  </w:style>
  <w:style w:type="paragraph" w:customStyle="1" w:styleId="TOCTitle">
    <w:name w:val="TOC Title"/>
    <w:basedOn w:val="Normal"/>
    <w:rsid w:val="00A27E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7E1D"/>
    <w:pPr>
      <w:jc w:val="center"/>
    </w:pPr>
    <w:rPr>
      <w:rFonts w:ascii="Times New Roman Bold" w:hAnsi="Times New Roman Bold"/>
      <w:b/>
      <w:bCs/>
      <w:caps/>
      <w:szCs w:val="22"/>
    </w:rPr>
  </w:style>
  <w:style w:type="character" w:styleId="Hyperlink">
    <w:name w:val="Hyperlink"/>
    <w:rsid w:val="00A27E1D"/>
    <w:rPr>
      <w:color w:val="0000FF"/>
      <w:u w:val="single"/>
    </w:rPr>
  </w:style>
  <w:style w:type="character" w:styleId="Emphasis">
    <w:name w:val="Emphasis"/>
    <w:uiPriority w:val="99"/>
    <w:qFormat/>
    <w:rsid w:val="00631171"/>
    <w:rPr>
      <w:rFonts w:cs="Times New Roman"/>
      <w:i/>
    </w:rPr>
  </w:style>
  <w:style w:type="character" w:customStyle="1" w:styleId="apple-converted-space">
    <w:name w:val="apple-converted-space"/>
    <w:rsid w:val="00631171"/>
    <w:rPr>
      <w:rFonts w:cs="Times New Roman"/>
    </w:rPr>
  </w:style>
  <w:style w:type="character" w:styleId="CommentReference">
    <w:name w:val="annotation reference"/>
    <w:uiPriority w:val="99"/>
    <w:rsid w:val="00631171"/>
    <w:rPr>
      <w:rFonts w:cs="Times New Roman"/>
      <w:sz w:val="16"/>
    </w:rPr>
  </w:style>
  <w:style w:type="paragraph" w:styleId="CommentText">
    <w:name w:val="annotation text"/>
    <w:basedOn w:val="Normal"/>
    <w:link w:val="CommentTextChar"/>
    <w:uiPriority w:val="99"/>
    <w:rsid w:val="00631171"/>
    <w:rPr>
      <w:sz w:val="20"/>
      <w:lang w:eastAsia="ja-JP"/>
    </w:rPr>
  </w:style>
  <w:style w:type="character" w:customStyle="1" w:styleId="CommentTextChar">
    <w:name w:val="Comment Text Char"/>
    <w:link w:val="CommentText"/>
    <w:uiPriority w:val="99"/>
    <w:locked/>
    <w:rsid w:val="00631171"/>
    <w:rPr>
      <w:rFonts w:cs="Times New Roman"/>
      <w:snapToGrid w:val="0"/>
      <w:kern w:val="28"/>
    </w:rPr>
  </w:style>
  <w:style w:type="paragraph" w:styleId="CommentSubject">
    <w:name w:val="annotation subject"/>
    <w:basedOn w:val="CommentText"/>
    <w:next w:val="CommentText"/>
    <w:link w:val="CommentSubjectChar"/>
    <w:uiPriority w:val="99"/>
    <w:rsid w:val="00631171"/>
    <w:rPr>
      <w:b/>
      <w:bCs/>
    </w:rPr>
  </w:style>
  <w:style w:type="character" w:customStyle="1" w:styleId="CommentSubjectChar">
    <w:name w:val="Comment Subject Char"/>
    <w:link w:val="CommentSubject"/>
    <w:uiPriority w:val="99"/>
    <w:locked/>
    <w:rsid w:val="00631171"/>
    <w:rPr>
      <w:rFonts w:cs="Times New Roman"/>
      <w:b/>
      <w:snapToGrid w:val="0"/>
      <w:kern w:val="28"/>
    </w:rPr>
  </w:style>
  <w:style w:type="character" w:styleId="FollowedHyperlink">
    <w:name w:val="FollowedHyperlink"/>
    <w:uiPriority w:val="99"/>
    <w:rsid w:val="00EE2438"/>
    <w:rPr>
      <w:rFonts w:cs="Times New Roman"/>
      <w:color w:val="800080"/>
      <w:u w:val="single"/>
    </w:rPr>
  </w:style>
  <w:style w:type="character" w:customStyle="1" w:styleId="ParaNumChar">
    <w:name w:val="ParaNum Char"/>
    <w:link w:val="ParaNum0"/>
    <w:locked/>
    <w:rsid w:val="00801069"/>
    <w:rPr>
      <w:snapToGrid w:val="0"/>
      <w:kern w:val="28"/>
      <w:sz w:val="22"/>
    </w:rPr>
  </w:style>
  <w:style w:type="character" w:styleId="Strong">
    <w:name w:val="Strong"/>
    <w:uiPriority w:val="99"/>
    <w:qFormat/>
    <w:rsid w:val="00801069"/>
    <w:rPr>
      <w:rFonts w:cs="Times New Roman"/>
      <w:b/>
    </w:rPr>
  </w:style>
  <w:style w:type="character" w:customStyle="1" w:styleId="ALTSFOOTNOTECharCharChar">
    <w:name w:val="ALTS FOOTNOTE Char Char Char"/>
    <w:aliases w:val="fn Char Char Char,Footnote Text Char1 Char Char Char,Footnote Text Char Char Char Char Char,ALTS FOOTNOTE Char Char Char Char Char,fn Char Char Char Char Char,f Char Char,Footnote text Char,FOOTNOTE Char,fn Cha Char"/>
    <w:uiPriority w:val="99"/>
    <w:locked/>
    <w:rsid w:val="00E43EE6"/>
    <w:rPr>
      <w:sz w:val="22"/>
      <w:lang w:val="en-US" w:eastAsia="en-US"/>
    </w:rPr>
  </w:style>
  <w:style w:type="paragraph" w:customStyle="1" w:styleId="paranum">
    <w:name w:val="paranum"/>
    <w:basedOn w:val="Normal"/>
    <w:uiPriority w:val="99"/>
    <w:rsid w:val="00E43EE6"/>
    <w:pPr>
      <w:widowControl/>
      <w:numPr>
        <w:numId w:val="12"/>
      </w:numPr>
      <w:tabs>
        <w:tab w:val="clear" w:pos="1080"/>
        <w:tab w:val="num" w:pos="720"/>
      </w:tabs>
      <w:spacing w:after="220"/>
      <w:ind w:left="720" w:hanging="720"/>
      <w:jc w:val="both"/>
    </w:pPr>
    <w:rPr>
      <w:kern w:val="0"/>
      <w:szCs w:val="22"/>
    </w:rPr>
  </w:style>
  <w:style w:type="paragraph" w:styleId="Revision">
    <w:name w:val="Revision"/>
    <w:hidden/>
    <w:uiPriority w:val="99"/>
    <w:semiHidden/>
    <w:rsid w:val="00977BEA"/>
    <w:rPr>
      <w:kern w:val="28"/>
      <w:sz w:val="22"/>
    </w:rPr>
  </w:style>
  <w:style w:type="character" w:customStyle="1" w:styleId="ParaNumCharChar1">
    <w:name w:val="ParaNum Char Char1"/>
    <w:uiPriority w:val="99"/>
    <w:locked/>
    <w:rsid w:val="003F2A21"/>
    <w:rPr>
      <w:sz w:val="22"/>
    </w:rPr>
  </w:style>
  <w:style w:type="paragraph" w:styleId="NormalWeb">
    <w:name w:val="Normal (Web)"/>
    <w:basedOn w:val="Normal"/>
    <w:uiPriority w:val="99"/>
    <w:semiHidden/>
    <w:unhideWhenUsed/>
    <w:locked/>
    <w:rsid w:val="00622500"/>
    <w:pPr>
      <w:widowControl/>
      <w:spacing w:before="100" w:beforeAutospacing="1" w:after="100" w:afterAutospacing="1"/>
    </w:pPr>
    <w:rPr>
      <w:kern w:val="0"/>
      <w:sz w:val="24"/>
      <w:szCs w:val="24"/>
    </w:rPr>
  </w:style>
  <w:style w:type="paragraph" w:styleId="ListParagraph">
    <w:name w:val="List Paragraph"/>
    <w:basedOn w:val="Normal"/>
    <w:uiPriority w:val="34"/>
    <w:qFormat/>
    <w:rsid w:val="008C7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semiHidden="0" w:uiPriority="0" w:unhideWhenUsed="0" w:qFormat="1"/>
    <w:lsdException w:name="heading 8" w:locked="0" w:semiHidden="0" w:uiPriority="0" w:unhideWhenUsed="0" w:qFormat="1"/>
    <w:lsdException w:name="heading 9" w:locked="0" w:semiHidden="0" w:uiPriority="0" w:unhideWhenUsed="0" w:qFormat="1"/>
    <w:lsdException w:name="toc 1" w:locked="0" w:semiHidden="0" w:uiPriority="0" w:unhideWhenUsed="0"/>
    <w:lsdException w:name="toc 2" w:locked="0" w:semiHidden="0" w:uiPriority="0" w:unhideWhenUsed="0"/>
    <w:lsdException w:name="toc 3" w:locked="0" w:semiHidden="0" w:uiPriority="0" w:unhideWhenUsed="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locked="0" w:uiPriority="0" w:qFormat="1"/>
    <w:lsdException w:name="footnote reference" w:uiPriority="0"/>
    <w:lsdException w:name="page number" w:uiPriority="0"/>
    <w:lsdException w:name="endnote reference" w:uiPriority="0"/>
    <w:lsdException w:name="endnote text" w:uiPriority="0"/>
    <w:lsdException w:name="toa heading" w:uiPriority="0"/>
    <w:lsdException w:name="Title" w:locked="0" w:semiHidden="0" w:uiPriority="0" w:unhideWhenUsed="0" w:qFormat="1"/>
    <w:lsdException w:name="Default Paragraph Font" w:locked="0" w:semiHidden="0" w:uiPriority="1" w:unhideWhenUsed="0"/>
    <w:lsdException w:name="Subtitle" w:locked="0" w:semiHidden="0" w:uiPriority="0" w:unhideWhenUsed="0" w:qFormat="1"/>
    <w:lsdException w:name="Block Text" w:uiPriority="0"/>
    <w:lsdException w:name="Hyperlink" w:uiPriority="0"/>
    <w:lsdException w:name="Strong" w:locked="0" w:semiHidden="0" w:unhideWhenUsed="0" w:qFormat="1"/>
    <w:lsdException w:name="Emphasis" w:locked="0" w:semiHidden="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7E1D"/>
    <w:pPr>
      <w:widowControl w:val="0"/>
    </w:pPr>
    <w:rPr>
      <w:snapToGrid w:val="0"/>
      <w:kern w:val="28"/>
      <w:sz w:val="22"/>
    </w:rPr>
  </w:style>
  <w:style w:type="paragraph" w:styleId="Heading1">
    <w:name w:val="heading 1"/>
    <w:basedOn w:val="Normal"/>
    <w:next w:val="ParaNum0"/>
    <w:link w:val="Heading1Char"/>
    <w:qFormat/>
    <w:rsid w:val="00A27E1D"/>
    <w:pPr>
      <w:keepNext/>
      <w:numPr>
        <w:numId w:val="30"/>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link w:val="Heading2Char"/>
    <w:autoRedefine/>
    <w:qFormat/>
    <w:rsid w:val="00A27E1D"/>
    <w:pPr>
      <w:keepNext/>
      <w:numPr>
        <w:ilvl w:val="1"/>
        <w:numId w:val="30"/>
      </w:numPr>
      <w:spacing w:after="120"/>
      <w:outlineLvl w:val="1"/>
    </w:pPr>
    <w:rPr>
      <w:b/>
    </w:rPr>
  </w:style>
  <w:style w:type="paragraph" w:styleId="Heading3">
    <w:name w:val="heading 3"/>
    <w:basedOn w:val="Normal"/>
    <w:next w:val="ParaNum0"/>
    <w:link w:val="Heading3Char"/>
    <w:qFormat/>
    <w:rsid w:val="00A27E1D"/>
    <w:pPr>
      <w:keepNext/>
      <w:numPr>
        <w:ilvl w:val="2"/>
        <w:numId w:val="30"/>
      </w:numPr>
      <w:tabs>
        <w:tab w:val="left" w:pos="2160"/>
      </w:tabs>
      <w:spacing w:after="120"/>
      <w:outlineLvl w:val="2"/>
    </w:pPr>
    <w:rPr>
      <w:b/>
    </w:rPr>
  </w:style>
  <w:style w:type="paragraph" w:styleId="Heading4">
    <w:name w:val="heading 4"/>
    <w:basedOn w:val="Normal"/>
    <w:next w:val="ParaNum0"/>
    <w:link w:val="Heading4Char"/>
    <w:qFormat/>
    <w:rsid w:val="00A27E1D"/>
    <w:pPr>
      <w:keepNext/>
      <w:numPr>
        <w:ilvl w:val="3"/>
        <w:numId w:val="30"/>
      </w:numPr>
      <w:tabs>
        <w:tab w:val="left" w:pos="2880"/>
      </w:tabs>
      <w:spacing w:after="120"/>
      <w:outlineLvl w:val="3"/>
    </w:pPr>
    <w:rPr>
      <w:b/>
    </w:rPr>
  </w:style>
  <w:style w:type="paragraph" w:styleId="Heading5">
    <w:name w:val="heading 5"/>
    <w:basedOn w:val="Normal"/>
    <w:next w:val="ParaNum0"/>
    <w:link w:val="Heading5Char"/>
    <w:qFormat/>
    <w:rsid w:val="00A27E1D"/>
    <w:pPr>
      <w:keepNext/>
      <w:numPr>
        <w:ilvl w:val="4"/>
        <w:numId w:val="30"/>
      </w:numPr>
      <w:tabs>
        <w:tab w:val="clear" w:pos="3960"/>
        <w:tab w:val="left" w:pos="3600"/>
      </w:tabs>
      <w:suppressAutoHyphens/>
      <w:spacing w:after="120"/>
      <w:outlineLvl w:val="4"/>
    </w:pPr>
    <w:rPr>
      <w:b/>
    </w:rPr>
  </w:style>
  <w:style w:type="paragraph" w:styleId="Heading6">
    <w:name w:val="heading 6"/>
    <w:basedOn w:val="Normal"/>
    <w:next w:val="ParaNum0"/>
    <w:link w:val="Heading6Char"/>
    <w:qFormat/>
    <w:rsid w:val="00A27E1D"/>
    <w:pPr>
      <w:numPr>
        <w:ilvl w:val="5"/>
        <w:numId w:val="30"/>
      </w:numPr>
      <w:tabs>
        <w:tab w:val="left" w:pos="4320"/>
      </w:tabs>
      <w:spacing w:after="120"/>
      <w:outlineLvl w:val="5"/>
    </w:pPr>
    <w:rPr>
      <w:b/>
    </w:rPr>
  </w:style>
  <w:style w:type="paragraph" w:styleId="Heading7">
    <w:name w:val="heading 7"/>
    <w:basedOn w:val="Normal"/>
    <w:next w:val="ParaNum0"/>
    <w:link w:val="Heading7Char"/>
    <w:qFormat/>
    <w:rsid w:val="00A27E1D"/>
    <w:pPr>
      <w:numPr>
        <w:ilvl w:val="7"/>
        <w:numId w:val="30"/>
      </w:numPr>
      <w:tabs>
        <w:tab w:val="clear" w:pos="5400"/>
        <w:tab w:val="left" w:pos="5040"/>
      </w:tabs>
      <w:spacing w:after="120"/>
      <w:ind w:hanging="720"/>
      <w:outlineLvl w:val="6"/>
    </w:pPr>
    <w:rPr>
      <w:b/>
    </w:rPr>
  </w:style>
  <w:style w:type="paragraph" w:styleId="Heading8">
    <w:name w:val="heading 8"/>
    <w:basedOn w:val="Normal"/>
    <w:next w:val="ParaNum0"/>
    <w:link w:val="Heading8Char"/>
    <w:qFormat/>
    <w:rsid w:val="00A27E1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link w:val="Heading9Char"/>
    <w:qFormat/>
    <w:rsid w:val="00A27E1D"/>
    <w:pPr>
      <w:numPr>
        <w:ilvl w:val="8"/>
        <w:numId w:val="30"/>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A27E1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E1D"/>
  </w:style>
  <w:style w:type="character" w:customStyle="1" w:styleId="Heading1Char">
    <w:name w:val="Heading 1 Char"/>
    <w:link w:val="Heading1"/>
    <w:locked/>
    <w:rsid w:val="00252919"/>
    <w:rPr>
      <w:rFonts w:ascii="Times New Roman Bold" w:hAnsi="Times New Roman Bold"/>
      <w:b/>
      <w:caps/>
      <w:snapToGrid w:val="0"/>
      <w:kern w:val="28"/>
      <w:sz w:val="22"/>
    </w:rPr>
  </w:style>
  <w:style w:type="character" w:customStyle="1" w:styleId="Heading2Char">
    <w:name w:val="Heading 2 Char"/>
    <w:link w:val="Heading2"/>
    <w:locked/>
    <w:rsid w:val="00252919"/>
    <w:rPr>
      <w:b/>
      <w:snapToGrid w:val="0"/>
      <w:kern w:val="28"/>
      <w:sz w:val="22"/>
    </w:rPr>
  </w:style>
  <w:style w:type="character" w:customStyle="1" w:styleId="Heading3Char">
    <w:name w:val="Heading 3 Char"/>
    <w:link w:val="Heading3"/>
    <w:locked/>
    <w:rsid w:val="00252919"/>
    <w:rPr>
      <w:b/>
      <w:snapToGrid w:val="0"/>
      <w:kern w:val="28"/>
      <w:sz w:val="22"/>
    </w:rPr>
  </w:style>
  <w:style w:type="character" w:customStyle="1" w:styleId="Heading4Char">
    <w:name w:val="Heading 4 Char"/>
    <w:link w:val="Heading4"/>
    <w:locked/>
    <w:rsid w:val="00252919"/>
    <w:rPr>
      <w:b/>
      <w:snapToGrid w:val="0"/>
      <w:kern w:val="28"/>
      <w:sz w:val="22"/>
    </w:rPr>
  </w:style>
  <w:style w:type="character" w:customStyle="1" w:styleId="Heading5Char">
    <w:name w:val="Heading 5 Char"/>
    <w:link w:val="Heading5"/>
    <w:locked/>
    <w:rsid w:val="00252919"/>
    <w:rPr>
      <w:b/>
      <w:snapToGrid w:val="0"/>
      <w:kern w:val="28"/>
      <w:sz w:val="22"/>
    </w:rPr>
  </w:style>
  <w:style w:type="character" w:customStyle="1" w:styleId="Heading6Char">
    <w:name w:val="Heading 6 Char"/>
    <w:link w:val="Heading6"/>
    <w:locked/>
    <w:rsid w:val="00252919"/>
    <w:rPr>
      <w:b/>
      <w:snapToGrid w:val="0"/>
      <w:kern w:val="28"/>
      <w:sz w:val="22"/>
    </w:rPr>
  </w:style>
  <w:style w:type="character" w:customStyle="1" w:styleId="Heading7Char">
    <w:name w:val="Heading 7 Char"/>
    <w:link w:val="Heading7"/>
    <w:locked/>
    <w:rsid w:val="00252919"/>
    <w:rPr>
      <w:b/>
      <w:snapToGrid w:val="0"/>
      <w:kern w:val="28"/>
      <w:sz w:val="22"/>
    </w:rPr>
  </w:style>
  <w:style w:type="character" w:customStyle="1" w:styleId="Heading8Char">
    <w:name w:val="Heading 8 Char"/>
    <w:link w:val="Heading8"/>
    <w:locked/>
    <w:rsid w:val="00252919"/>
    <w:rPr>
      <w:b/>
      <w:snapToGrid w:val="0"/>
      <w:kern w:val="28"/>
      <w:sz w:val="22"/>
    </w:rPr>
  </w:style>
  <w:style w:type="character" w:customStyle="1" w:styleId="Heading9Char">
    <w:name w:val="Heading 9 Char"/>
    <w:link w:val="Heading9"/>
    <w:locked/>
    <w:rsid w:val="00252919"/>
    <w:rPr>
      <w:b/>
      <w:snapToGrid w:val="0"/>
      <w:kern w:val="28"/>
      <w:sz w:val="22"/>
    </w:rPr>
  </w:style>
  <w:style w:type="paragraph" w:styleId="BalloonText">
    <w:name w:val="Balloon Text"/>
    <w:basedOn w:val="Normal"/>
    <w:link w:val="BalloonTextChar"/>
    <w:uiPriority w:val="99"/>
    <w:rsid w:val="00631171"/>
    <w:rPr>
      <w:rFonts w:ascii="Tahoma" w:hAnsi="Tahoma"/>
      <w:sz w:val="16"/>
      <w:szCs w:val="16"/>
      <w:lang w:eastAsia="ja-JP"/>
    </w:rPr>
  </w:style>
  <w:style w:type="character" w:customStyle="1" w:styleId="BalloonTextChar">
    <w:name w:val="Balloon Text Char"/>
    <w:link w:val="BalloonText"/>
    <w:uiPriority w:val="99"/>
    <w:locked/>
    <w:rsid w:val="00631171"/>
    <w:rPr>
      <w:rFonts w:ascii="Tahoma" w:hAnsi="Tahoma" w:cs="Times New Roman"/>
      <w:snapToGrid w:val="0"/>
      <w:kern w:val="28"/>
      <w:sz w:val="16"/>
    </w:rPr>
  </w:style>
  <w:style w:type="paragraph" w:customStyle="1" w:styleId="ParaNum0">
    <w:name w:val="ParaNum"/>
    <w:basedOn w:val="Normal"/>
    <w:link w:val="ParaNumChar"/>
    <w:rsid w:val="00A27E1D"/>
    <w:pPr>
      <w:numPr>
        <w:numId w:val="2"/>
      </w:numPr>
      <w:tabs>
        <w:tab w:val="clear" w:pos="1080"/>
        <w:tab w:val="num" w:pos="1440"/>
      </w:tabs>
      <w:spacing w:after="120"/>
    </w:pPr>
  </w:style>
  <w:style w:type="paragraph" w:styleId="EndnoteText">
    <w:name w:val="endnote text"/>
    <w:basedOn w:val="Normal"/>
    <w:link w:val="EndnoteTextChar"/>
    <w:semiHidden/>
    <w:rsid w:val="00A27E1D"/>
    <w:rPr>
      <w:sz w:val="20"/>
    </w:rPr>
  </w:style>
  <w:style w:type="character" w:customStyle="1" w:styleId="EndnoteTextChar">
    <w:name w:val="Endnote Text Char"/>
    <w:link w:val="EndnoteText"/>
    <w:semiHidden/>
    <w:locked/>
    <w:rsid w:val="00252919"/>
    <w:rPr>
      <w:snapToGrid w:val="0"/>
      <w:kern w:val="28"/>
    </w:rPr>
  </w:style>
  <w:style w:type="character" w:styleId="EndnoteReference">
    <w:name w:val="endnote reference"/>
    <w:semiHidden/>
    <w:rsid w:val="00A27E1D"/>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A27E1D"/>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801069"/>
  </w:style>
  <w:style w:type="character" w:styleId="FootnoteReference">
    <w:name w:val="footnote reference"/>
    <w:aliases w:val="Style 12,(NECG) Footnote Reference,Style 13,Appel note de bas de p,Style 124,fr,o,Style 3,FR,Style 17,Footnote Reference/,Style 6,Style 7"/>
    <w:rsid w:val="00A27E1D"/>
    <w:rPr>
      <w:rFonts w:ascii="Times New Roman" w:hAnsi="Times New Roman"/>
      <w:dstrike w:val="0"/>
      <w:color w:val="auto"/>
      <w:sz w:val="20"/>
      <w:vertAlign w:val="superscript"/>
    </w:rPr>
  </w:style>
  <w:style w:type="paragraph" w:styleId="TOC1">
    <w:name w:val="toc 1"/>
    <w:basedOn w:val="Normal"/>
    <w:next w:val="Normal"/>
    <w:rsid w:val="00A27E1D"/>
    <w:pPr>
      <w:tabs>
        <w:tab w:val="left" w:pos="360"/>
        <w:tab w:val="right" w:leader="dot" w:pos="9360"/>
      </w:tabs>
      <w:suppressAutoHyphens/>
      <w:ind w:left="360" w:right="720" w:hanging="360"/>
    </w:pPr>
    <w:rPr>
      <w:caps/>
      <w:noProof/>
    </w:rPr>
  </w:style>
  <w:style w:type="paragraph" w:styleId="TOC2">
    <w:name w:val="toc 2"/>
    <w:basedOn w:val="Normal"/>
    <w:next w:val="Normal"/>
    <w:rsid w:val="00A27E1D"/>
    <w:pPr>
      <w:tabs>
        <w:tab w:val="left" w:pos="720"/>
        <w:tab w:val="right" w:leader="dot" w:pos="9360"/>
      </w:tabs>
      <w:suppressAutoHyphens/>
      <w:ind w:left="720" w:right="720" w:hanging="360"/>
    </w:pPr>
    <w:rPr>
      <w:noProof/>
    </w:rPr>
  </w:style>
  <w:style w:type="paragraph" w:styleId="TOC3">
    <w:name w:val="toc 3"/>
    <w:basedOn w:val="Normal"/>
    <w:next w:val="Normal"/>
    <w:rsid w:val="00A27E1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27E1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27E1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27E1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27E1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27E1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27E1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27E1D"/>
    <w:pPr>
      <w:tabs>
        <w:tab w:val="right" w:pos="9360"/>
      </w:tabs>
      <w:suppressAutoHyphens/>
    </w:pPr>
  </w:style>
  <w:style w:type="character" w:customStyle="1" w:styleId="EquationCaption">
    <w:name w:val="_Equation Caption"/>
    <w:rsid w:val="00A27E1D"/>
  </w:style>
  <w:style w:type="paragraph" w:styleId="Header">
    <w:name w:val="header"/>
    <w:basedOn w:val="Normal"/>
    <w:link w:val="HeaderChar"/>
    <w:autoRedefine/>
    <w:rsid w:val="00A27E1D"/>
    <w:pPr>
      <w:tabs>
        <w:tab w:val="center" w:pos="4680"/>
        <w:tab w:val="right" w:pos="9360"/>
      </w:tabs>
      <w:spacing w:before="40"/>
      <w:ind w:firstLine="1080"/>
    </w:pPr>
    <w:rPr>
      <w:rFonts w:ascii="News Gothic MT" w:hAnsi="News Gothic MT"/>
      <w:b/>
      <w:sz w:val="96"/>
    </w:rPr>
  </w:style>
  <w:style w:type="character" w:customStyle="1" w:styleId="HeaderChar">
    <w:name w:val="Header Char"/>
    <w:link w:val="Header"/>
    <w:locked/>
    <w:rsid w:val="003C357E"/>
    <w:rPr>
      <w:rFonts w:ascii="News Gothic MT" w:hAnsi="News Gothic MT"/>
      <w:b/>
      <w:snapToGrid w:val="0"/>
      <w:kern w:val="28"/>
      <w:sz w:val="96"/>
    </w:rPr>
  </w:style>
  <w:style w:type="paragraph" w:styleId="Footer">
    <w:name w:val="footer"/>
    <w:basedOn w:val="Normal"/>
    <w:link w:val="FooterChar"/>
    <w:rsid w:val="00A27E1D"/>
    <w:pPr>
      <w:tabs>
        <w:tab w:val="center" w:pos="4320"/>
        <w:tab w:val="right" w:pos="8640"/>
      </w:tabs>
    </w:pPr>
  </w:style>
  <w:style w:type="character" w:customStyle="1" w:styleId="FooterChar">
    <w:name w:val="Footer Char"/>
    <w:link w:val="Footer"/>
    <w:locked/>
    <w:rsid w:val="00252919"/>
    <w:rPr>
      <w:snapToGrid w:val="0"/>
      <w:kern w:val="28"/>
      <w:sz w:val="22"/>
    </w:rPr>
  </w:style>
  <w:style w:type="character" w:styleId="PageNumber">
    <w:name w:val="page number"/>
    <w:basedOn w:val="DefaultParagraphFont"/>
    <w:rsid w:val="00A27E1D"/>
  </w:style>
  <w:style w:type="paragraph" w:styleId="BlockText">
    <w:name w:val="Block Text"/>
    <w:basedOn w:val="Normal"/>
    <w:rsid w:val="00A27E1D"/>
    <w:pPr>
      <w:spacing w:after="240"/>
      <w:ind w:left="1440" w:right="1440"/>
    </w:pPr>
  </w:style>
  <w:style w:type="paragraph" w:customStyle="1" w:styleId="Paratitle">
    <w:name w:val="Para title"/>
    <w:basedOn w:val="Normal"/>
    <w:rsid w:val="00A27E1D"/>
    <w:pPr>
      <w:tabs>
        <w:tab w:val="center" w:pos="9270"/>
      </w:tabs>
      <w:spacing w:after="240"/>
    </w:pPr>
    <w:rPr>
      <w:spacing w:val="-2"/>
    </w:rPr>
  </w:style>
  <w:style w:type="paragraph" w:customStyle="1" w:styleId="Bullet">
    <w:name w:val="Bullet"/>
    <w:basedOn w:val="Normal"/>
    <w:rsid w:val="00A27E1D"/>
    <w:pPr>
      <w:tabs>
        <w:tab w:val="left" w:pos="2160"/>
      </w:tabs>
      <w:spacing w:after="220"/>
      <w:ind w:left="2160" w:hanging="720"/>
    </w:pPr>
  </w:style>
  <w:style w:type="paragraph" w:customStyle="1" w:styleId="TableFormat">
    <w:name w:val="TableFormat"/>
    <w:basedOn w:val="Bullet"/>
    <w:rsid w:val="00A27E1D"/>
    <w:pPr>
      <w:tabs>
        <w:tab w:val="clear" w:pos="2160"/>
        <w:tab w:val="left" w:pos="5040"/>
      </w:tabs>
      <w:ind w:left="5040" w:hanging="3600"/>
    </w:pPr>
  </w:style>
  <w:style w:type="paragraph" w:customStyle="1" w:styleId="TOCTitle">
    <w:name w:val="TOC Title"/>
    <w:basedOn w:val="Normal"/>
    <w:rsid w:val="00A27E1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27E1D"/>
    <w:pPr>
      <w:jc w:val="center"/>
    </w:pPr>
    <w:rPr>
      <w:rFonts w:ascii="Times New Roman Bold" w:hAnsi="Times New Roman Bold"/>
      <w:b/>
      <w:bCs/>
      <w:caps/>
      <w:szCs w:val="22"/>
    </w:rPr>
  </w:style>
  <w:style w:type="character" w:styleId="Hyperlink">
    <w:name w:val="Hyperlink"/>
    <w:rsid w:val="00A27E1D"/>
    <w:rPr>
      <w:color w:val="0000FF"/>
      <w:u w:val="single"/>
    </w:rPr>
  </w:style>
  <w:style w:type="character" w:styleId="Emphasis">
    <w:name w:val="Emphasis"/>
    <w:uiPriority w:val="99"/>
    <w:qFormat/>
    <w:rsid w:val="00631171"/>
    <w:rPr>
      <w:rFonts w:cs="Times New Roman"/>
      <w:i/>
    </w:rPr>
  </w:style>
  <w:style w:type="character" w:customStyle="1" w:styleId="apple-converted-space">
    <w:name w:val="apple-converted-space"/>
    <w:rsid w:val="00631171"/>
    <w:rPr>
      <w:rFonts w:cs="Times New Roman"/>
    </w:rPr>
  </w:style>
  <w:style w:type="character" w:styleId="CommentReference">
    <w:name w:val="annotation reference"/>
    <w:uiPriority w:val="99"/>
    <w:rsid w:val="00631171"/>
    <w:rPr>
      <w:rFonts w:cs="Times New Roman"/>
      <w:sz w:val="16"/>
    </w:rPr>
  </w:style>
  <w:style w:type="paragraph" w:styleId="CommentText">
    <w:name w:val="annotation text"/>
    <w:basedOn w:val="Normal"/>
    <w:link w:val="CommentTextChar"/>
    <w:uiPriority w:val="99"/>
    <w:rsid w:val="00631171"/>
    <w:rPr>
      <w:sz w:val="20"/>
      <w:lang w:eastAsia="ja-JP"/>
    </w:rPr>
  </w:style>
  <w:style w:type="character" w:customStyle="1" w:styleId="CommentTextChar">
    <w:name w:val="Comment Text Char"/>
    <w:link w:val="CommentText"/>
    <w:uiPriority w:val="99"/>
    <w:locked/>
    <w:rsid w:val="00631171"/>
    <w:rPr>
      <w:rFonts w:cs="Times New Roman"/>
      <w:snapToGrid w:val="0"/>
      <w:kern w:val="28"/>
    </w:rPr>
  </w:style>
  <w:style w:type="paragraph" w:styleId="CommentSubject">
    <w:name w:val="annotation subject"/>
    <w:basedOn w:val="CommentText"/>
    <w:next w:val="CommentText"/>
    <w:link w:val="CommentSubjectChar"/>
    <w:uiPriority w:val="99"/>
    <w:rsid w:val="00631171"/>
    <w:rPr>
      <w:b/>
      <w:bCs/>
    </w:rPr>
  </w:style>
  <w:style w:type="character" w:customStyle="1" w:styleId="CommentSubjectChar">
    <w:name w:val="Comment Subject Char"/>
    <w:link w:val="CommentSubject"/>
    <w:uiPriority w:val="99"/>
    <w:locked/>
    <w:rsid w:val="00631171"/>
    <w:rPr>
      <w:rFonts w:cs="Times New Roman"/>
      <w:b/>
      <w:snapToGrid w:val="0"/>
      <w:kern w:val="28"/>
    </w:rPr>
  </w:style>
  <w:style w:type="character" w:styleId="FollowedHyperlink">
    <w:name w:val="FollowedHyperlink"/>
    <w:uiPriority w:val="99"/>
    <w:rsid w:val="00EE2438"/>
    <w:rPr>
      <w:rFonts w:cs="Times New Roman"/>
      <w:color w:val="800080"/>
      <w:u w:val="single"/>
    </w:rPr>
  </w:style>
  <w:style w:type="character" w:customStyle="1" w:styleId="ParaNumChar">
    <w:name w:val="ParaNum Char"/>
    <w:link w:val="ParaNum0"/>
    <w:locked/>
    <w:rsid w:val="00801069"/>
    <w:rPr>
      <w:snapToGrid w:val="0"/>
      <w:kern w:val="28"/>
      <w:sz w:val="22"/>
    </w:rPr>
  </w:style>
  <w:style w:type="character" w:styleId="Strong">
    <w:name w:val="Strong"/>
    <w:uiPriority w:val="99"/>
    <w:qFormat/>
    <w:rsid w:val="00801069"/>
    <w:rPr>
      <w:rFonts w:cs="Times New Roman"/>
      <w:b/>
    </w:rPr>
  </w:style>
  <w:style w:type="character" w:customStyle="1" w:styleId="ALTSFOOTNOTECharCharChar">
    <w:name w:val="ALTS FOOTNOTE Char Char Char"/>
    <w:aliases w:val="fn Char Char Char,Footnote Text Char1 Char Char Char,Footnote Text Char Char Char Char Char,ALTS FOOTNOTE Char Char Char Char Char,fn Char Char Char Char Char,f Char Char,Footnote text Char,FOOTNOTE Char,fn Cha Char"/>
    <w:uiPriority w:val="99"/>
    <w:locked/>
    <w:rsid w:val="00E43EE6"/>
    <w:rPr>
      <w:sz w:val="22"/>
      <w:lang w:val="en-US" w:eastAsia="en-US"/>
    </w:rPr>
  </w:style>
  <w:style w:type="paragraph" w:customStyle="1" w:styleId="paranum">
    <w:name w:val="paranum"/>
    <w:basedOn w:val="Normal"/>
    <w:uiPriority w:val="99"/>
    <w:rsid w:val="00E43EE6"/>
    <w:pPr>
      <w:widowControl/>
      <w:numPr>
        <w:numId w:val="12"/>
      </w:numPr>
      <w:tabs>
        <w:tab w:val="clear" w:pos="1080"/>
        <w:tab w:val="num" w:pos="720"/>
      </w:tabs>
      <w:spacing w:after="220"/>
      <w:ind w:left="720" w:hanging="720"/>
      <w:jc w:val="both"/>
    </w:pPr>
    <w:rPr>
      <w:kern w:val="0"/>
      <w:szCs w:val="22"/>
    </w:rPr>
  </w:style>
  <w:style w:type="paragraph" w:styleId="Revision">
    <w:name w:val="Revision"/>
    <w:hidden/>
    <w:uiPriority w:val="99"/>
    <w:semiHidden/>
    <w:rsid w:val="00977BEA"/>
    <w:rPr>
      <w:kern w:val="28"/>
      <w:sz w:val="22"/>
    </w:rPr>
  </w:style>
  <w:style w:type="character" w:customStyle="1" w:styleId="ParaNumCharChar1">
    <w:name w:val="ParaNum Char Char1"/>
    <w:uiPriority w:val="99"/>
    <w:locked/>
    <w:rsid w:val="003F2A21"/>
    <w:rPr>
      <w:sz w:val="22"/>
    </w:rPr>
  </w:style>
  <w:style w:type="paragraph" w:styleId="NormalWeb">
    <w:name w:val="Normal (Web)"/>
    <w:basedOn w:val="Normal"/>
    <w:uiPriority w:val="99"/>
    <w:semiHidden/>
    <w:unhideWhenUsed/>
    <w:locked/>
    <w:rsid w:val="00622500"/>
    <w:pPr>
      <w:widowControl/>
      <w:spacing w:before="100" w:beforeAutospacing="1" w:after="100" w:afterAutospacing="1"/>
    </w:pPr>
    <w:rPr>
      <w:kern w:val="0"/>
      <w:sz w:val="24"/>
      <w:szCs w:val="24"/>
    </w:rPr>
  </w:style>
  <w:style w:type="paragraph" w:styleId="ListParagraph">
    <w:name w:val="List Paragraph"/>
    <w:basedOn w:val="Normal"/>
    <w:uiPriority w:val="34"/>
    <w:qFormat/>
    <w:rsid w:val="008C7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17424">
      <w:bodyDiv w:val="1"/>
      <w:marLeft w:val="0"/>
      <w:marRight w:val="0"/>
      <w:marTop w:val="0"/>
      <w:marBottom w:val="0"/>
      <w:divBdr>
        <w:top w:val="none" w:sz="0" w:space="0" w:color="auto"/>
        <w:left w:val="none" w:sz="0" w:space="0" w:color="auto"/>
        <w:bottom w:val="none" w:sz="0" w:space="0" w:color="auto"/>
        <w:right w:val="none" w:sz="0" w:space="0" w:color="auto"/>
      </w:divBdr>
      <w:divsChild>
        <w:div w:id="64618909">
          <w:marLeft w:val="0"/>
          <w:marRight w:val="0"/>
          <w:marTop w:val="0"/>
          <w:marBottom w:val="0"/>
          <w:divBdr>
            <w:top w:val="none" w:sz="0" w:space="0" w:color="auto"/>
            <w:left w:val="none" w:sz="0" w:space="0" w:color="auto"/>
            <w:bottom w:val="none" w:sz="0" w:space="0" w:color="auto"/>
            <w:right w:val="none" w:sz="0" w:space="0" w:color="auto"/>
          </w:divBdr>
        </w:div>
        <w:div w:id="81144434">
          <w:marLeft w:val="0"/>
          <w:marRight w:val="0"/>
          <w:marTop w:val="0"/>
          <w:marBottom w:val="0"/>
          <w:divBdr>
            <w:top w:val="none" w:sz="0" w:space="0" w:color="auto"/>
            <w:left w:val="none" w:sz="0" w:space="0" w:color="auto"/>
            <w:bottom w:val="none" w:sz="0" w:space="0" w:color="auto"/>
            <w:right w:val="none" w:sz="0" w:space="0" w:color="auto"/>
          </w:divBdr>
        </w:div>
        <w:div w:id="323944521">
          <w:marLeft w:val="0"/>
          <w:marRight w:val="0"/>
          <w:marTop w:val="0"/>
          <w:marBottom w:val="0"/>
          <w:divBdr>
            <w:top w:val="none" w:sz="0" w:space="0" w:color="auto"/>
            <w:left w:val="none" w:sz="0" w:space="0" w:color="auto"/>
            <w:bottom w:val="none" w:sz="0" w:space="0" w:color="auto"/>
            <w:right w:val="none" w:sz="0" w:space="0" w:color="auto"/>
          </w:divBdr>
        </w:div>
        <w:div w:id="618072964">
          <w:marLeft w:val="0"/>
          <w:marRight w:val="0"/>
          <w:marTop w:val="0"/>
          <w:marBottom w:val="0"/>
          <w:divBdr>
            <w:top w:val="none" w:sz="0" w:space="0" w:color="auto"/>
            <w:left w:val="none" w:sz="0" w:space="0" w:color="auto"/>
            <w:bottom w:val="none" w:sz="0" w:space="0" w:color="auto"/>
            <w:right w:val="none" w:sz="0" w:space="0" w:color="auto"/>
          </w:divBdr>
        </w:div>
        <w:div w:id="624428545">
          <w:marLeft w:val="0"/>
          <w:marRight w:val="0"/>
          <w:marTop w:val="0"/>
          <w:marBottom w:val="0"/>
          <w:divBdr>
            <w:top w:val="none" w:sz="0" w:space="0" w:color="auto"/>
            <w:left w:val="none" w:sz="0" w:space="0" w:color="auto"/>
            <w:bottom w:val="none" w:sz="0" w:space="0" w:color="auto"/>
            <w:right w:val="none" w:sz="0" w:space="0" w:color="auto"/>
          </w:divBdr>
        </w:div>
        <w:div w:id="644167452">
          <w:marLeft w:val="0"/>
          <w:marRight w:val="0"/>
          <w:marTop w:val="0"/>
          <w:marBottom w:val="0"/>
          <w:divBdr>
            <w:top w:val="none" w:sz="0" w:space="0" w:color="auto"/>
            <w:left w:val="none" w:sz="0" w:space="0" w:color="auto"/>
            <w:bottom w:val="none" w:sz="0" w:space="0" w:color="auto"/>
            <w:right w:val="none" w:sz="0" w:space="0" w:color="auto"/>
          </w:divBdr>
        </w:div>
        <w:div w:id="758986958">
          <w:marLeft w:val="0"/>
          <w:marRight w:val="0"/>
          <w:marTop w:val="0"/>
          <w:marBottom w:val="0"/>
          <w:divBdr>
            <w:top w:val="none" w:sz="0" w:space="0" w:color="auto"/>
            <w:left w:val="none" w:sz="0" w:space="0" w:color="auto"/>
            <w:bottom w:val="none" w:sz="0" w:space="0" w:color="auto"/>
            <w:right w:val="none" w:sz="0" w:space="0" w:color="auto"/>
          </w:divBdr>
        </w:div>
        <w:div w:id="948202910">
          <w:marLeft w:val="0"/>
          <w:marRight w:val="0"/>
          <w:marTop w:val="0"/>
          <w:marBottom w:val="0"/>
          <w:divBdr>
            <w:top w:val="none" w:sz="0" w:space="0" w:color="auto"/>
            <w:left w:val="none" w:sz="0" w:space="0" w:color="auto"/>
            <w:bottom w:val="none" w:sz="0" w:space="0" w:color="auto"/>
            <w:right w:val="none" w:sz="0" w:space="0" w:color="auto"/>
          </w:divBdr>
        </w:div>
        <w:div w:id="1014578323">
          <w:marLeft w:val="0"/>
          <w:marRight w:val="0"/>
          <w:marTop w:val="0"/>
          <w:marBottom w:val="0"/>
          <w:divBdr>
            <w:top w:val="none" w:sz="0" w:space="0" w:color="auto"/>
            <w:left w:val="none" w:sz="0" w:space="0" w:color="auto"/>
            <w:bottom w:val="none" w:sz="0" w:space="0" w:color="auto"/>
            <w:right w:val="none" w:sz="0" w:space="0" w:color="auto"/>
          </w:divBdr>
        </w:div>
        <w:div w:id="1040134717">
          <w:marLeft w:val="0"/>
          <w:marRight w:val="0"/>
          <w:marTop w:val="0"/>
          <w:marBottom w:val="0"/>
          <w:divBdr>
            <w:top w:val="none" w:sz="0" w:space="0" w:color="auto"/>
            <w:left w:val="none" w:sz="0" w:space="0" w:color="auto"/>
            <w:bottom w:val="none" w:sz="0" w:space="0" w:color="auto"/>
            <w:right w:val="none" w:sz="0" w:space="0" w:color="auto"/>
          </w:divBdr>
        </w:div>
        <w:div w:id="1062020150">
          <w:marLeft w:val="0"/>
          <w:marRight w:val="0"/>
          <w:marTop w:val="0"/>
          <w:marBottom w:val="0"/>
          <w:divBdr>
            <w:top w:val="none" w:sz="0" w:space="0" w:color="auto"/>
            <w:left w:val="none" w:sz="0" w:space="0" w:color="auto"/>
            <w:bottom w:val="none" w:sz="0" w:space="0" w:color="auto"/>
            <w:right w:val="none" w:sz="0" w:space="0" w:color="auto"/>
          </w:divBdr>
        </w:div>
        <w:div w:id="1268387442">
          <w:marLeft w:val="0"/>
          <w:marRight w:val="0"/>
          <w:marTop w:val="0"/>
          <w:marBottom w:val="0"/>
          <w:divBdr>
            <w:top w:val="none" w:sz="0" w:space="0" w:color="auto"/>
            <w:left w:val="none" w:sz="0" w:space="0" w:color="auto"/>
            <w:bottom w:val="none" w:sz="0" w:space="0" w:color="auto"/>
            <w:right w:val="none" w:sz="0" w:space="0" w:color="auto"/>
          </w:divBdr>
        </w:div>
        <w:div w:id="1293946768">
          <w:marLeft w:val="0"/>
          <w:marRight w:val="0"/>
          <w:marTop w:val="0"/>
          <w:marBottom w:val="0"/>
          <w:divBdr>
            <w:top w:val="none" w:sz="0" w:space="0" w:color="auto"/>
            <w:left w:val="none" w:sz="0" w:space="0" w:color="auto"/>
            <w:bottom w:val="none" w:sz="0" w:space="0" w:color="auto"/>
            <w:right w:val="none" w:sz="0" w:space="0" w:color="auto"/>
          </w:divBdr>
        </w:div>
        <w:div w:id="1357732076">
          <w:marLeft w:val="0"/>
          <w:marRight w:val="0"/>
          <w:marTop w:val="0"/>
          <w:marBottom w:val="0"/>
          <w:divBdr>
            <w:top w:val="none" w:sz="0" w:space="0" w:color="auto"/>
            <w:left w:val="none" w:sz="0" w:space="0" w:color="auto"/>
            <w:bottom w:val="none" w:sz="0" w:space="0" w:color="auto"/>
            <w:right w:val="none" w:sz="0" w:space="0" w:color="auto"/>
          </w:divBdr>
        </w:div>
        <w:div w:id="1558515036">
          <w:marLeft w:val="0"/>
          <w:marRight w:val="0"/>
          <w:marTop w:val="0"/>
          <w:marBottom w:val="0"/>
          <w:divBdr>
            <w:top w:val="none" w:sz="0" w:space="0" w:color="auto"/>
            <w:left w:val="none" w:sz="0" w:space="0" w:color="auto"/>
            <w:bottom w:val="none" w:sz="0" w:space="0" w:color="auto"/>
            <w:right w:val="none" w:sz="0" w:space="0" w:color="auto"/>
          </w:divBdr>
        </w:div>
        <w:div w:id="1615744334">
          <w:marLeft w:val="0"/>
          <w:marRight w:val="0"/>
          <w:marTop w:val="0"/>
          <w:marBottom w:val="0"/>
          <w:divBdr>
            <w:top w:val="none" w:sz="0" w:space="0" w:color="auto"/>
            <w:left w:val="none" w:sz="0" w:space="0" w:color="auto"/>
            <w:bottom w:val="none" w:sz="0" w:space="0" w:color="auto"/>
            <w:right w:val="none" w:sz="0" w:space="0" w:color="auto"/>
          </w:divBdr>
        </w:div>
        <w:div w:id="1620646008">
          <w:marLeft w:val="0"/>
          <w:marRight w:val="0"/>
          <w:marTop w:val="0"/>
          <w:marBottom w:val="0"/>
          <w:divBdr>
            <w:top w:val="none" w:sz="0" w:space="0" w:color="auto"/>
            <w:left w:val="none" w:sz="0" w:space="0" w:color="auto"/>
            <w:bottom w:val="none" w:sz="0" w:space="0" w:color="auto"/>
            <w:right w:val="none" w:sz="0" w:space="0" w:color="auto"/>
          </w:divBdr>
        </w:div>
        <w:div w:id="1629893473">
          <w:marLeft w:val="0"/>
          <w:marRight w:val="0"/>
          <w:marTop w:val="0"/>
          <w:marBottom w:val="0"/>
          <w:divBdr>
            <w:top w:val="none" w:sz="0" w:space="0" w:color="auto"/>
            <w:left w:val="none" w:sz="0" w:space="0" w:color="auto"/>
            <w:bottom w:val="none" w:sz="0" w:space="0" w:color="auto"/>
            <w:right w:val="none" w:sz="0" w:space="0" w:color="auto"/>
          </w:divBdr>
        </w:div>
        <w:div w:id="1711027269">
          <w:marLeft w:val="0"/>
          <w:marRight w:val="0"/>
          <w:marTop w:val="0"/>
          <w:marBottom w:val="0"/>
          <w:divBdr>
            <w:top w:val="none" w:sz="0" w:space="0" w:color="auto"/>
            <w:left w:val="none" w:sz="0" w:space="0" w:color="auto"/>
            <w:bottom w:val="none" w:sz="0" w:space="0" w:color="auto"/>
            <w:right w:val="none" w:sz="0" w:space="0" w:color="auto"/>
          </w:divBdr>
        </w:div>
        <w:div w:id="1755782209">
          <w:marLeft w:val="0"/>
          <w:marRight w:val="0"/>
          <w:marTop w:val="0"/>
          <w:marBottom w:val="0"/>
          <w:divBdr>
            <w:top w:val="none" w:sz="0" w:space="0" w:color="auto"/>
            <w:left w:val="none" w:sz="0" w:space="0" w:color="auto"/>
            <w:bottom w:val="none" w:sz="0" w:space="0" w:color="auto"/>
            <w:right w:val="none" w:sz="0" w:space="0" w:color="auto"/>
          </w:divBdr>
        </w:div>
        <w:div w:id="1800879534">
          <w:marLeft w:val="0"/>
          <w:marRight w:val="0"/>
          <w:marTop w:val="0"/>
          <w:marBottom w:val="0"/>
          <w:divBdr>
            <w:top w:val="none" w:sz="0" w:space="0" w:color="auto"/>
            <w:left w:val="none" w:sz="0" w:space="0" w:color="auto"/>
            <w:bottom w:val="none" w:sz="0" w:space="0" w:color="auto"/>
            <w:right w:val="none" w:sz="0" w:space="0" w:color="auto"/>
          </w:divBdr>
        </w:div>
        <w:div w:id="1877572547">
          <w:marLeft w:val="0"/>
          <w:marRight w:val="0"/>
          <w:marTop w:val="0"/>
          <w:marBottom w:val="0"/>
          <w:divBdr>
            <w:top w:val="none" w:sz="0" w:space="0" w:color="auto"/>
            <w:left w:val="none" w:sz="0" w:space="0" w:color="auto"/>
            <w:bottom w:val="none" w:sz="0" w:space="0" w:color="auto"/>
            <w:right w:val="none" w:sz="0" w:space="0" w:color="auto"/>
          </w:divBdr>
        </w:div>
        <w:div w:id="1938706624">
          <w:marLeft w:val="0"/>
          <w:marRight w:val="0"/>
          <w:marTop w:val="0"/>
          <w:marBottom w:val="0"/>
          <w:divBdr>
            <w:top w:val="none" w:sz="0" w:space="0" w:color="auto"/>
            <w:left w:val="none" w:sz="0" w:space="0" w:color="auto"/>
            <w:bottom w:val="none" w:sz="0" w:space="0" w:color="auto"/>
            <w:right w:val="none" w:sz="0" w:space="0" w:color="auto"/>
          </w:divBdr>
        </w:div>
        <w:div w:id="2083798011">
          <w:marLeft w:val="0"/>
          <w:marRight w:val="0"/>
          <w:marTop w:val="0"/>
          <w:marBottom w:val="0"/>
          <w:divBdr>
            <w:top w:val="none" w:sz="0" w:space="0" w:color="auto"/>
            <w:left w:val="none" w:sz="0" w:space="0" w:color="auto"/>
            <w:bottom w:val="none" w:sz="0" w:space="0" w:color="auto"/>
            <w:right w:val="none" w:sz="0" w:space="0" w:color="auto"/>
          </w:divBdr>
        </w:div>
      </w:divsChild>
    </w:div>
    <w:div w:id="635335447">
      <w:bodyDiv w:val="1"/>
      <w:marLeft w:val="0"/>
      <w:marRight w:val="0"/>
      <w:marTop w:val="0"/>
      <w:marBottom w:val="0"/>
      <w:divBdr>
        <w:top w:val="none" w:sz="0" w:space="0" w:color="auto"/>
        <w:left w:val="none" w:sz="0" w:space="0" w:color="auto"/>
        <w:bottom w:val="none" w:sz="0" w:space="0" w:color="auto"/>
        <w:right w:val="none" w:sz="0" w:space="0" w:color="auto"/>
      </w:divBdr>
    </w:div>
    <w:div w:id="705369099">
      <w:bodyDiv w:val="1"/>
      <w:marLeft w:val="0"/>
      <w:marRight w:val="0"/>
      <w:marTop w:val="0"/>
      <w:marBottom w:val="0"/>
      <w:divBdr>
        <w:top w:val="none" w:sz="0" w:space="0" w:color="auto"/>
        <w:left w:val="none" w:sz="0" w:space="0" w:color="auto"/>
        <w:bottom w:val="none" w:sz="0" w:space="0" w:color="auto"/>
        <w:right w:val="none" w:sz="0" w:space="0" w:color="auto"/>
      </w:divBdr>
    </w:div>
    <w:div w:id="875777215">
      <w:bodyDiv w:val="1"/>
      <w:marLeft w:val="0"/>
      <w:marRight w:val="0"/>
      <w:marTop w:val="0"/>
      <w:marBottom w:val="0"/>
      <w:divBdr>
        <w:top w:val="none" w:sz="0" w:space="0" w:color="auto"/>
        <w:left w:val="none" w:sz="0" w:space="0" w:color="auto"/>
        <w:bottom w:val="none" w:sz="0" w:space="0" w:color="auto"/>
        <w:right w:val="none" w:sz="0" w:space="0" w:color="auto"/>
      </w:divBdr>
    </w:div>
    <w:div w:id="920482731">
      <w:bodyDiv w:val="1"/>
      <w:marLeft w:val="0"/>
      <w:marRight w:val="0"/>
      <w:marTop w:val="0"/>
      <w:marBottom w:val="0"/>
      <w:divBdr>
        <w:top w:val="none" w:sz="0" w:space="0" w:color="auto"/>
        <w:left w:val="none" w:sz="0" w:space="0" w:color="auto"/>
        <w:bottom w:val="none" w:sz="0" w:space="0" w:color="auto"/>
        <w:right w:val="none" w:sz="0" w:space="0" w:color="auto"/>
      </w:divBdr>
      <w:divsChild>
        <w:div w:id="3673017">
          <w:marLeft w:val="0"/>
          <w:marRight w:val="0"/>
          <w:marTop w:val="0"/>
          <w:marBottom w:val="0"/>
          <w:divBdr>
            <w:top w:val="none" w:sz="0" w:space="0" w:color="auto"/>
            <w:left w:val="none" w:sz="0" w:space="0" w:color="auto"/>
            <w:bottom w:val="none" w:sz="0" w:space="0" w:color="auto"/>
            <w:right w:val="none" w:sz="0" w:space="0" w:color="auto"/>
          </w:divBdr>
        </w:div>
        <w:div w:id="76904146">
          <w:marLeft w:val="0"/>
          <w:marRight w:val="0"/>
          <w:marTop w:val="0"/>
          <w:marBottom w:val="0"/>
          <w:divBdr>
            <w:top w:val="none" w:sz="0" w:space="0" w:color="auto"/>
            <w:left w:val="none" w:sz="0" w:space="0" w:color="auto"/>
            <w:bottom w:val="none" w:sz="0" w:space="0" w:color="auto"/>
            <w:right w:val="none" w:sz="0" w:space="0" w:color="auto"/>
          </w:divBdr>
        </w:div>
        <w:div w:id="176583875">
          <w:marLeft w:val="0"/>
          <w:marRight w:val="0"/>
          <w:marTop w:val="0"/>
          <w:marBottom w:val="0"/>
          <w:divBdr>
            <w:top w:val="none" w:sz="0" w:space="0" w:color="auto"/>
            <w:left w:val="none" w:sz="0" w:space="0" w:color="auto"/>
            <w:bottom w:val="none" w:sz="0" w:space="0" w:color="auto"/>
            <w:right w:val="none" w:sz="0" w:space="0" w:color="auto"/>
          </w:divBdr>
        </w:div>
        <w:div w:id="230703218">
          <w:marLeft w:val="0"/>
          <w:marRight w:val="0"/>
          <w:marTop w:val="0"/>
          <w:marBottom w:val="0"/>
          <w:divBdr>
            <w:top w:val="none" w:sz="0" w:space="0" w:color="auto"/>
            <w:left w:val="none" w:sz="0" w:space="0" w:color="auto"/>
            <w:bottom w:val="none" w:sz="0" w:space="0" w:color="auto"/>
            <w:right w:val="none" w:sz="0" w:space="0" w:color="auto"/>
          </w:divBdr>
        </w:div>
        <w:div w:id="242614312">
          <w:marLeft w:val="0"/>
          <w:marRight w:val="0"/>
          <w:marTop w:val="0"/>
          <w:marBottom w:val="0"/>
          <w:divBdr>
            <w:top w:val="none" w:sz="0" w:space="0" w:color="auto"/>
            <w:left w:val="none" w:sz="0" w:space="0" w:color="auto"/>
            <w:bottom w:val="none" w:sz="0" w:space="0" w:color="auto"/>
            <w:right w:val="none" w:sz="0" w:space="0" w:color="auto"/>
          </w:divBdr>
        </w:div>
        <w:div w:id="249125833">
          <w:marLeft w:val="0"/>
          <w:marRight w:val="0"/>
          <w:marTop w:val="0"/>
          <w:marBottom w:val="0"/>
          <w:divBdr>
            <w:top w:val="none" w:sz="0" w:space="0" w:color="auto"/>
            <w:left w:val="none" w:sz="0" w:space="0" w:color="auto"/>
            <w:bottom w:val="none" w:sz="0" w:space="0" w:color="auto"/>
            <w:right w:val="none" w:sz="0" w:space="0" w:color="auto"/>
          </w:divBdr>
        </w:div>
        <w:div w:id="322197231">
          <w:marLeft w:val="0"/>
          <w:marRight w:val="0"/>
          <w:marTop w:val="0"/>
          <w:marBottom w:val="0"/>
          <w:divBdr>
            <w:top w:val="none" w:sz="0" w:space="0" w:color="auto"/>
            <w:left w:val="none" w:sz="0" w:space="0" w:color="auto"/>
            <w:bottom w:val="none" w:sz="0" w:space="0" w:color="auto"/>
            <w:right w:val="none" w:sz="0" w:space="0" w:color="auto"/>
          </w:divBdr>
        </w:div>
        <w:div w:id="388070246">
          <w:marLeft w:val="0"/>
          <w:marRight w:val="0"/>
          <w:marTop w:val="0"/>
          <w:marBottom w:val="0"/>
          <w:divBdr>
            <w:top w:val="none" w:sz="0" w:space="0" w:color="auto"/>
            <w:left w:val="none" w:sz="0" w:space="0" w:color="auto"/>
            <w:bottom w:val="none" w:sz="0" w:space="0" w:color="auto"/>
            <w:right w:val="none" w:sz="0" w:space="0" w:color="auto"/>
          </w:divBdr>
        </w:div>
        <w:div w:id="483470076">
          <w:marLeft w:val="0"/>
          <w:marRight w:val="0"/>
          <w:marTop w:val="0"/>
          <w:marBottom w:val="0"/>
          <w:divBdr>
            <w:top w:val="none" w:sz="0" w:space="0" w:color="auto"/>
            <w:left w:val="none" w:sz="0" w:space="0" w:color="auto"/>
            <w:bottom w:val="none" w:sz="0" w:space="0" w:color="auto"/>
            <w:right w:val="none" w:sz="0" w:space="0" w:color="auto"/>
          </w:divBdr>
        </w:div>
        <w:div w:id="494422622">
          <w:marLeft w:val="0"/>
          <w:marRight w:val="0"/>
          <w:marTop w:val="0"/>
          <w:marBottom w:val="0"/>
          <w:divBdr>
            <w:top w:val="none" w:sz="0" w:space="0" w:color="auto"/>
            <w:left w:val="none" w:sz="0" w:space="0" w:color="auto"/>
            <w:bottom w:val="none" w:sz="0" w:space="0" w:color="auto"/>
            <w:right w:val="none" w:sz="0" w:space="0" w:color="auto"/>
          </w:divBdr>
        </w:div>
        <w:div w:id="500198836">
          <w:marLeft w:val="0"/>
          <w:marRight w:val="0"/>
          <w:marTop w:val="0"/>
          <w:marBottom w:val="0"/>
          <w:divBdr>
            <w:top w:val="none" w:sz="0" w:space="0" w:color="auto"/>
            <w:left w:val="none" w:sz="0" w:space="0" w:color="auto"/>
            <w:bottom w:val="none" w:sz="0" w:space="0" w:color="auto"/>
            <w:right w:val="none" w:sz="0" w:space="0" w:color="auto"/>
          </w:divBdr>
        </w:div>
        <w:div w:id="540433702">
          <w:marLeft w:val="0"/>
          <w:marRight w:val="0"/>
          <w:marTop w:val="0"/>
          <w:marBottom w:val="0"/>
          <w:divBdr>
            <w:top w:val="none" w:sz="0" w:space="0" w:color="auto"/>
            <w:left w:val="none" w:sz="0" w:space="0" w:color="auto"/>
            <w:bottom w:val="none" w:sz="0" w:space="0" w:color="auto"/>
            <w:right w:val="none" w:sz="0" w:space="0" w:color="auto"/>
          </w:divBdr>
        </w:div>
        <w:div w:id="559562708">
          <w:marLeft w:val="0"/>
          <w:marRight w:val="0"/>
          <w:marTop w:val="0"/>
          <w:marBottom w:val="0"/>
          <w:divBdr>
            <w:top w:val="none" w:sz="0" w:space="0" w:color="auto"/>
            <w:left w:val="none" w:sz="0" w:space="0" w:color="auto"/>
            <w:bottom w:val="none" w:sz="0" w:space="0" w:color="auto"/>
            <w:right w:val="none" w:sz="0" w:space="0" w:color="auto"/>
          </w:divBdr>
        </w:div>
        <w:div w:id="587733741">
          <w:marLeft w:val="0"/>
          <w:marRight w:val="0"/>
          <w:marTop w:val="0"/>
          <w:marBottom w:val="0"/>
          <w:divBdr>
            <w:top w:val="none" w:sz="0" w:space="0" w:color="auto"/>
            <w:left w:val="none" w:sz="0" w:space="0" w:color="auto"/>
            <w:bottom w:val="none" w:sz="0" w:space="0" w:color="auto"/>
            <w:right w:val="none" w:sz="0" w:space="0" w:color="auto"/>
          </w:divBdr>
        </w:div>
        <w:div w:id="702287192">
          <w:marLeft w:val="0"/>
          <w:marRight w:val="0"/>
          <w:marTop w:val="0"/>
          <w:marBottom w:val="0"/>
          <w:divBdr>
            <w:top w:val="none" w:sz="0" w:space="0" w:color="auto"/>
            <w:left w:val="none" w:sz="0" w:space="0" w:color="auto"/>
            <w:bottom w:val="none" w:sz="0" w:space="0" w:color="auto"/>
            <w:right w:val="none" w:sz="0" w:space="0" w:color="auto"/>
          </w:divBdr>
        </w:div>
        <w:div w:id="892620919">
          <w:marLeft w:val="0"/>
          <w:marRight w:val="0"/>
          <w:marTop w:val="0"/>
          <w:marBottom w:val="0"/>
          <w:divBdr>
            <w:top w:val="none" w:sz="0" w:space="0" w:color="auto"/>
            <w:left w:val="none" w:sz="0" w:space="0" w:color="auto"/>
            <w:bottom w:val="none" w:sz="0" w:space="0" w:color="auto"/>
            <w:right w:val="none" w:sz="0" w:space="0" w:color="auto"/>
          </w:divBdr>
        </w:div>
        <w:div w:id="906498120">
          <w:marLeft w:val="0"/>
          <w:marRight w:val="0"/>
          <w:marTop w:val="0"/>
          <w:marBottom w:val="0"/>
          <w:divBdr>
            <w:top w:val="none" w:sz="0" w:space="0" w:color="auto"/>
            <w:left w:val="none" w:sz="0" w:space="0" w:color="auto"/>
            <w:bottom w:val="none" w:sz="0" w:space="0" w:color="auto"/>
            <w:right w:val="none" w:sz="0" w:space="0" w:color="auto"/>
          </w:divBdr>
        </w:div>
        <w:div w:id="1418598659">
          <w:marLeft w:val="0"/>
          <w:marRight w:val="0"/>
          <w:marTop w:val="0"/>
          <w:marBottom w:val="0"/>
          <w:divBdr>
            <w:top w:val="none" w:sz="0" w:space="0" w:color="auto"/>
            <w:left w:val="none" w:sz="0" w:space="0" w:color="auto"/>
            <w:bottom w:val="none" w:sz="0" w:space="0" w:color="auto"/>
            <w:right w:val="none" w:sz="0" w:space="0" w:color="auto"/>
          </w:divBdr>
        </w:div>
        <w:div w:id="1469739113">
          <w:marLeft w:val="0"/>
          <w:marRight w:val="0"/>
          <w:marTop w:val="0"/>
          <w:marBottom w:val="0"/>
          <w:divBdr>
            <w:top w:val="none" w:sz="0" w:space="0" w:color="auto"/>
            <w:left w:val="none" w:sz="0" w:space="0" w:color="auto"/>
            <w:bottom w:val="none" w:sz="0" w:space="0" w:color="auto"/>
            <w:right w:val="none" w:sz="0" w:space="0" w:color="auto"/>
          </w:divBdr>
        </w:div>
        <w:div w:id="1710497148">
          <w:marLeft w:val="0"/>
          <w:marRight w:val="0"/>
          <w:marTop w:val="0"/>
          <w:marBottom w:val="0"/>
          <w:divBdr>
            <w:top w:val="none" w:sz="0" w:space="0" w:color="auto"/>
            <w:left w:val="none" w:sz="0" w:space="0" w:color="auto"/>
            <w:bottom w:val="none" w:sz="0" w:space="0" w:color="auto"/>
            <w:right w:val="none" w:sz="0" w:space="0" w:color="auto"/>
          </w:divBdr>
        </w:div>
        <w:div w:id="1979071369">
          <w:marLeft w:val="0"/>
          <w:marRight w:val="0"/>
          <w:marTop w:val="0"/>
          <w:marBottom w:val="0"/>
          <w:divBdr>
            <w:top w:val="none" w:sz="0" w:space="0" w:color="auto"/>
            <w:left w:val="none" w:sz="0" w:space="0" w:color="auto"/>
            <w:bottom w:val="none" w:sz="0" w:space="0" w:color="auto"/>
            <w:right w:val="none" w:sz="0" w:space="0" w:color="auto"/>
          </w:divBdr>
        </w:div>
        <w:div w:id="1982803194">
          <w:marLeft w:val="0"/>
          <w:marRight w:val="0"/>
          <w:marTop w:val="0"/>
          <w:marBottom w:val="0"/>
          <w:divBdr>
            <w:top w:val="none" w:sz="0" w:space="0" w:color="auto"/>
            <w:left w:val="none" w:sz="0" w:space="0" w:color="auto"/>
            <w:bottom w:val="none" w:sz="0" w:space="0" w:color="auto"/>
            <w:right w:val="none" w:sz="0" w:space="0" w:color="auto"/>
          </w:divBdr>
        </w:div>
        <w:div w:id="1983389475">
          <w:marLeft w:val="0"/>
          <w:marRight w:val="0"/>
          <w:marTop w:val="0"/>
          <w:marBottom w:val="0"/>
          <w:divBdr>
            <w:top w:val="none" w:sz="0" w:space="0" w:color="auto"/>
            <w:left w:val="none" w:sz="0" w:space="0" w:color="auto"/>
            <w:bottom w:val="none" w:sz="0" w:space="0" w:color="auto"/>
            <w:right w:val="none" w:sz="0" w:space="0" w:color="auto"/>
          </w:divBdr>
        </w:div>
        <w:div w:id="2139060246">
          <w:marLeft w:val="0"/>
          <w:marRight w:val="0"/>
          <w:marTop w:val="0"/>
          <w:marBottom w:val="0"/>
          <w:divBdr>
            <w:top w:val="none" w:sz="0" w:space="0" w:color="auto"/>
            <w:left w:val="none" w:sz="0" w:space="0" w:color="auto"/>
            <w:bottom w:val="none" w:sz="0" w:space="0" w:color="auto"/>
            <w:right w:val="none" w:sz="0" w:space="0" w:color="auto"/>
          </w:divBdr>
        </w:div>
      </w:divsChild>
    </w:div>
    <w:div w:id="1037656077">
      <w:bodyDiv w:val="1"/>
      <w:marLeft w:val="0"/>
      <w:marRight w:val="0"/>
      <w:marTop w:val="0"/>
      <w:marBottom w:val="0"/>
      <w:divBdr>
        <w:top w:val="none" w:sz="0" w:space="0" w:color="auto"/>
        <w:left w:val="none" w:sz="0" w:space="0" w:color="auto"/>
        <w:bottom w:val="none" w:sz="0" w:space="0" w:color="auto"/>
        <w:right w:val="none" w:sz="0" w:space="0" w:color="auto"/>
      </w:divBdr>
    </w:div>
    <w:div w:id="1062677135">
      <w:bodyDiv w:val="1"/>
      <w:marLeft w:val="0"/>
      <w:marRight w:val="0"/>
      <w:marTop w:val="0"/>
      <w:marBottom w:val="0"/>
      <w:divBdr>
        <w:top w:val="none" w:sz="0" w:space="0" w:color="auto"/>
        <w:left w:val="none" w:sz="0" w:space="0" w:color="auto"/>
        <w:bottom w:val="none" w:sz="0" w:space="0" w:color="auto"/>
        <w:right w:val="none" w:sz="0" w:space="0" w:color="auto"/>
      </w:divBdr>
      <w:divsChild>
        <w:div w:id="1146436660">
          <w:marLeft w:val="0"/>
          <w:marRight w:val="0"/>
          <w:marTop w:val="0"/>
          <w:marBottom w:val="0"/>
          <w:divBdr>
            <w:top w:val="none" w:sz="0" w:space="0" w:color="auto"/>
            <w:left w:val="none" w:sz="0" w:space="0" w:color="auto"/>
            <w:bottom w:val="none" w:sz="0" w:space="0" w:color="auto"/>
            <w:right w:val="none" w:sz="0" w:space="0" w:color="auto"/>
          </w:divBdr>
          <w:divsChild>
            <w:div w:id="402290628">
              <w:marLeft w:val="0"/>
              <w:marRight w:val="0"/>
              <w:marTop w:val="0"/>
              <w:marBottom w:val="0"/>
              <w:divBdr>
                <w:top w:val="none" w:sz="0" w:space="0" w:color="auto"/>
                <w:left w:val="none" w:sz="0" w:space="0" w:color="auto"/>
                <w:bottom w:val="none" w:sz="0" w:space="0" w:color="auto"/>
                <w:right w:val="none" w:sz="0" w:space="0" w:color="auto"/>
              </w:divBdr>
              <w:divsChild>
                <w:div w:id="19732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5832">
      <w:bodyDiv w:val="1"/>
      <w:marLeft w:val="0"/>
      <w:marRight w:val="0"/>
      <w:marTop w:val="0"/>
      <w:marBottom w:val="0"/>
      <w:divBdr>
        <w:top w:val="none" w:sz="0" w:space="0" w:color="auto"/>
        <w:left w:val="none" w:sz="0" w:space="0" w:color="auto"/>
        <w:bottom w:val="none" w:sz="0" w:space="0" w:color="auto"/>
        <w:right w:val="none" w:sz="0" w:space="0" w:color="auto"/>
      </w:divBdr>
    </w:div>
    <w:div w:id="1755736926">
      <w:bodyDiv w:val="1"/>
      <w:marLeft w:val="0"/>
      <w:marRight w:val="0"/>
      <w:marTop w:val="0"/>
      <w:marBottom w:val="0"/>
      <w:divBdr>
        <w:top w:val="none" w:sz="0" w:space="0" w:color="auto"/>
        <w:left w:val="none" w:sz="0" w:space="0" w:color="auto"/>
        <w:bottom w:val="none" w:sz="0" w:space="0" w:color="auto"/>
        <w:right w:val="none" w:sz="0" w:space="0" w:color="auto"/>
      </w:divBdr>
      <w:divsChild>
        <w:div w:id="1289043561">
          <w:marLeft w:val="0"/>
          <w:marRight w:val="0"/>
          <w:marTop w:val="0"/>
          <w:marBottom w:val="0"/>
          <w:divBdr>
            <w:top w:val="none" w:sz="0" w:space="0" w:color="auto"/>
            <w:left w:val="none" w:sz="0" w:space="0" w:color="auto"/>
            <w:bottom w:val="none" w:sz="0" w:space="0" w:color="auto"/>
            <w:right w:val="none" w:sz="0" w:space="0" w:color="auto"/>
          </w:divBdr>
          <w:divsChild>
            <w:div w:id="229586189">
              <w:marLeft w:val="0"/>
              <w:marRight w:val="0"/>
              <w:marTop w:val="0"/>
              <w:marBottom w:val="0"/>
              <w:divBdr>
                <w:top w:val="none" w:sz="0" w:space="0" w:color="auto"/>
                <w:left w:val="none" w:sz="0" w:space="0" w:color="auto"/>
                <w:bottom w:val="none" w:sz="0" w:space="0" w:color="auto"/>
                <w:right w:val="none" w:sz="0" w:space="0" w:color="auto"/>
              </w:divBdr>
              <w:divsChild>
                <w:div w:id="45175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494041">
      <w:marLeft w:val="0"/>
      <w:marRight w:val="0"/>
      <w:marTop w:val="0"/>
      <w:marBottom w:val="0"/>
      <w:divBdr>
        <w:top w:val="none" w:sz="0" w:space="0" w:color="auto"/>
        <w:left w:val="none" w:sz="0" w:space="0" w:color="auto"/>
        <w:bottom w:val="none" w:sz="0" w:space="0" w:color="auto"/>
        <w:right w:val="none" w:sz="0" w:space="0" w:color="auto"/>
      </w:divBdr>
    </w:div>
    <w:div w:id="1800494042">
      <w:marLeft w:val="0"/>
      <w:marRight w:val="0"/>
      <w:marTop w:val="0"/>
      <w:marBottom w:val="0"/>
      <w:divBdr>
        <w:top w:val="none" w:sz="0" w:space="0" w:color="auto"/>
        <w:left w:val="none" w:sz="0" w:space="0" w:color="auto"/>
        <w:bottom w:val="none" w:sz="0" w:space="0" w:color="auto"/>
        <w:right w:val="none" w:sz="0" w:space="0" w:color="auto"/>
      </w:divBdr>
    </w:div>
    <w:div w:id="1800494043">
      <w:marLeft w:val="0"/>
      <w:marRight w:val="0"/>
      <w:marTop w:val="0"/>
      <w:marBottom w:val="0"/>
      <w:divBdr>
        <w:top w:val="none" w:sz="0" w:space="0" w:color="auto"/>
        <w:left w:val="none" w:sz="0" w:space="0" w:color="auto"/>
        <w:bottom w:val="none" w:sz="0" w:space="0" w:color="auto"/>
        <w:right w:val="none" w:sz="0" w:space="0" w:color="auto"/>
      </w:divBdr>
    </w:div>
    <w:div w:id="1800494044">
      <w:marLeft w:val="0"/>
      <w:marRight w:val="0"/>
      <w:marTop w:val="0"/>
      <w:marBottom w:val="0"/>
      <w:divBdr>
        <w:top w:val="none" w:sz="0" w:space="0" w:color="auto"/>
        <w:left w:val="none" w:sz="0" w:space="0" w:color="auto"/>
        <w:bottom w:val="none" w:sz="0" w:space="0" w:color="auto"/>
        <w:right w:val="none" w:sz="0" w:space="0" w:color="auto"/>
      </w:divBdr>
    </w:div>
    <w:div w:id="1800494045">
      <w:marLeft w:val="0"/>
      <w:marRight w:val="0"/>
      <w:marTop w:val="0"/>
      <w:marBottom w:val="0"/>
      <w:divBdr>
        <w:top w:val="none" w:sz="0" w:space="0" w:color="auto"/>
        <w:left w:val="none" w:sz="0" w:space="0" w:color="auto"/>
        <w:bottom w:val="none" w:sz="0" w:space="0" w:color="auto"/>
        <w:right w:val="none" w:sz="0" w:space="0" w:color="auto"/>
      </w:divBdr>
    </w:div>
    <w:div w:id="1800494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DOC-329607A1.xlsx"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s.fcc.gov/edocs_public/attachmatch/DOC-329606A1.xls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2262</Words>
  <Characters>12385</Characters>
  <Application>Microsoft Office Word</Application>
  <DocSecurity>0</DocSecurity>
  <Lines>176</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14685</CharactersWithSpaces>
  <SharedDoc>false</SharedDoc>
  <HyperlinkBase> </HyperlinkBase>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2014-09-18T13:45:00Z</cp:lastPrinted>
  <dcterms:created xsi:type="dcterms:W3CDTF">2014-09-26T16:21:00Z</dcterms:created>
  <dcterms:modified xsi:type="dcterms:W3CDTF">2014-09-26T16:21:00Z</dcterms:modified>
  <cp:category> </cp:category>
  <cp:contentStatus> </cp:contentStatus>
</cp:coreProperties>
</file>