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FD" w:rsidRDefault="004275FD">
      <w:pPr>
        <w:pStyle w:val="Header"/>
        <w:tabs>
          <w:tab w:val="clear" w:pos="4320"/>
          <w:tab w:val="clear" w:pos="8640"/>
        </w:tabs>
        <w:rPr>
          <w:szCs w:val="22"/>
        </w:rPr>
        <w:sectPr w:rsidR="004275FD" w:rsidSect="00B606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008" w:left="720" w:header="720" w:footer="1440" w:gutter="0"/>
          <w:cols w:space="720"/>
          <w:titlePg/>
        </w:sectPr>
      </w:pPr>
      <w:bookmarkStart w:id="1" w:name="_GoBack"/>
      <w:bookmarkEnd w:id="1"/>
    </w:p>
    <w:p w:rsidR="004275FD" w:rsidRDefault="004275FD">
      <w:pPr>
        <w:jc w:val="right"/>
        <w:rPr>
          <w:b/>
          <w:szCs w:val="22"/>
        </w:rPr>
      </w:pPr>
      <w:r>
        <w:rPr>
          <w:b/>
          <w:szCs w:val="22"/>
        </w:rPr>
        <w:lastRenderedPageBreak/>
        <w:t>DA 1</w:t>
      </w:r>
      <w:r w:rsidR="00840DB9">
        <w:rPr>
          <w:b/>
          <w:szCs w:val="22"/>
        </w:rPr>
        <w:t>4</w:t>
      </w:r>
      <w:r w:rsidR="00C87896">
        <w:rPr>
          <w:b/>
          <w:szCs w:val="22"/>
        </w:rPr>
        <w:t>-</w:t>
      </w:r>
      <w:r w:rsidR="00CA3440">
        <w:rPr>
          <w:b/>
          <w:szCs w:val="22"/>
        </w:rPr>
        <w:t>1337</w:t>
      </w:r>
    </w:p>
    <w:p w:rsidR="004275FD" w:rsidRDefault="004275FD">
      <w:pPr>
        <w:jc w:val="right"/>
        <w:rPr>
          <w:b/>
          <w:szCs w:val="22"/>
        </w:rPr>
      </w:pPr>
    </w:p>
    <w:p w:rsidR="004275FD" w:rsidRDefault="00362148">
      <w:pPr>
        <w:jc w:val="right"/>
        <w:rPr>
          <w:b/>
          <w:szCs w:val="22"/>
        </w:rPr>
      </w:pPr>
      <w:r>
        <w:rPr>
          <w:b/>
          <w:szCs w:val="22"/>
        </w:rPr>
        <w:t xml:space="preserve">September </w:t>
      </w:r>
      <w:r w:rsidR="00CA3440">
        <w:rPr>
          <w:b/>
          <w:szCs w:val="22"/>
        </w:rPr>
        <w:t xml:space="preserve">16, </w:t>
      </w:r>
      <w:r w:rsidR="00E63064">
        <w:rPr>
          <w:b/>
          <w:szCs w:val="22"/>
        </w:rPr>
        <w:t>2014</w:t>
      </w:r>
      <w:r w:rsidR="004275FD">
        <w:rPr>
          <w:b/>
          <w:szCs w:val="22"/>
        </w:rPr>
        <w:t xml:space="preserve"> </w:t>
      </w:r>
    </w:p>
    <w:p w:rsidR="004275FD" w:rsidRDefault="004275FD">
      <w:pPr>
        <w:jc w:val="right"/>
        <w:rPr>
          <w:szCs w:val="22"/>
        </w:rPr>
      </w:pPr>
    </w:p>
    <w:p w:rsidR="004275FD" w:rsidRDefault="004275FD">
      <w:pPr>
        <w:jc w:val="center"/>
        <w:rPr>
          <w:b/>
          <w:caps/>
          <w:szCs w:val="22"/>
        </w:rPr>
      </w:pPr>
      <w:r>
        <w:rPr>
          <w:b/>
          <w:caps/>
          <w:szCs w:val="22"/>
        </w:rPr>
        <w:t>Public safety and homeland security bureau APPROVES</w:t>
      </w:r>
      <w:r w:rsidR="00DB31BB">
        <w:rPr>
          <w:b/>
          <w:caps/>
          <w:szCs w:val="22"/>
        </w:rPr>
        <w:t xml:space="preserve"> IN PART</w:t>
      </w:r>
      <w:r>
        <w:rPr>
          <w:b/>
          <w:caps/>
          <w:szCs w:val="22"/>
        </w:rPr>
        <w:t xml:space="preserve"> </w:t>
      </w:r>
    </w:p>
    <w:p w:rsidR="004275FD" w:rsidRDefault="004275FD">
      <w:pPr>
        <w:jc w:val="center"/>
        <w:rPr>
          <w:b/>
          <w:caps/>
          <w:szCs w:val="22"/>
        </w:rPr>
      </w:pPr>
      <w:r>
        <w:rPr>
          <w:b/>
          <w:caps/>
          <w:szCs w:val="22"/>
        </w:rPr>
        <w:t>REGION </w:t>
      </w:r>
      <w:r w:rsidR="00362148">
        <w:rPr>
          <w:b/>
          <w:caps/>
          <w:szCs w:val="22"/>
        </w:rPr>
        <w:t xml:space="preserve">9 </w:t>
      </w:r>
      <w:r>
        <w:rPr>
          <w:b/>
          <w:caps/>
          <w:szCs w:val="22"/>
        </w:rPr>
        <w:t>(</w:t>
      </w:r>
      <w:r w:rsidR="00362148">
        <w:rPr>
          <w:b/>
          <w:caps/>
          <w:szCs w:val="22"/>
        </w:rPr>
        <w:t>FLORIDA</w:t>
      </w:r>
      <w:r>
        <w:rPr>
          <w:b/>
          <w:caps/>
          <w:szCs w:val="22"/>
        </w:rPr>
        <w:t xml:space="preserve">) </w:t>
      </w:r>
      <w:r w:rsidR="00C87896">
        <w:rPr>
          <w:b/>
          <w:caps/>
          <w:szCs w:val="22"/>
        </w:rPr>
        <w:t xml:space="preserve">800 MHz NPSPAC </w:t>
      </w:r>
      <w:r>
        <w:rPr>
          <w:b/>
          <w:caps/>
          <w:szCs w:val="22"/>
        </w:rPr>
        <w:t>regional plan AMENDMENT</w:t>
      </w:r>
    </w:p>
    <w:p w:rsidR="00C87896" w:rsidRDefault="00C87896" w:rsidP="00F4551D">
      <w:pPr>
        <w:spacing w:after="200"/>
        <w:jc w:val="center"/>
        <w:rPr>
          <w:b/>
          <w:caps/>
          <w:szCs w:val="22"/>
        </w:rPr>
      </w:pPr>
    </w:p>
    <w:p w:rsidR="00C87896" w:rsidRPr="00696224" w:rsidRDefault="00D130A1">
      <w:pPr>
        <w:jc w:val="center"/>
        <w:rPr>
          <w:b/>
          <w:caps/>
          <w:szCs w:val="22"/>
        </w:rPr>
      </w:pPr>
      <w:r>
        <w:rPr>
          <w:b/>
        </w:rPr>
        <w:t xml:space="preserve">General </w:t>
      </w:r>
      <w:r w:rsidR="00696224" w:rsidRPr="00696224">
        <w:rPr>
          <w:b/>
        </w:rPr>
        <w:t>Docket No. 9</w:t>
      </w:r>
      <w:r w:rsidR="00362148">
        <w:rPr>
          <w:b/>
        </w:rPr>
        <w:t>0</w:t>
      </w:r>
      <w:r w:rsidR="00696224" w:rsidRPr="00696224">
        <w:rPr>
          <w:b/>
        </w:rPr>
        <w:t>-</w:t>
      </w:r>
      <w:r w:rsidR="00E63064">
        <w:rPr>
          <w:b/>
        </w:rPr>
        <w:t>1</w:t>
      </w:r>
      <w:r w:rsidR="00362148">
        <w:rPr>
          <w:b/>
        </w:rPr>
        <w:t>19</w:t>
      </w:r>
    </w:p>
    <w:p w:rsidR="004275FD" w:rsidRDefault="004275FD">
      <w:pPr>
        <w:jc w:val="center"/>
        <w:rPr>
          <w:b/>
          <w:caps/>
          <w:szCs w:val="22"/>
        </w:rPr>
      </w:pPr>
    </w:p>
    <w:p w:rsidR="00986E79" w:rsidRDefault="004275FD" w:rsidP="005903CC">
      <w:pPr>
        <w:ind w:firstLine="720"/>
        <w:rPr>
          <w:szCs w:val="22"/>
        </w:rPr>
      </w:pPr>
      <w:r>
        <w:rPr>
          <w:i/>
          <w:iCs/>
        </w:rPr>
        <w:t>Introductio</w:t>
      </w:r>
      <w:r w:rsidR="00707CE1" w:rsidRPr="00707CE1">
        <w:rPr>
          <w:i/>
          <w:iCs/>
        </w:rPr>
        <w:t>n</w:t>
      </w:r>
      <w:r w:rsidR="00707CE1" w:rsidRPr="00707CE1">
        <w:rPr>
          <w:i/>
        </w:rPr>
        <w:t>.</w:t>
      </w:r>
      <w:r w:rsidR="00707CE1">
        <w:rPr>
          <w:i/>
        </w:rPr>
        <w:t xml:space="preserve">  </w:t>
      </w:r>
      <w:r w:rsidR="00B23F45">
        <w:t>On March 7, 2014, the Region 9 (Florida)</w:t>
      </w:r>
      <w:r w:rsidR="00B23F45">
        <w:rPr>
          <w:rStyle w:val="FootnoteReference"/>
        </w:rPr>
        <w:footnoteReference w:id="2"/>
      </w:r>
      <w:r w:rsidR="00B23F45">
        <w:t xml:space="preserve"> 800 MHz National Public Safety Plan Advisory Committee (NPSPAC) Regional Planning Committee (RPC) submitted a proposed modification (Plan Amendment)</w:t>
      </w:r>
      <w:r w:rsidR="00B23F45">
        <w:rPr>
          <w:rStyle w:val="FootnoteReference"/>
        </w:rPr>
        <w:footnoteReference w:id="3"/>
      </w:r>
      <w:r w:rsidR="00B23F45">
        <w:t xml:space="preserve"> to amend its 800 MHz Public Safety Plan.</w:t>
      </w:r>
      <w:r w:rsidR="00B23F45">
        <w:rPr>
          <w:rStyle w:val="FootnoteReference"/>
        </w:rPr>
        <w:footnoteReference w:id="4"/>
      </w:r>
      <w:r w:rsidR="00707CE1">
        <w:t xml:space="preserve"> </w:t>
      </w:r>
      <w:r w:rsidR="00660947">
        <w:t xml:space="preserve"> </w:t>
      </w:r>
      <w:r w:rsidR="00D15A5C">
        <w:rPr>
          <w:szCs w:val="22"/>
        </w:rPr>
        <w:t>For the reasons discusse</w:t>
      </w:r>
      <w:r w:rsidR="00485FE6">
        <w:rPr>
          <w:szCs w:val="22"/>
        </w:rPr>
        <w:t>d below,</w:t>
      </w:r>
      <w:r w:rsidR="00550733">
        <w:rPr>
          <w:szCs w:val="22"/>
        </w:rPr>
        <w:t xml:space="preserve"> we approve</w:t>
      </w:r>
      <w:r w:rsidR="00B23F45">
        <w:rPr>
          <w:szCs w:val="22"/>
        </w:rPr>
        <w:t xml:space="preserve"> the </w:t>
      </w:r>
      <w:r w:rsidR="00D15A5C">
        <w:rPr>
          <w:szCs w:val="22"/>
        </w:rPr>
        <w:t>Plan Amendment</w:t>
      </w:r>
      <w:r w:rsidR="009B0DD5">
        <w:rPr>
          <w:szCs w:val="22"/>
        </w:rPr>
        <w:t xml:space="preserve"> in part.</w:t>
      </w:r>
      <w:r w:rsidR="00D15A5C">
        <w:rPr>
          <w:szCs w:val="22"/>
        </w:rPr>
        <w:t xml:space="preserve"> </w:t>
      </w:r>
    </w:p>
    <w:p w:rsidR="00986E79" w:rsidRDefault="00986E79" w:rsidP="00986E79">
      <w:pPr>
        <w:rPr>
          <w:szCs w:val="22"/>
        </w:rPr>
      </w:pPr>
    </w:p>
    <w:p w:rsidR="009A3D5C" w:rsidRDefault="00B7022E" w:rsidP="00F4551D">
      <w:pPr>
        <w:spacing w:after="120"/>
        <w:ind w:firstLine="720"/>
      </w:pPr>
      <w:r>
        <w:rPr>
          <w:i/>
        </w:rPr>
        <w:t xml:space="preserve">Background.  </w:t>
      </w:r>
      <w:r w:rsidR="009A3D5C" w:rsidRPr="001B1E62">
        <w:t>In General Docket No. 87-112, the Commission, in response to Congressional directive,</w:t>
      </w:r>
      <w:r w:rsidR="009A3D5C" w:rsidRPr="00F25659">
        <w:t xml:space="preserve"> adopted a national framework, including service and technical rules, </w:t>
      </w:r>
      <w:r w:rsidR="009A3D5C" w:rsidRPr="0041095E">
        <w:t xml:space="preserve">governing the use of the NPSPAC spectrum.  As part of that </w:t>
      </w:r>
      <w:r w:rsidR="009A3D5C" w:rsidRPr="004A288C">
        <w:t xml:space="preserve">framework, the Commission established 55 </w:t>
      </w:r>
      <w:r w:rsidR="009A3D5C">
        <w:t xml:space="preserve">RPCs </w:t>
      </w:r>
      <w:r w:rsidR="009A3D5C" w:rsidRPr="00302B48">
        <w:t>to develop</w:t>
      </w:r>
      <w:r w:rsidR="009A3D5C" w:rsidRPr="00D85EB5">
        <w:t xml:space="preserve"> regional plans tailored to regional public safety needs.</w:t>
      </w:r>
      <w:r w:rsidR="009A3D5C" w:rsidRPr="006C0DCE">
        <w:t xml:space="preserve">  </w:t>
      </w:r>
      <w:r w:rsidR="009A3D5C" w:rsidRPr="00F5028B">
        <w:t>The RPC plans set forth the guidelines to be followed in allotting spectrum to meet current and future mobile communications requirements of the public safety entities operating in a particular region.  RPC plans and plan amendments are subject to Commission review and approval.  Upon Commission approval of an RPC plan, licensing of NPSPAC spectrum may commence immediately.</w:t>
      </w:r>
      <w:r w:rsidR="009A3D5C">
        <w:rPr>
          <w:rStyle w:val="FootnoteReference"/>
        </w:rPr>
        <w:footnoteReference w:id="5"/>
      </w:r>
      <w:r w:rsidR="009A3D5C" w:rsidRPr="00F5028B">
        <w:t xml:space="preserve">  </w:t>
      </w:r>
    </w:p>
    <w:p w:rsidR="00B7022E" w:rsidRDefault="005903CC" w:rsidP="00B7022E">
      <w:pPr>
        <w:ind w:firstLine="720"/>
      </w:pPr>
      <w:r>
        <w:lastRenderedPageBreak/>
        <w:t xml:space="preserve">In 1990, the Commission approved the initial Region 9 Plan consistent with the parameters </w:t>
      </w:r>
      <w:r w:rsidR="009A3D5C">
        <w:t xml:space="preserve">set forth in </w:t>
      </w:r>
      <w:r w:rsidR="00EB6D25">
        <w:t xml:space="preserve">the National Public Safety Plan in </w:t>
      </w:r>
      <w:r w:rsidR="009A3D5C">
        <w:t>General Docket 87-112</w:t>
      </w:r>
      <w:r>
        <w:t>.</w:t>
      </w:r>
      <w:r>
        <w:rPr>
          <w:rStyle w:val="FootnoteReference"/>
        </w:rPr>
        <w:footnoteReference w:id="6"/>
      </w:r>
      <w:r>
        <w:t xml:space="preserve">  The instant Plan Amendment consists of </w:t>
      </w:r>
      <w:r w:rsidR="00121EFF">
        <w:t>several</w:t>
      </w:r>
      <w:r>
        <w:t xml:space="preserve"> modifications </w:t>
      </w:r>
      <w:r w:rsidRPr="00166E03">
        <w:rPr>
          <w:szCs w:val="22"/>
        </w:rPr>
        <w:t>approved by the regional membership</w:t>
      </w:r>
      <w:r>
        <w:rPr>
          <w:szCs w:val="22"/>
        </w:rPr>
        <w:t xml:space="preserve"> and coordinated with adjacent NPSPAC regions </w:t>
      </w:r>
      <w:r w:rsidR="009E59CE">
        <w:rPr>
          <w:szCs w:val="22"/>
        </w:rPr>
        <w:t>(</w:t>
      </w:r>
      <w:r w:rsidR="009E59CE" w:rsidRPr="008F4BDE">
        <w:rPr>
          <w:i/>
          <w:szCs w:val="22"/>
        </w:rPr>
        <w:t>i.e.</w:t>
      </w:r>
      <w:r w:rsidR="009E59CE">
        <w:rPr>
          <w:szCs w:val="22"/>
        </w:rPr>
        <w:t xml:space="preserve"> </w:t>
      </w:r>
      <w:r>
        <w:rPr>
          <w:szCs w:val="22"/>
        </w:rPr>
        <w:t>Region 1 (Alabama), Region 10 (Georgia) and Region 23 (Mississippi)</w:t>
      </w:r>
      <w:r w:rsidR="009E59CE">
        <w:rPr>
          <w:szCs w:val="22"/>
        </w:rPr>
        <w:t>)</w:t>
      </w:r>
      <w:r>
        <w:rPr>
          <w:szCs w:val="22"/>
        </w:rPr>
        <w:t>.</w:t>
      </w:r>
      <w:r>
        <w:rPr>
          <w:rStyle w:val="FootnoteReference"/>
          <w:szCs w:val="22"/>
        </w:rPr>
        <w:footnoteReference w:id="7"/>
      </w:r>
      <w:r>
        <w:rPr>
          <w:szCs w:val="22"/>
        </w:rPr>
        <w:t xml:space="preserve">  Region 9 proposes the following changes:</w:t>
      </w:r>
    </w:p>
    <w:p w:rsidR="00B7022E" w:rsidRPr="00CE105C" w:rsidRDefault="00B7022E" w:rsidP="00986E79">
      <w:pPr>
        <w:rPr>
          <w:szCs w:val="22"/>
        </w:rPr>
      </w:pPr>
    </w:p>
    <w:p w:rsidR="00986E79" w:rsidRPr="009903E5" w:rsidRDefault="00986E79" w:rsidP="00986E79">
      <w:pPr>
        <w:pStyle w:val="ListParagraph"/>
        <w:numPr>
          <w:ilvl w:val="0"/>
          <w:numId w:val="48"/>
        </w:numPr>
        <w:rPr>
          <w:szCs w:val="22"/>
        </w:rPr>
      </w:pPr>
      <w:r w:rsidRPr="00C5144B">
        <w:rPr>
          <w:szCs w:val="22"/>
        </w:rPr>
        <w:t>Section 3.5(A)(5)</w:t>
      </w:r>
      <w:r>
        <w:rPr>
          <w:szCs w:val="22"/>
        </w:rPr>
        <w:t xml:space="preserve"> – Relationship</w:t>
      </w:r>
      <w:r w:rsidR="003C50B8">
        <w:rPr>
          <w:szCs w:val="22"/>
        </w:rPr>
        <w:t xml:space="preserve"> with Other Organizations - added</w:t>
      </w:r>
      <w:r>
        <w:rPr>
          <w:szCs w:val="22"/>
        </w:rPr>
        <w:t xml:space="preserve"> Region 23 (Mississippi) to the list of adjacent regions for liaison and coordination of frequency use.</w:t>
      </w:r>
      <w:r>
        <w:rPr>
          <w:rStyle w:val="FootnoteReference"/>
          <w:szCs w:val="22"/>
        </w:rPr>
        <w:footnoteReference w:id="8"/>
      </w:r>
      <w:r>
        <w:rPr>
          <w:szCs w:val="22"/>
        </w:rPr>
        <w:t xml:space="preserve"> </w:t>
      </w:r>
    </w:p>
    <w:p w:rsidR="00986E79" w:rsidRPr="00C5144B" w:rsidRDefault="00986E79" w:rsidP="00986E79">
      <w:pPr>
        <w:pStyle w:val="ListParagraph"/>
        <w:ind w:left="1440"/>
        <w:rPr>
          <w:szCs w:val="22"/>
        </w:rPr>
      </w:pPr>
    </w:p>
    <w:p w:rsidR="00986E79" w:rsidRPr="00C5144B" w:rsidRDefault="00986E79" w:rsidP="001A6528">
      <w:pPr>
        <w:pStyle w:val="ListParagraph"/>
        <w:numPr>
          <w:ilvl w:val="0"/>
          <w:numId w:val="48"/>
        </w:numPr>
        <w:spacing w:after="120"/>
        <w:rPr>
          <w:szCs w:val="22"/>
        </w:rPr>
      </w:pPr>
      <w:r>
        <w:rPr>
          <w:szCs w:val="22"/>
        </w:rPr>
        <w:t>Section 3.5(C) –The Adjacent Regions of Georgia, Ala</w:t>
      </w:r>
      <w:r w:rsidR="003C50B8">
        <w:rPr>
          <w:szCs w:val="22"/>
        </w:rPr>
        <w:t>bama, and Mississippi – explained</w:t>
      </w:r>
      <w:r>
        <w:rPr>
          <w:szCs w:val="22"/>
        </w:rPr>
        <w:t xml:space="preserve"> that two northern Florida counties are located less than 70 miles from Region 23 (Mississippi).  </w:t>
      </w:r>
      <w:r w:rsidR="00231D5C">
        <w:rPr>
          <w:szCs w:val="22"/>
        </w:rPr>
        <w:t>Therefore, Florida</w:t>
      </w:r>
      <w:r>
        <w:rPr>
          <w:szCs w:val="22"/>
        </w:rPr>
        <w:t xml:space="preserve"> considers Region 23 as an adjacent region for adjacent region coordination purposes.  </w:t>
      </w:r>
      <w:r w:rsidR="00231D5C">
        <w:rPr>
          <w:szCs w:val="22"/>
        </w:rPr>
        <w:t>Further, Florida</w:t>
      </w:r>
      <w:r>
        <w:rPr>
          <w:szCs w:val="22"/>
        </w:rPr>
        <w:t xml:space="preserve"> expects adjacent regions to respond to concurrence requests within 45 calendar days</w:t>
      </w:r>
      <w:r w:rsidRPr="00C5144B">
        <w:rPr>
          <w:szCs w:val="22"/>
        </w:rPr>
        <w:t>.</w:t>
      </w:r>
      <w:r>
        <w:rPr>
          <w:rStyle w:val="FootnoteReference"/>
          <w:szCs w:val="22"/>
        </w:rPr>
        <w:footnoteReference w:id="9"/>
      </w:r>
      <w:r w:rsidRPr="00C5144B">
        <w:rPr>
          <w:szCs w:val="22"/>
        </w:rPr>
        <w:t xml:space="preserve"> </w:t>
      </w:r>
    </w:p>
    <w:p w:rsidR="00986E79" w:rsidRPr="00C5144B" w:rsidRDefault="00986E79" w:rsidP="001A6528">
      <w:pPr>
        <w:pStyle w:val="ListParagraph"/>
        <w:spacing w:after="120"/>
        <w:ind w:left="1440"/>
        <w:rPr>
          <w:szCs w:val="22"/>
        </w:rPr>
      </w:pPr>
    </w:p>
    <w:p w:rsidR="00986E79" w:rsidRPr="00A930CD" w:rsidRDefault="00986E79" w:rsidP="001A6528">
      <w:pPr>
        <w:pStyle w:val="ListParagraph"/>
        <w:numPr>
          <w:ilvl w:val="0"/>
          <w:numId w:val="48"/>
        </w:numPr>
        <w:spacing w:after="120"/>
        <w:rPr>
          <w:szCs w:val="22"/>
        </w:rPr>
      </w:pPr>
      <w:r>
        <w:rPr>
          <w:szCs w:val="22"/>
        </w:rPr>
        <w:t xml:space="preserve">Sections 5.1.8 (B) and (D)(a) – Channel </w:t>
      </w:r>
      <w:r w:rsidR="003C50B8">
        <w:rPr>
          <w:szCs w:val="22"/>
        </w:rPr>
        <w:t>Loading Requirements – clarified</w:t>
      </w:r>
      <w:r>
        <w:rPr>
          <w:szCs w:val="22"/>
        </w:rPr>
        <w:t xml:space="preserve"> loading requirements for County/Municipality Systems and Trunked Systems to include loading criteria for </w:t>
      </w:r>
      <w:r w:rsidRPr="007539C4">
        <w:rPr>
          <w:iCs/>
          <w:szCs w:val="22"/>
        </w:rPr>
        <w:t xml:space="preserve">systems requesting new or expansion frequencies that are utilizing multiple slot </w:t>
      </w:r>
      <w:r>
        <w:rPr>
          <w:iCs/>
          <w:szCs w:val="22"/>
        </w:rPr>
        <w:t>Time Division Multiple Access (</w:t>
      </w:r>
      <w:r w:rsidRPr="007539C4">
        <w:rPr>
          <w:iCs/>
          <w:szCs w:val="22"/>
        </w:rPr>
        <w:t>TDMA</w:t>
      </w:r>
      <w:r>
        <w:rPr>
          <w:iCs/>
          <w:szCs w:val="22"/>
        </w:rPr>
        <w:t>)</w:t>
      </w:r>
      <w:r w:rsidRPr="007539C4">
        <w:rPr>
          <w:iCs/>
          <w:szCs w:val="22"/>
        </w:rPr>
        <w:t xml:space="preserve">, or </w:t>
      </w:r>
      <w:r>
        <w:rPr>
          <w:iCs/>
          <w:szCs w:val="22"/>
        </w:rPr>
        <w:t>Frequency-Division Multiple Access (</w:t>
      </w:r>
      <w:r w:rsidRPr="007539C4">
        <w:rPr>
          <w:iCs/>
          <w:szCs w:val="22"/>
        </w:rPr>
        <w:t>FDMA</w:t>
      </w:r>
      <w:r>
        <w:rPr>
          <w:iCs/>
          <w:szCs w:val="22"/>
        </w:rPr>
        <w:t>)</w:t>
      </w:r>
      <w:r w:rsidRPr="007539C4">
        <w:rPr>
          <w:iCs/>
          <w:szCs w:val="22"/>
        </w:rPr>
        <w:t xml:space="preserve"> trunking</w:t>
      </w:r>
      <w:r>
        <w:rPr>
          <w:iCs/>
          <w:szCs w:val="22"/>
        </w:rPr>
        <w:t xml:space="preserve">.  </w:t>
      </w:r>
      <w:r w:rsidR="003C50B8">
        <w:rPr>
          <w:iCs/>
          <w:szCs w:val="22"/>
        </w:rPr>
        <w:t>Specifically, Region 9</w:t>
      </w:r>
      <w:r w:rsidR="00B61A5F">
        <w:rPr>
          <w:iCs/>
          <w:szCs w:val="22"/>
        </w:rPr>
        <w:t xml:space="preserve"> propose</w:t>
      </w:r>
      <w:r w:rsidR="00C5263D">
        <w:rPr>
          <w:iCs/>
          <w:szCs w:val="22"/>
        </w:rPr>
        <w:t>d</w:t>
      </w:r>
      <w:r w:rsidR="003C50B8">
        <w:rPr>
          <w:iCs/>
          <w:szCs w:val="22"/>
        </w:rPr>
        <w:t xml:space="preserve"> </w:t>
      </w:r>
      <w:r>
        <w:rPr>
          <w:iCs/>
          <w:szCs w:val="22"/>
        </w:rPr>
        <w:t>that loading</w:t>
      </w:r>
      <w:r w:rsidRPr="007539C4">
        <w:rPr>
          <w:iCs/>
          <w:szCs w:val="22"/>
        </w:rPr>
        <w:t xml:space="preserve"> shall be calculated using the number of time slots v</w:t>
      </w:r>
      <w:r>
        <w:rPr>
          <w:iCs/>
          <w:szCs w:val="22"/>
        </w:rPr>
        <w:t>ersus</w:t>
      </w:r>
      <w:r w:rsidRPr="00A930CD">
        <w:rPr>
          <w:i/>
          <w:iCs/>
          <w:szCs w:val="22"/>
        </w:rPr>
        <w:t xml:space="preserve"> </w:t>
      </w:r>
      <w:r w:rsidRPr="00A930CD">
        <w:rPr>
          <w:szCs w:val="22"/>
        </w:rPr>
        <w:t>th</w:t>
      </w:r>
      <w:r>
        <w:rPr>
          <w:szCs w:val="22"/>
        </w:rPr>
        <w:t>e number of 25 kHz frequencies (</w:t>
      </w:r>
      <w:r w:rsidRPr="007539C4">
        <w:rPr>
          <w:i/>
          <w:szCs w:val="22"/>
        </w:rPr>
        <w:t>e.g.</w:t>
      </w:r>
      <w:r>
        <w:rPr>
          <w:szCs w:val="22"/>
        </w:rPr>
        <w:t xml:space="preserve"> 400 mobiles qualify</w:t>
      </w:r>
      <w:r w:rsidRPr="00A930CD">
        <w:rPr>
          <w:szCs w:val="22"/>
        </w:rPr>
        <w:t xml:space="preserve"> for one 25 kHz frequency when the applicant is using 4-slot modulation technology</w:t>
      </w:r>
      <w:r>
        <w:rPr>
          <w:szCs w:val="22"/>
        </w:rPr>
        <w:t>)</w:t>
      </w:r>
      <w:r w:rsidRPr="009C68B4">
        <w:rPr>
          <w:szCs w:val="22"/>
        </w:rPr>
        <w:t>.</w:t>
      </w:r>
      <w:r>
        <w:rPr>
          <w:rStyle w:val="FootnoteReference"/>
          <w:szCs w:val="22"/>
        </w:rPr>
        <w:footnoteReference w:id="10"/>
      </w:r>
      <w:r w:rsidRPr="00A930CD">
        <w:rPr>
          <w:szCs w:val="22"/>
        </w:rPr>
        <w:t xml:space="preserve"> </w:t>
      </w:r>
    </w:p>
    <w:p w:rsidR="00986E79" w:rsidRPr="00C5144B" w:rsidRDefault="00986E79" w:rsidP="001A6528">
      <w:pPr>
        <w:pStyle w:val="ListParagraph"/>
        <w:spacing w:after="120"/>
        <w:ind w:left="1440"/>
        <w:rPr>
          <w:szCs w:val="22"/>
        </w:rPr>
      </w:pPr>
    </w:p>
    <w:p w:rsidR="00986E79" w:rsidRPr="00C5144B" w:rsidRDefault="00986E79" w:rsidP="001A6528">
      <w:pPr>
        <w:pStyle w:val="ListParagraph"/>
        <w:numPr>
          <w:ilvl w:val="0"/>
          <w:numId w:val="48"/>
        </w:numPr>
        <w:spacing w:after="120"/>
        <w:rPr>
          <w:szCs w:val="22"/>
        </w:rPr>
      </w:pPr>
      <w:r w:rsidRPr="00C5144B">
        <w:rPr>
          <w:szCs w:val="22"/>
        </w:rPr>
        <w:t xml:space="preserve">Section 6.1 (A) </w:t>
      </w:r>
      <w:r>
        <w:rPr>
          <w:szCs w:val="22"/>
        </w:rPr>
        <w:t>– Mutual</w:t>
      </w:r>
      <w:r w:rsidR="00C41A1F">
        <w:rPr>
          <w:szCs w:val="22"/>
        </w:rPr>
        <w:t xml:space="preserve"> Aid Calling Channel – clarified</w:t>
      </w:r>
      <w:r>
        <w:rPr>
          <w:szCs w:val="22"/>
        </w:rPr>
        <w:t xml:space="preserve"> that use of 8CALL90 channel may aid the Incident Command System (ICS) process as a coordination channel during emergencies</w:t>
      </w:r>
      <w:r w:rsidRPr="00C5144B">
        <w:rPr>
          <w:szCs w:val="22"/>
        </w:rPr>
        <w:t>.</w:t>
      </w:r>
      <w:r>
        <w:rPr>
          <w:rStyle w:val="FootnoteReference"/>
          <w:szCs w:val="22"/>
        </w:rPr>
        <w:footnoteReference w:id="11"/>
      </w:r>
      <w:r w:rsidRPr="00C5144B">
        <w:rPr>
          <w:szCs w:val="22"/>
        </w:rPr>
        <w:t xml:space="preserve"> </w:t>
      </w:r>
    </w:p>
    <w:p w:rsidR="00986E79" w:rsidRPr="00C5144B" w:rsidRDefault="00986E79" w:rsidP="001A6528">
      <w:pPr>
        <w:pStyle w:val="ListParagraph"/>
        <w:spacing w:after="120"/>
        <w:ind w:left="1440"/>
        <w:rPr>
          <w:szCs w:val="22"/>
        </w:rPr>
      </w:pPr>
    </w:p>
    <w:p w:rsidR="00986E79" w:rsidRDefault="00986E79" w:rsidP="001A6528">
      <w:pPr>
        <w:pStyle w:val="ListParagraph"/>
        <w:numPr>
          <w:ilvl w:val="0"/>
          <w:numId w:val="48"/>
        </w:numPr>
        <w:spacing w:after="120"/>
        <w:rPr>
          <w:szCs w:val="22"/>
        </w:rPr>
      </w:pPr>
      <w:r w:rsidRPr="00C5144B">
        <w:rPr>
          <w:szCs w:val="22"/>
        </w:rPr>
        <w:t>S</w:t>
      </w:r>
      <w:r>
        <w:rPr>
          <w:szCs w:val="22"/>
        </w:rPr>
        <w:t>ection 6.2.5 (D)(E)(F) – Mutual Aid Cha</w:t>
      </w:r>
      <w:r w:rsidR="00C41A1F">
        <w:rPr>
          <w:szCs w:val="22"/>
        </w:rPr>
        <w:t>nnel Equipment Requirements - was</w:t>
      </w:r>
      <w:r>
        <w:rPr>
          <w:szCs w:val="22"/>
        </w:rPr>
        <w:t xml:space="preserve"> modified by adding three new subsections: </w:t>
      </w:r>
    </w:p>
    <w:p w:rsidR="00986E79" w:rsidRPr="008E27F4" w:rsidRDefault="00986E79" w:rsidP="001A6528">
      <w:pPr>
        <w:pStyle w:val="ListParagraph"/>
        <w:numPr>
          <w:ilvl w:val="1"/>
          <w:numId w:val="48"/>
        </w:numPr>
        <w:autoSpaceDE w:val="0"/>
        <w:autoSpaceDN w:val="0"/>
        <w:spacing w:after="120"/>
        <w:ind w:left="1620" w:hanging="270"/>
      </w:pPr>
      <w:r w:rsidRPr="008E27F4">
        <w:rPr>
          <w:bCs/>
        </w:rPr>
        <w:t xml:space="preserve">D.  </w:t>
      </w:r>
      <w:r w:rsidRPr="008E27F4">
        <w:t>Repeat disable default upon power up shall be programmed in each mobile relay station (repeater).</w:t>
      </w:r>
    </w:p>
    <w:p w:rsidR="00986E79" w:rsidRPr="008E27F4" w:rsidRDefault="00986E79" w:rsidP="001A6528">
      <w:pPr>
        <w:pStyle w:val="ListParagraph"/>
        <w:numPr>
          <w:ilvl w:val="1"/>
          <w:numId w:val="48"/>
        </w:numPr>
        <w:autoSpaceDE w:val="0"/>
        <w:autoSpaceDN w:val="0"/>
        <w:spacing w:after="120"/>
        <w:ind w:left="1620" w:hanging="270"/>
      </w:pPr>
      <w:r w:rsidRPr="008E27F4">
        <w:rPr>
          <w:bCs/>
        </w:rPr>
        <w:t xml:space="preserve">E.  </w:t>
      </w:r>
      <w:r w:rsidRPr="008E27F4">
        <w:t>Repeater inactivity timer of 180 minutes (maximum) shall be programmed in each mobile relay station (repeater).</w:t>
      </w:r>
    </w:p>
    <w:p w:rsidR="00986E79" w:rsidRPr="001A6528" w:rsidRDefault="00986E79" w:rsidP="001A6528">
      <w:pPr>
        <w:pStyle w:val="ListParagraph"/>
        <w:numPr>
          <w:ilvl w:val="1"/>
          <w:numId w:val="48"/>
        </w:numPr>
        <w:autoSpaceDE w:val="0"/>
        <w:autoSpaceDN w:val="0"/>
        <w:spacing w:after="120"/>
        <w:ind w:left="1620" w:hanging="270"/>
      </w:pPr>
      <w:r w:rsidRPr="008E27F4">
        <w:rPr>
          <w:bCs/>
        </w:rPr>
        <w:t xml:space="preserve">F.  </w:t>
      </w:r>
      <w:r w:rsidRPr="008E27F4">
        <w:t>Repeater hang-time of 2 seconds shall be programmed in each mobile relay station (</w:t>
      </w:r>
      <w:r>
        <w:t>repeater)</w:t>
      </w:r>
      <w:r w:rsidRPr="00BA6230">
        <w:rPr>
          <w:szCs w:val="22"/>
        </w:rPr>
        <w:t>.</w:t>
      </w:r>
      <w:r>
        <w:rPr>
          <w:rStyle w:val="FootnoteReference"/>
          <w:szCs w:val="22"/>
        </w:rPr>
        <w:footnoteReference w:id="12"/>
      </w:r>
    </w:p>
    <w:p w:rsidR="001A6528" w:rsidRPr="001A6528" w:rsidRDefault="001A6528" w:rsidP="001A6528">
      <w:pPr>
        <w:pStyle w:val="ListParagraph"/>
        <w:autoSpaceDE w:val="0"/>
        <w:autoSpaceDN w:val="0"/>
        <w:spacing w:after="120"/>
        <w:ind w:left="1620"/>
      </w:pPr>
    </w:p>
    <w:p w:rsidR="00986E79" w:rsidRPr="00CE3B11" w:rsidRDefault="00986E79" w:rsidP="001A6528">
      <w:pPr>
        <w:pStyle w:val="ListParagraph"/>
        <w:numPr>
          <w:ilvl w:val="0"/>
          <w:numId w:val="48"/>
        </w:numPr>
        <w:spacing w:after="120"/>
        <w:rPr>
          <w:szCs w:val="22"/>
        </w:rPr>
      </w:pPr>
      <w:r w:rsidRPr="00CE3B11">
        <w:rPr>
          <w:szCs w:val="22"/>
        </w:rPr>
        <w:t xml:space="preserve">Section 8.3 </w:t>
      </w:r>
      <w:r w:rsidRPr="008657D6">
        <w:rPr>
          <w:szCs w:val="22"/>
        </w:rPr>
        <w:t xml:space="preserve">– </w:t>
      </w:r>
      <w:r w:rsidRPr="007539C4">
        <w:rPr>
          <w:bCs/>
          <w:szCs w:val="22"/>
        </w:rPr>
        <w:t>Applications for Special Temporary Authority</w:t>
      </w:r>
      <w:r w:rsidRPr="00CE3B11">
        <w:rPr>
          <w:b/>
          <w:bCs/>
          <w:szCs w:val="22"/>
        </w:rPr>
        <w:t xml:space="preserve"> - </w:t>
      </w:r>
      <w:r w:rsidR="00C41A1F">
        <w:rPr>
          <w:szCs w:val="22"/>
        </w:rPr>
        <w:t>noted</w:t>
      </w:r>
      <w:r w:rsidRPr="00CE3B11">
        <w:rPr>
          <w:szCs w:val="22"/>
        </w:rPr>
        <w:t xml:space="preserve"> that t</w:t>
      </w:r>
      <w:r w:rsidRPr="008657D6">
        <w:rPr>
          <w:szCs w:val="22"/>
        </w:rPr>
        <w:t>he ta</w:t>
      </w:r>
      <w:r w:rsidR="00C41A1F">
        <w:rPr>
          <w:szCs w:val="22"/>
        </w:rPr>
        <w:t>ble in new Appendix G identified</w:t>
      </w:r>
      <w:r w:rsidRPr="008657D6">
        <w:rPr>
          <w:szCs w:val="22"/>
        </w:rPr>
        <w:t xml:space="preserve"> the </w:t>
      </w:r>
      <w:r>
        <w:rPr>
          <w:szCs w:val="22"/>
        </w:rPr>
        <w:t xml:space="preserve">Region 9 </w:t>
      </w:r>
      <w:r w:rsidRPr="008657D6">
        <w:rPr>
          <w:szCs w:val="22"/>
        </w:rPr>
        <w:t>submittal requirements for STAs in contrast to regular applications</w:t>
      </w:r>
      <w:r w:rsidRPr="00A930CD">
        <w:rPr>
          <w:szCs w:val="22"/>
        </w:rPr>
        <w:t xml:space="preserve"> for permanent authority.</w:t>
      </w:r>
      <w:r w:rsidRPr="00CE3B11">
        <w:rPr>
          <w:rStyle w:val="FootnoteReference"/>
          <w:szCs w:val="22"/>
        </w:rPr>
        <w:footnoteReference w:id="13"/>
      </w:r>
      <w:r w:rsidRPr="00CE3B11">
        <w:rPr>
          <w:szCs w:val="22"/>
        </w:rPr>
        <w:t xml:space="preserve"> </w:t>
      </w:r>
    </w:p>
    <w:p w:rsidR="00986E79" w:rsidRPr="00CE3B11" w:rsidRDefault="00986E79" w:rsidP="001A6528">
      <w:pPr>
        <w:pStyle w:val="ListParagraph"/>
        <w:spacing w:after="120"/>
        <w:rPr>
          <w:szCs w:val="22"/>
        </w:rPr>
      </w:pPr>
    </w:p>
    <w:p w:rsidR="00986E79" w:rsidRPr="00CE3B11" w:rsidRDefault="00986E79" w:rsidP="001A6528">
      <w:pPr>
        <w:pStyle w:val="ListParagraph"/>
        <w:numPr>
          <w:ilvl w:val="0"/>
          <w:numId w:val="48"/>
        </w:numPr>
        <w:spacing w:after="120"/>
        <w:rPr>
          <w:szCs w:val="22"/>
        </w:rPr>
      </w:pPr>
      <w:r w:rsidRPr="008657D6">
        <w:rPr>
          <w:szCs w:val="22"/>
        </w:rPr>
        <w:t xml:space="preserve">Appendix G – </w:t>
      </w:r>
      <w:r w:rsidRPr="007539C4">
        <w:rPr>
          <w:bCs/>
          <w:szCs w:val="22"/>
        </w:rPr>
        <w:t>Region 9 Application(s) Submittal Requirements</w:t>
      </w:r>
      <w:r w:rsidRPr="007539C4">
        <w:rPr>
          <w:b/>
          <w:bCs/>
          <w:szCs w:val="22"/>
        </w:rPr>
        <w:t xml:space="preserve"> - </w:t>
      </w:r>
      <w:r w:rsidR="00B35B59">
        <w:rPr>
          <w:szCs w:val="22"/>
        </w:rPr>
        <w:t>clarified</w:t>
      </w:r>
      <w:r w:rsidR="00B35B59" w:rsidRPr="007539C4">
        <w:rPr>
          <w:szCs w:val="22"/>
        </w:rPr>
        <w:t xml:space="preserve"> </w:t>
      </w:r>
      <w:r w:rsidRPr="007539C4">
        <w:rPr>
          <w:szCs w:val="22"/>
        </w:rPr>
        <w:t xml:space="preserve">the documentation required for </w:t>
      </w:r>
      <w:r>
        <w:rPr>
          <w:szCs w:val="22"/>
        </w:rPr>
        <w:t xml:space="preserve">Region 9 review of proposed </w:t>
      </w:r>
      <w:r w:rsidRPr="007539C4">
        <w:rPr>
          <w:szCs w:val="22"/>
        </w:rPr>
        <w:t>STA and permanen</w:t>
      </w:r>
      <w:r w:rsidR="00BD7F4F">
        <w:rPr>
          <w:szCs w:val="22"/>
        </w:rPr>
        <w:t>t applications as well as cross-</w:t>
      </w:r>
      <w:r w:rsidRPr="007539C4">
        <w:rPr>
          <w:szCs w:val="22"/>
        </w:rPr>
        <w:t>references to the applicable sections in the Region 9 Plan.</w:t>
      </w:r>
      <w:r w:rsidRPr="007539C4">
        <w:rPr>
          <w:rStyle w:val="FootnoteReference"/>
          <w:szCs w:val="22"/>
        </w:rPr>
        <w:footnoteReference w:id="14"/>
      </w:r>
    </w:p>
    <w:p w:rsidR="00986E79" w:rsidRPr="00C5144B" w:rsidRDefault="00986E79" w:rsidP="001A6528">
      <w:pPr>
        <w:pStyle w:val="ListParagraph"/>
        <w:spacing w:after="120"/>
        <w:ind w:left="1440"/>
        <w:rPr>
          <w:szCs w:val="22"/>
        </w:rPr>
      </w:pPr>
    </w:p>
    <w:p w:rsidR="00707CE1" w:rsidRPr="00072AA6" w:rsidRDefault="00986E79" w:rsidP="00072AA6">
      <w:pPr>
        <w:pStyle w:val="ListParagraph"/>
        <w:numPr>
          <w:ilvl w:val="0"/>
          <w:numId w:val="48"/>
        </w:numPr>
        <w:spacing w:after="120"/>
        <w:rPr>
          <w:szCs w:val="22"/>
        </w:rPr>
      </w:pPr>
      <w:r w:rsidRPr="00C5144B">
        <w:rPr>
          <w:szCs w:val="22"/>
        </w:rPr>
        <w:t xml:space="preserve">All other changes were to update </w:t>
      </w:r>
      <w:r>
        <w:rPr>
          <w:szCs w:val="22"/>
        </w:rPr>
        <w:t>membership names or addresses.</w:t>
      </w:r>
    </w:p>
    <w:p w:rsidR="00F771F7" w:rsidRDefault="00207FE3" w:rsidP="007B0657">
      <w:pPr>
        <w:ind w:firstLine="720"/>
      </w:pPr>
      <w:r>
        <w:t xml:space="preserve">On July 21, 2014, </w:t>
      </w:r>
      <w:r w:rsidR="00333246">
        <w:t>we place</w:t>
      </w:r>
      <w:r w:rsidR="00FC0894">
        <w:t>d</w:t>
      </w:r>
      <w:r w:rsidR="00333246">
        <w:t xml:space="preserve"> </w:t>
      </w:r>
      <w:r>
        <w:t>the Region 9</w:t>
      </w:r>
      <w:r w:rsidR="004275FD">
        <w:t xml:space="preserve"> Plan Amendment on </w:t>
      </w:r>
      <w:r w:rsidR="004275FD">
        <w:rPr>
          <w:i/>
          <w:iCs/>
        </w:rPr>
        <w:t>Public Notice</w:t>
      </w:r>
      <w:r w:rsidR="004275FD">
        <w:t xml:space="preserve"> for comment.</w:t>
      </w:r>
      <w:r w:rsidR="004275FD">
        <w:rPr>
          <w:rStyle w:val="FootnoteReference"/>
        </w:rPr>
        <w:footnoteReference w:id="15"/>
      </w:r>
      <w:r w:rsidR="00101971">
        <w:t xml:space="preserve">  We received one comment </w:t>
      </w:r>
      <w:r w:rsidR="001A06A7">
        <w:t xml:space="preserve">specifically </w:t>
      </w:r>
      <w:r w:rsidR="00101971">
        <w:t xml:space="preserve">in support of the amendment to </w:t>
      </w:r>
      <w:r w:rsidR="00101971">
        <w:rPr>
          <w:szCs w:val="22"/>
        </w:rPr>
        <w:t xml:space="preserve">Sections 5.1.8 (B) and (D)(a) – Channel Loading Requirements </w:t>
      </w:r>
      <w:r w:rsidR="00101971">
        <w:t xml:space="preserve">Amendment, from </w:t>
      </w:r>
      <w:r w:rsidR="00007775">
        <w:t xml:space="preserve">the </w:t>
      </w:r>
      <w:r w:rsidR="00101971">
        <w:t>Region 13</w:t>
      </w:r>
      <w:r w:rsidR="000C0FA2">
        <w:t xml:space="preserve"> (Illinois)</w:t>
      </w:r>
      <w:r w:rsidR="00007775">
        <w:t xml:space="preserve"> and National Regional Planning </w:t>
      </w:r>
      <w:r w:rsidR="006F4B34">
        <w:t>Council (NRPC)</w:t>
      </w:r>
      <w:r w:rsidR="00007775">
        <w:t xml:space="preserve"> Chairperson</w:t>
      </w:r>
      <w:r w:rsidR="00101971">
        <w:t>.</w:t>
      </w:r>
      <w:r w:rsidR="000C0FA2">
        <w:rPr>
          <w:rStyle w:val="FootnoteReference"/>
        </w:rPr>
        <w:footnoteReference w:id="16"/>
      </w:r>
      <w:r w:rsidR="00101971">
        <w:t xml:space="preserve"> </w:t>
      </w:r>
      <w:r w:rsidR="004275FD">
        <w:t xml:space="preserve"> </w:t>
      </w:r>
    </w:p>
    <w:p w:rsidR="00F771F7" w:rsidRDefault="00F771F7" w:rsidP="007B0657">
      <w:pPr>
        <w:ind w:firstLine="720"/>
      </w:pPr>
    </w:p>
    <w:p w:rsidR="00F771F7" w:rsidRDefault="00F771F7" w:rsidP="00F771F7">
      <w:pPr>
        <w:ind w:firstLine="720"/>
        <w:rPr>
          <w:color w:val="000000"/>
          <w:sz w:val="20"/>
        </w:rPr>
      </w:pPr>
      <w:r w:rsidRPr="00F771F7">
        <w:rPr>
          <w:i/>
        </w:rPr>
        <w:t>Decision</w:t>
      </w:r>
      <w:r>
        <w:t xml:space="preserve">.  </w:t>
      </w:r>
      <w:r w:rsidR="004275FD">
        <w:t xml:space="preserve">We have reviewed the Region </w:t>
      </w:r>
      <w:r w:rsidR="00101971">
        <w:t>9</w:t>
      </w:r>
      <w:r w:rsidR="004275FD">
        <w:t xml:space="preserve"> Plan Amendment</w:t>
      </w:r>
      <w:r w:rsidR="007B0657" w:rsidRPr="007B0657">
        <w:t xml:space="preserve"> </w:t>
      </w:r>
      <w:r w:rsidR="007B0657">
        <w:t>and supporting comment</w:t>
      </w:r>
      <w:r w:rsidR="004275FD">
        <w:rPr>
          <w:szCs w:val="22"/>
        </w:rPr>
        <w:t>, and conclude, based on the information before us that it complies with Commission rules and policies</w:t>
      </w:r>
      <w:r w:rsidR="008F2695">
        <w:rPr>
          <w:szCs w:val="22"/>
        </w:rPr>
        <w:t>, except with regard to the proposed changes to loading requirements for TDMA</w:t>
      </w:r>
      <w:r w:rsidR="00C81FB3">
        <w:rPr>
          <w:szCs w:val="22"/>
        </w:rPr>
        <w:t xml:space="preserve"> and FDMA</w:t>
      </w:r>
      <w:r w:rsidR="008F2695">
        <w:rPr>
          <w:szCs w:val="22"/>
        </w:rPr>
        <w:t xml:space="preserve"> systems</w:t>
      </w:r>
      <w:r w:rsidR="007F4D07">
        <w:rPr>
          <w:color w:val="000000"/>
          <w:sz w:val="20"/>
        </w:rPr>
        <w:t>.</w:t>
      </w:r>
      <w:r w:rsidR="004F3036" w:rsidRPr="00C302F4">
        <w:rPr>
          <w:color w:val="000000"/>
          <w:sz w:val="20"/>
        </w:rPr>
        <w:t xml:space="preserve"> </w:t>
      </w:r>
    </w:p>
    <w:p w:rsidR="00F771F7" w:rsidRDefault="00F771F7" w:rsidP="00F771F7">
      <w:pPr>
        <w:ind w:firstLine="720"/>
        <w:rPr>
          <w:color w:val="000000"/>
          <w:sz w:val="20"/>
        </w:rPr>
      </w:pPr>
    </w:p>
    <w:p w:rsidR="007B0657" w:rsidRPr="00F771F7" w:rsidRDefault="006614D6" w:rsidP="00F771F7">
      <w:pPr>
        <w:ind w:firstLine="720"/>
      </w:pPr>
      <w:r w:rsidRPr="008F4BDE">
        <w:rPr>
          <w:color w:val="000000"/>
          <w:szCs w:val="22"/>
        </w:rPr>
        <w:t>Presently,</w:t>
      </w:r>
      <w:r>
        <w:rPr>
          <w:color w:val="000000"/>
          <w:sz w:val="20"/>
        </w:rPr>
        <w:t xml:space="preserve"> </w:t>
      </w:r>
      <w:r w:rsidR="00471EC3">
        <w:rPr>
          <w:color w:val="000000"/>
          <w:szCs w:val="22"/>
        </w:rPr>
        <w:t>Section 90.631</w:t>
      </w:r>
      <w:r w:rsidR="00E356D0">
        <w:rPr>
          <w:color w:val="000000"/>
          <w:szCs w:val="22"/>
        </w:rPr>
        <w:t>(a)</w:t>
      </w:r>
      <w:r w:rsidR="00471EC3">
        <w:rPr>
          <w:color w:val="000000"/>
          <w:szCs w:val="22"/>
        </w:rPr>
        <w:t xml:space="preserve"> of the Commission’s Rules provides that non-SMR trunked systems will be authorized on the basis of certain number of mobile stations per channel</w:t>
      </w:r>
      <w:r w:rsidR="00D878D7">
        <w:rPr>
          <w:color w:val="000000"/>
          <w:szCs w:val="22"/>
        </w:rPr>
        <w:t xml:space="preserve"> (</w:t>
      </w:r>
      <w:r w:rsidR="00D878D7" w:rsidRPr="008F4BDE">
        <w:rPr>
          <w:i/>
          <w:color w:val="000000"/>
          <w:szCs w:val="22"/>
        </w:rPr>
        <w:t>e.g.</w:t>
      </w:r>
      <w:r w:rsidR="00D878D7">
        <w:rPr>
          <w:color w:val="000000"/>
          <w:szCs w:val="22"/>
        </w:rPr>
        <w:t xml:space="preserve"> 100 mobile stations per channel)</w:t>
      </w:r>
      <w:r w:rsidR="00471EC3">
        <w:rPr>
          <w:color w:val="000000"/>
          <w:szCs w:val="22"/>
        </w:rPr>
        <w:t>.</w:t>
      </w:r>
      <w:r w:rsidR="00D878D7">
        <w:rPr>
          <w:rStyle w:val="FootnoteReference"/>
          <w:color w:val="000000"/>
          <w:szCs w:val="22"/>
        </w:rPr>
        <w:footnoteReference w:id="17"/>
      </w:r>
      <w:r w:rsidR="00471EC3">
        <w:rPr>
          <w:color w:val="000000"/>
          <w:szCs w:val="22"/>
        </w:rPr>
        <w:t xml:space="preserve"> </w:t>
      </w:r>
      <w:r w:rsidR="007B0657">
        <w:rPr>
          <w:color w:val="000000"/>
          <w:szCs w:val="22"/>
        </w:rPr>
        <w:t xml:space="preserve"> </w:t>
      </w:r>
      <w:r w:rsidR="00FF2835">
        <w:rPr>
          <w:color w:val="000000"/>
          <w:szCs w:val="22"/>
        </w:rPr>
        <w:t xml:space="preserve">The rule does not speak to the number of voice or data paths that can be achieved through use of TDMA or FDMA technology; but only to the number of mobile </w:t>
      </w:r>
      <w:r w:rsidR="00FF2835" w:rsidRPr="00F4551D">
        <w:rPr>
          <w:color w:val="000000"/>
          <w:szCs w:val="22"/>
          <w:u w:val="single"/>
        </w:rPr>
        <w:t>stations</w:t>
      </w:r>
      <w:r w:rsidR="00FF2835">
        <w:rPr>
          <w:color w:val="000000"/>
          <w:szCs w:val="22"/>
        </w:rPr>
        <w:t xml:space="preserve"> per channel.  Region 9, however, </w:t>
      </w:r>
      <w:r w:rsidR="00762CB2">
        <w:rPr>
          <w:color w:val="000000"/>
          <w:szCs w:val="22"/>
        </w:rPr>
        <w:t xml:space="preserve">would construe the rule to </w:t>
      </w:r>
      <w:r w:rsidR="00D02E3B">
        <w:rPr>
          <w:color w:val="000000"/>
          <w:szCs w:val="22"/>
        </w:rPr>
        <w:t xml:space="preserve">apply to </w:t>
      </w:r>
      <w:r w:rsidR="00762CB2">
        <w:rPr>
          <w:color w:val="000000"/>
          <w:szCs w:val="22"/>
        </w:rPr>
        <w:t>the number of voice/data paths per channel</w:t>
      </w:r>
      <w:r w:rsidR="00D02E3B">
        <w:rPr>
          <w:color w:val="000000"/>
          <w:szCs w:val="22"/>
        </w:rPr>
        <w:t xml:space="preserve">, </w:t>
      </w:r>
      <w:r w:rsidR="00762CB2">
        <w:rPr>
          <w:color w:val="000000"/>
          <w:szCs w:val="22"/>
        </w:rPr>
        <w:t xml:space="preserve">such that a four-slot TDMA system, for example, would be required to be loaded with 400 </w:t>
      </w:r>
      <w:r w:rsidR="00CE720A">
        <w:rPr>
          <w:color w:val="000000"/>
          <w:szCs w:val="22"/>
        </w:rPr>
        <w:t>mobile stations</w:t>
      </w:r>
      <w:r w:rsidR="00663B22">
        <w:rPr>
          <w:color w:val="000000"/>
          <w:szCs w:val="22"/>
        </w:rPr>
        <w:t>.</w:t>
      </w:r>
      <w:r w:rsidR="00127240">
        <w:rPr>
          <w:color w:val="000000"/>
          <w:szCs w:val="22"/>
        </w:rPr>
        <w:t xml:space="preserve">  We do not agree with Region 9’s construction of the rule because we cannot</w:t>
      </w:r>
      <w:r w:rsidR="007F4D07">
        <w:rPr>
          <w:color w:val="000000"/>
          <w:szCs w:val="22"/>
        </w:rPr>
        <w:t xml:space="preserve"> logically</w:t>
      </w:r>
      <w:r w:rsidR="00127240">
        <w:rPr>
          <w:color w:val="000000"/>
          <w:szCs w:val="22"/>
        </w:rPr>
        <w:t xml:space="preserve"> equate voice/data paths with “</w:t>
      </w:r>
      <w:r w:rsidR="00CE720A">
        <w:rPr>
          <w:color w:val="000000"/>
          <w:szCs w:val="22"/>
        </w:rPr>
        <w:t>channels</w:t>
      </w:r>
      <w:r w:rsidR="00127240">
        <w:rPr>
          <w:color w:val="000000"/>
          <w:szCs w:val="22"/>
        </w:rPr>
        <w:t xml:space="preserve">.”  It may be, however, that the </w:t>
      </w:r>
      <w:r w:rsidR="00D02E3B">
        <w:rPr>
          <w:color w:val="000000"/>
          <w:szCs w:val="22"/>
        </w:rPr>
        <w:t xml:space="preserve">public interest favors the construction given the rule by Region 9 and the </w:t>
      </w:r>
      <w:r w:rsidR="00127240">
        <w:rPr>
          <w:color w:val="000000"/>
          <w:szCs w:val="22"/>
        </w:rPr>
        <w:t xml:space="preserve">rule should be amended </w:t>
      </w:r>
      <w:r w:rsidR="00D02E3B">
        <w:rPr>
          <w:color w:val="000000"/>
          <w:szCs w:val="22"/>
        </w:rPr>
        <w:t xml:space="preserve">accordingly.  </w:t>
      </w:r>
      <w:r w:rsidR="00127240">
        <w:rPr>
          <w:color w:val="000000"/>
          <w:szCs w:val="22"/>
        </w:rPr>
        <w:t xml:space="preserve">In that event, the proper means of doing so is the submission of a petition for rule making, </w:t>
      </w:r>
      <w:r w:rsidR="00663B22">
        <w:rPr>
          <w:color w:val="000000"/>
          <w:szCs w:val="22"/>
        </w:rPr>
        <w:t>pursuant to Section 1.401 of the Commission’s rules,</w:t>
      </w:r>
      <w:r w:rsidR="00663B22">
        <w:rPr>
          <w:rStyle w:val="FootnoteReference"/>
          <w:color w:val="000000"/>
          <w:szCs w:val="22"/>
        </w:rPr>
        <w:footnoteReference w:id="18"/>
      </w:r>
      <w:r w:rsidR="00663B22">
        <w:rPr>
          <w:color w:val="000000"/>
          <w:szCs w:val="22"/>
        </w:rPr>
        <w:t xml:space="preserve"> </w:t>
      </w:r>
      <w:r w:rsidR="00127240">
        <w:rPr>
          <w:color w:val="000000"/>
          <w:szCs w:val="22"/>
        </w:rPr>
        <w:t xml:space="preserve">providing </w:t>
      </w:r>
      <w:r w:rsidR="003E7A6B">
        <w:rPr>
          <w:color w:val="000000"/>
          <w:szCs w:val="22"/>
        </w:rPr>
        <w:t xml:space="preserve">the </w:t>
      </w:r>
      <w:r w:rsidR="00127240">
        <w:rPr>
          <w:color w:val="000000"/>
          <w:szCs w:val="22"/>
        </w:rPr>
        <w:t xml:space="preserve">notice and opportunity </w:t>
      </w:r>
      <w:r w:rsidR="007F4D07">
        <w:rPr>
          <w:color w:val="000000"/>
          <w:szCs w:val="22"/>
        </w:rPr>
        <w:t xml:space="preserve">for public </w:t>
      </w:r>
      <w:r w:rsidR="00127240">
        <w:rPr>
          <w:color w:val="000000"/>
          <w:szCs w:val="22"/>
        </w:rPr>
        <w:t>comment dictated by the Administrative Procedure Act.</w:t>
      </w:r>
      <w:r w:rsidR="00127240">
        <w:rPr>
          <w:rStyle w:val="FootnoteReference"/>
          <w:color w:val="000000"/>
          <w:szCs w:val="22"/>
        </w:rPr>
        <w:footnoteReference w:id="19"/>
      </w:r>
      <w:r w:rsidR="007F4D07">
        <w:rPr>
          <w:color w:val="000000"/>
          <w:szCs w:val="22"/>
        </w:rPr>
        <w:t xml:space="preserve">  Accordingly we disapprove </w:t>
      </w:r>
      <w:r w:rsidR="00663B22" w:rsidRPr="00663B22">
        <w:rPr>
          <w:color w:val="000000"/>
          <w:szCs w:val="22"/>
        </w:rPr>
        <w:t xml:space="preserve">Sections 5.1.8 (B) and (D)(a) – Channel Loading Requirements </w:t>
      </w:r>
      <w:r w:rsidR="00663B22">
        <w:rPr>
          <w:color w:val="000000"/>
          <w:szCs w:val="22"/>
        </w:rPr>
        <w:t>– of the p</w:t>
      </w:r>
      <w:r w:rsidR="007F4D07">
        <w:rPr>
          <w:color w:val="000000"/>
          <w:szCs w:val="22"/>
        </w:rPr>
        <w:t>lan amendment</w:t>
      </w:r>
      <w:r w:rsidR="00663B22">
        <w:rPr>
          <w:color w:val="000000"/>
          <w:szCs w:val="22"/>
        </w:rPr>
        <w:t>.</w:t>
      </w:r>
      <w:r w:rsidR="007F4D07">
        <w:rPr>
          <w:color w:val="000000"/>
          <w:szCs w:val="22"/>
        </w:rPr>
        <w:t xml:space="preserve"> </w:t>
      </w:r>
      <w:r w:rsidR="007B0657">
        <w:rPr>
          <w:color w:val="000000"/>
          <w:szCs w:val="22"/>
        </w:rPr>
        <w:t xml:space="preserve"> </w:t>
      </w:r>
      <w:r w:rsidR="00471EC3">
        <w:rPr>
          <w:color w:val="000000"/>
          <w:szCs w:val="22"/>
        </w:rPr>
        <w:t xml:space="preserve"> </w:t>
      </w:r>
    </w:p>
    <w:p w:rsidR="006F4B34" w:rsidRDefault="00E356D0" w:rsidP="0033126B">
      <w:pPr>
        <w:ind w:firstLine="720"/>
        <w:rPr>
          <w:color w:val="000000"/>
          <w:szCs w:val="22"/>
        </w:rPr>
      </w:pPr>
      <w:r>
        <w:rPr>
          <w:color w:val="000000"/>
          <w:szCs w:val="22"/>
        </w:rPr>
        <w:t xml:space="preserve">  </w:t>
      </w:r>
    </w:p>
    <w:p w:rsidR="004275FD" w:rsidRDefault="004275FD">
      <w:pPr>
        <w:ind w:firstLine="720"/>
        <w:rPr>
          <w:szCs w:val="22"/>
        </w:rPr>
      </w:pPr>
      <w:r>
        <w:rPr>
          <w:szCs w:val="22"/>
        </w:rPr>
        <w:t>Accordingly, pursuant to Section 4(i) of the Communications Act of 1934, as amended, 47 U.S.C. § 154(i), and Section 1.102(b) of the Commission’s rules, 47 C.F</w:t>
      </w:r>
      <w:r w:rsidR="00B76222">
        <w:rPr>
          <w:szCs w:val="22"/>
        </w:rPr>
        <w:t>.R. § 1</w:t>
      </w:r>
      <w:r w:rsidR="00101971">
        <w:rPr>
          <w:szCs w:val="22"/>
        </w:rPr>
        <w:t>.102(b), the Region 9</w:t>
      </w:r>
      <w:r w:rsidR="00B76222">
        <w:rPr>
          <w:szCs w:val="22"/>
        </w:rPr>
        <w:t xml:space="preserve"> </w:t>
      </w:r>
      <w:r w:rsidR="00101971">
        <w:rPr>
          <w:szCs w:val="22"/>
        </w:rPr>
        <w:t>(Florida</w:t>
      </w:r>
      <w:r>
        <w:rPr>
          <w:szCs w:val="22"/>
        </w:rPr>
        <w:t xml:space="preserve">) </w:t>
      </w:r>
      <w:r w:rsidR="00660947">
        <w:rPr>
          <w:szCs w:val="22"/>
        </w:rPr>
        <w:t xml:space="preserve">800 MHz NPSPAC </w:t>
      </w:r>
      <w:r>
        <w:rPr>
          <w:szCs w:val="22"/>
        </w:rPr>
        <w:t>Public Safety</w:t>
      </w:r>
      <w:r w:rsidR="007228E8">
        <w:rPr>
          <w:szCs w:val="22"/>
        </w:rPr>
        <w:t xml:space="preserve"> Plan Amendment </w:t>
      </w:r>
      <w:r w:rsidR="004B4B51">
        <w:rPr>
          <w:szCs w:val="22"/>
        </w:rPr>
        <w:t>IS</w:t>
      </w:r>
      <w:r w:rsidR="007228E8">
        <w:rPr>
          <w:szCs w:val="22"/>
        </w:rPr>
        <w:t xml:space="preserve"> APPROVED</w:t>
      </w:r>
      <w:r w:rsidR="008F2695">
        <w:rPr>
          <w:szCs w:val="22"/>
        </w:rPr>
        <w:t xml:space="preserve"> IN PART AND DENIED IN PART</w:t>
      </w:r>
      <w:r>
        <w:rPr>
          <w:szCs w:val="22"/>
        </w:rPr>
        <w:t>.</w:t>
      </w:r>
    </w:p>
    <w:p w:rsidR="004275FD" w:rsidRDefault="004275FD">
      <w:pPr>
        <w:ind w:firstLine="720"/>
        <w:rPr>
          <w:szCs w:val="22"/>
        </w:rPr>
      </w:pPr>
    </w:p>
    <w:p w:rsidR="004275FD" w:rsidRDefault="004275FD">
      <w:pPr>
        <w:tabs>
          <w:tab w:val="left" w:pos="-720"/>
        </w:tabs>
        <w:suppressAutoHyphens/>
        <w:rPr>
          <w:szCs w:val="22"/>
        </w:rPr>
      </w:pPr>
      <w:r>
        <w:rPr>
          <w:szCs w:val="22"/>
        </w:rPr>
        <w:tab/>
        <w:t>We take this action under delegated authority pursuant to Sections 0.191 and 0.392 of the Commission’s rules, 47 C.F.R. §§ 0.191, 0.392.</w:t>
      </w:r>
    </w:p>
    <w:p w:rsidR="004275FD" w:rsidRDefault="004275FD">
      <w:pPr>
        <w:tabs>
          <w:tab w:val="left" w:pos="-720"/>
        </w:tabs>
        <w:suppressAutoHyphens/>
        <w:jc w:val="both"/>
        <w:rPr>
          <w:szCs w:val="22"/>
        </w:rPr>
      </w:pPr>
    </w:p>
    <w:p w:rsidR="004275FD" w:rsidRDefault="004275FD">
      <w:pPr>
        <w:pStyle w:val="NormalWeb"/>
        <w:spacing w:before="0" w:beforeAutospacing="0" w:after="0" w:afterAutospacing="0"/>
        <w:ind w:firstLine="720"/>
      </w:pPr>
      <w:r>
        <w:rPr>
          <w:sz w:val="22"/>
          <w:szCs w:val="22"/>
        </w:rPr>
        <w:t>Action by the Chief, Policy and Licensing Division, Public Safety and Homeland Security Bureau.</w:t>
      </w:r>
    </w:p>
    <w:p w:rsidR="004275FD" w:rsidRDefault="004275FD">
      <w:pPr>
        <w:ind w:firstLine="720"/>
      </w:pPr>
    </w:p>
    <w:p w:rsidR="004275FD" w:rsidRDefault="004275FD">
      <w:pPr>
        <w:autoSpaceDE w:val="0"/>
        <w:autoSpaceDN w:val="0"/>
        <w:adjustRightInd w:val="0"/>
        <w:jc w:val="center"/>
        <w:rPr>
          <w:color w:val="000000"/>
          <w:szCs w:val="22"/>
        </w:rPr>
      </w:pPr>
      <w:r>
        <w:t>- FCC -</w:t>
      </w:r>
    </w:p>
    <w:p w:rsidR="004275FD" w:rsidRDefault="004275FD">
      <w:pPr>
        <w:autoSpaceDE w:val="0"/>
        <w:autoSpaceDN w:val="0"/>
        <w:adjustRightInd w:val="0"/>
        <w:jc w:val="center"/>
        <w:rPr>
          <w:color w:val="000000"/>
          <w:szCs w:val="22"/>
        </w:rPr>
      </w:pPr>
    </w:p>
    <w:sectPr w:rsidR="004275FD">
      <w:type w:val="continuous"/>
      <w:pgSz w:w="12240" w:h="15840" w:code="1"/>
      <w:pgMar w:top="144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2F5" w:rsidRDefault="002B52F5">
      <w:r>
        <w:separator/>
      </w:r>
    </w:p>
  </w:endnote>
  <w:endnote w:type="continuationSeparator" w:id="0">
    <w:p w:rsidR="002B52F5" w:rsidRDefault="002B52F5">
      <w:r>
        <w:continuationSeparator/>
      </w:r>
    </w:p>
  </w:endnote>
  <w:endnote w:type="continuationNotice" w:id="1">
    <w:p w:rsidR="002B52F5" w:rsidRDefault="002B52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E6" w:rsidRDefault="00485F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85FE6" w:rsidRDefault="00485F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E6" w:rsidRPr="001049A6" w:rsidRDefault="00485FE6">
    <w:pPr>
      <w:pStyle w:val="Footer"/>
      <w:framePr w:wrap="around" w:vAnchor="text" w:hAnchor="margin" w:xAlign="center" w:y="1"/>
      <w:rPr>
        <w:rStyle w:val="PageNumber"/>
        <w:szCs w:val="22"/>
      </w:rPr>
    </w:pPr>
    <w:r w:rsidRPr="001049A6">
      <w:rPr>
        <w:rStyle w:val="PageNumber"/>
        <w:szCs w:val="22"/>
      </w:rPr>
      <w:fldChar w:fldCharType="begin"/>
    </w:r>
    <w:r w:rsidRPr="001049A6">
      <w:rPr>
        <w:rStyle w:val="PageNumber"/>
        <w:szCs w:val="22"/>
      </w:rPr>
      <w:instrText xml:space="preserve">PAGE  </w:instrText>
    </w:r>
    <w:r w:rsidRPr="001049A6">
      <w:rPr>
        <w:rStyle w:val="PageNumber"/>
        <w:szCs w:val="22"/>
      </w:rPr>
      <w:fldChar w:fldCharType="separate"/>
    </w:r>
    <w:r w:rsidR="00DB31BB">
      <w:rPr>
        <w:rStyle w:val="PageNumber"/>
        <w:noProof/>
        <w:szCs w:val="22"/>
      </w:rPr>
      <w:t>2</w:t>
    </w:r>
    <w:r w:rsidRPr="001049A6">
      <w:rPr>
        <w:rStyle w:val="PageNumber"/>
        <w:szCs w:val="22"/>
      </w:rPr>
      <w:fldChar w:fldCharType="end"/>
    </w:r>
  </w:p>
  <w:p w:rsidR="00485FE6" w:rsidRDefault="00485F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D9" w:rsidRDefault="00BF67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2F5" w:rsidRDefault="002B52F5">
      <w:r>
        <w:separator/>
      </w:r>
    </w:p>
  </w:footnote>
  <w:footnote w:type="continuationSeparator" w:id="0">
    <w:p w:rsidR="002B52F5" w:rsidRDefault="002B52F5">
      <w:r>
        <w:continuationSeparator/>
      </w:r>
    </w:p>
  </w:footnote>
  <w:footnote w:type="continuationNotice" w:id="1">
    <w:p w:rsidR="002B52F5" w:rsidRDefault="002B52F5"/>
  </w:footnote>
  <w:footnote w:id="2">
    <w:p w:rsidR="00B23F45" w:rsidRDefault="00B23F45" w:rsidP="00B23F45">
      <w:pPr>
        <w:pStyle w:val="FootnoteText"/>
        <w:spacing w:after="120"/>
      </w:pPr>
      <w:r w:rsidRPr="00AE1F35">
        <w:rPr>
          <w:rStyle w:val="FootnoteReference"/>
          <w:sz w:val="20"/>
        </w:rPr>
        <w:footnoteRef/>
      </w:r>
      <w:r>
        <w:rPr>
          <w:sz w:val="20"/>
        </w:rPr>
        <w:t xml:space="preserve"> The Region 9</w:t>
      </w:r>
      <w:r w:rsidRPr="00AE1F35">
        <w:rPr>
          <w:sz w:val="20"/>
        </w:rPr>
        <w:t xml:space="preserve"> (</w:t>
      </w:r>
      <w:r>
        <w:rPr>
          <w:sz w:val="20"/>
        </w:rPr>
        <w:t>Florida</w:t>
      </w:r>
      <w:r w:rsidRPr="00AE1F35">
        <w:rPr>
          <w:sz w:val="20"/>
        </w:rPr>
        <w:t xml:space="preserve">) 800 MHz regional planning area consists of </w:t>
      </w:r>
      <w:r>
        <w:rPr>
          <w:sz w:val="20"/>
        </w:rPr>
        <w:t xml:space="preserve">the entire state of Florida.  </w:t>
      </w:r>
      <w:r w:rsidRPr="00AE1F35">
        <w:rPr>
          <w:sz w:val="20"/>
        </w:rPr>
        <w:t xml:space="preserve">   </w:t>
      </w:r>
    </w:p>
  </w:footnote>
  <w:footnote w:id="3">
    <w:p w:rsidR="00B23F45" w:rsidRPr="00B74CB8" w:rsidRDefault="00B23F45" w:rsidP="00B23F45">
      <w:pPr>
        <w:widowControl w:val="0"/>
        <w:spacing w:after="120"/>
        <w:ind w:right="-18"/>
        <w:rPr>
          <w:sz w:val="20"/>
        </w:rPr>
      </w:pPr>
      <w:r w:rsidRPr="00AE1F35">
        <w:rPr>
          <w:rStyle w:val="FootnoteReference"/>
          <w:sz w:val="20"/>
        </w:rPr>
        <w:footnoteRef/>
      </w:r>
      <w:r w:rsidRPr="00AE1F35">
        <w:rPr>
          <w:sz w:val="20"/>
        </w:rPr>
        <w:t xml:space="preserve"> </w:t>
      </w:r>
      <w:r w:rsidRPr="00B74CB8">
        <w:rPr>
          <w:i/>
          <w:sz w:val="20"/>
        </w:rPr>
        <w:t xml:space="preserve">See </w:t>
      </w:r>
      <w:r w:rsidRPr="00B74CB8">
        <w:rPr>
          <w:sz w:val="20"/>
        </w:rPr>
        <w:t xml:space="preserve">Letter from Ray Carlson, Chair, Region 9 (Florida) 800 MHz Regional Planning Committee, to the Federal Communications Commission, Public Safety and Homeland Security Bureau (PSHSB), PR Docket No. 93-119 (filed Mar. 7, 2014) (Plan Amendment).  On May 29, 2014, Region 9 emailed staff to correct a reference to Section 6.2.5 to read </w:t>
      </w:r>
      <w:r w:rsidRPr="00B74CB8">
        <w:rPr>
          <w:bCs/>
          <w:sz w:val="20"/>
        </w:rPr>
        <w:t>Section 6.2.5 (C)(D)(E).</w:t>
      </w:r>
    </w:p>
  </w:footnote>
  <w:footnote w:id="4">
    <w:p w:rsidR="00B23F45" w:rsidRDefault="00B23F45" w:rsidP="00B23F45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</w:rPr>
        <w:t xml:space="preserve">The Region 9 (Florida) 800 MHz NPSPAC </w:t>
      </w:r>
      <w:r w:rsidRPr="001E52D8">
        <w:rPr>
          <w:sz w:val="20"/>
        </w:rPr>
        <w:t xml:space="preserve">Plan </w:t>
      </w:r>
      <w:r>
        <w:rPr>
          <w:sz w:val="20"/>
        </w:rPr>
        <w:t xml:space="preserve">was </w:t>
      </w:r>
      <w:r w:rsidR="00FF6750">
        <w:rPr>
          <w:sz w:val="20"/>
        </w:rPr>
        <w:t xml:space="preserve">last </w:t>
      </w:r>
      <w:r>
        <w:rPr>
          <w:sz w:val="20"/>
        </w:rPr>
        <w:t>amended in 2009</w:t>
      </w:r>
      <w:r w:rsidR="005903CC">
        <w:rPr>
          <w:sz w:val="20"/>
        </w:rPr>
        <w:t>.</w:t>
      </w:r>
      <w:r>
        <w:rPr>
          <w:sz w:val="20"/>
        </w:rPr>
        <w:t xml:space="preserve"> </w:t>
      </w:r>
      <w:r w:rsidR="005903CC">
        <w:rPr>
          <w:i/>
          <w:sz w:val="20"/>
        </w:rPr>
        <w:t>S</w:t>
      </w:r>
      <w:r w:rsidRPr="003733CF">
        <w:rPr>
          <w:i/>
          <w:sz w:val="20"/>
        </w:rPr>
        <w:t xml:space="preserve">ee </w:t>
      </w:r>
      <w:r w:rsidRPr="003733CF">
        <w:rPr>
          <w:sz w:val="20"/>
        </w:rPr>
        <w:t xml:space="preserve">Public Safety and Homeland Security Bureau Approves Region 9 (Florida) NSPAC Regional Planning Committee Non-Streamlined Amendment to Reflect 800 MHz </w:t>
      </w:r>
      <w:r>
        <w:rPr>
          <w:sz w:val="20"/>
        </w:rPr>
        <w:t>Band Reconfiguration in the 806-809/</w:t>
      </w:r>
      <w:r w:rsidRPr="003733CF">
        <w:rPr>
          <w:sz w:val="20"/>
        </w:rPr>
        <w:t>851-854,</w:t>
      </w:r>
      <w:r w:rsidRPr="003733CF">
        <w:rPr>
          <w:i/>
          <w:sz w:val="20"/>
        </w:rPr>
        <w:t xml:space="preserve"> </w:t>
      </w:r>
      <w:r w:rsidRPr="003733CF">
        <w:rPr>
          <w:sz w:val="20"/>
        </w:rPr>
        <w:t xml:space="preserve">WT Docket No. 02-55, PR Docket No. 90-119, </w:t>
      </w:r>
      <w:r w:rsidRPr="003733CF">
        <w:rPr>
          <w:i/>
          <w:sz w:val="20"/>
        </w:rPr>
        <w:t>Public Notice,</w:t>
      </w:r>
      <w:r w:rsidRPr="003733CF">
        <w:rPr>
          <w:sz w:val="20"/>
        </w:rPr>
        <w:t xml:space="preserve"> 24 FCC Rcd 13840 (PSHSB 2009).</w:t>
      </w:r>
    </w:p>
  </w:footnote>
  <w:footnote w:id="5">
    <w:p w:rsidR="009A3D5C" w:rsidRPr="008F4BDE" w:rsidRDefault="009A3D5C">
      <w:pPr>
        <w:pStyle w:val="FootnoteText"/>
        <w:rPr>
          <w:sz w:val="20"/>
        </w:rPr>
      </w:pPr>
      <w:r w:rsidRPr="008F4BDE">
        <w:rPr>
          <w:rStyle w:val="FootnoteReference"/>
          <w:sz w:val="20"/>
        </w:rPr>
        <w:footnoteRef/>
      </w:r>
      <w:r w:rsidRPr="008F4BDE">
        <w:rPr>
          <w:sz w:val="20"/>
        </w:rPr>
        <w:t xml:space="preserve"> </w:t>
      </w:r>
      <w:r w:rsidRPr="008F4BDE">
        <w:rPr>
          <w:i/>
          <w:sz w:val="20"/>
        </w:rPr>
        <w:t>See</w:t>
      </w:r>
      <w:r w:rsidRPr="008F4BDE">
        <w:rPr>
          <w:sz w:val="20"/>
        </w:rPr>
        <w:t xml:space="preserve"> Development and Implementation of a Public Safety National Plan and Amendment of Part 90 to Establish Service Rules and Technical Standards for Use of the 821–824/866–869 MHz Bands by the Public Safety Services, Gen. Docket No. 87-112, </w:t>
      </w:r>
      <w:r w:rsidRPr="008F4BDE">
        <w:rPr>
          <w:i/>
          <w:sz w:val="20"/>
        </w:rPr>
        <w:t>Report and Order</w:t>
      </w:r>
      <w:r w:rsidRPr="008F4BDE">
        <w:rPr>
          <w:sz w:val="20"/>
        </w:rPr>
        <w:t>, 3 FCC Rcd 905 (1987) (</w:t>
      </w:r>
      <w:r w:rsidRPr="008F4BDE">
        <w:rPr>
          <w:i/>
          <w:sz w:val="20"/>
        </w:rPr>
        <w:t>NPSPAC Report and Order</w:t>
      </w:r>
      <w:r w:rsidRPr="008F4BDE">
        <w:rPr>
          <w:sz w:val="20"/>
        </w:rPr>
        <w:t xml:space="preserve">); </w:t>
      </w:r>
      <w:r w:rsidRPr="008F4BDE">
        <w:rPr>
          <w:i/>
          <w:sz w:val="20"/>
        </w:rPr>
        <w:t>Memorandum Opinion and Order</w:t>
      </w:r>
      <w:r w:rsidRPr="008F4BDE">
        <w:rPr>
          <w:sz w:val="20"/>
        </w:rPr>
        <w:t xml:space="preserve">, 3 FCC Rcd 2113 (1988); </w:t>
      </w:r>
      <w:r w:rsidRPr="008F4BDE">
        <w:rPr>
          <w:i/>
          <w:sz w:val="20"/>
        </w:rPr>
        <w:t>Memorandum Opinion and Order on Reconsideration</w:t>
      </w:r>
      <w:r w:rsidRPr="008F4BDE">
        <w:rPr>
          <w:sz w:val="20"/>
        </w:rPr>
        <w:t xml:space="preserve">, 3 FCC Rcd 5391 (1988).  </w:t>
      </w:r>
      <w:r w:rsidR="00877DA7">
        <w:rPr>
          <w:sz w:val="20"/>
        </w:rPr>
        <w:t xml:space="preserve">The Commission modified the NPSPAC band in the </w:t>
      </w:r>
      <w:r w:rsidR="00877DA7">
        <w:rPr>
          <w:i/>
          <w:sz w:val="20"/>
        </w:rPr>
        <w:t xml:space="preserve">Rebanding </w:t>
      </w:r>
      <w:r w:rsidR="00877DA7">
        <w:rPr>
          <w:sz w:val="20"/>
        </w:rPr>
        <w:t xml:space="preserve">proceeding, WT Docket 02-55, by shifting the NPSPAC band down by 15 megahertz to 806-809/851-854 MHz.  </w:t>
      </w:r>
      <w:r w:rsidR="00877DA7" w:rsidRPr="008F4BDE">
        <w:rPr>
          <w:i/>
          <w:sz w:val="20"/>
        </w:rPr>
        <w:t>See</w:t>
      </w:r>
      <w:r w:rsidR="00877DA7">
        <w:rPr>
          <w:sz w:val="20"/>
        </w:rPr>
        <w:t xml:space="preserve"> </w:t>
      </w:r>
      <w:r w:rsidR="00877DA7" w:rsidRPr="00934CE5">
        <w:rPr>
          <w:color w:val="010101"/>
          <w:sz w:val="20"/>
        </w:rPr>
        <w:t xml:space="preserve">Improving Public Safety Communications in the 800 MHz Band, WT Docket No. 02-55, </w:t>
      </w:r>
      <w:r w:rsidR="00877DA7" w:rsidRPr="00934CE5">
        <w:rPr>
          <w:i/>
          <w:iCs/>
          <w:color w:val="010101"/>
          <w:sz w:val="20"/>
        </w:rPr>
        <w:t>Report and Order, Fifth Report and Order, Fourth Memorandum Opinion and Order, and Order</w:t>
      </w:r>
      <w:r w:rsidR="00877DA7" w:rsidRPr="00934CE5">
        <w:rPr>
          <w:color w:val="010101"/>
          <w:sz w:val="20"/>
        </w:rPr>
        <w:t>, 19 FCC Rcd 14969 (2004).</w:t>
      </w:r>
      <w:r w:rsidRPr="008F4BDE">
        <w:rPr>
          <w:sz w:val="20"/>
        </w:rPr>
        <w:t xml:space="preserve">  </w:t>
      </w:r>
    </w:p>
  </w:footnote>
  <w:footnote w:id="6">
    <w:p w:rsidR="005903CC" w:rsidRPr="008F4BDE" w:rsidRDefault="005903CC">
      <w:pPr>
        <w:pStyle w:val="FootnoteText"/>
        <w:rPr>
          <w:sz w:val="20"/>
        </w:rPr>
      </w:pPr>
      <w:r w:rsidRPr="008F4BDE">
        <w:rPr>
          <w:rStyle w:val="FootnoteReference"/>
          <w:sz w:val="20"/>
        </w:rPr>
        <w:footnoteRef/>
      </w:r>
      <w:r w:rsidRPr="008F4BDE">
        <w:rPr>
          <w:sz w:val="20"/>
        </w:rPr>
        <w:t xml:space="preserve"> </w:t>
      </w:r>
      <w:r w:rsidR="009A3D5C" w:rsidRPr="008F4BDE">
        <w:rPr>
          <w:sz w:val="20"/>
        </w:rPr>
        <w:t xml:space="preserve">Florida Region Public Safety Plan, Gen. Docket 90-119, </w:t>
      </w:r>
      <w:r w:rsidR="009A3D5C" w:rsidRPr="008F4BDE">
        <w:rPr>
          <w:i/>
          <w:sz w:val="20"/>
        </w:rPr>
        <w:t>Order</w:t>
      </w:r>
      <w:r w:rsidR="009A3D5C" w:rsidRPr="00D821B0">
        <w:rPr>
          <w:sz w:val="20"/>
        </w:rPr>
        <w:t>,</w:t>
      </w:r>
      <w:r w:rsidR="009A3D5C">
        <w:rPr>
          <w:sz w:val="20"/>
        </w:rPr>
        <w:t xml:space="preserve"> 5 FCC Rcd 3067 (PRB 1990). </w:t>
      </w:r>
    </w:p>
  </w:footnote>
  <w:footnote w:id="7">
    <w:p w:rsidR="005903CC" w:rsidRPr="001A2DA5" w:rsidRDefault="005903CC" w:rsidP="005903CC">
      <w:pPr>
        <w:pStyle w:val="FootnoteText"/>
        <w:spacing w:after="120"/>
        <w:rPr>
          <w:sz w:val="20"/>
        </w:rPr>
      </w:pPr>
      <w:r w:rsidRPr="001A2DA5">
        <w:rPr>
          <w:rStyle w:val="FootnoteReference"/>
          <w:sz w:val="20"/>
        </w:rPr>
        <w:footnoteRef/>
      </w:r>
      <w:r w:rsidRPr="001A2DA5">
        <w:rPr>
          <w:sz w:val="20"/>
        </w:rPr>
        <w:t xml:space="preserve"> Plan Amendment, Appendix F – Adjacent Region Concurrence with the Florida Plan at 80-82.</w:t>
      </w:r>
    </w:p>
  </w:footnote>
  <w:footnote w:id="8">
    <w:p w:rsidR="00986E79" w:rsidRPr="001574F7" w:rsidRDefault="00986E79" w:rsidP="00986E79">
      <w:pPr>
        <w:pStyle w:val="FootnoteText"/>
        <w:spacing w:after="120"/>
        <w:rPr>
          <w:sz w:val="20"/>
        </w:rPr>
      </w:pPr>
      <w:r w:rsidRPr="001574F7">
        <w:rPr>
          <w:rStyle w:val="FootnoteReference"/>
          <w:sz w:val="20"/>
        </w:rPr>
        <w:footnoteRef/>
      </w:r>
      <w:r w:rsidRPr="001574F7">
        <w:rPr>
          <w:sz w:val="20"/>
        </w:rPr>
        <w:t xml:space="preserve"> </w:t>
      </w:r>
      <w:r w:rsidR="00D509E6" w:rsidRPr="008F4BDE">
        <w:rPr>
          <w:i/>
          <w:sz w:val="20"/>
        </w:rPr>
        <w:t>Id</w:t>
      </w:r>
      <w:r w:rsidR="00D509E6">
        <w:rPr>
          <w:sz w:val="20"/>
        </w:rPr>
        <w:t>.</w:t>
      </w:r>
      <w:r w:rsidRPr="001574F7">
        <w:rPr>
          <w:sz w:val="20"/>
        </w:rPr>
        <w:t xml:space="preserve"> at 10.</w:t>
      </w:r>
    </w:p>
  </w:footnote>
  <w:footnote w:id="9">
    <w:p w:rsidR="00986E79" w:rsidRPr="005645BD" w:rsidRDefault="00986E79" w:rsidP="001A6528">
      <w:pPr>
        <w:pStyle w:val="FootnoteText"/>
        <w:spacing w:after="120"/>
        <w:rPr>
          <w:i/>
          <w:sz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sz w:val="20"/>
        </w:rPr>
        <w:t>Id</w:t>
      </w:r>
      <w:r>
        <w:rPr>
          <w:sz w:val="20"/>
        </w:rPr>
        <w:t>.</w:t>
      </w:r>
      <w:r>
        <w:rPr>
          <w:i/>
          <w:sz w:val="20"/>
        </w:rPr>
        <w:t xml:space="preserve"> </w:t>
      </w:r>
    </w:p>
  </w:footnote>
  <w:footnote w:id="10">
    <w:p w:rsidR="00986E79" w:rsidRPr="009E6C39" w:rsidRDefault="00986E79" w:rsidP="001A6528">
      <w:pPr>
        <w:pStyle w:val="FootnoteText"/>
        <w:spacing w:after="120"/>
        <w:rPr>
          <w:sz w:val="20"/>
        </w:rPr>
      </w:pPr>
      <w:r w:rsidRPr="005645BD">
        <w:rPr>
          <w:rStyle w:val="FootnoteReference"/>
          <w:sz w:val="20"/>
        </w:rPr>
        <w:footnoteRef/>
      </w:r>
      <w:r w:rsidRPr="005645BD">
        <w:rPr>
          <w:i/>
          <w:sz w:val="20"/>
        </w:rPr>
        <w:t>Id</w:t>
      </w:r>
      <w:r>
        <w:rPr>
          <w:sz w:val="20"/>
        </w:rPr>
        <w:t>.</w:t>
      </w:r>
      <w:r>
        <w:rPr>
          <w:i/>
          <w:sz w:val="20"/>
        </w:rPr>
        <w:t xml:space="preserve"> </w:t>
      </w:r>
      <w:r w:rsidRPr="007539C4">
        <w:rPr>
          <w:sz w:val="20"/>
        </w:rPr>
        <w:t xml:space="preserve">at 59. </w:t>
      </w:r>
      <w:r w:rsidR="00072AA6">
        <w:rPr>
          <w:sz w:val="20"/>
        </w:rPr>
        <w:t xml:space="preserve"> </w:t>
      </w:r>
      <w:r w:rsidR="00EE0E8F">
        <w:rPr>
          <w:sz w:val="20"/>
        </w:rPr>
        <w:t xml:space="preserve">A </w:t>
      </w:r>
      <w:r w:rsidR="00C07E67" w:rsidRPr="008F4BDE">
        <w:rPr>
          <w:sz w:val="20"/>
        </w:rPr>
        <w:t>“</w:t>
      </w:r>
      <w:bookmarkStart w:id="2" w:name="BestSection"/>
      <w:bookmarkStart w:id="3" w:name="SR;12797"/>
      <w:bookmarkStart w:id="4" w:name="SR;12798"/>
      <w:bookmarkStart w:id="5" w:name="SR;12799"/>
      <w:bookmarkStart w:id="6" w:name="SearchTerm"/>
      <w:bookmarkEnd w:id="2"/>
      <w:bookmarkEnd w:id="3"/>
      <w:bookmarkEnd w:id="4"/>
      <w:bookmarkEnd w:id="5"/>
      <w:r w:rsidR="00EE0E8F">
        <w:rPr>
          <w:sz w:val="20"/>
        </w:rPr>
        <w:t>f</w:t>
      </w:r>
      <w:r w:rsidR="00C07E67">
        <w:rPr>
          <w:sz w:val="20"/>
        </w:rPr>
        <w:t>our slot</w:t>
      </w:r>
      <w:r w:rsidR="00C07E67" w:rsidRPr="008F4BDE">
        <w:rPr>
          <w:sz w:val="20"/>
        </w:rPr>
        <w:t>” system provides</w:t>
      </w:r>
      <w:r w:rsidR="00C07E67">
        <w:rPr>
          <w:sz w:val="20"/>
        </w:rPr>
        <w:t xml:space="preserve"> four</w:t>
      </w:r>
      <w:r w:rsidR="00C07E67" w:rsidRPr="008F4BDE">
        <w:rPr>
          <w:sz w:val="20"/>
        </w:rPr>
        <w:t xml:space="preserve"> </w:t>
      </w:r>
      <w:bookmarkStart w:id="7" w:name="SR;12803"/>
      <w:bookmarkEnd w:id="6"/>
      <w:bookmarkEnd w:id="7"/>
      <w:r w:rsidR="00C93A44">
        <w:rPr>
          <w:sz w:val="20"/>
        </w:rPr>
        <w:t>time slots/</w:t>
      </w:r>
      <w:r w:rsidR="00C07E67" w:rsidRPr="008F4BDE">
        <w:rPr>
          <w:sz w:val="20"/>
        </w:rPr>
        <w:t>voice paths in a 25 kHz bandwidth</w:t>
      </w:r>
      <w:r w:rsidR="00C07E67">
        <w:rPr>
          <w:sz w:val="20"/>
        </w:rPr>
        <w:t xml:space="preserve">.  </w:t>
      </w:r>
    </w:p>
  </w:footnote>
  <w:footnote w:id="11">
    <w:p w:rsidR="00986E79" w:rsidRPr="00FA74AB" w:rsidRDefault="00986E79" w:rsidP="001A6528">
      <w:pPr>
        <w:pStyle w:val="FootnoteText"/>
        <w:spacing w:after="120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sz w:val="20"/>
        </w:rPr>
        <w:t>Id</w:t>
      </w:r>
      <w:r>
        <w:rPr>
          <w:sz w:val="20"/>
        </w:rPr>
        <w:t>.</w:t>
      </w:r>
      <w:r>
        <w:rPr>
          <w:i/>
          <w:sz w:val="20"/>
        </w:rPr>
        <w:t xml:space="preserve"> </w:t>
      </w:r>
      <w:r w:rsidRPr="007539C4">
        <w:rPr>
          <w:sz w:val="20"/>
        </w:rPr>
        <w:t>at 62.</w:t>
      </w:r>
    </w:p>
  </w:footnote>
  <w:footnote w:id="12">
    <w:p w:rsidR="00986E79" w:rsidRPr="00FA74AB" w:rsidRDefault="00986E79" w:rsidP="001A6528">
      <w:pPr>
        <w:pStyle w:val="FootnoteText"/>
        <w:spacing w:after="120"/>
        <w:rPr>
          <w:sz w:val="20"/>
        </w:rPr>
      </w:pPr>
      <w:r w:rsidRPr="00FA74AB">
        <w:rPr>
          <w:rStyle w:val="FootnoteReference"/>
          <w:sz w:val="20"/>
        </w:rPr>
        <w:footnoteRef/>
      </w:r>
      <w:r w:rsidRPr="00FA74AB">
        <w:rPr>
          <w:sz w:val="20"/>
        </w:rPr>
        <w:t xml:space="preserve"> </w:t>
      </w:r>
      <w:r>
        <w:rPr>
          <w:i/>
          <w:sz w:val="20"/>
        </w:rPr>
        <w:t>Id</w:t>
      </w:r>
      <w:r>
        <w:rPr>
          <w:sz w:val="20"/>
        </w:rPr>
        <w:t>.</w:t>
      </w:r>
      <w:r>
        <w:rPr>
          <w:i/>
          <w:sz w:val="20"/>
        </w:rPr>
        <w:t xml:space="preserve"> </w:t>
      </w:r>
      <w:r w:rsidRPr="007539C4">
        <w:rPr>
          <w:sz w:val="20"/>
        </w:rPr>
        <w:t xml:space="preserve">at </w:t>
      </w:r>
      <w:r>
        <w:rPr>
          <w:sz w:val="20"/>
        </w:rPr>
        <w:t>65-66</w:t>
      </w:r>
      <w:r w:rsidRPr="007539C4">
        <w:rPr>
          <w:sz w:val="20"/>
        </w:rPr>
        <w:t>.</w:t>
      </w:r>
    </w:p>
  </w:footnote>
  <w:footnote w:id="13">
    <w:p w:rsidR="00986E79" w:rsidRDefault="00986E79" w:rsidP="009E6C39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  <w:sz w:val="20"/>
        </w:rPr>
        <w:t>Id</w:t>
      </w:r>
      <w:r>
        <w:rPr>
          <w:sz w:val="20"/>
        </w:rPr>
        <w:t>.</w:t>
      </w:r>
      <w:r>
        <w:rPr>
          <w:i/>
          <w:sz w:val="20"/>
        </w:rPr>
        <w:t xml:space="preserve"> </w:t>
      </w:r>
      <w:r w:rsidRPr="007539C4">
        <w:rPr>
          <w:sz w:val="20"/>
        </w:rPr>
        <w:t>at 77</w:t>
      </w:r>
      <w:r w:rsidR="001A6528">
        <w:rPr>
          <w:sz w:val="20"/>
        </w:rPr>
        <w:t>.</w:t>
      </w:r>
    </w:p>
  </w:footnote>
  <w:footnote w:id="14">
    <w:p w:rsidR="00986E79" w:rsidRPr="007539C4" w:rsidRDefault="00986E79" w:rsidP="009E6C39">
      <w:pPr>
        <w:pStyle w:val="FootnoteText"/>
        <w:spacing w:after="120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7539C4">
        <w:rPr>
          <w:i/>
          <w:sz w:val="20"/>
        </w:rPr>
        <w:t>Id</w:t>
      </w:r>
      <w:r w:rsidRPr="007539C4">
        <w:rPr>
          <w:sz w:val="20"/>
        </w:rPr>
        <w:t>. at Appendix G.</w:t>
      </w:r>
    </w:p>
  </w:footnote>
  <w:footnote w:id="15">
    <w:p w:rsidR="00485FE6" w:rsidRPr="00A96BAF" w:rsidRDefault="00485FE6" w:rsidP="009E6C39">
      <w:pPr>
        <w:pStyle w:val="FootnoteText"/>
        <w:spacing w:after="120"/>
        <w:rPr>
          <w:sz w:val="20"/>
        </w:rPr>
      </w:pPr>
      <w:r w:rsidRPr="00A96BAF">
        <w:rPr>
          <w:rStyle w:val="FootnoteReference"/>
          <w:sz w:val="20"/>
        </w:rPr>
        <w:footnoteRef/>
      </w:r>
      <w:r w:rsidRPr="00A96BAF">
        <w:rPr>
          <w:sz w:val="20"/>
        </w:rPr>
        <w:t xml:space="preserve"> </w:t>
      </w:r>
      <w:r w:rsidRPr="00A96BAF">
        <w:rPr>
          <w:i/>
          <w:sz w:val="20"/>
        </w:rPr>
        <w:t>See</w:t>
      </w:r>
      <w:r w:rsidRPr="00A96BAF">
        <w:rPr>
          <w:sz w:val="20"/>
        </w:rPr>
        <w:t xml:space="preserve"> Public Safety and Homeland Security </w:t>
      </w:r>
      <w:r w:rsidR="00E815A2">
        <w:rPr>
          <w:sz w:val="20"/>
        </w:rPr>
        <w:t>Bureau Seeks Comments on Region 9</w:t>
      </w:r>
      <w:r w:rsidRPr="00A96BAF">
        <w:rPr>
          <w:sz w:val="20"/>
        </w:rPr>
        <w:t xml:space="preserve"> </w:t>
      </w:r>
      <w:r w:rsidR="001038E5">
        <w:rPr>
          <w:sz w:val="20"/>
        </w:rPr>
        <w:t>(</w:t>
      </w:r>
      <w:r w:rsidR="00E815A2">
        <w:rPr>
          <w:sz w:val="20"/>
        </w:rPr>
        <w:t>Florida</w:t>
      </w:r>
      <w:r w:rsidRPr="00A96BAF">
        <w:rPr>
          <w:sz w:val="20"/>
        </w:rPr>
        <w:t xml:space="preserve">) </w:t>
      </w:r>
      <w:r>
        <w:rPr>
          <w:sz w:val="20"/>
        </w:rPr>
        <w:t>800 MH</w:t>
      </w:r>
      <w:r w:rsidR="00C56585">
        <w:rPr>
          <w:sz w:val="20"/>
        </w:rPr>
        <w:t>z</w:t>
      </w:r>
      <w:r>
        <w:rPr>
          <w:sz w:val="20"/>
        </w:rPr>
        <w:t xml:space="preserve"> NPSPAC Regional Plan Amendment</w:t>
      </w:r>
      <w:r w:rsidRPr="00A96BAF">
        <w:rPr>
          <w:sz w:val="20"/>
        </w:rPr>
        <w:t xml:space="preserve">, </w:t>
      </w:r>
      <w:r w:rsidR="001038E5">
        <w:rPr>
          <w:sz w:val="20"/>
        </w:rPr>
        <w:t xml:space="preserve">PR </w:t>
      </w:r>
      <w:r>
        <w:rPr>
          <w:sz w:val="20"/>
        </w:rPr>
        <w:t xml:space="preserve">Docket No. </w:t>
      </w:r>
      <w:r w:rsidR="00E51F89">
        <w:rPr>
          <w:sz w:val="20"/>
        </w:rPr>
        <w:t>90-119</w:t>
      </w:r>
      <w:r>
        <w:rPr>
          <w:sz w:val="20"/>
        </w:rPr>
        <w:t xml:space="preserve">, </w:t>
      </w:r>
      <w:r w:rsidRPr="00A96BAF">
        <w:rPr>
          <w:i/>
          <w:sz w:val="20"/>
        </w:rPr>
        <w:t>Public Notice,</w:t>
      </w:r>
      <w:r w:rsidRPr="00A96BAF">
        <w:rPr>
          <w:sz w:val="20"/>
        </w:rPr>
        <w:t xml:space="preserve"> </w:t>
      </w:r>
      <w:r w:rsidR="00D509E6" w:rsidRPr="008F4BDE">
        <w:rPr>
          <w:iCs/>
          <w:color w:val="333333"/>
          <w:sz w:val="20"/>
        </w:rPr>
        <w:t>29 FCC Rcd 8576</w:t>
      </w:r>
      <w:r w:rsidR="00D509E6" w:rsidRPr="009E6C39">
        <w:rPr>
          <w:rFonts w:ascii="Helvetica" w:hAnsi="Helvetica"/>
          <w:i/>
          <w:color w:val="333333"/>
          <w:sz w:val="18"/>
        </w:rPr>
        <w:t xml:space="preserve"> </w:t>
      </w:r>
      <w:r w:rsidR="001038E5">
        <w:rPr>
          <w:sz w:val="20"/>
        </w:rPr>
        <w:t>(</w:t>
      </w:r>
      <w:r w:rsidR="00C56585">
        <w:rPr>
          <w:sz w:val="20"/>
        </w:rPr>
        <w:t xml:space="preserve">PSHSB </w:t>
      </w:r>
      <w:r w:rsidR="001038E5">
        <w:rPr>
          <w:sz w:val="20"/>
        </w:rPr>
        <w:t>2014</w:t>
      </w:r>
      <w:r>
        <w:rPr>
          <w:sz w:val="20"/>
        </w:rPr>
        <w:t>)</w:t>
      </w:r>
      <w:r w:rsidR="00C56585">
        <w:rPr>
          <w:sz w:val="20"/>
        </w:rPr>
        <w:t>.</w:t>
      </w:r>
      <w:r w:rsidRPr="0019482A">
        <w:rPr>
          <w:sz w:val="20"/>
        </w:rPr>
        <w:t xml:space="preserve"> Comments were due </w:t>
      </w:r>
      <w:r w:rsidR="00F03267">
        <w:rPr>
          <w:sz w:val="20"/>
        </w:rPr>
        <w:t xml:space="preserve">August 11, </w:t>
      </w:r>
      <w:r w:rsidR="001038E5">
        <w:rPr>
          <w:sz w:val="20"/>
        </w:rPr>
        <w:t>2014</w:t>
      </w:r>
      <w:r w:rsidRPr="0019482A">
        <w:rPr>
          <w:sz w:val="20"/>
        </w:rPr>
        <w:t xml:space="preserve">, and reply comments were due </w:t>
      </w:r>
      <w:r w:rsidR="00F03267">
        <w:rPr>
          <w:sz w:val="20"/>
        </w:rPr>
        <w:t>August 21</w:t>
      </w:r>
      <w:r w:rsidR="001038E5">
        <w:rPr>
          <w:sz w:val="20"/>
        </w:rPr>
        <w:t>, 2014</w:t>
      </w:r>
      <w:r w:rsidRPr="0019482A">
        <w:rPr>
          <w:sz w:val="20"/>
        </w:rPr>
        <w:t>.</w:t>
      </w:r>
      <w:r w:rsidRPr="00A96BAF">
        <w:rPr>
          <w:sz w:val="20"/>
        </w:rPr>
        <w:t xml:space="preserve">   </w:t>
      </w:r>
    </w:p>
  </w:footnote>
  <w:footnote w:id="16">
    <w:p w:rsidR="000C0FA2" w:rsidRDefault="000C0FA2" w:rsidP="009E6C39">
      <w:pPr>
        <w:pStyle w:val="FootnoteText"/>
        <w:spacing w:after="120"/>
      </w:pPr>
      <w:r w:rsidRPr="001A6528">
        <w:rPr>
          <w:rStyle w:val="FootnoteReference"/>
          <w:sz w:val="20"/>
        </w:rPr>
        <w:footnoteRef/>
      </w:r>
      <w:r w:rsidRPr="001A6528">
        <w:rPr>
          <w:sz w:val="20"/>
        </w:rPr>
        <w:t xml:space="preserve"> </w:t>
      </w:r>
      <w:r w:rsidR="001A06A7">
        <w:rPr>
          <w:sz w:val="20"/>
        </w:rPr>
        <w:t>Comment</w:t>
      </w:r>
      <w:r w:rsidR="006178A4">
        <w:rPr>
          <w:sz w:val="20"/>
        </w:rPr>
        <w:t>s</w:t>
      </w:r>
      <w:r w:rsidR="001A06A7">
        <w:rPr>
          <w:sz w:val="20"/>
        </w:rPr>
        <w:t xml:space="preserve"> by </w:t>
      </w:r>
      <w:r w:rsidR="00007775">
        <w:rPr>
          <w:sz w:val="20"/>
        </w:rPr>
        <w:t xml:space="preserve">William Carter, Chair, </w:t>
      </w:r>
      <w:r w:rsidRPr="001A6528">
        <w:rPr>
          <w:sz w:val="20"/>
        </w:rPr>
        <w:t>Region 13</w:t>
      </w:r>
      <w:r w:rsidR="001A06A7">
        <w:rPr>
          <w:sz w:val="20"/>
        </w:rPr>
        <w:t>, and Chair, National Regional Planning Council (NRPC)</w:t>
      </w:r>
      <w:r w:rsidR="008154BC">
        <w:rPr>
          <w:sz w:val="20"/>
        </w:rPr>
        <w:t xml:space="preserve"> (dated Aug. 21, 2014)</w:t>
      </w:r>
      <w:r w:rsidR="00FA5410">
        <w:rPr>
          <w:sz w:val="20"/>
        </w:rPr>
        <w:t xml:space="preserve"> </w:t>
      </w:r>
      <w:r w:rsidR="00D509E6">
        <w:rPr>
          <w:sz w:val="20"/>
        </w:rPr>
        <w:t>(stating</w:t>
      </w:r>
      <w:r w:rsidR="001A06A7">
        <w:rPr>
          <w:sz w:val="20"/>
        </w:rPr>
        <w:t xml:space="preserve"> that providing time slot/talk path parameters is in the best interest of Region 9 and public safety in general</w:t>
      </w:r>
      <w:r w:rsidR="00D509E6">
        <w:rPr>
          <w:sz w:val="20"/>
        </w:rPr>
        <w:t>)</w:t>
      </w:r>
      <w:r w:rsidR="001A06A7">
        <w:rPr>
          <w:sz w:val="20"/>
        </w:rPr>
        <w:t>.</w:t>
      </w:r>
      <w:r w:rsidRPr="000C0FA2">
        <w:rPr>
          <w:sz w:val="20"/>
        </w:rPr>
        <w:t xml:space="preserve"> </w:t>
      </w:r>
    </w:p>
  </w:footnote>
  <w:footnote w:id="17">
    <w:p w:rsidR="00D878D7" w:rsidRPr="008F4BDE" w:rsidRDefault="00D878D7" w:rsidP="009E6C39">
      <w:pPr>
        <w:pStyle w:val="FootnoteText"/>
        <w:spacing w:after="120"/>
        <w:rPr>
          <w:sz w:val="20"/>
        </w:rPr>
      </w:pPr>
      <w:r w:rsidRPr="008F4BDE">
        <w:rPr>
          <w:rStyle w:val="FootnoteReference"/>
          <w:sz w:val="20"/>
        </w:rPr>
        <w:footnoteRef/>
      </w:r>
      <w:r w:rsidRPr="008F4BDE">
        <w:rPr>
          <w:sz w:val="20"/>
        </w:rPr>
        <w:t xml:space="preserve"> 47 C.F.R. § 90.631</w:t>
      </w:r>
      <w:r w:rsidR="00C302F4">
        <w:rPr>
          <w:sz w:val="20"/>
        </w:rPr>
        <w:t>(a)</w:t>
      </w:r>
      <w:r w:rsidRPr="008F4BDE">
        <w:rPr>
          <w:sz w:val="20"/>
        </w:rPr>
        <w:t>.</w:t>
      </w:r>
    </w:p>
  </w:footnote>
  <w:footnote w:id="18">
    <w:p w:rsidR="00663B22" w:rsidRDefault="00663B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4551D">
        <w:rPr>
          <w:sz w:val="20"/>
        </w:rPr>
        <w:t>47 C.F.R. § 1.401.</w:t>
      </w:r>
    </w:p>
  </w:footnote>
  <w:footnote w:id="19">
    <w:p w:rsidR="00127240" w:rsidRDefault="001272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E720A">
        <w:t>5 U.S.C. § 553.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D9" w:rsidRDefault="00BF67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D9" w:rsidRDefault="00BF67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E6" w:rsidRPr="00D65E85" w:rsidRDefault="00485FE6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 w:rsidRPr="00D65E85">
      <w:rPr>
        <w:rFonts w:ascii="Arial" w:hAnsi="Arial" w:cs="Arial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4B6E3AB3" wp14:editId="5ECEBDBE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5E85">
      <w:rPr>
        <w:rFonts w:ascii="Arial" w:hAnsi="Arial" w:cs="Arial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C51FE43" wp14:editId="30941AD2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5FE6" w:rsidRDefault="00485FE6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485FE6" w:rsidRDefault="00485FE6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485FE6" w:rsidRDefault="00485FE6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" o:allowincell="f" stroked="f">
              <v:textbox>
                <w:txbxContent>
                  <w:p w:rsidR="00485FE6" w:rsidRDefault="00485FE6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485FE6" w:rsidRDefault="00485FE6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485FE6" w:rsidRDefault="00485FE6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 w:rsidRPr="00D65E85">
      <w:rPr>
        <w:rFonts w:ascii="Arial" w:hAnsi="Arial" w:cs="Arial"/>
        <w:b/>
        <w:kern w:val="28"/>
        <w:sz w:val="96"/>
      </w:rPr>
      <w:t>PUBLIC NOTICE</w:t>
    </w:r>
  </w:p>
  <w:p w:rsidR="00485FE6" w:rsidRDefault="00485FE6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CD5B2E5" wp14:editId="6D3CD567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ezF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e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Kv17M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1D3C4EE" wp14:editId="4436C9AF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5FE6" w:rsidRDefault="00485FE6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485FE6" w:rsidRDefault="00485FE6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485FE6" w:rsidRDefault="00485FE6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485FE6" w:rsidRDefault="00485FE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336.7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T/ga&#10;2Y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485FE6" w:rsidRDefault="00485FE6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485FE6" w:rsidRDefault="00485FE6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485FE6" w:rsidRDefault="00485FE6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485FE6" w:rsidRDefault="00485FE6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C8F"/>
    <w:multiLevelType w:val="hybridMultilevel"/>
    <w:tmpl w:val="375069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7F29E9"/>
    <w:multiLevelType w:val="hybridMultilevel"/>
    <w:tmpl w:val="F30495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A8795A"/>
    <w:multiLevelType w:val="hybridMultilevel"/>
    <w:tmpl w:val="84AAE9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555D95"/>
    <w:multiLevelType w:val="hybridMultilevel"/>
    <w:tmpl w:val="BB507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8D2771"/>
    <w:multiLevelType w:val="hybridMultilevel"/>
    <w:tmpl w:val="9C8664B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1952B96"/>
    <w:multiLevelType w:val="hybridMultilevel"/>
    <w:tmpl w:val="8B52601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5BA30D8"/>
    <w:multiLevelType w:val="hybridMultilevel"/>
    <w:tmpl w:val="2CDC6DE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68B1868"/>
    <w:multiLevelType w:val="hybridMultilevel"/>
    <w:tmpl w:val="08AC0B5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92A093E"/>
    <w:multiLevelType w:val="hybridMultilevel"/>
    <w:tmpl w:val="605401D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1B48426B"/>
    <w:multiLevelType w:val="hybridMultilevel"/>
    <w:tmpl w:val="B0042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E0608D"/>
    <w:multiLevelType w:val="hybridMultilevel"/>
    <w:tmpl w:val="A9B0771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094154C"/>
    <w:multiLevelType w:val="hybridMultilevel"/>
    <w:tmpl w:val="4F68AC5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3412B02"/>
    <w:multiLevelType w:val="hybridMultilevel"/>
    <w:tmpl w:val="712067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7CC72B3"/>
    <w:multiLevelType w:val="hybridMultilevel"/>
    <w:tmpl w:val="3410A4F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7FF2E51"/>
    <w:multiLevelType w:val="hybridMultilevel"/>
    <w:tmpl w:val="28465C6C"/>
    <w:lvl w:ilvl="0" w:tplc="166EC0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6">
    <w:nsid w:val="2C864FF0"/>
    <w:multiLevelType w:val="hybridMultilevel"/>
    <w:tmpl w:val="CA0CA2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31E3FCD"/>
    <w:multiLevelType w:val="multilevel"/>
    <w:tmpl w:val="9B860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9287EA5"/>
    <w:multiLevelType w:val="hybridMultilevel"/>
    <w:tmpl w:val="9B8607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9A528C6"/>
    <w:multiLevelType w:val="hybridMultilevel"/>
    <w:tmpl w:val="BA0CCE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3E494A50"/>
    <w:multiLevelType w:val="hybridMultilevel"/>
    <w:tmpl w:val="2DE87B4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34A23DD"/>
    <w:multiLevelType w:val="hybridMultilevel"/>
    <w:tmpl w:val="AFF86B74"/>
    <w:lvl w:ilvl="0" w:tplc="52A293D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245BFD"/>
    <w:multiLevelType w:val="hybridMultilevel"/>
    <w:tmpl w:val="9DCC225C"/>
    <w:lvl w:ilvl="0" w:tplc="1E24AC5E">
      <w:start w:val="1"/>
      <w:numFmt w:val="bullet"/>
      <w:lvlText w:val=""/>
      <w:lvlJc w:val="left"/>
      <w:pPr>
        <w:tabs>
          <w:tab w:val="num" w:pos="1296"/>
        </w:tabs>
        <w:ind w:left="129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B3207BE"/>
    <w:multiLevelType w:val="hybridMultilevel"/>
    <w:tmpl w:val="6D8E4F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F717749"/>
    <w:multiLevelType w:val="hybridMultilevel"/>
    <w:tmpl w:val="19A4EEB2"/>
    <w:lvl w:ilvl="0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182283C"/>
    <w:multiLevelType w:val="hybridMultilevel"/>
    <w:tmpl w:val="67C0960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1DE70E4"/>
    <w:multiLevelType w:val="hybridMultilevel"/>
    <w:tmpl w:val="6EC62A0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9">
    <w:nsid w:val="5370266C"/>
    <w:multiLevelType w:val="hybridMultilevel"/>
    <w:tmpl w:val="48845B6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31">
    <w:nsid w:val="56164C93"/>
    <w:multiLevelType w:val="hybridMultilevel"/>
    <w:tmpl w:val="6B8067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3">
    <w:nsid w:val="5C376B9E"/>
    <w:multiLevelType w:val="hybridMultilevel"/>
    <w:tmpl w:val="D5607DE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35">
    <w:nsid w:val="61182925"/>
    <w:multiLevelType w:val="singleLevel"/>
    <w:tmpl w:val="D180CED0"/>
    <w:lvl w:ilvl="0">
      <w:start w:val="1"/>
      <w:numFmt w:val="decimal"/>
      <w:pStyle w:val="ParaNum0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6">
    <w:nsid w:val="62EC3261"/>
    <w:multiLevelType w:val="hybridMultilevel"/>
    <w:tmpl w:val="82AED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C371BE"/>
    <w:multiLevelType w:val="hybridMultilevel"/>
    <w:tmpl w:val="25C8AD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CD43DF"/>
    <w:multiLevelType w:val="hybridMultilevel"/>
    <w:tmpl w:val="29CA6D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FF436F"/>
    <w:multiLevelType w:val="hybridMultilevel"/>
    <w:tmpl w:val="979E0C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4D54FC2"/>
    <w:multiLevelType w:val="hybridMultilevel"/>
    <w:tmpl w:val="FDB80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CAE7876"/>
    <w:multiLevelType w:val="hybridMultilevel"/>
    <w:tmpl w:val="11B82C9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34"/>
  </w:num>
  <w:num w:numId="4">
    <w:abstractNumId w:val="15"/>
  </w:num>
  <w:num w:numId="5">
    <w:abstractNumId w:val="34"/>
  </w:num>
  <w:num w:numId="6">
    <w:abstractNumId w:val="34"/>
  </w:num>
  <w:num w:numId="7">
    <w:abstractNumId w:val="34"/>
  </w:num>
  <w:num w:numId="8">
    <w:abstractNumId w:val="34"/>
  </w:num>
  <w:num w:numId="9">
    <w:abstractNumId w:val="34"/>
  </w:num>
  <w:num w:numId="10">
    <w:abstractNumId w:val="34"/>
  </w:num>
  <w:num w:numId="11">
    <w:abstractNumId w:val="28"/>
  </w:num>
  <w:num w:numId="12">
    <w:abstractNumId w:val="20"/>
  </w:num>
  <w:num w:numId="13">
    <w:abstractNumId w:val="22"/>
  </w:num>
  <w:num w:numId="14">
    <w:abstractNumId w:val="1"/>
  </w:num>
  <w:num w:numId="15">
    <w:abstractNumId w:val="16"/>
  </w:num>
  <w:num w:numId="16">
    <w:abstractNumId w:val="39"/>
  </w:num>
  <w:num w:numId="17">
    <w:abstractNumId w:val="2"/>
  </w:num>
  <w:num w:numId="18">
    <w:abstractNumId w:val="35"/>
  </w:num>
  <w:num w:numId="19">
    <w:abstractNumId w:val="41"/>
  </w:num>
  <w:num w:numId="20">
    <w:abstractNumId w:val="11"/>
  </w:num>
  <w:num w:numId="21">
    <w:abstractNumId w:val="7"/>
  </w:num>
  <w:num w:numId="22">
    <w:abstractNumId w:val="13"/>
  </w:num>
  <w:num w:numId="23">
    <w:abstractNumId w:val="5"/>
  </w:num>
  <w:num w:numId="24">
    <w:abstractNumId w:val="4"/>
  </w:num>
  <w:num w:numId="25">
    <w:abstractNumId w:val="12"/>
  </w:num>
  <w:num w:numId="26">
    <w:abstractNumId w:val="26"/>
  </w:num>
  <w:num w:numId="27">
    <w:abstractNumId w:val="19"/>
  </w:num>
  <w:num w:numId="28">
    <w:abstractNumId w:val="38"/>
  </w:num>
  <w:num w:numId="29">
    <w:abstractNumId w:val="14"/>
  </w:num>
  <w:num w:numId="30">
    <w:abstractNumId w:val="36"/>
  </w:num>
  <w:num w:numId="31">
    <w:abstractNumId w:val="27"/>
  </w:num>
  <w:num w:numId="32">
    <w:abstractNumId w:val="21"/>
  </w:num>
  <w:num w:numId="33">
    <w:abstractNumId w:val="9"/>
  </w:num>
  <w:num w:numId="34">
    <w:abstractNumId w:val="3"/>
  </w:num>
  <w:num w:numId="35">
    <w:abstractNumId w:val="25"/>
  </w:num>
  <w:num w:numId="36">
    <w:abstractNumId w:val="10"/>
  </w:num>
  <w:num w:numId="37">
    <w:abstractNumId w:val="8"/>
  </w:num>
  <w:num w:numId="38">
    <w:abstractNumId w:val="29"/>
  </w:num>
  <w:num w:numId="39">
    <w:abstractNumId w:val="0"/>
  </w:num>
  <w:num w:numId="40">
    <w:abstractNumId w:val="24"/>
  </w:num>
  <w:num w:numId="41">
    <w:abstractNumId w:val="6"/>
  </w:num>
  <w:num w:numId="42">
    <w:abstractNumId w:val="23"/>
  </w:num>
  <w:num w:numId="43">
    <w:abstractNumId w:val="18"/>
  </w:num>
  <w:num w:numId="44">
    <w:abstractNumId w:val="17"/>
  </w:num>
  <w:num w:numId="45">
    <w:abstractNumId w:val="33"/>
  </w:num>
  <w:num w:numId="46">
    <w:abstractNumId w:val="37"/>
  </w:num>
  <w:num w:numId="47">
    <w:abstractNumId w:val="40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CB"/>
    <w:rsid w:val="00006AC5"/>
    <w:rsid w:val="00007775"/>
    <w:rsid w:val="0000780F"/>
    <w:rsid w:val="00016818"/>
    <w:rsid w:val="00025901"/>
    <w:rsid w:val="00052509"/>
    <w:rsid w:val="00054D31"/>
    <w:rsid w:val="00072AA6"/>
    <w:rsid w:val="00084879"/>
    <w:rsid w:val="00086BAB"/>
    <w:rsid w:val="00087FDD"/>
    <w:rsid w:val="000A21A1"/>
    <w:rsid w:val="000C0FA2"/>
    <w:rsid w:val="000C69C6"/>
    <w:rsid w:val="000D6C70"/>
    <w:rsid w:val="00101971"/>
    <w:rsid w:val="00101E46"/>
    <w:rsid w:val="001038E5"/>
    <w:rsid w:val="001049A6"/>
    <w:rsid w:val="00116FEA"/>
    <w:rsid w:val="00121EFF"/>
    <w:rsid w:val="00124605"/>
    <w:rsid w:val="00127240"/>
    <w:rsid w:val="001719EE"/>
    <w:rsid w:val="0019482A"/>
    <w:rsid w:val="00195346"/>
    <w:rsid w:val="001A06A7"/>
    <w:rsid w:val="001A6528"/>
    <w:rsid w:val="001E41F6"/>
    <w:rsid w:val="001E68FB"/>
    <w:rsid w:val="00207FE3"/>
    <w:rsid w:val="00231D5C"/>
    <w:rsid w:val="00236B35"/>
    <w:rsid w:val="00264956"/>
    <w:rsid w:val="002671CC"/>
    <w:rsid w:val="002B52F5"/>
    <w:rsid w:val="002C098A"/>
    <w:rsid w:val="002C6995"/>
    <w:rsid w:val="002E479B"/>
    <w:rsid w:val="002F288D"/>
    <w:rsid w:val="00303C29"/>
    <w:rsid w:val="0033126B"/>
    <w:rsid w:val="00333246"/>
    <w:rsid w:val="00341D13"/>
    <w:rsid w:val="00362148"/>
    <w:rsid w:val="003908F3"/>
    <w:rsid w:val="00391940"/>
    <w:rsid w:val="003C50B8"/>
    <w:rsid w:val="003E7A6B"/>
    <w:rsid w:val="00400091"/>
    <w:rsid w:val="004275FD"/>
    <w:rsid w:val="004337FC"/>
    <w:rsid w:val="00471EC3"/>
    <w:rsid w:val="00484B0E"/>
    <w:rsid w:val="00485FE6"/>
    <w:rsid w:val="004B4B51"/>
    <w:rsid w:val="004F3036"/>
    <w:rsid w:val="005049BC"/>
    <w:rsid w:val="00550733"/>
    <w:rsid w:val="00574633"/>
    <w:rsid w:val="00574A98"/>
    <w:rsid w:val="005903CC"/>
    <w:rsid w:val="005A4191"/>
    <w:rsid w:val="005F6076"/>
    <w:rsid w:val="00613E99"/>
    <w:rsid w:val="00614ED7"/>
    <w:rsid w:val="006178A4"/>
    <w:rsid w:val="00633F54"/>
    <w:rsid w:val="00652C8A"/>
    <w:rsid w:val="00660947"/>
    <w:rsid w:val="006614D6"/>
    <w:rsid w:val="00663B22"/>
    <w:rsid w:val="006662C0"/>
    <w:rsid w:val="00671B5A"/>
    <w:rsid w:val="00680170"/>
    <w:rsid w:val="00683A14"/>
    <w:rsid w:val="00696224"/>
    <w:rsid w:val="006B25FB"/>
    <w:rsid w:val="006B34ED"/>
    <w:rsid w:val="006C4B69"/>
    <w:rsid w:val="006F4B34"/>
    <w:rsid w:val="00707CE1"/>
    <w:rsid w:val="0071160D"/>
    <w:rsid w:val="007228E8"/>
    <w:rsid w:val="0073663F"/>
    <w:rsid w:val="00750F28"/>
    <w:rsid w:val="00762CB2"/>
    <w:rsid w:val="007661BF"/>
    <w:rsid w:val="00784BB1"/>
    <w:rsid w:val="0078625C"/>
    <w:rsid w:val="00797B54"/>
    <w:rsid w:val="007A1F92"/>
    <w:rsid w:val="007B0657"/>
    <w:rsid w:val="007C663B"/>
    <w:rsid w:val="007E3067"/>
    <w:rsid w:val="007F4D07"/>
    <w:rsid w:val="008154BC"/>
    <w:rsid w:val="00840DB9"/>
    <w:rsid w:val="00842322"/>
    <w:rsid w:val="0084499E"/>
    <w:rsid w:val="00847BEF"/>
    <w:rsid w:val="008612CB"/>
    <w:rsid w:val="00862609"/>
    <w:rsid w:val="00877DA7"/>
    <w:rsid w:val="0089177C"/>
    <w:rsid w:val="008A2924"/>
    <w:rsid w:val="008C3971"/>
    <w:rsid w:val="008D4F07"/>
    <w:rsid w:val="008F2695"/>
    <w:rsid w:val="008F4BDE"/>
    <w:rsid w:val="008F69E0"/>
    <w:rsid w:val="00906389"/>
    <w:rsid w:val="00934CE5"/>
    <w:rsid w:val="00950651"/>
    <w:rsid w:val="009544CB"/>
    <w:rsid w:val="009814C0"/>
    <w:rsid w:val="00986647"/>
    <w:rsid w:val="00986E79"/>
    <w:rsid w:val="009A3D5C"/>
    <w:rsid w:val="009B0DD5"/>
    <w:rsid w:val="009E59CE"/>
    <w:rsid w:val="009E6C39"/>
    <w:rsid w:val="009F05CD"/>
    <w:rsid w:val="00A12CA1"/>
    <w:rsid w:val="00A17B86"/>
    <w:rsid w:val="00A23344"/>
    <w:rsid w:val="00A52B16"/>
    <w:rsid w:val="00A566AE"/>
    <w:rsid w:val="00A7512F"/>
    <w:rsid w:val="00A96BAF"/>
    <w:rsid w:val="00AC3C7E"/>
    <w:rsid w:val="00B23F45"/>
    <w:rsid w:val="00B3220B"/>
    <w:rsid w:val="00B35B59"/>
    <w:rsid w:val="00B432F3"/>
    <w:rsid w:val="00B50054"/>
    <w:rsid w:val="00B606D9"/>
    <w:rsid w:val="00B61A5F"/>
    <w:rsid w:val="00B7022E"/>
    <w:rsid w:val="00B76222"/>
    <w:rsid w:val="00BB003E"/>
    <w:rsid w:val="00BB624B"/>
    <w:rsid w:val="00BD7F4F"/>
    <w:rsid w:val="00BE679A"/>
    <w:rsid w:val="00BF64A2"/>
    <w:rsid w:val="00BF67D9"/>
    <w:rsid w:val="00C07E67"/>
    <w:rsid w:val="00C1112D"/>
    <w:rsid w:val="00C232D1"/>
    <w:rsid w:val="00C302F4"/>
    <w:rsid w:val="00C35578"/>
    <w:rsid w:val="00C41A1F"/>
    <w:rsid w:val="00C5263D"/>
    <w:rsid w:val="00C56585"/>
    <w:rsid w:val="00C60FFD"/>
    <w:rsid w:val="00C80F8C"/>
    <w:rsid w:val="00C81FB3"/>
    <w:rsid w:val="00C87896"/>
    <w:rsid w:val="00C93A44"/>
    <w:rsid w:val="00CA0C60"/>
    <w:rsid w:val="00CA3440"/>
    <w:rsid w:val="00CB2759"/>
    <w:rsid w:val="00CE720A"/>
    <w:rsid w:val="00CF3E29"/>
    <w:rsid w:val="00D00F0A"/>
    <w:rsid w:val="00D02E3B"/>
    <w:rsid w:val="00D130A1"/>
    <w:rsid w:val="00D15A5C"/>
    <w:rsid w:val="00D311BC"/>
    <w:rsid w:val="00D4160C"/>
    <w:rsid w:val="00D509E6"/>
    <w:rsid w:val="00D526FE"/>
    <w:rsid w:val="00D65E85"/>
    <w:rsid w:val="00D76006"/>
    <w:rsid w:val="00D878D7"/>
    <w:rsid w:val="00DA009B"/>
    <w:rsid w:val="00DA6728"/>
    <w:rsid w:val="00DA6E5A"/>
    <w:rsid w:val="00DA79D5"/>
    <w:rsid w:val="00DB31BB"/>
    <w:rsid w:val="00DE3460"/>
    <w:rsid w:val="00E11E27"/>
    <w:rsid w:val="00E356D0"/>
    <w:rsid w:val="00E51F89"/>
    <w:rsid w:val="00E53C68"/>
    <w:rsid w:val="00E54F7F"/>
    <w:rsid w:val="00E63064"/>
    <w:rsid w:val="00E66AEA"/>
    <w:rsid w:val="00E815A2"/>
    <w:rsid w:val="00EB6D25"/>
    <w:rsid w:val="00ED22BC"/>
    <w:rsid w:val="00EE0E8F"/>
    <w:rsid w:val="00F03267"/>
    <w:rsid w:val="00F1188F"/>
    <w:rsid w:val="00F33921"/>
    <w:rsid w:val="00F35681"/>
    <w:rsid w:val="00F4551D"/>
    <w:rsid w:val="00F771F7"/>
    <w:rsid w:val="00FA5410"/>
    <w:rsid w:val="00FB40A2"/>
    <w:rsid w:val="00FC0894"/>
    <w:rsid w:val="00FF2835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aliases w:val="Appel note de bas de p,Style 12,(NECG) Footnote Reference,Style 124"/>
    <w:basedOn w:val="DefaultParagraphFont"/>
    <w:uiPriority w:val="99"/>
    <w:semiHidden/>
    <w:rPr>
      <w:vertAlign w:val="superscript"/>
    </w:rPr>
  </w:style>
  <w:style w:type="paragraph" w:styleId="FootnoteText">
    <w:name w:val="footnote text"/>
    <w:aliases w:val="Footnote Text Char1,Footnote Text Char Char"/>
    <w:basedOn w:val="Normal"/>
    <w:link w:val="FootnoteTextChar"/>
    <w:uiPriority w:val="99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3">
    <w:name w:val="Body Text 3"/>
    <w:basedOn w:val="Normal"/>
    <w:pPr>
      <w:widowControl w:val="0"/>
      <w:tabs>
        <w:tab w:val="left" w:pos="-720"/>
      </w:tabs>
      <w:suppressAutoHyphens/>
      <w:jc w:val="both"/>
    </w:pPr>
    <w:rPr>
      <w:snapToGrid w:val="0"/>
      <w:sz w:val="24"/>
    </w:rPr>
  </w:style>
  <w:style w:type="character" w:customStyle="1" w:styleId="FootnoteTextChar">
    <w:name w:val="Footnote Text Char"/>
    <w:aliases w:val="Footnote Text Char1 Char,Footnote Text Char Char Char"/>
    <w:basedOn w:val="DefaultParagraphFont"/>
    <w:link w:val="FootnoteText"/>
    <w:uiPriority w:val="99"/>
    <w:rPr>
      <w:sz w:val="22"/>
      <w:lang w:val="en-US" w:eastAsia="en-US" w:bidi="ar-SA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customStyle="1" w:styleId="ParaNum0">
    <w:name w:val="ParaNum"/>
    <w:basedOn w:val="Normal"/>
    <w:pPr>
      <w:widowControl w:val="0"/>
      <w:numPr>
        <w:numId w:val="18"/>
      </w:numPr>
      <w:tabs>
        <w:tab w:val="clear" w:pos="1080"/>
        <w:tab w:val="num" w:pos="1440"/>
      </w:tabs>
      <w:spacing w:after="120"/>
    </w:pPr>
    <w:rPr>
      <w:snapToGrid w:val="0"/>
      <w:kern w:val="28"/>
    </w:rPr>
  </w:style>
  <w:style w:type="character" w:customStyle="1" w:styleId="documentbody">
    <w:name w:val="documentbody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locked/>
    <w:rsid w:val="00550733"/>
    <w:rPr>
      <w:b/>
      <w:sz w:val="22"/>
    </w:rPr>
  </w:style>
  <w:style w:type="paragraph" w:styleId="ListParagraph">
    <w:name w:val="List Paragraph"/>
    <w:basedOn w:val="Normal"/>
    <w:uiPriority w:val="99"/>
    <w:qFormat/>
    <w:rsid w:val="00574A98"/>
    <w:pPr>
      <w:ind w:left="720"/>
      <w:contextualSpacing/>
    </w:pPr>
  </w:style>
  <w:style w:type="character" w:styleId="CommentReference">
    <w:name w:val="annotation reference"/>
    <w:basedOn w:val="DefaultParagraphFont"/>
    <w:rsid w:val="00101E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E4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01E46"/>
  </w:style>
  <w:style w:type="paragraph" w:styleId="CommentSubject">
    <w:name w:val="annotation subject"/>
    <w:basedOn w:val="CommentText"/>
    <w:next w:val="CommentText"/>
    <w:link w:val="CommentSubjectChar"/>
    <w:rsid w:val="00101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1E46"/>
    <w:rPr>
      <w:b/>
      <w:bCs/>
    </w:rPr>
  </w:style>
  <w:style w:type="paragraph" w:styleId="Revision">
    <w:name w:val="Revision"/>
    <w:hidden/>
    <w:uiPriority w:val="99"/>
    <w:semiHidden/>
    <w:rsid w:val="003E7A6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aliases w:val="Appel note de bas de p,Style 12,(NECG) Footnote Reference,Style 124"/>
    <w:basedOn w:val="DefaultParagraphFont"/>
    <w:uiPriority w:val="99"/>
    <w:semiHidden/>
    <w:rPr>
      <w:vertAlign w:val="superscript"/>
    </w:rPr>
  </w:style>
  <w:style w:type="paragraph" w:styleId="FootnoteText">
    <w:name w:val="footnote text"/>
    <w:aliases w:val="Footnote Text Char1,Footnote Text Char Char"/>
    <w:basedOn w:val="Normal"/>
    <w:link w:val="FootnoteTextChar"/>
    <w:uiPriority w:val="99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3">
    <w:name w:val="Body Text 3"/>
    <w:basedOn w:val="Normal"/>
    <w:pPr>
      <w:widowControl w:val="0"/>
      <w:tabs>
        <w:tab w:val="left" w:pos="-720"/>
      </w:tabs>
      <w:suppressAutoHyphens/>
      <w:jc w:val="both"/>
    </w:pPr>
    <w:rPr>
      <w:snapToGrid w:val="0"/>
      <w:sz w:val="24"/>
    </w:rPr>
  </w:style>
  <w:style w:type="character" w:customStyle="1" w:styleId="FootnoteTextChar">
    <w:name w:val="Footnote Text Char"/>
    <w:aliases w:val="Footnote Text Char1 Char,Footnote Text Char Char Char"/>
    <w:basedOn w:val="DefaultParagraphFont"/>
    <w:link w:val="FootnoteText"/>
    <w:uiPriority w:val="99"/>
    <w:rPr>
      <w:sz w:val="22"/>
      <w:lang w:val="en-US" w:eastAsia="en-US" w:bidi="ar-SA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customStyle="1" w:styleId="ParaNum0">
    <w:name w:val="ParaNum"/>
    <w:basedOn w:val="Normal"/>
    <w:pPr>
      <w:widowControl w:val="0"/>
      <w:numPr>
        <w:numId w:val="18"/>
      </w:numPr>
      <w:tabs>
        <w:tab w:val="clear" w:pos="1080"/>
        <w:tab w:val="num" w:pos="1440"/>
      </w:tabs>
      <w:spacing w:after="120"/>
    </w:pPr>
    <w:rPr>
      <w:snapToGrid w:val="0"/>
      <w:kern w:val="28"/>
    </w:rPr>
  </w:style>
  <w:style w:type="character" w:customStyle="1" w:styleId="documentbody">
    <w:name w:val="documentbody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locked/>
    <w:rsid w:val="00550733"/>
    <w:rPr>
      <w:b/>
      <w:sz w:val="22"/>
    </w:rPr>
  </w:style>
  <w:style w:type="paragraph" w:styleId="ListParagraph">
    <w:name w:val="List Paragraph"/>
    <w:basedOn w:val="Normal"/>
    <w:uiPriority w:val="99"/>
    <w:qFormat/>
    <w:rsid w:val="00574A98"/>
    <w:pPr>
      <w:ind w:left="720"/>
      <w:contextualSpacing/>
    </w:pPr>
  </w:style>
  <w:style w:type="character" w:styleId="CommentReference">
    <w:name w:val="annotation reference"/>
    <w:basedOn w:val="DefaultParagraphFont"/>
    <w:rsid w:val="00101E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E4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01E46"/>
  </w:style>
  <w:style w:type="paragraph" w:styleId="CommentSubject">
    <w:name w:val="annotation subject"/>
    <w:basedOn w:val="CommentText"/>
    <w:next w:val="CommentText"/>
    <w:link w:val="CommentSubjectChar"/>
    <w:rsid w:val="00101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1E46"/>
    <w:rPr>
      <w:b/>
      <w:bCs/>
    </w:rPr>
  </w:style>
  <w:style w:type="paragraph" w:styleId="Revision">
    <w:name w:val="Revision"/>
    <w:hidden/>
    <w:uiPriority w:val="99"/>
    <w:semiHidden/>
    <w:rsid w:val="003E7A6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2798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2627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5311</Characters>
  <Application>Microsoft Office Word</Application>
  <DocSecurity>0</DocSecurity>
  <Lines>102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6299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2011-10-13T20:55:00Z</cp:lastPrinted>
  <dcterms:created xsi:type="dcterms:W3CDTF">2014-09-16T14:04:00Z</dcterms:created>
  <dcterms:modified xsi:type="dcterms:W3CDTF">2014-09-16T14:04:00Z</dcterms:modified>
  <cp:category> </cp:category>
  <cp:contentStatus> </cp:contentStatus>
</cp:coreProperties>
</file>