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B7" w:rsidRDefault="00B544B7">
      <w:pPr>
        <w:rPr>
          <w:sz w:val="22"/>
          <w:szCs w:val="22"/>
        </w:rPr>
      </w:pPr>
      <w:bookmarkStart w:id="0" w:name="_GoBack"/>
      <w:bookmarkEnd w:id="0"/>
    </w:p>
    <w:p w:rsidR="00B544B7" w:rsidRDefault="00B544B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A3E02">
        <w:rPr>
          <w:sz w:val="22"/>
          <w:szCs w:val="22"/>
        </w:rPr>
        <w:tab/>
      </w:r>
      <w:r w:rsidR="007A3E02">
        <w:rPr>
          <w:sz w:val="22"/>
          <w:szCs w:val="22"/>
        </w:rPr>
        <w:tab/>
      </w:r>
      <w:r>
        <w:rPr>
          <w:sz w:val="22"/>
          <w:szCs w:val="22"/>
        </w:rPr>
        <w:t xml:space="preserve">DA </w:t>
      </w:r>
      <w:r w:rsidR="00192D5F">
        <w:rPr>
          <w:sz w:val="22"/>
          <w:szCs w:val="22"/>
        </w:rPr>
        <w:t>14</w:t>
      </w:r>
      <w:r w:rsidR="006F6FEC" w:rsidRPr="006F6FEC">
        <w:rPr>
          <w:sz w:val="22"/>
          <w:szCs w:val="22"/>
        </w:rPr>
        <w:t>-1324</w:t>
      </w:r>
    </w:p>
    <w:p w:rsidR="00B544B7" w:rsidRDefault="00B544B7">
      <w:pPr>
        <w:rPr>
          <w:sz w:val="22"/>
          <w:szCs w:val="22"/>
        </w:rPr>
      </w:pPr>
    </w:p>
    <w:p w:rsidR="00B544B7" w:rsidRDefault="00B544B7">
      <w:pPr>
        <w:rPr>
          <w:sz w:val="22"/>
          <w:szCs w:val="22"/>
        </w:rPr>
      </w:pPr>
    </w:p>
    <w:p w:rsidR="00B544B7" w:rsidRDefault="00B544B7">
      <w:pPr>
        <w:rPr>
          <w:i/>
          <w:sz w:val="22"/>
          <w:szCs w:val="22"/>
        </w:rPr>
      </w:pPr>
      <w:r>
        <w:rPr>
          <w:i/>
          <w:sz w:val="22"/>
          <w:szCs w:val="22"/>
        </w:rPr>
        <w:t>Via Electronic Mail and First-Class Mail</w:t>
      </w:r>
    </w:p>
    <w:p w:rsidR="00B544B7" w:rsidRDefault="00B544B7">
      <w:pPr>
        <w:rPr>
          <w:sz w:val="22"/>
          <w:szCs w:val="22"/>
        </w:rPr>
      </w:pPr>
    </w:p>
    <w:p w:rsidR="00B544B7" w:rsidRDefault="00B544B7">
      <w:pPr>
        <w:rPr>
          <w:sz w:val="22"/>
          <w:szCs w:val="22"/>
        </w:rPr>
      </w:pPr>
    </w:p>
    <w:p w:rsidR="00B544B7" w:rsidRDefault="00B544B7">
      <w:pPr>
        <w:rPr>
          <w:sz w:val="22"/>
          <w:szCs w:val="22"/>
        </w:rPr>
      </w:pPr>
      <w:r>
        <w:rPr>
          <w:sz w:val="22"/>
          <w:szCs w:val="22"/>
        </w:rPr>
        <w:t>Craig J. Brown</w:t>
      </w:r>
    </w:p>
    <w:p w:rsidR="00C666A2" w:rsidRDefault="00C666A2">
      <w:pPr>
        <w:rPr>
          <w:sz w:val="22"/>
          <w:szCs w:val="22"/>
        </w:rPr>
      </w:pPr>
      <w:r>
        <w:rPr>
          <w:sz w:val="22"/>
          <w:szCs w:val="22"/>
        </w:rPr>
        <w:t>Senior Associate General Counsel</w:t>
      </w:r>
      <w:r w:rsidR="00FA3BAC">
        <w:rPr>
          <w:sz w:val="22"/>
          <w:szCs w:val="22"/>
        </w:rPr>
        <w:t xml:space="preserve">  </w:t>
      </w:r>
    </w:p>
    <w:p w:rsidR="00B544B7" w:rsidRDefault="00B544B7">
      <w:pPr>
        <w:rPr>
          <w:sz w:val="22"/>
          <w:szCs w:val="22"/>
        </w:rPr>
      </w:pPr>
      <w:r>
        <w:rPr>
          <w:sz w:val="22"/>
          <w:szCs w:val="22"/>
        </w:rPr>
        <w:t>CenturyLink, Inc.</w:t>
      </w:r>
    </w:p>
    <w:p w:rsidR="00B544B7" w:rsidRDefault="00192D5F">
      <w:pPr>
        <w:rPr>
          <w:sz w:val="22"/>
          <w:szCs w:val="22"/>
        </w:rPr>
      </w:pPr>
      <w:r>
        <w:rPr>
          <w:sz w:val="22"/>
          <w:szCs w:val="22"/>
        </w:rPr>
        <w:t>1099 New York Avenue, NW</w:t>
      </w:r>
    </w:p>
    <w:p w:rsidR="00192D5F" w:rsidRDefault="00192D5F">
      <w:pPr>
        <w:rPr>
          <w:sz w:val="22"/>
          <w:szCs w:val="22"/>
        </w:rPr>
      </w:pPr>
      <w:r>
        <w:rPr>
          <w:sz w:val="22"/>
          <w:szCs w:val="22"/>
        </w:rPr>
        <w:t>Suite 250</w:t>
      </w:r>
    </w:p>
    <w:p w:rsidR="00192D5F" w:rsidRDefault="00192D5F">
      <w:pPr>
        <w:rPr>
          <w:sz w:val="22"/>
          <w:szCs w:val="22"/>
        </w:rPr>
      </w:pPr>
      <w:r>
        <w:rPr>
          <w:sz w:val="22"/>
          <w:szCs w:val="22"/>
        </w:rPr>
        <w:t>Washington, DC 20001</w:t>
      </w:r>
    </w:p>
    <w:p w:rsidR="00B544B7" w:rsidRDefault="00B544B7">
      <w:pPr>
        <w:rPr>
          <w:sz w:val="22"/>
          <w:szCs w:val="22"/>
        </w:rPr>
      </w:pPr>
    </w:p>
    <w:p w:rsidR="00B544B7" w:rsidRDefault="00B544B7">
      <w:pPr>
        <w:ind w:left="1440" w:hanging="720"/>
        <w:rPr>
          <w:b/>
          <w:sz w:val="22"/>
          <w:szCs w:val="22"/>
        </w:rPr>
      </w:pPr>
      <w:r>
        <w:rPr>
          <w:b/>
          <w:sz w:val="22"/>
          <w:szCs w:val="22"/>
        </w:rPr>
        <w:t xml:space="preserve">RE:  </w:t>
      </w:r>
      <w:r>
        <w:rPr>
          <w:b/>
          <w:sz w:val="22"/>
          <w:szCs w:val="22"/>
        </w:rPr>
        <w:tab/>
        <w:t xml:space="preserve">In the Matter of CenturyLink’s Petition for Forbearance Pursuant to 47 U.S.C. § 160(c) from Dominant Carrier and Certain </w:t>
      </w:r>
      <w:r>
        <w:rPr>
          <w:b/>
          <w:i/>
          <w:sz w:val="22"/>
          <w:szCs w:val="22"/>
        </w:rPr>
        <w:t>Computer Inquiry</w:t>
      </w:r>
      <w:r>
        <w:rPr>
          <w:b/>
          <w:sz w:val="22"/>
          <w:szCs w:val="22"/>
        </w:rPr>
        <w:t xml:space="preserve"> Requirements on Enterprise Broadband Services (WC Docket No. </w:t>
      </w:r>
      <w:r w:rsidR="00192D5F">
        <w:rPr>
          <w:b/>
          <w:sz w:val="22"/>
          <w:szCs w:val="22"/>
        </w:rPr>
        <w:t>14-9</w:t>
      </w:r>
      <w:r>
        <w:rPr>
          <w:b/>
          <w:sz w:val="22"/>
          <w:szCs w:val="22"/>
        </w:rPr>
        <w:t>)</w:t>
      </w:r>
    </w:p>
    <w:p w:rsidR="00B544B7" w:rsidRDefault="00B544B7">
      <w:pPr>
        <w:rPr>
          <w:sz w:val="22"/>
          <w:szCs w:val="22"/>
        </w:rPr>
      </w:pPr>
    </w:p>
    <w:p w:rsidR="00B544B7" w:rsidRDefault="00B544B7">
      <w:pPr>
        <w:rPr>
          <w:sz w:val="22"/>
          <w:szCs w:val="22"/>
        </w:rPr>
      </w:pPr>
      <w:r>
        <w:rPr>
          <w:sz w:val="22"/>
          <w:szCs w:val="22"/>
        </w:rPr>
        <w:t>Dear Mr. Brown:</w:t>
      </w:r>
    </w:p>
    <w:p w:rsidR="00B544B7" w:rsidRDefault="00B544B7">
      <w:pPr>
        <w:rPr>
          <w:sz w:val="22"/>
          <w:szCs w:val="22"/>
        </w:rPr>
      </w:pPr>
    </w:p>
    <w:p w:rsidR="00B544B7" w:rsidRPr="00660362" w:rsidRDefault="00192D5F">
      <w:pPr>
        <w:ind w:firstLine="720"/>
        <w:rPr>
          <w:sz w:val="22"/>
          <w:szCs w:val="22"/>
        </w:rPr>
      </w:pPr>
      <w:r w:rsidRPr="00660362">
        <w:rPr>
          <w:sz w:val="22"/>
          <w:szCs w:val="22"/>
        </w:rPr>
        <w:t>On December 13, 2013</w:t>
      </w:r>
      <w:r w:rsidR="00B544B7" w:rsidRPr="00660362">
        <w:rPr>
          <w:sz w:val="22"/>
          <w:szCs w:val="22"/>
        </w:rPr>
        <w:t xml:space="preserve">, </w:t>
      </w:r>
      <w:r w:rsidR="00660362" w:rsidRPr="00660362">
        <w:rPr>
          <w:sz w:val="22"/>
          <w:szCs w:val="22"/>
        </w:rPr>
        <w:t>CenturyLink filed a petition pursuant to section 10 of the Communications Act of 1934, as amended,</w:t>
      </w:r>
      <w:r w:rsidR="00660362" w:rsidRPr="00660362">
        <w:rPr>
          <w:rStyle w:val="FootnoteReference"/>
          <w:sz w:val="22"/>
          <w:szCs w:val="22"/>
        </w:rPr>
        <w:footnoteReference w:id="2"/>
      </w:r>
      <w:r w:rsidR="00660362" w:rsidRPr="00660362">
        <w:rPr>
          <w:sz w:val="22"/>
          <w:szCs w:val="22"/>
        </w:rPr>
        <w:t xml:space="preserve"> requesting that the Commission forbear from “dominant carrier regulation and the </w:t>
      </w:r>
      <w:r w:rsidR="00660362" w:rsidRPr="00660362">
        <w:rPr>
          <w:i/>
          <w:iCs/>
          <w:sz w:val="22"/>
          <w:szCs w:val="22"/>
        </w:rPr>
        <w:t xml:space="preserve">Computer Inquiry </w:t>
      </w:r>
      <w:r w:rsidR="00660362" w:rsidRPr="00660362">
        <w:rPr>
          <w:sz w:val="22"/>
          <w:szCs w:val="22"/>
        </w:rPr>
        <w:t>tariffing requirement with respect to all of its packet-switched and optical transmission services” that are subject to the regulations.</w:t>
      </w:r>
      <w:r w:rsidR="00660362" w:rsidRPr="00660362">
        <w:rPr>
          <w:rStyle w:val="FootnoteReference"/>
          <w:sz w:val="22"/>
          <w:szCs w:val="22"/>
        </w:rPr>
        <w:footnoteReference w:id="3"/>
      </w:r>
      <w:r w:rsidR="00B544B7" w:rsidRPr="00660362">
        <w:rPr>
          <w:sz w:val="22"/>
          <w:szCs w:val="22"/>
        </w:rPr>
        <w:t xml:space="preserve">  In order for the Commission to complete its review of the petition, we require additional information from CenturyLink.</w:t>
      </w:r>
      <w:r w:rsidR="002E403F">
        <w:rPr>
          <w:sz w:val="22"/>
          <w:szCs w:val="22"/>
        </w:rPr>
        <w:t xml:space="preserve"> </w:t>
      </w:r>
    </w:p>
    <w:p w:rsidR="00B544B7" w:rsidRDefault="00B544B7">
      <w:pPr>
        <w:rPr>
          <w:sz w:val="22"/>
          <w:szCs w:val="22"/>
        </w:rPr>
      </w:pPr>
    </w:p>
    <w:p w:rsidR="00B544B7" w:rsidRDefault="00B544B7">
      <w:pPr>
        <w:ind w:firstLine="720"/>
        <w:rPr>
          <w:sz w:val="22"/>
          <w:szCs w:val="22"/>
        </w:rPr>
      </w:pPr>
      <w:r>
        <w:rPr>
          <w:sz w:val="22"/>
          <w:szCs w:val="22"/>
        </w:rPr>
        <w:lastRenderedPageBreak/>
        <w:t>Accordingly, we request that you provide written responses and supporting documentation for each request set forth in the attached Information, Data and Document Request.</w:t>
      </w:r>
      <w:r w:rsidR="002E403F">
        <w:rPr>
          <w:sz w:val="22"/>
          <w:szCs w:val="22"/>
        </w:rPr>
        <w:t xml:space="preserve">  We are requesting information that we believe is necessary to review the petition and allow the Commission to make a decision in accordance with the statute.  We note, however, that CenturyLink has the burden of proving that forbearance is warranted.</w:t>
      </w:r>
      <w:r w:rsidR="006D04B6">
        <w:rPr>
          <w:rStyle w:val="FootnoteReference"/>
          <w:sz w:val="22"/>
          <w:szCs w:val="22"/>
        </w:rPr>
        <w:footnoteReference w:id="4"/>
      </w:r>
      <w:r>
        <w:rPr>
          <w:sz w:val="22"/>
          <w:szCs w:val="22"/>
        </w:rPr>
        <w:t xml:space="preserve">  </w:t>
      </w:r>
      <w:r w:rsidR="002E403F">
        <w:rPr>
          <w:sz w:val="22"/>
          <w:szCs w:val="22"/>
        </w:rPr>
        <w:t>P</w:t>
      </w:r>
      <w:r>
        <w:rPr>
          <w:sz w:val="22"/>
          <w:szCs w:val="22"/>
        </w:rPr>
        <w:t xml:space="preserve">lease respond to the following requests by </w:t>
      </w:r>
      <w:r w:rsidR="006F6FEC">
        <w:rPr>
          <w:b/>
          <w:sz w:val="22"/>
          <w:szCs w:val="22"/>
        </w:rPr>
        <w:t>October 14</w:t>
      </w:r>
      <w:r w:rsidR="00660362">
        <w:rPr>
          <w:b/>
          <w:sz w:val="22"/>
          <w:szCs w:val="22"/>
        </w:rPr>
        <w:t>, 2014</w:t>
      </w:r>
      <w:r>
        <w:rPr>
          <w:sz w:val="22"/>
          <w:szCs w:val="22"/>
        </w:rPr>
        <w:t>.</w:t>
      </w:r>
    </w:p>
    <w:p w:rsidR="00B544B7" w:rsidRDefault="00B544B7">
      <w:pPr>
        <w:rPr>
          <w:sz w:val="22"/>
          <w:szCs w:val="22"/>
        </w:rPr>
      </w:pPr>
    </w:p>
    <w:p w:rsidR="00B544B7" w:rsidRDefault="00B544B7">
      <w:pPr>
        <w:ind w:firstLine="720"/>
        <w:rPr>
          <w:sz w:val="22"/>
          <w:szCs w:val="22"/>
        </w:rPr>
      </w:pPr>
      <w:r>
        <w:rPr>
          <w:sz w:val="22"/>
          <w:szCs w:val="22"/>
        </w:rPr>
        <w:t>Your responses should be filed with Marlene H. Dortch, Secretary, Federal Communications Commission, in the above-captioned docket.  The Wireline Competition Bureau should also receive an electronic copy</w:t>
      </w:r>
      <w:r w:rsidR="00A00D53">
        <w:rPr>
          <w:sz w:val="22"/>
          <w:szCs w:val="22"/>
        </w:rPr>
        <w:t>.</w:t>
      </w:r>
      <w:r>
        <w:rPr>
          <w:sz w:val="22"/>
          <w:szCs w:val="22"/>
        </w:rPr>
        <w:t xml:space="preserve">  If you submit information pursuant to the Protective Orders issued in this proceeding, please follow the filing procedures specified therein.</w:t>
      </w:r>
      <w:r>
        <w:rPr>
          <w:rStyle w:val="FootnoteReference"/>
          <w:sz w:val="22"/>
          <w:szCs w:val="22"/>
        </w:rPr>
        <w:footnoteReference w:id="5"/>
      </w:r>
    </w:p>
    <w:p w:rsidR="00B544B7" w:rsidRDefault="00B544B7">
      <w:pPr>
        <w:ind w:firstLine="720"/>
        <w:rPr>
          <w:sz w:val="22"/>
          <w:szCs w:val="22"/>
        </w:rPr>
      </w:pPr>
    </w:p>
    <w:p w:rsidR="00B544B7" w:rsidRDefault="00B544B7">
      <w:pPr>
        <w:keepNext/>
        <w:keepLines/>
        <w:ind w:firstLine="720"/>
        <w:rPr>
          <w:sz w:val="22"/>
          <w:szCs w:val="22"/>
        </w:rPr>
      </w:pPr>
      <w:r>
        <w:rPr>
          <w:sz w:val="22"/>
          <w:szCs w:val="22"/>
        </w:rPr>
        <w:t xml:space="preserve">If you have any questions regarding this matter, please contact </w:t>
      </w:r>
      <w:r w:rsidR="00C666A2">
        <w:rPr>
          <w:sz w:val="22"/>
          <w:szCs w:val="22"/>
        </w:rPr>
        <w:t>Matt Warner at 202-418-2419</w:t>
      </w:r>
      <w:r>
        <w:rPr>
          <w:sz w:val="22"/>
          <w:szCs w:val="22"/>
        </w:rPr>
        <w:t>.</w:t>
      </w:r>
    </w:p>
    <w:p w:rsidR="00B544B7" w:rsidRDefault="00B544B7">
      <w:pPr>
        <w:keepNext/>
        <w:keepLines/>
        <w:rPr>
          <w:sz w:val="22"/>
          <w:szCs w:val="22"/>
        </w:rPr>
      </w:pPr>
    </w:p>
    <w:p w:rsidR="00B544B7" w:rsidRDefault="00B544B7">
      <w:pPr>
        <w:keepNext/>
        <w:keepLines/>
        <w:ind w:left="3600" w:firstLine="720"/>
        <w:rPr>
          <w:sz w:val="22"/>
          <w:szCs w:val="22"/>
        </w:rPr>
      </w:pPr>
      <w:r>
        <w:rPr>
          <w:sz w:val="22"/>
          <w:szCs w:val="22"/>
        </w:rPr>
        <w:t xml:space="preserve">Sincerely, </w:t>
      </w:r>
    </w:p>
    <w:p w:rsidR="00B544B7" w:rsidRDefault="00B544B7">
      <w:pPr>
        <w:keepNext/>
        <w:keepLines/>
        <w:ind w:left="3600" w:firstLine="720"/>
        <w:rPr>
          <w:sz w:val="22"/>
          <w:szCs w:val="22"/>
        </w:rPr>
      </w:pPr>
    </w:p>
    <w:p w:rsidR="00B544B7" w:rsidRDefault="00B544B7">
      <w:pPr>
        <w:keepNext/>
        <w:keepLines/>
        <w:ind w:left="3600" w:firstLine="720"/>
        <w:rPr>
          <w:sz w:val="22"/>
          <w:szCs w:val="22"/>
        </w:rPr>
      </w:pPr>
    </w:p>
    <w:p w:rsidR="00B544B7" w:rsidRDefault="00B544B7">
      <w:pPr>
        <w:keepNext/>
        <w:keepLines/>
        <w:ind w:left="3600" w:firstLine="720"/>
        <w:rPr>
          <w:sz w:val="22"/>
          <w:szCs w:val="22"/>
        </w:rPr>
      </w:pPr>
    </w:p>
    <w:p w:rsidR="00B544B7" w:rsidRDefault="00B544B7">
      <w:pPr>
        <w:keepNext/>
        <w:keepLines/>
        <w:ind w:left="3600" w:firstLine="720"/>
        <w:rPr>
          <w:sz w:val="22"/>
          <w:szCs w:val="22"/>
        </w:rPr>
      </w:pPr>
      <w:r>
        <w:rPr>
          <w:sz w:val="22"/>
          <w:szCs w:val="22"/>
        </w:rPr>
        <w:t>Julie A. Veach</w:t>
      </w:r>
    </w:p>
    <w:p w:rsidR="00B544B7" w:rsidRDefault="00B544B7">
      <w:pPr>
        <w:keepNext/>
        <w:keepLines/>
        <w:ind w:left="3600" w:firstLine="720"/>
        <w:rPr>
          <w:sz w:val="22"/>
          <w:szCs w:val="22"/>
        </w:rPr>
      </w:pPr>
      <w:r>
        <w:rPr>
          <w:sz w:val="22"/>
          <w:szCs w:val="22"/>
        </w:rPr>
        <w:t>Chief, Wireline Competition Bureau</w:t>
      </w:r>
    </w:p>
    <w:p w:rsidR="00B544B7" w:rsidRDefault="00B544B7">
      <w:pPr>
        <w:keepNext/>
        <w:keepLines/>
        <w:tabs>
          <w:tab w:val="left" w:pos="5040"/>
        </w:tabs>
        <w:rPr>
          <w:sz w:val="22"/>
          <w:szCs w:val="22"/>
        </w:rPr>
      </w:pPr>
    </w:p>
    <w:p w:rsidR="00B544B7" w:rsidRDefault="00B544B7">
      <w:pPr>
        <w:keepNext/>
        <w:keepLines/>
        <w:rPr>
          <w:sz w:val="22"/>
          <w:szCs w:val="22"/>
        </w:rPr>
      </w:pPr>
    </w:p>
    <w:p w:rsidR="00B544B7" w:rsidRDefault="00B544B7">
      <w:pPr>
        <w:keepNext/>
        <w:keepLines/>
        <w:rPr>
          <w:sz w:val="22"/>
          <w:szCs w:val="22"/>
        </w:rPr>
      </w:pPr>
      <w:r>
        <w:rPr>
          <w:sz w:val="22"/>
          <w:szCs w:val="22"/>
        </w:rPr>
        <w:t>Attachment</w:t>
      </w:r>
      <w:r w:rsidR="00875C98">
        <w:rPr>
          <w:sz w:val="22"/>
          <w:szCs w:val="22"/>
        </w:rPr>
        <w:t>s</w:t>
      </w:r>
    </w:p>
    <w:p w:rsidR="00B544B7" w:rsidRDefault="00B544B7">
      <w:pPr>
        <w:rPr>
          <w:sz w:val="22"/>
          <w:szCs w:val="22"/>
        </w:rPr>
      </w:pPr>
    </w:p>
    <w:p w:rsidR="00B544B7" w:rsidRDefault="00B544B7">
      <w:pPr>
        <w:rPr>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rsidP="001F20E9">
      <w:pPr>
        <w:tabs>
          <w:tab w:val="center" w:pos="4680"/>
          <w:tab w:val="right" w:pos="9360"/>
        </w:tabs>
        <w:rPr>
          <w:b/>
          <w:sz w:val="22"/>
          <w:szCs w:val="22"/>
        </w:rPr>
      </w:pPr>
    </w:p>
    <w:p w:rsidR="00B544B7" w:rsidRDefault="00B544B7">
      <w:pPr>
        <w:tabs>
          <w:tab w:val="center" w:pos="4680"/>
          <w:tab w:val="right" w:pos="9360"/>
        </w:tabs>
        <w:jc w:val="center"/>
        <w:rPr>
          <w:b/>
          <w:sz w:val="22"/>
          <w:szCs w:val="22"/>
        </w:rPr>
      </w:pPr>
    </w:p>
    <w:p w:rsidR="00B544B7" w:rsidRDefault="00B544B7">
      <w:pPr>
        <w:tabs>
          <w:tab w:val="center" w:pos="4680"/>
          <w:tab w:val="right" w:pos="9360"/>
        </w:tabs>
        <w:jc w:val="center"/>
        <w:rPr>
          <w:b/>
          <w:sz w:val="22"/>
          <w:szCs w:val="22"/>
        </w:rPr>
      </w:pPr>
    </w:p>
    <w:p w:rsidR="00B544B7" w:rsidRDefault="00B544B7">
      <w:pPr>
        <w:jc w:val="center"/>
        <w:rPr>
          <w:b/>
          <w:color w:val="000000"/>
          <w:sz w:val="22"/>
          <w:szCs w:val="22"/>
        </w:rPr>
      </w:pPr>
      <w:r>
        <w:rPr>
          <w:sz w:val="22"/>
          <w:szCs w:val="22"/>
        </w:rPr>
        <w:br w:type="page"/>
      </w:r>
      <w:r>
        <w:rPr>
          <w:b/>
          <w:color w:val="000000"/>
          <w:sz w:val="22"/>
          <w:szCs w:val="22"/>
        </w:rPr>
        <w:lastRenderedPageBreak/>
        <w:t>ATTACHMENT</w:t>
      </w:r>
      <w:r w:rsidR="00875C98">
        <w:rPr>
          <w:b/>
          <w:color w:val="000000"/>
          <w:sz w:val="22"/>
          <w:szCs w:val="22"/>
        </w:rPr>
        <w:t xml:space="preserve"> I</w:t>
      </w:r>
    </w:p>
    <w:p w:rsidR="001E073E" w:rsidRPr="001E073E" w:rsidRDefault="00B544B7" w:rsidP="001E073E">
      <w:pPr>
        <w:jc w:val="center"/>
        <w:rPr>
          <w:b/>
          <w:color w:val="000000"/>
          <w:sz w:val="22"/>
          <w:szCs w:val="22"/>
        </w:rPr>
      </w:pPr>
      <w:r>
        <w:rPr>
          <w:b/>
          <w:color w:val="000000"/>
          <w:sz w:val="22"/>
          <w:szCs w:val="22"/>
        </w:rPr>
        <w:t>INFORMATION, DATA, AND DOCUMENT REQUEST</w:t>
      </w:r>
    </w:p>
    <w:p w:rsidR="001E073E" w:rsidRPr="00DB03AB" w:rsidRDefault="001E073E" w:rsidP="001E073E">
      <w:pPr>
        <w:tabs>
          <w:tab w:val="left" w:pos="360"/>
        </w:tabs>
        <w:rPr>
          <w:b/>
          <w:sz w:val="22"/>
          <w:szCs w:val="22"/>
        </w:rPr>
      </w:pPr>
    </w:p>
    <w:p w:rsidR="001E073E" w:rsidRDefault="001E073E" w:rsidP="001E073E">
      <w:pPr>
        <w:tabs>
          <w:tab w:val="left" w:pos="360"/>
        </w:tabs>
        <w:rPr>
          <w:sz w:val="22"/>
          <w:szCs w:val="22"/>
        </w:rPr>
      </w:pPr>
      <w:r w:rsidRPr="00DB03AB">
        <w:rPr>
          <w:sz w:val="22"/>
          <w:szCs w:val="22"/>
        </w:rPr>
        <w:t xml:space="preserve">In order </w:t>
      </w:r>
      <w:r w:rsidR="003B6A65">
        <w:rPr>
          <w:sz w:val="22"/>
          <w:szCs w:val="22"/>
        </w:rPr>
        <w:t xml:space="preserve">for the Commission </w:t>
      </w:r>
      <w:r w:rsidRPr="00DB03AB">
        <w:rPr>
          <w:sz w:val="22"/>
          <w:szCs w:val="22"/>
        </w:rPr>
        <w:t xml:space="preserve">to determine whether forbearance is appropriate, </w:t>
      </w:r>
      <w:r w:rsidR="003B6A65">
        <w:rPr>
          <w:sz w:val="22"/>
          <w:szCs w:val="22"/>
        </w:rPr>
        <w:t xml:space="preserve">we request that </w:t>
      </w:r>
      <w:r w:rsidRPr="00DB03AB">
        <w:rPr>
          <w:sz w:val="22"/>
          <w:szCs w:val="22"/>
        </w:rPr>
        <w:t>CenturyLink submit the information and documents described below.</w:t>
      </w:r>
      <w:r>
        <w:rPr>
          <w:sz w:val="22"/>
          <w:szCs w:val="22"/>
        </w:rPr>
        <w:t xml:space="preserve">  In answering these questions, CenturyLink </w:t>
      </w:r>
      <w:r w:rsidR="003B6A65">
        <w:rPr>
          <w:sz w:val="22"/>
          <w:szCs w:val="22"/>
        </w:rPr>
        <w:t xml:space="preserve">should </w:t>
      </w:r>
      <w:r>
        <w:rPr>
          <w:sz w:val="22"/>
          <w:szCs w:val="22"/>
        </w:rPr>
        <w:t>submit revenues—consistent with its internal accounting practices—to the smallest of the following geographical areas: the nation, a specific state, a specific study area or a specific exchange.  Revenues from multi-state or national contracts that are not allocated to smaller geographic area should be reported as national revenues in one of two categories (to the extent this is consistent with CenturyLink’s internal accounting practices): (1) revenues earned on servic</w:t>
      </w:r>
      <w:r w:rsidR="000D0B81">
        <w:rPr>
          <w:sz w:val="22"/>
          <w:szCs w:val="22"/>
        </w:rPr>
        <w:t>es solely sold within CenturyLink</w:t>
      </w:r>
      <w:r>
        <w:rPr>
          <w:sz w:val="22"/>
          <w:szCs w:val="22"/>
        </w:rPr>
        <w:t xml:space="preserve"> study areas; and (2) other national revenues.  Revenues from contracts wholly within a single state that are not allocated to a smaller geographic area within the state should be reported as revenues in the relevant state in one of two categories (to the extent this is consistent with CenturyLink’s internal accounting practices): (1) revenues earned on servic</w:t>
      </w:r>
      <w:r w:rsidR="000D0B81">
        <w:rPr>
          <w:sz w:val="22"/>
          <w:szCs w:val="22"/>
        </w:rPr>
        <w:t>es solely sold within CenturyLink</w:t>
      </w:r>
      <w:r>
        <w:rPr>
          <w:sz w:val="22"/>
          <w:szCs w:val="22"/>
        </w:rPr>
        <w:t xml:space="preserve"> study areas; and (2) other revenues earned in the state.  Revenues from contracts wholly within a single study area that are not allocated to an exchange or exchanges should be reported as revenues in the relevant study area.  All remaining revenues should be reported to their associated exchange.</w:t>
      </w:r>
    </w:p>
    <w:p w:rsidR="001E073E" w:rsidRPr="00DB03AB" w:rsidRDefault="001E073E" w:rsidP="001E073E">
      <w:pPr>
        <w:tabs>
          <w:tab w:val="left" w:pos="360"/>
        </w:tabs>
        <w:rPr>
          <w:b/>
          <w:sz w:val="22"/>
          <w:szCs w:val="22"/>
        </w:rPr>
      </w:pPr>
    </w:p>
    <w:p w:rsidR="001E073E" w:rsidRPr="00DB03AB" w:rsidRDefault="001E073E" w:rsidP="001E073E">
      <w:pPr>
        <w:tabs>
          <w:tab w:val="left" w:pos="270"/>
          <w:tab w:val="left" w:pos="450"/>
        </w:tabs>
        <w:rPr>
          <w:b/>
          <w:sz w:val="22"/>
          <w:szCs w:val="22"/>
        </w:rPr>
      </w:pPr>
      <w:r>
        <w:rPr>
          <w:b/>
          <w:sz w:val="22"/>
          <w:szCs w:val="22"/>
        </w:rPr>
        <w:t xml:space="preserve">I.  </w:t>
      </w:r>
      <w:r w:rsidRPr="00DB03AB">
        <w:rPr>
          <w:b/>
          <w:sz w:val="22"/>
          <w:szCs w:val="22"/>
        </w:rPr>
        <w:t xml:space="preserve">Definitions </w:t>
      </w:r>
    </w:p>
    <w:p w:rsidR="001E073E" w:rsidRPr="00DB03AB" w:rsidRDefault="001E073E" w:rsidP="001E073E">
      <w:pPr>
        <w:tabs>
          <w:tab w:val="num" w:pos="720"/>
        </w:tabs>
        <w:ind w:left="360" w:hanging="360"/>
        <w:rPr>
          <w:b/>
          <w:sz w:val="22"/>
          <w:szCs w:val="22"/>
        </w:rPr>
      </w:pPr>
    </w:p>
    <w:p w:rsidR="001E073E" w:rsidRPr="00DB03AB" w:rsidRDefault="001E073E" w:rsidP="001E073E">
      <w:pPr>
        <w:tabs>
          <w:tab w:val="num" w:pos="720"/>
        </w:tabs>
        <w:ind w:left="360" w:hanging="360"/>
        <w:rPr>
          <w:sz w:val="22"/>
          <w:szCs w:val="22"/>
        </w:rPr>
      </w:pPr>
      <w:r w:rsidRPr="00DB03AB">
        <w:rPr>
          <w:b/>
          <w:sz w:val="22"/>
          <w:szCs w:val="22"/>
        </w:rPr>
        <w:t>Indefeasible Right of Use (IRU)</w:t>
      </w:r>
      <w:r w:rsidRPr="00DB03AB">
        <w:rPr>
          <w:sz w:val="22"/>
          <w:szCs w:val="22"/>
        </w:rPr>
        <w:t xml:space="preserve"> means an indefeasible right to use facilities for a certain period of time that is commensurate with the remaining useful life of the asset, generally 10-20 years.  The right confers on the grantee the vestiges of ownership and typically involves a substantial sum paid up front, generally priced as a certain amount (depending on market rates) per mile or per fiber mile.</w:t>
      </w:r>
    </w:p>
    <w:p w:rsidR="003A4D90" w:rsidRPr="00957ADD" w:rsidRDefault="003A4D90" w:rsidP="00957ADD">
      <w:pPr>
        <w:tabs>
          <w:tab w:val="num" w:pos="720"/>
        </w:tabs>
        <w:rPr>
          <w:b/>
          <w:sz w:val="22"/>
        </w:rPr>
      </w:pPr>
    </w:p>
    <w:p w:rsidR="001E073E" w:rsidRPr="00DB03AB" w:rsidRDefault="001E073E" w:rsidP="001E073E">
      <w:pPr>
        <w:tabs>
          <w:tab w:val="num" w:pos="720"/>
        </w:tabs>
        <w:ind w:left="360" w:hanging="360"/>
        <w:rPr>
          <w:sz w:val="22"/>
          <w:szCs w:val="22"/>
        </w:rPr>
      </w:pPr>
      <w:r w:rsidRPr="00DB03AB">
        <w:rPr>
          <w:b/>
          <w:sz w:val="22"/>
          <w:szCs w:val="22"/>
        </w:rPr>
        <w:t>Listed Service(s)</w:t>
      </w:r>
      <w:r w:rsidRPr="00DB03AB">
        <w:rPr>
          <w:sz w:val="22"/>
          <w:szCs w:val="22"/>
        </w:rPr>
        <w:t xml:space="preserve"> means the services listed in Attachment I</w:t>
      </w:r>
      <w:r w:rsidR="003B6A65">
        <w:rPr>
          <w:sz w:val="22"/>
          <w:szCs w:val="22"/>
        </w:rPr>
        <w:t>I</w:t>
      </w:r>
      <w:r w:rsidRPr="00DB03AB">
        <w:rPr>
          <w:sz w:val="22"/>
          <w:szCs w:val="22"/>
        </w:rPr>
        <w:t>.</w:t>
      </w:r>
    </w:p>
    <w:p w:rsidR="001E073E" w:rsidRPr="00DB03AB" w:rsidRDefault="001E073E" w:rsidP="001E073E">
      <w:pPr>
        <w:tabs>
          <w:tab w:val="num" w:pos="720"/>
        </w:tabs>
        <w:ind w:left="360" w:hanging="360"/>
        <w:rPr>
          <w:sz w:val="22"/>
          <w:szCs w:val="22"/>
        </w:rPr>
      </w:pPr>
      <w:r w:rsidRPr="00DB03AB">
        <w:rPr>
          <w:sz w:val="22"/>
          <w:szCs w:val="22"/>
        </w:rPr>
        <w:t xml:space="preserve">  </w:t>
      </w:r>
    </w:p>
    <w:p w:rsidR="001E073E" w:rsidRPr="00DB03AB" w:rsidRDefault="001E073E" w:rsidP="001E073E">
      <w:pPr>
        <w:tabs>
          <w:tab w:val="num" w:pos="720"/>
        </w:tabs>
        <w:ind w:left="360" w:hanging="360"/>
        <w:rPr>
          <w:sz w:val="22"/>
          <w:szCs w:val="22"/>
        </w:rPr>
      </w:pPr>
      <w:r w:rsidRPr="00DB03AB">
        <w:rPr>
          <w:b/>
          <w:sz w:val="22"/>
          <w:szCs w:val="22"/>
        </w:rPr>
        <w:t>Unbundled Network Element (UNE)</w:t>
      </w:r>
      <w:r w:rsidRPr="00DB03AB">
        <w:rPr>
          <w:sz w:val="22"/>
          <w:szCs w:val="22"/>
        </w:rPr>
        <w:t xml:space="preserve"> means a </w:t>
      </w:r>
      <w:r w:rsidR="00A00D53">
        <w:rPr>
          <w:sz w:val="22"/>
          <w:szCs w:val="22"/>
        </w:rPr>
        <w:t>facility</w:t>
      </w:r>
      <w:r w:rsidR="00A00D53" w:rsidRPr="00DB03AB">
        <w:rPr>
          <w:sz w:val="22"/>
          <w:szCs w:val="22"/>
        </w:rPr>
        <w:t xml:space="preserve"> </w:t>
      </w:r>
      <w:r w:rsidRPr="00DB03AB">
        <w:rPr>
          <w:sz w:val="22"/>
          <w:szCs w:val="22"/>
        </w:rPr>
        <w:t>provided to a requesting telecommunications carrier pursuant to 47 C.F.R. § 51.319(a).</w:t>
      </w:r>
    </w:p>
    <w:p w:rsidR="001E073E" w:rsidRPr="00DB03AB" w:rsidRDefault="001E073E" w:rsidP="001E073E">
      <w:pPr>
        <w:tabs>
          <w:tab w:val="num" w:pos="720"/>
        </w:tabs>
        <w:ind w:left="360" w:hanging="360"/>
        <w:rPr>
          <w:sz w:val="22"/>
          <w:szCs w:val="22"/>
        </w:rPr>
      </w:pPr>
    </w:p>
    <w:p w:rsidR="001E073E" w:rsidRPr="00DB03AB" w:rsidRDefault="001E073E" w:rsidP="001E073E">
      <w:pPr>
        <w:tabs>
          <w:tab w:val="num" w:pos="720"/>
        </w:tabs>
        <w:ind w:left="360" w:hanging="360"/>
        <w:rPr>
          <w:sz w:val="22"/>
          <w:szCs w:val="22"/>
        </w:rPr>
      </w:pPr>
      <w:r w:rsidRPr="00DB03AB">
        <w:rPr>
          <w:b/>
          <w:sz w:val="22"/>
          <w:szCs w:val="22"/>
        </w:rPr>
        <w:t>II. Information</w:t>
      </w:r>
      <w:r>
        <w:rPr>
          <w:b/>
          <w:sz w:val="22"/>
          <w:szCs w:val="22"/>
        </w:rPr>
        <w:t xml:space="preserve"> Request</w:t>
      </w:r>
    </w:p>
    <w:p w:rsidR="001E073E" w:rsidRPr="00DB03AB" w:rsidRDefault="001E073E" w:rsidP="001E073E">
      <w:pPr>
        <w:rPr>
          <w:sz w:val="22"/>
          <w:szCs w:val="22"/>
        </w:rPr>
      </w:pPr>
    </w:p>
    <w:p w:rsidR="001E073E" w:rsidRPr="00DB03AB" w:rsidRDefault="001E073E" w:rsidP="001E073E">
      <w:pPr>
        <w:numPr>
          <w:ilvl w:val="0"/>
          <w:numId w:val="6"/>
        </w:numPr>
        <w:rPr>
          <w:sz w:val="22"/>
          <w:szCs w:val="22"/>
        </w:rPr>
      </w:pPr>
      <w:r w:rsidRPr="00DB03AB">
        <w:rPr>
          <w:sz w:val="22"/>
          <w:szCs w:val="22"/>
        </w:rPr>
        <w:t>Identify the name and study area code of each study area for which CenturyLink seeks relief.</w:t>
      </w:r>
    </w:p>
    <w:p w:rsidR="001E073E" w:rsidRPr="00DB03AB" w:rsidRDefault="001E073E" w:rsidP="001E073E">
      <w:pPr>
        <w:ind w:left="360"/>
        <w:rPr>
          <w:sz w:val="22"/>
          <w:szCs w:val="22"/>
        </w:rPr>
      </w:pPr>
    </w:p>
    <w:p w:rsidR="001E073E" w:rsidRPr="008A01EB" w:rsidRDefault="001E073E" w:rsidP="001E073E">
      <w:pPr>
        <w:numPr>
          <w:ilvl w:val="0"/>
          <w:numId w:val="6"/>
        </w:numPr>
        <w:rPr>
          <w:sz w:val="22"/>
          <w:szCs w:val="22"/>
        </w:rPr>
      </w:pPr>
      <w:r w:rsidRPr="00DB03AB">
        <w:rPr>
          <w:sz w:val="22"/>
          <w:szCs w:val="22"/>
        </w:rPr>
        <w:t xml:space="preserve">Identify and </w:t>
      </w:r>
      <w:r>
        <w:rPr>
          <w:sz w:val="22"/>
          <w:szCs w:val="22"/>
        </w:rPr>
        <w:t>describe</w:t>
      </w:r>
      <w:r w:rsidRPr="00DB03AB">
        <w:rPr>
          <w:sz w:val="22"/>
          <w:szCs w:val="22"/>
        </w:rPr>
        <w:t xml:space="preserve"> each customer category that CenturyLink uses to market the </w:t>
      </w:r>
      <w:r w:rsidRPr="00DB03AB">
        <w:rPr>
          <w:b/>
          <w:sz w:val="22"/>
          <w:szCs w:val="22"/>
        </w:rPr>
        <w:t>Listed Services</w:t>
      </w:r>
      <w:r w:rsidRPr="00DB03AB">
        <w:rPr>
          <w:sz w:val="22"/>
          <w:szCs w:val="22"/>
        </w:rPr>
        <w:t xml:space="preserve"> or to monitor the sales of such services.  </w:t>
      </w:r>
      <w:r>
        <w:rPr>
          <w:sz w:val="22"/>
          <w:szCs w:val="22"/>
        </w:rPr>
        <w:t>I</w:t>
      </w:r>
      <w:r w:rsidRPr="00DB03AB">
        <w:rPr>
          <w:sz w:val="22"/>
          <w:szCs w:val="22"/>
        </w:rPr>
        <w:t>nclude the specific characteristics that distinguish each customer category</w:t>
      </w:r>
      <w:r>
        <w:rPr>
          <w:sz w:val="22"/>
          <w:szCs w:val="22"/>
        </w:rPr>
        <w:t>.  For example, identify whether CenturyLink distinguishes:</w:t>
      </w:r>
    </w:p>
    <w:p w:rsidR="001E073E" w:rsidRDefault="001E073E" w:rsidP="001E073E">
      <w:pPr>
        <w:numPr>
          <w:ilvl w:val="1"/>
          <w:numId w:val="6"/>
        </w:numPr>
        <w:rPr>
          <w:sz w:val="22"/>
          <w:szCs w:val="22"/>
        </w:rPr>
      </w:pPr>
      <w:r w:rsidRPr="008A01EB">
        <w:rPr>
          <w:sz w:val="22"/>
          <w:szCs w:val="22"/>
        </w:rPr>
        <w:t>“national” customers from other customers with more regional characteristics;</w:t>
      </w:r>
    </w:p>
    <w:p w:rsidR="001E073E" w:rsidRDefault="001E073E" w:rsidP="001E073E">
      <w:pPr>
        <w:numPr>
          <w:ilvl w:val="1"/>
          <w:numId w:val="6"/>
        </w:numPr>
        <w:rPr>
          <w:sz w:val="22"/>
          <w:szCs w:val="22"/>
        </w:rPr>
      </w:pPr>
      <w:r w:rsidRPr="008A01EB">
        <w:rPr>
          <w:sz w:val="22"/>
          <w:szCs w:val="22"/>
        </w:rPr>
        <w:t xml:space="preserve">customers that purchase for resale </w:t>
      </w:r>
      <w:r>
        <w:rPr>
          <w:sz w:val="22"/>
          <w:szCs w:val="22"/>
        </w:rPr>
        <w:t>to</w:t>
      </w:r>
      <w:r w:rsidRPr="008A01EB">
        <w:rPr>
          <w:sz w:val="22"/>
          <w:szCs w:val="22"/>
        </w:rPr>
        <w:t xml:space="preserve"> retail purchasers; </w:t>
      </w:r>
    </w:p>
    <w:p w:rsidR="001E073E" w:rsidRDefault="001E073E" w:rsidP="001E073E">
      <w:pPr>
        <w:numPr>
          <w:ilvl w:val="1"/>
          <w:numId w:val="6"/>
        </w:numPr>
        <w:rPr>
          <w:sz w:val="22"/>
          <w:szCs w:val="22"/>
        </w:rPr>
      </w:pPr>
      <w:r w:rsidRPr="008A01EB">
        <w:rPr>
          <w:sz w:val="22"/>
          <w:szCs w:val="22"/>
        </w:rPr>
        <w:t>mobile providers from other customers;</w:t>
      </w:r>
    </w:p>
    <w:p w:rsidR="001E073E" w:rsidRPr="008A01EB" w:rsidRDefault="001E073E" w:rsidP="001E073E">
      <w:pPr>
        <w:numPr>
          <w:ilvl w:val="1"/>
          <w:numId w:val="6"/>
        </w:numPr>
        <w:rPr>
          <w:sz w:val="22"/>
          <w:szCs w:val="22"/>
        </w:rPr>
      </w:pPr>
      <w:r w:rsidRPr="008A01EB">
        <w:rPr>
          <w:sz w:val="22"/>
          <w:szCs w:val="22"/>
        </w:rPr>
        <w:t xml:space="preserve">customers on the basis of sales volumes, or some other characteristic(s). </w:t>
      </w:r>
      <w:r w:rsidRPr="008A01EB">
        <w:rPr>
          <w:sz w:val="22"/>
          <w:szCs w:val="22"/>
        </w:rPr>
        <w:br/>
      </w:r>
    </w:p>
    <w:p w:rsidR="001E073E" w:rsidRPr="00DB03AB" w:rsidRDefault="001E073E" w:rsidP="001E073E">
      <w:pPr>
        <w:ind w:left="360"/>
        <w:rPr>
          <w:sz w:val="22"/>
          <w:szCs w:val="22"/>
        </w:rPr>
      </w:pPr>
      <w:r w:rsidRPr="00DB03AB">
        <w:rPr>
          <w:sz w:val="22"/>
          <w:szCs w:val="22"/>
        </w:rPr>
        <w:t xml:space="preserve">Provide documentary evidence for </w:t>
      </w:r>
      <w:r>
        <w:rPr>
          <w:sz w:val="22"/>
          <w:szCs w:val="22"/>
        </w:rPr>
        <w:t xml:space="preserve">each identified </w:t>
      </w:r>
      <w:r w:rsidRPr="00DB03AB">
        <w:rPr>
          <w:sz w:val="22"/>
          <w:szCs w:val="22"/>
        </w:rPr>
        <w:t>customer categor</w:t>
      </w:r>
      <w:r>
        <w:rPr>
          <w:sz w:val="22"/>
          <w:szCs w:val="22"/>
        </w:rPr>
        <w:t>y</w:t>
      </w:r>
      <w:r w:rsidRPr="00DB03AB">
        <w:rPr>
          <w:sz w:val="22"/>
          <w:szCs w:val="22"/>
        </w:rPr>
        <w:t>.</w:t>
      </w:r>
    </w:p>
    <w:p w:rsidR="001E073E" w:rsidRPr="00DB03AB" w:rsidRDefault="001E073E" w:rsidP="001E073E">
      <w:pPr>
        <w:rPr>
          <w:sz w:val="22"/>
          <w:szCs w:val="22"/>
        </w:rPr>
      </w:pPr>
    </w:p>
    <w:p w:rsidR="001E073E" w:rsidRPr="00DB03AB" w:rsidRDefault="001E073E" w:rsidP="001E073E">
      <w:pPr>
        <w:numPr>
          <w:ilvl w:val="0"/>
          <w:numId w:val="6"/>
        </w:numPr>
        <w:rPr>
          <w:sz w:val="22"/>
          <w:szCs w:val="22"/>
        </w:rPr>
      </w:pPr>
      <w:r w:rsidRPr="00DB03AB">
        <w:rPr>
          <w:sz w:val="22"/>
          <w:szCs w:val="22"/>
        </w:rPr>
        <w:t xml:space="preserve">Explain how CenturyLink markets each of the </w:t>
      </w:r>
      <w:r w:rsidRPr="00DB03AB">
        <w:rPr>
          <w:b/>
          <w:sz w:val="22"/>
          <w:szCs w:val="22"/>
        </w:rPr>
        <w:t>Listed Services</w:t>
      </w:r>
      <w:r w:rsidRPr="00DB03AB">
        <w:rPr>
          <w:sz w:val="22"/>
          <w:szCs w:val="22"/>
        </w:rPr>
        <w:t xml:space="preserve"> to (or monitors the sales of)</w:t>
      </w:r>
      <w:r>
        <w:rPr>
          <w:sz w:val="22"/>
          <w:szCs w:val="22"/>
        </w:rPr>
        <w:t xml:space="preserve"> each customer category identified and defined</w:t>
      </w:r>
      <w:r w:rsidRPr="00DB03AB">
        <w:rPr>
          <w:sz w:val="22"/>
          <w:szCs w:val="22"/>
        </w:rPr>
        <w:t xml:space="preserve"> in </w:t>
      </w:r>
      <w:r>
        <w:rPr>
          <w:sz w:val="22"/>
          <w:szCs w:val="22"/>
        </w:rPr>
        <w:t>Question</w:t>
      </w:r>
      <w:r w:rsidRPr="00DB03AB">
        <w:rPr>
          <w:sz w:val="22"/>
          <w:szCs w:val="22"/>
        </w:rPr>
        <w:t xml:space="preserve"> 2 above.  For example, are certain customer categories typically assigned to a dedicated account manager?  What kind of customer support is given to customer categories </w:t>
      </w:r>
      <w:r>
        <w:rPr>
          <w:sz w:val="22"/>
          <w:szCs w:val="22"/>
        </w:rPr>
        <w:t>that</w:t>
      </w:r>
      <w:r w:rsidRPr="00DB03AB">
        <w:rPr>
          <w:sz w:val="22"/>
          <w:szCs w:val="22"/>
        </w:rPr>
        <w:t xml:space="preserve"> are not assigned to a dedicated account manager?  How do</w:t>
      </w:r>
      <w:r>
        <w:rPr>
          <w:sz w:val="22"/>
          <w:szCs w:val="22"/>
        </w:rPr>
        <w:t>es CenturyLink</w:t>
      </w:r>
      <w:r w:rsidRPr="00DB03AB">
        <w:rPr>
          <w:sz w:val="22"/>
          <w:szCs w:val="22"/>
        </w:rPr>
        <w:t xml:space="preserve"> market and advertise to each customer category?  For example, are certain kinds of advertising </w:t>
      </w:r>
      <w:r>
        <w:rPr>
          <w:sz w:val="22"/>
          <w:szCs w:val="22"/>
        </w:rPr>
        <w:t xml:space="preserve">or marketing strategies </w:t>
      </w:r>
      <w:r w:rsidRPr="00DB03AB">
        <w:rPr>
          <w:sz w:val="22"/>
          <w:szCs w:val="22"/>
        </w:rPr>
        <w:t>created exclusively for one or more customer categories versus broader approaches, such as mass mailings, seminars and conferences, mass media, etc.?  Provide documentary evidence for the described activities.</w:t>
      </w:r>
    </w:p>
    <w:p w:rsidR="001E073E" w:rsidRPr="00DB03AB" w:rsidRDefault="001E073E" w:rsidP="001E073E">
      <w:pPr>
        <w:pStyle w:val="ListParagraph"/>
        <w:rPr>
          <w:sz w:val="22"/>
          <w:szCs w:val="22"/>
        </w:rPr>
      </w:pPr>
    </w:p>
    <w:p w:rsidR="00DA7F53" w:rsidRDefault="00D64484" w:rsidP="00EF2B16">
      <w:pPr>
        <w:numPr>
          <w:ilvl w:val="0"/>
          <w:numId w:val="6"/>
        </w:numPr>
        <w:rPr>
          <w:sz w:val="22"/>
          <w:szCs w:val="22"/>
        </w:rPr>
      </w:pPr>
      <w:r>
        <w:rPr>
          <w:sz w:val="22"/>
          <w:szCs w:val="22"/>
        </w:rPr>
        <w:t>CenturyLink asserts th</w:t>
      </w:r>
      <w:r w:rsidR="005D3155">
        <w:rPr>
          <w:sz w:val="22"/>
          <w:szCs w:val="22"/>
        </w:rPr>
        <w:t xml:space="preserve">at it is unable to effectively compete in certain product markets with its </w:t>
      </w:r>
      <w:r w:rsidR="005D3155" w:rsidRPr="005605A4">
        <w:rPr>
          <w:b/>
          <w:sz w:val="22"/>
          <w:szCs w:val="22"/>
        </w:rPr>
        <w:t>Listed Service</w:t>
      </w:r>
      <w:r w:rsidR="005D3155">
        <w:rPr>
          <w:sz w:val="22"/>
          <w:szCs w:val="22"/>
        </w:rPr>
        <w:t xml:space="preserve"> offerings.  </w:t>
      </w:r>
      <w:r w:rsidR="001E073E">
        <w:rPr>
          <w:sz w:val="22"/>
          <w:szCs w:val="22"/>
        </w:rPr>
        <w:t xml:space="preserve">Identify the product market into which the each of the </w:t>
      </w:r>
      <w:r w:rsidR="001E073E">
        <w:rPr>
          <w:b/>
          <w:sz w:val="22"/>
          <w:szCs w:val="22"/>
        </w:rPr>
        <w:t>Listed S</w:t>
      </w:r>
      <w:r w:rsidR="001E073E" w:rsidRPr="00A72FC7">
        <w:rPr>
          <w:b/>
          <w:sz w:val="22"/>
          <w:szCs w:val="22"/>
        </w:rPr>
        <w:t>ervices</w:t>
      </w:r>
      <w:r w:rsidR="001E073E">
        <w:rPr>
          <w:sz w:val="22"/>
          <w:szCs w:val="22"/>
        </w:rPr>
        <w:t xml:space="preserve"> falls and provide an explanation and documentary evidence to support that categorization.</w:t>
      </w:r>
    </w:p>
    <w:p w:rsidR="00DA7F53" w:rsidRDefault="00DA7F53" w:rsidP="00EF2B16">
      <w:pPr>
        <w:pStyle w:val="ListParagraph"/>
        <w:rPr>
          <w:sz w:val="22"/>
          <w:szCs w:val="22"/>
        </w:rPr>
      </w:pPr>
    </w:p>
    <w:p w:rsidR="00DA7F53" w:rsidRDefault="00DA7F53" w:rsidP="00EF2B16">
      <w:pPr>
        <w:numPr>
          <w:ilvl w:val="0"/>
          <w:numId w:val="6"/>
        </w:numPr>
        <w:rPr>
          <w:sz w:val="22"/>
          <w:szCs w:val="22"/>
        </w:rPr>
      </w:pPr>
      <w:r w:rsidRPr="00EF2B16">
        <w:rPr>
          <w:sz w:val="22"/>
          <w:szCs w:val="22"/>
        </w:rPr>
        <w:t xml:space="preserve">To the best of your ability, provide the following information.  If available, provide information for each exchange in which CenturyLink seeks relief.  If information is not available at the exchange level, provide the information at the study area or county level, whichever is smaller.  </w:t>
      </w:r>
      <w:r w:rsidR="00EF2B16" w:rsidRPr="00EF2B16">
        <w:rPr>
          <w:sz w:val="22"/>
          <w:szCs w:val="22"/>
        </w:rPr>
        <w:t>Using internal data or data available to you from a third party, such as GeoResults</w:t>
      </w:r>
      <w:r w:rsidR="00957ADD">
        <w:rPr>
          <w:sz w:val="22"/>
          <w:szCs w:val="22"/>
        </w:rPr>
        <w:t>:</w:t>
      </w:r>
    </w:p>
    <w:p w:rsidR="00DA7F53" w:rsidRPr="00D400DC" w:rsidRDefault="00957ADD" w:rsidP="00D400DC">
      <w:pPr>
        <w:numPr>
          <w:ilvl w:val="1"/>
          <w:numId w:val="6"/>
        </w:numPr>
        <w:rPr>
          <w:sz w:val="22"/>
          <w:szCs w:val="22"/>
        </w:rPr>
      </w:pPr>
      <w:r w:rsidRPr="007429C6">
        <w:rPr>
          <w:sz w:val="22"/>
          <w:szCs w:val="22"/>
        </w:rPr>
        <w:t xml:space="preserve">Provide </w:t>
      </w:r>
      <w:r w:rsidR="006A1893" w:rsidRPr="007429C6">
        <w:rPr>
          <w:sz w:val="22"/>
          <w:szCs w:val="22"/>
        </w:rPr>
        <w:t xml:space="preserve">a list of commercial buildings </w:t>
      </w:r>
      <w:r w:rsidR="00322BDB">
        <w:rPr>
          <w:sz w:val="22"/>
          <w:szCs w:val="22"/>
        </w:rPr>
        <w:t xml:space="preserve">in which </w:t>
      </w:r>
      <w:r w:rsidR="006A1893" w:rsidRPr="007429C6">
        <w:rPr>
          <w:sz w:val="22"/>
          <w:szCs w:val="22"/>
        </w:rPr>
        <w:t xml:space="preserve">competitors </w:t>
      </w:r>
      <w:r w:rsidR="00322BDB">
        <w:rPr>
          <w:sz w:val="22"/>
          <w:szCs w:val="22"/>
        </w:rPr>
        <w:t xml:space="preserve">have </w:t>
      </w:r>
      <w:r w:rsidR="006A1893" w:rsidRPr="007429C6">
        <w:rPr>
          <w:sz w:val="22"/>
          <w:szCs w:val="22"/>
        </w:rPr>
        <w:t xml:space="preserve">their own facilities, including facilities leased under an </w:t>
      </w:r>
      <w:r w:rsidR="006A1893" w:rsidRPr="007429C6">
        <w:rPr>
          <w:b/>
          <w:sz w:val="22"/>
          <w:szCs w:val="22"/>
        </w:rPr>
        <w:t>IRU</w:t>
      </w:r>
      <w:r w:rsidR="006A1893" w:rsidRPr="007429C6">
        <w:rPr>
          <w:sz w:val="22"/>
          <w:szCs w:val="22"/>
        </w:rPr>
        <w:t xml:space="preserve">, but excluding </w:t>
      </w:r>
      <w:r w:rsidR="006A1893" w:rsidRPr="007429C6">
        <w:rPr>
          <w:b/>
          <w:sz w:val="22"/>
          <w:szCs w:val="22"/>
        </w:rPr>
        <w:t>UNEs</w:t>
      </w:r>
      <w:r w:rsidR="006A1893" w:rsidRPr="007429C6">
        <w:rPr>
          <w:sz w:val="22"/>
          <w:szCs w:val="22"/>
        </w:rPr>
        <w:t xml:space="preserve"> and other leased facilities, and the names of the providers that serve each commercial building</w:t>
      </w:r>
      <w:r w:rsidR="007429C6" w:rsidRPr="007429C6">
        <w:rPr>
          <w:sz w:val="22"/>
          <w:szCs w:val="22"/>
        </w:rPr>
        <w:t xml:space="preserve">.  </w:t>
      </w:r>
      <w:r w:rsidR="006A1893" w:rsidRPr="007429C6">
        <w:rPr>
          <w:sz w:val="22"/>
          <w:szCs w:val="22"/>
        </w:rPr>
        <w:t xml:space="preserve">To the extent you are unable to provide </w:t>
      </w:r>
      <w:r w:rsidR="007429C6">
        <w:rPr>
          <w:sz w:val="22"/>
          <w:szCs w:val="22"/>
        </w:rPr>
        <w:t>that information,</w:t>
      </w:r>
      <w:r w:rsidR="006A1893" w:rsidRPr="007429C6">
        <w:rPr>
          <w:sz w:val="22"/>
          <w:szCs w:val="22"/>
        </w:rPr>
        <w:t xml:space="preserve"> provide </w:t>
      </w:r>
      <w:r w:rsidRPr="007429C6">
        <w:rPr>
          <w:sz w:val="22"/>
          <w:szCs w:val="22"/>
        </w:rPr>
        <w:t>t</w:t>
      </w:r>
      <w:r w:rsidR="00844E2C" w:rsidRPr="007429C6">
        <w:rPr>
          <w:sz w:val="22"/>
          <w:szCs w:val="22"/>
        </w:rPr>
        <w:t>he number of commercial buildings in which a competitor has its own facilities</w:t>
      </w:r>
      <w:r w:rsidR="00285718" w:rsidRPr="007429C6">
        <w:rPr>
          <w:sz w:val="22"/>
          <w:szCs w:val="22"/>
        </w:rPr>
        <w:t xml:space="preserve">, including facilities leased under an </w:t>
      </w:r>
      <w:r w:rsidR="00285718" w:rsidRPr="007429C6">
        <w:rPr>
          <w:b/>
          <w:sz w:val="22"/>
          <w:szCs w:val="22"/>
        </w:rPr>
        <w:t>IRU</w:t>
      </w:r>
      <w:r w:rsidR="00285718" w:rsidRPr="007429C6">
        <w:rPr>
          <w:sz w:val="22"/>
          <w:szCs w:val="22"/>
        </w:rPr>
        <w:t xml:space="preserve">, but excluding </w:t>
      </w:r>
      <w:r w:rsidR="00285718" w:rsidRPr="007429C6">
        <w:rPr>
          <w:b/>
          <w:sz w:val="22"/>
          <w:szCs w:val="22"/>
        </w:rPr>
        <w:t>UNEs</w:t>
      </w:r>
      <w:r w:rsidR="00285718" w:rsidRPr="007429C6">
        <w:rPr>
          <w:sz w:val="22"/>
          <w:szCs w:val="22"/>
        </w:rPr>
        <w:t xml:space="preserve"> and other leased </w:t>
      </w:r>
      <w:r w:rsidR="009F4D2D" w:rsidRPr="007429C6">
        <w:rPr>
          <w:sz w:val="22"/>
          <w:szCs w:val="22"/>
        </w:rPr>
        <w:t>facilities</w:t>
      </w:r>
      <w:r w:rsidR="00DA7F53" w:rsidRPr="006A1893">
        <w:rPr>
          <w:sz w:val="22"/>
          <w:szCs w:val="22"/>
        </w:rPr>
        <w:t>; and</w:t>
      </w:r>
      <w:r w:rsidR="00844E2C" w:rsidRPr="006A1893">
        <w:rPr>
          <w:sz w:val="22"/>
          <w:szCs w:val="22"/>
        </w:rPr>
        <w:t xml:space="preserve"> </w:t>
      </w:r>
    </w:p>
    <w:p w:rsidR="00DA7F53" w:rsidRDefault="00957ADD" w:rsidP="00957ADD">
      <w:pPr>
        <w:numPr>
          <w:ilvl w:val="1"/>
          <w:numId w:val="6"/>
        </w:numPr>
        <w:rPr>
          <w:sz w:val="22"/>
          <w:szCs w:val="22"/>
        </w:rPr>
      </w:pPr>
      <w:r>
        <w:rPr>
          <w:sz w:val="22"/>
          <w:szCs w:val="22"/>
        </w:rPr>
        <w:t xml:space="preserve">Provide </w:t>
      </w:r>
      <w:r w:rsidR="00844E2C" w:rsidRPr="00EF2B16">
        <w:rPr>
          <w:sz w:val="22"/>
          <w:szCs w:val="22"/>
        </w:rPr>
        <w:t xml:space="preserve">the number of commercial buildings in which a competitor has purchased a </w:t>
      </w:r>
      <w:r w:rsidR="00844E2C" w:rsidRPr="00EF2B16">
        <w:rPr>
          <w:b/>
          <w:sz w:val="22"/>
          <w:szCs w:val="22"/>
        </w:rPr>
        <w:t>UNE</w:t>
      </w:r>
      <w:r w:rsidR="00844E2C" w:rsidRPr="00EF2B16">
        <w:rPr>
          <w:sz w:val="22"/>
          <w:szCs w:val="22"/>
        </w:rPr>
        <w:t xml:space="preserve"> or </w:t>
      </w:r>
      <w:r w:rsidR="00844E2C" w:rsidRPr="00EF2B16">
        <w:rPr>
          <w:b/>
          <w:sz w:val="22"/>
          <w:szCs w:val="22"/>
        </w:rPr>
        <w:t>UNEs</w:t>
      </w:r>
      <w:r w:rsidR="00844E2C" w:rsidRPr="00EF2B16">
        <w:rPr>
          <w:sz w:val="22"/>
          <w:szCs w:val="22"/>
        </w:rPr>
        <w:t xml:space="preserve"> from CenturyLink.  </w:t>
      </w:r>
    </w:p>
    <w:p w:rsidR="001E073E" w:rsidRPr="00957ADD" w:rsidRDefault="001E073E" w:rsidP="00957ADD">
      <w:pPr>
        <w:ind w:left="360"/>
      </w:pPr>
    </w:p>
    <w:p w:rsidR="001E073E" w:rsidRPr="00DB03AB" w:rsidRDefault="001E073E" w:rsidP="001E073E">
      <w:pPr>
        <w:numPr>
          <w:ilvl w:val="0"/>
          <w:numId w:val="6"/>
        </w:numPr>
        <w:rPr>
          <w:sz w:val="22"/>
          <w:szCs w:val="22"/>
        </w:rPr>
      </w:pPr>
      <w:r w:rsidRPr="00DB03AB">
        <w:rPr>
          <w:sz w:val="22"/>
          <w:szCs w:val="22"/>
        </w:rPr>
        <w:t xml:space="preserve">Provide separately for each </w:t>
      </w:r>
      <w:r w:rsidRPr="00DB03AB">
        <w:rPr>
          <w:b/>
          <w:sz w:val="22"/>
          <w:szCs w:val="22"/>
        </w:rPr>
        <w:t>Listed Service</w:t>
      </w:r>
      <w:r w:rsidRPr="00DB03AB">
        <w:rPr>
          <w:sz w:val="22"/>
          <w:szCs w:val="22"/>
        </w:rPr>
        <w:t xml:space="preserve"> your total year-end revenues, by customer category identified in your response to </w:t>
      </w:r>
      <w:r>
        <w:rPr>
          <w:sz w:val="22"/>
          <w:szCs w:val="22"/>
        </w:rPr>
        <w:t>Question</w:t>
      </w:r>
      <w:r w:rsidRPr="00DB03AB">
        <w:rPr>
          <w:sz w:val="22"/>
          <w:szCs w:val="22"/>
        </w:rPr>
        <w:t xml:space="preserve"> 2, as of December 31, 2012 and December 31, 2013, for the </w:t>
      </w:r>
      <w:r>
        <w:rPr>
          <w:sz w:val="22"/>
          <w:szCs w:val="22"/>
        </w:rPr>
        <w:t>smallest geographic area(s) that you keep or can readily obtain data</w:t>
      </w:r>
      <w:r w:rsidRPr="00DB03AB">
        <w:rPr>
          <w:sz w:val="22"/>
          <w:szCs w:val="22"/>
        </w:rPr>
        <w:t>.</w:t>
      </w:r>
      <w:r>
        <w:rPr>
          <w:sz w:val="22"/>
          <w:szCs w:val="22"/>
        </w:rPr>
        <w:t xml:space="preserve">  </w:t>
      </w:r>
    </w:p>
    <w:p w:rsidR="001E073E" w:rsidRPr="00DB03AB" w:rsidRDefault="001E073E" w:rsidP="001E073E">
      <w:pPr>
        <w:pStyle w:val="ListParagraph"/>
        <w:rPr>
          <w:sz w:val="22"/>
          <w:szCs w:val="22"/>
        </w:rPr>
      </w:pPr>
    </w:p>
    <w:p w:rsidR="001E073E" w:rsidRPr="00DB03AB" w:rsidRDefault="001E073E" w:rsidP="001E073E">
      <w:pPr>
        <w:numPr>
          <w:ilvl w:val="0"/>
          <w:numId w:val="6"/>
        </w:numPr>
        <w:rPr>
          <w:sz w:val="22"/>
          <w:szCs w:val="22"/>
        </w:rPr>
      </w:pPr>
      <w:r w:rsidRPr="00DB03AB">
        <w:rPr>
          <w:sz w:val="22"/>
          <w:szCs w:val="22"/>
        </w:rPr>
        <w:t xml:space="preserve">Provide separately for each </w:t>
      </w:r>
      <w:r w:rsidRPr="00DB03AB">
        <w:rPr>
          <w:b/>
          <w:bCs/>
          <w:sz w:val="22"/>
          <w:szCs w:val="22"/>
        </w:rPr>
        <w:t>Listed Service</w:t>
      </w:r>
      <w:r w:rsidRPr="00DB03AB">
        <w:rPr>
          <w:sz w:val="22"/>
          <w:szCs w:val="22"/>
        </w:rPr>
        <w:t xml:space="preserve"> your total year-end revenues, </w:t>
      </w:r>
      <w:r w:rsidR="00A00D53">
        <w:rPr>
          <w:sz w:val="22"/>
          <w:szCs w:val="22"/>
        </w:rPr>
        <w:t>for each of</w:t>
      </w:r>
      <w:r w:rsidR="00A00D53" w:rsidRPr="00DB03AB">
        <w:rPr>
          <w:sz w:val="22"/>
          <w:szCs w:val="22"/>
        </w:rPr>
        <w:t xml:space="preserve"> </w:t>
      </w:r>
      <w:r w:rsidRPr="00DB03AB">
        <w:rPr>
          <w:sz w:val="22"/>
          <w:szCs w:val="22"/>
        </w:rPr>
        <w:t xml:space="preserve">your </w:t>
      </w:r>
      <w:r>
        <w:rPr>
          <w:sz w:val="22"/>
          <w:szCs w:val="22"/>
        </w:rPr>
        <w:t>largest</w:t>
      </w:r>
      <w:r w:rsidRPr="00DB03AB">
        <w:rPr>
          <w:sz w:val="22"/>
          <w:szCs w:val="22"/>
        </w:rPr>
        <w:t xml:space="preserve"> customers</w:t>
      </w:r>
      <w:r>
        <w:rPr>
          <w:sz w:val="22"/>
          <w:szCs w:val="22"/>
        </w:rPr>
        <w:t xml:space="preserve"> (e.g., top 20 customers), </w:t>
      </w:r>
      <w:r w:rsidRPr="00DB03AB">
        <w:rPr>
          <w:sz w:val="22"/>
          <w:szCs w:val="22"/>
        </w:rPr>
        <w:t xml:space="preserve">excluding competitive local exchange carriers (CLECs), in a geographic market </w:t>
      </w:r>
      <w:r w:rsidR="00A00D53">
        <w:rPr>
          <w:sz w:val="22"/>
          <w:szCs w:val="22"/>
        </w:rPr>
        <w:t>for which CenturyLink seeks</w:t>
      </w:r>
      <w:r w:rsidRPr="00DB03AB">
        <w:rPr>
          <w:sz w:val="22"/>
          <w:szCs w:val="22"/>
        </w:rPr>
        <w:t xml:space="preserve"> relief, as of December 31, 2012 and December 31, 2013</w:t>
      </w:r>
      <w:r>
        <w:rPr>
          <w:sz w:val="22"/>
          <w:szCs w:val="22"/>
        </w:rPr>
        <w:t>, for the smallest geographic area that you keep or can readily obtain data</w:t>
      </w:r>
      <w:r w:rsidRPr="00DB03AB">
        <w:rPr>
          <w:sz w:val="22"/>
          <w:szCs w:val="22"/>
        </w:rPr>
        <w:t>.</w:t>
      </w:r>
    </w:p>
    <w:p w:rsidR="001E073E" w:rsidRPr="00DB03AB" w:rsidRDefault="001E073E" w:rsidP="001E073E">
      <w:pPr>
        <w:pStyle w:val="ListParagraph"/>
        <w:rPr>
          <w:sz w:val="22"/>
          <w:szCs w:val="22"/>
        </w:rPr>
      </w:pPr>
    </w:p>
    <w:p w:rsidR="001E073E" w:rsidRPr="00DB03AB" w:rsidRDefault="001E073E" w:rsidP="001E073E">
      <w:pPr>
        <w:numPr>
          <w:ilvl w:val="0"/>
          <w:numId w:val="6"/>
        </w:numPr>
        <w:rPr>
          <w:sz w:val="22"/>
          <w:szCs w:val="22"/>
        </w:rPr>
      </w:pPr>
      <w:r w:rsidRPr="00DB03AB">
        <w:rPr>
          <w:sz w:val="22"/>
          <w:szCs w:val="22"/>
        </w:rPr>
        <w:t xml:space="preserve">For each </w:t>
      </w:r>
      <w:r w:rsidR="00002490">
        <w:rPr>
          <w:sz w:val="22"/>
          <w:szCs w:val="22"/>
        </w:rPr>
        <w:t xml:space="preserve">exchange in a </w:t>
      </w:r>
      <w:r w:rsidRPr="00DB03AB">
        <w:rPr>
          <w:sz w:val="22"/>
          <w:szCs w:val="22"/>
        </w:rPr>
        <w:t xml:space="preserve">study area for which CenturyLink seeks relief, provide, for the top ten CLECs </w:t>
      </w:r>
      <w:r>
        <w:rPr>
          <w:sz w:val="22"/>
          <w:szCs w:val="22"/>
        </w:rPr>
        <w:t xml:space="preserve">overall </w:t>
      </w:r>
      <w:r w:rsidR="007C6822">
        <w:rPr>
          <w:sz w:val="22"/>
          <w:szCs w:val="22"/>
        </w:rPr>
        <w:t>(</w:t>
      </w:r>
      <w:r w:rsidR="007C6822" w:rsidRPr="005605A4">
        <w:rPr>
          <w:i/>
          <w:sz w:val="22"/>
          <w:szCs w:val="22"/>
        </w:rPr>
        <w:t>i.e.</w:t>
      </w:r>
      <w:r w:rsidR="007C6822">
        <w:rPr>
          <w:sz w:val="22"/>
          <w:szCs w:val="22"/>
        </w:rPr>
        <w:t xml:space="preserve">, not </w:t>
      </w:r>
      <w:r w:rsidR="00002490">
        <w:rPr>
          <w:sz w:val="22"/>
          <w:szCs w:val="22"/>
        </w:rPr>
        <w:t xml:space="preserve">by exchange or study area) </w:t>
      </w:r>
      <w:r w:rsidRPr="00DB03AB">
        <w:rPr>
          <w:sz w:val="22"/>
          <w:szCs w:val="22"/>
        </w:rPr>
        <w:t xml:space="preserve">ranked by the number of dark fiber lines you ultimately own, but </w:t>
      </w:r>
      <w:r>
        <w:rPr>
          <w:sz w:val="22"/>
          <w:szCs w:val="22"/>
        </w:rPr>
        <w:t xml:space="preserve">which were subject to a current IRU lease agreement </w:t>
      </w:r>
      <w:r w:rsidRPr="00DB03AB">
        <w:rPr>
          <w:sz w:val="22"/>
          <w:szCs w:val="22"/>
        </w:rPr>
        <w:t xml:space="preserve">to a CLEC </w:t>
      </w:r>
      <w:r>
        <w:rPr>
          <w:sz w:val="22"/>
          <w:szCs w:val="22"/>
        </w:rPr>
        <w:t>for</w:t>
      </w:r>
      <w:r w:rsidRPr="00DB03AB">
        <w:rPr>
          <w:sz w:val="22"/>
          <w:szCs w:val="22"/>
        </w:rPr>
        <w:t xml:space="preserve"> the 12 months ending December 31, 2012 and December 31, 2013 (do not include any IRUs for interexchange fiber or revenues for the same in answering this question): </w:t>
      </w:r>
    </w:p>
    <w:p w:rsidR="001E073E" w:rsidRPr="00DB03AB" w:rsidRDefault="001E073E" w:rsidP="001E073E">
      <w:pPr>
        <w:numPr>
          <w:ilvl w:val="1"/>
          <w:numId w:val="6"/>
        </w:numPr>
        <w:rPr>
          <w:sz w:val="22"/>
          <w:szCs w:val="22"/>
        </w:rPr>
      </w:pPr>
      <w:r w:rsidRPr="00DB03AB">
        <w:rPr>
          <w:sz w:val="22"/>
          <w:szCs w:val="22"/>
        </w:rPr>
        <w:t>The name of the CLEC;</w:t>
      </w:r>
    </w:p>
    <w:p w:rsidR="001E073E" w:rsidRPr="00DB03AB" w:rsidRDefault="001E073E" w:rsidP="001E073E">
      <w:pPr>
        <w:numPr>
          <w:ilvl w:val="1"/>
          <w:numId w:val="6"/>
        </w:numPr>
        <w:rPr>
          <w:sz w:val="22"/>
          <w:szCs w:val="22"/>
        </w:rPr>
      </w:pPr>
      <w:r w:rsidRPr="00DB03AB">
        <w:rPr>
          <w:sz w:val="22"/>
          <w:szCs w:val="22"/>
        </w:rPr>
        <w:t xml:space="preserve">Total annual sales revenues earned through the lease of </w:t>
      </w:r>
      <w:r w:rsidRPr="00DB03AB">
        <w:rPr>
          <w:b/>
          <w:sz w:val="22"/>
          <w:szCs w:val="22"/>
        </w:rPr>
        <w:t>IRUs</w:t>
      </w:r>
      <w:r w:rsidRPr="00DB03AB">
        <w:rPr>
          <w:sz w:val="22"/>
          <w:szCs w:val="22"/>
        </w:rPr>
        <w:t xml:space="preserve"> for dark fiber;</w:t>
      </w:r>
    </w:p>
    <w:p w:rsidR="001E073E" w:rsidRPr="00DB03AB" w:rsidRDefault="001E073E" w:rsidP="001E073E">
      <w:pPr>
        <w:numPr>
          <w:ilvl w:val="1"/>
          <w:numId w:val="6"/>
        </w:numPr>
        <w:rPr>
          <w:sz w:val="22"/>
          <w:szCs w:val="22"/>
        </w:rPr>
      </w:pPr>
      <w:r w:rsidRPr="00DB03AB">
        <w:rPr>
          <w:sz w:val="22"/>
          <w:szCs w:val="22"/>
        </w:rPr>
        <w:t xml:space="preserve">The total number </w:t>
      </w:r>
      <w:r w:rsidRPr="00DB03AB">
        <w:rPr>
          <w:b/>
          <w:sz w:val="22"/>
          <w:szCs w:val="22"/>
        </w:rPr>
        <w:t>IRUs</w:t>
      </w:r>
      <w:r w:rsidRPr="00DB03AB">
        <w:rPr>
          <w:sz w:val="22"/>
          <w:szCs w:val="22"/>
        </w:rPr>
        <w:t xml:space="preserve"> leased to the CLEC.</w:t>
      </w:r>
    </w:p>
    <w:p w:rsidR="001E073E" w:rsidRPr="00DB03AB" w:rsidRDefault="001E073E" w:rsidP="001E073E">
      <w:pPr>
        <w:ind w:left="360"/>
        <w:rPr>
          <w:sz w:val="22"/>
          <w:szCs w:val="22"/>
        </w:rPr>
      </w:pPr>
    </w:p>
    <w:p w:rsidR="001E073E" w:rsidRPr="00DB03AB" w:rsidRDefault="001E073E" w:rsidP="001E073E">
      <w:pPr>
        <w:numPr>
          <w:ilvl w:val="0"/>
          <w:numId w:val="6"/>
        </w:numPr>
        <w:rPr>
          <w:sz w:val="22"/>
          <w:szCs w:val="22"/>
        </w:rPr>
      </w:pPr>
      <w:r w:rsidRPr="00DB03AB">
        <w:rPr>
          <w:sz w:val="22"/>
          <w:szCs w:val="22"/>
        </w:rPr>
        <w:t xml:space="preserve">For each </w:t>
      </w:r>
      <w:r w:rsidR="00002490">
        <w:rPr>
          <w:sz w:val="22"/>
          <w:szCs w:val="22"/>
        </w:rPr>
        <w:t xml:space="preserve">exchange in a </w:t>
      </w:r>
      <w:r w:rsidRPr="00DB03AB">
        <w:rPr>
          <w:sz w:val="22"/>
          <w:szCs w:val="22"/>
        </w:rPr>
        <w:t>study area for which CenturyLink seeks relief, provide, for the top ten CLECs</w:t>
      </w:r>
      <w:r>
        <w:rPr>
          <w:sz w:val="22"/>
          <w:szCs w:val="22"/>
        </w:rPr>
        <w:t xml:space="preserve"> overall</w:t>
      </w:r>
      <w:r w:rsidRPr="00DB03AB">
        <w:rPr>
          <w:sz w:val="22"/>
          <w:szCs w:val="22"/>
        </w:rPr>
        <w:t xml:space="preserve"> </w:t>
      </w:r>
      <w:r w:rsidR="00002490">
        <w:rPr>
          <w:sz w:val="22"/>
          <w:szCs w:val="22"/>
        </w:rPr>
        <w:t>(</w:t>
      </w:r>
      <w:r w:rsidR="00002490" w:rsidRPr="005605A4">
        <w:rPr>
          <w:i/>
          <w:sz w:val="22"/>
          <w:szCs w:val="22"/>
        </w:rPr>
        <w:t>i.e.</w:t>
      </w:r>
      <w:r w:rsidR="00002490">
        <w:rPr>
          <w:sz w:val="22"/>
          <w:szCs w:val="22"/>
        </w:rPr>
        <w:t xml:space="preserve">, not by exchange or study area) </w:t>
      </w:r>
      <w:r w:rsidRPr="00DB03AB">
        <w:rPr>
          <w:sz w:val="22"/>
          <w:szCs w:val="22"/>
        </w:rPr>
        <w:t xml:space="preserve">ranked by the total number of </w:t>
      </w:r>
      <w:r w:rsidRPr="00DB03AB">
        <w:rPr>
          <w:b/>
          <w:sz w:val="22"/>
          <w:szCs w:val="22"/>
        </w:rPr>
        <w:t>UNEs</w:t>
      </w:r>
      <w:r w:rsidRPr="00DB03AB">
        <w:rPr>
          <w:sz w:val="22"/>
          <w:szCs w:val="22"/>
        </w:rPr>
        <w:t xml:space="preserve"> sold for the 12 months ending December 31, 2012 and December 31, 2013 (do not include any interexchange </w:t>
      </w:r>
      <w:r w:rsidRPr="00DB03AB">
        <w:rPr>
          <w:b/>
          <w:sz w:val="22"/>
          <w:szCs w:val="22"/>
        </w:rPr>
        <w:t>UNEs</w:t>
      </w:r>
      <w:r w:rsidRPr="00DB03AB">
        <w:rPr>
          <w:sz w:val="22"/>
          <w:szCs w:val="22"/>
        </w:rPr>
        <w:t xml:space="preserve"> or revenues for the same in answering this question):</w:t>
      </w:r>
    </w:p>
    <w:p w:rsidR="001E073E" w:rsidRPr="00DB03AB" w:rsidRDefault="001E073E" w:rsidP="001E073E">
      <w:pPr>
        <w:numPr>
          <w:ilvl w:val="1"/>
          <w:numId w:val="6"/>
        </w:numPr>
        <w:rPr>
          <w:sz w:val="22"/>
          <w:szCs w:val="22"/>
        </w:rPr>
      </w:pPr>
      <w:r w:rsidRPr="00DB03AB">
        <w:rPr>
          <w:sz w:val="22"/>
          <w:szCs w:val="22"/>
        </w:rPr>
        <w:t>The name of the CLEC</w:t>
      </w:r>
      <w:r w:rsidRPr="00A72FC7">
        <w:rPr>
          <w:sz w:val="22"/>
          <w:szCs w:val="22"/>
        </w:rPr>
        <w:t>;</w:t>
      </w:r>
    </w:p>
    <w:p w:rsidR="001E073E" w:rsidRPr="00DB03AB" w:rsidRDefault="001E073E" w:rsidP="001E073E">
      <w:pPr>
        <w:numPr>
          <w:ilvl w:val="1"/>
          <w:numId w:val="6"/>
        </w:numPr>
        <w:rPr>
          <w:sz w:val="22"/>
          <w:szCs w:val="22"/>
        </w:rPr>
      </w:pPr>
      <w:r w:rsidRPr="00DB03AB">
        <w:rPr>
          <w:sz w:val="22"/>
          <w:szCs w:val="22"/>
        </w:rPr>
        <w:t xml:space="preserve">Total annual sales revenues earned through the sale of these </w:t>
      </w:r>
      <w:r w:rsidRPr="00DB03AB">
        <w:rPr>
          <w:b/>
          <w:sz w:val="22"/>
          <w:szCs w:val="22"/>
        </w:rPr>
        <w:t>UNEs</w:t>
      </w:r>
      <w:r w:rsidRPr="00DB03AB">
        <w:rPr>
          <w:sz w:val="22"/>
          <w:szCs w:val="22"/>
        </w:rPr>
        <w:t xml:space="preserve"> to the CLEC;</w:t>
      </w:r>
    </w:p>
    <w:p w:rsidR="001E073E" w:rsidRPr="00DB03AB" w:rsidRDefault="001E073E" w:rsidP="001E073E">
      <w:pPr>
        <w:numPr>
          <w:ilvl w:val="1"/>
          <w:numId w:val="6"/>
        </w:numPr>
        <w:rPr>
          <w:sz w:val="22"/>
          <w:szCs w:val="22"/>
        </w:rPr>
      </w:pPr>
      <w:r w:rsidRPr="00DB03AB">
        <w:rPr>
          <w:sz w:val="22"/>
          <w:szCs w:val="22"/>
        </w:rPr>
        <w:t xml:space="preserve">The total annual number of </w:t>
      </w:r>
      <w:r w:rsidRPr="00DB03AB">
        <w:rPr>
          <w:b/>
          <w:sz w:val="22"/>
          <w:szCs w:val="22"/>
        </w:rPr>
        <w:t>UNEs</w:t>
      </w:r>
      <w:r w:rsidRPr="00DB03AB">
        <w:rPr>
          <w:sz w:val="22"/>
          <w:szCs w:val="22"/>
        </w:rPr>
        <w:t xml:space="preserve"> sold to the CLEC as:</w:t>
      </w:r>
    </w:p>
    <w:p w:rsidR="001E073E" w:rsidRPr="00DB03AB" w:rsidRDefault="001E073E" w:rsidP="001E073E">
      <w:pPr>
        <w:numPr>
          <w:ilvl w:val="2"/>
          <w:numId w:val="6"/>
        </w:numPr>
        <w:rPr>
          <w:sz w:val="22"/>
          <w:szCs w:val="22"/>
        </w:rPr>
      </w:pPr>
      <w:r w:rsidRPr="00DB03AB">
        <w:rPr>
          <w:sz w:val="22"/>
          <w:szCs w:val="22"/>
        </w:rPr>
        <w:t>Dry Copper Loops;</w:t>
      </w:r>
    </w:p>
    <w:p w:rsidR="001E073E" w:rsidRPr="00DB03AB" w:rsidRDefault="001E073E" w:rsidP="001E073E">
      <w:pPr>
        <w:numPr>
          <w:ilvl w:val="2"/>
          <w:numId w:val="6"/>
        </w:numPr>
        <w:rPr>
          <w:sz w:val="22"/>
          <w:szCs w:val="22"/>
        </w:rPr>
      </w:pPr>
      <w:r w:rsidRPr="00DB03AB">
        <w:rPr>
          <w:sz w:val="22"/>
          <w:szCs w:val="22"/>
        </w:rPr>
        <w:t>DS1s;</w:t>
      </w:r>
    </w:p>
    <w:p w:rsidR="001E073E" w:rsidRDefault="001E073E" w:rsidP="001E073E">
      <w:pPr>
        <w:numPr>
          <w:ilvl w:val="2"/>
          <w:numId w:val="6"/>
        </w:numPr>
        <w:rPr>
          <w:sz w:val="22"/>
          <w:szCs w:val="22"/>
        </w:rPr>
      </w:pPr>
      <w:r w:rsidRPr="00DB03AB">
        <w:rPr>
          <w:sz w:val="22"/>
          <w:szCs w:val="22"/>
        </w:rPr>
        <w:t>DS3s.</w:t>
      </w:r>
    </w:p>
    <w:p w:rsidR="001E073E" w:rsidRPr="00DB03AB" w:rsidRDefault="001E073E" w:rsidP="001E073E">
      <w:pPr>
        <w:ind w:left="1080"/>
        <w:rPr>
          <w:sz w:val="22"/>
          <w:szCs w:val="22"/>
        </w:rPr>
      </w:pPr>
    </w:p>
    <w:p w:rsidR="001E073E" w:rsidRPr="00DB03AB" w:rsidRDefault="001E073E" w:rsidP="001E073E">
      <w:pPr>
        <w:numPr>
          <w:ilvl w:val="0"/>
          <w:numId w:val="6"/>
        </w:numPr>
        <w:rPr>
          <w:sz w:val="22"/>
          <w:szCs w:val="22"/>
        </w:rPr>
      </w:pPr>
      <w:r w:rsidRPr="00DB03AB">
        <w:rPr>
          <w:sz w:val="22"/>
          <w:szCs w:val="22"/>
        </w:rPr>
        <w:t>For each exchange in a study area for which CenturyLink seeks relief, provide, for the top ten CLECs</w:t>
      </w:r>
      <w:r>
        <w:rPr>
          <w:b/>
          <w:color w:val="FFFF00"/>
          <w:sz w:val="22"/>
          <w:szCs w:val="22"/>
        </w:rPr>
        <w:t xml:space="preserve"> </w:t>
      </w:r>
      <w:r w:rsidR="008667A0">
        <w:rPr>
          <w:sz w:val="22"/>
          <w:szCs w:val="22"/>
        </w:rPr>
        <w:t>(</w:t>
      </w:r>
      <w:r w:rsidR="008667A0" w:rsidRPr="005605A4">
        <w:rPr>
          <w:i/>
          <w:sz w:val="22"/>
          <w:szCs w:val="22"/>
        </w:rPr>
        <w:t>i.e.</w:t>
      </w:r>
      <w:r w:rsidR="008667A0">
        <w:rPr>
          <w:sz w:val="22"/>
          <w:szCs w:val="22"/>
        </w:rPr>
        <w:t xml:space="preserve">, not by exchange or study area) </w:t>
      </w:r>
      <w:r w:rsidRPr="00DB03AB">
        <w:rPr>
          <w:sz w:val="22"/>
          <w:szCs w:val="22"/>
        </w:rPr>
        <w:t xml:space="preserve">ranked by lines you </w:t>
      </w:r>
      <w:r>
        <w:rPr>
          <w:sz w:val="22"/>
          <w:szCs w:val="22"/>
        </w:rPr>
        <w:t xml:space="preserve">leased </w:t>
      </w:r>
      <w:r w:rsidRPr="00DB03AB">
        <w:rPr>
          <w:sz w:val="22"/>
          <w:szCs w:val="22"/>
        </w:rPr>
        <w:t xml:space="preserve">to a CLEC other than through a </w:t>
      </w:r>
      <w:r w:rsidRPr="00DB03AB">
        <w:rPr>
          <w:b/>
          <w:sz w:val="22"/>
          <w:szCs w:val="22"/>
        </w:rPr>
        <w:t xml:space="preserve">UNE </w:t>
      </w:r>
      <w:r w:rsidRPr="00DB03AB">
        <w:rPr>
          <w:sz w:val="22"/>
          <w:szCs w:val="22"/>
        </w:rPr>
        <w:t xml:space="preserve">or an </w:t>
      </w:r>
      <w:r w:rsidRPr="00DB03AB">
        <w:rPr>
          <w:b/>
          <w:sz w:val="22"/>
          <w:szCs w:val="22"/>
        </w:rPr>
        <w:t>IRU</w:t>
      </w:r>
      <w:r w:rsidRPr="00DB03AB">
        <w:rPr>
          <w:sz w:val="22"/>
          <w:szCs w:val="22"/>
        </w:rPr>
        <w:t xml:space="preserve"> agreement for the 12 months ending December 31, 2012 and December 31, 2013 (do not include any interexchange lines or revenues for the same in answering this question):</w:t>
      </w:r>
    </w:p>
    <w:p w:rsidR="001E073E" w:rsidRPr="00DB03AB" w:rsidRDefault="001E073E" w:rsidP="001E073E">
      <w:pPr>
        <w:numPr>
          <w:ilvl w:val="1"/>
          <w:numId w:val="6"/>
        </w:numPr>
        <w:rPr>
          <w:sz w:val="22"/>
          <w:szCs w:val="22"/>
        </w:rPr>
      </w:pPr>
      <w:r w:rsidRPr="00DB03AB">
        <w:rPr>
          <w:sz w:val="22"/>
          <w:szCs w:val="22"/>
        </w:rPr>
        <w:t>The name of the CLEC;</w:t>
      </w:r>
    </w:p>
    <w:p w:rsidR="001E073E" w:rsidRPr="00DB03AB" w:rsidRDefault="001E073E" w:rsidP="001E073E">
      <w:pPr>
        <w:numPr>
          <w:ilvl w:val="1"/>
          <w:numId w:val="6"/>
        </w:numPr>
        <w:rPr>
          <w:sz w:val="22"/>
          <w:szCs w:val="22"/>
        </w:rPr>
      </w:pPr>
      <w:r>
        <w:rPr>
          <w:sz w:val="22"/>
          <w:szCs w:val="22"/>
        </w:rPr>
        <w:t xml:space="preserve">Total annual </w:t>
      </w:r>
      <w:r w:rsidRPr="00DB03AB">
        <w:rPr>
          <w:sz w:val="22"/>
          <w:szCs w:val="22"/>
        </w:rPr>
        <w:t xml:space="preserve">revenues earned through the </w:t>
      </w:r>
      <w:r>
        <w:rPr>
          <w:sz w:val="22"/>
          <w:szCs w:val="22"/>
        </w:rPr>
        <w:t>lease</w:t>
      </w:r>
      <w:r w:rsidRPr="00DB03AB">
        <w:rPr>
          <w:sz w:val="22"/>
          <w:szCs w:val="22"/>
        </w:rPr>
        <w:t xml:space="preserve"> of these lines to the CLEC;</w:t>
      </w:r>
    </w:p>
    <w:p w:rsidR="001E073E" w:rsidRPr="00DB03AB" w:rsidRDefault="001E073E" w:rsidP="001E073E">
      <w:pPr>
        <w:numPr>
          <w:ilvl w:val="1"/>
          <w:numId w:val="6"/>
        </w:numPr>
        <w:rPr>
          <w:sz w:val="22"/>
          <w:szCs w:val="22"/>
        </w:rPr>
      </w:pPr>
      <w:r w:rsidRPr="00DB03AB">
        <w:rPr>
          <w:sz w:val="22"/>
          <w:szCs w:val="22"/>
        </w:rPr>
        <w:t xml:space="preserve">The total annual number of lines </w:t>
      </w:r>
      <w:r>
        <w:rPr>
          <w:sz w:val="22"/>
          <w:szCs w:val="22"/>
        </w:rPr>
        <w:t xml:space="preserve">leased </w:t>
      </w:r>
      <w:r w:rsidRPr="00DB03AB">
        <w:rPr>
          <w:sz w:val="22"/>
          <w:szCs w:val="22"/>
        </w:rPr>
        <w:t>to the CLEC:</w:t>
      </w:r>
    </w:p>
    <w:p w:rsidR="001E073E" w:rsidRPr="00DB03AB" w:rsidRDefault="001E073E" w:rsidP="001E073E">
      <w:pPr>
        <w:numPr>
          <w:ilvl w:val="2"/>
          <w:numId w:val="6"/>
        </w:numPr>
        <w:rPr>
          <w:sz w:val="22"/>
          <w:szCs w:val="22"/>
        </w:rPr>
      </w:pPr>
      <w:r w:rsidRPr="00DB03AB">
        <w:rPr>
          <w:sz w:val="22"/>
          <w:szCs w:val="22"/>
        </w:rPr>
        <w:t>DS1s;</w:t>
      </w:r>
    </w:p>
    <w:p w:rsidR="001E073E" w:rsidRPr="00DB03AB" w:rsidRDefault="001E073E" w:rsidP="001E073E">
      <w:pPr>
        <w:numPr>
          <w:ilvl w:val="2"/>
          <w:numId w:val="6"/>
        </w:numPr>
        <w:rPr>
          <w:sz w:val="22"/>
          <w:szCs w:val="22"/>
        </w:rPr>
      </w:pPr>
      <w:r w:rsidRPr="00DB03AB">
        <w:rPr>
          <w:sz w:val="22"/>
          <w:szCs w:val="22"/>
        </w:rPr>
        <w:t>DS3s;</w:t>
      </w:r>
    </w:p>
    <w:p w:rsidR="001E073E" w:rsidRPr="00DB03AB" w:rsidRDefault="001E073E" w:rsidP="001E073E">
      <w:pPr>
        <w:numPr>
          <w:ilvl w:val="2"/>
          <w:numId w:val="6"/>
        </w:numPr>
        <w:rPr>
          <w:sz w:val="22"/>
          <w:szCs w:val="22"/>
        </w:rPr>
      </w:pPr>
      <w:r w:rsidRPr="00DB03AB">
        <w:rPr>
          <w:sz w:val="22"/>
          <w:szCs w:val="22"/>
        </w:rPr>
        <w:t>Other TDM services;</w:t>
      </w:r>
    </w:p>
    <w:p w:rsidR="001E073E" w:rsidRPr="00DB03AB" w:rsidRDefault="001E073E" w:rsidP="001E073E">
      <w:pPr>
        <w:numPr>
          <w:ilvl w:val="2"/>
          <w:numId w:val="6"/>
        </w:numPr>
        <w:rPr>
          <w:sz w:val="22"/>
          <w:szCs w:val="22"/>
        </w:rPr>
      </w:pPr>
      <w:r w:rsidRPr="00DB03AB">
        <w:rPr>
          <w:sz w:val="22"/>
          <w:szCs w:val="22"/>
        </w:rPr>
        <w:t>Packet Services with a capacity of up to and including symmetric 10 Mbps Services;</w:t>
      </w:r>
    </w:p>
    <w:p w:rsidR="001E073E" w:rsidRDefault="001E073E" w:rsidP="001E073E">
      <w:pPr>
        <w:numPr>
          <w:ilvl w:val="2"/>
          <w:numId w:val="6"/>
        </w:numPr>
        <w:rPr>
          <w:sz w:val="22"/>
          <w:szCs w:val="22"/>
        </w:rPr>
      </w:pPr>
      <w:r w:rsidRPr="00DB03AB">
        <w:rPr>
          <w:sz w:val="22"/>
          <w:szCs w:val="22"/>
        </w:rPr>
        <w:t>Other Packet Services</w:t>
      </w:r>
      <w:r>
        <w:rPr>
          <w:sz w:val="22"/>
          <w:szCs w:val="22"/>
        </w:rPr>
        <w:t>;</w:t>
      </w:r>
      <w:r w:rsidRPr="00DB03AB">
        <w:rPr>
          <w:sz w:val="22"/>
          <w:szCs w:val="22"/>
        </w:rPr>
        <w:t xml:space="preserve"> </w:t>
      </w:r>
    </w:p>
    <w:p w:rsidR="001E073E" w:rsidRPr="00DB03AB" w:rsidRDefault="001E073E" w:rsidP="001E073E">
      <w:pPr>
        <w:numPr>
          <w:ilvl w:val="2"/>
          <w:numId w:val="6"/>
        </w:numPr>
        <w:rPr>
          <w:sz w:val="22"/>
          <w:szCs w:val="22"/>
        </w:rPr>
      </w:pPr>
      <w:r w:rsidRPr="00DB03AB">
        <w:rPr>
          <w:sz w:val="22"/>
          <w:szCs w:val="22"/>
        </w:rPr>
        <w:t xml:space="preserve">Dark Fiber; </w:t>
      </w:r>
      <w:r>
        <w:rPr>
          <w:sz w:val="22"/>
          <w:szCs w:val="22"/>
        </w:rPr>
        <w:t>and</w:t>
      </w:r>
    </w:p>
    <w:p w:rsidR="001E073E" w:rsidRDefault="001E073E" w:rsidP="001E073E">
      <w:pPr>
        <w:numPr>
          <w:ilvl w:val="2"/>
          <w:numId w:val="6"/>
        </w:numPr>
        <w:rPr>
          <w:sz w:val="22"/>
          <w:szCs w:val="22"/>
        </w:rPr>
      </w:pPr>
      <w:r w:rsidRPr="000958D1">
        <w:rPr>
          <w:sz w:val="22"/>
          <w:szCs w:val="22"/>
        </w:rPr>
        <w:t>Other Business Services.</w:t>
      </w:r>
    </w:p>
    <w:p w:rsidR="001E073E" w:rsidRDefault="001E073E" w:rsidP="001E073E">
      <w:pPr>
        <w:rPr>
          <w:sz w:val="22"/>
          <w:szCs w:val="22"/>
        </w:rPr>
      </w:pPr>
    </w:p>
    <w:p w:rsidR="001E073E" w:rsidRDefault="001E073E" w:rsidP="001E073E">
      <w:pPr>
        <w:numPr>
          <w:ilvl w:val="0"/>
          <w:numId w:val="6"/>
        </w:numPr>
        <w:tabs>
          <w:tab w:val="num" w:pos="720"/>
        </w:tabs>
        <w:rPr>
          <w:sz w:val="22"/>
          <w:szCs w:val="22"/>
        </w:rPr>
      </w:pPr>
      <w:r w:rsidRPr="005605A4">
        <w:rPr>
          <w:sz w:val="22"/>
          <w:szCs w:val="22"/>
        </w:rPr>
        <w:t xml:space="preserve">For each exchange in a study area for which CenturyLink seeks relief, provide the total number of physical addresses to which you provide business services, excluding:  sales of </w:t>
      </w:r>
      <w:r w:rsidRPr="005605A4">
        <w:rPr>
          <w:b/>
          <w:sz w:val="22"/>
          <w:szCs w:val="22"/>
        </w:rPr>
        <w:t>UNEs</w:t>
      </w:r>
      <w:r w:rsidRPr="005605A4">
        <w:rPr>
          <w:sz w:val="22"/>
          <w:szCs w:val="22"/>
        </w:rPr>
        <w:t>; standalone sales of PSTN voice services; standalone sales of “best-effort” Internet services (for example, as typically marketed to residential customers); standalone sales of any bundle of PSTN voice services and “best-effort” Internet services (for example, as typically marketed to residential customers); and sales of any interexchange lines, for the 12 months ending December 31, 2012 and December 31, 2013.</w:t>
      </w:r>
      <w:r w:rsidR="00002490" w:rsidRPr="005605A4">
        <w:rPr>
          <w:sz w:val="22"/>
          <w:szCs w:val="22"/>
        </w:rPr>
        <w:t xml:space="preserve">  </w:t>
      </w:r>
      <w:r w:rsidR="005605A4" w:rsidRPr="005605A4">
        <w:rPr>
          <w:sz w:val="22"/>
          <w:szCs w:val="22"/>
        </w:rPr>
        <w:t>To the extent CenturyLink contends, however, that “best-effort</w:t>
      </w:r>
      <w:r w:rsidR="00EF2B16">
        <w:rPr>
          <w:sz w:val="22"/>
          <w:szCs w:val="22"/>
        </w:rPr>
        <w:t>s</w:t>
      </w:r>
      <w:r w:rsidR="005605A4" w:rsidRPr="005605A4">
        <w:rPr>
          <w:sz w:val="22"/>
          <w:szCs w:val="22"/>
        </w:rPr>
        <w:t>” Internet services provided as business services or otherwise are relevant to assessing competition for provision of Listed Services,</w:t>
      </w:r>
      <w:r w:rsidR="005605A4">
        <w:rPr>
          <w:sz w:val="22"/>
          <w:szCs w:val="22"/>
        </w:rPr>
        <w:t xml:space="preserve"> please provide </w:t>
      </w:r>
      <w:r w:rsidR="005605A4" w:rsidRPr="005605A4">
        <w:rPr>
          <w:sz w:val="22"/>
          <w:szCs w:val="22"/>
        </w:rPr>
        <w:t xml:space="preserve">the total number of physical addresses to which you provide such services. </w:t>
      </w:r>
    </w:p>
    <w:p w:rsidR="00EF2B16" w:rsidRPr="005605A4" w:rsidRDefault="00EF2B16" w:rsidP="00957ADD">
      <w:pPr>
        <w:tabs>
          <w:tab w:val="num" w:pos="720"/>
        </w:tabs>
        <w:ind w:left="360"/>
        <w:rPr>
          <w:sz w:val="22"/>
          <w:szCs w:val="22"/>
        </w:rPr>
      </w:pPr>
    </w:p>
    <w:p w:rsidR="001E073E" w:rsidRPr="00DB03AB" w:rsidRDefault="001E073E" w:rsidP="001E073E">
      <w:pPr>
        <w:numPr>
          <w:ilvl w:val="0"/>
          <w:numId w:val="6"/>
        </w:numPr>
        <w:tabs>
          <w:tab w:val="num" w:pos="720"/>
        </w:tabs>
        <w:rPr>
          <w:sz w:val="22"/>
          <w:szCs w:val="22"/>
        </w:rPr>
      </w:pPr>
      <w:r w:rsidRPr="00DB03AB">
        <w:rPr>
          <w:sz w:val="22"/>
          <w:szCs w:val="22"/>
        </w:rPr>
        <w:t xml:space="preserve">For each </w:t>
      </w:r>
      <w:r w:rsidRPr="00DB03AB">
        <w:rPr>
          <w:b/>
          <w:sz w:val="22"/>
          <w:szCs w:val="22"/>
        </w:rPr>
        <w:t>Listed Service</w:t>
      </w:r>
      <w:r w:rsidRPr="00DB03AB">
        <w:rPr>
          <w:sz w:val="22"/>
          <w:szCs w:val="22"/>
        </w:rPr>
        <w:t xml:space="preserve"> for which CenturyLink seeks forbearance, identify all Requests for Proposals (RFPs)</w:t>
      </w:r>
      <w:r>
        <w:rPr>
          <w:sz w:val="22"/>
          <w:szCs w:val="22"/>
        </w:rPr>
        <w:t>—including FCC Form 470 or other bidding documents—</w:t>
      </w:r>
      <w:r w:rsidRPr="00DB03AB">
        <w:rPr>
          <w:sz w:val="22"/>
          <w:szCs w:val="22"/>
        </w:rPr>
        <w:t>involving such services to which CenturyLink submitted a bid since January 1, 2012, and provide</w:t>
      </w:r>
    </w:p>
    <w:p w:rsidR="001E073E" w:rsidRPr="00DB03AB" w:rsidRDefault="001E073E" w:rsidP="001E073E">
      <w:pPr>
        <w:numPr>
          <w:ilvl w:val="1"/>
          <w:numId w:val="40"/>
        </w:numPr>
        <w:rPr>
          <w:sz w:val="22"/>
          <w:szCs w:val="22"/>
        </w:rPr>
      </w:pPr>
      <w:r w:rsidRPr="00DB03AB">
        <w:rPr>
          <w:sz w:val="22"/>
          <w:szCs w:val="22"/>
        </w:rPr>
        <w:t>the name of the entity issuing the RFP;</w:t>
      </w:r>
    </w:p>
    <w:p w:rsidR="001E073E" w:rsidRPr="00DB03AB" w:rsidRDefault="001E073E" w:rsidP="001E073E">
      <w:pPr>
        <w:numPr>
          <w:ilvl w:val="1"/>
          <w:numId w:val="40"/>
        </w:numPr>
        <w:rPr>
          <w:sz w:val="22"/>
          <w:szCs w:val="22"/>
        </w:rPr>
      </w:pPr>
      <w:r w:rsidRPr="00DB03AB">
        <w:rPr>
          <w:sz w:val="22"/>
          <w:szCs w:val="22"/>
        </w:rPr>
        <w:t>the date of the RFP;</w:t>
      </w:r>
    </w:p>
    <w:p w:rsidR="001E073E" w:rsidRPr="00DB03AB" w:rsidRDefault="001E073E" w:rsidP="001E073E">
      <w:pPr>
        <w:numPr>
          <w:ilvl w:val="1"/>
          <w:numId w:val="40"/>
        </w:numPr>
        <w:rPr>
          <w:sz w:val="22"/>
          <w:szCs w:val="22"/>
        </w:rPr>
      </w:pPr>
      <w:r w:rsidRPr="00DB03AB">
        <w:rPr>
          <w:sz w:val="22"/>
          <w:szCs w:val="22"/>
        </w:rPr>
        <w:t>the counties in which services were to be provided;</w:t>
      </w:r>
      <w:r w:rsidRPr="00DB03AB">
        <w:rPr>
          <w:sz w:val="22"/>
          <w:szCs w:val="22"/>
          <w:vertAlign w:val="superscript"/>
        </w:rPr>
        <w:footnoteReference w:id="6"/>
      </w:r>
    </w:p>
    <w:p w:rsidR="001E073E" w:rsidRPr="00DB03AB" w:rsidRDefault="001E073E" w:rsidP="001E073E">
      <w:pPr>
        <w:numPr>
          <w:ilvl w:val="1"/>
          <w:numId w:val="40"/>
        </w:numPr>
        <w:rPr>
          <w:sz w:val="22"/>
          <w:szCs w:val="22"/>
        </w:rPr>
      </w:pPr>
      <w:r w:rsidRPr="00DB03AB">
        <w:rPr>
          <w:sz w:val="22"/>
          <w:szCs w:val="22"/>
        </w:rPr>
        <w:t>the services to be provided;</w:t>
      </w:r>
    </w:p>
    <w:p w:rsidR="001E073E" w:rsidRPr="00DB03AB" w:rsidRDefault="001E073E" w:rsidP="001E073E">
      <w:pPr>
        <w:numPr>
          <w:ilvl w:val="1"/>
          <w:numId w:val="40"/>
        </w:numPr>
        <w:rPr>
          <w:sz w:val="22"/>
          <w:szCs w:val="22"/>
        </w:rPr>
      </w:pPr>
      <w:r w:rsidRPr="00DB03AB">
        <w:rPr>
          <w:sz w:val="22"/>
          <w:szCs w:val="22"/>
        </w:rPr>
        <w:t xml:space="preserve">the customer category (identified in response to </w:t>
      </w:r>
      <w:r>
        <w:rPr>
          <w:sz w:val="22"/>
          <w:szCs w:val="22"/>
        </w:rPr>
        <w:t>Question</w:t>
      </w:r>
      <w:r w:rsidRPr="00DB03AB">
        <w:rPr>
          <w:sz w:val="22"/>
          <w:szCs w:val="22"/>
        </w:rPr>
        <w:t xml:space="preserve"> </w:t>
      </w:r>
      <w:r>
        <w:rPr>
          <w:sz w:val="22"/>
          <w:szCs w:val="22"/>
        </w:rPr>
        <w:t>2</w:t>
      </w:r>
      <w:r w:rsidRPr="00DB03AB">
        <w:rPr>
          <w:sz w:val="22"/>
          <w:szCs w:val="22"/>
        </w:rPr>
        <w:t xml:space="preserve"> to which services were to be provided;</w:t>
      </w:r>
    </w:p>
    <w:p w:rsidR="001E073E" w:rsidRPr="00DB03AB" w:rsidRDefault="001E073E" w:rsidP="001E073E">
      <w:pPr>
        <w:numPr>
          <w:ilvl w:val="1"/>
          <w:numId w:val="40"/>
        </w:numPr>
        <w:rPr>
          <w:sz w:val="22"/>
          <w:szCs w:val="22"/>
        </w:rPr>
      </w:pPr>
      <w:r>
        <w:rPr>
          <w:sz w:val="22"/>
          <w:szCs w:val="22"/>
        </w:rPr>
        <w:t xml:space="preserve">the estimated annual revenue associated with </w:t>
      </w:r>
      <w:r w:rsidRPr="00DB03AB">
        <w:rPr>
          <w:sz w:val="22"/>
          <w:szCs w:val="22"/>
        </w:rPr>
        <w:t xml:space="preserve">the contract, for the following geographic </w:t>
      </w:r>
      <w:r>
        <w:rPr>
          <w:sz w:val="22"/>
          <w:szCs w:val="22"/>
        </w:rPr>
        <w:t>areas</w:t>
      </w:r>
      <w:r w:rsidRPr="00DB03AB">
        <w:rPr>
          <w:sz w:val="22"/>
          <w:szCs w:val="22"/>
        </w:rPr>
        <w:t xml:space="preserve">: </w:t>
      </w:r>
      <w:r>
        <w:rPr>
          <w:sz w:val="22"/>
          <w:szCs w:val="22"/>
        </w:rPr>
        <w:t>(</w:t>
      </w:r>
      <w:r w:rsidRPr="00DB03AB">
        <w:rPr>
          <w:sz w:val="22"/>
          <w:szCs w:val="22"/>
        </w:rPr>
        <w:t>1)</w:t>
      </w:r>
      <w:r>
        <w:rPr>
          <w:sz w:val="22"/>
          <w:szCs w:val="22"/>
        </w:rPr>
        <w:t> </w:t>
      </w:r>
      <w:r w:rsidRPr="00DB03AB">
        <w:rPr>
          <w:sz w:val="22"/>
          <w:szCs w:val="22"/>
        </w:rPr>
        <w:t>the nation</w:t>
      </w:r>
      <w:r>
        <w:rPr>
          <w:sz w:val="22"/>
          <w:szCs w:val="22"/>
        </w:rPr>
        <w:t>,</w:t>
      </w:r>
      <w:r w:rsidRPr="00DB03AB">
        <w:rPr>
          <w:sz w:val="22"/>
          <w:szCs w:val="22"/>
        </w:rPr>
        <w:t xml:space="preserve"> (2)</w:t>
      </w:r>
      <w:r>
        <w:rPr>
          <w:sz w:val="22"/>
          <w:szCs w:val="22"/>
        </w:rPr>
        <w:t> </w:t>
      </w:r>
      <w:r w:rsidRPr="00DB03AB">
        <w:rPr>
          <w:sz w:val="22"/>
          <w:szCs w:val="22"/>
        </w:rPr>
        <w:t>each state</w:t>
      </w:r>
      <w:r>
        <w:rPr>
          <w:sz w:val="22"/>
          <w:szCs w:val="22"/>
        </w:rPr>
        <w:t>,</w:t>
      </w:r>
      <w:r w:rsidRPr="00DB03AB">
        <w:rPr>
          <w:sz w:val="22"/>
          <w:szCs w:val="22"/>
        </w:rPr>
        <w:t xml:space="preserve"> (3)</w:t>
      </w:r>
      <w:r>
        <w:rPr>
          <w:sz w:val="22"/>
          <w:szCs w:val="22"/>
        </w:rPr>
        <w:t> </w:t>
      </w:r>
      <w:r w:rsidRPr="00DB03AB">
        <w:rPr>
          <w:sz w:val="22"/>
          <w:szCs w:val="22"/>
        </w:rPr>
        <w:t>each study area</w:t>
      </w:r>
      <w:r>
        <w:rPr>
          <w:sz w:val="22"/>
          <w:szCs w:val="22"/>
        </w:rPr>
        <w:t>,</w:t>
      </w:r>
      <w:r w:rsidRPr="00DB03AB">
        <w:rPr>
          <w:sz w:val="22"/>
          <w:szCs w:val="22"/>
        </w:rPr>
        <w:t xml:space="preserve"> and (4)</w:t>
      </w:r>
      <w:r>
        <w:rPr>
          <w:sz w:val="22"/>
          <w:szCs w:val="22"/>
        </w:rPr>
        <w:t> </w:t>
      </w:r>
      <w:r w:rsidRPr="00DB03AB">
        <w:rPr>
          <w:sz w:val="22"/>
          <w:szCs w:val="22"/>
        </w:rPr>
        <w:t xml:space="preserve">each exchange </w:t>
      </w:r>
      <w:r>
        <w:rPr>
          <w:sz w:val="22"/>
          <w:szCs w:val="22"/>
        </w:rPr>
        <w:t xml:space="preserve">that is within </w:t>
      </w:r>
      <w:r w:rsidRPr="00DB03AB">
        <w:rPr>
          <w:sz w:val="22"/>
          <w:szCs w:val="22"/>
        </w:rPr>
        <w:t xml:space="preserve"> Century</w:t>
      </w:r>
      <w:r w:rsidR="001C2962">
        <w:rPr>
          <w:sz w:val="22"/>
          <w:szCs w:val="22"/>
        </w:rPr>
        <w:t>Link</w:t>
      </w:r>
      <w:r w:rsidRPr="00DB03AB">
        <w:rPr>
          <w:sz w:val="22"/>
          <w:szCs w:val="22"/>
        </w:rPr>
        <w:t xml:space="preserve"> region;</w:t>
      </w:r>
    </w:p>
    <w:p w:rsidR="001E073E" w:rsidRPr="00DB03AB" w:rsidRDefault="001E073E" w:rsidP="001E073E">
      <w:pPr>
        <w:numPr>
          <w:ilvl w:val="1"/>
          <w:numId w:val="40"/>
        </w:numPr>
        <w:rPr>
          <w:sz w:val="22"/>
          <w:szCs w:val="22"/>
        </w:rPr>
      </w:pPr>
      <w:r>
        <w:rPr>
          <w:sz w:val="22"/>
          <w:szCs w:val="22"/>
        </w:rPr>
        <w:t>what other bidders</w:t>
      </w:r>
      <w:r w:rsidRPr="00DB03AB">
        <w:rPr>
          <w:sz w:val="22"/>
          <w:szCs w:val="22"/>
        </w:rPr>
        <w:t xml:space="preserve"> submitted bids in addition to CenturyLink (if known); </w:t>
      </w:r>
    </w:p>
    <w:p w:rsidR="001E073E" w:rsidRPr="00DB03AB" w:rsidRDefault="001E073E" w:rsidP="001E073E">
      <w:pPr>
        <w:numPr>
          <w:ilvl w:val="1"/>
          <w:numId w:val="40"/>
        </w:numPr>
        <w:rPr>
          <w:sz w:val="22"/>
          <w:szCs w:val="22"/>
        </w:rPr>
      </w:pPr>
      <w:r w:rsidRPr="00DB03AB">
        <w:rPr>
          <w:sz w:val="22"/>
          <w:szCs w:val="22"/>
        </w:rPr>
        <w:t>the result of the RFP (e.g., whether CenturyLink won the bid or the identity of the winning bidder(s), if known).</w:t>
      </w:r>
    </w:p>
    <w:p w:rsidR="001E073E" w:rsidRPr="00DB03AB" w:rsidRDefault="001E073E" w:rsidP="001E073E">
      <w:pPr>
        <w:tabs>
          <w:tab w:val="num" w:pos="720"/>
        </w:tabs>
        <w:ind w:left="360" w:hanging="360"/>
        <w:rPr>
          <w:sz w:val="22"/>
          <w:szCs w:val="22"/>
        </w:rPr>
      </w:pPr>
    </w:p>
    <w:p w:rsidR="001E073E" w:rsidRPr="00DB03AB" w:rsidRDefault="001E073E" w:rsidP="001E073E">
      <w:pPr>
        <w:numPr>
          <w:ilvl w:val="0"/>
          <w:numId w:val="6"/>
        </w:numPr>
        <w:rPr>
          <w:sz w:val="22"/>
          <w:szCs w:val="22"/>
        </w:rPr>
      </w:pPr>
      <w:r w:rsidRPr="00DB03AB">
        <w:rPr>
          <w:sz w:val="22"/>
          <w:szCs w:val="22"/>
        </w:rPr>
        <w:t xml:space="preserve">Explain what factors contributed to CenturyLink being awarded a contract in response to an RFP identified in response to </w:t>
      </w:r>
      <w:r>
        <w:rPr>
          <w:sz w:val="22"/>
          <w:szCs w:val="22"/>
        </w:rPr>
        <w:t>Question</w:t>
      </w:r>
      <w:r w:rsidRPr="00DB03AB">
        <w:rPr>
          <w:sz w:val="22"/>
          <w:szCs w:val="22"/>
        </w:rPr>
        <w:t xml:space="preserve"> </w:t>
      </w:r>
      <w:r>
        <w:rPr>
          <w:sz w:val="22"/>
          <w:szCs w:val="22"/>
        </w:rPr>
        <w:t>12</w:t>
      </w:r>
      <w:r w:rsidRPr="00DB03AB">
        <w:rPr>
          <w:sz w:val="22"/>
          <w:szCs w:val="22"/>
        </w:rPr>
        <w:t xml:space="preserve"> above, and what factors likely contributed to losing any such RFPs to other competitors.  With respect to discussing factors contributing to losing bids, supplement the explanation with supporting evidence, if available.</w:t>
      </w:r>
    </w:p>
    <w:p w:rsidR="001E073E" w:rsidRPr="00DB03AB" w:rsidRDefault="001E073E" w:rsidP="001E073E">
      <w:pPr>
        <w:tabs>
          <w:tab w:val="num" w:pos="720"/>
        </w:tabs>
        <w:ind w:left="360" w:hanging="360"/>
        <w:rPr>
          <w:b/>
          <w:sz w:val="22"/>
          <w:szCs w:val="22"/>
        </w:rPr>
      </w:pPr>
    </w:p>
    <w:p w:rsidR="001E073E" w:rsidRPr="00DB03AB" w:rsidRDefault="001E073E" w:rsidP="001E073E">
      <w:pPr>
        <w:tabs>
          <w:tab w:val="num" w:pos="720"/>
        </w:tabs>
        <w:ind w:left="360" w:hanging="360"/>
        <w:rPr>
          <w:b/>
          <w:sz w:val="22"/>
          <w:szCs w:val="22"/>
        </w:rPr>
      </w:pPr>
      <w:r w:rsidRPr="00DB03AB">
        <w:rPr>
          <w:b/>
          <w:sz w:val="22"/>
          <w:szCs w:val="22"/>
        </w:rPr>
        <w:t>III. Documents</w:t>
      </w:r>
    </w:p>
    <w:p w:rsidR="001E073E" w:rsidRPr="00DB03AB" w:rsidRDefault="001E073E" w:rsidP="001E073E">
      <w:pPr>
        <w:tabs>
          <w:tab w:val="num" w:pos="720"/>
        </w:tabs>
        <w:ind w:left="360" w:hanging="360"/>
        <w:rPr>
          <w:sz w:val="22"/>
          <w:szCs w:val="22"/>
        </w:rPr>
      </w:pPr>
    </w:p>
    <w:p w:rsidR="00B41B92" w:rsidRDefault="001E073E" w:rsidP="001E073E">
      <w:pPr>
        <w:numPr>
          <w:ilvl w:val="0"/>
          <w:numId w:val="6"/>
        </w:numPr>
        <w:rPr>
          <w:sz w:val="22"/>
          <w:szCs w:val="22"/>
        </w:rPr>
      </w:pPr>
      <w:r w:rsidRPr="00DB03AB">
        <w:rPr>
          <w:sz w:val="22"/>
          <w:szCs w:val="22"/>
        </w:rPr>
        <w:t xml:space="preserve">Submit a copy of all </w:t>
      </w:r>
      <w:r w:rsidR="00A00D53">
        <w:rPr>
          <w:sz w:val="22"/>
          <w:szCs w:val="22"/>
        </w:rPr>
        <w:t>quarterly reports</w:t>
      </w:r>
      <w:r w:rsidR="009F43B7">
        <w:rPr>
          <w:sz w:val="22"/>
          <w:szCs w:val="22"/>
        </w:rPr>
        <w:t xml:space="preserve"> from January 2012 to the present that</w:t>
      </w:r>
      <w:r w:rsidRPr="00DB03AB">
        <w:rPr>
          <w:sz w:val="22"/>
          <w:szCs w:val="22"/>
        </w:rPr>
        <w:t xml:space="preserve"> relate to the </w:t>
      </w:r>
      <w:r w:rsidRPr="00DB03AB">
        <w:rPr>
          <w:b/>
          <w:sz w:val="22"/>
          <w:szCs w:val="22"/>
        </w:rPr>
        <w:t>Listed Services</w:t>
      </w:r>
      <w:r w:rsidR="006353EF">
        <w:rPr>
          <w:b/>
          <w:sz w:val="22"/>
          <w:szCs w:val="22"/>
        </w:rPr>
        <w:t>,</w:t>
      </w:r>
      <w:r w:rsidRPr="00DB03AB">
        <w:rPr>
          <w:sz w:val="22"/>
          <w:szCs w:val="22"/>
        </w:rPr>
        <w:t xml:space="preserve"> were prepared by </w:t>
      </w:r>
      <w:r w:rsidR="009F43B7">
        <w:rPr>
          <w:sz w:val="22"/>
          <w:szCs w:val="22"/>
        </w:rPr>
        <w:t xml:space="preserve">or on behalf of </w:t>
      </w:r>
      <w:r>
        <w:rPr>
          <w:sz w:val="22"/>
          <w:szCs w:val="22"/>
        </w:rPr>
        <w:t xml:space="preserve">CenturyLink’s </w:t>
      </w:r>
      <w:r w:rsidR="00A00D53">
        <w:rPr>
          <w:sz w:val="22"/>
          <w:szCs w:val="22"/>
        </w:rPr>
        <w:t>internal corporate strategy group</w:t>
      </w:r>
      <w:r w:rsidR="006353EF">
        <w:rPr>
          <w:sz w:val="22"/>
          <w:szCs w:val="22"/>
        </w:rPr>
        <w:t>, and that pertain to or discuss any of the following</w:t>
      </w:r>
      <w:r w:rsidR="00B41B92">
        <w:rPr>
          <w:sz w:val="22"/>
          <w:szCs w:val="22"/>
        </w:rPr>
        <w:t>:</w:t>
      </w:r>
      <w:r w:rsidRPr="00DB03AB">
        <w:rPr>
          <w:sz w:val="22"/>
          <w:szCs w:val="22"/>
        </w:rPr>
        <w:t xml:space="preserve"> </w:t>
      </w:r>
    </w:p>
    <w:p w:rsidR="00B41B92" w:rsidRDefault="00B41B92" w:rsidP="001D586F">
      <w:pPr>
        <w:rPr>
          <w:sz w:val="22"/>
          <w:szCs w:val="22"/>
        </w:rPr>
      </w:pPr>
    </w:p>
    <w:p w:rsidR="00B41B92" w:rsidRPr="00DB03AB" w:rsidRDefault="006353EF" w:rsidP="001D586F">
      <w:pPr>
        <w:numPr>
          <w:ilvl w:val="1"/>
          <w:numId w:val="6"/>
        </w:numPr>
        <w:rPr>
          <w:sz w:val="22"/>
          <w:szCs w:val="22"/>
        </w:rPr>
      </w:pPr>
      <w:r>
        <w:rPr>
          <w:sz w:val="22"/>
          <w:szCs w:val="22"/>
        </w:rPr>
        <w:t>M</w:t>
      </w:r>
      <w:r w:rsidR="001E073E" w:rsidRPr="00DB03AB">
        <w:rPr>
          <w:sz w:val="22"/>
          <w:szCs w:val="22"/>
        </w:rPr>
        <w:t>arket shares, competitors, markets, potential for sales growth or expansion into product or geographic markets</w:t>
      </w:r>
      <w:r>
        <w:rPr>
          <w:sz w:val="22"/>
          <w:szCs w:val="22"/>
        </w:rPr>
        <w:t>;</w:t>
      </w:r>
    </w:p>
    <w:p w:rsidR="006353EF" w:rsidRDefault="006353EF" w:rsidP="001D586F">
      <w:pPr>
        <w:numPr>
          <w:ilvl w:val="1"/>
          <w:numId w:val="6"/>
        </w:numPr>
        <w:rPr>
          <w:sz w:val="22"/>
          <w:szCs w:val="22"/>
        </w:rPr>
      </w:pPr>
      <w:r>
        <w:rPr>
          <w:sz w:val="22"/>
          <w:szCs w:val="22"/>
        </w:rPr>
        <w:t>T</w:t>
      </w:r>
      <w:r w:rsidR="001E073E" w:rsidRPr="00DB03AB">
        <w:rPr>
          <w:sz w:val="22"/>
          <w:szCs w:val="22"/>
        </w:rPr>
        <w:t>he relative strength or weakness of CenturyLink’s competitors</w:t>
      </w:r>
      <w:r w:rsidR="000A3230">
        <w:rPr>
          <w:sz w:val="22"/>
          <w:szCs w:val="22"/>
        </w:rPr>
        <w:t>;</w:t>
      </w:r>
      <w:r w:rsidR="001E073E">
        <w:rPr>
          <w:sz w:val="22"/>
          <w:szCs w:val="22"/>
        </w:rPr>
        <w:t> </w:t>
      </w:r>
    </w:p>
    <w:p w:rsidR="006353EF" w:rsidRDefault="006353EF" w:rsidP="001D586F">
      <w:pPr>
        <w:numPr>
          <w:ilvl w:val="1"/>
          <w:numId w:val="6"/>
        </w:numPr>
        <w:rPr>
          <w:sz w:val="22"/>
          <w:szCs w:val="22"/>
        </w:rPr>
      </w:pPr>
      <w:r>
        <w:rPr>
          <w:sz w:val="22"/>
          <w:szCs w:val="22"/>
        </w:rPr>
        <w:t>A</w:t>
      </w:r>
      <w:r w:rsidR="001E073E" w:rsidRPr="00DB03AB">
        <w:rPr>
          <w:sz w:val="22"/>
          <w:szCs w:val="22"/>
        </w:rPr>
        <w:t>nalysis of customer churn</w:t>
      </w:r>
      <w:r>
        <w:rPr>
          <w:sz w:val="22"/>
          <w:szCs w:val="22"/>
        </w:rPr>
        <w:t>,</w:t>
      </w:r>
      <w:r w:rsidR="001E073E" w:rsidRPr="00DB03AB">
        <w:rPr>
          <w:sz w:val="22"/>
          <w:szCs w:val="22"/>
        </w:rPr>
        <w:t xml:space="preserve"> attempts to win customers from other companies</w:t>
      </w:r>
      <w:r>
        <w:rPr>
          <w:sz w:val="22"/>
          <w:szCs w:val="22"/>
        </w:rPr>
        <w:t>, or</w:t>
      </w:r>
      <w:r w:rsidR="001E073E" w:rsidRPr="00DB03AB">
        <w:rPr>
          <w:sz w:val="22"/>
          <w:szCs w:val="22"/>
        </w:rPr>
        <w:t xml:space="preserve"> losses of customers to other companies; </w:t>
      </w:r>
    </w:p>
    <w:p w:rsidR="00B41B92" w:rsidRPr="00DB03AB" w:rsidRDefault="006353EF" w:rsidP="001D586F">
      <w:pPr>
        <w:numPr>
          <w:ilvl w:val="1"/>
          <w:numId w:val="6"/>
        </w:numPr>
        <w:rPr>
          <w:sz w:val="22"/>
          <w:szCs w:val="22"/>
        </w:rPr>
      </w:pPr>
      <w:r>
        <w:rPr>
          <w:sz w:val="22"/>
          <w:szCs w:val="22"/>
        </w:rPr>
        <w:t>A</w:t>
      </w:r>
      <w:r w:rsidR="001E073E" w:rsidRPr="00DB03AB">
        <w:rPr>
          <w:sz w:val="22"/>
          <w:szCs w:val="22"/>
        </w:rPr>
        <w:t>nalys</w:t>
      </w:r>
      <w:r>
        <w:rPr>
          <w:sz w:val="22"/>
          <w:szCs w:val="22"/>
        </w:rPr>
        <w:t>is</w:t>
      </w:r>
      <w:r w:rsidR="001E073E" w:rsidRPr="00DB03AB">
        <w:rPr>
          <w:sz w:val="22"/>
          <w:szCs w:val="22"/>
        </w:rPr>
        <w:t xml:space="preserve"> or forecasts of customer demand (for example, of actual or expected customer migration away from TDM services; or of the importance of certain service characteristics, such as circuit portability, or contract duration</w:t>
      </w:r>
      <w:r w:rsidR="000A3230">
        <w:rPr>
          <w:sz w:val="22"/>
          <w:szCs w:val="22"/>
        </w:rPr>
        <w:t>)</w:t>
      </w:r>
      <w:r w:rsidR="00B41B92">
        <w:rPr>
          <w:sz w:val="22"/>
          <w:szCs w:val="22"/>
        </w:rPr>
        <w:t xml:space="preserve">; </w:t>
      </w:r>
      <w:r w:rsidR="001E073E" w:rsidRPr="00DB03AB">
        <w:rPr>
          <w:sz w:val="22"/>
          <w:szCs w:val="22"/>
        </w:rPr>
        <w:t xml:space="preserve"> </w:t>
      </w:r>
    </w:p>
    <w:p w:rsidR="000A3230" w:rsidRDefault="006353EF" w:rsidP="001D586F">
      <w:pPr>
        <w:numPr>
          <w:ilvl w:val="1"/>
          <w:numId w:val="6"/>
        </w:numPr>
        <w:rPr>
          <w:sz w:val="22"/>
          <w:szCs w:val="22"/>
        </w:rPr>
      </w:pPr>
      <w:r>
        <w:rPr>
          <w:sz w:val="22"/>
          <w:szCs w:val="22"/>
        </w:rPr>
        <w:t>P</w:t>
      </w:r>
      <w:r w:rsidR="001E073E" w:rsidRPr="00DB03AB">
        <w:rPr>
          <w:sz w:val="22"/>
          <w:szCs w:val="22"/>
        </w:rPr>
        <w:t xml:space="preserve">roposed and/or actual changes </w:t>
      </w:r>
      <w:r w:rsidR="000A3230">
        <w:rPr>
          <w:sz w:val="22"/>
          <w:szCs w:val="22"/>
        </w:rPr>
        <w:t>in price,</w:t>
      </w:r>
      <w:r w:rsidR="001E073E" w:rsidRPr="00DB03AB">
        <w:rPr>
          <w:sz w:val="22"/>
          <w:szCs w:val="22"/>
        </w:rPr>
        <w:t xml:space="preserve"> service characteristics</w:t>
      </w:r>
      <w:r w:rsidR="000A3230">
        <w:rPr>
          <w:sz w:val="22"/>
          <w:szCs w:val="22"/>
        </w:rPr>
        <w:t>,</w:t>
      </w:r>
      <w:r w:rsidR="001E073E" w:rsidRPr="00DB03AB">
        <w:rPr>
          <w:sz w:val="22"/>
          <w:szCs w:val="22"/>
        </w:rPr>
        <w:t xml:space="preserve"> or other terms and conditions for any </w:t>
      </w:r>
      <w:r w:rsidR="001E073E" w:rsidRPr="00DB03AB">
        <w:rPr>
          <w:b/>
          <w:sz w:val="22"/>
          <w:szCs w:val="22"/>
        </w:rPr>
        <w:t>Listed Service(s)</w:t>
      </w:r>
      <w:r w:rsidR="000A3230">
        <w:rPr>
          <w:sz w:val="22"/>
          <w:szCs w:val="22"/>
        </w:rPr>
        <w:t xml:space="preserve">, or any analysis of how such proposed or actual change would or might affect supply, demand, cost, price, or profitability of any </w:t>
      </w:r>
      <w:r w:rsidR="000A3230">
        <w:rPr>
          <w:b/>
          <w:sz w:val="22"/>
          <w:szCs w:val="22"/>
        </w:rPr>
        <w:t>Listed Service</w:t>
      </w:r>
      <w:r w:rsidR="000A3230">
        <w:rPr>
          <w:sz w:val="22"/>
          <w:szCs w:val="22"/>
        </w:rPr>
        <w:t>;</w:t>
      </w:r>
      <w:r w:rsidR="001E073E" w:rsidRPr="00DB03AB">
        <w:rPr>
          <w:sz w:val="22"/>
          <w:szCs w:val="22"/>
        </w:rPr>
        <w:t xml:space="preserve"> </w:t>
      </w:r>
    </w:p>
    <w:p w:rsidR="000A3230" w:rsidRDefault="000A3230" w:rsidP="001D586F">
      <w:pPr>
        <w:numPr>
          <w:ilvl w:val="1"/>
          <w:numId w:val="6"/>
        </w:numPr>
        <w:rPr>
          <w:sz w:val="22"/>
          <w:szCs w:val="22"/>
        </w:rPr>
      </w:pPr>
      <w:r>
        <w:rPr>
          <w:sz w:val="22"/>
          <w:szCs w:val="22"/>
        </w:rPr>
        <w:t>A</w:t>
      </w:r>
      <w:r w:rsidR="001E073E" w:rsidRPr="00DB03AB">
        <w:rPr>
          <w:sz w:val="22"/>
          <w:szCs w:val="22"/>
        </w:rPr>
        <w:t xml:space="preserve">nalysis of service costs, revenues or profitability for any </w:t>
      </w:r>
      <w:r w:rsidR="001E073E" w:rsidRPr="00DB03AB">
        <w:rPr>
          <w:b/>
          <w:sz w:val="22"/>
          <w:szCs w:val="22"/>
        </w:rPr>
        <w:t>Listed Service(s)</w:t>
      </w:r>
      <w:r>
        <w:rPr>
          <w:sz w:val="22"/>
          <w:szCs w:val="22"/>
        </w:rPr>
        <w:t>.</w:t>
      </w:r>
      <w:r w:rsidR="001E073E" w:rsidRPr="00DB03AB">
        <w:rPr>
          <w:sz w:val="22"/>
          <w:szCs w:val="22"/>
        </w:rPr>
        <w:t xml:space="preserve"> </w:t>
      </w:r>
    </w:p>
    <w:p w:rsidR="00B41B92" w:rsidRPr="001D586F" w:rsidRDefault="00B41B92" w:rsidP="001D586F">
      <w:pPr>
        <w:ind w:left="720"/>
        <w:rPr>
          <w:sz w:val="22"/>
          <w:szCs w:val="22"/>
        </w:rPr>
      </w:pPr>
    </w:p>
    <w:p w:rsidR="006353EF" w:rsidRDefault="006353EF" w:rsidP="001D586F">
      <w:pPr>
        <w:ind w:left="360"/>
        <w:rPr>
          <w:sz w:val="22"/>
          <w:szCs w:val="22"/>
        </w:rPr>
      </w:pPr>
      <w:r>
        <w:rPr>
          <w:sz w:val="22"/>
          <w:szCs w:val="22"/>
        </w:rPr>
        <w:t>I</w:t>
      </w:r>
      <w:r w:rsidRPr="00DB03AB">
        <w:rPr>
          <w:sz w:val="22"/>
          <w:szCs w:val="22"/>
        </w:rPr>
        <w:t xml:space="preserve">ndicate (if not contained in the document itself) the date of preparation, and the name and title of each individual </w:t>
      </w:r>
      <w:r>
        <w:rPr>
          <w:sz w:val="22"/>
          <w:szCs w:val="22"/>
        </w:rPr>
        <w:t>involved in preparing</w:t>
      </w:r>
      <w:r w:rsidRPr="00DB03AB">
        <w:rPr>
          <w:sz w:val="22"/>
          <w:szCs w:val="22"/>
        </w:rPr>
        <w:t xml:space="preserve"> each document</w:t>
      </w:r>
      <w:r>
        <w:rPr>
          <w:sz w:val="22"/>
          <w:szCs w:val="22"/>
        </w:rPr>
        <w:t xml:space="preserve">;  </w:t>
      </w:r>
    </w:p>
    <w:p w:rsidR="006353EF" w:rsidRDefault="006353EF" w:rsidP="001D586F">
      <w:pPr>
        <w:ind w:left="360"/>
        <w:rPr>
          <w:sz w:val="22"/>
          <w:szCs w:val="22"/>
        </w:rPr>
      </w:pPr>
    </w:p>
    <w:p w:rsidR="00B41B92" w:rsidRPr="00DB03AB" w:rsidRDefault="00B41B92" w:rsidP="001D586F">
      <w:pPr>
        <w:ind w:left="360"/>
        <w:rPr>
          <w:sz w:val="22"/>
          <w:szCs w:val="22"/>
        </w:rPr>
      </w:pPr>
      <w:r>
        <w:rPr>
          <w:sz w:val="22"/>
          <w:szCs w:val="22"/>
        </w:rPr>
        <w:t>We also welcome other internal and external analyses or other data that CenturyLink believes will support its forbearance petition.</w:t>
      </w:r>
    </w:p>
    <w:p w:rsidR="001E073E" w:rsidRPr="00DB03AB" w:rsidRDefault="001E073E" w:rsidP="001E073E">
      <w:pPr>
        <w:ind w:left="360"/>
        <w:rPr>
          <w:sz w:val="22"/>
          <w:szCs w:val="22"/>
        </w:rPr>
      </w:pPr>
      <w:r w:rsidRPr="00DB03AB">
        <w:rPr>
          <w:sz w:val="22"/>
          <w:szCs w:val="22"/>
        </w:rPr>
        <w:br w:type="page"/>
      </w:r>
    </w:p>
    <w:p w:rsidR="001E073E" w:rsidRPr="001E073E" w:rsidRDefault="001E073E" w:rsidP="001E073E">
      <w:pPr>
        <w:jc w:val="center"/>
        <w:rPr>
          <w:b/>
          <w:caps/>
          <w:sz w:val="22"/>
          <w:szCs w:val="22"/>
        </w:rPr>
      </w:pPr>
      <w:r w:rsidRPr="00DB03AB" w:rsidDel="00EE7D15">
        <w:rPr>
          <w:sz w:val="22"/>
          <w:szCs w:val="22"/>
        </w:rPr>
        <w:t xml:space="preserve"> </w:t>
      </w:r>
      <w:r w:rsidRPr="00DB03AB">
        <w:rPr>
          <w:sz w:val="22"/>
          <w:szCs w:val="22"/>
        </w:rPr>
        <w:t xml:space="preserve"> </w:t>
      </w:r>
      <w:r w:rsidRPr="001E073E">
        <w:rPr>
          <w:b/>
          <w:caps/>
          <w:sz w:val="22"/>
          <w:szCs w:val="22"/>
        </w:rPr>
        <w:t>Attachment II</w:t>
      </w:r>
    </w:p>
    <w:p w:rsidR="001E073E" w:rsidRPr="00DB03AB" w:rsidRDefault="001E073E" w:rsidP="001E073E">
      <w:pPr>
        <w:jc w:val="center"/>
        <w:rPr>
          <w:b/>
          <w:sz w:val="22"/>
          <w:szCs w:val="22"/>
        </w:rPr>
      </w:pPr>
      <w:r w:rsidRPr="001E073E">
        <w:rPr>
          <w:b/>
          <w:caps/>
          <w:sz w:val="22"/>
          <w:szCs w:val="22"/>
        </w:rPr>
        <w:t>Services For Which Relief Is Being Sought</w:t>
      </w:r>
      <w:r w:rsidRPr="00DB03AB">
        <w:rPr>
          <w:rStyle w:val="FootnoteReference"/>
          <w:b/>
          <w:sz w:val="22"/>
          <w:szCs w:val="22"/>
        </w:rPr>
        <w:footnoteReference w:id="7"/>
      </w:r>
    </w:p>
    <w:p w:rsidR="001E073E" w:rsidRPr="00DB03AB" w:rsidRDefault="001E073E" w:rsidP="001E073E">
      <w:pPr>
        <w:ind w:firstLine="720"/>
        <w:jc w:val="center"/>
        <w:rPr>
          <w:b/>
          <w:sz w:val="22"/>
          <w:szCs w:val="22"/>
        </w:rPr>
      </w:pPr>
      <w:r w:rsidRPr="00DB03AB">
        <w:rPr>
          <w:b/>
          <w:sz w:val="22"/>
          <w:szCs w:val="22"/>
        </w:rPr>
        <w:t xml:space="preserve"> </w:t>
      </w:r>
    </w:p>
    <w:p w:rsidR="001E073E" w:rsidRPr="00DB03AB" w:rsidRDefault="001E073E" w:rsidP="001E073E">
      <w:pPr>
        <w:rPr>
          <w:b/>
          <w:sz w:val="22"/>
          <w:szCs w:val="22"/>
        </w:rPr>
      </w:pPr>
    </w:p>
    <w:p w:rsidR="001E073E" w:rsidRPr="00DB03AB" w:rsidRDefault="001E073E" w:rsidP="001E073E">
      <w:pPr>
        <w:numPr>
          <w:ilvl w:val="0"/>
          <w:numId w:val="5"/>
        </w:numPr>
        <w:rPr>
          <w:sz w:val="22"/>
          <w:szCs w:val="22"/>
        </w:rPr>
      </w:pPr>
      <w:r w:rsidRPr="00DB03AB">
        <w:rPr>
          <w:sz w:val="22"/>
          <w:szCs w:val="22"/>
        </w:rPr>
        <w:t xml:space="preserve">Ethernet Private Line (EPL): </w:t>
      </w:r>
      <w:r>
        <w:rPr>
          <w:sz w:val="22"/>
          <w:szCs w:val="22"/>
        </w:rPr>
        <w:t xml:space="preserve"> </w:t>
      </w:r>
      <w:r w:rsidRPr="00DB03AB">
        <w:rPr>
          <w:sz w:val="22"/>
          <w:szCs w:val="22"/>
        </w:rPr>
        <w:t>EPL is an Ethernet-based service that provides high-speed point-to-point connectivity. Available in port speeds starting at 10Mbps.</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Ethernet Virtual Private Line (EVPL):</w:t>
      </w:r>
      <w:r>
        <w:rPr>
          <w:sz w:val="22"/>
          <w:szCs w:val="22"/>
        </w:rPr>
        <w:t xml:space="preserve"> </w:t>
      </w:r>
      <w:r w:rsidRPr="00DB03AB">
        <w:rPr>
          <w:sz w:val="22"/>
          <w:szCs w:val="22"/>
        </w:rPr>
        <w:t xml:space="preserve"> EVPL is an Ethernet-based service that provides high-speed multi-point and Local Area Network (LAN) connectivity. </w:t>
      </w:r>
      <w:r>
        <w:rPr>
          <w:sz w:val="22"/>
          <w:szCs w:val="22"/>
        </w:rPr>
        <w:t xml:space="preserve"> </w:t>
      </w:r>
      <w:r w:rsidRPr="00DB03AB">
        <w:rPr>
          <w:sz w:val="22"/>
          <w:szCs w:val="22"/>
        </w:rPr>
        <w:t>Available in port speeds starting at 10 Mbps.</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Local Transport – Synchronous Optical Channel (Local Transport):</w:t>
      </w:r>
      <w:r>
        <w:rPr>
          <w:sz w:val="22"/>
          <w:szCs w:val="22"/>
        </w:rPr>
        <w:t xml:space="preserve"> </w:t>
      </w:r>
      <w:r w:rsidRPr="00DB03AB">
        <w:rPr>
          <w:sz w:val="22"/>
          <w:szCs w:val="22"/>
        </w:rPr>
        <w:t xml:space="preserve"> Local Transport provides a two-way voice- frequency transmission path permitting the transport of calls in the originating direction and in the terminating direction, but not simultaneously. </w:t>
      </w:r>
      <w:r>
        <w:rPr>
          <w:sz w:val="22"/>
          <w:szCs w:val="22"/>
        </w:rPr>
        <w:t xml:space="preserve"> </w:t>
      </w:r>
      <w:r w:rsidRPr="00DB03AB">
        <w:rPr>
          <w:sz w:val="22"/>
          <w:szCs w:val="22"/>
        </w:rPr>
        <w:t>Available in speeds starting at OC-3.</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 xml:space="preserve">Synchronous Optical Channel Services (SOCS): </w:t>
      </w:r>
      <w:r>
        <w:rPr>
          <w:sz w:val="22"/>
          <w:szCs w:val="22"/>
        </w:rPr>
        <w:t xml:space="preserve"> </w:t>
      </w:r>
      <w:r w:rsidRPr="00DB03AB">
        <w:rPr>
          <w:sz w:val="22"/>
          <w:szCs w:val="22"/>
        </w:rPr>
        <w:t>SOCS provides dedicated transport utilizing SONET transmission standards. Available in speeds starting at OC-3.</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 xml:space="preserve">Custom Connect: </w:t>
      </w:r>
      <w:r>
        <w:rPr>
          <w:sz w:val="22"/>
          <w:szCs w:val="22"/>
        </w:rPr>
        <w:t xml:space="preserve"> </w:t>
      </w:r>
      <w:r w:rsidRPr="00DB03AB">
        <w:rPr>
          <w:sz w:val="22"/>
          <w:szCs w:val="22"/>
        </w:rPr>
        <w:t>Custom Connect provides a connection to the Optical Network and a customer's designated premises.</w:t>
      </w:r>
      <w:r>
        <w:rPr>
          <w:sz w:val="22"/>
          <w:szCs w:val="22"/>
        </w:rPr>
        <w:t xml:space="preserve"> </w:t>
      </w:r>
      <w:r w:rsidRPr="00DB03AB">
        <w:rPr>
          <w:sz w:val="22"/>
          <w:szCs w:val="22"/>
        </w:rPr>
        <w:t xml:space="preserve"> Available in speeds starting at OC-3.</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Frame Relay:</w:t>
      </w:r>
      <w:r>
        <w:rPr>
          <w:sz w:val="22"/>
          <w:szCs w:val="22"/>
        </w:rPr>
        <w:t xml:space="preserve"> </w:t>
      </w:r>
      <w:r w:rsidRPr="00DB03AB">
        <w:rPr>
          <w:sz w:val="22"/>
          <w:szCs w:val="22"/>
        </w:rPr>
        <w:t xml:space="preserve"> Frame Relay is a connection-oriented, packet-switched data service that allows for the interconnection of LAN or other compatible end user customer premises equipment.</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 xml:space="preserve">ATM: </w:t>
      </w:r>
      <w:r>
        <w:rPr>
          <w:sz w:val="22"/>
          <w:szCs w:val="22"/>
        </w:rPr>
        <w:t xml:space="preserve"> </w:t>
      </w:r>
      <w:r w:rsidRPr="00DB03AB">
        <w:rPr>
          <w:sz w:val="22"/>
          <w:szCs w:val="22"/>
        </w:rPr>
        <w:t>ATM is a connection-oriented network service used to transport bandwidth intensive data, voice and video applications among multiple locations.</w:t>
      </w:r>
    </w:p>
    <w:p w:rsidR="001E073E" w:rsidRPr="00DB03AB" w:rsidRDefault="001E073E" w:rsidP="001E073E">
      <w:pPr>
        <w:ind w:firstLine="720"/>
        <w:rPr>
          <w:sz w:val="22"/>
          <w:szCs w:val="22"/>
        </w:rPr>
      </w:pPr>
    </w:p>
    <w:p w:rsidR="001E073E" w:rsidRPr="00DB03AB" w:rsidRDefault="001E073E" w:rsidP="001E073E">
      <w:pPr>
        <w:numPr>
          <w:ilvl w:val="0"/>
          <w:numId w:val="5"/>
        </w:numPr>
        <w:rPr>
          <w:sz w:val="22"/>
          <w:szCs w:val="22"/>
        </w:rPr>
      </w:pPr>
      <w:r w:rsidRPr="00DB03AB">
        <w:rPr>
          <w:sz w:val="22"/>
          <w:szCs w:val="22"/>
        </w:rPr>
        <w:t xml:space="preserve">Video Transmission: </w:t>
      </w:r>
      <w:r>
        <w:rPr>
          <w:sz w:val="22"/>
          <w:szCs w:val="22"/>
        </w:rPr>
        <w:t xml:space="preserve"> </w:t>
      </w:r>
      <w:r w:rsidRPr="00DB03AB">
        <w:rPr>
          <w:sz w:val="22"/>
          <w:szCs w:val="22"/>
        </w:rPr>
        <w:t>Video Transmission provides one-way transmission capability to deliver a video signal. Available in speeds starting at 19.4 Mbps.</w:t>
      </w:r>
    </w:p>
    <w:p w:rsidR="001E073E" w:rsidRPr="00DB03AB" w:rsidRDefault="001E073E" w:rsidP="001E073E">
      <w:pPr>
        <w:rPr>
          <w:sz w:val="22"/>
          <w:szCs w:val="22"/>
        </w:rPr>
      </w:pPr>
    </w:p>
    <w:p w:rsidR="001E073E" w:rsidRPr="00DB03AB" w:rsidRDefault="001E073E" w:rsidP="001E073E">
      <w:pPr>
        <w:numPr>
          <w:ilvl w:val="0"/>
          <w:numId w:val="5"/>
        </w:numPr>
        <w:jc w:val="both"/>
        <w:rPr>
          <w:sz w:val="22"/>
          <w:szCs w:val="22"/>
        </w:rPr>
      </w:pPr>
      <w:r w:rsidRPr="00DB03AB">
        <w:rPr>
          <w:sz w:val="22"/>
          <w:szCs w:val="22"/>
        </w:rPr>
        <w:t xml:space="preserve">Wave: </w:t>
      </w:r>
      <w:r>
        <w:rPr>
          <w:sz w:val="22"/>
          <w:szCs w:val="22"/>
        </w:rPr>
        <w:t xml:space="preserve"> </w:t>
      </w:r>
      <w:r w:rsidRPr="00DB03AB">
        <w:rPr>
          <w:sz w:val="22"/>
          <w:szCs w:val="22"/>
        </w:rPr>
        <w:t xml:space="preserve">Wave is a long-haul wavelength service utilizing Wavelength Division Multiplexing (WDM) technology. </w:t>
      </w:r>
      <w:r>
        <w:rPr>
          <w:sz w:val="22"/>
          <w:szCs w:val="22"/>
        </w:rPr>
        <w:t xml:space="preserve"> </w:t>
      </w:r>
      <w:r w:rsidRPr="00DB03AB">
        <w:rPr>
          <w:sz w:val="22"/>
          <w:szCs w:val="22"/>
        </w:rPr>
        <w:t>It is a high-speed, multi-protocol data transport service enabling two or more optical signals having different wavelengths simultaneously transmitted in the same direction over one strand of fiber. Available in speeds starting at 2.5 Gbps.</w:t>
      </w:r>
    </w:p>
    <w:p w:rsidR="001E073E" w:rsidRPr="00DB03AB" w:rsidRDefault="001E073E" w:rsidP="001E073E">
      <w:pPr>
        <w:pStyle w:val="ListParagraph"/>
        <w:rPr>
          <w:sz w:val="22"/>
          <w:szCs w:val="22"/>
        </w:rPr>
      </w:pPr>
    </w:p>
    <w:p w:rsidR="0094364A" w:rsidRPr="001E073E" w:rsidRDefault="001E073E" w:rsidP="001E073E">
      <w:pPr>
        <w:numPr>
          <w:ilvl w:val="0"/>
          <w:numId w:val="5"/>
        </w:numPr>
        <w:jc w:val="both"/>
        <w:rPr>
          <w:sz w:val="22"/>
          <w:szCs w:val="22"/>
        </w:rPr>
      </w:pPr>
      <w:r w:rsidRPr="00DB03AB">
        <w:rPr>
          <w:sz w:val="22"/>
          <w:szCs w:val="22"/>
        </w:rPr>
        <w:t>Functionally equivalent offerings</w:t>
      </w:r>
    </w:p>
    <w:p w:rsidR="000C4A47" w:rsidRDefault="000C4A47">
      <w:pPr>
        <w:rPr>
          <w:sz w:val="22"/>
          <w:szCs w:val="22"/>
        </w:rPr>
      </w:pPr>
    </w:p>
    <w:sectPr w:rsidR="000C4A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03" w:rsidRDefault="001E7B03">
      <w:r>
        <w:separator/>
      </w:r>
    </w:p>
  </w:endnote>
  <w:endnote w:type="continuationSeparator" w:id="0">
    <w:p w:rsidR="001E7B03" w:rsidRDefault="001E7B03">
      <w:r>
        <w:continuationSeparator/>
      </w:r>
    </w:p>
  </w:endnote>
  <w:endnote w:type="continuationNotice" w:id="1">
    <w:p w:rsidR="001E7B03" w:rsidRDefault="001E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B7" w:rsidRDefault="00B54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44B7" w:rsidRDefault="00B54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B7" w:rsidRDefault="00B54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802">
      <w:rPr>
        <w:rStyle w:val="PageNumber"/>
        <w:noProof/>
      </w:rPr>
      <w:t>2</w:t>
    </w:r>
    <w:r>
      <w:rPr>
        <w:rStyle w:val="PageNumber"/>
      </w:rPr>
      <w:fldChar w:fldCharType="end"/>
    </w:r>
  </w:p>
  <w:p w:rsidR="00B544B7" w:rsidRDefault="00B54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81" w:rsidRDefault="00D0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03" w:rsidRDefault="001E7B03">
      <w:r>
        <w:separator/>
      </w:r>
    </w:p>
  </w:footnote>
  <w:footnote w:type="continuationSeparator" w:id="0">
    <w:p w:rsidR="001E7B03" w:rsidRDefault="001E7B03">
      <w:r>
        <w:continuationSeparator/>
      </w:r>
    </w:p>
  </w:footnote>
  <w:footnote w:type="continuationNotice" w:id="1">
    <w:p w:rsidR="001E7B03" w:rsidRDefault="001E7B03"/>
  </w:footnote>
  <w:footnote w:id="2">
    <w:p w:rsidR="00660362" w:rsidRPr="00756DB9" w:rsidRDefault="00660362" w:rsidP="00660362">
      <w:pPr>
        <w:pStyle w:val="FootnoteText"/>
        <w:tabs>
          <w:tab w:val="clear" w:pos="720"/>
          <w:tab w:val="left" w:pos="360"/>
        </w:tabs>
      </w:pPr>
      <w:r w:rsidRPr="00756DB9">
        <w:rPr>
          <w:rStyle w:val="FootnoteReference"/>
        </w:rPr>
        <w:footnoteRef/>
      </w:r>
      <w:r w:rsidRPr="00756DB9">
        <w:t xml:space="preserve"> </w:t>
      </w:r>
      <w:r w:rsidRPr="00756DB9">
        <w:rPr>
          <w:i/>
        </w:rPr>
        <w:t xml:space="preserve">See </w:t>
      </w:r>
      <w:r w:rsidRPr="00756DB9">
        <w:t>47 U.S.C. § 160.</w:t>
      </w:r>
    </w:p>
  </w:footnote>
  <w:footnote w:id="3">
    <w:p w:rsidR="00660362" w:rsidRPr="00756DB9" w:rsidRDefault="00660362" w:rsidP="00660362">
      <w:pPr>
        <w:pStyle w:val="FootnoteText"/>
        <w:rPr>
          <w:snapToGrid w:val="0"/>
        </w:rPr>
      </w:pPr>
      <w:r w:rsidRPr="00756DB9">
        <w:rPr>
          <w:rStyle w:val="FootnoteReference"/>
        </w:rPr>
        <w:footnoteRef/>
      </w:r>
      <w:r w:rsidRPr="00756DB9">
        <w:t xml:space="preserve"> Petition of CenturyLink for Forbearance Pursuant to 47 U.S.C. §160(c) from Dominant Carrier Regulation and </w:t>
      </w:r>
      <w:r w:rsidRPr="00756DB9">
        <w:rPr>
          <w:i/>
        </w:rPr>
        <w:t>Computer Inquiry</w:t>
      </w:r>
      <w:r w:rsidRPr="00756DB9">
        <w:t xml:space="preserve"> Tariffing Requirements on Enterprise Broadband Services, WC Docket No. 14-9</w:t>
      </w:r>
      <w:r w:rsidR="00B34D93">
        <w:t>, at v</w:t>
      </w:r>
      <w:r w:rsidRPr="00756DB9">
        <w:t xml:space="preserve"> (filed Dec. 13, 2013) (CenturyLink </w:t>
      </w:r>
      <w:r w:rsidR="00C666A2">
        <w:t xml:space="preserve">Forbearance </w:t>
      </w:r>
      <w:r w:rsidRPr="00756DB9">
        <w:t xml:space="preserve">Petition).  </w:t>
      </w:r>
      <w:r w:rsidR="00875C98">
        <w:t xml:space="preserve">CenturyLink also submitted an alternative petition for interim waiver in this docket.  </w:t>
      </w:r>
      <w:r w:rsidR="00875C98" w:rsidRPr="00756DB9">
        <w:t xml:space="preserve">CenturyLink’s Alternative Petition for Interim Waiver of Dominant Carrier Regulation and </w:t>
      </w:r>
      <w:r w:rsidR="00875C98" w:rsidRPr="00756DB9">
        <w:rPr>
          <w:i/>
        </w:rPr>
        <w:t>Computer Inquiry</w:t>
      </w:r>
      <w:r w:rsidR="00875C98" w:rsidRPr="00756DB9">
        <w:t xml:space="preserve"> Tariffing Requirements Imposed on Enterprise Broadband Services, WC Docket No. 14-9</w:t>
      </w:r>
      <w:r w:rsidR="00875C98" w:rsidRPr="00756DB9">
        <w:rPr>
          <w:b/>
        </w:rPr>
        <w:t xml:space="preserve"> </w:t>
      </w:r>
      <w:r w:rsidR="00875C98" w:rsidRPr="00756DB9">
        <w:t>(filed Dec. 13, 2013)</w:t>
      </w:r>
      <w:r w:rsidR="00875C98">
        <w:t xml:space="preserve">.  </w:t>
      </w:r>
      <w:r w:rsidRPr="00756DB9">
        <w:t xml:space="preserve">In 2012, </w:t>
      </w:r>
      <w:r w:rsidRPr="00756DB9">
        <w:rPr>
          <w:snapToGrid w:val="0"/>
        </w:rPr>
        <w:t>CenturyLink submitted a similar</w:t>
      </w:r>
      <w:r w:rsidR="00875C98">
        <w:rPr>
          <w:snapToGrid w:val="0"/>
        </w:rPr>
        <w:t xml:space="preserve"> forbearance</w:t>
      </w:r>
      <w:r w:rsidRPr="00756DB9">
        <w:rPr>
          <w:snapToGrid w:val="0"/>
        </w:rPr>
        <w:t xml:space="preserve"> petition to the Commission.  </w:t>
      </w:r>
      <w:r w:rsidRPr="00756DB9">
        <w:t xml:space="preserve">Petition of CenturyLink for Forbearance Pursuant to 47 U.S.C. §160(c) from Dominant Carrier and Certain </w:t>
      </w:r>
      <w:r w:rsidRPr="00756DB9">
        <w:rPr>
          <w:i/>
        </w:rPr>
        <w:t>Computer</w:t>
      </w:r>
      <w:r w:rsidRPr="00756DB9">
        <w:t xml:space="preserve"> </w:t>
      </w:r>
      <w:r w:rsidRPr="00756DB9">
        <w:rPr>
          <w:i/>
        </w:rPr>
        <w:t>Inquiry</w:t>
      </w:r>
      <w:r w:rsidRPr="00756DB9">
        <w:t xml:space="preserve"> Requirements on Enterprise Broadband Services, WC Docket No. 12-60 (filed Feb. 23, 2012) (2012 CenturyLink Petition).  The </w:t>
      </w:r>
      <w:r w:rsidRPr="00756DB9">
        <w:rPr>
          <w:snapToGrid w:val="0"/>
        </w:rPr>
        <w:t>Wireline Competition Bureau (WCB) issued data requests to assist the Commission in evaluating CenturyLink’s request.</w:t>
      </w:r>
      <w:r w:rsidRPr="00756DB9">
        <w:rPr>
          <w:i/>
          <w:snapToGrid w:val="0"/>
        </w:rPr>
        <w:t xml:space="preserve">  Competition Data Requested in CenturyLink Forbearance Petition</w:t>
      </w:r>
      <w:r w:rsidRPr="00756DB9">
        <w:rPr>
          <w:snapToGrid w:val="0"/>
        </w:rPr>
        <w:t xml:space="preserve">, Public Notice, WC Docket No. 12-60, 28 FCC Rcd 2075 (Wireline Comp. Bur. 2013);  </w:t>
      </w:r>
      <w:r w:rsidRPr="00756DB9">
        <w:t xml:space="preserve">Letter from Julie A. Veach, Chief, Wireline Competition Bureau, Federal Communications Commission, to Craig J. Brown, Associate General Counsel, CenturyLink, Inc., WC Docket No. 12-60, DA 13-339 (Mar. 5, 2013).  </w:t>
      </w:r>
      <w:r w:rsidRPr="00756DB9">
        <w:rPr>
          <w:snapToGrid w:val="0"/>
        </w:rPr>
        <w:t xml:space="preserve">WCB subsequently granted CenturyLink’s request to withdraw its petition and WCB withdrew its data request. </w:t>
      </w:r>
      <w:r w:rsidRPr="00756DB9">
        <w:t xml:space="preserve"> </w:t>
      </w:r>
      <w:r w:rsidRPr="00756DB9">
        <w:rPr>
          <w:i/>
          <w:snapToGrid w:val="0"/>
        </w:rPr>
        <w:t>Petition of CenturyLink for Forbearance Pursuant to 47 U.S.C. § 160(c) from Dominant Carrier and Certain Computer Inquiry Requirements on Enterprise Broadband Services</w:t>
      </w:r>
      <w:r w:rsidRPr="00756DB9">
        <w:rPr>
          <w:snapToGrid w:val="0"/>
        </w:rPr>
        <w:t xml:space="preserve">, WC Docket No. 12-60, </w:t>
      </w:r>
      <w:r w:rsidR="00B34D93">
        <w:rPr>
          <w:snapToGrid w:val="0"/>
        </w:rPr>
        <w:t xml:space="preserve">Order, </w:t>
      </w:r>
      <w:r w:rsidRPr="00756DB9">
        <w:rPr>
          <w:snapToGrid w:val="0"/>
        </w:rPr>
        <w:t xml:space="preserve">28 FCC Rcd 3075 (Wireline Comp. Bur. 2013).  </w:t>
      </w:r>
    </w:p>
  </w:footnote>
  <w:footnote w:id="4">
    <w:p w:rsidR="006D04B6" w:rsidRPr="006D04B6" w:rsidRDefault="006D04B6">
      <w:pPr>
        <w:pStyle w:val="FootnoteText"/>
      </w:pPr>
      <w:r>
        <w:rPr>
          <w:rStyle w:val="FootnoteReference"/>
        </w:rPr>
        <w:footnoteRef/>
      </w:r>
      <w:r>
        <w:rPr>
          <w:rFonts w:ascii="Verdana" w:hAnsi="Verdana"/>
          <w:color w:val="000000"/>
          <w:sz w:val="19"/>
          <w:szCs w:val="19"/>
        </w:rPr>
        <w:t xml:space="preserve"> </w:t>
      </w:r>
      <w:r w:rsidRPr="001D586F">
        <w:rPr>
          <w:i/>
          <w:color w:val="000000"/>
        </w:rPr>
        <w:t>Petition to Establish Procedural Requirements to Govern Proceedings for Forbearance Under Section 10 of the Communications Act of 1934, as Amended</w:t>
      </w:r>
      <w:r w:rsidRPr="001D586F">
        <w:rPr>
          <w:color w:val="000000"/>
        </w:rPr>
        <w:t xml:space="preserve">, </w:t>
      </w:r>
      <w:r w:rsidR="00B34D93" w:rsidRPr="00B34D93">
        <w:rPr>
          <w:color w:val="000000"/>
        </w:rPr>
        <w:t>WC Docket No. 07-267</w:t>
      </w:r>
      <w:r w:rsidR="00B34D93">
        <w:rPr>
          <w:color w:val="000000"/>
        </w:rPr>
        <w:t xml:space="preserve">, </w:t>
      </w:r>
      <w:r w:rsidRPr="001D586F">
        <w:rPr>
          <w:color w:val="000000"/>
        </w:rPr>
        <w:t>Report and Order, 24 FCC Rcd 9543, 9554-57 (2009).</w:t>
      </w:r>
    </w:p>
  </w:footnote>
  <w:footnote w:id="5">
    <w:p w:rsidR="00B544B7" w:rsidRDefault="00B544B7">
      <w:pPr>
        <w:pStyle w:val="FootnoteText"/>
        <w:spacing w:after="120"/>
        <w:rPr>
          <w:szCs w:val="22"/>
        </w:rPr>
      </w:pPr>
      <w:r>
        <w:rPr>
          <w:rStyle w:val="FootnoteReference"/>
          <w:szCs w:val="22"/>
        </w:rPr>
        <w:footnoteRef/>
      </w:r>
      <w:r>
        <w:rPr>
          <w:szCs w:val="22"/>
        </w:rPr>
        <w:t xml:space="preserve"> </w:t>
      </w:r>
      <w:r>
        <w:rPr>
          <w:i/>
        </w:rPr>
        <w:t xml:space="preserve">See </w:t>
      </w:r>
      <w:r w:rsidR="0094364A">
        <w:rPr>
          <w:i/>
        </w:rPr>
        <w:t>CenturyLink’s Petition</w:t>
      </w:r>
      <w:r>
        <w:rPr>
          <w:i/>
        </w:rPr>
        <w:t xml:space="preserve"> for Forbearance Pursuant to 47 U.S.C. § 160(c) from Dominant Carrier and Certain </w:t>
      </w:r>
      <w:r>
        <w:t xml:space="preserve">Computer Inquiry </w:t>
      </w:r>
      <w:r>
        <w:rPr>
          <w:i/>
        </w:rPr>
        <w:t>Requirements on Enterprise Broadband Services</w:t>
      </w:r>
      <w:r>
        <w:t xml:space="preserve">, WC Docket No. </w:t>
      </w:r>
      <w:r w:rsidR="0094364A">
        <w:t>14-9</w:t>
      </w:r>
      <w:r>
        <w:t xml:space="preserve">, Protective Order, </w:t>
      </w:r>
      <w:r w:rsidR="00C666A2">
        <w:t>29 FCC Rcd 254</w:t>
      </w:r>
      <w:r>
        <w:t xml:space="preserve"> (201</w:t>
      </w:r>
      <w:r w:rsidR="00C666A2">
        <w:t>4</w:t>
      </w:r>
      <w:r>
        <w:t xml:space="preserve">); </w:t>
      </w:r>
      <w:r w:rsidR="00C666A2">
        <w:rPr>
          <w:i/>
        </w:rPr>
        <w:t xml:space="preserve">CenturyLink’s </w:t>
      </w:r>
      <w:r>
        <w:rPr>
          <w:i/>
        </w:rPr>
        <w:t xml:space="preserve">Petition for Forbearance Pursuant to 47 U.S.C. § 160(c) from Dominant Carrier and Certain </w:t>
      </w:r>
      <w:r>
        <w:t xml:space="preserve">Computer Inquiry </w:t>
      </w:r>
      <w:r>
        <w:rPr>
          <w:i/>
        </w:rPr>
        <w:t>Requirements on Enterprise Broadband Services</w:t>
      </w:r>
      <w:r>
        <w:t xml:space="preserve">, WC Docket No. </w:t>
      </w:r>
      <w:r w:rsidR="00C666A2">
        <w:t>14-9</w:t>
      </w:r>
      <w:r>
        <w:t xml:space="preserve">, Second Protective Order, </w:t>
      </w:r>
      <w:r w:rsidR="00C666A2">
        <w:t>29 FCC Rcd 2200</w:t>
      </w:r>
      <w:r>
        <w:t xml:space="preserve"> (</w:t>
      </w:r>
      <w:r w:rsidR="00C666A2">
        <w:t>2014)</w:t>
      </w:r>
      <w:r>
        <w:t>.</w:t>
      </w:r>
    </w:p>
  </w:footnote>
  <w:footnote w:id="6">
    <w:p w:rsidR="001E073E" w:rsidRPr="00FF51E3" w:rsidRDefault="001E073E" w:rsidP="001E073E">
      <w:pPr>
        <w:pStyle w:val="FootnoteText"/>
      </w:pPr>
      <w:r>
        <w:rPr>
          <w:rStyle w:val="FootnoteReference"/>
        </w:rPr>
        <w:footnoteRef/>
      </w:r>
      <w:r>
        <w:t xml:space="preserve"> </w:t>
      </w:r>
      <w:r w:rsidRPr="00FF51E3">
        <w:t xml:space="preserve">CenturyLink’s response to Request </w:t>
      </w:r>
      <w:r>
        <w:t>7(</w:t>
      </w:r>
      <w:r w:rsidRPr="00FF51E3">
        <w:t>c</w:t>
      </w:r>
      <w:r>
        <w:t>)</w:t>
      </w:r>
      <w:r w:rsidRPr="00FF51E3">
        <w:t xml:space="preserve"> should include all counties in which the services were to be provided</w:t>
      </w:r>
      <w:r>
        <w:t>,</w:t>
      </w:r>
      <w:r w:rsidRPr="00FF51E3">
        <w:t xml:space="preserve"> even if some of the counties lie outside of the geographic area in which CenturyLink seeks relief.</w:t>
      </w:r>
    </w:p>
    <w:p w:rsidR="001E073E" w:rsidRDefault="001E073E" w:rsidP="001E073E">
      <w:pPr>
        <w:pStyle w:val="FootnoteText"/>
      </w:pPr>
    </w:p>
  </w:footnote>
  <w:footnote w:id="7">
    <w:p w:rsidR="001E073E" w:rsidRPr="00BC2F0F" w:rsidRDefault="001E073E" w:rsidP="001E073E">
      <w:pPr>
        <w:pStyle w:val="FootnoteText"/>
        <w:spacing w:after="120"/>
      </w:pPr>
      <w:r w:rsidRPr="006F619C">
        <w:rPr>
          <w:rStyle w:val="FootnoteReference"/>
        </w:rPr>
        <w:footnoteRef/>
      </w:r>
      <w:r>
        <w:t xml:space="preserve"> </w:t>
      </w:r>
      <w:r w:rsidRPr="006F619C">
        <w:t xml:space="preserve">This appendix is </w:t>
      </w:r>
      <w:r>
        <w:t>based on</w:t>
      </w:r>
      <w:r w:rsidRPr="006F619C">
        <w:t xml:space="preserve"> A</w:t>
      </w:r>
      <w:r>
        <w:t>ttachment 1</w:t>
      </w:r>
      <w:r w:rsidRPr="006F619C">
        <w:t xml:space="preserve"> of CenturyLink’s Petition</w:t>
      </w:r>
      <w:r>
        <w:t xml:space="preserve"> for Forbearance</w:t>
      </w:r>
      <w:r w:rsidRPr="006F619C">
        <w:t xml:space="preserve">. </w:t>
      </w:r>
      <w:r>
        <w:t xml:space="preserve"> CenturyLink Petition for Forbearance, WC Docket No. 14-9 (filed Dec. 13, 2013).</w:t>
      </w:r>
      <w:r w:rsidRPr="0020731C">
        <w:t xml:space="preserve"> </w:t>
      </w:r>
      <w:r w:rsidRPr="00BC2F0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81" w:rsidRDefault="00D06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81" w:rsidRDefault="00D06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B7" w:rsidRDefault="00D14802">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8.15pt;height:64.8pt;z-index:251657728" o:allowincell="f" filled="t" fillcolor="#3cc">
          <v:imagedata r:id="rId1" o:title="" gain="69719f"/>
          <w10:wrap type="topAndBottom"/>
        </v:shape>
      </w:pict>
    </w:r>
    <w:r w:rsidR="00B544B7">
      <w:rPr>
        <w:rFonts w:ascii="CG Times (W1)" w:hAnsi="CG Times (W1)"/>
        <w:sz w:val="28"/>
      </w:rPr>
      <w:t>Federal Communications Commission</w:t>
    </w:r>
  </w:p>
  <w:p w:rsidR="00B544B7" w:rsidRDefault="00B544B7">
    <w:pPr>
      <w:jc w:val="center"/>
    </w:pPr>
    <w:r>
      <w:rPr>
        <w:rFonts w:ascii="CG Times (W1)" w:hAnsi="CG Times (W1)"/>
        <w:sz w:val="28"/>
      </w:rPr>
      <w:t>Washington, D.C. 20554</w:t>
    </w:r>
  </w:p>
  <w:p w:rsidR="00B544B7" w:rsidRDefault="00B544B7">
    <w:pPr>
      <w:pStyle w:val="Header"/>
      <w:tabs>
        <w:tab w:val="clear" w:pos="4320"/>
      </w:tabs>
      <w:jc w:val="center"/>
      <w:rPr>
        <w:sz w:val="22"/>
      </w:rPr>
    </w:pPr>
  </w:p>
  <w:p w:rsidR="00B544B7" w:rsidRDefault="00B544B7">
    <w:pPr>
      <w:pStyle w:val="Header"/>
      <w:tabs>
        <w:tab w:val="clear" w:pos="4320"/>
      </w:tabs>
      <w:jc w:val="center"/>
      <w:rPr>
        <w:sz w:val="22"/>
      </w:rPr>
    </w:pPr>
  </w:p>
  <w:p w:rsidR="00B544B7" w:rsidRDefault="001F20E9">
    <w:pPr>
      <w:pStyle w:val="Header"/>
      <w:tabs>
        <w:tab w:val="clear" w:pos="4320"/>
      </w:tabs>
      <w:jc w:val="center"/>
      <w:rPr>
        <w:sz w:val="22"/>
      </w:rPr>
    </w:pPr>
    <w:r>
      <w:rPr>
        <w:sz w:val="22"/>
      </w:rPr>
      <w:t>September 12</w:t>
    </w:r>
    <w:r w:rsidR="00B544B7">
      <w:rPr>
        <w:sz w:val="22"/>
      </w:rPr>
      <w:t>, 201</w:t>
    </w:r>
    <w:r w:rsidR="00192D5F">
      <w:rPr>
        <w:sz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F4D10"/>
    <w:multiLevelType w:val="multilevel"/>
    <w:tmpl w:val="C57E1A04"/>
    <w:lvl w:ilvl="0">
      <w:start w:val="1"/>
      <w:numFmt w:val="upperLetter"/>
      <w:lvlText w:val="%1)"/>
      <w:lvlJc w:val="left"/>
      <w:pPr>
        <w:ind w:left="360" w:hanging="360"/>
      </w:pPr>
      <w:rPr>
        <w:rFonts w:cs="Times New Roman" w:hint="default"/>
      </w:rPr>
    </w:lvl>
    <w:lvl w:ilvl="1">
      <w:start w:val="1"/>
      <w:numFmt w:val="decimal"/>
      <w:lvlText w:val="%2)"/>
      <w:lvlJc w:val="left"/>
      <w:pPr>
        <w:ind w:left="81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A725872"/>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8F45BE"/>
    <w:multiLevelType w:val="multilevel"/>
    <w:tmpl w:val="C57E1A04"/>
    <w:lvl w:ilvl="0">
      <w:start w:val="1"/>
      <w:numFmt w:val="upperLetter"/>
      <w:lvlText w:val="%1)"/>
      <w:lvlJc w:val="left"/>
      <w:pPr>
        <w:ind w:left="360" w:hanging="360"/>
      </w:pPr>
      <w:rPr>
        <w:rFonts w:cs="Times New Roman" w:hint="default"/>
      </w:rPr>
    </w:lvl>
    <w:lvl w:ilvl="1">
      <w:start w:val="1"/>
      <w:numFmt w:val="decimal"/>
      <w:lvlText w:val="%2)"/>
      <w:lvlJc w:val="left"/>
      <w:pPr>
        <w:ind w:left="81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B562155"/>
    <w:multiLevelType w:val="multilevel"/>
    <w:tmpl w:val="41C0EA04"/>
    <w:lvl w:ilvl="0">
      <w:start w:val="1"/>
      <w:numFmt w:val="decimal"/>
      <w:pStyle w:val="specnumber"/>
      <w:lvlText w:val="%1)"/>
      <w:lvlJc w:val="left"/>
      <w:pPr>
        <w:tabs>
          <w:tab w:val="num" w:pos="900"/>
        </w:tabs>
        <w:ind w:left="900" w:hanging="360"/>
      </w:pPr>
      <w:rPr>
        <w:rFonts w:cs="Times New Roman" w:hint="default"/>
        <w:b w:val="0"/>
        <w:i w:val="0"/>
        <w:vertAlign w:val="baseline"/>
      </w:rPr>
    </w:lvl>
    <w:lvl w:ilvl="1">
      <w:start w:val="1"/>
      <w:numFmt w:val="lowerLetter"/>
      <w:lvlText w:val="%2)"/>
      <w:lvlJc w:val="left"/>
      <w:pPr>
        <w:tabs>
          <w:tab w:val="num" w:pos="1440"/>
        </w:tabs>
        <w:ind w:left="144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720"/>
        </w:tabs>
        <w:ind w:left="72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11093762"/>
    <w:multiLevelType w:val="multilevel"/>
    <w:tmpl w:val="D95885A0"/>
    <w:lvl w:ilvl="0">
      <w:start w:val="1"/>
      <w:numFmt w:val="decimal"/>
      <w:lvlText w:val="%1."/>
      <w:lvlJc w:val="left"/>
      <w:pPr>
        <w:tabs>
          <w:tab w:val="num" w:pos="900"/>
        </w:tabs>
        <w:ind w:left="900" w:hanging="360"/>
      </w:pPr>
      <w:rPr>
        <w:rFonts w:cs="Times New Roman" w:hint="default"/>
        <w:b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nsid w:val="12C00324"/>
    <w:multiLevelType w:val="multilevel"/>
    <w:tmpl w:val="F9DC0D6C"/>
    <w:lvl w:ilvl="0">
      <w:start w:val="1"/>
      <w:numFmt w:val="upperLetter"/>
      <w:lvlText w:val="%1)"/>
      <w:lvlJc w:val="left"/>
      <w:pPr>
        <w:ind w:left="360" w:hanging="360"/>
      </w:pPr>
      <w:rPr>
        <w:rFonts w:cs="Times New Roman" w:hint="default"/>
        <w:b w:val="0"/>
      </w:rPr>
    </w:lvl>
    <w:lvl w:ilvl="1">
      <w:start w:val="1"/>
      <w:numFmt w:val="decimal"/>
      <w:lvlText w:val="%2)"/>
      <w:lvlJc w:val="left"/>
      <w:pPr>
        <w:ind w:left="810" w:hanging="360"/>
      </w:pPr>
      <w:rPr>
        <w:rFonts w:cs="Times New Roman" w:hint="default"/>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310755E"/>
    <w:multiLevelType w:val="hybridMultilevel"/>
    <w:tmpl w:val="E496E72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EC0D7F"/>
    <w:multiLevelType w:val="hybridMultilevel"/>
    <w:tmpl w:val="182A8996"/>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0AA593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4266CC"/>
    <w:multiLevelType w:val="multilevel"/>
    <w:tmpl w:val="171CE8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15752B"/>
    <w:multiLevelType w:val="multilevel"/>
    <w:tmpl w:val="171CE8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F6EFB"/>
    <w:multiLevelType w:val="hybridMultilevel"/>
    <w:tmpl w:val="0B5E63B4"/>
    <w:lvl w:ilvl="0" w:tplc="6FB6F3AE">
      <w:start w:val="1"/>
      <w:numFmt w:val="decimal"/>
      <w:lvlText w:val="%1."/>
      <w:lvlJc w:val="left"/>
      <w:pPr>
        <w:tabs>
          <w:tab w:val="num" w:pos="900"/>
        </w:tabs>
        <w:ind w:left="90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C8661C"/>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AF63C6"/>
    <w:multiLevelType w:val="hybridMultilevel"/>
    <w:tmpl w:val="4C70B9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644837"/>
    <w:multiLevelType w:val="hybridMultilevel"/>
    <w:tmpl w:val="A9F6C656"/>
    <w:lvl w:ilvl="0" w:tplc="8C9838D4">
      <w:start w:val="1"/>
      <w:numFmt w:val="decimal"/>
      <w:pStyle w:val="ListNumber"/>
      <w:lvlText w:val="%1."/>
      <w:lvlJc w:val="left"/>
      <w:pPr>
        <w:tabs>
          <w:tab w:val="num" w:pos="720"/>
        </w:tabs>
        <w:ind w:left="720" w:hanging="360"/>
      </w:pPr>
      <w:rPr>
        <w:rFonts w:cs="Times New Roman" w:hint="default"/>
        <w:b w:val="0"/>
        <w:color w:val="auto"/>
      </w:rPr>
    </w:lvl>
    <w:lvl w:ilvl="1" w:tplc="3450712C">
      <w:start w:val="2"/>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8">
    <w:nsid w:val="44AC4D75"/>
    <w:multiLevelType w:val="hybridMultilevel"/>
    <w:tmpl w:val="4C70B9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7485C1A"/>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9114A3F"/>
    <w:multiLevelType w:val="multilevel"/>
    <w:tmpl w:val="A280762E"/>
    <w:styleLink w:val="centurylink"/>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FED060B"/>
    <w:multiLevelType w:val="multilevel"/>
    <w:tmpl w:val="C57E1A04"/>
    <w:lvl w:ilvl="0">
      <w:start w:val="1"/>
      <w:numFmt w:val="upperLetter"/>
      <w:lvlText w:val="%1)"/>
      <w:lvlJc w:val="left"/>
      <w:pPr>
        <w:ind w:left="360" w:hanging="360"/>
      </w:pPr>
      <w:rPr>
        <w:rFonts w:cs="Times New Roman" w:hint="default"/>
      </w:rPr>
    </w:lvl>
    <w:lvl w:ilvl="1">
      <w:start w:val="1"/>
      <w:numFmt w:val="decimal"/>
      <w:lvlText w:val="%2)"/>
      <w:lvlJc w:val="left"/>
      <w:pPr>
        <w:ind w:left="81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4">
    <w:nsid w:val="56526110"/>
    <w:multiLevelType w:val="hybridMultilevel"/>
    <w:tmpl w:val="790EA00A"/>
    <w:lvl w:ilvl="0" w:tplc="05029A3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82076E"/>
    <w:multiLevelType w:val="multilevel"/>
    <w:tmpl w:val="3DBE2B90"/>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810" w:hanging="360"/>
      </w:pPr>
      <w:rPr>
        <w:rFonts w:cs="Times New Roman" w:hint="default"/>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56B5266B"/>
    <w:multiLevelType w:val="hybridMultilevel"/>
    <w:tmpl w:val="62B2E3A8"/>
    <w:lvl w:ilvl="0" w:tplc="206C25D0">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5FFA4003"/>
    <w:multiLevelType w:val="hybridMultilevel"/>
    <w:tmpl w:val="D95885A0"/>
    <w:lvl w:ilvl="0" w:tplc="40102B40">
      <w:start w:val="1"/>
      <w:numFmt w:val="decimal"/>
      <w:lvlText w:val="%1."/>
      <w:lvlJc w:val="left"/>
      <w:pPr>
        <w:tabs>
          <w:tab w:val="num" w:pos="900"/>
        </w:tabs>
        <w:ind w:left="900" w:hanging="360"/>
      </w:pPr>
      <w:rPr>
        <w:rFonts w:cs="Times New Roman" w:hint="default"/>
        <w:b w:val="0"/>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nsid w:val="64013D0D"/>
    <w:multiLevelType w:val="hybridMultilevel"/>
    <w:tmpl w:val="B62A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1C3"/>
    <w:multiLevelType w:val="hybridMultilevel"/>
    <w:tmpl w:val="F3B02EDE"/>
    <w:lvl w:ilvl="0" w:tplc="27681A2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2">
    <w:nsid w:val="68CC2AA7"/>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B33417D"/>
    <w:multiLevelType w:val="hybridMultilevel"/>
    <w:tmpl w:val="4C70B9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CA364E8"/>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F63153"/>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58A7448"/>
    <w:multiLevelType w:val="multilevel"/>
    <w:tmpl w:val="CE5E98D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6932D62"/>
    <w:multiLevelType w:val="multilevel"/>
    <w:tmpl w:val="9D2ADE54"/>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96B5793"/>
    <w:multiLevelType w:val="multilevel"/>
    <w:tmpl w:val="4C8CFF0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CB745E1"/>
    <w:multiLevelType w:val="multilevel"/>
    <w:tmpl w:val="C57E1A04"/>
    <w:lvl w:ilvl="0">
      <w:start w:val="1"/>
      <w:numFmt w:val="upperLetter"/>
      <w:lvlText w:val="%1)"/>
      <w:lvlJc w:val="left"/>
      <w:pPr>
        <w:ind w:left="360" w:hanging="360"/>
      </w:pPr>
      <w:rPr>
        <w:rFonts w:cs="Times New Roman" w:hint="default"/>
      </w:rPr>
    </w:lvl>
    <w:lvl w:ilvl="1">
      <w:start w:val="1"/>
      <w:numFmt w:val="decimal"/>
      <w:lvlText w:val="%2)"/>
      <w:lvlJc w:val="left"/>
      <w:pPr>
        <w:ind w:left="81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7CD25F08"/>
    <w:multiLevelType w:val="hybridMultilevel"/>
    <w:tmpl w:val="348C30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DBD0079"/>
    <w:multiLevelType w:val="hybridMultilevel"/>
    <w:tmpl w:val="0570ED0A"/>
    <w:lvl w:ilvl="0" w:tplc="558AE80C">
      <w:start w:val="1"/>
      <w:numFmt w:val="decimal"/>
      <w:lvlText w:val="%1."/>
      <w:lvlJc w:val="left"/>
      <w:pPr>
        <w:tabs>
          <w:tab w:val="num" w:pos="720"/>
        </w:tabs>
        <w:ind w:left="72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DF258D"/>
    <w:multiLevelType w:val="hybridMultilevel"/>
    <w:tmpl w:val="F7482106"/>
    <w:lvl w:ilvl="0" w:tplc="4FA26F46">
      <w:start w:val="1"/>
      <w:numFmt w:val="decimal"/>
      <w:lvlText w:val="%1."/>
      <w:lvlJc w:val="left"/>
      <w:pPr>
        <w:tabs>
          <w:tab w:val="num" w:pos="900"/>
        </w:tabs>
        <w:ind w:left="90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7F8F568A"/>
    <w:multiLevelType w:val="multilevel"/>
    <w:tmpl w:val="3DBE2B90"/>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810" w:hanging="360"/>
      </w:pPr>
      <w:rPr>
        <w:rFonts w:cs="Times New Roman" w:hint="default"/>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7FB504A4"/>
    <w:multiLevelType w:val="multilevel"/>
    <w:tmpl w:val="C57E1A04"/>
    <w:lvl w:ilvl="0">
      <w:start w:val="1"/>
      <w:numFmt w:val="upperLetter"/>
      <w:lvlText w:val="%1)"/>
      <w:lvlJc w:val="left"/>
      <w:pPr>
        <w:ind w:left="360" w:hanging="360"/>
      </w:pPr>
      <w:rPr>
        <w:rFonts w:cs="Times New Roman" w:hint="default"/>
      </w:rPr>
    </w:lvl>
    <w:lvl w:ilvl="1">
      <w:start w:val="1"/>
      <w:numFmt w:val="decimal"/>
      <w:lvlText w:val="%2)"/>
      <w:lvlJc w:val="left"/>
      <w:pPr>
        <w:ind w:left="81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9"/>
  </w:num>
  <w:num w:numId="2">
    <w:abstractNumId w:val="0"/>
  </w:num>
  <w:num w:numId="3">
    <w:abstractNumId w:val="43"/>
  </w:num>
  <w:num w:numId="4">
    <w:abstractNumId w:val="15"/>
  </w:num>
  <w:num w:numId="5">
    <w:abstractNumId w:val="37"/>
  </w:num>
  <w:num w:numId="6">
    <w:abstractNumId w:val="11"/>
  </w:num>
  <w:num w:numId="7">
    <w:abstractNumId w:val="20"/>
  </w:num>
  <w:num w:numId="8">
    <w:abstractNumId w:val="2"/>
  </w:num>
  <w:num w:numId="9">
    <w:abstractNumId w:val="8"/>
  </w:num>
  <w:num w:numId="10">
    <w:abstractNumId w:val="27"/>
  </w:num>
  <w:num w:numId="11">
    <w:abstractNumId w:val="23"/>
  </w:num>
  <w:num w:numId="12">
    <w:abstractNumId w:val="28"/>
  </w:num>
  <w:num w:numId="13">
    <w:abstractNumId w:val="22"/>
  </w:num>
  <w:num w:numId="14">
    <w:abstractNumId w:val="17"/>
  </w:num>
  <w:num w:numId="15">
    <w:abstractNumId w:val="16"/>
  </w:num>
  <w:num w:numId="16">
    <w:abstractNumId w:val="4"/>
  </w:num>
  <w:num w:numId="17">
    <w:abstractNumId w:val="40"/>
  </w:num>
  <w:num w:numId="18">
    <w:abstractNumId w:val="7"/>
  </w:num>
  <w:num w:numId="19">
    <w:abstractNumId w:val="42"/>
  </w:num>
  <w:num w:numId="20">
    <w:abstractNumId w:val="18"/>
  </w:num>
  <w:num w:numId="21">
    <w:abstractNumId w:val="14"/>
  </w:num>
  <w:num w:numId="22">
    <w:abstractNumId w:val="33"/>
  </w:num>
  <w:num w:numId="23">
    <w:abstractNumId w:val="26"/>
  </w:num>
  <w:num w:numId="24">
    <w:abstractNumId w:val="31"/>
  </w:num>
  <w:num w:numId="25">
    <w:abstractNumId w:val="12"/>
  </w:num>
  <w:num w:numId="26">
    <w:abstractNumId w:val="41"/>
  </w:num>
  <w:num w:numId="27">
    <w:abstractNumId w:val="39"/>
  </w:num>
  <w:num w:numId="28">
    <w:abstractNumId w:val="24"/>
  </w:num>
  <w:num w:numId="29">
    <w:abstractNumId w:val="5"/>
  </w:num>
  <w:num w:numId="30">
    <w:abstractNumId w:val="9"/>
  </w:num>
  <w:num w:numId="31">
    <w:abstractNumId w:val="6"/>
  </w:num>
  <w:num w:numId="32">
    <w:abstractNumId w:val="25"/>
  </w:num>
  <w:num w:numId="33">
    <w:abstractNumId w:val="10"/>
  </w:num>
  <w:num w:numId="34">
    <w:abstractNumId w:val="44"/>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
  </w:num>
  <w:num w:numId="39">
    <w:abstractNumId w:val="3"/>
  </w:num>
  <w:num w:numId="40">
    <w:abstractNumId w:val="36"/>
  </w:num>
  <w:num w:numId="41">
    <w:abstractNumId w:val="13"/>
  </w:num>
  <w:num w:numId="42">
    <w:abstractNumId w:val="38"/>
  </w:num>
  <w:num w:numId="43">
    <w:abstractNumId w:val="34"/>
  </w:num>
  <w:num w:numId="44">
    <w:abstractNumId w:val="19"/>
  </w:num>
  <w:num w:numId="45">
    <w:abstractNumId w:val="35"/>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649"/>
    <w:rsid w:val="00002490"/>
    <w:rsid w:val="00074F2B"/>
    <w:rsid w:val="000A3230"/>
    <w:rsid w:val="000A7DB9"/>
    <w:rsid w:val="000C4A47"/>
    <w:rsid w:val="000D0B81"/>
    <w:rsid w:val="000F5721"/>
    <w:rsid w:val="001323B6"/>
    <w:rsid w:val="00192D5F"/>
    <w:rsid w:val="001C2962"/>
    <w:rsid w:val="001D586F"/>
    <w:rsid w:val="001E073E"/>
    <w:rsid w:val="001E7B03"/>
    <w:rsid w:val="001F20E9"/>
    <w:rsid w:val="002048D0"/>
    <w:rsid w:val="002612B1"/>
    <w:rsid w:val="00281229"/>
    <w:rsid w:val="00285718"/>
    <w:rsid w:val="002B14EA"/>
    <w:rsid w:val="002E403F"/>
    <w:rsid w:val="003225C4"/>
    <w:rsid w:val="00322BDB"/>
    <w:rsid w:val="00323EBE"/>
    <w:rsid w:val="00347EDA"/>
    <w:rsid w:val="003754AD"/>
    <w:rsid w:val="003978F8"/>
    <w:rsid w:val="003A4D90"/>
    <w:rsid w:val="003B6A65"/>
    <w:rsid w:val="003C1C9A"/>
    <w:rsid w:val="003C5649"/>
    <w:rsid w:val="003D202A"/>
    <w:rsid w:val="003D3904"/>
    <w:rsid w:val="0042213D"/>
    <w:rsid w:val="0045296C"/>
    <w:rsid w:val="004D28FE"/>
    <w:rsid w:val="005605A4"/>
    <w:rsid w:val="00574558"/>
    <w:rsid w:val="005A672A"/>
    <w:rsid w:val="005D3155"/>
    <w:rsid w:val="006353EF"/>
    <w:rsid w:val="00640B64"/>
    <w:rsid w:val="00660362"/>
    <w:rsid w:val="00670C6C"/>
    <w:rsid w:val="00674D4A"/>
    <w:rsid w:val="006A1893"/>
    <w:rsid w:val="006A5A6A"/>
    <w:rsid w:val="006D04B6"/>
    <w:rsid w:val="006F6FEC"/>
    <w:rsid w:val="007429C6"/>
    <w:rsid w:val="007841D8"/>
    <w:rsid w:val="007A3E02"/>
    <w:rsid w:val="007C6822"/>
    <w:rsid w:val="00817B04"/>
    <w:rsid w:val="00820EA1"/>
    <w:rsid w:val="00822DA6"/>
    <w:rsid w:val="00844E2C"/>
    <w:rsid w:val="008667A0"/>
    <w:rsid w:val="00875C98"/>
    <w:rsid w:val="00884159"/>
    <w:rsid w:val="00893BB2"/>
    <w:rsid w:val="008F0F10"/>
    <w:rsid w:val="0094364A"/>
    <w:rsid w:val="00957ADD"/>
    <w:rsid w:val="009726D6"/>
    <w:rsid w:val="009C7437"/>
    <w:rsid w:val="009D5BD4"/>
    <w:rsid w:val="009F43B7"/>
    <w:rsid w:val="009F4D2D"/>
    <w:rsid w:val="00A00D53"/>
    <w:rsid w:val="00A37FAC"/>
    <w:rsid w:val="00A40152"/>
    <w:rsid w:val="00AC0DEB"/>
    <w:rsid w:val="00B11802"/>
    <w:rsid w:val="00B130BA"/>
    <w:rsid w:val="00B343FB"/>
    <w:rsid w:val="00B34D93"/>
    <w:rsid w:val="00B41B92"/>
    <w:rsid w:val="00B527E2"/>
    <w:rsid w:val="00B544B7"/>
    <w:rsid w:val="00B57273"/>
    <w:rsid w:val="00B74360"/>
    <w:rsid w:val="00C1768B"/>
    <w:rsid w:val="00C666A2"/>
    <w:rsid w:val="00C66BAC"/>
    <w:rsid w:val="00C759B5"/>
    <w:rsid w:val="00C86C1B"/>
    <w:rsid w:val="00C87A88"/>
    <w:rsid w:val="00C973BF"/>
    <w:rsid w:val="00CF6D0B"/>
    <w:rsid w:val="00D06A81"/>
    <w:rsid w:val="00D11D71"/>
    <w:rsid w:val="00D14802"/>
    <w:rsid w:val="00D14993"/>
    <w:rsid w:val="00D30E1F"/>
    <w:rsid w:val="00D400DC"/>
    <w:rsid w:val="00D60ECE"/>
    <w:rsid w:val="00D64484"/>
    <w:rsid w:val="00D92963"/>
    <w:rsid w:val="00DA7F53"/>
    <w:rsid w:val="00E12DFA"/>
    <w:rsid w:val="00EC411D"/>
    <w:rsid w:val="00EF0699"/>
    <w:rsid w:val="00EF2B16"/>
    <w:rsid w:val="00FA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numPr>
        <w:numId w:val="11"/>
      </w:numPr>
      <w:suppressAutoHyphens/>
      <w:spacing w:after="220"/>
      <w:jc w:val="both"/>
      <w:outlineLvl w:val="0"/>
    </w:pPr>
    <w:rPr>
      <w:b/>
      <w:caps/>
      <w:sz w:val="22"/>
      <w:szCs w:val="20"/>
    </w:rPr>
  </w:style>
  <w:style w:type="paragraph" w:styleId="Heading2">
    <w:name w:val="heading 2"/>
    <w:basedOn w:val="Normal"/>
    <w:next w:val="Normal"/>
    <w:link w:val="Heading2Char"/>
    <w:qFormat/>
    <w:pPr>
      <w:keepNext/>
      <w:widowControl w:val="0"/>
      <w:numPr>
        <w:ilvl w:val="1"/>
        <w:numId w:val="11"/>
      </w:numPr>
      <w:spacing w:after="220"/>
      <w:jc w:val="both"/>
      <w:outlineLvl w:val="1"/>
    </w:pPr>
    <w:rPr>
      <w:b/>
      <w:sz w:val="22"/>
      <w:szCs w:val="20"/>
    </w:rPr>
  </w:style>
  <w:style w:type="paragraph" w:styleId="Heading3">
    <w:name w:val="heading 3"/>
    <w:basedOn w:val="Normal"/>
    <w:next w:val="Normal"/>
    <w:link w:val="Heading3Char"/>
    <w:qFormat/>
    <w:pPr>
      <w:keepNext/>
      <w:widowControl w:val="0"/>
      <w:numPr>
        <w:ilvl w:val="2"/>
        <w:numId w:val="11"/>
      </w:numPr>
      <w:spacing w:after="220"/>
      <w:jc w:val="both"/>
      <w:outlineLvl w:val="2"/>
    </w:pPr>
    <w:rPr>
      <w:b/>
      <w:sz w:val="22"/>
      <w:szCs w:val="20"/>
    </w:rPr>
  </w:style>
  <w:style w:type="paragraph" w:styleId="Heading4">
    <w:name w:val="heading 4"/>
    <w:basedOn w:val="Normal"/>
    <w:next w:val="Normal"/>
    <w:link w:val="Heading4Char"/>
    <w:qFormat/>
    <w:pPr>
      <w:keepNext/>
      <w:widowControl w:val="0"/>
      <w:numPr>
        <w:ilvl w:val="3"/>
        <w:numId w:val="11"/>
      </w:numPr>
      <w:spacing w:after="220"/>
      <w:jc w:val="both"/>
      <w:outlineLvl w:val="3"/>
    </w:pPr>
    <w:rPr>
      <w:b/>
      <w:sz w:val="22"/>
      <w:szCs w:val="20"/>
    </w:rPr>
  </w:style>
  <w:style w:type="paragraph" w:styleId="Heading5">
    <w:name w:val="heading 5"/>
    <w:basedOn w:val="Normal"/>
    <w:next w:val="Normal"/>
    <w:link w:val="Heading5Char"/>
    <w:qFormat/>
    <w:pPr>
      <w:keepNext/>
      <w:widowControl w:val="0"/>
      <w:numPr>
        <w:ilvl w:val="4"/>
        <w:numId w:val="11"/>
      </w:numPr>
      <w:suppressAutoHyphens/>
      <w:spacing w:after="220"/>
      <w:jc w:val="both"/>
      <w:outlineLvl w:val="4"/>
    </w:pPr>
    <w:rPr>
      <w:b/>
      <w:sz w:val="22"/>
      <w:szCs w:val="20"/>
    </w:rPr>
  </w:style>
  <w:style w:type="paragraph" w:styleId="Heading6">
    <w:name w:val="heading 6"/>
    <w:basedOn w:val="Normal"/>
    <w:next w:val="Normal"/>
    <w:link w:val="Heading6Char"/>
    <w:qFormat/>
    <w:pPr>
      <w:widowControl w:val="0"/>
      <w:numPr>
        <w:ilvl w:val="5"/>
        <w:numId w:val="11"/>
      </w:numPr>
      <w:spacing w:after="220"/>
      <w:jc w:val="both"/>
      <w:outlineLvl w:val="5"/>
    </w:pPr>
    <w:rPr>
      <w:b/>
      <w:sz w:val="22"/>
      <w:szCs w:val="20"/>
    </w:rPr>
  </w:style>
  <w:style w:type="paragraph" w:styleId="Heading7">
    <w:name w:val="heading 7"/>
    <w:basedOn w:val="Normal"/>
    <w:next w:val="Normal"/>
    <w:link w:val="Heading7Char"/>
    <w:qFormat/>
    <w:pPr>
      <w:widowControl w:val="0"/>
      <w:numPr>
        <w:ilvl w:val="7"/>
        <w:numId w:val="11"/>
      </w:numPr>
      <w:spacing w:after="220"/>
      <w:jc w:val="both"/>
      <w:outlineLvl w:val="6"/>
    </w:pPr>
    <w:rPr>
      <w:b/>
      <w:sz w:val="22"/>
      <w:szCs w:val="20"/>
    </w:rPr>
  </w:style>
  <w:style w:type="paragraph" w:styleId="Heading8">
    <w:name w:val="heading 8"/>
    <w:basedOn w:val="Normal"/>
    <w:next w:val="Normal"/>
    <w:link w:val="Heading8Char"/>
    <w:qFormat/>
    <w:pPr>
      <w:widowControl w:val="0"/>
      <w:numPr>
        <w:ilvl w:val="7"/>
        <w:numId w:val="12"/>
      </w:numPr>
      <w:tabs>
        <w:tab w:val="clear" w:pos="5400"/>
      </w:tabs>
      <w:spacing w:after="220"/>
      <w:ind w:left="5760" w:hanging="720"/>
      <w:jc w:val="both"/>
      <w:outlineLvl w:val="7"/>
    </w:pPr>
    <w:rPr>
      <w:b/>
      <w:sz w:val="22"/>
      <w:szCs w:val="20"/>
    </w:rPr>
  </w:style>
  <w:style w:type="paragraph" w:styleId="Heading9">
    <w:name w:val="heading 9"/>
    <w:basedOn w:val="Normal"/>
    <w:next w:val="Normal"/>
    <w:link w:val="Heading9Char"/>
    <w:qFormat/>
    <w:pPr>
      <w:widowControl w:val="0"/>
      <w:numPr>
        <w:ilvl w:val="8"/>
        <w:numId w:val="11"/>
      </w:numPr>
      <w:spacing w:after="22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n "/>
    <w:basedOn w:val="Normal"/>
    <w:link w:val="FootnoteTextChar"/>
    <w:semiHidden/>
    <w:pPr>
      <w:tabs>
        <w:tab w:val="left" w:pos="720"/>
      </w:tabs>
      <w:spacing w:after="200"/>
    </w:pPr>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locked/>
    <w:rPr>
      <w:lang w:val="en-US" w:eastAsia="en-US" w:bidi="ar-SA"/>
    </w:rPr>
  </w:style>
  <w:style w:type="paragraph" w:customStyle="1" w:styleId="ColorfulList-Accent11">
    <w:name w:val="Colorful List - Accent 11"/>
    <w:basedOn w:val="Normal"/>
    <w:qFormat/>
    <w:pPr>
      <w:ind w:left="720"/>
    </w:pPr>
    <w:rPr>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lang w:val="en-US" w:eastAsia="en-US" w:bidi="ar-SA"/>
    </w:rPr>
  </w:style>
  <w:style w:type="numbering" w:customStyle="1" w:styleId="centurylink">
    <w:name w:val="centurylink"/>
    <w:pPr>
      <w:numPr>
        <w:numId w:val="7"/>
      </w:numPr>
    </w:pPr>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link w:val="Heading1"/>
    <w:locked/>
    <w:rPr>
      <w:b/>
      <w:caps/>
      <w:sz w:val="22"/>
      <w:lang w:val="en-US" w:eastAsia="en-US" w:bidi="ar-SA"/>
    </w:rPr>
  </w:style>
  <w:style w:type="character" w:customStyle="1" w:styleId="Heading2Char">
    <w:name w:val="Heading 2 Char"/>
    <w:link w:val="Heading2"/>
    <w:locked/>
    <w:rPr>
      <w:b/>
      <w:sz w:val="22"/>
      <w:lang w:val="en-US" w:eastAsia="en-US" w:bidi="ar-SA"/>
    </w:rPr>
  </w:style>
  <w:style w:type="character" w:customStyle="1" w:styleId="Heading3Char">
    <w:name w:val="Heading 3 Char"/>
    <w:link w:val="Heading3"/>
    <w:locked/>
    <w:rPr>
      <w:b/>
      <w:sz w:val="22"/>
      <w:lang w:val="en-US" w:eastAsia="en-US" w:bidi="ar-SA"/>
    </w:rPr>
  </w:style>
  <w:style w:type="character" w:customStyle="1" w:styleId="Heading4Char">
    <w:name w:val="Heading 4 Char"/>
    <w:link w:val="Heading4"/>
    <w:locked/>
    <w:rPr>
      <w:b/>
      <w:sz w:val="22"/>
      <w:lang w:val="en-US" w:eastAsia="en-US" w:bidi="ar-SA"/>
    </w:rPr>
  </w:style>
  <w:style w:type="character" w:customStyle="1" w:styleId="Heading5Char">
    <w:name w:val="Heading 5 Char"/>
    <w:link w:val="Heading5"/>
    <w:locked/>
    <w:rPr>
      <w:b/>
      <w:sz w:val="22"/>
      <w:lang w:val="en-US" w:eastAsia="en-US" w:bidi="ar-SA"/>
    </w:rPr>
  </w:style>
  <w:style w:type="character" w:customStyle="1" w:styleId="Heading6Char">
    <w:name w:val="Heading 6 Char"/>
    <w:link w:val="Heading6"/>
    <w:locked/>
    <w:rPr>
      <w:b/>
      <w:sz w:val="22"/>
      <w:lang w:val="en-US" w:eastAsia="en-US" w:bidi="ar-SA"/>
    </w:rPr>
  </w:style>
  <w:style w:type="character" w:customStyle="1" w:styleId="Heading7Char">
    <w:name w:val="Heading 7 Char"/>
    <w:link w:val="Heading7"/>
    <w:locked/>
    <w:rPr>
      <w:b/>
      <w:sz w:val="22"/>
      <w:lang w:val="en-US" w:eastAsia="en-US" w:bidi="ar-SA"/>
    </w:rPr>
  </w:style>
  <w:style w:type="character" w:customStyle="1" w:styleId="Heading8Char">
    <w:name w:val="Heading 8 Char"/>
    <w:link w:val="Heading8"/>
    <w:locked/>
    <w:rPr>
      <w:b/>
      <w:sz w:val="22"/>
      <w:lang w:val="en-US" w:eastAsia="en-US" w:bidi="ar-SA"/>
    </w:rPr>
  </w:style>
  <w:style w:type="character" w:customStyle="1" w:styleId="Heading9Char">
    <w:name w:val="Heading 9 Char"/>
    <w:link w:val="Heading9"/>
    <w:locked/>
    <w:rPr>
      <w:b/>
      <w:sz w:val="22"/>
      <w:lang w:val="en-US" w:eastAsia="en-US" w:bidi="ar-SA"/>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customStyle="1" w:styleId="HeaderChar">
    <w:name w:val="Header Char"/>
    <w:link w:val="Header"/>
    <w:locked/>
    <w:rPr>
      <w:sz w:val="24"/>
      <w:szCs w:val="24"/>
      <w:lang w:val="en-US" w:eastAsia="en-US" w:bidi="ar-SA"/>
    </w:rPr>
  </w:style>
  <w:style w:type="character" w:customStyle="1" w:styleId="FooterChar">
    <w:name w:val="Footer Char"/>
    <w:link w:val="Footer"/>
    <w:locked/>
    <w:rPr>
      <w:sz w:val="24"/>
      <w:szCs w:val="24"/>
      <w:lang w:val="en-US" w:eastAsia="en-US" w:bidi="ar-SA"/>
    </w:rPr>
  </w:style>
  <w:style w:type="paragraph" w:styleId="BlockText">
    <w:name w:val="Block Text"/>
    <w:basedOn w:val="Normal"/>
    <w:pPr>
      <w:widowControl w:val="0"/>
      <w:spacing w:after="220"/>
      <w:ind w:left="1440" w:right="1440"/>
      <w:jc w:val="both"/>
    </w:pPr>
    <w:rPr>
      <w:sz w:val="22"/>
      <w:szCs w:val="20"/>
    </w:rPr>
  </w:style>
  <w:style w:type="paragraph" w:customStyle="1" w:styleId="Bullet">
    <w:name w:val="Bullet"/>
    <w:basedOn w:val="Normal"/>
    <w:pPr>
      <w:widowControl w:val="0"/>
      <w:numPr>
        <w:numId w:val="10"/>
      </w:numPr>
      <w:tabs>
        <w:tab w:val="clear" w:pos="2520"/>
      </w:tabs>
      <w:spacing w:after="220"/>
      <w:ind w:left="2160" w:hanging="720"/>
      <w:jc w:val="both"/>
    </w:pPr>
    <w:rPr>
      <w:sz w:val="22"/>
      <w:szCs w:val="20"/>
    </w:rPr>
  </w:style>
  <w:style w:type="paragraph" w:styleId="Caption">
    <w:name w:val="caption"/>
    <w:basedOn w:val="Normal"/>
    <w:next w:val="Normal"/>
    <w:qFormat/>
    <w:pPr>
      <w:spacing w:before="120" w:after="120"/>
    </w:pPr>
    <w:rPr>
      <w:b/>
      <w:sz w:val="22"/>
      <w:szCs w:val="20"/>
    </w:rPr>
  </w:style>
  <w:style w:type="paragraph" w:customStyle="1" w:styleId="NumberedList">
    <w:name w:val="Numbered List"/>
    <w:basedOn w:val="Normal"/>
    <w:pPr>
      <w:numPr>
        <w:numId w:val="13"/>
      </w:numPr>
      <w:tabs>
        <w:tab w:val="clear" w:pos="1080"/>
      </w:tabs>
      <w:spacing w:after="220"/>
      <w:ind w:firstLine="0"/>
    </w:pPr>
    <w:rPr>
      <w:sz w:val="20"/>
      <w:szCs w:val="20"/>
    </w:rPr>
  </w:style>
  <w:style w:type="paragraph" w:customStyle="1" w:styleId="Paranum">
    <w:name w:val="Paranum"/>
    <w:basedOn w:val="Normal"/>
    <w:pPr>
      <w:widowControl w:val="0"/>
      <w:numPr>
        <w:numId w:val="14"/>
      </w:numPr>
      <w:tabs>
        <w:tab w:val="clear" w:pos="1080"/>
      </w:tabs>
      <w:spacing w:after="220"/>
      <w:jc w:val="both"/>
    </w:pPr>
    <w:rPr>
      <w:sz w:val="20"/>
      <w:szCs w:val="20"/>
    </w:rPr>
  </w:style>
  <w:style w:type="paragraph" w:customStyle="1" w:styleId="TableFormat">
    <w:name w:val="Table Format"/>
    <w:basedOn w:val="Normal"/>
    <w:pPr>
      <w:widowControl w:val="0"/>
      <w:tabs>
        <w:tab w:val="left" w:pos="5040"/>
      </w:tabs>
      <w:spacing w:after="220"/>
      <w:ind w:left="5040" w:hanging="3600"/>
      <w:jc w:val="both"/>
    </w:pPr>
    <w:rPr>
      <w:sz w:val="20"/>
      <w:szCs w:val="20"/>
    </w:rPr>
  </w:style>
  <w:style w:type="paragraph" w:styleId="TOC1">
    <w:name w:val="toc 1"/>
    <w:basedOn w:val="Normal"/>
    <w:next w:val="Normal"/>
    <w:autoRedefine/>
    <w:semiHidden/>
    <w:rPr>
      <w:caps/>
      <w:sz w:val="20"/>
      <w:szCs w:val="20"/>
    </w:rPr>
  </w:style>
  <w:style w:type="character" w:styleId="FollowedHyperlink">
    <w:name w:val="FollowedHyperlink"/>
    <w:rPr>
      <w:rFonts w:cs="Times New Roman"/>
      <w:color w:val="800080"/>
      <w:u w:val="single"/>
    </w:rPr>
  </w:style>
  <w:style w:type="character" w:customStyle="1" w:styleId="documentbody1">
    <w:name w:val="documentbody1"/>
    <w:rPr>
      <w:rFonts w:ascii="Verdana" w:hAnsi="Verdana"/>
      <w:sz w:val="19"/>
    </w:rPr>
  </w:style>
  <w:style w:type="paragraph" w:customStyle="1" w:styleId="Style12ptBefore6ptAfter12pt">
    <w:name w:val="Style 12 pt Before:  6 pt After:  12 pt"/>
    <w:basedOn w:val="Normal"/>
    <w:pPr>
      <w:spacing w:before="120" w:after="240"/>
    </w:pPr>
    <w:rPr>
      <w:sz w:val="20"/>
      <w:szCs w:val="20"/>
    </w:rPr>
  </w:style>
  <w:style w:type="character" w:styleId="PageNumber">
    <w:name w:val="page number"/>
    <w:rPr>
      <w:rFonts w:cs="Times New Roman"/>
    </w:rPr>
  </w:style>
  <w:style w:type="paragraph" w:customStyle="1" w:styleId="ParaNum0">
    <w:name w:val="ParaNum"/>
    <w:basedOn w:val="Normal"/>
    <w:pPr>
      <w:widowControl w:val="0"/>
      <w:tabs>
        <w:tab w:val="num" w:pos="1080"/>
      </w:tabs>
      <w:spacing w:after="200"/>
      <w:ind w:firstLine="720"/>
    </w:pPr>
    <w:rPr>
      <w:sz w:val="22"/>
      <w:szCs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Pr>
      <w:rFonts w:ascii="Courier New" w:hAnsi="Courier New" w:cs="Courier New"/>
      <w:lang w:val="en-US" w:eastAsia="en-US" w:bidi="ar-SA"/>
    </w:rPr>
  </w:style>
  <w:style w:type="character" w:customStyle="1" w:styleId="documentbody5">
    <w:name w:val="documentbody5"/>
    <w:rPr>
      <w:rFonts w:ascii="Verdana" w:hAnsi="Verdana"/>
      <w:sz w:val="19"/>
    </w:rPr>
  </w:style>
  <w:style w:type="character" w:customStyle="1" w:styleId="EmailStyle351">
    <w:name w:val="EmailStyle351"/>
    <w:semiHidden/>
    <w:rPr>
      <w:rFonts w:ascii="Arial" w:hAnsi="Arial"/>
      <w:color w:val="auto"/>
      <w:sz w:val="20"/>
    </w:rPr>
  </w:style>
  <w:style w:type="character" w:customStyle="1" w:styleId="searchterm3">
    <w:name w:val="searchterm3"/>
    <w:rPr>
      <w:b/>
      <w:shd w:val="clear" w:color="auto" w:fill="FFFF00"/>
    </w:rPr>
  </w:style>
  <w:style w:type="character" w:customStyle="1" w:styleId="searchterm2">
    <w:name w:val="searchterm2"/>
    <w:rPr>
      <w:b/>
      <w:shd w:val="clear" w:color="auto" w:fill="FFFF0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lang w:val="en-US" w:eastAsia="en-US" w:bidi="ar-SA"/>
    </w:rPr>
  </w:style>
  <w:style w:type="paragraph" w:styleId="ListNumber">
    <w:name w:val="List Number"/>
    <w:aliases w:val="List Number Char,List Number Char1 Char,List Number Char Char Char"/>
    <w:basedOn w:val="Normal"/>
    <w:link w:val="ListNumberChar1"/>
    <w:autoRedefine/>
    <w:pPr>
      <w:numPr>
        <w:numId w:val="15"/>
      </w:numPr>
      <w:spacing w:after="120"/>
    </w:pPr>
    <w:rPr>
      <w:sz w:val="22"/>
      <w:szCs w:val="22"/>
    </w:rPr>
  </w:style>
  <w:style w:type="paragraph" w:styleId="ListNumber2">
    <w:name w:val="List Number 2"/>
    <w:basedOn w:val="Normal"/>
    <w:autoRedefine/>
    <w:pPr>
      <w:tabs>
        <w:tab w:val="num" w:pos="1440"/>
      </w:tabs>
      <w:spacing w:after="120"/>
      <w:ind w:left="1440" w:hanging="360"/>
    </w:pPr>
    <w:rPr>
      <w:szCs w:val="20"/>
    </w:rPr>
  </w:style>
  <w:style w:type="character" w:customStyle="1" w:styleId="ListNumberChar1">
    <w:name w:val="List Number Char1"/>
    <w:aliases w:val="List Number Char Char,List Number Char1 Char Char,List Number Char Char Char Char"/>
    <w:link w:val="ListNumber"/>
    <w:locked/>
    <w:rPr>
      <w:sz w:val="22"/>
      <w:szCs w:val="22"/>
      <w:lang w:val="en-US" w:eastAsia="en-US" w:bidi="ar-SA"/>
    </w:rPr>
  </w:style>
  <w:style w:type="paragraph" w:customStyle="1" w:styleId="specnumber">
    <w:name w:val="spec number"/>
    <w:basedOn w:val="Normal"/>
    <w:pPr>
      <w:numPr>
        <w:numId w:val="16"/>
      </w:numPr>
    </w:pPr>
    <w:rPr>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locked/>
    <w:rPr>
      <w:b/>
      <w:bCs/>
      <w:lang w:val="en-US" w:eastAsia="en-US" w:bidi="ar-SA"/>
    </w:rPr>
  </w:style>
  <w:style w:type="paragraph" w:customStyle="1" w:styleId="ColorfulShading-Accent11">
    <w:name w:val="Colorful Shading - Accent 11"/>
    <w:hidden/>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pPr>
      <w:ind w:left="720"/>
    </w:pPr>
  </w:style>
  <w:style w:type="paragraph" w:styleId="Revision">
    <w:name w:val="Revision"/>
    <w:hidden/>
    <w:uiPriority w:val="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numPr>
        <w:numId w:val="11"/>
      </w:numPr>
      <w:suppressAutoHyphens/>
      <w:spacing w:after="220"/>
      <w:jc w:val="both"/>
      <w:outlineLvl w:val="0"/>
    </w:pPr>
    <w:rPr>
      <w:b/>
      <w:caps/>
      <w:sz w:val="22"/>
      <w:szCs w:val="20"/>
    </w:rPr>
  </w:style>
  <w:style w:type="paragraph" w:styleId="Heading2">
    <w:name w:val="heading 2"/>
    <w:basedOn w:val="Normal"/>
    <w:next w:val="Normal"/>
    <w:link w:val="Heading2Char"/>
    <w:qFormat/>
    <w:pPr>
      <w:keepNext/>
      <w:widowControl w:val="0"/>
      <w:numPr>
        <w:ilvl w:val="1"/>
        <w:numId w:val="11"/>
      </w:numPr>
      <w:spacing w:after="220"/>
      <w:jc w:val="both"/>
      <w:outlineLvl w:val="1"/>
    </w:pPr>
    <w:rPr>
      <w:b/>
      <w:sz w:val="22"/>
      <w:szCs w:val="20"/>
    </w:rPr>
  </w:style>
  <w:style w:type="paragraph" w:styleId="Heading3">
    <w:name w:val="heading 3"/>
    <w:basedOn w:val="Normal"/>
    <w:next w:val="Normal"/>
    <w:link w:val="Heading3Char"/>
    <w:qFormat/>
    <w:pPr>
      <w:keepNext/>
      <w:widowControl w:val="0"/>
      <w:numPr>
        <w:ilvl w:val="2"/>
        <w:numId w:val="11"/>
      </w:numPr>
      <w:spacing w:after="220"/>
      <w:jc w:val="both"/>
      <w:outlineLvl w:val="2"/>
    </w:pPr>
    <w:rPr>
      <w:b/>
      <w:sz w:val="22"/>
      <w:szCs w:val="20"/>
    </w:rPr>
  </w:style>
  <w:style w:type="paragraph" w:styleId="Heading4">
    <w:name w:val="heading 4"/>
    <w:basedOn w:val="Normal"/>
    <w:next w:val="Normal"/>
    <w:link w:val="Heading4Char"/>
    <w:qFormat/>
    <w:pPr>
      <w:keepNext/>
      <w:widowControl w:val="0"/>
      <w:numPr>
        <w:ilvl w:val="3"/>
        <w:numId w:val="11"/>
      </w:numPr>
      <w:spacing w:after="220"/>
      <w:jc w:val="both"/>
      <w:outlineLvl w:val="3"/>
    </w:pPr>
    <w:rPr>
      <w:b/>
      <w:sz w:val="22"/>
      <w:szCs w:val="20"/>
    </w:rPr>
  </w:style>
  <w:style w:type="paragraph" w:styleId="Heading5">
    <w:name w:val="heading 5"/>
    <w:basedOn w:val="Normal"/>
    <w:next w:val="Normal"/>
    <w:link w:val="Heading5Char"/>
    <w:qFormat/>
    <w:pPr>
      <w:keepNext/>
      <w:widowControl w:val="0"/>
      <w:numPr>
        <w:ilvl w:val="4"/>
        <w:numId w:val="11"/>
      </w:numPr>
      <w:suppressAutoHyphens/>
      <w:spacing w:after="220"/>
      <w:jc w:val="both"/>
      <w:outlineLvl w:val="4"/>
    </w:pPr>
    <w:rPr>
      <w:b/>
      <w:sz w:val="22"/>
      <w:szCs w:val="20"/>
    </w:rPr>
  </w:style>
  <w:style w:type="paragraph" w:styleId="Heading6">
    <w:name w:val="heading 6"/>
    <w:basedOn w:val="Normal"/>
    <w:next w:val="Normal"/>
    <w:link w:val="Heading6Char"/>
    <w:qFormat/>
    <w:pPr>
      <w:widowControl w:val="0"/>
      <w:numPr>
        <w:ilvl w:val="5"/>
        <w:numId w:val="11"/>
      </w:numPr>
      <w:spacing w:after="220"/>
      <w:jc w:val="both"/>
      <w:outlineLvl w:val="5"/>
    </w:pPr>
    <w:rPr>
      <w:b/>
      <w:sz w:val="22"/>
      <w:szCs w:val="20"/>
    </w:rPr>
  </w:style>
  <w:style w:type="paragraph" w:styleId="Heading7">
    <w:name w:val="heading 7"/>
    <w:basedOn w:val="Normal"/>
    <w:next w:val="Normal"/>
    <w:link w:val="Heading7Char"/>
    <w:qFormat/>
    <w:pPr>
      <w:widowControl w:val="0"/>
      <w:numPr>
        <w:ilvl w:val="7"/>
        <w:numId w:val="11"/>
      </w:numPr>
      <w:spacing w:after="220"/>
      <w:jc w:val="both"/>
      <w:outlineLvl w:val="6"/>
    </w:pPr>
    <w:rPr>
      <w:b/>
      <w:sz w:val="22"/>
      <w:szCs w:val="20"/>
    </w:rPr>
  </w:style>
  <w:style w:type="paragraph" w:styleId="Heading8">
    <w:name w:val="heading 8"/>
    <w:basedOn w:val="Normal"/>
    <w:next w:val="Normal"/>
    <w:link w:val="Heading8Char"/>
    <w:qFormat/>
    <w:pPr>
      <w:widowControl w:val="0"/>
      <w:numPr>
        <w:ilvl w:val="7"/>
        <w:numId w:val="12"/>
      </w:numPr>
      <w:tabs>
        <w:tab w:val="clear" w:pos="5400"/>
      </w:tabs>
      <w:spacing w:after="220"/>
      <w:ind w:left="5760" w:hanging="720"/>
      <w:jc w:val="both"/>
      <w:outlineLvl w:val="7"/>
    </w:pPr>
    <w:rPr>
      <w:b/>
      <w:sz w:val="22"/>
      <w:szCs w:val="20"/>
    </w:rPr>
  </w:style>
  <w:style w:type="paragraph" w:styleId="Heading9">
    <w:name w:val="heading 9"/>
    <w:basedOn w:val="Normal"/>
    <w:next w:val="Normal"/>
    <w:link w:val="Heading9Char"/>
    <w:qFormat/>
    <w:pPr>
      <w:widowControl w:val="0"/>
      <w:numPr>
        <w:ilvl w:val="8"/>
        <w:numId w:val="11"/>
      </w:numPr>
      <w:spacing w:after="22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n "/>
    <w:basedOn w:val="Normal"/>
    <w:link w:val="FootnoteTextChar"/>
    <w:semiHidden/>
    <w:pPr>
      <w:tabs>
        <w:tab w:val="left" w:pos="720"/>
      </w:tabs>
      <w:spacing w:after="200"/>
    </w:pPr>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locked/>
    <w:rPr>
      <w:lang w:val="en-US" w:eastAsia="en-US" w:bidi="ar-SA"/>
    </w:rPr>
  </w:style>
  <w:style w:type="paragraph" w:customStyle="1" w:styleId="ColorfulList-Accent11">
    <w:name w:val="Colorful List - Accent 11"/>
    <w:basedOn w:val="Normal"/>
    <w:qFormat/>
    <w:pPr>
      <w:ind w:left="720"/>
    </w:pPr>
    <w:rPr>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lang w:val="en-US" w:eastAsia="en-US" w:bidi="ar-SA"/>
    </w:rPr>
  </w:style>
  <w:style w:type="numbering" w:customStyle="1" w:styleId="centurylink">
    <w:name w:val="centurylink"/>
    <w:pPr>
      <w:numPr>
        <w:numId w:val="7"/>
      </w:numPr>
    </w:pPr>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link w:val="Heading1"/>
    <w:locked/>
    <w:rPr>
      <w:b/>
      <w:caps/>
      <w:sz w:val="22"/>
      <w:lang w:val="en-US" w:eastAsia="en-US" w:bidi="ar-SA"/>
    </w:rPr>
  </w:style>
  <w:style w:type="character" w:customStyle="1" w:styleId="Heading2Char">
    <w:name w:val="Heading 2 Char"/>
    <w:link w:val="Heading2"/>
    <w:locked/>
    <w:rPr>
      <w:b/>
      <w:sz w:val="22"/>
      <w:lang w:val="en-US" w:eastAsia="en-US" w:bidi="ar-SA"/>
    </w:rPr>
  </w:style>
  <w:style w:type="character" w:customStyle="1" w:styleId="Heading3Char">
    <w:name w:val="Heading 3 Char"/>
    <w:link w:val="Heading3"/>
    <w:locked/>
    <w:rPr>
      <w:b/>
      <w:sz w:val="22"/>
      <w:lang w:val="en-US" w:eastAsia="en-US" w:bidi="ar-SA"/>
    </w:rPr>
  </w:style>
  <w:style w:type="character" w:customStyle="1" w:styleId="Heading4Char">
    <w:name w:val="Heading 4 Char"/>
    <w:link w:val="Heading4"/>
    <w:locked/>
    <w:rPr>
      <w:b/>
      <w:sz w:val="22"/>
      <w:lang w:val="en-US" w:eastAsia="en-US" w:bidi="ar-SA"/>
    </w:rPr>
  </w:style>
  <w:style w:type="character" w:customStyle="1" w:styleId="Heading5Char">
    <w:name w:val="Heading 5 Char"/>
    <w:link w:val="Heading5"/>
    <w:locked/>
    <w:rPr>
      <w:b/>
      <w:sz w:val="22"/>
      <w:lang w:val="en-US" w:eastAsia="en-US" w:bidi="ar-SA"/>
    </w:rPr>
  </w:style>
  <w:style w:type="character" w:customStyle="1" w:styleId="Heading6Char">
    <w:name w:val="Heading 6 Char"/>
    <w:link w:val="Heading6"/>
    <w:locked/>
    <w:rPr>
      <w:b/>
      <w:sz w:val="22"/>
      <w:lang w:val="en-US" w:eastAsia="en-US" w:bidi="ar-SA"/>
    </w:rPr>
  </w:style>
  <w:style w:type="character" w:customStyle="1" w:styleId="Heading7Char">
    <w:name w:val="Heading 7 Char"/>
    <w:link w:val="Heading7"/>
    <w:locked/>
    <w:rPr>
      <w:b/>
      <w:sz w:val="22"/>
      <w:lang w:val="en-US" w:eastAsia="en-US" w:bidi="ar-SA"/>
    </w:rPr>
  </w:style>
  <w:style w:type="character" w:customStyle="1" w:styleId="Heading8Char">
    <w:name w:val="Heading 8 Char"/>
    <w:link w:val="Heading8"/>
    <w:locked/>
    <w:rPr>
      <w:b/>
      <w:sz w:val="22"/>
      <w:lang w:val="en-US" w:eastAsia="en-US" w:bidi="ar-SA"/>
    </w:rPr>
  </w:style>
  <w:style w:type="character" w:customStyle="1" w:styleId="Heading9Char">
    <w:name w:val="Heading 9 Char"/>
    <w:link w:val="Heading9"/>
    <w:locked/>
    <w:rPr>
      <w:b/>
      <w:sz w:val="22"/>
      <w:lang w:val="en-US" w:eastAsia="en-US" w:bidi="ar-SA"/>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customStyle="1" w:styleId="HeaderChar">
    <w:name w:val="Header Char"/>
    <w:link w:val="Header"/>
    <w:locked/>
    <w:rPr>
      <w:sz w:val="24"/>
      <w:szCs w:val="24"/>
      <w:lang w:val="en-US" w:eastAsia="en-US" w:bidi="ar-SA"/>
    </w:rPr>
  </w:style>
  <w:style w:type="character" w:customStyle="1" w:styleId="FooterChar">
    <w:name w:val="Footer Char"/>
    <w:link w:val="Footer"/>
    <w:locked/>
    <w:rPr>
      <w:sz w:val="24"/>
      <w:szCs w:val="24"/>
      <w:lang w:val="en-US" w:eastAsia="en-US" w:bidi="ar-SA"/>
    </w:rPr>
  </w:style>
  <w:style w:type="paragraph" w:styleId="BlockText">
    <w:name w:val="Block Text"/>
    <w:basedOn w:val="Normal"/>
    <w:pPr>
      <w:widowControl w:val="0"/>
      <w:spacing w:after="220"/>
      <w:ind w:left="1440" w:right="1440"/>
      <w:jc w:val="both"/>
    </w:pPr>
    <w:rPr>
      <w:sz w:val="22"/>
      <w:szCs w:val="20"/>
    </w:rPr>
  </w:style>
  <w:style w:type="paragraph" w:customStyle="1" w:styleId="Bullet">
    <w:name w:val="Bullet"/>
    <w:basedOn w:val="Normal"/>
    <w:pPr>
      <w:widowControl w:val="0"/>
      <w:numPr>
        <w:numId w:val="10"/>
      </w:numPr>
      <w:tabs>
        <w:tab w:val="clear" w:pos="2520"/>
      </w:tabs>
      <w:spacing w:after="220"/>
      <w:ind w:left="2160" w:hanging="720"/>
      <w:jc w:val="both"/>
    </w:pPr>
    <w:rPr>
      <w:sz w:val="22"/>
      <w:szCs w:val="20"/>
    </w:rPr>
  </w:style>
  <w:style w:type="paragraph" w:styleId="Caption">
    <w:name w:val="caption"/>
    <w:basedOn w:val="Normal"/>
    <w:next w:val="Normal"/>
    <w:qFormat/>
    <w:pPr>
      <w:spacing w:before="120" w:after="120"/>
    </w:pPr>
    <w:rPr>
      <w:b/>
      <w:sz w:val="22"/>
      <w:szCs w:val="20"/>
    </w:rPr>
  </w:style>
  <w:style w:type="paragraph" w:customStyle="1" w:styleId="NumberedList">
    <w:name w:val="Numbered List"/>
    <w:basedOn w:val="Normal"/>
    <w:pPr>
      <w:numPr>
        <w:numId w:val="13"/>
      </w:numPr>
      <w:tabs>
        <w:tab w:val="clear" w:pos="1080"/>
      </w:tabs>
      <w:spacing w:after="220"/>
      <w:ind w:firstLine="0"/>
    </w:pPr>
    <w:rPr>
      <w:sz w:val="20"/>
      <w:szCs w:val="20"/>
    </w:rPr>
  </w:style>
  <w:style w:type="paragraph" w:customStyle="1" w:styleId="Paranum">
    <w:name w:val="Paranum"/>
    <w:basedOn w:val="Normal"/>
    <w:pPr>
      <w:widowControl w:val="0"/>
      <w:numPr>
        <w:numId w:val="14"/>
      </w:numPr>
      <w:tabs>
        <w:tab w:val="clear" w:pos="1080"/>
      </w:tabs>
      <w:spacing w:after="220"/>
      <w:jc w:val="both"/>
    </w:pPr>
    <w:rPr>
      <w:sz w:val="20"/>
      <w:szCs w:val="20"/>
    </w:rPr>
  </w:style>
  <w:style w:type="paragraph" w:customStyle="1" w:styleId="TableFormat">
    <w:name w:val="Table Format"/>
    <w:basedOn w:val="Normal"/>
    <w:pPr>
      <w:widowControl w:val="0"/>
      <w:tabs>
        <w:tab w:val="left" w:pos="5040"/>
      </w:tabs>
      <w:spacing w:after="220"/>
      <w:ind w:left="5040" w:hanging="3600"/>
      <w:jc w:val="both"/>
    </w:pPr>
    <w:rPr>
      <w:sz w:val="20"/>
      <w:szCs w:val="20"/>
    </w:rPr>
  </w:style>
  <w:style w:type="paragraph" w:styleId="TOC1">
    <w:name w:val="toc 1"/>
    <w:basedOn w:val="Normal"/>
    <w:next w:val="Normal"/>
    <w:autoRedefine/>
    <w:semiHidden/>
    <w:rPr>
      <w:caps/>
      <w:sz w:val="20"/>
      <w:szCs w:val="20"/>
    </w:rPr>
  </w:style>
  <w:style w:type="character" w:styleId="FollowedHyperlink">
    <w:name w:val="FollowedHyperlink"/>
    <w:rPr>
      <w:rFonts w:cs="Times New Roman"/>
      <w:color w:val="800080"/>
      <w:u w:val="single"/>
    </w:rPr>
  </w:style>
  <w:style w:type="character" w:customStyle="1" w:styleId="documentbody1">
    <w:name w:val="documentbody1"/>
    <w:rPr>
      <w:rFonts w:ascii="Verdana" w:hAnsi="Verdana"/>
      <w:sz w:val="19"/>
    </w:rPr>
  </w:style>
  <w:style w:type="paragraph" w:customStyle="1" w:styleId="Style12ptBefore6ptAfter12pt">
    <w:name w:val="Style 12 pt Before:  6 pt After:  12 pt"/>
    <w:basedOn w:val="Normal"/>
    <w:pPr>
      <w:spacing w:before="120" w:after="240"/>
    </w:pPr>
    <w:rPr>
      <w:sz w:val="20"/>
      <w:szCs w:val="20"/>
    </w:rPr>
  </w:style>
  <w:style w:type="character" w:styleId="PageNumber">
    <w:name w:val="page number"/>
    <w:rPr>
      <w:rFonts w:cs="Times New Roman"/>
    </w:rPr>
  </w:style>
  <w:style w:type="paragraph" w:customStyle="1" w:styleId="ParaNum0">
    <w:name w:val="ParaNum"/>
    <w:basedOn w:val="Normal"/>
    <w:pPr>
      <w:widowControl w:val="0"/>
      <w:tabs>
        <w:tab w:val="num" w:pos="1080"/>
      </w:tabs>
      <w:spacing w:after="200"/>
      <w:ind w:firstLine="720"/>
    </w:pPr>
    <w:rPr>
      <w:sz w:val="22"/>
      <w:szCs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Pr>
      <w:rFonts w:ascii="Courier New" w:hAnsi="Courier New" w:cs="Courier New"/>
      <w:lang w:val="en-US" w:eastAsia="en-US" w:bidi="ar-SA"/>
    </w:rPr>
  </w:style>
  <w:style w:type="character" w:customStyle="1" w:styleId="documentbody5">
    <w:name w:val="documentbody5"/>
    <w:rPr>
      <w:rFonts w:ascii="Verdana" w:hAnsi="Verdana"/>
      <w:sz w:val="19"/>
    </w:rPr>
  </w:style>
  <w:style w:type="character" w:customStyle="1" w:styleId="EmailStyle351">
    <w:name w:val="EmailStyle351"/>
    <w:semiHidden/>
    <w:rPr>
      <w:rFonts w:ascii="Arial" w:hAnsi="Arial"/>
      <w:color w:val="auto"/>
      <w:sz w:val="20"/>
    </w:rPr>
  </w:style>
  <w:style w:type="character" w:customStyle="1" w:styleId="searchterm3">
    <w:name w:val="searchterm3"/>
    <w:rPr>
      <w:b/>
      <w:shd w:val="clear" w:color="auto" w:fill="FFFF00"/>
    </w:rPr>
  </w:style>
  <w:style w:type="character" w:customStyle="1" w:styleId="searchterm2">
    <w:name w:val="searchterm2"/>
    <w:rPr>
      <w:b/>
      <w:shd w:val="clear" w:color="auto" w:fill="FFFF0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lang w:val="en-US" w:eastAsia="en-US" w:bidi="ar-SA"/>
    </w:rPr>
  </w:style>
  <w:style w:type="paragraph" w:styleId="ListNumber">
    <w:name w:val="List Number"/>
    <w:aliases w:val="List Number Char,List Number Char1 Char,List Number Char Char Char"/>
    <w:basedOn w:val="Normal"/>
    <w:link w:val="ListNumberChar1"/>
    <w:autoRedefine/>
    <w:pPr>
      <w:numPr>
        <w:numId w:val="15"/>
      </w:numPr>
      <w:spacing w:after="120"/>
    </w:pPr>
    <w:rPr>
      <w:sz w:val="22"/>
      <w:szCs w:val="22"/>
    </w:rPr>
  </w:style>
  <w:style w:type="paragraph" w:styleId="ListNumber2">
    <w:name w:val="List Number 2"/>
    <w:basedOn w:val="Normal"/>
    <w:autoRedefine/>
    <w:pPr>
      <w:tabs>
        <w:tab w:val="num" w:pos="1440"/>
      </w:tabs>
      <w:spacing w:after="120"/>
      <w:ind w:left="1440" w:hanging="360"/>
    </w:pPr>
    <w:rPr>
      <w:szCs w:val="20"/>
    </w:rPr>
  </w:style>
  <w:style w:type="character" w:customStyle="1" w:styleId="ListNumberChar1">
    <w:name w:val="List Number Char1"/>
    <w:aliases w:val="List Number Char Char,List Number Char1 Char Char,List Number Char Char Char Char"/>
    <w:link w:val="ListNumber"/>
    <w:locked/>
    <w:rPr>
      <w:sz w:val="22"/>
      <w:szCs w:val="22"/>
      <w:lang w:val="en-US" w:eastAsia="en-US" w:bidi="ar-SA"/>
    </w:rPr>
  </w:style>
  <w:style w:type="paragraph" w:customStyle="1" w:styleId="specnumber">
    <w:name w:val="spec number"/>
    <w:basedOn w:val="Normal"/>
    <w:pPr>
      <w:numPr>
        <w:numId w:val="16"/>
      </w:numPr>
    </w:pPr>
    <w:rPr>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locked/>
    <w:rPr>
      <w:b/>
      <w:bCs/>
      <w:lang w:val="en-US" w:eastAsia="en-US" w:bidi="ar-SA"/>
    </w:rPr>
  </w:style>
  <w:style w:type="paragraph" w:customStyle="1" w:styleId="ColorfulShading-Accent11">
    <w:name w:val="Colorful Shading - Accent 11"/>
    <w:hidden/>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pPr>
      <w:ind w:left="720"/>
    </w:pPr>
  </w:style>
  <w:style w:type="paragraph" w:styleId="Revision">
    <w:name w:val="Revision"/>
    <w:hidden/>
    <w:uiPriority w:val="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6007">
      <w:bodyDiv w:val="1"/>
      <w:marLeft w:val="0"/>
      <w:marRight w:val="0"/>
      <w:marTop w:val="0"/>
      <w:marBottom w:val="0"/>
      <w:divBdr>
        <w:top w:val="none" w:sz="0" w:space="0" w:color="auto"/>
        <w:left w:val="none" w:sz="0" w:space="0" w:color="auto"/>
        <w:bottom w:val="none" w:sz="0" w:space="0" w:color="auto"/>
        <w:right w:val="none" w:sz="0" w:space="0" w:color="auto"/>
      </w:divBdr>
    </w:div>
    <w:div w:id="472598562">
      <w:bodyDiv w:val="1"/>
      <w:marLeft w:val="0"/>
      <w:marRight w:val="0"/>
      <w:marTop w:val="0"/>
      <w:marBottom w:val="0"/>
      <w:divBdr>
        <w:top w:val="none" w:sz="0" w:space="0" w:color="auto"/>
        <w:left w:val="none" w:sz="0" w:space="0" w:color="auto"/>
        <w:bottom w:val="none" w:sz="0" w:space="0" w:color="auto"/>
        <w:right w:val="none" w:sz="0" w:space="0" w:color="auto"/>
      </w:divBdr>
    </w:div>
    <w:div w:id="881014590">
      <w:bodyDiv w:val="1"/>
      <w:marLeft w:val="0"/>
      <w:marRight w:val="0"/>
      <w:marTop w:val="0"/>
      <w:marBottom w:val="0"/>
      <w:divBdr>
        <w:top w:val="none" w:sz="0" w:space="0" w:color="auto"/>
        <w:left w:val="none" w:sz="0" w:space="0" w:color="auto"/>
        <w:bottom w:val="none" w:sz="0" w:space="0" w:color="auto"/>
        <w:right w:val="none" w:sz="0" w:space="0" w:color="auto"/>
      </w:divBdr>
    </w:div>
    <w:div w:id="1024358892">
      <w:bodyDiv w:val="1"/>
      <w:marLeft w:val="0"/>
      <w:marRight w:val="0"/>
      <w:marTop w:val="0"/>
      <w:marBottom w:val="0"/>
      <w:divBdr>
        <w:top w:val="none" w:sz="0" w:space="0" w:color="auto"/>
        <w:left w:val="none" w:sz="0" w:space="0" w:color="auto"/>
        <w:bottom w:val="none" w:sz="0" w:space="0" w:color="auto"/>
        <w:right w:val="none" w:sz="0" w:space="0" w:color="auto"/>
      </w:divBdr>
    </w:div>
    <w:div w:id="1291714904">
      <w:bodyDiv w:val="1"/>
      <w:marLeft w:val="0"/>
      <w:marRight w:val="0"/>
      <w:marTop w:val="0"/>
      <w:marBottom w:val="0"/>
      <w:divBdr>
        <w:top w:val="none" w:sz="0" w:space="0" w:color="auto"/>
        <w:left w:val="none" w:sz="0" w:space="0" w:color="auto"/>
        <w:bottom w:val="none" w:sz="0" w:space="0" w:color="auto"/>
        <w:right w:val="none" w:sz="0" w:space="0" w:color="auto"/>
      </w:divBdr>
    </w:div>
    <w:div w:id="1551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2265</Words>
  <Characters>12444</Characters>
  <Application>Microsoft Office Word</Application>
  <DocSecurity>0</DocSecurity>
  <Lines>268</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2013-02-01T13:18:00Z</cp:lastPrinted>
  <dcterms:created xsi:type="dcterms:W3CDTF">2014-09-12T19:28:00Z</dcterms:created>
  <dcterms:modified xsi:type="dcterms:W3CDTF">2014-09-12T19:28:00Z</dcterms:modified>
  <cp:category> </cp:category>
  <cp:contentStatus> </cp:contentStatus>
</cp:coreProperties>
</file>