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C6" w:rsidRDefault="00861DC6" w:rsidP="0018561D">
      <w:pPr>
        <w:widowControl/>
        <w:jc w:val="center"/>
        <w:rPr>
          <w:b/>
        </w:rPr>
      </w:pPr>
      <w:bookmarkStart w:id="0" w:name="_GoBack"/>
      <w:bookmarkEnd w:id="0"/>
      <w:r>
        <w:rPr>
          <w:rFonts w:ascii="Times New Roman Bold" w:hAnsi="Times New Roman Bold"/>
          <w:b/>
          <w:kern w:val="0"/>
        </w:rPr>
        <w:t>Before</w:t>
      </w:r>
      <w:r>
        <w:rPr>
          <w:b/>
        </w:rPr>
        <w:t xml:space="preserve"> the</w:t>
      </w:r>
    </w:p>
    <w:p w:rsidR="00861DC6" w:rsidRDefault="00861DC6" w:rsidP="0018561D">
      <w:pPr>
        <w:pStyle w:val="StyleBoldCentered"/>
        <w:widowControl/>
        <w:rPr>
          <w:caps w:val="0"/>
        </w:rPr>
      </w:pPr>
      <w:r>
        <w:t>F</w:t>
      </w:r>
      <w:r>
        <w:rPr>
          <w:caps w:val="0"/>
        </w:rPr>
        <w:t>ederal Communications Commission</w:t>
      </w:r>
    </w:p>
    <w:p w:rsidR="00861DC6" w:rsidRDefault="00861DC6" w:rsidP="0018561D">
      <w:pPr>
        <w:pStyle w:val="StyleBoldCentered"/>
        <w:widowControl/>
      </w:pPr>
      <w:r>
        <w:rPr>
          <w:caps w:val="0"/>
        </w:rPr>
        <w:t>Washington, D.C.</w:t>
      </w:r>
      <w:r>
        <w:t xml:space="preserve"> 20554</w:t>
      </w:r>
    </w:p>
    <w:p w:rsidR="00861DC6" w:rsidRDefault="00861DC6" w:rsidP="0018561D">
      <w:pPr>
        <w:widowControl/>
      </w:pPr>
    </w:p>
    <w:p w:rsidR="00861DC6" w:rsidRDefault="00861DC6" w:rsidP="0018561D">
      <w:pPr>
        <w:widowControl/>
      </w:pPr>
    </w:p>
    <w:tbl>
      <w:tblPr>
        <w:tblW w:w="0" w:type="auto"/>
        <w:tblLayout w:type="fixed"/>
        <w:tblLook w:val="0000" w:firstRow="0" w:lastRow="0" w:firstColumn="0" w:lastColumn="0" w:noHBand="0" w:noVBand="0"/>
      </w:tblPr>
      <w:tblGrid>
        <w:gridCol w:w="4698"/>
        <w:gridCol w:w="630"/>
        <w:gridCol w:w="4248"/>
      </w:tblGrid>
      <w:tr w:rsidR="00861DC6">
        <w:tc>
          <w:tcPr>
            <w:tcW w:w="4698" w:type="dxa"/>
          </w:tcPr>
          <w:p w:rsidR="00861DC6" w:rsidRDefault="00861DC6" w:rsidP="0018561D">
            <w:pPr>
              <w:widowControl/>
              <w:tabs>
                <w:tab w:val="center" w:pos="4680"/>
              </w:tabs>
              <w:suppressAutoHyphens/>
              <w:rPr>
                <w:spacing w:val="-2"/>
              </w:rPr>
            </w:pPr>
            <w:r>
              <w:rPr>
                <w:spacing w:val="-2"/>
              </w:rPr>
              <w:t>In the Matter of</w:t>
            </w:r>
          </w:p>
          <w:p w:rsidR="00861DC6" w:rsidRDefault="00861DC6" w:rsidP="0018561D">
            <w:pPr>
              <w:widowControl/>
              <w:tabs>
                <w:tab w:val="center" w:pos="4680"/>
              </w:tabs>
              <w:suppressAutoHyphens/>
              <w:rPr>
                <w:spacing w:val="-2"/>
              </w:rPr>
            </w:pPr>
          </w:p>
          <w:p w:rsidR="00861DC6" w:rsidRDefault="00F103C7" w:rsidP="0018561D">
            <w:pPr>
              <w:widowControl/>
            </w:pPr>
            <w:r w:rsidRPr="000B60B6">
              <w:t xml:space="preserve">MUNICIPALITY OF </w:t>
            </w:r>
            <w:r w:rsidR="000B60B6" w:rsidRPr="000B60B6">
              <w:t>ANCHORAGE, ALASKA</w:t>
            </w:r>
          </w:p>
          <w:p w:rsidR="00245509" w:rsidRDefault="00245509" w:rsidP="0018561D">
            <w:pPr>
              <w:widowControl/>
            </w:pPr>
          </w:p>
          <w:p w:rsidR="00245509" w:rsidRDefault="00245509" w:rsidP="0018561D">
            <w:pPr>
              <w:widowControl/>
            </w:pPr>
            <w:r>
              <w:t>CALAMP WIRELESS NETWORKS, INC.</w:t>
            </w:r>
          </w:p>
          <w:p w:rsidR="00861DC6" w:rsidRDefault="00861DC6" w:rsidP="0018561D">
            <w:pPr>
              <w:widowControl/>
            </w:pPr>
          </w:p>
          <w:p w:rsidR="00861DC6" w:rsidRDefault="00861DC6" w:rsidP="000B60B6">
            <w:pPr>
              <w:widowControl/>
            </w:pPr>
            <w:r>
              <w:t xml:space="preserve">Request For Waiver of Section </w:t>
            </w:r>
            <w:r w:rsidR="000B60B6" w:rsidRPr="000B60B6">
              <w:t xml:space="preserve">90.531(d)(1) </w:t>
            </w:r>
            <w:r>
              <w:t>of the Commission’s Rules</w:t>
            </w:r>
          </w:p>
        </w:tc>
        <w:tc>
          <w:tcPr>
            <w:tcW w:w="630" w:type="dxa"/>
          </w:tcPr>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r>
              <w:rPr>
                <w:spacing w:val="-2"/>
              </w:rPr>
              <w:t>)</w:t>
            </w:r>
          </w:p>
          <w:p w:rsidR="00245509" w:rsidRDefault="00245509" w:rsidP="00245509">
            <w:pPr>
              <w:widowControl/>
              <w:tabs>
                <w:tab w:val="center" w:pos="4680"/>
              </w:tabs>
              <w:suppressAutoHyphens/>
              <w:rPr>
                <w:spacing w:val="-2"/>
              </w:rPr>
            </w:pPr>
            <w:r>
              <w:rPr>
                <w:spacing w:val="-2"/>
              </w:rPr>
              <w:t>)</w:t>
            </w:r>
          </w:p>
          <w:p w:rsidR="00861DC6" w:rsidRDefault="00861DC6" w:rsidP="0018561D">
            <w:pPr>
              <w:widowControl/>
              <w:tabs>
                <w:tab w:val="center" w:pos="4680"/>
              </w:tabs>
              <w:suppressAutoHyphens/>
              <w:rPr>
                <w:spacing w:val="-2"/>
              </w:rPr>
            </w:pPr>
          </w:p>
        </w:tc>
        <w:tc>
          <w:tcPr>
            <w:tcW w:w="4248" w:type="dxa"/>
          </w:tcPr>
          <w:p w:rsidR="00861DC6" w:rsidRDefault="00861DC6" w:rsidP="0018561D">
            <w:pPr>
              <w:widowControl/>
              <w:tabs>
                <w:tab w:val="center" w:pos="4680"/>
              </w:tabs>
              <w:suppressAutoHyphens/>
              <w:rPr>
                <w:spacing w:val="-2"/>
              </w:rPr>
            </w:pPr>
          </w:p>
          <w:p w:rsidR="00861DC6" w:rsidRDefault="00861DC6" w:rsidP="0018561D">
            <w:pPr>
              <w:pStyle w:val="TOAHeading"/>
              <w:widowControl/>
              <w:tabs>
                <w:tab w:val="clear" w:pos="9360"/>
                <w:tab w:val="center" w:pos="4680"/>
              </w:tabs>
              <w:rPr>
                <w:spacing w:val="-2"/>
              </w:rPr>
            </w:pPr>
          </w:p>
          <w:p w:rsidR="00861DC6" w:rsidRDefault="00F04E18" w:rsidP="0018561D">
            <w:pPr>
              <w:widowControl/>
              <w:tabs>
                <w:tab w:val="center" w:pos="4680"/>
              </w:tabs>
              <w:suppressAutoHyphens/>
              <w:rPr>
                <w:spacing w:val="-2"/>
              </w:rPr>
            </w:pPr>
            <w:r>
              <w:rPr>
                <w:spacing w:val="-2"/>
              </w:rPr>
              <w:t xml:space="preserve">ULS </w:t>
            </w:r>
            <w:r w:rsidR="00861DC6">
              <w:rPr>
                <w:spacing w:val="-2"/>
              </w:rPr>
              <w:t>File No</w:t>
            </w:r>
            <w:r w:rsidR="000B60B6">
              <w:rPr>
                <w:spacing w:val="-2"/>
              </w:rPr>
              <w:t>s</w:t>
            </w:r>
            <w:r w:rsidR="00861DC6">
              <w:rPr>
                <w:spacing w:val="-2"/>
              </w:rPr>
              <w:t xml:space="preserve">. </w:t>
            </w:r>
            <w:r w:rsidR="000B60B6" w:rsidRPr="000B60B6">
              <w:rPr>
                <w:spacing w:val="-2"/>
              </w:rPr>
              <w:t>0006112495 and 0006112498</w:t>
            </w:r>
          </w:p>
        </w:tc>
      </w:tr>
    </w:tbl>
    <w:p w:rsidR="00861DC6" w:rsidRDefault="00861DC6" w:rsidP="0018561D">
      <w:pPr>
        <w:widowControl/>
      </w:pPr>
    </w:p>
    <w:p w:rsidR="00861DC6" w:rsidRDefault="00861DC6" w:rsidP="0018561D">
      <w:pPr>
        <w:pStyle w:val="StyleBoldCentered"/>
        <w:widowControl/>
      </w:pPr>
      <w:r>
        <w:t>Order</w:t>
      </w:r>
    </w:p>
    <w:p w:rsidR="00861DC6" w:rsidRDefault="00861DC6" w:rsidP="0018561D">
      <w:pPr>
        <w:widowControl/>
        <w:tabs>
          <w:tab w:val="left" w:pos="-720"/>
        </w:tabs>
        <w:suppressAutoHyphens/>
        <w:spacing w:line="227" w:lineRule="auto"/>
        <w:rPr>
          <w:spacing w:val="-2"/>
        </w:rPr>
      </w:pPr>
    </w:p>
    <w:p w:rsidR="00861DC6" w:rsidRDefault="00861DC6" w:rsidP="0018561D">
      <w:pPr>
        <w:widowControl/>
        <w:tabs>
          <w:tab w:val="left" w:pos="720"/>
          <w:tab w:val="left" w:pos="6480"/>
          <w:tab w:val="right" w:pos="9360"/>
        </w:tabs>
        <w:suppressAutoHyphens/>
        <w:spacing w:line="227" w:lineRule="auto"/>
        <w:rPr>
          <w:b/>
          <w:spacing w:val="-2"/>
        </w:rPr>
      </w:pPr>
      <w:r>
        <w:rPr>
          <w:b/>
          <w:spacing w:val="-2"/>
        </w:rPr>
        <w:t xml:space="preserve">Adopted:  </w:t>
      </w:r>
      <w:r w:rsidR="004C10FC">
        <w:rPr>
          <w:b/>
          <w:spacing w:val="-2"/>
        </w:rPr>
        <w:t>August 2</w:t>
      </w:r>
      <w:r w:rsidR="00303144">
        <w:rPr>
          <w:b/>
          <w:spacing w:val="-2"/>
        </w:rPr>
        <w:t>6</w:t>
      </w:r>
      <w:r>
        <w:rPr>
          <w:b/>
          <w:spacing w:val="-2"/>
        </w:rPr>
        <w:t>, 201</w:t>
      </w:r>
      <w:r w:rsidR="00F04E18">
        <w:rPr>
          <w:b/>
          <w:spacing w:val="-2"/>
        </w:rPr>
        <w:t>4</w:t>
      </w:r>
      <w:r>
        <w:rPr>
          <w:b/>
          <w:spacing w:val="-2"/>
        </w:rPr>
        <w:tab/>
        <w:t xml:space="preserve">Released:  </w:t>
      </w:r>
      <w:r w:rsidR="004C10FC">
        <w:rPr>
          <w:b/>
          <w:spacing w:val="-2"/>
        </w:rPr>
        <w:t>August</w:t>
      </w:r>
      <w:r>
        <w:rPr>
          <w:b/>
          <w:spacing w:val="-2"/>
        </w:rPr>
        <w:t xml:space="preserve"> </w:t>
      </w:r>
      <w:r w:rsidR="004C10FC">
        <w:rPr>
          <w:b/>
          <w:spacing w:val="-2"/>
        </w:rPr>
        <w:t>2</w:t>
      </w:r>
      <w:r w:rsidR="00303144">
        <w:rPr>
          <w:b/>
          <w:spacing w:val="-2"/>
        </w:rPr>
        <w:t>6</w:t>
      </w:r>
      <w:r>
        <w:rPr>
          <w:b/>
          <w:spacing w:val="-2"/>
        </w:rPr>
        <w:t>, 201</w:t>
      </w:r>
      <w:r w:rsidR="00F04E18">
        <w:rPr>
          <w:b/>
          <w:spacing w:val="-2"/>
        </w:rPr>
        <w:t>4</w:t>
      </w:r>
    </w:p>
    <w:p w:rsidR="00861DC6" w:rsidRDefault="00861DC6" w:rsidP="0018561D">
      <w:pPr>
        <w:widowControl/>
      </w:pPr>
    </w:p>
    <w:p w:rsidR="00861DC6" w:rsidRDefault="00861DC6" w:rsidP="0018561D">
      <w:pPr>
        <w:widowControl/>
        <w:rPr>
          <w:spacing w:val="-2"/>
        </w:rPr>
      </w:pPr>
      <w:r>
        <w:t xml:space="preserve">By the </w:t>
      </w:r>
      <w:r>
        <w:rPr>
          <w:spacing w:val="-2"/>
        </w:rPr>
        <w:t>Chief, Public Safety and Homeland Security Bureau:</w:t>
      </w:r>
    </w:p>
    <w:p w:rsidR="00861DC6" w:rsidRDefault="00861DC6" w:rsidP="0018561D">
      <w:pPr>
        <w:widowControl/>
      </w:pPr>
    </w:p>
    <w:p w:rsidR="00861DC6" w:rsidRDefault="00861DC6" w:rsidP="0018561D">
      <w:pPr>
        <w:pStyle w:val="Heading1"/>
        <w:widowControl/>
      </w:pPr>
      <w:r>
        <w:t>introduction</w:t>
      </w:r>
    </w:p>
    <w:p w:rsidR="00C15E76" w:rsidRDefault="001E1CFF" w:rsidP="000B60B6">
      <w:pPr>
        <w:pStyle w:val="ParaNum"/>
        <w:numPr>
          <w:ilvl w:val="0"/>
          <w:numId w:val="9"/>
        </w:numPr>
        <w:tabs>
          <w:tab w:val="clear" w:pos="360"/>
          <w:tab w:val="clear" w:pos="1440"/>
          <w:tab w:val="num" w:pos="1100"/>
        </w:tabs>
        <w:spacing w:after="120"/>
        <w:ind w:left="0" w:firstLine="440"/>
      </w:pPr>
      <w:r>
        <w:t xml:space="preserve">On </w:t>
      </w:r>
      <w:r w:rsidR="000B60B6">
        <w:t xml:space="preserve">January 22, </w:t>
      </w:r>
      <w:r>
        <w:t>2014, t</w:t>
      </w:r>
      <w:r w:rsidR="00861DC6">
        <w:t xml:space="preserve">he </w:t>
      </w:r>
      <w:r w:rsidR="000B60B6" w:rsidRPr="000B60B6">
        <w:t>Municipality of Anchorage, Alaska (Anchorage or Municipality)</w:t>
      </w:r>
      <w:r w:rsidR="000B60B6">
        <w:t xml:space="preserve"> </w:t>
      </w:r>
      <w:r w:rsidR="00861DC6">
        <w:t xml:space="preserve">filed </w:t>
      </w:r>
      <w:r w:rsidR="000B60B6">
        <w:t xml:space="preserve">two </w:t>
      </w:r>
      <w:r w:rsidR="00861DC6">
        <w:t>application</w:t>
      </w:r>
      <w:r w:rsidR="000B60B6">
        <w:t>s</w:t>
      </w:r>
      <w:r w:rsidR="00861DC6">
        <w:t xml:space="preserve"> </w:t>
      </w:r>
      <w:r w:rsidR="000B60B6">
        <w:rPr>
          <w:snapToGrid/>
          <w:kern w:val="0"/>
          <w:szCs w:val="22"/>
        </w:rPr>
        <w:t xml:space="preserve">seeking authority to operate a new </w:t>
      </w:r>
      <w:r w:rsidR="001351DC">
        <w:rPr>
          <w:snapToGrid/>
          <w:kern w:val="0"/>
          <w:szCs w:val="22"/>
        </w:rPr>
        <w:t xml:space="preserve">wideband </w:t>
      </w:r>
      <w:r w:rsidR="000B60B6" w:rsidRPr="00C71E31">
        <w:rPr>
          <w:snapToGrid/>
          <w:kern w:val="0"/>
          <w:szCs w:val="22"/>
        </w:rPr>
        <w:t>IP-based</w:t>
      </w:r>
      <w:r w:rsidR="000B60B6">
        <w:rPr>
          <w:snapToGrid/>
          <w:kern w:val="0"/>
          <w:szCs w:val="22"/>
        </w:rPr>
        <w:t xml:space="preserve"> </w:t>
      </w:r>
      <w:r w:rsidR="000B60B6" w:rsidRPr="00C71E31">
        <w:rPr>
          <w:snapToGrid/>
          <w:kern w:val="0"/>
          <w:szCs w:val="22"/>
        </w:rPr>
        <w:t xml:space="preserve">private </w:t>
      </w:r>
      <w:r w:rsidR="000B60B6">
        <w:rPr>
          <w:snapToGrid/>
          <w:kern w:val="0"/>
          <w:szCs w:val="22"/>
        </w:rPr>
        <w:t xml:space="preserve">land </w:t>
      </w:r>
      <w:r w:rsidR="000B60B6" w:rsidRPr="00C71E31">
        <w:rPr>
          <w:snapToGrid/>
          <w:kern w:val="0"/>
          <w:szCs w:val="22"/>
        </w:rPr>
        <w:t>mobile dat</w:t>
      </w:r>
      <w:r w:rsidR="000B60B6">
        <w:rPr>
          <w:snapToGrid/>
          <w:kern w:val="0"/>
          <w:szCs w:val="22"/>
        </w:rPr>
        <w:t>a system on General Use channels in the portion of the 700 MHz band designated for public safety narrowband use.</w:t>
      </w:r>
      <w:r w:rsidR="000B60B6">
        <w:rPr>
          <w:rStyle w:val="FootnoteReference"/>
          <w:snapToGrid/>
          <w:kern w:val="0"/>
          <w:szCs w:val="22"/>
        </w:rPr>
        <w:footnoteReference w:id="2"/>
      </w:r>
      <w:r w:rsidR="000B60B6">
        <w:rPr>
          <w:snapToGrid/>
          <w:kern w:val="0"/>
          <w:szCs w:val="22"/>
        </w:rPr>
        <w:t xml:space="preserve">  In connection with these applications, Anchorage seeks waiver of </w:t>
      </w:r>
      <w:r w:rsidR="000B60B6" w:rsidRPr="00284B77">
        <w:rPr>
          <w:snapToGrid/>
          <w:kern w:val="0"/>
          <w:szCs w:val="22"/>
        </w:rPr>
        <w:t>Section 90.531(d)(1)</w:t>
      </w:r>
      <w:r w:rsidR="000B60B6">
        <w:rPr>
          <w:snapToGrid/>
          <w:kern w:val="0"/>
          <w:szCs w:val="22"/>
        </w:rPr>
        <w:t xml:space="preserve"> of the Commission’s rules</w:t>
      </w:r>
      <w:r w:rsidR="000B60B6">
        <w:rPr>
          <w:rStyle w:val="FootnoteReference"/>
          <w:snapToGrid/>
          <w:kern w:val="0"/>
          <w:szCs w:val="22"/>
        </w:rPr>
        <w:footnoteReference w:id="3"/>
      </w:r>
      <w:r w:rsidR="000B60B6">
        <w:rPr>
          <w:snapToGrid/>
          <w:kern w:val="0"/>
          <w:szCs w:val="22"/>
        </w:rPr>
        <w:t xml:space="preserve"> so that it may operate its mobile data system on a wideband basis using 50 kHz bandwidth channels.</w:t>
      </w:r>
      <w:r w:rsidR="000B60B6">
        <w:rPr>
          <w:rStyle w:val="FootnoteReference"/>
          <w:snapToGrid/>
          <w:kern w:val="0"/>
          <w:szCs w:val="22"/>
        </w:rPr>
        <w:footnoteReference w:id="4"/>
      </w:r>
      <w:r w:rsidR="000B60B6">
        <w:t xml:space="preserve">  </w:t>
      </w:r>
      <w:r w:rsidR="00245509">
        <w:t xml:space="preserve">It </w:t>
      </w:r>
      <w:r w:rsidR="00245509">
        <w:rPr>
          <w:snapToGrid/>
          <w:kern w:val="0"/>
          <w:szCs w:val="22"/>
        </w:rPr>
        <w:t>also seeks waiver of Section 90.531(d)(1) on behalf of its equipment vendor, CalAmp</w:t>
      </w:r>
      <w:r w:rsidR="002127D6">
        <w:rPr>
          <w:snapToGrid/>
          <w:kern w:val="0"/>
          <w:szCs w:val="22"/>
        </w:rPr>
        <w:t xml:space="preserve"> </w:t>
      </w:r>
      <w:r w:rsidR="002127D6" w:rsidRPr="00C66E23">
        <w:t>Wireless Networks, Inc. (CalAmp)</w:t>
      </w:r>
      <w:r w:rsidR="00245509">
        <w:rPr>
          <w:snapToGrid/>
          <w:kern w:val="0"/>
          <w:szCs w:val="22"/>
        </w:rPr>
        <w:t>, so that it may obtain equipment from CalAmp capable of operating with a channel bandwidth greater than 25 kHz.</w:t>
      </w:r>
      <w:r w:rsidR="00245509">
        <w:rPr>
          <w:rStyle w:val="FootnoteReference"/>
          <w:snapToGrid/>
          <w:kern w:val="0"/>
          <w:szCs w:val="22"/>
        </w:rPr>
        <w:footnoteReference w:id="5"/>
      </w:r>
    </w:p>
    <w:p w:rsidR="00861DC6" w:rsidRPr="008F1E6C" w:rsidRDefault="000B60B6" w:rsidP="000B60B6">
      <w:pPr>
        <w:pStyle w:val="ParaNum"/>
        <w:numPr>
          <w:ilvl w:val="0"/>
          <w:numId w:val="9"/>
        </w:numPr>
        <w:tabs>
          <w:tab w:val="clear" w:pos="360"/>
          <w:tab w:val="clear" w:pos="1440"/>
          <w:tab w:val="num" w:pos="1100"/>
        </w:tabs>
        <w:spacing w:after="120"/>
        <w:ind w:left="0" w:firstLine="440"/>
      </w:pPr>
      <w:r w:rsidRPr="002127D6">
        <w:t>F</w:t>
      </w:r>
      <w:r w:rsidR="00132F30" w:rsidRPr="008533CD">
        <w:t xml:space="preserve">or the </w:t>
      </w:r>
      <w:r w:rsidR="00861DC6" w:rsidRPr="008533CD">
        <w:t xml:space="preserve">reasons detailed below, we grant </w:t>
      </w:r>
      <w:r w:rsidRPr="008533CD">
        <w:t xml:space="preserve">Anchorage’s </w:t>
      </w:r>
      <w:r w:rsidR="00861DC6" w:rsidRPr="008533CD">
        <w:t>waiver request.</w:t>
      </w:r>
      <w:r w:rsidR="00C15E76" w:rsidRPr="008533CD">
        <w:t xml:space="preserve">  We also grant a waiver to CalAmp so that it may add a wideband emission designator to the equipment </w:t>
      </w:r>
      <w:r w:rsidR="00C15E76" w:rsidRPr="00DA5581">
        <w:t xml:space="preserve">certification </w:t>
      </w:r>
      <w:r w:rsidR="00384E09" w:rsidRPr="008F1E6C">
        <w:t xml:space="preserve">for </w:t>
      </w:r>
      <w:r w:rsidR="00C15E76" w:rsidRPr="004D0AC7">
        <w:t>one</w:t>
      </w:r>
      <w:r w:rsidR="00CB3CD1" w:rsidRPr="004D0AC7">
        <w:t xml:space="preserve"> model</w:t>
      </w:r>
      <w:r w:rsidR="00C15E76" w:rsidRPr="004D0AC7">
        <w:t xml:space="preserve"> of its </w:t>
      </w:r>
      <w:r w:rsidR="006D6DC5" w:rsidRPr="008F1E6C">
        <w:t xml:space="preserve">700 MHz </w:t>
      </w:r>
      <w:r w:rsidR="00C15E76" w:rsidRPr="008F1E6C">
        <w:t>base stations for operation in Anchorage’s IP-based mobile data system.</w:t>
      </w:r>
      <w:r w:rsidR="00E07252" w:rsidRPr="008F1E6C">
        <w:rPr>
          <w:rStyle w:val="FootnoteReference"/>
        </w:rPr>
        <w:footnoteReference w:id="6"/>
      </w:r>
      <w:r w:rsidR="00C15E76" w:rsidRPr="008F1E6C">
        <w:t xml:space="preserve">  </w:t>
      </w:r>
      <w:r w:rsidR="00861DC6" w:rsidRPr="008F1E6C">
        <w:t xml:space="preserve">  </w:t>
      </w:r>
    </w:p>
    <w:p w:rsidR="00861DC6" w:rsidRDefault="00861DC6" w:rsidP="0018561D">
      <w:pPr>
        <w:pStyle w:val="Heading1"/>
        <w:widowControl/>
      </w:pPr>
      <w:r>
        <w:t>background</w:t>
      </w:r>
    </w:p>
    <w:p w:rsidR="009126A1" w:rsidRPr="002015B2" w:rsidRDefault="002015B2" w:rsidP="0018561D">
      <w:pPr>
        <w:pStyle w:val="ParaNum"/>
        <w:numPr>
          <w:ilvl w:val="0"/>
          <w:numId w:val="9"/>
        </w:numPr>
        <w:tabs>
          <w:tab w:val="clear" w:pos="360"/>
          <w:tab w:val="clear" w:pos="1440"/>
          <w:tab w:val="num" w:pos="1100"/>
        </w:tabs>
        <w:spacing w:after="120"/>
        <w:ind w:left="0" w:firstLine="440"/>
      </w:pPr>
      <w:r>
        <w:rPr>
          <w:snapToGrid/>
          <w:kern w:val="0"/>
          <w:szCs w:val="22"/>
        </w:rPr>
        <w:t xml:space="preserve">Anchorage currently operates a </w:t>
      </w:r>
      <w:r w:rsidRPr="003743D3">
        <w:rPr>
          <w:snapToGrid/>
          <w:kern w:val="0"/>
          <w:szCs w:val="22"/>
        </w:rPr>
        <w:t>14</w:t>
      </w:r>
      <w:r>
        <w:rPr>
          <w:snapToGrid/>
          <w:kern w:val="0"/>
          <w:szCs w:val="22"/>
        </w:rPr>
        <w:t>-</w:t>
      </w:r>
      <w:r w:rsidRPr="003743D3">
        <w:rPr>
          <w:snapToGrid/>
          <w:kern w:val="0"/>
          <w:szCs w:val="22"/>
        </w:rPr>
        <w:t>year old mobile data system</w:t>
      </w:r>
      <w:r w:rsidR="001351DC">
        <w:rPr>
          <w:snapToGrid/>
          <w:kern w:val="0"/>
          <w:szCs w:val="22"/>
        </w:rPr>
        <w:t>, serving</w:t>
      </w:r>
      <w:r w:rsidRPr="003743D3">
        <w:rPr>
          <w:snapToGrid/>
          <w:kern w:val="0"/>
          <w:szCs w:val="22"/>
        </w:rPr>
        <w:t xml:space="preserve"> </w:t>
      </w:r>
      <w:r>
        <w:rPr>
          <w:snapToGrid/>
          <w:kern w:val="0"/>
          <w:szCs w:val="22"/>
        </w:rPr>
        <w:t xml:space="preserve">over </w:t>
      </w:r>
      <w:r w:rsidRPr="003743D3">
        <w:rPr>
          <w:snapToGrid/>
          <w:kern w:val="0"/>
          <w:szCs w:val="22"/>
        </w:rPr>
        <w:t xml:space="preserve">350 </w:t>
      </w:r>
      <w:r>
        <w:rPr>
          <w:snapToGrid/>
          <w:kern w:val="0"/>
          <w:szCs w:val="22"/>
        </w:rPr>
        <w:t>of p</w:t>
      </w:r>
      <w:r w:rsidRPr="003743D3">
        <w:rPr>
          <w:snapToGrid/>
          <w:kern w:val="0"/>
          <w:szCs w:val="22"/>
        </w:rPr>
        <w:t>olice patrol units</w:t>
      </w:r>
      <w:r w:rsidR="001351DC">
        <w:rPr>
          <w:snapToGrid/>
          <w:kern w:val="0"/>
          <w:szCs w:val="22"/>
        </w:rPr>
        <w:t xml:space="preserve"> using 25 kHz bandwidth channels in the 800 MHz band</w:t>
      </w:r>
      <w:r>
        <w:rPr>
          <w:snapToGrid/>
          <w:kern w:val="0"/>
          <w:szCs w:val="22"/>
        </w:rPr>
        <w:t>.</w:t>
      </w:r>
      <w:r>
        <w:rPr>
          <w:rStyle w:val="FootnoteReference"/>
          <w:snapToGrid/>
          <w:kern w:val="0"/>
          <w:szCs w:val="22"/>
        </w:rPr>
        <w:footnoteReference w:id="7"/>
      </w:r>
      <w:r>
        <w:rPr>
          <w:snapToGrid/>
          <w:kern w:val="0"/>
          <w:szCs w:val="22"/>
        </w:rPr>
        <w:t xml:space="preserve">  Anchorage</w:t>
      </w:r>
      <w:r w:rsidR="001351DC">
        <w:rPr>
          <w:snapToGrid/>
          <w:kern w:val="0"/>
          <w:szCs w:val="22"/>
        </w:rPr>
        <w:t xml:space="preserve"> contends this</w:t>
      </w:r>
      <w:r>
        <w:rPr>
          <w:snapToGrid/>
          <w:kern w:val="0"/>
          <w:szCs w:val="22"/>
        </w:rPr>
        <w:t xml:space="preserve"> mobile data system is “outdated” and “</w:t>
      </w:r>
      <w:r w:rsidRPr="00967262">
        <w:rPr>
          <w:snapToGrid/>
          <w:kern w:val="0"/>
          <w:szCs w:val="22"/>
        </w:rPr>
        <w:t>difficult to maintain and</w:t>
      </w:r>
      <w:r>
        <w:rPr>
          <w:snapToGrid/>
          <w:kern w:val="0"/>
          <w:szCs w:val="22"/>
        </w:rPr>
        <w:t xml:space="preserve"> </w:t>
      </w:r>
      <w:r w:rsidRPr="00967262">
        <w:rPr>
          <w:snapToGrid/>
          <w:kern w:val="0"/>
          <w:szCs w:val="22"/>
        </w:rPr>
        <w:t>repair</w:t>
      </w:r>
      <w:r w:rsidR="00B76D38">
        <w:rPr>
          <w:snapToGrid/>
          <w:kern w:val="0"/>
          <w:szCs w:val="22"/>
        </w:rPr>
        <w:t>.</w:t>
      </w:r>
      <w:r>
        <w:rPr>
          <w:snapToGrid/>
          <w:kern w:val="0"/>
          <w:szCs w:val="22"/>
        </w:rPr>
        <w:t>”</w:t>
      </w:r>
      <w:r>
        <w:rPr>
          <w:rStyle w:val="FootnoteReference"/>
          <w:snapToGrid/>
          <w:kern w:val="0"/>
          <w:szCs w:val="22"/>
        </w:rPr>
        <w:footnoteReference w:id="8"/>
      </w:r>
      <w:r w:rsidR="00B76D38">
        <w:rPr>
          <w:snapToGrid/>
          <w:kern w:val="0"/>
          <w:szCs w:val="22"/>
        </w:rPr>
        <w:t xml:space="preserve">  D</w:t>
      </w:r>
      <w:r w:rsidR="001351DC">
        <w:rPr>
          <w:snapToGrid/>
          <w:kern w:val="0"/>
          <w:szCs w:val="22"/>
        </w:rPr>
        <w:t xml:space="preserve">ue to </w:t>
      </w:r>
      <w:r>
        <w:rPr>
          <w:snapToGrid/>
          <w:kern w:val="0"/>
          <w:szCs w:val="22"/>
        </w:rPr>
        <w:t xml:space="preserve">increased demands, </w:t>
      </w:r>
      <w:r w:rsidR="00581026">
        <w:rPr>
          <w:snapToGrid/>
          <w:kern w:val="0"/>
          <w:szCs w:val="22"/>
        </w:rPr>
        <w:t xml:space="preserve">it claims </w:t>
      </w:r>
      <w:r w:rsidRPr="00967262">
        <w:rPr>
          <w:snapToGrid/>
          <w:kern w:val="0"/>
          <w:szCs w:val="22"/>
        </w:rPr>
        <w:lastRenderedPageBreak/>
        <w:t xml:space="preserve">congestion </w:t>
      </w:r>
      <w:r>
        <w:rPr>
          <w:snapToGrid/>
          <w:kern w:val="0"/>
          <w:szCs w:val="22"/>
        </w:rPr>
        <w:t>on its mobile data system “</w:t>
      </w:r>
      <w:r w:rsidRPr="00967262">
        <w:rPr>
          <w:snapToGrid/>
          <w:kern w:val="0"/>
          <w:szCs w:val="22"/>
        </w:rPr>
        <w:t>adversely affects the Municipality’s ability to</w:t>
      </w:r>
      <w:r>
        <w:rPr>
          <w:snapToGrid/>
          <w:kern w:val="0"/>
          <w:szCs w:val="22"/>
        </w:rPr>
        <w:t xml:space="preserve"> </w:t>
      </w:r>
      <w:r w:rsidRPr="00967262">
        <w:rPr>
          <w:snapToGrid/>
          <w:kern w:val="0"/>
          <w:szCs w:val="22"/>
        </w:rPr>
        <w:t>transmit critical public safety informatio</w:t>
      </w:r>
      <w:r>
        <w:rPr>
          <w:snapToGrid/>
          <w:kern w:val="0"/>
          <w:szCs w:val="22"/>
        </w:rPr>
        <w:t>n.”</w:t>
      </w:r>
      <w:r>
        <w:rPr>
          <w:rStyle w:val="FootnoteReference"/>
          <w:snapToGrid/>
          <w:kern w:val="0"/>
          <w:szCs w:val="22"/>
        </w:rPr>
        <w:footnoteReference w:id="9"/>
      </w:r>
      <w:r>
        <w:rPr>
          <w:snapToGrid/>
          <w:kern w:val="0"/>
          <w:szCs w:val="22"/>
        </w:rPr>
        <w:t xml:space="preserve">  It also argues that </w:t>
      </w:r>
      <w:r w:rsidR="001351DC">
        <w:rPr>
          <w:snapToGrid/>
          <w:kern w:val="0"/>
          <w:szCs w:val="22"/>
        </w:rPr>
        <w:t xml:space="preserve">it is difficult to implement </w:t>
      </w:r>
      <w:r>
        <w:rPr>
          <w:snapToGrid/>
          <w:kern w:val="0"/>
          <w:szCs w:val="22"/>
        </w:rPr>
        <w:t xml:space="preserve">enhancements to its current system to accommodate its </w:t>
      </w:r>
      <w:r w:rsidRPr="00D3028D">
        <w:rPr>
          <w:snapToGrid/>
          <w:kern w:val="0"/>
          <w:szCs w:val="22"/>
        </w:rPr>
        <w:t>expand</w:t>
      </w:r>
      <w:r>
        <w:rPr>
          <w:snapToGrid/>
          <w:kern w:val="0"/>
          <w:szCs w:val="22"/>
        </w:rPr>
        <w:t xml:space="preserve">ing need </w:t>
      </w:r>
      <w:r w:rsidRPr="00D3028D">
        <w:rPr>
          <w:snapToGrid/>
          <w:kern w:val="0"/>
          <w:szCs w:val="22"/>
        </w:rPr>
        <w:t>for mobile data</w:t>
      </w:r>
      <w:r>
        <w:rPr>
          <w:snapToGrid/>
          <w:kern w:val="0"/>
          <w:szCs w:val="22"/>
        </w:rPr>
        <w:t xml:space="preserve"> because the </w:t>
      </w:r>
      <w:r w:rsidR="001351DC">
        <w:rPr>
          <w:snapToGrid/>
          <w:kern w:val="0"/>
          <w:szCs w:val="22"/>
        </w:rPr>
        <w:t xml:space="preserve">system’s </w:t>
      </w:r>
      <w:r>
        <w:rPr>
          <w:snapToGrid/>
          <w:kern w:val="0"/>
          <w:szCs w:val="22"/>
        </w:rPr>
        <w:t>underlying technology is “</w:t>
      </w:r>
      <w:r w:rsidRPr="00C71E31">
        <w:rPr>
          <w:snapToGrid/>
          <w:kern w:val="0"/>
          <w:szCs w:val="22"/>
        </w:rPr>
        <w:t>relatively</w:t>
      </w:r>
      <w:r>
        <w:rPr>
          <w:snapToGrid/>
          <w:kern w:val="0"/>
          <w:szCs w:val="22"/>
        </w:rPr>
        <w:t xml:space="preserve"> </w:t>
      </w:r>
      <w:r w:rsidRPr="00C71E31">
        <w:rPr>
          <w:snapToGrid/>
          <w:kern w:val="0"/>
          <w:szCs w:val="22"/>
        </w:rPr>
        <w:t>obsolete</w:t>
      </w:r>
      <w:r>
        <w:rPr>
          <w:snapToGrid/>
          <w:kern w:val="0"/>
          <w:szCs w:val="22"/>
        </w:rPr>
        <w:t>.”</w:t>
      </w:r>
      <w:r>
        <w:rPr>
          <w:rStyle w:val="FootnoteReference"/>
          <w:snapToGrid/>
          <w:kern w:val="0"/>
          <w:szCs w:val="22"/>
        </w:rPr>
        <w:footnoteReference w:id="10"/>
      </w:r>
    </w:p>
    <w:p w:rsidR="002015B2" w:rsidRPr="00F70BC4" w:rsidRDefault="002015B2" w:rsidP="0018561D">
      <w:pPr>
        <w:pStyle w:val="ParaNum"/>
        <w:numPr>
          <w:ilvl w:val="0"/>
          <w:numId w:val="9"/>
        </w:numPr>
        <w:tabs>
          <w:tab w:val="clear" w:pos="360"/>
          <w:tab w:val="clear" w:pos="1440"/>
          <w:tab w:val="num" w:pos="1100"/>
        </w:tabs>
        <w:spacing w:after="120"/>
        <w:ind w:left="0" w:firstLine="440"/>
      </w:pPr>
      <w:r>
        <w:rPr>
          <w:snapToGrid/>
          <w:kern w:val="0"/>
          <w:szCs w:val="22"/>
        </w:rPr>
        <w:t>Accordingly, Anchorage seeks to</w:t>
      </w:r>
      <w:r w:rsidR="00F70BC4">
        <w:rPr>
          <w:snapToGrid/>
          <w:kern w:val="0"/>
          <w:szCs w:val="22"/>
        </w:rPr>
        <w:t xml:space="preserve"> build and implement a new </w:t>
      </w:r>
      <w:r w:rsidR="00F70BC4" w:rsidRPr="004E1A63">
        <w:rPr>
          <w:snapToGrid/>
          <w:kern w:val="0"/>
          <w:szCs w:val="22"/>
        </w:rPr>
        <w:t>700 MHz wideband IP-based</w:t>
      </w:r>
      <w:r w:rsidR="00F70BC4">
        <w:rPr>
          <w:snapToGrid/>
          <w:kern w:val="0"/>
          <w:szCs w:val="22"/>
        </w:rPr>
        <w:t xml:space="preserve"> </w:t>
      </w:r>
      <w:r w:rsidR="00F70BC4" w:rsidRPr="004E1A63">
        <w:rPr>
          <w:snapToGrid/>
          <w:kern w:val="0"/>
          <w:szCs w:val="22"/>
        </w:rPr>
        <w:t xml:space="preserve">private </w:t>
      </w:r>
      <w:r w:rsidR="00F70BC4">
        <w:rPr>
          <w:snapToGrid/>
          <w:kern w:val="0"/>
          <w:szCs w:val="22"/>
        </w:rPr>
        <w:t xml:space="preserve">land </w:t>
      </w:r>
      <w:r w:rsidR="00F70BC4" w:rsidRPr="004E1A63">
        <w:rPr>
          <w:snapToGrid/>
          <w:kern w:val="0"/>
          <w:szCs w:val="22"/>
        </w:rPr>
        <w:t>mobile data</w:t>
      </w:r>
      <w:r w:rsidR="00F70BC4">
        <w:rPr>
          <w:snapToGrid/>
          <w:kern w:val="0"/>
          <w:szCs w:val="22"/>
        </w:rPr>
        <w:t xml:space="preserve"> system that </w:t>
      </w:r>
      <w:r w:rsidR="001351DC">
        <w:rPr>
          <w:snapToGrid/>
          <w:kern w:val="0"/>
          <w:szCs w:val="22"/>
        </w:rPr>
        <w:t xml:space="preserve">it </w:t>
      </w:r>
      <w:r w:rsidR="00F70BC4">
        <w:rPr>
          <w:snapToGrid/>
          <w:kern w:val="0"/>
          <w:szCs w:val="22"/>
        </w:rPr>
        <w:t xml:space="preserve">can integrate into the </w:t>
      </w:r>
      <w:r w:rsidR="001351DC">
        <w:rPr>
          <w:snapToGrid/>
          <w:kern w:val="0"/>
          <w:szCs w:val="22"/>
        </w:rPr>
        <w:t xml:space="preserve">existing </w:t>
      </w:r>
      <w:r w:rsidR="00F70BC4" w:rsidRPr="004E1A63">
        <w:rPr>
          <w:snapToGrid/>
          <w:kern w:val="0"/>
          <w:szCs w:val="22"/>
        </w:rPr>
        <w:t>Anchorage Wide Area Radio Network (AWARN)</w:t>
      </w:r>
      <w:r w:rsidR="00F70BC4">
        <w:rPr>
          <w:snapToGrid/>
          <w:kern w:val="0"/>
          <w:szCs w:val="22"/>
        </w:rPr>
        <w:t>.</w:t>
      </w:r>
      <w:r w:rsidR="00F70BC4">
        <w:rPr>
          <w:rStyle w:val="FootnoteReference"/>
          <w:snapToGrid/>
          <w:kern w:val="0"/>
          <w:szCs w:val="22"/>
        </w:rPr>
        <w:footnoteReference w:id="11"/>
      </w:r>
      <w:r w:rsidR="00F70BC4">
        <w:rPr>
          <w:snapToGrid/>
          <w:kern w:val="0"/>
          <w:szCs w:val="22"/>
        </w:rPr>
        <w:t xml:space="preserve">  AWARN is an existing </w:t>
      </w:r>
      <w:r w:rsidR="00F70BC4" w:rsidRPr="004E1A63">
        <w:rPr>
          <w:snapToGrid/>
          <w:kern w:val="0"/>
          <w:szCs w:val="22"/>
        </w:rPr>
        <w:t>700 MHz narrowband digital IP</w:t>
      </w:r>
      <w:r w:rsidR="00F70BC4">
        <w:rPr>
          <w:snapToGrid/>
          <w:kern w:val="0"/>
          <w:szCs w:val="22"/>
        </w:rPr>
        <w:t>-</w:t>
      </w:r>
      <w:r w:rsidR="00F70BC4" w:rsidRPr="004E1A63">
        <w:rPr>
          <w:snapToGrid/>
          <w:kern w:val="0"/>
          <w:szCs w:val="22"/>
        </w:rPr>
        <w:t>based public safety voice radio system</w:t>
      </w:r>
      <w:r w:rsidR="00F70BC4">
        <w:rPr>
          <w:snapToGrid/>
          <w:kern w:val="0"/>
          <w:szCs w:val="22"/>
        </w:rPr>
        <w:t xml:space="preserve"> that </w:t>
      </w:r>
      <w:r w:rsidR="00F70BC4" w:rsidRPr="003040E7">
        <w:rPr>
          <w:snapToGrid/>
          <w:kern w:val="0"/>
          <w:szCs w:val="22"/>
        </w:rPr>
        <w:t>almost all public safety agencies and emergency responders in the Municipality</w:t>
      </w:r>
      <w:r w:rsidR="001351DC">
        <w:rPr>
          <w:snapToGrid/>
          <w:kern w:val="0"/>
          <w:szCs w:val="22"/>
        </w:rPr>
        <w:t xml:space="preserve"> use</w:t>
      </w:r>
      <w:r w:rsidR="00F70BC4">
        <w:rPr>
          <w:snapToGrid/>
          <w:kern w:val="0"/>
          <w:szCs w:val="22"/>
        </w:rPr>
        <w:t>.</w:t>
      </w:r>
      <w:r w:rsidR="00F70BC4">
        <w:rPr>
          <w:rStyle w:val="FootnoteReference"/>
          <w:snapToGrid/>
          <w:kern w:val="0"/>
          <w:szCs w:val="22"/>
        </w:rPr>
        <w:footnoteReference w:id="12"/>
      </w:r>
      <w:r w:rsidR="00F70BC4">
        <w:rPr>
          <w:snapToGrid/>
          <w:kern w:val="0"/>
          <w:szCs w:val="22"/>
        </w:rPr>
        <w:t xml:space="preserve">  </w:t>
      </w:r>
      <w:r w:rsidR="001351DC">
        <w:rPr>
          <w:snapToGrid/>
          <w:kern w:val="0"/>
          <w:szCs w:val="22"/>
        </w:rPr>
        <w:t xml:space="preserve">While </w:t>
      </w:r>
      <w:r w:rsidR="00F70BC4">
        <w:rPr>
          <w:snapToGrid/>
          <w:kern w:val="0"/>
          <w:szCs w:val="22"/>
        </w:rPr>
        <w:t xml:space="preserve">AWARN is </w:t>
      </w:r>
      <w:r w:rsidR="001351DC">
        <w:rPr>
          <w:snapToGrid/>
          <w:kern w:val="0"/>
          <w:szCs w:val="22"/>
        </w:rPr>
        <w:t xml:space="preserve">currently </w:t>
      </w:r>
      <w:r w:rsidR="00F70BC4">
        <w:rPr>
          <w:snapToGrid/>
          <w:kern w:val="0"/>
          <w:szCs w:val="22"/>
        </w:rPr>
        <w:t>a voice-only system, Anchorage, through its pending applications, seeks to add a mobile data component to the network.</w:t>
      </w:r>
      <w:r w:rsidR="00F70BC4">
        <w:rPr>
          <w:rStyle w:val="FootnoteReference"/>
          <w:snapToGrid/>
          <w:kern w:val="0"/>
          <w:szCs w:val="22"/>
        </w:rPr>
        <w:footnoteReference w:id="13"/>
      </w:r>
      <w:r w:rsidR="00F70BC4">
        <w:rPr>
          <w:snapToGrid/>
          <w:kern w:val="0"/>
          <w:szCs w:val="22"/>
        </w:rPr>
        <w:t xml:space="preserve"> </w:t>
      </w:r>
      <w:r>
        <w:rPr>
          <w:snapToGrid/>
          <w:kern w:val="0"/>
          <w:szCs w:val="22"/>
        </w:rPr>
        <w:t xml:space="preserve"> </w:t>
      </w:r>
    </w:p>
    <w:p w:rsidR="00F70BC4" w:rsidRPr="0041705D" w:rsidRDefault="0041705D" w:rsidP="0018561D">
      <w:pPr>
        <w:pStyle w:val="ParaNum"/>
        <w:numPr>
          <w:ilvl w:val="0"/>
          <w:numId w:val="9"/>
        </w:numPr>
        <w:tabs>
          <w:tab w:val="clear" w:pos="360"/>
          <w:tab w:val="clear" w:pos="1440"/>
          <w:tab w:val="num" w:pos="1100"/>
        </w:tabs>
        <w:spacing w:after="120"/>
        <w:ind w:left="0" w:firstLine="440"/>
      </w:pPr>
      <w:bookmarkStart w:id="1" w:name="_Ref393204586"/>
      <w:r>
        <w:rPr>
          <w:snapToGrid/>
          <w:kern w:val="0"/>
          <w:szCs w:val="22"/>
        </w:rPr>
        <w:t>Anchorage states that its new IP-based mobile data system will initially serve 400 or more of its police department’s “</w:t>
      </w:r>
      <w:r w:rsidRPr="00F9590F">
        <w:rPr>
          <w:snapToGrid/>
          <w:kern w:val="0"/>
          <w:szCs w:val="22"/>
        </w:rPr>
        <w:t>crime scene</w:t>
      </w:r>
      <w:r>
        <w:rPr>
          <w:snapToGrid/>
          <w:kern w:val="0"/>
          <w:szCs w:val="22"/>
        </w:rPr>
        <w:t xml:space="preserve"> </w:t>
      </w:r>
      <w:r w:rsidRPr="00F9590F">
        <w:rPr>
          <w:snapToGrid/>
          <w:kern w:val="0"/>
          <w:szCs w:val="22"/>
        </w:rPr>
        <w:t>investigators, traffic enforcement personnel, and major incident managers</w:t>
      </w:r>
      <w:r>
        <w:rPr>
          <w:snapToGrid/>
          <w:kern w:val="0"/>
          <w:szCs w:val="22"/>
        </w:rPr>
        <w:t xml:space="preserve">” but will </w:t>
      </w:r>
      <w:r w:rsidR="001351DC">
        <w:rPr>
          <w:snapToGrid/>
          <w:kern w:val="0"/>
          <w:szCs w:val="22"/>
        </w:rPr>
        <w:t xml:space="preserve">eventually </w:t>
      </w:r>
      <w:r>
        <w:rPr>
          <w:snapToGrid/>
          <w:kern w:val="0"/>
          <w:szCs w:val="22"/>
        </w:rPr>
        <w:t xml:space="preserve">expand to include other users of the AWARN system, </w:t>
      </w:r>
      <w:r w:rsidRPr="00D97037">
        <w:rPr>
          <w:snapToGrid/>
          <w:kern w:val="0"/>
          <w:szCs w:val="22"/>
        </w:rPr>
        <w:t xml:space="preserve">possibly </w:t>
      </w:r>
      <w:r>
        <w:rPr>
          <w:snapToGrid/>
          <w:kern w:val="0"/>
          <w:szCs w:val="22"/>
        </w:rPr>
        <w:t xml:space="preserve">including users from the </w:t>
      </w:r>
      <w:r w:rsidRPr="005E2758">
        <w:rPr>
          <w:snapToGrid/>
          <w:kern w:val="0"/>
          <w:szCs w:val="22"/>
        </w:rPr>
        <w:t xml:space="preserve">Kenai Peninsula and </w:t>
      </w:r>
      <w:r>
        <w:rPr>
          <w:snapToGrid/>
          <w:kern w:val="0"/>
          <w:szCs w:val="22"/>
        </w:rPr>
        <w:t xml:space="preserve">the </w:t>
      </w:r>
      <w:r w:rsidRPr="005E2758">
        <w:rPr>
          <w:snapToGrid/>
          <w:kern w:val="0"/>
          <w:szCs w:val="22"/>
        </w:rPr>
        <w:t>Matanuska-Susitna Borough</w:t>
      </w:r>
      <w:r>
        <w:rPr>
          <w:snapToGrid/>
          <w:kern w:val="0"/>
          <w:szCs w:val="22"/>
        </w:rPr>
        <w:t>s</w:t>
      </w:r>
      <w:r w:rsidRPr="00F9590F">
        <w:rPr>
          <w:snapToGrid/>
          <w:kern w:val="0"/>
          <w:szCs w:val="22"/>
        </w:rPr>
        <w:t>.</w:t>
      </w:r>
      <w:r>
        <w:rPr>
          <w:rStyle w:val="FootnoteReference"/>
          <w:snapToGrid/>
          <w:kern w:val="0"/>
          <w:szCs w:val="22"/>
        </w:rPr>
        <w:footnoteReference w:id="14"/>
      </w:r>
      <w:r>
        <w:rPr>
          <w:snapToGrid/>
          <w:kern w:val="0"/>
          <w:szCs w:val="22"/>
        </w:rPr>
        <w:t xml:space="preserve">  Anchorage claims its proposed mobile data system will also be “</w:t>
      </w:r>
      <w:r w:rsidRPr="009B6F22">
        <w:rPr>
          <w:snapToGrid/>
          <w:kern w:val="0"/>
          <w:szCs w:val="22"/>
        </w:rPr>
        <w:t>technologically compatible</w:t>
      </w:r>
      <w:r>
        <w:rPr>
          <w:snapToGrid/>
          <w:kern w:val="0"/>
          <w:szCs w:val="22"/>
        </w:rPr>
        <w:t>”</w:t>
      </w:r>
      <w:r w:rsidRPr="009B6F22">
        <w:rPr>
          <w:snapToGrid/>
          <w:kern w:val="0"/>
          <w:szCs w:val="22"/>
        </w:rPr>
        <w:t xml:space="preserve"> with </w:t>
      </w:r>
      <w:r>
        <w:rPr>
          <w:snapToGrid/>
          <w:kern w:val="0"/>
          <w:szCs w:val="22"/>
        </w:rPr>
        <w:t xml:space="preserve">the </w:t>
      </w:r>
      <w:r w:rsidRPr="009B6F22">
        <w:rPr>
          <w:snapToGrid/>
          <w:kern w:val="0"/>
          <w:szCs w:val="22"/>
        </w:rPr>
        <w:t>Wasilla Police</w:t>
      </w:r>
      <w:r>
        <w:rPr>
          <w:snapToGrid/>
          <w:kern w:val="0"/>
          <w:szCs w:val="22"/>
        </w:rPr>
        <w:t xml:space="preserve"> </w:t>
      </w:r>
      <w:r w:rsidRPr="009B6F22">
        <w:rPr>
          <w:snapToGrid/>
          <w:kern w:val="0"/>
          <w:szCs w:val="22"/>
        </w:rPr>
        <w:t xml:space="preserve">Department’s existing </w:t>
      </w:r>
      <w:r>
        <w:rPr>
          <w:snapToGrid/>
          <w:kern w:val="0"/>
          <w:szCs w:val="22"/>
        </w:rPr>
        <w:t xml:space="preserve">wideband mobile </w:t>
      </w:r>
      <w:r w:rsidRPr="009B6F22">
        <w:rPr>
          <w:snapToGrid/>
          <w:kern w:val="0"/>
          <w:szCs w:val="22"/>
        </w:rPr>
        <w:t>data system</w:t>
      </w:r>
      <w:r>
        <w:rPr>
          <w:snapToGrid/>
          <w:kern w:val="0"/>
          <w:szCs w:val="22"/>
        </w:rPr>
        <w:t xml:space="preserve">, </w:t>
      </w:r>
      <w:r w:rsidRPr="009B6F22">
        <w:rPr>
          <w:snapToGrid/>
          <w:kern w:val="0"/>
          <w:szCs w:val="22"/>
        </w:rPr>
        <w:t>encourag</w:t>
      </w:r>
      <w:r>
        <w:rPr>
          <w:snapToGrid/>
          <w:kern w:val="0"/>
          <w:szCs w:val="22"/>
        </w:rPr>
        <w:t xml:space="preserve">ing </w:t>
      </w:r>
      <w:r w:rsidRPr="009B6F22">
        <w:rPr>
          <w:snapToGrid/>
          <w:kern w:val="0"/>
          <w:szCs w:val="22"/>
        </w:rPr>
        <w:t>roaming</w:t>
      </w:r>
      <w:r>
        <w:rPr>
          <w:snapToGrid/>
          <w:kern w:val="0"/>
          <w:szCs w:val="22"/>
        </w:rPr>
        <w:t xml:space="preserve"> </w:t>
      </w:r>
      <w:r w:rsidRPr="009B6F22">
        <w:rPr>
          <w:snapToGrid/>
          <w:kern w:val="0"/>
          <w:szCs w:val="22"/>
        </w:rPr>
        <w:t>and regional interoperability between the Anchorage Police Department and the Wasilla Police</w:t>
      </w:r>
      <w:r>
        <w:rPr>
          <w:snapToGrid/>
          <w:kern w:val="0"/>
          <w:szCs w:val="22"/>
        </w:rPr>
        <w:t xml:space="preserve"> </w:t>
      </w:r>
      <w:r w:rsidRPr="009B6F22">
        <w:rPr>
          <w:snapToGrid/>
          <w:kern w:val="0"/>
          <w:szCs w:val="22"/>
        </w:rPr>
        <w:t>Department</w:t>
      </w:r>
      <w:r>
        <w:rPr>
          <w:snapToGrid/>
          <w:kern w:val="0"/>
          <w:szCs w:val="22"/>
        </w:rPr>
        <w:t>.</w:t>
      </w:r>
      <w:r>
        <w:rPr>
          <w:rStyle w:val="FootnoteReference"/>
          <w:snapToGrid/>
          <w:kern w:val="0"/>
          <w:szCs w:val="22"/>
        </w:rPr>
        <w:footnoteReference w:id="15"/>
      </w:r>
      <w:bookmarkEnd w:id="1"/>
    </w:p>
    <w:p w:rsidR="0041705D" w:rsidRPr="00EC06D6" w:rsidRDefault="0041705D" w:rsidP="0018561D">
      <w:pPr>
        <w:pStyle w:val="ParaNum"/>
        <w:numPr>
          <w:ilvl w:val="0"/>
          <w:numId w:val="9"/>
        </w:numPr>
        <w:tabs>
          <w:tab w:val="clear" w:pos="360"/>
          <w:tab w:val="clear" w:pos="1440"/>
          <w:tab w:val="num" w:pos="1100"/>
        </w:tabs>
        <w:spacing w:after="120"/>
        <w:ind w:left="0" w:firstLine="440"/>
      </w:pPr>
      <w:r>
        <w:rPr>
          <w:snapToGrid/>
          <w:kern w:val="0"/>
          <w:szCs w:val="22"/>
        </w:rPr>
        <w:t xml:space="preserve">Anchorage explains that its proposed IP-based mobile data system will combine </w:t>
      </w:r>
      <w:r w:rsidR="00C91557">
        <w:rPr>
          <w:snapToGrid/>
          <w:kern w:val="0"/>
          <w:szCs w:val="22"/>
        </w:rPr>
        <w:t xml:space="preserve">eight </w:t>
      </w:r>
      <w:r>
        <w:rPr>
          <w:snapToGrid/>
          <w:kern w:val="0"/>
          <w:szCs w:val="22"/>
        </w:rPr>
        <w:t xml:space="preserve">700 MHz </w:t>
      </w:r>
      <w:r w:rsidR="00C91557">
        <w:rPr>
          <w:snapToGrid/>
          <w:kern w:val="0"/>
          <w:szCs w:val="22"/>
        </w:rPr>
        <w:t xml:space="preserve">6.25 kHz </w:t>
      </w:r>
      <w:r>
        <w:rPr>
          <w:snapToGrid/>
          <w:kern w:val="0"/>
          <w:szCs w:val="22"/>
        </w:rPr>
        <w:t xml:space="preserve">channel pairs to form 50 kHz bandwidth channel blocks in order to offer end users a data throughput rate of </w:t>
      </w:r>
      <w:r w:rsidRPr="00F9590F">
        <w:rPr>
          <w:snapToGrid/>
          <w:kern w:val="0"/>
          <w:szCs w:val="22"/>
        </w:rPr>
        <w:t>128 kbps</w:t>
      </w:r>
      <w:r>
        <w:rPr>
          <w:snapToGrid/>
          <w:kern w:val="0"/>
          <w:szCs w:val="22"/>
        </w:rPr>
        <w:t>.</w:t>
      </w:r>
      <w:r>
        <w:rPr>
          <w:rStyle w:val="FootnoteReference"/>
          <w:snapToGrid/>
          <w:kern w:val="0"/>
          <w:szCs w:val="22"/>
        </w:rPr>
        <w:footnoteReference w:id="16"/>
      </w:r>
      <w:r>
        <w:rPr>
          <w:snapToGrid/>
          <w:kern w:val="0"/>
          <w:szCs w:val="22"/>
        </w:rPr>
        <w:t xml:space="preserve">  It indicates that it intends to operate two distinct 50 kHz bandwidth channel blocks at each of eight existing transmitter locations within the AWARN system.</w:t>
      </w:r>
      <w:r>
        <w:rPr>
          <w:rStyle w:val="FootnoteReference"/>
          <w:snapToGrid/>
          <w:kern w:val="0"/>
          <w:szCs w:val="22"/>
        </w:rPr>
        <w:footnoteReference w:id="17"/>
      </w:r>
    </w:p>
    <w:p w:rsidR="00097125" w:rsidRPr="00097125" w:rsidRDefault="00F103C7" w:rsidP="0018561D">
      <w:pPr>
        <w:pStyle w:val="ParaNum"/>
        <w:numPr>
          <w:ilvl w:val="0"/>
          <w:numId w:val="9"/>
        </w:numPr>
        <w:tabs>
          <w:tab w:val="clear" w:pos="360"/>
          <w:tab w:val="clear" w:pos="1440"/>
          <w:tab w:val="num" w:pos="1100"/>
        </w:tabs>
        <w:spacing w:after="120"/>
        <w:ind w:left="0" w:firstLine="440"/>
      </w:pPr>
      <w:r>
        <w:rPr>
          <w:snapToGrid/>
          <w:kern w:val="0"/>
          <w:szCs w:val="22"/>
        </w:rPr>
        <w:t>Anchorage therefore seeks waiver of Section 90.531(d)(1) of the Commission’s rules,</w:t>
      </w:r>
      <w:r w:rsidR="00013517">
        <w:rPr>
          <w:rStyle w:val="FootnoteReference"/>
          <w:snapToGrid/>
          <w:kern w:val="0"/>
          <w:szCs w:val="22"/>
        </w:rPr>
        <w:footnoteReference w:id="18"/>
      </w:r>
      <w:r>
        <w:rPr>
          <w:snapToGrid/>
          <w:kern w:val="0"/>
          <w:szCs w:val="22"/>
        </w:rPr>
        <w:t xml:space="preserve"> which limits the maximum combined channel bandwidth on 700 MHz narrowband spectrum to 25 kHz</w:t>
      </w:r>
      <w:r w:rsidR="009B7E9F">
        <w:rPr>
          <w:snapToGrid/>
          <w:kern w:val="0"/>
          <w:szCs w:val="22"/>
        </w:rPr>
        <w:t xml:space="preserve"> </w:t>
      </w:r>
      <w:r>
        <w:rPr>
          <w:snapToGrid/>
          <w:kern w:val="0"/>
          <w:szCs w:val="22"/>
        </w:rPr>
        <w:t>so that it may obtain a license to operate its proposed IP-based mobile data system using 50 kHz bandwidth channels.</w:t>
      </w:r>
      <w:r>
        <w:rPr>
          <w:rStyle w:val="FootnoteReference"/>
          <w:snapToGrid/>
          <w:kern w:val="0"/>
          <w:szCs w:val="22"/>
        </w:rPr>
        <w:footnoteReference w:id="19"/>
      </w:r>
      <w:r>
        <w:rPr>
          <w:snapToGrid/>
          <w:kern w:val="0"/>
          <w:szCs w:val="22"/>
        </w:rPr>
        <w:t xml:space="preserve">  </w:t>
      </w:r>
    </w:p>
    <w:p w:rsidR="00784308" w:rsidRDefault="009B7E9F" w:rsidP="0018561D">
      <w:pPr>
        <w:pStyle w:val="ParaNum"/>
        <w:numPr>
          <w:ilvl w:val="0"/>
          <w:numId w:val="9"/>
        </w:numPr>
        <w:tabs>
          <w:tab w:val="clear" w:pos="360"/>
          <w:tab w:val="clear" w:pos="1440"/>
          <w:tab w:val="num" w:pos="1100"/>
        </w:tabs>
        <w:spacing w:after="120"/>
        <w:ind w:left="0" w:firstLine="440"/>
      </w:pPr>
      <w:r>
        <w:rPr>
          <w:snapToGrid/>
          <w:kern w:val="0"/>
          <w:szCs w:val="22"/>
        </w:rPr>
        <w:t xml:space="preserve">Anchorage </w:t>
      </w:r>
      <w:r w:rsidR="00F103C7">
        <w:rPr>
          <w:snapToGrid/>
          <w:kern w:val="0"/>
          <w:szCs w:val="22"/>
        </w:rPr>
        <w:t xml:space="preserve">also seeks waiver of Section 90.531(d)(1) </w:t>
      </w:r>
      <w:r w:rsidR="00C15E76">
        <w:rPr>
          <w:snapToGrid/>
          <w:kern w:val="0"/>
          <w:szCs w:val="22"/>
        </w:rPr>
        <w:t xml:space="preserve">on behalf of its equipment vendor, CalAmp, </w:t>
      </w:r>
      <w:r w:rsidR="00F103C7">
        <w:rPr>
          <w:snapToGrid/>
          <w:kern w:val="0"/>
          <w:szCs w:val="22"/>
        </w:rPr>
        <w:t>so that it</w:t>
      </w:r>
      <w:r>
        <w:rPr>
          <w:snapToGrid/>
          <w:kern w:val="0"/>
          <w:szCs w:val="22"/>
        </w:rPr>
        <w:t xml:space="preserve"> may obtain </w:t>
      </w:r>
      <w:r w:rsidR="00F103C7">
        <w:rPr>
          <w:snapToGrid/>
          <w:kern w:val="0"/>
          <w:szCs w:val="22"/>
        </w:rPr>
        <w:t xml:space="preserve">equipment </w:t>
      </w:r>
      <w:r>
        <w:rPr>
          <w:snapToGrid/>
          <w:kern w:val="0"/>
          <w:szCs w:val="22"/>
        </w:rPr>
        <w:t xml:space="preserve">from </w:t>
      </w:r>
      <w:r w:rsidR="00C15E76">
        <w:rPr>
          <w:snapToGrid/>
          <w:kern w:val="0"/>
          <w:szCs w:val="22"/>
        </w:rPr>
        <w:t>CalA</w:t>
      </w:r>
      <w:r w:rsidR="00A53D10">
        <w:rPr>
          <w:snapToGrid/>
          <w:kern w:val="0"/>
          <w:szCs w:val="22"/>
        </w:rPr>
        <w:t>m</w:t>
      </w:r>
      <w:r w:rsidR="00C15E76">
        <w:rPr>
          <w:snapToGrid/>
          <w:kern w:val="0"/>
          <w:szCs w:val="22"/>
        </w:rPr>
        <w:t xml:space="preserve">p </w:t>
      </w:r>
      <w:r>
        <w:rPr>
          <w:snapToGrid/>
          <w:kern w:val="0"/>
          <w:szCs w:val="22"/>
        </w:rPr>
        <w:t>capable of operating with a channel bandwidth greater than 25 kHz.</w:t>
      </w:r>
      <w:r>
        <w:rPr>
          <w:rStyle w:val="FootnoteReference"/>
          <w:snapToGrid/>
          <w:kern w:val="0"/>
          <w:szCs w:val="22"/>
        </w:rPr>
        <w:footnoteReference w:id="20"/>
      </w:r>
      <w:r>
        <w:rPr>
          <w:snapToGrid/>
          <w:kern w:val="0"/>
          <w:szCs w:val="22"/>
        </w:rPr>
        <w:t xml:space="preserve">  By separate </w:t>
      </w:r>
      <w:r w:rsidR="00C15E76">
        <w:rPr>
          <w:snapToGrid/>
          <w:kern w:val="0"/>
          <w:szCs w:val="22"/>
        </w:rPr>
        <w:t xml:space="preserve">letter, </w:t>
      </w:r>
      <w:r w:rsidR="00D67BBA" w:rsidRPr="00A82D28">
        <w:t xml:space="preserve">CalAmp </w:t>
      </w:r>
      <w:r w:rsidR="00A53D10">
        <w:t xml:space="preserve">has notified </w:t>
      </w:r>
      <w:r w:rsidR="00BA375B">
        <w:t xml:space="preserve">the Commission’s </w:t>
      </w:r>
      <w:r w:rsidR="00A53D10">
        <w:t>Office of Engineering and Technology</w:t>
      </w:r>
      <w:r w:rsidR="00026294">
        <w:t xml:space="preserve"> (OET)</w:t>
      </w:r>
      <w:r w:rsidR="00A53D10">
        <w:t xml:space="preserve"> of its intention </w:t>
      </w:r>
      <w:r>
        <w:t xml:space="preserve">to </w:t>
      </w:r>
      <w:r w:rsidR="00F103C7" w:rsidRPr="00A442F9">
        <w:rPr>
          <w:snapToGrid/>
          <w:kern w:val="0"/>
          <w:szCs w:val="22"/>
        </w:rPr>
        <w:t xml:space="preserve">modify </w:t>
      </w:r>
      <w:r w:rsidR="00960FFF">
        <w:rPr>
          <w:snapToGrid/>
          <w:kern w:val="0"/>
          <w:szCs w:val="22"/>
        </w:rPr>
        <w:t xml:space="preserve">the </w:t>
      </w:r>
      <w:r w:rsidR="00F103C7" w:rsidRPr="00A442F9">
        <w:rPr>
          <w:snapToGrid/>
          <w:kern w:val="0"/>
          <w:szCs w:val="22"/>
        </w:rPr>
        <w:t xml:space="preserve">equipment certification </w:t>
      </w:r>
      <w:r>
        <w:rPr>
          <w:snapToGrid/>
          <w:kern w:val="0"/>
          <w:szCs w:val="22"/>
        </w:rPr>
        <w:t xml:space="preserve">for one of its </w:t>
      </w:r>
      <w:r w:rsidR="00960FFF">
        <w:rPr>
          <w:snapToGrid/>
          <w:kern w:val="0"/>
          <w:szCs w:val="22"/>
        </w:rPr>
        <w:t>base station</w:t>
      </w:r>
      <w:r>
        <w:rPr>
          <w:snapToGrid/>
          <w:kern w:val="0"/>
          <w:szCs w:val="22"/>
        </w:rPr>
        <w:t>s in order</w:t>
      </w:r>
      <w:r w:rsidR="00960FFF">
        <w:rPr>
          <w:snapToGrid/>
          <w:kern w:val="0"/>
          <w:szCs w:val="22"/>
        </w:rPr>
        <w:t xml:space="preserve"> </w:t>
      </w:r>
      <w:r>
        <w:t xml:space="preserve">to add </w:t>
      </w:r>
      <w:r w:rsidR="000E372D">
        <w:t>a</w:t>
      </w:r>
      <w:r w:rsidR="00BC68F3">
        <w:t xml:space="preserve"> wideband </w:t>
      </w:r>
      <w:r w:rsidRPr="00A82D28">
        <w:t>emission designator</w:t>
      </w:r>
      <w:r>
        <w:t xml:space="preserve"> </w:t>
      </w:r>
      <w:r w:rsidR="00293086">
        <w:t xml:space="preserve">authorizing operation at a </w:t>
      </w:r>
      <w:r w:rsidR="000E372D">
        <w:t xml:space="preserve">bandwidth </w:t>
      </w:r>
      <w:r w:rsidR="00293086">
        <w:t xml:space="preserve">greater than 25 kHz for </w:t>
      </w:r>
      <w:r>
        <w:t>use in Anchorage’s IP-based mobile data system.</w:t>
      </w:r>
      <w:r w:rsidR="00013517">
        <w:rPr>
          <w:rStyle w:val="FootnoteReference"/>
        </w:rPr>
        <w:footnoteReference w:id="21"/>
      </w:r>
      <w:r>
        <w:t xml:space="preserve"> </w:t>
      </w:r>
    </w:p>
    <w:p w:rsidR="00755703" w:rsidRPr="00755703" w:rsidRDefault="00755703" w:rsidP="0018561D">
      <w:pPr>
        <w:pStyle w:val="ParaNum"/>
        <w:numPr>
          <w:ilvl w:val="0"/>
          <w:numId w:val="9"/>
        </w:numPr>
        <w:tabs>
          <w:tab w:val="clear" w:pos="360"/>
          <w:tab w:val="clear" w:pos="1440"/>
          <w:tab w:val="num" w:pos="1100"/>
        </w:tabs>
        <w:spacing w:after="120"/>
        <w:ind w:left="0" w:firstLine="440"/>
      </w:pPr>
      <w:r>
        <w:rPr>
          <w:snapToGrid/>
          <w:kern w:val="0"/>
          <w:szCs w:val="22"/>
        </w:rPr>
        <w:t xml:space="preserve">In support of its waiver request, Anchorage argues that the public interest is served by allowing it to </w:t>
      </w:r>
      <w:r w:rsidRPr="007B7B44">
        <w:rPr>
          <w:snapToGrid/>
          <w:kern w:val="0"/>
          <w:szCs w:val="22"/>
        </w:rPr>
        <w:t xml:space="preserve">implement </w:t>
      </w:r>
      <w:r>
        <w:rPr>
          <w:snapToGrid/>
          <w:kern w:val="0"/>
          <w:szCs w:val="22"/>
        </w:rPr>
        <w:t>“</w:t>
      </w:r>
      <w:r w:rsidRPr="007B7B44">
        <w:rPr>
          <w:snapToGrid/>
          <w:kern w:val="0"/>
          <w:szCs w:val="22"/>
        </w:rPr>
        <w:t>much</w:t>
      </w:r>
      <w:r>
        <w:rPr>
          <w:snapToGrid/>
          <w:kern w:val="0"/>
          <w:szCs w:val="22"/>
        </w:rPr>
        <w:t xml:space="preserve"> </w:t>
      </w:r>
      <w:r w:rsidRPr="007B7B44">
        <w:rPr>
          <w:snapToGrid/>
          <w:kern w:val="0"/>
          <w:szCs w:val="22"/>
        </w:rPr>
        <w:t>needed</w:t>
      </w:r>
      <w:r>
        <w:rPr>
          <w:snapToGrid/>
          <w:kern w:val="0"/>
          <w:szCs w:val="22"/>
        </w:rPr>
        <w:t xml:space="preserve"> </w:t>
      </w:r>
      <w:r w:rsidRPr="007B7B44">
        <w:rPr>
          <w:snapToGrid/>
          <w:kern w:val="0"/>
          <w:szCs w:val="22"/>
        </w:rPr>
        <w:t>improvements to an aging public safety radio system that no longer meets</w:t>
      </w:r>
      <w:r>
        <w:rPr>
          <w:snapToGrid/>
          <w:kern w:val="0"/>
          <w:szCs w:val="22"/>
        </w:rPr>
        <w:t xml:space="preserve"> </w:t>
      </w:r>
      <w:r w:rsidRPr="007B7B44">
        <w:rPr>
          <w:snapToGrid/>
          <w:kern w:val="0"/>
          <w:szCs w:val="22"/>
        </w:rPr>
        <w:t>communications needs</w:t>
      </w:r>
      <w:r>
        <w:rPr>
          <w:snapToGrid/>
          <w:kern w:val="0"/>
          <w:szCs w:val="22"/>
        </w:rPr>
        <w:t>.”</w:t>
      </w:r>
      <w:r>
        <w:rPr>
          <w:rStyle w:val="FootnoteReference"/>
          <w:snapToGrid/>
          <w:kern w:val="0"/>
          <w:szCs w:val="22"/>
        </w:rPr>
        <w:footnoteReference w:id="22"/>
      </w:r>
      <w:r>
        <w:rPr>
          <w:snapToGrid/>
          <w:kern w:val="0"/>
          <w:szCs w:val="22"/>
        </w:rPr>
        <w:t xml:space="preserve">  It claims that its proposed wideband operations will cause no harmful interference to other users in the band because “</w:t>
      </w:r>
      <w:r w:rsidRPr="00D679AF">
        <w:rPr>
          <w:snapToGrid/>
          <w:kern w:val="0"/>
          <w:szCs w:val="22"/>
        </w:rPr>
        <w:t>there currently are no licensees on</w:t>
      </w:r>
      <w:r>
        <w:rPr>
          <w:snapToGrid/>
          <w:kern w:val="0"/>
          <w:szCs w:val="22"/>
        </w:rPr>
        <w:t xml:space="preserve"> </w:t>
      </w:r>
      <w:r w:rsidRPr="00D679AF">
        <w:rPr>
          <w:snapToGrid/>
          <w:kern w:val="0"/>
          <w:szCs w:val="22"/>
        </w:rPr>
        <w:t>the co-channels or adjacent channels it has proposed in its applications</w:t>
      </w:r>
      <w:r>
        <w:rPr>
          <w:snapToGrid/>
          <w:kern w:val="0"/>
          <w:szCs w:val="22"/>
        </w:rPr>
        <w:t>.”</w:t>
      </w:r>
      <w:r>
        <w:rPr>
          <w:rStyle w:val="FootnoteReference"/>
          <w:snapToGrid/>
          <w:kern w:val="0"/>
          <w:szCs w:val="22"/>
        </w:rPr>
        <w:footnoteReference w:id="23"/>
      </w:r>
      <w:r>
        <w:rPr>
          <w:snapToGrid/>
          <w:kern w:val="0"/>
          <w:szCs w:val="22"/>
        </w:rPr>
        <w:t xml:space="preserve">  </w:t>
      </w:r>
    </w:p>
    <w:p w:rsidR="00A4482B" w:rsidRDefault="00755703" w:rsidP="0018561D">
      <w:pPr>
        <w:pStyle w:val="ParaNum"/>
        <w:numPr>
          <w:ilvl w:val="0"/>
          <w:numId w:val="9"/>
        </w:numPr>
        <w:tabs>
          <w:tab w:val="clear" w:pos="360"/>
          <w:tab w:val="clear" w:pos="1440"/>
          <w:tab w:val="num" w:pos="1100"/>
        </w:tabs>
        <w:spacing w:after="120"/>
        <w:ind w:left="0" w:firstLine="440"/>
      </w:pPr>
      <w:r w:rsidRPr="00116ECD">
        <w:rPr>
          <w:snapToGrid/>
          <w:kern w:val="0"/>
          <w:szCs w:val="22"/>
        </w:rPr>
        <w:t>It also claims its proposed mobile data system will meet the Commission’s spectrum efficiency requirements, and that once implemented the IP-based mobile data system will occupy “only about 13 percent” of the 700 MHz narrowband channels available in Alaska.</w:t>
      </w:r>
      <w:r>
        <w:rPr>
          <w:rStyle w:val="FootnoteReference"/>
          <w:snapToGrid/>
          <w:kern w:val="0"/>
          <w:szCs w:val="22"/>
        </w:rPr>
        <w:footnoteReference w:id="24"/>
      </w:r>
      <w:r w:rsidRPr="00116ECD">
        <w:rPr>
          <w:snapToGrid/>
          <w:kern w:val="0"/>
          <w:szCs w:val="22"/>
        </w:rPr>
        <w:t xml:space="preserve">  Anchorage includes with its applications a concurrence letter from the Regional Planning Committee (RPC) for Region 2 – Alaska.</w:t>
      </w:r>
      <w:r>
        <w:rPr>
          <w:rStyle w:val="FootnoteReference"/>
          <w:snapToGrid/>
          <w:kern w:val="0"/>
          <w:szCs w:val="22"/>
        </w:rPr>
        <w:footnoteReference w:id="25"/>
      </w:r>
      <w:r w:rsidR="008F1640">
        <w:t xml:space="preserve">  </w:t>
      </w:r>
      <w:r w:rsidR="00861DC6">
        <w:t xml:space="preserve"> </w:t>
      </w:r>
    </w:p>
    <w:p w:rsidR="00861DC6" w:rsidRPr="002B541F" w:rsidRDefault="00A4482B" w:rsidP="0018561D">
      <w:pPr>
        <w:pStyle w:val="ParaNum"/>
        <w:numPr>
          <w:ilvl w:val="0"/>
          <w:numId w:val="9"/>
        </w:numPr>
        <w:tabs>
          <w:tab w:val="clear" w:pos="360"/>
          <w:tab w:val="clear" w:pos="1440"/>
          <w:tab w:val="num" w:pos="1100"/>
        </w:tabs>
        <w:spacing w:after="120"/>
        <w:ind w:left="0" w:firstLine="440"/>
      </w:pPr>
      <w:r>
        <w:t>On April 15, 2014, the Public Safety and Homeland Security Bureau (Bureau) released a Public Notice seeking comment on Anchorage’s waiver request.</w:t>
      </w:r>
      <w:r w:rsidR="00EE21FA">
        <w:rPr>
          <w:rStyle w:val="FootnoteReference"/>
        </w:rPr>
        <w:footnoteReference w:id="26"/>
      </w:r>
      <w:r>
        <w:t xml:space="preserve">  </w:t>
      </w:r>
      <w:r w:rsidR="00EE21FA">
        <w:t>In particular, t</w:t>
      </w:r>
      <w:r w:rsidR="00CB726A">
        <w:t xml:space="preserve">he Bureau sought comment </w:t>
      </w:r>
      <w:r w:rsidR="00EE21FA">
        <w:t>from any party</w:t>
      </w:r>
      <w:r w:rsidR="00CB726A" w:rsidRPr="00CB726A">
        <w:t xml:space="preserve"> who would be impacted by Anchorage’s proposed wideband operations</w:t>
      </w:r>
      <w:r w:rsidR="008F3FDE">
        <w:t>.</w:t>
      </w:r>
      <w:r w:rsidR="00CD507C">
        <w:rPr>
          <w:rStyle w:val="FootnoteReference"/>
        </w:rPr>
        <w:footnoteReference w:id="27"/>
      </w:r>
      <w:r w:rsidR="008F3FDE">
        <w:t xml:space="preserve">  It also sought comment on </w:t>
      </w:r>
      <w:r w:rsidR="00CB726A" w:rsidRPr="00CB726A">
        <w:t xml:space="preserve">whether </w:t>
      </w:r>
      <w:r w:rsidR="00CB726A">
        <w:t xml:space="preserve">or not </w:t>
      </w:r>
      <w:r w:rsidR="00CB726A" w:rsidRPr="00CB726A">
        <w:t>grant of the requested waiver would have any effect on the eventual implementation in Alaska of the nationwide broadband public safety communications network by the First Responder Network Authority (FirstNet)</w:t>
      </w:r>
      <w:r w:rsidR="00CB726A">
        <w:t>.</w:t>
      </w:r>
      <w:r w:rsidR="00CD507C">
        <w:rPr>
          <w:rStyle w:val="FootnoteReference"/>
        </w:rPr>
        <w:footnoteReference w:id="28"/>
      </w:r>
      <w:r w:rsidR="008F3FDE">
        <w:t xml:space="preserve">  No party commented in response to the Public Notice.  </w:t>
      </w:r>
      <w:r>
        <w:t xml:space="preserve"> </w:t>
      </w:r>
      <w:r w:rsidR="00861DC6">
        <w:t xml:space="preserve">    </w:t>
      </w:r>
      <w:r w:rsidR="00861DC6" w:rsidRPr="00116ECD">
        <w:rPr>
          <w:b/>
          <w:szCs w:val="22"/>
        </w:rPr>
        <w:t xml:space="preserve">  </w:t>
      </w:r>
      <w:r w:rsidR="00861DC6" w:rsidRPr="00116ECD">
        <w:rPr>
          <w:szCs w:val="22"/>
        </w:rPr>
        <w:t xml:space="preserve">     </w:t>
      </w:r>
    </w:p>
    <w:p w:rsidR="00861DC6" w:rsidRDefault="00861DC6" w:rsidP="0018561D">
      <w:pPr>
        <w:pStyle w:val="Heading1"/>
        <w:widowControl/>
      </w:pPr>
      <w:r>
        <w:t>discussion</w:t>
      </w:r>
    </w:p>
    <w:p w:rsidR="003B5A6F" w:rsidRPr="003B5A6F" w:rsidRDefault="00861DC6" w:rsidP="0018561D">
      <w:pPr>
        <w:pStyle w:val="ParaNum"/>
        <w:numPr>
          <w:ilvl w:val="0"/>
          <w:numId w:val="9"/>
        </w:numPr>
        <w:tabs>
          <w:tab w:val="clear" w:pos="360"/>
          <w:tab w:val="clear" w:pos="1440"/>
          <w:tab w:val="num" w:pos="1100"/>
        </w:tabs>
        <w:spacing w:after="120"/>
        <w:ind w:left="0" w:firstLine="440"/>
      </w:pPr>
      <w:r>
        <w:t>Section 1.925 states that 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rPr>
        <w:footnoteReference w:id="29"/>
      </w:r>
      <w:r>
        <w:t xml:space="preserve"> or (ii) in view of unique or unusual factual circumstances of the instant case, application of the rule(s) would be inequitable, unduly burdensome, or contrary to the public interest, or the applicant has no reasonable alternative</w:t>
      </w:r>
      <w:r>
        <w:rPr>
          <w:color w:val="000000"/>
          <w:szCs w:val="22"/>
        </w:rPr>
        <w:t>.</w:t>
      </w:r>
      <w:bookmarkStart w:id="2" w:name="FN[FN21]"/>
      <w:bookmarkEnd w:id="2"/>
      <w:r>
        <w:rPr>
          <w:rStyle w:val="FootnoteReference"/>
          <w:bCs/>
          <w:color w:val="000000"/>
          <w:szCs w:val="22"/>
        </w:rPr>
        <w:footnoteReference w:id="30"/>
      </w:r>
      <w:r>
        <w:rPr>
          <w:color w:val="000000"/>
          <w:szCs w:val="22"/>
        </w:rPr>
        <w:t xml:space="preserve">  </w:t>
      </w:r>
    </w:p>
    <w:p w:rsidR="00861DC6" w:rsidRPr="00CE6161" w:rsidRDefault="00861DC6" w:rsidP="0018561D">
      <w:pPr>
        <w:pStyle w:val="ParaNum"/>
        <w:numPr>
          <w:ilvl w:val="0"/>
          <w:numId w:val="9"/>
        </w:numPr>
        <w:tabs>
          <w:tab w:val="clear" w:pos="360"/>
          <w:tab w:val="clear" w:pos="1440"/>
          <w:tab w:val="num" w:pos="1100"/>
        </w:tabs>
        <w:spacing w:after="120"/>
        <w:ind w:left="0" w:firstLine="440"/>
      </w:pPr>
      <w:r w:rsidRPr="00DC5A3F">
        <w:rPr>
          <w:color w:val="000000"/>
          <w:szCs w:val="22"/>
        </w:rPr>
        <w:t xml:space="preserve">We find that </w:t>
      </w:r>
      <w:r w:rsidR="00116ECD" w:rsidRPr="00DC5A3F">
        <w:rPr>
          <w:color w:val="000000"/>
          <w:szCs w:val="22"/>
        </w:rPr>
        <w:t xml:space="preserve">Anchorage </w:t>
      </w:r>
      <w:r w:rsidRPr="0069080D">
        <w:rPr>
          <w:color w:val="000000"/>
          <w:szCs w:val="22"/>
        </w:rPr>
        <w:t>sat</w:t>
      </w:r>
      <w:r w:rsidRPr="00DA5581">
        <w:rPr>
          <w:color w:val="000000"/>
          <w:szCs w:val="22"/>
        </w:rPr>
        <w:t xml:space="preserve">isfies the </w:t>
      </w:r>
      <w:r w:rsidR="00116ECD" w:rsidRPr="00DA5581">
        <w:rPr>
          <w:color w:val="000000"/>
          <w:szCs w:val="22"/>
        </w:rPr>
        <w:t xml:space="preserve">second </w:t>
      </w:r>
      <w:r w:rsidRPr="00DA5581">
        <w:rPr>
          <w:color w:val="000000"/>
          <w:szCs w:val="22"/>
        </w:rPr>
        <w:t>prong of the waiver standard as detailed below.</w:t>
      </w:r>
      <w:r w:rsidR="003B5A6F" w:rsidRPr="008F1E6C">
        <w:rPr>
          <w:color w:val="000000"/>
          <w:szCs w:val="22"/>
        </w:rPr>
        <w:t xml:space="preserve">  </w:t>
      </w:r>
      <w:r w:rsidR="008453FE" w:rsidRPr="008F1E6C">
        <w:rPr>
          <w:color w:val="000000"/>
          <w:szCs w:val="22"/>
        </w:rPr>
        <w:t>Because we are granting Anchorage’s waiver request, w</w:t>
      </w:r>
      <w:r w:rsidR="003B5A6F" w:rsidRPr="004D0AC7">
        <w:rPr>
          <w:color w:val="000000"/>
          <w:szCs w:val="22"/>
        </w:rPr>
        <w:t xml:space="preserve">e also </w:t>
      </w:r>
      <w:r w:rsidR="00212793" w:rsidRPr="004D0AC7">
        <w:rPr>
          <w:color w:val="000000"/>
          <w:szCs w:val="22"/>
        </w:rPr>
        <w:t xml:space="preserve">grant </w:t>
      </w:r>
      <w:r w:rsidR="00AC630F" w:rsidRPr="008F1E6C">
        <w:t xml:space="preserve">CalAmp </w:t>
      </w:r>
      <w:r w:rsidR="0022636A" w:rsidRPr="008F1E6C">
        <w:t xml:space="preserve">a waiver to allow it </w:t>
      </w:r>
      <w:r w:rsidR="00AC630F" w:rsidRPr="008F1E6C">
        <w:t>to add a wideband emission designator to the equipment certification</w:t>
      </w:r>
      <w:r w:rsidR="00AC630F" w:rsidRPr="008F1E6C">
        <w:rPr>
          <w:color w:val="000000"/>
          <w:szCs w:val="22"/>
        </w:rPr>
        <w:t xml:space="preserve"> of </w:t>
      </w:r>
      <w:r w:rsidR="003B5A6F" w:rsidRPr="008F1E6C">
        <w:rPr>
          <w:color w:val="000000"/>
          <w:szCs w:val="22"/>
        </w:rPr>
        <w:t>its base station for use in Anchorage’s IP-based mobile data system</w:t>
      </w:r>
      <w:r w:rsidR="003B5A6F" w:rsidRPr="007116F2">
        <w:rPr>
          <w:color w:val="000000"/>
          <w:szCs w:val="22"/>
        </w:rPr>
        <w:t>.</w:t>
      </w:r>
      <w:r w:rsidR="003B5A6F">
        <w:rPr>
          <w:color w:val="000000"/>
          <w:szCs w:val="22"/>
        </w:rPr>
        <w:t xml:space="preserve"> </w:t>
      </w:r>
    </w:p>
    <w:p w:rsidR="00C91557" w:rsidRPr="00055FD6" w:rsidRDefault="00DB2F4E" w:rsidP="00B76D38">
      <w:pPr>
        <w:pStyle w:val="ParaNum"/>
        <w:numPr>
          <w:ilvl w:val="0"/>
          <w:numId w:val="9"/>
        </w:numPr>
        <w:tabs>
          <w:tab w:val="clear" w:pos="360"/>
          <w:tab w:val="clear" w:pos="1440"/>
          <w:tab w:val="num" w:pos="1100"/>
        </w:tabs>
        <w:spacing w:after="120"/>
        <w:ind w:left="0" w:firstLine="440"/>
      </w:pPr>
      <w:r w:rsidRPr="00DB2F4E">
        <w:rPr>
          <w:i/>
        </w:rPr>
        <w:t>Section 90.531(d)(1) Waiver</w:t>
      </w:r>
      <w:r>
        <w:t xml:space="preserve">.  </w:t>
      </w:r>
      <w:r w:rsidR="001C6507">
        <w:t>As an initial matter</w:t>
      </w:r>
      <w:r w:rsidR="00F54C28">
        <w:t>,</w:t>
      </w:r>
      <w:r w:rsidR="00581026">
        <w:t xml:space="preserve"> </w:t>
      </w:r>
      <w:r w:rsidR="00C91557">
        <w:rPr>
          <w:snapToGrid/>
          <w:kern w:val="0"/>
          <w:szCs w:val="22"/>
        </w:rPr>
        <w:t>we find the</w:t>
      </w:r>
      <w:r w:rsidR="00200B4C">
        <w:rPr>
          <w:snapToGrid/>
          <w:kern w:val="0"/>
          <w:szCs w:val="22"/>
        </w:rPr>
        <w:t xml:space="preserve"> current</w:t>
      </w:r>
      <w:r w:rsidR="00C91557">
        <w:rPr>
          <w:snapToGrid/>
          <w:kern w:val="0"/>
          <w:szCs w:val="22"/>
        </w:rPr>
        <w:t xml:space="preserve"> spectral environment in the State of Alaska</w:t>
      </w:r>
      <w:r w:rsidR="00200B4C">
        <w:rPr>
          <w:snapToGrid/>
          <w:kern w:val="0"/>
          <w:szCs w:val="22"/>
        </w:rPr>
        <w:t xml:space="preserve"> is</w:t>
      </w:r>
      <w:r w:rsidR="00C91557">
        <w:rPr>
          <w:snapToGrid/>
          <w:kern w:val="0"/>
          <w:szCs w:val="22"/>
        </w:rPr>
        <w:t xml:space="preserve"> a</w:t>
      </w:r>
      <w:r w:rsidR="000A06D4">
        <w:rPr>
          <w:snapToGrid/>
          <w:kern w:val="0"/>
          <w:szCs w:val="22"/>
        </w:rPr>
        <w:t>n unusual</w:t>
      </w:r>
      <w:r w:rsidR="00C91557">
        <w:rPr>
          <w:snapToGrid/>
          <w:kern w:val="0"/>
          <w:szCs w:val="22"/>
        </w:rPr>
        <w:t xml:space="preserve"> circumstance.   There appears to be little demand for 700 MHz General Use channels in Alaska outside of the AWARN system.  A search of our database reveals no other licensee operating on General Use channels in the State of Alaska except for the City of Wasilla which</w:t>
      </w:r>
      <w:r w:rsidR="00B64960">
        <w:rPr>
          <w:snapToGrid/>
          <w:kern w:val="0"/>
          <w:szCs w:val="22"/>
        </w:rPr>
        <w:t xml:space="preserve">, as noted in </w:t>
      </w:r>
      <w:r w:rsidR="00200B4C">
        <w:rPr>
          <w:snapToGrid/>
          <w:kern w:val="0"/>
          <w:szCs w:val="22"/>
        </w:rPr>
        <w:t>paragraph four</w:t>
      </w:r>
      <w:r w:rsidR="00B64960">
        <w:rPr>
          <w:snapToGrid/>
          <w:kern w:val="0"/>
          <w:szCs w:val="22"/>
        </w:rPr>
        <w:t xml:space="preserve">, </w:t>
      </w:r>
      <w:r w:rsidR="00B64960">
        <w:rPr>
          <w:i/>
          <w:snapToGrid/>
          <w:kern w:val="0"/>
          <w:szCs w:val="22"/>
        </w:rPr>
        <w:t>supra,</w:t>
      </w:r>
      <w:r w:rsidR="00C91557">
        <w:rPr>
          <w:snapToGrid/>
          <w:kern w:val="0"/>
          <w:szCs w:val="22"/>
        </w:rPr>
        <w:t xml:space="preserve"> employs a wideband mobile data system </w:t>
      </w:r>
      <w:r w:rsidR="00200B4C">
        <w:rPr>
          <w:snapToGrid/>
          <w:kern w:val="0"/>
          <w:szCs w:val="22"/>
        </w:rPr>
        <w:t xml:space="preserve">pursuant to Special Temporary Authority </w:t>
      </w:r>
      <w:r w:rsidR="00C91557">
        <w:rPr>
          <w:snapToGrid/>
          <w:kern w:val="0"/>
          <w:szCs w:val="22"/>
        </w:rPr>
        <w:t xml:space="preserve">that Anchorage claims is compatible with the system it intends to deploy.  </w:t>
      </w:r>
    </w:p>
    <w:p w:rsidR="004E7CCF" w:rsidRPr="00956EDC" w:rsidRDefault="000E406E" w:rsidP="0018561D">
      <w:pPr>
        <w:pStyle w:val="ParaNum"/>
        <w:numPr>
          <w:ilvl w:val="0"/>
          <w:numId w:val="9"/>
        </w:numPr>
        <w:tabs>
          <w:tab w:val="clear" w:pos="360"/>
          <w:tab w:val="clear" w:pos="1440"/>
          <w:tab w:val="num" w:pos="1100"/>
        </w:tabs>
        <w:spacing w:after="120"/>
        <w:ind w:left="0" w:firstLine="440"/>
      </w:pPr>
      <w:r w:rsidRPr="00581026">
        <w:rPr>
          <w:snapToGrid/>
          <w:kern w:val="0"/>
          <w:szCs w:val="22"/>
        </w:rPr>
        <w:t xml:space="preserve">Furthermore, </w:t>
      </w:r>
      <w:r w:rsidR="00C91557">
        <w:t>we agree with Anchorage that</w:t>
      </w:r>
      <w:r w:rsidR="00C91557" w:rsidRPr="00F54C28">
        <w:t xml:space="preserve"> </w:t>
      </w:r>
      <w:r w:rsidR="00C91557">
        <w:t xml:space="preserve">in order to achieve </w:t>
      </w:r>
      <w:r w:rsidR="0022636A">
        <w:t xml:space="preserve">its desired </w:t>
      </w:r>
      <w:r w:rsidR="00C91557">
        <w:t xml:space="preserve">data throughput rate of </w:t>
      </w:r>
      <w:r w:rsidR="00C91557" w:rsidRPr="00581026">
        <w:rPr>
          <w:snapToGrid/>
          <w:kern w:val="0"/>
          <w:szCs w:val="22"/>
        </w:rPr>
        <w:t>128 kbps</w:t>
      </w:r>
      <w:r w:rsidR="00C91557">
        <w:t xml:space="preserve"> it must operate </w:t>
      </w:r>
      <w:r w:rsidR="00C91557" w:rsidRPr="00581026">
        <w:rPr>
          <w:snapToGrid/>
          <w:kern w:val="0"/>
          <w:szCs w:val="22"/>
        </w:rPr>
        <w:t>its proposed IP-based mobile data system</w:t>
      </w:r>
      <w:r w:rsidR="00C91557">
        <w:t xml:space="preserve"> using channel bandwidths greater than 25 kHz.  This is because data throughput rates higher than 64 kbps are difficult to achieve on 25 kHz bandwidth channels.</w:t>
      </w:r>
      <w:r w:rsidR="00C91557">
        <w:rPr>
          <w:rStyle w:val="FootnoteReference"/>
        </w:rPr>
        <w:footnoteReference w:id="31"/>
      </w:r>
      <w:r w:rsidR="00C91557">
        <w:t xml:space="preserve">  In fact, </w:t>
      </w:r>
      <w:r w:rsidR="00C91557" w:rsidRPr="00581026">
        <w:rPr>
          <w:snapToGrid/>
          <w:kern w:val="0"/>
          <w:szCs w:val="22"/>
        </w:rPr>
        <w:t>Anchorage claims its existing mobile data system provides data throughput rates of only</w:t>
      </w:r>
      <w:r w:rsidR="00C91557" w:rsidRPr="00B76D38">
        <w:rPr>
          <w:snapToGrid/>
          <w:kern w:val="0"/>
          <w:szCs w:val="22"/>
        </w:rPr>
        <w:t xml:space="preserve"> 19.6 kbps operating on 25 kHz bandwidth channels in the 800 MHz band.</w:t>
      </w:r>
      <w:r w:rsidR="00C91557">
        <w:rPr>
          <w:rStyle w:val="FootnoteReference"/>
          <w:snapToGrid/>
          <w:kern w:val="0"/>
          <w:szCs w:val="22"/>
        </w:rPr>
        <w:footnoteReference w:id="32"/>
      </w:r>
      <w:r w:rsidR="00C91557" w:rsidRPr="00581026">
        <w:rPr>
          <w:snapToGrid/>
          <w:kern w:val="0"/>
          <w:szCs w:val="22"/>
        </w:rPr>
        <w:t xml:space="preserve">  </w:t>
      </w:r>
      <w:r w:rsidR="00C35A53">
        <w:rPr>
          <w:snapToGrid/>
          <w:kern w:val="0"/>
          <w:szCs w:val="22"/>
        </w:rPr>
        <w:t xml:space="preserve">Its proposed 700 MHz system will have a throughput of 128 kbps, an over 500% increase in spectrum efficiency </w:t>
      </w:r>
      <w:r w:rsidR="000B63CC">
        <w:rPr>
          <w:snapToGrid/>
          <w:kern w:val="0"/>
          <w:szCs w:val="22"/>
        </w:rPr>
        <w:t xml:space="preserve">achieved through only a doubling of required bandwidth.  </w:t>
      </w:r>
      <w:r w:rsidR="00C91557" w:rsidRPr="00581026">
        <w:rPr>
          <w:snapToGrid/>
          <w:kern w:val="0"/>
          <w:szCs w:val="22"/>
        </w:rPr>
        <w:t xml:space="preserve">Thus, we conclude that Anchorage has </w:t>
      </w:r>
      <w:r w:rsidR="00C91557">
        <w:t>no reasonable alternative to seeking a waiver of Section 90.531(d)(1) if it is to achieve its desired data throughput rate on 700 MHz narrowband channels.</w:t>
      </w:r>
      <w:r w:rsidR="00C91557" w:rsidRPr="00581026" w:rsidDel="00C91557">
        <w:rPr>
          <w:snapToGrid/>
          <w:kern w:val="0"/>
          <w:szCs w:val="22"/>
        </w:rPr>
        <w:t xml:space="preserve"> </w:t>
      </w:r>
    </w:p>
    <w:p w:rsidR="00B952F0" w:rsidRPr="00B952F0" w:rsidRDefault="00055FD6" w:rsidP="0018561D">
      <w:pPr>
        <w:pStyle w:val="ParaNum"/>
        <w:numPr>
          <w:ilvl w:val="0"/>
          <w:numId w:val="9"/>
        </w:numPr>
        <w:tabs>
          <w:tab w:val="clear" w:pos="360"/>
          <w:tab w:val="clear" w:pos="1440"/>
          <w:tab w:val="num" w:pos="1100"/>
        </w:tabs>
        <w:spacing w:after="120"/>
        <w:ind w:left="0" w:firstLine="440"/>
      </w:pPr>
      <w:r>
        <w:rPr>
          <w:snapToGrid/>
          <w:kern w:val="0"/>
          <w:szCs w:val="22"/>
        </w:rPr>
        <w:t xml:space="preserve">Moreover, </w:t>
      </w:r>
      <w:r w:rsidR="00A601C7">
        <w:rPr>
          <w:snapToGrid/>
          <w:kern w:val="0"/>
          <w:szCs w:val="22"/>
        </w:rPr>
        <w:t xml:space="preserve">we find </w:t>
      </w:r>
      <w:r w:rsidR="00EF6287">
        <w:rPr>
          <w:snapToGrid/>
          <w:kern w:val="0"/>
          <w:szCs w:val="22"/>
        </w:rPr>
        <w:t xml:space="preserve">Anchorage’s proposal to </w:t>
      </w:r>
      <w:r>
        <w:rPr>
          <w:snapToGrid/>
          <w:kern w:val="0"/>
          <w:szCs w:val="22"/>
        </w:rPr>
        <w:t xml:space="preserve">aggregate </w:t>
      </w:r>
      <w:r w:rsidR="00A3139C">
        <w:rPr>
          <w:snapToGrid/>
          <w:kern w:val="0"/>
          <w:szCs w:val="22"/>
        </w:rPr>
        <w:t xml:space="preserve">narrowband </w:t>
      </w:r>
      <w:r>
        <w:rPr>
          <w:snapToGrid/>
          <w:kern w:val="0"/>
          <w:szCs w:val="22"/>
        </w:rPr>
        <w:t xml:space="preserve">6.25 kHz </w:t>
      </w:r>
      <w:r w:rsidR="008C03CA">
        <w:rPr>
          <w:snapToGrid/>
          <w:kern w:val="0"/>
          <w:szCs w:val="22"/>
        </w:rPr>
        <w:t xml:space="preserve">bandwidth </w:t>
      </w:r>
      <w:r>
        <w:rPr>
          <w:snapToGrid/>
          <w:kern w:val="0"/>
          <w:szCs w:val="22"/>
        </w:rPr>
        <w:t xml:space="preserve">channels into 50 kHz blocks </w:t>
      </w:r>
      <w:r w:rsidR="008453FE">
        <w:rPr>
          <w:snapToGrid/>
          <w:kern w:val="0"/>
          <w:szCs w:val="22"/>
        </w:rPr>
        <w:t xml:space="preserve">will </w:t>
      </w:r>
      <w:r w:rsidR="004F3118">
        <w:rPr>
          <w:snapToGrid/>
          <w:kern w:val="0"/>
          <w:szCs w:val="22"/>
        </w:rPr>
        <w:t xml:space="preserve">create </w:t>
      </w:r>
      <w:r>
        <w:rPr>
          <w:snapToGrid/>
          <w:kern w:val="0"/>
          <w:szCs w:val="22"/>
        </w:rPr>
        <w:t xml:space="preserve">minimal impact on </w:t>
      </w:r>
      <w:r w:rsidR="00A601C7">
        <w:rPr>
          <w:snapToGrid/>
          <w:kern w:val="0"/>
          <w:szCs w:val="22"/>
        </w:rPr>
        <w:t xml:space="preserve">the availability of 700 MHz narrowband </w:t>
      </w:r>
      <w:r>
        <w:rPr>
          <w:snapToGrid/>
          <w:kern w:val="0"/>
          <w:szCs w:val="22"/>
        </w:rPr>
        <w:t xml:space="preserve">channels </w:t>
      </w:r>
      <w:r w:rsidR="00A601C7">
        <w:rPr>
          <w:snapToGrid/>
          <w:kern w:val="0"/>
          <w:szCs w:val="22"/>
        </w:rPr>
        <w:t>throughout the state</w:t>
      </w:r>
      <w:r w:rsidR="00C91557">
        <w:rPr>
          <w:snapToGrid/>
          <w:kern w:val="0"/>
          <w:szCs w:val="22"/>
        </w:rPr>
        <w:t>,</w:t>
      </w:r>
      <w:r w:rsidR="00374E65">
        <w:rPr>
          <w:rStyle w:val="FootnoteReference"/>
          <w:snapToGrid/>
          <w:kern w:val="0"/>
          <w:szCs w:val="22"/>
        </w:rPr>
        <w:footnoteReference w:id="33"/>
      </w:r>
      <w:r w:rsidR="00A601C7">
        <w:rPr>
          <w:snapToGrid/>
          <w:kern w:val="0"/>
          <w:szCs w:val="22"/>
        </w:rPr>
        <w:t xml:space="preserve"> </w:t>
      </w:r>
      <w:r w:rsidR="00C91557">
        <w:rPr>
          <w:snapToGrid/>
          <w:kern w:val="0"/>
          <w:szCs w:val="22"/>
        </w:rPr>
        <w:t>and that</w:t>
      </w:r>
      <w:r w:rsidR="004F3118">
        <w:rPr>
          <w:snapToGrid/>
          <w:kern w:val="0"/>
          <w:szCs w:val="22"/>
        </w:rPr>
        <w:t xml:space="preserve"> an </w:t>
      </w:r>
      <w:r w:rsidR="00A601C7">
        <w:rPr>
          <w:snapToGrid/>
          <w:kern w:val="0"/>
          <w:szCs w:val="22"/>
        </w:rPr>
        <w:t xml:space="preserve">adequate </w:t>
      </w:r>
      <w:r w:rsidR="004F3118">
        <w:rPr>
          <w:snapToGrid/>
          <w:kern w:val="0"/>
          <w:szCs w:val="22"/>
        </w:rPr>
        <w:t xml:space="preserve">number of </w:t>
      </w:r>
      <w:r w:rsidR="00A601C7">
        <w:rPr>
          <w:snapToGrid/>
          <w:kern w:val="0"/>
          <w:szCs w:val="22"/>
        </w:rPr>
        <w:t xml:space="preserve">General Use channels </w:t>
      </w:r>
      <w:r w:rsidR="004F3118">
        <w:rPr>
          <w:snapToGrid/>
          <w:kern w:val="0"/>
          <w:szCs w:val="22"/>
        </w:rPr>
        <w:t xml:space="preserve">will remain available </w:t>
      </w:r>
      <w:r w:rsidR="008453FE">
        <w:rPr>
          <w:snapToGrid/>
          <w:kern w:val="0"/>
          <w:szCs w:val="22"/>
        </w:rPr>
        <w:t xml:space="preserve">in the band </w:t>
      </w:r>
      <w:r w:rsidR="004F3118">
        <w:rPr>
          <w:snapToGrid/>
          <w:kern w:val="0"/>
          <w:szCs w:val="22"/>
        </w:rPr>
        <w:t xml:space="preserve">for </w:t>
      </w:r>
      <w:r w:rsidR="00A24FAF">
        <w:rPr>
          <w:snapToGrid/>
          <w:kern w:val="0"/>
          <w:szCs w:val="22"/>
        </w:rPr>
        <w:t xml:space="preserve">future </w:t>
      </w:r>
      <w:r w:rsidR="004F3118">
        <w:rPr>
          <w:snapToGrid/>
          <w:kern w:val="0"/>
          <w:szCs w:val="22"/>
        </w:rPr>
        <w:t>use by other licensees</w:t>
      </w:r>
      <w:r w:rsidR="008C06E7">
        <w:rPr>
          <w:snapToGrid/>
          <w:kern w:val="0"/>
          <w:szCs w:val="22"/>
        </w:rPr>
        <w:t xml:space="preserve"> </w:t>
      </w:r>
      <w:r w:rsidR="00C91557">
        <w:rPr>
          <w:snapToGrid/>
          <w:kern w:val="0"/>
          <w:szCs w:val="22"/>
        </w:rPr>
        <w:t xml:space="preserve">even </w:t>
      </w:r>
      <w:r w:rsidR="008C06E7">
        <w:rPr>
          <w:snapToGrid/>
          <w:kern w:val="0"/>
          <w:szCs w:val="22"/>
        </w:rPr>
        <w:t>after Anchorage</w:t>
      </w:r>
      <w:r w:rsidR="00C91557">
        <w:rPr>
          <w:snapToGrid/>
          <w:kern w:val="0"/>
          <w:szCs w:val="22"/>
        </w:rPr>
        <w:t xml:space="preserve"> deploys this</w:t>
      </w:r>
      <w:r w:rsidR="008C06E7">
        <w:rPr>
          <w:snapToGrid/>
          <w:kern w:val="0"/>
          <w:szCs w:val="22"/>
        </w:rPr>
        <w:t xml:space="preserve"> mobile data system</w:t>
      </w:r>
      <w:r w:rsidR="004F3118">
        <w:rPr>
          <w:snapToGrid/>
          <w:kern w:val="0"/>
          <w:szCs w:val="22"/>
        </w:rPr>
        <w:t>.</w:t>
      </w:r>
      <w:r w:rsidR="00AF3E20">
        <w:rPr>
          <w:rStyle w:val="FootnoteReference"/>
          <w:snapToGrid/>
          <w:kern w:val="0"/>
          <w:szCs w:val="22"/>
        </w:rPr>
        <w:footnoteReference w:id="34"/>
      </w:r>
      <w:r w:rsidR="004F3118">
        <w:rPr>
          <w:snapToGrid/>
          <w:kern w:val="0"/>
          <w:szCs w:val="22"/>
        </w:rPr>
        <w:t xml:space="preserve">  In </w:t>
      </w:r>
      <w:r w:rsidR="00A24FAF">
        <w:rPr>
          <w:snapToGrid/>
          <w:kern w:val="0"/>
          <w:szCs w:val="22"/>
        </w:rPr>
        <w:t>analyzing the impact of Anchorage’s proposal on channel availability in the State of Alaska, we f</w:t>
      </w:r>
      <w:r w:rsidR="004E7CCF">
        <w:rPr>
          <w:snapToGrid/>
          <w:kern w:val="0"/>
          <w:szCs w:val="22"/>
        </w:rPr>
        <w:t xml:space="preserve">ind </w:t>
      </w:r>
      <w:r w:rsidR="00114AC9">
        <w:rPr>
          <w:snapToGrid/>
          <w:kern w:val="0"/>
          <w:szCs w:val="22"/>
        </w:rPr>
        <w:t xml:space="preserve">probative </w:t>
      </w:r>
      <w:r w:rsidR="00A24FAF">
        <w:rPr>
          <w:snapToGrid/>
          <w:kern w:val="0"/>
          <w:szCs w:val="22"/>
        </w:rPr>
        <w:t xml:space="preserve">the fact that </w:t>
      </w:r>
      <w:r w:rsidR="008C03CA">
        <w:rPr>
          <w:snapToGrid/>
          <w:kern w:val="0"/>
          <w:szCs w:val="22"/>
        </w:rPr>
        <w:t xml:space="preserve">it </w:t>
      </w:r>
      <w:r w:rsidR="004F3118">
        <w:rPr>
          <w:snapToGrid/>
          <w:kern w:val="0"/>
          <w:szCs w:val="22"/>
        </w:rPr>
        <w:t xml:space="preserve">obtained consent from the </w:t>
      </w:r>
      <w:r w:rsidR="008C06E7">
        <w:rPr>
          <w:snapToGrid/>
          <w:kern w:val="0"/>
          <w:szCs w:val="22"/>
        </w:rPr>
        <w:t xml:space="preserve">Regional Planning Committee and </w:t>
      </w:r>
      <w:r w:rsidR="00A24FAF">
        <w:rPr>
          <w:snapToGrid/>
          <w:kern w:val="0"/>
          <w:szCs w:val="22"/>
        </w:rPr>
        <w:t xml:space="preserve">that </w:t>
      </w:r>
      <w:r w:rsidR="008C06E7">
        <w:rPr>
          <w:snapToGrid/>
          <w:kern w:val="0"/>
          <w:szCs w:val="22"/>
        </w:rPr>
        <w:t>no entity objected to Anchorage’s application</w:t>
      </w:r>
      <w:r w:rsidR="00B952F0">
        <w:rPr>
          <w:snapToGrid/>
          <w:kern w:val="0"/>
          <w:szCs w:val="22"/>
        </w:rPr>
        <w:t>s</w:t>
      </w:r>
      <w:r w:rsidR="008C06E7">
        <w:rPr>
          <w:snapToGrid/>
          <w:kern w:val="0"/>
          <w:szCs w:val="22"/>
        </w:rPr>
        <w:t xml:space="preserve"> or waiver request.</w:t>
      </w:r>
      <w:r w:rsidR="00AF3E20">
        <w:rPr>
          <w:rStyle w:val="FootnoteReference"/>
          <w:snapToGrid/>
          <w:kern w:val="0"/>
          <w:szCs w:val="22"/>
        </w:rPr>
        <w:footnoteReference w:id="35"/>
      </w:r>
    </w:p>
    <w:p w:rsidR="00F172A4" w:rsidRDefault="00262772" w:rsidP="0018561D">
      <w:pPr>
        <w:pStyle w:val="ParaNum"/>
        <w:numPr>
          <w:ilvl w:val="0"/>
          <w:numId w:val="9"/>
        </w:numPr>
        <w:tabs>
          <w:tab w:val="clear" w:pos="360"/>
          <w:tab w:val="clear" w:pos="1440"/>
          <w:tab w:val="num" w:pos="1100"/>
        </w:tabs>
        <w:spacing w:after="120"/>
        <w:ind w:left="0" w:firstLine="440"/>
      </w:pPr>
      <w:r>
        <w:rPr>
          <w:snapToGrid/>
          <w:kern w:val="0"/>
          <w:szCs w:val="22"/>
        </w:rPr>
        <w:t xml:space="preserve">Finally, </w:t>
      </w:r>
      <w:r w:rsidR="00C91557">
        <w:rPr>
          <w:snapToGrid/>
          <w:kern w:val="0"/>
          <w:szCs w:val="22"/>
        </w:rPr>
        <w:t>given that a large portion of the state’s population resides in the Municipality</w:t>
      </w:r>
      <w:r w:rsidR="00B64960">
        <w:rPr>
          <w:snapToGrid/>
          <w:kern w:val="0"/>
          <w:szCs w:val="22"/>
        </w:rPr>
        <w:t>,</w:t>
      </w:r>
      <w:r w:rsidR="00C91557">
        <w:rPr>
          <w:snapToGrid/>
          <w:kern w:val="0"/>
          <w:szCs w:val="22"/>
        </w:rPr>
        <w:t xml:space="preserve"> </w:t>
      </w:r>
      <w:r>
        <w:rPr>
          <w:snapToGrid/>
          <w:kern w:val="0"/>
          <w:szCs w:val="22"/>
        </w:rPr>
        <w:t xml:space="preserve">we find it </w:t>
      </w:r>
      <w:r w:rsidR="00784A84">
        <w:rPr>
          <w:snapToGrid/>
          <w:kern w:val="0"/>
          <w:szCs w:val="22"/>
        </w:rPr>
        <w:t>in the public interest for Anchorage to replace its existing outdated mobile data system</w:t>
      </w:r>
      <w:r w:rsidR="00B91E91">
        <w:rPr>
          <w:snapToGrid/>
          <w:kern w:val="0"/>
          <w:szCs w:val="22"/>
        </w:rPr>
        <w:t xml:space="preserve">.  </w:t>
      </w:r>
      <w:r w:rsidR="00840893">
        <w:rPr>
          <w:snapToGrid/>
          <w:kern w:val="0"/>
          <w:szCs w:val="22"/>
        </w:rPr>
        <w:t>We recognize that Congress has charted a path for a nationwide interoperable public safety network with its creation of FirstNet in 2012.</w:t>
      </w:r>
      <w:r w:rsidR="00840893">
        <w:rPr>
          <w:rStyle w:val="FootnoteReference"/>
          <w:snapToGrid/>
          <w:kern w:val="0"/>
          <w:szCs w:val="22"/>
        </w:rPr>
        <w:footnoteReference w:id="36"/>
      </w:r>
      <w:r w:rsidR="00840893">
        <w:rPr>
          <w:snapToGrid/>
          <w:kern w:val="0"/>
          <w:szCs w:val="22"/>
        </w:rPr>
        <w:t xml:space="preserve">  We are also aware that FirstNet is currently engaging in a number of activities to implement its statutory mandates, and to develop its nationwide system architecture</w:t>
      </w:r>
      <w:r w:rsidR="009A615B">
        <w:rPr>
          <w:snapToGrid/>
          <w:kern w:val="0"/>
          <w:szCs w:val="22"/>
        </w:rPr>
        <w:t>, including undertaking state consultations</w:t>
      </w:r>
      <w:r w:rsidR="00840893">
        <w:rPr>
          <w:snapToGrid/>
          <w:kern w:val="0"/>
          <w:szCs w:val="22"/>
        </w:rPr>
        <w:t>.</w:t>
      </w:r>
      <w:r w:rsidR="00840893">
        <w:rPr>
          <w:rStyle w:val="FootnoteReference"/>
          <w:snapToGrid/>
          <w:kern w:val="0"/>
          <w:szCs w:val="22"/>
        </w:rPr>
        <w:footnoteReference w:id="37"/>
      </w:r>
      <w:r w:rsidR="00840893">
        <w:rPr>
          <w:snapToGrid/>
          <w:kern w:val="0"/>
          <w:szCs w:val="22"/>
        </w:rPr>
        <w:t xml:space="preserve">  </w:t>
      </w:r>
      <w:r w:rsidR="00641BA1">
        <w:rPr>
          <w:snapToGrid/>
          <w:kern w:val="0"/>
          <w:szCs w:val="22"/>
        </w:rPr>
        <w:t>We also note that the Commission has sought comment on the future of the 700 MHz narrowband spectrum, including whether to eliminate the 6.25 kHz narrowbanding requirement in light of possible</w:t>
      </w:r>
      <w:r w:rsidR="00246008">
        <w:rPr>
          <w:snapToGrid/>
          <w:kern w:val="0"/>
          <w:szCs w:val="22"/>
        </w:rPr>
        <w:t xml:space="preserve"> long-term demand to migrate</w:t>
      </w:r>
      <w:r w:rsidR="00641BA1">
        <w:rPr>
          <w:snapToGrid/>
          <w:kern w:val="0"/>
          <w:szCs w:val="22"/>
        </w:rPr>
        <w:t xml:space="preserve"> the narrowband spectrum </w:t>
      </w:r>
      <w:r w:rsidR="00246008">
        <w:rPr>
          <w:snapToGrid/>
          <w:kern w:val="0"/>
          <w:szCs w:val="22"/>
        </w:rPr>
        <w:t xml:space="preserve">to </w:t>
      </w:r>
      <w:r w:rsidR="00641BA1">
        <w:rPr>
          <w:snapToGrid/>
          <w:kern w:val="0"/>
          <w:szCs w:val="22"/>
        </w:rPr>
        <w:t>broadband use.</w:t>
      </w:r>
      <w:r w:rsidR="00641BA1">
        <w:rPr>
          <w:rStyle w:val="FootnoteReference"/>
          <w:snapToGrid/>
          <w:kern w:val="0"/>
          <w:szCs w:val="22"/>
        </w:rPr>
        <w:footnoteReference w:id="38"/>
      </w:r>
      <w:r w:rsidR="00641BA1">
        <w:rPr>
          <w:snapToGrid/>
          <w:kern w:val="0"/>
          <w:szCs w:val="22"/>
        </w:rPr>
        <w:t xml:space="preserve">  Nonetheless</w:t>
      </w:r>
      <w:r w:rsidR="009A615B">
        <w:rPr>
          <w:snapToGrid/>
          <w:kern w:val="0"/>
          <w:szCs w:val="22"/>
        </w:rPr>
        <w:t xml:space="preserve">, </w:t>
      </w:r>
      <w:r w:rsidR="00EC45EB">
        <w:t xml:space="preserve">we find it in the public interest to grant the present waiver because </w:t>
      </w:r>
      <w:r w:rsidR="009A615B">
        <w:t xml:space="preserve">in the interim </w:t>
      </w:r>
      <w:r w:rsidR="00B64960">
        <w:t>we believe</w:t>
      </w:r>
      <w:r w:rsidR="00EB2955">
        <w:t xml:space="preserve"> </w:t>
      </w:r>
      <w:r w:rsidR="00030C45">
        <w:t xml:space="preserve">Anchorage’s </w:t>
      </w:r>
      <w:r w:rsidR="00B64960">
        <w:t xml:space="preserve">proposed </w:t>
      </w:r>
      <w:r w:rsidR="00030C45">
        <w:t xml:space="preserve">IP-based mobile data system </w:t>
      </w:r>
      <w:r w:rsidR="00F8480B">
        <w:t xml:space="preserve">on 700 MHz narrowband spectrum </w:t>
      </w:r>
      <w:r w:rsidR="00114AC9">
        <w:t xml:space="preserve">may </w:t>
      </w:r>
      <w:r w:rsidR="00030C45">
        <w:t>serve</w:t>
      </w:r>
      <w:r w:rsidR="00CD3F15">
        <w:t xml:space="preserve"> its police department’s </w:t>
      </w:r>
      <w:r w:rsidR="00870A43">
        <w:t xml:space="preserve">current </w:t>
      </w:r>
      <w:r w:rsidR="00114AC9">
        <w:t>data needs</w:t>
      </w:r>
      <w:r w:rsidR="007C3B37">
        <w:t xml:space="preserve">. </w:t>
      </w:r>
      <w:r w:rsidR="00F01850">
        <w:t xml:space="preserve"> </w:t>
      </w:r>
      <w:r w:rsidR="00EC45EB">
        <w:t>However</w:t>
      </w:r>
      <w:r w:rsidR="009A615B">
        <w:t xml:space="preserve">, </w:t>
      </w:r>
      <w:r w:rsidR="00EC45EB">
        <w:t xml:space="preserve">we also note that </w:t>
      </w:r>
      <w:r w:rsidR="009A615B">
        <w:t>our consideration of the factual circumstances that support a waiver request today may not be present in the future when FirstNet’s efforts are more mature</w:t>
      </w:r>
      <w:r w:rsidR="00EC45EB">
        <w:t xml:space="preserve"> or if the Commission’s policies on the use of the band shift</w:t>
      </w:r>
      <w:r w:rsidR="009A615B">
        <w:t xml:space="preserve">.  </w:t>
      </w:r>
      <w:r w:rsidR="00B36156">
        <w:t xml:space="preserve">Finally, in light of the other circumstances described herein, </w:t>
      </w:r>
      <w:r w:rsidR="007C3B37">
        <w:t xml:space="preserve">we find it unduly burdensome </w:t>
      </w:r>
      <w:r w:rsidR="00E21F9A">
        <w:t xml:space="preserve">to require </w:t>
      </w:r>
      <w:r w:rsidR="007C3B37">
        <w:t>Anchorage to operate it</w:t>
      </w:r>
      <w:r w:rsidR="006C740A">
        <w:t>s</w:t>
      </w:r>
      <w:r w:rsidR="007C3B37">
        <w:t xml:space="preserve"> </w:t>
      </w:r>
      <w:r w:rsidR="00CD3F15">
        <w:t xml:space="preserve">new </w:t>
      </w:r>
      <w:r w:rsidR="007C3B37">
        <w:t>IP-based mobile data system</w:t>
      </w:r>
      <w:r w:rsidR="007C3B37" w:rsidRPr="00CB726A">
        <w:t xml:space="preserve"> </w:t>
      </w:r>
      <w:r w:rsidR="006C740A">
        <w:t>at less than desired data rates solely to comply with the bandwidth requirements of Section 90.531(d)(1)</w:t>
      </w:r>
      <w:r w:rsidR="00B36156">
        <w:t>.</w:t>
      </w:r>
      <w:r w:rsidR="00B36156" w:rsidDel="00B36156">
        <w:t xml:space="preserve"> </w:t>
      </w:r>
    </w:p>
    <w:p w:rsidR="00635D2E" w:rsidRDefault="001F1E07" w:rsidP="0018561D">
      <w:pPr>
        <w:pStyle w:val="ParaNum"/>
        <w:numPr>
          <w:ilvl w:val="0"/>
          <w:numId w:val="9"/>
        </w:numPr>
        <w:tabs>
          <w:tab w:val="clear" w:pos="360"/>
          <w:tab w:val="clear" w:pos="1440"/>
          <w:tab w:val="num" w:pos="1100"/>
        </w:tabs>
        <w:spacing w:after="120"/>
        <w:ind w:left="0" w:firstLine="440"/>
      </w:pPr>
      <w:r w:rsidRPr="001F1E07">
        <w:rPr>
          <w:i/>
        </w:rPr>
        <w:t>CalAmp’s Class II permissive change</w:t>
      </w:r>
      <w:r>
        <w:t xml:space="preserve">.  Having </w:t>
      </w:r>
      <w:r w:rsidR="006E0171">
        <w:t xml:space="preserve">determined </w:t>
      </w:r>
      <w:r>
        <w:t xml:space="preserve">that Anchorage has satisfied the waiver standard, we now turn to its </w:t>
      </w:r>
      <w:r w:rsidR="006E37C5">
        <w:t xml:space="preserve">request </w:t>
      </w:r>
      <w:r>
        <w:t xml:space="preserve">to obtain equipment for its IP-based mobile data system capable of operating </w:t>
      </w:r>
      <w:r w:rsidR="0009509E">
        <w:t xml:space="preserve">on 700 MHz narrowband spectrum </w:t>
      </w:r>
      <w:r>
        <w:t xml:space="preserve">with </w:t>
      </w:r>
      <w:r w:rsidR="008D0B6A">
        <w:t xml:space="preserve">a </w:t>
      </w:r>
      <w:r>
        <w:t>bandwidth greater than 25 kHz.</w:t>
      </w:r>
      <w:r w:rsidR="00BD663D">
        <w:rPr>
          <w:rStyle w:val="FootnoteReference"/>
        </w:rPr>
        <w:footnoteReference w:id="39"/>
      </w:r>
      <w:r w:rsidR="006E37C5">
        <w:t xml:space="preserve">  </w:t>
      </w:r>
      <w:r w:rsidR="00DE4C10">
        <w:t xml:space="preserve">Anchorage’s equipment vendor, </w:t>
      </w:r>
      <w:r w:rsidR="00D67416">
        <w:t>CalAmp</w:t>
      </w:r>
      <w:r w:rsidR="00DE4C10">
        <w:t xml:space="preserve">, states </w:t>
      </w:r>
      <w:r w:rsidR="00026294">
        <w:t xml:space="preserve">in a letter to staff at OET </w:t>
      </w:r>
      <w:r w:rsidR="00DE4C10">
        <w:t>that it “</w:t>
      </w:r>
      <w:r w:rsidR="00DE4C10" w:rsidRPr="00DE4C10">
        <w:t>no longer manufactures equipment compatible with a 50 kHz base station</w:t>
      </w:r>
      <w:r w:rsidR="00DE4C10">
        <w:t>”</w:t>
      </w:r>
      <w:r w:rsidR="00D67416">
        <w:t xml:space="preserve"> </w:t>
      </w:r>
      <w:r w:rsidR="00DE4C10">
        <w:t xml:space="preserve">and therefore </w:t>
      </w:r>
      <w:r w:rsidR="00026294">
        <w:t xml:space="preserve">intends to </w:t>
      </w:r>
      <w:r w:rsidR="00D67416">
        <w:t xml:space="preserve">seek a Class II permissive change </w:t>
      </w:r>
      <w:r w:rsidR="00DE4C10">
        <w:t>to “</w:t>
      </w:r>
      <w:r w:rsidR="00DE4C10" w:rsidRPr="00DE4C10">
        <w:t>simply add a 50 kHz emission designator</w:t>
      </w:r>
      <w:r w:rsidR="00DE4C10">
        <w:t>”</w:t>
      </w:r>
      <w:r w:rsidR="00DE4C10" w:rsidRPr="00DE4C10">
        <w:t xml:space="preserve"> to</w:t>
      </w:r>
      <w:r w:rsidR="00DE4C10">
        <w:t xml:space="preserve"> a “</w:t>
      </w:r>
      <w:r w:rsidR="00DE4C10" w:rsidRPr="00DE4C10">
        <w:t>later and more advanced unit now certified for a 25 kHz bandwidth</w:t>
      </w:r>
      <w:r w:rsidR="00DE4C10">
        <w:t>.”</w:t>
      </w:r>
      <w:r w:rsidR="00635D2E">
        <w:rPr>
          <w:rStyle w:val="FootnoteReference"/>
        </w:rPr>
        <w:footnoteReference w:id="40"/>
      </w:r>
    </w:p>
    <w:p w:rsidR="00A51DC4" w:rsidRDefault="00DC0771" w:rsidP="0018561D">
      <w:pPr>
        <w:pStyle w:val="ParaNum"/>
        <w:numPr>
          <w:ilvl w:val="0"/>
          <w:numId w:val="9"/>
        </w:numPr>
        <w:tabs>
          <w:tab w:val="clear" w:pos="360"/>
          <w:tab w:val="clear" w:pos="1440"/>
          <w:tab w:val="num" w:pos="1100"/>
        </w:tabs>
        <w:spacing w:after="120"/>
        <w:ind w:left="0" w:firstLine="440"/>
      </w:pPr>
      <w:r>
        <w:t xml:space="preserve">CalAmp includes </w:t>
      </w:r>
      <w:r w:rsidR="002F19A8">
        <w:t xml:space="preserve">several reports </w:t>
      </w:r>
      <w:r>
        <w:t xml:space="preserve">with its </w:t>
      </w:r>
      <w:r w:rsidR="00026294">
        <w:t xml:space="preserve">letter </w:t>
      </w:r>
      <w:r>
        <w:t>de</w:t>
      </w:r>
      <w:r w:rsidR="002F19A8">
        <w:t xml:space="preserve">tailing </w:t>
      </w:r>
      <w:r w:rsidR="00F22533">
        <w:t xml:space="preserve">the </w:t>
      </w:r>
      <w:r w:rsidR="00804634">
        <w:t xml:space="preserve">performance </w:t>
      </w:r>
      <w:r w:rsidR="00375DB6">
        <w:t xml:space="preserve">of its base station under various tests </w:t>
      </w:r>
      <w:r w:rsidR="00A51DC4">
        <w:t xml:space="preserve">while operating with a </w:t>
      </w:r>
      <w:r w:rsidR="00BC68F3">
        <w:t xml:space="preserve">wideband emission using a </w:t>
      </w:r>
      <w:r w:rsidR="00A51DC4">
        <w:t>channel bandwidth of 50 kHz.</w:t>
      </w:r>
      <w:r w:rsidR="006C23C4">
        <w:rPr>
          <w:rStyle w:val="FootnoteReference"/>
        </w:rPr>
        <w:footnoteReference w:id="41"/>
      </w:r>
      <w:r w:rsidR="00A51DC4">
        <w:t xml:space="preserve">  Included with these tests are results of measurements on </w:t>
      </w:r>
      <w:r w:rsidR="00375DB6">
        <w:t>Adjacent Channel Power (ACP)</w:t>
      </w:r>
      <w:r w:rsidR="00A51DC4">
        <w:t>.</w:t>
      </w:r>
      <w:r w:rsidR="006C23C4">
        <w:rPr>
          <w:rStyle w:val="FootnoteReference"/>
        </w:rPr>
        <w:footnoteReference w:id="42"/>
      </w:r>
      <w:r w:rsidR="00A51DC4">
        <w:t xml:space="preserve">  </w:t>
      </w:r>
    </w:p>
    <w:p w:rsidR="00E21F9A" w:rsidRDefault="00A51DC4" w:rsidP="0018561D">
      <w:pPr>
        <w:pStyle w:val="ParaNum"/>
        <w:numPr>
          <w:ilvl w:val="0"/>
          <w:numId w:val="9"/>
        </w:numPr>
        <w:tabs>
          <w:tab w:val="clear" w:pos="360"/>
          <w:tab w:val="clear" w:pos="1440"/>
          <w:tab w:val="num" w:pos="1100"/>
        </w:tabs>
        <w:spacing w:after="120"/>
        <w:ind w:left="0" w:firstLine="440"/>
      </w:pPr>
      <w:r>
        <w:t xml:space="preserve">All </w:t>
      </w:r>
      <w:r w:rsidR="00D663F2">
        <w:t xml:space="preserve">transmitters operating on narrowband spectrum in the 700 MHz band must comply with ACP </w:t>
      </w:r>
      <w:r w:rsidR="00AD3E23">
        <w:t xml:space="preserve">emission </w:t>
      </w:r>
      <w:r w:rsidR="00D663F2">
        <w:t xml:space="preserve">limits which are designed to </w:t>
      </w:r>
      <w:r w:rsidR="00D663F2" w:rsidRPr="00D663F2">
        <w:t xml:space="preserve">minimize </w:t>
      </w:r>
      <w:r w:rsidR="00C92138" w:rsidRPr="00D663F2">
        <w:t xml:space="preserve">interference </w:t>
      </w:r>
      <w:r w:rsidR="00C92138">
        <w:t xml:space="preserve">to </w:t>
      </w:r>
      <w:r w:rsidR="00D663F2" w:rsidRPr="00D663F2">
        <w:t>adjacent channel</w:t>
      </w:r>
      <w:r w:rsidR="008167B5">
        <w:t>s</w:t>
      </w:r>
      <w:r w:rsidR="00D663F2">
        <w:t>.</w:t>
      </w:r>
      <w:r w:rsidR="00A42048">
        <w:rPr>
          <w:rStyle w:val="FootnoteReference"/>
        </w:rPr>
        <w:footnoteReference w:id="43"/>
      </w:r>
      <w:r>
        <w:t xml:space="preserve">  ACP limits are important for determining </w:t>
      </w:r>
      <w:r w:rsidR="00A54554">
        <w:t xml:space="preserve">the interference potential of a </w:t>
      </w:r>
      <w:r>
        <w:t xml:space="preserve">transmitter </w:t>
      </w:r>
      <w:r w:rsidR="004C7DD5">
        <w:t xml:space="preserve">to users </w:t>
      </w:r>
      <w:r w:rsidR="00C92138">
        <w:t xml:space="preserve">operating </w:t>
      </w:r>
      <w:r w:rsidR="00A54554">
        <w:t xml:space="preserve">on </w:t>
      </w:r>
      <w:r w:rsidR="00683FE5">
        <w:t xml:space="preserve">other in-band </w:t>
      </w:r>
      <w:r w:rsidR="00A54554">
        <w:t>channels</w:t>
      </w:r>
      <w:r w:rsidR="00683FE5">
        <w:t xml:space="preserve"> or in other bands</w:t>
      </w:r>
      <w:r w:rsidR="00A54554">
        <w:t>.</w:t>
      </w:r>
      <w:r w:rsidR="00683FE5">
        <w:rPr>
          <w:rStyle w:val="FootnoteReference"/>
        </w:rPr>
        <w:footnoteReference w:id="44"/>
      </w:r>
      <w:r w:rsidR="00A54554">
        <w:t xml:space="preserve">  </w:t>
      </w:r>
      <w:r w:rsidR="008A01AE">
        <w:t>Although t</w:t>
      </w:r>
      <w:r w:rsidR="00375DB6">
        <w:t xml:space="preserve">he Commission specifies no ACP limits for transmitters operating with </w:t>
      </w:r>
      <w:r w:rsidR="00BC68F3">
        <w:t xml:space="preserve">a channel </w:t>
      </w:r>
      <w:r w:rsidR="00375DB6">
        <w:t>bandwidth greater than 25 kHz</w:t>
      </w:r>
      <w:r w:rsidR="008A01AE">
        <w:t>, i</w:t>
      </w:r>
      <w:r w:rsidR="00A7304F">
        <w:t xml:space="preserve">t did </w:t>
      </w:r>
      <w:r w:rsidR="00375DB6">
        <w:t xml:space="preserve">seek comment in </w:t>
      </w:r>
      <w:r w:rsidR="00D04281">
        <w:t xml:space="preserve">January 2005 </w:t>
      </w:r>
      <w:r w:rsidR="00375DB6">
        <w:t xml:space="preserve">on </w:t>
      </w:r>
      <w:r w:rsidR="008A01AE">
        <w:t xml:space="preserve">an </w:t>
      </w:r>
      <w:r w:rsidR="00527ADC">
        <w:t>i</w:t>
      </w:r>
      <w:r w:rsidR="00375DB6">
        <w:t xml:space="preserve">ndustry </w:t>
      </w:r>
      <w:r w:rsidR="00A54554">
        <w:t xml:space="preserve">adopted </w:t>
      </w:r>
      <w:r w:rsidR="00260CD3">
        <w:t xml:space="preserve">standard for </w:t>
      </w:r>
      <w:r w:rsidR="00375DB6">
        <w:t xml:space="preserve">ACP </w:t>
      </w:r>
      <w:r w:rsidR="00260CD3">
        <w:t xml:space="preserve">emission </w:t>
      </w:r>
      <w:r w:rsidR="00375DB6">
        <w:t xml:space="preserve">limits </w:t>
      </w:r>
      <w:r w:rsidR="00260CD3">
        <w:t xml:space="preserve">when </w:t>
      </w:r>
      <w:r w:rsidR="008D4A9B">
        <w:t xml:space="preserve">a </w:t>
      </w:r>
      <w:r w:rsidR="00260CD3">
        <w:t>transmitter operate</w:t>
      </w:r>
      <w:r w:rsidR="008D4A9B">
        <w:t>s</w:t>
      </w:r>
      <w:r w:rsidR="00260CD3">
        <w:t xml:space="preserve"> </w:t>
      </w:r>
      <w:r w:rsidR="008A01AE">
        <w:t xml:space="preserve">with a channel </w:t>
      </w:r>
      <w:r w:rsidR="00375DB6">
        <w:t>bandwidth</w:t>
      </w:r>
      <w:r w:rsidR="00527ADC">
        <w:t xml:space="preserve"> </w:t>
      </w:r>
      <w:r w:rsidR="008A01AE">
        <w:t xml:space="preserve">of </w:t>
      </w:r>
      <w:r w:rsidR="00375DB6">
        <w:t>50 kHz.</w:t>
      </w:r>
      <w:r w:rsidR="00683FE5">
        <w:rPr>
          <w:rStyle w:val="FootnoteReference"/>
        </w:rPr>
        <w:footnoteReference w:id="45"/>
      </w:r>
    </w:p>
    <w:p w:rsidR="00835E96" w:rsidRDefault="003E22B9" w:rsidP="0018561D">
      <w:pPr>
        <w:pStyle w:val="ParaNum"/>
        <w:numPr>
          <w:ilvl w:val="0"/>
          <w:numId w:val="9"/>
        </w:numPr>
        <w:tabs>
          <w:tab w:val="clear" w:pos="360"/>
          <w:tab w:val="clear" w:pos="1440"/>
          <w:tab w:val="num" w:pos="1100"/>
        </w:tabs>
        <w:spacing w:after="120"/>
        <w:ind w:left="0" w:firstLine="440"/>
      </w:pPr>
      <w:r>
        <w:t xml:space="preserve">CalAmp’s test report </w:t>
      </w:r>
      <w:r w:rsidR="008A01AE">
        <w:t xml:space="preserve">demonstrates </w:t>
      </w:r>
      <w:r>
        <w:t xml:space="preserve">that its base station complies with the industry adopted ACP emission limits when </w:t>
      </w:r>
      <w:r w:rsidR="008A01AE">
        <w:t xml:space="preserve">transmitting using a wideband emission on a 50 kHz bandwidth </w:t>
      </w:r>
      <w:r>
        <w:t>channel.  Consequently, we conclude that the CalAmp base station is unlikely to cause interference to licensee</w:t>
      </w:r>
      <w:r w:rsidR="008D0B6A">
        <w:t>s</w:t>
      </w:r>
      <w:r>
        <w:t xml:space="preserve"> on other 700 MHz narrowband channels when </w:t>
      </w:r>
      <w:r w:rsidR="008A01AE">
        <w:t xml:space="preserve">operating in a wideband mode.  </w:t>
      </w:r>
      <w:r w:rsidR="00835E96">
        <w:t xml:space="preserve">Furthermore, we find the results of all other </w:t>
      </w:r>
      <w:r w:rsidR="008A01AE">
        <w:t xml:space="preserve">measurements in the test reports </w:t>
      </w:r>
      <w:r w:rsidR="00835E96">
        <w:t>appropriate</w:t>
      </w:r>
      <w:r>
        <w:t>.</w:t>
      </w:r>
    </w:p>
    <w:p w:rsidR="00861DC6" w:rsidRDefault="00E95620" w:rsidP="0018561D">
      <w:pPr>
        <w:pStyle w:val="ParaNum"/>
        <w:numPr>
          <w:ilvl w:val="0"/>
          <w:numId w:val="9"/>
        </w:numPr>
        <w:tabs>
          <w:tab w:val="clear" w:pos="360"/>
          <w:tab w:val="clear" w:pos="1440"/>
          <w:tab w:val="num" w:pos="1100"/>
        </w:tabs>
        <w:spacing w:after="120"/>
        <w:ind w:left="0" w:firstLine="440"/>
      </w:pPr>
      <w:r w:rsidRPr="00DA5581">
        <w:t xml:space="preserve">Consequently, we find it in the public interest to grant Anchorage’s equipment vendor, CalAmp, a waiver of Section 90.531(d)(1) so it may </w:t>
      </w:r>
      <w:r w:rsidR="00835E96" w:rsidRPr="004D0AC7">
        <w:t xml:space="preserve">add a new </w:t>
      </w:r>
      <w:r w:rsidR="00AD768C" w:rsidRPr="004D0AC7">
        <w:t xml:space="preserve">wideband </w:t>
      </w:r>
      <w:r w:rsidR="00835E96" w:rsidRPr="004D0AC7">
        <w:t>emission designator to its base station certified under FCC ID No. EO</w:t>
      </w:r>
      <w:r w:rsidR="00835E96" w:rsidRPr="008F1E6C">
        <w:t>TBDP4-EXCT769</w:t>
      </w:r>
      <w:r w:rsidRPr="008F1E6C">
        <w:t xml:space="preserve"> for use in Anchorage’s IP-based mobile data system</w:t>
      </w:r>
      <w:r w:rsidR="00835E96" w:rsidRPr="008F1E6C">
        <w:t xml:space="preserve">.  </w:t>
      </w:r>
      <w:r w:rsidRPr="008F1E6C">
        <w:t>We</w:t>
      </w:r>
      <w:r w:rsidR="00FE2098" w:rsidRPr="008F1E6C">
        <w:t xml:space="preserve"> condition the instant waiver to Anchorage on CalAmp first obtaining a permissive change to add a wideband (50 kHz) emission designator to its current certification.</w:t>
      </w:r>
      <w:r w:rsidR="00E4478F" w:rsidRPr="008F1E6C">
        <w:t xml:space="preserve">  CalAmp should </w:t>
      </w:r>
      <w:r w:rsidRPr="008F1E6C">
        <w:t xml:space="preserve">include </w:t>
      </w:r>
      <w:r w:rsidR="009C37A1" w:rsidRPr="008F1E6C">
        <w:t>a copy of this order with its application</w:t>
      </w:r>
      <w:r w:rsidR="00033FF4" w:rsidRPr="008F1E6C">
        <w:t xml:space="preserve"> for permissive change</w:t>
      </w:r>
      <w:r w:rsidR="009C37A1" w:rsidRPr="008F1E6C">
        <w:t xml:space="preserve">.  Once the new emission designator is added to its equipment certification, CalAmp </w:t>
      </w:r>
      <w:r w:rsidR="00210A73" w:rsidRPr="008F1E6C">
        <w:t xml:space="preserve">may only market its </w:t>
      </w:r>
      <w:r w:rsidR="0012415C" w:rsidRPr="008F1E6C">
        <w:t xml:space="preserve">base station with the wideband mode </w:t>
      </w:r>
      <w:r w:rsidR="009C37A1" w:rsidRPr="008F1E6C">
        <w:t xml:space="preserve">activated </w:t>
      </w:r>
      <w:r w:rsidR="00210A73" w:rsidRPr="008F1E6C">
        <w:t xml:space="preserve">to </w:t>
      </w:r>
      <w:r w:rsidR="00DE6D9A" w:rsidRPr="008F1E6C">
        <w:t>Anchorage</w:t>
      </w:r>
      <w:r w:rsidR="00DA5581">
        <w:t xml:space="preserve"> for use in Anchorage’s IP-based mobile data system</w:t>
      </w:r>
      <w:r w:rsidR="00210A73">
        <w:t>.</w:t>
      </w:r>
      <w:r w:rsidR="003E22B9">
        <w:t xml:space="preserve"> </w:t>
      </w:r>
      <w:r w:rsidR="00A7304F">
        <w:t xml:space="preserve">  </w:t>
      </w:r>
      <w:r w:rsidR="00375DB6">
        <w:t xml:space="preserve">  </w:t>
      </w:r>
      <w:r w:rsidR="00BE5B47">
        <w:t xml:space="preserve">  </w:t>
      </w:r>
      <w:bookmarkStart w:id="3" w:name="_Ref153355489"/>
      <w:r w:rsidR="00861DC6" w:rsidRPr="003D78DE">
        <w:rPr>
          <w:color w:val="000000"/>
          <w:szCs w:val="22"/>
        </w:rPr>
        <w:t xml:space="preserve">  </w:t>
      </w:r>
    </w:p>
    <w:bookmarkEnd w:id="3"/>
    <w:p w:rsidR="00861DC6" w:rsidRDefault="00861DC6" w:rsidP="0018561D">
      <w:pPr>
        <w:pStyle w:val="Heading1"/>
        <w:widowControl/>
      </w:pPr>
      <w:r>
        <w:t>ordering clauses</w:t>
      </w:r>
    </w:p>
    <w:p w:rsidR="0018561D" w:rsidRPr="003D78DE" w:rsidRDefault="00861DC6" w:rsidP="005D185B">
      <w:pPr>
        <w:pStyle w:val="ParaNum"/>
        <w:numPr>
          <w:ilvl w:val="0"/>
          <w:numId w:val="9"/>
        </w:numPr>
        <w:tabs>
          <w:tab w:val="clear" w:pos="360"/>
          <w:tab w:val="clear" w:pos="1440"/>
          <w:tab w:val="num" w:pos="1100"/>
        </w:tabs>
        <w:spacing w:after="120"/>
        <w:ind w:left="0" w:firstLine="440"/>
      </w:pPr>
      <w:r>
        <w:t xml:space="preserve">Accordingly, </w:t>
      </w:r>
      <w:r w:rsidR="00A766AA">
        <w:t xml:space="preserve">IT IS ORDERED that </w:t>
      </w:r>
      <w:r>
        <w:t xml:space="preserve">the waiver request associated with </w:t>
      </w:r>
      <w:r w:rsidR="00C6523A">
        <w:t xml:space="preserve">ULS </w:t>
      </w:r>
      <w:r w:rsidR="00C6523A" w:rsidRPr="00C6523A">
        <w:t>File No</w:t>
      </w:r>
      <w:r w:rsidR="005D185B">
        <w:t>s</w:t>
      </w:r>
      <w:r w:rsidR="00C6523A" w:rsidRPr="00C6523A">
        <w:t xml:space="preserve">. </w:t>
      </w:r>
      <w:r w:rsidR="005D185B" w:rsidRPr="000B60B6">
        <w:rPr>
          <w:spacing w:val="-2"/>
        </w:rPr>
        <w:t>0006112495 and 0006112498</w:t>
      </w:r>
      <w:r>
        <w:t xml:space="preserve"> filed by </w:t>
      </w:r>
      <w:r w:rsidR="005D185B">
        <w:t>the Municipality o</w:t>
      </w:r>
      <w:r w:rsidR="005D185B" w:rsidRPr="000B60B6">
        <w:t>f Anchorage, Alaska</w:t>
      </w:r>
      <w:r w:rsidR="005D185B">
        <w:t xml:space="preserve"> </w:t>
      </w:r>
      <w:r>
        <w:t xml:space="preserve">pursuant to Section 1.925 of the Commission’s rules, 47 C.F.R. § 1.925, </w:t>
      </w:r>
      <w:r w:rsidR="005D185B">
        <w:t>IS</w:t>
      </w:r>
      <w:r w:rsidR="002A57C3">
        <w:t xml:space="preserve"> GRANTED </w:t>
      </w:r>
      <w:r>
        <w:t xml:space="preserve">and the associated application </w:t>
      </w:r>
      <w:r w:rsidR="00367CC7">
        <w:t xml:space="preserve">SHALL BE PROCESSED </w:t>
      </w:r>
      <w:r>
        <w:t>accordingly</w:t>
      </w:r>
      <w:r w:rsidRPr="00367CC7">
        <w:rPr>
          <w:spacing w:val="-2"/>
        </w:rPr>
        <w:t>.</w:t>
      </w:r>
    </w:p>
    <w:p w:rsidR="003D78DE" w:rsidRDefault="003D78DE" w:rsidP="00BF1CC0">
      <w:pPr>
        <w:pStyle w:val="ParaNum"/>
        <w:numPr>
          <w:ilvl w:val="0"/>
          <w:numId w:val="9"/>
        </w:numPr>
        <w:tabs>
          <w:tab w:val="clear" w:pos="360"/>
          <w:tab w:val="clear" w:pos="1440"/>
          <w:tab w:val="num" w:pos="1100"/>
        </w:tabs>
        <w:spacing w:after="120"/>
        <w:ind w:left="0" w:firstLine="440"/>
      </w:pPr>
      <w:r>
        <w:rPr>
          <w:spacing w:val="-2"/>
        </w:rPr>
        <w:t xml:space="preserve">IT IS FURTHER ORDERED that </w:t>
      </w:r>
      <w:r w:rsidR="0012415C" w:rsidRPr="00A82D28">
        <w:t>CalAmp Wireless Networks, Inc</w:t>
      </w:r>
      <w:r w:rsidR="0012415C">
        <w:t>.</w:t>
      </w:r>
      <w:r w:rsidR="0012415C">
        <w:rPr>
          <w:spacing w:val="-2"/>
        </w:rPr>
        <w:t xml:space="preserve"> IS GRANTED a</w:t>
      </w:r>
      <w:r w:rsidR="009C37A1">
        <w:rPr>
          <w:spacing w:val="-2"/>
        </w:rPr>
        <w:t xml:space="preserve"> waiver to add a wideband emission </w:t>
      </w:r>
      <w:r w:rsidR="009C37A1">
        <w:t xml:space="preserve">designator to its base station certified </w:t>
      </w:r>
      <w:r w:rsidR="009C37A1" w:rsidRPr="00A82D28">
        <w:t>under FCC</w:t>
      </w:r>
      <w:r w:rsidR="009C37A1">
        <w:t xml:space="preserve"> </w:t>
      </w:r>
      <w:r w:rsidR="009C37A1" w:rsidRPr="00A82D28">
        <w:t>ID No.</w:t>
      </w:r>
      <w:r w:rsidR="009C37A1">
        <w:t xml:space="preserve"> </w:t>
      </w:r>
      <w:r w:rsidR="009C37A1" w:rsidRPr="00097125">
        <w:t>EOTBDP4-EXCT769</w:t>
      </w:r>
      <w:r w:rsidR="00991B13">
        <w:rPr>
          <w:spacing w:val="-2"/>
        </w:rPr>
        <w:t>.</w:t>
      </w:r>
      <w:r w:rsidR="0012415C">
        <w:rPr>
          <w:spacing w:val="-2"/>
        </w:rPr>
        <w:t xml:space="preserve"> </w:t>
      </w:r>
    </w:p>
    <w:p w:rsidR="004D0AC7" w:rsidRDefault="004D0AC7">
      <w:pPr>
        <w:widowControl/>
      </w:pPr>
      <w:r>
        <w:br w:type="page"/>
      </w:r>
    </w:p>
    <w:p w:rsidR="00861DC6" w:rsidRDefault="001564F1" w:rsidP="0018561D">
      <w:pPr>
        <w:pStyle w:val="ParaNum"/>
        <w:numPr>
          <w:ilvl w:val="0"/>
          <w:numId w:val="9"/>
        </w:numPr>
        <w:tabs>
          <w:tab w:val="clear" w:pos="360"/>
          <w:tab w:val="clear" w:pos="1440"/>
          <w:tab w:val="num" w:pos="1100"/>
        </w:tabs>
        <w:spacing w:after="120"/>
        <w:ind w:left="0" w:firstLine="440"/>
      </w:pPr>
      <w:r>
        <w:t xml:space="preserve">This action is taken </w:t>
      </w:r>
      <w:r w:rsidR="00861DC6">
        <w:t xml:space="preserve">under delegated authority pursuant to Sections 0.131, 0.191, 0.331 and 0.392 of the Commission’s rules, 47 C.F.R. §§ 0.131, 0.191, 0.331, 0.392.  </w:t>
      </w:r>
    </w:p>
    <w:p w:rsidR="00861DC6" w:rsidRDefault="00861DC6" w:rsidP="0018561D">
      <w:pPr>
        <w:widowControl/>
        <w:ind w:left="4320"/>
      </w:pPr>
    </w:p>
    <w:p w:rsidR="00861DC6" w:rsidRDefault="00861DC6" w:rsidP="0018561D">
      <w:pPr>
        <w:widowControl/>
        <w:ind w:left="4320"/>
      </w:pPr>
    </w:p>
    <w:p w:rsidR="00861DC6" w:rsidRDefault="00861DC6" w:rsidP="00CE2DD0">
      <w:pPr>
        <w:widowControl/>
        <w:ind w:left="3600"/>
      </w:pPr>
      <w:r>
        <w:t>FEDERAL COMMUNICATIONS COMMISSION</w:t>
      </w:r>
    </w:p>
    <w:p w:rsidR="00861DC6" w:rsidRDefault="00861DC6" w:rsidP="0018561D">
      <w:pPr>
        <w:widowControl/>
        <w:ind w:left="4320"/>
      </w:pPr>
    </w:p>
    <w:p w:rsidR="00861DC6" w:rsidRDefault="00861DC6" w:rsidP="0018561D">
      <w:pPr>
        <w:widowControl/>
        <w:ind w:left="4320"/>
      </w:pPr>
    </w:p>
    <w:p w:rsidR="00861DC6" w:rsidRDefault="00861DC6" w:rsidP="0018561D">
      <w:pPr>
        <w:widowControl/>
        <w:ind w:left="4320"/>
      </w:pPr>
    </w:p>
    <w:p w:rsidR="00C5063B" w:rsidRPr="00C5063B" w:rsidRDefault="00C5063B" w:rsidP="00C5063B">
      <w:pPr>
        <w:widowControl/>
        <w:ind w:left="4320"/>
      </w:pPr>
    </w:p>
    <w:p w:rsidR="00861DC6" w:rsidRPr="00CE2DD0" w:rsidRDefault="00C5063B" w:rsidP="00CE2DD0">
      <w:pPr>
        <w:widowControl/>
        <w:ind w:left="3600"/>
      </w:pPr>
      <w:bookmarkStart w:id="4" w:name="SR;1234"/>
      <w:bookmarkStart w:id="5" w:name="SearchTerm"/>
      <w:bookmarkStart w:id="6" w:name="sp_999_3"/>
      <w:bookmarkStart w:id="7" w:name="SDU_3"/>
      <w:bookmarkEnd w:id="4"/>
      <w:r w:rsidRPr="00CE2DD0">
        <w:rPr>
          <w:bCs/>
        </w:rPr>
        <w:t>David</w:t>
      </w:r>
      <w:r w:rsidRPr="00CE2DD0">
        <w:t xml:space="preserve"> G. </w:t>
      </w:r>
      <w:bookmarkStart w:id="8" w:name="SR;1236"/>
      <w:bookmarkEnd w:id="5"/>
      <w:bookmarkEnd w:id="8"/>
      <w:r w:rsidRPr="00CE2DD0">
        <w:rPr>
          <w:bCs/>
        </w:rPr>
        <w:t>Simpson</w:t>
      </w:r>
      <w:r w:rsidRPr="00CE2DD0">
        <w:t>, Rear Admiral, USN (Ret.), Chief</w:t>
      </w:r>
      <w:r w:rsidRPr="00CE2DD0">
        <w:br/>
      </w:r>
      <w:bookmarkEnd w:id="6"/>
      <w:bookmarkEnd w:id="7"/>
      <w:r w:rsidRPr="00CE2DD0">
        <w:t>Public Safety and Homeland Security Bureau</w:t>
      </w:r>
      <w:r w:rsidRPr="00CE2DD0">
        <w:br/>
      </w:r>
      <w:r w:rsidRPr="00CE2DD0">
        <w:br/>
      </w:r>
    </w:p>
    <w:p w:rsidR="00DE6D9A" w:rsidRDefault="00DE6D9A" w:rsidP="00DA5581">
      <w:pPr>
        <w:widowControl/>
        <w:ind w:left="4320"/>
      </w:pPr>
    </w:p>
    <w:sectPr w:rsidR="00DE6D9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09" w:rsidRDefault="00740B09">
      <w:pPr>
        <w:spacing w:line="20" w:lineRule="exact"/>
      </w:pPr>
    </w:p>
  </w:endnote>
  <w:endnote w:type="continuationSeparator" w:id="0">
    <w:p w:rsidR="00740B09" w:rsidRDefault="00740B09">
      <w:r>
        <w:t xml:space="preserve"> </w:t>
      </w:r>
    </w:p>
  </w:endnote>
  <w:endnote w:type="continuationNotice" w:id="1">
    <w:p w:rsidR="00740B09" w:rsidRDefault="00740B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1" w:rsidRDefault="00492621">
    <w:pPr>
      <w:pStyle w:val="Footer"/>
      <w:framePr w:wrap="around" w:vAnchor="text" w:hAnchor="margin" w:xAlign="center" w:y="1"/>
    </w:pPr>
    <w:r>
      <w:fldChar w:fldCharType="begin"/>
    </w:r>
    <w:r>
      <w:instrText xml:space="preserve">PAGE  </w:instrText>
    </w:r>
    <w:r>
      <w:fldChar w:fldCharType="separate"/>
    </w:r>
    <w:r w:rsidR="0074427F">
      <w:rPr>
        <w:noProof/>
      </w:rPr>
      <w:t>7</w:t>
    </w:r>
    <w:r>
      <w:fldChar w:fldCharType="end"/>
    </w:r>
  </w:p>
  <w:p w:rsidR="00492621" w:rsidRDefault="00492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1" w:rsidRDefault="00492621">
    <w:pPr>
      <w:pStyle w:val="Footer"/>
      <w:framePr w:wrap="around" w:vAnchor="text" w:hAnchor="margin" w:xAlign="center" w:y="1"/>
    </w:pPr>
    <w:r>
      <w:fldChar w:fldCharType="begin"/>
    </w:r>
    <w:r>
      <w:instrText xml:space="preserve">PAGE  </w:instrText>
    </w:r>
    <w:r>
      <w:fldChar w:fldCharType="separate"/>
    </w:r>
    <w:r w:rsidR="00921D05">
      <w:rPr>
        <w:noProof/>
      </w:rPr>
      <w:t>7</w:t>
    </w:r>
    <w:r>
      <w:fldChar w:fldCharType="end"/>
    </w:r>
  </w:p>
  <w:p w:rsidR="00492621" w:rsidRDefault="00492621">
    <w:pPr>
      <w:spacing w:before="140" w:line="100" w:lineRule="exact"/>
      <w:rPr>
        <w:sz w:val="10"/>
      </w:rPr>
    </w:pPr>
  </w:p>
  <w:p w:rsidR="00492621" w:rsidRDefault="00492621">
    <w:pPr>
      <w:suppressAutoHyphens/>
      <w:spacing w:line="227" w:lineRule="auto"/>
    </w:pPr>
  </w:p>
  <w:p w:rsidR="00492621" w:rsidRDefault="004926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1" w:rsidRDefault="0049262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09" w:rsidRDefault="00740B09">
      <w:r>
        <w:separator/>
      </w:r>
    </w:p>
  </w:footnote>
  <w:footnote w:type="continuationSeparator" w:id="0">
    <w:p w:rsidR="00740B09" w:rsidRDefault="00740B09">
      <w:pPr>
        <w:rPr>
          <w:sz w:val="20"/>
        </w:rPr>
      </w:pPr>
      <w:r>
        <w:rPr>
          <w:sz w:val="20"/>
        </w:rPr>
        <w:t xml:space="preserve">(Continued from previous page)  </w:t>
      </w:r>
      <w:r>
        <w:rPr>
          <w:sz w:val="20"/>
        </w:rPr>
        <w:separator/>
      </w:r>
    </w:p>
  </w:footnote>
  <w:footnote w:type="continuationNotice" w:id="1">
    <w:p w:rsidR="00740B09" w:rsidRDefault="00740B09">
      <w:pPr>
        <w:rPr>
          <w:sz w:val="20"/>
        </w:rPr>
      </w:pPr>
      <w:r>
        <w:rPr>
          <w:sz w:val="20"/>
        </w:rPr>
        <w:t>(continued….)</w:t>
      </w:r>
    </w:p>
  </w:footnote>
  <w:footnote w:id="2">
    <w:p w:rsidR="00492621" w:rsidRDefault="00492621" w:rsidP="000B60B6">
      <w:pPr>
        <w:pStyle w:val="FootnoteText"/>
      </w:pPr>
      <w:r>
        <w:rPr>
          <w:rStyle w:val="FootnoteReference"/>
        </w:rPr>
        <w:footnoteRef/>
      </w:r>
      <w:r>
        <w:t xml:space="preserve"> </w:t>
      </w:r>
      <w:r>
        <w:rPr>
          <w:i/>
        </w:rPr>
        <w:t xml:space="preserve">See </w:t>
      </w:r>
      <w:r>
        <w:t xml:space="preserve">ULS application numbers </w:t>
      </w:r>
      <w:r w:rsidRPr="00024929">
        <w:t>0006112495 and 0006112498</w:t>
      </w:r>
      <w:r>
        <w:t>, filed Jan. 22, 2014</w:t>
      </w:r>
      <w:r>
        <w:rPr>
          <w:szCs w:val="22"/>
        </w:rPr>
        <w:t xml:space="preserve">.  </w:t>
      </w:r>
    </w:p>
  </w:footnote>
  <w:footnote w:id="3">
    <w:p w:rsidR="00492621" w:rsidRDefault="00492621" w:rsidP="000B60B6">
      <w:pPr>
        <w:pStyle w:val="FootnoteText"/>
        <w:spacing w:before="120"/>
      </w:pPr>
      <w:r>
        <w:rPr>
          <w:rStyle w:val="FootnoteReference"/>
        </w:rPr>
        <w:footnoteRef/>
      </w:r>
      <w:r>
        <w:t xml:space="preserve"> 47 C.F.R. § </w:t>
      </w:r>
      <w:r w:rsidRPr="00024929">
        <w:t>90.531(d)(1)</w:t>
      </w:r>
      <w:r>
        <w:t>(licensees can only combine 6.25 kHz channels to a maximum bandwidth of 25kHz) .</w:t>
      </w:r>
    </w:p>
  </w:footnote>
  <w:footnote w:id="4">
    <w:p w:rsidR="00492621" w:rsidRDefault="00492621" w:rsidP="000B60B6">
      <w:pPr>
        <w:pStyle w:val="FootnoteText"/>
        <w:spacing w:before="120"/>
      </w:pPr>
      <w:r>
        <w:rPr>
          <w:rStyle w:val="FootnoteReference"/>
        </w:rPr>
        <w:footnoteRef/>
      </w:r>
      <w:r>
        <w:t xml:space="preserve"> </w:t>
      </w:r>
      <w:r>
        <w:rPr>
          <w:i/>
        </w:rPr>
        <w:t xml:space="preserve">See </w:t>
      </w:r>
      <w:r>
        <w:t xml:space="preserve">Description of Filings and Request for Waiver attached to ULS application numbers </w:t>
      </w:r>
      <w:r w:rsidRPr="00024929">
        <w:t>0006112495 and 0006112498</w:t>
      </w:r>
      <w:r>
        <w:t xml:space="preserve"> (Wideband Waiver Request).  </w:t>
      </w:r>
    </w:p>
  </w:footnote>
  <w:footnote w:id="5">
    <w:p w:rsidR="00492621" w:rsidRPr="00872A48" w:rsidRDefault="00492621" w:rsidP="00245509">
      <w:pPr>
        <w:pStyle w:val="FootnoteText"/>
        <w:spacing w:before="120"/>
      </w:pPr>
      <w:r>
        <w:rPr>
          <w:rStyle w:val="FootnoteReference"/>
        </w:rPr>
        <w:footnoteRef/>
      </w:r>
      <w:r>
        <w:t xml:space="preserve"> </w:t>
      </w:r>
      <w:r>
        <w:rPr>
          <w:i/>
        </w:rPr>
        <w:t>Id.</w:t>
      </w:r>
      <w:r>
        <w:t xml:space="preserve"> at 7, 12.     </w:t>
      </w:r>
    </w:p>
  </w:footnote>
  <w:footnote w:id="6">
    <w:p w:rsidR="00492621" w:rsidRDefault="00492621">
      <w:pPr>
        <w:pStyle w:val="FootnoteText"/>
      </w:pPr>
      <w:r>
        <w:rPr>
          <w:rStyle w:val="FootnoteReference"/>
        </w:rPr>
        <w:footnoteRef/>
      </w:r>
      <w:r>
        <w:t xml:space="preserve"> This waiver permits CalAmp to </w:t>
      </w:r>
      <w:r w:rsidR="00F01850">
        <w:t xml:space="preserve">only </w:t>
      </w:r>
      <w:r>
        <w:t xml:space="preserve">market its base station with the wideband mode activated to Anchorage for use in Anchorage’s IP-based mobile data system. </w:t>
      </w:r>
    </w:p>
  </w:footnote>
  <w:footnote w:id="7">
    <w:p w:rsidR="00492621" w:rsidRDefault="00492621">
      <w:pPr>
        <w:pStyle w:val="FootnoteText"/>
      </w:pPr>
      <w:r>
        <w:rPr>
          <w:rStyle w:val="FootnoteReference"/>
        </w:rPr>
        <w:footnoteRef/>
      </w:r>
      <w:r>
        <w:t xml:space="preserve"> Anchorage’s mobile data system is licensed under call signs </w:t>
      </w:r>
      <w:r w:rsidRPr="002015B2">
        <w:t>WPBB244 and WPRI529</w:t>
      </w:r>
      <w:r>
        <w:t xml:space="preserve">.  </w:t>
      </w:r>
    </w:p>
  </w:footnote>
  <w:footnote w:id="8">
    <w:p w:rsidR="00492621" w:rsidRDefault="00492621" w:rsidP="002015B2">
      <w:pPr>
        <w:pStyle w:val="FootnoteText"/>
        <w:spacing w:before="120"/>
      </w:pPr>
      <w:r>
        <w:rPr>
          <w:rStyle w:val="FootnoteReference"/>
        </w:rPr>
        <w:footnoteRef/>
      </w:r>
      <w:r>
        <w:t xml:space="preserve"> Wideband Waiver Request at 2.</w:t>
      </w:r>
    </w:p>
  </w:footnote>
  <w:footnote w:id="9">
    <w:p w:rsidR="00492621" w:rsidRPr="00E552DD" w:rsidRDefault="00492621" w:rsidP="002015B2">
      <w:pPr>
        <w:pStyle w:val="FootnoteText"/>
        <w:spacing w:before="120"/>
        <w:rPr>
          <w:i/>
        </w:rPr>
      </w:pPr>
      <w:r>
        <w:rPr>
          <w:rStyle w:val="FootnoteReference"/>
        </w:rPr>
        <w:footnoteRef/>
      </w:r>
      <w:r>
        <w:t xml:space="preserve"> </w:t>
      </w:r>
      <w:r>
        <w:rPr>
          <w:i/>
        </w:rPr>
        <w:t>Id.</w:t>
      </w:r>
    </w:p>
  </w:footnote>
  <w:footnote w:id="10">
    <w:p w:rsidR="00492621" w:rsidRPr="00E552DD" w:rsidRDefault="00492621" w:rsidP="002015B2">
      <w:pPr>
        <w:pStyle w:val="FootnoteText"/>
        <w:spacing w:before="120"/>
        <w:rPr>
          <w:i/>
        </w:rPr>
      </w:pPr>
      <w:r>
        <w:rPr>
          <w:rStyle w:val="FootnoteReference"/>
        </w:rPr>
        <w:footnoteRef/>
      </w:r>
      <w:r>
        <w:t xml:space="preserve"> </w:t>
      </w:r>
      <w:r>
        <w:rPr>
          <w:i/>
        </w:rPr>
        <w:t>Id.</w:t>
      </w:r>
    </w:p>
  </w:footnote>
  <w:footnote w:id="11">
    <w:p w:rsidR="00492621" w:rsidRPr="00B16114" w:rsidRDefault="00492621" w:rsidP="00F70BC4">
      <w:pPr>
        <w:pStyle w:val="FootnoteText"/>
        <w:spacing w:before="120"/>
      </w:pPr>
      <w:r>
        <w:rPr>
          <w:rStyle w:val="FootnoteReference"/>
        </w:rPr>
        <w:footnoteRef/>
      </w:r>
      <w:r>
        <w:t xml:space="preserve"> </w:t>
      </w:r>
      <w:r>
        <w:rPr>
          <w:i/>
        </w:rPr>
        <w:t>Id.</w:t>
      </w:r>
      <w:r>
        <w:t xml:space="preserve"> at 3-4.</w:t>
      </w:r>
    </w:p>
  </w:footnote>
  <w:footnote w:id="12">
    <w:p w:rsidR="00492621" w:rsidRDefault="00492621" w:rsidP="00F70BC4">
      <w:pPr>
        <w:pStyle w:val="FootnoteText"/>
        <w:spacing w:before="120"/>
      </w:pPr>
      <w:r>
        <w:rPr>
          <w:rStyle w:val="FootnoteReference"/>
        </w:rPr>
        <w:footnoteRef/>
      </w:r>
      <w:r>
        <w:t xml:space="preserve"> </w:t>
      </w:r>
      <w:r>
        <w:rPr>
          <w:i/>
        </w:rPr>
        <w:t>Id.</w:t>
      </w:r>
      <w:r>
        <w:t xml:space="preserve"> at 3.</w:t>
      </w:r>
    </w:p>
  </w:footnote>
  <w:footnote w:id="13">
    <w:p w:rsidR="00492621" w:rsidRDefault="00492621" w:rsidP="00F70BC4">
      <w:pPr>
        <w:pStyle w:val="FootnoteText"/>
        <w:spacing w:before="120"/>
      </w:pPr>
      <w:r>
        <w:rPr>
          <w:rStyle w:val="FootnoteReference"/>
        </w:rPr>
        <w:footnoteRef/>
      </w:r>
      <w:r>
        <w:t xml:space="preserve"> </w:t>
      </w:r>
      <w:r>
        <w:rPr>
          <w:i/>
        </w:rPr>
        <w:t>Id.</w:t>
      </w:r>
      <w:r>
        <w:t xml:space="preserve"> at 4.</w:t>
      </w:r>
    </w:p>
  </w:footnote>
  <w:footnote w:id="14">
    <w:p w:rsidR="00492621" w:rsidRPr="0077427A" w:rsidRDefault="00492621" w:rsidP="0041705D">
      <w:pPr>
        <w:pStyle w:val="FootnoteText"/>
        <w:spacing w:before="120"/>
        <w:rPr>
          <w:i/>
        </w:rPr>
      </w:pPr>
      <w:r>
        <w:rPr>
          <w:rStyle w:val="FootnoteReference"/>
        </w:rPr>
        <w:footnoteRef/>
      </w:r>
      <w:r>
        <w:t xml:space="preserve"> </w:t>
      </w:r>
      <w:r>
        <w:rPr>
          <w:i/>
        </w:rPr>
        <w:t>Id.</w:t>
      </w:r>
    </w:p>
  </w:footnote>
  <w:footnote w:id="15">
    <w:p w:rsidR="00492621" w:rsidRPr="004D5FEC" w:rsidRDefault="00492621" w:rsidP="0041705D">
      <w:pPr>
        <w:pStyle w:val="FootnoteText"/>
        <w:spacing w:before="120"/>
      </w:pPr>
      <w:r>
        <w:rPr>
          <w:rStyle w:val="FootnoteReference"/>
        </w:rPr>
        <w:footnoteRef/>
      </w:r>
      <w:r>
        <w:t xml:space="preserve"> </w:t>
      </w:r>
      <w:r>
        <w:rPr>
          <w:i/>
        </w:rPr>
        <w:t>Id.</w:t>
      </w:r>
      <w:r>
        <w:t xml:space="preserve">  The </w:t>
      </w:r>
      <w:r w:rsidRPr="00874EC0">
        <w:t>City of Wasilla Police Department</w:t>
      </w:r>
      <w:r>
        <w:t xml:space="preserve"> operates a mobile data system on 700 MHz narrowband spectrum using 50 kHz bandwidth channels under STA call sign </w:t>
      </w:r>
      <w:r w:rsidRPr="00874EC0">
        <w:t>WQIW915</w:t>
      </w:r>
      <w:r>
        <w:t>.  The STA is authorized until September 10, 2014.  Wasilla is 44 road miles from Anchorage.</w:t>
      </w:r>
    </w:p>
  </w:footnote>
  <w:footnote w:id="16">
    <w:p w:rsidR="00492621" w:rsidRPr="00AA58BE" w:rsidRDefault="00492621" w:rsidP="0041705D">
      <w:pPr>
        <w:pStyle w:val="FootnoteText"/>
        <w:spacing w:before="120"/>
      </w:pPr>
      <w:r>
        <w:rPr>
          <w:rStyle w:val="FootnoteReference"/>
        </w:rPr>
        <w:footnoteRef/>
      </w:r>
      <w:r>
        <w:t xml:space="preserve"> </w:t>
      </w:r>
      <w:r w:rsidRPr="008D5EFE">
        <w:t xml:space="preserve">Anchorage </w:t>
      </w:r>
      <w:r>
        <w:t xml:space="preserve">seeks to </w:t>
      </w:r>
      <w:r w:rsidRPr="008D5EFE">
        <w:t>form 50 kHz bandwidth channel pairs (50 kHz base transmit, 50 kHz mobile transmit) by aggregating eight contiguous 6.25 kHz bandwidth channels for base transmit paired with eight contiguous 6.25 kHz bandwidth channels for mobile transmit. </w:t>
      </w:r>
      <w:r>
        <w:t xml:space="preserve"> Wideband Waiver Request at 4, 12.</w:t>
      </w:r>
    </w:p>
  </w:footnote>
  <w:footnote w:id="17">
    <w:p w:rsidR="00492621" w:rsidRPr="00880B0F" w:rsidRDefault="00492621" w:rsidP="0041705D">
      <w:pPr>
        <w:pStyle w:val="FootnoteText"/>
        <w:spacing w:before="120"/>
      </w:pPr>
      <w:r>
        <w:rPr>
          <w:rStyle w:val="FootnoteReference"/>
        </w:rPr>
        <w:footnoteRef/>
      </w:r>
      <w:r>
        <w:t xml:space="preserve"> </w:t>
      </w:r>
      <w:r>
        <w:rPr>
          <w:i/>
        </w:rPr>
        <w:t xml:space="preserve">Id. </w:t>
      </w:r>
      <w:r>
        <w:t>at 5.</w:t>
      </w:r>
    </w:p>
  </w:footnote>
  <w:footnote w:id="18">
    <w:p w:rsidR="00492621" w:rsidRDefault="00492621" w:rsidP="00013517">
      <w:pPr>
        <w:pStyle w:val="FootnoteText"/>
        <w:spacing w:before="120"/>
      </w:pPr>
      <w:r>
        <w:rPr>
          <w:rStyle w:val="FootnoteReference"/>
        </w:rPr>
        <w:footnoteRef/>
      </w:r>
      <w:r>
        <w:t xml:space="preserve"> 47 C.F.R. § 90.531(d)(1).</w:t>
      </w:r>
    </w:p>
  </w:footnote>
  <w:footnote w:id="19">
    <w:p w:rsidR="00492621" w:rsidRDefault="00492621" w:rsidP="00F103C7">
      <w:pPr>
        <w:pStyle w:val="FootnoteText"/>
        <w:spacing w:before="120"/>
      </w:pPr>
      <w:r>
        <w:rPr>
          <w:rStyle w:val="FootnoteReference"/>
        </w:rPr>
        <w:footnoteRef/>
      </w:r>
      <w:r>
        <w:t xml:space="preserve"> Wideband Waiver Request at 7.</w:t>
      </w:r>
    </w:p>
  </w:footnote>
  <w:footnote w:id="20">
    <w:p w:rsidR="00492621" w:rsidRPr="00872A48" w:rsidRDefault="00492621" w:rsidP="009B7E9F">
      <w:pPr>
        <w:pStyle w:val="FootnoteText"/>
        <w:spacing w:before="120"/>
      </w:pPr>
      <w:r>
        <w:rPr>
          <w:rStyle w:val="FootnoteReference"/>
        </w:rPr>
        <w:footnoteRef/>
      </w:r>
      <w:r>
        <w:t xml:space="preserve"> </w:t>
      </w:r>
      <w:r>
        <w:rPr>
          <w:i/>
        </w:rPr>
        <w:t>Id.</w:t>
      </w:r>
      <w:r>
        <w:t xml:space="preserve">      </w:t>
      </w:r>
    </w:p>
  </w:footnote>
  <w:footnote w:id="21">
    <w:p w:rsidR="00492621" w:rsidRPr="002B2CA0" w:rsidRDefault="00492621" w:rsidP="00B7799A">
      <w:pPr>
        <w:pStyle w:val="FootnoteText"/>
      </w:pPr>
      <w:r>
        <w:rPr>
          <w:rStyle w:val="FootnoteReference"/>
        </w:rPr>
        <w:footnoteRef/>
      </w:r>
      <w:r>
        <w:t xml:space="preserve"> </w:t>
      </w:r>
      <w:r w:rsidRPr="00A82D28">
        <w:t>CalAmp Wireless Networks, Inc</w:t>
      </w:r>
      <w:r>
        <w:t xml:space="preserve">. indicates it intends to seek a Class II permissive change to add emission designator </w:t>
      </w:r>
      <w:r w:rsidRPr="00A82D28">
        <w:t>28K0F1D</w:t>
      </w:r>
      <w:r>
        <w:t xml:space="preserve"> to the equipment authorization for its base station certified </w:t>
      </w:r>
      <w:r w:rsidRPr="00A82D28">
        <w:t>under FCC</w:t>
      </w:r>
      <w:r>
        <w:t xml:space="preserve"> </w:t>
      </w:r>
      <w:r w:rsidRPr="00A82D28">
        <w:t>ID No.</w:t>
      </w:r>
      <w:r>
        <w:t xml:space="preserve"> </w:t>
      </w:r>
      <w:r w:rsidRPr="00097125">
        <w:t>EOTBDP4-EXCT769</w:t>
      </w:r>
      <w:r>
        <w:t xml:space="preserve">.  CalAmp indicates that the </w:t>
      </w:r>
      <w:r w:rsidRPr="002B2CA0">
        <w:t>mobile</w:t>
      </w:r>
      <w:r>
        <w:t xml:space="preserve"> units it intends to </w:t>
      </w:r>
      <w:r w:rsidRPr="002B2CA0">
        <w:t xml:space="preserve">supply Anchorage are </w:t>
      </w:r>
      <w:r>
        <w:t xml:space="preserve">already </w:t>
      </w:r>
      <w:r w:rsidRPr="002B2CA0">
        <w:t>properly certified for 50 kHz operation.</w:t>
      </w:r>
      <w:r>
        <w:t xml:space="preserve">  </w:t>
      </w:r>
      <w:r>
        <w:rPr>
          <w:i/>
        </w:rPr>
        <w:t xml:space="preserve">See </w:t>
      </w:r>
      <w:r>
        <w:t xml:space="preserve">Letter from Mitchell Lazarus, Counsel for CalAmp, Inc. to </w:t>
      </w:r>
      <w:r w:rsidRPr="00B7799A">
        <w:t>Dr. Rashmi Doshi, Chief, Laboratory Division, Office of Engineering and Technology, Federal Communications Commission</w:t>
      </w:r>
      <w:r>
        <w:t xml:space="preserve"> (Mar. 25, 2014)(CalAmp Letter).  </w:t>
      </w:r>
      <w:r>
        <w:rPr>
          <w:i/>
        </w:rPr>
        <w:t xml:space="preserve">See also </w:t>
      </w:r>
      <w:r>
        <w:t xml:space="preserve">47 C.F.R. § </w:t>
      </w:r>
      <w:r w:rsidRPr="00384E09">
        <w:t>2.1043</w:t>
      </w:r>
      <w:r>
        <w:t xml:space="preserve">.    </w:t>
      </w:r>
    </w:p>
  </w:footnote>
  <w:footnote w:id="22">
    <w:p w:rsidR="00492621" w:rsidRDefault="00492621" w:rsidP="00755703">
      <w:pPr>
        <w:pStyle w:val="FootnoteText"/>
        <w:spacing w:before="120"/>
      </w:pPr>
      <w:r>
        <w:rPr>
          <w:rStyle w:val="FootnoteReference"/>
        </w:rPr>
        <w:footnoteRef/>
      </w:r>
      <w:r>
        <w:t xml:space="preserve"> Wideband Waiver Request at 11.</w:t>
      </w:r>
    </w:p>
  </w:footnote>
  <w:footnote w:id="23">
    <w:p w:rsidR="00492621" w:rsidRPr="00D679AF" w:rsidRDefault="00492621" w:rsidP="00755703">
      <w:pPr>
        <w:pStyle w:val="FootnoteText"/>
        <w:spacing w:before="120"/>
      </w:pPr>
      <w:r>
        <w:rPr>
          <w:rStyle w:val="FootnoteReference"/>
        </w:rPr>
        <w:footnoteRef/>
      </w:r>
      <w:r>
        <w:t xml:space="preserve"> </w:t>
      </w:r>
      <w:r>
        <w:rPr>
          <w:i/>
        </w:rPr>
        <w:t xml:space="preserve">Id. </w:t>
      </w:r>
      <w:r>
        <w:t>at 12.</w:t>
      </w:r>
    </w:p>
  </w:footnote>
  <w:footnote w:id="24">
    <w:p w:rsidR="00492621" w:rsidRDefault="00492621" w:rsidP="00755703">
      <w:pPr>
        <w:pStyle w:val="FootnoteText"/>
        <w:spacing w:before="120"/>
      </w:pPr>
      <w:r>
        <w:rPr>
          <w:rStyle w:val="FootnoteReference"/>
        </w:rPr>
        <w:footnoteRef/>
      </w:r>
      <w:r>
        <w:t xml:space="preserve"> </w:t>
      </w:r>
      <w:r>
        <w:rPr>
          <w:i/>
        </w:rPr>
        <w:t>Id.</w:t>
      </w:r>
    </w:p>
  </w:footnote>
  <w:footnote w:id="25">
    <w:p w:rsidR="00492621" w:rsidRPr="007060D6" w:rsidRDefault="00492621" w:rsidP="00755703">
      <w:pPr>
        <w:pStyle w:val="FootnoteText"/>
        <w:spacing w:before="120"/>
      </w:pPr>
      <w:r>
        <w:rPr>
          <w:rStyle w:val="FootnoteReference"/>
        </w:rPr>
        <w:footnoteRef/>
      </w:r>
      <w:r>
        <w:t xml:space="preserve"> </w:t>
      </w:r>
      <w:r>
        <w:rPr>
          <w:i/>
        </w:rPr>
        <w:t xml:space="preserve">See </w:t>
      </w:r>
      <w:r>
        <w:t>letter from Dean Strid, Chairman, Region 2, 700 MHz Planning Committee to Municipality of Anchorage (Nov 22, 2013)(attached to Wideband Waiver Request)(Region 2 Letter).</w:t>
      </w:r>
    </w:p>
  </w:footnote>
  <w:footnote w:id="26">
    <w:p w:rsidR="00492621" w:rsidRDefault="00492621">
      <w:pPr>
        <w:pStyle w:val="FootnoteText"/>
      </w:pPr>
      <w:r>
        <w:rPr>
          <w:rStyle w:val="FootnoteReference"/>
        </w:rPr>
        <w:footnoteRef/>
      </w:r>
      <w:r>
        <w:t xml:space="preserve"> </w:t>
      </w:r>
      <w:r w:rsidRPr="00EE21FA">
        <w:rPr>
          <w:i/>
        </w:rPr>
        <w:t>See</w:t>
      </w:r>
      <w:r w:rsidRPr="00EE21FA">
        <w:t xml:space="preserve"> Public Safety and Homeland Security Bureau Seeks Comment on Applications and Waiver Request Filed by the Municipality of Anchorage, Alaska for 50 kHz Wideband Operation on 700 MHz Narrowband General Use Channels, </w:t>
      </w:r>
      <w:r w:rsidRPr="00EE21FA">
        <w:rPr>
          <w:i/>
        </w:rPr>
        <w:t>Public Notice</w:t>
      </w:r>
      <w:r w:rsidRPr="00EE21FA">
        <w:t xml:space="preserve">, </w:t>
      </w:r>
      <w:r w:rsidRPr="00EE21FA">
        <w:rPr>
          <w:iCs/>
        </w:rPr>
        <w:t>29 FCC Rcd 3818 (PSHSB 2014).</w:t>
      </w:r>
    </w:p>
  </w:footnote>
  <w:footnote w:id="27">
    <w:p w:rsidR="00492621" w:rsidRDefault="00492621">
      <w:pPr>
        <w:pStyle w:val="FootnoteText"/>
      </w:pPr>
      <w:r>
        <w:rPr>
          <w:rStyle w:val="FootnoteReference"/>
        </w:rPr>
        <w:footnoteRef/>
      </w:r>
      <w:r>
        <w:t xml:space="preserve"> </w:t>
      </w:r>
      <w:r>
        <w:rPr>
          <w:i/>
        </w:rPr>
        <w:t xml:space="preserve">Id. </w:t>
      </w:r>
      <w:r>
        <w:t>at 3820.</w:t>
      </w:r>
    </w:p>
  </w:footnote>
  <w:footnote w:id="28">
    <w:p w:rsidR="00492621" w:rsidRDefault="00492621">
      <w:pPr>
        <w:pStyle w:val="FootnoteText"/>
      </w:pPr>
      <w:r>
        <w:rPr>
          <w:rStyle w:val="FootnoteReference"/>
        </w:rPr>
        <w:footnoteRef/>
      </w:r>
      <w:r>
        <w:t xml:space="preserve"> </w:t>
      </w:r>
      <w:r>
        <w:rPr>
          <w:i/>
        </w:rPr>
        <w:t>Id.</w:t>
      </w:r>
    </w:p>
  </w:footnote>
  <w:footnote w:id="29">
    <w:p w:rsidR="00492621" w:rsidRDefault="00492621">
      <w:pPr>
        <w:pStyle w:val="FootnoteText"/>
      </w:pPr>
      <w:r>
        <w:rPr>
          <w:rStyle w:val="FootnoteReference"/>
        </w:rPr>
        <w:footnoteRef/>
      </w:r>
      <w:r>
        <w:t xml:space="preserve"> 47 C.F.R. § 1.925(b)(3)(i).</w:t>
      </w:r>
    </w:p>
  </w:footnote>
  <w:footnote w:id="30">
    <w:p w:rsidR="00492621" w:rsidRDefault="00492621">
      <w:pPr>
        <w:pStyle w:val="FootnoteText"/>
      </w:pPr>
      <w:r>
        <w:rPr>
          <w:rStyle w:val="FootnoteReference"/>
        </w:rPr>
        <w:footnoteRef/>
      </w:r>
      <w:r>
        <w:t xml:space="preserve"> 47 C.F.R. § 1.925(b)(3)(ii).</w:t>
      </w:r>
    </w:p>
  </w:footnote>
  <w:footnote w:id="31">
    <w:p w:rsidR="00492621" w:rsidRDefault="00492621" w:rsidP="00C91557">
      <w:pPr>
        <w:pStyle w:val="FootnoteText"/>
      </w:pPr>
      <w:r>
        <w:rPr>
          <w:rStyle w:val="FootnoteReference"/>
        </w:rPr>
        <w:footnoteRef/>
      </w:r>
      <w:r>
        <w:t xml:space="preserve"> A specification sheet for CalAmp’s </w:t>
      </w:r>
      <w:r w:rsidRPr="00374E65">
        <w:t>Gemini G3-ADB</w:t>
      </w:r>
      <w:r>
        <w:t xml:space="preserve"> receiver indicates that data rates vary with the strength of the desired signal but that 64 kbps is the maximum attainable data rate for a 25 kHz bandwidth channel in the 700 MHz band while a data rate of 128 kbps can be achieved for a 50 kHz bandwidth channel in the 700 MHz band.  </w:t>
      </w:r>
      <w:r w:rsidRPr="00374E65">
        <w:rPr>
          <w:i/>
        </w:rPr>
        <w:t>See</w:t>
      </w:r>
      <w:r>
        <w:t xml:space="preserve"> </w:t>
      </w:r>
      <w:hyperlink r:id="rId1" w:history="1">
        <w:r w:rsidRPr="001A2F94">
          <w:rPr>
            <w:rStyle w:val="Hyperlink"/>
          </w:rPr>
          <w:t>http://www.calamp.com/products/private-radios-narrow-band-equipment/private-mobile-networks/gemini-g3-adb</w:t>
        </w:r>
      </w:hyperlink>
      <w:r>
        <w:t xml:space="preserve">.  </w:t>
      </w:r>
    </w:p>
  </w:footnote>
  <w:footnote w:id="32">
    <w:p w:rsidR="00492621" w:rsidRDefault="00492621" w:rsidP="00C91557">
      <w:pPr>
        <w:pStyle w:val="FootnoteText"/>
      </w:pPr>
      <w:r>
        <w:rPr>
          <w:rStyle w:val="FootnoteReference"/>
        </w:rPr>
        <w:footnoteRef/>
      </w:r>
      <w:r>
        <w:t xml:space="preserve"> Wideband Waiver Request at 2.</w:t>
      </w:r>
    </w:p>
  </w:footnote>
  <w:footnote w:id="33">
    <w:p w:rsidR="00492621" w:rsidRDefault="00492621">
      <w:pPr>
        <w:pStyle w:val="FootnoteText"/>
      </w:pPr>
      <w:r>
        <w:rPr>
          <w:rStyle w:val="FootnoteReference"/>
        </w:rPr>
        <w:footnoteRef/>
      </w:r>
      <w:r>
        <w:t xml:space="preserve"> </w:t>
      </w:r>
      <w:r>
        <w:rPr>
          <w:i/>
        </w:rPr>
        <w:t xml:space="preserve">Id. </w:t>
      </w:r>
      <w:r>
        <w:t xml:space="preserve">at 12 (noting that, once constructed, its </w:t>
      </w:r>
      <w:r>
        <w:rPr>
          <w:szCs w:val="22"/>
        </w:rPr>
        <w:t xml:space="preserve">IP-based mobile data network will occupy </w:t>
      </w:r>
      <w:r w:rsidRPr="00033F08">
        <w:rPr>
          <w:szCs w:val="22"/>
        </w:rPr>
        <w:t xml:space="preserve">“only about 13 percent” of the 700 MHz narrowband channels available in </w:t>
      </w:r>
      <w:r>
        <w:rPr>
          <w:szCs w:val="22"/>
        </w:rPr>
        <w:t>the state).</w:t>
      </w:r>
    </w:p>
  </w:footnote>
  <w:footnote w:id="34">
    <w:p w:rsidR="00492621" w:rsidRDefault="00492621">
      <w:pPr>
        <w:pStyle w:val="FootnoteText"/>
      </w:pPr>
      <w:r>
        <w:rPr>
          <w:rStyle w:val="FootnoteReference"/>
        </w:rPr>
        <w:footnoteRef/>
      </w:r>
      <w:r>
        <w:t xml:space="preserve"> </w:t>
      </w:r>
      <w:r>
        <w:rPr>
          <w:i/>
        </w:rPr>
        <w:t>Id.</w:t>
      </w:r>
      <w:r>
        <w:t xml:space="preserve"> at 1-2.</w:t>
      </w:r>
    </w:p>
  </w:footnote>
  <w:footnote w:id="35">
    <w:p w:rsidR="00492621" w:rsidRPr="00AF3E20" w:rsidRDefault="00492621">
      <w:pPr>
        <w:pStyle w:val="FootnoteText"/>
      </w:pPr>
      <w:r>
        <w:rPr>
          <w:rStyle w:val="FootnoteReference"/>
        </w:rPr>
        <w:footnoteRef/>
      </w:r>
      <w:r>
        <w:t xml:space="preserve"> </w:t>
      </w:r>
      <w:r>
        <w:rPr>
          <w:i/>
        </w:rPr>
        <w:t>See</w:t>
      </w:r>
      <w:r>
        <w:t xml:space="preserve"> Region 2 Letter.</w:t>
      </w:r>
    </w:p>
  </w:footnote>
  <w:footnote w:id="36">
    <w:p w:rsidR="00492621" w:rsidRDefault="00492621">
      <w:pPr>
        <w:pStyle w:val="FootnoteText"/>
      </w:pPr>
      <w:r>
        <w:rPr>
          <w:rStyle w:val="FootnoteReference"/>
        </w:rPr>
        <w:footnoteRef/>
      </w:r>
      <w:r>
        <w:t xml:space="preserve"> </w:t>
      </w:r>
      <w:r w:rsidRPr="0069080D">
        <w:t xml:space="preserve">Middle Class Tax Relief and Job Creation Act of 2012, Pub. L. 112-96, 126 Stat. 156, Section </w:t>
      </w:r>
      <w:r>
        <w:t>6202</w:t>
      </w:r>
      <w:r w:rsidRPr="0069080D">
        <w:t xml:space="preserve"> (2012).</w:t>
      </w:r>
      <w:r>
        <w:t>.</w:t>
      </w:r>
    </w:p>
  </w:footnote>
  <w:footnote w:id="37">
    <w:p w:rsidR="00492621" w:rsidRDefault="00492621">
      <w:pPr>
        <w:pStyle w:val="FootnoteText"/>
      </w:pPr>
      <w:r>
        <w:rPr>
          <w:rStyle w:val="FootnoteReference"/>
        </w:rPr>
        <w:footnoteRef/>
      </w:r>
      <w:r>
        <w:t xml:space="preserve"> </w:t>
      </w:r>
      <w:r>
        <w:rPr>
          <w:i/>
        </w:rPr>
        <w:t>See</w:t>
      </w:r>
      <w:r>
        <w:t xml:space="preserve"> </w:t>
      </w:r>
      <w:r w:rsidRPr="00DA5581">
        <w:t>http://www.ntia.doc.gov/files/ntia/publications/fact_sheet_process-9-19-13.pdf</w:t>
      </w:r>
      <w:r>
        <w:t>.</w:t>
      </w:r>
    </w:p>
  </w:footnote>
  <w:footnote w:id="38">
    <w:p w:rsidR="00492621" w:rsidRPr="00641BA1" w:rsidRDefault="00492621">
      <w:pPr>
        <w:pStyle w:val="FootnoteText"/>
      </w:pPr>
      <w:r>
        <w:rPr>
          <w:rStyle w:val="FootnoteReference"/>
        </w:rPr>
        <w:footnoteRef/>
      </w:r>
      <w:r>
        <w:t xml:space="preserve"> </w:t>
      </w:r>
      <w:r>
        <w:rPr>
          <w:i/>
        </w:rPr>
        <w:t>See</w:t>
      </w:r>
      <w:r>
        <w:t xml:space="preserve"> </w:t>
      </w:r>
      <w:r w:rsidRPr="00641BA1">
        <w:t xml:space="preserve">Development of Operational, Technical and Spectrum Requirements for Meeting Federal State and Local Public Safety Communication Requirements Through the Year 2010, WT Docket No. 96-86, </w:t>
      </w:r>
      <w:r w:rsidRPr="004C10FC">
        <w:rPr>
          <w:i/>
        </w:rPr>
        <w:t>Seventh Report and Order and Notice of Proposed Rulemaking</w:t>
      </w:r>
      <w:r w:rsidRPr="00641BA1">
        <w:t>, 28 FCC Rcd 4783</w:t>
      </w:r>
      <w:r>
        <w:t>, ¶¶ 88-91</w:t>
      </w:r>
      <w:r w:rsidRPr="00641BA1">
        <w:t xml:space="preserve"> (2013)</w:t>
      </w:r>
      <w:r>
        <w:t xml:space="preserve">; </w:t>
      </w:r>
      <w:r>
        <w:rPr>
          <w:i/>
        </w:rPr>
        <w:t xml:space="preserve">See also, </w:t>
      </w:r>
      <w:r w:rsidRPr="004C10FC">
        <w:t>Middle Class Tax Relief and Job Creation Act of 2012, Pub. L. No. 112-96, 126 Stat. 156</w:t>
      </w:r>
      <w:r>
        <w:t>, § 6102</w:t>
      </w:r>
      <w:r w:rsidRPr="004C10FC">
        <w:t xml:space="preserve"> (2012)</w:t>
      </w:r>
      <w:r>
        <w:t>.</w:t>
      </w:r>
      <w:r w:rsidRPr="00641BA1">
        <w:t xml:space="preserve"> </w:t>
      </w:r>
    </w:p>
  </w:footnote>
  <w:footnote w:id="39">
    <w:p w:rsidR="00492621" w:rsidRDefault="00492621">
      <w:pPr>
        <w:pStyle w:val="FootnoteText"/>
      </w:pPr>
      <w:r>
        <w:rPr>
          <w:rStyle w:val="FootnoteReference"/>
        </w:rPr>
        <w:footnoteRef/>
      </w:r>
      <w:r>
        <w:t xml:space="preserve"> Wideband Waiver Request at 7.</w:t>
      </w:r>
    </w:p>
  </w:footnote>
  <w:footnote w:id="40">
    <w:p w:rsidR="00492621" w:rsidRDefault="00492621">
      <w:pPr>
        <w:pStyle w:val="FootnoteText"/>
      </w:pPr>
      <w:r>
        <w:rPr>
          <w:rStyle w:val="FootnoteReference"/>
        </w:rPr>
        <w:footnoteRef/>
      </w:r>
      <w:r>
        <w:t xml:space="preserve"> </w:t>
      </w:r>
      <w:r w:rsidRPr="00635D2E">
        <w:t>CalAmp Letter</w:t>
      </w:r>
      <w:r>
        <w:t xml:space="preserve"> at 2.</w:t>
      </w:r>
    </w:p>
  </w:footnote>
  <w:footnote w:id="41">
    <w:p w:rsidR="00492621" w:rsidRPr="006C23C4" w:rsidRDefault="00492621">
      <w:pPr>
        <w:pStyle w:val="FootnoteText"/>
      </w:pPr>
      <w:r>
        <w:rPr>
          <w:rStyle w:val="FootnoteReference"/>
        </w:rPr>
        <w:footnoteRef/>
      </w:r>
      <w:r>
        <w:t xml:space="preserve"> </w:t>
      </w:r>
      <w:r>
        <w:rPr>
          <w:i/>
        </w:rPr>
        <w:t xml:space="preserve">See </w:t>
      </w:r>
      <w:r>
        <w:t xml:space="preserve">Nemko Canada, Inc. Test Reports (attached to CalAmp Letter).  </w:t>
      </w:r>
    </w:p>
  </w:footnote>
  <w:footnote w:id="42">
    <w:p w:rsidR="00492621" w:rsidRPr="006C23C4" w:rsidRDefault="00492621">
      <w:pPr>
        <w:pStyle w:val="FootnoteText"/>
        <w:rPr>
          <w:i/>
        </w:rPr>
      </w:pPr>
      <w:r>
        <w:rPr>
          <w:rStyle w:val="FootnoteReference"/>
        </w:rPr>
        <w:footnoteRef/>
      </w:r>
      <w:r>
        <w:t xml:space="preserve"> </w:t>
      </w:r>
      <w:r>
        <w:rPr>
          <w:i/>
        </w:rPr>
        <w:t xml:space="preserve">See </w:t>
      </w:r>
      <w:r>
        <w:t>Nemko Canada, Inc. Test Report Reference No: 155790-2TRFWL at 33-41 (attached to CalAmp Letter).</w:t>
      </w:r>
    </w:p>
  </w:footnote>
  <w:footnote w:id="43">
    <w:p w:rsidR="00492621" w:rsidRDefault="00492621">
      <w:pPr>
        <w:pStyle w:val="FootnoteText"/>
      </w:pPr>
      <w:r>
        <w:rPr>
          <w:rStyle w:val="FootnoteReference"/>
        </w:rPr>
        <w:footnoteRef/>
      </w:r>
      <w:r>
        <w:t xml:space="preserve"> </w:t>
      </w:r>
      <w:r>
        <w:rPr>
          <w:i/>
        </w:rPr>
        <w:t xml:space="preserve">See </w:t>
      </w:r>
      <w:r w:rsidRPr="007345F6">
        <w:t>47 C.F.R. § 90.543(a).  An ACP emission limit is based upon the absolute and relative levels of coupled power as a function of freq</w:t>
      </w:r>
      <w:r w:rsidRPr="009655B9">
        <w:t xml:space="preserve">uency </w:t>
      </w:r>
      <w:r>
        <w:t xml:space="preserve">to </w:t>
      </w:r>
      <w:r w:rsidRPr="009655B9">
        <w:t xml:space="preserve">ensure that the adjacent channel interference potential of </w:t>
      </w:r>
      <w:r>
        <w:t xml:space="preserve">a </w:t>
      </w:r>
      <w:r w:rsidRPr="009655B9">
        <w:t xml:space="preserve">transmitter at various bandwidths is consistent and predictable.  </w:t>
      </w:r>
      <w:r w:rsidRPr="009655B9">
        <w:rPr>
          <w:i/>
        </w:rPr>
        <w:t xml:space="preserve">See </w:t>
      </w:r>
      <w:r w:rsidRPr="009655B9">
        <w:t xml:space="preserve">Development of Operational, Technical and Spectrum Requirements for Meeting Federal, State and Local Public Safety Agency Communication Requirements Through the Year 2010, WT Docket No. 96-86, </w:t>
      </w:r>
      <w:r w:rsidRPr="009655B9">
        <w:rPr>
          <w:i/>
        </w:rPr>
        <w:t>Sixth Notice of Proposed Rulemaking</w:t>
      </w:r>
      <w:r w:rsidRPr="009655B9">
        <w:t>, 17 FCC Rcd 19303, 19304 ¶ 3 (2002) (</w:t>
      </w:r>
      <w:r w:rsidRPr="009655B9">
        <w:rPr>
          <w:i/>
        </w:rPr>
        <w:t>Sixth Notice</w:t>
      </w:r>
      <w:r w:rsidRPr="009655B9">
        <w:t xml:space="preserve">).   </w:t>
      </w:r>
    </w:p>
  </w:footnote>
  <w:footnote w:id="44">
    <w:p w:rsidR="00492621" w:rsidRDefault="00492621">
      <w:pPr>
        <w:pStyle w:val="FootnoteText"/>
      </w:pPr>
      <w:r>
        <w:rPr>
          <w:rStyle w:val="FootnoteReference"/>
        </w:rPr>
        <w:footnoteRef/>
      </w:r>
      <w:r>
        <w:t xml:space="preserve"> </w:t>
      </w:r>
      <w:r w:rsidRPr="00683FE5">
        <w:t xml:space="preserve">ACP emission limits are designed to minimize interference to communications systems operating on other in-band channels or in other bands by restricting the level of emissions that are transmitted into adjacent channels and other parts of the spectrum. </w:t>
      </w:r>
      <w:r w:rsidRPr="00683FE5">
        <w:rPr>
          <w:i/>
        </w:rPr>
        <w:t>See</w:t>
      </w:r>
      <w:r w:rsidRPr="00683FE5">
        <w:t xml:space="preserve"> Development of Operational, Technical and Spectrum Requirements for Meeting Federal, State and Local Public Safety Agency Communications Requirements Through the Year 2010, WT Docket No. 96-86, </w:t>
      </w:r>
      <w:r w:rsidRPr="00683FE5">
        <w:rPr>
          <w:i/>
        </w:rPr>
        <w:t>First Report and Order and Third Notice of Proposed Rulemaking</w:t>
      </w:r>
      <w:r w:rsidRPr="00683FE5">
        <w:t>, 14 FCC Rcd 152</w:t>
      </w:r>
      <w:r>
        <w:t xml:space="preserve">, </w:t>
      </w:r>
      <w:r w:rsidRPr="00683FE5">
        <w:t>213 ¶ 136</w:t>
      </w:r>
      <w:r>
        <w:t xml:space="preserve"> </w:t>
      </w:r>
      <w:r w:rsidRPr="00683FE5">
        <w:t>(1998)</w:t>
      </w:r>
      <w:r>
        <w:t xml:space="preserve">.  </w:t>
      </w:r>
    </w:p>
  </w:footnote>
  <w:footnote w:id="45">
    <w:p w:rsidR="00492621" w:rsidRPr="00A7304F" w:rsidRDefault="00492621">
      <w:pPr>
        <w:pStyle w:val="FootnoteText"/>
      </w:pPr>
      <w:r>
        <w:rPr>
          <w:rStyle w:val="FootnoteReference"/>
        </w:rPr>
        <w:footnoteRef/>
      </w:r>
      <w:r>
        <w:t xml:space="preserve"> </w:t>
      </w:r>
      <w:r w:rsidRPr="007C0F98">
        <w:rPr>
          <w:i/>
        </w:rPr>
        <w:t>See</w:t>
      </w:r>
      <w:r w:rsidRPr="007C0F98">
        <w:t xml:space="preserve"> Development of Operational, Technical and Spectrum Requirements for Meeting Federal State and Local Public Safety Communication Requirements Through the Year 2010, WT Docket No. 96-86, </w:t>
      </w:r>
      <w:r w:rsidRPr="007C0F98">
        <w:rPr>
          <w:i/>
        </w:rPr>
        <w:t>Fifth Memorandum Opinion and Order, Sixth Report and Order, and Seventh NPRM of Proposed Rulemaking</w:t>
      </w:r>
      <w:r w:rsidRPr="007C0F98">
        <w:t>, 20 FCC Rcd 831</w:t>
      </w:r>
      <w:r>
        <w:t xml:space="preserve">, 845-48 </w:t>
      </w:r>
      <w:r w:rsidRPr="009655B9">
        <w:t>¶</w:t>
      </w:r>
      <w:r>
        <w:t xml:space="preserve"> 36 </w:t>
      </w:r>
      <w:r w:rsidRPr="007C0F98">
        <w:t>(2005)</w:t>
      </w:r>
      <w:r>
        <w:t xml:space="preserve">.  The ACP limits were proposed by the Private Radio Section of the Wireless Communications Division of the Telecommunications Industry Association (TIA-PRS) which claimed the limits represented a consensus opinion of manufacturers.  </w:t>
      </w:r>
      <w:r>
        <w:rPr>
          <w:i/>
        </w:rPr>
        <w:t xml:space="preserve">Id. </w:t>
      </w:r>
      <w:r>
        <w:t xml:space="preserve">at 854 </w:t>
      </w:r>
      <w:r w:rsidRPr="009655B9">
        <w:t>¶</w:t>
      </w:r>
      <w:r>
        <w:t xml:space="preserve">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9" w:rsidRDefault="00632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1" w:rsidRDefault="00492621">
    <w:pPr>
      <w:pStyle w:val="Header"/>
    </w:pPr>
    <w:r>
      <w:tab/>
      <w:t xml:space="preserve">Federal Communications Commission </w:t>
    </w:r>
    <w:r>
      <w:tab/>
      <w:t xml:space="preserve">DA </w:t>
    </w:r>
    <w:r w:rsidRPr="00171ADB">
      <w:t>14-</w:t>
    </w:r>
    <w:r w:rsidR="00F01850">
      <w:t>1242</w:t>
    </w:r>
    <w:r>
      <w:tab/>
    </w:r>
  </w:p>
  <w:p w:rsidR="00492621" w:rsidRDefault="00492621">
    <w:pPr>
      <w:tabs>
        <w:tab w:val="left" w:pos="-720"/>
      </w:tabs>
      <w:suppressAutoHyphens/>
      <w:spacing w:line="19" w:lineRule="exact"/>
      <w:rPr>
        <w:spacing w:val="-2"/>
      </w:rPr>
    </w:pPr>
  </w:p>
  <w:p w:rsidR="00492621" w:rsidRDefault="0049262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1" w:rsidRDefault="00492621">
    <w:pPr>
      <w:pStyle w:val="Header"/>
    </w:pPr>
    <w:r>
      <w:tab/>
      <w:t>Federal Communications Commission</w:t>
    </w:r>
    <w:r>
      <w:tab/>
      <w:t xml:space="preserve">DA </w:t>
    </w:r>
    <w:r w:rsidRPr="00171ADB">
      <w:t>14-</w:t>
    </w:r>
    <w:r w:rsidR="00F01850">
      <w:t>1242</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925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D516E"/>
    <w:multiLevelType w:val="hybridMultilevel"/>
    <w:tmpl w:val="02025E96"/>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color w:val="auto"/>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3CE7CEF"/>
    <w:multiLevelType w:val="hybridMultilevel"/>
    <w:tmpl w:val="64C2CB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66165"/>
    <w:multiLevelType w:val="hybridMultilevel"/>
    <w:tmpl w:val="764EF95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14F2880"/>
    <w:multiLevelType w:val="hybridMultilevel"/>
    <w:tmpl w:val="7AA6C52E"/>
    <w:lvl w:ilvl="0" w:tplc="AEB610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8"/>
  </w:num>
  <w:num w:numId="5">
    <w:abstractNumId w:val="4"/>
  </w:num>
  <w:num w:numId="6">
    <w:abstractNumId w:val="2"/>
  </w:num>
  <w:num w:numId="7">
    <w:abstractNumId w:val="9"/>
  </w:num>
  <w:num w:numId="8">
    <w:abstractNumId w:val="7"/>
  </w:num>
  <w:num w:numId="9">
    <w:abstractNumId w:val="1"/>
  </w:num>
  <w:num w:numId="10">
    <w:abstractNumId w:val="10"/>
  </w:num>
  <w:num w:numId="11">
    <w:abstractNumId w:val="0"/>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6"/>
  </w:num>
  <w:num w:numId="32">
    <w:abstractNumId w:val="9"/>
  </w:num>
  <w:num w:numId="33">
    <w:abstractNumId w:val="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35"/>
    <w:rsid w:val="00003CD5"/>
    <w:rsid w:val="00004B63"/>
    <w:rsid w:val="00006B0F"/>
    <w:rsid w:val="00013517"/>
    <w:rsid w:val="00024435"/>
    <w:rsid w:val="000258C6"/>
    <w:rsid w:val="00026294"/>
    <w:rsid w:val="00030C45"/>
    <w:rsid w:val="00033F08"/>
    <w:rsid w:val="00033FF4"/>
    <w:rsid w:val="00055FD6"/>
    <w:rsid w:val="000919D7"/>
    <w:rsid w:val="0009509E"/>
    <w:rsid w:val="00097125"/>
    <w:rsid w:val="000A06D4"/>
    <w:rsid w:val="000A65F7"/>
    <w:rsid w:val="000B60B6"/>
    <w:rsid w:val="000B63CC"/>
    <w:rsid w:val="000C1187"/>
    <w:rsid w:val="000C1A48"/>
    <w:rsid w:val="000C58ED"/>
    <w:rsid w:val="000E372D"/>
    <w:rsid w:val="000E406E"/>
    <w:rsid w:val="000E40DD"/>
    <w:rsid w:val="000F39EA"/>
    <w:rsid w:val="00101520"/>
    <w:rsid w:val="001044DB"/>
    <w:rsid w:val="00104FE3"/>
    <w:rsid w:val="0010788D"/>
    <w:rsid w:val="00114AC9"/>
    <w:rsid w:val="00116ECD"/>
    <w:rsid w:val="00122FCD"/>
    <w:rsid w:val="0012415C"/>
    <w:rsid w:val="001244FC"/>
    <w:rsid w:val="00126004"/>
    <w:rsid w:val="00132F30"/>
    <w:rsid w:val="001351DC"/>
    <w:rsid w:val="00137970"/>
    <w:rsid w:val="001410A1"/>
    <w:rsid w:val="0014350C"/>
    <w:rsid w:val="00143EC6"/>
    <w:rsid w:val="001564F1"/>
    <w:rsid w:val="00162C12"/>
    <w:rsid w:val="001641B4"/>
    <w:rsid w:val="00164AA1"/>
    <w:rsid w:val="00171ADB"/>
    <w:rsid w:val="0018561D"/>
    <w:rsid w:val="001B242D"/>
    <w:rsid w:val="001B7A25"/>
    <w:rsid w:val="001C104D"/>
    <w:rsid w:val="001C3B37"/>
    <w:rsid w:val="001C6507"/>
    <w:rsid w:val="001D2742"/>
    <w:rsid w:val="001D3E4A"/>
    <w:rsid w:val="001E1CFF"/>
    <w:rsid w:val="001E1FFF"/>
    <w:rsid w:val="001F02F1"/>
    <w:rsid w:val="001F1E07"/>
    <w:rsid w:val="00200B4C"/>
    <w:rsid w:val="002015B2"/>
    <w:rsid w:val="00202255"/>
    <w:rsid w:val="00210A73"/>
    <w:rsid w:val="00212793"/>
    <w:rsid w:val="002127D6"/>
    <w:rsid w:val="00215D7A"/>
    <w:rsid w:val="0022636A"/>
    <w:rsid w:val="00233E1E"/>
    <w:rsid w:val="00240F1E"/>
    <w:rsid w:val="002420CA"/>
    <w:rsid w:val="00245509"/>
    <w:rsid w:val="00246008"/>
    <w:rsid w:val="00260CD3"/>
    <w:rsid w:val="00262772"/>
    <w:rsid w:val="00270DE5"/>
    <w:rsid w:val="0027606D"/>
    <w:rsid w:val="0028084C"/>
    <w:rsid w:val="002904F7"/>
    <w:rsid w:val="00293086"/>
    <w:rsid w:val="00293F33"/>
    <w:rsid w:val="002A57C3"/>
    <w:rsid w:val="002B2CA0"/>
    <w:rsid w:val="002B541F"/>
    <w:rsid w:val="002C0E23"/>
    <w:rsid w:val="002E4095"/>
    <w:rsid w:val="002F19A8"/>
    <w:rsid w:val="00302125"/>
    <w:rsid w:val="00303144"/>
    <w:rsid w:val="00307FAA"/>
    <w:rsid w:val="00334B27"/>
    <w:rsid w:val="00340062"/>
    <w:rsid w:val="00350FCC"/>
    <w:rsid w:val="00354958"/>
    <w:rsid w:val="00362234"/>
    <w:rsid w:val="00366FF3"/>
    <w:rsid w:val="00367CC7"/>
    <w:rsid w:val="00374E65"/>
    <w:rsid w:val="00375DB6"/>
    <w:rsid w:val="003809FA"/>
    <w:rsid w:val="00381C4E"/>
    <w:rsid w:val="00384E09"/>
    <w:rsid w:val="003924B5"/>
    <w:rsid w:val="003963FD"/>
    <w:rsid w:val="00397099"/>
    <w:rsid w:val="0039752C"/>
    <w:rsid w:val="00397CFE"/>
    <w:rsid w:val="003A5E89"/>
    <w:rsid w:val="003A6395"/>
    <w:rsid w:val="003A7119"/>
    <w:rsid w:val="003B5A6F"/>
    <w:rsid w:val="003C33ED"/>
    <w:rsid w:val="003D78DE"/>
    <w:rsid w:val="003E22B9"/>
    <w:rsid w:val="003F57FD"/>
    <w:rsid w:val="00407555"/>
    <w:rsid w:val="004137AB"/>
    <w:rsid w:val="004144F9"/>
    <w:rsid w:val="0041705D"/>
    <w:rsid w:val="00421EB3"/>
    <w:rsid w:val="004231D2"/>
    <w:rsid w:val="00424B65"/>
    <w:rsid w:val="00425EA9"/>
    <w:rsid w:val="00426192"/>
    <w:rsid w:val="00427D64"/>
    <w:rsid w:val="004322D5"/>
    <w:rsid w:val="00432EB3"/>
    <w:rsid w:val="00437134"/>
    <w:rsid w:val="00445470"/>
    <w:rsid w:val="00454E58"/>
    <w:rsid w:val="0047038A"/>
    <w:rsid w:val="00470524"/>
    <w:rsid w:val="004900FB"/>
    <w:rsid w:val="00492621"/>
    <w:rsid w:val="004A5EA1"/>
    <w:rsid w:val="004B4A60"/>
    <w:rsid w:val="004C088A"/>
    <w:rsid w:val="004C10FC"/>
    <w:rsid w:val="004C7C52"/>
    <w:rsid w:val="004C7DD5"/>
    <w:rsid w:val="004D0AC7"/>
    <w:rsid w:val="004D13C1"/>
    <w:rsid w:val="004D262C"/>
    <w:rsid w:val="004E7CCF"/>
    <w:rsid w:val="004F09D8"/>
    <w:rsid w:val="004F3118"/>
    <w:rsid w:val="00500D84"/>
    <w:rsid w:val="00504D76"/>
    <w:rsid w:val="00511B90"/>
    <w:rsid w:val="00525389"/>
    <w:rsid w:val="00527ADC"/>
    <w:rsid w:val="00530382"/>
    <w:rsid w:val="005343BB"/>
    <w:rsid w:val="00534BF1"/>
    <w:rsid w:val="00552FB3"/>
    <w:rsid w:val="00571DD8"/>
    <w:rsid w:val="00581026"/>
    <w:rsid w:val="00582660"/>
    <w:rsid w:val="00584496"/>
    <w:rsid w:val="005864DE"/>
    <w:rsid w:val="00590D11"/>
    <w:rsid w:val="00593A24"/>
    <w:rsid w:val="005963BA"/>
    <w:rsid w:val="005A1206"/>
    <w:rsid w:val="005A2F35"/>
    <w:rsid w:val="005A596F"/>
    <w:rsid w:val="005A786C"/>
    <w:rsid w:val="005B7797"/>
    <w:rsid w:val="005C69A0"/>
    <w:rsid w:val="005D0537"/>
    <w:rsid w:val="005D185B"/>
    <w:rsid w:val="005E66C4"/>
    <w:rsid w:val="005F011C"/>
    <w:rsid w:val="005F0B0B"/>
    <w:rsid w:val="005F1D36"/>
    <w:rsid w:val="005F75E5"/>
    <w:rsid w:val="00603585"/>
    <w:rsid w:val="00606249"/>
    <w:rsid w:val="00607CF9"/>
    <w:rsid w:val="006110F6"/>
    <w:rsid w:val="00613E02"/>
    <w:rsid w:val="00630A8F"/>
    <w:rsid w:val="00632489"/>
    <w:rsid w:val="00635D2E"/>
    <w:rsid w:val="00641BA1"/>
    <w:rsid w:val="006516DD"/>
    <w:rsid w:val="0066612C"/>
    <w:rsid w:val="00682846"/>
    <w:rsid w:val="00683FE5"/>
    <w:rsid w:val="006860E1"/>
    <w:rsid w:val="0069080D"/>
    <w:rsid w:val="006A50CC"/>
    <w:rsid w:val="006B0E4C"/>
    <w:rsid w:val="006C23C4"/>
    <w:rsid w:val="006C2CF2"/>
    <w:rsid w:val="006C740A"/>
    <w:rsid w:val="006C7D96"/>
    <w:rsid w:val="006D6DC5"/>
    <w:rsid w:val="006D7083"/>
    <w:rsid w:val="006E0171"/>
    <w:rsid w:val="006E37C5"/>
    <w:rsid w:val="00702AA3"/>
    <w:rsid w:val="0070512D"/>
    <w:rsid w:val="007116F2"/>
    <w:rsid w:val="00715C68"/>
    <w:rsid w:val="0073466B"/>
    <w:rsid w:val="007353A8"/>
    <w:rsid w:val="00740B09"/>
    <w:rsid w:val="0074427F"/>
    <w:rsid w:val="00755703"/>
    <w:rsid w:val="00755B4B"/>
    <w:rsid w:val="0076074B"/>
    <w:rsid w:val="007620BA"/>
    <w:rsid w:val="00773544"/>
    <w:rsid w:val="00773E81"/>
    <w:rsid w:val="007773B5"/>
    <w:rsid w:val="00784308"/>
    <w:rsid w:val="00784A84"/>
    <w:rsid w:val="007A7FCE"/>
    <w:rsid w:val="007C0F98"/>
    <w:rsid w:val="007C3B37"/>
    <w:rsid w:val="007C4A69"/>
    <w:rsid w:val="007C6799"/>
    <w:rsid w:val="007D3E47"/>
    <w:rsid w:val="007E3AA4"/>
    <w:rsid w:val="007E782D"/>
    <w:rsid w:val="007F553E"/>
    <w:rsid w:val="008017D1"/>
    <w:rsid w:val="00803533"/>
    <w:rsid w:val="00804634"/>
    <w:rsid w:val="00807AAB"/>
    <w:rsid w:val="008107C8"/>
    <w:rsid w:val="008167B5"/>
    <w:rsid w:val="008175BA"/>
    <w:rsid w:val="00825241"/>
    <w:rsid w:val="00835C48"/>
    <w:rsid w:val="00835E96"/>
    <w:rsid w:val="00840893"/>
    <w:rsid w:val="008417D8"/>
    <w:rsid w:val="00844D70"/>
    <w:rsid w:val="008453FE"/>
    <w:rsid w:val="008459D6"/>
    <w:rsid w:val="00850BDC"/>
    <w:rsid w:val="008533CD"/>
    <w:rsid w:val="00861DC6"/>
    <w:rsid w:val="0086533F"/>
    <w:rsid w:val="00870A43"/>
    <w:rsid w:val="00883555"/>
    <w:rsid w:val="008845DA"/>
    <w:rsid w:val="008878C9"/>
    <w:rsid w:val="00887C96"/>
    <w:rsid w:val="00890515"/>
    <w:rsid w:val="0089281F"/>
    <w:rsid w:val="00893888"/>
    <w:rsid w:val="00896D9F"/>
    <w:rsid w:val="008A01AE"/>
    <w:rsid w:val="008A4A9D"/>
    <w:rsid w:val="008B1F57"/>
    <w:rsid w:val="008B5B02"/>
    <w:rsid w:val="008C03CA"/>
    <w:rsid w:val="008C06E7"/>
    <w:rsid w:val="008C0980"/>
    <w:rsid w:val="008D0B6A"/>
    <w:rsid w:val="008D2F07"/>
    <w:rsid w:val="008D4A9B"/>
    <w:rsid w:val="008E15C7"/>
    <w:rsid w:val="008F1640"/>
    <w:rsid w:val="008F1E6C"/>
    <w:rsid w:val="008F3FDE"/>
    <w:rsid w:val="00902577"/>
    <w:rsid w:val="0090529D"/>
    <w:rsid w:val="00907025"/>
    <w:rsid w:val="009126A1"/>
    <w:rsid w:val="009169BA"/>
    <w:rsid w:val="00921D05"/>
    <w:rsid w:val="00927174"/>
    <w:rsid w:val="00935E5B"/>
    <w:rsid w:val="00940063"/>
    <w:rsid w:val="0094201F"/>
    <w:rsid w:val="00954A76"/>
    <w:rsid w:val="00956EDC"/>
    <w:rsid w:val="00960FFF"/>
    <w:rsid w:val="00962103"/>
    <w:rsid w:val="00974F91"/>
    <w:rsid w:val="00991B13"/>
    <w:rsid w:val="009943B1"/>
    <w:rsid w:val="009959F0"/>
    <w:rsid w:val="009A0EA4"/>
    <w:rsid w:val="009A2207"/>
    <w:rsid w:val="009A32A8"/>
    <w:rsid w:val="009A4A59"/>
    <w:rsid w:val="009A615B"/>
    <w:rsid w:val="009B5BB0"/>
    <w:rsid w:val="009B7E9F"/>
    <w:rsid w:val="009C21EE"/>
    <w:rsid w:val="009C37A1"/>
    <w:rsid w:val="009C38B2"/>
    <w:rsid w:val="009E5A1A"/>
    <w:rsid w:val="009F0655"/>
    <w:rsid w:val="009F108F"/>
    <w:rsid w:val="00A1032C"/>
    <w:rsid w:val="00A10C61"/>
    <w:rsid w:val="00A24FAF"/>
    <w:rsid w:val="00A3139C"/>
    <w:rsid w:val="00A32408"/>
    <w:rsid w:val="00A3306F"/>
    <w:rsid w:val="00A42048"/>
    <w:rsid w:val="00A4253C"/>
    <w:rsid w:val="00A4482B"/>
    <w:rsid w:val="00A45C3F"/>
    <w:rsid w:val="00A45F65"/>
    <w:rsid w:val="00A51DC4"/>
    <w:rsid w:val="00A53D10"/>
    <w:rsid w:val="00A53FAC"/>
    <w:rsid w:val="00A54554"/>
    <w:rsid w:val="00A601C7"/>
    <w:rsid w:val="00A645F3"/>
    <w:rsid w:val="00A674EC"/>
    <w:rsid w:val="00A7304F"/>
    <w:rsid w:val="00A766AA"/>
    <w:rsid w:val="00A84D3D"/>
    <w:rsid w:val="00A8713F"/>
    <w:rsid w:val="00A935F9"/>
    <w:rsid w:val="00AC630F"/>
    <w:rsid w:val="00AC75E1"/>
    <w:rsid w:val="00AD3E23"/>
    <w:rsid w:val="00AD768C"/>
    <w:rsid w:val="00AE0803"/>
    <w:rsid w:val="00AF1B39"/>
    <w:rsid w:val="00AF2372"/>
    <w:rsid w:val="00AF3E20"/>
    <w:rsid w:val="00B027CB"/>
    <w:rsid w:val="00B0425E"/>
    <w:rsid w:val="00B0695E"/>
    <w:rsid w:val="00B07316"/>
    <w:rsid w:val="00B10F8D"/>
    <w:rsid w:val="00B11ACD"/>
    <w:rsid w:val="00B12ACA"/>
    <w:rsid w:val="00B20315"/>
    <w:rsid w:val="00B249A7"/>
    <w:rsid w:val="00B26336"/>
    <w:rsid w:val="00B36156"/>
    <w:rsid w:val="00B405A4"/>
    <w:rsid w:val="00B526D7"/>
    <w:rsid w:val="00B575C5"/>
    <w:rsid w:val="00B64960"/>
    <w:rsid w:val="00B72A56"/>
    <w:rsid w:val="00B76D38"/>
    <w:rsid w:val="00B7799A"/>
    <w:rsid w:val="00B91E91"/>
    <w:rsid w:val="00B92BAC"/>
    <w:rsid w:val="00B952F0"/>
    <w:rsid w:val="00BA375B"/>
    <w:rsid w:val="00BA6833"/>
    <w:rsid w:val="00BC01AA"/>
    <w:rsid w:val="00BC5F4A"/>
    <w:rsid w:val="00BC68F3"/>
    <w:rsid w:val="00BD0A3D"/>
    <w:rsid w:val="00BD663D"/>
    <w:rsid w:val="00BE1D5A"/>
    <w:rsid w:val="00BE5B47"/>
    <w:rsid w:val="00BF1CC0"/>
    <w:rsid w:val="00C07244"/>
    <w:rsid w:val="00C137D7"/>
    <w:rsid w:val="00C15E76"/>
    <w:rsid w:val="00C1762D"/>
    <w:rsid w:val="00C20DA5"/>
    <w:rsid w:val="00C256C6"/>
    <w:rsid w:val="00C3047E"/>
    <w:rsid w:val="00C3138F"/>
    <w:rsid w:val="00C35826"/>
    <w:rsid w:val="00C35A53"/>
    <w:rsid w:val="00C40C31"/>
    <w:rsid w:val="00C424A1"/>
    <w:rsid w:val="00C5063B"/>
    <w:rsid w:val="00C606B3"/>
    <w:rsid w:val="00C6523A"/>
    <w:rsid w:val="00C66E23"/>
    <w:rsid w:val="00C753C5"/>
    <w:rsid w:val="00C80BEE"/>
    <w:rsid w:val="00C8106C"/>
    <w:rsid w:val="00C81889"/>
    <w:rsid w:val="00C90F9D"/>
    <w:rsid w:val="00C91557"/>
    <w:rsid w:val="00C92138"/>
    <w:rsid w:val="00CB3CD1"/>
    <w:rsid w:val="00CB726A"/>
    <w:rsid w:val="00CC43C5"/>
    <w:rsid w:val="00CC57F0"/>
    <w:rsid w:val="00CC5821"/>
    <w:rsid w:val="00CD390B"/>
    <w:rsid w:val="00CD3F15"/>
    <w:rsid w:val="00CD507C"/>
    <w:rsid w:val="00CE0411"/>
    <w:rsid w:val="00CE2BF0"/>
    <w:rsid w:val="00CE2DD0"/>
    <w:rsid w:val="00CE6161"/>
    <w:rsid w:val="00CF491A"/>
    <w:rsid w:val="00D006B8"/>
    <w:rsid w:val="00D04281"/>
    <w:rsid w:val="00D05825"/>
    <w:rsid w:val="00D11F74"/>
    <w:rsid w:val="00D151BC"/>
    <w:rsid w:val="00D231E3"/>
    <w:rsid w:val="00D329C7"/>
    <w:rsid w:val="00D32F9A"/>
    <w:rsid w:val="00D46D10"/>
    <w:rsid w:val="00D51822"/>
    <w:rsid w:val="00D538A7"/>
    <w:rsid w:val="00D5463D"/>
    <w:rsid w:val="00D60383"/>
    <w:rsid w:val="00D663F2"/>
    <w:rsid w:val="00D67416"/>
    <w:rsid w:val="00D67BBA"/>
    <w:rsid w:val="00D75B7E"/>
    <w:rsid w:val="00D90630"/>
    <w:rsid w:val="00D9175A"/>
    <w:rsid w:val="00DA0C00"/>
    <w:rsid w:val="00DA1711"/>
    <w:rsid w:val="00DA5581"/>
    <w:rsid w:val="00DB2F4E"/>
    <w:rsid w:val="00DB30B8"/>
    <w:rsid w:val="00DC0771"/>
    <w:rsid w:val="00DC22A8"/>
    <w:rsid w:val="00DC4F5F"/>
    <w:rsid w:val="00DC5A3F"/>
    <w:rsid w:val="00DC5B9C"/>
    <w:rsid w:val="00DD14BE"/>
    <w:rsid w:val="00DD1C63"/>
    <w:rsid w:val="00DD3323"/>
    <w:rsid w:val="00DD5AAE"/>
    <w:rsid w:val="00DE4C10"/>
    <w:rsid w:val="00DE6D9A"/>
    <w:rsid w:val="00DF2614"/>
    <w:rsid w:val="00DF6F90"/>
    <w:rsid w:val="00E00913"/>
    <w:rsid w:val="00E07252"/>
    <w:rsid w:val="00E11D7D"/>
    <w:rsid w:val="00E12397"/>
    <w:rsid w:val="00E1410C"/>
    <w:rsid w:val="00E14EAF"/>
    <w:rsid w:val="00E21F9A"/>
    <w:rsid w:val="00E4478F"/>
    <w:rsid w:val="00E4595E"/>
    <w:rsid w:val="00E5784A"/>
    <w:rsid w:val="00E6146B"/>
    <w:rsid w:val="00E73758"/>
    <w:rsid w:val="00E76D88"/>
    <w:rsid w:val="00E80875"/>
    <w:rsid w:val="00E816C9"/>
    <w:rsid w:val="00E836E4"/>
    <w:rsid w:val="00E92065"/>
    <w:rsid w:val="00E95620"/>
    <w:rsid w:val="00EA0C83"/>
    <w:rsid w:val="00EA1BDB"/>
    <w:rsid w:val="00EA75A2"/>
    <w:rsid w:val="00EB042B"/>
    <w:rsid w:val="00EB2955"/>
    <w:rsid w:val="00EB3F51"/>
    <w:rsid w:val="00EB4AAC"/>
    <w:rsid w:val="00EC06D6"/>
    <w:rsid w:val="00EC2DFF"/>
    <w:rsid w:val="00EC45EB"/>
    <w:rsid w:val="00ED0CFF"/>
    <w:rsid w:val="00EE21FA"/>
    <w:rsid w:val="00EE2709"/>
    <w:rsid w:val="00EE563A"/>
    <w:rsid w:val="00EF32D8"/>
    <w:rsid w:val="00EF6287"/>
    <w:rsid w:val="00F01850"/>
    <w:rsid w:val="00F04E18"/>
    <w:rsid w:val="00F103C7"/>
    <w:rsid w:val="00F12A05"/>
    <w:rsid w:val="00F172A4"/>
    <w:rsid w:val="00F22533"/>
    <w:rsid w:val="00F3484A"/>
    <w:rsid w:val="00F357D6"/>
    <w:rsid w:val="00F53306"/>
    <w:rsid w:val="00F54695"/>
    <w:rsid w:val="00F54C28"/>
    <w:rsid w:val="00F70BC4"/>
    <w:rsid w:val="00F8319A"/>
    <w:rsid w:val="00F83564"/>
    <w:rsid w:val="00F8480B"/>
    <w:rsid w:val="00F924D9"/>
    <w:rsid w:val="00F96F4C"/>
    <w:rsid w:val="00FA656D"/>
    <w:rsid w:val="00FB1863"/>
    <w:rsid w:val="00FC14B0"/>
    <w:rsid w:val="00FC23B5"/>
    <w:rsid w:val="00FC6E27"/>
    <w:rsid w:val="00FE2098"/>
    <w:rsid w:val="00FE57DC"/>
    <w:rsid w:val="00FE6164"/>
    <w:rsid w:val="00FF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2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numPr>
        <w:numId w:val="2"/>
      </w:numPr>
      <w:tabs>
        <w:tab w:val="left" w:pos="144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 Char1 Char,fn Char1 Char,fn"/>
    <w:link w:val="FootnoteTextChar"/>
    <w:semiHidden/>
    <w:pPr>
      <w:spacing w:after="120"/>
    </w:pPr>
  </w:style>
  <w:style w:type="character" w:styleId="FootnoteReference">
    <w:name w:val="footnote reference"/>
    <w:aliases w:val="Appel note de bas de p,Style 12,(NECG) Footnote Reference,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2Char">
    <w:name w:val="Footnote Text Char2 Char"/>
    <w:aliases w:val="Footnote Text Char Char Char,Footnote Text Char1 Char Char Char,Footnote Text Char Char Char Char Char,Footnote Text Char1 Char Char Char Char Char,Footnote Text Char Char Char Char Char Char Char,Footnote Text Char1 Char"/>
    <w:rPr>
      <w:noProof w:val="0"/>
      <w:lang w:val="en-US" w:eastAsia="en-US" w:bidi="ar-SA"/>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noProof w:val="0"/>
      <w:lang w:val="en-US" w:eastAsia="en-US" w:bidi="ar-SA"/>
    </w:rPr>
  </w:style>
  <w:style w:type="paragraph" w:styleId="BalloonText">
    <w:name w:val="Balloon Text"/>
    <w:basedOn w:val="Normal"/>
    <w:semiHidden/>
    <w:rPr>
      <w:rFonts w:ascii="Tahoma" w:hAnsi="Tahoma" w:cs="Tahoma"/>
      <w:sz w:val="16"/>
      <w:szCs w:val="16"/>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
    <w:name w:val="Footnote Text Char"/>
    <w:aliases w:val="Footnote Text Char2 Char2,Footnote Text Char Char Char2,Footnote Text Char1 Char Char Char2,Footnote Text Char Char Char Char Char2,Footnote Text Char1 Char Char Char Char Char2,Footnote Text Char Char Char Char Char Char Char2"/>
    <w:link w:val="FootnoteText"/>
    <w:rPr>
      <w:lang w:val="en-US" w:eastAsia="en-US" w:bidi="ar-SA"/>
    </w:rPr>
  </w:style>
  <w:style w:type="character" w:customStyle="1" w:styleId="bestsection1">
    <w:name w:val="bestsection1"/>
    <w:rPr>
      <w:color w:val="FF0000"/>
    </w:rPr>
  </w:style>
  <w:style w:type="character" w:customStyle="1" w:styleId="documentbody1">
    <w:name w:val="documentbody1"/>
    <w:rPr>
      <w:rFonts w:ascii="Verdana" w:hAnsi="Verdana" w:hint="default"/>
      <w:sz w:val="19"/>
      <w:szCs w:val="19"/>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2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numPr>
        <w:numId w:val="2"/>
      </w:numPr>
      <w:tabs>
        <w:tab w:val="left" w:pos="144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 Char,Footnote Text Char Char Char Char,Footnote Text Char1 Char Char Char Char,Footnote Text Char Char Char Char Char Char,Footnote Text Char1 Char1 Char,fn Char1 Char,fn"/>
    <w:link w:val="FootnoteTextChar"/>
    <w:semiHidden/>
    <w:pPr>
      <w:spacing w:after="120"/>
    </w:pPr>
  </w:style>
  <w:style w:type="character" w:styleId="FootnoteReference">
    <w:name w:val="footnote reference"/>
    <w:aliases w:val="Appel note de bas de p,Style 12,(NECG) Footnote Reference,Style 124,Style 13,o,fr,Style 3"/>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2Char">
    <w:name w:val="Footnote Text Char2 Char"/>
    <w:aliases w:val="Footnote Text Char Char Char,Footnote Text Char1 Char Char Char,Footnote Text Char Char Char Char Char,Footnote Text Char1 Char Char Char Char Char,Footnote Text Char Char Char Char Char Char Char,Footnote Text Char1 Char"/>
    <w:rPr>
      <w:noProof w:val="0"/>
      <w:lang w:val="en-US" w:eastAsia="en-US" w:bidi="ar-SA"/>
    </w:rPr>
  </w:style>
  <w:style w:type="character" w:customStyle="1" w:styleId="FootnoteTextChar2Char1">
    <w:name w:val="Footnote Text Char2 Char1"/>
    <w:aliases w:val="Footnote Text Char Char Char1,Footnote Text Char1 Char Char Char1,Footnote Text Char Char Char Char Char1,Footnote Text Char1 Char Char Char Char Char1,Footnote Text Char Char Char Char Char Char Char1"/>
    <w:rPr>
      <w:noProof w:val="0"/>
      <w:lang w:val="en-US" w:eastAsia="en-US" w:bidi="ar-SA"/>
    </w:rPr>
  </w:style>
  <w:style w:type="paragraph" w:styleId="BalloonText">
    <w:name w:val="Balloon Text"/>
    <w:basedOn w:val="Normal"/>
    <w:semiHidden/>
    <w:rPr>
      <w:rFonts w:ascii="Tahoma" w:hAnsi="Tahoma" w:cs="Tahoma"/>
      <w:sz w:val="16"/>
      <w:szCs w:val="16"/>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customStyle="1" w:styleId="FootnoteTextChar">
    <w:name w:val="Footnote Text Char"/>
    <w:aliases w:val="Footnote Text Char2 Char2,Footnote Text Char Char Char2,Footnote Text Char1 Char Char Char2,Footnote Text Char Char Char Char Char2,Footnote Text Char1 Char Char Char Char Char2,Footnote Text Char Char Char Char Char Char Char2"/>
    <w:link w:val="FootnoteText"/>
    <w:rPr>
      <w:lang w:val="en-US" w:eastAsia="en-US" w:bidi="ar-SA"/>
    </w:rPr>
  </w:style>
  <w:style w:type="character" w:customStyle="1" w:styleId="bestsection1">
    <w:name w:val="bestsection1"/>
    <w:rPr>
      <w:color w:val="FF0000"/>
    </w:rPr>
  </w:style>
  <w:style w:type="character" w:customStyle="1" w:styleId="documentbody1">
    <w:name w:val="documentbody1"/>
    <w:rPr>
      <w:rFonts w:ascii="Verdana" w:hAnsi="Verdana" w:hint="default"/>
      <w:sz w:val="19"/>
      <w:szCs w:val="19"/>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52936">
      <w:bodyDiv w:val="1"/>
      <w:marLeft w:val="30"/>
      <w:marRight w:val="30"/>
      <w:marTop w:val="30"/>
      <w:marBottom w:val="30"/>
      <w:divBdr>
        <w:top w:val="none" w:sz="0" w:space="0" w:color="auto"/>
        <w:left w:val="none" w:sz="0" w:space="0" w:color="auto"/>
        <w:bottom w:val="none" w:sz="0" w:space="0" w:color="auto"/>
        <w:right w:val="none" w:sz="0" w:space="0" w:color="auto"/>
      </w:divBdr>
      <w:divsChild>
        <w:div w:id="693699436">
          <w:marLeft w:val="0"/>
          <w:marRight w:val="0"/>
          <w:marTop w:val="0"/>
          <w:marBottom w:val="0"/>
          <w:divBdr>
            <w:top w:val="none" w:sz="0" w:space="0" w:color="auto"/>
            <w:left w:val="none" w:sz="0" w:space="0" w:color="auto"/>
            <w:bottom w:val="none" w:sz="0" w:space="0" w:color="auto"/>
            <w:right w:val="none" w:sz="0" w:space="0" w:color="auto"/>
          </w:divBdr>
          <w:divsChild>
            <w:div w:id="627900724">
              <w:marLeft w:val="45"/>
              <w:marRight w:val="45"/>
              <w:marTop w:val="45"/>
              <w:marBottom w:val="45"/>
              <w:divBdr>
                <w:top w:val="none" w:sz="0" w:space="0" w:color="auto"/>
                <w:left w:val="none" w:sz="0" w:space="0" w:color="auto"/>
                <w:bottom w:val="none" w:sz="0" w:space="0" w:color="auto"/>
                <w:right w:val="none" w:sz="0" w:space="0" w:color="auto"/>
              </w:divBdr>
              <w:divsChild>
                <w:div w:id="13844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lamp.com/products/private-radios-narrow-band-equipment/private-mobile-networks/gemini-g3-a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2194</Words>
  <Characters>11815</Characters>
  <Application>Microsoft Office Word</Application>
  <DocSecurity>0</DocSecurity>
  <Lines>196</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14057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2012-07-30T18:49:00Z</cp:lastPrinted>
  <dcterms:created xsi:type="dcterms:W3CDTF">2014-08-26T17:41:00Z</dcterms:created>
  <dcterms:modified xsi:type="dcterms:W3CDTF">2014-08-26T17:41:00Z</dcterms:modified>
  <cp:category> </cp:category>
  <cp:contentStatus> </cp:contentStatus>
</cp:coreProperties>
</file>