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E0" w:rsidRPr="004F3707" w:rsidRDefault="00191C22" w:rsidP="00185360">
      <w:pPr>
        <w:ind w:left="7920"/>
        <w:jc w:val="right"/>
        <w:rPr>
          <w:szCs w:val="22"/>
        </w:rPr>
      </w:pPr>
      <w:bookmarkStart w:id="0" w:name="Text1"/>
      <w:bookmarkStart w:id="1" w:name="_GoBack"/>
      <w:bookmarkEnd w:id="1"/>
      <w:r>
        <w:rPr>
          <w:szCs w:val="22"/>
        </w:rPr>
        <w:t xml:space="preserve">  </w:t>
      </w:r>
      <w:r w:rsidR="005C7D25" w:rsidRPr="004F3707">
        <w:rPr>
          <w:szCs w:val="22"/>
        </w:rPr>
        <w:t xml:space="preserve">DA </w:t>
      </w:r>
      <w:bookmarkEnd w:id="0"/>
      <w:r w:rsidR="00746FBE" w:rsidRPr="00746FBE">
        <w:rPr>
          <w:szCs w:val="22"/>
        </w:rPr>
        <w:t>14-1238</w:t>
      </w:r>
    </w:p>
    <w:p w:rsidR="00C41AE0" w:rsidRPr="004F3707" w:rsidRDefault="00A57D70">
      <w:pPr>
        <w:spacing w:before="60"/>
        <w:jc w:val="right"/>
        <w:rPr>
          <w:szCs w:val="22"/>
        </w:rPr>
      </w:pPr>
      <w:r w:rsidRPr="004F3707">
        <w:rPr>
          <w:szCs w:val="22"/>
        </w:rPr>
        <w:t xml:space="preserve">August </w:t>
      </w:r>
      <w:r w:rsidR="00A3428C">
        <w:rPr>
          <w:szCs w:val="22"/>
        </w:rPr>
        <w:t>26</w:t>
      </w:r>
      <w:r w:rsidR="007B715A" w:rsidRPr="004F3707">
        <w:rPr>
          <w:szCs w:val="22"/>
        </w:rPr>
        <w:t>, 2014</w:t>
      </w:r>
    </w:p>
    <w:p w:rsidR="00C41AE0" w:rsidRPr="004F3707" w:rsidRDefault="00C41AE0">
      <w:pPr>
        <w:jc w:val="right"/>
        <w:rPr>
          <w:szCs w:val="22"/>
        </w:rPr>
      </w:pPr>
    </w:p>
    <w:p w:rsidR="005C7D25" w:rsidRPr="004F3707" w:rsidRDefault="005C7D25" w:rsidP="002549C1">
      <w:pPr>
        <w:spacing w:after="120"/>
        <w:jc w:val="center"/>
        <w:rPr>
          <w:b/>
          <w:szCs w:val="22"/>
        </w:rPr>
      </w:pPr>
      <w:r w:rsidRPr="004F3707">
        <w:rPr>
          <w:b/>
          <w:szCs w:val="22"/>
        </w:rPr>
        <w:t xml:space="preserve">WIRELESS TELECOMMUNICATIONS BUREAU SEEKS COMMENT ON </w:t>
      </w:r>
      <w:r w:rsidR="007B715A" w:rsidRPr="004F3707">
        <w:rPr>
          <w:b/>
          <w:szCs w:val="22"/>
        </w:rPr>
        <w:t>SPRINT</w:t>
      </w:r>
      <w:r w:rsidRPr="004F3707">
        <w:rPr>
          <w:b/>
          <w:szCs w:val="22"/>
        </w:rPr>
        <w:t xml:space="preserve"> </w:t>
      </w:r>
      <w:r w:rsidR="00B00213" w:rsidRPr="004F3707">
        <w:rPr>
          <w:b/>
          <w:szCs w:val="22"/>
        </w:rPr>
        <w:t xml:space="preserve">WAIVER </w:t>
      </w:r>
      <w:r w:rsidRPr="004F3707">
        <w:rPr>
          <w:b/>
          <w:szCs w:val="22"/>
        </w:rPr>
        <w:t xml:space="preserve">REQUEST TO PERMIT </w:t>
      </w:r>
      <w:r w:rsidR="00B00213" w:rsidRPr="004F3707">
        <w:rPr>
          <w:b/>
          <w:szCs w:val="22"/>
        </w:rPr>
        <w:t xml:space="preserve">WIDEBAND OPERATIONS IN PORTIONS OF </w:t>
      </w:r>
      <w:r w:rsidR="00191C22">
        <w:rPr>
          <w:b/>
          <w:szCs w:val="22"/>
        </w:rPr>
        <w:t>NEW MEXICO</w:t>
      </w:r>
      <w:r w:rsidR="00191C22" w:rsidRPr="004F3707">
        <w:rPr>
          <w:b/>
          <w:szCs w:val="22"/>
        </w:rPr>
        <w:t xml:space="preserve"> </w:t>
      </w:r>
      <w:r w:rsidR="00B00213" w:rsidRPr="004F3707">
        <w:rPr>
          <w:b/>
          <w:szCs w:val="22"/>
        </w:rPr>
        <w:t xml:space="preserve">AND </w:t>
      </w:r>
      <w:r w:rsidR="00191C22">
        <w:rPr>
          <w:b/>
          <w:szCs w:val="22"/>
        </w:rPr>
        <w:t>TEXAS</w:t>
      </w:r>
      <w:r w:rsidR="00B00213" w:rsidRPr="004F3707">
        <w:rPr>
          <w:b/>
          <w:szCs w:val="22"/>
        </w:rPr>
        <w:t xml:space="preserve"> NPSPAC REGIONS </w:t>
      </w:r>
    </w:p>
    <w:p w:rsidR="00611E9F" w:rsidRPr="004F3707" w:rsidRDefault="00611E9F" w:rsidP="005C7D25">
      <w:pPr>
        <w:spacing w:after="120"/>
        <w:jc w:val="center"/>
        <w:rPr>
          <w:b/>
          <w:szCs w:val="22"/>
        </w:rPr>
      </w:pPr>
      <w:r w:rsidRPr="004F3707">
        <w:rPr>
          <w:b/>
          <w:szCs w:val="22"/>
        </w:rPr>
        <w:t xml:space="preserve">WT Docket No. </w:t>
      </w:r>
      <w:r w:rsidR="00746FBE" w:rsidRPr="00746FBE">
        <w:rPr>
          <w:b/>
          <w:szCs w:val="22"/>
        </w:rPr>
        <w:t>14-133</w:t>
      </w:r>
    </w:p>
    <w:p w:rsidR="005C7D25" w:rsidRPr="004F3707" w:rsidRDefault="00191C22" w:rsidP="00191C22">
      <w:pPr>
        <w:tabs>
          <w:tab w:val="left" w:pos="8007"/>
        </w:tabs>
        <w:spacing w:after="120"/>
        <w:rPr>
          <w:b/>
          <w:szCs w:val="22"/>
        </w:rPr>
      </w:pPr>
      <w:r>
        <w:rPr>
          <w:b/>
          <w:szCs w:val="22"/>
        </w:rPr>
        <w:tab/>
      </w:r>
    </w:p>
    <w:p w:rsidR="005C7D25" w:rsidRPr="004F3707" w:rsidRDefault="005C7D25" w:rsidP="005C7D25">
      <w:pPr>
        <w:spacing w:after="120"/>
        <w:rPr>
          <w:b/>
          <w:szCs w:val="22"/>
        </w:rPr>
      </w:pPr>
      <w:r w:rsidRPr="004F3707">
        <w:rPr>
          <w:b/>
          <w:szCs w:val="22"/>
        </w:rPr>
        <w:t xml:space="preserve">Comments Due:  </w:t>
      </w:r>
      <w:r w:rsidR="00630B3C">
        <w:rPr>
          <w:b/>
          <w:szCs w:val="22"/>
        </w:rPr>
        <w:t>September 25</w:t>
      </w:r>
      <w:r w:rsidR="00346F89" w:rsidRPr="00346F89">
        <w:rPr>
          <w:b/>
          <w:szCs w:val="22"/>
        </w:rPr>
        <w:t>, 2014</w:t>
      </w:r>
      <w:r w:rsidRPr="004F3707">
        <w:rPr>
          <w:b/>
          <w:szCs w:val="22"/>
        </w:rPr>
        <w:tab/>
      </w:r>
      <w:r w:rsidRPr="004F3707">
        <w:rPr>
          <w:b/>
          <w:szCs w:val="22"/>
        </w:rPr>
        <w:tab/>
      </w:r>
      <w:r w:rsidRPr="004F3707">
        <w:rPr>
          <w:b/>
          <w:szCs w:val="22"/>
        </w:rPr>
        <w:tab/>
      </w:r>
      <w:r w:rsidRPr="004F3707">
        <w:rPr>
          <w:b/>
          <w:szCs w:val="22"/>
        </w:rPr>
        <w:tab/>
      </w:r>
    </w:p>
    <w:p w:rsidR="005C7D25" w:rsidRPr="004F3707" w:rsidRDefault="005C7D25" w:rsidP="005C7D25">
      <w:pPr>
        <w:spacing w:after="120"/>
        <w:rPr>
          <w:b/>
          <w:szCs w:val="22"/>
        </w:rPr>
      </w:pPr>
      <w:r w:rsidRPr="004F3707">
        <w:rPr>
          <w:b/>
          <w:szCs w:val="22"/>
        </w:rPr>
        <w:t xml:space="preserve">Reply Comments Due:  </w:t>
      </w:r>
      <w:r w:rsidR="00C029A4" w:rsidRPr="004F3707">
        <w:rPr>
          <w:b/>
          <w:szCs w:val="22"/>
        </w:rPr>
        <w:t xml:space="preserve">October </w:t>
      </w:r>
      <w:r w:rsidR="00630B3C">
        <w:rPr>
          <w:b/>
          <w:szCs w:val="22"/>
        </w:rPr>
        <w:t>10</w:t>
      </w:r>
      <w:r w:rsidRPr="004F3707">
        <w:rPr>
          <w:b/>
          <w:szCs w:val="22"/>
        </w:rPr>
        <w:t>, 201</w:t>
      </w:r>
      <w:r w:rsidR="00B00213" w:rsidRPr="004F3707">
        <w:rPr>
          <w:b/>
          <w:szCs w:val="22"/>
        </w:rPr>
        <w:t>4</w:t>
      </w:r>
    </w:p>
    <w:p w:rsidR="005C7D25" w:rsidRPr="004F3707" w:rsidRDefault="005C7D25" w:rsidP="00B2486F">
      <w:pPr>
        <w:ind w:firstLine="720"/>
        <w:rPr>
          <w:szCs w:val="22"/>
        </w:rPr>
      </w:pPr>
      <w:r w:rsidRPr="004F3707">
        <w:rPr>
          <w:szCs w:val="22"/>
        </w:rPr>
        <w:t xml:space="preserve">On </w:t>
      </w:r>
      <w:r w:rsidR="00764040" w:rsidRPr="004F3707">
        <w:rPr>
          <w:szCs w:val="22"/>
        </w:rPr>
        <w:t>August 14</w:t>
      </w:r>
      <w:r w:rsidR="00B00213" w:rsidRPr="004F3707">
        <w:rPr>
          <w:szCs w:val="22"/>
        </w:rPr>
        <w:t>, 2014</w:t>
      </w:r>
      <w:r w:rsidRPr="004F3707">
        <w:rPr>
          <w:szCs w:val="22"/>
        </w:rPr>
        <w:t xml:space="preserve">, </w:t>
      </w:r>
      <w:r w:rsidR="00B00213" w:rsidRPr="004F3707">
        <w:rPr>
          <w:szCs w:val="22"/>
        </w:rPr>
        <w:t xml:space="preserve">Sprint Corporation (Sprint) filed </w:t>
      </w:r>
      <w:r w:rsidR="00764040" w:rsidRPr="004F3707">
        <w:rPr>
          <w:szCs w:val="22"/>
        </w:rPr>
        <w:t>three</w:t>
      </w:r>
      <w:r w:rsidRPr="004F3707">
        <w:rPr>
          <w:szCs w:val="22"/>
        </w:rPr>
        <w:t xml:space="preserve"> request</w:t>
      </w:r>
      <w:r w:rsidR="00B00213" w:rsidRPr="004F3707">
        <w:rPr>
          <w:szCs w:val="22"/>
        </w:rPr>
        <w:t>s</w:t>
      </w:r>
      <w:r w:rsidRPr="004F3707">
        <w:rPr>
          <w:szCs w:val="22"/>
        </w:rPr>
        <w:t xml:space="preserve"> for waiver of Section </w:t>
      </w:r>
      <w:r w:rsidR="00B00213" w:rsidRPr="004F3707">
        <w:rPr>
          <w:szCs w:val="22"/>
        </w:rPr>
        <w:t>90.209(b)(7)</w:t>
      </w:r>
      <w:r w:rsidRPr="004F3707">
        <w:rPr>
          <w:szCs w:val="22"/>
        </w:rPr>
        <w:t xml:space="preserve"> of the Commission’s rules</w:t>
      </w:r>
      <w:r w:rsidRPr="004F3707">
        <w:rPr>
          <w:szCs w:val="22"/>
          <w:vertAlign w:val="superscript"/>
        </w:rPr>
        <w:footnoteReference w:id="1"/>
      </w:r>
      <w:r w:rsidRPr="004F3707">
        <w:rPr>
          <w:szCs w:val="22"/>
        </w:rPr>
        <w:t xml:space="preserve"> to permit </w:t>
      </w:r>
      <w:r w:rsidR="00B00213" w:rsidRPr="004F3707">
        <w:rPr>
          <w:szCs w:val="22"/>
        </w:rPr>
        <w:t xml:space="preserve">800 MHz wideband operations in portions of the </w:t>
      </w:r>
      <w:r w:rsidR="00764040" w:rsidRPr="004F3707">
        <w:rPr>
          <w:szCs w:val="22"/>
        </w:rPr>
        <w:t xml:space="preserve">New Mexico </w:t>
      </w:r>
      <w:r w:rsidR="00B00213" w:rsidRPr="004F3707">
        <w:rPr>
          <w:szCs w:val="22"/>
        </w:rPr>
        <w:t xml:space="preserve">(Region </w:t>
      </w:r>
      <w:r w:rsidR="00764040" w:rsidRPr="004F3707">
        <w:rPr>
          <w:szCs w:val="22"/>
        </w:rPr>
        <w:t>29</w:t>
      </w:r>
      <w:r w:rsidR="00B00213" w:rsidRPr="004F3707">
        <w:rPr>
          <w:szCs w:val="22"/>
        </w:rPr>
        <w:t>)</w:t>
      </w:r>
      <w:r w:rsidR="00764040" w:rsidRPr="004F3707">
        <w:rPr>
          <w:szCs w:val="22"/>
        </w:rPr>
        <w:t>,</w:t>
      </w:r>
      <w:r w:rsidRPr="004F3707">
        <w:rPr>
          <w:szCs w:val="22"/>
          <w:vertAlign w:val="superscript"/>
        </w:rPr>
        <w:footnoteReference w:id="2"/>
      </w:r>
      <w:r w:rsidR="00B00213" w:rsidRPr="004F3707">
        <w:rPr>
          <w:szCs w:val="22"/>
        </w:rPr>
        <w:t xml:space="preserve"> </w:t>
      </w:r>
      <w:r w:rsidR="009F6D36" w:rsidRPr="004F3707">
        <w:rPr>
          <w:szCs w:val="22"/>
        </w:rPr>
        <w:t>Texas-</w:t>
      </w:r>
      <w:r w:rsidR="00764040" w:rsidRPr="004F3707">
        <w:rPr>
          <w:szCs w:val="22"/>
        </w:rPr>
        <w:t>El Paso (Region 50),</w:t>
      </w:r>
      <w:r w:rsidR="00764040" w:rsidRPr="004F3707">
        <w:rPr>
          <w:rStyle w:val="FootnoteReference"/>
          <w:szCs w:val="22"/>
        </w:rPr>
        <w:footnoteReference w:id="3"/>
      </w:r>
      <w:r w:rsidR="00764040" w:rsidRPr="004F3707">
        <w:rPr>
          <w:szCs w:val="22"/>
        </w:rPr>
        <w:t xml:space="preserve"> </w:t>
      </w:r>
      <w:r w:rsidR="00B00213" w:rsidRPr="004F3707">
        <w:rPr>
          <w:szCs w:val="22"/>
        </w:rPr>
        <w:t xml:space="preserve">and </w:t>
      </w:r>
      <w:r w:rsidR="009F6D36" w:rsidRPr="004F3707">
        <w:rPr>
          <w:szCs w:val="22"/>
        </w:rPr>
        <w:t>Texas-San Antonio (Region 53)</w:t>
      </w:r>
      <w:r w:rsidR="00764040" w:rsidRPr="004F3707">
        <w:rPr>
          <w:rStyle w:val="FootnoteReference"/>
          <w:szCs w:val="22"/>
        </w:rPr>
        <w:footnoteReference w:id="4"/>
      </w:r>
      <w:r w:rsidR="00B00213" w:rsidRPr="004F3707">
        <w:rPr>
          <w:szCs w:val="22"/>
        </w:rPr>
        <w:t xml:space="preserve"> National Public Safety </w:t>
      </w:r>
      <w:r w:rsidR="00611E9F" w:rsidRPr="004F3707">
        <w:rPr>
          <w:szCs w:val="22"/>
        </w:rPr>
        <w:t xml:space="preserve">Planning </w:t>
      </w:r>
      <w:r w:rsidR="00B00213" w:rsidRPr="004F3707">
        <w:rPr>
          <w:szCs w:val="22"/>
        </w:rPr>
        <w:t>Advisory Committee (NPSPAC) regions prior to completion of the 800 MHz Band reconfiguration in those regions</w:t>
      </w:r>
      <w:r w:rsidR="00D67406" w:rsidRPr="004F3707">
        <w:rPr>
          <w:szCs w:val="22"/>
        </w:rPr>
        <w:t xml:space="preserve"> (collectively “Sprint Waiver Requests”)</w:t>
      </w:r>
      <w:r w:rsidR="00B00213" w:rsidRPr="004F3707">
        <w:rPr>
          <w:szCs w:val="22"/>
        </w:rPr>
        <w:t>.</w:t>
      </w:r>
      <w:r w:rsidRPr="004F3707">
        <w:rPr>
          <w:szCs w:val="22"/>
        </w:rPr>
        <w:t xml:space="preserve"> </w:t>
      </w:r>
      <w:r w:rsidR="00D67406" w:rsidRPr="004F3707">
        <w:rPr>
          <w:szCs w:val="22"/>
        </w:rPr>
        <w:t xml:space="preserve"> </w:t>
      </w:r>
      <w:r w:rsidR="00611E9F" w:rsidRPr="004F3707">
        <w:rPr>
          <w:szCs w:val="22"/>
        </w:rPr>
        <w:t xml:space="preserve">Section </w:t>
      </w:r>
      <w:r w:rsidR="0039447B" w:rsidRPr="004F3707">
        <w:rPr>
          <w:szCs w:val="22"/>
        </w:rPr>
        <w:t>90.209(b)(7)</w:t>
      </w:r>
      <w:r w:rsidR="00611E9F" w:rsidRPr="004F3707">
        <w:rPr>
          <w:szCs w:val="22"/>
        </w:rPr>
        <w:t xml:space="preserve"> permits E</w:t>
      </w:r>
      <w:r w:rsidR="007D3DAF" w:rsidRPr="004F3707">
        <w:rPr>
          <w:szCs w:val="22"/>
        </w:rPr>
        <w:t xml:space="preserve">conomic </w:t>
      </w:r>
      <w:r w:rsidR="00611E9F" w:rsidRPr="004F3707">
        <w:rPr>
          <w:szCs w:val="22"/>
        </w:rPr>
        <w:t>A</w:t>
      </w:r>
      <w:r w:rsidR="007D3DAF" w:rsidRPr="004F3707">
        <w:rPr>
          <w:szCs w:val="22"/>
        </w:rPr>
        <w:t>rea</w:t>
      </w:r>
      <w:r w:rsidR="00611E9F" w:rsidRPr="004F3707">
        <w:rPr>
          <w:szCs w:val="22"/>
        </w:rPr>
        <w:t xml:space="preserve">-based 800 MHz Specialized Mobile Radio licensees to exceed the channel spacing and bandwidth limitation in Section 90.209 in the </w:t>
      </w:r>
      <w:r w:rsidR="009B2C7C" w:rsidRPr="004F3707">
        <w:rPr>
          <w:szCs w:val="22"/>
        </w:rPr>
        <w:t>817–824/862–869 MHz (813.5–824/858.5–869 MHz in the counties listed in § 90.614(c)</w:t>
      </w:r>
      <w:r w:rsidR="00B9758A" w:rsidRPr="004F3707">
        <w:rPr>
          <w:szCs w:val="22"/>
        </w:rPr>
        <w:t>)</w:t>
      </w:r>
      <w:r w:rsidR="009B2C7C" w:rsidRPr="004F3707">
        <w:rPr>
          <w:szCs w:val="22"/>
        </w:rPr>
        <w:t xml:space="preserve"> </w:t>
      </w:r>
      <w:r w:rsidR="00611E9F" w:rsidRPr="004F3707">
        <w:rPr>
          <w:szCs w:val="22"/>
        </w:rPr>
        <w:t>band segment</w:t>
      </w:r>
      <w:r w:rsidR="001A1266" w:rsidRPr="004F3707">
        <w:rPr>
          <w:szCs w:val="22"/>
        </w:rPr>
        <w:t>s</w:t>
      </w:r>
      <w:r w:rsidR="00611E9F" w:rsidRPr="004F3707">
        <w:rPr>
          <w:szCs w:val="22"/>
        </w:rPr>
        <w:t xml:space="preserve"> in NPSPAC regions where all 800 MHz public safety licensees in the region have completed band reconfiguration.</w:t>
      </w:r>
      <w:r w:rsidR="00611E9F" w:rsidRPr="004F3707">
        <w:rPr>
          <w:rStyle w:val="FootnoteReference"/>
          <w:szCs w:val="22"/>
        </w:rPr>
        <w:footnoteReference w:id="5"/>
      </w:r>
      <w:r w:rsidR="00611E9F" w:rsidRPr="004F3707">
        <w:rPr>
          <w:szCs w:val="22"/>
        </w:rPr>
        <w:t xml:space="preserve">  In t</w:t>
      </w:r>
      <w:r w:rsidR="00EC65CA" w:rsidRPr="004F3707">
        <w:rPr>
          <w:szCs w:val="22"/>
        </w:rPr>
        <w:t xml:space="preserve">he </w:t>
      </w:r>
      <w:r w:rsidR="00C37737" w:rsidRPr="004F3707">
        <w:rPr>
          <w:szCs w:val="22"/>
        </w:rPr>
        <w:t xml:space="preserve">New Mexico </w:t>
      </w:r>
      <w:r w:rsidR="00EC65CA" w:rsidRPr="004F3707">
        <w:rPr>
          <w:szCs w:val="22"/>
        </w:rPr>
        <w:t>Waiver Request</w:t>
      </w:r>
      <w:r w:rsidR="00611E9F" w:rsidRPr="004F3707">
        <w:rPr>
          <w:szCs w:val="22"/>
        </w:rPr>
        <w:t xml:space="preserve">, </w:t>
      </w:r>
      <w:r w:rsidR="00EC65CA" w:rsidRPr="004F3707">
        <w:rPr>
          <w:szCs w:val="22"/>
        </w:rPr>
        <w:t xml:space="preserve">Sprint </w:t>
      </w:r>
      <w:r w:rsidR="00611E9F" w:rsidRPr="004F3707">
        <w:rPr>
          <w:szCs w:val="22"/>
        </w:rPr>
        <w:t xml:space="preserve">asks </w:t>
      </w:r>
      <w:r w:rsidR="00EC65CA" w:rsidRPr="004F3707">
        <w:rPr>
          <w:szCs w:val="22"/>
        </w:rPr>
        <w:t xml:space="preserve">to use the 866-869 MHz portion of the band for wideband operations in </w:t>
      </w:r>
      <w:r w:rsidR="00C37737" w:rsidRPr="004F3707">
        <w:rPr>
          <w:szCs w:val="22"/>
        </w:rPr>
        <w:t>28</w:t>
      </w:r>
      <w:r w:rsidR="00EC65CA" w:rsidRPr="004F3707">
        <w:rPr>
          <w:szCs w:val="22"/>
        </w:rPr>
        <w:t xml:space="preserve"> out of the </w:t>
      </w:r>
      <w:r w:rsidR="00C37737" w:rsidRPr="004F3707">
        <w:rPr>
          <w:szCs w:val="22"/>
        </w:rPr>
        <w:t>33</w:t>
      </w:r>
      <w:r w:rsidR="00EC65CA" w:rsidRPr="004F3707">
        <w:rPr>
          <w:szCs w:val="22"/>
        </w:rPr>
        <w:t xml:space="preserve"> counties comprising NPSPAC Region </w:t>
      </w:r>
      <w:r w:rsidR="00C37737" w:rsidRPr="004F3707">
        <w:rPr>
          <w:szCs w:val="22"/>
        </w:rPr>
        <w:t>29</w:t>
      </w:r>
      <w:r w:rsidR="00EC65CA" w:rsidRPr="004F3707">
        <w:rPr>
          <w:szCs w:val="22"/>
        </w:rPr>
        <w:t xml:space="preserve"> where the public safety licensees have successfully completed their retunes.</w:t>
      </w:r>
      <w:r w:rsidR="002756DC">
        <w:rPr>
          <w:rStyle w:val="FootnoteReference"/>
          <w:szCs w:val="22"/>
        </w:rPr>
        <w:footnoteReference w:id="6"/>
      </w:r>
      <w:r w:rsidR="00EC65CA" w:rsidRPr="004F3707">
        <w:rPr>
          <w:szCs w:val="22"/>
        </w:rPr>
        <w:t xml:space="preserve">  Likewise, </w:t>
      </w:r>
      <w:r w:rsidR="00611E9F" w:rsidRPr="004F3707">
        <w:rPr>
          <w:szCs w:val="22"/>
        </w:rPr>
        <w:t xml:space="preserve">in </w:t>
      </w:r>
      <w:r w:rsidR="00EC65CA" w:rsidRPr="004F3707">
        <w:rPr>
          <w:szCs w:val="22"/>
        </w:rPr>
        <w:t xml:space="preserve">the </w:t>
      </w:r>
      <w:r w:rsidR="004B574B" w:rsidRPr="004F3707">
        <w:rPr>
          <w:szCs w:val="22"/>
        </w:rPr>
        <w:t>El Paso</w:t>
      </w:r>
      <w:r w:rsidR="00EC65CA" w:rsidRPr="004F3707">
        <w:rPr>
          <w:szCs w:val="22"/>
        </w:rPr>
        <w:t xml:space="preserve"> Waiver Request</w:t>
      </w:r>
      <w:r w:rsidR="00611E9F" w:rsidRPr="004F3707">
        <w:rPr>
          <w:szCs w:val="22"/>
        </w:rPr>
        <w:t>,</w:t>
      </w:r>
      <w:r w:rsidR="00EC65CA" w:rsidRPr="004F3707">
        <w:rPr>
          <w:szCs w:val="22"/>
        </w:rPr>
        <w:t xml:space="preserve"> Sprint </w:t>
      </w:r>
      <w:r w:rsidR="00611E9F" w:rsidRPr="004F3707">
        <w:rPr>
          <w:szCs w:val="22"/>
        </w:rPr>
        <w:t xml:space="preserve">seeks </w:t>
      </w:r>
      <w:r w:rsidR="00EC65CA" w:rsidRPr="004F3707">
        <w:rPr>
          <w:szCs w:val="22"/>
        </w:rPr>
        <w:t xml:space="preserve">to use the 866-869 MHz portion of the band for wideband operations in </w:t>
      </w:r>
      <w:r w:rsidR="004B574B" w:rsidRPr="004F3707">
        <w:rPr>
          <w:szCs w:val="22"/>
        </w:rPr>
        <w:t>46</w:t>
      </w:r>
      <w:r w:rsidR="00EC65CA" w:rsidRPr="004F3707">
        <w:rPr>
          <w:szCs w:val="22"/>
        </w:rPr>
        <w:t xml:space="preserve"> out of the </w:t>
      </w:r>
      <w:r w:rsidR="004B574B" w:rsidRPr="004F3707">
        <w:rPr>
          <w:szCs w:val="22"/>
        </w:rPr>
        <w:t>49</w:t>
      </w:r>
      <w:r w:rsidR="00EC65CA" w:rsidRPr="004F3707">
        <w:rPr>
          <w:szCs w:val="22"/>
        </w:rPr>
        <w:t xml:space="preserve"> counties comprising NPSPAC Region </w:t>
      </w:r>
      <w:r w:rsidR="004B574B" w:rsidRPr="004F3707">
        <w:rPr>
          <w:szCs w:val="22"/>
        </w:rPr>
        <w:t>50</w:t>
      </w:r>
      <w:r w:rsidR="00EC65CA" w:rsidRPr="004F3707">
        <w:rPr>
          <w:szCs w:val="22"/>
        </w:rPr>
        <w:t xml:space="preserve"> where the </w:t>
      </w:r>
      <w:r w:rsidR="00EC65CA" w:rsidRPr="004F3707">
        <w:rPr>
          <w:szCs w:val="22"/>
        </w:rPr>
        <w:lastRenderedPageBreak/>
        <w:t>public safety licensees have successfully completed their retunes.</w:t>
      </w:r>
      <w:r w:rsidR="002756DC">
        <w:rPr>
          <w:rStyle w:val="FootnoteReference"/>
          <w:szCs w:val="22"/>
        </w:rPr>
        <w:footnoteReference w:id="7"/>
      </w:r>
      <w:r w:rsidR="00EC65CA" w:rsidRPr="004F3707">
        <w:rPr>
          <w:szCs w:val="22"/>
        </w:rPr>
        <w:t xml:space="preserve">  </w:t>
      </w:r>
      <w:r w:rsidR="00015DA9" w:rsidRPr="004F3707">
        <w:rPr>
          <w:szCs w:val="22"/>
        </w:rPr>
        <w:t xml:space="preserve">Finally, in the San Antonio Waiver Request, Sprint also seeks to use the 866-869 MHz portion of the band for wideband operations in </w:t>
      </w:r>
      <w:r w:rsidR="00535395" w:rsidRPr="004F3707">
        <w:rPr>
          <w:szCs w:val="22"/>
        </w:rPr>
        <w:t>30</w:t>
      </w:r>
      <w:r w:rsidR="00015DA9" w:rsidRPr="004F3707">
        <w:rPr>
          <w:szCs w:val="22"/>
        </w:rPr>
        <w:t xml:space="preserve"> out of the 4</w:t>
      </w:r>
      <w:r w:rsidR="00535395" w:rsidRPr="004F3707">
        <w:rPr>
          <w:szCs w:val="22"/>
        </w:rPr>
        <w:t>7</w:t>
      </w:r>
      <w:r w:rsidR="00015DA9" w:rsidRPr="004F3707">
        <w:rPr>
          <w:szCs w:val="22"/>
        </w:rPr>
        <w:t xml:space="preserve"> counties comprising NPSPAC Region 5</w:t>
      </w:r>
      <w:r w:rsidR="00535395" w:rsidRPr="004F3707">
        <w:rPr>
          <w:szCs w:val="22"/>
        </w:rPr>
        <w:t>3</w:t>
      </w:r>
      <w:r w:rsidR="00015DA9" w:rsidRPr="004F3707">
        <w:rPr>
          <w:szCs w:val="22"/>
        </w:rPr>
        <w:t xml:space="preserve"> where the public safety licensees have successfully completed their retunes</w:t>
      </w:r>
      <w:r w:rsidR="00C26320">
        <w:rPr>
          <w:szCs w:val="22"/>
        </w:rPr>
        <w:t>.</w:t>
      </w:r>
      <w:r w:rsidR="00162A66">
        <w:rPr>
          <w:rStyle w:val="FootnoteReference"/>
          <w:szCs w:val="22"/>
        </w:rPr>
        <w:footnoteReference w:id="8"/>
      </w:r>
      <w:r w:rsidR="00535395" w:rsidRPr="004F3707">
        <w:rPr>
          <w:szCs w:val="22"/>
        </w:rPr>
        <w:t xml:space="preserve">  </w:t>
      </w:r>
      <w:r w:rsidRPr="004F3707">
        <w:rPr>
          <w:szCs w:val="22"/>
        </w:rPr>
        <w:t xml:space="preserve">By this Public Notice, we seek comment on the </w:t>
      </w:r>
      <w:r w:rsidR="00D67406" w:rsidRPr="004F3707">
        <w:rPr>
          <w:szCs w:val="22"/>
        </w:rPr>
        <w:t>Sprint</w:t>
      </w:r>
      <w:r w:rsidRPr="004F3707">
        <w:rPr>
          <w:szCs w:val="22"/>
        </w:rPr>
        <w:t xml:space="preserve"> Waiver Request</w:t>
      </w:r>
      <w:r w:rsidR="00D67406" w:rsidRPr="004F3707">
        <w:rPr>
          <w:szCs w:val="22"/>
        </w:rPr>
        <w:t>s</w:t>
      </w:r>
      <w:r w:rsidR="0080225E" w:rsidRPr="004F3707">
        <w:rPr>
          <w:szCs w:val="22"/>
        </w:rPr>
        <w:t>.</w:t>
      </w:r>
      <w:r w:rsidRPr="004F3707">
        <w:rPr>
          <w:szCs w:val="22"/>
        </w:rPr>
        <w:t xml:space="preserve">   </w:t>
      </w:r>
    </w:p>
    <w:p w:rsidR="00611E9F" w:rsidRPr="004F3707" w:rsidRDefault="005C7D25" w:rsidP="005C7D25">
      <w:pPr>
        <w:rPr>
          <w:szCs w:val="22"/>
        </w:rPr>
      </w:pPr>
      <w:r w:rsidRPr="004F3707">
        <w:rPr>
          <w:szCs w:val="22"/>
        </w:rPr>
        <w:t xml:space="preserve"> </w:t>
      </w:r>
    </w:p>
    <w:p w:rsidR="005C7D25" w:rsidRPr="004F3707" w:rsidRDefault="005C7D25" w:rsidP="005C7D25">
      <w:pPr>
        <w:rPr>
          <w:b/>
          <w:szCs w:val="22"/>
        </w:rPr>
      </w:pPr>
      <w:r w:rsidRPr="004F3707">
        <w:rPr>
          <w:b/>
          <w:szCs w:val="22"/>
        </w:rPr>
        <w:t>Procedural Matters</w:t>
      </w:r>
    </w:p>
    <w:p w:rsidR="005C7D25" w:rsidRPr="004F3707" w:rsidRDefault="005C7D25" w:rsidP="005C7D25">
      <w:pPr>
        <w:ind w:firstLine="720"/>
        <w:rPr>
          <w:szCs w:val="22"/>
        </w:rPr>
      </w:pPr>
    </w:p>
    <w:p w:rsidR="00611E9F" w:rsidRPr="004F3707" w:rsidRDefault="00611E9F" w:rsidP="00611E9F">
      <w:pPr>
        <w:ind w:firstLine="720"/>
        <w:rPr>
          <w:szCs w:val="22"/>
        </w:rPr>
      </w:pPr>
      <w:r w:rsidRPr="004F3707">
        <w:rPr>
          <w:szCs w:val="22"/>
        </w:rPr>
        <w:t xml:space="preserve">This proceeding has been designated as a “permit-but-disclose” proceeding in accordance with the Commission's </w:t>
      </w:r>
      <w:r w:rsidRPr="004F3707">
        <w:rPr>
          <w:i/>
          <w:szCs w:val="22"/>
        </w:rPr>
        <w:t>ex parte</w:t>
      </w:r>
      <w:r w:rsidRPr="004F3707">
        <w:rPr>
          <w:szCs w:val="22"/>
        </w:rPr>
        <w:t xml:space="preserve"> rules.</w:t>
      </w:r>
      <w:r w:rsidRPr="004F3707">
        <w:rPr>
          <w:szCs w:val="22"/>
          <w:vertAlign w:val="superscript"/>
        </w:rPr>
        <w:footnoteReference w:id="9"/>
      </w:r>
      <w:r w:rsidRPr="004F3707">
        <w:rPr>
          <w:szCs w:val="22"/>
        </w:rPr>
        <w:t xml:space="preserve">  Persons making </w:t>
      </w:r>
      <w:r w:rsidRPr="004F3707">
        <w:rPr>
          <w:i/>
          <w:szCs w:val="22"/>
        </w:rPr>
        <w:t xml:space="preserve">ex parte </w:t>
      </w:r>
      <w:r w:rsidRPr="004F3707">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F3707">
        <w:rPr>
          <w:i/>
          <w:iCs/>
          <w:szCs w:val="22"/>
        </w:rPr>
        <w:t xml:space="preserve">ex parte </w:t>
      </w:r>
      <w:r w:rsidRPr="004F3707">
        <w:rPr>
          <w:szCs w:val="22"/>
        </w:rPr>
        <w:t xml:space="preserve">presentations are reminded that memoranda summarizing the presentation must (1) list all persons attending or otherwise participating in the meeting at which the </w:t>
      </w:r>
      <w:r w:rsidRPr="004F3707">
        <w:rPr>
          <w:i/>
          <w:iCs/>
          <w:szCs w:val="22"/>
        </w:rPr>
        <w:t xml:space="preserve">ex parte </w:t>
      </w:r>
      <w:r w:rsidRPr="004F3707">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F3707">
        <w:rPr>
          <w:i/>
          <w:iCs/>
          <w:szCs w:val="22"/>
        </w:rPr>
        <w:t xml:space="preserve">ex parte </w:t>
      </w:r>
      <w:r w:rsidRPr="004F3707">
        <w:rPr>
          <w:szCs w:val="22"/>
        </w:rPr>
        <w:t xml:space="preserve">meetings are deemed to be written </w:t>
      </w:r>
      <w:r w:rsidRPr="004F3707">
        <w:rPr>
          <w:i/>
          <w:iCs/>
          <w:szCs w:val="22"/>
        </w:rPr>
        <w:t>ex parte</w:t>
      </w:r>
      <w:r w:rsidRPr="004F3707">
        <w:rPr>
          <w:szCs w:val="22"/>
        </w:rPr>
        <w:t xml:space="preserve"> presentations and must be filed consistent with rule 1.1206(b).  In proceedings governed by rule 1.49(f) or for which the Commission has made available a method of electronic filing, written </w:t>
      </w:r>
      <w:r w:rsidRPr="004F3707">
        <w:rPr>
          <w:i/>
          <w:iCs/>
          <w:szCs w:val="22"/>
        </w:rPr>
        <w:t xml:space="preserve">ex parte </w:t>
      </w:r>
      <w:r w:rsidRPr="004F3707">
        <w:rPr>
          <w:szCs w:val="22"/>
        </w:rPr>
        <w:t xml:space="preserve">presentations and memoranda summarizing oral </w:t>
      </w:r>
      <w:r w:rsidRPr="004F3707">
        <w:rPr>
          <w:i/>
          <w:iCs/>
          <w:szCs w:val="22"/>
        </w:rPr>
        <w:t xml:space="preserve">ex parte </w:t>
      </w:r>
      <w:r w:rsidRPr="004F3707">
        <w:rPr>
          <w:szCs w:val="22"/>
        </w:rPr>
        <w:t>presentations, and all attachments thereto, must be filed through the electronic comment filing system available for that proceeding, and must be filed in their native format (</w:t>
      </w:r>
      <w:r w:rsidRPr="004F3707">
        <w:rPr>
          <w:i/>
          <w:iCs/>
          <w:szCs w:val="22"/>
        </w:rPr>
        <w:t>e.g.</w:t>
      </w:r>
      <w:r w:rsidRPr="004F3707">
        <w:rPr>
          <w:szCs w:val="22"/>
        </w:rPr>
        <w:t xml:space="preserve">, .doc, .xml, .ppt, searchable .pdf).  Participants in this proceeding should familiarize themselves with the Commission’s </w:t>
      </w:r>
      <w:r w:rsidRPr="004F3707">
        <w:rPr>
          <w:i/>
          <w:iCs/>
          <w:szCs w:val="22"/>
        </w:rPr>
        <w:t xml:space="preserve">ex parte </w:t>
      </w:r>
      <w:r w:rsidRPr="004F3707">
        <w:rPr>
          <w:szCs w:val="22"/>
        </w:rPr>
        <w:t>rules.</w:t>
      </w:r>
    </w:p>
    <w:p w:rsidR="00611E9F" w:rsidRPr="004F3707" w:rsidRDefault="00611E9F" w:rsidP="00611E9F">
      <w:pPr>
        <w:ind w:firstLine="720"/>
        <w:rPr>
          <w:szCs w:val="22"/>
        </w:rPr>
      </w:pPr>
    </w:p>
    <w:p w:rsidR="00611E9F" w:rsidRPr="004F3707" w:rsidRDefault="00611E9F" w:rsidP="00611E9F">
      <w:pPr>
        <w:ind w:firstLine="720"/>
        <w:rPr>
          <w:szCs w:val="22"/>
        </w:rPr>
      </w:pPr>
      <w:r w:rsidRPr="004F3707">
        <w:rPr>
          <w:szCs w:val="22"/>
        </w:rPr>
        <w:t xml:space="preserve">Comments may be filed using the Commission's Electronic Comment Filing System (ECFS) or by filing paper copies.  </w:t>
      </w:r>
      <w:r w:rsidRPr="004F3707">
        <w:rPr>
          <w:i/>
          <w:szCs w:val="22"/>
        </w:rPr>
        <w:t>See</w:t>
      </w:r>
      <w:r w:rsidRPr="004F3707">
        <w:rPr>
          <w:szCs w:val="22"/>
        </w:rPr>
        <w:t xml:space="preserve"> Electronic Filing of Documents in Rulemaking Proceedings, 63 Fed. Reg. 24121 (1998).  Comments filed through the ECFS can be sent as an electronic file via the Internet to http:// www.fcc.gov/cgb/ecfs/.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w:t>
      </w:r>
    </w:p>
    <w:p w:rsidR="00611E9F" w:rsidRPr="004F3707" w:rsidRDefault="00611E9F" w:rsidP="00611E9F">
      <w:pPr>
        <w:ind w:firstLine="720"/>
        <w:rPr>
          <w:szCs w:val="22"/>
        </w:rPr>
      </w:pPr>
    </w:p>
    <w:p w:rsidR="00611E9F" w:rsidRPr="004F3707" w:rsidRDefault="00611E9F" w:rsidP="00611E9F">
      <w:pPr>
        <w:ind w:firstLine="720"/>
        <w:rPr>
          <w:szCs w:val="22"/>
        </w:rPr>
      </w:pPr>
      <w:r w:rsidRPr="004F3707">
        <w:rPr>
          <w:szCs w:val="22"/>
        </w:rP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611E9F" w:rsidRPr="004F3707" w:rsidRDefault="00611E9F" w:rsidP="00611E9F">
      <w:pPr>
        <w:ind w:firstLine="720"/>
        <w:rPr>
          <w:szCs w:val="22"/>
        </w:rPr>
      </w:pPr>
    </w:p>
    <w:p w:rsidR="00611E9F" w:rsidRPr="004F3707" w:rsidRDefault="00611E9F" w:rsidP="00611E9F">
      <w:pPr>
        <w:ind w:firstLine="720"/>
        <w:rPr>
          <w:szCs w:val="22"/>
        </w:rPr>
      </w:pPr>
      <w:r w:rsidRPr="004F3707">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rsidR="00611E9F" w:rsidRPr="004F3707" w:rsidRDefault="00611E9F" w:rsidP="00611E9F">
      <w:pPr>
        <w:ind w:firstLine="720"/>
        <w:rPr>
          <w:szCs w:val="22"/>
        </w:rPr>
      </w:pPr>
    </w:p>
    <w:p w:rsidR="00611E9F" w:rsidRPr="004F3707" w:rsidRDefault="00611E9F" w:rsidP="00611E9F">
      <w:pPr>
        <w:ind w:firstLine="720"/>
        <w:rPr>
          <w:szCs w:val="22"/>
        </w:rPr>
      </w:pPr>
      <w:r w:rsidRPr="004F3707">
        <w:rPr>
          <w:szCs w:val="22"/>
        </w:rPr>
        <w:t>-Effective December 28, 2009, all hand-delivered paper filings for the Commission’s Secretary must be delivered to FCC Headquarters at 445 12</w:t>
      </w:r>
      <w:r w:rsidRPr="004F3707">
        <w:rPr>
          <w:szCs w:val="22"/>
          <w:vertAlign w:val="superscript"/>
        </w:rPr>
        <w:t>th</w:t>
      </w:r>
      <w:r w:rsidRPr="004F3707">
        <w:rPr>
          <w:szCs w:val="22"/>
        </w:rPr>
        <w:t xml:space="preserve"> St., S.W., Room TW-A325, Washington, DC 20554.  All hand deliveries must be held together with rubber bands or fasteners.  Envelopes must be disposed of before entering the building.  The filing hours at this location are 8:00 a.m. to 7:00 p.m.  </w:t>
      </w:r>
      <w:r w:rsidRPr="004F3707">
        <w:rPr>
          <w:b/>
          <w:szCs w:val="22"/>
        </w:rPr>
        <w:t>PLEASE NOTE:</w:t>
      </w:r>
      <w:r w:rsidRPr="004F3707">
        <w:rPr>
          <w:szCs w:val="22"/>
        </w:rPr>
        <w:t xml:space="preserve">  The Commission’s former filing location at 236 Massachusetts Ave., N.E. is permanently closed.</w:t>
      </w:r>
    </w:p>
    <w:p w:rsidR="00611E9F" w:rsidRPr="004F3707" w:rsidRDefault="00611E9F" w:rsidP="00611E9F">
      <w:pPr>
        <w:ind w:firstLine="720"/>
        <w:rPr>
          <w:szCs w:val="22"/>
        </w:rPr>
      </w:pPr>
    </w:p>
    <w:p w:rsidR="00611E9F" w:rsidRPr="004F3707" w:rsidRDefault="00611E9F" w:rsidP="00611E9F">
      <w:pPr>
        <w:ind w:firstLine="720"/>
        <w:rPr>
          <w:szCs w:val="22"/>
        </w:rPr>
      </w:pPr>
      <w:r w:rsidRPr="004F3707">
        <w:rPr>
          <w:szCs w:val="22"/>
        </w:rPr>
        <w:t>-Commercial overnight mail (other than U.S. Postal Service Express Mail and Priority Mail) must be sent to 9300 East Hampton Drive, Capitol Heights, MD 20743.</w:t>
      </w:r>
    </w:p>
    <w:p w:rsidR="00611E9F" w:rsidRPr="004F3707" w:rsidRDefault="00611E9F" w:rsidP="00611E9F">
      <w:pPr>
        <w:ind w:firstLine="720"/>
        <w:rPr>
          <w:szCs w:val="22"/>
        </w:rPr>
      </w:pPr>
    </w:p>
    <w:p w:rsidR="00611E9F" w:rsidRPr="004F3707" w:rsidRDefault="00611E9F" w:rsidP="00611E9F">
      <w:pPr>
        <w:ind w:firstLine="720"/>
        <w:rPr>
          <w:szCs w:val="22"/>
        </w:rPr>
      </w:pPr>
      <w:r w:rsidRPr="004F3707">
        <w:rPr>
          <w:szCs w:val="22"/>
        </w:rPr>
        <w:t>-U.S. Postal Service first-class mail, Express Mail, and Priority Mail should be addressed to 445 12th Street, S.W., Washington, DC 20554.</w:t>
      </w:r>
    </w:p>
    <w:p w:rsidR="00611E9F" w:rsidRPr="004F3707" w:rsidRDefault="00611E9F" w:rsidP="00611E9F">
      <w:pPr>
        <w:ind w:firstLine="720"/>
        <w:rPr>
          <w:szCs w:val="22"/>
        </w:rPr>
      </w:pPr>
    </w:p>
    <w:p w:rsidR="00611E9F" w:rsidRPr="004F3707" w:rsidRDefault="00611E9F" w:rsidP="00611E9F">
      <w:pPr>
        <w:ind w:firstLine="720"/>
        <w:rPr>
          <w:szCs w:val="22"/>
        </w:rPr>
      </w:pPr>
      <w:r w:rsidRPr="004F3707">
        <w:rPr>
          <w:szCs w:val="22"/>
        </w:rPr>
        <w:t>Parties are requested to send one copy of their comments and reply comments to Best Copy and Printing, Inc., Portals II, 445 12th Street, S.W., Room CY-B402, Washington, DC 20554, (800) 378-3160, e-mail FCC@BCPIWEB.com.</w:t>
      </w:r>
    </w:p>
    <w:p w:rsidR="00611E9F" w:rsidRPr="004F3707" w:rsidRDefault="00611E9F" w:rsidP="00611E9F">
      <w:pPr>
        <w:ind w:firstLine="720"/>
        <w:rPr>
          <w:szCs w:val="22"/>
        </w:rPr>
      </w:pPr>
    </w:p>
    <w:p w:rsidR="00611E9F" w:rsidRPr="004F3707" w:rsidRDefault="00611E9F" w:rsidP="00611E9F">
      <w:pPr>
        <w:ind w:firstLine="720"/>
        <w:rPr>
          <w:szCs w:val="22"/>
        </w:rPr>
      </w:pPr>
      <w:r w:rsidRPr="004F3707">
        <w:rPr>
          <w:szCs w:val="22"/>
        </w:rPr>
        <w:t xml:space="preserve">The request, and comments and reply comments filed in response to this </w:t>
      </w:r>
      <w:r w:rsidRPr="004F3707">
        <w:rPr>
          <w:i/>
          <w:szCs w:val="22"/>
        </w:rPr>
        <w:t>Public Notice</w:t>
      </w:r>
      <w:r w:rsidRPr="004F3707">
        <w:rPr>
          <w:szCs w:val="22"/>
        </w:rPr>
        <w:t xml:space="preserve"> are available for viewing via the Commission's Electronic Comment Filing System (ECFS) by entering the docket number, </w:t>
      </w:r>
      <w:r w:rsidRPr="004F3707">
        <w:rPr>
          <w:b/>
          <w:szCs w:val="22"/>
        </w:rPr>
        <w:t xml:space="preserve">WT </w:t>
      </w:r>
      <w:r w:rsidR="00746FBE" w:rsidRPr="00746FBE">
        <w:rPr>
          <w:b/>
          <w:szCs w:val="22"/>
        </w:rPr>
        <w:t>14-133</w:t>
      </w:r>
      <w:r w:rsidRPr="004F3707">
        <w:rPr>
          <w:szCs w:val="22"/>
        </w:rPr>
        <w:t>.  The documents also will be available for public inspection and copying during business hours in the FCC Reference Information Center, Portals II, 445 12th Street S.W., Room CY-A257, Washington, DC 20554.  They may also be purchased from Best Copy and Printing, Inc., telephone (800) 378-3160, facsimile (202) 488-5563, TTY (202) 488-5562, e-mail FCC@BCPIWEB.com.</w:t>
      </w:r>
    </w:p>
    <w:p w:rsidR="00611E9F" w:rsidRPr="004F3707" w:rsidRDefault="00611E9F" w:rsidP="00611E9F">
      <w:pPr>
        <w:ind w:firstLine="720"/>
        <w:rPr>
          <w:szCs w:val="22"/>
        </w:rPr>
      </w:pPr>
    </w:p>
    <w:p w:rsidR="00611E9F" w:rsidRPr="004F3707" w:rsidRDefault="00611E9F" w:rsidP="00611E9F">
      <w:pPr>
        <w:ind w:firstLine="720"/>
        <w:rPr>
          <w:szCs w:val="22"/>
        </w:rPr>
      </w:pPr>
      <w:r w:rsidRPr="004F3707">
        <w:rPr>
          <w:szCs w:val="22"/>
        </w:rPr>
        <w:t xml:space="preserve">Alternate formats of this </w:t>
      </w:r>
      <w:r w:rsidRPr="004F3707">
        <w:rPr>
          <w:i/>
          <w:szCs w:val="22"/>
        </w:rPr>
        <w:t>Public Notice</w:t>
      </w:r>
      <w:r w:rsidRPr="004F3707">
        <w:rPr>
          <w:szCs w:val="22"/>
        </w:rPr>
        <w:t xml:space="preserve"> (computer diskette, large print, audio recording, and Braille) are available to persons with disabilities by contacting the Consumer &amp; Governmental Affairs Bureau at (202) 418-0530 (voice), (202) 418-0432 (TTY), or send an e-mail to fcc504@fcc.gov.</w:t>
      </w:r>
    </w:p>
    <w:p w:rsidR="005C7D25" w:rsidRPr="004F3707" w:rsidRDefault="005C7D25" w:rsidP="005C7D25">
      <w:pPr>
        <w:ind w:firstLine="720"/>
        <w:rPr>
          <w:szCs w:val="22"/>
        </w:rPr>
      </w:pPr>
    </w:p>
    <w:p w:rsidR="005C7D25" w:rsidRPr="004F3707" w:rsidRDefault="005C7D25" w:rsidP="005C7D25">
      <w:pPr>
        <w:ind w:firstLine="720"/>
        <w:rPr>
          <w:rFonts w:eastAsia="MS Mincho"/>
          <w:szCs w:val="22"/>
        </w:rPr>
      </w:pPr>
      <w:r w:rsidRPr="004F3707">
        <w:rPr>
          <w:rFonts w:eastAsia="MS Mincho"/>
          <w:szCs w:val="22"/>
        </w:rPr>
        <w:t xml:space="preserve">For further information, contact </w:t>
      </w:r>
      <w:r w:rsidR="0039447B" w:rsidRPr="004F3707">
        <w:rPr>
          <w:rFonts w:eastAsia="MS Mincho"/>
          <w:szCs w:val="22"/>
        </w:rPr>
        <w:t>Amanda Huetinck</w:t>
      </w:r>
      <w:r w:rsidRPr="004F3707">
        <w:rPr>
          <w:szCs w:val="22"/>
        </w:rPr>
        <w:t xml:space="preserve"> </w:t>
      </w:r>
      <w:r w:rsidRPr="004F3707">
        <w:rPr>
          <w:rFonts w:eastAsia="MS Mincho"/>
          <w:szCs w:val="22"/>
        </w:rPr>
        <w:t>of the Mobility Division, Wireless Telecommunications Bureau, at (202) 418-</w:t>
      </w:r>
      <w:r w:rsidR="0039447B" w:rsidRPr="004F3707">
        <w:rPr>
          <w:rFonts w:eastAsia="MS Mincho"/>
          <w:szCs w:val="22"/>
        </w:rPr>
        <w:t>7090</w:t>
      </w:r>
      <w:r w:rsidRPr="004F3707">
        <w:rPr>
          <w:rFonts w:eastAsia="MS Mincho"/>
          <w:szCs w:val="22"/>
        </w:rPr>
        <w:t xml:space="preserve"> or via e-mail at </w:t>
      </w:r>
      <w:hyperlink r:id="rId8" w:history="1">
        <w:r w:rsidR="00764040" w:rsidRPr="004F3707">
          <w:rPr>
            <w:rStyle w:val="Hyperlink"/>
            <w:rFonts w:eastAsia="MS Mincho"/>
            <w:szCs w:val="22"/>
          </w:rPr>
          <w:t>amanda.huetinck@fcc.gov</w:t>
        </w:r>
      </w:hyperlink>
      <w:r w:rsidRPr="004F3707">
        <w:rPr>
          <w:rFonts w:eastAsia="MS Mincho"/>
          <w:szCs w:val="22"/>
        </w:rPr>
        <w:t xml:space="preserve">. </w:t>
      </w:r>
    </w:p>
    <w:p w:rsidR="005C7D25" w:rsidRPr="004F3707" w:rsidRDefault="005C7D25" w:rsidP="005C7D25">
      <w:pPr>
        <w:autoSpaceDE w:val="0"/>
        <w:autoSpaceDN w:val="0"/>
        <w:adjustRightInd w:val="0"/>
        <w:rPr>
          <w:color w:val="000000"/>
          <w:szCs w:val="22"/>
        </w:rPr>
      </w:pPr>
    </w:p>
    <w:p w:rsidR="005C7D25" w:rsidRPr="004F3707" w:rsidRDefault="005C7D25" w:rsidP="005C7D25">
      <w:pPr>
        <w:ind w:firstLine="720"/>
        <w:rPr>
          <w:szCs w:val="22"/>
        </w:rPr>
      </w:pPr>
      <w:r w:rsidRPr="004F3707">
        <w:rPr>
          <w:szCs w:val="22"/>
        </w:rPr>
        <w:t>Action by the Chief, Mobility Division, Wireless Telecommunications Bureau.</w:t>
      </w:r>
    </w:p>
    <w:p w:rsidR="005C7D25" w:rsidRPr="004F3707" w:rsidRDefault="005C7D25" w:rsidP="005C7D25">
      <w:pPr>
        <w:rPr>
          <w:szCs w:val="22"/>
        </w:rPr>
      </w:pPr>
    </w:p>
    <w:p w:rsidR="005C7D25" w:rsidRPr="004F3707" w:rsidRDefault="005C7D25" w:rsidP="005C7D25">
      <w:pPr>
        <w:jc w:val="center"/>
        <w:rPr>
          <w:b/>
          <w:bCs/>
          <w:kern w:val="2"/>
          <w:szCs w:val="22"/>
        </w:rPr>
      </w:pPr>
      <w:r w:rsidRPr="004F3707">
        <w:rPr>
          <w:szCs w:val="22"/>
        </w:rPr>
        <w:t>- FCC -</w:t>
      </w:r>
    </w:p>
    <w:p w:rsidR="00C41AE0" w:rsidRPr="004F3707" w:rsidRDefault="00C41AE0">
      <w:pPr>
        <w:spacing w:after="240"/>
        <w:jc w:val="center"/>
        <w:rPr>
          <w:b/>
          <w:szCs w:val="22"/>
        </w:rPr>
      </w:pPr>
    </w:p>
    <w:p w:rsidR="00C41AE0" w:rsidRPr="004F3707" w:rsidRDefault="00C41AE0">
      <w:pPr>
        <w:spacing w:after="240"/>
        <w:jc w:val="center"/>
        <w:rPr>
          <w:b/>
          <w:szCs w:val="22"/>
        </w:rPr>
      </w:pPr>
    </w:p>
    <w:p w:rsidR="00C41AE0" w:rsidRPr="004F3707" w:rsidRDefault="00C41AE0">
      <w:pPr>
        <w:jc w:val="center"/>
        <w:rPr>
          <w:b/>
          <w:szCs w:val="22"/>
        </w:rPr>
      </w:pPr>
    </w:p>
    <w:p w:rsidR="00C41AE0" w:rsidRPr="004F3707" w:rsidRDefault="00C41AE0">
      <w:pPr>
        <w:jc w:val="center"/>
        <w:rPr>
          <w:szCs w:val="22"/>
        </w:rPr>
      </w:pPr>
    </w:p>
    <w:p w:rsidR="005C7D25" w:rsidRPr="004F3707" w:rsidRDefault="005C7D25">
      <w:pPr>
        <w:spacing w:before="120" w:after="240"/>
        <w:rPr>
          <w:szCs w:val="22"/>
        </w:rPr>
      </w:pPr>
    </w:p>
    <w:sectPr w:rsidR="005C7D25" w:rsidRPr="004F370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4FF" w:rsidRDefault="007524FF">
      <w:r>
        <w:separator/>
      </w:r>
    </w:p>
  </w:endnote>
  <w:endnote w:type="continuationSeparator" w:id="0">
    <w:p w:rsidR="007524FF" w:rsidRDefault="0075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28" w:rsidRDefault="00642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015DA9" w:rsidRDefault="00015DA9">
        <w:pPr>
          <w:pStyle w:val="Footer"/>
          <w:jc w:val="center"/>
        </w:pPr>
        <w:r>
          <w:fldChar w:fldCharType="begin"/>
        </w:r>
        <w:r>
          <w:instrText xml:space="preserve"> PAGE   \* MERGEFORMAT </w:instrText>
        </w:r>
        <w:r>
          <w:fldChar w:fldCharType="separate"/>
        </w:r>
        <w:r w:rsidR="00B2204B">
          <w:rPr>
            <w:noProof/>
          </w:rPr>
          <w:t>3</w:t>
        </w:r>
        <w:r>
          <w:rPr>
            <w:noProof/>
          </w:rPr>
          <w:fldChar w:fldCharType="end"/>
        </w:r>
      </w:p>
    </w:sdtContent>
  </w:sdt>
  <w:p w:rsidR="00015DA9" w:rsidRDefault="00015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28" w:rsidRDefault="0064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4FF" w:rsidRDefault="007524FF">
      <w:r>
        <w:separator/>
      </w:r>
    </w:p>
  </w:footnote>
  <w:footnote w:type="continuationSeparator" w:id="0">
    <w:p w:rsidR="007524FF" w:rsidRDefault="007524FF">
      <w:r>
        <w:continuationSeparator/>
      </w:r>
    </w:p>
  </w:footnote>
  <w:footnote w:id="1">
    <w:p w:rsidR="00015DA9" w:rsidRPr="00506C1D" w:rsidRDefault="00015DA9" w:rsidP="002756DC">
      <w:pPr>
        <w:pStyle w:val="FootnoteText"/>
        <w:spacing w:after="120"/>
        <w:rPr>
          <w:sz w:val="20"/>
        </w:rPr>
      </w:pPr>
      <w:r w:rsidRPr="00506C1D">
        <w:rPr>
          <w:rStyle w:val="FootnoteReference"/>
          <w:sz w:val="20"/>
        </w:rPr>
        <w:footnoteRef/>
      </w:r>
      <w:r w:rsidRPr="00506C1D">
        <w:rPr>
          <w:sz w:val="20"/>
        </w:rPr>
        <w:t xml:space="preserve"> 47 C.F.R. § 90.209(b)(7).</w:t>
      </w:r>
    </w:p>
  </w:footnote>
  <w:footnote w:id="2">
    <w:p w:rsidR="00015DA9" w:rsidRPr="00506C1D" w:rsidRDefault="00015DA9" w:rsidP="002756DC">
      <w:pPr>
        <w:pStyle w:val="FootnoteText"/>
        <w:spacing w:after="120"/>
        <w:rPr>
          <w:sz w:val="20"/>
        </w:rPr>
      </w:pPr>
      <w:r w:rsidRPr="00506C1D">
        <w:rPr>
          <w:rStyle w:val="FootnoteReference"/>
          <w:sz w:val="20"/>
        </w:rPr>
        <w:footnoteRef/>
      </w:r>
      <w:r w:rsidRPr="00506C1D">
        <w:rPr>
          <w:sz w:val="20"/>
        </w:rPr>
        <w:t xml:space="preserve"> </w:t>
      </w:r>
      <w:r w:rsidR="00687073">
        <w:rPr>
          <w:sz w:val="20"/>
        </w:rPr>
        <w:t xml:space="preserve">Sprint Corporation </w:t>
      </w:r>
      <w:r w:rsidRPr="00506C1D">
        <w:rPr>
          <w:sz w:val="20"/>
        </w:rPr>
        <w:t xml:space="preserve">Request for Waiver to Permit 800 MHz Wideband Operations in Portions of New Mexico Prior to Completion of 800 MHz Band Reconfiguration in the Entire NPSPAC Region (filed Aug. 14, 2014) (“New Mexico Waiver Request”).  </w:t>
      </w:r>
    </w:p>
  </w:footnote>
  <w:footnote w:id="3">
    <w:p w:rsidR="00015DA9" w:rsidRPr="00506C1D" w:rsidRDefault="00015DA9" w:rsidP="002756DC">
      <w:pPr>
        <w:pStyle w:val="FootnoteText"/>
        <w:spacing w:after="120"/>
        <w:rPr>
          <w:sz w:val="20"/>
        </w:rPr>
      </w:pPr>
      <w:r w:rsidRPr="00506C1D">
        <w:rPr>
          <w:rStyle w:val="FootnoteReference"/>
          <w:sz w:val="20"/>
        </w:rPr>
        <w:footnoteRef/>
      </w:r>
      <w:r w:rsidRPr="00506C1D">
        <w:rPr>
          <w:sz w:val="20"/>
        </w:rPr>
        <w:t xml:space="preserve"> </w:t>
      </w:r>
      <w:r w:rsidR="00687073">
        <w:rPr>
          <w:sz w:val="20"/>
        </w:rPr>
        <w:t xml:space="preserve">Sprint Corporation </w:t>
      </w:r>
      <w:r w:rsidRPr="00506C1D">
        <w:rPr>
          <w:sz w:val="20"/>
        </w:rPr>
        <w:t xml:space="preserve">Request for Waiver to Permit 800 MHz Wideband Operations in Portions of Texas-El Paso (Region 50) Prior to Completion of 800 MHz Band Reconfiguration in the Entire NPSPAC Region (filed Aug. 14, 2014) (“El Paso Waiver Request”). </w:t>
      </w:r>
    </w:p>
  </w:footnote>
  <w:footnote w:id="4">
    <w:p w:rsidR="00015DA9" w:rsidRPr="00506C1D" w:rsidRDefault="00015DA9" w:rsidP="002756DC">
      <w:pPr>
        <w:pStyle w:val="FootnoteText"/>
        <w:spacing w:after="120"/>
        <w:rPr>
          <w:sz w:val="20"/>
        </w:rPr>
      </w:pPr>
      <w:r w:rsidRPr="00506C1D">
        <w:rPr>
          <w:rStyle w:val="FootnoteReference"/>
          <w:sz w:val="20"/>
        </w:rPr>
        <w:footnoteRef/>
      </w:r>
      <w:r w:rsidRPr="00506C1D">
        <w:rPr>
          <w:sz w:val="20"/>
        </w:rPr>
        <w:t xml:space="preserve"> </w:t>
      </w:r>
      <w:r w:rsidR="00687073">
        <w:rPr>
          <w:sz w:val="20"/>
        </w:rPr>
        <w:t xml:space="preserve">Sprint Corporation </w:t>
      </w:r>
      <w:r w:rsidRPr="00506C1D">
        <w:rPr>
          <w:sz w:val="20"/>
        </w:rPr>
        <w:t xml:space="preserve">Request for Waiver to Permit 800 MHz Wideband Operations in Portions of Texas-San Antonio (Region 53) Prior to Completion of 800 MHz Band Reconfiguration in the Entire NPSPAC Region (filed Aug. 14, 2014) (“San Antonio Waiver Request”). </w:t>
      </w:r>
    </w:p>
  </w:footnote>
  <w:footnote w:id="5">
    <w:p w:rsidR="00015DA9" w:rsidRPr="00506C1D" w:rsidRDefault="00015DA9" w:rsidP="002756DC">
      <w:pPr>
        <w:pStyle w:val="FootnoteText"/>
        <w:spacing w:after="120"/>
        <w:rPr>
          <w:sz w:val="20"/>
        </w:rPr>
      </w:pPr>
      <w:r w:rsidRPr="00506C1D">
        <w:rPr>
          <w:rStyle w:val="FootnoteReference"/>
          <w:sz w:val="20"/>
        </w:rPr>
        <w:footnoteRef/>
      </w:r>
      <w:r w:rsidRPr="00506C1D">
        <w:rPr>
          <w:sz w:val="20"/>
        </w:rPr>
        <w:t xml:space="preserve"> 47 C.F.R. § 90.209(b)(7).  </w:t>
      </w:r>
      <w:r w:rsidR="00191C22">
        <w:rPr>
          <w:sz w:val="20"/>
        </w:rPr>
        <w:t xml:space="preserve">800 MHz </w:t>
      </w:r>
      <w:r w:rsidRPr="00506C1D">
        <w:rPr>
          <w:sz w:val="20"/>
        </w:rPr>
        <w:t>Specialized Mobile Radio licensees are authorized to operate in the 813.5-824/858.5-869 MHz portion of the 800 MHz band only in the Southeastern U.S. counties listed in Section 90.614(c).  The NPSPAC regions where Sprint requests relief do not contain any of the listed counties.</w:t>
      </w:r>
    </w:p>
  </w:footnote>
  <w:footnote w:id="6">
    <w:p w:rsidR="002756DC" w:rsidRPr="002756DC" w:rsidRDefault="002756DC" w:rsidP="002756DC">
      <w:pPr>
        <w:pStyle w:val="FootnoteText"/>
        <w:spacing w:after="120"/>
        <w:rPr>
          <w:i/>
        </w:rPr>
      </w:pPr>
      <w:r>
        <w:rPr>
          <w:rStyle w:val="FootnoteReference"/>
        </w:rPr>
        <w:footnoteRef/>
      </w:r>
      <w:r>
        <w:t xml:space="preserve"> </w:t>
      </w:r>
      <w:r>
        <w:rPr>
          <w:i/>
        </w:rPr>
        <w:t xml:space="preserve">See </w:t>
      </w:r>
      <w:r w:rsidRPr="004F3707">
        <w:rPr>
          <w:szCs w:val="22"/>
        </w:rPr>
        <w:t>New Mexico Waiver Request</w:t>
      </w:r>
      <w:r>
        <w:rPr>
          <w:szCs w:val="22"/>
        </w:rPr>
        <w:t xml:space="preserve"> at 3; Attachments B and C.</w:t>
      </w:r>
    </w:p>
  </w:footnote>
  <w:footnote w:id="7">
    <w:p w:rsidR="002756DC" w:rsidRPr="002756DC" w:rsidRDefault="002756DC" w:rsidP="002756DC">
      <w:pPr>
        <w:pStyle w:val="FootnoteText"/>
        <w:spacing w:after="120"/>
        <w:rPr>
          <w:i/>
        </w:rPr>
      </w:pPr>
      <w:r>
        <w:rPr>
          <w:rStyle w:val="FootnoteReference"/>
        </w:rPr>
        <w:footnoteRef/>
      </w:r>
      <w:r>
        <w:t xml:space="preserve"> </w:t>
      </w:r>
      <w:r>
        <w:rPr>
          <w:i/>
        </w:rPr>
        <w:t xml:space="preserve">See </w:t>
      </w:r>
      <w:r>
        <w:rPr>
          <w:szCs w:val="22"/>
        </w:rPr>
        <w:t>El Paso</w:t>
      </w:r>
      <w:r w:rsidRPr="004F3707">
        <w:rPr>
          <w:szCs w:val="22"/>
        </w:rPr>
        <w:t xml:space="preserve"> Waiver Request</w:t>
      </w:r>
      <w:r>
        <w:rPr>
          <w:szCs w:val="22"/>
        </w:rPr>
        <w:t xml:space="preserve"> at 3; Attachments B and C.</w:t>
      </w:r>
    </w:p>
  </w:footnote>
  <w:footnote w:id="8">
    <w:p w:rsidR="00162A66" w:rsidRPr="002756DC" w:rsidRDefault="00162A66" w:rsidP="00162A66">
      <w:pPr>
        <w:pStyle w:val="FootnoteText"/>
        <w:spacing w:after="120"/>
        <w:rPr>
          <w:i/>
        </w:rPr>
      </w:pPr>
      <w:r>
        <w:rPr>
          <w:rStyle w:val="FootnoteReference"/>
        </w:rPr>
        <w:footnoteRef/>
      </w:r>
      <w:r>
        <w:t xml:space="preserve"> </w:t>
      </w:r>
      <w:r>
        <w:rPr>
          <w:i/>
        </w:rPr>
        <w:t xml:space="preserve">See </w:t>
      </w:r>
      <w:r>
        <w:rPr>
          <w:szCs w:val="22"/>
        </w:rPr>
        <w:t>San Antonio</w:t>
      </w:r>
      <w:r w:rsidRPr="004F3707">
        <w:rPr>
          <w:szCs w:val="22"/>
        </w:rPr>
        <w:t xml:space="preserve"> Waiver Request</w:t>
      </w:r>
      <w:r>
        <w:rPr>
          <w:szCs w:val="22"/>
        </w:rPr>
        <w:t xml:space="preserve"> at 3; Attachments B and C.</w:t>
      </w:r>
    </w:p>
  </w:footnote>
  <w:footnote w:id="9">
    <w:p w:rsidR="00015DA9" w:rsidRPr="00506C1D" w:rsidRDefault="00015DA9" w:rsidP="002756DC">
      <w:pPr>
        <w:pStyle w:val="FootnoteText"/>
        <w:spacing w:after="120"/>
        <w:rPr>
          <w:sz w:val="20"/>
        </w:rPr>
      </w:pPr>
      <w:r w:rsidRPr="00506C1D">
        <w:rPr>
          <w:rStyle w:val="FootnoteReference"/>
          <w:sz w:val="20"/>
        </w:rPr>
        <w:footnoteRef/>
      </w:r>
      <w:r w:rsidRPr="00506C1D">
        <w:rPr>
          <w:i/>
          <w:sz w:val="20"/>
        </w:rPr>
        <w:t xml:space="preserve"> See</w:t>
      </w:r>
      <w:r w:rsidRPr="00506C1D">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28" w:rsidRDefault="00642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28" w:rsidRDefault="00642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A9" w:rsidRDefault="00015DA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555C96E" wp14:editId="771D709A">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015DA9" w:rsidRDefault="00191C2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69BD75E" wp14:editId="43A1EAD8">
              <wp:simplePos x="0" y="0"/>
              <wp:positionH relativeFrom="column">
                <wp:posOffset>0</wp:posOffset>
              </wp:positionH>
              <wp:positionV relativeFrom="paragraph">
                <wp:posOffset>700405</wp:posOffset>
              </wp:positionV>
              <wp:extent cx="6144260" cy="2540"/>
              <wp:effectExtent l="0" t="0" r="2794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15pt" to="483.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SJ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" o:allowincell="f"/>
          </w:pict>
        </mc:Fallback>
      </mc:AlternateContent>
    </w:r>
    <w:r w:rsidR="00015DA9">
      <w:rPr>
        <w:rFonts w:ascii="News Gothic MT" w:hAnsi="News Gothic MT"/>
        <w:b/>
        <w:noProof/>
        <w:sz w:val="24"/>
      </w:rPr>
      <mc:AlternateContent>
        <mc:Choice Requires="wps">
          <w:drawing>
            <wp:anchor distT="0" distB="0" distL="114300" distR="114300" simplePos="0" relativeHeight="251658240" behindDoc="0" locked="0" layoutInCell="0" allowOverlap="1" wp14:anchorId="3074AF0A" wp14:editId="076BD6D2">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DA9" w:rsidRDefault="00015DA9">
                          <w:pPr>
                            <w:spacing w:before="40"/>
                            <w:jc w:val="right"/>
                            <w:rPr>
                              <w:rFonts w:ascii="Arial" w:hAnsi="Arial"/>
                              <w:b/>
                              <w:sz w:val="16"/>
                            </w:rPr>
                          </w:pPr>
                          <w:r>
                            <w:rPr>
                              <w:rFonts w:ascii="Arial" w:hAnsi="Arial"/>
                              <w:b/>
                              <w:sz w:val="16"/>
                            </w:rPr>
                            <w:t>News Media Information 202 / 418-0500</w:t>
                          </w:r>
                        </w:p>
                        <w:p w:rsidR="00015DA9" w:rsidRDefault="00015DA9">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015DA9" w:rsidRDefault="00015DA9">
                          <w:pPr>
                            <w:jc w:val="right"/>
                            <w:rPr>
                              <w:rFonts w:ascii="Arial" w:hAnsi="Arial"/>
                              <w:b/>
                              <w:sz w:val="16"/>
                            </w:rPr>
                          </w:pPr>
                          <w:r>
                            <w:rPr>
                              <w:rFonts w:ascii="Arial" w:hAnsi="Arial"/>
                              <w:b/>
                              <w:sz w:val="16"/>
                            </w:rPr>
                            <w:t>TTY: 1-888-835-5322</w:t>
                          </w:r>
                        </w:p>
                        <w:p w:rsidR="00015DA9" w:rsidRDefault="00015DA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015DA9" w:rsidRDefault="00015DA9">
                    <w:pPr>
                      <w:spacing w:before="40"/>
                      <w:jc w:val="right"/>
                      <w:rPr>
                        <w:rFonts w:ascii="Arial" w:hAnsi="Arial"/>
                        <w:b/>
                        <w:sz w:val="16"/>
                      </w:rPr>
                    </w:pPr>
                    <w:r>
                      <w:rPr>
                        <w:rFonts w:ascii="Arial" w:hAnsi="Arial"/>
                        <w:b/>
                        <w:sz w:val="16"/>
                      </w:rPr>
                      <w:t>News Media Information 202 / 418-0500</w:t>
                    </w:r>
                  </w:p>
                  <w:p w:rsidR="00015DA9" w:rsidRDefault="00015DA9">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015DA9" w:rsidRDefault="00015DA9">
                    <w:pPr>
                      <w:jc w:val="right"/>
                      <w:rPr>
                        <w:rFonts w:ascii="Arial" w:hAnsi="Arial"/>
                        <w:b/>
                        <w:sz w:val="16"/>
                      </w:rPr>
                    </w:pPr>
                    <w:r>
                      <w:rPr>
                        <w:rFonts w:ascii="Arial" w:hAnsi="Arial"/>
                        <w:b/>
                        <w:sz w:val="16"/>
                      </w:rPr>
                      <w:t>TTY: 1-888-835-5322</w:t>
                    </w:r>
                  </w:p>
                  <w:p w:rsidR="00015DA9" w:rsidRDefault="00015DA9">
                    <w:pPr>
                      <w:jc w:val="right"/>
                    </w:pPr>
                  </w:p>
                </w:txbxContent>
              </v:textbox>
            </v:shape>
          </w:pict>
        </mc:Fallback>
      </mc:AlternateContent>
    </w:r>
    <w:r w:rsidR="00015DA9">
      <w:rPr>
        <w:rFonts w:ascii="News Gothic MT" w:hAnsi="News Gothic MT"/>
        <w:b/>
        <w:noProof/>
        <w:sz w:val="24"/>
      </w:rPr>
      <mc:AlternateContent>
        <mc:Choice Requires="wps">
          <w:drawing>
            <wp:anchor distT="0" distB="0" distL="114300" distR="114300" simplePos="0" relativeHeight="251656192" behindDoc="0" locked="0" layoutInCell="0" allowOverlap="1" wp14:anchorId="4F1CF501" wp14:editId="24F0027A">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DA9" w:rsidRDefault="00015DA9">
                          <w:pPr>
                            <w:rPr>
                              <w:rFonts w:ascii="Arial" w:hAnsi="Arial"/>
                              <w:b/>
                            </w:rPr>
                          </w:pPr>
                          <w:r>
                            <w:rPr>
                              <w:rFonts w:ascii="Arial" w:hAnsi="Arial"/>
                              <w:b/>
                            </w:rPr>
                            <w:t>Federal Communications Commission</w:t>
                          </w:r>
                        </w:p>
                        <w:p w:rsidR="00015DA9" w:rsidRDefault="00015DA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15DA9" w:rsidRDefault="00015DA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95pt;margin-top:2.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015DA9" w:rsidRDefault="00015DA9">
                    <w:pPr>
                      <w:rPr>
                        <w:rFonts w:ascii="Arial" w:hAnsi="Arial"/>
                        <w:b/>
                      </w:rPr>
                    </w:pPr>
                    <w:r>
                      <w:rPr>
                        <w:rFonts w:ascii="Arial" w:hAnsi="Arial"/>
                        <w:b/>
                      </w:rPr>
                      <w:t>Federal Communications Commission</w:t>
                    </w:r>
                  </w:p>
                  <w:p w:rsidR="00015DA9" w:rsidRDefault="00015DA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15DA9" w:rsidRDefault="00015DA9">
                    <w:pPr>
                      <w:rPr>
                        <w:rFonts w:ascii="Arial" w:hAnsi="Arial"/>
                        <w:sz w:val="24"/>
                      </w:rPr>
                    </w:pPr>
                    <w:r>
                      <w:rPr>
                        <w:rFonts w:ascii="Arial" w:hAnsi="Arial"/>
                        <w:b/>
                      </w:rPr>
                      <w:t>Washington, D.C. 20554</w:t>
                    </w:r>
                  </w:p>
                </w:txbxContent>
              </v:textbox>
            </v:shape>
          </w:pict>
        </mc:Fallback>
      </mc:AlternateContent>
    </w:r>
  </w:p>
  <w:p w:rsidR="00015DA9" w:rsidRDefault="00015DA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5"/>
    <w:rsid w:val="00015DA9"/>
    <w:rsid w:val="0007717A"/>
    <w:rsid w:val="000C3D5F"/>
    <w:rsid w:val="00162A66"/>
    <w:rsid w:val="00185360"/>
    <w:rsid w:val="00191C22"/>
    <w:rsid w:val="001A1266"/>
    <w:rsid w:val="001B07CB"/>
    <w:rsid w:val="002549C1"/>
    <w:rsid w:val="002756DC"/>
    <w:rsid w:val="00281DFA"/>
    <w:rsid w:val="00346F89"/>
    <w:rsid w:val="0039447B"/>
    <w:rsid w:val="00462167"/>
    <w:rsid w:val="00492096"/>
    <w:rsid w:val="004B574B"/>
    <w:rsid w:val="004F3707"/>
    <w:rsid w:val="00506C1D"/>
    <w:rsid w:val="00535395"/>
    <w:rsid w:val="005529C3"/>
    <w:rsid w:val="005C7D25"/>
    <w:rsid w:val="0061135A"/>
    <w:rsid w:val="00611E9F"/>
    <w:rsid w:val="00630B3C"/>
    <w:rsid w:val="00642428"/>
    <w:rsid w:val="00687073"/>
    <w:rsid w:val="006A7EBB"/>
    <w:rsid w:val="007244EA"/>
    <w:rsid w:val="00737884"/>
    <w:rsid w:val="00746FBE"/>
    <w:rsid w:val="007524FF"/>
    <w:rsid w:val="00764040"/>
    <w:rsid w:val="007B6195"/>
    <w:rsid w:val="007B715A"/>
    <w:rsid w:val="007D3DAF"/>
    <w:rsid w:val="0080225E"/>
    <w:rsid w:val="0082333F"/>
    <w:rsid w:val="009A496A"/>
    <w:rsid w:val="009B2C7C"/>
    <w:rsid w:val="009F6D36"/>
    <w:rsid w:val="00A3428C"/>
    <w:rsid w:val="00A57D70"/>
    <w:rsid w:val="00AC277B"/>
    <w:rsid w:val="00AC4FDF"/>
    <w:rsid w:val="00B00213"/>
    <w:rsid w:val="00B2204B"/>
    <w:rsid w:val="00B2486F"/>
    <w:rsid w:val="00B54CA5"/>
    <w:rsid w:val="00B9758A"/>
    <w:rsid w:val="00BF4284"/>
    <w:rsid w:val="00C029A4"/>
    <w:rsid w:val="00C26320"/>
    <w:rsid w:val="00C37737"/>
    <w:rsid w:val="00C41AE0"/>
    <w:rsid w:val="00CA584F"/>
    <w:rsid w:val="00CF13CF"/>
    <w:rsid w:val="00D346CC"/>
    <w:rsid w:val="00D651BB"/>
    <w:rsid w:val="00D67406"/>
    <w:rsid w:val="00E221B2"/>
    <w:rsid w:val="00EC65CA"/>
    <w:rsid w:val="00F9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 w:type="character" w:styleId="CommentReference">
    <w:name w:val="annotation reference"/>
    <w:basedOn w:val="DefaultParagraphFont"/>
    <w:uiPriority w:val="99"/>
    <w:semiHidden/>
    <w:unhideWhenUsed/>
    <w:rsid w:val="00C029A4"/>
    <w:rPr>
      <w:sz w:val="16"/>
      <w:szCs w:val="16"/>
    </w:rPr>
  </w:style>
  <w:style w:type="paragraph" w:styleId="CommentText">
    <w:name w:val="annotation text"/>
    <w:basedOn w:val="Normal"/>
    <w:link w:val="CommentTextChar"/>
    <w:uiPriority w:val="99"/>
    <w:semiHidden/>
    <w:unhideWhenUsed/>
    <w:rsid w:val="00C029A4"/>
    <w:rPr>
      <w:sz w:val="20"/>
    </w:rPr>
  </w:style>
  <w:style w:type="character" w:customStyle="1" w:styleId="CommentTextChar">
    <w:name w:val="Comment Text Char"/>
    <w:basedOn w:val="DefaultParagraphFont"/>
    <w:link w:val="CommentText"/>
    <w:uiPriority w:val="99"/>
    <w:semiHidden/>
    <w:rsid w:val="00C029A4"/>
  </w:style>
  <w:style w:type="paragraph" w:styleId="CommentSubject">
    <w:name w:val="annotation subject"/>
    <w:basedOn w:val="CommentText"/>
    <w:next w:val="CommentText"/>
    <w:link w:val="CommentSubjectChar"/>
    <w:uiPriority w:val="99"/>
    <w:semiHidden/>
    <w:unhideWhenUsed/>
    <w:rsid w:val="00C029A4"/>
    <w:rPr>
      <w:b/>
      <w:bCs/>
    </w:rPr>
  </w:style>
  <w:style w:type="character" w:customStyle="1" w:styleId="CommentSubjectChar">
    <w:name w:val="Comment Subject Char"/>
    <w:basedOn w:val="CommentTextChar"/>
    <w:link w:val="CommentSubject"/>
    <w:uiPriority w:val="99"/>
    <w:semiHidden/>
    <w:rsid w:val="00C02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 w:type="character" w:styleId="CommentReference">
    <w:name w:val="annotation reference"/>
    <w:basedOn w:val="DefaultParagraphFont"/>
    <w:uiPriority w:val="99"/>
    <w:semiHidden/>
    <w:unhideWhenUsed/>
    <w:rsid w:val="00C029A4"/>
    <w:rPr>
      <w:sz w:val="16"/>
      <w:szCs w:val="16"/>
    </w:rPr>
  </w:style>
  <w:style w:type="paragraph" w:styleId="CommentText">
    <w:name w:val="annotation text"/>
    <w:basedOn w:val="Normal"/>
    <w:link w:val="CommentTextChar"/>
    <w:uiPriority w:val="99"/>
    <w:semiHidden/>
    <w:unhideWhenUsed/>
    <w:rsid w:val="00C029A4"/>
    <w:rPr>
      <w:sz w:val="20"/>
    </w:rPr>
  </w:style>
  <w:style w:type="character" w:customStyle="1" w:styleId="CommentTextChar">
    <w:name w:val="Comment Text Char"/>
    <w:basedOn w:val="DefaultParagraphFont"/>
    <w:link w:val="CommentText"/>
    <w:uiPriority w:val="99"/>
    <w:semiHidden/>
    <w:rsid w:val="00C029A4"/>
  </w:style>
  <w:style w:type="paragraph" w:styleId="CommentSubject">
    <w:name w:val="annotation subject"/>
    <w:basedOn w:val="CommentText"/>
    <w:next w:val="CommentText"/>
    <w:link w:val="CommentSubjectChar"/>
    <w:uiPriority w:val="99"/>
    <w:semiHidden/>
    <w:unhideWhenUsed/>
    <w:rsid w:val="00C029A4"/>
    <w:rPr>
      <w:b/>
      <w:bCs/>
    </w:rPr>
  </w:style>
  <w:style w:type="character" w:customStyle="1" w:styleId="CommentSubjectChar">
    <w:name w:val="Comment Subject Char"/>
    <w:basedOn w:val="CommentTextChar"/>
    <w:link w:val="CommentSubject"/>
    <w:uiPriority w:val="99"/>
    <w:semiHidden/>
    <w:rsid w:val="00C02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huetinck@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6446</Characters>
  <Application>Microsoft Office Word</Application>
  <DocSecurity>0</DocSecurity>
  <Lines>109</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7616</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2014-02-19T14:25:00Z</cp:lastPrinted>
  <dcterms:created xsi:type="dcterms:W3CDTF">2014-08-26T16:02:00Z</dcterms:created>
  <dcterms:modified xsi:type="dcterms:W3CDTF">2014-08-26T16:02:00Z</dcterms:modified>
  <cp:category> </cp:category>
  <cp:contentStatus> </cp:contentStatus>
</cp:coreProperties>
</file>