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578BF" w14:textId="77777777" w:rsidR="004E65B3" w:rsidRDefault="004E65B3" w:rsidP="004E65B3">
      <w:pPr>
        <w:spacing w:before="120"/>
        <w:jc w:val="center"/>
        <w:rPr>
          <w:rFonts w:ascii="Times New Roman" w:hAnsi="Times New Roman" w:cs="Times New Roman"/>
          <w:b/>
          <w:smallCaps/>
          <w:spacing w:val="-2"/>
        </w:rPr>
      </w:pPr>
      <w:bookmarkStart w:id="0" w:name="_Toc305694423"/>
      <w:bookmarkStart w:id="1" w:name="_Toc306377724"/>
      <w:bookmarkStart w:id="2" w:name="_Toc306377860"/>
      <w:bookmarkStart w:id="3" w:name="_Toc306897568"/>
      <w:bookmarkStart w:id="4" w:name="_Toc306897826"/>
      <w:bookmarkStart w:id="5" w:name="_Toc306899098"/>
      <w:bookmarkStart w:id="6" w:name="_Toc306899218"/>
      <w:bookmarkStart w:id="7" w:name="_Toc306899648"/>
      <w:bookmarkStart w:id="8" w:name="_Toc306982362"/>
      <w:bookmarkStart w:id="9" w:name="_GoBack"/>
      <w:bookmarkEnd w:id="9"/>
      <w:r>
        <w:rPr>
          <w:rFonts w:ascii="Times New Roman" w:hAnsi="Times New Roman" w:cs="Times New Roman"/>
          <w:b/>
          <w:smallCaps/>
          <w:spacing w:val="-2"/>
        </w:rPr>
        <w:t>Wireline Competition Bureau &amp; Office of Strategic Planning and Policy</w:t>
      </w:r>
    </w:p>
    <w:p w14:paraId="0498EB71" w14:textId="77777777" w:rsidR="00433E2F" w:rsidRPr="00C80189" w:rsidRDefault="008F5C2F" w:rsidP="00737A4F">
      <w:pPr>
        <w:spacing w:before="120"/>
        <w:jc w:val="center"/>
        <w:rPr>
          <w:rFonts w:ascii="Times New Roman" w:hAnsi="Times New Roman" w:cs="Times New Roman"/>
          <w:b/>
          <w:smallCaps/>
          <w:spacing w:val="-2"/>
        </w:rPr>
      </w:pPr>
      <w:r w:rsidRPr="00C80189">
        <w:rPr>
          <w:rFonts w:ascii="Times New Roman" w:hAnsi="Times New Roman" w:cs="Times New Roman"/>
          <w:b/>
          <w:smallCaps/>
          <w:spacing w:val="-2"/>
        </w:rPr>
        <w:t>Staff Report</w:t>
      </w:r>
    </w:p>
    <w:p w14:paraId="45EAB1EE" w14:textId="77777777" w:rsidR="00433E2F" w:rsidRPr="00C80189" w:rsidRDefault="008F5C2F" w:rsidP="00C511EF">
      <w:pPr>
        <w:spacing w:before="120"/>
        <w:jc w:val="center"/>
        <w:rPr>
          <w:rFonts w:ascii="Times New Roman" w:hAnsi="Times New Roman" w:cs="Times New Roman"/>
          <w:b/>
          <w:smallCaps/>
          <w:spacing w:val="-2"/>
        </w:rPr>
      </w:pPr>
      <w:r w:rsidRPr="00C80189">
        <w:rPr>
          <w:rFonts w:ascii="Times New Roman" w:hAnsi="Times New Roman" w:cs="Times New Roman"/>
          <w:b/>
          <w:smallCaps/>
          <w:spacing w:val="-2"/>
        </w:rPr>
        <w:t xml:space="preserve">WC Docket </w:t>
      </w:r>
      <w:r w:rsidR="00D312CF" w:rsidRPr="00C80189">
        <w:rPr>
          <w:rFonts w:ascii="Times New Roman" w:hAnsi="Times New Roman" w:cs="Times New Roman"/>
          <w:b/>
          <w:smallCaps/>
          <w:spacing w:val="-2"/>
        </w:rPr>
        <w:t>No. 1</w:t>
      </w:r>
      <w:r w:rsidR="00137316" w:rsidRPr="00C80189">
        <w:rPr>
          <w:rFonts w:ascii="Times New Roman" w:hAnsi="Times New Roman" w:cs="Times New Roman"/>
          <w:b/>
          <w:smallCaps/>
          <w:spacing w:val="-2"/>
        </w:rPr>
        <w:t>3</w:t>
      </w:r>
      <w:r w:rsidR="00D312CF" w:rsidRPr="00C80189">
        <w:rPr>
          <w:rFonts w:ascii="Times New Roman" w:hAnsi="Times New Roman" w:cs="Times New Roman"/>
          <w:b/>
          <w:smallCaps/>
          <w:spacing w:val="-2"/>
        </w:rPr>
        <w:t>-</w:t>
      </w:r>
      <w:r w:rsidR="00137316" w:rsidRPr="00C80189">
        <w:rPr>
          <w:rFonts w:ascii="Times New Roman" w:hAnsi="Times New Roman" w:cs="Times New Roman"/>
          <w:b/>
          <w:smallCaps/>
          <w:spacing w:val="-2"/>
        </w:rPr>
        <w:t>184</w:t>
      </w:r>
    </w:p>
    <w:p w14:paraId="57B8C948" w14:textId="6DE432C1" w:rsidR="00D312CF" w:rsidRPr="00C80189" w:rsidRDefault="00D312CF" w:rsidP="00D312CF">
      <w:pPr>
        <w:jc w:val="center"/>
        <w:rPr>
          <w:rFonts w:ascii="Times New Roman" w:hAnsi="Times New Roman" w:cs="Times New Roman"/>
          <w:b/>
          <w:smallCaps/>
          <w:spacing w:val="-2"/>
        </w:rPr>
      </w:pPr>
    </w:p>
    <w:p w14:paraId="670EB67B" w14:textId="4C0F4DF6" w:rsidR="00433E2F" w:rsidRPr="0080707A" w:rsidRDefault="004F7363" w:rsidP="00737A4F">
      <w:pPr>
        <w:spacing w:before="120"/>
        <w:jc w:val="center"/>
        <w:rPr>
          <w:rFonts w:ascii="Times New Roman" w:hAnsi="Times New Roman" w:cs="Times New Roman"/>
          <w:b/>
          <w:smallCaps/>
        </w:rPr>
      </w:pPr>
      <w:r w:rsidRPr="004F1C7B">
        <w:rPr>
          <w:rFonts w:ascii="Times New Roman" w:hAnsi="Times New Roman" w:cs="Times New Roman"/>
          <w:b/>
          <w:smallCaps/>
          <w:spacing w:val="-2"/>
        </w:rPr>
        <w:t xml:space="preserve">August </w:t>
      </w:r>
      <w:r w:rsidR="004E65B3">
        <w:rPr>
          <w:rFonts w:ascii="Times New Roman" w:hAnsi="Times New Roman" w:cs="Times New Roman"/>
          <w:b/>
          <w:smallCaps/>
          <w:spacing w:val="-2"/>
        </w:rPr>
        <w:t>12</w:t>
      </w:r>
      <w:r w:rsidR="008F5C2F" w:rsidRPr="0080707A">
        <w:rPr>
          <w:rFonts w:ascii="Times New Roman" w:hAnsi="Times New Roman" w:cs="Times New Roman"/>
          <w:b/>
          <w:smallCaps/>
          <w:spacing w:val="-2"/>
        </w:rPr>
        <w:t>, 201</w:t>
      </w:r>
      <w:r w:rsidR="00137316" w:rsidRPr="0080707A">
        <w:rPr>
          <w:rFonts w:ascii="Times New Roman" w:hAnsi="Times New Roman" w:cs="Times New Roman"/>
          <w:b/>
          <w:smallCaps/>
          <w:spacing w:val="-2"/>
        </w:rPr>
        <w:t>4</w:t>
      </w:r>
    </w:p>
    <w:p w14:paraId="3A7B7908" w14:textId="77777777" w:rsidR="00433E2F" w:rsidRPr="00C80189" w:rsidRDefault="00433E2F" w:rsidP="00737A4F">
      <w:pPr>
        <w:jc w:val="center"/>
        <w:rPr>
          <w:rFonts w:ascii="Times New Roman" w:hAnsi="Times New Roman" w:cs="Times New Roman"/>
        </w:rPr>
      </w:pPr>
    </w:p>
    <w:p w14:paraId="0E42B83E" w14:textId="77777777" w:rsidR="00433E2F" w:rsidRPr="00C80189" w:rsidRDefault="00433E2F" w:rsidP="00737A4F">
      <w:pPr>
        <w:spacing w:after="120"/>
        <w:rPr>
          <w:rFonts w:ascii="Times New Roman" w:hAnsi="Times New Roman" w:cs="Times New Roman"/>
        </w:rPr>
        <w:sectPr w:rsidR="00433E2F" w:rsidRPr="00C80189" w:rsidSect="00F2541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pgNumType w:fmt="lowerRoman" w:start="1"/>
          <w:cols w:space="720"/>
          <w:docGrid w:linePitch="360"/>
        </w:sectPr>
      </w:pPr>
    </w:p>
    <w:p w14:paraId="30A2D4F4" w14:textId="2BDF79EF" w:rsidR="00496909" w:rsidRPr="00C80189" w:rsidRDefault="00433E2F" w:rsidP="001509E4">
      <w:pPr>
        <w:pStyle w:val="Heading1"/>
        <w:rPr>
          <w:rFonts w:ascii="Times New Roman" w:hAnsi="Times New Roman" w:cs="Times New Roman"/>
        </w:rPr>
      </w:pPr>
      <w:bookmarkStart w:id="10" w:name="_Toc307644636"/>
      <w:bookmarkStart w:id="11" w:name="_Toc309138355"/>
      <w:bookmarkStart w:id="12" w:name="_Toc309203298"/>
      <w:bookmarkStart w:id="13" w:name="_Toc309210167"/>
      <w:bookmarkStart w:id="14" w:name="_Toc309212006"/>
      <w:bookmarkStart w:id="15" w:name="_Toc309379604"/>
      <w:bookmarkStart w:id="16" w:name="_Toc309379816"/>
      <w:bookmarkStart w:id="17" w:name="_Toc309380224"/>
      <w:bookmarkStart w:id="18" w:name="_Toc309397154"/>
      <w:bookmarkStart w:id="19" w:name="_Ref338774848"/>
      <w:bookmarkStart w:id="20" w:name="_Toc344052351"/>
      <w:bookmarkStart w:id="21" w:name="_Toc345516462"/>
      <w:bookmarkStart w:id="22" w:name="_Toc346184085"/>
      <w:bookmarkStart w:id="23" w:name="_Toc346890902"/>
      <w:bookmarkStart w:id="24" w:name="_Toc348091688"/>
      <w:bookmarkStart w:id="25" w:name="_Toc353369745"/>
      <w:bookmarkStart w:id="26" w:name="_Toc355278888"/>
      <w:bookmarkStart w:id="27" w:name="_Toc355279418"/>
      <w:bookmarkStart w:id="28" w:name="_Toc356287978"/>
      <w:bookmarkEnd w:id="0"/>
      <w:bookmarkEnd w:id="1"/>
      <w:bookmarkEnd w:id="2"/>
      <w:bookmarkEnd w:id="3"/>
      <w:bookmarkEnd w:id="4"/>
      <w:bookmarkEnd w:id="5"/>
      <w:bookmarkEnd w:id="6"/>
      <w:bookmarkEnd w:id="7"/>
      <w:bookmarkEnd w:id="8"/>
      <w:r w:rsidRPr="00C80189">
        <w:rPr>
          <w:rFonts w:ascii="Times New Roman" w:hAnsi="Times New Roman" w:cs="Times New Roman"/>
        </w:rPr>
        <w:lastRenderedPageBreak/>
        <w:t>introduction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80189">
        <w:rPr>
          <w:rFonts w:ascii="Times New Roman" w:hAnsi="Times New Roman" w:cs="Times New Roman"/>
        </w:rPr>
        <w:t xml:space="preserve"> </w:t>
      </w:r>
    </w:p>
    <w:p w14:paraId="56201A5B" w14:textId="20A279F6" w:rsidR="00421B15" w:rsidRPr="004F1C7B" w:rsidRDefault="002741EF" w:rsidP="00A94692">
      <w:pPr>
        <w:pStyle w:val="ParaNum"/>
        <w:rPr>
          <w:rFonts w:ascii="Times New Roman" w:hAnsi="Times New Roman" w:cs="Times New Roman"/>
        </w:rPr>
      </w:pPr>
      <w:r w:rsidRPr="00C80189">
        <w:rPr>
          <w:rFonts w:ascii="Times New Roman" w:hAnsi="Times New Roman" w:cs="Times New Roman"/>
        </w:rPr>
        <w:t xml:space="preserve">The staff of the Wireline Competition Bureau </w:t>
      </w:r>
      <w:r w:rsidR="004B4B8F" w:rsidRPr="00C80189">
        <w:rPr>
          <w:rFonts w:ascii="Times New Roman" w:hAnsi="Times New Roman" w:cs="Times New Roman"/>
        </w:rPr>
        <w:t>and the Office of Strategic Planning and Policy Analysis</w:t>
      </w:r>
      <w:r w:rsidRPr="00C80189">
        <w:rPr>
          <w:rFonts w:ascii="Times New Roman" w:hAnsi="Times New Roman" w:cs="Times New Roman"/>
        </w:rPr>
        <w:t xml:space="preserve"> </w:t>
      </w:r>
      <w:r w:rsidR="004B4B8F" w:rsidRPr="00C80189">
        <w:rPr>
          <w:rFonts w:ascii="Times New Roman" w:hAnsi="Times New Roman" w:cs="Times New Roman"/>
        </w:rPr>
        <w:t xml:space="preserve">(Bureaus) </w:t>
      </w:r>
      <w:r w:rsidR="00DF691A" w:rsidRPr="00C80189">
        <w:rPr>
          <w:rFonts w:ascii="Times New Roman" w:hAnsi="Times New Roman" w:cs="Times New Roman"/>
        </w:rPr>
        <w:t>have</w:t>
      </w:r>
      <w:r w:rsidRPr="00C80189">
        <w:rPr>
          <w:rFonts w:ascii="Times New Roman" w:hAnsi="Times New Roman" w:cs="Times New Roman"/>
        </w:rPr>
        <w:t xml:space="preserve"> prepared this Staff </w:t>
      </w:r>
      <w:r w:rsidR="004B4B8F" w:rsidRPr="00C80189">
        <w:rPr>
          <w:rFonts w:ascii="Times New Roman" w:hAnsi="Times New Roman" w:cs="Times New Roman"/>
        </w:rPr>
        <w:t xml:space="preserve">Report </w:t>
      </w:r>
      <w:r w:rsidRPr="00C80189">
        <w:rPr>
          <w:rFonts w:ascii="Times New Roman" w:hAnsi="Times New Roman" w:cs="Times New Roman"/>
        </w:rPr>
        <w:t xml:space="preserve">to assist the Commission in </w:t>
      </w:r>
      <w:r w:rsidR="00825632" w:rsidRPr="00C80189">
        <w:rPr>
          <w:rFonts w:ascii="Times New Roman" w:hAnsi="Times New Roman" w:cs="Times New Roman"/>
        </w:rPr>
        <w:t xml:space="preserve">its ongoing </w:t>
      </w:r>
      <w:r w:rsidRPr="00C80189">
        <w:rPr>
          <w:rFonts w:ascii="Times New Roman" w:hAnsi="Times New Roman" w:cs="Times New Roman"/>
        </w:rPr>
        <w:t xml:space="preserve">modernization of the schools and libraries universal service support program, commonly known as </w:t>
      </w:r>
      <w:r w:rsidR="00C373F2" w:rsidRPr="00C80189">
        <w:rPr>
          <w:rFonts w:ascii="Times New Roman" w:hAnsi="Times New Roman" w:cs="Times New Roman"/>
        </w:rPr>
        <w:t>E-rate</w:t>
      </w:r>
      <w:r w:rsidR="00B24DA1" w:rsidRPr="00C80189">
        <w:rPr>
          <w:rFonts w:ascii="Times New Roman" w:hAnsi="Times New Roman" w:cs="Times New Roman"/>
        </w:rPr>
        <w:t>.  Our intent is</w:t>
      </w:r>
      <w:r w:rsidR="00011A78" w:rsidRPr="00C80189">
        <w:rPr>
          <w:rFonts w:ascii="Times New Roman" w:hAnsi="Times New Roman" w:cs="Times New Roman"/>
        </w:rPr>
        <w:t xml:space="preserve"> to </w:t>
      </w:r>
      <w:r w:rsidR="00B64F5C" w:rsidRPr="00C80189">
        <w:rPr>
          <w:rFonts w:ascii="Times New Roman" w:hAnsi="Times New Roman" w:cs="Times New Roman"/>
        </w:rPr>
        <w:t>help</w:t>
      </w:r>
      <w:r w:rsidR="00011A78" w:rsidRPr="00C80189">
        <w:rPr>
          <w:rFonts w:ascii="Times New Roman" w:hAnsi="Times New Roman" w:cs="Times New Roman"/>
        </w:rPr>
        <w:t xml:space="preserve"> stakeholders and the public </w:t>
      </w:r>
      <w:r w:rsidR="00B24DA1" w:rsidRPr="00C80189">
        <w:rPr>
          <w:rFonts w:ascii="Times New Roman" w:hAnsi="Times New Roman" w:cs="Times New Roman"/>
        </w:rPr>
        <w:t>navigate</w:t>
      </w:r>
      <w:r w:rsidR="00011A78" w:rsidRPr="00C80189">
        <w:rPr>
          <w:rFonts w:ascii="Times New Roman" w:hAnsi="Times New Roman" w:cs="Times New Roman"/>
        </w:rPr>
        <w:t xml:space="preserve"> </w:t>
      </w:r>
      <w:r w:rsidR="00B24DA1" w:rsidRPr="00C80189">
        <w:rPr>
          <w:rFonts w:ascii="Times New Roman" w:hAnsi="Times New Roman" w:cs="Times New Roman"/>
        </w:rPr>
        <w:t xml:space="preserve">the </w:t>
      </w:r>
      <w:r w:rsidR="007D17B7" w:rsidRPr="00C80189">
        <w:rPr>
          <w:rFonts w:ascii="Times New Roman" w:hAnsi="Times New Roman" w:cs="Times New Roman"/>
        </w:rPr>
        <w:t xml:space="preserve">large </w:t>
      </w:r>
      <w:r w:rsidR="00011A78" w:rsidRPr="00C80189">
        <w:rPr>
          <w:rFonts w:ascii="Times New Roman" w:hAnsi="Times New Roman" w:cs="Times New Roman"/>
        </w:rPr>
        <w:t xml:space="preserve">and data-intensive record in the </w:t>
      </w:r>
      <w:r w:rsidR="00C373F2" w:rsidRPr="00C80189">
        <w:rPr>
          <w:rFonts w:ascii="Times New Roman" w:hAnsi="Times New Roman" w:cs="Times New Roman"/>
        </w:rPr>
        <w:t>E-rate</w:t>
      </w:r>
      <w:r w:rsidR="00011A78" w:rsidRPr="00C80189">
        <w:rPr>
          <w:rFonts w:ascii="Times New Roman" w:hAnsi="Times New Roman" w:cs="Times New Roman"/>
        </w:rPr>
        <w:t xml:space="preserve"> Modernization proceeding</w:t>
      </w:r>
      <w:r w:rsidR="00421B15" w:rsidRPr="00C80189">
        <w:rPr>
          <w:rFonts w:ascii="Times New Roman" w:hAnsi="Times New Roman" w:cs="Times New Roman"/>
        </w:rPr>
        <w:t xml:space="preserve">, particularly as they respond to </w:t>
      </w:r>
      <w:r w:rsidR="00667CAF" w:rsidRPr="00C80189">
        <w:rPr>
          <w:rFonts w:ascii="Times New Roman" w:hAnsi="Times New Roman" w:cs="Times New Roman"/>
        </w:rPr>
        <w:t>the</w:t>
      </w:r>
      <w:r w:rsidR="00421B15" w:rsidRPr="00C80189">
        <w:rPr>
          <w:rFonts w:ascii="Times New Roman" w:hAnsi="Times New Roman" w:cs="Times New Roman"/>
        </w:rPr>
        <w:t xml:space="preserve"> </w:t>
      </w:r>
      <w:r w:rsidR="00667CAF" w:rsidRPr="00C80189">
        <w:rPr>
          <w:rFonts w:ascii="Times New Roman" w:hAnsi="Times New Roman" w:cs="Times New Roman"/>
        </w:rPr>
        <w:t xml:space="preserve">sections of the </w:t>
      </w:r>
      <w:r w:rsidR="00B214A8" w:rsidRPr="00C80189">
        <w:rPr>
          <w:rFonts w:ascii="Times New Roman" w:hAnsi="Times New Roman" w:cs="Times New Roman"/>
          <w:i/>
        </w:rPr>
        <w:t xml:space="preserve">Further </w:t>
      </w:r>
      <w:r w:rsidR="00891A0D" w:rsidRPr="00C80189">
        <w:rPr>
          <w:rFonts w:ascii="Times New Roman" w:hAnsi="Times New Roman" w:cs="Times New Roman"/>
          <w:i/>
        </w:rPr>
        <w:t xml:space="preserve">Notice </w:t>
      </w:r>
      <w:r w:rsidR="00891A0D" w:rsidRPr="00C80189">
        <w:rPr>
          <w:rFonts w:ascii="Times New Roman" w:hAnsi="Times New Roman" w:cs="Times New Roman"/>
        </w:rPr>
        <w:t>adopted</w:t>
      </w:r>
      <w:r w:rsidR="00B214A8" w:rsidRPr="00C80189">
        <w:rPr>
          <w:rFonts w:ascii="Times New Roman" w:hAnsi="Times New Roman" w:cs="Times New Roman"/>
        </w:rPr>
        <w:t xml:space="preserve"> in connection with the </w:t>
      </w:r>
      <w:r w:rsidR="00832625" w:rsidRPr="00C80189">
        <w:rPr>
          <w:rFonts w:ascii="Times New Roman" w:hAnsi="Times New Roman" w:cs="Times New Roman"/>
          <w:i/>
        </w:rPr>
        <w:t>E-Rate Modernization Order</w:t>
      </w:r>
      <w:r w:rsidR="00B214A8" w:rsidRPr="00C80189">
        <w:rPr>
          <w:rFonts w:ascii="Times New Roman" w:hAnsi="Times New Roman" w:cs="Times New Roman"/>
        </w:rPr>
        <w:t xml:space="preserve"> </w:t>
      </w:r>
      <w:r w:rsidR="00667CAF" w:rsidRPr="00C80189">
        <w:rPr>
          <w:rFonts w:ascii="Times New Roman" w:hAnsi="Times New Roman" w:cs="Times New Roman"/>
        </w:rPr>
        <w:t>regarding</w:t>
      </w:r>
      <w:r w:rsidR="00EC74B1" w:rsidRPr="00C80189">
        <w:rPr>
          <w:rFonts w:ascii="Times New Roman" w:hAnsi="Times New Roman" w:cs="Times New Roman"/>
        </w:rPr>
        <w:t xml:space="preserve"> </w:t>
      </w:r>
      <w:r w:rsidR="00721B4B" w:rsidRPr="00C80189">
        <w:rPr>
          <w:rFonts w:ascii="Times New Roman" w:hAnsi="Times New Roman" w:cs="Times New Roman"/>
        </w:rPr>
        <w:t>the long term funding needs</w:t>
      </w:r>
      <w:r w:rsidR="005C1563" w:rsidRPr="00C80189">
        <w:rPr>
          <w:rFonts w:ascii="Times New Roman" w:hAnsi="Times New Roman" w:cs="Times New Roman"/>
        </w:rPr>
        <w:t xml:space="preserve"> of the program</w:t>
      </w:r>
      <w:r w:rsidRPr="00C80189">
        <w:rPr>
          <w:rFonts w:ascii="Times New Roman" w:hAnsi="Times New Roman" w:cs="Times New Roman"/>
        </w:rPr>
        <w:t>.</w:t>
      </w:r>
      <w:r w:rsidR="00B214A8" w:rsidRPr="00C80189">
        <w:rPr>
          <w:rStyle w:val="FootnoteReference"/>
          <w:rFonts w:cs="Times New Roman"/>
        </w:rPr>
        <w:footnoteReference w:id="2"/>
      </w:r>
      <w:r w:rsidRPr="00C80189">
        <w:rPr>
          <w:rFonts w:ascii="Times New Roman" w:hAnsi="Times New Roman" w:cs="Times New Roman"/>
        </w:rPr>
        <w:t xml:space="preserve">  </w:t>
      </w:r>
    </w:p>
    <w:p w14:paraId="42550C29" w14:textId="1B10CB67" w:rsidR="00DC578D" w:rsidRPr="00C80189" w:rsidRDefault="00DC578D" w:rsidP="002902FF">
      <w:pPr>
        <w:pStyle w:val="ParaNum"/>
        <w:rPr>
          <w:rFonts w:ascii="Times New Roman" w:hAnsi="Times New Roman" w:cs="Times New Roman"/>
        </w:rPr>
      </w:pPr>
      <w:r w:rsidRPr="00C80189">
        <w:rPr>
          <w:rFonts w:ascii="Times New Roman" w:hAnsi="Times New Roman" w:cs="Times New Roman"/>
        </w:rPr>
        <w:t xml:space="preserve">The </w:t>
      </w:r>
      <w:r w:rsidR="00832625" w:rsidRPr="00C80189">
        <w:rPr>
          <w:rFonts w:ascii="Times New Roman" w:hAnsi="Times New Roman" w:cs="Times New Roman"/>
          <w:i/>
        </w:rPr>
        <w:t>E-Rate Modernization Order</w:t>
      </w:r>
      <w:r w:rsidR="00667CAF" w:rsidRPr="00C80189">
        <w:rPr>
          <w:rFonts w:ascii="Times New Roman" w:hAnsi="Times New Roman" w:cs="Times New Roman"/>
        </w:rPr>
        <w:t xml:space="preserve">, adopted by the Commission </w:t>
      </w:r>
      <w:r w:rsidR="00B24DA1" w:rsidRPr="00C80189">
        <w:rPr>
          <w:rFonts w:ascii="Times New Roman" w:hAnsi="Times New Roman" w:cs="Times New Roman"/>
        </w:rPr>
        <w:t>on July 11,</w:t>
      </w:r>
      <w:r w:rsidRPr="00C80189">
        <w:rPr>
          <w:rFonts w:ascii="Times New Roman" w:hAnsi="Times New Roman" w:cs="Times New Roman"/>
        </w:rPr>
        <w:t xml:space="preserve"> </w:t>
      </w:r>
      <w:r w:rsidR="00C373F2" w:rsidRPr="00C80189">
        <w:rPr>
          <w:rFonts w:ascii="Times New Roman" w:hAnsi="Times New Roman" w:cs="Times New Roman"/>
        </w:rPr>
        <w:t xml:space="preserve">2014, </w:t>
      </w:r>
      <w:r w:rsidR="002902FF" w:rsidRPr="00C80189">
        <w:rPr>
          <w:rFonts w:ascii="Times New Roman" w:hAnsi="Times New Roman" w:cs="Times New Roman"/>
        </w:rPr>
        <w:t>refocuses the E-rate program on broadband, while maintaining the basic division of broadband connectivity into two categories of services</w:t>
      </w:r>
      <w:r w:rsidR="005C1563" w:rsidRPr="00C80189">
        <w:rPr>
          <w:rStyle w:val="stylenumberedparagraphs11ptchar"/>
          <w:rFonts w:ascii="Times New Roman" w:hAnsi="Times New Roman" w:cs="Times New Roman"/>
        </w:rPr>
        <w:t>:</w:t>
      </w:r>
      <w:r w:rsidRPr="00C80189">
        <w:rPr>
          <w:rFonts w:ascii="Times New Roman" w:hAnsi="Times New Roman" w:cs="Times New Roman"/>
        </w:rPr>
        <w:t xml:space="preserve">  </w:t>
      </w:r>
    </w:p>
    <w:p w14:paraId="581FC43E" w14:textId="6E57FC6A" w:rsidR="00B42BFB" w:rsidRPr="00C80189" w:rsidRDefault="00C373F2" w:rsidP="00667CAF">
      <w:pPr>
        <w:pStyle w:val="ParaNum"/>
        <w:numPr>
          <w:ilvl w:val="0"/>
          <w:numId w:val="4"/>
        </w:numPr>
        <w:ind w:left="720"/>
        <w:rPr>
          <w:rFonts w:ascii="Times New Roman" w:hAnsi="Times New Roman" w:cs="Times New Roman"/>
        </w:rPr>
      </w:pPr>
      <w:r w:rsidRPr="00C80189">
        <w:rPr>
          <w:rFonts w:ascii="Times New Roman" w:hAnsi="Times New Roman" w:cs="Times New Roman"/>
          <w:i/>
        </w:rPr>
        <w:t xml:space="preserve">Category </w:t>
      </w:r>
      <w:r w:rsidR="00832625" w:rsidRPr="00C80189">
        <w:rPr>
          <w:rFonts w:ascii="Times New Roman" w:hAnsi="Times New Roman" w:cs="Times New Roman"/>
          <w:i/>
        </w:rPr>
        <w:t>o</w:t>
      </w:r>
      <w:r w:rsidRPr="00C80189">
        <w:rPr>
          <w:rFonts w:ascii="Times New Roman" w:hAnsi="Times New Roman" w:cs="Times New Roman"/>
          <w:i/>
        </w:rPr>
        <w:t>ne</w:t>
      </w:r>
      <w:r w:rsidR="002902FF" w:rsidRPr="00C80189">
        <w:rPr>
          <w:rFonts w:ascii="Times New Roman" w:hAnsi="Times New Roman" w:cs="Times New Roman"/>
          <w:i/>
        </w:rPr>
        <w:t xml:space="preserve">: </w:t>
      </w:r>
      <w:r w:rsidR="002B4E3F" w:rsidRPr="00C80189">
        <w:rPr>
          <w:rFonts w:ascii="Times New Roman" w:hAnsi="Times New Roman" w:cs="Times New Roman"/>
          <w:i/>
        </w:rPr>
        <w:t>External Connections</w:t>
      </w:r>
      <w:r w:rsidR="00DC578D" w:rsidRPr="00C80189">
        <w:rPr>
          <w:rFonts w:ascii="Times New Roman" w:hAnsi="Times New Roman" w:cs="Times New Roman"/>
        </w:rPr>
        <w:t xml:space="preserve"> – </w:t>
      </w:r>
      <w:r w:rsidR="00B42BFB" w:rsidRPr="00C80189">
        <w:rPr>
          <w:rFonts w:ascii="Times New Roman" w:hAnsi="Times New Roman" w:cs="Times New Roman"/>
        </w:rPr>
        <w:t xml:space="preserve">External connections are what connect school and library locations to one another and </w:t>
      </w:r>
      <w:r w:rsidR="00667CAF" w:rsidRPr="00C80189">
        <w:rPr>
          <w:rFonts w:ascii="Times New Roman" w:hAnsi="Times New Roman" w:cs="Times New Roman"/>
        </w:rPr>
        <w:t xml:space="preserve">ultimately </w:t>
      </w:r>
      <w:r w:rsidR="00B42BFB" w:rsidRPr="00C80189">
        <w:rPr>
          <w:rFonts w:ascii="Times New Roman" w:hAnsi="Times New Roman" w:cs="Times New Roman"/>
        </w:rPr>
        <w:t xml:space="preserve">to the Internet.  </w:t>
      </w:r>
    </w:p>
    <w:p w14:paraId="755FBE22" w14:textId="2F605A89" w:rsidR="002902FF" w:rsidRPr="00C80189" w:rsidRDefault="00C373F2" w:rsidP="00EC74B1">
      <w:pPr>
        <w:pStyle w:val="ParaNum"/>
        <w:numPr>
          <w:ilvl w:val="0"/>
          <w:numId w:val="4"/>
        </w:numPr>
        <w:ind w:left="720"/>
        <w:rPr>
          <w:rFonts w:ascii="Times New Roman" w:hAnsi="Times New Roman" w:cs="Times New Roman"/>
        </w:rPr>
      </w:pPr>
      <w:r w:rsidRPr="00C80189">
        <w:rPr>
          <w:rFonts w:ascii="Times New Roman" w:hAnsi="Times New Roman" w:cs="Times New Roman"/>
          <w:i/>
        </w:rPr>
        <w:t xml:space="preserve">Category </w:t>
      </w:r>
      <w:r w:rsidR="00832625" w:rsidRPr="00C80189">
        <w:rPr>
          <w:rFonts w:ascii="Times New Roman" w:hAnsi="Times New Roman" w:cs="Times New Roman"/>
          <w:i/>
        </w:rPr>
        <w:t>t</w:t>
      </w:r>
      <w:r w:rsidRPr="00C80189">
        <w:rPr>
          <w:rFonts w:ascii="Times New Roman" w:hAnsi="Times New Roman" w:cs="Times New Roman"/>
          <w:i/>
        </w:rPr>
        <w:t>wo</w:t>
      </w:r>
      <w:r w:rsidR="002902FF" w:rsidRPr="00C80189">
        <w:rPr>
          <w:rFonts w:ascii="Times New Roman" w:hAnsi="Times New Roman" w:cs="Times New Roman"/>
          <w:i/>
        </w:rPr>
        <w:t xml:space="preserve">: Internal Connections </w:t>
      </w:r>
      <w:r w:rsidR="002902FF" w:rsidRPr="00C80189">
        <w:rPr>
          <w:rFonts w:ascii="Times New Roman" w:hAnsi="Times New Roman" w:cs="Times New Roman"/>
        </w:rPr>
        <w:t>–</w:t>
      </w:r>
      <w:r w:rsidR="004E65B3">
        <w:rPr>
          <w:rFonts w:ascii="Times New Roman" w:hAnsi="Times New Roman" w:cs="Times New Roman"/>
        </w:rPr>
        <w:t xml:space="preserve"> </w:t>
      </w:r>
      <w:r w:rsidR="00B24DA1" w:rsidRPr="00C80189">
        <w:rPr>
          <w:rFonts w:ascii="Times New Roman" w:hAnsi="Times New Roman" w:cs="Times New Roman"/>
        </w:rPr>
        <w:t xml:space="preserve">Internal connections are the Local Area Networks (LANs) and Wireless LANs (WLANs) </w:t>
      </w:r>
      <w:r w:rsidR="002902FF" w:rsidRPr="00C80189">
        <w:rPr>
          <w:rFonts w:ascii="Times New Roman" w:hAnsi="Times New Roman" w:cs="Times New Roman"/>
        </w:rPr>
        <w:t>that deliver Internet access from the edge of a school or library to each classroom or library room, and then ultimately the actual student, faculty, or patron end-user device.  Wireless LANs generally are built with access points that utilize the IEEE 802.11 family of standards (Wi-Fi).</w:t>
      </w:r>
      <w:r w:rsidR="003014A7" w:rsidRPr="00C80189">
        <w:rPr>
          <w:rStyle w:val="FootnoteReference"/>
          <w:rFonts w:cs="Times New Roman"/>
        </w:rPr>
        <w:footnoteReference w:id="3"/>
      </w:r>
    </w:p>
    <w:p w14:paraId="5ABC2C9D" w14:textId="2FC9B7D7" w:rsidR="002F7A6B" w:rsidRPr="00C80189" w:rsidRDefault="00EC74B1" w:rsidP="00296082">
      <w:pPr>
        <w:pStyle w:val="ParaNum"/>
        <w:rPr>
          <w:rFonts w:ascii="Times New Roman" w:hAnsi="Times New Roman" w:cs="Times New Roman"/>
        </w:rPr>
      </w:pPr>
      <w:r w:rsidRPr="004F1C7B">
        <w:rPr>
          <w:rFonts w:ascii="Times New Roman" w:hAnsi="Times New Roman" w:cs="Times New Roman"/>
        </w:rPr>
        <w:t xml:space="preserve">In the remaining sections of this report, we summarize the changes </w:t>
      </w:r>
      <w:r w:rsidR="00832625" w:rsidRPr="004F1C7B">
        <w:rPr>
          <w:rFonts w:ascii="Times New Roman" w:hAnsi="Times New Roman" w:cs="Times New Roman"/>
        </w:rPr>
        <w:t xml:space="preserve">the Commission adopted </w:t>
      </w:r>
      <w:r w:rsidRPr="00C80189">
        <w:rPr>
          <w:rFonts w:ascii="Times New Roman" w:hAnsi="Times New Roman" w:cs="Times New Roman"/>
        </w:rPr>
        <w:t xml:space="preserve">to E-rate funding of </w:t>
      </w:r>
      <w:r w:rsidR="00832625" w:rsidRPr="00C80189">
        <w:rPr>
          <w:rFonts w:ascii="Times New Roman" w:hAnsi="Times New Roman" w:cs="Times New Roman"/>
        </w:rPr>
        <w:t>category two</w:t>
      </w:r>
      <w:r w:rsidRPr="00C80189">
        <w:rPr>
          <w:rFonts w:ascii="Times New Roman" w:hAnsi="Times New Roman" w:cs="Times New Roman"/>
        </w:rPr>
        <w:t xml:space="preserve"> services </w:t>
      </w:r>
      <w:r w:rsidR="00CD2969" w:rsidRPr="00C80189">
        <w:rPr>
          <w:rFonts w:ascii="Times New Roman" w:hAnsi="Times New Roman" w:cs="Times New Roman"/>
        </w:rPr>
        <w:t xml:space="preserve">for the next two funding years, </w:t>
      </w:r>
      <w:r w:rsidRPr="00C80189">
        <w:rPr>
          <w:rFonts w:ascii="Times New Roman" w:hAnsi="Times New Roman" w:cs="Times New Roman"/>
        </w:rPr>
        <w:t xml:space="preserve">and the </w:t>
      </w:r>
      <w:r w:rsidR="007D17B7" w:rsidRPr="00C80189">
        <w:rPr>
          <w:rFonts w:ascii="Times New Roman" w:hAnsi="Times New Roman" w:cs="Times New Roman"/>
        </w:rPr>
        <w:t xml:space="preserve">projected </w:t>
      </w:r>
      <w:r w:rsidRPr="00C80189">
        <w:rPr>
          <w:rFonts w:ascii="Times New Roman" w:hAnsi="Times New Roman" w:cs="Times New Roman"/>
        </w:rPr>
        <w:t xml:space="preserve">impacts of these changes if they are extended and if they are not.  We then </w:t>
      </w:r>
      <w:r w:rsidR="000E5FCF" w:rsidRPr="00C80189">
        <w:rPr>
          <w:rFonts w:ascii="Times New Roman" w:hAnsi="Times New Roman" w:cs="Times New Roman"/>
        </w:rPr>
        <w:t>address</w:t>
      </w:r>
      <w:r w:rsidRPr="00C80189">
        <w:rPr>
          <w:rFonts w:ascii="Times New Roman" w:hAnsi="Times New Roman" w:cs="Times New Roman"/>
        </w:rPr>
        <w:t xml:space="preserve"> </w:t>
      </w:r>
      <w:r w:rsidR="00832625" w:rsidRPr="00C80189">
        <w:rPr>
          <w:rFonts w:ascii="Times New Roman" w:hAnsi="Times New Roman" w:cs="Times New Roman"/>
        </w:rPr>
        <w:t>category one</w:t>
      </w:r>
      <w:r w:rsidRPr="00C80189">
        <w:rPr>
          <w:rFonts w:ascii="Times New Roman" w:hAnsi="Times New Roman" w:cs="Times New Roman"/>
        </w:rPr>
        <w:t xml:space="preserve"> services, presenting new staff analysis on the extent of fiber connectivity to school and library premises and on</w:t>
      </w:r>
      <w:r w:rsidR="00E77EE9" w:rsidRPr="00C80189">
        <w:rPr>
          <w:rFonts w:ascii="Times New Roman" w:hAnsi="Times New Roman" w:cs="Times New Roman"/>
        </w:rPr>
        <w:t xml:space="preserve"> current</w:t>
      </w:r>
      <w:r w:rsidRPr="00C80189">
        <w:rPr>
          <w:rFonts w:ascii="Times New Roman" w:hAnsi="Times New Roman" w:cs="Times New Roman"/>
        </w:rPr>
        <w:t xml:space="preserve"> pricing for school connections.  We also present an overview of </w:t>
      </w:r>
      <w:r w:rsidR="00034732" w:rsidRPr="00C80189">
        <w:rPr>
          <w:rFonts w:ascii="Times New Roman" w:hAnsi="Times New Roman" w:cs="Times New Roman"/>
        </w:rPr>
        <w:t xml:space="preserve">new broadband funding </w:t>
      </w:r>
      <w:r w:rsidR="00B214A8" w:rsidRPr="00C80189">
        <w:rPr>
          <w:rFonts w:ascii="Times New Roman" w:hAnsi="Times New Roman" w:cs="Times New Roman"/>
        </w:rPr>
        <w:t xml:space="preserve">that is </w:t>
      </w:r>
      <w:r w:rsidR="00443E0D" w:rsidRPr="00C80189">
        <w:rPr>
          <w:rFonts w:ascii="Times New Roman" w:hAnsi="Times New Roman" w:cs="Times New Roman"/>
        </w:rPr>
        <w:t>likely</w:t>
      </w:r>
      <w:r w:rsidR="00B214A8" w:rsidRPr="00C80189">
        <w:rPr>
          <w:rFonts w:ascii="Times New Roman" w:hAnsi="Times New Roman" w:cs="Times New Roman"/>
        </w:rPr>
        <w:t xml:space="preserve"> to be </w:t>
      </w:r>
      <w:r w:rsidR="00034732" w:rsidRPr="00C80189">
        <w:rPr>
          <w:rFonts w:ascii="Times New Roman" w:hAnsi="Times New Roman" w:cs="Times New Roman"/>
        </w:rPr>
        <w:t>available</w:t>
      </w:r>
      <w:r w:rsidRPr="00C80189">
        <w:rPr>
          <w:rFonts w:ascii="Times New Roman" w:hAnsi="Times New Roman" w:cs="Times New Roman"/>
        </w:rPr>
        <w:t xml:space="preserve"> </w:t>
      </w:r>
      <w:r w:rsidR="00B214A8" w:rsidRPr="00C80189">
        <w:rPr>
          <w:rFonts w:ascii="Times New Roman" w:hAnsi="Times New Roman" w:cs="Times New Roman"/>
        </w:rPr>
        <w:t xml:space="preserve">due to </w:t>
      </w:r>
      <w:r w:rsidR="001C7D01">
        <w:rPr>
          <w:rFonts w:ascii="Times New Roman" w:hAnsi="Times New Roman" w:cs="Times New Roman"/>
        </w:rPr>
        <w:t>the phase-</w:t>
      </w:r>
      <w:r w:rsidR="00667CAF" w:rsidRPr="00C80189">
        <w:rPr>
          <w:rFonts w:ascii="Times New Roman" w:hAnsi="Times New Roman" w:cs="Times New Roman"/>
        </w:rPr>
        <w:t>out</w:t>
      </w:r>
      <w:r w:rsidRPr="00C80189">
        <w:rPr>
          <w:rFonts w:ascii="Times New Roman" w:hAnsi="Times New Roman" w:cs="Times New Roman"/>
        </w:rPr>
        <w:t xml:space="preserve"> of</w:t>
      </w:r>
      <w:r w:rsidR="00667CAF" w:rsidRPr="00C80189">
        <w:rPr>
          <w:rFonts w:ascii="Times New Roman" w:hAnsi="Times New Roman" w:cs="Times New Roman"/>
        </w:rPr>
        <w:t xml:space="preserve"> funding for</w:t>
      </w:r>
      <w:r w:rsidRPr="00C80189">
        <w:rPr>
          <w:rFonts w:ascii="Times New Roman" w:hAnsi="Times New Roman" w:cs="Times New Roman"/>
        </w:rPr>
        <w:t xml:space="preserve"> non-broadband services.</w:t>
      </w:r>
      <w:r w:rsidR="00296082" w:rsidRPr="00C80189">
        <w:rPr>
          <w:rFonts w:ascii="Times New Roman" w:hAnsi="Times New Roman" w:cs="Times New Roman"/>
        </w:rPr>
        <w:t xml:space="preserve">  </w:t>
      </w:r>
    </w:p>
    <w:p w14:paraId="658418F8" w14:textId="1065023B" w:rsidR="005D012D" w:rsidRPr="00C80189" w:rsidRDefault="002F7A6B" w:rsidP="00296082">
      <w:pPr>
        <w:pStyle w:val="ParaNum"/>
        <w:rPr>
          <w:rFonts w:ascii="Times New Roman" w:hAnsi="Times New Roman" w:cs="Times New Roman"/>
        </w:rPr>
      </w:pPr>
      <w:r w:rsidRPr="00C80189">
        <w:rPr>
          <w:rFonts w:ascii="Times New Roman" w:hAnsi="Times New Roman" w:cs="Times New Roman"/>
        </w:rPr>
        <w:t xml:space="preserve">Each of these issues is an important part of the overall </w:t>
      </w:r>
      <w:r w:rsidR="00B214A8" w:rsidRPr="00C80189">
        <w:rPr>
          <w:rFonts w:ascii="Times New Roman" w:hAnsi="Times New Roman" w:cs="Times New Roman"/>
        </w:rPr>
        <w:t xml:space="preserve">assessment </w:t>
      </w:r>
      <w:r w:rsidR="00E77EE9" w:rsidRPr="00C80189">
        <w:rPr>
          <w:rFonts w:ascii="Times New Roman" w:hAnsi="Times New Roman" w:cs="Times New Roman"/>
        </w:rPr>
        <w:t>of the</w:t>
      </w:r>
      <w:r w:rsidRPr="00C80189">
        <w:rPr>
          <w:rFonts w:ascii="Times New Roman" w:hAnsi="Times New Roman" w:cs="Times New Roman"/>
        </w:rPr>
        <w:t xml:space="preserve"> E-rate</w:t>
      </w:r>
      <w:r w:rsidR="00E77EE9" w:rsidRPr="00C80189">
        <w:rPr>
          <w:rFonts w:ascii="Times New Roman" w:hAnsi="Times New Roman" w:cs="Times New Roman"/>
        </w:rPr>
        <w:t xml:space="preserve"> program</w:t>
      </w:r>
      <w:r w:rsidRPr="00C80189">
        <w:rPr>
          <w:rFonts w:ascii="Times New Roman" w:hAnsi="Times New Roman" w:cs="Times New Roman"/>
        </w:rPr>
        <w:t>’s long term funding needs</w:t>
      </w:r>
      <w:r w:rsidR="00916BBA" w:rsidRPr="00C80189">
        <w:rPr>
          <w:rFonts w:ascii="Times New Roman" w:hAnsi="Times New Roman" w:cs="Times New Roman"/>
        </w:rPr>
        <w:t xml:space="preserve"> and relates to specific questions asked by the Commission in the </w:t>
      </w:r>
      <w:r w:rsidR="00916BBA" w:rsidRPr="00C80189">
        <w:rPr>
          <w:rFonts w:ascii="Times New Roman" w:hAnsi="Times New Roman" w:cs="Times New Roman"/>
          <w:i/>
        </w:rPr>
        <w:t>Further Notice</w:t>
      </w:r>
      <w:r w:rsidRPr="00C80189">
        <w:rPr>
          <w:rFonts w:ascii="Times New Roman" w:hAnsi="Times New Roman" w:cs="Times New Roman"/>
        </w:rPr>
        <w:t xml:space="preserve">.  </w:t>
      </w:r>
      <w:r w:rsidR="00296082" w:rsidRPr="00C80189">
        <w:rPr>
          <w:rFonts w:ascii="Times New Roman" w:hAnsi="Times New Roman" w:cs="Times New Roman"/>
        </w:rPr>
        <w:lastRenderedPageBreak/>
        <w:t>We do not</w:t>
      </w:r>
      <w:r w:rsidRPr="00C80189">
        <w:rPr>
          <w:rFonts w:ascii="Times New Roman" w:hAnsi="Times New Roman" w:cs="Times New Roman"/>
        </w:rPr>
        <w:t>, however,</w:t>
      </w:r>
      <w:r w:rsidR="00296082" w:rsidRPr="00C80189">
        <w:rPr>
          <w:rFonts w:ascii="Times New Roman" w:hAnsi="Times New Roman" w:cs="Times New Roman"/>
        </w:rPr>
        <w:t xml:space="preserve"> seek to draw any overall conclusions from these data at this time</w:t>
      </w:r>
      <w:r w:rsidR="009A0353" w:rsidRPr="00C80189">
        <w:rPr>
          <w:rFonts w:ascii="Times New Roman" w:hAnsi="Times New Roman" w:cs="Times New Roman"/>
        </w:rPr>
        <w:t>,</w:t>
      </w:r>
      <w:r w:rsidR="00E77EE9" w:rsidRPr="00C80189">
        <w:rPr>
          <w:rFonts w:ascii="Times New Roman" w:hAnsi="Times New Roman" w:cs="Times New Roman"/>
        </w:rPr>
        <w:t xml:space="preserve"> or to integrate them into an overall analytic framework.  Instead</w:t>
      </w:r>
      <w:r w:rsidR="00B77D78" w:rsidRPr="00C80189">
        <w:rPr>
          <w:rFonts w:ascii="Times New Roman" w:hAnsi="Times New Roman" w:cs="Times New Roman"/>
        </w:rPr>
        <w:t xml:space="preserve">, it will be useful for </w:t>
      </w:r>
      <w:r w:rsidR="009A0353" w:rsidRPr="00C80189">
        <w:rPr>
          <w:rFonts w:ascii="Times New Roman" w:hAnsi="Times New Roman" w:cs="Times New Roman"/>
        </w:rPr>
        <w:t>commenters</w:t>
      </w:r>
      <w:r w:rsidR="00B77D78" w:rsidRPr="00C80189">
        <w:rPr>
          <w:rFonts w:ascii="Times New Roman" w:hAnsi="Times New Roman" w:cs="Times New Roman"/>
        </w:rPr>
        <w:t xml:space="preserve"> to submit their</w:t>
      </w:r>
      <w:r w:rsidR="009A0353" w:rsidRPr="00C80189">
        <w:rPr>
          <w:rFonts w:ascii="Times New Roman" w:hAnsi="Times New Roman" w:cs="Times New Roman"/>
        </w:rPr>
        <w:t xml:space="preserve"> </w:t>
      </w:r>
      <w:r w:rsidR="00296082" w:rsidRPr="00C80189">
        <w:rPr>
          <w:rFonts w:ascii="Times New Roman" w:hAnsi="Times New Roman" w:cs="Times New Roman"/>
        </w:rPr>
        <w:t xml:space="preserve">views </w:t>
      </w:r>
      <w:r w:rsidR="009A0353" w:rsidRPr="00C80189">
        <w:rPr>
          <w:rFonts w:ascii="Times New Roman" w:hAnsi="Times New Roman" w:cs="Times New Roman"/>
        </w:rPr>
        <w:t xml:space="preserve">based on these data, </w:t>
      </w:r>
      <w:r w:rsidR="00B77D78" w:rsidRPr="00C80189">
        <w:rPr>
          <w:rFonts w:ascii="Times New Roman" w:hAnsi="Times New Roman" w:cs="Times New Roman"/>
        </w:rPr>
        <w:t xml:space="preserve">provide </w:t>
      </w:r>
      <w:r w:rsidR="009A0353" w:rsidRPr="00C80189">
        <w:rPr>
          <w:rFonts w:ascii="Times New Roman" w:hAnsi="Times New Roman" w:cs="Times New Roman"/>
        </w:rPr>
        <w:t xml:space="preserve">feedback on the analyses we have described, and </w:t>
      </w:r>
      <w:r w:rsidR="00B77D78" w:rsidRPr="00C80189">
        <w:rPr>
          <w:rFonts w:ascii="Times New Roman" w:hAnsi="Times New Roman" w:cs="Times New Roman"/>
        </w:rPr>
        <w:t xml:space="preserve">submit any </w:t>
      </w:r>
      <w:r w:rsidR="009A0353" w:rsidRPr="00C80189">
        <w:rPr>
          <w:rFonts w:ascii="Times New Roman" w:hAnsi="Times New Roman" w:cs="Times New Roman"/>
        </w:rPr>
        <w:t>additional analyses</w:t>
      </w:r>
      <w:r w:rsidR="00E77EE9" w:rsidRPr="00C80189">
        <w:rPr>
          <w:rFonts w:ascii="Times New Roman" w:hAnsi="Times New Roman" w:cs="Times New Roman"/>
        </w:rPr>
        <w:t xml:space="preserve"> </w:t>
      </w:r>
      <w:r w:rsidR="00B214A8" w:rsidRPr="00C80189">
        <w:rPr>
          <w:rFonts w:ascii="Times New Roman" w:hAnsi="Times New Roman" w:cs="Times New Roman"/>
        </w:rPr>
        <w:t xml:space="preserve">they may conduct to </w:t>
      </w:r>
      <w:r w:rsidR="00E77EE9" w:rsidRPr="00C80189">
        <w:rPr>
          <w:rFonts w:ascii="Times New Roman" w:hAnsi="Times New Roman" w:cs="Times New Roman"/>
        </w:rPr>
        <w:t xml:space="preserve">respond to the </w:t>
      </w:r>
      <w:r w:rsidR="00E77EE9" w:rsidRPr="00C80189">
        <w:rPr>
          <w:rFonts w:ascii="Times New Roman" w:hAnsi="Times New Roman" w:cs="Times New Roman"/>
          <w:i/>
        </w:rPr>
        <w:t>Further Notice</w:t>
      </w:r>
      <w:r w:rsidR="00296082" w:rsidRPr="00C80189">
        <w:rPr>
          <w:rFonts w:ascii="Times New Roman" w:hAnsi="Times New Roman" w:cs="Times New Roman"/>
        </w:rPr>
        <w:t xml:space="preserve">.  </w:t>
      </w:r>
      <w:r w:rsidR="005D012D" w:rsidRPr="00C80189">
        <w:rPr>
          <w:rFonts w:ascii="Times New Roman" w:hAnsi="Times New Roman" w:cs="Times New Roman"/>
        </w:rPr>
        <w:t>We thank the many stakeholders who have contributed to the analyses herein and look forward to</w:t>
      </w:r>
      <w:r w:rsidR="00296082" w:rsidRPr="00C80189">
        <w:rPr>
          <w:rFonts w:ascii="Times New Roman" w:hAnsi="Times New Roman" w:cs="Times New Roman"/>
        </w:rPr>
        <w:t xml:space="preserve"> further input</w:t>
      </w:r>
      <w:r w:rsidR="005D012D" w:rsidRPr="00C80189">
        <w:rPr>
          <w:rFonts w:ascii="Times New Roman" w:hAnsi="Times New Roman" w:cs="Times New Roman"/>
        </w:rPr>
        <w:t>.</w:t>
      </w:r>
    </w:p>
    <w:p w14:paraId="3A86FF21" w14:textId="77777777" w:rsidR="004D0DEB" w:rsidRPr="00C80189" w:rsidRDefault="004D0DEB" w:rsidP="00034732">
      <w:pPr>
        <w:pStyle w:val="Heading1"/>
        <w:rPr>
          <w:rFonts w:ascii="Times New Roman" w:hAnsi="Times New Roman" w:cs="Times New Roman"/>
        </w:rPr>
      </w:pPr>
      <w:bookmarkStart w:id="29" w:name="_Toc346890908"/>
      <w:bookmarkStart w:id="30" w:name="_Toc348091694"/>
      <w:bookmarkStart w:id="31" w:name="_Toc353369751"/>
      <w:bookmarkStart w:id="32" w:name="_Toc355278891"/>
      <w:bookmarkStart w:id="33" w:name="_Toc355279328"/>
      <w:bookmarkStart w:id="34" w:name="_Toc355279366"/>
      <w:bookmarkStart w:id="35" w:name="_Toc355279421"/>
      <w:bookmarkStart w:id="36" w:name="_Toc356287981"/>
      <w:bookmarkStart w:id="37" w:name="_Toc344052355"/>
      <w:r w:rsidRPr="00C80189">
        <w:rPr>
          <w:rFonts w:ascii="Times New Roman" w:hAnsi="Times New Roman" w:cs="Times New Roman"/>
        </w:rPr>
        <w:t>Internal Connections</w:t>
      </w:r>
    </w:p>
    <w:p w14:paraId="146B6D14" w14:textId="12DFF31F" w:rsidR="00034732" w:rsidRPr="00C80189" w:rsidRDefault="00034732" w:rsidP="005D012D">
      <w:pPr>
        <w:pStyle w:val="ParaNum"/>
        <w:rPr>
          <w:rFonts w:ascii="Times New Roman" w:hAnsi="Times New Roman" w:cs="Times New Roman"/>
        </w:rPr>
      </w:pPr>
      <w:r w:rsidRPr="00C80189">
        <w:rPr>
          <w:rFonts w:ascii="Times New Roman" w:hAnsi="Times New Roman" w:cs="Times New Roman"/>
        </w:rPr>
        <w:t xml:space="preserve">The </w:t>
      </w:r>
      <w:r w:rsidR="00832625" w:rsidRPr="00C80189">
        <w:rPr>
          <w:rFonts w:ascii="Times New Roman" w:hAnsi="Times New Roman" w:cs="Times New Roman"/>
          <w:i/>
        </w:rPr>
        <w:t>E-Rate Modernization Order</w:t>
      </w:r>
      <w:r w:rsidRPr="00C80189">
        <w:rPr>
          <w:rFonts w:ascii="Times New Roman" w:hAnsi="Times New Roman" w:cs="Times New Roman"/>
        </w:rPr>
        <w:t xml:space="preserve"> made a number of </w:t>
      </w:r>
      <w:r w:rsidR="007D17B7" w:rsidRPr="00C80189">
        <w:rPr>
          <w:rFonts w:ascii="Times New Roman" w:hAnsi="Times New Roman" w:cs="Times New Roman"/>
        </w:rPr>
        <w:t xml:space="preserve">significant </w:t>
      </w:r>
      <w:r w:rsidRPr="00C80189">
        <w:rPr>
          <w:rFonts w:ascii="Times New Roman" w:hAnsi="Times New Roman" w:cs="Times New Roman"/>
        </w:rPr>
        <w:t>changes to E-rate</w:t>
      </w:r>
      <w:r w:rsidR="007D17B7" w:rsidRPr="00C80189">
        <w:rPr>
          <w:rFonts w:ascii="Times New Roman" w:hAnsi="Times New Roman" w:cs="Times New Roman"/>
        </w:rPr>
        <w:t>’s</w:t>
      </w:r>
      <w:r w:rsidRPr="00C80189">
        <w:rPr>
          <w:rFonts w:ascii="Times New Roman" w:hAnsi="Times New Roman" w:cs="Times New Roman"/>
        </w:rPr>
        <w:t xml:space="preserve"> mechanisms for supporting </w:t>
      </w:r>
      <w:r w:rsidR="00832625" w:rsidRPr="00C80189">
        <w:rPr>
          <w:rFonts w:ascii="Times New Roman" w:hAnsi="Times New Roman" w:cs="Times New Roman"/>
        </w:rPr>
        <w:t>category two</w:t>
      </w:r>
      <w:r w:rsidRPr="00C80189">
        <w:rPr>
          <w:rFonts w:ascii="Times New Roman" w:hAnsi="Times New Roman" w:cs="Times New Roman"/>
        </w:rPr>
        <w:t xml:space="preserve"> services.</w:t>
      </w:r>
      <w:r w:rsidRPr="00C80189">
        <w:rPr>
          <w:rFonts w:ascii="Times New Roman" w:hAnsi="Times New Roman" w:cs="Times New Roman"/>
          <w:b/>
        </w:rPr>
        <w:t xml:space="preserve">  </w:t>
      </w:r>
      <w:r w:rsidR="00CD2969" w:rsidRPr="00C80189">
        <w:rPr>
          <w:rFonts w:ascii="Times New Roman" w:hAnsi="Times New Roman" w:cs="Times New Roman"/>
        </w:rPr>
        <w:t>In this section</w:t>
      </w:r>
      <w:r w:rsidR="005D012D" w:rsidRPr="00C80189">
        <w:rPr>
          <w:rFonts w:ascii="Times New Roman" w:hAnsi="Times New Roman" w:cs="Times New Roman"/>
        </w:rPr>
        <w:t xml:space="preserve"> we review</w:t>
      </w:r>
      <w:r w:rsidR="004B4B8F" w:rsidRPr="00C80189">
        <w:rPr>
          <w:rFonts w:ascii="Times New Roman" w:hAnsi="Times New Roman" w:cs="Times New Roman"/>
        </w:rPr>
        <w:t xml:space="preserve"> some of</w:t>
      </w:r>
      <w:r w:rsidR="005D012D" w:rsidRPr="00C80189">
        <w:rPr>
          <w:rFonts w:ascii="Times New Roman" w:hAnsi="Times New Roman" w:cs="Times New Roman"/>
        </w:rPr>
        <w:t xml:space="preserve"> the </w:t>
      </w:r>
      <w:r w:rsidR="00127565" w:rsidRPr="00C80189">
        <w:rPr>
          <w:rFonts w:ascii="Times New Roman" w:hAnsi="Times New Roman" w:cs="Times New Roman"/>
        </w:rPr>
        <w:t>data</w:t>
      </w:r>
      <w:r w:rsidR="00CD2969" w:rsidRPr="00C80189">
        <w:rPr>
          <w:rFonts w:ascii="Times New Roman" w:hAnsi="Times New Roman" w:cs="Times New Roman"/>
        </w:rPr>
        <w:t xml:space="preserve"> that </w:t>
      </w:r>
      <w:r w:rsidR="004B4B8F" w:rsidRPr="00C80189">
        <w:rPr>
          <w:rFonts w:ascii="Times New Roman" w:hAnsi="Times New Roman" w:cs="Times New Roman"/>
        </w:rPr>
        <w:t>informed</w:t>
      </w:r>
      <w:r w:rsidR="00CD2969" w:rsidRPr="00C80189">
        <w:rPr>
          <w:rFonts w:ascii="Times New Roman" w:hAnsi="Times New Roman" w:cs="Times New Roman"/>
        </w:rPr>
        <w:t xml:space="preserve"> the Commission</w:t>
      </w:r>
      <w:r w:rsidR="00A55451" w:rsidRPr="00C80189">
        <w:rPr>
          <w:rFonts w:ascii="Times New Roman" w:hAnsi="Times New Roman" w:cs="Times New Roman"/>
        </w:rPr>
        <w:t>’s</w:t>
      </w:r>
      <w:r w:rsidR="00CD2969" w:rsidRPr="00C80189">
        <w:rPr>
          <w:rFonts w:ascii="Times New Roman" w:hAnsi="Times New Roman" w:cs="Times New Roman"/>
        </w:rPr>
        <w:t xml:space="preserve"> </w:t>
      </w:r>
      <w:r w:rsidR="00A55451" w:rsidRPr="00C80189">
        <w:rPr>
          <w:rFonts w:ascii="Times New Roman" w:hAnsi="Times New Roman" w:cs="Times New Roman"/>
        </w:rPr>
        <w:t xml:space="preserve">adoption of </w:t>
      </w:r>
      <w:r w:rsidR="00CD2969" w:rsidRPr="00C80189">
        <w:rPr>
          <w:rFonts w:ascii="Times New Roman" w:hAnsi="Times New Roman" w:cs="Times New Roman"/>
        </w:rPr>
        <w:t>these changes, and the</w:t>
      </w:r>
      <w:r w:rsidR="005D012D" w:rsidRPr="00C80189">
        <w:rPr>
          <w:rFonts w:ascii="Times New Roman" w:hAnsi="Times New Roman" w:cs="Times New Roman"/>
        </w:rPr>
        <w:t xml:space="preserve">n </w:t>
      </w:r>
      <w:r w:rsidR="000E5FCF" w:rsidRPr="00C80189">
        <w:rPr>
          <w:rFonts w:ascii="Times New Roman" w:hAnsi="Times New Roman" w:cs="Times New Roman"/>
        </w:rPr>
        <w:t xml:space="preserve">briefly </w:t>
      </w:r>
      <w:r w:rsidR="005D012D" w:rsidRPr="00C80189">
        <w:rPr>
          <w:rFonts w:ascii="Times New Roman" w:hAnsi="Times New Roman" w:cs="Times New Roman"/>
        </w:rPr>
        <w:t>summarize the</w:t>
      </w:r>
      <w:r w:rsidR="00A55451" w:rsidRPr="00C80189">
        <w:rPr>
          <w:rFonts w:ascii="Times New Roman" w:hAnsi="Times New Roman" w:cs="Times New Roman"/>
        </w:rPr>
        <w:t>ir</w:t>
      </w:r>
      <w:r w:rsidR="005D012D" w:rsidRPr="00C80189">
        <w:rPr>
          <w:rFonts w:ascii="Times New Roman" w:hAnsi="Times New Roman" w:cs="Times New Roman"/>
        </w:rPr>
        <w:t xml:space="preserve"> </w:t>
      </w:r>
      <w:r w:rsidR="00CD2969" w:rsidRPr="00C80189">
        <w:rPr>
          <w:rFonts w:ascii="Times New Roman" w:hAnsi="Times New Roman" w:cs="Times New Roman"/>
        </w:rPr>
        <w:t>projected imp</w:t>
      </w:r>
      <w:r w:rsidR="005D012D" w:rsidRPr="00C80189">
        <w:rPr>
          <w:rFonts w:ascii="Times New Roman" w:hAnsi="Times New Roman" w:cs="Times New Roman"/>
        </w:rPr>
        <w:t xml:space="preserve">act.  Some </w:t>
      </w:r>
      <w:r w:rsidR="00B77D78" w:rsidRPr="00C80189">
        <w:rPr>
          <w:rFonts w:ascii="Times New Roman" w:hAnsi="Times New Roman" w:cs="Times New Roman"/>
        </w:rPr>
        <w:t xml:space="preserve">of these </w:t>
      </w:r>
      <w:r w:rsidR="005D012D" w:rsidRPr="00C80189">
        <w:rPr>
          <w:rFonts w:ascii="Times New Roman" w:hAnsi="Times New Roman" w:cs="Times New Roman"/>
        </w:rPr>
        <w:t xml:space="preserve">changes, including in particular the adoption of </w:t>
      </w:r>
      <w:r w:rsidR="00C373F2" w:rsidRPr="00C80189">
        <w:rPr>
          <w:rFonts w:ascii="Times New Roman" w:hAnsi="Times New Roman" w:cs="Times New Roman"/>
        </w:rPr>
        <w:t>five</w:t>
      </w:r>
      <w:r w:rsidR="005D012D" w:rsidRPr="00C80189">
        <w:rPr>
          <w:rFonts w:ascii="Times New Roman" w:hAnsi="Times New Roman" w:cs="Times New Roman"/>
        </w:rPr>
        <w:t xml:space="preserve">-year applicant budgets, </w:t>
      </w:r>
      <w:r w:rsidR="00A55451" w:rsidRPr="00C80189">
        <w:rPr>
          <w:rFonts w:ascii="Times New Roman" w:hAnsi="Times New Roman" w:cs="Times New Roman"/>
        </w:rPr>
        <w:t>are</w:t>
      </w:r>
      <w:r w:rsidR="005D012D" w:rsidRPr="00C80189">
        <w:rPr>
          <w:rFonts w:ascii="Times New Roman" w:hAnsi="Times New Roman" w:cs="Times New Roman"/>
        </w:rPr>
        <w:t xml:space="preserve"> effective only for the next two years </w:t>
      </w:r>
      <w:r w:rsidR="00A55451" w:rsidRPr="00C80189">
        <w:rPr>
          <w:rFonts w:ascii="Times New Roman" w:hAnsi="Times New Roman" w:cs="Times New Roman"/>
        </w:rPr>
        <w:t xml:space="preserve">absent further action by the Commission </w:t>
      </w:r>
      <w:r w:rsidR="00667CAF" w:rsidRPr="00C80189">
        <w:rPr>
          <w:rFonts w:ascii="Times New Roman" w:hAnsi="Times New Roman" w:cs="Times New Roman"/>
        </w:rPr>
        <w:t>because they a</w:t>
      </w:r>
      <w:r w:rsidR="005D012D" w:rsidRPr="00C80189">
        <w:rPr>
          <w:rFonts w:ascii="Times New Roman" w:hAnsi="Times New Roman" w:cs="Times New Roman"/>
        </w:rPr>
        <w:t xml:space="preserve">re “closely linked to the question of the long-term funding levels for category two services” and </w:t>
      </w:r>
      <w:r w:rsidR="00667CAF" w:rsidRPr="00C80189">
        <w:rPr>
          <w:rFonts w:ascii="Times New Roman" w:hAnsi="Times New Roman" w:cs="Times New Roman"/>
        </w:rPr>
        <w:t xml:space="preserve">the Commission </w:t>
      </w:r>
      <w:r w:rsidR="005D012D" w:rsidRPr="00C80189">
        <w:rPr>
          <w:rFonts w:ascii="Times New Roman" w:hAnsi="Times New Roman" w:cs="Times New Roman"/>
        </w:rPr>
        <w:t xml:space="preserve">chose to “evaluate the longer-term application of </w:t>
      </w:r>
      <w:r w:rsidR="00F13607" w:rsidRPr="00C80189">
        <w:rPr>
          <w:rFonts w:ascii="Times New Roman" w:hAnsi="Times New Roman" w:cs="Times New Roman"/>
        </w:rPr>
        <w:t>[the budget]</w:t>
      </w:r>
      <w:r w:rsidR="005D012D" w:rsidRPr="00C80189">
        <w:rPr>
          <w:rFonts w:ascii="Times New Roman" w:hAnsi="Times New Roman" w:cs="Times New Roman"/>
        </w:rPr>
        <w:t xml:space="preserve"> approach in conjunction with our evaluation of the overall, longer-term program needs.”</w:t>
      </w:r>
      <w:r w:rsidR="00A55451" w:rsidRPr="00C80189">
        <w:rPr>
          <w:rStyle w:val="FootnoteReference"/>
          <w:rFonts w:cs="Times New Roman"/>
        </w:rPr>
        <w:footnoteReference w:id="4"/>
      </w:r>
      <w:r w:rsidR="005D012D" w:rsidRPr="00C80189">
        <w:rPr>
          <w:rFonts w:ascii="Times New Roman" w:hAnsi="Times New Roman" w:cs="Times New Roman"/>
        </w:rPr>
        <w:t xml:space="preserve"> </w:t>
      </w:r>
      <w:r w:rsidR="00A63960" w:rsidRPr="004F1C7B">
        <w:rPr>
          <w:rFonts w:ascii="Times New Roman" w:hAnsi="Times New Roman" w:cs="Times New Roman"/>
        </w:rPr>
        <w:t xml:space="preserve"> In the </w:t>
      </w:r>
      <w:r w:rsidR="00A63960" w:rsidRPr="004F1C7B">
        <w:rPr>
          <w:rFonts w:ascii="Times New Roman" w:hAnsi="Times New Roman" w:cs="Times New Roman"/>
          <w:i/>
        </w:rPr>
        <w:t>Further Notice</w:t>
      </w:r>
      <w:r w:rsidR="00A63960" w:rsidRPr="004F1C7B">
        <w:rPr>
          <w:rFonts w:ascii="Times New Roman" w:hAnsi="Times New Roman" w:cs="Times New Roman"/>
        </w:rPr>
        <w:t>, the Commission sought comment on whether the “budgets should be continued in future funding years, and the closely related question of the $1 billion funding target we adopt for cate</w:t>
      </w:r>
      <w:r w:rsidR="00A63960" w:rsidRPr="0080707A">
        <w:rPr>
          <w:rFonts w:ascii="Times New Roman" w:hAnsi="Times New Roman" w:cs="Times New Roman"/>
        </w:rPr>
        <w:t>gory two services.”</w:t>
      </w:r>
      <w:r w:rsidR="006B71A9" w:rsidRPr="00C80189">
        <w:rPr>
          <w:rStyle w:val="FootnoteReference"/>
          <w:rFonts w:cs="Times New Roman"/>
        </w:rPr>
        <w:footnoteReference w:id="5"/>
      </w:r>
      <w:r w:rsidR="00A63960" w:rsidRPr="00C80189">
        <w:rPr>
          <w:rFonts w:ascii="Times New Roman" w:hAnsi="Times New Roman" w:cs="Times New Roman"/>
        </w:rPr>
        <w:t xml:space="preserve"> </w:t>
      </w:r>
      <w:r w:rsidR="005D012D" w:rsidRPr="004F1C7B">
        <w:rPr>
          <w:rFonts w:ascii="Times New Roman" w:hAnsi="Times New Roman" w:cs="Times New Roman"/>
        </w:rPr>
        <w:t xml:space="preserve"> </w:t>
      </w:r>
      <w:r w:rsidR="00A63960" w:rsidRPr="004F1C7B">
        <w:rPr>
          <w:rFonts w:ascii="Times New Roman" w:hAnsi="Times New Roman" w:cs="Times New Roman"/>
        </w:rPr>
        <w:t>To help commenters address these issue</w:t>
      </w:r>
      <w:r w:rsidR="00D57787" w:rsidRPr="00C80189">
        <w:rPr>
          <w:rFonts w:ascii="Times New Roman" w:hAnsi="Times New Roman" w:cs="Times New Roman"/>
        </w:rPr>
        <w:t>s</w:t>
      </w:r>
      <w:r w:rsidR="000E5FCF" w:rsidRPr="00C80189">
        <w:rPr>
          <w:rFonts w:ascii="Times New Roman" w:hAnsi="Times New Roman" w:cs="Times New Roman"/>
        </w:rPr>
        <w:t xml:space="preserve">, we provide an initial staff analysis of </w:t>
      </w:r>
      <w:r w:rsidR="00E77EE9" w:rsidRPr="00C80189">
        <w:rPr>
          <w:rFonts w:ascii="Times New Roman" w:hAnsi="Times New Roman" w:cs="Times New Roman"/>
        </w:rPr>
        <w:t>how</w:t>
      </w:r>
      <w:r w:rsidR="000E5FCF" w:rsidRPr="00C80189">
        <w:rPr>
          <w:rFonts w:ascii="Times New Roman" w:hAnsi="Times New Roman" w:cs="Times New Roman"/>
        </w:rPr>
        <w:t xml:space="preserve"> budget </w:t>
      </w:r>
      <w:r w:rsidR="00E77EE9" w:rsidRPr="00C80189">
        <w:rPr>
          <w:rFonts w:ascii="Times New Roman" w:hAnsi="Times New Roman" w:cs="Times New Roman"/>
        </w:rPr>
        <w:t xml:space="preserve">requirements may be affected by </w:t>
      </w:r>
      <w:r w:rsidR="00C373F2" w:rsidRPr="00C80189">
        <w:rPr>
          <w:rFonts w:ascii="Times New Roman" w:hAnsi="Times New Roman" w:cs="Times New Roman"/>
        </w:rPr>
        <w:t xml:space="preserve">a </w:t>
      </w:r>
      <w:r w:rsidR="00E77EE9" w:rsidRPr="00C80189">
        <w:rPr>
          <w:rFonts w:ascii="Times New Roman" w:hAnsi="Times New Roman" w:cs="Times New Roman"/>
        </w:rPr>
        <w:t xml:space="preserve">Commission decision </w:t>
      </w:r>
      <w:r w:rsidR="00D57787" w:rsidRPr="00C80189">
        <w:rPr>
          <w:rFonts w:ascii="Times New Roman" w:hAnsi="Times New Roman" w:cs="Times New Roman"/>
        </w:rPr>
        <w:t xml:space="preserve">to </w:t>
      </w:r>
      <w:r w:rsidR="00E77EE9" w:rsidRPr="00C80189">
        <w:rPr>
          <w:rFonts w:ascii="Times New Roman" w:hAnsi="Times New Roman" w:cs="Times New Roman"/>
        </w:rPr>
        <w:t>extend</w:t>
      </w:r>
      <w:r w:rsidR="00F13607" w:rsidRPr="00C80189">
        <w:rPr>
          <w:rFonts w:ascii="Times New Roman" w:hAnsi="Times New Roman" w:cs="Times New Roman"/>
        </w:rPr>
        <w:t xml:space="preserve"> </w:t>
      </w:r>
      <w:r w:rsidR="006B71A9" w:rsidRPr="00C80189">
        <w:rPr>
          <w:rFonts w:ascii="Times New Roman" w:hAnsi="Times New Roman" w:cs="Times New Roman"/>
        </w:rPr>
        <w:t xml:space="preserve">or terminate </w:t>
      </w:r>
      <w:r w:rsidR="00A63960" w:rsidRPr="00C80189">
        <w:rPr>
          <w:rFonts w:ascii="Times New Roman" w:hAnsi="Times New Roman" w:cs="Times New Roman"/>
        </w:rPr>
        <w:t xml:space="preserve">the </w:t>
      </w:r>
      <w:r w:rsidR="00C373F2" w:rsidRPr="00C80189">
        <w:rPr>
          <w:rFonts w:ascii="Times New Roman" w:hAnsi="Times New Roman" w:cs="Times New Roman"/>
        </w:rPr>
        <w:t>five</w:t>
      </w:r>
      <w:r w:rsidR="00A63960" w:rsidRPr="00C80189">
        <w:rPr>
          <w:rFonts w:ascii="Times New Roman" w:hAnsi="Times New Roman" w:cs="Times New Roman"/>
        </w:rPr>
        <w:t>-year budget approach</w:t>
      </w:r>
      <w:r w:rsidR="000F207B">
        <w:rPr>
          <w:rFonts w:ascii="Times New Roman" w:hAnsi="Times New Roman" w:cs="Times New Roman"/>
        </w:rPr>
        <w:t xml:space="preserve">.  </w:t>
      </w:r>
    </w:p>
    <w:p w14:paraId="66A19DEF" w14:textId="121744E3" w:rsidR="008F0FE1" w:rsidRPr="00C80189" w:rsidRDefault="00CD2969" w:rsidP="00CD2969">
      <w:pPr>
        <w:pStyle w:val="Heading2"/>
        <w:rPr>
          <w:rFonts w:ascii="Times New Roman" w:hAnsi="Times New Roman" w:cs="Times New Roman"/>
        </w:rPr>
      </w:pPr>
      <w:r w:rsidRPr="00C80189">
        <w:rPr>
          <w:rFonts w:ascii="Times New Roman" w:hAnsi="Times New Roman" w:cs="Times New Roman"/>
        </w:rPr>
        <w:t xml:space="preserve">Old Priority </w:t>
      </w:r>
      <w:r w:rsidR="004F7363" w:rsidRPr="00C80189">
        <w:rPr>
          <w:rFonts w:ascii="Times New Roman" w:hAnsi="Times New Roman" w:cs="Times New Roman"/>
        </w:rPr>
        <w:t>Two</w:t>
      </w:r>
      <w:r w:rsidRPr="00C80189">
        <w:rPr>
          <w:rFonts w:ascii="Times New Roman" w:hAnsi="Times New Roman" w:cs="Times New Roman"/>
        </w:rPr>
        <w:t xml:space="preserve"> Funding Approach</w:t>
      </w:r>
    </w:p>
    <w:p w14:paraId="6134C784" w14:textId="3D721F81" w:rsidR="008F0FE1" w:rsidRPr="00C80189" w:rsidRDefault="00A63960" w:rsidP="000722EE">
      <w:pPr>
        <w:pStyle w:val="ParaNum"/>
        <w:rPr>
          <w:rFonts w:ascii="Times New Roman" w:hAnsi="Times New Roman" w:cs="Times New Roman"/>
        </w:rPr>
      </w:pPr>
      <w:r w:rsidRPr="00C80189">
        <w:rPr>
          <w:rFonts w:ascii="Times New Roman" w:hAnsi="Times New Roman" w:cs="Times New Roman"/>
        </w:rPr>
        <w:t xml:space="preserve">Under the </w:t>
      </w:r>
      <w:r w:rsidR="004B4B8F" w:rsidRPr="00C80189">
        <w:rPr>
          <w:rFonts w:ascii="Times New Roman" w:hAnsi="Times New Roman" w:cs="Times New Roman"/>
        </w:rPr>
        <w:t>old</w:t>
      </w:r>
      <w:r w:rsidRPr="00C80189">
        <w:rPr>
          <w:rFonts w:ascii="Times New Roman" w:hAnsi="Times New Roman" w:cs="Times New Roman"/>
        </w:rPr>
        <w:t xml:space="preserve"> approach to funding of internal connections, schools and libraries had no overall limit on the </w:t>
      </w:r>
      <w:r w:rsidR="006B71A9" w:rsidRPr="00C80189">
        <w:rPr>
          <w:rFonts w:ascii="Times New Roman" w:hAnsi="Times New Roman" w:cs="Times New Roman"/>
        </w:rPr>
        <w:t xml:space="preserve">amount of </w:t>
      </w:r>
      <w:r w:rsidRPr="00C80189">
        <w:rPr>
          <w:rFonts w:ascii="Times New Roman" w:hAnsi="Times New Roman" w:cs="Times New Roman"/>
        </w:rPr>
        <w:t>support</w:t>
      </w:r>
      <w:r w:rsidR="006B71A9" w:rsidRPr="00C80189">
        <w:rPr>
          <w:rFonts w:ascii="Times New Roman" w:hAnsi="Times New Roman" w:cs="Times New Roman"/>
        </w:rPr>
        <w:t xml:space="preserve"> they could request</w:t>
      </w:r>
      <w:r w:rsidRPr="00C80189">
        <w:rPr>
          <w:rFonts w:ascii="Times New Roman" w:hAnsi="Times New Roman" w:cs="Times New Roman"/>
        </w:rPr>
        <w:t>, although applicants could request internal connections funding</w:t>
      </w:r>
      <w:r w:rsidR="00C373F2" w:rsidRPr="00C80189">
        <w:rPr>
          <w:rFonts w:ascii="Times New Roman" w:hAnsi="Times New Roman" w:cs="Times New Roman"/>
        </w:rPr>
        <w:t xml:space="preserve"> only</w:t>
      </w:r>
      <w:r w:rsidRPr="00C80189">
        <w:rPr>
          <w:rFonts w:ascii="Times New Roman" w:hAnsi="Times New Roman" w:cs="Times New Roman"/>
        </w:rPr>
        <w:t xml:space="preserve"> twice in any five-year period.</w:t>
      </w:r>
      <w:r w:rsidR="000722EE" w:rsidRPr="00C80189">
        <w:rPr>
          <w:rFonts w:ascii="Times New Roman" w:hAnsi="Times New Roman" w:cs="Times New Roman"/>
        </w:rPr>
        <w:t xml:space="preserve">  </w:t>
      </w:r>
      <w:r w:rsidR="007D17B7" w:rsidRPr="00C80189">
        <w:rPr>
          <w:rFonts w:ascii="Times New Roman" w:hAnsi="Times New Roman" w:cs="Times New Roman"/>
        </w:rPr>
        <w:t>F</w:t>
      </w:r>
      <w:r w:rsidR="002D41CE" w:rsidRPr="00C80189">
        <w:rPr>
          <w:rFonts w:ascii="Times New Roman" w:hAnsi="Times New Roman" w:cs="Times New Roman"/>
        </w:rPr>
        <w:t>rom</w:t>
      </w:r>
      <w:r w:rsidR="008F0FE1" w:rsidRPr="00C80189">
        <w:rPr>
          <w:rFonts w:ascii="Times New Roman" w:hAnsi="Times New Roman" w:cs="Times New Roman"/>
        </w:rPr>
        <w:t xml:space="preserve"> </w:t>
      </w:r>
      <w:r w:rsidR="00DA08B1" w:rsidRPr="00C80189">
        <w:rPr>
          <w:rFonts w:ascii="Times New Roman" w:hAnsi="Times New Roman" w:cs="Times New Roman"/>
        </w:rPr>
        <w:t>Fund</w:t>
      </w:r>
      <w:r w:rsidR="007D17B7" w:rsidRPr="00C80189">
        <w:rPr>
          <w:rFonts w:ascii="Times New Roman" w:hAnsi="Times New Roman" w:cs="Times New Roman"/>
        </w:rPr>
        <w:t>ing</w:t>
      </w:r>
      <w:r w:rsidR="00DA08B1" w:rsidRPr="00C80189">
        <w:rPr>
          <w:rFonts w:ascii="Times New Roman" w:hAnsi="Times New Roman" w:cs="Times New Roman"/>
        </w:rPr>
        <w:t xml:space="preserve"> Year </w:t>
      </w:r>
      <w:r w:rsidR="008F0FE1" w:rsidRPr="00C80189">
        <w:rPr>
          <w:rFonts w:ascii="Times New Roman" w:hAnsi="Times New Roman" w:cs="Times New Roman"/>
        </w:rPr>
        <w:t xml:space="preserve">2008 through </w:t>
      </w:r>
      <w:r w:rsidR="00DA08B1" w:rsidRPr="00C80189">
        <w:rPr>
          <w:rFonts w:ascii="Times New Roman" w:hAnsi="Times New Roman" w:cs="Times New Roman"/>
        </w:rPr>
        <w:t>Fund</w:t>
      </w:r>
      <w:r w:rsidR="009027AD" w:rsidRPr="00C80189">
        <w:rPr>
          <w:rFonts w:ascii="Times New Roman" w:hAnsi="Times New Roman" w:cs="Times New Roman"/>
        </w:rPr>
        <w:t>ing</w:t>
      </w:r>
      <w:r w:rsidR="00DA08B1" w:rsidRPr="00C80189">
        <w:rPr>
          <w:rFonts w:ascii="Times New Roman" w:hAnsi="Times New Roman" w:cs="Times New Roman"/>
        </w:rPr>
        <w:t xml:space="preserve"> Year </w:t>
      </w:r>
      <w:r w:rsidR="008F0FE1" w:rsidRPr="00C80189">
        <w:rPr>
          <w:rFonts w:ascii="Times New Roman" w:hAnsi="Times New Roman" w:cs="Times New Roman"/>
        </w:rPr>
        <w:t xml:space="preserve">2012, </w:t>
      </w:r>
      <w:r w:rsidR="00C373F2" w:rsidRPr="00C80189">
        <w:rPr>
          <w:rFonts w:ascii="Times New Roman" w:hAnsi="Times New Roman" w:cs="Times New Roman"/>
        </w:rPr>
        <w:t>E-rate</w:t>
      </w:r>
      <w:r w:rsidR="008F0FE1" w:rsidRPr="00C80189">
        <w:rPr>
          <w:rFonts w:ascii="Times New Roman" w:hAnsi="Times New Roman" w:cs="Times New Roman"/>
        </w:rPr>
        <w:t xml:space="preserve"> provided between $700 million and $1.2 billion for Priority </w:t>
      </w:r>
      <w:r w:rsidR="004F7363" w:rsidRPr="00C80189">
        <w:rPr>
          <w:rFonts w:ascii="Times New Roman" w:hAnsi="Times New Roman" w:cs="Times New Roman"/>
        </w:rPr>
        <w:t xml:space="preserve">Two </w:t>
      </w:r>
      <w:r w:rsidR="008F0FE1" w:rsidRPr="00C80189">
        <w:rPr>
          <w:rFonts w:ascii="Times New Roman" w:hAnsi="Times New Roman" w:cs="Times New Roman"/>
        </w:rPr>
        <w:t>Funding</w:t>
      </w:r>
      <w:r w:rsidR="002D41CE" w:rsidRPr="00C80189">
        <w:rPr>
          <w:rFonts w:ascii="Times New Roman" w:hAnsi="Times New Roman" w:cs="Times New Roman"/>
        </w:rPr>
        <w:t xml:space="preserve"> each year. </w:t>
      </w:r>
      <w:r w:rsidR="000722EE" w:rsidRPr="00C80189">
        <w:rPr>
          <w:rFonts w:ascii="Times New Roman" w:hAnsi="Times New Roman" w:cs="Times New Roman"/>
        </w:rPr>
        <w:t xml:space="preserve"> </w:t>
      </w:r>
      <w:r w:rsidR="002D41CE" w:rsidRPr="00C80189">
        <w:rPr>
          <w:rFonts w:ascii="Times New Roman" w:hAnsi="Times New Roman" w:cs="Times New Roman"/>
        </w:rPr>
        <w:t xml:space="preserve">However, as illustrated in Figure </w:t>
      </w:r>
      <w:r w:rsidR="008B49F0" w:rsidRPr="00C80189">
        <w:rPr>
          <w:rFonts w:ascii="Times New Roman" w:hAnsi="Times New Roman" w:cs="Times New Roman"/>
        </w:rPr>
        <w:t>1,</w:t>
      </w:r>
      <w:r w:rsidR="002D41CE" w:rsidRPr="00C80189">
        <w:rPr>
          <w:rFonts w:ascii="Times New Roman" w:hAnsi="Times New Roman" w:cs="Times New Roman"/>
        </w:rPr>
        <w:t xml:space="preserve"> </w:t>
      </w:r>
      <w:r w:rsidR="008F0375" w:rsidRPr="00C80189">
        <w:rPr>
          <w:rFonts w:ascii="Times New Roman" w:hAnsi="Times New Roman" w:cs="Times New Roman"/>
        </w:rPr>
        <w:t xml:space="preserve">this funding provided </w:t>
      </w:r>
      <w:r w:rsidR="00D44D7D">
        <w:rPr>
          <w:rFonts w:ascii="Times New Roman" w:hAnsi="Times New Roman" w:cs="Times New Roman"/>
        </w:rPr>
        <w:t xml:space="preserve">internal connections </w:t>
      </w:r>
      <w:r w:rsidR="008F0FE1" w:rsidRPr="00C80189">
        <w:rPr>
          <w:rFonts w:ascii="Times New Roman" w:hAnsi="Times New Roman" w:cs="Times New Roman"/>
        </w:rPr>
        <w:t xml:space="preserve">support </w:t>
      </w:r>
      <w:r w:rsidR="002D41CE" w:rsidRPr="00C80189">
        <w:rPr>
          <w:rFonts w:ascii="Times New Roman" w:hAnsi="Times New Roman" w:cs="Times New Roman"/>
        </w:rPr>
        <w:t xml:space="preserve">for only </w:t>
      </w:r>
      <w:r w:rsidR="00C373F2" w:rsidRPr="00C80189">
        <w:rPr>
          <w:rFonts w:ascii="Times New Roman" w:hAnsi="Times New Roman" w:cs="Times New Roman"/>
        </w:rPr>
        <w:t xml:space="preserve">four </w:t>
      </w:r>
      <w:r w:rsidR="001F74B6" w:rsidRPr="00C80189">
        <w:rPr>
          <w:rFonts w:ascii="Times New Roman" w:hAnsi="Times New Roman" w:cs="Times New Roman"/>
        </w:rPr>
        <w:t xml:space="preserve">to 11 percent </w:t>
      </w:r>
      <w:r w:rsidR="008F0FE1" w:rsidRPr="00C80189">
        <w:rPr>
          <w:rFonts w:ascii="Times New Roman" w:hAnsi="Times New Roman" w:cs="Times New Roman"/>
        </w:rPr>
        <w:t>of the more than 100,000 schools participating in the program</w:t>
      </w:r>
      <w:r w:rsidR="002D41CE" w:rsidRPr="00C80189">
        <w:rPr>
          <w:rFonts w:ascii="Times New Roman" w:hAnsi="Times New Roman" w:cs="Times New Roman"/>
        </w:rPr>
        <w:t xml:space="preserve"> each year</w:t>
      </w:r>
      <w:r w:rsidR="000F207B">
        <w:rPr>
          <w:rFonts w:ascii="Times New Roman" w:hAnsi="Times New Roman" w:cs="Times New Roman"/>
        </w:rPr>
        <w:t xml:space="preserve">.  </w:t>
      </w:r>
    </w:p>
    <w:p w14:paraId="1EF1B74E" w14:textId="77777777" w:rsidR="001A73B3" w:rsidRPr="00C80189" w:rsidRDefault="001A73B3" w:rsidP="001A73B3">
      <w:pPr>
        <w:pStyle w:val="ParaNum"/>
        <w:numPr>
          <w:ilvl w:val="0"/>
          <w:numId w:val="0"/>
        </w:numPr>
        <w:ind w:left="720"/>
        <w:rPr>
          <w:rFonts w:ascii="Times New Roman" w:hAnsi="Times New Roman" w:cs="Times New Roman"/>
        </w:rPr>
      </w:pPr>
    </w:p>
    <w:p w14:paraId="40D71029" w14:textId="4A72857F" w:rsidR="008F0FE1" w:rsidRPr="004F1C7B" w:rsidRDefault="008F0FE1" w:rsidP="008F0FE1">
      <w:pPr>
        <w:pStyle w:val="ParaNum"/>
        <w:keepNext/>
        <w:numPr>
          <w:ilvl w:val="0"/>
          <w:numId w:val="0"/>
        </w:numPr>
        <w:jc w:val="center"/>
        <w:rPr>
          <w:rFonts w:ascii="Times New Roman" w:hAnsi="Times New Roman" w:cs="Times New Roman"/>
          <w:b/>
        </w:rPr>
      </w:pPr>
      <w:r w:rsidRPr="00C80189">
        <w:rPr>
          <w:rFonts w:ascii="Times New Roman" w:hAnsi="Times New Roman" w:cs="Times New Roman"/>
          <w:b/>
        </w:rPr>
        <w:t xml:space="preserve">Figure </w:t>
      </w:r>
      <w:r w:rsidR="008B49F0" w:rsidRPr="00C80189">
        <w:rPr>
          <w:rFonts w:ascii="Times New Roman" w:hAnsi="Times New Roman" w:cs="Times New Roman"/>
          <w:b/>
        </w:rPr>
        <w:t>1:</w:t>
      </w:r>
      <w:r w:rsidRPr="00C80189">
        <w:rPr>
          <w:rFonts w:ascii="Times New Roman" w:hAnsi="Times New Roman" w:cs="Times New Roman"/>
          <w:b/>
        </w:rPr>
        <w:t xml:space="preserve"> </w:t>
      </w:r>
      <w:r w:rsidR="008C5ECE" w:rsidRPr="00C80189">
        <w:rPr>
          <w:rFonts w:ascii="Times New Roman" w:hAnsi="Times New Roman" w:cs="Times New Roman"/>
          <w:b/>
        </w:rPr>
        <w:t>Internal Connections</w:t>
      </w:r>
      <w:r w:rsidR="00D761C9" w:rsidRPr="00C80189">
        <w:rPr>
          <w:rFonts w:ascii="Times New Roman" w:hAnsi="Times New Roman" w:cs="Times New Roman"/>
          <w:b/>
        </w:rPr>
        <w:t xml:space="preserve"> </w:t>
      </w:r>
      <w:r w:rsidRPr="00C80189">
        <w:rPr>
          <w:rFonts w:ascii="Times New Roman" w:hAnsi="Times New Roman" w:cs="Times New Roman"/>
          <w:b/>
        </w:rPr>
        <w:t>Funding for Schools</w:t>
      </w:r>
      <w:r w:rsidRPr="004F1C7B">
        <w:rPr>
          <w:rStyle w:val="FootnoteReference"/>
          <w:rFonts w:cs="Times New Roman"/>
          <w:b/>
        </w:rPr>
        <w:footnoteReference w:id="6"/>
      </w:r>
    </w:p>
    <w:p w14:paraId="5FAE93A7" w14:textId="77777777" w:rsidR="008F0FE1" w:rsidRPr="004F1C7B" w:rsidRDefault="008F0FE1" w:rsidP="008F0FE1">
      <w:pPr>
        <w:pStyle w:val="ParaNum"/>
        <w:numPr>
          <w:ilvl w:val="0"/>
          <w:numId w:val="0"/>
        </w:numPr>
        <w:rPr>
          <w:rFonts w:ascii="Times New Roman" w:hAnsi="Times New Roman" w:cs="Times New Roman"/>
          <w:b/>
        </w:rPr>
      </w:pPr>
      <w:r w:rsidRPr="004F1C7B">
        <w:rPr>
          <w:rFonts w:ascii="Times New Roman" w:hAnsi="Times New Roman" w:cs="Times New Roman"/>
          <w:b/>
          <w:noProof/>
        </w:rPr>
        <w:drawing>
          <wp:inline distT="0" distB="0" distL="0" distR="0" wp14:anchorId="291A0116" wp14:editId="26783946">
            <wp:extent cx="5486400" cy="3019425"/>
            <wp:effectExtent l="0" t="0" r="0" b="3175"/>
            <wp:docPr id="16418" name="Chart 16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6300" w:type="dxa"/>
        <w:tblInd w:w="234" w:type="dxa"/>
        <w:tblCellMar>
          <w:left w:w="0" w:type="dxa"/>
          <w:right w:w="0" w:type="dxa"/>
        </w:tblCellMar>
        <w:tblLook w:val="0600" w:firstRow="0" w:lastRow="0" w:firstColumn="0" w:lastColumn="0" w:noHBand="1" w:noVBand="1"/>
      </w:tblPr>
      <w:tblGrid>
        <w:gridCol w:w="1160"/>
        <w:gridCol w:w="834"/>
        <w:gridCol w:w="833"/>
        <w:gridCol w:w="895"/>
        <w:gridCol w:w="895"/>
        <w:gridCol w:w="895"/>
        <w:gridCol w:w="788"/>
      </w:tblGrid>
      <w:tr w:rsidR="008F0FE1" w:rsidRPr="00C80189" w14:paraId="73C335FF" w14:textId="77777777" w:rsidTr="00A70004">
        <w:trPr>
          <w:trHeight w:val="715"/>
        </w:trPr>
        <w:tc>
          <w:tcPr>
            <w:tcW w:w="117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47635345" w14:textId="55F4239A" w:rsidR="008F0FE1" w:rsidRPr="00C80189" w:rsidRDefault="008F0FE1" w:rsidP="00A70004">
            <w:pPr>
              <w:jc w:val="center"/>
              <w:rPr>
                <w:rFonts w:ascii="Times New Roman" w:hAnsi="Times New Roman" w:cs="Times New Roman"/>
                <w:sz w:val="20"/>
              </w:rPr>
            </w:pPr>
            <w:r w:rsidRPr="004F1C7B">
              <w:rPr>
                <w:rFonts w:ascii="Times New Roman" w:hAnsi="Times New Roman" w:cs="Times New Roman"/>
                <w:b/>
                <w:bCs/>
                <w:color w:val="4F6228"/>
                <w:kern w:val="24"/>
                <w:sz w:val="20"/>
              </w:rPr>
              <w:t xml:space="preserve">Priority </w:t>
            </w:r>
            <w:r w:rsidR="00C373F2" w:rsidRPr="00C05904">
              <w:rPr>
                <w:rFonts w:ascii="Times New Roman" w:hAnsi="Times New Roman" w:cs="Times New Roman"/>
                <w:b/>
                <w:bCs/>
                <w:color w:val="4F6228"/>
                <w:kern w:val="24"/>
                <w:sz w:val="20"/>
              </w:rPr>
              <w:t>Two</w:t>
            </w:r>
            <w:r w:rsidRPr="0080707A">
              <w:rPr>
                <w:rFonts w:ascii="Times New Roman" w:hAnsi="Times New Roman" w:cs="Times New Roman"/>
                <w:b/>
                <w:bCs/>
                <w:color w:val="4F6228"/>
                <w:kern w:val="24"/>
                <w:sz w:val="20"/>
              </w:rPr>
              <w:t xml:space="preserve"> Funding</w:t>
            </w:r>
          </w:p>
        </w:tc>
        <w:tc>
          <w:tcPr>
            <w:tcW w:w="81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487E6398" w14:textId="77777777" w:rsidR="008F0FE1" w:rsidRPr="00C80189" w:rsidRDefault="008F0FE1" w:rsidP="00A70004">
            <w:pPr>
              <w:tabs>
                <w:tab w:val="center" w:pos="4320"/>
                <w:tab w:val="right" w:pos="8640"/>
              </w:tabs>
              <w:jc w:val="center"/>
              <w:rPr>
                <w:rFonts w:ascii="Times New Roman" w:hAnsi="Times New Roman" w:cs="Times New Roman"/>
                <w:sz w:val="20"/>
              </w:rPr>
            </w:pPr>
            <w:r w:rsidRPr="00C80189">
              <w:rPr>
                <w:rFonts w:ascii="Times New Roman" w:hAnsi="Times New Roman" w:cs="Times New Roman"/>
                <w:b/>
                <w:bCs/>
                <w:color w:val="4F6228"/>
                <w:kern w:val="24"/>
                <w:sz w:val="20"/>
              </w:rPr>
              <w:t>$0.9 billion</w:t>
            </w:r>
          </w:p>
        </w:tc>
        <w:tc>
          <w:tcPr>
            <w:tcW w:w="81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33BF9CC8" w14:textId="77777777" w:rsidR="008F0FE1" w:rsidRPr="00C80189" w:rsidRDefault="008F0FE1" w:rsidP="00A70004">
            <w:pPr>
              <w:tabs>
                <w:tab w:val="center" w:pos="4320"/>
                <w:tab w:val="right" w:pos="8640"/>
              </w:tabs>
              <w:jc w:val="center"/>
              <w:rPr>
                <w:rFonts w:ascii="Times New Roman" w:hAnsi="Times New Roman" w:cs="Times New Roman"/>
                <w:sz w:val="20"/>
              </w:rPr>
            </w:pPr>
            <w:r w:rsidRPr="00C80189">
              <w:rPr>
                <w:rFonts w:ascii="Times New Roman" w:hAnsi="Times New Roman" w:cs="Times New Roman"/>
                <w:b/>
                <w:bCs/>
                <w:color w:val="4F6228"/>
                <w:kern w:val="24"/>
                <w:sz w:val="20"/>
              </w:rPr>
              <w:t>$1.2 billion</w:t>
            </w:r>
          </w:p>
        </w:tc>
        <w:tc>
          <w:tcPr>
            <w:tcW w:w="9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58EE60F9" w14:textId="77777777" w:rsidR="008F0FE1" w:rsidRPr="00C80189" w:rsidRDefault="008F0FE1" w:rsidP="00A70004">
            <w:pPr>
              <w:tabs>
                <w:tab w:val="center" w:pos="4320"/>
                <w:tab w:val="right" w:pos="8640"/>
              </w:tabs>
              <w:jc w:val="center"/>
              <w:rPr>
                <w:rFonts w:ascii="Times New Roman" w:hAnsi="Times New Roman" w:cs="Times New Roman"/>
                <w:sz w:val="20"/>
              </w:rPr>
            </w:pPr>
            <w:r w:rsidRPr="00C80189">
              <w:rPr>
                <w:rFonts w:ascii="Times New Roman" w:hAnsi="Times New Roman" w:cs="Times New Roman"/>
                <w:b/>
                <w:bCs/>
                <w:color w:val="4F6228"/>
                <w:kern w:val="24"/>
                <w:sz w:val="20"/>
              </w:rPr>
              <w:t>$1.2 billion</w:t>
            </w:r>
          </w:p>
        </w:tc>
        <w:tc>
          <w:tcPr>
            <w:tcW w:w="9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4C0B12C3" w14:textId="77777777" w:rsidR="008F0FE1" w:rsidRPr="00C80189" w:rsidRDefault="008F0FE1" w:rsidP="00A70004">
            <w:pPr>
              <w:tabs>
                <w:tab w:val="center" w:pos="4320"/>
                <w:tab w:val="right" w:pos="8640"/>
              </w:tabs>
              <w:jc w:val="center"/>
              <w:rPr>
                <w:rFonts w:ascii="Times New Roman" w:hAnsi="Times New Roman" w:cs="Times New Roman"/>
                <w:sz w:val="20"/>
              </w:rPr>
            </w:pPr>
            <w:r w:rsidRPr="00C80189">
              <w:rPr>
                <w:rFonts w:ascii="Times New Roman" w:hAnsi="Times New Roman" w:cs="Times New Roman"/>
                <w:b/>
                <w:bCs/>
                <w:color w:val="4F6228"/>
                <w:kern w:val="24"/>
                <w:sz w:val="20"/>
              </w:rPr>
              <w:t>$0.7 billion</w:t>
            </w:r>
          </w:p>
        </w:tc>
        <w:tc>
          <w:tcPr>
            <w:tcW w:w="9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5FDBA8AA" w14:textId="77777777" w:rsidR="008F0FE1" w:rsidRPr="00C80189" w:rsidRDefault="008F0FE1" w:rsidP="00A70004">
            <w:pPr>
              <w:tabs>
                <w:tab w:val="center" w:pos="4320"/>
                <w:tab w:val="right" w:pos="8640"/>
              </w:tabs>
              <w:jc w:val="center"/>
              <w:rPr>
                <w:rFonts w:ascii="Times New Roman" w:hAnsi="Times New Roman" w:cs="Times New Roman"/>
                <w:sz w:val="20"/>
              </w:rPr>
            </w:pPr>
            <w:r w:rsidRPr="00C80189">
              <w:rPr>
                <w:rFonts w:ascii="Times New Roman" w:hAnsi="Times New Roman" w:cs="Times New Roman"/>
                <w:b/>
                <w:bCs/>
                <w:color w:val="4F6228"/>
                <w:kern w:val="24"/>
                <w:sz w:val="20"/>
              </w:rPr>
              <w:t>$0.8 billion</w:t>
            </w:r>
          </w:p>
        </w:tc>
        <w:tc>
          <w:tcPr>
            <w:tcW w:w="81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14:paraId="08E27C32" w14:textId="77777777" w:rsidR="008F0FE1" w:rsidRPr="00C80189" w:rsidRDefault="008F0FE1" w:rsidP="00A70004">
            <w:pPr>
              <w:tabs>
                <w:tab w:val="center" w:pos="4320"/>
                <w:tab w:val="right" w:pos="8640"/>
              </w:tabs>
              <w:jc w:val="center"/>
              <w:rPr>
                <w:rFonts w:ascii="Times New Roman" w:hAnsi="Times New Roman" w:cs="Times New Roman"/>
                <w:sz w:val="20"/>
              </w:rPr>
            </w:pPr>
            <w:r w:rsidRPr="00C80189">
              <w:rPr>
                <w:rFonts w:ascii="Times New Roman" w:hAnsi="Times New Roman" w:cs="Times New Roman"/>
                <w:b/>
                <w:bCs/>
                <w:color w:val="4F6228"/>
                <w:kern w:val="24"/>
                <w:sz w:val="20"/>
              </w:rPr>
              <w:t>$0</w:t>
            </w:r>
          </w:p>
        </w:tc>
      </w:tr>
    </w:tbl>
    <w:p w14:paraId="22FB5B71" w14:textId="77777777" w:rsidR="008F0FE1" w:rsidRPr="00C80189" w:rsidRDefault="008F0FE1" w:rsidP="008F0FE1">
      <w:pPr>
        <w:pStyle w:val="ParaNum"/>
        <w:numPr>
          <w:ilvl w:val="0"/>
          <w:numId w:val="0"/>
        </w:numPr>
        <w:rPr>
          <w:rFonts w:ascii="Times New Roman" w:hAnsi="Times New Roman" w:cs="Times New Roman"/>
          <w:b/>
        </w:rPr>
      </w:pPr>
    </w:p>
    <w:p w14:paraId="4EE99B1F" w14:textId="5792EEAD" w:rsidR="008F0FE1" w:rsidRPr="00C80189" w:rsidRDefault="004B4B8F" w:rsidP="008F0FE1">
      <w:pPr>
        <w:pStyle w:val="ParaNum"/>
        <w:rPr>
          <w:rFonts w:ascii="Times New Roman" w:hAnsi="Times New Roman" w:cs="Times New Roman"/>
        </w:rPr>
      </w:pPr>
      <w:r w:rsidRPr="004F1C7B">
        <w:rPr>
          <w:rFonts w:ascii="Times New Roman" w:hAnsi="Times New Roman" w:cs="Times New Roman"/>
        </w:rPr>
        <w:t>I</w:t>
      </w:r>
      <w:r w:rsidR="008F0375" w:rsidRPr="004F1C7B">
        <w:rPr>
          <w:rFonts w:ascii="Times New Roman" w:hAnsi="Times New Roman" w:cs="Times New Roman"/>
        </w:rPr>
        <w:t>nternal c</w:t>
      </w:r>
      <w:r w:rsidR="008F0FE1" w:rsidRPr="00C05904">
        <w:rPr>
          <w:rFonts w:ascii="Times New Roman" w:hAnsi="Times New Roman" w:cs="Times New Roman"/>
        </w:rPr>
        <w:t>onnections support</w:t>
      </w:r>
      <w:r w:rsidR="000722EE" w:rsidRPr="0080707A">
        <w:rPr>
          <w:rFonts w:ascii="Times New Roman" w:hAnsi="Times New Roman" w:cs="Times New Roman"/>
        </w:rPr>
        <w:t xml:space="preserve"> was </w:t>
      </w:r>
      <w:r w:rsidR="006B71A9" w:rsidRPr="0080707A">
        <w:rPr>
          <w:rFonts w:ascii="Times New Roman" w:hAnsi="Times New Roman" w:cs="Times New Roman"/>
        </w:rPr>
        <w:t xml:space="preserve">provided </w:t>
      </w:r>
      <w:r w:rsidR="008F0FE1" w:rsidRPr="0080707A">
        <w:rPr>
          <w:rFonts w:ascii="Times New Roman" w:hAnsi="Times New Roman" w:cs="Times New Roman"/>
        </w:rPr>
        <w:t>for</w:t>
      </w:r>
      <w:r w:rsidR="00796DC0" w:rsidRPr="0080707A">
        <w:rPr>
          <w:rFonts w:ascii="Times New Roman" w:hAnsi="Times New Roman" w:cs="Times New Roman"/>
        </w:rPr>
        <w:t xml:space="preserve"> an even sma</w:t>
      </w:r>
      <w:r w:rsidR="00796DC0" w:rsidRPr="00C80189">
        <w:rPr>
          <w:rFonts w:ascii="Times New Roman" w:hAnsi="Times New Roman" w:cs="Times New Roman"/>
        </w:rPr>
        <w:t>ller fraction of</w:t>
      </w:r>
      <w:r w:rsidR="008F0FE1" w:rsidRPr="00C80189">
        <w:rPr>
          <w:rFonts w:ascii="Times New Roman" w:hAnsi="Times New Roman" w:cs="Times New Roman"/>
        </w:rPr>
        <w:t xml:space="preserve"> library locations. </w:t>
      </w:r>
      <w:r w:rsidR="002D41CE" w:rsidRPr="00C80189">
        <w:rPr>
          <w:rFonts w:ascii="Times New Roman" w:hAnsi="Times New Roman" w:cs="Times New Roman"/>
        </w:rPr>
        <w:t xml:space="preserve"> As illustrated in Figure </w:t>
      </w:r>
      <w:r w:rsidR="008B49F0" w:rsidRPr="00C80189">
        <w:rPr>
          <w:rFonts w:ascii="Times New Roman" w:hAnsi="Times New Roman" w:cs="Times New Roman"/>
        </w:rPr>
        <w:t>2</w:t>
      </w:r>
      <w:r w:rsidR="002D41CE" w:rsidRPr="00C80189">
        <w:rPr>
          <w:rFonts w:ascii="Times New Roman" w:hAnsi="Times New Roman" w:cs="Times New Roman"/>
        </w:rPr>
        <w:t xml:space="preserve">, </w:t>
      </w:r>
      <w:r w:rsidR="008F0FE1" w:rsidRPr="00C80189">
        <w:rPr>
          <w:rFonts w:ascii="Times New Roman" w:hAnsi="Times New Roman" w:cs="Times New Roman"/>
        </w:rPr>
        <w:t xml:space="preserve">no more than </w:t>
      </w:r>
      <w:r w:rsidR="00593A6B" w:rsidRPr="00C80189">
        <w:rPr>
          <w:rFonts w:ascii="Times New Roman" w:hAnsi="Times New Roman" w:cs="Times New Roman"/>
        </w:rPr>
        <w:t xml:space="preserve">three </w:t>
      </w:r>
      <w:r w:rsidR="008F0FE1" w:rsidRPr="00C80189">
        <w:rPr>
          <w:rFonts w:ascii="Times New Roman" w:hAnsi="Times New Roman" w:cs="Times New Roman"/>
        </w:rPr>
        <w:t xml:space="preserve">percent each year of public library locations (central libraries and branches) received a funding commitment for </w:t>
      </w:r>
      <w:r w:rsidR="008F0375" w:rsidRPr="00C80189">
        <w:rPr>
          <w:rFonts w:ascii="Times New Roman" w:hAnsi="Times New Roman" w:cs="Times New Roman"/>
        </w:rPr>
        <w:t>internal connections</w:t>
      </w:r>
      <w:r w:rsidR="008F0FE1" w:rsidRPr="00C80189">
        <w:rPr>
          <w:rFonts w:ascii="Times New Roman" w:hAnsi="Times New Roman" w:cs="Times New Roman"/>
        </w:rPr>
        <w:t xml:space="preserve"> suppo</w:t>
      </w:r>
      <w:r w:rsidR="002D41CE" w:rsidRPr="00C80189">
        <w:rPr>
          <w:rFonts w:ascii="Times New Roman" w:hAnsi="Times New Roman" w:cs="Times New Roman"/>
        </w:rPr>
        <w:t xml:space="preserve">rt in </w:t>
      </w:r>
      <w:r w:rsidR="009027AD" w:rsidRPr="00C80189">
        <w:rPr>
          <w:rFonts w:ascii="Times New Roman" w:hAnsi="Times New Roman" w:cs="Times New Roman"/>
        </w:rPr>
        <w:t>Funding Year</w:t>
      </w:r>
      <w:r w:rsidR="00DA08B1" w:rsidRPr="00C80189">
        <w:rPr>
          <w:rFonts w:ascii="Times New Roman" w:hAnsi="Times New Roman" w:cs="Times New Roman"/>
        </w:rPr>
        <w:t xml:space="preserve"> </w:t>
      </w:r>
      <w:r w:rsidR="002D41CE" w:rsidRPr="00C80189">
        <w:rPr>
          <w:rFonts w:ascii="Times New Roman" w:hAnsi="Times New Roman" w:cs="Times New Roman"/>
        </w:rPr>
        <w:t xml:space="preserve">2008 through </w:t>
      </w:r>
      <w:r w:rsidR="009027AD" w:rsidRPr="00C80189">
        <w:rPr>
          <w:rFonts w:ascii="Times New Roman" w:hAnsi="Times New Roman" w:cs="Times New Roman"/>
        </w:rPr>
        <w:t>Funding Year</w:t>
      </w:r>
      <w:r w:rsidR="00DA08B1" w:rsidRPr="00C80189">
        <w:rPr>
          <w:rFonts w:ascii="Times New Roman" w:hAnsi="Times New Roman" w:cs="Times New Roman"/>
        </w:rPr>
        <w:t xml:space="preserve"> </w:t>
      </w:r>
      <w:r w:rsidR="002D41CE" w:rsidRPr="00C80189">
        <w:rPr>
          <w:rFonts w:ascii="Times New Roman" w:hAnsi="Times New Roman" w:cs="Times New Roman"/>
        </w:rPr>
        <w:t>2012</w:t>
      </w:r>
      <w:r w:rsidR="008F0FE1" w:rsidRPr="00C80189">
        <w:rPr>
          <w:rFonts w:ascii="Times New Roman" w:hAnsi="Times New Roman" w:cs="Times New Roman"/>
        </w:rPr>
        <w:t xml:space="preserve">.  </w:t>
      </w:r>
    </w:p>
    <w:p w14:paraId="224E2371" w14:textId="77777777" w:rsidR="000722EE" w:rsidRPr="00C80189" w:rsidRDefault="000722EE" w:rsidP="000722EE">
      <w:pPr>
        <w:pStyle w:val="ParaNum"/>
        <w:numPr>
          <w:ilvl w:val="0"/>
          <w:numId w:val="0"/>
        </w:numPr>
        <w:ind w:left="720"/>
        <w:rPr>
          <w:rFonts w:ascii="Times New Roman" w:hAnsi="Times New Roman" w:cs="Times New Roman"/>
        </w:rPr>
      </w:pPr>
    </w:p>
    <w:p w14:paraId="72F0CDF3" w14:textId="0E65F2B4" w:rsidR="008F0FE1" w:rsidRPr="00C80189" w:rsidRDefault="008F0FE1" w:rsidP="008F0FE1">
      <w:pPr>
        <w:pStyle w:val="ParaNum"/>
        <w:keepNext/>
        <w:numPr>
          <w:ilvl w:val="0"/>
          <w:numId w:val="0"/>
        </w:numPr>
        <w:jc w:val="center"/>
        <w:rPr>
          <w:rFonts w:ascii="Times New Roman" w:hAnsi="Times New Roman" w:cs="Times New Roman"/>
          <w:b/>
        </w:rPr>
      </w:pPr>
      <w:r w:rsidRPr="00C80189">
        <w:rPr>
          <w:rFonts w:ascii="Times New Roman" w:hAnsi="Times New Roman" w:cs="Times New Roman"/>
          <w:b/>
        </w:rPr>
        <w:t xml:space="preserve">Figure </w:t>
      </w:r>
      <w:r w:rsidR="008B49F0" w:rsidRPr="00C80189">
        <w:rPr>
          <w:rFonts w:ascii="Times New Roman" w:hAnsi="Times New Roman" w:cs="Times New Roman"/>
          <w:b/>
        </w:rPr>
        <w:t>2:</w:t>
      </w:r>
      <w:r w:rsidRPr="00C80189">
        <w:rPr>
          <w:rFonts w:ascii="Times New Roman" w:hAnsi="Times New Roman" w:cs="Times New Roman"/>
          <w:b/>
        </w:rPr>
        <w:t xml:space="preserve"> Internal Connection Funding for Libraries</w:t>
      </w:r>
      <w:r w:rsidRPr="00C80189">
        <w:rPr>
          <w:rStyle w:val="FootnoteReference"/>
          <w:rFonts w:cs="Times New Roman"/>
          <w:b/>
        </w:rPr>
        <w:footnoteReference w:id="7"/>
      </w:r>
    </w:p>
    <w:p w14:paraId="4506D12F" w14:textId="7FE507FC" w:rsidR="00EB7D72" w:rsidRPr="004F1C7B" w:rsidRDefault="00591401" w:rsidP="00EB7D72">
      <w:pPr>
        <w:pStyle w:val="ParaNum"/>
        <w:numPr>
          <w:ilvl w:val="0"/>
          <w:numId w:val="0"/>
        </w:numPr>
        <w:rPr>
          <w:rFonts w:ascii="Times New Roman" w:hAnsi="Times New Roman" w:cs="Times New Roman"/>
          <w:b/>
        </w:rPr>
      </w:pPr>
      <w:r w:rsidRPr="004F1C7B">
        <w:rPr>
          <w:rFonts w:ascii="Times New Roman" w:hAnsi="Times New Roman" w:cs="Times New Roman"/>
          <w:b/>
          <w:noProof/>
        </w:rPr>
        <w:drawing>
          <wp:inline distT="0" distB="0" distL="0" distR="0" wp14:anchorId="1070453D" wp14:editId="5DEF7FED">
            <wp:extent cx="5486400" cy="2887345"/>
            <wp:effectExtent l="0" t="0" r="0" b="8255"/>
            <wp:docPr id="16420" name="Chart 164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47B73B" w14:textId="55DF4249" w:rsidR="00462451" w:rsidRPr="00C80189" w:rsidRDefault="004B4B8F" w:rsidP="008F0FE1">
      <w:pPr>
        <w:pStyle w:val="ParaNum"/>
        <w:rPr>
          <w:rFonts w:ascii="Times New Roman" w:hAnsi="Times New Roman" w:cs="Times New Roman"/>
        </w:rPr>
      </w:pPr>
      <w:r w:rsidRPr="00C80189">
        <w:rPr>
          <w:rFonts w:ascii="Times New Roman" w:hAnsi="Times New Roman" w:cs="Times New Roman"/>
        </w:rPr>
        <w:t>Over this period,</w:t>
      </w:r>
      <w:r w:rsidR="000726DF" w:rsidRPr="00C80189">
        <w:rPr>
          <w:rFonts w:ascii="Times New Roman" w:hAnsi="Times New Roman" w:cs="Times New Roman"/>
        </w:rPr>
        <w:t xml:space="preserve"> the data suggest that</w:t>
      </w:r>
      <w:r w:rsidRPr="00C80189">
        <w:rPr>
          <w:rFonts w:ascii="Times New Roman" w:hAnsi="Times New Roman" w:cs="Times New Roman"/>
        </w:rPr>
        <w:t xml:space="preserve"> </w:t>
      </w:r>
      <w:r w:rsidR="00C373F2" w:rsidRPr="00C80189">
        <w:rPr>
          <w:rFonts w:ascii="Times New Roman" w:hAnsi="Times New Roman" w:cs="Times New Roman"/>
        </w:rPr>
        <w:t>E-rate</w:t>
      </w:r>
      <w:r w:rsidR="00DA08B1" w:rsidRPr="00C80189">
        <w:rPr>
          <w:rFonts w:ascii="Times New Roman" w:hAnsi="Times New Roman" w:cs="Times New Roman"/>
        </w:rPr>
        <w:t xml:space="preserve"> </w:t>
      </w:r>
      <w:r w:rsidR="008F0FE1" w:rsidRPr="00C80189">
        <w:rPr>
          <w:rFonts w:ascii="Times New Roman" w:hAnsi="Times New Roman" w:cs="Times New Roman"/>
        </w:rPr>
        <w:t xml:space="preserve">applicants </w:t>
      </w:r>
      <w:r w:rsidR="000726DF" w:rsidRPr="00C80189">
        <w:rPr>
          <w:rFonts w:ascii="Times New Roman" w:hAnsi="Times New Roman" w:cs="Times New Roman"/>
        </w:rPr>
        <w:t xml:space="preserve">recognized </w:t>
      </w:r>
      <w:r w:rsidR="008F0FE1" w:rsidRPr="00C80189">
        <w:rPr>
          <w:rFonts w:ascii="Times New Roman" w:hAnsi="Times New Roman" w:cs="Times New Roman"/>
        </w:rPr>
        <w:t>that only the highest discount schools a</w:t>
      </w:r>
      <w:r w:rsidRPr="00C80189">
        <w:rPr>
          <w:rFonts w:ascii="Times New Roman" w:hAnsi="Times New Roman" w:cs="Times New Roman"/>
        </w:rPr>
        <w:t>nd libraries had</w:t>
      </w:r>
      <w:r w:rsidR="008F0FE1" w:rsidRPr="00C80189">
        <w:rPr>
          <w:rFonts w:ascii="Times New Roman" w:hAnsi="Times New Roman" w:cs="Times New Roman"/>
        </w:rPr>
        <w:t xml:space="preserve"> even the possibility of receiving </w:t>
      </w:r>
      <w:r w:rsidR="00832625" w:rsidRPr="00C80189">
        <w:rPr>
          <w:rFonts w:ascii="Times New Roman" w:hAnsi="Times New Roman" w:cs="Times New Roman"/>
        </w:rPr>
        <w:t>priority two</w:t>
      </w:r>
      <w:r w:rsidR="008F0FE1" w:rsidRPr="00C80189">
        <w:rPr>
          <w:rFonts w:ascii="Times New Roman" w:hAnsi="Times New Roman" w:cs="Times New Roman"/>
        </w:rPr>
        <w:t xml:space="preserve"> funding</w:t>
      </w:r>
      <w:r w:rsidR="002C025F" w:rsidRPr="00C80189">
        <w:rPr>
          <w:rFonts w:ascii="Times New Roman" w:hAnsi="Times New Roman" w:cs="Times New Roman"/>
        </w:rPr>
        <w:t xml:space="preserve">; </w:t>
      </w:r>
      <w:r w:rsidR="002D41CE" w:rsidRPr="00C80189">
        <w:rPr>
          <w:rFonts w:ascii="Times New Roman" w:hAnsi="Times New Roman" w:cs="Times New Roman"/>
        </w:rPr>
        <w:t xml:space="preserve">as illustrated in Figure </w:t>
      </w:r>
      <w:r w:rsidR="008B49F0" w:rsidRPr="00C80189">
        <w:rPr>
          <w:rFonts w:ascii="Times New Roman" w:hAnsi="Times New Roman" w:cs="Times New Roman"/>
        </w:rPr>
        <w:t>3</w:t>
      </w:r>
      <w:r w:rsidR="002D41CE" w:rsidRPr="00C80189">
        <w:rPr>
          <w:rFonts w:ascii="Times New Roman" w:hAnsi="Times New Roman" w:cs="Times New Roman"/>
        </w:rPr>
        <w:t xml:space="preserve"> below, </w:t>
      </w:r>
      <w:r w:rsidR="008F0FE1" w:rsidRPr="00C80189">
        <w:rPr>
          <w:rFonts w:ascii="Times New Roman" w:hAnsi="Times New Roman" w:cs="Times New Roman"/>
        </w:rPr>
        <w:t>schools and libraries with a discount be</w:t>
      </w:r>
      <w:r w:rsidR="00CD2969" w:rsidRPr="00C80189">
        <w:rPr>
          <w:rFonts w:ascii="Times New Roman" w:hAnsi="Times New Roman" w:cs="Times New Roman"/>
        </w:rPr>
        <w:t>low 80 percent rarely even applied</w:t>
      </w:r>
      <w:r w:rsidR="008F0FE1" w:rsidRPr="00C80189">
        <w:rPr>
          <w:rFonts w:ascii="Times New Roman" w:hAnsi="Times New Roman" w:cs="Times New Roman"/>
        </w:rPr>
        <w:t xml:space="preserve">. </w:t>
      </w:r>
      <w:r w:rsidR="002C025F" w:rsidRPr="00C80189">
        <w:rPr>
          <w:rFonts w:ascii="Times New Roman" w:hAnsi="Times New Roman" w:cs="Times New Roman"/>
        </w:rPr>
        <w:t xml:space="preserve"> </w:t>
      </w:r>
      <w:r w:rsidR="008F0FE1" w:rsidRPr="00C80189">
        <w:rPr>
          <w:rFonts w:ascii="Times New Roman" w:hAnsi="Times New Roman" w:cs="Times New Roman"/>
        </w:rPr>
        <w:t xml:space="preserve">Starting in </w:t>
      </w:r>
      <w:r w:rsidR="009027AD" w:rsidRPr="00C80189">
        <w:rPr>
          <w:rFonts w:ascii="Times New Roman" w:hAnsi="Times New Roman" w:cs="Times New Roman"/>
        </w:rPr>
        <w:t>Funding Year</w:t>
      </w:r>
      <w:r w:rsidR="00DA08B1" w:rsidRPr="00C80189">
        <w:rPr>
          <w:rFonts w:ascii="Times New Roman" w:hAnsi="Times New Roman" w:cs="Times New Roman"/>
        </w:rPr>
        <w:t xml:space="preserve"> </w:t>
      </w:r>
      <w:r w:rsidR="008F0FE1" w:rsidRPr="00C80189">
        <w:rPr>
          <w:rFonts w:ascii="Times New Roman" w:hAnsi="Times New Roman" w:cs="Times New Roman"/>
        </w:rPr>
        <w:t xml:space="preserve">2012, the growth in </w:t>
      </w:r>
      <w:r w:rsidR="00832625" w:rsidRPr="00C80189">
        <w:rPr>
          <w:rFonts w:ascii="Times New Roman" w:hAnsi="Times New Roman" w:cs="Times New Roman"/>
        </w:rPr>
        <w:t>priority two</w:t>
      </w:r>
      <w:r w:rsidR="008F0FE1" w:rsidRPr="00C80189">
        <w:rPr>
          <w:rFonts w:ascii="Times New Roman" w:hAnsi="Times New Roman" w:cs="Times New Roman"/>
        </w:rPr>
        <w:t xml:space="preserve"> fund</w:t>
      </w:r>
      <w:r w:rsidR="00CD2969" w:rsidRPr="00C80189">
        <w:rPr>
          <w:rFonts w:ascii="Times New Roman" w:hAnsi="Times New Roman" w:cs="Times New Roman"/>
        </w:rPr>
        <w:t xml:space="preserve">ing demand </w:t>
      </w:r>
      <w:r w:rsidR="001B08A2" w:rsidRPr="00C80189">
        <w:rPr>
          <w:rFonts w:ascii="Times New Roman" w:hAnsi="Times New Roman" w:cs="Times New Roman"/>
        </w:rPr>
        <w:t xml:space="preserve">from applicants at the 90 percent discount level </w:t>
      </w:r>
      <w:r w:rsidR="00CD2969" w:rsidRPr="00C80189">
        <w:rPr>
          <w:rFonts w:ascii="Times New Roman" w:hAnsi="Times New Roman" w:cs="Times New Roman"/>
        </w:rPr>
        <w:t>had</w:t>
      </w:r>
      <w:r w:rsidR="008F0FE1" w:rsidRPr="00C80189">
        <w:rPr>
          <w:rFonts w:ascii="Times New Roman" w:hAnsi="Times New Roman" w:cs="Times New Roman"/>
        </w:rPr>
        <w:t xml:space="preserve"> effectively eliminated the possibility that </w:t>
      </w:r>
      <w:r w:rsidR="00593A6B" w:rsidRPr="00C80189">
        <w:rPr>
          <w:rFonts w:ascii="Times New Roman" w:hAnsi="Times New Roman" w:cs="Times New Roman"/>
        </w:rPr>
        <w:t xml:space="preserve">applicants </w:t>
      </w:r>
      <w:r w:rsidR="008F0FE1" w:rsidRPr="00C80189">
        <w:rPr>
          <w:rFonts w:ascii="Times New Roman" w:hAnsi="Times New Roman" w:cs="Times New Roman"/>
        </w:rPr>
        <w:t xml:space="preserve">below </w:t>
      </w:r>
      <w:r w:rsidR="00593A6B" w:rsidRPr="00C80189">
        <w:rPr>
          <w:rFonts w:ascii="Times New Roman" w:hAnsi="Times New Roman" w:cs="Times New Roman"/>
        </w:rPr>
        <w:t xml:space="preserve">the </w:t>
      </w:r>
      <w:r w:rsidR="008F0FE1" w:rsidRPr="00C80189">
        <w:rPr>
          <w:rFonts w:ascii="Times New Roman" w:hAnsi="Times New Roman" w:cs="Times New Roman"/>
        </w:rPr>
        <w:t xml:space="preserve">90 percent </w:t>
      </w:r>
      <w:r w:rsidR="00593A6B" w:rsidRPr="00C80189">
        <w:rPr>
          <w:rFonts w:ascii="Times New Roman" w:hAnsi="Times New Roman" w:cs="Times New Roman"/>
        </w:rPr>
        <w:t xml:space="preserve">discount level </w:t>
      </w:r>
      <w:r w:rsidR="00CD2969" w:rsidRPr="00C80189">
        <w:rPr>
          <w:rFonts w:ascii="Times New Roman" w:hAnsi="Times New Roman" w:cs="Times New Roman"/>
        </w:rPr>
        <w:t>could</w:t>
      </w:r>
      <w:r w:rsidR="008F0FE1" w:rsidRPr="00C80189">
        <w:rPr>
          <w:rFonts w:ascii="Times New Roman" w:hAnsi="Times New Roman" w:cs="Times New Roman"/>
        </w:rPr>
        <w:t xml:space="preserve"> reasonably expect to receive Priority </w:t>
      </w:r>
      <w:r w:rsidR="004F7363" w:rsidRPr="00C80189">
        <w:rPr>
          <w:rFonts w:ascii="Times New Roman" w:hAnsi="Times New Roman" w:cs="Times New Roman"/>
        </w:rPr>
        <w:t xml:space="preserve">Two </w:t>
      </w:r>
      <w:r w:rsidR="008F0FE1" w:rsidRPr="00C80189">
        <w:rPr>
          <w:rFonts w:ascii="Times New Roman" w:hAnsi="Times New Roman" w:cs="Times New Roman"/>
        </w:rPr>
        <w:t>funding.</w:t>
      </w:r>
    </w:p>
    <w:p w14:paraId="3C855543" w14:textId="1E7E0C45" w:rsidR="008F0FE1" w:rsidRPr="00C80189" w:rsidRDefault="00455DD3" w:rsidP="008F0FE1">
      <w:pPr>
        <w:pStyle w:val="ParaNum"/>
        <w:rPr>
          <w:rFonts w:ascii="Times New Roman" w:hAnsi="Times New Roman" w:cs="Times New Roman"/>
        </w:rPr>
      </w:pPr>
      <w:r w:rsidRPr="00C80189">
        <w:rPr>
          <w:rFonts w:ascii="Times New Roman" w:hAnsi="Times New Roman" w:cs="Times New Roman"/>
        </w:rPr>
        <w:t>However, e</w:t>
      </w:r>
      <w:r w:rsidR="007173FE" w:rsidRPr="00C80189">
        <w:rPr>
          <w:rFonts w:ascii="Times New Roman" w:hAnsi="Times New Roman" w:cs="Times New Roman"/>
        </w:rPr>
        <w:t xml:space="preserve">ven the highest discount schools went without internal connections funding in </w:t>
      </w:r>
      <w:r w:rsidR="009027AD" w:rsidRPr="00C80189">
        <w:rPr>
          <w:rFonts w:ascii="Times New Roman" w:hAnsi="Times New Roman" w:cs="Times New Roman"/>
        </w:rPr>
        <w:t>Funding Year</w:t>
      </w:r>
      <w:r w:rsidR="007173FE" w:rsidRPr="00C80189">
        <w:rPr>
          <w:rFonts w:ascii="Times New Roman" w:hAnsi="Times New Roman" w:cs="Times New Roman"/>
        </w:rPr>
        <w:t xml:space="preserve"> 2013.  In February 2014, </w:t>
      </w:r>
      <w:r w:rsidR="00462451" w:rsidRPr="00C80189">
        <w:rPr>
          <w:rFonts w:ascii="Times New Roman" w:hAnsi="Times New Roman" w:cs="Times New Roman"/>
        </w:rPr>
        <w:t xml:space="preserve">USAC determined that, for the first time, there was insufficient E-rate funding to fully support </w:t>
      </w:r>
      <w:r w:rsidR="00462451" w:rsidRPr="00C80189">
        <w:rPr>
          <w:rStyle w:val="Emphasis"/>
          <w:rFonts w:ascii="Times New Roman" w:hAnsi="Times New Roman" w:cs="Times New Roman"/>
        </w:rPr>
        <w:t>any</w:t>
      </w:r>
      <w:r w:rsidR="00462451" w:rsidRPr="00C80189">
        <w:rPr>
          <w:rFonts w:ascii="Times New Roman" w:hAnsi="Times New Roman" w:cs="Times New Roman"/>
        </w:rPr>
        <w:t xml:space="preserve"> internal connections req</w:t>
      </w:r>
      <w:r w:rsidR="009027AD" w:rsidRPr="00C80189">
        <w:rPr>
          <w:rFonts w:ascii="Times New Roman" w:hAnsi="Times New Roman" w:cs="Times New Roman"/>
        </w:rPr>
        <w:t xml:space="preserve">uests after meeting demand for </w:t>
      </w:r>
      <w:r w:rsidR="00832625" w:rsidRPr="00C80189">
        <w:rPr>
          <w:rFonts w:ascii="Times New Roman" w:hAnsi="Times New Roman" w:cs="Times New Roman"/>
        </w:rPr>
        <w:t>priority one</w:t>
      </w:r>
      <w:r w:rsidR="00462451" w:rsidRPr="00C80189">
        <w:rPr>
          <w:rFonts w:ascii="Times New Roman" w:hAnsi="Times New Roman" w:cs="Times New Roman"/>
        </w:rPr>
        <w:t xml:space="preserve"> services.</w:t>
      </w:r>
      <w:r w:rsidR="004E65B3">
        <w:rPr>
          <w:rStyle w:val="FootnoteReference"/>
          <w:rFonts w:cs="Times New Roman"/>
        </w:rPr>
        <w:footnoteReference w:id="8"/>
      </w:r>
      <w:r w:rsidR="007173FE" w:rsidRPr="00C80189">
        <w:rPr>
          <w:rFonts w:ascii="Times New Roman" w:hAnsi="Times New Roman" w:cs="Times New Roman"/>
        </w:rPr>
        <w:t xml:space="preserve">  Those </w:t>
      </w:r>
      <w:r w:rsidR="00832625" w:rsidRPr="00C80189">
        <w:rPr>
          <w:rFonts w:ascii="Times New Roman" w:hAnsi="Times New Roman" w:cs="Times New Roman"/>
        </w:rPr>
        <w:t xml:space="preserve">Funding Year 2013 </w:t>
      </w:r>
      <w:r w:rsidR="007173FE" w:rsidRPr="00C80189">
        <w:rPr>
          <w:rFonts w:ascii="Times New Roman" w:hAnsi="Times New Roman" w:cs="Times New Roman"/>
        </w:rPr>
        <w:t xml:space="preserve">applications totaled over $1.7 billion, far more than remained after </w:t>
      </w:r>
      <w:r w:rsidR="00832625" w:rsidRPr="00C80189">
        <w:rPr>
          <w:rFonts w:ascii="Times New Roman" w:hAnsi="Times New Roman" w:cs="Times New Roman"/>
        </w:rPr>
        <w:t>priority one</w:t>
      </w:r>
      <w:r w:rsidR="007173FE" w:rsidRPr="00C80189">
        <w:rPr>
          <w:rFonts w:ascii="Times New Roman" w:hAnsi="Times New Roman" w:cs="Times New Roman"/>
        </w:rPr>
        <w:t xml:space="preserve"> services were funded.  Under the old rules, </w:t>
      </w:r>
      <w:r w:rsidR="00832625" w:rsidRPr="00C80189">
        <w:rPr>
          <w:rFonts w:ascii="Times New Roman" w:hAnsi="Times New Roman" w:cs="Times New Roman"/>
        </w:rPr>
        <w:t xml:space="preserve">one option would have been to commit to </w:t>
      </w:r>
      <w:r w:rsidR="007173FE" w:rsidRPr="00C80189">
        <w:rPr>
          <w:rFonts w:ascii="Times New Roman" w:hAnsi="Times New Roman" w:cs="Times New Roman"/>
        </w:rPr>
        <w:t>each applicant at the 90 percent discount level a pro rata share of the limited funds available - about 60</w:t>
      </w:r>
      <w:r w:rsidR="00C373F2" w:rsidRPr="00C80189">
        <w:rPr>
          <w:rFonts w:ascii="Times New Roman" w:hAnsi="Times New Roman" w:cs="Times New Roman"/>
        </w:rPr>
        <w:t xml:space="preserve"> percent</w:t>
      </w:r>
      <w:r w:rsidR="007173FE" w:rsidRPr="00C80189">
        <w:rPr>
          <w:rFonts w:ascii="Times New Roman" w:hAnsi="Times New Roman" w:cs="Times New Roman"/>
        </w:rPr>
        <w:t xml:space="preserve"> of their requested funds - and their required match would have been more than four times larger than </w:t>
      </w:r>
      <w:r w:rsidR="00593A6B" w:rsidRPr="00C80189">
        <w:rPr>
          <w:rFonts w:ascii="Times New Roman" w:hAnsi="Times New Roman" w:cs="Times New Roman"/>
        </w:rPr>
        <w:t>for the amount for which they had planned</w:t>
      </w:r>
      <w:r w:rsidR="007173FE" w:rsidRPr="00C80189">
        <w:rPr>
          <w:rFonts w:ascii="Times New Roman" w:hAnsi="Times New Roman" w:cs="Times New Roman"/>
        </w:rPr>
        <w:t xml:space="preserve">.  Thus, a large fraction of any funds committed to these applications would likely have gone unused, but only after extended paperwork and delay.  </w:t>
      </w:r>
    </w:p>
    <w:p w14:paraId="6224C879" w14:textId="63C4D7FF" w:rsidR="008F0FE1" w:rsidRPr="00C80189" w:rsidRDefault="008F0FE1" w:rsidP="008F0FE1">
      <w:pPr>
        <w:pStyle w:val="ParaNum"/>
        <w:keepNext/>
        <w:numPr>
          <w:ilvl w:val="0"/>
          <w:numId w:val="0"/>
        </w:numPr>
        <w:jc w:val="center"/>
        <w:rPr>
          <w:rFonts w:ascii="Times New Roman" w:hAnsi="Times New Roman" w:cs="Times New Roman"/>
          <w:b/>
        </w:rPr>
      </w:pPr>
      <w:r w:rsidRPr="00C80189">
        <w:rPr>
          <w:rFonts w:ascii="Times New Roman" w:hAnsi="Times New Roman" w:cs="Times New Roman"/>
          <w:b/>
        </w:rPr>
        <w:t xml:space="preserve">Figure </w:t>
      </w:r>
      <w:r w:rsidR="008B49F0" w:rsidRPr="00C80189">
        <w:rPr>
          <w:rFonts w:ascii="Times New Roman" w:hAnsi="Times New Roman" w:cs="Times New Roman"/>
          <w:b/>
        </w:rPr>
        <w:t>3:</w:t>
      </w:r>
      <w:r w:rsidRPr="00C80189">
        <w:rPr>
          <w:rFonts w:ascii="Times New Roman" w:hAnsi="Times New Roman" w:cs="Times New Roman"/>
          <w:b/>
        </w:rPr>
        <w:t xml:space="preserve"> Priority </w:t>
      </w:r>
      <w:r w:rsidR="004F7363" w:rsidRPr="00C80189">
        <w:rPr>
          <w:rFonts w:ascii="Times New Roman" w:hAnsi="Times New Roman" w:cs="Times New Roman"/>
          <w:b/>
        </w:rPr>
        <w:t>Two</w:t>
      </w:r>
      <w:r w:rsidRPr="00C80189">
        <w:rPr>
          <w:rFonts w:ascii="Times New Roman" w:hAnsi="Times New Roman" w:cs="Times New Roman"/>
          <w:b/>
        </w:rPr>
        <w:t xml:space="preserve"> Requests by Discount Band</w:t>
      </w:r>
    </w:p>
    <w:p w14:paraId="382BC1B1" w14:textId="23A0E679" w:rsidR="008F0FE1" w:rsidRPr="004F1C7B" w:rsidRDefault="008F0FE1" w:rsidP="008F0FE1">
      <w:pPr>
        <w:pStyle w:val="ParaNum"/>
        <w:numPr>
          <w:ilvl w:val="0"/>
          <w:numId w:val="0"/>
        </w:numPr>
        <w:rPr>
          <w:rFonts w:ascii="Times New Roman" w:hAnsi="Times New Roman" w:cs="Times New Roman"/>
        </w:rPr>
      </w:pPr>
      <w:r w:rsidRPr="004F1C7B">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67A95E8F" wp14:editId="679D792D">
                <wp:simplePos x="0" y="0"/>
                <wp:positionH relativeFrom="column">
                  <wp:posOffset>4511675</wp:posOffset>
                </wp:positionH>
                <wp:positionV relativeFrom="paragraph">
                  <wp:posOffset>486410</wp:posOffset>
                </wp:positionV>
                <wp:extent cx="1309370" cy="248920"/>
                <wp:effectExtent l="0" t="0" r="0" b="0"/>
                <wp:wrapNone/>
                <wp:docPr id="16412" name="TextBox 16"/>
                <wp:cNvGraphicFramePr/>
                <a:graphic xmlns:a="http://schemas.openxmlformats.org/drawingml/2006/main">
                  <a:graphicData uri="http://schemas.microsoft.com/office/word/2010/wordprocessingShape">
                    <wps:wsp>
                      <wps:cNvSpPr txBox="1"/>
                      <wps:spPr>
                        <a:xfrm>
                          <a:off x="0" y="0"/>
                          <a:ext cx="1309370" cy="248920"/>
                        </a:xfrm>
                        <a:prstGeom prst="rect">
                          <a:avLst/>
                        </a:prstGeom>
                        <a:noFill/>
                      </wps:spPr>
                      <wps:txbx>
                        <w:txbxContent>
                          <w:p w14:paraId="384C352B" w14:textId="77777777" w:rsidR="00D44D7D" w:rsidRDefault="00D44D7D" w:rsidP="008F0FE1">
                            <w:pPr>
                              <w:pStyle w:val="NormalWeb"/>
                              <w:spacing w:before="2" w:after="2"/>
                            </w:pPr>
                            <w:r>
                              <w:rPr>
                                <w:rFonts w:asciiTheme="minorHAnsi" w:hAnsi="Calibri"/>
                                <w:b/>
                                <w:bCs/>
                                <w:color w:val="95B3D7" w:themeColor="accent1" w:themeTint="99"/>
                                <w:kern w:val="24"/>
                              </w:rPr>
                              <w:t>All others</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Box 16" o:spid="_x0000_s1026" type="#_x0000_t202" style="position:absolute;margin-left:355.25pt;margin-top:38.3pt;width:103.1pt;height:19.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" filled="f" stroked="f">
                <v:textbox style="mso-fit-shape-to-text:t">
                  <w:txbxContent>
                    <w:p w14:paraId="384C352B" w14:textId="77777777" w:rsidR="00D44D7D" w:rsidRDefault="00D44D7D" w:rsidP="008F0FE1">
                      <w:pPr>
                        <w:pStyle w:val="NormalWeb"/>
                        <w:spacing w:before="2" w:after="2"/>
                      </w:pPr>
                      <w:r>
                        <w:rPr>
                          <w:rFonts w:asciiTheme="minorHAnsi" w:hAnsi="Calibri"/>
                          <w:b/>
                          <w:bCs/>
                          <w:color w:val="95B3D7" w:themeColor="accent1" w:themeTint="99"/>
                          <w:kern w:val="24"/>
                        </w:rPr>
                        <w:t>All others</w:t>
                      </w:r>
                    </w:p>
                  </w:txbxContent>
                </v:textbox>
              </v:shape>
            </w:pict>
          </mc:Fallback>
        </mc:AlternateContent>
      </w:r>
      <w:r w:rsidRPr="008D34DE">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1F3E9C66" wp14:editId="4002C1DB">
                <wp:simplePos x="0" y="0"/>
                <wp:positionH relativeFrom="column">
                  <wp:posOffset>4543425</wp:posOffset>
                </wp:positionH>
                <wp:positionV relativeFrom="paragraph">
                  <wp:posOffset>1083945</wp:posOffset>
                </wp:positionV>
                <wp:extent cx="1066800" cy="405130"/>
                <wp:effectExtent l="0" t="0" r="0" b="0"/>
                <wp:wrapNone/>
                <wp:docPr id="16413" name="TextBox 7"/>
                <wp:cNvGraphicFramePr/>
                <a:graphic xmlns:a="http://schemas.openxmlformats.org/drawingml/2006/main">
                  <a:graphicData uri="http://schemas.microsoft.com/office/word/2010/wordprocessingShape">
                    <wps:wsp>
                      <wps:cNvSpPr txBox="1"/>
                      <wps:spPr>
                        <a:xfrm>
                          <a:off x="0" y="0"/>
                          <a:ext cx="1066800" cy="405130"/>
                        </a:xfrm>
                        <a:prstGeom prst="rect">
                          <a:avLst/>
                        </a:prstGeom>
                        <a:noFill/>
                      </wps:spPr>
                      <wps:txbx>
                        <w:txbxContent>
                          <w:p w14:paraId="5EA080B2" w14:textId="77777777" w:rsidR="00D44D7D" w:rsidRDefault="00D44D7D" w:rsidP="008F0FE1">
                            <w:pPr>
                              <w:pStyle w:val="NormalWeb"/>
                              <w:spacing w:before="2" w:after="2"/>
                            </w:pPr>
                            <w:r>
                              <w:rPr>
                                <w:rFonts w:asciiTheme="minorHAnsi" w:hAnsi="Calibri"/>
                                <w:b/>
                                <w:bCs/>
                                <w:color w:val="E36C0A" w:themeColor="accent6" w:themeShade="BF"/>
                                <w:kern w:val="24"/>
                              </w:rPr>
                              <w:t>Max P2 Funding</w:t>
                            </w:r>
                          </w:p>
                          <w:p w14:paraId="4E7610D8" w14:textId="77777777" w:rsidR="00D44D7D" w:rsidRDefault="00D44D7D" w:rsidP="008F0FE1">
                            <w:pPr>
                              <w:pStyle w:val="NormalWeb"/>
                              <w:spacing w:before="2" w:after="2"/>
                            </w:pPr>
                            <w:r>
                              <w:rPr>
                                <w:rFonts w:asciiTheme="minorHAnsi" w:hAnsi="Calibri"/>
                                <w:b/>
                                <w:bCs/>
                                <w:color w:val="E36C0A" w:themeColor="accent6" w:themeShade="BF"/>
                                <w:kern w:val="24"/>
                              </w:rPr>
                              <w:t>Past 5 yrs.</w:t>
                            </w:r>
                          </w:p>
                        </w:txbxContent>
                      </wps:txbx>
                      <wps:bodyPr>
                        <a:spAutoFit/>
                      </wps:bodyPr>
                    </wps:wsp>
                  </a:graphicData>
                </a:graphic>
              </wp:anchor>
            </w:drawing>
          </mc:Choice>
          <mc:Fallback>
            <w:pict>
              <v:shape id="TextBox 7" o:spid="_x0000_s1027" type="#_x0000_t202" style="position:absolute;margin-left:357.75pt;margin-top:85.35pt;width:84pt;height:31.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" filled="f" stroked="f">
                <v:textbox style="mso-fit-shape-to-text:t">
                  <w:txbxContent>
                    <w:p w14:paraId="5EA080B2" w14:textId="77777777" w:rsidR="00D44D7D" w:rsidRDefault="00D44D7D" w:rsidP="008F0FE1">
                      <w:pPr>
                        <w:pStyle w:val="NormalWeb"/>
                        <w:spacing w:before="2" w:after="2"/>
                      </w:pPr>
                      <w:r>
                        <w:rPr>
                          <w:rFonts w:asciiTheme="minorHAnsi" w:hAnsi="Calibri"/>
                          <w:b/>
                          <w:bCs/>
                          <w:color w:val="E36C0A" w:themeColor="accent6" w:themeShade="BF"/>
                          <w:kern w:val="24"/>
                        </w:rPr>
                        <w:t>Max P2 Funding</w:t>
                      </w:r>
                    </w:p>
                    <w:p w14:paraId="4E7610D8" w14:textId="77777777" w:rsidR="00D44D7D" w:rsidRDefault="00D44D7D" w:rsidP="008F0FE1">
                      <w:pPr>
                        <w:pStyle w:val="NormalWeb"/>
                        <w:spacing w:before="2" w:after="2"/>
                      </w:pPr>
                      <w:r>
                        <w:rPr>
                          <w:rFonts w:asciiTheme="minorHAnsi" w:hAnsi="Calibri"/>
                          <w:b/>
                          <w:bCs/>
                          <w:color w:val="E36C0A" w:themeColor="accent6" w:themeShade="BF"/>
                          <w:kern w:val="24"/>
                        </w:rPr>
                        <w:t>Past 5 yrs.</w:t>
                      </w:r>
                    </w:p>
                  </w:txbxContent>
                </v:textbox>
              </v:shape>
            </w:pict>
          </mc:Fallback>
        </mc:AlternateContent>
      </w:r>
      <w:r w:rsidRPr="008D34DE">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44D3CF5E" wp14:editId="0CC716B4">
                <wp:simplePos x="0" y="0"/>
                <wp:positionH relativeFrom="column">
                  <wp:posOffset>857250</wp:posOffset>
                </wp:positionH>
                <wp:positionV relativeFrom="paragraph">
                  <wp:posOffset>1268730</wp:posOffset>
                </wp:positionV>
                <wp:extent cx="3657600" cy="0"/>
                <wp:effectExtent l="0" t="19050" r="0" b="19050"/>
                <wp:wrapNone/>
                <wp:docPr id="16414" name="Straight Connector 6"/>
                <wp:cNvGraphicFramePr/>
                <a:graphic xmlns:a="http://schemas.openxmlformats.org/drawingml/2006/main">
                  <a:graphicData uri="http://schemas.microsoft.com/office/word/2010/wordprocessingShape">
                    <wps:wsp>
                      <wps:cNvCnPr/>
                      <wps:spPr>
                        <a:xfrm>
                          <a:off x="0" y="0"/>
                          <a:ext cx="3657600" cy="0"/>
                        </a:xfrm>
                        <a:prstGeom prst="line">
                          <a:avLst/>
                        </a:prstGeom>
                        <a:ln w="28575">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99.9pt" to="355.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" strokecolor="#e36c0a [2409]" strokeweight="2.25pt">
                <v:stroke dashstyle="dash"/>
              </v:line>
            </w:pict>
          </mc:Fallback>
        </mc:AlternateContent>
      </w:r>
      <w:r w:rsidRPr="008D34DE">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4CBEAACA" wp14:editId="49AAF873">
                <wp:simplePos x="0" y="0"/>
                <wp:positionH relativeFrom="column">
                  <wp:posOffset>4519295</wp:posOffset>
                </wp:positionH>
                <wp:positionV relativeFrom="paragraph">
                  <wp:posOffset>736600</wp:posOffset>
                </wp:positionV>
                <wp:extent cx="1309370" cy="248920"/>
                <wp:effectExtent l="0" t="0" r="0" b="0"/>
                <wp:wrapNone/>
                <wp:docPr id="16415" name="TextBox 15"/>
                <wp:cNvGraphicFramePr/>
                <a:graphic xmlns:a="http://schemas.openxmlformats.org/drawingml/2006/main">
                  <a:graphicData uri="http://schemas.microsoft.com/office/word/2010/wordprocessingShape">
                    <wps:wsp>
                      <wps:cNvSpPr txBox="1"/>
                      <wps:spPr>
                        <a:xfrm>
                          <a:off x="0" y="0"/>
                          <a:ext cx="1309370" cy="248920"/>
                        </a:xfrm>
                        <a:prstGeom prst="rect">
                          <a:avLst/>
                        </a:prstGeom>
                        <a:noFill/>
                      </wps:spPr>
                      <wps:txbx>
                        <w:txbxContent>
                          <w:p w14:paraId="227102B1" w14:textId="77777777" w:rsidR="00D44D7D" w:rsidRPr="00B27D5B" w:rsidRDefault="00D44D7D" w:rsidP="008F0FE1">
                            <w:pPr>
                              <w:pStyle w:val="NormalWeb"/>
                              <w:spacing w:before="2" w:after="2"/>
                              <w:rPr>
                                <w:color w:val="548DD4" w:themeColor="text2" w:themeTint="99"/>
                              </w:rPr>
                            </w:pPr>
                            <w:r w:rsidRPr="00B27D5B">
                              <w:rPr>
                                <w:rFonts w:asciiTheme="minorHAnsi" w:hAnsi="Calibri"/>
                                <w:b/>
                                <w:bCs/>
                                <w:color w:val="548DD4" w:themeColor="text2" w:themeTint="99"/>
                                <w:kern w:val="24"/>
                              </w:rPr>
                              <w:t>80-89% discount</w:t>
                            </w:r>
                          </w:p>
                        </w:txbxContent>
                      </wps:txbx>
                      <wps:bodyPr>
                        <a:spAutoFit/>
                      </wps:bodyPr>
                    </wps:wsp>
                  </a:graphicData>
                </a:graphic>
              </wp:anchor>
            </w:drawing>
          </mc:Choice>
          <mc:Fallback>
            <w:pict>
              <v:shape id="TextBox 15" o:spid="_x0000_s1028" type="#_x0000_t202" style="position:absolute;margin-left:355.85pt;margin-top:58pt;width:103.1pt;height:19.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" filled="f" stroked="f">
                <v:textbox style="mso-fit-shape-to-text:t">
                  <w:txbxContent>
                    <w:p w14:paraId="227102B1" w14:textId="77777777" w:rsidR="00D44D7D" w:rsidRPr="00B27D5B" w:rsidRDefault="00D44D7D" w:rsidP="008F0FE1">
                      <w:pPr>
                        <w:pStyle w:val="NormalWeb"/>
                        <w:spacing w:before="2" w:after="2"/>
                        <w:rPr>
                          <w:color w:val="548DD4" w:themeColor="text2" w:themeTint="99"/>
                        </w:rPr>
                      </w:pPr>
                      <w:r w:rsidRPr="00B27D5B">
                        <w:rPr>
                          <w:rFonts w:asciiTheme="minorHAnsi" w:hAnsi="Calibri"/>
                          <w:b/>
                          <w:bCs/>
                          <w:color w:val="548DD4" w:themeColor="text2" w:themeTint="99"/>
                          <w:kern w:val="24"/>
                        </w:rPr>
                        <w:t>80-89% discount</w:t>
                      </w:r>
                    </w:p>
                  </w:txbxContent>
                </v:textbox>
              </v:shape>
            </w:pict>
          </mc:Fallback>
        </mc:AlternateContent>
      </w:r>
      <w:r w:rsidRPr="008D34DE">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3F0A314A" wp14:editId="0511B1BD">
                <wp:simplePos x="0" y="0"/>
                <wp:positionH relativeFrom="column">
                  <wp:posOffset>4519295</wp:posOffset>
                </wp:positionH>
                <wp:positionV relativeFrom="paragraph">
                  <wp:posOffset>1487805</wp:posOffset>
                </wp:positionV>
                <wp:extent cx="1098550" cy="248920"/>
                <wp:effectExtent l="0" t="0" r="0" b="0"/>
                <wp:wrapNone/>
                <wp:docPr id="16416" name="TextBox 14"/>
                <wp:cNvGraphicFramePr/>
                <a:graphic xmlns:a="http://schemas.openxmlformats.org/drawingml/2006/main">
                  <a:graphicData uri="http://schemas.microsoft.com/office/word/2010/wordprocessingShape">
                    <wps:wsp>
                      <wps:cNvSpPr txBox="1"/>
                      <wps:spPr>
                        <a:xfrm>
                          <a:off x="0" y="0"/>
                          <a:ext cx="1098550" cy="248920"/>
                        </a:xfrm>
                        <a:prstGeom prst="rect">
                          <a:avLst/>
                        </a:prstGeom>
                        <a:noFill/>
                      </wps:spPr>
                      <wps:txbx>
                        <w:txbxContent>
                          <w:p w14:paraId="6480FA12" w14:textId="77777777" w:rsidR="00D44D7D" w:rsidRPr="00B27D5B" w:rsidRDefault="00D44D7D" w:rsidP="008F0FE1">
                            <w:pPr>
                              <w:pStyle w:val="NormalWeb"/>
                              <w:spacing w:before="2" w:after="2"/>
                              <w:rPr>
                                <w:color w:val="1F497D" w:themeColor="text2"/>
                              </w:rPr>
                            </w:pPr>
                            <w:r w:rsidRPr="00B27D5B">
                              <w:rPr>
                                <w:rFonts w:asciiTheme="minorHAnsi" w:hAnsi="Calibri"/>
                                <w:b/>
                                <w:bCs/>
                                <w:color w:val="1F497D" w:themeColor="text2"/>
                                <w:kern w:val="24"/>
                              </w:rPr>
                              <w:t>90% discount</w:t>
                            </w:r>
                          </w:p>
                        </w:txbxContent>
                      </wps:txbx>
                      <wps:bodyPr>
                        <a:spAutoFit/>
                      </wps:bodyPr>
                    </wps:wsp>
                  </a:graphicData>
                </a:graphic>
              </wp:anchor>
            </w:drawing>
          </mc:Choice>
          <mc:Fallback>
            <w:pict>
              <v:shape id="TextBox 14" o:spid="_x0000_s1029" type="#_x0000_t202" style="position:absolute;margin-left:355.85pt;margin-top:117.15pt;width:86.5pt;height:19.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" filled="f" stroked="f">
                <v:textbox style="mso-fit-shape-to-text:t">
                  <w:txbxContent>
                    <w:p w14:paraId="6480FA12" w14:textId="77777777" w:rsidR="00D44D7D" w:rsidRPr="00B27D5B" w:rsidRDefault="00D44D7D" w:rsidP="008F0FE1">
                      <w:pPr>
                        <w:pStyle w:val="NormalWeb"/>
                        <w:spacing w:before="2" w:after="2"/>
                        <w:rPr>
                          <w:color w:val="1F497D" w:themeColor="text2"/>
                        </w:rPr>
                      </w:pPr>
                      <w:r w:rsidRPr="00B27D5B">
                        <w:rPr>
                          <w:rFonts w:asciiTheme="minorHAnsi" w:hAnsi="Calibri"/>
                          <w:b/>
                          <w:bCs/>
                          <w:color w:val="1F497D" w:themeColor="text2"/>
                          <w:kern w:val="24"/>
                        </w:rPr>
                        <w:t>90% discount</w:t>
                      </w:r>
                    </w:p>
                  </w:txbxContent>
                </v:textbox>
              </v:shape>
            </w:pict>
          </mc:Fallback>
        </mc:AlternateContent>
      </w:r>
      <w:r w:rsidRPr="008D34DE">
        <w:rPr>
          <w:rFonts w:ascii="Times New Roman" w:hAnsi="Times New Roman" w:cs="Times New Roman"/>
          <w:noProof/>
        </w:rPr>
        <w:drawing>
          <wp:inline distT="0" distB="0" distL="0" distR="0" wp14:anchorId="478757C5" wp14:editId="60BF5C0F">
            <wp:extent cx="5486400" cy="2501705"/>
            <wp:effectExtent l="0" t="0" r="0" b="0"/>
            <wp:docPr id="16422" name="Chart 164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261C33" w14:textId="7B6951F9" w:rsidR="00194AC1" w:rsidRPr="00C80189" w:rsidRDefault="00455DD3" w:rsidP="00E81E09">
      <w:pPr>
        <w:pStyle w:val="ParaNum"/>
        <w:rPr>
          <w:rFonts w:ascii="Times New Roman" w:hAnsi="Times New Roman" w:cs="Times New Roman"/>
        </w:rPr>
      </w:pPr>
      <w:r w:rsidRPr="00C80189">
        <w:rPr>
          <w:rFonts w:ascii="Times New Roman" w:hAnsi="Times New Roman" w:cs="Times New Roman"/>
        </w:rPr>
        <w:t xml:space="preserve">The old approach to funding internal connections also may have failed to provide sufficient incentives to pursue cost-effective purchasing.  </w:t>
      </w:r>
      <w:r w:rsidR="000722EE" w:rsidRPr="00C80189">
        <w:rPr>
          <w:rFonts w:ascii="Times New Roman" w:hAnsi="Times New Roman" w:cs="Times New Roman"/>
        </w:rPr>
        <w:t xml:space="preserve">There </w:t>
      </w:r>
      <w:r w:rsidRPr="00C80189">
        <w:rPr>
          <w:rFonts w:ascii="Times New Roman" w:hAnsi="Times New Roman" w:cs="Times New Roman"/>
        </w:rPr>
        <w:t xml:space="preserve">has been </w:t>
      </w:r>
      <w:r w:rsidR="00AD7964" w:rsidRPr="00C80189">
        <w:rPr>
          <w:rFonts w:ascii="Times New Roman" w:hAnsi="Times New Roman" w:cs="Times New Roman"/>
        </w:rPr>
        <w:t xml:space="preserve">a wide variation in </w:t>
      </w:r>
      <w:r w:rsidR="00796DC0" w:rsidRPr="00C80189">
        <w:rPr>
          <w:rFonts w:ascii="Times New Roman" w:hAnsi="Times New Roman" w:cs="Times New Roman"/>
        </w:rPr>
        <w:t xml:space="preserve">the </w:t>
      </w:r>
      <w:r w:rsidR="00AD7964" w:rsidRPr="00C80189">
        <w:rPr>
          <w:rFonts w:ascii="Times New Roman" w:hAnsi="Times New Roman" w:cs="Times New Roman"/>
        </w:rPr>
        <w:t xml:space="preserve">internal connections </w:t>
      </w:r>
      <w:r w:rsidR="00796DC0" w:rsidRPr="00C80189">
        <w:rPr>
          <w:rFonts w:ascii="Times New Roman" w:hAnsi="Times New Roman" w:cs="Times New Roman"/>
        </w:rPr>
        <w:t>funding requested</w:t>
      </w:r>
      <w:r w:rsidR="00AD7964" w:rsidRPr="00C80189">
        <w:rPr>
          <w:rFonts w:ascii="Times New Roman" w:hAnsi="Times New Roman" w:cs="Times New Roman"/>
        </w:rPr>
        <w:t xml:space="preserve"> </w:t>
      </w:r>
      <w:r w:rsidR="00796DC0" w:rsidRPr="00C80189">
        <w:rPr>
          <w:rFonts w:ascii="Times New Roman" w:hAnsi="Times New Roman" w:cs="Times New Roman"/>
        </w:rPr>
        <w:t>by</w:t>
      </w:r>
      <w:r w:rsidR="00AD7964" w:rsidRPr="00C80189">
        <w:rPr>
          <w:rFonts w:ascii="Times New Roman" w:hAnsi="Times New Roman" w:cs="Times New Roman"/>
        </w:rPr>
        <w:t xml:space="preserve"> school districts and library systems</w:t>
      </w:r>
      <w:r w:rsidR="007173FE" w:rsidRPr="00C80189">
        <w:rPr>
          <w:rFonts w:ascii="Times New Roman" w:hAnsi="Times New Roman" w:cs="Times New Roman"/>
        </w:rPr>
        <w:t>.  E</w:t>
      </w:r>
      <w:r w:rsidR="000726DF" w:rsidRPr="00C80189">
        <w:rPr>
          <w:rFonts w:ascii="Times New Roman" w:hAnsi="Times New Roman" w:cs="Times New Roman"/>
        </w:rPr>
        <w:t>ven within the 90</w:t>
      </w:r>
      <w:r w:rsidR="00C373F2" w:rsidRPr="00C80189">
        <w:rPr>
          <w:rFonts w:ascii="Times New Roman" w:hAnsi="Times New Roman" w:cs="Times New Roman"/>
        </w:rPr>
        <w:t xml:space="preserve"> percent</w:t>
      </w:r>
      <w:r w:rsidR="000726DF" w:rsidRPr="00C80189">
        <w:rPr>
          <w:rFonts w:ascii="Times New Roman" w:hAnsi="Times New Roman" w:cs="Times New Roman"/>
        </w:rPr>
        <w:t xml:space="preserve"> discount </w:t>
      </w:r>
      <w:r w:rsidR="00794A4C" w:rsidRPr="00C80189">
        <w:rPr>
          <w:rFonts w:ascii="Times New Roman" w:hAnsi="Times New Roman" w:cs="Times New Roman"/>
        </w:rPr>
        <w:t>band</w:t>
      </w:r>
      <w:r w:rsidR="000726DF" w:rsidRPr="00C80189">
        <w:rPr>
          <w:rFonts w:ascii="Times New Roman" w:hAnsi="Times New Roman" w:cs="Times New Roman"/>
        </w:rPr>
        <w:t xml:space="preserve">, the small fraction of applicants requesting the highest levels of </w:t>
      </w:r>
      <w:r w:rsidR="00AD7964" w:rsidRPr="00C80189">
        <w:rPr>
          <w:rFonts w:ascii="Times New Roman" w:hAnsi="Times New Roman" w:cs="Times New Roman"/>
        </w:rPr>
        <w:t xml:space="preserve">internal connection </w:t>
      </w:r>
      <w:r w:rsidR="00796DC0" w:rsidRPr="00C80189">
        <w:rPr>
          <w:rFonts w:ascii="Times New Roman" w:hAnsi="Times New Roman" w:cs="Times New Roman"/>
        </w:rPr>
        <w:t>support</w:t>
      </w:r>
      <w:r w:rsidR="000722EE" w:rsidRPr="00C80189">
        <w:rPr>
          <w:rFonts w:ascii="Times New Roman" w:hAnsi="Times New Roman" w:cs="Times New Roman"/>
        </w:rPr>
        <w:t xml:space="preserve"> per student dro</w:t>
      </w:r>
      <w:r w:rsidR="00AD7964" w:rsidRPr="00C80189">
        <w:rPr>
          <w:rFonts w:ascii="Times New Roman" w:hAnsi="Times New Roman" w:cs="Times New Roman"/>
        </w:rPr>
        <w:t xml:space="preserve">ve overall </w:t>
      </w:r>
      <w:r w:rsidR="005A4D09" w:rsidRPr="00C80189">
        <w:rPr>
          <w:rFonts w:ascii="Times New Roman" w:hAnsi="Times New Roman" w:cs="Times New Roman"/>
        </w:rPr>
        <w:t xml:space="preserve">funding </w:t>
      </w:r>
      <w:r w:rsidR="00AD7964" w:rsidRPr="00C80189">
        <w:rPr>
          <w:rFonts w:ascii="Times New Roman" w:hAnsi="Times New Roman" w:cs="Times New Roman"/>
        </w:rPr>
        <w:t xml:space="preserve">demand. </w:t>
      </w:r>
      <w:r w:rsidR="00735EBF" w:rsidRPr="00C80189">
        <w:rPr>
          <w:rFonts w:ascii="Times New Roman" w:hAnsi="Times New Roman" w:cs="Times New Roman"/>
        </w:rPr>
        <w:t xml:space="preserve"> </w:t>
      </w:r>
      <w:r w:rsidR="00AD7964" w:rsidRPr="00C80189">
        <w:rPr>
          <w:rFonts w:ascii="Times New Roman" w:hAnsi="Times New Roman" w:cs="Times New Roman"/>
        </w:rPr>
        <w:t xml:space="preserve">Figure </w:t>
      </w:r>
      <w:r w:rsidR="008B49F0" w:rsidRPr="00C80189">
        <w:rPr>
          <w:rFonts w:ascii="Times New Roman" w:hAnsi="Times New Roman" w:cs="Times New Roman"/>
        </w:rPr>
        <w:t>4</w:t>
      </w:r>
      <w:r w:rsidR="00AD7964" w:rsidRPr="00C80189">
        <w:rPr>
          <w:rFonts w:ascii="Times New Roman" w:hAnsi="Times New Roman" w:cs="Times New Roman"/>
        </w:rPr>
        <w:t xml:space="preserve"> below</w:t>
      </w:r>
      <w:r w:rsidR="004B4B8F" w:rsidRPr="00C80189">
        <w:rPr>
          <w:rFonts w:ascii="Times New Roman" w:hAnsi="Times New Roman" w:cs="Times New Roman"/>
        </w:rPr>
        <w:t xml:space="preserve"> illustrates this issue.  The figure </w:t>
      </w:r>
      <w:r w:rsidR="005158AD" w:rsidRPr="00C80189">
        <w:rPr>
          <w:rFonts w:ascii="Times New Roman" w:hAnsi="Times New Roman" w:cs="Times New Roman"/>
        </w:rPr>
        <w:t>categorizes, by decile,</w:t>
      </w:r>
      <w:r w:rsidR="00AD7964" w:rsidRPr="00C80189">
        <w:rPr>
          <w:rFonts w:ascii="Times New Roman" w:hAnsi="Times New Roman" w:cs="Times New Roman"/>
        </w:rPr>
        <w:t xml:space="preserve"> committed i</w:t>
      </w:r>
      <w:r w:rsidR="008F0FE1" w:rsidRPr="00C80189">
        <w:rPr>
          <w:rFonts w:ascii="Times New Roman" w:hAnsi="Times New Roman" w:cs="Times New Roman"/>
        </w:rPr>
        <w:t xml:space="preserve">nternal </w:t>
      </w:r>
      <w:r w:rsidR="00AD7964" w:rsidRPr="00C80189">
        <w:rPr>
          <w:rFonts w:ascii="Times New Roman" w:hAnsi="Times New Roman" w:cs="Times New Roman"/>
        </w:rPr>
        <w:t>c</w:t>
      </w:r>
      <w:r w:rsidR="008F0FE1" w:rsidRPr="00C80189">
        <w:rPr>
          <w:rFonts w:ascii="Times New Roman" w:hAnsi="Times New Roman" w:cs="Times New Roman"/>
        </w:rPr>
        <w:t>onnection funding request</w:t>
      </w:r>
      <w:r w:rsidR="00270CDF">
        <w:rPr>
          <w:rFonts w:ascii="Times New Roman" w:hAnsi="Times New Roman" w:cs="Times New Roman"/>
        </w:rPr>
        <w:t xml:space="preserve"> application</w:t>
      </w:r>
      <w:r w:rsidR="008F0FE1" w:rsidRPr="00C80189">
        <w:rPr>
          <w:rFonts w:ascii="Times New Roman" w:hAnsi="Times New Roman" w:cs="Times New Roman"/>
        </w:rPr>
        <w:t xml:space="preserve">s for </w:t>
      </w:r>
      <w:r w:rsidR="009027AD" w:rsidRPr="00C80189">
        <w:rPr>
          <w:rFonts w:ascii="Times New Roman" w:hAnsi="Times New Roman" w:cs="Times New Roman"/>
        </w:rPr>
        <w:t>Funding Year</w:t>
      </w:r>
      <w:r w:rsidR="00DA08B1" w:rsidRPr="00C80189">
        <w:rPr>
          <w:rFonts w:ascii="Times New Roman" w:hAnsi="Times New Roman" w:cs="Times New Roman"/>
        </w:rPr>
        <w:t xml:space="preserve"> </w:t>
      </w:r>
      <w:r w:rsidR="008F0FE1" w:rsidRPr="00C80189">
        <w:rPr>
          <w:rFonts w:ascii="Times New Roman" w:hAnsi="Times New Roman" w:cs="Times New Roman"/>
        </w:rPr>
        <w:t xml:space="preserve">2012 </w:t>
      </w:r>
      <w:r w:rsidR="00903849" w:rsidRPr="00C80189">
        <w:rPr>
          <w:rFonts w:ascii="Times New Roman" w:hAnsi="Times New Roman" w:cs="Times New Roman"/>
        </w:rPr>
        <w:t xml:space="preserve">on </w:t>
      </w:r>
      <w:r w:rsidR="008F0FE1" w:rsidRPr="00C80189">
        <w:rPr>
          <w:rFonts w:ascii="Times New Roman" w:hAnsi="Times New Roman" w:cs="Times New Roman"/>
        </w:rPr>
        <w:t>a pre-discount, per-student cost basis</w:t>
      </w:r>
      <w:r w:rsidR="00AD7964" w:rsidRPr="00C80189">
        <w:rPr>
          <w:rFonts w:ascii="Times New Roman" w:hAnsi="Times New Roman" w:cs="Times New Roman"/>
        </w:rPr>
        <w:t>.</w:t>
      </w:r>
      <w:bookmarkStart w:id="38" w:name="_Ref395011393"/>
      <w:r w:rsidR="008F0FE1" w:rsidRPr="00F96EFD">
        <w:rPr>
          <w:rStyle w:val="FootnoteReference"/>
          <w:rFonts w:cs="Times New Roman"/>
        </w:rPr>
        <w:footnoteReference w:id="9"/>
      </w:r>
      <w:bookmarkEnd w:id="38"/>
      <w:r w:rsidR="008F0FE1" w:rsidRPr="00C80189">
        <w:rPr>
          <w:rFonts w:ascii="Times New Roman" w:hAnsi="Times New Roman" w:cs="Times New Roman"/>
        </w:rPr>
        <w:t xml:space="preserve"> </w:t>
      </w:r>
      <w:r w:rsidR="004B4B8F" w:rsidRPr="00C80189">
        <w:rPr>
          <w:rFonts w:ascii="Times New Roman" w:hAnsi="Times New Roman" w:cs="Times New Roman"/>
        </w:rPr>
        <w:t xml:space="preserve"> For each decile, the </w:t>
      </w:r>
      <w:r w:rsidR="008B49F0" w:rsidRPr="00C80189">
        <w:rPr>
          <w:rFonts w:ascii="Times New Roman" w:hAnsi="Times New Roman" w:cs="Times New Roman"/>
        </w:rPr>
        <w:t>figure</w:t>
      </w:r>
      <w:r w:rsidR="004B4B8F" w:rsidRPr="00C80189">
        <w:rPr>
          <w:rFonts w:ascii="Times New Roman" w:hAnsi="Times New Roman" w:cs="Times New Roman"/>
        </w:rPr>
        <w:t xml:space="preserve"> shows the average pre-discount cost for which USAC committed funding.  </w:t>
      </w:r>
      <w:r w:rsidR="0029675A" w:rsidRPr="00C80189">
        <w:rPr>
          <w:rFonts w:ascii="Times New Roman" w:hAnsi="Times New Roman" w:cs="Times New Roman"/>
        </w:rPr>
        <w:t>Beca</w:t>
      </w:r>
      <w:r w:rsidR="007B0835" w:rsidRPr="00C80189">
        <w:rPr>
          <w:rFonts w:ascii="Times New Roman" w:hAnsi="Times New Roman" w:cs="Times New Roman"/>
        </w:rPr>
        <w:t>use only applications at the 90 percent</w:t>
      </w:r>
      <w:r w:rsidR="0029675A" w:rsidRPr="00C80189">
        <w:rPr>
          <w:rFonts w:ascii="Times New Roman" w:hAnsi="Times New Roman" w:cs="Times New Roman"/>
        </w:rPr>
        <w:t xml:space="preserve"> discount level were funded in FY 2012, all applications in the </w:t>
      </w:r>
      <w:r w:rsidR="007B0835" w:rsidRPr="00C80189">
        <w:rPr>
          <w:rFonts w:ascii="Times New Roman" w:hAnsi="Times New Roman" w:cs="Times New Roman"/>
        </w:rPr>
        <w:t>chart are 90 percent</w:t>
      </w:r>
      <w:r w:rsidR="0029675A" w:rsidRPr="00C80189">
        <w:rPr>
          <w:rFonts w:ascii="Times New Roman" w:hAnsi="Times New Roman" w:cs="Times New Roman"/>
        </w:rPr>
        <w:t xml:space="preserve"> discount applications.</w:t>
      </w:r>
      <w:r w:rsidR="000722EE" w:rsidRPr="00C80189">
        <w:rPr>
          <w:rFonts w:ascii="Times New Roman" w:hAnsi="Times New Roman" w:cs="Times New Roman"/>
        </w:rPr>
        <w:t xml:space="preserve"> </w:t>
      </w:r>
      <w:r w:rsidR="0029675A" w:rsidRPr="00C80189">
        <w:rPr>
          <w:rFonts w:ascii="Times New Roman" w:hAnsi="Times New Roman" w:cs="Times New Roman"/>
        </w:rPr>
        <w:t xml:space="preserve"> </w:t>
      </w:r>
      <w:r w:rsidR="000722EE" w:rsidRPr="00C80189">
        <w:rPr>
          <w:rFonts w:ascii="Times New Roman" w:hAnsi="Times New Roman" w:cs="Times New Roman"/>
        </w:rPr>
        <w:t xml:space="preserve">As this figure shows, </w:t>
      </w:r>
      <w:r w:rsidR="00794A4C" w:rsidRPr="00C80189">
        <w:rPr>
          <w:rFonts w:ascii="Times New Roman" w:hAnsi="Times New Roman" w:cs="Times New Roman"/>
        </w:rPr>
        <w:t xml:space="preserve">close to half </w:t>
      </w:r>
      <w:r w:rsidR="000722EE" w:rsidRPr="00C80189">
        <w:rPr>
          <w:rFonts w:ascii="Times New Roman" w:hAnsi="Times New Roman" w:cs="Times New Roman"/>
        </w:rPr>
        <w:t xml:space="preserve">of applicants </w:t>
      </w:r>
      <w:r w:rsidR="001305F6" w:rsidRPr="00C80189">
        <w:rPr>
          <w:rFonts w:ascii="Times New Roman" w:hAnsi="Times New Roman" w:cs="Times New Roman"/>
        </w:rPr>
        <w:t>spent</w:t>
      </w:r>
      <w:r w:rsidR="000722EE" w:rsidRPr="00C80189">
        <w:rPr>
          <w:rFonts w:ascii="Times New Roman" w:hAnsi="Times New Roman" w:cs="Times New Roman"/>
        </w:rPr>
        <w:t xml:space="preserve"> less than $150 per-student, the budget adopted by the Commission in the </w:t>
      </w:r>
      <w:r w:rsidR="00832625" w:rsidRPr="008D34DE">
        <w:rPr>
          <w:rFonts w:ascii="Times New Roman" w:hAnsi="Times New Roman" w:cs="Times New Roman"/>
          <w:i/>
        </w:rPr>
        <w:t>E-Rate Modernization Order</w:t>
      </w:r>
      <w:r w:rsidR="000722EE" w:rsidRPr="00C80189">
        <w:rPr>
          <w:rFonts w:ascii="Times New Roman" w:hAnsi="Times New Roman" w:cs="Times New Roman"/>
        </w:rPr>
        <w:t>.</w:t>
      </w:r>
      <w:r w:rsidR="00477480" w:rsidRPr="004F1C7B">
        <w:rPr>
          <w:rStyle w:val="FootnoteReference"/>
          <w:rFonts w:cs="Times New Roman"/>
        </w:rPr>
        <w:footnoteReference w:id="10"/>
      </w:r>
      <w:r w:rsidR="000722EE" w:rsidRPr="004F1C7B">
        <w:rPr>
          <w:rFonts w:ascii="Times New Roman" w:hAnsi="Times New Roman" w:cs="Times New Roman"/>
        </w:rPr>
        <w:t xml:space="preserve">  Some applicants</w:t>
      </w:r>
      <w:r w:rsidR="00593A6B" w:rsidRPr="004F1C7B">
        <w:rPr>
          <w:rFonts w:ascii="Times New Roman" w:hAnsi="Times New Roman" w:cs="Times New Roman"/>
        </w:rPr>
        <w:t>, however,</w:t>
      </w:r>
      <w:r w:rsidR="000722EE" w:rsidRPr="0080707A">
        <w:rPr>
          <w:rFonts w:ascii="Times New Roman" w:hAnsi="Times New Roman" w:cs="Times New Roman"/>
        </w:rPr>
        <w:t xml:space="preserve"> spent far more. </w:t>
      </w:r>
      <w:r w:rsidR="008F0FE1" w:rsidRPr="0080707A">
        <w:rPr>
          <w:rFonts w:ascii="Times New Roman" w:hAnsi="Times New Roman" w:cs="Times New Roman"/>
        </w:rPr>
        <w:t xml:space="preserve"> </w:t>
      </w:r>
      <w:r w:rsidR="008B49F0" w:rsidRPr="0080707A">
        <w:rPr>
          <w:rFonts w:ascii="Times New Roman" w:hAnsi="Times New Roman" w:cs="Times New Roman"/>
        </w:rPr>
        <w:t>Indeed</w:t>
      </w:r>
      <w:r w:rsidR="00F13761" w:rsidRPr="0080707A">
        <w:rPr>
          <w:rFonts w:ascii="Times New Roman" w:hAnsi="Times New Roman" w:cs="Times New Roman"/>
        </w:rPr>
        <w:t>,</w:t>
      </w:r>
      <w:r w:rsidR="00E5294E" w:rsidRPr="00C80189">
        <w:rPr>
          <w:rFonts w:ascii="Times New Roman" w:hAnsi="Times New Roman" w:cs="Times New Roman"/>
        </w:rPr>
        <w:t xml:space="preserve"> as detailed in Figure 5 below,</w:t>
      </w:r>
      <w:r w:rsidR="00F13761" w:rsidRPr="00C80189">
        <w:rPr>
          <w:rFonts w:ascii="Times New Roman" w:hAnsi="Times New Roman" w:cs="Times New Roman"/>
        </w:rPr>
        <w:t xml:space="preserve"> the</w:t>
      </w:r>
      <w:r w:rsidR="00A377AA" w:rsidRPr="00C80189">
        <w:rPr>
          <w:rFonts w:ascii="Times New Roman" w:hAnsi="Times New Roman" w:cs="Times New Roman"/>
        </w:rPr>
        <w:t xml:space="preserve"> schools </w:t>
      </w:r>
      <w:r w:rsidR="00176885" w:rsidRPr="00C80189">
        <w:rPr>
          <w:rFonts w:ascii="Times New Roman" w:hAnsi="Times New Roman" w:cs="Times New Roman"/>
        </w:rPr>
        <w:t xml:space="preserve">and districts </w:t>
      </w:r>
      <w:r w:rsidR="00832625" w:rsidRPr="00C80189">
        <w:rPr>
          <w:rFonts w:ascii="Times New Roman" w:hAnsi="Times New Roman" w:cs="Times New Roman"/>
        </w:rPr>
        <w:t xml:space="preserve"> that had per student internal connections costs in the two highest deciles</w:t>
      </w:r>
      <w:r w:rsidR="00A377AA" w:rsidRPr="00C80189">
        <w:rPr>
          <w:rFonts w:ascii="Times New Roman" w:hAnsi="Times New Roman" w:cs="Times New Roman"/>
        </w:rPr>
        <w:t xml:space="preserve"> spent almost as much</w:t>
      </w:r>
      <w:r w:rsidR="00832625" w:rsidRPr="00C80189">
        <w:rPr>
          <w:rFonts w:ascii="Times New Roman" w:hAnsi="Times New Roman" w:cs="Times New Roman"/>
        </w:rPr>
        <w:t xml:space="preserve"> ($247.1 million) </w:t>
      </w:r>
      <w:r w:rsidR="00A377AA" w:rsidRPr="00C80189">
        <w:rPr>
          <w:rFonts w:ascii="Times New Roman" w:hAnsi="Times New Roman" w:cs="Times New Roman"/>
        </w:rPr>
        <w:t xml:space="preserve">as the </w:t>
      </w:r>
      <w:r w:rsidR="00F13761" w:rsidRPr="00C80189">
        <w:rPr>
          <w:rFonts w:ascii="Times New Roman" w:hAnsi="Times New Roman" w:cs="Times New Roman"/>
        </w:rPr>
        <w:t xml:space="preserve">most </w:t>
      </w:r>
      <w:r w:rsidR="000726DF" w:rsidRPr="00C80189">
        <w:rPr>
          <w:rFonts w:ascii="Times New Roman" w:hAnsi="Times New Roman" w:cs="Times New Roman"/>
        </w:rPr>
        <w:t xml:space="preserve">cost effective </w:t>
      </w:r>
      <w:r w:rsidR="00794A4C" w:rsidRPr="00C80189">
        <w:rPr>
          <w:rFonts w:ascii="Times New Roman" w:hAnsi="Times New Roman" w:cs="Times New Roman"/>
        </w:rPr>
        <w:t xml:space="preserve">60 </w:t>
      </w:r>
      <w:r w:rsidR="00F13761" w:rsidRPr="00C80189">
        <w:rPr>
          <w:rFonts w:ascii="Times New Roman" w:hAnsi="Times New Roman" w:cs="Times New Roman"/>
        </w:rPr>
        <w:t>pe</w:t>
      </w:r>
      <w:r w:rsidR="000722EE" w:rsidRPr="00C80189">
        <w:rPr>
          <w:rFonts w:ascii="Times New Roman" w:hAnsi="Times New Roman" w:cs="Times New Roman"/>
        </w:rPr>
        <w:t>rcent of schools</w:t>
      </w:r>
      <w:r w:rsidR="00176885" w:rsidRPr="00C80189">
        <w:rPr>
          <w:rFonts w:ascii="Times New Roman" w:hAnsi="Times New Roman" w:cs="Times New Roman"/>
        </w:rPr>
        <w:t xml:space="preserve"> and districts </w:t>
      </w:r>
      <w:r w:rsidR="000722EE" w:rsidRPr="00C80189">
        <w:rPr>
          <w:rFonts w:ascii="Times New Roman" w:hAnsi="Times New Roman" w:cs="Times New Roman"/>
        </w:rPr>
        <w:t>receiving funding combined</w:t>
      </w:r>
      <w:r w:rsidR="00F13761" w:rsidRPr="00C80189">
        <w:rPr>
          <w:rFonts w:ascii="Times New Roman" w:hAnsi="Times New Roman" w:cs="Times New Roman"/>
        </w:rPr>
        <w:t xml:space="preserve"> ($</w:t>
      </w:r>
      <w:r w:rsidR="00794A4C" w:rsidRPr="00C80189">
        <w:rPr>
          <w:rFonts w:ascii="Times New Roman" w:hAnsi="Times New Roman" w:cs="Times New Roman"/>
        </w:rPr>
        <w:t>235.2</w:t>
      </w:r>
      <w:r w:rsidR="00A377AA" w:rsidRPr="00C80189">
        <w:rPr>
          <w:rFonts w:ascii="Times New Roman" w:hAnsi="Times New Roman" w:cs="Times New Roman"/>
        </w:rPr>
        <w:t xml:space="preserve"> </w:t>
      </w:r>
      <w:r w:rsidR="00F13761" w:rsidRPr="00C80189">
        <w:rPr>
          <w:rFonts w:ascii="Times New Roman" w:hAnsi="Times New Roman" w:cs="Times New Roman"/>
        </w:rPr>
        <w:t>million</w:t>
      </w:r>
      <w:r w:rsidR="00E5294E" w:rsidRPr="00C80189">
        <w:rPr>
          <w:rFonts w:ascii="Times New Roman" w:hAnsi="Times New Roman" w:cs="Times New Roman"/>
        </w:rPr>
        <w:t>)</w:t>
      </w:r>
      <w:r w:rsidR="00F13761" w:rsidRPr="00C80189">
        <w:rPr>
          <w:rFonts w:ascii="Times New Roman" w:hAnsi="Times New Roman" w:cs="Times New Roman"/>
        </w:rPr>
        <w:t>.</w:t>
      </w:r>
      <w:r w:rsidR="00D502CB" w:rsidRPr="00C80189">
        <w:rPr>
          <w:rFonts w:ascii="Times New Roman" w:hAnsi="Times New Roman" w:cs="Times New Roman"/>
        </w:rPr>
        <w:t xml:space="preserve">  While some variation is to be expected due to differences in local needs and conditions, </w:t>
      </w:r>
      <w:r w:rsidR="00E81E09" w:rsidRPr="00C80189">
        <w:rPr>
          <w:rFonts w:ascii="Times New Roman" w:hAnsi="Times New Roman" w:cs="Times New Roman"/>
        </w:rPr>
        <w:t>internal connections</w:t>
      </w:r>
      <w:r w:rsidR="00D502CB" w:rsidRPr="00C80189">
        <w:rPr>
          <w:rFonts w:ascii="Times New Roman" w:hAnsi="Times New Roman" w:cs="Times New Roman"/>
        </w:rPr>
        <w:t xml:space="preserve"> costs are largely based on the costs of equipment, </w:t>
      </w:r>
      <w:r w:rsidR="00E81E09" w:rsidRPr="00C80189">
        <w:rPr>
          <w:rFonts w:ascii="Times New Roman" w:hAnsi="Times New Roman" w:cs="Times New Roman"/>
        </w:rPr>
        <w:t>which</w:t>
      </w:r>
      <w:r w:rsidR="00D502CB" w:rsidRPr="00C80189">
        <w:rPr>
          <w:rFonts w:ascii="Times New Roman" w:hAnsi="Times New Roman" w:cs="Times New Roman"/>
        </w:rPr>
        <w:t xml:space="preserve"> tend to have consistent prices nationwide.</w:t>
      </w:r>
      <w:r w:rsidR="00E81E09" w:rsidRPr="00C80189">
        <w:rPr>
          <w:rFonts w:ascii="Times New Roman" w:hAnsi="Times New Roman" w:cs="Times New Roman"/>
        </w:rPr>
        <w:t xml:space="preserve">  </w:t>
      </w:r>
      <w:r w:rsidR="00593A6B" w:rsidRPr="00C80189">
        <w:rPr>
          <w:rFonts w:ascii="Times New Roman" w:hAnsi="Times New Roman" w:cs="Times New Roman"/>
        </w:rPr>
        <w:t>In contrast, the m</w:t>
      </w:r>
      <w:r w:rsidR="00BF73F0" w:rsidRPr="00C80189">
        <w:rPr>
          <w:rFonts w:ascii="Times New Roman" w:hAnsi="Times New Roman" w:cs="Times New Roman"/>
        </w:rPr>
        <w:t>o</w:t>
      </w:r>
      <w:r w:rsidR="00593A6B" w:rsidRPr="00C80189">
        <w:rPr>
          <w:rFonts w:ascii="Times New Roman" w:hAnsi="Times New Roman" w:cs="Times New Roman"/>
        </w:rPr>
        <w:t>st expensive deciles shown in Figure 5 requested support at levels many multiples higher than the range of actual necessary costs filed with the Commission to date.</w:t>
      </w:r>
      <w:r w:rsidR="00593A6B" w:rsidRPr="00C80189">
        <w:rPr>
          <w:rStyle w:val="FootnoteReference"/>
          <w:rFonts w:cs="Times New Roman"/>
        </w:rPr>
        <w:footnoteReference w:id="11"/>
      </w:r>
      <w:r w:rsidR="00593A6B" w:rsidRPr="00C80189">
        <w:rPr>
          <w:rFonts w:ascii="Times New Roman" w:hAnsi="Times New Roman" w:cs="Times New Roman"/>
        </w:rPr>
        <w:t xml:space="preserve">  Although a number of drivers </w:t>
      </w:r>
      <w:r w:rsidR="00BF73F0" w:rsidRPr="00C80189">
        <w:rPr>
          <w:rFonts w:ascii="Times New Roman" w:hAnsi="Times New Roman" w:cs="Times New Roman"/>
        </w:rPr>
        <w:t xml:space="preserve">could explain these very high requested support levels – ranging from particularly challenging deployments in areas with high labor costs, to schools seeking to build internal connection networks at service levels well in excess of the goals established in the </w:t>
      </w:r>
      <w:r w:rsidR="00832625" w:rsidRPr="00C80189">
        <w:rPr>
          <w:rFonts w:ascii="Times New Roman" w:hAnsi="Times New Roman" w:cs="Times New Roman"/>
          <w:i/>
        </w:rPr>
        <w:t>E-Rate Modernization Order</w:t>
      </w:r>
      <w:r w:rsidR="00BF73F0" w:rsidRPr="00C80189">
        <w:rPr>
          <w:rFonts w:ascii="Times New Roman" w:hAnsi="Times New Roman" w:cs="Times New Roman"/>
        </w:rPr>
        <w:t xml:space="preserve">, to particularly inefficient network planning and purchasing – the </w:t>
      </w:r>
      <w:r w:rsidR="00832625" w:rsidRPr="00C80189">
        <w:rPr>
          <w:rFonts w:ascii="Times New Roman" w:hAnsi="Times New Roman" w:cs="Times New Roman"/>
          <w:i/>
        </w:rPr>
        <w:t>E-Rate Modernization Order</w:t>
      </w:r>
      <w:r w:rsidR="00BF73F0" w:rsidRPr="00C80189">
        <w:rPr>
          <w:rFonts w:ascii="Times New Roman" w:hAnsi="Times New Roman" w:cs="Times New Roman"/>
        </w:rPr>
        <w:t xml:space="preserve"> squarely addresses this issue.  </w:t>
      </w:r>
      <w:r w:rsidR="00E81E09" w:rsidRPr="00C80189">
        <w:rPr>
          <w:rFonts w:ascii="Times New Roman" w:hAnsi="Times New Roman" w:cs="Times New Roman"/>
        </w:rPr>
        <w:t>The Commission</w:t>
      </w:r>
      <w:r w:rsidR="00317634" w:rsidRPr="00C80189">
        <w:rPr>
          <w:rFonts w:ascii="Times New Roman" w:hAnsi="Times New Roman" w:cs="Times New Roman"/>
        </w:rPr>
        <w:t>’</w:t>
      </w:r>
      <w:r w:rsidR="00E81E09" w:rsidRPr="00C80189">
        <w:rPr>
          <w:rFonts w:ascii="Times New Roman" w:hAnsi="Times New Roman" w:cs="Times New Roman"/>
        </w:rPr>
        <w:t xml:space="preserve">s </w:t>
      </w:r>
      <w:r w:rsidR="00D502CB" w:rsidRPr="00C80189">
        <w:rPr>
          <w:rFonts w:ascii="Times New Roman" w:hAnsi="Times New Roman" w:cs="Times New Roman"/>
        </w:rPr>
        <w:t xml:space="preserve">adoption of the $150 budget and </w:t>
      </w:r>
      <w:r w:rsidR="00E81E09" w:rsidRPr="00C80189">
        <w:rPr>
          <w:rFonts w:ascii="Times New Roman" w:hAnsi="Times New Roman" w:cs="Times New Roman"/>
        </w:rPr>
        <w:t xml:space="preserve">decision to increase applicants’ minimum contribution for internal connections from 10 to 15 percent </w:t>
      </w:r>
      <w:r w:rsidR="00D502CB" w:rsidRPr="00C80189">
        <w:rPr>
          <w:rFonts w:ascii="Times New Roman" w:hAnsi="Times New Roman" w:cs="Times New Roman"/>
        </w:rPr>
        <w:t>will spread available universal service funds more widely and increase the incentive for applicants to find the most cost-effective options that meet their internal connection needs.</w:t>
      </w:r>
      <w:r w:rsidR="00E81E09" w:rsidRPr="00C80189">
        <w:rPr>
          <w:rStyle w:val="FootnoteReference"/>
          <w:rFonts w:cs="Times New Roman"/>
        </w:rPr>
        <w:footnoteReference w:id="12"/>
      </w:r>
      <w:r w:rsidR="000722EE" w:rsidRPr="00C80189">
        <w:rPr>
          <w:rFonts w:ascii="Times New Roman" w:hAnsi="Times New Roman" w:cs="Times New Roman"/>
        </w:rPr>
        <w:t xml:space="preserve"> </w:t>
      </w:r>
    </w:p>
    <w:p w14:paraId="25495757" w14:textId="50A22AB0" w:rsidR="008F0FE1" w:rsidRPr="00C80189" w:rsidRDefault="008F0FE1" w:rsidP="00E81E09">
      <w:pPr>
        <w:pStyle w:val="ParaNum"/>
        <w:keepNext/>
        <w:numPr>
          <w:ilvl w:val="0"/>
          <w:numId w:val="0"/>
        </w:numPr>
        <w:jc w:val="center"/>
        <w:rPr>
          <w:rFonts w:ascii="Times New Roman" w:hAnsi="Times New Roman" w:cs="Times New Roman"/>
          <w:b/>
        </w:rPr>
      </w:pPr>
      <w:r w:rsidRPr="00C80189">
        <w:rPr>
          <w:rFonts w:ascii="Times New Roman" w:hAnsi="Times New Roman" w:cs="Times New Roman"/>
          <w:b/>
        </w:rPr>
        <w:t xml:space="preserve">Figure </w:t>
      </w:r>
      <w:r w:rsidR="008B49F0" w:rsidRPr="00C80189">
        <w:rPr>
          <w:rFonts w:ascii="Times New Roman" w:hAnsi="Times New Roman" w:cs="Times New Roman"/>
          <w:b/>
        </w:rPr>
        <w:t>4:</w:t>
      </w:r>
      <w:r w:rsidRPr="00C80189">
        <w:rPr>
          <w:rFonts w:ascii="Times New Roman" w:hAnsi="Times New Roman" w:cs="Times New Roman"/>
          <w:b/>
        </w:rPr>
        <w:t xml:space="preserve"> </w:t>
      </w:r>
      <w:r w:rsidR="00DA08B1" w:rsidRPr="00C80189">
        <w:rPr>
          <w:rFonts w:ascii="Times New Roman" w:hAnsi="Times New Roman" w:cs="Times New Roman"/>
          <w:b/>
        </w:rPr>
        <w:t>Fund</w:t>
      </w:r>
      <w:r w:rsidR="008B49F0" w:rsidRPr="00C80189">
        <w:rPr>
          <w:rFonts w:ascii="Times New Roman" w:hAnsi="Times New Roman" w:cs="Times New Roman"/>
          <w:b/>
        </w:rPr>
        <w:t>ing</w:t>
      </w:r>
      <w:r w:rsidR="00DA08B1" w:rsidRPr="00C80189">
        <w:rPr>
          <w:rFonts w:ascii="Times New Roman" w:hAnsi="Times New Roman" w:cs="Times New Roman"/>
          <w:b/>
        </w:rPr>
        <w:t xml:space="preserve"> Year </w:t>
      </w:r>
      <w:r w:rsidRPr="00C80189">
        <w:rPr>
          <w:rFonts w:ascii="Times New Roman" w:hAnsi="Times New Roman" w:cs="Times New Roman"/>
          <w:b/>
        </w:rPr>
        <w:t>2012 Internal Connection Costs per Student</w:t>
      </w:r>
      <w:r w:rsidRPr="00C80189">
        <w:rPr>
          <w:rStyle w:val="FootnoteReference"/>
          <w:rFonts w:cs="Times New Roman"/>
          <w:b/>
        </w:rPr>
        <w:footnoteReference w:id="13"/>
      </w:r>
    </w:p>
    <w:p w14:paraId="6A6FD8C8" w14:textId="3C41DAA5" w:rsidR="00C028A6" w:rsidRPr="004F1C7B" w:rsidRDefault="003A5D01" w:rsidP="00D502CB">
      <w:pPr>
        <w:pStyle w:val="ParaNum"/>
        <w:numPr>
          <w:ilvl w:val="0"/>
          <w:numId w:val="0"/>
        </w:numPr>
        <w:jc w:val="center"/>
        <w:rPr>
          <w:rFonts w:ascii="Times New Roman" w:hAnsi="Times New Roman" w:cs="Times New Roman"/>
          <w:b/>
        </w:rPr>
      </w:pPr>
      <w:r w:rsidRPr="004F1C7B">
        <w:rPr>
          <w:rFonts w:ascii="Times New Roman" w:hAnsi="Times New Roman" w:cs="Times New Roman"/>
          <w:noProof/>
        </w:rPr>
        <w:drawing>
          <wp:inline distT="0" distB="0" distL="0" distR="0" wp14:anchorId="086A7759" wp14:editId="4C6D5760">
            <wp:extent cx="5486400" cy="3420208"/>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EDA604" w14:textId="77777777" w:rsidR="00D502CB" w:rsidRPr="00C80189" w:rsidRDefault="00D502CB" w:rsidP="00D502CB">
      <w:pPr>
        <w:pStyle w:val="ParaNum"/>
        <w:keepNext/>
        <w:numPr>
          <w:ilvl w:val="0"/>
          <w:numId w:val="0"/>
        </w:numPr>
        <w:jc w:val="center"/>
        <w:rPr>
          <w:rFonts w:ascii="Times New Roman" w:hAnsi="Times New Roman" w:cs="Times New Roman"/>
          <w:b/>
        </w:rPr>
      </w:pPr>
    </w:p>
    <w:p w14:paraId="208F6AC6" w14:textId="77777777" w:rsidR="00E81E09" w:rsidRPr="00C80189" w:rsidRDefault="00E81E09">
      <w:pPr>
        <w:spacing w:after="0" w:line="240" w:lineRule="auto"/>
        <w:rPr>
          <w:rFonts w:ascii="Times New Roman" w:hAnsi="Times New Roman" w:cs="Times New Roman"/>
          <w:b/>
        </w:rPr>
      </w:pPr>
      <w:r w:rsidRPr="00C80189">
        <w:rPr>
          <w:rFonts w:ascii="Times New Roman" w:hAnsi="Times New Roman" w:cs="Times New Roman"/>
          <w:b/>
        </w:rPr>
        <w:br w:type="page"/>
      </w:r>
    </w:p>
    <w:p w14:paraId="73D23495" w14:textId="3078ACF1" w:rsidR="007C6818" w:rsidRPr="00C80189" w:rsidRDefault="007C6818" w:rsidP="00D502CB">
      <w:pPr>
        <w:pStyle w:val="ParaNum"/>
        <w:keepNext/>
        <w:numPr>
          <w:ilvl w:val="0"/>
          <w:numId w:val="0"/>
        </w:numPr>
        <w:jc w:val="center"/>
        <w:rPr>
          <w:rFonts w:ascii="Times New Roman" w:hAnsi="Times New Roman" w:cs="Times New Roman"/>
          <w:b/>
        </w:rPr>
      </w:pPr>
      <w:r w:rsidRPr="00C80189">
        <w:rPr>
          <w:rFonts w:ascii="Times New Roman" w:hAnsi="Times New Roman" w:cs="Times New Roman"/>
          <w:b/>
        </w:rPr>
        <w:t xml:space="preserve">Figure </w:t>
      </w:r>
      <w:r w:rsidR="008B49F0" w:rsidRPr="00C80189">
        <w:rPr>
          <w:rFonts w:ascii="Times New Roman" w:hAnsi="Times New Roman" w:cs="Times New Roman"/>
          <w:b/>
        </w:rPr>
        <w:t>5:</w:t>
      </w:r>
      <w:r w:rsidRPr="00C80189">
        <w:rPr>
          <w:rFonts w:ascii="Times New Roman" w:hAnsi="Times New Roman" w:cs="Times New Roman"/>
          <w:b/>
        </w:rPr>
        <w:t xml:space="preserve"> </w:t>
      </w:r>
      <w:r w:rsidR="00DA08B1" w:rsidRPr="00C80189">
        <w:rPr>
          <w:rFonts w:ascii="Times New Roman" w:hAnsi="Times New Roman" w:cs="Times New Roman"/>
          <w:b/>
        </w:rPr>
        <w:t>Fund</w:t>
      </w:r>
      <w:r w:rsidR="008B49F0" w:rsidRPr="00C80189">
        <w:rPr>
          <w:rFonts w:ascii="Times New Roman" w:hAnsi="Times New Roman" w:cs="Times New Roman"/>
          <w:b/>
        </w:rPr>
        <w:t>ing</w:t>
      </w:r>
      <w:r w:rsidR="00DA08B1" w:rsidRPr="00C80189">
        <w:rPr>
          <w:rFonts w:ascii="Times New Roman" w:hAnsi="Times New Roman" w:cs="Times New Roman"/>
          <w:b/>
        </w:rPr>
        <w:t xml:space="preserve"> Year </w:t>
      </w:r>
      <w:r w:rsidRPr="00C80189">
        <w:rPr>
          <w:rFonts w:ascii="Times New Roman" w:hAnsi="Times New Roman" w:cs="Times New Roman"/>
          <w:b/>
        </w:rPr>
        <w:t>2012 Internal Connection Costs per Student Table</w:t>
      </w:r>
    </w:p>
    <w:tbl>
      <w:tblPr>
        <w:tblW w:w="8745" w:type="dxa"/>
        <w:tblInd w:w="9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AF1DD" w:themeFill="accent3" w:themeFillTint="33"/>
        <w:tblLook w:val="00A0" w:firstRow="1" w:lastRow="0" w:firstColumn="1" w:lastColumn="0" w:noHBand="0" w:noVBand="0"/>
      </w:tblPr>
      <w:tblGrid>
        <w:gridCol w:w="1815"/>
        <w:gridCol w:w="2070"/>
        <w:gridCol w:w="2430"/>
        <w:gridCol w:w="2430"/>
      </w:tblGrid>
      <w:tr w:rsidR="003A5D01" w:rsidRPr="00C80189" w14:paraId="000D0419" w14:textId="77777777" w:rsidTr="0063210B">
        <w:trPr>
          <w:trHeight w:val="945"/>
          <w:tblHeader/>
        </w:trPr>
        <w:tc>
          <w:tcPr>
            <w:tcW w:w="1815" w:type="dxa"/>
            <w:shd w:val="clear" w:color="auto" w:fill="EAF1DD" w:themeFill="accent3" w:themeFillTint="33"/>
            <w:vAlign w:val="center"/>
            <w:hideMark/>
          </w:tcPr>
          <w:p w14:paraId="2695D0AA" w14:textId="77777777" w:rsidR="003A5D01" w:rsidRPr="00C80189" w:rsidRDefault="003A5D01" w:rsidP="00E81E09">
            <w:pPr>
              <w:spacing w:line="240" w:lineRule="auto"/>
              <w:jc w:val="center"/>
              <w:rPr>
                <w:rFonts w:ascii="Times New Roman" w:eastAsia="Times New Roman" w:hAnsi="Times New Roman" w:cs="Times New Roman"/>
                <w:b/>
                <w:bCs/>
                <w:color w:val="000000"/>
                <w:sz w:val="20"/>
              </w:rPr>
            </w:pPr>
            <w:r w:rsidRPr="00C80189">
              <w:rPr>
                <w:rFonts w:ascii="Times New Roman" w:eastAsia="Times New Roman" w:hAnsi="Times New Roman" w:cs="Times New Roman"/>
                <w:b/>
                <w:bCs/>
                <w:color w:val="000000"/>
                <w:sz w:val="20"/>
              </w:rPr>
              <w:t>Applications by Cost/Student Decile</w:t>
            </w:r>
          </w:p>
        </w:tc>
        <w:tc>
          <w:tcPr>
            <w:tcW w:w="2070" w:type="dxa"/>
            <w:shd w:val="clear" w:color="auto" w:fill="EAF1DD" w:themeFill="accent3" w:themeFillTint="33"/>
            <w:vAlign w:val="center"/>
            <w:hideMark/>
          </w:tcPr>
          <w:p w14:paraId="5C72CB65" w14:textId="77777777" w:rsidR="003A5D01" w:rsidRPr="00C80189" w:rsidRDefault="003A5D01" w:rsidP="00E81E09">
            <w:pPr>
              <w:tabs>
                <w:tab w:val="center" w:pos="4320"/>
                <w:tab w:val="right" w:pos="8640"/>
              </w:tabs>
              <w:spacing w:line="240" w:lineRule="auto"/>
              <w:jc w:val="center"/>
              <w:rPr>
                <w:rFonts w:ascii="Times New Roman" w:eastAsia="Times New Roman" w:hAnsi="Times New Roman" w:cs="Times New Roman"/>
                <w:b/>
                <w:bCs/>
                <w:color w:val="000000"/>
                <w:sz w:val="20"/>
              </w:rPr>
            </w:pPr>
            <w:r w:rsidRPr="00C80189">
              <w:rPr>
                <w:rFonts w:ascii="Times New Roman" w:eastAsia="Times New Roman" w:hAnsi="Times New Roman" w:cs="Times New Roman"/>
                <w:b/>
                <w:bCs/>
                <w:color w:val="000000"/>
                <w:sz w:val="20"/>
              </w:rPr>
              <w:t>Average Pre-Discount Cost per Student</w:t>
            </w:r>
          </w:p>
        </w:tc>
        <w:tc>
          <w:tcPr>
            <w:tcW w:w="2430" w:type="dxa"/>
            <w:shd w:val="clear" w:color="auto" w:fill="EAF1DD" w:themeFill="accent3" w:themeFillTint="33"/>
            <w:vAlign w:val="center"/>
            <w:hideMark/>
          </w:tcPr>
          <w:p w14:paraId="3AF1C007" w14:textId="77777777" w:rsidR="003A5D01" w:rsidRPr="00C80189" w:rsidRDefault="003A5D01" w:rsidP="00E81E09">
            <w:pPr>
              <w:tabs>
                <w:tab w:val="center" w:pos="4320"/>
                <w:tab w:val="right" w:pos="8640"/>
              </w:tabs>
              <w:spacing w:line="240" w:lineRule="auto"/>
              <w:jc w:val="center"/>
              <w:rPr>
                <w:rFonts w:ascii="Times New Roman" w:eastAsia="Times New Roman" w:hAnsi="Times New Roman" w:cs="Times New Roman"/>
                <w:b/>
                <w:bCs/>
                <w:color w:val="000000"/>
                <w:sz w:val="20"/>
              </w:rPr>
            </w:pPr>
            <w:r w:rsidRPr="00C80189">
              <w:rPr>
                <w:rFonts w:ascii="Times New Roman" w:eastAsia="Times New Roman" w:hAnsi="Times New Roman" w:cs="Times New Roman"/>
                <w:b/>
                <w:bCs/>
                <w:color w:val="000000"/>
                <w:sz w:val="20"/>
              </w:rPr>
              <w:t>Supported Students</w:t>
            </w:r>
          </w:p>
        </w:tc>
        <w:tc>
          <w:tcPr>
            <w:tcW w:w="2430" w:type="dxa"/>
            <w:shd w:val="clear" w:color="auto" w:fill="EAF1DD" w:themeFill="accent3" w:themeFillTint="33"/>
            <w:vAlign w:val="center"/>
            <w:hideMark/>
          </w:tcPr>
          <w:p w14:paraId="67609A51" w14:textId="77777777" w:rsidR="003A5D01" w:rsidRPr="00C80189" w:rsidRDefault="003A5D01" w:rsidP="00E81E09">
            <w:pPr>
              <w:tabs>
                <w:tab w:val="center" w:pos="4320"/>
                <w:tab w:val="right" w:pos="8640"/>
              </w:tabs>
              <w:spacing w:line="240" w:lineRule="auto"/>
              <w:jc w:val="center"/>
              <w:rPr>
                <w:rFonts w:ascii="Times New Roman" w:eastAsia="Times New Roman" w:hAnsi="Times New Roman" w:cs="Times New Roman"/>
                <w:b/>
                <w:bCs/>
                <w:color w:val="000000"/>
                <w:sz w:val="20"/>
              </w:rPr>
            </w:pPr>
            <w:r w:rsidRPr="00C80189">
              <w:rPr>
                <w:rFonts w:ascii="Times New Roman" w:eastAsia="Times New Roman" w:hAnsi="Times New Roman" w:cs="Times New Roman"/>
                <w:b/>
                <w:bCs/>
                <w:color w:val="000000"/>
                <w:sz w:val="20"/>
              </w:rPr>
              <w:t>Total Pre-Discount Cost</w:t>
            </w:r>
          </w:p>
        </w:tc>
      </w:tr>
      <w:tr w:rsidR="003A5D01" w:rsidRPr="00C80189" w14:paraId="6DF0F193" w14:textId="77777777" w:rsidTr="0063210B">
        <w:trPr>
          <w:trHeight w:val="315"/>
        </w:trPr>
        <w:tc>
          <w:tcPr>
            <w:tcW w:w="1815" w:type="dxa"/>
            <w:shd w:val="clear" w:color="auto" w:fill="EAF1DD" w:themeFill="accent3" w:themeFillTint="33"/>
            <w:noWrap/>
            <w:vAlign w:val="bottom"/>
            <w:hideMark/>
          </w:tcPr>
          <w:p w14:paraId="0E62F16D"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0-10%</w:t>
            </w:r>
          </w:p>
        </w:tc>
        <w:tc>
          <w:tcPr>
            <w:tcW w:w="2070" w:type="dxa"/>
            <w:shd w:val="clear" w:color="auto" w:fill="EAF1DD" w:themeFill="accent3" w:themeFillTint="33"/>
            <w:noWrap/>
            <w:vAlign w:val="bottom"/>
            <w:hideMark/>
          </w:tcPr>
          <w:p w14:paraId="04D49AE0" w14:textId="77777777" w:rsidR="003A5D01" w:rsidRPr="004F1C7B" w:rsidRDefault="003A5D01" w:rsidP="00E81E09">
            <w:pPr>
              <w:spacing w:line="240" w:lineRule="auto"/>
              <w:jc w:val="center"/>
              <w:rPr>
                <w:rFonts w:ascii="Times New Roman" w:eastAsia="Times New Roman" w:hAnsi="Times New Roman" w:cs="Times New Roman"/>
                <w:color w:val="000000"/>
                <w:sz w:val="20"/>
              </w:rPr>
            </w:pPr>
            <w:r w:rsidRPr="004F1C7B">
              <w:rPr>
                <w:rFonts w:ascii="Times New Roman" w:eastAsia="Times New Roman" w:hAnsi="Times New Roman" w:cs="Times New Roman"/>
                <w:color w:val="000000"/>
                <w:sz w:val="20"/>
              </w:rPr>
              <w:t>$20.59</w:t>
            </w:r>
          </w:p>
        </w:tc>
        <w:tc>
          <w:tcPr>
            <w:tcW w:w="2430" w:type="dxa"/>
            <w:shd w:val="clear" w:color="auto" w:fill="EAF1DD" w:themeFill="accent3" w:themeFillTint="33"/>
            <w:noWrap/>
            <w:vAlign w:val="bottom"/>
            <w:hideMark/>
          </w:tcPr>
          <w:p w14:paraId="6B462DF3" w14:textId="77777777" w:rsidR="003A5D01" w:rsidRPr="00C05904" w:rsidRDefault="003A5D01" w:rsidP="00E81E09">
            <w:pPr>
              <w:spacing w:line="240" w:lineRule="auto"/>
              <w:jc w:val="center"/>
              <w:rPr>
                <w:rFonts w:ascii="Times New Roman" w:eastAsia="Times New Roman" w:hAnsi="Times New Roman" w:cs="Times New Roman"/>
                <w:color w:val="000000"/>
                <w:sz w:val="20"/>
              </w:rPr>
            </w:pPr>
            <w:r w:rsidRPr="00C05904">
              <w:rPr>
                <w:rFonts w:ascii="Times New Roman" w:eastAsia="Times New Roman" w:hAnsi="Times New Roman" w:cs="Times New Roman"/>
                <w:color w:val="000000"/>
                <w:sz w:val="20"/>
              </w:rPr>
              <w:t>655,107</w:t>
            </w:r>
          </w:p>
        </w:tc>
        <w:tc>
          <w:tcPr>
            <w:tcW w:w="2430" w:type="dxa"/>
            <w:shd w:val="clear" w:color="auto" w:fill="EAF1DD" w:themeFill="accent3" w:themeFillTint="33"/>
            <w:noWrap/>
            <w:vAlign w:val="bottom"/>
            <w:hideMark/>
          </w:tcPr>
          <w:p w14:paraId="7E5DC239"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$13,255,645</w:t>
            </w:r>
          </w:p>
        </w:tc>
      </w:tr>
      <w:tr w:rsidR="003A5D01" w:rsidRPr="00C80189" w14:paraId="3754566C" w14:textId="77777777" w:rsidTr="0063210B">
        <w:trPr>
          <w:trHeight w:val="315"/>
        </w:trPr>
        <w:tc>
          <w:tcPr>
            <w:tcW w:w="1815" w:type="dxa"/>
            <w:shd w:val="clear" w:color="auto" w:fill="EAF1DD" w:themeFill="accent3" w:themeFillTint="33"/>
            <w:noWrap/>
            <w:vAlign w:val="bottom"/>
            <w:hideMark/>
          </w:tcPr>
          <w:p w14:paraId="4F7091C2"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10-20%</w:t>
            </w:r>
          </w:p>
        </w:tc>
        <w:tc>
          <w:tcPr>
            <w:tcW w:w="2070" w:type="dxa"/>
            <w:shd w:val="clear" w:color="auto" w:fill="EAF1DD" w:themeFill="accent3" w:themeFillTint="33"/>
            <w:noWrap/>
            <w:vAlign w:val="bottom"/>
            <w:hideMark/>
          </w:tcPr>
          <w:p w14:paraId="2C9494F9" w14:textId="77777777" w:rsidR="003A5D01" w:rsidRPr="004F1C7B" w:rsidRDefault="003A5D01" w:rsidP="00E81E09">
            <w:pPr>
              <w:spacing w:line="240" w:lineRule="auto"/>
              <w:jc w:val="center"/>
              <w:rPr>
                <w:rFonts w:ascii="Times New Roman" w:eastAsia="Times New Roman" w:hAnsi="Times New Roman" w:cs="Times New Roman"/>
                <w:color w:val="000000"/>
                <w:sz w:val="20"/>
              </w:rPr>
            </w:pPr>
            <w:r w:rsidRPr="004F1C7B">
              <w:rPr>
                <w:rFonts w:ascii="Times New Roman" w:eastAsia="Times New Roman" w:hAnsi="Times New Roman" w:cs="Times New Roman"/>
                <w:color w:val="000000"/>
                <w:sz w:val="20"/>
              </w:rPr>
              <w:t>$54.61</w:t>
            </w:r>
          </w:p>
        </w:tc>
        <w:tc>
          <w:tcPr>
            <w:tcW w:w="2430" w:type="dxa"/>
            <w:shd w:val="clear" w:color="auto" w:fill="EAF1DD" w:themeFill="accent3" w:themeFillTint="33"/>
            <w:noWrap/>
            <w:vAlign w:val="bottom"/>
            <w:hideMark/>
          </w:tcPr>
          <w:p w14:paraId="5B23D199" w14:textId="77777777" w:rsidR="003A5D01" w:rsidRPr="00C05904" w:rsidRDefault="003A5D01" w:rsidP="00E81E09">
            <w:pPr>
              <w:spacing w:line="240" w:lineRule="auto"/>
              <w:jc w:val="center"/>
              <w:rPr>
                <w:rFonts w:ascii="Times New Roman" w:eastAsia="Times New Roman" w:hAnsi="Times New Roman" w:cs="Times New Roman"/>
                <w:color w:val="000000"/>
                <w:sz w:val="20"/>
              </w:rPr>
            </w:pPr>
            <w:r w:rsidRPr="00C05904">
              <w:rPr>
                <w:rFonts w:ascii="Times New Roman" w:eastAsia="Times New Roman" w:hAnsi="Times New Roman" w:cs="Times New Roman"/>
                <w:color w:val="000000"/>
                <w:sz w:val="20"/>
              </w:rPr>
              <w:t>451,107</w:t>
            </w:r>
          </w:p>
        </w:tc>
        <w:tc>
          <w:tcPr>
            <w:tcW w:w="2430" w:type="dxa"/>
            <w:shd w:val="clear" w:color="auto" w:fill="EAF1DD" w:themeFill="accent3" w:themeFillTint="33"/>
            <w:noWrap/>
            <w:vAlign w:val="bottom"/>
            <w:hideMark/>
          </w:tcPr>
          <w:p w14:paraId="082CBCD1"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$24,153,659</w:t>
            </w:r>
          </w:p>
        </w:tc>
      </w:tr>
      <w:tr w:rsidR="003A5D01" w:rsidRPr="00C80189" w14:paraId="6FF87817" w14:textId="77777777" w:rsidTr="0063210B">
        <w:trPr>
          <w:trHeight w:val="315"/>
        </w:trPr>
        <w:tc>
          <w:tcPr>
            <w:tcW w:w="1815" w:type="dxa"/>
            <w:shd w:val="clear" w:color="auto" w:fill="EAF1DD" w:themeFill="accent3" w:themeFillTint="33"/>
            <w:noWrap/>
            <w:vAlign w:val="bottom"/>
            <w:hideMark/>
          </w:tcPr>
          <w:p w14:paraId="3984456D"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20-30%</w:t>
            </w:r>
          </w:p>
        </w:tc>
        <w:tc>
          <w:tcPr>
            <w:tcW w:w="2070" w:type="dxa"/>
            <w:shd w:val="clear" w:color="auto" w:fill="EAF1DD" w:themeFill="accent3" w:themeFillTint="33"/>
            <w:noWrap/>
            <w:vAlign w:val="bottom"/>
            <w:hideMark/>
          </w:tcPr>
          <w:p w14:paraId="2268386C" w14:textId="77777777" w:rsidR="003A5D01" w:rsidRPr="004F1C7B" w:rsidRDefault="003A5D01" w:rsidP="00E81E09">
            <w:pPr>
              <w:spacing w:line="240" w:lineRule="auto"/>
              <w:jc w:val="center"/>
              <w:rPr>
                <w:rFonts w:ascii="Times New Roman" w:eastAsia="Times New Roman" w:hAnsi="Times New Roman" w:cs="Times New Roman"/>
                <w:color w:val="000000"/>
                <w:sz w:val="20"/>
              </w:rPr>
            </w:pPr>
            <w:r w:rsidRPr="004F1C7B">
              <w:rPr>
                <w:rFonts w:ascii="Times New Roman" w:eastAsia="Times New Roman" w:hAnsi="Times New Roman" w:cs="Times New Roman"/>
                <w:color w:val="000000"/>
                <w:sz w:val="20"/>
              </w:rPr>
              <w:t>$85.63</w:t>
            </w:r>
          </w:p>
        </w:tc>
        <w:tc>
          <w:tcPr>
            <w:tcW w:w="2430" w:type="dxa"/>
            <w:shd w:val="clear" w:color="auto" w:fill="EAF1DD" w:themeFill="accent3" w:themeFillTint="33"/>
            <w:noWrap/>
            <w:vAlign w:val="bottom"/>
            <w:hideMark/>
          </w:tcPr>
          <w:p w14:paraId="13494833" w14:textId="77777777" w:rsidR="003A5D01" w:rsidRPr="00C05904" w:rsidRDefault="003A5D01" w:rsidP="00E81E09">
            <w:pPr>
              <w:spacing w:line="240" w:lineRule="auto"/>
              <w:jc w:val="center"/>
              <w:rPr>
                <w:rFonts w:ascii="Times New Roman" w:eastAsia="Times New Roman" w:hAnsi="Times New Roman" w:cs="Times New Roman"/>
                <w:color w:val="000000"/>
                <w:sz w:val="20"/>
              </w:rPr>
            </w:pPr>
            <w:r w:rsidRPr="00C05904">
              <w:rPr>
                <w:rFonts w:ascii="Times New Roman" w:eastAsia="Times New Roman" w:hAnsi="Times New Roman" w:cs="Times New Roman"/>
                <w:color w:val="000000"/>
                <w:sz w:val="20"/>
              </w:rPr>
              <w:t>449,385</w:t>
            </w:r>
          </w:p>
        </w:tc>
        <w:tc>
          <w:tcPr>
            <w:tcW w:w="2430" w:type="dxa"/>
            <w:shd w:val="clear" w:color="auto" w:fill="EAF1DD" w:themeFill="accent3" w:themeFillTint="33"/>
            <w:noWrap/>
            <w:vAlign w:val="bottom"/>
            <w:hideMark/>
          </w:tcPr>
          <w:p w14:paraId="7D639282"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$36,398,549</w:t>
            </w:r>
          </w:p>
        </w:tc>
      </w:tr>
      <w:tr w:rsidR="003A5D01" w:rsidRPr="00C80189" w14:paraId="5A02E624" w14:textId="77777777" w:rsidTr="0063210B">
        <w:trPr>
          <w:trHeight w:val="315"/>
        </w:trPr>
        <w:tc>
          <w:tcPr>
            <w:tcW w:w="1815" w:type="dxa"/>
            <w:shd w:val="clear" w:color="auto" w:fill="EAF1DD" w:themeFill="accent3" w:themeFillTint="33"/>
            <w:noWrap/>
            <w:vAlign w:val="bottom"/>
            <w:hideMark/>
          </w:tcPr>
          <w:p w14:paraId="2A23F5BB"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30-40%</w:t>
            </w:r>
          </w:p>
        </w:tc>
        <w:tc>
          <w:tcPr>
            <w:tcW w:w="2070" w:type="dxa"/>
            <w:shd w:val="clear" w:color="auto" w:fill="EAF1DD" w:themeFill="accent3" w:themeFillTint="33"/>
            <w:noWrap/>
            <w:vAlign w:val="bottom"/>
            <w:hideMark/>
          </w:tcPr>
          <w:p w14:paraId="4096C5A6" w14:textId="77777777" w:rsidR="003A5D01" w:rsidRPr="004F1C7B" w:rsidRDefault="003A5D01" w:rsidP="00E81E09">
            <w:pPr>
              <w:spacing w:line="240" w:lineRule="auto"/>
              <w:jc w:val="center"/>
              <w:rPr>
                <w:rFonts w:ascii="Times New Roman" w:eastAsia="Times New Roman" w:hAnsi="Times New Roman" w:cs="Times New Roman"/>
                <w:color w:val="000000"/>
                <w:sz w:val="20"/>
              </w:rPr>
            </w:pPr>
            <w:r w:rsidRPr="004F1C7B">
              <w:rPr>
                <w:rFonts w:ascii="Times New Roman" w:eastAsia="Times New Roman" w:hAnsi="Times New Roman" w:cs="Times New Roman"/>
                <w:color w:val="000000"/>
                <w:sz w:val="20"/>
              </w:rPr>
              <w:t>$119.22</w:t>
            </w:r>
          </w:p>
        </w:tc>
        <w:tc>
          <w:tcPr>
            <w:tcW w:w="2430" w:type="dxa"/>
            <w:shd w:val="clear" w:color="auto" w:fill="EAF1DD" w:themeFill="accent3" w:themeFillTint="33"/>
            <w:noWrap/>
            <w:vAlign w:val="bottom"/>
            <w:hideMark/>
          </w:tcPr>
          <w:p w14:paraId="73294C6A" w14:textId="77777777" w:rsidR="003A5D01" w:rsidRPr="00C05904" w:rsidRDefault="003A5D01" w:rsidP="00E81E09">
            <w:pPr>
              <w:spacing w:line="240" w:lineRule="auto"/>
              <w:jc w:val="center"/>
              <w:rPr>
                <w:rFonts w:ascii="Times New Roman" w:eastAsia="Times New Roman" w:hAnsi="Times New Roman" w:cs="Times New Roman"/>
                <w:color w:val="000000"/>
                <w:sz w:val="20"/>
              </w:rPr>
            </w:pPr>
            <w:r w:rsidRPr="00C05904">
              <w:rPr>
                <w:rFonts w:ascii="Times New Roman" w:eastAsia="Times New Roman" w:hAnsi="Times New Roman" w:cs="Times New Roman"/>
                <w:color w:val="000000"/>
                <w:sz w:val="20"/>
              </w:rPr>
              <w:t>428,590</w:t>
            </w:r>
          </w:p>
        </w:tc>
        <w:tc>
          <w:tcPr>
            <w:tcW w:w="2430" w:type="dxa"/>
            <w:shd w:val="clear" w:color="auto" w:fill="EAF1DD" w:themeFill="accent3" w:themeFillTint="33"/>
            <w:noWrap/>
            <w:vAlign w:val="bottom"/>
            <w:hideMark/>
          </w:tcPr>
          <w:p w14:paraId="126579EB"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$49,648,722</w:t>
            </w:r>
          </w:p>
        </w:tc>
      </w:tr>
      <w:tr w:rsidR="003A5D01" w:rsidRPr="00C80189" w14:paraId="4E74810A" w14:textId="77777777" w:rsidTr="0063210B">
        <w:trPr>
          <w:trHeight w:val="315"/>
        </w:trPr>
        <w:tc>
          <w:tcPr>
            <w:tcW w:w="1815" w:type="dxa"/>
            <w:shd w:val="clear" w:color="auto" w:fill="EAF1DD" w:themeFill="accent3" w:themeFillTint="33"/>
            <w:noWrap/>
            <w:vAlign w:val="bottom"/>
            <w:hideMark/>
          </w:tcPr>
          <w:p w14:paraId="3C43CEA4"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40-50%</w:t>
            </w:r>
          </w:p>
        </w:tc>
        <w:tc>
          <w:tcPr>
            <w:tcW w:w="2070" w:type="dxa"/>
            <w:shd w:val="clear" w:color="auto" w:fill="EAF1DD" w:themeFill="accent3" w:themeFillTint="33"/>
            <w:noWrap/>
            <w:vAlign w:val="bottom"/>
            <w:hideMark/>
          </w:tcPr>
          <w:p w14:paraId="105B4212" w14:textId="77777777" w:rsidR="003A5D01" w:rsidRPr="004F1C7B" w:rsidRDefault="003A5D01" w:rsidP="00E81E09">
            <w:pPr>
              <w:spacing w:line="240" w:lineRule="auto"/>
              <w:jc w:val="center"/>
              <w:rPr>
                <w:rFonts w:ascii="Times New Roman" w:eastAsia="Times New Roman" w:hAnsi="Times New Roman" w:cs="Times New Roman"/>
                <w:color w:val="000000"/>
                <w:sz w:val="20"/>
              </w:rPr>
            </w:pPr>
            <w:r w:rsidRPr="004F1C7B">
              <w:rPr>
                <w:rFonts w:ascii="Times New Roman" w:eastAsia="Times New Roman" w:hAnsi="Times New Roman" w:cs="Times New Roman"/>
                <w:color w:val="000000"/>
                <w:sz w:val="20"/>
              </w:rPr>
              <w:t>$157.24</w:t>
            </w:r>
          </w:p>
        </w:tc>
        <w:tc>
          <w:tcPr>
            <w:tcW w:w="2430" w:type="dxa"/>
            <w:shd w:val="clear" w:color="auto" w:fill="EAF1DD" w:themeFill="accent3" w:themeFillTint="33"/>
            <w:noWrap/>
            <w:vAlign w:val="bottom"/>
            <w:hideMark/>
          </w:tcPr>
          <w:p w14:paraId="180273E0" w14:textId="77777777" w:rsidR="003A5D01" w:rsidRPr="00C05904" w:rsidRDefault="003A5D01" w:rsidP="00E81E09">
            <w:pPr>
              <w:spacing w:line="240" w:lineRule="auto"/>
              <w:jc w:val="center"/>
              <w:rPr>
                <w:rFonts w:ascii="Times New Roman" w:eastAsia="Times New Roman" w:hAnsi="Times New Roman" w:cs="Times New Roman"/>
                <w:color w:val="000000"/>
                <w:sz w:val="20"/>
              </w:rPr>
            </w:pPr>
            <w:r w:rsidRPr="00C05904">
              <w:rPr>
                <w:rFonts w:ascii="Times New Roman" w:eastAsia="Times New Roman" w:hAnsi="Times New Roman" w:cs="Times New Roman"/>
                <w:color w:val="000000"/>
                <w:sz w:val="20"/>
              </w:rPr>
              <w:t>212,552</w:t>
            </w:r>
          </w:p>
        </w:tc>
        <w:tc>
          <w:tcPr>
            <w:tcW w:w="2430" w:type="dxa"/>
            <w:shd w:val="clear" w:color="auto" w:fill="EAF1DD" w:themeFill="accent3" w:themeFillTint="33"/>
            <w:noWrap/>
            <w:vAlign w:val="bottom"/>
            <w:hideMark/>
          </w:tcPr>
          <w:p w14:paraId="312408DB"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$33,118,463</w:t>
            </w:r>
          </w:p>
        </w:tc>
      </w:tr>
      <w:tr w:rsidR="003A5D01" w:rsidRPr="00C80189" w14:paraId="67002A3A" w14:textId="77777777" w:rsidTr="0063210B">
        <w:trPr>
          <w:trHeight w:val="315"/>
        </w:trPr>
        <w:tc>
          <w:tcPr>
            <w:tcW w:w="1815" w:type="dxa"/>
            <w:shd w:val="clear" w:color="auto" w:fill="EAF1DD" w:themeFill="accent3" w:themeFillTint="33"/>
            <w:noWrap/>
            <w:vAlign w:val="bottom"/>
            <w:hideMark/>
          </w:tcPr>
          <w:p w14:paraId="66874169"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50-60%</w:t>
            </w:r>
          </w:p>
        </w:tc>
        <w:tc>
          <w:tcPr>
            <w:tcW w:w="2070" w:type="dxa"/>
            <w:shd w:val="clear" w:color="auto" w:fill="EAF1DD" w:themeFill="accent3" w:themeFillTint="33"/>
            <w:noWrap/>
            <w:vAlign w:val="bottom"/>
            <w:hideMark/>
          </w:tcPr>
          <w:p w14:paraId="6DE53EBF" w14:textId="77777777" w:rsidR="003A5D01" w:rsidRPr="004F1C7B" w:rsidRDefault="003A5D01" w:rsidP="00E81E09">
            <w:pPr>
              <w:spacing w:line="240" w:lineRule="auto"/>
              <w:jc w:val="center"/>
              <w:rPr>
                <w:rFonts w:ascii="Times New Roman" w:eastAsia="Times New Roman" w:hAnsi="Times New Roman" w:cs="Times New Roman"/>
                <w:color w:val="000000"/>
                <w:sz w:val="20"/>
              </w:rPr>
            </w:pPr>
            <w:r w:rsidRPr="004F1C7B">
              <w:rPr>
                <w:rFonts w:ascii="Times New Roman" w:eastAsia="Times New Roman" w:hAnsi="Times New Roman" w:cs="Times New Roman"/>
                <w:color w:val="000000"/>
                <w:sz w:val="20"/>
              </w:rPr>
              <w:t>$220.32</w:t>
            </w:r>
          </w:p>
        </w:tc>
        <w:tc>
          <w:tcPr>
            <w:tcW w:w="2430" w:type="dxa"/>
            <w:shd w:val="clear" w:color="auto" w:fill="EAF1DD" w:themeFill="accent3" w:themeFillTint="33"/>
            <w:noWrap/>
            <w:vAlign w:val="bottom"/>
            <w:hideMark/>
          </w:tcPr>
          <w:p w14:paraId="0EA50AEB" w14:textId="77777777" w:rsidR="003A5D01" w:rsidRPr="0080707A" w:rsidRDefault="003A5D01" w:rsidP="00E81E09">
            <w:pPr>
              <w:spacing w:line="240" w:lineRule="auto"/>
              <w:jc w:val="center"/>
              <w:rPr>
                <w:rFonts w:ascii="Times New Roman" w:eastAsia="Times New Roman" w:hAnsi="Times New Roman" w:cs="Times New Roman"/>
                <w:color w:val="000000"/>
                <w:sz w:val="20"/>
              </w:rPr>
            </w:pPr>
            <w:r w:rsidRPr="00C05904">
              <w:rPr>
                <w:rFonts w:ascii="Times New Roman" w:eastAsia="Times New Roman" w:hAnsi="Times New Roman" w:cs="Times New Roman"/>
                <w:color w:val="000000"/>
                <w:sz w:val="20"/>
              </w:rPr>
              <w:t>354,628</w:t>
            </w:r>
          </w:p>
        </w:tc>
        <w:tc>
          <w:tcPr>
            <w:tcW w:w="2430" w:type="dxa"/>
            <w:shd w:val="clear" w:color="auto" w:fill="EAF1DD" w:themeFill="accent3" w:themeFillTint="33"/>
            <w:noWrap/>
            <w:vAlign w:val="bottom"/>
            <w:hideMark/>
          </w:tcPr>
          <w:p w14:paraId="6CA091A4"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$78,671,201</w:t>
            </w:r>
          </w:p>
        </w:tc>
      </w:tr>
      <w:tr w:rsidR="003A5D01" w:rsidRPr="00C80189" w14:paraId="17E10345" w14:textId="77777777" w:rsidTr="0063210B">
        <w:trPr>
          <w:trHeight w:val="315"/>
        </w:trPr>
        <w:tc>
          <w:tcPr>
            <w:tcW w:w="1815" w:type="dxa"/>
            <w:shd w:val="clear" w:color="auto" w:fill="EAF1DD" w:themeFill="accent3" w:themeFillTint="33"/>
            <w:noWrap/>
            <w:vAlign w:val="bottom"/>
            <w:hideMark/>
          </w:tcPr>
          <w:p w14:paraId="0C60D142"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60-70%</w:t>
            </w:r>
          </w:p>
        </w:tc>
        <w:tc>
          <w:tcPr>
            <w:tcW w:w="2070" w:type="dxa"/>
            <w:shd w:val="clear" w:color="auto" w:fill="EAF1DD" w:themeFill="accent3" w:themeFillTint="33"/>
            <w:noWrap/>
            <w:vAlign w:val="bottom"/>
            <w:hideMark/>
          </w:tcPr>
          <w:p w14:paraId="794890D0" w14:textId="77777777" w:rsidR="003A5D01" w:rsidRPr="004F1C7B" w:rsidRDefault="003A5D01" w:rsidP="00E81E09">
            <w:pPr>
              <w:spacing w:line="240" w:lineRule="auto"/>
              <w:jc w:val="center"/>
              <w:rPr>
                <w:rFonts w:ascii="Times New Roman" w:eastAsia="Times New Roman" w:hAnsi="Times New Roman" w:cs="Times New Roman"/>
                <w:color w:val="000000"/>
                <w:sz w:val="20"/>
              </w:rPr>
            </w:pPr>
            <w:r w:rsidRPr="004F1C7B">
              <w:rPr>
                <w:rFonts w:ascii="Times New Roman" w:eastAsia="Times New Roman" w:hAnsi="Times New Roman" w:cs="Times New Roman"/>
                <w:color w:val="000000"/>
                <w:sz w:val="20"/>
              </w:rPr>
              <w:t>$331.23</w:t>
            </w:r>
          </w:p>
        </w:tc>
        <w:tc>
          <w:tcPr>
            <w:tcW w:w="2430" w:type="dxa"/>
            <w:shd w:val="clear" w:color="auto" w:fill="EAF1DD" w:themeFill="accent3" w:themeFillTint="33"/>
            <w:noWrap/>
            <w:vAlign w:val="bottom"/>
            <w:hideMark/>
          </w:tcPr>
          <w:p w14:paraId="6FE87279" w14:textId="77777777" w:rsidR="003A5D01" w:rsidRPr="00C05904" w:rsidRDefault="003A5D01" w:rsidP="00E81E09">
            <w:pPr>
              <w:spacing w:line="240" w:lineRule="auto"/>
              <w:jc w:val="center"/>
              <w:rPr>
                <w:rFonts w:ascii="Times New Roman" w:eastAsia="Times New Roman" w:hAnsi="Times New Roman" w:cs="Times New Roman"/>
                <w:color w:val="000000"/>
                <w:sz w:val="20"/>
              </w:rPr>
            </w:pPr>
            <w:r w:rsidRPr="00C05904">
              <w:rPr>
                <w:rFonts w:ascii="Times New Roman" w:eastAsia="Times New Roman" w:hAnsi="Times New Roman" w:cs="Times New Roman"/>
                <w:color w:val="000000"/>
                <w:sz w:val="20"/>
              </w:rPr>
              <w:t>340,790</w:t>
            </w:r>
          </w:p>
        </w:tc>
        <w:tc>
          <w:tcPr>
            <w:tcW w:w="2430" w:type="dxa"/>
            <w:shd w:val="clear" w:color="auto" w:fill="EAF1DD" w:themeFill="accent3" w:themeFillTint="33"/>
            <w:noWrap/>
            <w:vAlign w:val="bottom"/>
            <w:hideMark/>
          </w:tcPr>
          <w:p w14:paraId="437C6FFD"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$110,891,261</w:t>
            </w:r>
          </w:p>
        </w:tc>
      </w:tr>
      <w:tr w:rsidR="003A5D01" w:rsidRPr="00C80189" w14:paraId="74171114" w14:textId="77777777" w:rsidTr="0063210B">
        <w:trPr>
          <w:trHeight w:val="315"/>
        </w:trPr>
        <w:tc>
          <w:tcPr>
            <w:tcW w:w="1815" w:type="dxa"/>
            <w:shd w:val="clear" w:color="auto" w:fill="EAF1DD" w:themeFill="accent3" w:themeFillTint="33"/>
            <w:noWrap/>
            <w:vAlign w:val="bottom"/>
            <w:hideMark/>
          </w:tcPr>
          <w:p w14:paraId="2E47370C"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70-80%</w:t>
            </w:r>
          </w:p>
        </w:tc>
        <w:tc>
          <w:tcPr>
            <w:tcW w:w="2070" w:type="dxa"/>
            <w:shd w:val="clear" w:color="auto" w:fill="EAF1DD" w:themeFill="accent3" w:themeFillTint="33"/>
            <w:noWrap/>
            <w:vAlign w:val="bottom"/>
            <w:hideMark/>
          </w:tcPr>
          <w:p w14:paraId="7D179E0C" w14:textId="77777777" w:rsidR="003A5D01" w:rsidRPr="004F1C7B" w:rsidRDefault="003A5D01" w:rsidP="00E81E09">
            <w:pPr>
              <w:spacing w:line="240" w:lineRule="auto"/>
              <w:jc w:val="center"/>
              <w:rPr>
                <w:rFonts w:ascii="Times New Roman" w:eastAsia="Times New Roman" w:hAnsi="Times New Roman" w:cs="Times New Roman"/>
                <w:color w:val="000000"/>
                <w:sz w:val="20"/>
              </w:rPr>
            </w:pPr>
            <w:r w:rsidRPr="004F1C7B">
              <w:rPr>
                <w:rFonts w:ascii="Times New Roman" w:eastAsia="Times New Roman" w:hAnsi="Times New Roman" w:cs="Times New Roman"/>
                <w:color w:val="000000"/>
                <w:sz w:val="20"/>
              </w:rPr>
              <w:t>$515.24</w:t>
            </w:r>
          </w:p>
        </w:tc>
        <w:tc>
          <w:tcPr>
            <w:tcW w:w="2430" w:type="dxa"/>
            <w:shd w:val="clear" w:color="auto" w:fill="EAF1DD" w:themeFill="accent3" w:themeFillTint="33"/>
            <w:noWrap/>
            <w:vAlign w:val="bottom"/>
            <w:hideMark/>
          </w:tcPr>
          <w:p w14:paraId="0E1738A2" w14:textId="77777777" w:rsidR="003A5D01" w:rsidRPr="00C05904" w:rsidRDefault="003A5D01" w:rsidP="00E81E09">
            <w:pPr>
              <w:spacing w:line="240" w:lineRule="auto"/>
              <w:jc w:val="center"/>
              <w:rPr>
                <w:rFonts w:ascii="Times New Roman" w:eastAsia="Times New Roman" w:hAnsi="Times New Roman" w:cs="Times New Roman"/>
                <w:color w:val="000000"/>
                <w:sz w:val="20"/>
              </w:rPr>
            </w:pPr>
            <w:r w:rsidRPr="00C05904">
              <w:rPr>
                <w:rFonts w:ascii="Times New Roman" w:eastAsia="Times New Roman" w:hAnsi="Times New Roman" w:cs="Times New Roman"/>
                <w:color w:val="000000"/>
                <w:sz w:val="20"/>
              </w:rPr>
              <w:t>209,312</w:t>
            </w:r>
          </w:p>
        </w:tc>
        <w:tc>
          <w:tcPr>
            <w:tcW w:w="2430" w:type="dxa"/>
            <w:shd w:val="clear" w:color="auto" w:fill="EAF1DD" w:themeFill="accent3" w:themeFillTint="33"/>
            <w:noWrap/>
            <w:vAlign w:val="bottom"/>
            <w:hideMark/>
          </w:tcPr>
          <w:p w14:paraId="2BE46583"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$102,968,731</w:t>
            </w:r>
          </w:p>
        </w:tc>
      </w:tr>
      <w:tr w:rsidR="003A5D01" w:rsidRPr="00C80189" w14:paraId="45B3CA31" w14:textId="77777777" w:rsidTr="0063210B">
        <w:trPr>
          <w:trHeight w:val="315"/>
        </w:trPr>
        <w:tc>
          <w:tcPr>
            <w:tcW w:w="1815" w:type="dxa"/>
            <w:shd w:val="clear" w:color="auto" w:fill="EAF1DD" w:themeFill="accent3" w:themeFillTint="33"/>
            <w:noWrap/>
            <w:vAlign w:val="bottom"/>
            <w:hideMark/>
          </w:tcPr>
          <w:p w14:paraId="33F718D6"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80-90%</w:t>
            </w:r>
          </w:p>
        </w:tc>
        <w:tc>
          <w:tcPr>
            <w:tcW w:w="2070" w:type="dxa"/>
            <w:shd w:val="clear" w:color="auto" w:fill="EAF1DD" w:themeFill="accent3" w:themeFillTint="33"/>
            <w:noWrap/>
            <w:vAlign w:val="bottom"/>
            <w:hideMark/>
          </w:tcPr>
          <w:p w14:paraId="2980AB3A" w14:textId="77777777" w:rsidR="003A5D01" w:rsidRPr="004F1C7B" w:rsidRDefault="003A5D01" w:rsidP="00E81E09">
            <w:pPr>
              <w:spacing w:line="240" w:lineRule="auto"/>
              <w:jc w:val="center"/>
              <w:rPr>
                <w:rFonts w:ascii="Times New Roman" w:eastAsia="Times New Roman" w:hAnsi="Times New Roman" w:cs="Times New Roman"/>
                <w:color w:val="000000"/>
                <w:sz w:val="20"/>
              </w:rPr>
            </w:pPr>
            <w:r w:rsidRPr="004F1C7B">
              <w:rPr>
                <w:rFonts w:ascii="Times New Roman" w:eastAsia="Times New Roman" w:hAnsi="Times New Roman" w:cs="Times New Roman"/>
                <w:color w:val="000000"/>
                <w:sz w:val="20"/>
              </w:rPr>
              <w:t>$822.20</w:t>
            </w:r>
          </w:p>
        </w:tc>
        <w:tc>
          <w:tcPr>
            <w:tcW w:w="2430" w:type="dxa"/>
            <w:shd w:val="clear" w:color="auto" w:fill="EAF1DD" w:themeFill="accent3" w:themeFillTint="33"/>
            <w:noWrap/>
            <w:vAlign w:val="bottom"/>
            <w:hideMark/>
          </w:tcPr>
          <w:p w14:paraId="48358F9C" w14:textId="77777777" w:rsidR="003A5D01" w:rsidRPr="00C05904" w:rsidRDefault="003A5D01" w:rsidP="00E81E09">
            <w:pPr>
              <w:spacing w:line="240" w:lineRule="auto"/>
              <w:jc w:val="center"/>
              <w:rPr>
                <w:rFonts w:ascii="Times New Roman" w:eastAsia="Times New Roman" w:hAnsi="Times New Roman" w:cs="Times New Roman"/>
                <w:color w:val="000000"/>
                <w:sz w:val="20"/>
              </w:rPr>
            </w:pPr>
            <w:r w:rsidRPr="00C05904">
              <w:rPr>
                <w:rFonts w:ascii="Times New Roman" w:eastAsia="Times New Roman" w:hAnsi="Times New Roman" w:cs="Times New Roman"/>
                <w:color w:val="000000"/>
                <w:sz w:val="20"/>
              </w:rPr>
              <w:t>216,884</w:t>
            </w:r>
          </w:p>
        </w:tc>
        <w:tc>
          <w:tcPr>
            <w:tcW w:w="2430" w:type="dxa"/>
            <w:shd w:val="clear" w:color="auto" w:fill="EAF1DD" w:themeFill="accent3" w:themeFillTint="33"/>
            <w:noWrap/>
            <w:vAlign w:val="bottom"/>
            <w:hideMark/>
          </w:tcPr>
          <w:p w14:paraId="49D32EB6"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$180,263,133</w:t>
            </w:r>
          </w:p>
        </w:tc>
      </w:tr>
      <w:tr w:rsidR="003A5D01" w:rsidRPr="00C80189" w14:paraId="30C7EC83" w14:textId="77777777" w:rsidTr="0063210B">
        <w:trPr>
          <w:trHeight w:val="315"/>
        </w:trPr>
        <w:tc>
          <w:tcPr>
            <w:tcW w:w="1815" w:type="dxa"/>
            <w:shd w:val="clear" w:color="auto" w:fill="EAF1DD" w:themeFill="accent3" w:themeFillTint="33"/>
            <w:noWrap/>
            <w:vAlign w:val="bottom"/>
            <w:hideMark/>
          </w:tcPr>
          <w:p w14:paraId="1D609DFB"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90-100%</w:t>
            </w:r>
          </w:p>
        </w:tc>
        <w:tc>
          <w:tcPr>
            <w:tcW w:w="2070" w:type="dxa"/>
            <w:shd w:val="clear" w:color="auto" w:fill="EAF1DD" w:themeFill="accent3" w:themeFillTint="33"/>
            <w:noWrap/>
            <w:vAlign w:val="bottom"/>
            <w:hideMark/>
          </w:tcPr>
          <w:p w14:paraId="1E997A68" w14:textId="77777777" w:rsidR="003A5D01" w:rsidRPr="004F1C7B" w:rsidRDefault="003A5D01" w:rsidP="00E81E09">
            <w:pPr>
              <w:spacing w:line="240" w:lineRule="auto"/>
              <w:jc w:val="center"/>
              <w:rPr>
                <w:rFonts w:ascii="Times New Roman" w:eastAsia="Times New Roman" w:hAnsi="Times New Roman" w:cs="Times New Roman"/>
                <w:color w:val="000000"/>
                <w:sz w:val="20"/>
              </w:rPr>
            </w:pPr>
            <w:r w:rsidRPr="004F1C7B">
              <w:rPr>
                <w:rFonts w:ascii="Times New Roman" w:eastAsia="Times New Roman" w:hAnsi="Times New Roman" w:cs="Times New Roman"/>
                <w:color w:val="000000"/>
                <w:sz w:val="20"/>
              </w:rPr>
              <w:t>$2,724.95</w:t>
            </w:r>
          </w:p>
        </w:tc>
        <w:tc>
          <w:tcPr>
            <w:tcW w:w="2430" w:type="dxa"/>
            <w:shd w:val="clear" w:color="auto" w:fill="EAF1DD" w:themeFill="accent3" w:themeFillTint="33"/>
            <w:noWrap/>
            <w:vAlign w:val="bottom"/>
            <w:hideMark/>
          </w:tcPr>
          <w:p w14:paraId="00F9A18E" w14:textId="77777777" w:rsidR="003A5D01" w:rsidRPr="00C05904" w:rsidRDefault="003A5D01" w:rsidP="00E81E09">
            <w:pPr>
              <w:spacing w:line="240" w:lineRule="auto"/>
              <w:jc w:val="center"/>
              <w:rPr>
                <w:rFonts w:ascii="Times New Roman" w:eastAsia="Times New Roman" w:hAnsi="Times New Roman" w:cs="Times New Roman"/>
                <w:color w:val="000000"/>
                <w:sz w:val="20"/>
              </w:rPr>
            </w:pPr>
            <w:r w:rsidRPr="00C05904">
              <w:rPr>
                <w:rFonts w:ascii="Times New Roman" w:eastAsia="Times New Roman" w:hAnsi="Times New Roman" w:cs="Times New Roman"/>
                <w:color w:val="000000"/>
                <w:sz w:val="20"/>
              </w:rPr>
              <w:t>37,913</w:t>
            </w:r>
          </w:p>
        </w:tc>
        <w:tc>
          <w:tcPr>
            <w:tcW w:w="2430" w:type="dxa"/>
            <w:shd w:val="clear" w:color="auto" w:fill="EAF1DD" w:themeFill="accent3" w:themeFillTint="33"/>
            <w:noWrap/>
            <w:vAlign w:val="bottom"/>
            <w:hideMark/>
          </w:tcPr>
          <w:p w14:paraId="03B779CA" w14:textId="77777777" w:rsidR="003A5D01" w:rsidRPr="00C80189" w:rsidRDefault="003A5D01" w:rsidP="00E81E09">
            <w:pPr>
              <w:spacing w:line="240" w:lineRule="auto"/>
              <w:jc w:val="center"/>
              <w:rPr>
                <w:rFonts w:ascii="Times New Roman" w:eastAsia="Times New Roman" w:hAnsi="Times New Roman" w:cs="Times New Roman"/>
                <w:color w:val="000000"/>
                <w:sz w:val="20"/>
              </w:rPr>
            </w:pPr>
            <w:r w:rsidRPr="00C80189">
              <w:rPr>
                <w:rFonts w:ascii="Times New Roman" w:eastAsia="Times New Roman" w:hAnsi="Times New Roman" w:cs="Times New Roman"/>
                <w:color w:val="000000"/>
                <w:sz w:val="20"/>
              </w:rPr>
              <w:t>$66,871,025</w:t>
            </w:r>
          </w:p>
        </w:tc>
      </w:tr>
    </w:tbl>
    <w:p w14:paraId="1C937411" w14:textId="77777777" w:rsidR="00542D17" w:rsidRPr="00C80189" w:rsidRDefault="00542D17" w:rsidP="0063210B">
      <w:pPr>
        <w:rPr>
          <w:rFonts w:ascii="Times New Roman" w:hAnsi="Times New Roman" w:cs="Times New Roman"/>
          <w:b/>
          <w:bCs/>
          <w:color w:val="4F6228" w:themeColor="accent3" w:themeShade="80"/>
          <w:kern w:val="24"/>
          <w:sz w:val="20"/>
        </w:rPr>
      </w:pPr>
    </w:p>
    <w:p w14:paraId="56353A20" w14:textId="753FED3D" w:rsidR="00CD2969" w:rsidRPr="004F1C7B" w:rsidRDefault="00CD2969" w:rsidP="00CD2969">
      <w:pPr>
        <w:pStyle w:val="Heading2"/>
        <w:rPr>
          <w:rFonts w:ascii="Times New Roman" w:hAnsi="Times New Roman" w:cs="Times New Roman"/>
        </w:rPr>
      </w:pPr>
      <w:r w:rsidRPr="004F1C7B">
        <w:rPr>
          <w:rFonts w:ascii="Times New Roman" w:hAnsi="Times New Roman" w:cs="Times New Roman"/>
        </w:rPr>
        <w:t xml:space="preserve">New </w:t>
      </w:r>
      <w:r w:rsidR="00C373F2" w:rsidRPr="004F1C7B">
        <w:rPr>
          <w:rFonts w:ascii="Times New Roman" w:hAnsi="Times New Roman" w:cs="Times New Roman"/>
        </w:rPr>
        <w:t>Category Two</w:t>
      </w:r>
      <w:r w:rsidRPr="004F1C7B">
        <w:rPr>
          <w:rFonts w:ascii="Times New Roman" w:hAnsi="Times New Roman" w:cs="Times New Roman"/>
        </w:rPr>
        <w:t xml:space="preserve"> Funding Approach</w:t>
      </w:r>
    </w:p>
    <w:p w14:paraId="38E1CA66" w14:textId="127AB652" w:rsidR="00A77398" w:rsidRPr="00C80189" w:rsidRDefault="000722EE" w:rsidP="008F0FE1">
      <w:pPr>
        <w:pStyle w:val="ParaNum"/>
        <w:rPr>
          <w:rFonts w:ascii="Times New Roman" w:hAnsi="Times New Roman" w:cs="Times New Roman"/>
        </w:rPr>
      </w:pPr>
      <w:r w:rsidRPr="00C80189">
        <w:rPr>
          <w:rFonts w:ascii="Times New Roman" w:hAnsi="Times New Roman" w:cs="Times New Roman"/>
        </w:rPr>
        <w:t xml:space="preserve">To address these issues, </w:t>
      </w:r>
      <w:r w:rsidR="00A77398" w:rsidRPr="00C80189">
        <w:rPr>
          <w:rFonts w:ascii="Times New Roman" w:hAnsi="Times New Roman" w:cs="Times New Roman"/>
        </w:rPr>
        <w:t xml:space="preserve">and “provide broader and more equitable support for category two services,” the </w:t>
      </w:r>
      <w:r w:rsidR="00832625" w:rsidRPr="00C80189">
        <w:rPr>
          <w:rFonts w:ascii="Times New Roman" w:hAnsi="Times New Roman" w:cs="Times New Roman"/>
          <w:i/>
        </w:rPr>
        <w:t>E-Rate Modernization Order</w:t>
      </w:r>
      <w:r w:rsidR="00A77398" w:rsidRPr="00C80189">
        <w:rPr>
          <w:rFonts w:ascii="Times New Roman" w:hAnsi="Times New Roman" w:cs="Times New Roman"/>
          <w:i/>
        </w:rPr>
        <w:t xml:space="preserve"> </w:t>
      </w:r>
      <w:r w:rsidR="00A77398" w:rsidRPr="00C80189">
        <w:rPr>
          <w:rFonts w:ascii="Times New Roman" w:hAnsi="Times New Roman" w:cs="Times New Roman"/>
        </w:rPr>
        <w:t>revised the Commission’s approach to internal connections funding.</w:t>
      </w:r>
      <w:r w:rsidR="00176885" w:rsidRPr="00C80189">
        <w:rPr>
          <w:rStyle w:val="FootnoteReference"/>
          <w:rFonts w:cs="Times New Roman"/>
        </w:rPr>
        <w:footnoteReference w:id="14"/>
      </w:r>
      <w:r w:rsidR="00A77398" w:rsidRPr="00C80189">
        <w:rPr>
          <w:rFonts w:ascii="Times New Roman" w:hAnsi="Times New Roman" w:cs="Times New Roman"/>
        </w:rPr>
        <w:t xml:space="preserve"> </w:t>
      </w:r>
      <w:r w:rsidR="0091035D" w:rsidRPr="00C80189">
        <w:rPr>
          <w:rFonts w:ascii="Times New Roman" w:hAnsi="Times New Roman" w:cs="Times New Roman"/>
        </w:rPr>
        <w:t xml:space="preserve"> </w:t>
      </w:r>
      <w:r w:rsidR="00A77398" w:rsidRPr="00C80189">
        <w:rPr>
          <w:rFonts w:ascii="Times New Roman" w:hAnsi="Times New Roman" w:cs="Times New Roman"/>
        </w:rPr>
        <w:t xml:space="preserve">Under the new approach, “schools in districts that seek category two funding during funding years 2015 or 2016 will be eligible to request E-rate discounts on purchases of up to $150 (pre-discount) per student for </w:t>
      </w:r>
      <w:r w:rsidR="00832625" w:rsidRPr="00C80189">
        <w:rPr>
          <w:rFonts w:ascii="Times New Roman" w:hAnsi="Times New Roman" w:cs="Times New Roman"/>
        </w:rPr>
        <w:t>category two</w:t>
      </w:r>
      <w:r w:rsidR="00807D7D" w:rsidRPr="00C80189">
        <w:rPr>
          <w:rFonts w:ascii="Times New Roman" w:hAnsi="Times New Roman" w:cs="Times New Roman"/>
        </w:rPr>
        <w:t xml:space="preserve"> </w:t>
      </w:r>
      <w:r w:rsidR="00A77398" w:rsidRPr="00C80189">
        <w:rPr>
          <w:rFonts w:ascii="Times New Roman" w:hAnsi="Times New Roman" w:cs="Times New Roman"/>
        </w:rPr>
        <w:t xml:space="preserve">services over a five-year period.  Likewise, library systems and libraries that seek </w:t>
      </w:r>
      <w:r w:rsidR="00832625" w:rsidRPr="00C80189">
        <w:rPr>
          <w:rFonts w:ascii="Times New Roman" w:hAnsi="Times New Roman" w:cs="Times New Roman"/>
        </w:rPr>
        <w:t>category two</w:t>
      </w:r>
      <w:r w:rsidR="00807D7D" w:rsidRPr="00C80189">
        <w:rPr>
          <w:rFonts w:ascii="Times New Roman" w:hAnsi="Times New Roman" w:cs="Times New Roman"/>
        </w:rPr>
        <w:t xml:space="preserve"> </w:t>
      </w:r>
      <w:r w:rsidR="00A77398" w:rsidRPr="00C80189">
        <w:rPr>
          <w:rFonts w:ascii="Times New Roman" w:hAnsi="Times New Roman" w:cs="Times New Roman"/>
        </w:rPr>
        <w:t>funding in funding years 2015 or 2016 may request E-rate discounts on purchases of up to $2.30 (pre-discount) per square foot over a five-year period.”</w:t>
      </w:r>
      <w:r w:rsidR="00176885" w:rsidRPr="00C80189">
        <w:rPr>
          <w:rStyle w:val="FootnoteReference"/>
          <w:rFonts w:cs="Times New Roman"/>
        </w:rPr>
        <w:footnoteReference w:id="15"/>
      </w:r>
      <w:r w:rsidR="00A77398" w:rsidRPr="00C80189">
        <w:rPr>
          <w:rFonts w:ascii="Times New Roman" w:hAnsi="Times New Roman" w:cs="Times New Roman"/>
        </w:rPr>
        <w:t xml:space="preserve">  </w:t>
      </w:r>
      <w:r w:rsidR="0091035D" w:rsidRPr="00C80189">
        <w:rPr>
          <w:rFonts w:ascii="Times New Roman" w:hAnsi="Times New Roman" w:cs="Times New Roman"/>
        </w:rPr>
        <w:t xml:space="preserve">The Commission established a pre-discount funding floor of $9,200 </w:t>
      </w:r>
      <w:r w:rsidR="00270CDF">
        <w:rPr>
          <w:rFonts w:ascii="Times New Roman" w:hAnsi="Times New Roman" w:cs="Times New Roman"/>
        </w:rPr>
        <w:t xml:space="preserve">over a five-year period </w:t>
      </w:r>
      <w:r w:rsidR="0091035D" w:rsidRPr="00C80189">
        <w:rPr>
          <w:rFonts w:ascii="Times New Roman" w:hAnsi="Times New Roman" w:cs="Times New Roman"/>
        </w:rPr>
        <w:t>for each school or library,</w:t>
      </w:r>
      <w:r w:rsidR="0091035D" w:rsidRPr="00C80189">
        <w:rPr>
          <w:rStyle w:val="FootnoteReference"/>
          <w:rFonts w:cs="Times New Roman"/>
        </w:rPr>
        <w:footnoteReference w:id="16"/>
      </w:r>
      <w:r w:rsidR="0091035D" w:rsidRPr="00C80189">
        <w:rPr>
          <w:rFonts w:ascii="Times New Roman" w:hAnsi="Times New Roman" w:cs="Times New Roman"/>
        </w:rPr>
        <w:t xml:space="preserve"> and raised the minimum contribution rate for </w:t>
      </w:r>
      <w:r w:rsidR="00832625" w:rsidRPr="00C80189">
        <w:rPr>
          <w:rFonts w:ascii="Times New Roman" w:hAnsi="Times New Roman" w:cs="Times New Roman"/>
        </w:rPr>
        <w:t>category two</w:t>
      </w:r>
      <w:r w:rsidR="0091035D" w:rsidRPr="00C80189">
        <w:rPr>
          <w:rFonts w:ascii="Times New Roman" w:hAnsi="Times New Roman" w:cs="Times New Roman"/>
        </w:rPr>
        <w:t xml:space="preserve"> services from 10 to 15 percent to encourage applicants to pursue the most cost-effective options.</w:t>
      </w:r>
      <w:r w:rsidR="0091035D" w:rsidRPr="00C80189">
        <w:rPr>
          <w:rStyle w:val="FootnoteReference"/>
          <w:rFonts w:cs="Times New Roman"/>
        </w:rPr>
        <w:footnoteReference w:id="17"/>
      </w:r>
      <w:r w:rsidR="0091035D" w:rsidRPr="00C80189">
        <w:rPr>
          <w:rFonts w:ascii="Times New Roman" w:hAnsi="Times New Roman" w:cs="Times New Roman"/>
        </w:rPr>
        <w:t xml:space="preserve">  </w:t>
      </w:r>
      <w:r w:rsidR="00A77398" w:rsidRPr="00C80189">
        <w:rPr>
          <w:rFonts w:ascii="Times New Roman" w:hAnsi="Times New Roman" w:cs="Times New Roman"/>
        </w:rPr>
        <w:t>The Commission also set a $1 billion target for annual internal connections support.</w:t>
      </w:r>
      <w:r w:rsidR="0091035D" w:rsidRPr="00C80189">
        <w:rPr>
          <w:rStyle w:val="FootnoteReference"/>
          <w:rFonts w:cs="Times New Roman"/>
        </w:rPr>
        <w:footnoteReference w:id="18"/>
      </w:r>
    </w:p>
    <w:p w14:paraId="07744A35" w14:textId="4B6E7ABB" w:rsidR="008F0FE1" w:rsidRPr="00C80189" w:rsidRDefault="00A06B53" w:rsidP="008F0FE1">
      <w:pPr>
        <w:pStyle w:val="ParaNum"/>
        <w:rPr>
          <w:rFonts w:ascii="Times New Roman" w:hAnsi="Times New Roman" w:cs="Times New Roman"/>
        </w:rPr>
      </w:pPr>
      <w:r w:rsidRPr="00C80189">
        <w:rPr>
          <w:rFonts w:ascii="Times New Roman" w:hAnsi="Times New Roman" w:cs="Times New Roman"/>
        </w:rPr>
        <w:t xml:space="preserve">To </w:t>
      </w:r>
      <w:r w:rsidR="00A77398" w:rsidRPr="00C80189">
        <w:rPr>
          <w:rFonts w:ascii="Times New Roman" w:hAnsi="Times New Roman" w:cs="Times New Roman"/>
        </w:rPr>
        <w:t>estimate the potential impact of these changes</w:t>
      </w:r>
      <w:r w:rsidRPr="00C80189">
        <w:rPr>
          <w:rFonts w:ascii="Times New Roman" w:hAnsi="Times New Roman" w:cs="Times New Roman"/>
        </w:rPr>
        <w:t>, s</w:t>
      </w:r>
      <w:r w:rsidR="00AD7964" w:rsidRPr="00C80189">
        <w:rPr>
          <w:rFonts w:ascii="Times New Roman" w:hAnsi="Times New Roman" w:cs="Times New Roman"/>
        </w:rPr>
        <w:t xml:space="preserve">taff examined </w:t>
      </w:r>
      <w:r w:rsidR="00DA08B1" w:rsidRPr="00C80189">
        <w:rPr>
          <w:rFonts w:ascii="Times New Roman" w:hAnsi="Times New Roman" w:cs="Times New Roman"/>
        </w:rPr>
        <w:t>Fund</w:t>
      </w:r>
      <w:r w:rsidR="008B49F0" w:rsidRPr="00C80189">
        <w:rPr>
          <w:rFonts w:ascii="Times New Roman" w:hAnsi="Times New Roman" w:cs="Times New Roman"/>
        </w:rPr>
        <w:t>ing</w:t>
      </w:r>
      <w:r w:rsidR="00DA08B1" w:rsidRPr="00C80189">
        <w:rPr>
          <w:rFonts w:ascii="Times New Roman" w:hAnsi="Times New Roman" w:cs="Times New Roman"/>
        </w:rPr>
        <w:t xml:space="preserve"> Year </w:t>
      </w:r>
      <w:r w:rsidR="00AD7964" w:rsidRPr="00C80189">
        <w:rPr>
          <w:rFonts w:ascii="Times New Roman" w:hAnsi="Times New Roman" w:cs="Times New Roman"/>
        </w:rPr>
        <w:t>2012 internal c</w:t>
      </w:r>
      <w:r w:rsidR="008F0FE1" w:rsidRPr="00C80189">
        <w:rPr>
          <w:rFonts w:ascii="Times New Roman" w:hAnsi="Times New Roman" w:cs="Times New Roman"/>
        </w:rPr>
        <w:t>onnection committed funding request</w:t>
      </w:r>
      <w:r w:rsidR="00CB4115" w:rsidRPr="00C80189">
        <w:rPr>
          <w:rFonts w:ascii="Times New Roman" w:hAnsi="Times New Roman" w:cs="Times New Roman"/>
        </w:rPr>
        <w:t>s</w:t>
      </w:r>
      <w:r w:rsidR="008F0FE1" w:rsidRPr="00C80189">
        <w:rPr>
          <w:rFonts w:ascii="Times New Roman" w:hAnsi="Times New Roman" w:cs="Times New Roman"/>
        </w:rPr>
        <w:t xml:space="preserve"> to estimate the number of students for which $1 billion in funding could support </w:t>
      </w:r>
      <w:r w:rsidR="00FC0D08" w:rsidRPr="00C80189">
        <w:rPr>
          <w:rFonts w:ascii="Times New Roman" w:hAnsi="Times New Roman" w:cs="Times New Roman"/>
        </w:rPr>
        <w:t>internal connections</w:t>
      </w:r>
      <w:r w:rsidR="008F0FE1" w:rsidRPr="00C80189">
        <w:rPr>
          <w:rFonts w:ascii="Times New Roman" w:hAnsi="Times New Roman" w:cs="Times New Roman"/>
        </w:rPr>
        <w:t>.</w:t>
      </w:r>
      <w:r w:rsidRPr="00C80189">
        <w:rPr>
          <w:rStyle w:val="FootnoteReference"/>
          <w:rFonts w:cs="Times New Roman"/>
        </w:rPr>
        <w:footnoteReference w:id="19"/>
      </w:r>
      <w:r w:rsidRPr="00C80189">
        <w:rPr>
          <w:rFonts w:ascii="Times New Roman" w:hAnsi="Times New Roman" w:cs="Times New Roman"/>
        </w:rPr>
        <w:t xml:space="preserve"> </w:t>
      </w:r>
      <w:r w:rsidR="00A77398" w:rsidRPr="00C80189">
        <w:rPr>
          <w:rFonts w:ascii="Times New Roman" w:hAnsi="Times New Roman" w:cs="Times New Roman"/>
        </w:rPr>
        <w:t xml:space="preserve"> W</w:t>
      </w:r>
      <w:r w:rsidR="00CB4115" w:rsidRPr="00C80189">
        <w:rPr>
          <w:rFonts w:ascii="Times New Roman" w:hAnsi="Times New Roman" w:cs="Times New Roman"/>
        </w:rPr>
        <w:t xml:space="preserve">e modified the </w:t>
      </w:r>
      <w:r w:rsidR="00DA08B1" w:rsidRPr="00C80189">
        <w:rPr>
          <w:rFonts w:ascii="Times New Roman" w:hAnsi="Times New Roman" w:cs="Times New Roman"/>
        </w:rPr>
        <w:t>Fund</w:t>
      </w:r>
      <w:r w:rsidR="008B49F0" w:rsidRPr="00C80189">
        <w:rPr>
          <w:rFonts w:ascii="Times New Roman" w:hAnsi="Times New Roman" w:cs="Times New Roman"/>
        </w:rPr>
        <w:t>ing</w:t>
      </w:r>
      <w:r w:rsidR="00DA08B1" w:rsidRPr="00C80189">
        <w:rPr>
          <w:rFonts w:ascii="Times New Roman" w:hAnsi="Times New Roman" w:cs="Times New Roman"/>
        </w:rPr>
        <w:t xml:space="preserve"> Year </w:t>
      </w:r>
      <w:r w:rsidR="00CB4115" w:rsidRPr="00C80189">
        <w:rPr>
          <w:rFonts w:ascii="Times New Roman" w:hAnsi="Times New Roman" w:cs="Times New Roman"/>
        </w:rPr>
        <w:t xml:space="preserve">2012 </w:t>
      </w:r>
      <w:r w:rsidR="001B38AF" w:rsidRPr="00C80189">
        <w:rPr>
          <w:rFonts w:ascii="Times New Roman" w:hAnsi="Times New Roman" w:cs="Times New Roman"/>
        </w:rPr>
        <w:t xml:space="preserve">funding request </w:t>
      </w:r>
      <w:r w:rsidR="00CB4115" w:rsidRPr="00C80189">
        <w:rPr>
          <w:rFonts w:ascii="Times New Roman" w:hAnsi="Times New Roman" w:cs="Times New Roman"/>
        </w:rPr>
        <w:t>distribution</w:t>
      </w:r>
      <w:r w:rsidR="001B38AF" w:rsidRPr="00C80189">
        <w:rPr>
          <w:rFonts w:ascii="Times New Roman" w:hAnsi="Times New Roman" w:cs="Times New Roman"/>
        </w:rPr>
        <w:t xml:space="preserve"> </w:t>
      </w:r>
      <w:r w:rsidR="006B003F" w:rsidRPr="00C80189">
        <w:rPr>
          <w:rFonts w:ascii="Times New Roman" w:hAnsi="Times New Roman" w:cs="Times New Roman"/>
        </w:rPr>
        <w:t>to reduce</w:t>
      </w:r>
      <w:r w:rsidR="00CB4115" w:rsidRPr="00C80189">
        <w:rPr>
          <w:rFonts w:ascii="Times New Roman" w:hAnsi="Times New Roman" w:cs="Times New Roman"/>
        </w:rPr>
        <w:t xml:space="preserve"> any request that exceeded </w:t>
      </w:r>
      <w:r w:rsidR="00BE5297" w:rsidRPr="00C80189">
        <w:rPr>
          <w:rFonts w:ascii="Times New Roman" w:hAnsi="Times New Roman" w:cs="Times New Roman"/>
        </w:rPr>
        <w:t>$150</w:t>
      </w:r>
      <w:r w:rsidR="0023456A" w:rsidRPr="00C80189">
        <w:rPr>
          <w:rFonts w:ascii="Times New Roman" w:hAnsi="Times New Roman" w:cs="Times New Roman"/>
        </w:rPr>
        <w:t xml:space="preserve"> per-student </w:t>
      </w:r>
      <w:r w:rsidRPr="00C80189">
        <w:rPr>
          <w:rFonts w:ascii="Times New Roman" w:hAnsi="Times New Roman" w:cs="Times New Roman"/>
        </w:rPr>
        <w:t>expenditure</w:t>
      </w:r>
      <w:r w:rsidR="0023456A" w:rsidRPr="00C80189">
        <w:rPr>
          <w:rFonts w:ascii="Times New Roman" w:hAnsi="Times New Roman" w:cs="Times New Roman"/>
        </w:rPr>
        <w:t xml:space="preserve"> to </w:t>
      </w:r>
      <w:r w:rsidR="00BE5297" w:rsidRPr="00C80189">
        <w:rPr>
          <w:rFonts w:ascii="Times New Roman" w:hAnsi="Times New Roman" w:cs="Times New Roman"/>
        </w:rPr>
        <w:t>$150 times the number of students,</w:t>
      </w:r>
      <w:r w:rsidR="00CB4115" w:rsidRPr="00C80189">
        <w:rPr>
          <w:rFonts w:ascii="Times New Roman" w:hAnsi="Times New Roman" w:cs="Times New Roman"/>
        </w:rPr>
        <w:t xml:space="preserve"> </w:t>
      </w:r>
      <w:r w:rsidR="006B003F" w:rsidRPr="00C80189">
        <w:rPr>
          <w:rFonts w:ascii="Times New Roman" w:hAnsi="Times New Roman" w:cs="Times New Roman"/>
        </w:rPr>
        <w:t xml:space="preserve">while retaining </w:t>
      </w:r>
      <w:r w:rsidR="0023456A" w:rsidRPr="00C80189">
        <w:rPr>
          <w:rFonts w:ascii="Times New Roman" w:hAnsi="Times New Roman" w:cs="Times New Roman"/>
        </w:rPr>
        <w:t>the actual costs</w:t>
      </w:r>
      <w:r w:rsidR="006B003F" w:rsidRPr="00C80189">
        <w:rPr>
          <w:rFonts w:ascii="Times New Roman" w:hAnsi="Times New Roman" w:cs="Times New Roman"/>
        </w:rPr>
        <w:t xml:space="preserve"> for those schools with a </w:t>
      </w:r>
      <w:r w:rsidR="0023456A" w:rsidRPr="00C80189">
        <w:rPr>
          <w:rFonts w:ascii="Times New Roman" w:hAnsi="Times New Roman" w:cs="Times New Roman"/>
        </w:rPr>
        <w:t>per-</w:t>
      </w:r>
      <w:r w:rsidR="006B003F" w:rsidRPr="00C80189">
        <w:rPr>
          <w:rFonts w:ascii="Times New Roman" w:hAnsi="Times New Roman" w:cs="Times New Roman"/>
        </w:rPr>
        <w:t>student amount below the max</w:t>
      </w:r>
      <w:r w:rsidRPr="00C80189">
        <w:rPr>
          <w:rFonts w:ascii="Times New Roman" w:hAnsi="Times New Roman" w:cs="Times New Roman"/>
        </w:rPr>
        <w:t>imum</w:t>
      </w:r>
      <w:r w:rsidR="006B003F" w:rsidRPr="00C80189">
        <w:rPr>
          <w:rFonts w:ascii="Times New Roman" w:hAnsi="Times New Roman" w:cs="Times New Roman"/>
        </w:rPr>
        <w:t xml:space="preserve">.  </w:t>
      </w:r>
      <w:r w:rsidR="00BE5297" w:rsidRPr="00C80189">
        <w:rPr>
          <w:rFonts w:ascii="Times New Roman" w:hAnsi="Times New Roman" w:cs="Times New Roman"/>
        </w:rPr>
        <w:t xml:space="preserve">We compared this result to the number of students that could be supported with $1 billion in the absence of any </w:t>
      </w:r>
      <w:r w:rsidR="00EA212F" w:rsidRPr="00C80189">
        <w:rPr>
          <w:rFonts w:ascii="Times New Roman" w:hAnsi="Times New Roman" w:cs="Times New Roman"/>
        </w:rPr>
        <w:t xml:space="preserve">limit </w:t>
      </w:r>
      <w:r w:rsidR="00BE5297" w:rsidRPr="00C80189">
        <w:rPr>
          <w:rFonts w:ascii="Times New Roman" w:hAnsi="Times New Roman" w:cs="Times New Roman"/>
        </w:rPr>
        <w:t xml:space="preserve">on applicants’ </w:t>
      </w:r>
      <w:r w:rsidR="005319F1" w:rsidRPr="00C80189">
        <w:rPr>
          <w:rFonts w:ascii="Times New Roman" w:hAnsi="Times New Roman" w:cs="Times New Roman"/>
        </w:rPr>
        <w:t xml:space="preserve">funding </w:t>
      </w:r>
      <w:r w:rsidR="00BE5297" w:rsidRPr="00C80189">
        <w:rPr>
          <w:rFonts w:ascii="Times New Roman" w:hAnsi="Times New Roman" w:cs="Times New Roman"/>
        </w:rPr>
        <w:t>requests.</w:t>
      </w:r>
      <w:r w:rsidR="008B231D" w:rsidRPr="00C80189">
        <w:rPr>
          <w:rStyle w:val="FootnoteReference"/>
          <w:rFonts w:cs="Times New Roman"/>
        </w:rPr>
        <w:footnoteReference w:id="20"/>
      </w:r>
      <w:r w:rsidR="00BE5297" w:rsidRPr="00C80189">
        <w:rPr>
          <w:rFonts w:ascii="Times New Roman" w:hAnsi="Times New Roman" w:cs="Times New Roman"/>
        </w:rPr>
        <w:t xml:space="preserve"> </w:t>
      </w:r>
      <w:r w:rsidR="008F0FE1" w:rsidRPr="00C80189">
        <w:rPr>
          <w:rFonts w:ascii="Times New Roman" w:hAnsi="Times New Roman" w:cs="Times New Roman"/>
        </w:rPr>
        <w:t xml:space="preserve">  </w:t>
      </w:r>
    </w:p>
    <w:p w14:paraId="6CA7D5EE" w14:textId="39F257BF" w:rsidR="001305F6" w:rsidRPr="00C80189" w:rsidRDefault="00A06B53" w:rsidP="00D66215">
      <w:pPr>
        <w:pStyle w:val="ParaNum"/>
        <w:rPr>
          <w:rFonts w:ascii="Times New Roman" w:hAnsi="Times New Roman" w:cs="Times New Roman"/>
        </w:rPr>
      </w:pPr>
      <w:r w:rsidRPr="00C80189">
        <w:rPr>
          <w:rFonts w:ascii="Times New Roman" w:hAnsi="Times New Roman" w:cs="Times New Roman"/>
        </w:rPr>
        <w:t xml:space="preserve">The results of our analysis are </w:t>
      </w:r>
      <w:r w:rsidR="008F0FE1" w:rsidRPr="00C80189">
        <w:rPr>
          <w:rFonts w:ascii="Times New Roman" w:hAnsi="Times New Roman" w:cs="Times New Roman"/>
        </w:rPr>
        <w:t xml:space="preserve">illustrated in Figure </w:t>
      </w:r>
      <w:r w:rsidR="008B49F0" w:rsidRPr="00C80189">
        <w:rPr>
          <w:rFonts w:ascii="Times New Roman" w:hAnsi="Times New Roman" w:cs="Times New Roman"/>
        </w:rPr>
        <w:t>6</w:t>
      </w:r>
      <w:r w:rsidR="006D3443" w:rsidRPr="00C80189">
        <w:rPr>
          <w:rFonts w:ascii="Times New Roman" w:hAnsi="Times New Roman" w:cs="Times New Roman"/>
        </w:rPr>
        <w:t xml:space="preserve"> </w:t>
      </w:r>
      <w:r w:rsidR="008F0FE1" w:rsidRPr="00C80189">
        <w:rPr>
          <w:rFonts w:ascii="Times New Roman" w:hAnsi="Times New Roman" w:cs="Times New Roman"/>
        </w:rPr>
        <w:t>below</w:t>
      </w:r>
      <w:r w:rsidRPr="00C80189">
        <w:rPr>
          <w:rFonts w:ascii="Times New Roman" w:hAnsi="Times New Roman" w:cs="Times New Roman"/>
        </w:rPr>
        <w:t xml:space="preserve">.  </w:t>
      </w:r>
      <w:r w:rsidR="00BE5297" w:rsidRPr="00C80189">
        <w:rPr>
          <w:rFonts w:ascii="Times New Roman" w:hAnsi="Times New Roman" w:cs="Times New Roman"/>
        </w:rPr>
        <w:t>This analysis suggests</w:t>
      </w:r>
      <w:r w:rsidR="008F0FE1" w:rsidRPr="00C80189">
        <w:rPr>
          <w:rFonts w:ascii="Times New Roman" w:hAnsi="Times New Roman" w:cs="Times New Roman"/>
        </w:rPr>
        <w:t xml:space="preserve"> that </w:t>
      </w:r>
      <w:r w:rsidR="005319F1" w:rsidRPr="00C80189">
        <w:rPr>
          <w:rFonts w:ascii="Times New Roman" w:hAnsi="Times New Roman" w:cs="Times New Roman"/>
        </w:rPr>
        <w:t>in the absence of</w:t>
      </w:r>
      <w:r w:rsidR="008F0FE1" w:rsidRPr="00C80189">
        <w:rPr>
          <w:rFonts w:ascii="Times New Roman" w:hAnsi="Times New Roman" w:cs="Times New Roman"/>
        </w:rPr>
        <w:t xml:space="preserve"> </w:t>
      </w:r>
      <w:r w:rsidR="00894226" w:rsidRPr="00C80189">
        <w:rPr>
          <w:rFonts w:ascii="Times New Roman" w:hAnsi="Times New Roman" w:cs="Times New Roman"/>
        </w:rPr>
        <w:t>budgets</w:t>
      </w:r>
      <w:r w:rsidR="005D05CC" w:rsidRPr="00C80189">
        <w:rPr>
          <w:rFonts w:ascii="Times New Roman" w:hAnsi="Times New Roman" w:cs="Times New Roman"/>
        </w:rPr>
        <w:t>,</w:t>
      </w:r>
      <w:r w:rsidR="00894226" w:rsidRPr="00C80189">
        <w:rPr>
          <w:rFonts w:ascii="Times New Roman" w:hAnsi="Times New Roman" w:cs="Times New Roman"/>
        </w:rPr>
        <w:t xml:space="preserve"> </w:t>
      </w:r>
      <w:r w:rsidR="00BE5297" w:rsidRPr="00C80189">
        <w:rPr>
          <w:rFonts w:ascii="Times New Roman" w:hAnsi="Times New Roman" w:cs="Times New Roman"/>
        </w:rPr>
        <w:t xml:space="preserve">$1 billion in funding </w:t>
      </w:r>
      <w:r w:rsidR="005319F1" w:rsidRPr="00C80189">
        <w:rPr>
          <w:rFonts w:ascii="Times New Roman" w:hAnsi="Times New Roman" w:cs="Times New Roman"/>
        </w:rPr>
        <w:t xml:space="preserve">would </w:t>
      </w:r>
      <w:r w:rsidR="008F0FE1" w:rsidRPr="00C80189">
        <w:rPr>
          <w:rFonts w:ascii="Times New Roman" w:hAnsi="Times New Roman" w:cs="Times New Roman"/>
        </w:rPr>
        <w:t>supp</w:t>
      </w:r>
      <w:r w:rsidR="00894226" w:rsidRPr="00C80189">
        <w:rPr>
          <w:rFonts w:ascii="Times New Roman" w:hAnsi="Times New Roman" w:cs="Times New Roman"/>
        </w:rPr>
        <w:t>ort</w:t>
      </w:r>
      <w:r w:rsidR="00B15588" w:rsidRPr="00C80189">
        <w:rPr>
          <w:rFonts w:ascii="Times New Roman" w:hAnsi="Times New Roman" w:cs="Times New Roman"/>
        </w:rPr>
        <w:t xml:space="preserve"> i</w:t>
      </w:r>
      <w:r w:rsidR="008F0FE1" w:rsidRPr="00C80189">
        <w:rPr>
          <w:rFonts w:ascii="Times New Roman" w:hAnsi="Times New Roman" w:cs="Times New Roman"/>
        </w:rPr>
        <w:t xml:space="preserve">nternal </w:t>
      </w:r>
      <w:r w:rsidR="00B15588" w:rsidRPr="00C80189">
        <w:rPr>
          <w:rFonts w:ascii="Times New Roman" w:hAnsi="Times New Roman" w:cs="Times New Roman"/>
        </w:rPr>
        <w:t>c</w:t>
      </w:r>
      <w:r w:rsidR="00894226" w:rsidRPr="00C80189">
        <w:rPr>
          <w:rFonts w:ascii="Times New Roman" w:hAnsi="Times New Roman" w:cs="Times New Roman"/>
        </w:rPr>
        <w:t>onnections requests</w:t>
      </w:r>
      <w:r w:rsidR="008F0FE1" w:rsidRPr="00C80189">
        <w:rPr>
          <w:rFonts w:ascii="Times New Roman" w:hAnsi="Times New Roman" w:cs="Times New Roman"/>
        </w:rPr>
        <w:t xml:space="preserve"> </w:t>
      </w:r>
      <w:r w:rsidR="00894226" w:rsidRPr="00C80189">
        <w:rPr>
          <w:rFonts w:ascii="Times New Roman" w:hAnsi="Times New Roman" w:cs="Times New Roman"/>
        </w:rPr>
        <w:t>from schools serving about</w:t>
      </w:r>
      <w:r w:rsidR="008F0FE1" w:rsidRPr="00C80189">
        <w:rPr>
          <w:rFonts w:ascii="Times New Roman" w:hAnsi="Times New Roman" w:cs="Times New Roman"/>
        </w:rPr>
        <w:t xml:space="preserve"> </w:t>
      </w:r>
      <w:r w:rsidR="00081515" w:rsidRPr="00C80189">
        <w:rPr>
          <w:rFonts w:ascii="Times New Roman" w:hAnsi="Times New Roman" w:cs="Times New Roman"/>
        </w:rPr>
        <w:t>3.8</w:t>
      </w:r>
      <w:r w:rsidR="008F0FE1" w:rsidRPr="00C80189">
        <w:rPr>
          <w:rFonts w:ascii="Times New Roman" w:hAnsi="Times New Roman" w:cs="Times New Roman"/>
        </w:rPr>
        <w:t xml:space="preserve"> million students. </w:t>
      </w:r>
      <w:r w:rsidR="00BE5297" w:rsidRPr="00C80189">
        <w:rPr>
          <w:rFonts w:ascii="Times New Roman" w:hAnsi="Times New Roman" w:cs="Times New Roman"/>
        </w:rPr>
        <w:t xml:space="preserve"> </w:t>
      </w:r>
      <w:r w:rsidR="001305F6" w:rsidRPr="00C80189">
        <w:rPr>
          <w:rFonts w:ascii="Times New Roman" w:hAnsi="Times New Roman" w:cs="Times New Roman"/>
        </w:rPr>
        <w:t xml:space="preserve">In contrast, </w:t>
      </w:r>
      <w:r w:rsidR="00894226" w:rsidRPr="00C80189">
        <w:rPr>
          <w:rFonts w:ascii="Times New Roman" w:hAnsi="Times New Roman" w:cs="Times New Roman"/>
        </w:rPr>
        <w:t xml:space="preserve">we project that </w:t>
      </w:r>
      <w:r w:rsidR="001305F6" w:rsidRPr="00C80189">
        <w:rPr>
          <w:rFonts w:ascii="Times New Roman" w:hAnsi="Times New Roman" w:cs="Times New Roman"/>
        </w:rPr>
        <w:t xml:space="preserve">the </w:t>
      </w:r>
      <w:r w:rsidR="00C373F2" w:rsidRPr="00C80189">
        <w:rPr>
          <w:rFonts w:ascii="Times New Roman" w:hAnsi="Times New Roman" w:cs="Times New Roman"/>
        </w:rPr>
        <w:t>five</w:t>
      </w:r>
      <w:r w:rsidR="001305F6" w:rsidRPr="00C80189">
        <w:rPr>
          <w:rFonts w:ascii="Times New Roman" w:hAnsi="Times New Roman" w:cs="Times New Roman"/>
        </w:rPr>
        <w:t xml:space="preserve">-year budget approach adopted by the Commission should </w:t>
      </w:r>
      <w:r w:rsidRPr="00C80189">
        <w:rPr>
          <w:rFonts w:ascii="Times New Roman" w:hAnsi="Times New Roman" w:cs="Times New Roman"/>
        </w:rPr>
        <w:t>enable</w:t>
      </w:r>
      <w:r w:rsidR="001305F6" w:rsidRPr="00C80189">
        <w:rPr>
          <w:rFonts w:ascii="Times New Roman" w:hAnsi="Times New Roman" w:cs="Times New Roman"/>
        </w:rPr>
        <w:t xml:space="preserve"> at least </w:t>
      </w:r>
      <w:r w:rsidR="008F0FE1" w:rsidRPr="00C80189">
        <w:rPr>
          <w:rFonts w:ascii="Times New Roman" w:hAnsi="Times New Roman" w:cs="Times New Roman"/>
        </w:rPr>
        <w:t>10.</w:t>
      </w:r>
      <w:r w:rsidR="00081515" w:rsidRPr="00C80189">
        <w:rPr>
          <w:rFonts w:ascii="Times New Roman" w:hAnsi="Times New Roman" w:cs="Times New Roman"/>
        </w:rPr>
        <w:t>5</w:t>
      </w:r>
      <w:r w:rsidR="008F0FE1" w:rsidRPr="00C80189">
        <w:rPr>
          <w:rFonts w:ascii="Times New Roman" w:hAnsi="Times New Roman" w:cs="Times New Roman"/>
        </w:rPr>
        <w:t xml:space="preserve"> mil</w:t>
      </w:r>
      <w:r w:rsidR="00894226" w:rsidRPr="00C80189">
        <w:rPr>
          <w:rFonts w:ascii="Times New Roman" w:hAnsi="Times New Roman" w:cs="Times New Roman"/>
        </w:rPr>
        <w:t>lion students to receive support in Funding Year 2015</w:t>
      </w:r>
      <w:r w:rsidR="00BE5297" w:rsidRPr="00C80189">
        <w:rPr>
          <w:rFonts w:ascii="Times New Roman" w:hAnsi="Times New Roman" w:cs="Times New Roman"/>
        </w:rPr>
        <w:t>, or approximately 6.7 million additional students.</w:t>
      </w:r>
      <w:r w:rsidR="00D66215" w:rsidRPr="00C80189">
        <w:rPr>
          <w:rFonts w:ascii="Times New Roman" w:hAnsi="Times New Roman" w:cs="Times New Roman"/>
        </w:rPr>
        <w:t xml:space="preserve"> </w:t>
      </w:r>
    </w:p>
    <w:p w14:paraId="6E2137E5" w14:textId="4281B636" w:rsidR="008F0FE1" w:rsidRPr="00C80189" w:rsidRDefault="008F0FE1" w:rsidP="000A06C5">
      <w:pPr>
        <w:pStyle w:val="ParaNum"/>
        <w:keepNext/>
        <w:numPr>
          <w:ilvl w:val="0"/>
          <w:numId w:val="0"/>
        </w:numPr>
        <w:jc w:val="center"/>
        <w:rPr>
          <w:rFonts w:ascii="Times New Roman" w:hAnsi="Times New Roman" w:cs="Times New Roman"/>
          <w:b/>
        </w:rPr>
      </w:pPr>
      <w:r w:rsidRPr="00C80189">
        <w:rPr>
          <w:rFonts w:ascii="Times New Roman" w:hAnsi="Times New Roman" w:cs="Times New Roman"/>
          <w:b/>
        </w:rPr>
        <w:t xml:space="preserve">Figure </w:t>
      </w:r>
      <w:r w:rsidR="008B49F0" w:rsidRPr="00C80189">
        <w:rPr>
          <w:rFonts w:ascii="Times New Roman" w:hAnsi="Times New Roman" w:cs="Times New Roman"/>
          <w:b/>
        </w:rPr>
        <w:t>6:</w:t>
      </w:r>
      <w:r w:rsidRPr="00C80189">
        <w:rPr>
          <w:rFonts w:ascii="Times New Roman" w:hAnsi="Times New Roman" w:cs="Times New Roman"/>
          <w:b/>
        </w:rPr>
        <w:t xml:space="preserve"> Students Supported by $1 Billion of Internal Connections Funding</w:t>
      </w:r>
    </w:p>
    <w:p w14:paraId="6089C20A" w14:textId="2B58A227" w:rsidR="00604987" w:rsidRPr="004F1C7B" w:rsidRDefault="00267C9F" w:rsidP="008F0FE1">
      <w:pPr>
        <w:pStyle w:val="ParaNum"/>
        <w:numPr>
          <w:ilvl w:val="0"/>
          <w:numId w:val="0"/>
        </w:numPr>
        <w:jc w:val="center"/>
        <w:rPr>
          <w:rFonts w:ascii="Times New Roman" w:hAnsi="Times New Roman" w:cs="Times New Roman"/>
          <w:b/>
        </w:rPr>
      </w:pPr>
      <w:r w:rsidRPr="004F1C7B">
        <w:rPr>
          <w:rFonts w:ascii="Times New Roman" w:hAnsi="Times New Roman" w:cs="Times New Roman"/>
          <w:noProof/>
        </w:rPr>
        <w:drawing>
          <wp:inline distT="0" distB="0" distL="0" distR="0" wp14:anchorId="10FFCA4B" wp14:editId="586D7604">
            <wp:extent cx="5486400" cy="282702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B31D3" w:rsidRPr="004F1C7B">
        <w:rPr>
          <w:rFonts w:ascii="Times New Roman" w:hAnsi="Times New Roman" w:cs="Times New Roman"/>
          <w:b/>
          <w:noProof/>
        </w:rPr>
        <mc:AlternateContent>
          <mc:Choice Requires="wps">
            <w:drawing>
              <wp:anchor distT="0" distB="0" distL="114300" distR="114300" simplePos="0" relativeHeight="251714560" behindDoc="0" locked="0" layoutInCell="1" allowOverlap="1" wp14:anchorId="79918FB1" wp14:editId="6F77F8D4">
                <wp:simplePos x="0" y="0"/>
                <wp:positionH relativeFrom="column">
                  <wp:posOffset>4848225</wp:posOffset>
                </wp:positionH>
                <wp:positionV relativeFrom="paragraph">
                  <wp:posOffset>1503045</wp:posOffset>
                </wp:positionV>
                <wp:extent cx="590550" cy="4102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0210"/>
                        </a:xfrm>
                        <a:prstGeom prst="rect">
                          <a:avLst/>
                        </a:prstGeom>
                        <a:solidFill>
                          <a:srgbClr val="FFFFFF"/>
                        </a:solidFill>
                        <a:ln w="9525">
                          <a:noFill/>
                          <a:miter lim="800000"/>
                          <a:headEnd/>
                          <a:tailEnd/>
                        </a:ln>
                      </wps:spPr>
                      <wps:txbx>
                        <w:txbxContent>
                          <w:p w14:paraId="0BB53349" w14:textId="42605794" w:rsidR="00D44D7D" w:rsidRPr="007D640E" w:rsidRDefault="00D44D7D" w:rsidP="002B31D3">
                            <w:pPr>
                              <w:rPr>
                                <w:rFonts w:cstheme="minorHAnsi"/>
                                <w:b/>
                                <w:color w:val="1F497D" w:themeColor="text2"/>
                                <w:sz w:val="20"/>
                              </w:rPr>
                            </w:pPr>
                            <w:r w:rsidRPr="005851FF">
                              <w:rPr>
                                <w:rFonts w:cstheme="minorHAnsi"/>
                                <w:b/>
                                <w:color w:val="1F497D" w:themeColor="text2"/>
                                <w:sz w:val="20"/>
                              </w:rPr>
                              <w:t>Non-Rural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left:0;text-align:left;margin-left:381.75pt;margin-top:118.35pt;width:46.5pt;height:32.3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" stroked="f">
                <v:textbox style="mso-fit-shape-to-text:t">
                  <w:txbxContent>
                    <w:p w14:paraId="0BB53349" w14:textId="42605794" w:rsidR="00D44D7D" w:rsidRPr="007D640E" w:rsidRDefault="00D44D7D" w:rsidP="002B31D3">
                      <w:pPr>
                        <w:rPr>
                          <w:rFonts w:cstheme="minorHAnsi"/>
                          <w:b/>
                          <w:color w:val="1F497D" w:themeColor="text2"/>
                          <w:sz w:val="20"/>
                        </w:rPr>
                      </w:pPr>
                      <w:r w:rsidRPr="005851FF">
                        <w:rPr>
                          <w:rFonts w:cstheme="minorHAnsi"/>
                          <w:b/>
                          <w:color w:val="1F497D" w:themeColor="text2"/>
                          <w:sz w:val="20"/>
                        </w:rPr>
                        <w:t>Non-Rural</w:t>
                      </w:r>
                    </w:p>
                  </w:txbxContent>
                </v:textbox>
              </v:shape>
            </w:pict>
          </mc:Fallback>
        </mc:AlternateContent>
      </w:r>
      <w:r w:rsidR="002B31D3" w:rsidRPr="008D34DE">
        <w:rPr>
          <w:rFonts w:ascii="Times New Roman" w:hAnsi="Times New Roman" w:cs="Times New Roman"/>
          <w:b/>
          <w:noProof/>
        </w:rPr>
        <mc:AlternateContent>
          <mc:Choice Requires="wps">
            <w:drawing>
              <wp:anchor distT="0" distB="0" distL="114300" distR="114300" simplePos="0" relativeHeight="251712512" behindDoc="0" locked="0" layoutInCell="1" allowOverlap="1" wp14:anchorId="5C246DD4" wp14:editId="7B6A2342">
                <wp:simplePos x="0" y="0"/>
                <wp:positionH relativeFrom="column">
                  <wp:posOffset>4848225</wp:posOffset>
                </wp:positionH>
                <wp:positionV relativeFrom="paragraph">
                  <wp:posOffset>474345</wp:posOffset>
                </wp:positionV>
                <wp:extent cx="590550" cy="255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5270"/>
                        </a:xfrm>
                        <a:prstGeom prst="rect">
                          <a:avLst/>
                        </a:prstGeom>
                        <a:solidFill>
                          <a:srgbClr val="FFFFFF"/>
                        </a:solidFill>
                        <a:ln w="9525">
                          <a:noFill/>
                          <a:miter lim="800000"/>
                          <a:headEnd/>
                          <a:tailEnd/>
                        </a:ln>
                      </wps:spPr>
                      <wps:txbx>
                        <w:txbxContent>
                          <w:p w14:paraId="52A1A256" w14:textId="4FCBCFFF" w:rsidR="00D44D7D" w:rsidRPr="007D640E" w:rsidRDefault="00D44D7D">
                            <w:pPr>
                              <w:rPr>
                                <w:rFonts w:cstheme="minorHAnsi"/>
                                <w:b/>
                                <w:color w:val="95B3D7" w:themeColor="accent1" w:themeTint="99"/>
                                <w:sz w:val="20"/>
                              </w:rPr>
                            </w:pPr>
                            <w:r w:rsidRPr="005851FF">
                              <w:rPr>
                                <w:rFonts w:cstheme="minorHAnsi"/>
                                <w:b/>
                                <w:color w:val="95B3D7" w:themeColor="accent1" w:themeTint="99"/>
                                <w:sz w:val="20"/>
                              </w:rPr>
                              <w:t>Rural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81.75pt;margin-top:37.35pt;width:46.5pt;height:20.1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" stroked="f">
                <v:textbox style="mso-fit-shape-to-text:t">
                  <w:txbxContent>
                    <w:p w14:paraId="52A1A256" w14:textId="4FCBCFFF" w:rsidR="00D44D7D" w:rsidRPr="007D640E" w:rsidRDefault="00D44D7D">
                      <w:pPr>
                        <w:rPr>
                          <w:rFonts w:cstheme="minorHAnsi"/>
                          <w:b/>
                          <w:color w:val="95B3D7" w:themeColor="accent1" w:themeTint="99"/>
                          <w:sz w:val="20"/>
                        </w:rPr>
                      </w:pPr>
                      <w:r w:rsidRPr="005851FF">
                        <w:rPr>
                          <w:rFonts w:cstheme="minorHAnsi"/>
                          <w:b/>
                          <w:color w:val="95B3D7" w:themeColor="accent1" w:themeTint="99"/>
                          <w:sz w:val="20"/>
                        </w:rPr>
                        <w:t>Rural</w:t>
                      </w:r>
                    </w:p>
                  </w:txbxContent>
                </v:textbox>
              </v:shape>
            </w:pict>
          </mc:Fallback>
        </mc:AlternateContent>
      </w:r>
    </w:p>
    <w:p w14:paraId="57E6F488" w14:textId="115FE0EB" w:rsidR="001305F6" w:rsidRPr="00C80189" w:rsidRDefault="001305F6" w:rsidP="001305F6">
      <w:pPr>
        <w:pStyle w:val="Heading2"/>
        <w:rPr>
          <w:rFonts w:ascii="Times New Roman" w:hAnsi="Times New Roman" w:cs="Times New Roman"/>
        </w:rPr>
      </w:pPr>
      <w:r w:rsidRPr="00C80189">
        <w:rPr>
          <w:rFonts w:ascii="Times New Roman" w:hAnsi="Times New Roman" w:cs="Times New Roman"/>
        </w:rPr>
        <w:t>Budget Impact of Extending or Not Extending Changes</w:t>
      </w:r>
    </w:p>
    <w:p w14:paraId="7FB43FCC" w14:textId="5BFE24D7" w:rsidR="00AD2D6B" w:rsidRPr="00C80189" w:rsidRDefault="00DC1C88" w:rsidP="00082ABC">
      <w:pPr>
        <w:pStyle w:val="ParaNum"/>
        <w:rPr>
          <w:rFonts w:ascii="Times New Roman" w:hAnsi="Times New Roman" w:cs="Times New Roman"/>
        </w:rPr>
      </w:pPr>
      <w:r w:rsidRPr="00C80189">
        <w:rPr>
          <w:rFonts w:ascii="Times New Roman" w:hAnsi="Times New Roman" w:cs="Times New Roman"/>
        </w:rPr>
        <w:t xml:space="preserve">Using the five-year budgets set in the </w:t>
      </w:r>
      <w:r w:rsidR="00832625" w:rsidRPr="00C80189">
        <w:rPr>
          <w:rFonts w:ascii="Times New Roman" w:hAnsi="Times New Roman" w:cs="Times New Roman"/>
          <w:i/>
        </w:rPr>
        <w:t>E-Rate Modernization Order</w:t>
      </w:r>
      <w:r w:rsidRPr="00C80189">
        <w:rPr>
          <w:rFonts w:ascii="Times New Roman" w:hAnsi="Times New Roman" w:cs="Times New Roman"/>
        </w:rPr>
        <w:t xml:space="preserve">, funding </w:t>
      </w:r>
      <w:r w:rsidR="00832625" w:rsidRPr="00C80189">
        <w:rPr>
          <w:rFonts w:ascii="Times New Roman" w:hAnsi="Times New Roman" w:cs="Times New Roman"/>
        </w:rPr>
        <w:t>category two</w:t>
      </w:r>
      <w:r w:rsidRPr="00C80189">
        <w:rPr>
          <w:rFonts w:ascii="Times New Roman" w:hAnsi="Times New Roman" w:cs="Times New Roman"/>
        </w:rPr>
        <w:t xml:space="preserve"> requests for all schools and libraries nationwide will require approximately $1 billion per year over each of the next five years.  </w:t>
      </w:r>
      <w:r w:rsidR="0029675A" w:rsidRPr="00C80189">
        <w:rPr>
          <w:rFonts w:ascii="Times New Roman" w:hAnsi="Times New Roman" w:cs="Times New Roman"/>
        </w:rPr>
        <w:t xml:space="preserve">To estimate the budget </w:t>
      </w:r>
      <w:r w:rsidRPr="00C80189">
        <w:rPr>
          <w:rFonts w:ascii="Times New Roman" w:hAnsi="Times New Roman" w:cs="Times New Roman"/>
        </w:rPr>
        <w:t>requirements if</w:t>
      </w:r>
      <w:r w:rsidR="0029675A" w:rsidRPr="00C80189">
        <w:rPr>
          <w:rFonts w:ascii="Times New Roman" w:hAnsi="Times New Roman" w:cs="Times New Roman"/>
        </w:rPr>
        <w:t xml:space="preserve"> the </w:t>
      </w:r>
      <w:r w:rsidR="00C373F2" w:rsidRPr="00C80189">
        <w:rPr>
          <w:rFonts w:ascii="Times New Roman" w:hAnsi="Times New Roman" w:cs="Times New Roman"/>
        </w:rPr>
        <w:t>five</w:t>
      </w:r>
      <w:r w:rsidR="0029675A" w:rsidRPr="00C80189">
        <w:rPr>
          <w:rFonts w:ascii="Times New Roman" w:hAnsi="Times New Roman" w:cs="Times New Roman"/>
        </w:rPr>
        <w:t xml:space="preserve">-year budgets adopted in the </w:t>
      </w:r>
      <w:r w:rsidR="00832625" w:rsidRPr="00C80189">
        <w:rPr>
          <w:rFonts w:ascii="Times New Roman" w:hAnsi="Times New Roman" w:cs="Times New Roman"/>
          <w:i/>
        </w:rPr>
        <w:t>E-Rate Modernization Order</w:t>
      </w:r>
      <w:r w:rsidRPr="00C80189">
        <w:rPr>
          <w:rFonts w:ascii="Times New Roman" w:hAnsi="Times New Roman" w:cs="Times New Roman"/>
          <w:i/>
        </w:rPr>
        <w:t xml:space="preserve"> </w:t>
      </w:r>
      <w:r w:rsidRPr="00C80189">
        <w:rPr>
          <w:rFonts w:ascii="Times New Roman" w:hAnsi="Times New Roman" w:cs="Times New Roman"/>
        </w:rPr>
        <w:t>are not extended</w:t>
      </w:r>
      <w:r w:rsidR="00AD2D6B" w:rsidRPr="00C80189">
        <w:rPr>
          <w:rFonts w:ascii="Times New Roman" w:hAnsi="Times New Roman" w:cs="Times New Roman"/>
        </w:rPr>
        <w:t>,</w:t>
      </w:r>
      <w:r w:rsidR="006D3443" w:rsidRPr="00C80189">
        <w:rPr>
          <w:rFonts w:ascii="Times New Roman" w:hAnsi="Times New Roman" w:cs="Times New Roman"/>
        </w:rPr>
        <w:t xml:space="preserve"> w</w:t>
      </w:r>
      <w:r w:rsidR="00F309DE" w:rsidRPr="00C80189">
        <w:rPr>
          <w:rFonts w:ascii="Times New Roman" w:hAnsi="Times New Roman" w:cs="Times New Roman"/>
        </w:rPr>
        <w:t xml:space="preserve">e estimated the funding required to support </w:t>
      </w:r>
      <w:r w:rsidRPr="00C80189">
        <w:rPr>
          <w:rFonts w:ascii="Times New Roman" w:hAnsi="Times New Roman" w:cs="Times New Roman"/>
        </w:rPr>
        <w:t>10</w:t>
      </w:r>
      <w:r w:rsidR="0029675A" w:rsidRPr="00C80189">
        <w:rPr>
          <w:rFonts w:ascii="Times New Roman" w:hAnsi="Times New Roman" w:cs="Times New Roman"/>
        </w:rPr>
        <w:t xml:space="preserve"> million</w:t>
      </w:r>
      <w:r w:rsidR="00F309DE" w:rsidRPr="00C80189">
        <w:rPr>
          <w:rFonts w:ascii="Times New Roman" w:hAnsi="Times New Roman" w:cs="Times New Roman"/>
        </w:rPr>
        <w:t xml:space="preserve"> student</w:t>
      </w:r>
      <w:r w:rsidR="0029675A" w:rsidRPr="00C80189">
        <w:rPr>
          <w:rFonts w:ascii="Times New Roman" w:hAnsi="Times New Roman" w:cs="Times New Roman"/>
        </w:rPr>
        <w:t>s</w:t>
      </w:r>
      <w:r w:rsidRPr="00C80189">
        <w:rPr>
          <w:rFonts w:ascii="Times New Roman" w:hAnsi="Times New Roman" w:cs="Times New Roman"/>
        </w:rPr>
        <w:t xml:space="preserve"> and 3</w:t>
      </w:r>
      <w:r w:rsidR="0091035D" w:rsidRPr="00C80189">
        <w:rPr>
          <w:rFonts w:ascii="Times New Roman" w:hAnsi="Times New Roman" w:cs="Times New Roman"/>
        </w:rPr>
        <w:t>,</w:t>
      </w:r>
      <w:r w:rsidRPr="00C80189">
        <w:rPr>
          <w:rFonts w:ascii="Times New Roman" w:hAnsi="Times New Roman" w:cs="Times New Roman"/>
        </w:rPr>
        <w:t>000 libraries</w:t>
      </w:r>
      <w:r w:rsidR="0029675A" w:rsidRPr="00C80189">
        <w:rPr>
          <w:rFonts w:ascii="Times New Roman" w:hAnsi="Times New Roman" w:cs="Times New Roman"/>
        </w:rPr>
        <w:t xml:space="preserve"> </w:t>
      </w:r>
      <w:r w:rsidR="00AD2D6B" w:rsidRPr="00C80189">
        <w:rPr>
          <w:rFonts w:ascii="Times New Roman" w:hAnsi="Times New Roman" w:cs="Times New Roman"/>
        </w:rPr>
        <w:t xml:space="preserve">annually </w:t>
      </w:r>
      <w:r w:rsidR="0029675A" w:rsidRPr="00C80189">
        <w:rPr>
          <w:rFonts w:ascii="Times New Roman" w:hAnsi="Times New Roman" w:cs="Times New Roman"/>
        </w:rPr>
        <w:t>in the absence of such budgets</w:t>
      </w:r>
      <w:r w:rsidR="00F309DE" w:rsidRPr="00C80189">
        <w:rPr>
          <w:rFonts w:ascii="Times New Roman" w:hAnsi="Times New Roman" w:cs="Times New Roman"/>
        </w:rPr>
        <w:t>.</w:t>
      </w:r>
      <w:r w:rsidR="002D46FB" w:rsidRPr="00C80189">
        <w:rPr>
          <w:rStyle w:val="FootnoteReference"/>
          <w:rFonts w:cs="Times New Roman"/>
        </w:rPr>
        <w:footnoteReference w:id="21"/>
      </w:r>
      <w:r w:rsidR="00F309DE" w:rsidRPr="00C80189">
        <w:rPr>
          <w:rFonts w:ascii="Times New Roman" w:hAnsi="Times New Roman" w:cs="Times New Roman"/>
        </w:rPr>
        <w:t xml:space="preserve">  </w:t>
      </w:r>
      <w:r w:rsidR="002D46FB" w:rsidRPr="00C80189">
        <w:rPr>
          <w:rFonts w:ascii="Times New Roman" w:hAnsi="Times New Roman" w:cs="Times New Roman"/>
        </w:rPr>
        <w:t>We estimate that approximately $2.</w:t>
      </w:r>
      <w:r w:rsidR="00AA1E35" w:rsidRPr="00C80189">
        <w:rPr>
          <w:rFonts w:ascii="Times New Roman" w:hAnsi="Times New Roman" w:cs="Times New Roman"/>
        </w:rPr>
        <w:t>5</w:t>
      </w:r>
      <w:r w:rsidR="002D46FB" w:rsidRPr="00C80189">
        <w:rPr>
          <w:rFonts w:ascii="Times New Roman" w:hAnsi="Times New Roman" w:cs="Times New Roman"/>
        </w:rPr>
        <w:t xml:space="preserve"> billion in support would be required to support 10 million students and 3</w:t>
      </w:r>
      <w:r w:rsidR="0091035D" w:rsidRPr="00C80189">
        <w:rPr>
          <w:rFonts w:ascii="Times New Roman" w:hAnsi="Times New Roman" w:cs="Times New Roman"/>
        </w:rPr>
        <w:t>,</w:t>
      </w:r>
      <w:r w:rsidR="002D46FB" w:rsidRPr="00C80189">
        <w:rPr>
          <w:rFonts w:ascii="Times New Roman" w:hAnsi="Times New Roman" w:cs="Times New Roman"/>
        </w:rPr>
        <w:t>000 libraries annually, in the absence of per-applicant budgets.</w:t>
      </w:r>
      <w:r w:rsidR="002D46FB" w:rsidRPr="00C80189">
        <w:rPr>
          <w:rStyle w:val="FootnoteReference"/>
          <w:rFonts w:cs="Times New Roman"/>
        </w:rPr>
        <w:footnoteReference w:id="22"/>
      </w:r>
      <w:r w:rsidR="002D46FB" w:rsidRPr="00C80189">
        <w:rPr>
          <w:rFonts w:ascii="Times New Roman" w:hAnsi="Times New Roman" w:cs="Times New Roman"/>
        </w:rPr>
        <w:t xml:space="preserve">  That is, an additional $1.</w:t>
      </w:r>
      <w:r w:rsidR="00AA1E35" w:rsidRPr="00C80189">
        <w:rPr>
          <w:rFonts w:ascii="Times New Roman" w:hAnsi="Times New Roman" w:cs="Times New Roman"/>
        </w:rPr>
        <w:t>5</w:t>
      </w:r>
      <w:r w:rsidR="002D46FB" w:rsidRPr="00C80189">
        <w:rPr>
          <w:rFonts w:ascii="Times New Roman" w:hAnsi="Times New Roman" w:cs="Times New Roman"/>
        </w:rPr>
        <w:t xml:space="preserve"> billion would be required annually in addition to the $1 billion annual target established by the Commission in the </w:t>
      </w:r>
      <w:r w:rsidR="00832625" w:rsidRPr="00C80189">
        <w:rPr>
          <w:rFonts w:ascii="Times New Roman" w:hAnsi="Times New Roman" w:cs="Times New Roman"/>
          <w:i/>
        </w:rPr>
        <w:t>E-Rate Modernization Order</w:t>
      </w:r>
      <w:r w:rsidR="002D46FB" w:rsidRPr="00C80189">
        <w:rPr>
          <w:rFonts w:ascii="Times New Roman" w:hAnsi="Times New Roman" w:cs="Times New Roman"/>
        </w:rPr>
        <w:t xml:space="preserve">.  Alternatively, if the Commission were to maintain funding at the $1 billion level, </w:t>
      </w:r>
      <w:r w:rsidR="00D900CB" w:rsidRPr="00C80189">
        <w:rPr>
          <w:rFonts w:ascii="Times New Roman" w:hAnsi="Times New Roman" w:cs="Times New Roman"/>
        </w:rPr>
        <w:t xml:space="preserve">only </w:t>
      </w:r>
      <w:r w:rsidR="002D46FB" w:rsidRPr="00C80189">
        <w:rPr>
          <w:rFonts w:ascii="Times New Roman" w:hAnsi="Times New Roman" w:cs="Times New Roman"/>
        </w:rPr>
        <w:t xml:space="preserve">about </w:t>
      </w:r>
      <w:r w:rsidR="00F77F0C" w:rsidRPr="00C80189">
        <w:rPr>
          <w:rFonts w:ascii="Times New Roman" w:hAnsi="Times New Roman" w:cs="Times New Roman"/>
        </w:rPr>
        <w:t>one third</w:t>
      </w:r>
      <w:r w:rsidR="002D46FB" w:rsidRPr="00C80189">
        <w:rPr>
          <w:rFonts w:ascii="Times New Roman" w:hAnsi="Times New Roman" w:cs="Times New Roman"/>
        </w:rPr>
        <w:t xml:space="preserve"> of </w:t>
      </w:r>
      <w:r w:rsidR="00D900CB" w:rsidRPr="00C80189">
        <w:rPr>
          <w:rFonts w:ascii="Times New Roman" w:hAnsi="Times New Roman" w:cs="Times New Roman"/>
        </w:rPr>
        <w:t xml:space="preserve">the students </w:t>
      </w:r>
      <w:r w:rsidR="00907AC6" w:rsidRPr="00C80189">
        <w:rPr>
          <w:rFonts w:ascii="Times New Roman" w:hAnsi="Times New Roman" w:cs="Times New Roman"/>
        </w:rPr>
        <w:t xml:space="preserve">and libraries </w:t>
      </w:r>
      <w:r w:rsidR="00D900CB" w:rsidRPr="00C80189">
        <w:rPr>
          <w:rFonts w:ascii="Times New Roman" w:hAnsi="Times New Roman" w:cs="Times New Roman"/>
        </w:rPr>
        <w:t xml:space="preserve">that </w:t>
      </w:r>
      <w:r w:rsidR="00F77F0C" w:rsidRPr="00C80189">
        <w:rPr>
          <w:rFonts w:ascii="Times New Roman" w:hAnsi="Times New Roman" w:cs="Times New Roman"/>
        </w:rPr>
        <w:t>would</w:t>
      </w:r>
      <w:r w:rsidR="00D900CB" w:rsidRPr="00C80189">
        <w:rPr>
          <w:rFonts w:ascii="Times New Roman" w:hAnsi="Times New Roman" w:cs="Times New Roman"/>
        </w:rPr>
        <w:t xml:space="preserve"> have benefited from </w:t>
      </w:r>
      <w:r w:rsidR="00F77F0C" w:rsidRPr="00C80189">
        <w:rPr>
          <w:rFonts w:ascii="Times New Roman" w:hAnsi="Times New Roman" w:cs="Times New Roman"/>
        </w:rPr>
        <w:t xml:space="preserve">support under the adopted budgets </w:t>
      </w:r>
      <w:r w:rsidR="00D900CB" w:rsidRPr="00C80189">
        <w:rPr>
          <w:rFonts w:ascii="Times New Roman" w:hAnsi="Times New Roman" w:cs="Times New Roman"/>
        </w:rPr>
        <w:t xml:space="preserve">actually would </w:t>
      </w:r>
      <w:r w:rsidR="00F77F0C" w:rsidRPr="00C80189">
        <w:rPr>
          <w:rFonts w:ascii="Times New Roman" w:hAnsi="Times New Roman" w:cs="Times New Roman"/>
        </w:rPr>
        <w:t xml:space="preserve">receive </w:t>
      </w:r>
      <w:r w:rsidR="00D900CB" w:rsidRPr="00C80189">
        <w:rPr>
          <w:rFonts w:ascii="Times New Roman" w:hAnsi="Times New Roman" w:cs="Times New Roman"/>
        </w:rPr>
        <w:t>support.</w:t>
      </w:r>
    </w:p>
    <w:p w14:paraId="7DD9746A" w14:textId="276262C4" w:rsidR="00135583" w:rsidRPr="00C80189" w:rsidRDefault="00BB00E8" w:rsidP="00CD2969">
      <w:pPr>
        <w:pStyle w:val="Heading1"/>
        <w:rPr>
          <w:rFonts w:ascii="Times New Roman" w:hAnsi="Times New Roman" w:cs="Times New Roman"/>
        </w:rPr>
      </w:pPr>
      <w:r w:rsidRPr="00C80189">
        <w:rPr>
          <w:rFonts w:ascii="Times New Roman" w:hAnsi="Times New Roman" w:cs="Times New Roman"/>
        </w:rPr>
        <w:t>External Connections</w:t>
      </w:r>
    </w:p>
    <w:p w14:paraId="3E0B0F15" w14:textId="3FD8438B" w:rsidR="00DE3D0E" w:rsidRPr="00C80189" w:rsidRDefault="00DE3D0E" w:rsidP="0029675A">
      <w:pPr>
        <w:pStyle w:val="ParaNum"/>
        <w:rPr>
          <w:rFonts w:ascii="Times New Roman" w:hAnsi="Times New Roman" w:cs="Times New Roman"/>
        </w:rPr>
      </w:pPr>
      <w:r w:rsidRPr="00C80189">
        <w:rPr>
          <w:rFonts w:ascii="Times New Roman" w:hAnsi="Times New Roman" w:cs="Times New Roman"/>
        </w:rPr>
        <w:t xml:space="preserve">In the </w:t>
      </w:r>
      <w:r w:rsidR="00832625" w:rsidRPr="00C80189">
        <w:rPr>
          <w:rFonts w:ascii="Times New Roman" w:hAnsi="Times New Roman" w:cs="Times New Roman"/>
          <w:i/>
        </w:rPr>
        <w:t>E-Rate Modernization Order</w:t>
      </w:r>
      <w:r w:rsidRPr="00C80189">
        <w:rPr>
          <w:rFonts w:ascii="Times New Roman" w:hAnsi="Times New Roman" w:cs="Times New Roman"/>
        </w:rPr>
        <w:t xml:space="preserve">, the Commission </w:t>
      </w:r>
      <w:r w:rsidR="00AE6F5F" w:rsidRPr="00C80189">
        <w:rPr>
          <w:rFonts w:ascii="Times New Roman" w:hAnsi="Times New Roman" w:cs="Times New Roman"/>
        </w:rPr>
        <w:t xml:space="preserve">distinguished between </w:t>
      </w:r>
      <w:r w:rsidRPr="00C80189">
        <w:rPr>
          <w:rFonts w:ascii="Times New Roman" w:hAnsi="Times New Roman" w:cs="Times New Roman"/>
        </w:rPr>
        <w:t>two basic types</w:t>
      </w:r>
      <w:r w:rsidR="00C47538" w:rsidRPr="00C80189">
        <w:rPr>
          <w:rFonts w:ascii="Times New Roman" w:hAnsi="Times New Roman" w:cs="Times New Roman"/>
        </w:rPr>
        <w:t xml:space="preserve"> of external connections:</w:t>
      </w:r>
      <w:r w:rsidRPr="00C80189">
        <w:rPr>
          <w:rFonts w:ascii="Times New Roman" w:hAnsi="Times New Roman" w:cs="Times New Roman"/>
        </w:rPr>
        <w:t xml:space="preserve"> Internet Access and WAN connections.  In this section we </w:t>
      </w:r>
      <w:r w:rsidR="00C47538" w:rsidRPr="00C80189">
        <w:rPr>
          <w:rFonts w:ascii="Times New Roman" w:hAnsi="Times New Roman" w:cs="Times New Roman"/>
        </w:rPr>
        <w:t xml:space="preserve">employ </w:t>
      </w:r>
      <w:r w:rsidRPr="00C80189">
        <w:rPr>
          <w:rFonts w:ascii="Times New Roman" w:hAnsi="Times New Roman" w:cs="Times New Roman"/>
        </w:rPr>
        <w:t xml:space="preserve">the same </w:t>
      </w:r>
      <w:r w:rsidR="00C47538" w:rsidRPr="00C80189">
        <w:rPr>
          <w:rFonts w:ascii="Times New Roman" w:hAnsi="Times New Roman" w:cs="Times New Roman"/>
        </w:rPr>
        <w:t>distinction</w:t>
      </w:r>
      <w:r w:rsidRPr="00C80189">
        <w:rPr>
          <w:rFonts w:ascii="Times New Roman" w:hAnsi="Times New Roman" w:cs="Times New Roman"/>
        </w:rPr>
        <w:t>:</w:t>
      </w:r>
      <w:r w:rsidRPr="00C80189">
        <w:rPr>
          <w:rStyle w:val="FootnoteReference"/>
          <w:rFonts w:cs="Times New Roman"/>
        </w:rPr>
        <w:footnoteReference w:id="23"/>
      </w:r>
    </w:p>
    <w:p w14:paraId="297310A8" w14:textId="0DAAAEA9" w:rsidR="00DE3D0E" w:rsidRPr="00C80189" w:rsidRDefault="00DE3D0E" w:rsidP="00DE3D0E">
      <w:pPr>
        <w:pStyle w:val="ParaNum"/>
        <w:numPr>
          <w:ilvl w:val="0"/>
          <w:numId w:val="4"/>
        </w:numPr>
        <w:ind w:left="720"/>
        <w:rPr>
          <w:rFonts w:ascii="Times New Roman" w:hAnsi="Times New Roman" w:cs="Times New Roman"/>
        </w:rPr>
      </w:pPr>
      <w:r w:rsidRPr="00C80189">
        <w:rPr>
          <w:rFonts w:ascii="Times New Roman" w:hAnsi="Times New Roman" w:cs="Times New Roman"/>
          <w:i/>
        </w:rPr>
        <w:t>Internet Access</w:t>
      </w:r>
      <w:r w:rsidRPr="00C80189">
        <w:rPr>
          <w:rFonts w:ascii="Times New Roman" w:hAnsi="Times New Roman" w:cs="Times New Roman"/>
        </w:rPr>
        <w:t xml:space="preserve"> – Many school districts and some library systems purchase Internet access for the entire district or system at a single point of aggregation.  In this report, as in the </w:t>
      </w:r>
      <w:r w:rsidR="00832625" w:rsidRPr="00C80189">
        <w:rPr>
          <w:rFonts w:ascii="Times New Roman" w:hAnsi="Times New Roman" w:cs="Times New Roman"/>
          <w:i/>
        </w:rPr>
        <w:t>E-Rate Modernization Order</w:t>
      </w:r>
      <w:r w:rsidRPr="00C80189">
        <w:rPr>
          <w:rFonts w:ascii="Times New Roman" w:hAnsi="Times New Roman" w:cs="Times New Roman"/>
        </w:rPr>
        <w:t xml:space="preserve">, we refer to “Internet access” as the connection or connections that allow traffic to flow from that aggregation point to the public Internet.  As part of the purchase of Internet access, the school district (or library system) may purchase dedicated connectivity (e.g., dedicated transport) from its point of aggregation to its Internet Service Provider’s (ISP) point of presence. </w:t>
      </w:r>
      <w:r w:rsidR="000F207B">
        <w:rPr>
          <w:rFonts w:ascii="Times New Roman" w:hAnsi="Times New Roman" w:cs="Times New Roman"/>
        </w:rPr>
        <w:t xml:space="preserve"> </w:t>
      </w:r>
      <w:r w:rsidRPr="00C80189">
        <w:rPr>
          <w:rFonts w:ascii="Times New Roman" w:hAnsi="Times New Roman" w:cs="Times New Roman"/>
        </w:rPr>
        <w:t>For schools and libraries that are not connected to a district Wide Area Networking (WAN), Internet access simply refers to the school or library’s direct connection to the public Internet.</w:t>
      </w:r>
    </w:p>
    <w:p w14:paraId="3E52C8EF" w14:textId="1CF6B1D8" w:rsidR="00DE3D0E" w:rsidRPr="00C80189" w:rsidRDefault="00DE3D0E" w:rsidP="00DE3D0E">
      <w:pPr>
        <w:pStyle w:val="ParaNum"/>
        <w:numPr>
          <w:ilvl w:val="0"/>
          <w:numId w:val="4"/>
        </w:numPr>
        <w:ind w:left="720"/>
        <w:rPr>
          <w:rFonts w:ascii="Times New Roman" w:hAnsi="Times New Roman" w:cs="Times New Roman"/>
        </w:rPr>
      </w:pPr>
      <w:r w:rsidRPr="00C80189">
        <w:rPr>
          <w:rFonts w:ascii="Times New Roman" w:hAnsi="Times New Roman" w:cs="Times New Roman"/>
          <w:i/>
        </w:rPr>
        <w:t xml:space="preserve">WAN/Last-Mile </w:t>
      </w:r>
      <w:r w:rsidRPr="00C80189">
        <w:rPr>
          <w:rFonts w:ascii="Times New Roman" w:hAnsi="Times New Roman" w:cs="Times New Roman"/>
        </w:rPr>
        <w:t xml:space="preserve">– As just described, school districts and library systems frequently connect individual schools and libraries to a central aggregation point, such as a district data hub, that hosts the Internet demarcation point for the entire district or library system.  We refer to these connections </w:t>
      </w:r>
      <w:r w:rsidR="00C47538" w:rsidRPr="00C80189">
        <w:rPr>
          <w:rFonts w:ascii="Times New Roman" w:hAnsi="Times New Roman" w:cs="Times New Roman"/>
        </w:rPr>
        <w:t xml:space="preserve">from individual school, library, or other building locations to an aggregation point </w:t>
      </w:r>
      <w:r w:rsidRPr="00C80189">
        <w:rPr>
          <w:rFonts w:ascii="Times New Roman" w:hAnsi="Times New Roman" w:cs="Times New Roman"/>
        </w:rPr>
        <w:t>as WAN or last mile connections.</w:t>
      </w:r>
    </w:p>
    <w:p w14:paraId="6F5DC618" w14:textId="7556349A" w:rsidR="0029675A" w:rsidRPr="00C80189" w:rsidRDefault="00E77EE9" w:rsidP="0029675A">
      <w:pPr>
        <w:pStyle w:val="ParaNum"/>
        <w:rPr>
          <w:rFonts w:ascii="Times New Roman" w:hAnsi="Times New Roman" w:cs="Times New Roman"/>
        </w:rPr>
      </w:pPr>
      <w:r w:rsidRPr="00C80189">
        <w:rPr>
          <w:rFonts w:ascii="Times New Roman" w:hAnsi="Times New Roman" w:cs="Times New Roman"/>
        </w:rPr>
        <w:t xml:space="preserve">In the </w:t>
      </w:r>
      <w:r w:rsidRPr="00C80189">
        <w:rPr>
          <w:rFonts w:ascii="Times New Roman" w:hAnsi="Times New Roman" w:cs="Times New Roman"/>
          <w:i/>
        </w:rPr>
        <w:t xml:space="preserve">Further Notice </w:t>
      </w:r>
      <w:r w:rsidRPr="00C80189">
        <w:rPr>
          <w:rFonts w:ascii="Times New Roman" w:hAnsi="Times New Roman" w:cs="Times New Roman"/>
        </w:rPr>
        <w:t>the Commission noted that “several states and providers have submitted . . . data” regarding “schools’ and libraries’ current connectivity</w:t>
      </w:r>
      <w:r w:rsidR="00916BBA" w:rsidRPr="00C80189">
        <w:rPr>
          <w:rFonts w:ascii="Times New Roman" w:hAnsi="Times New Roman" w:cs="Times New Roman"/>
        </w:rPr>
        <w:t>” for WAN and Internet connections.</w:t>
      </w:r>
      <w:r w:rsidR="005B43E4" w:rsidRPr="00C80189">
        <w:rPr>
          <w:rStyle w:val="FootnoteReference"/>
          <w:rFonts w:cs="Times New Roman"/>
        </w:rPr>
        <w:footnoteReference w:id="24"/>
      </w:r>
      <w:r w:rsidR="00916BBA" w:rsidRPr="00C80189">
        <w:rPr>
          <w:rFonts w:ascii="Times New Roman" w:hAnsi="Times New Roman" w:cs="Times New Roman"/>
        </w:rPr>
        <w:t xml:space="preserve">  The Commission also sought comment on “how much funding is needed to bridge [connectivity] gaps in light of likely pricing for broadband services.”</w:t>
      </w:r>
      <w:r w:rsidR="005B43E4" w:rsidRPr="00C80189">
        <w:rPr>
          <w:rStyle w:val="FootnoteReference"/>
          <w:rFonts w:cs="Times New Roman"/>
        </w:rPr>
        <w:footnoteReference w:id="25"/>
      </w:r>
      <w:r w:rsidR="00916BBA" w:rsidRPr="00C80189">
        <w:rPr>
          <w:rFonts w:ascii="Times New Roman" w:hAnsi="Times New Roman" w:cs="Times New Roman"/>
        </w:rPr>
        <w:t xml:space="preserve"> To assist commenters as they respond to th</w:t>
      </w:r>
      <w:r w:rsidR="00D44D7D">
        <w:rPr>
          <w:rFonts w:ascii="Times New Roman" w:hAnsi="Times New Roman" w:cs="Times New Roman"/>
        </w:rPr>
        <w:t>is</w:t>
      </w:r>
      <w:r w:rsidR="00916BBA" w:rsidRPr="00C80189">
        <w:rPr>
          <w:rFonts w:ascii="Times New Roman" w:hAnsi="Times New Roman" w:cs="Times New Roman"/>
        </w:rPr>
        <w:t xml:space="preserve"> question, this section summarizes the current record on school and library </w:t>
      </w:r>
      <w:r w:rsidR="009A0353" w:rsidRPr="00C80189">
        <w:rPr>
          <w:rFonts w:ascii="Times New Roman" w:hAnsi="Times New Roman" w:cs="Times New Roman"/>
        </w:rPr>
        <w:t>connectivity</w:t>
      </w:r>
      <w:r w:rsidR="00DC1C88" w:rsidRPr="00C80189">
        <w:rPr>
          <w:rFonts w:ascii="Times New Roman" w:hAnsi="Times New Roman" w:cs="Times New Roman"/>
        </w:rPr>
        <w:t xml:space="preserve"> and </w:t>
      </w:r>
      <w:r w:rsidR="00916BBA" w:rsidRPr="00C80189">
        <w:rPr>
          <w:rFonts w:ascii="Times New Roman" w:hAnsi="Times New Roman" w:cs="Times New Roman"/>
        </w:rPr>
        <w:t xml:space="preserve">on current </w:t>
      </w:r>
      <w:r w:rsidR="00DC1C88" w:rsidRPr="00C80189">
        <w:rPr>
          <w:rFonts w:ascii="Times New Roman" w:hAnsi="Times New Roman" w:cs="Times New Roman"/>
        </w:rPr>
        <w:t>pricing levels</w:t>
      </w:r>
      <w:r w:rsidR="00E74948" w:rsidRPr="00C80189">
        <w:rPr>
          <w:rFonts w:ascii="Times New Roman" w:hAnsi="Times New Roman" w:cs="Times New Roman"/>
        </w:rPr>
        <w:t>.</w:t>
      </w:r>
    </w:p>
    <w:bookmarkEnd w:id="29"/>
    <w:bookmarkEnd w:id="30"/>
    <w:bookmarkEnd w:id="31"/>
    <w:bookmarkEnd w:id="32"/>
    <w:bookmarkEnd w:id="33"/>
    <w:bookmarkEnd w:id="34"/>
    <w:bookmarkEnd w:id="35"/>
    <w:bookmarkEnd w:id="36"/>
    <w:p w14:paraId="1A540E6E" w14:textId="0E81EE57" w:rsidR="00433E2F" w:rsidRPr="00C80189" w:rsidRDefault="00E74948" w:rsidP="00135583">
      <w:pPr>
        <w:pStyle w:val="Heading3"/>
        <w:rPr>
          <w:rFonts w:ascii="Times New Roman" w:hAnsi="Times New Roman" w:cs="Times New Roman"/>
        </w:rPr>
      </w:pPr>
      <w:r w:rsidRPr="00C80189">
        <w:rPr>
          <w:rFonts w:ascii="Times New Roman" w:hAnsi="Times New Roman" w:cs="Times New Roman"/>
        </w:rPr>
        <w:t>Direct A</w:t>
      </w:r>
      <w:r w:rsidR="005B0F3C" w:rsidRPr="00C80189">
        <w:rPr>
          <w:rFonts w:ascii="Times New Roman" w:hAnsi="Times New Roman" w:cs="Times New Roman"/>
        </w:rPr>
        <w:t>ccess to</w:t>
      </w:r>
      <w:r w:rsidRPr="00C80189">
        <w:rPr>
          <w:rFonts w:ascii="Times New Roman" w:hAnsi="Times New Roman" w:cs="Times New Roman"/>
        </w:rPr>
        <w:t xml:space="preserve"> Fiber Connectivity</w:t>
      </w:r>
      <w:r w:rsidR="00135583" w:rsidRPr="00C80189">
        <w:rPr>
          <w:rFonts w:ascii="Times New Roman" w:hAnsi="Times New Roman" w:cs="Times New Roman"/>
        </w:rPr>
        <w:t xml:space="preserve">  </w:t>
      </w:r>
    </w:p>
    <w:p w14:paraId="74244802" w14:textId="2840C96C" w:rsidR="006F51CE" w:rsidRPr="004F1C7B" w:rsidRDefault="006F51CE" w:rsidP="00073DAD">
      <w:pPr>
        <w:pStyle w:val="ParaNum"/>
        <w:rPr>
          <w:rFonts w:ascii="Times New Roman" w:hAnsi="Times New Roman" w:cs="Times New Roman"/>
        </w:rPr>
      </w:pPr>
      <w:r w:rsidRPr="00C80189">
        <w:rPr>
          <w:rFonts w:ascii="Times New Roman" w:hAnsi="Times New Roman" w:cs="Times New Roman"/>
        </w:rPr>
        <w:t xml:space="preserve">In the </w:t>
      </w:r>
      <w:r w:rsidRPr="0080707A">
        <w:rPr>
          <w:rFonts w:ascii="Times New Roman" w:hAnsi="Times New Roman" w:cs="Times New Roman"/>
          <w:i/>
        </w:rPr>
        <w:t xml:space="preserve">E-rate </w:t>
      </w:r>
      <w:r w:rsidR="00AE32DA" w:rsidRPr="0080707A">
        <w:rPr>
          <w:rFonts w:ascii="Times New Roman" w:hAnsi="Times New Roman" w:cs="Times New Roman"/>
          <w:i/>
        </w:rPr>
        <w:t>M</w:t>
      </w:r>
      <w:r w:rsidRPr="0080707A">
        <w:rPr>
          <w:rFonts w:ascii="Times New Roman" w:hAnsi="Times New Roman" w:cs="Times New Roman"/>
          <w:i/>
        </w:rPr>
        <w:t xml:space="preserve">odernization </w:t>
      </w:r>
      <w:r w:rsidR="00C80189" w:rsidRPr="0080707A">
        <w:rPr>
          <w:rFonts w:ascii="Times New Roman" w:hAnsi="Times New Roman" w:cs="Times New Roman"/>
          <w:i/>
        </w:rPr>
        <w:t>Order</w:t>
      </w:r>
      <w:r w:rsidRPr="00C80189">
        <w:rPr>
          <w:rFonts w:ascii="Times New Roman" w:hAnsi="Times New Roman" w:cs="Times New Roman"/>
        </w:rPr>
        <w:t>, the Commission</w:t>
      </w:r>
      <w:r w:rsidR="00C80189">
        <w:rPr>
          <w:rFonts w:ascii="Times New Roman" w:hAnsi="Times New Roman" w:cs="Times New Roman"/>
        </w:rPr>
        <w:t xml:space="preserve"> “adopt[ed] </w:t>
      </w:r>
      <w:r w:rsidR="004F1C7B">
        <w:rPr>
          <w:rFonts w:ascii="Times New Roman" w:hAnsi="Times New Roman" w:cs="Times New Roman"/>
        </w:rPr>
        <w:t xml:space="preserve">[for schools] </w:t>
      </w:r>
      <w:r w:rsidR="00C80189" w:rsidRPr="0080707A">
        <w:rPr>
          <w:rFonts w:ascii="Times New Roman" w:hAnsi="Times New Roman" w:cs="Times New Roman"/>
        </w:rPr>
        <w:t>the State Education Technology Directors Association’s (SETDA) target recommendation of Internet access for schools of at least 100 Mbps per 1,000 students and staff (users) in the short term and 1 Gbps Internet access per 1,000 users in the longer term.”</w:t>
      </w:r>
      <w:r w:rsidR="004F1C7B">
        <w:rPr>
          <w:rStyle w:val="FootnoteReference"/>
          <w:rFonts w:cs="Times New Roman"/>
        </w:rPr>
        <w:footnoteReference w:id="26"/>
      </w:r>
      <w:r w:rsidR="00C80189" w:rsidRPr="0080707A">
        <w:rPr>
          <w:rFonts w:ascii="Times New Roman" w:hAnsi="Times New Roman" w:cs="Times New Roman"/>
        </w:rPr>
        <w:t xml:space="preserve">  </w:t>
      </w:r>
      <w:r w:rsidR="00C80189">
        <w:rPr>
          <w:rFonts w:ascii="Times New Roman" w:hAnsi="Times New Roman" w:cs="Times New Roman"/>
        </w:rPr>
        <w:t>The Commission also</w:t>
      </w:r>
      <w:r w:rsidRPr="00C80189">
        <w:rPr>
          <w:rFonts w:ascii="Times New Roman" w:hAnsi="Times New Roman" w:cs="Times New Roman"/>
        </w:rPr>
        <w:t xml:space="preserve"> “adopt[ed] as a target for WAN connectivity </w:t>
      </w:r>
      <w:r w:rsidR="00E5294E" w:rsidRPr="00C80189">
        <w:rPr>
          <w:rFonts w:ascii="Times New Roman" w:hAnsi="Times New Roman" w:cs="Times New Roman"/>
        </w:rPr>
        <w:t xml:space="preserve">[for schools] </w:t>
      </w:r>
      <w:r w:rsidRPr="00C80189">
        <w:rPr>
          <w:rFonts w:ascii="Times New Roman" w:hAnsi="Times New Roman" w:cs="Times New Roman"/>
        </w:rPr>
        <w:t xml:space="preserve">the total number of schools that have a connection capable of providing a dedicated data service scalable to the </w:t>
      </w:r>
      <w:r w:rsidR="00C80189">
        <w:rPr>
          <w:rFonts w:ascii="Times New Roman" w:hAnsi="Times New Roman" w:cs="Times New Roman"/>
        </w:rPr>
        <w:t>SETDA</w:t>
      </w:r>
      <w:r w:rsidRPr="00C80189">
        <w:rPr>
          <w:rFonts w:ascii="Times New Roman" w:hAnsi="Times New Roman" w:cs="Times New Roman"/>
        </w:rPr>
        <w:t xml:space="preserve"> long-term WAN target of 10 Gbps per 1,000 students.”</w:t>
      </w:r>
      <w:r w:rsidRPr="00C80189">
        <w:rPr>
          <w:rStyle w:val="FootnoteReference"/>
          <w:rFonts w:cs="Times New Roman"/>
        </w:rPr>
        <w:footnoteReference w:id="27"/>
      </w:r>
      <w:r w:rsidRPr="00C80189">
        <w:rPr>
          <w:rFonts w:ascii="Times New Roman" w:hAnsi="Times New Roman" w:cs="Times New Roman"/>
        </w:rPr>
        <w:t xml:space="preserve"> </w:t>
      </w:r>
      <w:r w:rsidR="00C80189" w:rsidRPr="00C80189">
        <w:rPr>
          <w:rFonts w:ascii="Times New Roman" w:hAnsi="Times New Roman" w:cs="Times New Roman"/>
        </w:rPr>
        <w:t xml:space="preserve"> The Commission found that the record was not sufficiently developed to establish a WAN connectivity target for libraries, but chose to track the total number of libraries that have a connection capable of providing a data service scalable to at least 10 Gbps.</w:t>
      </w:r>
      <w:r w:rsidR="00C80189" w:rsidRPr="00C80189">
        <w:rPr>
          <w:rStyle w:val="FootnoteReference"/>
          <w:rFonts w:cs="Times New Roman"/>
        </w:rPr>
        <w:footnoteReference w:id="28"/>
      </w:r>
      <w:r w:rsidR="00C80189" w:rsidRPr="00C80189">
        <w:rPr>
          <w:rFonts w:ascii="Times New Roman" w:hAnsi="Times New Roman" w:cs="Times New Roman"/>
        </w:rPr>
        <w:t xml:space="preserve">  </w:t>
      </w:r>
      <w:r w:rsidRPr="004F1C7B">
        <w:rPr>
          <w:rFonts w:ascii="Times New Roman" w:hAnsi="Times New Roman" w:cs="Times New Roman"/>
        </w:rPr>
        <w:t xml:space="preserve">In many cases, this type of scalable connectivity can only be provided or can most </w:t>
      </w:r>
      <w:r w:rsidR="00477480" w:rsidRPr="004F1C7B">
        <w:rPr>
          <w:rFonts w:ascii="Times New Roman" w:hAnsi="Times New Roman" w:cs="Times New Roman"/>
        </w:rPr>
        <w:t xml:space="preserve">cost-effectively </w:t>
      </w:r>
      <w:r w:rsidRPr="004F1C7B">
        <w:rPr>
          <w:rFonts w:ascii="Times New Roman" w:hAnsi="Times New Roman" w:cs="Times New Roman"/>
        </w:rPr>
        <w:t>be provided via fiber, because fiber connections are readily scalable to very high speeds.</w:t>
      </w:r>
      <w:r w:rsidRPr="00C80189">
        <w:rPr>
          <w:rStyle w:val="FootnoteReference"/>
          <w:rFonts w:cs="Times New Roman"/>
        </w:rPr>
        <w:footnoteReference w:id="29"/>
      </w:r>
      <w:r w:rsidRPr="00C80189">
        <w:rPr>
          <w:rFonts w:ascii="Times New Roman" w:hAnsi="Times New Roman" w:cs="Times New Roman"/>
        </w:rPr>
        <w:t xml:space="preserve">  Accordingly, staff reviewed the record </w:t>
      </w:r>
      <w:r w:rsidR="00C47538" w:rsidRPr="004F1C7B">
        <w:rPr>
          <w:rFonts w:ascii="Times New Roman" w:hAnsi="Times New Roman" w:cs="Times New Roman"/>
        </w:rPr>
        <w:t>to compile available data</w:t>
      </w:r>
      <w:r w:rsidRPr="004F1C7B">
        <w:rPr>
          <w:rFonts w:ascii="Times New Roman" w:hAnsi="Times New Roman" w:cs="Times New Roman"/>
        </w:rPr>
        <w:t xml:space="preserve"> on connectivity to school and library premises today.</w:t>
      </w:r>
    </w:p>
    <w:p w14:paraId="6BAF69B2" w14:textId="67FB4C01" w:rsidR="00073DAD" w:rsidRPr="00C80189" w:rsidRDefault="00150410" w:rsidP="00073DAD">
      <w:pPr>
        <w:pStyle w:val="ParaNum"/>
        <w:rPr>
          <w:rFonts w:ascii="Times New Roman" w:hAnsi="Times New Roman" w:cs="Times New Roman"/>
        </w:rPr>
      </w:pPr>
      <w:r w:rsidRPr="004F1C7B">
        <w:rPr>
          <w:rFonts w:ascii="Times New Roman" w:hAnsi="Times New Roman" w:cs="Times New Roman"/>
        </w:rPr>
        <w:t xml:space="preserve">Over the course of </w:t>
      </w:r>
      <w:r w:rsidR="00EA04F9" w:rsidRPr="004F1C7B">
        <w:rPr>
          <w:rFonts w:ascii="Times New Roman" w:hAnsi="Times New Roman" w:cs="Times New Roman"/>
        </w:rPr>
        <w:t xml:space="preserve">the </w:t>
      </w:r>
      <w:r w:rsidR="00C373F2" w:rsidRPr="004F1C7B">
        <w:rPr>
          <w:rFonts w:ascii="Times New Roman" w:hAnsi="Times New Roman" w:cs="Times New Roman"/>
        </w:rPr>
        <w:t>E-rate</w:t>
      </w:r>
      <w:r w:rsidR="00DA08B1" w:rsidRPr="004F1C7B">
        <w:rPr>
          <w:rFonts w:ascii="Times New Roman" w:hAnsi="Times New Roman" w:cs="Times New Roman"/>
        </w:rPr>
        <w:t xml:space="preserve"> </w:t>
      </w:r>
      <w:r w:rsidRPr="004F1C7B">
        <w:rPr>
          <w:rFonts w:ascii="Times New Roman" w:hAnsi="Times New Roman" w:cs="Times New Roman"/>
        </w:rPr>
        <w:t xml:space="preserve">proceeding, </w:t>
      </w:r>
      <w:r w:rsidR="00BB5B63" w:rsidRPr="004F1C7B">
        <w:rPr>
          <w:rFonts w:ascii="Times New Roman" w:hAnsi="Times New Roman" w:cs="Times New Roman"/>
        </w:rPr>
        <w:t xml:space="preserve">states, </w:t>
      </w:r>
      <w:r w:rsidR="00C80189" w:rsidRPr="004F1C7B">
        <w:rPr>
          <w:rFonts w:ascii="Times New Roman" w:hAnsi="Times New Roman" w:cs="Times New Roman"/>
        </w:rPr>
        <w:t>providers, applicants</w:t>
      </w:r>
      <w:r w:rsidR="00BB5B63" w:rsidRPr="004F1C7B">
        <w:rPr>
          <w:rFonts w:ascii="Times New Roman" w:hAnsi="Times New Roman" w:cs="Times New Roman"/>
        </w:rPr>
        <w:t>, and our partner agencies in the federal government have provided the Commission a large amount of data on school and library connectivity.</w:t>
      </w:r>
      <w:r w:rsidRPr="00C80189">
        <w:rPr>
          <w:rFonts w:ascii="Times New Roman" w:hAnsi="Times New Roman" w:cs="Times New Roman"/>
        </w:rPr>
        <w:t xml:space="preserve"> </w:t>
      </w:r>
      <w:r w:rsidR="000F207B">
        <w:rPr>
          <w:rFonts w:ascii="Times New Roman" w:hAnsi="Times New Roman" w:cs="Times New Roman"/>
        </w:rPr>
        <w:t xml:space="preserve"> </w:t>
      </w:r>
      <w:r w:rsidR="00BB5B63" w:rsidRPr="00C80189">
        <w:rPr>
          <w:rFonts w:ascii="Times New Roman" w:hAnsi="Times New Roman" w:cs="Times New Roman"/>
        </w:rPr>
        <w:t xml:space="preserve">Commission staff combined these datasets with </w:t>
      </w:r>
      <w:r w:rsidR="0064700D" w:rsidRPr="00C80189">
        <w:rPr>
          <w:rFonts w:ascii="Times New Roman" w:hAnsi="Times New Roman" w:cs="Times New Roman"/>
        </w:rPr>
        <w:t xml:space="preserve">National Broadband Map </w:t>
      </w:r>
      <w:r w:rsidR="00BB5B63" w:rsidRPr="00C80189">
        <w:rPr>
          <w:rFonts w:ascii="Times New Roman" w:hAnsi="Times New Roman" w:cs="Times New Roman"/>
        </w:rPr>
        <w:t xml:space="preserve">community anchor </w:t>
      </w:r>
      <w:r w:rsidR="00F50E82" w:rsidRPr="00C80189">
        <w:rPr>
          <w:rFonts w:ascii="Times New Roman" w:hAnsi="Times New Roman" w:cs="Times New Roman"/>
        </w:rPr>
        <w:t xml:space="preserve">institution </w:t>
      </w:r>
      <w:r w:rsidR="00EA04F9" w:rsidRPr="00C80189">
        <w:rPr>
          <w:rFonts w:ascii="Times New Roman" w:hAnsi="Times New Roman" w:cs="Times New Roman"/>
        </w:rPr>
        <w:t>connectivity data</w:t>
      </w:r>
      <w:r w:rsidR="00BB5B63" w:rsidRPr="00C80189">
        <w:rPr>
          <w:rFonts w:ascii="Times New Roman" w:hAnsi="Times New Roman" w:cs="Times New Roman"/>
        </w:rPr>
        <w:t>,</w:t>
      </w:r>
      <w:r w:rsidR="00F50E82" w:rsidRPr="00C80189">
        <w:rPr>
          <w:rStyle w:val="FootnoteReference"/>
          <w:rFonts w:cs="Times New Roman"/>
        </w:rPr>
        <w:t xml:space="preserve"> </w:t>
      </w:r>
      <w:r w:rsidR="00F50E82" w:rsidRPr="00C80189">
        <w:rPr>
          <w:rStyle w:val="FootnoteReference"/>
          <w:rFonts w:cs="Times New Roman"/>
        </w:rPr>
        <w:footnoteReference w:id="30"/>
      </w:r>
      <w:r w:rsidR="00BB5B63" w:rsidRPr="00C80189">
        <w:rPr>
          <w:rFonts w:ascii="Times New Roman" w:hAnsi="Times New Roman" w:cs="Times New Roman"/>
        </w:rPr>
        <w:t xml:space="preserve"> using school</w:t>
      </w:r>
      <w:r w:rsidR="00011A78" w:rsidRPr="00C80189">
        <w:rPr>
          <w:rFonts w:ascii="Times New Roman" w:hAnsi="Times New Roman" w:cs="Times New Roman"/>
        </w:rPr>
        <w:t xml:space="preserve"> and library</w:t>
      </w:r>
      <w:r w:rsidR="00BB5B63" w:rsidRPr="00C80189">
        <w:rPr>
          <w:rFonts w:ascii="Times New Roman" w:hAnsi="Times New Roman" w:cs="Times New Roman"/>
        </w:rPr>
        <w:t xml:space="preserve"> codes from the National Center for Education Statistics </w:t>
      </w:r>
      <w:r w:rsidR="00EA04F9" w:rsidRPr="00C80189">
        <w:rPr>
          <w:rFonts w:ascii="Times New Roman" w:hAnsi="Times New Roman" w:cs="Times New Roman"/>
        </w:rPr>
        <w:t xml:space="preserve">(NCES) </w:t>
      </w:r>
      <w:r w:rsidR="00011A78" w:rsidRPr="00C80189">
        <w:rPr>
          <w:rFonts w:ascii="Times New Roman" w:hAnsi="Times New Roman" w:cs="Times New Roman"/>
        </w:rPr>
        <w:t xml:space="preserve">and the Institute for Museum and Library Services (IMLS) </w:t>
      </w:r>
      <w:r w:rsidR="00BB5B63" w:rsidRPr="00C80189">
        <w:rPr>
          <w:rFonts w:ascii="Times New Roman" w:hAnsi="Times New Roman" w:cs="Times New Roman"/>
        </w:rPr>
        <w:t>as the unique identi</w:t>
      </w:r>
      <w:r w:rsidR="00877567" w:rsidRPr="00C80189">
        <w:rPr>
          <w:rFonts w:ascii="Times New Roman" w:hAnsi="Times New Roman" w:cs="Times New Roman"/>
        </w:rPr>
        <w:t>fier for each school</w:t>
      </w:r>
      <w:r w:rsidR="00262FAC" w:rsidRPr="00C80189">
        <w:rPr>
          <w:rFonts w:ascii="Times New Roman" w:hAnsi="Times New Roman" w:cs="Times New Roman"/>
        </w:rPr>
        <w:t xml:space="preserve"> or library</w:t>
      </w:r>
      <w:r w:rsidR="00877567" w:rsidRPr="00C80189">
        <w:rPr>
          <w:rFonts w:ascii="Times New Roman" w:hAnsi="Times New Roman" w:cs="Times New Roman"/>
        </w:rPr>
        <w:t>.</w:t>
      </w:r>
      <w:r w:rsidR="00F50E82" w:rsidRPr="00C80189">
        <w:rPr>
          <w:rStyle w:val="FootnoteReference"/>
          <w:rFonts w:cs="Times New Roman"/>
        </w:rPr>
        <w:footnoteReference w:id="31"/>
      </w:r>
      <w:r w:rsidR="00F50E82" w:rsidRPr="00C80189">
        <w:rPr>
          <w:rFonts w:ascii="Times New Roman" w:hAnsi="Times New Roman" w:cs="Times New Roman"/>
        </w:rPr>
        <w:t xml:space="preserve">  </w:t>
      </w:r>
      <w:r w:rsidR="00877567" w:rsidRPr="00C80189">
        <w:rPr>
          <w:rFonts w:ascii="Times New Roman" w:hAnsi="Times New Roman" w:cs="Times New Roman"/>
        </w:rPr>
        <w:t>Collectively</w:t>
      </w:r>
      <w:r w:rsidR="00BB5B63" w:rsidRPr="00C80189">
        <w:rPr>
          <w:rFonts w:ascii="Times New Roman" w:hAnsi="Times New Roman" w:cs="Times New Roman"/>
        </w:rPr>
        <w:t xml:space="preserve">, these data sets provide </w:t>
      </w:r>
      <w:r w:rsidR="00C47538" w:rsidRPr="00C80189">
        <w:rPr>
          <w:rFonts w:ascii="Times New Roman" w:hAnsi="Times New Roman" w:cs="Times New Roman"/>
        </w:rPr>
        <w:t xml:space="preserve">direct, “actual” data </w:t>
      </w:r>
      <w:r w:rsidR="00BB5B63" w:rsidRPr="00C80189">
        <w:rPr>
          <w:rFonts w:ascii="Times New Roman" w:hAnsi="Times New Roman" w:cs="Times New Roman"/>
        </w:rPr>
        <w:t xml:space="preserve">on the connectivity status of </w:t>
      </w:r>
      <w:r w:rsidRPr="00C80189">
        <w:rPr>
          <w:rFonts w:ascii="Times New Roman" w:hAnsi="Times New Roman" w:cs="Times New Roman"/>
        </w:rPr>
        <w:t xml:space="preserve">about </w:t>
      </w:r>
      <w:r w:rsidR="00CE6A3E" w:rsidRPr="00C80189">
        <w:rPr>
          <w:rFonts w:ascii="Times New Roman" w:hAnsi="Times New Roman" w:cs="Times New Roman"/>
        </w:rPr>
        <w:t>half</w:t>
      </w:r>
      <w:r w:rsidRPr="00C80189">
        <w:rPr>
          <w:rFonts w:ascii="Times New Roman" w:hAnsi="Times New Roman" w:cs="Times New Roman"/>
        </w:rPr>
        <w:t xml:space="preserve"> of all U.S. public schools</w:t>
      </w:r>
      <w:r w:rsidR="00011A78" w:rsidRPr="00C80189">
        <w:rPr>
          <w:rFonts w:ascii="Times New Roman" w:hAnsi="Times New Roman" w:cs="Times New Roman"/>
        </w:rPr>
        <w:t xml:space="preserve"> and about two thirds of all U.S. library </w:t>
      </w:r>
      <w:r w:rsidR="003512EF" w:rsidRPr="00C80189">
        <w:rPr>
          <w:rFonts w:ascii="Times New Roman" w:hAnsi="Times New Roman" w:cs="Times New Roman"/>
        </w:rPr>
        <w:t>locations</w:t>
      </w:r>
      <w:r w:rsidR="00011A78" w:rsidRPr="00C80189">
        <w:rPr>
          <w:rFonts w:ascii="Times New Roman" w:hAnsi="Times New Roman" w:cs="Times New Roman"/>
        </w:rPr>
        <w:t xml:space="preserve"> (excluding bookmobiles</w:t>
      </w:r>
      <w:r w:rsidR="00F50E82" w:rsidRPr="00C80189">
        <w:rPr>
          <w:rFonts w:ascii="Times New Roman" w:hAnsi="Times New Roman" w:cs="Times New Roman"/>
        </w:rPr>
        <w:t xml:space="preserve"> and books by mail</w:t>
      </w:r>
      <w:r w:rsidR="00011A78" w:rsidRPr="00C80189">
        <w:rPr>
          <w:rFonts w:ascii="Times New Roman" w:hAnsi="Times New Roman" w:cs="Times New Roman"/>
        </w:rPr>
        <w:t>)</w:t>
      </w:r>
      <w:r w:rsidRPr="00C80189">
        <w:rPr>
          <w:rFonts w:ascii="Times New Roman" w:hAnsi="Times New Roman" w:cs="Times New Roman"/>
        </w:rPr>
        <w:t xml:space="preserve">.  </w:t>
      </w:r>
      <w:r w:rsidR="00EA04F9" w:rsidRPr="00C80189">
        <w:rPr>
          <w:rFonts w:ascii="Times New Roman" w:hAnsi="Times New Roman" w:cs="Times New Roman"/>
        </w:rPr>
        <w:t>In the few cases where two data sets provided conflicting information about connectivity at a given school</w:t>
      </w:r>
      <w:r w:rsidR="00011A78" w:rsidRPr="00C80189">
        <w:rPr>
          <w:rFonts w:ascii="Times New Roman" w:hAnsi="Times New Roman" w:cs="Times New Roman"/>
        </w:rPr>
        <w:t xml:space="preserve"> or library</w:t>
      </w:r>
      <w:r w:rsidR="00EA04F9" w:rsidRPr="00C80189">
        <w:rPr>
          <w:rFonts w:ascii="Times New Roman" w:hAnsi="Times New Roman" w:cs="Times New Roman"/>
        </w:rPr>
        <w:t>, that location was excluded from the analysis.</w:t>
      </w:r>
      <w:r w:rsidR="0023456A" w:rsidRPr="00C80189">
        <w:rPr>
          <w:rFonts w:ascii="Times New Roman" w:hAnsi="Times New Roman" w:cs="Times New Roman"/>
        </w:rPr>
        <w:t xml:space="preserve">  </w:t>
      </w:r>
    </w:p>
    <w:p w14:paraId="78E68A40" w14:textId="34AC8095" w:rsidR="00150410" w:rsidRPr="00C80189" w:rsidRDefault="00A06B53" w:rsidP="00011A78">
      <w:pPr>
        <w:pStyle w:val="ParaNum"/>
        <w:rPr>
          <w:rFonts w:ascii="Times New Roman" w:hAnsi="Times New Roman" w:cs="Times New Roman"/>
        </w:rPr>
      </w:pPr>
      <w:r w:rsidRPr="00C80189">
        <w:rPr>
          <w:rFonts w:ascii="Times New Roman" w:hAnsi="Times New Roman" w:cs="Times New Roman"/>
        </w:rPr>
        <w:t>Based on this analysis, and a</w:t>
      </w:r>
      <w:r w:rsidR="008B49F0" w:rsidRPr="00C80189">
        <w:rPr>
          <w:rFonts w:ascii="Times New Roman" w:hAnsi="Times New Roman" w:cs="Times New Roman"/>
        </w:rPr>
        <w:t>s illustrated in Figure 7</w:t>
      </w:r>
      <w:r w:rsidR="008740C2" w:rsidRPr="00C80189">
        <w:rPr>
          <w:rFonts w:ascii="Times New Roman" w:hAnsi="Times New Roman" w:cs="Times New Roman"/>
        </w:rPr>
        <w:t xml:space="preserve"> below</w:t>
      </w:r>
      <w:r w:rsidR="005C7F07" w:rsidRPr="00C80189">
        <w:rPr>
          <w:rFonts w:ascii="Times New Roman" w:hAnsi="Times New Roman" w:cs="Times New Roman"/>
        </w:rPr>
        <w:t xml:space="preserve">, we estimate that roughly 65 percent of public schools have fiber </w:t>
      </w:r>
      <w:r w:rsidR="00C47538" w:rsidRPr="00C80189">
        <w:rPr>
          <w:rFonts w:ascii="Times New Roman" w:hAnsi="Times New Roman" w:cs="Times New Roman"/>
        </w:rPr>
        <w:t xml:space="preserve">facilities </w:t>
      </w:r>
      <w:r w:rsidR="005C7F07" w:rsidRPr="00C80189">
        <w:rPr>
          <w:rFonts w:ascii="Times New Roman" w:hAnsi="Times New Roman" w:cs="Times New Roman"/>
        </w:rPr>
        <w:t>to the building.  We further examined those public schools without fiber</w:t>
      </w:r>
      <w:r w:rsidR="00FC0D08" w:rsidRPr="00C80189">
        <w:rPr>
          <w:rFonts w:ascii="Times New Roman" w:hAnsi="Times New Roman" w:cs="Times New Roman"/>
        </w:rPr>
        <w:t>, with a particular focus on the status of rural schools, which in many cases have limited external connectivity options,</w:t>
      </w:r>
      <w:r w:rsidR="008B231D" w:rsidRPr="00C80189">
        <w:rPr>
          <w:rStyle w:val="FootnoteReference"/>
          <w:rFonts w:cs="Times New Roman"/>
        </w:rPr>
        <w:footnoteReference w:id="32"/>
      </w:r>
      <w:r w:rsidR="00FC0D08" w:rsidRPr="00C80189">
        <w:rPr>
          <w:rFonts w:ascii="Times New Roman" w:hAnsi="Times New Roman" w:cs="Times New Roman"/>
        </w:rPr>
        <w:t xml:space="preserve"> and small schools, which due to their small student counts may be able to obtain suitable external connectio</w:t>
      </w:r>
      <w:r w:rsidR="00FC0D08" w:rsidRPr="004F1C7B">
        <w:rPr>
          <w:rFonts w:ascii="Times New Roman" w:hAnsi="Times New Roman" w:cs="Times New Roman"/>
        </w:rPr>
        <w:t>ns without access to fiber</w:t>
      </w:r>
      <w:r w:rsidR="005C7F07" w:rsidRPr="004F1C7B">
        <w:rPr>
          <w:rFonts w:ascii="Times New Roman" w:hAnsi="Times New Roman" w:cs="Times New Roman"/>
        </w:rPr>
        <w:t xml:space="preserve">.  We estimate that 11 percent of </w:t>
      </w:r>
      <w:r w:rsidR="008740C2" w:rsidRPr="00C80189">
        <w:rPr>
          <w:rFonts w:ascii="Times New Roman" w:hAnsi="Times New Roman" w:cs="Times New Roman"/>
        </w:rPr>
        <w:t xml:space="preserve">public </w:t>
      </w:r>
      <w:r w:rsidR="005C7F07" w:rsidRPr="00C80189">
        <w:rPr>
          <w:rFonts w:ascii="Times New Roman" w:hAnsi="Times New Roman" w:cs="Times New Roman"/>
        </w:rPr>
        <w:t>schools are rural (as identified by NCES)</w:t>
      </w:r>
      <w:r w:rsidR="008740C2" w:rsidRPr="00C80189">
        <w:rPr>
          <w:rFonts w:ascii="Times New Roman" w:hAnsi="Times New Roman" w:cs="Times New Roman"/>
        </w:rPr>
        <w:t xml:space="preserve">, have more than 100 students, and are without fiber connectivity.  In comparison, we estimate that 19 percent of public schools are non-rural, have greater than 100 students, and are without fiber.  The remaining </w:t>
      </w:r>
      <w:r w:rsidR="00807D7D" w:rsidRPr="00C80189">
        <w:rPr>
          <w:rFonts w:ascii="Times New Roman" w:hAnsi="Times New Roman" w:cs="Times New Roman"/>
        </w:rPr>
        <w:t>five</w:t>
      </w:r>
      <w:r w:rsidR="008740C2" w:rsidRPr="00C80189">
        <w:rPr>
          <w:rFonts w:ascii="Times New Roman" w:hAnsi="Times New Roman" w:cs="Times New Roman"/>
        </w:rPr>
        <w:t xml:space="preserve"> percent of public schools have less than 100 students and are without fiber.</w:t>
      </w:r>
      <w:r w:rsidR="00011A78" w:rsidRPr="00C80189">
        <w:rPr>
          <w:rFonts w:ascii="Times New Roman" w:hAnsi="Times New Roman" w:cs="Times New Roman"/>
        </w:rPr>
        <w:t xml:space="preserve"> </w:t>
      </w:r>
    </w:p>
    <w:p w14:paraId="2A5C4A3A" w14:textId="3047E24A" w:rsidR="003378B6" w:rsidRPr="00C80189" w:rsidRDefault="003378B6" w:rsidP="003378B6">
      <w:pPr>
        <w:pStyle w:val="ParaNum"/>
        <w:rPr>
          <w:rFonts w:ascii="Times New Roman" w:hAnsi="Times New Roman" w:cs="Times New Roman"/>
        </w:rPr>
      </w:pPr>
      <w:r w:rsidRPr="00C80189">
        <w:rPr>
          <w:rFonts w:ascii="Times New Roman" w:hAnsi="Times New Roman" w:cs="Times New Roman"/>
        </w:rPr>
        <w:t xml:space="preserve">We caution that this analysis may somewhat overstate the extent of fiber connectivity to schools.  We do not believe that the half of public schools for which we have data are perfectly representative of all schools in the country.  Based on conversations with state and local officials, we believe that states with better connectivity data are more likely to have fiber to a larger percent of their schools than those states without statewide connectivity data.  Nevertheless, this analysis provides a useful guidepost as we estimate the extent of fiber connectivity to schools.  </w:t>
      </w:r>
    </w:p>
    <w:p w14:paraId="3F52A5D2" w14:textId="294C8451" w:rsidR="00135583" w:rsidRPr="00C80189" w:rsidRDefault="008B49F0" w:rsidP="003654C3">
      <w:pPr>
        <w:pStyle w:val="ParaNum"/>
        <w:keepNext/>
        <w:numPr>
          <w:ilvl w:val="0"/>
          <w:numId w:val="0"/>
        </w:numPr>
        <w:jc w:val="center"/>
        <w:rPr>
          <w:rFonts w:ascii="Times New Roman" w:hAnsi="Times New Roman" w:cs="Times New Roman"/>
          <w:b/>
        </w:rPr>
      </w:pPr>
      <w:r w:rsidRPr="00C80189">
        <w:rPr>
          <w:rFonts w:ascii="Times New Roman" w:hAnsi="Times New Roman" w:cs="Times New Roman"/>
          <w:b/>
        </w:rPr>
        <w:t>Figure 7:</w:t>
      </w:r>
      <w:r w:rsidR="008740C2" w:rsidRPr="00C80189">
        <w:rPr>
          <w:rFonts w:ascii="Times New Roman" w:hAnsi="Times New Roman" w:cs="Times New Roman"/>
          <w:b/>
        </w:rPr>
        <w:t xml:space="preserve"> </w:t>
      </w:r>
      <w:r w:rsidR="005C7F07" w:rsidRPr="00C80189">
        <w:rPr>
          <w:rFonts w:ascii="Times New Roman" w:hAnsi="Times New Roman" w:cs="Times New Roman"/>
          <w:b/>
        </w:rPr>
        <w:t xml:space="preserve">Estimated </w:t>
      </w:r>
      <w:r w:rsidR="00753DE8" w:rsidRPr="00C80189">
        <w:rPr>
          <w:rFonts w:ascii="Times New Roman" w:hAnsi="Times New Roman" w:cs="Times New Roman"/>
          <w:b/>
        </w:rPr>
        <w:t xml:space="preserve">Public </w:t>
      </w:r>
      <w:r w:rsidR="005C7F07" w:rsidRPr="00C80189">
        <w:rPr>
          <w:rFonts w:ascii="Times New Roman" w:hAnsi="Times New Roman" w:cs="Times New Roman"/>
          <w:b/>
        </w:rPr>
        <w:t>School Fiber Connectivity</w:t>
      </w:r>
    </w:p>
    <w:p w14:paraId="60B04AC5" w14:textId="77777777" w:rsidR="00135583" w:rsidRPr="004F1C7B" w:rsidRDefault="00135583" w:rsidP="00135583">
      <w:pPr>
        <w:rPr>
          <w:rFonts w:ascii="Times New Roman" w:hAnsi="Times New Roman" w:cs="Times New Roman"/>
        </w:rPr>
      </w:pPr>
      <w:r w:rsidRPr="004F1C7B">
        <w:rPr>
          <w:rFonts w:ascii="Times New Roman" w:hAnsi="Times New Roman" w:cs="Times New Roman"/>
          <w:noProof/>
        </w:rPr>
        <w:drawing>
          <wp:inline distT="0" distB="0" distL="0" distR="0" wp14:anchorId="63CBA4C0" wp14:editId="167C3FCE">
            <wp:extent cx="5417389" cy="3347050"/>
            <wp:effectExtent l="0" t="0" r="0" b="635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76DCF7" w14:textId="61C0C0FE" w:rsidR="0083195F" w:rsidRPr="00C80189" w:rsidRDefault="00E64DDC" w:rsidP="00EA04F9">
      <w:pPr>
        <w:pStyle w:val="ParaNum"/>
        <w:rPr>
          <w:rFonts w:ascii="Times New Roman" w:hAnsi="Times New Roman" w:cs="Times New Roman"/>
        </w:rPr>
      </w:pPr>
      <w:r w:rsidRPr="00C80189">
        <w:rPr>
          <w:rFonts w:ascii="Times New Roman" w:hAnsi="Times New Roman" w:cs="Times New Roman"/>
        </w:rPr>
        <w:t xml:space="preserve">The </w:t>
      </w:r>
      <w:r w:rsidR="00011A78" w:rsidRPr="00C80189">
        <w:rPr>
          <w:rFonts w:ascii="Times New Roman" w:hAnsi="Times New Roman" w:cs="Times New Roman"/>
        </w:rPr>
        <w:t xml:space="preserve">connectivity </w:t>
      </w:r>
      <w:r w:rsidRPr="00C80189">
        <w:rPr>
          <w:rFonts w:ascii="Times New Roman" w:hAnsi="Times New Roman" w:cs="Times New Roman"/>
        </w:rPr>
        <w:t xml:space="preserve">situation appears to be worse for libraries.  </w:t>
      </w:r>
      <w:r w:rsidR="00E657E6" w:rsidRPr="00C80189">
        <w:rPr>
          <w:rFonts w:ascii="Times New Roman" w:hAnsi="Times New Roman" w:cs="Times New Roman"/>
        </w:rPr>
        <w:t>Based on a similar analysis u</w:t>
      </w:r>
      <w:r w:rsidR="0039488F" w:rsidRPr="00C80189">
        <w:rPr>
          <w:rFonts w:ascii="Times New Roman" w:hAnsi="Times New Roman" w:cs="Times New Roman"/>
        </w:rPr>
        <w:t>sing data from various states and the National Broadband Map, w</w:t>
      </w:r>
      <w:r w:rsidRPr="00C80189">
        <w:rPr>
          <w:rFonts w:ascii="Times New Roman" w:hAnsi="Times New Roman" w:cs="Times New Roman"/>
        </w:rPr>
        <w:t xml:space="preserve">e estimate that </w:t>
      </w:r>
      <w:r w:rsidR="00E725D7" w:rsidRPr="00C80189">
        <w:rPr>
          <w:rFonts w:ascii="Times New Roman" w:hAnsi="Times New Roman" w:cs="Times New Roman"/>
        </w:rPr>
        <w:t xml:space="preserve">approximately </w:t>
      </w:r>
      <w:r w:rsidR="004B6100" w:rsidRPr="00C80189">
        <w:rPr>
          <w:rFonts w:ascii="Times New Roman" w:hAnsi="Times New Roman" w:cs="Times New Roman"/>
        </w:rPr>
        <w:t>1</w:t>
      </w:r>
      <w:r w:rsidR="003654C3" w:rsidRPr="00C80189">
        <w:rPr>
          <w:rFonts w:ascii="Times New Roman" w:hAnsi="Times New Roman" w:cs="Times New Roman"/>
        </w:rPr>
        <w:t>5</w:t>
      </w:r>
      <w:r w:rsidRPr="00C80189">
        <w:rPr>
          <w:rFonts w:ascii="Times New Roman" w:hAnsi="Times New Roman" w:cs="Times New Roman"/>
        </w:rPr>
        <w:t xml:space="preserve"> percent of libraries have fib</w:t>
      </w:r>
      <w:r w:rsidR="00C75234" w:rsidRPr="00C80189">
        <w:rPr>
          <w:rFonts w:ascii="Times New Roman" w:hAnsi="Times New Roman" w:cs="Times New Roman"/>
        </w:rPr>
        <w:t xml:space="preserve">er connectivity to the building.  </w:t>
      </w:r>
      <w:r w:rsidR="00CF04E8" w:rsidRPr="00C80189">
        <w:rPr>
          <w:rFonts w:ascii="Times New Roman" w:hAnsi="Times New Roman" w:cs="Times New Roman"/>
        </w:rPr>
        <w:t xml:space="preserve">We do not have sufficient data at this time to estimate the connectivity status of parochial schools or other non-public schools, although these schools are eligible for </w:t>
      </w:r>
      <w:r w:rsidR="00C373F2" w:rsidRPr="00C80189">
        <w:rPr>
          <w:rFonts w:ascii="Times New Roman" w:hAnsi="Times New Roman" w:cs="Times New Roman"/>
        </w:rPr>
        <w:t>E-rate</w:t>
      </w:r>
      <w:r w:rsidR="00CF04E8" w:rsidRPr="00C80189">
        <w:rPr>
          <w:rFonts w:ascii="Times New Roman" w:hAnsi="Times New Roman" w:cs="Times New Roman"/>
        </w:rPr>
        <w:t>.</w:t>
      </w:r>
    </w:p>
    <w:p w14:paraId="211B7C9F" w14:textId="3AB8C5FD" w:rsidR="009B097D" w:rsidRPr="004F1C7B" w:rsidRDefault="009B097D" w:rsidP="00EA04F9">
      <w:pPr>
        <w:pStyle w:val="ParaNum"/>
        <w:rPr>
          <w:rFonts w:ascii="Times New Roman" w:hAnsi="Times New Roman" w:cs="Times New Roman"/>
        </w:rPr>
      </w:pPr>
      <w:r w:rsidRPr="00C80189">
        <w:rPr>
          <w:rFonts w:ascii="Times New Roman" w:hAnsi="Times New Roman" w:cs="Times New Roman"/>
        </w:rPr>
        <w:t>The full school-by-school and library-by-library dataset</w:t>
      </w:r>
      <w:r w:rsidR="00140F04" w:rsidRPr="00C80189">
        <w:rPr>
          <w:rFonts w:ascii="Times New Roman" w:hAnsi="Times New Roman" w:cs="Times New Roman"/>
        </w:rPr>
        <w:t>s</w:t>
      </w:r>
      <w:r w:rsidRPr="00C80189">
        <w:rPr>
          <w:rFonts w:ascii="Times New Roman" w:hAnsi="Times New Roman" w:cs="Times New Roman"/>
        </w:rPr>
        <w:t xml:space="preserve"> used to generate these aggregate estimates is available on the </w:t>
      </w:r>
      <w:r w:rsidR="00C373F2" w:rsidRPr="00C80189">
        <w:rPr>
          <w:rFonts w:ascii="Times New Roman" w:hAnsi="Times New Roman" w:cs="Times New Roman"/>
        </w:rPr>
        <w:t>E-rate</w:t>
      </w:r>
      <w:r w:rsidRPr="00C80189">
        <w:rPr>
          <w:rFonts w:ascii="Times New Roman" w:hAnsi="Times New Roman" w:cs="Times New Roman"/>
        </w:rPr>
        <w:t xml:space="preserve"> Modernization data site,</w:t>
      </w:r>
      <w:r w:rsidR="00140F04" w:rsidRPr="00C80189">
        <w:rPr>
          <w:rStyle w:val="FootnoteReference"/>
          <w:rFonts w:cs="Times New Roman"/>
        </w:rPr>
        <w:footnoteReference w:id="33"/>
      </w:r>
      <w:r w:rsidRPr="00C80189">
        <w:rPr>
          <w:rFonts w:ascii="Times New Roman" w:hAnsi="Times New Roman" w:cs="Times New Roman"/>
        </w:rPr>
        <w:t xml:space="preserve"> and as a map of district-level connectivity information.</w:t>
      </w:r>
      <w:r w:rsidR="00140F04" w:rsidRPr="00C80189">
        <w:rPr>
          <w:rStyle w:val="FootnoteReference"/>
          <w:rFonts w:cs="Times New Roman"/>
        </w:rPr>
        <w:footnoteReference w:id="34"/>
      </w:r>
      <w:r w:rsidRPr="00C80189">
        <w:rPr>
          <w:rFonts w:ascii="Times New Roman" w:hAnsi="Times New Roman" w:cs="Times New Roman"/>
        </w:rPr>
        <w:t xml:space="preserve">  </w:t>
      </w:r>
      <w:r w:rsidR="00B77D78" w:rsidRPr="00C80189">
        <w:rPr>
          <w:rFonts w:ascii="Times New Roman" w:hAnsi="Times New Roman" w:cs="Times New Roman"/>
        </w:rPr>
        <w:t>C</w:t>
      </w:r>
      <w:r w:rsidRPr="004F1C7B">
        <w:rPr>
          <w:rFonts w:ascii="Times New Roman" w:hAnsi="Times New Roman" w:cs="Times New Roman"/>
        </w:rPr>
        <w:t xml:space="preserve">ommenters </w:t>
      </w:r>
      <w:r w:rsidR="00B77D78" w:rsidRPr="004F1C7B">
        <w:rPr>
          <w:rFonts w:ascii="Times New Roman" w:hAnsi="Times New Roman" w:cs="Times New Roman"/>
        </w:rPr>
        <w:t xml:space="preserve">may wish </w:t>
      </w:r>
      <w:r w:rsidRPr="004F1C7B">
        <w:rPr>
          <w:rFonts w:ascii="Times New Roman" w:hAnsi="Times New Roman" w:cs="Times New Roman"/>
        </w:rPr>
        <w:t>to provide additional data or to correct any know errors in these datasets.</w:t>
      </w:r>
    </w:p>
    <w:p w14:paraId="09FDF63A" w14:textId="0A763C9E" w:rsidR="00433E2F" w:rsidRPr="00C80189" w:rsidRDefault="00E74948" w:rsidP="00F62314">
      <w:pPr>
        <w:pStyle w:val="Heading3"/>
        <w:rPr>
          <w:rFonts w:ascii="Times New Roman" w:hAnsi="Times New Roman" w:cs="Times New Roman"/>
        </w:rPr>
      </w:pPr>
      <w:bookmarkStart w:id="39" w:name="_Toc348091695"/>
      <w:bookmarkStart w:id="40" w:name="_Ref348363123"/>
      <w:bookmarkStart w:id="41" w:name="_Toc353369752"/>
      <w:bookmarkStart w:id="42" w:name="_Toc355278892"/>
      <w:bookmarkStart w:id="43" w:name="_Toc355279329"/>
      <w:bookmarkStart w:id="44" w:name="_Toc355279367"/>
      <w:bookmarkStart w:id="45" w:name="_Toc355279422"/>
      <w:bookmarkStart w:id="46" w:name="_Toc356287982"/>
      <w:r w:rsidRPr="00C80189">
        <w:rPr>
          <w:rFonts w:ascii="Times New Roman" w:hAnsi="Times New Roman" w:cs="Times New Roman"/>
        </w:rPr>
        <w:t>C</w:t>
      </w:r>
      <w:r w:rsidR="008740C2" w:rsidRPr="00C80189">
        <w:rPr>
          <w:rFonts w:ascii="Times New Roman" w:hAnsi="Times New Roman" w:cs="Times New Roman"/>
        </w:rPr>
        <w:t xml:space="preserve">onnection </w:t>
      </w:r>
      <w:r w:rsidRPr="00C80189">
        <w:rPr>
          <w:rFonts w:ascii="Times New Roman" w:hAnsi="Times New Roman" w:cs="Times New Roman"/>
        </w:rPr>
        <w:t>Speeds</w:t>
      </w:r>
      <w:r w:rsidR="008740C2" w:rsidRPr="00C80189">
        <w:rPr>
          <w:rFonts w:ascii="Times New Roman" w:hAnsi="Times New Roman" w:cs="Times New Roman"/>
        </w:rPr>
        <w:t xml:space="preserve">  </w:t>
      </w:r>
      <w:bookmarkEnd w:id="39"/>
      <w:bookmarkEnd w:id="40"/>
      <w:bookmarkEnd w:id="41"/>
      <w:bookmarkEnd w:id="42"/>
      <w:bookmarkEnd w:id="43"/>
      <w:bookmarkEnd w:id="44"/>
      <w:bookmarkEnd w:id="45"/>
      <w:bookmarkEnd w:id="46"/>
    </w:p>
    <w:p w14:paraId="4C7FE478" w14:textId="5248710A" w:rsidR="004B6100" w:rsidRPr="00C80189" w:rsidRDefault="001629DE" w:rsidP="00953C2A">
      <w:pPr>
        <w:pStyle w:val="ParaNum"/>
        <w:rPr>
          <w:rFonts w:ascii="Times New Roman" w:hAnsi="Times New Roman" w:cs="Times New Roman"/>
        </w:rPr>
      </w:pPr>
      <w:r w:rsidRPr="00C80189">
        <w:rPr>
          <w:rFonts w:ascii="Times New Roman" w:hAnsi="Times New Roman" w:cs="Times New Roman"/>
        </w:rPr>
        <w:t xml:space="preserve">The fact that a school or library </w:t>
      </w:r>
      <w:r w:rsidR="00C47538" w:rsidRPr="00C80189">
        <w:rPr>
          <w:rFonts w:ascii="Times New Roman" w:hAnsi="Times New Roman" w:cs="Times New Roman"/>
        </w:rPr>
        <w:t>has a fiber facility running to the premise</w:t>
      </w:r>
      <w:r w:rsidRPr="00C80189">
        <w:rPr>
          <w:rFonts w:ascii="Times New Roman" w:hAnsi="Times New Roman" w:cs="Times New Roman"/>
        </w:rPr>
        <w:t xml:space="preserve"> does not ensure that </w:t>
      </w:r>
      <w:r w:rsidR="00262FAC" w:rsidRPr="00C80189">
        <w:rPr>
          <w:rFonts w:ascii="Times New Roman" w:hAnsi="Times New Roman" w:cs="Times New Roman"/>
        </w:rPr>
        <w:t>the school or library has</w:t>
      </w:r>
      <w:r w:rsidRPr="00C80189">
        <w:rPr>
          <w:rFonts w:ascii="Times New Roman" w:hAnsi="Times New Roman" w:cs="Times New Roman"/>
        </w:rPr>
        <w:t xml:space="preserve"> affordable access to sufficient bandwidth.  </w:t>
      </w:r>
      <w:r w:rsidR="00F96EFD" w:rsidRPr="00F96EFD">
        <w:rPr>
          <w:rFonts w:ascii="Times New Roman" w:hAnsi="Times New Roman" w:cs="Times New Roman"/>
        </w:rPr>
        <w:t>One way to analyze the connectivity schools and libraries are purchasing is to consider the amount of bandwidth per-</w:t>
      </w:r>
      <w:r w:rsidR="001A4BD8">
        <w:rPr>
          <w:rFonts w:ascii="Times New Roman" w:hAnsi="Times New Roman" w:cs="Times New Roman"/>
        </w:rPr>
        <w:t>user</w:t>
      </w:r>
      <w:r w:rsidR="001A4BD8" w:rsidRPr="00F96EFD">
        <w:rPr>
          <w:rFonts w:ascii="Times New Roman" w:hAnsi="Times New Roman" w:cs="Times New Roman"/>
        </w:rPr>
        <w:t xml:space="preserve"> </w:t>
      </w:r>
      <w:r w:rsidR="00F96EFD" w:rsidRPr="00F96EFD">
        <w:rPr>
          <w:rFonts w:ascii="Times New Roman" w:hAnsi="Times New Roman" w:cs="Times New Roman"/>
        </w:rPr>
        <w:t xml:space="preserve">that schools and libraries are currently purchasing.  If we treat the SETDA and Commission longer term connectivity targets of 1 Gbps per 1,000 </w:t>
      </w:r>
      <w:r w:rsidR="00F96EFD">
        <w:rPr>
          <w:rFonts w:ascii="Times New Roman" w:hAnsi="Times New Roman" w:cs="Times New Roman"/>
        </w:rPr>
        <w:t xml:space="preserve">users </w:t>
      </w:r>
      <w:r w:rsidR="00F96EFD" w:rsidRPr="00F96EFD">
        <w:rPr>
          <w:rFonts w:ascii="Times New Roman" w:hAnsi="Times New Roman" w:cs="Times New Roman"/>
        </w:rPr>
        <w:t>for Internet connectivity</w:t>
      </w:r>
      <w:r w:rsidR="00F96EFD">
        <w:rPr>
          <w:rFonts w:ascii="Times New Roman" w:hAnsi="Times New Roman" w:cs="Times New Roman"/>
        </w:rPr>
        <w:t xml:space="preserve"> </w:t>
      </w:r>
      <w:r w:rsidR="00F96EFD" w:rsidRPr="00F96EFD">
        <w:rPr>
          <w:rFonts w:ascii="Times New Roman" w:hAnsi="Times New Roman" w:cs="Times New Roman"/>
        </w:rPr>
        <w:t>and 10 Gbps per 1,000 users as the equivalent of 10 Mbps WAN connectivity per student,</w:t>
      </w:r>
      <w:r w:rsidR="00F96EFD">
        <w:rPr>
          <w:rStyle w:val="FootnoteReference"/>
          <w:rFonts w:cs="Times New Roman"/>
        </w:rPr>
        <w:footnoteReference w:id="35"/>
      </w:r>
      <w:r w:rsidR="00B77D78" w:rsidRPr="004F1C7B">
        <w:rPr>
          <w:rFonts w:ascii="Times New Roman" w:hAnsi="Times New Roman" w:cs="Times New Roman"/>
        </w:rPr>
        <w:t xml:space="preserve"> t</w:t>
      </w:r>
      <w:r w:rsidR="004B6100" w:rsidRPr="004F1C7B">
        <w:rPr>
          <w:rFonts w:ascii="Times New Roman" w:hAnsi="Times New Roman" w:cs="Times New Roman"/>
        </w:rPr>
        <w:t>he available data</w:t>
      </w:r>
      <w:r w:rsidR="00B77D78" w:rsidRPr="004F1C7B">
        <w:rPr>
          <w:rFonts w:ascii="Times New Roman" w:hAnsi="Times New Roman" w:cs="Times New Roman"/>
        </w:rPr>
        <w:t xml:space="preserve"> suggest that </w:t>
      </w:r>
      <w:r w:rsidR="00FF5D5D" w:rsidRPr="00C80189">
        <w:rPr>
          <w:rFonts w:ascii="Times New Roman" w:hAnsi="Times New Roman" w:cs="Times New Roman"/>
        </w:rPr>
        <w:t xml:space="preserve">schools are far from meeting </w:t>
      </w:r>
      <w:r w:rsidR="006F51CE" w:rsidRPr="00C80189">
        <w:rPr>
          <w:rFonts w:ascii="Times New Roman" w:hAnsi="Times New Roman" w:cs="Times New Roman"/>
        </w:rPr>
        <w:t>these speed</w:t>
      </w:r>
      <w:r w:rsidR="00DF691A" w:rsidRPr="00C80189">
        <w:rPr>
          <w:rFonts w:ascii="Times New Roman" w:hAnsi="Times New Roman" w:cs="Times New Roman"/>
        </w:rPr>
        <w:t xml:space="preserve"> target</w:t>
      </w:r>
      <w:r w:rsidR="006F51CE" w:rsidRPr="00C80189">
        <w:rPr>
          <w:rFonts w:ascii="Times New Roman" w:hAnsi="Times New Roman" w:cs="Times New Roman"/>
        </w:rPr>
        <w:t>s</w:t>
      </w:r>
      <w:r w:rsidR="00DF691A" w:rsidRPr="00C80189">
        <w:rPr>
          <w:rFonts w:ascii="Times New Roman" w:hAnsi="Times New Roman" w:cs="Times New Roman"/>
        </w:rPr>
        <w:t xml:space="preserve"> today.</w:t>
      </w:r>
    </w:p>
    <w:p w14:paraId="0A7FAD44" w14:textId="1D7AC199" w:rsidR="0064700D" w:rsidRPr="00C80189" w:rsidRDefault="0064700D" w:rsidP="00953C2A">
      <w:pPr>
        <w:pStyle w:val="ParaNum"/>
        <w:rPr>
          <w:rFonts w:ascii="Times New Roman" w:hAnsi="Times New Roman" w:cs="Times New Roman"/>
        </w:rPr>
      </w:pPr>
      <w:r w:rsidRPr="00C80189">
        <w:rPr>
          <w:rFonts w:ascii="Times New Roman" w:hAnsi="Times New Roman" w:cs="Times New Roman"/>
        </w:rPr>
        <w:t xml:space="preserve">As part of the </w:t>
      </w:r>
      <w:r w:rsidR="009027AD" w:rsidRPr="00C80189">
        <w:rPr>
          <w:rFonts w:ascii="Times New Roman" w:hAnsi="Times New Roman" w:cs="Times New Roman"/>
        </w:rPr>
        <w:t>Funding Year</w:t>
      </w:r>
      <w:r w:rsidR="00DA08B1" w:rsidRPr="00C80189">
        <w:rPr>
          <w:rFonts w:ascii="Times New Roman" w:hAnsi="Times New Roman" w:cs="Times New Roman"/>
        </w:rPr>
        <w:t xml:space="preserve"> </w:t>
      </w:r>
      <w:r w:rsidRPr="00C80189">
        <w:rPr>
          <w:rFonts w:ascii="Times New Roman" w:hAnsi="Times New Roman" w:cs="Times New Roman"/>
        </w:rPr>
        <w:t xml:space="preserve">2014 </w:t>
      </w:r>
      <w:r w:rsidR="00C373F2" w:rsidRPr="00C80189">
        <w:rPr>
          <w:rFonts w:ascii="Times New Roman" w:hAnsi="Times New Roman" w:cs="Times New Roman"/>
        </w:rPr>
        <w:t>E-rate</w:t>
      </w:r>
      <w:r w:rsidR="00DA08B1" w:rsidRPr="00C80189">
        <w:rPr>
          <w:rFonts w:ascii="Times New Roman" w:hAnsi="Times New Roman" w:cs="Times New Roman"/>
        </w:rPr>
        <w:t xml:space="preserve"> </w:t>
      </w:r>
      <w:r w:rsidRPr="00C80189">
        <w:rPr>
          <w:rFonts w:ascii="Times New Roman" w:hAnsi="Times New Roman" w:cs="Times New Roman"/>
        </w:rPr>
        <w:t>application process, USAC collected information regarding the type, quantity</w:t>
      </w:r>
      <w:r w:rsidR="00C76900" w:rsidRPr="00C80189">
        <w:rPr>
          <w:rFonts w:ascii="Times New Roman" w:hAnsi="Times New Roman" w:cs="Times New Roman"/>
        </w:rPr>
        <w:t>,</w:t>
      </w:r>
      <w:r w:rsidRPr="00C80189">
        <w:rPr>
          <w:rFonts w:ascii="Times New Roman" w:hAnsi="Times New Roman" w:cs="Times New Roman"/>
        </w:rPr>
        <w:t xml:space="preserve"> and download speed for broadband and other connectivity services</w:t>
      </w:r>
      <w:r w:rsidR="00397C4D" w:rsidRPr="00C80189">
        <w:rPr>
          <w:rFonts w:ascii="Times New Roman" w:hAnsi="Times New Roman" w:cs="Times New Roman"/>
        </w:rPr>
        <w:t xml:space="preserve"> (</w:t>
      </w:r>
      <w:r w:rsidR="00C47538" w:rsidRPr="00C80189">
        <w:rPr>
          <w:rFonts w:ascii="Times New Roman" w:hAnsi="Times New Roman" w:cs="Times New Roman"/>
        </w:rPr>
        <w:t>“</w:t>
      </w:r>
      <w:r w:rsidR="00397C4D" w:rsidRPr="00C80189">
        <w:rPr>
          <w:rFonts w:ascii="Times New Roman" w:hAnsi="Times New Roman" w:cs="Times New Roman"/>
        </w:rPr>
        <w:t>Item 24</w:t>
      </w:r>
      <w:r w:rsidR="00C47538" w:rsidRPr="00C80189">
        <w:rPr>
          <w:rFonts w:ascii="Times New Roman" w:hAnsi="Times New Roman" w:cs="Times New Roman"/>
        </w:rPr>
        <w:t>”</w:t>
      </w:r>
      <w:r w:rsidR="00397C4D" w:rsidRPr="00C80189">
        <w:rPr>
          <w:rFonts w:ascii="Times New Roman" w:hAnsi="Times New Roman" w:cs="Times New Roman"/>
        </w:rPr>
        <w:t xml:space="preserve"> data)</w:t>
      </w:r>
      <w:r w:rsidRPr="00C80189">
        <w:rPr>
          <w:rFonts w:ascii="Times New Roman" w:hAnsi="Times New Roman" w:cs="Times New Roman"/>
        </w:rPr>
        <w:t>.</w:t>
      </w:r>
      <w:r w:rsidRPr="00C80189">
        <w:rPr>
          <w:rStyle w:val="FootnoteReference"/>
          <w:rFonts w:cs="Times New Roman"/>
        </w:rPr>
        <w:footnoteReference w:id="36"/>
      </w:r>
      <w:r w:rsidRPr="00C80189">
        <w:rPr>
          <w:rFonts w:ascii="Times New Roman" w:hAnsi="Times New Roman" w:cs="Times New Roman"/>
        </w:rPr>
        <w:t xml:space="preserve">  Commission staff </w:t>
      </w:r>
      <w:r w:rsidR="00B77D78" w:rsidRPr="004F1C7B">
        <w:rPr>
          <w:rFonts w:ascii="Times New Roman" w:hAnsi="Times New Roman" w:cs="Times New Roman"/>
        </w:rPr>
        <w:t>ha</w:t>
      </w:r>
      <w:r w:rsidR="007D705C" w:rsidRPr="004F1C7B">
        <w:rPr>
          <w:rFonts w:ascii="Times New Roman" w:hAnsi="Times New Roman" w:cs="Times New Roman"/>
        </w:rPr>
        <w:t>ve</w:t>
      </w:r>
      <w:r w:rsidR="00B77D78" w:rsidRPr="004F1C7B">
        <w:rPr>
          <w:rFonts w:ascii="Times New Roman" w:hAnsi="Times New Roman" w:cs="Times New Roman"/>
        </w:rPr>
        <w:t xml:space="preserve"> </w:t>
      </w:r>
      <w:r w:rsidRPr="0080707A">
        <w:rPr>
          <w:rFonts w:ascii="Times New Roman" w:hAnsi="Times New Roman" w:cs="Times New Roman"/>
        </w:rPr>
        <w:t xml:space="preserve">combined this data with NCES data to </w:t>
      </w:r>
      <w:r w:rsidR="00FF5D5D" w:rsidRPr="00C80189">
        <w:rPr>
          <w:rFonts w:ascii="Times New Roman" w:hAnsi="Times New Roman" w:cs="Times New Roman"/>
        </w:rPr>
        <w:t>determine</w:t>
      </w:r>
      <w:r w:rsidRPr="00C80189">
        <w:rPr>
          <w:rFonts w:ascii="Times New Roman" w:hAnsi="Times New Roman" w:cs="Times New Roman"/>
        </w:rPr>
        <w:t xml:space="preserve"> a median bandwidth for each school within a district and </w:t>
      </w:r>
      <w:r w:rsidR="00FF5D5D" w:rsidRPr="00C80189">
        <w:rPr>
          <w:rFonts w:ascii="Times New Roman" w:hAnsi="Times New Roman" w:cs="Times New Roman"/>
        </w:rPr>
        <w:t xml:space="preserve">then </w:t>
      </w:r>
      <w:r w:rsidR="007D705C" w:rsidRPr="00C80189">
        <w:rPr>
          <w:rFonts w:ascii="Times New Roman" w:hAnsi="Times New Roman" w:cs="Times New Roman"/>
        </w:rPr>
        <w:t xml:space="preserve">have </w:t>
      </w:r>
      <w:r w:rsidR="00FF5D5D" w:rsidRPr="00C80189">
        <w:rPr>
          <w:rFonts w:ascii="Times New Roman" w:hAnsi="Times New Roman" w:cs="Times New Roman"/>
        </w:rPr>
        <w:t>calculated the</w:t>
      </w:r>
      <w:r w:rsidRPr="00C80189">
        <w:rPr>
          <w:rFonts w:ascii="Times New Roman" w:hAnsi="Times New Roman" w:cs="Times New Roman"/>
        </w:rPr>
        <w:t xml:space="preserve"> bandwidth per student.</w:t>
      </w:r>
      <w:r w:rsidR="00F50E82" w:rsidRPr="00C80189">
        <w:rPr>
          <w:rStyle w:val="FootnoteReference"/>
          <w:rFonts w:cs="Times New Roman"/>
        </w:rPr>
        <w:footnoteReference w:id="37"/>
      </w:r>
      <w:r w:rsidR="00FF5D5D" w:rsidRPr="00C80189">
        <w:rPr>
          <w:rFonts w:ascii="Times New Roman" w:hAnsi="Times New Roman" w:cs="Times New Roman"/>
        </w:rPr>
        <w:t xml:space="preserve">  </w:t>
      </w:r>
      <w:r w:rsidR="006F51CE" w:rsidRPr="004F1C7B">
        <w:rPr>
          <w:rFonts w:ascii="Times New Roman" w:hAnsi="Times New Roman" w:cs="Times New Roman"/>
        </w:rPr>
        <w:t>Since</w:t>
      </w:r>
      <w:r w:rsidR="00397C4D" w:rsidRPr="004F1C7B">
        <w:rPr>
          <w:rFonts w:ascii="Times New Roman" w:hAnsi="Times New Roman" w:cs="Times New Roman"/>
        </w:rPr>
        <w:t xml:space="preserve"> Item 24 data</w:t>
      </w:r>
      <w:r w:rsidR="006F51CE" w:rsidRPr="004F1C7B">
        <w:rPr>
          <w:rFonts w:ascii="Times New Roman" w:hAnsi="Times New Roman" w:cs="Times New Roman"/>
        </w:rPr>
        <w:t xml:space="preserve"> focuses</w:t>
      </w:r>
      <w:r w:rsidR="00FF5D5D" w:rsidRPr="0080707A">
        <w:rPr>
          <w:rFonts w:ascii="Times New Roman" w:hAnsi="Times New Roman" w:cs="Times New Roman"/>
        </w:rPr>
        <w:t xml:space="preserve"> on </w:t>
      </w:r>
      <w:r w:rsidR="00397C4D" w:rsidRPr="0080707A">
        <w:rPr>
          <w:rFonts w:ascii="Times New Roman" w:hAnsi="Times New Roman" w:cs="Times New Roman"/>
        </w:rPr>
        <w:t>bandwidth of</w:t>
      </w:r>
      <w:r w:rsidR="00FF5D5D" w:rsidRPr="0080707A">
        <w:rPr>
          <w:rFonts w:ascii="Times New Roman" w:hAnsi="Times New Roman" w:cs="Times New Roman"/>
        </w:rPr>
        <w:t xml:space="preserve"> </w:t>
      </w:r>
      <w:r w:rsidR="006F51CE" w:rsidRPr="0080707A">
        <w:rPr>
          <w:rFonts w:ascii="Times New Roman" w:hAnsi="Times New Roman" w:cs="Times New Roman"/>
        </w:rPr>
        <w:t xml:space="preserve">dedicated </w:t>
      </w:r>
      <w:r w:rsidR="009B097D" w:rsidRPr="0080707A">
        <w:rPr>
          <w:rFonts w:ascii="Times New Roman" w:hAnsi="Times New Roman" w:cs="Times New Roman"/>
        </w:rPr>
        <w:t>last-mile</w:t>
      </w:r>
      <w:r w:rsidR="00FF5D5D" w:rsidRPr="00C80189">
        <w:rPr>
          <w:rFonts w:ascii="Times New Roman" w:hAnsi="Times New Roman" w:cs="Times New Roman"/>
        </w:rPr>
        <w:t xml:space="preserve"> connectivity to schools</w:t>
      </w:r>
      <w:r w:rsidR="00397C4D" w:rsidRPr="00C80189">
        <w:rPr>
          <w:rFonts w:ascii="Times New Roman" w:hAnsi="Times New Roman" w:cs="Times New Roman"/>
        </w:rPr>
        <w:t>,</w:t>
      </w:r>
      <w:r w:rsidR="006F51CE" w:rsidRPr="00C80189">
        <w:rPr>
          <w:rStyle w:val="FootnoteReference"/>
          <w:rFonts w:cs="Times New Roman"/>
        </w:rPr>
        <w:footnoteReference w:id="38"/>
      </w:r>
      <w:r w:rsidR="00397C4D" w:rsidRPr="00C80189">
        <w:rPr>
          <w:rFonts w:ascii="Times New Roman" w:hAnsi="Times New Roman" w:cs="Times New Roman"/>
        </w:rPr>
        <w:t xml:space="preserve"> </w:t>
      </w:r>
      <w:r w:rsidR="006F51CE" w:rsidRPr="004F1C7B">
        <w:rPr>
          <w:rFonts w:ascii="Times New Roman" w:hAnsi="Times New Roman" w:cs="Times New Roman"/>
        </w:rPr>
        <w:t xml:space="preserve">the analysis only </w:t>
      </w:r>
      <w:r w:rsidR="00B77D78" w:rsidRPr="004F1C7B">
        <w:rPr>
          <w:rFonts w:ascii="Times New Roman" w:hAnsi="Times New Roman" w:cs="Times New Roman"/>
        </w:rPr>
        <w:t xml:space="preserve">captures </w:t>
      </w:r>
      <w:r w:rsidR="006F51CE" w:rsidRPr="004F1C7B">
        <w:rPr>
          <w:rFonts w:ascii="Times New Roman" w:hAnsi="Times New Roman" w:cs="Times New Roman"/>
        </w:rPr>
        <w:t xml:space="preserve">the speeds of these connections, </w:t>
      </w:r>
      <w:r w:rsidR="00397C4D" w:rsidRPr="0080707A">
        <w:rPr>
          <w:rFonts w:ascii="Times New Roman" w:hAnsi="Times New Roman" w:cs="Times New Roman"/>
        </w:rPr>
        <w:t>rather than other portions of the network</w:t>
      </w:r>
      <w:r w:rsidR="00FF5D5D" w:rsidRPr="00C80189">
        <w:rPr>
          <w:rFonts w:ascii="Times New Roman" w:hAnsi="Times New Roman" w:cs="Times New Roman"/>
        </w:rPr>
        <w:t xml:space="preserve">.    </w:t>
      </w:r>
    </w:p>
    <w:p w14:paraId="34D2D7A4" w14:textId="0D14DA66" w:rsidR="00EA212F" w:rsidRPr="00C80189" w:rsidRDefault="004B6100" w:rsidP="006C1B21">
      <w:pPr>
        <w:pStyle w:val="ParaNum"/>
        <w:rPr>
          <w:rFonts w:ascii="Times New Roman" w:hAnsi="Times New Roman" w:cs="Times New Roman"/>
        </w:rPr>
      </w:pPr>
      <w:r w:rsidRPr="00C80189">
        <w:rPr>
          <w:rFonts w:ascii="Times New Roman" w:hAnsi="Times New Roman" w:cs="Times New Roman"/>
        </w:rPr>
        <w:t>Based on this analysis</w:t>
      </w:r>
      <w:r w:rsidR="00D371BA" w:rsidRPr="00C80189">
        <w:rPr>
          <w:rFonts w:ascii="Times New Roman" w:hAnsi="Times New Roman" w:cs="Times New Roman"/>
        </w:rPr>
        <w:t xml:space="preserve">, we estimate that </w:t>
      </w:r>
      <w:r w:rsidRPr="00C80189">
        <w:rPr>
          <w:rFonts w:ascii="Times New Roman" w:hAnsi="Times New Roman" w:cs="Times New Roman"/>
        </w:rPr>
        <w:t>only</w:t>
      </w:r>
      <w:r w:rsidR="00D371BA" w:rsidRPr="00C80189">
        <w:rPr>
          <w:rFonts w:ascii="Times New Roman" w:hAnsi="Times New Roman" w:cs="Times New Roman"/>
        </w:rPr>
        <w:t xml:space="preserve"> 40 percent of schools will purchase </w:t>
      </w:r>
      <w:r w:rsidR="00953C2A" w:rsidRPr="00C80189">
        <w:rPr>
          <w:rFonts w:ascii="Times New Roman" w:hAnsi="Times New Roman" w:cs="Times New Roman"/>
        </w:rPr>
        <w:t>at least 1 Mbps per student</w:t>
      </w:r>
      <w:r w:rsidR="00E657E6" w:rsidRPr="00C80189">
        <w:rPr>
          <w:rFonts w:ascii="Times New Roman" w:hAnsi="Times New Roman" w:cs="Times New Roman"/>
        </w:rPr>
        <w:t xml:space="preserve"> of last-mile bandwidth</w:t>
      </w:r>
      <w:r w:rsidR="00FF5D5D" w:rsidRPr="00C80189">
        <w:rPr>
          <w:rFonts w:ascii="Times New Roman" w:hAnsi="Times New Roman" w:cs="Times New Roman"/>
        </w:rPr>
        <w:t xml:space="preserve"> in </w:t>
      </w:r>
      <w:r w:rsidR="009027AD" w:rsidRPr="00C80189">
        <w:rPr>
          <w:rFonts w:ascii="Times New Roman" w:hAnsi="Times New Roman" w:cs="Times New Roman"/>
        </w:rPr>
        <w:t>Funding Year</w:t>
      </w:r>
      <w:r w:rsidR="00DA08B1" w:rsidRPr="00C80189">
        <w:rPr>
          <w:rFonts w:ascii="Times New Roman" w:hAnsi="Times New Roman" w:cs="Times New Roman"/>
        </w:rPr>
        <w:t xml:space="preserve"> </w:t>
      </w:r>
      <w:r w:rsidR="00FF5D5D" w:rsidRPr="00C80189">
        <w:rPr>
          <w:rFonts w:ascii="Times New Roman" w:hAnsi="Times New Roman" w:cs="Times New Roman"/>
        </w:rPr>
        <w:t>2014</w:t>
      </w:r>
      <w:r w:rsidR="0083589D" w:rsidRPr="00C80189">
        <w:rPr>
          <w:rFonts w:ascii="Times New Roman" w:hAnsi="Times New Roman" w:cs="Times New Roman"/>
        </w:rPr>
        <w:t>, and only 10 percent of schools will purchase the 10 Mbps per student of last-mile bandwidth needed to achieve the SETDA last-mile goal</w:t>
      </w:r>
      <w:r w:rsidR="00953C2A" w:rsidRPr="00C80189">
        <w:rPr>
          <w:rFonts w:ascii="Times New Roman" w:hAnsi="Times New Roman" w:cs="Times New Roman"/>
        </w:rPr>
        <w:t xml:space="preserve">.  Similarly, according to </w:t>
      </w:r>
      <w:r w:rsidR="002C025F" w:rsidRPr="00C80189">
        <w:rPr>
          <w:rFonts w:ascii="Times New Roman" w:hAnsi="Times New Roman" w:cs="Times New Roman"/>
        </w:rPr>
        <w:t xml:space="preserve">a survey by the </w:t>
      </w:r>
      <w:r w:rsidR="009866F4" w:rsidRPr="00C80189">
        <w:rPr>
          <w:rFonts w:ascii="Times New Roman" w:hAnsi="Times New Roman" w:cs="Times New Roman"/>
        </w:rPr>
        <w:t>Consortium</w:t>
      </w:r>
      <w:r w:rsidR="002C025F" w:rsidRPr="00C80189">
        <w:rPr>
          <w:rFonts w:ascii="Times New Roman" w:hAnsi="Times New Roman" w:cs="Times New Roman"/>
        </w:rPr>
        <w:t xml:space="preserve"> for </w:t>
      </w:r>
      <w:r w:rsidR="00953C2A" w:rsidRPr="00C80189">
        <w:rPr>
          <w:rFonts w:ascii="Times New Roman" w:hAnsi="Times New Roman" w:cs="Times New Roman"/>
        </w:rPr>
        <w:t>S</w:t>
      </w:r>
      <w:r w:rsidR="002C025F" w:rsidRPr="00C80189">
        <w:rPr>
          <w:rFonts w:ascii="Times New Roman" w:hAnsi="Times New Roman" w:cs="Times New Roman"/>
        </w:rPr>
        <w:t xml:space="preserve">chool </w:t>
      </w:r>
      <w:r w:rsidR="009866F4" w:rsidRPr="00C80189">
        <w:rPr>
          <w:rFonts w:ascii="Times New Roman" w:hAnsi="Times New Roman" w:cs="Times New Roman"/>
        </w:rPr>
        <w:t>Networking</w:t>
      </w:r>
      <w:r w:rsidR="002C025F" w:rsidRPr="00C80189">
        <w:rPr>
          <w:rFonts w:ascii="Times New Roman" w:hAnsi="Times New Roman" w:cs="Times New Roman"/>
        </w:rPr>
        <w:t xml:space="preserve"> (CoSN)</w:t>
      </w:r>
      <w:r w:rsidR="00953C2A" w:rsidRPr="00C80189">
        <w:rPr>
          <w:rFonts w:ascii="Times New Roman" w:hAnsi="Times New Roman" w:cs="Times New Roman"/>
        </w:rPr>
        <w:t xml:space="preserve">, </w:t>
      </w:r>
      <w:r w:rsidR="00753DE8" w:rsidRPr="00C80189">
        <w:rPr>
          <w:rFonts w:ascii="Times New Roman" w:hAnsi="Times New Roman" w:cs="Times New Roman"/>
        </w:rPr>
        <w:t>43 percent</w:t>
      </w:r>
      <w:r w:rsidR="00953C2A" w:rsidRPr="00C80189">
        <w:rPr>
          <w:rFonts w:ascii="Times New Roman" w:hAnsi="Times New Roman" w:cs="Times New Roman"/>
        </w:rPr>
        <w:t xml:space="preserve"> of school districts say </w:t>
      </w:r>
      <w:r w:rsidR="00953C2A" w:rsidRPr="00C80189">
        <w:rPr>
          <w:rFonts w:ascii="Times New Roman" w:hAnsi="Times New Roman" w:cs="Times New Roman"/>
          <w:iCs/>
        </w:rPr>
        <w:t>none</w:t>
      </w:r>
      <w:r w:rsidR="00953C2A" w:rsidRPr="00C80189">
        <w:rPr>
          <w:rFonts w:ascii="Times New Roman" w:hAnsi="Times New Roman" w:cs="Times New Roman"/>
        </w:rPr>
        <w:t xml:space="preserve"> of their schools meet the SETDA goals.</w:t>
      </w:r>
      <w:r w:rsidR="00953C2A" w:rsidRPr="00C80189">
        <w:rPr>
          <w:rStyle w:val="FootnoteReference"/>
          <w:rFonts w:cs="Times New Roman"/>
        </w:rPr>
        <w:footnoteReference w:id="39"/>
      </w:r>
    </w:p>
    <w:p w14:paraId="4B3E483C" w14:textId="659BCD2B" w:rsidR="00E64DDC" w:rsidRPr="00C80189" w:rsidRDefault="00EA212F" w:rsidP="006C1B21">
      <w:pPr>
        <w:pStyle w:val="ParaNum"/>
        <w:rPr>
          <w:rFonts w:ascii="Times New Roman" w:hAnsi="Times New Roman" w:cs="Times New Roman"/>
        </w:rPr>
      </w:pPr>
      <w:r w:rsidRPr="004F1C7B">
        <w:rPr>
          <w:rFonts w:ascii="Times New Roman" w:hAnsi="Times New Roman" w:cs="Times New Roman"/>
        </w:rPr>
        <w:t>EducationSuper</w:t>
      </w:r>
      <w:r w:rsidR="00443E0D" w:rsidRPr="004F1C7B">
        <w:rPr>
          <w:rFonts w:ascii="Times New Roman" w:hAnsi="Times New Roman" w:cs="Times New Roman"/>
        </w:rPr>
        <w:t>H</w:t>
      </w:r>
      <w:r w:rsidRPr="004F1C7B">
        <w:rPr>
          <w:rFonts w:ascii="Times New Roman" w:hAnsi="Times New Roman" w:cs="Times New Roman"/>
        </w:rPr>
        <w:t>ighway</w:t>
      </w:r>
      <w:r w:rsidRPr="0080707A">
        <w:rPr>
          <w:rFonts w:ascii="Times New Roman" w:hAnsi="Times New Roman" w:cs="Times New Roman"/>
        </w:rPr>
        <w:t xml:space="preserve"> </w:t>
      </w:r>
      <w:r w:rsidR="00E657E6" w:rsidRPr="0080707A">
        <w:rPr>
          <w:rFonts w:ascii="Times New Roman" w:hAnsi="Times New Roman" w:cs="Times New Roman"/>
        </w:rPr>
        <w:t xml:space="preserve">has found </w:t>
      </w:r>
      <w:r w:rsidR="009B097D" w:rsidRPr="0080707A">
        <w:rPr>
          <w:rFonts w:ascii="Times New Roman" w:hAnsi="Times New Roman" w:cs="Times New Roman"/>
        </w:rPr>
        <w:t xml:space="preserve">an even lower connectivity levels </w:t>
      </w:r>
      <w:r w:rsidR="00E657E6" w:rsidRPr="0080707A">
        <w:rPr>
          <w:rFonts w:ascii="Times New Roman" w:hAnsi="Times New Roman" w:cs="Times New Roman"/>
        </w:rPr>
        <w:t>in a</w:t>
      </w:r>
      <w:r w:rsidR="00E657E6" w:rsidRPr="00C80189">
        <w:rPr>
          <w:rFonts w:ascii="Times New Roman" w:hAnsi="Times New Roman" w:cs="Times New Roman"/>
        </w:rPr>
        <w:t xml:space="preserve">ctual nationwide on-site speed tests of school connectivity, finding that </w:t>
      </w:r>
      <w:r w:rsidR="00BA7361" w:rsidRPr="00C80189">
        <w:rPr>
          <w:rFonts w:ascii="Times New Roman" w:hAnsi="Times New Roman" w:cs="Times New Roman"/>
        </w:rPr>
        <w:t xml:space="preserve">over </w:t>
      </w:r>
      <w:r w:rsidR="00753DE8" w:rsidRPr="00C80189">
        <w:rPr>
          <w:rFonts w:ascii="Times New Roman" w:hAnsi="Times New Roman" w:cs="Times New Roman"/>
        </w:rPr>
        <w:t>90 percent</w:t>
      </w:r>
      <w:r w:rsidR="00E64DDC" w:rsidRPr="00C80189">
        <w:rPr>
          <w:rFonts w:ascii="Times New Roman" w:hAnsi="Times New Roman" w:cs="Times New Roman"/>
        </w:rPr>
        <w:t xml:space="preserve"> of s</w:t>
      </w:r>
      <w:r w:rsidR="00753DE8" w:rsidRPr="00C80189">
        <w:rPr>
          <w:rFonts w:ascii="Times New Roman" w:hAnsi="Times New Roman" w:cs="Times New Roman"/>
        </w:rPr>
        <w:t xml:space="preserve">chools are currently below the </w:t>
      </w:r>
      <w:r w:rsidR="00C76900" w:rsidRPr="00C80189">
        <w:rPr>
          <w:rFonts w:ascii="Times New Roman" w:hAnsi="Times New Roman" w:cs="Times New Roman"/>
        </w:rPr>
        <w:t xml:space="preserve">1 Mbps per student </w:t>
      </w:r>
      <w:r w:rsidR="00DC1C88" w:rsidRPr="00C80189">
        <w:rPr>
          <w:rFonts w:ascii="Times New Roman" w:hAnsi="Times New Roman" w:cs="Times New Roman"/>
        </w:rPr>
        <w:t>five-</w:t>
      </w:r>
      <w:r w:rsidR="00E64DDC" w:rsidRPr="00C80189">
        <w:rPr>
          <w:rFonts w:ascii="Times New Roman" w:hAnsi="Times New Roman" w:cs="Times New Roman"/>
        </w:rPr>
        <w:t>year goal.</w:t>
      </w:r>
      <w:r w:rsidR="00E64DDC" w:rsidRPr="00C80189">
        <w:rPr>
          <w:rStyle w:val="FootnoteReference"/>
          <w:rFonts w:cs="Times New Roman"/>
        </w:rPr>
        <w:footnoteReference w:id="40"/>
      </w:r>
      <w:r w:rsidR="00B4691F" w:rsidRPr="00C80189">
        <w:rPr>
          <w:rFonts w:ascii="Times New Roman" w:hAnsi="Times New Roman" w:cs="Times New Roman"/>
        </w:rPr>
        <w:t xml:space="preserve">  This is based on E</w:t>
      </w:r>
      <w:r w:rsidR="00D44D7D">
        <w:rPr>
          <w:rFonts w:ascii="Times New Roman" w:hAnsi="Times New Roman" w:cs="Times New Roman"/>
        </w:rPr>
        <w:t>ducation</w:t>
      </w:r>
      <w:r w:rsidR="00B4691F" w:rsidRPr="00C80189">
        <w:rPr>
          <w:rFonts w:ascii="Times New Roman" w:hAnsi="Times New Roman" w:cs="Times New Roman"/>
        </w:rPr>
        <w:t>S</w:t>
      </w:r>
      <w:r w:rsidR="00D44D7D">
        <w:rPr>
          <w:rFonts w:ascii="Times New Roman" w:hAnsi="Times New Roman" w:cs="Times New Roman"/>
        </w:rPr>
        <w:t>uper</w:t>
      </w:r>
      <w:r w:rsidR="00B4691F" w:rsidRPr="00C80189">
        <w:rPr>
          <w:rFonts w:ascii="Times New Roman" w:hAnsi="Times New Roman" w:cs="Times New Roman"/>
        </w:rPr>
        <w:t>H</w:t>
      </w:r>
      <w:r w:rsidR="00D44D7D">
        <w:rPr>
          <w:rFonts w:ascii="Times New Roman" w:hAnsi="Times New Roman" w:cs="Times New Roman"/>
        </w:rPr>
        <w:t>ighway</w:t>
      </w:r>
      <w:r w:rsidR="00B4691F" w:rsidRPr="00C80189">
        <w:rPr>
          <w:rFonts w:ascii="Times New Roman" w:hAnsi="Times New Roman" w:cs="Times New Roman"/>
        </w:rPr>
        <w:t xml:space="preserve"> SchoolSpeedTest data, which evaluates not just the last-mile</w:t>
      </w:r>
      <w:r w:rsidR="00E2357C" w:rsidRPr="004F1C7B">
        <w:rPr>
          <w:rFonts w:ascii="Times New Roman" w:hAnsi="Times New Roman" w:cs="Times New Roman"/>
        </w:rPr>
        <w:t xml:space="preserve"> connection</w:t>
      </w:r>
      <w:r w:rsidR="00B4691F" w:rsidRPr="004F1C7B">
        <w:rPr>
          <w:rFonts w:ascii="Times New Roman" w:hAnsi="Times New Roman" w:cs="Times New Roman"/>
        </w:rPr>
        <w:t xml:space="preserve"> </w:t>
      </w:r>
      <w:r w:rsidR="00E2357C" w:rsidRPr="0080707A">
        <w:rPr>
          <w:rFonts w:ascii="Times New Roman" w:hAnsi="Times New Roman" w:cs="Times New Roman"/>
        </w:rPr>
        <w:t>but the entire connection to the Internet core.</w:t>
      </w:r>
      <w:r w:rsidR="00E2357C" w:rsidRPr="00C80189">
        <w:rPr>
          <w:rStyle w:val="FootnoteReference"/>
          <w:rFonts w:cs="Times New Roman"/>
        </w:rPr>
        <w:footnoteReference w:id="41"/>
      </w:r>
    </w:p>
    <w:p w14:paraId="5DF5188A" w14:textId="70B5C2D8" w:rsidR="0004465E" w:rsidRPr="00C80189" w:rsidRDefault="00DC1C88" w:rsidP="00753DE8">
      <w:pPr>
        <w:pStyle w:val="ParaNum"/>
        <w:rPr>
          <w:rFonts w:ascii="Times New Roman" w:hAnsi="Times New Roman" w:cs="Times New Roman"/>
        </w:rPr>
      </w:pPr>
      <w:r w:rsidRPr="004F1C7B">
        <w:rPr>
          <w:rFonts w:ascii="Times New Roman" w:hAnsi="Times New Roman" w:cs="Times New Roman"/>
        </w:rPr>
        <w:t xml:space="preserve">We also </w:t>
      </w:r>
      <w:r w:rsidR="00B77D78" w:rsidRPr="004F1C7B">
        <w:rPr>
          <w:rFonts w:ascii="Times New Roman" w:hAnsi="Times New Roman" w:cs="Times New Roman"/>
        </w:rPr>
        <w:t xml:space="preserve">have </w:t>
      </w:r>
      <w:r w:rsidRPr="0080707A">
        <w:rPr>
          <w:rFonts w:ascii="Times New Roman" w:hAnsi="Times New Roman" w:cs="Times New Roman"/>
        </w:rPr>
        <w:t>analyzed the last-mile</w:t>
      </w:r>
      <w:r w:rsidR="00A7603D" w:rsidRPr="0080707A">
        <w:rPr>
          <w:rFonts w:ascii="Times New Roman" w:hAnsi="Times New Roman" w:cs="Times New Roman"/>
        </w:rPr>
        <w:t xml:space="preserve"> bandwidth purchased by over 8,000 library locations, using </w:t>
      </w:r>
      <w:r w:rsidR="009027AD" w:rsidRPr="00C80189">
        <w:rPr>
          <w:rFonts w:ascii="Times New Roman" w:hAnsi="Times New Roman" w:cs="Times New Roman"/>
        </w:rPr>
        <w:t>Funding Year</w:t>
      </w:r>
      <w:r w:rsidR="00DA08B1" w:rsidRPr="00C80189">
        <w:rPr>
          <w:rFonts w:ascii="Times New Roman" w:hAnsi="Times New Roman" w:cs="Times New Roman"/>
        </w:rPr>
        <w:t xml:space="preserve"> </w:t>
      </w:r>
      <w:r w:rsidR="00A7603D" w:rsidRPr="00C80189">
        <w:rPr>
          <w:rFonts w:ascii="Times New Roman" w:hAnsi="Times New Roman" w:cs="Times New Roman"/>
        </w:rPr>
        <w:t xml:space="preserve">2014 Item 24 data and the associated FCC Form 471 Block 4 data.  </w:t>
      </w:r>
      <w:r w:rsidR="005D05CC" w:rsidRPr="00C80189">
        <w:rPr>
          <w:rFonts w:ascii="Times New Roman" w:hAnsi="Times New Roman" w:cs="Times New Roman"/>
        </w:rPr>
        <w:t>Based on that analysis, w</w:t>
      </w:r>
      <w:r w:rsidR="00753DE8" w:rsidRPr="00C80189">
        <w:rPr>
          <w:rFonts w:ascii="Times New Roman" w:hAnsi="Times New Roman" w:cs="Times New Roman"/>
        </w:rPr>
        <w:t>e</w:t>
      </w:r>
      <w:r w:rsidR="005D05CC" w:rsidRPr="00C80189">
        <w:rPr>
          <w:rFonts w:ascii="Times New Roman" w:hAnsi="Times New Roman" w:cs="Times New Roman"/>
        </w:rPr>
        <w:t xml:space="preserve"> estimate that approximately 66 percent</w:t>
      </w:r>
      <w:r w:rsidR="00753DE8" w:rsidRPr="00C80189">
        <w:rPr>
          <w:rFonts w:ascii="Times New Roman" w:hAnsi="Times New Roman" w:cs="Times New Roman"/>
        </w:rPr>
        <w:t xml:space="preserve"> of</w:t>
      </w:r>
      <w:r w:rsidR="00A7603D" w:rsidRPr="00C80189">
        <w:rPr>
          <w:rFonts w:ascii="Times New Roman" w:hAnsi="Times New Roman" w:cs="Times New Roman"/>
        </w:rPr>
        <w:t xml:space="preserve"> these</w:t>
      </w:r>
      <w:r w:rsidR="00753DE8" w:rsidRPr="00C80189">
        <w:rPr>
          <w:rFonts w:ascii="Times New Roman" w:hAnsi="Times New Roman" w:cs="Times New Roman"/>
        </w:rPr>
        <w:t xml:space="preserve"> library locations</w:t>
      </w:r>
      <w:r w:rsidRPr="00C80189">
        <w:rPr>
          <w:rFonts w:ascii="Times New Roman" w:hAnsi="Times New Roman" w:cs="Times New Roman"/>
        </w:rPr>
        <w:t xml:space="preserve"> purchase less than 10 Mbps of </w:t>
      </w:r>
      <w:r w:rsidR="00753DE8" w:rsidRPr="00C80189">
        <w:rPr>
          <w:rFonts w:ascii="Times New Roman" w:hAnsi="Times New Roman" w:cs="Times New Roman"/>
        </w:rPr>
        <w:t>la</w:t>
      </w:r>
      <w:r w:rsidRPr="00C80189">
        <w:rPr>
          <w:rFonts w:ascii="Times New Roman" w:hAnsi="Times New Roman" w:cs="Times New Roman"/>
        </w:rPr>
        <w:t>st-mile</w:t>
      </w:r>
      <w:r w:rsidR="00753DE8" w:rsidRPr="00C80189">
        <w:rPr>
          <w:rFonts w:ascii="Times New Roman" w:hAnsi="Times New Roman" w:cs="Times New Roman"/>
        </w:rPr>
        <w:t xml:space="preserve"> connectivity and approx</w:t>
      </w:r>
      <w:r w:rsidR="00A7603D" w:rsidRPr="00C80189">
        <w:rPr>
          <w:rFonts w:ascii="Times New Roman" w:hAnsi="Times New Roman" w:cs="Times New Roman"/>
        </w:rPr>
        <w:t>imately 80</w:t>
      </w:r>
      <w:r w:rsidR="005D05CC" w:rsidRPr="00C80189">
        <w:rPr>
          <w:rFonts w:ascii="Times New Roman" w:hAnsi="Times New Roman" w:cs="Times New Roman"/>
        </w:rPr>
        <w:t xml:space="preserve"> percent</w:t>
      </w:r>
      <w:r w:rsidR="00753DE8" w:rsidRPr="00C80189">
        <w:rPr>
          <w:rFonts w:ascii="Times New Roman" w:hAnsi="Times New Roman" w:cs="Times New Roman"/>
        </w:rPr>
        <w:t xml:space="preserve"> purchase less than 50 Mbps.</w:t>
      </w:r>
      <w:r w:rsidR="00FD3AC4" w:rsidRPr="00C80189">
        <w:rPr>
          <w:rFonts w:ascii="Times New Roman" w:hAnsi="Times New Roman" w:cs="Times New Roman"/>
        </w:rPr>
        <w:t xml:space="preserve"> </w:t>
      </w:r>
    </w:p>
    <w:p w14:paraId="4B7DAC34" w14:textId="0800D5C1" w:rsidR="00EA212F" w:rsidRPr="00C80189" w:rsidRDefault="00EA212F" w:rsidP="00EA212F">
      <w:pPr>
        <w:pStyle w:val="ParaNum"/>
        <w:rPr>
          <w:rFonts w:ascii="Times New Roman" w:hAnsi="Times New Roman" w:cs="Times New Roman"/>
        </w:rPr>
      </w:pPr>
      <w:r w:rsidRPr="00C80189">
        <w:rPr>
          <w:rFonts w:ascii="Times New Roman" w:hAnsi="Times New Roman" w:cs="Times New Roman"/>
        </w:rPr>
        <w:t xml:space="preserve">The item 24 data on which these analyses are based is publicly available on USAC’s website, but we have also posted an aggregate data file on the E-rate </w:t>
      </w:r>
      <w:r w:rsidR="00AE32DA" w:rsidRPr="00C80189">
        <w:rPr>
          <w:rFonts w:ascii="Times New Roman" w:hAnsi="Times New Roman" w:cs="Times New Roman"/>
        </w:rPr>
        <w:t>M</w:t>
      </w:r>
      <w:r w:rsidRPr="00C80189">
        <w:rPr>
          <w:rFonts w:ascii="Times New Roman" w:hAnsi="Times New Roman" w:cs="Times New Roman"/>
        </w:rPr>
        <w:t>odernization site to facilitate bulk access to these data.</w:t>
      </w:r>
      <w:r w:rsidR="009027AD" w:rsidRPr="00C80189">
        <w:rPr>
          <w:rStyle w:val="FootnoteReference"/>
          <w:rFonts w:cs="Times New Roman"/>
        </w:rPr>
        <w:footnoteReference w:id="42"/>
      </w:r>
    </w:p>
    <w:p w14:paraId="038B3424" w14:textId="6079BED2" w:rsidR="00A55E64" w:rsidRPr="004F1C7B" w:rsidRDefault="009A0353" w:rsidP="009A0353">
      <w:pPr>
        <w:pStyle w:val="Heading3"/>
        <w:rPr>
          <w:rFonts w:ascii="Times New Roman" w:hAnsi="Times New Roman" w:cs="Times New Roman"/>
        </w:rPr>
      </w:pPr>
      <w:bookmarkStart w:id="47" w:name="_Toc348091704"/>
      <w:bookmarkStart w:id="48" w:name="_Toc353369774"/>
      <w:bookmarkStart w:id="49" w:name="_Toc355278924"/>
      <w:bookmarkStart w:id="50" w:name="_Toc355279361"/>
      <w:bookmarkStart w:id="51" w:name="_Toc355279399"/>
      <w:bookmarkStart w:id="52" w:name="_Toc355279454"/>
      <w:bookmarkStart w:id="53" w:name="_Toc356288016"/>
      <w:bookmarkEnd w:id="37"/>
      <w:r w:rsidRPr="004F1C7B">
        <w:rPr>
          <w:rFonts w:ascii="Times New Roman" w:hAnsi="Times New Roman" w:cs="Times New Roman"/>
        </w:rPr>
        <w:t>Pricing for Broadband C</w:t>
      </w:r>
      <w:r w:rsidR="00A55E64" w:rsidRPr="004F1C7B">
        <w:rPr>
          <w:rFonts w:ascii="Times New Roman" w:hAnsi="Times New Roman" w:cs="Times New Roman"/>
        </w:rPr>
        <w:t>onnectivity</w:t>
      </w:r>
    </w:p>
    <w:p w14:paraId="16834922" w14:textId="6E570018" w:rsidR="00D858F9" w:rsidRPr="00C80189" w:rsidRDefault="00E74948" w:rsidP="0098038B">
      <w:pPr>
        <w:pStyle w:val="ParaNum"/>
        <w:rPr>
          <w:rFonts w:ascii="Times New Roman" w:hAnsi="Times New Roman" w:cs="Times New Roman"/>
        </w:rPr>
      </w:pPr>
      <w:r w:rsidRPr="00C80189">
        <w:rPr>
          <w:rFonts w:ascii="Times New Roman" w:hAnsi="Times New Roman" w:cs="Times New Roman"/>
        </w:rPr>
        <w:t>T</w:t>
      </w:r>
      <w:r w:rsidR="00725661" w:rsidRPr="00C80189">
        <w:rPr>
          <w:rFonts w:ascii="Times New Roman" w:hAnsi="Times New Roman" w:cs="Times New Roman"/>
        </w:rPr>
        <w:t xml:space="preserve">he prices applicants pay for similar </w:t>
      </w:r>
      <w:r w:rsidR="002F7A6B" w:rsidRPr="00C80189">
        <w:rPr>
          <w:rFonts w:ascii="Times New Roman" w:hAnsi="Times New Roman" w:cs="Times New Roman"/>
        </w:rPr>
        <w:t xml:space="preserve">broadband </w:t>
      </w:r>
      <w:r w:rsidR="00725661" w:rsidRPr="00C80189">
        <w:rPr>
          <w:rFonts w:ascii="Times New Roman" w:hAnsi="Times New Roman" w:cs="Times New Roman"/>
        </w:rPr>
        <w:t>services vary widely. </w:t>
      </w:r>
      <w:r w:rsidR="000F207B">
        <w:rPr>
          <w:rFonts w:ascii="Times New Roman" w:hAnsi="Times New Roman" w:cs="Times New Roman"/>
        </w:rPr>
        <w:t xml:space="preserve"> </w:t>
      </w:r>
      <w:r w:rsidR="00D858F9" w:rsidRPr="00C80189">
        <w:rPr>
          <w:rFonts w:ascii="Times New Roman" w:hAnsi="Times New Roman" w:cs="Times New Roman"/>
        </w:rPr>
        <w:t xml:space="preserve">As mentioned above, as part of the </w:t>
      </w:r>
      <w:r w:rsidR="009027AD" w:rsidRPr="00C80189">
        <w:rPr>
          <w:rFonts w:ascii="Times New Roman" w:hAnsi="Times New Roman" w:cs="Times New Roman"/>
        </w:rPr>
        <w:t>Funding Year</w:t>
      </w:r>
      <w:r w:rsidR="00DA08B1" w:rsidRPr="00C80189">
        <w:rPr>
          <w:rFonts w:ascii="Times New Roman" w:hAnsi="Times New Roman" w:cs="Times New Roman"/>
        </w:rPr>
        <w:t xml:space="preserve"> </w:t>
      </w:r>
      <w:r w:rsidR="00D858F9" w:rsidRPr="00C80189">
        <w:rPr>
          <w:rFonts w:ascii="Times New Roman" w:hAnsi="Times New Roman" w:cs="Times New Roman"/>
        </w:rPr>
        <w:t xml:space="preserve">2014 </w:t>
      </w:r>
      <w:r w:rsidR="00C373F2" w:rsidRPr="00C80189">
        <w:rPr>
          <w:rFonts w:ascii="Times New Roman" w:hAnsi="Times New Roman" w:cs="Times New Roman"/>
        </w:rPr>
        <w:t>E-rate</w:t>
      </w:r>
      <w:r w:rsidR="00D858F9" w:rsidRPr="00C80189">
        <w:rPr>
          <w:rFonts w:ascii="Times New Roman" w:hAnsi="Times New Roman" w:cs="Times New Roman"/>
        </w:rPr>
        <w:t xml:space="preserve"> application, applicants were required to include information regarding the type, quantity and download speed for broadband and other connectivity services for which support was sought (Item 24 data).</w:t>
      </w:r>
      <w:r w:rsidR="006567F3" w:rsidRPr="00C80189">
        <w:rPr>
          <w:rStyle w:val="FootnoteReference"/>
          <w:rFonts w:cs="Times New Roman"/>
        </w:rPr>
        <w:footnoteReference w:id="43"/>
      </w:r>
      <w:r w:rsidR="00D858F9" w:rsidRPr="00C80189">
        <w:rPr>
          <w:rFonts w:ascii="Times New Roman" w:hAnsi="Times New Roman" w:cs="Times New Roman"/>
        </w:rPr>
        <w:t xml:space="preserve">  Using this data along with the </w:t>
      </w:r>
      <w:r w:rsidR="006567F3" w:rsidRPr="004F1C7B">
        <w:rPr>
          <w:rFonts w:ascii="Times New Roman" w:hAnsi="Times New Roman" w:cs="Times New Roman"/>
        </w:rPr>
        <w:t>other Block 5 data</w:t>
      </w:r>
      <w:r w:rsidR="00D858F9" w:rsidRPr="004F1C7B">
        <w:rPr>
          <w:rFonts w:ascii="Times New Roman" w:hAnsi="Times New Roman" w:cs="Times New Roman"/>
        </w:rPr>
        <w:t>,</w:t>
      </w:r>
      <w:r w:rsidR="006567F3" w:rsidRPr="00C80189">
        <w:rPr>
          <w:rStyle w:val="FootnoteReference"/>
          <w:rFonts w:cs="Times New Roman"/>
        </w:rPr>
        <w:footnoteReference w:id="44"/>
      </w:r>
      <w:r w:rsidR="00D858F9" w:rsidRPr="00C80189">
        <w:rPr>
          <w:rFonts w:ascii="Times New Roman" w:hAnsi="Times New Roman" w:cs="Times New Roman"/>
        </w:rPr>
        <w:t xml:space="preserve"> we were able to analyze the distrib</w:t>
      </w:r>
      <w:r w:rsidR="00D858F9" w:rsidRPr="004F1C7B">
        <w:rPr>
          <w:rFonts w:ascii="Times New Roman" w:hAnsi="Times New Roman" w:cs="Times New Roman"/>
        </w:rPr>
        <w:t xml:space="preserve">ution of </w:t>
      </w:r>
      <w:r w:rsidR="006567F3" w:rsidRPr="004F1C7B">
        <w:rPr>
          <w:rFonts w:ascii="Times New Roman" w:hAnsi="Times New Roman" w:cs="Times New Roman"/>
        </w:rPr>
        <w:t>price for</w:t>
      </w:r>
      <w:r w:rsidR="002F7A6B" w:rsidRPr="0080707A">
        <w:rPr>
          <w:rFonts w:ascii="Times New Roman" w:hAnsi="Times New Roman" w:cs="Times New Roman"/>
        </w:rPr>
        <w:t xml:space="preserve"> a subset of</w:t>
      </w:r>
      <w:r w:rsidR="00D858F9" w:rsidRPr="0080707A">
        <w:rPr>
          <w:rFonts w:ascii="Times New Roman" w:hAnsi="Times New Roman" w:cs="Times New Roman"/>
        </w:rPr>
        <w:t xml:space="preserve"> </w:t>
      </w:r>
      <w:r w:rsidR="006567F3" w:rsidRPr="0080707A">
        <w:rPr>
          <w:rFonts w:ascii="Times New Roman" w:hAnsi="Times New Roman" w:cs="Times New Roman"/>
        </w:rPr>
        <w:t xml:space="preserve">1-Gbps connections, as illustrated in Figure </w:t>
      </w:r>
      <w:r w:rsidR="00E47B76" w:rsidRPr="00C80189">
        <w:rPr>
          <w:rFonts w:ascii="Times New Roman" w:hAnsi="Times New Roman" w:cs="Times New Roman"/>
        </w:rPr>
        <w:t>13</w:t>
      </w:r>
      <w:r w:rsidR="006567F3" w:rsidRPr="00C80189">
        <w:rPr>
          <w:rFonts w:ascii="Times New Roman" w:hAnsi="Times New Roman" w:cs="Times New Roman"/>
        </w:rPr>
        <w:t xml:space="preserve"> below.</w:t>
      </w:r>
      <w:r w:rsidR="001C7D01">
        <w:rPr>
          <w:rStyle w:val="FootnoteReference"/>
          <w:rFonts w:cs="Times New Roman"/>
        </w:rPr>
        <w:footnoteReference w:id="45"/>
      </w:r>
      <w:r w:rsidR="006567F3" w:rsidRPr="00C80189">
        <w:rPr>
          <w:rFonts w:ascii="Times New Roman" w:hAnsi="Times New Roman" w:cs="Times New Roman"/>
        </w:rPr>
        <w:t xml:space="preserve">  </w:t>
      </w:r>
    </w:p>
    <w:p w14:paraId="24014961" w14:textId="5B20ADBE" w:rsidR="002F7A6B" w:rsidRPr="004F1C7B" w:rsidRDefault="002F7A6B" w:rsidP="002F7A6B">
      <w:pPr>
        <w:pStyle w:val="ParaNum"/>
        <w:rPr>
          <w:rFonts w:ascii="Times New Roman" w:hAnsi="Times New Roman" w:cs="Times New Roman"/>
        </w:rPr>
      </w:pPr>
      <w:r w:rsidRPr="00C80189">
        <w:rPr>
          <w:rFonts w:ascii="Times New Roman" w:hAnsi="Times New Roman" w:cs="Times New Roman"/>
        </w:rPr>
        <w:t>A</w:t>
      </w:r>
      <w:r w:rsidR="00E47B76" w:rsidRPr="00C80189">
        <w:rPr>
          <w:rFonts w:ascii="Times New Roman" w:hAnsi="Times New Roman" w:cs="Times New Roman"/>
        </w:rPr>
        <w:t>s illustrated below in F</w:t>
      </w:r>
      <w:r w:rsidR="00747215" w:rsidRPr="00C80189">
        <w:rPr>
          <w:rFonts w:ascii="Times New Roman" w:hAnsi="Times New Roman" w:cs="Times New Roman"/>
        </w:rPr>
        <w:t xml:space="preserve">igure </w:t>
      </w:r>
      <w:r w:rsidR="008B49F0" w:rsidRPr="00C80189">
        <w:rPr>
          <w:rFonts w:ascii="Times New Roman" w:hAnsi="Times New Roman" w:cs="Times New Roman"/>
        </w:rPr>
        <w:t>8</w:t>
      </w:r>
      <w:r w:rsidR="00747215" w:rsidRPr="00C80189">
        <w:rPr>
          <w:rFonts w:ascii="Times New Roman" w:hAnsi="Times New Roman" w:cs="Times New Roman"/>
        </w:rPr>
        <w:t xml:space="preserve">, the </w:t>
      </w:r>
      <w:r w:rsidR="00227694" w:rsidRPr="00C80189">
        <w:rPr>
          <w:rFonts w:ascii="Times New Roman" w:hAnsi="Times New Roman" w:cs="Times New Roman"/>
        </w:rPr>
        <w:t xml:space="preserve">monthly </w:t>
      </w:r>
      <w:r w:rsidR="00747215" w:rsidRPr="00C80189">
        <w:rPr>
          <w:rFonts w:ascii="Times New Roman" w:hAnsi="Times New Roman" w:cs="Times New Roman"/>
        </w:rPr>
        <w:t xml:space="preserve">price for a 1-Gbps connection ranges from less than $500 to over $10,000, with a median price of </w:t>
      </w:r>
      <w:r w:rsidR="003747AD" w:rsidRPr="00C80189">
        <w:rPr>
          <w:rFonts w:ascii="Times New Roman" w:hAnsi="Times New Roman" w:cs="Times New Roman"/>
        </w:rPr>
        <w:t xml:space="preserve">approximately </w:t>
      </w:r>
      <w:r w:rsidR="00747215" w:rsidRPr="00C80189">
        <w:rPr>
          <w:rFonts w:ascii="Times New Roman" w:hAnsi="Times New Roman" w:cs="Times New Roman"/>
        </w:rPr>
        <w:t>$1</w:t>
      </w:r>
      <w:r w:rsidR="00227694" w:rsidRPr="00C80189">
        <w:rPr>
          <w:rFonts w:ascii="Times New Roman" w:hAnsi="Times New Roman" w:cs="Times New Roman"/>
        </w:rPr>
        <w:t>,</w:t>
      </w:r>
      <w:r w:rsidR="00747215" w:rsidRPr="00C80189">
        <w:rPr>
          <w:rFonts w:ascii="Times New Roman" w:hAnsi="Times New Roman" w:cs="Times New Roman"/>
        </w:rPr>
        <w:t xml:space="preserve">300.  </w:t>
      </w:r>
      <w:r w:rsidRPr="00C80189">
        <w:rPr>
          <w:rFonts w:ascii="Times New Roman" w:hAnsi="Times New Roman" w:cs="Times New Roman"/>
        </w:rPr>
        <w:t>EducationSuper</w:t>
      </w:r>
      <w:r w:rsidR="00443E0D" w:rsidRPr="00C80189">
        <w:rPr>
          <w:rFonts w:ascii="Times New Roman" w:hAnsi="Times New Roman" w:cs="Times New Roman"/>
        </w:rPr>
        <w:t>H</w:t>
      </w:r>
      <w:r w:rsidRPr="00C80189">
        <w:rPr>
          <w:rFonts w:ascii="Times New Roman" w:hAnsi="Times New Roman" w:cs="Times New Roman"/>
        </w:rPr>
        <w:t xml:space="preserve">ighway has provided aggregate pricing data based on its study of </w:t>
      </w:r>
      <w:r w:rsidR="00270CDF">
        <w:rPr>
          <w:rFonts w:ascii="Times New Roman" w:hAnsi="Times New Roman" w:cs="Times New Roman"/>
        </w:rPr>
        <w:t xml:space="preserve">Funding Year </w:t>
      </w:r>
      <w:r w:rsidRPr="00C80189">
        <w:rPr>
          <w:rFonts w:ascii="Times New Roman" w:hAnsi="Times New Roman" w:cs="Times New Roman"/>
        </w:rPr>
        <w:t>2013 item 21 information, which is consistent with this analysis.</w:t>
      </w:r>
      <w:r w:rsidRPr="00C80189">
        <w:rPr>
          <w:rStyle w:val="FootnoteReference"/>
          <w:rFonts w:cs="Times New Roman"/>
        </w:rPr>
        <w:footnoteReference w:id="46"/>
      </w:r>
      <w:r w:rsidRPr="00C80189">
        <w:rPr>
          <w:rFonts w:ascii="Times New Roman" w:hAnsi="Times New Roman" w:cs="Times New Roman"/>
        </w:rPr>
        <w:t xml:space="preserve">  The </w:t>
      </w:r>
      <w:r w:rsidR="00D44D7D">
        <w:rPr>
          <w:rFonts w:ascii="Times New Roman" w:hAnsi="Times New Roman" w:cs="Times New Roman"/>
        </w:rPr>
        <w:t>EducationSuperHighway</w:t>
      </w:r>
      <w:r w:rsidRPr="00C80189">
        <w:rPr>
          <w:rFonts w:ascii="Times New Roman" w:hAnsi="Times New Roman" w:cs="Times New Roman"/>
        </w:rPr>
        <w:t xml:space="preserve"> analysis also allows comparison within similar geographic areas to </w:t>
      </w:r>
      <w:r w:rsidR="00C47538" w:rsidRPr="004F1C7B">
        <w:rPr>
          <w:rFonts w:ascii="Times New Roman" w:hAnsi="Times New Roman" w:cs="Times New Roman"/>
        </w:rPr>
        <w:t>ensure accurate treatment of price and cost differences driven by rurality</w:t>
      </w:r>
      <w:r w:rsidRPr="00C80189">
        <w:rPr>
          <w:rFonts w:ascii="Times New Roman" w:hAnsi="Times New Roman" w:cs="Times New Roman"/>
        </w:rPr>
        <w:t xml:space="preserve">. </w:t>
      </w:r>
      <w:r w:rsidR="000F207B">
        <w:rPr>
          <w:rFonts w:ascii="Times New Roman" w:hAnsi="Times New Roman" w:cs="Times New Roman"/>
        </w:rPr>
        <w:t xml:space="preserve"> </w:t>
      </w:r>
      <w:r w:rsidR="00747215" w:rsidRPr="00C80189">
        <w:rPr>
          <w:rFonts w:ascii="Times New Roman" w:hAnsi="Times New Roman" w:cs="Times New Roman"/>
        </w:rPr>
        <w:t>Even looking at just major metropolitan areas, the level of variation is striking: the bottom quartile</w:t>
      </w:r>
      <w:r w:rsidR="00227694" w:rsidRPr="00C80189">
        <w:rPr>
          <w:rFonts w:ascii="Times New Roman" w:hAnsi="Times New Roman" w:cs="Times New Roman"/>
        </w:rPr>
        <w:t xml:space="preserve"> ($2,150 per month)</w:t>
      </w:r>
      <w:r w:rsidR="00747215" w:rsidRPr="00C80189">
        <w:rPr>
          <w:rFonts w:ascii="Times New Roman" w:hAnsi="Times New Roman" w:cs="Times New Roman"/>
        </w:rPr>
        <w:t xml:space="preserve"> pays nearly four times the price for a 1-Gbps connection than the top quartile</w:t>
      </w:r>
      <w:r w:rsidR="00227694" w:rsidRPr="00C80189">
        <w:rPr>
          <w:rFonts w:ascii="Times New Roman" w:hAnsi="Times New Roman" w:cs="Times New Roman"/>
        </w:rPr>
        <w:t xml:space="preserve"> ($580 per month)</w:t>
      </w:r>
      <w:r w:rsidR="00747215" w:rsidRPr="00C80189">
        <w:rPr>
          <w:rFonts w:ascii="Times New Roman" w:hAnsi="Times New Roman" w:cs="Times New Roman"/>
        </w:rPr>
        <w:t>.</w:t>
      </w:r>
      <w:r w:rsidR="00747215" w:rsidRPr="00C80189">
        <w:rPr>
          <w:rStyle w:val="FootnoteReference"/>
          <w:rFonts w:cs="Times New Roman"/>
        </w:rPr>
        <w:footnoteReference w:id="47"/>
      </w:r>
      <w:r w:rsidR="00747215" w:rsidRPr="00C80189">
        <w:rPr>
          <w:rFonts w:ascii="Times New Roman" w:hAnsi="Times New Roman" w:cs="Times New Roman"/>
        </w:rPr>
        <w:t xml:space="preserve">  </w:t>
      </w:r>
    </w:p>
    <w:p w14:paraId="76FAE787" w14:textId="3A9BF98C" w:rsidR="00A55E64" w:rsidRPr="00C80189" w:rsidRDefault="00A55E64" w:rsidP="006C1B21">
      <w:pPr>
        <w:pStyle w:val="ParaNum"/>
        <w:keepNext/>
        <w:numPr>
          <w:ilvl w:val="0"/>
          <w:numId w:val="0"/>
        </w:numPr>
        <w:jc w:val="center"/>
        <w:rPr>
          <w:rFonts w:ascii="Times New Roman" w:hAnsi="Times New Roman" w:cs="Times New Roman"/>
          <w:b/>
        </w:rPr>
      </w:pPr>
      <w:r w:rsidRPr="00C80189">
        <w:rPr>
          <w:rFonts w:ascii="Times New Roman" w:hAnsi="Times New Roman" w:cs="Times New Roman"/>
          <w:b/>
        </w:rPr>
        <w:t xml:space="preserve">Figure </w:t>
      </w:r>
      <w:r w:rsidR="008B49F0" w:rsidRPr="00C80189">
        <w:rPr>
          <w:rFonts w:ascii="Times New Roman" w:hAnsi="Times New Roman" w:cs="Times New Roman"/>
          <w:b/>
        </w:rPr>
        <w:t>8:</w:t>
      </w:r>
      <w:r w:rsidR="00227694" w:rsidRPr="00C80189">
        <w:rPr>
          <w:rFonts w:ascii="Times New Roman" w:hAnsi="Times New Roman" w:cs="Times New Roman"/>
          <w:b/>
        </w:rPr>
        <w:t xml:space="preserve"> Pricing for a 1-</w:t>
      </w:r>
      <w:r w:rsidRPr="00C80189">
        <w:rPr>
          <w:rFonts w:ascii="Times New Roman" w:hAnsi="Times New Roman" w:cs="Times New Roman"/>
          <w:b/>
        </w:rPr>
        <w:t>Gbps Connection</w:t>
      </w:r>
    </w:p>
    <w:p w14:paraId="731ED3A6" w14:textId="093197CF" w:rsidR="00E50802" w:rsidRPr="00C80189" w:rsidRDefault="00A55E64" w:rsidP="006C1B21">
      <w:pPr>
        <w:pStyle w:val="ParaNum"/>
        <w:numPr>
          <w:ilvl w:val="0"/>
          <w:numId w:val="0"/>
        </w:numPr>
        <w:rPr>
          <w:rFonts w:ascii="Times New Roman" w:hAnsi="Times New Roman" w:cs="Times New Roman"/>
        </w:rPr>
      </w:pPr>
      <w:r w:rsidRPr="00C80189">
        <w:rPr>
          <w:rFonts w:ascii="Times New Roman" w:hAnsi="Times New Roman" w:cs="Times New Roman"/>
          <w:b/>
          <w:noProof/>
        </w:rPr>
        <w:drawing>
          <wp:inline distT="0" distB="0" distL="0" distR="0" wp14:anchorId="1BC79C7E" wp14:editId="0B53DC27">
            <wp:extent cx="5486400" cy="32956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8895C2" w14:textId="59D93B45" w:rsidR="002F7A6B" w:rsidRPr="00C80189" w:rsidRDefault="002F7A6B" w:rsidP="002F7A6B">
      <w:pPr>
        <w:pStyle w:val="ParaNum"/>
        <w:rPr>
          <w:rFonts w:ascii="Times New Roman" w:hAnsi="Times New Roman" w:cs="Times New Roman"/>
        </w:rPr>
      </w:pPr>
      <w:r w:rsidRPr="004F1C7B">
        <w:rPr>
          <w:rFonts w:ascii="Times New Roman" w:hAnsi="Times New Roman" w:cs="Times New Roman"/>
        </w:rPr>
        <w:t xml:space="preserve">The lower price levels found at the </w:t>
      </w:r>
      <w:r w:rsidR="00C47538" w:rsidRPr="0080707A">
        <w:rPr>
          <w:rFonts w:ascii="Times New Roman" w:hAnsi="Times New Roman" w:cs="Times New Roman"/>
        </w:rPr>
        <w:t xml:space="preserve">more cost effective </w:t>
      </w:r>
      <w:r w:rsidRPr="0080707A">
        <w:rPr>
          <w:rFonts w:ascii="Times New Roman" w:hAnsi="Times New Roman" w:cs="Times New Roman"/>
        </w:rPr>
        <w:t>qua</w:t>
      </w:r>
      <w:r w:rsidR="00923E79">
        <w:rPr>
          <w:rFonts w:ascii="Times New Roman" w:hAnsi="Times New Roman" w:cs="Times New Roman"/>
        </w:rPr>
        <w:t>r</w:t>
      </w:r>
      <w:r w:rsidRPr="0080707A">
        <w:rPr>
          <w:rFonts w:ascii="Times New Roman" w:hAnsi="Times New Roman" w:cs="Times New Roman"/>
        </w:rPr>
        <w:t>tiles in these analyses are confirmed by reports from E-rate program partic</w:t>
      </w:r>
      <w:r w:rsidRPr="00C80189">
        <w:rPr>
          <w:rFonts w:ascii="Times New Roman" w:hAnsi="Times New Roman" w:cs="Times New Roman"/>
        </w:rPr>
        <w:t>ipants.  For instance, the State of Mississippi has negotiated a postalized price of $750 per 1-Gbps connection via a state master contract with AT&amp;T.</w:t>
      </w:r>
      <w:r w:rsidRPr="00C80189">
        <w:rPr>
          <w:rStyle w:val="FootnoteReference"/>
          <w:rFonts w:cs="Times New Roman"/>
        </w:rPr>
        <w:footnoteReference w:id="48"/>
      </w:r>
      <w:r w:rsidRPr="00C80189">
        <w:rPr>
          <w:rFonts w:ascii="Times New Roman" w:hAnsi="Times New Roman" w:cs="Times New Roman"/>
        </w:rPr>
        <w:t>  In Vermont, Vermont FiberConnect, a public-private partnership between the Vermont Telecommunications Authority and Sovernet Communications, provides 1-Gbps WAN service to 4</w:t>
      </w:r>
      <w:r w:rsidRPr="004F1C7B">
        <w:rPr>
          <w:rFonts w:ascii="Times New Roman" w:hAnsi="Times New Roman" w:cs="Times New Roman"/>
        </w:rPr>
        <w:t>3 libraries and hundreds of other community anchor institutions for $200 per month per location.</w:t>
      </w:r>
      <w:r w:rsidRPr="00C80189">
        <w:rPr>
          <w:rStyle w:val="FootnoteReference"/>
          <w:rFonts w:cs="Times New Roman"/>
        </w:rPr>
        <w:footnoteReference w:id="49"/>
      </w:r>
      <w:r w:rsidRPr="00C80189">
        <w:rPr>
          <w:rFonts w:ascii="Times New Roman" w:hAnsi="Times New Roman" w:cs="Times New Roman"/>
        </w:rPr>
        <w:t xml:space="preserve">  In another example, the Peninsula Library System in San Mateo County, CA purchases service from AT&amp;T at a rate of $780/month for each 1-Gbps WAN circuit.</w:t>
      </w:r>
      <w:r w:rsidRPr="00C80189">
        <w:rPr>
          <w:rStyle w:val="FootnoteReference"/>
          <w:rFonts w:cs="Times New Roman"/>
        </w:rPr>
        <w:footnoteReference w:id="50"/>
      </w:r>
      <w:r w:rsidRPr="00C80189">
        <w:rPr>
          <w:rFonts w:ascii="Times New Roman" w:hAnsi="Times New Roman" w:cs="Times New Roman"/>
        </w:rPr>
        <w:t> </w:t>
      </w:r>
    </w:p>
    <w:p w14:paraId="22F7553E" w14:textId="13212F3C" w:rsidR="00807D7D" w:rsidRPr="004F1C7B" w:rsidRDefault="00BB5B0E" w:rsidP="00BB5B0E">
      <w:pPr>
        <w:pStyle w:val="ParaNum"/>
        <w:rPr>
          <w:rFonts w:ascii="Times New Roman" w:hAnsi="Times New Roman" w:cs="Times New Roman"/>
        </w:rPr>
      </w:pPr>
      <w:r w:rsidRPr="004F1C7B">
        <w:rPr>
          <w:rFonts w:ascii="Times New Roman" w:hAnsi="Times New Roman" w:cs="Times New Roman"/>
        </w:rPr>
        <w:t>The prices applicants pay for commodity Internet access (</w:t>
      </w:r>
      <w:r w:rsidRPr="004F1C7B">
        <w:rPr>
          <w:rFonts w:ascii="Times New Roman" w:hAnsi="Times New Roman" w:cs="Times New Roman"/>
          <w:i/>
        </w:rPr>
        <w:t>i.e.</w:t>
      </w:r>
      <w:r w:rsidRPr="0080707A">
        <w:rPr>
          <w:rFonts w:ascii="Times New Roman" w:hAnsi="Times New Roman" w:cs="Times New Roman"/>
        </w:rPr>
        <w:t>, raw Internet access obtained from an Internet service provider separately from transport) also vary widely.  While schools a</w:t>
      </w:r>
      <w:r w:rsidRPr="00C80189">
        <w:rPr>
          <w:rFonts w:ascii="Times New Roman" w:hAnsi="Times New Roman" w:cs="Times New Roman"/>
        </w:rPr>
        <w:t xml:space="preserve">nd libraries in some states report that </w:t>
      </w:r>
      <w:r w:rsidR="001E60AD" w:rsidRPr="00C80189">
        <w:rPr>
          <w:rFonts w:ascii="Times New Roman" w:hAnsi="Times New Roman" w:cs="Times New Roman"/>
        </w:rPr>
        <w:t>they can obtain access to the Internet only at</w:t>
      </w:r>
      <w:r w:rsidR="00BD3824">
        <w:rPr>
          <w:rFonts w:ascii="Times New Roman" w:hAnsi="Times New Roman" w:cs="Times New Roman"/>
        </w:rPr>
        <w:t xml:space="preserve"> </w:t>
      </w:r>
      <w:r w:rsidR="001E60AD" w:rsidRPr="00C80189">
        <w:rPr>
          <w:rFonts w:ascii="Times New Roman" w:hAnsi="Times New Roman" w:cs="Times New Roman"/>
        </w:rPr>
        <w:t>$10/Mbps/month or higher</w:t>
      </w:r>
      <w:r w:rsidRPr="00C80189">
        <w:rPr>
          <w:rFonts w:ascii="Times New Roman" w:hAnsi="Times New Roman" w:cs="Times New Roman"/>
        </w:rPr>
        <w:t>,</w:t>
      </w:r>
      <w:r w:rsidRPr="00C80189">
        <w:rPr>
          <w:rStyle w:val="FootnoteReference"/>
          <w:rFonts w:cs="Times New Roman"/>
        </w:rPr>
        <w:footnoteReference w:id="51"/>
      </w:r>
      <w:r w:rsidRPr="00C80189">
        <w:rPr>
          <w:rFonts w:ascii="Times New Roman" w:hAnsi="Times New Roman" w:cs="Times New Roman"/>
        </w:rPr>
        <w:t xml:space="preserve"> states that have formed effective purchasing consortia</w:t>
      </w:r>
      <w:r w:rsidR="006B78ED" w:rsidRPr="004F1C7B">
        <w:rPr>
          <w:rFonts w:ascii="Times New Roman" w:hAnsi="Times New Roman" w:cs="Times New Roman"/>
        </w:rPr>
        <w:t>, especially when a state-level actor is involved,</w:t>
      </w:r>
      <w:r w:rsidRPr="004F1C7B">
        <w:rPr>
          <w:rFonts w:ascii="Times New Roman" w:hAnsi="Times New Roman" w:cs="Times New Roman"/>
        </w:rPr>
        <w:t xml:space="preserve"> </w:t>
      </w:r>
      <w:r w:rsidR="008453D1" w:rsidRPr="0080707A">
        <w:rPr>
          <w:rFonts w:ascii="Times New Roman" w:hAnsi="Times New Roman" w:cs="Times New Roman"/>
        </w:rPr>
        <w:t xml:space="preserve">have been able to quickly negotiate </w:t>
      </w:r>
      <w:r w:rsidRPr="00C80189">
        <w:rPr>
          <w:rFonts w:ascii="Times New Roman" w:hAnsi="Times New Roman" w:cs="Times New Roman"/>
        </w:rPr>
        <w:t>commodity Internet rates that are an order of magnitude lower</w:t>
      </w:r>
      <w:r w:rsidR="00807D7D" w:rsidRPr="00C80189">
        <w:rPr>
          <w:rFonts w:ascii="Times New Roman" w:hAnsi="Times New Roman" w:cs="Times New Roman"/>
        </w:rPr>
        <w:t xml:space="preserve">.  For example, </w:t>
      </w:r>
      <w:r w:rsidRPr="00C80189">
        <w:rPr>
          <w:rFonts w:ascii="Times New Roman" w:hAnsi="Times New Roman" w:cs="Times New Roman"/>
        </w:rPr>
        <w:t>Network Nebraska, a statewide education network, pays $1.28/Mbps/month, down from $87/Mbps/month;</w:t>
      </w:r>
      <w:r w:rsidRPr="00C80189">
        <w:rPr>
          <w:rStyle w:val="FootnoteReference"/>
          <w:rFonts w:cs="Times New Roman"/>
        </w:rPr>
        <w:footnoteReference w:id="52"/>
      </w:r>
      <w:r w:rsidRPr="00C80189">
        <w:rPr>
          <w:rFonts w:ascii="Times New Roman" w:hAnsi="Times New Roman" w:cs="Times New Roman"/>
        </w:rPr>
        <w:t xml:space="preserve"> the state of Mississippi lowered the rates available to schools under its statewide master contract from $50/Mbps/month to $5/Mb</w:t>
      </w:r>
      <w:r w:rsidRPr="004F1C7B">
        <w:rPr>
          <w:rFonts w:ascii="Times New Roman" w:hAnsi="Times New Roman" w:cs="Times New Roman"/>
        </w:rPr>
        <w:t>ps/month; and the Utah Education Network has negotiated a rate of $1/Mbps/month.</w:t>
      </w:r>
      <w:r w:rsidRPr="00C80189">
        <w:rPr>
          <w:rStyle w:val="FootnoteReference"/>
          <w:rFonts w:cs="Times New Roman"/>
        </w:rPr>
        <w:footnoteReference w:id="53"/>
      </w:r>
      <w:r w:rsidRPr="00C80189">
        <w:rPr>
          <w:rFonts w:ascii="Times New Roman" w:hAnsi="Times New Roman" w:cs="Times New Roman"/>
        </w:rPr>
        <w:t xml:space="preserve">  </w:t>
      </w:r>
    </w:p>
    <w:p w14:paraId="21D03BB7" w14:textId="4EA2C071" w:rsidR="0093519F" w:rsidRPr="00C80189" w:rsidRDefault="001C7D01" w:rsidP="001305F6">
      <w:pPr>
        <w:pStyle w:val="Heading1"/>
        <w:rPr>
          <w:rFonts w:ascii="Times New Roman" w:hAnsi="Times New Roman" w:cs="Times New Roman"/>
        </w:rPr>
      </w:pPr>
      <w:r>
        <w:rPr>
          <w:rFonts w:ascii="Times New Roman" w:hAnsi="Times New Roman" w:cs="Times New Roman"/>
        </w:rPr>
        <w:t>Phase-</w:t>
      </w:r>
      <w:r w:rsidR="00A70A90" w:rsidRPr="00C80189">
        <w:rPr>
          <w:rFonts w:ascii="Times New Roman" w:hAnsi="Times New Roman" w:cs="Times New Roman"/>
        </w:rPr>
        <w:t xml:space="preserve">Out </w:t>
      </w:r>
      <w:r w:rsidR="001305F6" w:rsidRPr="00C80189">
        <w:rPr>
          <w:rFonts w:ascii="Times New Roman" w:hAnsi="Times New Roman" w:cs="Times New Roman"/>
        </w:rPr>
        <w:t>of Non-Broadband Services</w:t>
      </w:r>
    </w:p>
    <w:p w14:paraId="543FE074" w14:textId="33F95799" w:rsidR="008B49F0" w:rsidRPr="004F1C7B" w:rsidRDefault="002F7A6B" w:rsidP="008B49F0">
      <w:pPr>
        <w:pStyle w:val="ParaNum"/>
        <w:rPr>
          <w:rFonts w:ascii="Times New Roman" w:hAnsi="Times New Roman" w:cs="Times New Roman"/>
        </w:rPr>
      </w:pPr>
      <w:r w:rsidRPr="00C80189">
        <w:rPr>
          <w:rFonts w:ascii="Times New Roman" w:hAnsi="Times New Roman" w:cs="Times New Roman"/>
        </w:rPr>
        <w:t xml:space="preserve">The </w:t>
      </w:r>
      <w:r w:rsidR="00832625" w:rsidRPr="00C80189">
        <w:rPr>
          <w:rFonts w:ascii="Times New Roman" w:hAnsi="Times New Roman" w:cs="Times New Roman"/>
          <w:i/>
        </w:rPr>
        <w:t>E-Rate Modernization Order</w:t>
      </w:r>
      <w:r w:rsidRPr="00C80189">
        <w:rPr>
          <w:rFonts w:ascii="Times New Roman" w:hAnsi="Times New Roman" w:cs="Times New Roman"/>
        </w:rPr>
        <w:t xml:space="preserve"> </w:t>
      </w:r>
      <w:r w:rsidR="00916BBA" w:rsidRPr="00C80189">
        <w:rPr>
          <w:rFonts w:ascii="Times New Roman" w:hAnsi="Times New Roman" w:cs="Times New Roman"/>
        </w:rPr>
        <w:t>“reorient[ed] the E-rate program to focus on supporting high-speed broadband by phasing down support for voice services and eliminating support for other legacy services.”</w:t>
      </w:r>
      <w:r w:rsidR="00916BBA" w:rsidRPr="00C80189">
        <w:rPr>
          <w:rStyle w:val="FootnoteReference"/>
          <w:rFonts w:cs="Times New Roman"/>
        </w:rPr>
        <w:footnoteReference w:id="54"/>
      </w:r>
      <w:r w:rsidR="00916BBA" w:rsidRPr="00C80189">
        <w:rPr>
          <w:rFonts w:ascii="Times New Roman" w:hAnsi="Times New Roman" w:cs="Times New Roman"/>
        </w:rPr>
        <w:t xml:space="preserve"> In the </w:t>
      </w:r>
      <w:r w:rsidR="00916BBA" w:rsidRPr="004F1C7B">
        <w:rPr>
          <w:rFonts w:ascii="Times New Roman" w:hAnsi="Times New Roman" w:cs="Times New Roman"/>
          <w:i/>
        </w:rPr>
        <w:t>Further Notice</w:t>
      </w:r>
      <w:r w:rsidR="00916BBA" w:rsidRPr="004F1C7B">
        <w:rPr>
          <w:rFonts w:ascii="Times New Roman" w:hAnsi="Times New Roman" w:cs="Times New Roman"/>
        </w:rPr>
        <w:t>, the Commission sought comment on “the sufficiency of th</w:t>
      </w:r>
      <w:r w:rsidR="00916BBA" w:rsidRPr="00C80189">
        <w:rPr>
          <w:rFonts w:ascii="Times New Roman" w:hAnsi="Times New Roman" w:cs="Times New Roman"/>
        </w:rPr>
        <w:t>e significant funding freed up by the reforms adopted [in the Order] to meet these needs.”</w:t>
      </w:r>
      <w:r w:rsidR="003A0965" w:rsidRPr="00C80189">
        <w:rPr>
          <w:rStyle w:val="FootnoteReference"/>
          <w:rFonts w:cs="Times New Roman"/>
        </w:rPr>
        <w:footnoteReference w:id="55"/>
      </w:r>
      <w:r w:rsidR="00916BBA" w:rsidRPr="00C80189">
        <w:rPr>
          <w:rFonts w:ascii="Times New Roman" w:hAnsi="Times New Roman" w:cs="Times New Roman"/>
        </w:rPr>
        <w:t xml:space="preserve">  In this section, we provide simple projection</w:t>
      </w:r>
      <w:r w:rsidR="001C7D01">
        <w:rPr>
          <w:rFonts w:ascii="Times New Roman" w:hAnsi="Times New Roman" w:cs="Times New Roman"/>
        </w:rPr>
        <w:t>s of funding freed by the phase-</w:t>
      </w:r>
      <w:r w:rsidR="00916BBA" w:rsidRPr="00C80189">
        <w:rPr>
          <w:rFonts w:ascii="Times New Roman" w:hAnsi="Times New Roman" w:cs="Times New Roman"/>
        </w:rPr>
        <w:t>out of non-broadband services to assist commenters as they respond to these questions.</w:t>
      </w:r>
    </w:p>
    <w:p w14:paraId="5F0673F7" w14:textId="063DD875" w:rsidR="00807D7D" w:rsidRPr="00C80189" w:rsidRDefault="008B49F0" w:rsidP="00807D7D">
      <w:pPr>
        <w:pStyle w:val="ParaNum"/>
        <w:spacing w:after="0"/>
        <w:rPr>
          <w:rFonts w:ascii="Times New Roman" w:hAnsi="Times New Roman" w:cs="Times New Roman"/>
        </w:rPr>
      </w:pPr>
      <w:r w:rsidRPr="00C80189">
        <w:rPr>
          <w:rFonts w:ascii="Times New Roman" w:hAnsi="Times New Roman" w:cs="Times New Roman"/>
        </w:rPr>
        <w:t>As F</w:t>
      </w:r>
      <w:r w:rsidR="00DF691A" w:rsidRPr="00C80189">
        <w:rPr>
          <w:rFonts w:ascii="Times New Roman" w:hAnsi="Times New Roman" w:cs="Times New Roman"/>
        </w:rPr>
        <w:t>igure</w:t>
      </w:r>
      <w:r w:rsidRPr="00C80189">
        <w:rPr>
          <w:rFonts w:ascii="Times New Roman" w:hAnsi="Times New Roman" w:cs="Times New Roman"/>
        </w:rPr>
        <w:t xml:space="preserve"> 9</w:t>
      </w:r>
      <w:r w:rsidR="00DF691A" w:rsidRPr="00C80189">
        <w:rPr>
          <w:rFonts w:ascii="Times New Roman" w:hAnsi="Times New Roman" w:cs="Times New Roman"/>
        </w:rPr>
        <w:t xml:space="preserve"> illustrates,</w:t>
      </w:r>
      <w:r w:rsidR="00F13607" w:rsidRPr="00C80189">
        <w:rPr>
          <w:rFonts w:ascii="Times New Roman" w:hAnsi="Times New Roman" w:cs="Times New Roman"/>
        </w:rPr>
        <w:t xml:space="preserve"> in Funding Year 2013,</w:t>
      </w:r>
      <w:r w:rsidR="00DF691A" w:rsidRPr="00C80189">
        <w:rPr>
          <w:rFonts w:ascii="Times New Roman" w:hAnsi="Times New Roman" w:cs="Times New Roman"/>
        </w:rPr>
        <w:t xml:space="preserve"> nearly 40</w:t>
      </w:r>
      <w:r w:rsidR="00F13607" w:rsidRPr="00C80189">
        <w:rPr>
          <w:rFonts w:ascii="Times New Roman" w:hAnsi="Times New Roman" w:cs="Times New Roman"/>
        </w:rPr>
        <w:t xml:space="preserve"> percent of </w:t>
      </w:r>
      <w:r w:rsidR="00832625" w:rsidRPr="00C80189">
        <w:rPr>
          <w:rFonts w:ascii="Times New Roman" w:hAnsi="Times New Roman" w:cs="Times New Roman"/>
        </w:rPr>
        <w:t>priority one</w:t>
      </w:r>
      <w:r w:rsidR="00F13607" w:rsidRPr="00C80189">
        <w:rPr>
          <w:rFonts w:ascii="Times New Roman" w:hAnsi="Times New Roman" w:cs="Times New Roman"/>
        </w:rPr>
        <w:t xml:space="preserve"> funding wa</w:t>
      </w:r>
      <w:r w:rsidR="00DF691A" w:rsidRPr="00C80189">
        <w:rPr>
          <w:rFonts w:ascii="Times New Roman" w:hAnsi="Times New Roman" w:cs="Times New Roman"/>
        </w:rPr>
        <w:t>s d</w:t>
      </w:r>
      <w:r w:rsidR="00E77EE9" w:rsidRPr="00C80189">
        <w:rPr>
          <w:rFonts w:ascii="Times New Roman" w:hAnsi="Times New Roman" w:cs="Times New Roman"/>
        </w:rPr>
        <w:t>irected to voice and other non-</w:t>
      </w:r>
      <w:r w:rsidR="00DF691A" w:rsidRPr="00C80189">
        <w:rPr>
          <w:rFonts w:ascii="Times New Roman" w:hAnsi="Times New Roman" w:cs="Times New Roman"/>
        </w:rPr>
        <w:t xml:space="preserve">broadband services. </w:t>
      </w:r>
      <w:r w:rsidR="000F207B">
        <w:rPr>
          <w:rFonts w:ascii="Times New Roman" w:hAnsi="Times New Roman" w:cs="Times New Roman"/>
        </w:rPr>
        <w:t xml:space="preserve"> An </w:t>
      </w:r>
      <w:r w:rsidR="00F13607" w:rsidRPr="00C80189">
        <w:rPr>
          <w:rFonts w:ascii="Times New Roman" w:hAnsi="Times New Roman" w:cs="Times New Roman"/>
        </w:rPr>
        <w:t>additional 12 percent of funding was directed T1s</w:t>
      </w:r>
      <w:r w:rsidR="001C7D01">
        <w:rPr>
          <w:rFonts w:ascii="Times New Roman" w:hAnsi="Times New Roman" w:cs="Times New Roman"/>
        </w:rPr>
        <w:t>,</w:t>
      </w:r>
      <w:r w:rsidR="00F13607" w:rsidRPr="00C80189">
        <w:rPr>
          <w:rFonts w:ascii="Times New Roman" w:hAnsi="Times New Roman" w:cs="Times New Roman"/>
        </w:rPr>
        <w:t xml:space="preserve"> T3s,</w:t>
      </w:r>
      <w:r w:rsidR="001C7D01">
        <w:rPr>
          <w:rFonts w:ascii="Times New Roman" w:hAnsi="Times New Roman" w:cs="Times New Roman"/>
        </w:rPr>
        <w:t xml:space="preserve"> and other low-bandwidth broadband services,</w:t>
      </w:r>
      <w:r w:rsidR="00F13607" w:rsidRPr="00C80189">
        <w:rPr>
          <w:rFonts w:ascii="Times New Roman" w:hAnsi="Times New Roman" w:cs="Times New Roman"/>
        </w:rPr>
        <w:t xml:space="preserve"> many of which are likely dedicated in whole or in part to voice services.</w:t>
      </w:r>
    </w:p>
    <w:p w14:paraId="6D62DF62" w14:textId="0F24411A" w:rsidR="00DF691A" w:rsidRPr="00C80189" w:rsidRDefault="00DF691A" w:rsidP="008D34DE">
      <w:pPr>
        <w:pStyle w:val="ParaNum"/>
        <w:keepNext/>
        <w:numPr>
          <w:ilvl w:val="0"/>
          <w:numId w:val="0"/>
        </w:numPr>
        <w:spacing w:after="0"/>
        <w:jc w:val="center"/>
        <w:rPr>
          <w:rFonts w:ascii="Times New Roman" w:hAnsi="Times New Roman" w:cs="Times New Roman"/>
        </w:rPr>
      </w:pPr>
      <w:r w:rsidRPr="00C80189">
        <w:rPr>
          <w:rFonts w:ascii="Times New Roman" w:hAnsi="Times New Roman" w:cs="Times New Roman"/>
          <w:b/>
        </w:rPr>
        <w:t xml:space="preserve">Figure </w:t>
      </w:r>
      <w:r w:rsidR="008B49F0" w:rsidRPr="00C80189">
        <w:rPr>
          <w:rFonts w:ascii="Times New Roman" w:hAnsi="Times New Roman" w:cs="Times New Roman"/>
          <w:b/>
        </w:rPr>
        <w:t>9:</w:t>
      </w:r>
      <w:r w:rsidRPr="00C80189">
        <w:rPr>
          <w:rFonts w:ascii="Times New Roman" w:hAnsi="Times New Roman" w:cs="Times New Roman"/>
          <w:b/>
        </w:rPr>
        <w:t xml:space="preserve"> Funding Year 2013 Priority </w:t>
      </w:r>
      <w:r w:rsidR="00807D7D" w:rsidRPr="00C80189">
        <w:rPr>
          <w:rFonts w:ascii="Times New Roman" w:hAnsi="Times New Roman" w:cs="Times New Roman"/>
          <w:b/>
        </w:rPr>
        <w:t xml:space="preserve">One </w:t>
      </w:r>
      <w:r w:rsidRPr="00C80189">
        <w:rPr>
          <w:rFonts w:ascii="Times New Roman" w:hAnsi="Times New Roman" w:cs="Times New Roman"/>
          <w:b/>
        </w:rPr>
        <w:t>Committed Funding by Service</w:t>
      </w:r>
      <w:r w:rsidRPr="00C80189">
        <w:rPr>
          <w:rStyle w:val="FootnoteReference"/>
          <w:rFonts w:cs="Times New Roman"/>
          <w:b/>
        </w:rPr>
        <w:footnoteReference w:id="56"/>
      </w:r>
    </w:p>
    <w:p w14:paraId="1502C048" w14:textId="2597499F" w:rsidR="00DF691A" w:rsidRPr="00C80189" w:rsidRDefault="00DF691A" w:rsidP="00DF691A">
      <w:pPr>
        <w:pStyle w:val="ParaNum"/>
        <w:numPr>
          <w:ilvl w:val="0"/>
          <w:numId w:val="0"/>
        </w:numPr>
        <w:ind w:left="720"/>
        <w:rPr>
          <w:rFonts w:ascii="Times New Roman" w:hAnsi="Times New Roman" w:cs="Times New Roman"/>
        </w:rPr>
      </w:pPr>
      <w:r w:rsidRPr="00C80189">
        <w:rPr>
          <w:rFonts w:ascii="Times New Roman" w:hAnsi="Times New Roman" w:cs="Times New Roman"/>
          <w:noProof/>
        </w:rPr>
        <w:drawing>
          <wp:inline distT="0" distB="0" distL="0" distR="0" wp14:anchorId="37F02CD5" wp14:editId="6353960A">
            <wp:extent cx="4548147" cy="3355450"/>
            <wp:effectExtent l="0" t="0" r="508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DDB493" w14:textId="2EFC8C4A" w:rsidR="0029675A" w:rsidRPr="00C80189" w:rsidRDefault="00F13607" w:rsidP="0029675A">
      <w:pPr>
        <w:pStyle w:val="ParaNum"/>
        <w:rPr>
          <w:rFonts w:ascii="Times New Roman" w:hAnsi="Times New Roman" w:cs="Times New Roman"/>
        </w:rPr>
      </w:pPr>
      <w:r w:rsidRPr="00C80189">
        <w:rPr>
          <w:rFonts w:ascii="Times New Roman" w:hAnsi="Times New Roman" w:cs="Times New Roman"/>
        </w:rPr>
        <w:t xml:space="preserve">Based on this data, we projected the funding freed for broadband services based on phasing down support for non-broadband services.  This </w:t>
      </w:r>
      <w:r w:rsidR="008B49F0" w:rsidRPr="004F1C7B">
        <w:rPr>
          <w:rFonts w:ascii="Times New Roman" w:hAnsi="Times New Roman" w:cs="Times New Roman"/>
        </w:rPr>
        <w:t>projection is shown in Figure 10</w:t>
      </w:r>
      <w:r w:rsidRPr="004F1C7B">
        <w:rPr>
          <w:rFonts w:ascii="Times New Roman" w:hAnsi="Times New Roman" w:cs="Times New Roman"/>
        </w:rPr>
        <w:t>.</w:t>
      </w:r>
      <w:r w:rsidR="00140F04" w:rsidRPr="00C80189">
        <w:rPr>
          <w:rStyle w:val="FootnoteReference"/>
          <w:rFonts w:cs="Times New Roman"/>
        </w:rPr>
        <w:footnoteReference w:id="57"/>
      </w:r>
      <w:r w:rsidRPr="00C80189">
        <w:rPr>
          <w:rFonts w:ascii="Times New Roman" w:hAnsi="Times New Roman" w:cs="Times New Roman"/>
        </w:rPr>
        <w:t xml:space="preserve"> </w:t>
      </w:r>
      <w:r w:rsidR="00140F04" w:rsidRPr="00C80189">
        <w:rPr>
          <w:rFonts w:ascii="Times New Roman" w:hAnsi="Times New Roman" w:cs="Times New Roman"/>
        </w:rPr>
        <w:t xml:space="preserve"> </w:t>
      </w:r>
      <w:r w:rsidRPr="004F1C7B">
        <w:rPr>
          <w:rFonts w:ascii="Times New Roman" w:hAnsi="Times New Roman" w:cs="Times New Roman"/>
        </w:rPr>
        <w:t xml:space="preserve">The projection is based on an aggregate </w:t>
      </w:r>
      <w:r w:rsidR="00832625" w:rsidRPr="00C80189">
        <w:rPr>
          <w:rFonts w:ascii="Times New Roman" w:hAnsi="Times New Roman" w:cs="Times New Roman"/>
        </w:rPr>
        <w:t>category one</w:t>
      </w:r>
      <w:r w:rsidRPr="00C80189">
        <w:rPr>
          <w:rFonts w:ascii="Times New Roman" w:hAnsi="Times New Roman" w:cs="Times New Roman"/>
        </w:rPr>
        <w:t xml:space="preserve"> demand level of $2.6 billion, equal to Funding Year 2014 </w:t>
      </w:r>
      <w:r w:rsidR="00832625" w:rsidRPr="00C80189">
        <w:rPr>
          <w:rFonts w:ascii="Times New Roman" w:hAnsi="Times New Roman" w:cs="Times New Roman"/>
        </w:rPr>
        <w:t>priority one</w:t>
      </w:r>
      <w:r w:rsidRPr="00C80189">
        <w:rPr>
          <w:rFonts w:ascii="Times New Roman" w:hAnsi="Times New Roman" w:cs="Times New Roman"/>
        </w:rPr>
        <w:t xml:space="preserve"> demand.  For purposes of this projection, we assumed baseline voice demand remained level from 2013 through the end of t</w:t>
      </w:r>
      <w:r w:rsidR="001C7D01">
        <w:rPr>
          <w:rFonts w:ascii="Times New Roman" w:hAnsi="Times New Roman" w:cs="Times New Roman"/>
        </w:rPr>
        <w:t>he phase-</w:t>
      </w:r>
      <w:r w:rsidRPr="00C80189">
        <w:rPr>
          <w:rFonts w:ascii="Times New Roman" w:hAnsi="Times New Roman" w:cs="Times New Roman"/>
        </w:rPr>
        <w:t>out, and the only change was a reduction in discount level.  Actual savings may be larger to the extent spending on voice services decreases as discount levels are reduced.  In addition, this analysis assumes no savings from reduction in support for T1s or T3s.  Any reduction in E-rate program spending on these services would represent incremental savings available for broadband.</w:t>
      </w:r>
    </w:p>
    <w:p w14:paraId="22B7FD0A" w14:textId="242B1961" w:rsidR="00727A69" w:rsidRPr="00C80189" w:rsidRDefault="00727A69" w:rsidP="00727A69">
      <w:pPr>
        <w:pStyle w:val="ParaNum"/>
        <w:keepNext/>
        <w:numPr>
          <w:ilvl w:val="0"/>
          <w:numId w:val="0"/>
        </w:numPr>
        <w:jc w:val="center"/>
        <w:rPr>
          <w:rFonts w:ascii="Times New Roman" w:hAnsi="Times New Roman" w:cs="Times New Roman"/>
          <w:b/>
        </w:rPr>
      </w:pPr>
      <w:r w:rsidRPr="00C80189">
        <w:rPr>
          <w:rFonts w:ascii="Times New Roman" w:hAnsi="Times New Roman" w:cs="Times New Roman"/>
          <w:b/>
        </w:rPr>
        <w:t xml:space="preserve">Figure 10: </w:t>
      </w:r>
      <w:r w:rsidR="00FB209F" w:rsidRPr="00C80189">
        <w:rPr>
          <w:rFonts w:ascii="Times New Roman" w:hAnsi="Times New Roman" w:cs="Times New Roman"/>
          <w:b/>
        </w:rPr>
        <w:t xml:space="preserve">Projected </w:t>
      </w:r>
      <w:r w:rsidR="001C7D01">
        <w:rPr>
          <w:rFonts w:ascii="Times New Roman" w:hAnsi="Times New Roman" w:cs="Times New Roman"/>
          <w:b/>
        </w:rPr>
        <w:t>Savings From Phase-</w:t>
      </w:r>
      <w:r w:rsidRPr="00C80189">
        <w:rPr>
          <w:rFonts w:ascii="Times New Roman" w:hAnsi="Times New Roman" w:cs="Times New Roman"/>
          <w:b/>
        </w:rPr>
        <w:t>Out of Non-Broadband Services</w:t>
      </w:r>
      <w:r w:rsidR="009F3626" w:rsidRPr="00C80189">
        <w:rPr>
          <w:rFonts w:ascii="Times New Roman" w:hAnsi="Times New Roman" w:cs="Times New Roman"/>
          <w:b/>
        </w:rPr>
        <w:t xml:space="preserve"> (in millions)</w:t>
      </w:r>
    </w:p>
    <w:p w14:paraId="6CB4118A" w14:textId="77777777" w:rsidR="00727A69" w:rsidRPr="00C80189" w:rsidRDefault="00727A69" w:rsidP="00727A69">
      <w:pPr>
        <w:pStyle w:val="ParaNum"/>
        <w:numPr>
          <w:ilvl w:val="0"/>
          <w:numId w:val="0"/>
        </w:numPr>
        <w:ind w:firstLine="720"/>
        <w:rPr>
          <w:rFonts w:ascii="Times New Roman" w:hAnsi="Times New Roman" w:cs="Times New Roman"/>
        </w:rPr>
      </w:pPr>
    </w:p>
    <w:tbl>
      <w:tblPr>
        <w:tblW w:w="7035" w:type="dxa"/>
        <w:jc w:val="center"/>
        <w:tblInd w:w="-15" w:type="dxa"/>
        <w:tblCellMar>
          <w:left w:w="0" w:type="dxa"/>
          <w:right w:w="0" w:type="dxa"/>
        </w:tblCellMar>
        <w:tblLook w:val="04A0" w:firstRow="1" w:lastRow="0" w:firstColumn="1" w:lastColumn="0" w:noHBand="0" w:noVBand="1"/>
      </w:tblPr>
      <w:tblGrid>
        <w:gridCol w:w="2077"/>
        <w:gridCol w:w="990"/>
        <w:gridCol w:w="991"/>
        <w:gridCol w:w="1057"/>
        <w:gridCol w:w="960"/>
        <w:gridCol w:w="960"/>
      </w:tblGrid>
      <w:tr w:rsidR="00727A69" w:rsidRPr="00C80189" w14:paraId="3233B8FC" w14:textId="77777777" w:rsidTr="004F4841">
        <w:trPr>
          <w:trHeight w:val="315"/>
          <w:jc w:val="center"/>
        </w:trPr>
        <w:tc>
          <w:tcPr>
            <w:tcW w:w="2077" w:type="dxa"/>
            <w:tcBorders>
              <w:top w:val="nil"/>
              <w:left w:val="nil"/>
              <w:bottom w:val="single" w:sz="8" w:space="0" w:color="auto"/>
              <w:right w:val="nil"/>
            </w:tcBorders>
            <w:noWrap/>
            <w:tcMar>
              <w:top w:w="0" w:type="dxa"/>
              <w:left w:w="108" w:type="dxa"/>
              <w:bottom w:w="0" w:type="dxa"/>
              <w:right w:w="108" w:type="dxa"/>
            </w:tcMar>
            <w:vAlign w:val="bottom"/>
            <w:hideMark/>
          </w:tcPr>
          <w:p w14:paraId="37A7E081" w14:textId="77777777" w:rsidR="00727A69" w:rsidRPr="004F1C7B" w:rsidRDefault="00727A69" w:rsidP="00727A69">
            <w:pPr>
              <w:keepNext/>
              <w:keepLines/>
              <w:rPr>
                <w:rFonts w:ascii="Times New Roman" w:hAnsi="Times New Roman" w:cs="Times New Roman"/>
                <w:sz w:val="20"/>
              </w:rPr>
            </w:pPr>
            <w:r w:rsidRPr="00C80189">
              <w:rPr>
                <w:rFonts w:ascii="Times New Roman" w:hAnsi="Times New Roman" w:cs="Times New Roman"/>
                <w:color w:val="000000"/>
                <w:sz w:val="20"/>
              </w:rPr>
              <w:t> </w:t>
            </w:r>
          </w:p>
        </w:tc>
        <w:tc>
          <w:tcPr>
            <w:tcW w:w="990" w:type="dxa"/>
            <w:tcBorders>
              <w:top w:val="nil"/>
              <w:left w:val="nil"/>
              <w:bottom w:val="single" w:sz="8" w:space="0" w:color="auto"/>
              <w:right w:val="nil"/>
            </w:tcBorders>
            <w:noWrap/>
            <w:tcMar>
              <w:top w:w="0" w:type="dxa"/>
              <w:left w:w="108" w:type="dxa"/>
              <w:bottom w:w="0" w:type="dxa"/>
              <w:right w:w="108" w:type="dxa"/>
            </w:tcMar>
            <w:vAlign w:val="bottom"/>
            <w:hideMark/>
          </w:tcPr>
          <w:p w14:paraId="3E5C8CD4" w14:textId="22E54008" w:rsidR="00727A69" w:rsidRPr="0080707A" w:rsidRDefault="00727A69" w:rsidP="004F4841">
            <w:pPr>
              <w:keepNext/>
              <w:keepLines/>
              <w:jc w:val="right"/>
              <w:rPr>
                <w:rFonts w:ascii="Times New Roman" w:hAnsi="Times New Roman" w:cs="Times New Roman"/>
                <w:sz w:val="20"/>
              </w:rPr>
            </w:pPr>
            <w:r w:rsidRPr="00C05904">
              <w:rPr>
                <w:rFonts w:ascii="Times New Roman" w:hAnsi="Times New Roman" w:cs="Times New Roman"/>
                <w:b/>
                <w:bCs/>
                <w:color w:val="000000"/>
                <w:sz w:val="20"/>
              </w:rPr>
              <w:t>FY</w:t>
            </w:r>
            <w:r w:rsidR="004F4841" w:rsidRPr="0080707A">
              <w:rPr>
                <w:rFonts w:ascii="Times New Roman" w:hAnsi="Times New Roman" w:cs="Times New Roman"/>
                <w:b/>
                <w:bCs/>
                <w:color w:val="000000"/>
                <w:sz w:val="20"/>
              </w:rPr>
              <w:t xml:space="preserve"> 2</w:t>
            </w:r>
            <w:r w:rsidRPr="0080707A">
              <w:rPr>
                <w:rFonts w:ascii="Times New Roman" w:hAnsi="Times New Roman" w:cs="Times New Roman"/>
                <w:b/>
                <w:bCs/>
                <w:color w:val="000000"/>
                <w:sz w:val="20"/>
              </w:rPr>
              <w:t>015</w:t>
            </w:r>
          </w:p>
        </w:tc>
        <w:tc>
          <w:tcPr>
            <w:tcW w:w="991" w:type="dxa"/>
            <w:tcBorders>
              <w:top w:val="nil"/>
              <w:left w:val="nil"/>
              <w:bottom w:val="single" w:sz="8" w:space="0" w:color="auto"/>
              <w:right w:val="nil"/>
            </w:tcBorders>
            <w:noWrap/>
            <w:tcMar>
              <w:top w:w="0" w:type="dxa"/>
              <w:left w:w="108" w:type="dxa"/>
              <w:bottom w:w="0" w:type="dxa"/>
              <w:right w:w="108" w:type="dxa"/>
            </w:tcMar>
            <w:vAlign w:val="bottom"/>
            <w:hideMark/>
          </w:tcPr>
          <w:p w14:paraId="7F93844B" w14:textId="72799681" w:rsidR="00727A69" w:rsidRPr="00C80189" w:rsidRDefault="00727A69" w:rsidP="004F4841">
            <w:pPr>
              <w:keepNext/>
              <w:keepLines/>
              <w:tabs>
                <w:tab w:val="center" w:pos="4320"/>
                <w:tab w:val="right" w:pos="8640"/>
              </w:tabs>
              <w:jc w:val="right"/>
              <w:rPr>
                <w:rFonts w:ascii="Times New Roman" w:hAnsi="Times New Roman" w:cs="Times New Roman"/>
                <w:sz w:val="20"/>
              </w:rPr>
            </w:pPr>
            <w:r w:rsidRPr="00C80189">
              <w:rPr>
                <w:rFonts w:ascii="Times New Roman" w:hAnsi="Times New Roman" w:cs="Times New Roman"/>
                <w:b/>
                <w:bCs/>
                <w:color w:val="000000"/>
                <w:sz w:val="20"/>
              </w:rPr>
              <w:t>FY</w:t>
            </w:r>
            <w:r w:rsidR="004F4841" w:rsidRPr="00C80189">
              <w:rPr>
                <w:rFonts w:ascii="Times New Roman" w:hAnsi="Times New Roman" w:cs="Times New Roman"/>
                <w:b/>
                <w:bCs/>
                <w:color w:val="000000"/>
                <w:sz w:val="20"/>
              </w:rPr>
              <w:t xml:space="preserve"> 2</w:t>
            </w:r>
            <w:r w:rsidRPr="00C80189">
              <w:rPr>
                <w:rFonts w:ascii="Times New Roman" w:hAnsi="Times New Roman" w:cs="Times New Roman"/>
                <w:b/>
                <w:bCs/>
                <w:color w:val="000000"/>
                <w:sz w:val="20"/>
              </w:rPr>
              <w:t>016</w:t>
            </w:r>
          </w:p>
        </w:tc>
        <w:tc>
          <w:tcPr>
            <w:tcW w:w="1057" w:type="dxa"/>
            <w:tcBorders>
              <w:top w:val="nil"/>
              <w:left w:val="nil"/>
              <w:bottom w:val="single" w:sz="8" w:space="0" w:color="auto"/>
              <w:right w:val="nil"/>
            </w:tcBorders>
            <w:noWrap/>
            <w:tcMar>
              <w:top w:w="0" w:type="dxa"/>
              <w:left w:w="108" w:type="dxa"/>
              <w:bottom w:w="0" w:type="dxa"/>
              <w:right w:w="108" w:type="dxa"/>
            </w:tcMar>
            <w:vAlign w:val="bottom"/>
            <w:hideMark/>
          </w:tcPr>
          <w:p w14:paraId="594724EF" w14:textId="1E4046B5" w:rsidR="00727A69" w:rsidRPr="00C80189" w:rsidRDefault="00727A69" w:rsidP="004F4841">
            <w:pPr>
              <w:keepNext/>
              <w:keepLines/>
              <w:tabs>
                <w:tab w:val="center" w:pos="4320"/>
                <w:tab w:val="right" w:pos="8640"/>
              </w:tabs>
              <w:jc w:val="right"/>
              <w:rPr>
                <w:rFonts w:ascii="Times New Roman" w:hAnsi="Times New Roman" w:cs="Times New Roman"/>
                <w:sz w:val="20"/>
              </w:rPr>
            </w:pPr>
            <w:r w:rsidRPr="00C80189">
              <w:rPr>
                <w:rFonts w:ascii="Times New Roman" w:hAnsi="Times New Roman" w:cs="Times New Roman"/>
                <w:b/>
                <w:bCs/>
                <w:color w:val="000000"/>
                <w:sz w:val="20"/>
              </w:rPr>
              <w:t>FY</w:t>
            </w:r>
            <w:r w:rsidR="004F4841" w:rsidRPr="00C80189">
              <w:rPr>
                <w:rFonts w:ascii="Times New Roman" w:hAnsi="Times New Roman" w:cs="Times New Roman"/>
                <w:b/>
                <w:bCs/>
                <w:color w:val="000000"/>
                <w:sz w:val="20"/>
              </w:rPr>
              <w:t xml:space="preserve"> 2</w:t>
            </w:r>
            <w:r w:rsidRPr="00C80189">
              <w:rPr>
                <w:rFonts w:ascii="Times New Roman" w:hAnsi="Times New Roman" w:cs="Times New Roman"/>
                <w:b/>
                <w:bCs/>
                <w:color w:val="000000"/>
                <w:sz w:val="20"/>
              </w:rPr>
              <w:t>017</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1960D00D" w14:textId="77777777" w:rsidR="00727A69" w:rsidRPr="00C80189" w:rsidRDefault="00727A69" w:rsidP="00727A69">
            <w:pPr>
              <w:keepNext/>
              <w:keepLines/>
              <w:tabs>
                <w:tab w:val="center" w:pos="4320"/>
                <w:tab w:val="right" w:pos="8640"/>
              </w:tabs>
              <w:jc w:val="right"/>
              <w:rPr>
                <w:rFonts w:ascii="Times New Roman" w:hAnsi="Times New Roman" w:cs="Times New Roman"/>
                <w:sz w:val="20"/>
              </w:rPr>
            </w:pPr>
            <w:r w:rsidRPr="00C80189">
              <w:rPr>
                <w:rFonts w:ascii="Times New Roman" w:hAnsi="Times New Roman" w:cs="Times New Roman"/>
                <w:b/>
                <w:bCs/>
                <w:color w:val="000000"/>
                <w:sz w:val="20"/>
              </w:rPr>
              <w:t>FY 2018</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14:paraId="321A336D" w14:textId="77777777" w:rsidR="00727A69" w:rsidRPr="00C80189" w:rsidRDefault="00727A69" w:rsidP="00727A69">
            <w:pPr>
              <w:keepNext/>
              <w:keepLines/>
              <w:tabs>
                <w:tab w:val="center" w:pos="4320"/>
                <w:tab w:val="right" w:pos="8640"/>
              </w:tabs>
              <w:jc w:val="right"/>
              <w:rPr>
                <w:rFonts w:ascii="Times New Roman" w:hAnsi="Times New Roman" w:cs="Times New Roman"/>
                <w:sz w:val="20"/>
              </w:rPr>
            </w:pPr>
            <w:r w:rsidRPr="00C80189">
              <w:rPr>
                <w:rFonts w:ascii="Times New Roman" w:hAnsi="Times New Roman" w:cs="Times New Roman"/>
                <w:b/>
                <w:bCs/>
                <w:color w:val="000000"/>
                <w:sz w:val="20"/>
              </w:rPr>
              <w:t>FY 2019</w:t>
            </w:r>
          </w:p>
        </w:tc>
      </w:tr>
      <w:tr w:rsidR="00727A69" w:rsidRPr="00C80189" w14:paraId="0D8FABFB" w14:textId="77777777" w:rsidTr="004F4841">
        <w:trPr>
          <w:trHeight w:val="315"/>
          <w:jc w:val="center"/>
        </w:trPr>
        <w:tc>
          <w:tcPr>
            <w:tcW w:w="2077" w:type="dxa"/>
            <w:noWrap/>
            <w:tcMar>
              <w:top w:w="0" w:type="dxa"/>
              <w:left w:w="108" w:type="dxa"/>
              <w:bottom w:w="0" w:type="dxa"/>
              <w:right w:w="108" w:type="dxa"/>
            </w:tcMar>
            <w:vAlign w:val="bottom"/>
            <w:hideMark/>
          </w:tcPr>
          <w:p w14:paraId="054C73F7" w14:textId="77777777" w:rsidR="00727A69" w:rsidRPr="004F1C7B" w:rsidRDefault="00727A69" w:rsidP="00727A69">
            <w:pPr>
              <w:keepNext/>
              <w:keepLines/>
              <w:rPr>
                <w:rFonts w:ascii="Times New Roman" w:hAnsi="Times New Roman" w:cs="Times New Roman"/>
                <w:sz w:val="20"/>
              </w:rPr>
            </w:pPr>
            <w:r w:rsidRPr="00C80189">
              <w:rPr>
                <w:rFonts w:ascii="Times New Roman" w:hAnsi="Times New Roman" w:cs="Times New Roman"/>
                <w:b/>
                <w:bCs/>
                <w:color w:val="000000"/>
                <w:sz w:val="20"/>
              </w:rPr>
              <w:t>Voice (fixed+mobile)</w:t>
            </w:r>
          </w:p>
        </w:tc>
        <w:tc>
          <w:tcPr>
            <w:tcW w:w="990" w:type="dxa"/>
            <w:noWrap/>
            <w:tcMar>
              <w:top w:w="0" w:type="dxa"/>
              <w:left w:w="108" w:type="dxa"/>
              <w:bottom w:w="0" w:type="dxa"/>
              <w:right w:w="108" w:type="dxa"/>
            </w:tcMar>
            <w:vAlign w:val="bottom"/>
            <w:hideMark/>
          </w:tcPr>
          <w:p w14:paraId="61098B18" w14:textId="2752A385" w:rsidR="00727A69" w:rsidRPr="0080707A" w:rsidRDefault="009F3626" w:rsidP="00727A69">
            <w:pPr>
              <w:keepNext/>
              <w:keepLines/>
              <w:jc w:val="right"/>
              <w:rPr>
                <w:rFonts w:ascii="Times New Roman" w:hAnsi="Times New Roman" w:cs="Times New Roman"/>
                <w:sz w:val="20"/>
              </w:rPr>
            </w:pPr>
            <w:r w:rsidRPr="00C05904">
              <w:rPr>
                <w:rFonts w:ascii="Times New Roman" w:hAnsi="Times New Roman" w:cs="Times New Roman"/>
                <w:color w:val="000000"/>
                <w:sz w:val="20"/>
              </w:rPr>
              <w:t>$</w:t>
            </w:r>
            <w:r w:rsidR="00727A69" w:rsidRPr="0080707A">
              <w:rPr>
                <w:rFonts w:ascii="Times New Roman" w:hAnsi="Times New Roman" w:cs="Times New Roman"/>
                <w:color w:val="000000"/>
                <w:sz w:val="20"/>
              </w:rPr>
              <w:t>24</w:t>
            </w:r>
            <w:r w:rsidR="00FB209F" w:rsidRPr="0080707A">
              <w:rPr>
                <w:rFonts w:ascii="Times New Roman" w:hAnsi="Times New Roman" w:cs="Times New Roman"/>
                <w:color w:val="000000"/>
                <w:sz w:val="20"/>
              </w:rPr>
              <w:t>2</w:t>
            </w:r>
          </w:p>
        </w:tc>
        <w:tc>
          <w:tcPr>
            <w:tcW w:w="991" w:type="dxa"/>
            <w:noWrap/>
            <w:tcMar>
              <w:top w:w="0" w:type="dxa"/>
              <w:left w:w="108" w:type="dxa"/>
              <w:bottom w:w="0" w:type="dxa"/>
              <w:right w:w="108" w:type="dxa"/>
            </w:tcMar>
            <w:vAlign w:val="bottom"/>
            <w:hideMark/>
          </w:tcPr>
          <w:p w14:paraId="4629F2AF" w14:textId="2857E9A7" w:rsidR="00727A69" w:rsidRPr="00C80189" w:rsidRDefault="009F3626" w:rsidP="00727A69">
            <w:pPr>
              <w:keepNext/>
              <w:keepLines/>
              <w:jc w:val="right"/>
              <w:rPr>
                <w:rFonts w:ascii="Times New Roman" w:hAnsi="Times New Roman" w:cs="Times New Roman"/>
                <w:sz w:val="20"/>
              </w:rPr>
            </w:pPr>
            <w:r w:rsidRPr="00C80189">
              <w:rPr>
                <w:rFonts w:ascii="Times New Roman" w:hAnsi="Times New Roman" w:cs="Times New Roman"/>
                <w:color w:val="000000"/>
                <w:sz w:val="20"/>
              </w:rPr>
              <w:t>$</w:t>
            </w:r>
            <w:r w:rsidR="00727A69" w:rsidRPr="00C80189">
              <w:rPr>
                <w:rFonts w:ascii="Times New Roman" w:hAnsi="Times New Roman" w:cs="Times New Roman"/>
                <w:color w:val="000000"/>
                <w:sz w:val="20"/>
              </w:rPr>
              <w:t>48</w:t>
            </w:r>
            <w:r w:rsidR="00FB209F" w:rsidRPr="00C80189">
              <w:rPr>
                <w:rFonts w:ascii="Times New Roman" w:hAnsi="Times New Roman" w:cs="Times New Roman"/>
                <w:color w:val="000000"/>
                <w:sz w:val="20"/>
              </w:rPr>
              <w:t>2</w:t>
            </w:r>
          </w:p>
        </w:tc>
        <w:tc>
          <w:tcPr>
            <w:tcW w:w="1057" w:type="dxa"/>
            <w:noWrap/>
            <w:tcMar>
              <w:top w:w="0" w:type="dxa"/>
              <w:left w:w="108" w:type="dxa"/>
              <w:bottom w:w="0" w:type="dxa"/>
              <w:right w:w="108" w:type="dxa"/>
            </w:tcMar>
            <w:vAlign w:val="bottom"/>
            <w:hideMark/>
          </w:tcPr>
          <w:p w14:paraId="524FEAAE" w14:textId="4FAB7852" w:rsidR="00727A69" w:rsidRPr="00C80189" w:rsidRDefault="009F3626" w:rsidP="00727A69">
            <w:pPr>
              <w:keepNext/>
              <w:keepLines/>
              <w:jc w:val="right"/>
              <w:rPr>
                <w:rFonts w:ascii="Times New Roman" w:hAnsi="Times New Roman" w:cs="Times New Roman"/>
                <w:sz w:val="20"/>
              </w:rPr>
            </w:pPr>
            <w:r w:rsidRPr="00C80189">
              <w:rPr>
                <w:rFonts w:ascii="Times New Roman" w:hAnsi="Times New Roman" w:cs="Times New Roman"/>
                <w:color w:val="000000"/>
                <w:sz w:val="20"/>
              </w:rPr>
              <w:t>$</w:t>
            </w:r>
            <w:r w:rsidR="00727A69" w:rsidRPr="00C80189">
              <w:rPr>
                <w:rFonts w:ascii="Times New Roman" w:hAnsi="Times New Roman" w:cs="Times New Roman"/>
                <w:color w:val="000000"/>
                <w:sz w:val="20"/>
              </w:rPr>
              <w:t>68</w:t>
            </w:r>
            <w:r w:rsidR="00FB209F" w:rsidRPr="00C80189">
              <w:rPr>
                <w:rFonts w:ascii="Times New Roman" w:hAnsi="Times New Roman" w:cs="Times New Roman"/>
                <w:color w:val="000000"/>
                <w:sz w:val="20"/>
              </w:rPr>
              <w:t>9</w:t>
            </w:r>
          </w:p>
        </w:tc>
        <w:tc>
          <w:tcPr>
            <w:tcW w:w="960" w:type="dxa"/>
            <w:noWrap/>
            <w:tcMar>
              <w:top w:w="0" w:type="dxa"/>
              <w:left w:w="108" w:type="dxa"/>
              <w:bottom w:w="0" w:type="dxa"/>
              <w:right w:w="108" w:type="dxa"/>
            </w:tcMar>
            <w:vAlign w:val="bottom"/>
            <w:hideMark/>
          </w:tcPr>
          <w:p w14:paraId="5EEAFD82" w14:textId="0033B4AA" w:rsidR="00727A69" w:rsidRPr="00C80189" w:rsidRDefault="009F3626" w:rsidP="00FB209F">
            <w:pPr>
              <w:keepNext/>
              <w:keepLines/>
              <w:jc w:val="right"/>
              <w:rPr>
                <w:rFonts w:ascii="Times New Roman" w:hAnsi="Times New Roman" w:cs="Times New Roman"/>
                <w:sz w:val="20"/>
              </w:rPr>
            </w:pPr>
            <w:r w:rsidRPr="00C80189">
              <w:rPr>
                <w:rFonts w:ascii="Times New Roman" w:hAnsi="Times New Roman" w:cs="Times New Roman"/>
                <w:color w:val="000000"/>
                <w:sz w:val="20"/>
              </w:rPr>
              <w:t>$</w:t>
            </w:r>
            <w:r w:rsidR="00FB209F" w:rsidRPr="00C80189">
              <w:rPr>
                <w:rFonts w:ascii="Times New Roman" w:hAnsi="Times New Roman" w:cs="Times New Roman"/>
                <w:color w:val="000000"/>
                <w:sz w:val="20"/>
              </w:rPr>
              <w:t>837</w:t>
            </w:r>
          </w:p>
        </w:tc>
        <w:tc>
          <w:tcPr>
            <w:tcW w:w="960" w:type="dxa"/>
            <w:noWrap/>
            <w:tcMar>
              <w:top w:w="0" w:type="dxa"/>
              <w:left w:w="108" w:type="dxa"/>
              <w:bottom w:w="0" w:type="dxa"/>
              <w:right w:w="108" w:type="dxa"/>
            </w:tcMar>
            <w:vAlign w:val="bottom"/>
            <w:hideMark/>
          </w:tcPr>
          <w:p w14:paraId="780C5E6E" w14:textId="5AA68D30" w:rsidR="00727A69" w:rsidRPr="00C80189" w:rsidRDefault="009F3626" w:rsidP="00727A69">
            <w:pPr>
              <w:keepNext/>
              <w:keepLines/>
              <w:jc w:val="right"/>
              <w:rPr>
                <w:rFonts w:ascii="Times New Roman" w:hAnsi="Times New Roman" w:cs="Times New Roman"/>
                <w:sz w:val="20"/>
              </w:rPr>
            </w:pPr>
            <w:r w:rsidRPr="00C80189">
              <w:rPr>
                <w:rFonts w:ascii="Times New Roman" w:hAnsi="Times New Roman" w:cs="Times New Roman"/>
                <w:color w:val="000000"/>
                <w:sz w:val="20"/>
              </w:rPr>
              <w:t>$</w:t>
            </w:r>
            <w:r w:rsidR="00727A69" w:rsidRPr="00C80189">
              <w:rPr>
                <w:rFonts w:ascii="Times New Roman" w:hAnsi="Times New Roman" w:cs="Times New Roman"/>
                <w:color w:val="000000"/>
                <w:sz w:val="20"/>
              </w:rPr>
              <w:t>86</w:t>
            </w:r>
            <w:r w:rsidR="00FB209F" w:rsidRPr="00C80189">
              <w:rPr>
                <w:rFonts w:ascii="Times New Roman" w:hAnsi="Times New Roman" w:cs="Times New Roman"/>
                <w:color w:val="000000"/>
                <w:sz w:val="20"/>
              </w:rPr>
              <w:t>8</w:t>
            </w:r>
          </w:p>
        </w:tc>
      </w:tr>
      <w:tr w:rsidR="00727A69" w:rsidRPr="00C80189" w14:paraId="77F26E15" w14:textId="77777777" w:rsidTr="004F4841">
        <w:trPr>
          <w:trHeight w:val="315"/>
          <w:jc w:val="center"/>
        </w:trPr>
        <w:tc>
          <w:tcPr>
            <w:tcW w:w="2077" w:type="dxa"/>
            <w:noWrap/>
            <w:tcMar>
              <w:top w:w="0" w:type="dxa"/>
              <w:left w:w="108" w:type="dxa"/>
              <w:bottom w:w="0" w:type="dxa"/>
              <w:right w:w="108" w:type="dxa"/>
            </w:tcMar>
            <w:vAlign w:val="bottom"/>
            <w:hideMark/>
          </w:tcPr>
          <w:p w14:paraId="5BC58623" w14:textId="77777777" w:rsidR="00727A69" w:rsidRPr="004F1C7B" w:rsidRDefault="00727A69" w:rsidP="00727A69">
            <w:pPr>
              <w:keepNext/>
              <w:keepLines/>
              <w:rPr>
                <w:rFonts w:ascii="Times New Roman" w:hAnsi="Times New Roman" w:cs="Times New Roman"/>
                <w:sz w:val="20"/>
              </w:rPr>
            </w:pPr>
            <w:r w:rsidRPr="00C80189">
              <w:rPr>
                <w:rFonts w:ascii="Times New Roman" w:hAnsi="Times New Roman" w:cs="Times New Roman"/>
                <w:b/>
                <w:bCs/>
                <w:color w:val="000000"/>
                <w:sz w:val="20"/>
              </w:rPr>
              <w:t>Other</w:t>
            </w:r>
          </w:p>
        </w:tc>
        <w:tc>
          <w:tcPr>
            <w:tcW w:w="990" w:type="dxa"/>
            <w:noWrap/>
            <w:tcMar>
              <w:top w:w="0" w:type="dxa"/>
              <w:left w:w="108" w:type="dxa"/>
              <w:bottom w:w="0" w:type="dxa"/>
              <w:right w:w="108" w:type="dxa"/>
            </w:tcMar>
            <w:vAlign w:val="bottom"/>
            <w:hideMark/>
          </w:tcPr>
          <w:p w14:paraId="43B7D145" w14:textId="499AAD44" w:rsidR="00727A69" w:rsidRPr="0080707A" w:rsidRDefault="009F3626" w:rsidP="00727A69">
            <w:pPr>
              <w:keepNext/>
              <w:keepLines/>
              <w:jc w:val="right"/>
              <w:rPr>
                <w:rFonts w:ascii="Times New Roman" w:hAnsi="Times New Roman" w:cs="Times New Roman"/>
                <w:sz w:val="20"/>
              </w:rPr>
            </w:pPr>
            <w:r w:rsidRPr="00C05904">
              <w:rPr>
                <w:rFonts w:ascii="Times New Roman" w:hAnsi="Times New Roman" w:cs="Times New Roman"/>
                <w:color w:val="000000"/>
                <w:sz w:val="20"/>
              </w:rPr>
              <w:t>$</w:t>
            </w:r>
            <w:r w:rsidR="00727A69" w:rsidRPr="0080707A">
              <w:rPr>
                <w:rFonts w:ascii="Times New Roman" w:hAnsi="Times New Roman" w:cs="Times New Roman"/>
                <w:color w:val="000000"/>
                <w:sz w:val="20"/>
              </w:rPr>
              <w:t>100</w:t>
            </w:r>
          </w:p>
        </w:tc>
        <w:tc>
          <w:tcPr>
            <w:tcW w:w="991" w:type="dxa"/>
            <w:noWrap/>
            <w:tcMar>
              <w:top w:w="0" w:type="dxa"/>
              <w:left w:w="108" w:type="dxa"/>
              <w:bottom w:w="0" w:type="dxa"/>
              <w:right w:w="108" w:type="dxa"/>
            </w:tcMar>
            <w:vAlign w:val="bottom"/>
            <w:hideMark/>
          </w:tcPr>
          <w:p w14:paraId="7DE414C3" w14:textId="4D1C1692" w:rsidR="00727A69" w:rsidRPr="00C80189" w:rsidRDefault="009F3626" w:rsidP="00727A69">
            <w:pPr>
              <w:keepNext/>
              <w:keepLines/>
              <w:jc w:val="right"/>
              <w:rPr>
                <w:rFonts w:ascii="Times New Roman" w:hAnsi="Times New Roman" w:cs="Times New Roman"/>
                <w:sz w:val="20"/>
              </w:rPr>
            </w:pPr>
            <w:r w:rsidRPr="00C80189">
              <w:rPr>
                <w:rFonts w:ascii="Times New Roman" w:hAnsi="Times New Roman" w:cs="Times New Roman"/>
                <w:color w:val="000000"/>
                <w:sz w:val="20"/>
              </w:rPr>
              <w:t>$</w:t>
            </w:r>
            <w:r w:rsidR="00727A69" w:rsidRPr="00C80189">
              <w:rPr>
                <w:rFonts w:ascii="Times New Roman" w:hAnsi="Times New Roman" w:cs="Times New Roman"/>
                <w:color w:val="000000"/>
                <w:sz w:val="20"/>
              </w:rPr>
              <w:t>100</w:t>
            </w:r>
          </w:p>
        </w:tc>
        <w:tc>
          <w:tcPr>
            <w:tcW w:w="1057" w:type="dxa"/>
            <w:noWrap/>
            <w:tcMar>
              <w:top w:w="0" w:type="dxa"/>
              <w:left w:w="108" w:type="dxa"/>
              <w:bottom w:w="0" w:type="dxa"/>
              <w:right w:w="108" w:type="dxa"/>
            </w:tcMar>
            <w:vAlign w:val="bottom"/>
            <w:hideMark/>
          </w:tcPr>
          <w:p w14:paraId="31FD6EBB" w14:textId="462C8E53" w:rsidR="00727A69" w:rsidRPr="00C80189" w:rsidRDefault="009F3626" w:rsidP="00727A69">
            <w:pPr>
              <w:keepNext/>
              <w:keepLines/>
              <w:jc w:val="right"/>
              <w:rPr>
                <w:rFonts w:ascii="Times New Roman" w:hAnsi="Times New Roman" w:cs="Times New Roman"/>
                <w:sz w:val="20"/>
              </w:rPr>
            </w:pPr>
            <w:r w:rsidRPr="00C80189">
              <w:rPr>
                <w:rFonts w:ascii="Times New Roman" w:hAnsi="Times New Roman" w:cs="Times New Roman"/>
                <w:color w:val="000000"/>
                <w:sz w:val="20"/>
              </w:rPr>
              <w:t>$</w:t>
            </w:r>
            <w:r w:rsidR="00727A69" w:rsidRPr="00C80189">
              <w:rPr>
                <w:rFonts w:ascii="Times New Roman" w:hAnsi="Times New Roman" w:cs="Times New Roman"/>
                <w:color w:val="000000"/>
                <w:sz w:val="20"/>
              </w:rPr>
              <w:t>100</w:t>
            </w:r>
          </w:p>
        </w:tc>
        <w:tc>
          <w:tcPr>
            <w:tcW w:w="960" w:type="dxa"/>
            <w:noWrap/>
            <w:tcMar>
              <w:top w:w="0" w:type="dxa"/>
              <w:left w:w="108" w:type="dxa"/>
              <w:bottom w:w="0" w:type="dxa"/>
              <w:right w:w="108" w:type="dxa"/>
            </w:tcMar>
            <w:vAlign w:val="bottom"/>
            <w:hideMark/>
          </w:tcPr>
          <w:p w14:paraId="628DD95E" w14:textId="422CA7C2" w:rsidR="00727A69" w:rsidRPr="00C80189" w:rsidRDefault="009F3626" w:rsidP="00727A69">
            <w:pPr>
              <w:keepNext/>
              <w:keepLines/>
              <w:jc w:val="right"/>
              <w:rPr>
                <w:rFonts w:ascii="Times New Roman" w:hAnsi="Times New Roman" w:cs="Times New Roman"/>
                <w:sz w:val="20"/>
              </w:rPr>
            </w:pPr>
            <w:r w:rsidRPr="00C80189">
              <w:rPr>
                <w:rFonts w:ascii="Times New Roman" w:hAnsi="Times New Roman" w:cs="Times New Roman"/>
                <w:color w:val="000000"/>
                <w:sz w:val="20"/>
              </w:rPr>
              <w:t>$</w:t>
            </w:r>
            <w:r w:rsidR="00727A69" w:rsidRPr="00C80189">
              <w:rPr>
                <w:rFonts w:ascii="Times New Roman" w:hAnsi="Times New Roman" w:cs="Times New Roman"/>
                <w:color w:val="000000"/>
                <w:sz w:val="20"/>
              </w:rPr>
              <w:t>100</w:t>
            </w:r>
          </w:p>
        </w:tc>
        <w:tc>
          <w:tcPr>
            <w:tcW w:w="960" w:type="dxa"/>
            <w:noWrap/>
            <w:tcMar>
              <w:top w:w="0" w:type="dxa"/>
              <w:left w:w="108" w:type="dxa"/>
              <w:bottom w:w="0" w:type="dxa"/>
              <w:right w:w="108" w:type="dxa"/>
            </w:tcMar>
            <w:vAlign w:val="bottom"/>
            <w:hideMark/>
          </w:tcPr>
          <w:p w14:paraId="76D8D864" w14:textId="53C0F82B" w:rsidR="00727A69" w:rsidRPr="00C80189" w:rsidRDefault="009F3626" w:rsidP="00727A69">
            <w:pPr>
              <w:keepNext/>
              <w:keepLines/>
              <w:jc w:val="right"/>
              <w:rPr>
                <w:rFonts w:ascii="Times New Roman" w:hAnsi="Times New Roman" w:cs="Times New Roman"/>
                <w:sz w:val="20"/>
              </w:rPr>
            </w:pPr>
            <w:r w:rsidRPr="00C80189">
              <w:rPr>
                <w:rFonts w:ascii="Times New Roman" w:hAnsi="Times New Roman" w:cs="Times New Roman"/>
                <w:color w:val="000000"/>
                <w:sz w:val="20"/>
              </w:rPr>
              <w:t>$</w:t>
            </w:r>
            <w:r w:rsidR="00727A69" w:rsidRPr="00C80189">
              <w:rPr>
                <w:rFonts w:ascii="Times New Roman" w:hAnsi="Times New Roman" w:cs="Times New Roman"/>
                <w:color w:val="000000"/>
                <w:sz w:val="20"/>
              </w:rPr>
              <w:t>100</w:t>
            </w:r>
          </w:p>
        </w:tc>
      </w:tr>
      <w:tr w:rsidR="00727A69" w:rsidRPr="00C80189" w14:paraId="1B00A03D" w14:textId="77777777" w:rsidTr="004F4841">
        <w:trPr>
          <w:trHeight w:val="330"/>
          <w:jc w:val="center"/>
        </w:trPr>
        <w:tc>
          <w:tcPr>
            <w:tcW w:w="207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2A762247" w14:textId="77777777" w:rsidR="00727A69" w:rsidRPr="004F1C7B" w:rsidRDefault="00727A69" w:rsidP="00727A69">
            <w:pPr>
              <w:keepNext/>
              <w:keepLines/>
              <w:rPr>
                <w:rFonts w:ascii="Times New Roman" w:hAnsi="Times New Roman" w:cs="Times New Roman"/>
                <w:sz w:val="20"/>
              </w:rPr>
            </w:pPr>
            <w:r w:rsidRPr="00C80189">
              <w:rPr>
                <w:rFonts w:ascii="Times New Roman" w:hAnsi="Times New Roman" w:cs="Times New Roman"/>
                <w:b/>
                <w:bCs/>
                <w:color w:val="000000"/>
                <w:sz w:val="20"/>
              </w:rPr>
              <w:t>TOTAL</w:t>
            </w:r>
          </w:p>
        </w:tc>
        <w:tc>
          <w:tcPr>
            <w:tcW w:w="99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110DC102" w14:textId="42834374" w:rsidR="00727A69" w:rsidRPr="0080707A" w:rsidRDefault="009F3626" w:rsidP="00727A69">
            <w:pPr>
              <w:keepNext/>
              <w:keepLines/>
              <w:jc w:val="right"/>
              <w:rPr>
                <w:rFonts w:ascii="Times New Roman" w:hAnsi="Times New Roman" w:cs="Times New Roman"/>
                <w:sz w:val="20"/>
              </w:rPr>
            </w:pPr>
            <w:r w:rsidRPr="00C05904">
              <w:rPr>
                <w:rFonts w:ascii="Times New Roman" w:hAnsi="Times New Roman" w:cs="Times New Roman"/>
                <w:b/>
                <w:bCs/>
                <w:color w:val="000000"/>
                <w:sz w:val="20"/>
              </w:rPr>
              <w:t>$</w:t>
            </w:r>
            <w:r w:rsidR="00727A69" w:rsidRPr="0080707A">
              <w:rPr>
                <w:rFonts w:ascii="Times New Roman" w:hAnsi="Times New Roman" w:cs="Times New Roman"/>
                <w:b/>
                <w:bCs/>
                <w:color w:val="000000"/>
                <w:sz w:val="20"/>
              </w:rPr>
              <w:t>34</w:t>
            </w:r>
            <w:r w:rsidR="00FB209F" w:rsidRPr="0080707A">
              <w:rPr>
                <w:rFonts w:ascii="Times New Roman" w:hAnsi="Times New Roman" w:cs="Times New Roman"/>
                <w:b/>
                <w:bCs/>
                <w:color w:val="000000"/>
                <w:sz w:val="20"/>
              </w:rPr>
              <w:t>2</w:t>
            </w:r>
          </w:p>
        </w:tc>
        <w:tc>
          <w:tcPr>
            <w:tcW w:w="991"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57B21A94" w14:textId="40BF9946" w:rsidR="00727A69" w:rsidRPr="00C80189" w:rsidRDefault="009F3626" w:rsidP="00727A69">
            <w:pPr>
              <w:keepNext/>
              <w:keepLines/>
              <w:jc w:val="right"/>
              <w:rPr>
                <w:rFonts w:ascii="Times New Roman" w:hAnsi="Times New Roman" w:cs="Times New Roman"/>
                <w:sz w:val="20"/>
              </w:rPr>
            </w:pPr>
            <w:r w:rsidRPr="00C80189">
              <w:rPr>
                <w:rFonts w:ascii="Times New Roman" w:hAnsi="Times New Roman" w:cs="Times New Roman"/>
                <w:b/>
                <w:bCs/>
                <w:color w:val="000000"/>
                <w:sz w:val="20"/>
              </w:rPr>
              <w:t>$</w:t>
            </w:r>
            <w:r w:rsidR="00727A69" w:rsidRPr="00C80189">
              <w:rPr>
                <w:rFonts w:ascii="Times New Roman" w:hAnsi="Times New Roman" w:cs="Times New Roman"/>
                <w:b/>
                <w:bCs/>
                <w:color w:val="000000"/>
                <w:sz w:val="20"/>
              </w:rPr>
              <w:t>58</w:t>
            </w:r>
            <w:r w:rsidR="00FB209F" w:rsidRPr="00C80189">
              <w:rPr>
                <w:rFonts w:ascii="Times New Roman" w:hAnsi="Times New Roman" w:cs="Times New Roman"/>
                <w:b/>
                <w:bCs/>
                <w:color w:val="000000"/>
                <w:sz w:val="20"/>
              </w:rPr>
              <w:t>2</w:t>
            </w:r>
          </w:p>
        </w:tc>
        <w:tc>
          <w:tcPr>
            <w:tcW w:w="105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66B28A16" w14:textId="1167EDFF" w:rsidR="00727A69" w:rsidRPr="00C80189" w:rsidRDefault="009F3626" w:rsidP="00727A69">
            <w:pPr>
              <w:keepNext/>
              <w:keepLines/>
              <w:jc w:val="right"/>
              <w:rPr>
                <w:rFonts w:ascii="Times New Roman" w:hAnsi="Times New Roman" w:cs="Times New Roman"/>
                <w:sz w:val="20"/>
              </w:rPr>
            </w:pPr>
            <w:r w:rsidRPr="00C80189">
              <w:rPr>
                <w:rFonts w:ascii="Times New Roman" w:hAnsi="Times New Roman" w:cs="Times New Roman"/>
                <w:b/>
                <w:bCs/>
                <w:color w:val="000000"/>
                <w:sz w:val="20"/>
              </w:rPr>
              <w:t>$</w:t>
            </w:r>
            <w:r w:rsidR="00727A69" w:rsidRPr="00C80189">
              <w:rPr>
                <w:rFonts w:ascii="Times New Roman" w:hAnsi="Times New Roman" w:cs="Times New Roman"/>
                <w:b/>
                <w:bCs/>
                <w:color w:val="000000"/>
                <w:sz w:val="20"/>
              </w:rPr>
              <w:t>78</w:t>
            </w:r>
            <w:r w:rsidR="00FB209F" w:rsidRPr="00C80189">
              <w:rPr>
                <w:rFonts w:ascii="Times New Roman" w:hAnsi="Times New Roman" w:cs="Times New Roman"/>
                <w:b/>
                <w:bCs/>
                <w:color w:val="000000"/>
                <w:sz w:val="20"/>
              </w:rPr>
              <w:t>9</w:t>
            </w:r>
          </w:p>
        </w:tc>
        <w:tc>
          <w:tcPr>
            <w:tcW w:w="96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6A686487" w14:textId="5B2201C3" w:rsidR="00727A69" w:rsidRPr="00C80189" w:rsidRDefault="009F3626" w:rsidP="00727A69">
            <w:pPr>
              <w:keepNext/>
              <w:keepLines/>
              <w:jc w:val="right"/>
              <w:rPr>
                <w:rFonts w:ascii="Times New Roman" w:hAnsi="Times New Roman" w:cs="Times New Roman"/>
                <w:sz w:val="20"/>
              </w:rPr>
            </w:pPr>
            <w:r w:rsidRPr="00C80189">
              <w:rPr>
                <w:rFonts w:ascii="Times New Roman" w:hAnsi="Times New Roman" w:cs="Times New Roman"/>
                <w:b/>
                <w:bCs/>
                <w:color w:val="000000"/>
                <w:sz w:val="20"/>
              </w:rPr>
              <w:t>$</w:t>
            </w:r>
            <w:r w:rsidR="00727A69" w:rsidRPr="00C80189">
              <w:rPr>
                <w:rFonts w:ascii="Times New Roman" w:hAnsi="Times New Roman" w:cs="Times New Roman"/>
                <w:b/>
                <w:bCs/>
                <w:color w:val="000000"/>
                <w:sz w:val="20"/>
              </w:rPr>
              <w:t>9</w:t>
            </w:r>
            <w:r w:rsidR="00FB209F" w:rsidRPr="00C80189">
              <w:rPr>
                <w:rFonts w:ascii="Times New Roman" w:hAnsi="Times New Roman" w:cs="Times New Roman"/>
                <w:b/>
                <w:bCs/>
                <w:color w:val="000000"/>
                <w:sz w:val="20"/>
              </w:rPr>
              <w:t>37</w:t>
            </w:r>
          </w:p>
        </w:tc>
        <w:tc>
          <w:tcPr>
            <w:tcW w:w="96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41E57685" w14:textId="42AA8389" w:rsidR="00727A69" w:rsidRPr="00C80189" w:rsidRDefault="009F3626" w:rsidP="00727A69">
            <w:pPr>
              <w:keepNext/>
              <w:keepLines/>
              <w:jc w:val="right"/>
              <w:rPr>
                <w:rFonts w:ascii="Times New Roman" w:hAnsi="Times New Roman" w:cs="Times New Roman"/>
                <w:sz w:val="20"/>
              </w:rPr>
            </w:pPr>
            <w:r w:rsidRPr="00C80189">
              <w:rPr>
                <w:rFonts w:ascii="Times New Roman" w:hAnsi="Times New Roman" w:cs="Times New Roman"/>
                <w:b/>
                <w:bCs/>
                <w:color w:val="000000"/>
                <w:sz w:val="20"/>
              </w:rPr>
              <w:t>$</w:t>
            </w:r>
            <w:r w:rsidR="00727A69" w:rsidRPr="00C80189">
              <w:rPr>
                <w:rFonts w:ascii="Times New Roman" w:hAnsi="Times New Roman" w:cs="Times New Roman"/>
                <w:b/>
                <w:bCs/>
                <w:color w:val="000000"/>
                <w:sz w:val="20"/>
              </w:rPr>
              <w:t>96</w:t>
            </w:r>
            <w:r w:rsidR="00FB209F" w:rsidRPr="00C80189">
              <w:rPr>
                <w:rFonts w:ascii="Times New Roman" w:hAnsi="Times New Roman" w:cs="Times New Roman"/>
                <w:b/>
                <w:bCs/>
                <w:color w:val="000000"/>
                <w:sz w:val="20"/>
              </w:rPr>
              <w:t>8</w:t>
            </w:r>
          </w:p>
        </w:tc>
      </w:tr>
    </w:tbl>
    <w:p w14:paraId="6D303115" w14:textId="77777777" w:rsidR="00727A69" w:rsidRPr="00C80189" w:rsidRDefault="00727A69" w:rsidP="00727A69">
      <w:pPr>
        <w:pStyle w:val="ParaNum"/>
        <w:numPr>
          <w:ilvl w:val="0"/>
          <w:numId w:val="0"/>
        </w:numPr>
        <w:ind w:left="720"/>
        <w:rPr>
          <w:rFonts w:ascii="Times New Roman" w:hAnsi="Times New Roman" w:cs="Times New Roman"/>
          <w:sz w:val="20"/>
        </w:rPr>
      </w:pPr>
    </w:p>
    <w:p w14:paraId="4F71DB97" w14:textId="25A171F4" w:rsidR="008C5ECE" w:rsidRPr="00C80189" w:rsidRDefault="00D15B8D" w:rsidP="000855C3">
      <w:pPr>
        <w:pStyle w:val="ParaNum"/>
        <w:rPr>
          <w:rFonts w:ascii="Times New Roman" w:hAnsi="Times New Roman" w:cs="Times New Roman"/>
        </w:rPr>
      </w:pPr>
      <w:r w:rsidRPr="00C80189">
        <w:rPr>
          <w:rFonts w:ascii="Times New Roman" w:hAnsi="Times New Roman" w:cs="Times New Roman"/>
        </w:rPr>
        <w:t>As Figure 10 illustra</w:t>
      </w:r>
      <w:r w:rsidR="001C7D01">
        <w:rPr>
          <w:rFonts w:ascii="Times New Roman" w:hAnsi="Times New Roman" w:cs="Times New Roman"/>
        </w:rPr>
        <w:t>tes, the savings from the phase-</w:t>
      </w:r>
      <w:r w:rsidR="00A70A90" w:rsidRPr="004F1C7B">
        <w:rPr>
          <w:rFonts w:ascii="Times New Roman" w:hAnsi="Times New Roman" w:cs="Times New Roman"/>
        </w:rPr>
        <w:t xml:space="preserve">out </w:t>
      </w:r>
      <w:r w:rsidRPr="0080707A">
        <w:rPr>
          <w:rFonts w:ascii="Times New Roman" w:hAnsi="Times New Roman" w:cs="Times New Roman"/>
        </w:rPr>
        <w:t xml:space="preserve">of non-broadband services should, on completion, be largely sufficient to cover the annual $1 billion funding target for </w:t>
      </w:r>
      <w:r w:rsidR="00832625" w:rsidRPr="00C80189">
        <w:rPr>
          <w:rFonts w:ascii="Times New Roman" w:hAnsi="Times New Roman" w:cs="Times New Roman"/>
        </w:rPr>
        <w:t>category two</w:t>
      </w:r>
      <w:r w:rsidRPr="00C80189">
        <w:rPr>
          <w:rFonts w:ascii="Times New Roman" w:hAnsi="Times New Roman" w:cs="Times New Roman"/>
        </w:rPr>
        <w:t xml:space="preserve"> services.  A</w:t>
      </w:r>
      <w:r w:rsidRPr="00C80189">
        <w:rPr>
          <w:rFonts w:ascii="Times New Roman" w:eastAsia="Times New Roman" w:hAnsi="Times New Roman" w:cs="Times New Roman"/>
          <w:snapToGrid w:val="0"/>
          <w:kern w:val="28"/>
          <w:szCs w:val="20"/>
        </w:rPr>
        <w:t xml:space="preserve">dditional funding announced by the Wireline Competition Bureau earlier this year will allow the Commission to make $1 billion available for </w:t>
      </w:r>
      <w:r w:rsidR="00832625" w:rsidRPr="00C80189">
        <w:rPr>
          <w:rFonts w:ascii="Times New Roman" w:eastAsia="Times New Roman" w:hAnsi="Times New Roman" w:cs="Times New Roman"/>
          <w:snapToGrid w:val="0"/>
          <w:kern w:val="28"/>
          <w:szCs w:val="20"/>
        </w:rPr>
        <w:t>category two</w:t>
      </w:r>
      <w:r w:rsidRPr="00C80189">
        <w:rPr>
          <w:rFonts w:ascii="Times New Roman" w:eastAsia="Times New Roman" w:hAnsi="Times New Roman" w:cs="Times New Roman"/>
          <w:snapToGrid w:val="0"/>
          <w:kern w:val="28"/>
          <w:szCs w:val="20"/>
        </w:rPr>
        <w:t xml:space="preserve"> services over each of the next two years,</w:t>
      </w:r>
      <w:r w:rsidRPr="00C80189">
        <w:rPr>
          <w:rFonts w:ascii="Times New Roman" w:eastAsia="Times New Roman" w:hAnsi="Times New Roman" w:cs="Times New Roman"/>
          <w:snapToGrid w:val="0"/>
          <w:kern w:val="28"/>
          <w:szCs w:val="20"/>
          <w:vertAlign w:val="superscript"/>
        </w:rPr>
        <w:footnoteReference w:id="58"/>
      </w:r>
      <w:r w:rsidRPr="00C80189">
        <w:rPr>
          <w:rFonts w:ascii="Times New Roman" w:eastAsia="Times New Roman" w:hAnsi="Times New Roman" w:cs="Times New Roman"/>
          <w:snapToGrid w:val="0"/>
          <w:kern w:val="28"/>
          <w:szCs w:val="20"/>
        </w:rPr>
        <w:t xml:space="preserve"> with any remaining gap in later years addressed by reductions in per-unit pricing for E-rate supported services driven by the</w:t>
      </w:r>
      <w:r w:rsidRPr="00C80189">
        <w:rPr>
          <w:rFonts w:ascii="Times New Roman" w:hAnsi="Times New Roman" w:cs="Times New Roman"/>
        </w:rPr>
        <w:t xml:space="preserve"> significant new efficiency measures</w:t>
      </w:r>
      <w:r w:rsidRPr="00C80189">
        <w:rPr>
          <w:rFonts w:ascii="Times New Roman" w:eastAsia="Times New Roman" w:hAnsi="Times New Roman" w:cs="Times New Roman"/>
          <w:snapToGrid w:val="0"/>
          <w:kern w:val="28"/>
          <w:szCs w:val="20"/>
        </w:rPr>
        <w:t xml:space="preserve"> adopted in the </w:t>
      </w:r>
      <w:r w:rsidR="00832625" w:rsidRPr="00C80189">
        <w:rPr>
          <w:rFonts w:ascii="Times New Roman" w:eastAsia="Times New Roman" w:hAnsi="Times New Roman" w:cs="Times New Roman"/>
          <w:i/>
          <w:snapToGrid w:val="0"/>
          <w:kern w:val="28"/>
          <w:szCs w:val="20"/>
        </w:rPr>
        <w:t>E-Rate Modernization Order</w:t>
      </w:r>
      <w:r w:rsidRPr="00C80189">
        <w:rPr>
          <w:rFonts w:ascii="Times New Roman" w:hAnsi="Times New Roman" w:cs="Times New Roman"/>
        </w:rPr>
        <w:t>.</w:t>
      </w:r>
      <w:r w:rsidRPr="00C80189">
        <w:rPr>
          <w:rStyle w:val="FootnoteReference"/>
          <w:rFonts w:cs="Times New Roman"/>
        </w:rPr>
        <w:footnoteReference w:id="59"/>
      </w:r>
      <w:r w:rsidRPr="00C80189">
        <w:rPr>
          <w:rFonts w:ascii="Times New Roman" w:hAnsi="Times New Roman" w:cs="Times New Roman"/>
        </w:rPr>
        <w:t xml:space="preserve">  The Commiss</w:t>
      </w:r>
      <w:r w:rsidRPr="004F1C7B">
        <w:rPr>
          <w:rFonts w:ascii="Times New Roman" w:hAnsi="Times New Roman" w:cs="Times New Roman"/>
        </w:rPr>
        <w:t>ion continues, however, to evaluate the program</w:t>
      </w:r>
      <w:r w:rsidR="00A57266">
        <w:rPr>
          <w:rFonts w:ascii="Times New Roman" w:hAnsi="Times New Roman" w:cs="Times New Roman"/>
        </w:rPr>
        <w:t>’</w:t>
      </w:r>
      <w:r w:rsidRPr="004F1C7B">
        <w:rPr>
          <w:rFonts w:ascii="Times New Roman" w:hAnsi="Times New Roman" w:cs="Times New Roman"/>
        </w:rPr>
        <w:t>s long-term, overall funding needs, particularly in light of general industry trends in broadband pricing and the likelihood that demand fo</w:t>
      </w:r>
      <w:r w:rsidRPr="00C80189">
        <w:rPr>
          <w:rFonts w:ascii="Times New Roman" w:hAnsi="Times New Roman" w:cs="Times New Roman"/>
        </w:rPr>
        <w:t xml:space="preserve">r </w:t>
      </w:r>
      <w:r w:rsidR="00832625" w:rsidRPr="00C80189">
        <w:rPr>
          <w:rFonts w:ascii="Times New Roman" w:hAnsi="Times New Roman" w:cs="Times New Roman"/>
        </w:rPr>
        <w:t>category one</w:t>
      </w:r>
      <w:r w:rsidRPr="00C80189">
        <w:rPr>
          <w:rFonts w:ascii="Times New Roman" w:hAnsi="Times New Roman" w:cs="Times New Roman"/>
        </w:rPr>
        <w:t xml:space="preserve"> services providing connectivity </w:t>
      </w:r>
      <w:r w:rsidRPr="00C80189">
        <w:rPr>
          <w:rFonts w:ascii="Times New Roman" w:hAnsi="Times New Roman" w:cs="Times New Roman"/>
          <w:i/>
        </w:rPr>
        <w:t>to</w:t>
      </w:r>
      <w:r w:rsidRPr="00C80189">
        <w:rPr>
          <w:rFonts w:ascii="Times New Roman" w:hAnsi="Times New Roman" w:cs="Times New Roman"/>
        </w:rPr>
        <w:t xml:space="preserve"> school and library premises will continue to grow.</w:t>
      </w:r>
      <w:r w:rsidRPr="00C80189">
        <w:rPr>
          <w:rStyle w:val="FootnoteReference"/>
          <w:rFonts w:cs="Times New Roman"/>
        </w:rPr>
        <w:footnoteReference w:id="60"/>
      </w:r>
    </w:p>
    <w:p w14:paraId="14AA1B5E" w14:textId="05BC40E1" w:rsidR="0029675A" w:rsidRPr="004F1C7B" w:rsidRDefault="0029675A" w:rsidP="0029675A">
      <w:pPr>
        <w:pStyle w:val="Heading1"/>
        <w:rPr>
          <w:rFonts w:ascii="Times New Roman" w:hAnsi="Times New Roman" w:cs="Times New Roman"/>
        </w:rPr>
      </w:pPr>
      <w:r w:rsidRPr="004F1C7B">
        <w:rPr>
          <w:rFonts w:ascii="Times New Roman" w:hAnsi="Times New Roman" w:cs="Times New Roman"/>
        </w:rPr>
        <w:t>Conclusion</w:t>
      </w:r>
    </w:p>
    <w:bookmarkEnd w:id="47"/>
    <w:bookmarkEnd w:id="48"/>
    <w:bookmarkEnd w:id="49"/>
    <w:bookmarkEnd w:id="50"/>
    <w:bookmarkEnd w:id="51"/>
    <w:bookmarkEnd w:id="52"/>
    <w:bookmarkEnd w:id="53"/>
    <w:p w14:paraId="4C8FA728" w14:textId="17B88478" w:rsidR="0017772D" w:rsidRPr="00C80189" w:rsidRDefault="001305F6" w:rsidP="00612FCB">
      <w:pPr>
        <w:pStyle w:val="ParaNum"/>
        <w:rPr>
          <w:rFonts w:ascii="Times New Roman" w:hAnsi="Times New Roman" w:cs="Times New Roman"/>
        </w:rPr>
      </w:pPr>
      <w:r w:rsidRPr="00C80189">
        <w:rPr>
          <w:rFonts w:ascii="Times New Roman" w:hAnsi="Times New Roman" w:cs="Times New Roman"/>
        </w:rPr>
        <w:t>T</w:t>
      </w:r>
      <w:r w:rsidR="002F7A6B" w:rsidRPr="00C80189">
        <w:rPr>
          <w:rFonts w:ascii="Times New Roman" w:hAnsi="Times New Roman" w:cs="Times New Roman"/>
        </w:rPr>
        <w:t xml:space="preserve">his report aims to provide some preliminary </w:t>
      </w:r>
      <w:r w:rsidR="00B77D78" w:rsidRPr="00C80189">
        <w:rPr>
          <w:rFonts w:ascii="Times New Roman" w:hAnsi="Times New Roman" w:cs="Times New Roman"/>
        </w:rPr>
        <w:t xml:space="preserve">data and </w:t>
      </w:r>
      <w:r w:rsidR="002F7A6B" w:rsidRPr="00C80189">
        <w:rPr>
          <w:rFonts w:ascii="Times New Roman" w:hAnsi="Times New Roman" w:cs="Times New Roman"/>
        </w:rPr>
        <w:t xml:space="preserve">analysis </w:t>
      </w:r>
      <w:r w:rsidR="00B77D78" w:rsidRPr="00C80189">
        <w:rPr>
          <w:rFonts w:ascii="Times New Roman" w:hAnsi="Times New Roman" w:cs="Times New Roman"/>
        </w:rPr>
        <w:t xml:space="preserve">that may be relevant to </w:t>
      </w:r>
      <w:r w:rsidRPr="00C80189">
        <w:rPr>
          <w:rFonts w:ascii="Times New Roman" w:hAnsi="Times New Roman" w:cs="Times New Roman"/>
        </w:rPr>
        <w:t xml:space="preserve">a number of issues </w:t>
      </w:r>
      <w:r w:rsidR="00B77D78" w:rsidRPr="00C80189">
        <w:rPr>
          <w:rFonts w:ascii="Times New Roman" w:hAnsi="Times New Roman" w:cs="Times New Roman"/>
        </w:rPr>
        <w:t>raised in</w:t>
      </w:r>
      <w:r w:rsidRPr="00C80189">
        <w:rPr>
          <w:rFonts w:ascii="Times New Roman" w:hAnsi="Times New Roman" w:cs="Times New Roman"/>
        </w:rPr>
        <w:t xml:space="preserve"> the </w:t>
      </w:r>
      <w:r w:rsidR="0029675A" w:rsidRPr="00C80189">
        <w:rPr>
          <w:rFonts w:ascii="Times New Roman" w:hAnsi="Times New Roman" w:cs="Times New Roman"/>
          <w:i/>
        </w:rPr>
        <w:t>Further Notice</w:t>
      </w:r>
      <w:r w:rsidR="0029675A" w:rsidRPr="00C80189">
        <w:rPr>
          <w:rFonts w:ascii="Times New Roman" w:hAnsi="Times New Roman" w:cs="Times New Roman"/>
        </w:rPr>
        <w:t xml:space="preserve">, and in particular, </w:t>
      </w:r>
      <w:r w:rsidR="00B77D78" w:rsidRPr="00C80189">
        <w:rPr>
          <w:rFonts w:ascii="Times New Roman" w:hAnsi="Times New Roman" w:cs="Times New Roman"/>
        </w:rPr>
        <w:t xml:space="preserve">to </w:t>
      </w:r>
      <w:r w:rsidR="0029675A" w:rsidRPr="00C80189">
        <w:rPr>
          <w:rFonts w:ascii="Times New Roman" w:hAnsi="Times New Roman" w:cs="Times New Roman"/>
        </w:rPr>
        <w:t>the question of E-rate’s long term funding needs</w:t>
      </w:r>
      <w:r w:rsidR="000F207B">
        <w:rPr>
          <w:rFonts w:ascii="Times New Roman" w:hAnsi="Times New Roman" w:cs="Times New Roman"/>
        </w:rPr>
        <w:t xml:space="preserve">.  </w:t>
      </w:r>
      <w:r w:rsidR="00612FCB" w:rsidRPr="00C80189">
        <w:rPr>
          <w:rFonts w:ascii="Times New Roman" w:hAnsi="Times New Roman" w:cs="Times New Roman"/>
        </w:rPr>
        <w:t xml:space="preserve">As a starting point for stakeholder feedback, </w:t>
      </w:r>
      <w:r w:rsidR="007D705C" w:rsidRPr="00C80189">
        <w:rPr>
          <w:rFonts w:ascii="Times New Roman" w:hAnsi="Times New Roman" w:cs="Times New Roman"/>
        </w:rPr>
        <w:t xml:space="preserve">the analysis above highlights several questions that were raised in the </w:t>
      </w:r>
      <w:r w:rsidR="007D705C" w:rsidRPr="00C80189">
        <w:rPr>
          <w:rFonts w:ascii="Times New Roman" w:hAnsi="Times New Roman" w:cs="Times New Roman"/>
          <w:i/>
        </w:rPr>
        <w:t>Further Notice</w:t>
      </w:r>
      <w:r w:rsidR="00612FCB" w:rsidRPr="00C80189">
        <w:rPr>
          <w:rFonts w:ascii="Times New Roman" w:hAnsi="Times New Roman" w:cs="Times New Roman"/>
        </w:rPr>
        <w:t xml:space="preserve">: 1) </w:t>
      </w:r>
      <w:r w:rsidR="00807D7D" w:rsidRPr="00C80189">
        <w:rPr>
          <w:rFonts w:ascii="Times New Roman" w:hAnsi="Times New Roman" w:cs="Times New Roman"/>
        </w:rPr>
        <w:t>W</w:t>
      </w:r>
      <w:r w:rsidR="00612FCB" w:rsidRPr="00C80189">
        <w:rPr>
          <w:rFonts w:ascii="Times New Roman" w:hAnsi="Times New Roman" w:cs="Times New Roman"/>
        </w:rPr>
        <w:t xml:space="preserve">hat is the outlook between 2015-2019 for demand growth in </w:t>
      </w:r>
      <w:r w:rsidR="00832625" w:rsidRPr="00C80189">
        <w:rPr>
          <w:rFonts w:ascii="Times New Roman" w:hAnsi="Times New Roman" w:cs="Times New Roman"/>
        </w:rPr>
        <w:t>category one</w:t>
      </w:r>
      <w:r w:rsidR="00612FCB" w:rsidRPr="00C80189">
        <w:rPr>
          <w:rFonts w:ascii="Times New Roman" w:hAnsi="Times New Roman" w:cs="Times New Roman"/>
        </w:rPr>
        <w:t xml:space="preserve"> broadband services?  2)</w:t>
      </w:r>
      <w:r w:rsidR="00807D7D" w:rsidRPr="00C80189">
        <w:rPr>
          <w:rFonts w:ascii="Times New Roman" w:hAnsi="Times New Roman" w:cs="Times New Roman"/>
        </w:rPr>
        <w:t xml:space="preserve"> </w:t>
      </w:r>
      <w:r w:rsidR="00612FCB" w:rsidRPr="00C80189">
        <w:rPr>
          <w:rFonts w:ascii="Times New Roman" w:hAnsi="Times New Roman" w:cs="Times New Roman"/>
        </w:rPr>
        <w:t xml:space="preserve"> </w:t>
      </w:r>
      <w:r w:rsidR="00807D7D" w:rsidRPr="00C80189">
        <w:rPr>
          <w:rFonts w:ascii="Times New Roman" w:hAnsi="Times New Roman" w:cs="Times New Roman"/>
        </w:rPr>
        <w:t xml:space="preserve">How </w:t>
      </w:r>
      <w:r w:rsidR="00612FCB" w:rsidRPr="00C80189">
        <w:rPr>
          <w:rFonts w:ascii="Times New Roman" w:hAnsi="Times New Roman" w:cs="Times New Roman"/>
        </w:rPr>
        <w:t xml:space="preserve">will that growth vary as between </w:t>
      </w:r>
      <w:r w:rsidR="0071059A" w:rsidRPr="00C80189">
        <w:rPr>
          <w:rFonts w:ascii="Times New Roman" w:hAnsi="Times New Roman" w:cs="Times New Roman"/>
        </w:rPr>
        <w:t xml:space="preserve">last-mile and Internet access? </w:t>
      </w:r>
      <w:r w:rsidR="00807D7D" w:rsidRPr="00C80189">
        <w:rPr>
          <w:rFonts w:ascii="Times New Roman" w:hAnsi="Times New Roman" w:cs="Times New Roman"/>
        </w:rPr>
        <w:t xml:space="preserve"> </w:t>
      </w:r>
      <w:r w:rsidR="0071059A" w:rsidRPr="00C80189">
        <w:rPr>
          <w:rFonts w:ascii="Times New Roman" w:hAnsi="Times New Roman" w:cs="Times New Roman"/>
        </w:rPr>
        <w:t xml:space="preserve">3) </w:t>
      </w:r>
      <w:r w:rsidR="00807D7D" w:rsidRPr="00C80189">
        <w:rPr>
          <w:rFonts w:ascii="Times New Roman" w:hAnsi="Times New Roman" w:cs="Times New Roman"/>
        </w:rPr>
        <w:t xml:space="preserve">What </w:t>
      </w:r>
      <w:r w:rsidR="0071059A" w:rsidRPr="00C80189">
        <w:rPr>
          <w:rFonts w:ascii="Times New Roman" w:hAnsi="Times New Roman" w:cs="Times New Roman"/>
        </w:rPr>
        <w:t>are the most important drivers of that growth, and in particular what are the likeliest scenarios for the relationship between volume and price paid by schools and libraries?</w:t>
      </w:r>
      <w:r w:rsidR="007D705C" w:rsidRPr="00C80189">
        <w:rPr>
          <w:rStyle w:val="FootnoteReference"/>
          <w:rFonts w:cs="Times New Roman"/>
        </w:rPr>
        <w:footnoteReference w:id="61"/>
      </w:r>
      <w:r w:rsidR="0071059A" w:rsidRPr="00C80189">
        <w:rPr>
          <w:rFonts w:ascii="Times New Roman" w:hAnsi="Times New Roman" w:cs="Times New Roman"/>
        </w:rPr>
        <w:t xml:space="preserve">  </w:t>
      </w:r>
      <w:r w:rsidR="0029675A" w:rsidRPr="004F1C7B">
        <w:rPr>
          <w:rFonts w:ascii="Times New Roman" w:hAnsi="Times New Roman" w:cs="Times New Roman"/>
        </w:rPr>
        <w:t xml:space="preserve">We appreciate and look forward to the </w:t>
      </w:r>
      <w:r w:rsidR="000B6476" w:rsidRPr="00C80189">
        <w:rPr>
          <w:rFonts w:ascii="Times New Roman" w:hAnsi="Times New Roman" w:cs="Times New Roman"/>
        </w:rPr>
        <w:t xml:space="preserve">comments </w:t>
      </w:r>
      <w:r w:rsidR="0029675A" w:rsidRPr="00C80189">
        <w:rPr>
          <w:rFonts w:ascii="Times New Roman" w:hAnsi="Times New Roman" w:cs="Times New Roman"/>
        </w:rPr>
        <w:t>of all stakeholders on this analysis</w:t>
      </w:r>
      <w:r w:rsidR="007D705C" w:rsidRPr="00C80189">
        <w:rPr>
          <w:rFonts w:ascii="Times New Roman" w:hAnsi="Times New Roman" w:cs="Times New Roman"/>
        </w:rPr>
        <w:t xml:space="preserve"> and </w:t>
      </w:r>
      <w:r w:rsidR="00612FCB" w:rsidRPr="00C80189">
        <w:rPr>
          <w:rFonts w:ascii="Times New Roman" w:hAnsi="Times New Roman" w:cs="Times New Roman"/>
        </w:rPr>
        <w:t xml:space="preserve">the questions it raises, </w:t>
      </w:r>
      <w:r w:rsidR="00E74948" w:rsidRPr="00C80189">
        <w:rPr>
          <w:rFonts w:ascii="Times New Roman" w:hAnsi="Times New Roman" w:cs="Times New Roman"/>
        </w:rPr>
        <w:t xml:space="preserve">and to synthesis of this and other information into </w:t>
      </w:r>
      <w:r w:rsidR="000B6476" w:rsidRPr="00C80189">
        <w:rPr>
          <w:rFonts w:ascii="Times New Roman" w:hAnsi="Times New Roman" w:cs="Times New Roman"/>
        </w:rPr>
        <w:t xml:space="preserve">their </w:t>
      </w:r>
      <w:r w:rsidR="00E74948" w:rsidRPr="00C80189">
        <w:rPr>
          <w:rFonts w:ascii="Times New Roman" w:hAnsi="Times New Roman" w:cs="Times New Roman"/>
        </w:rPr>
        <w:t>comprehensive recommendations regarding E-rate’s longer term budget.</w:t>
      </w:r>
    </w:p>
    <w:p w14:paraId="37DDA54C" w14:textId="77777777" w:rsidR="00D6607F" w:rsidRPr="00C80189" w:rsidRDefault="00D6607F" w:rsidP="00737A4F">
      <w:pPr>
        <w:jc w:val="center"/>
        <w:rPr>
          <w:rFonts w:ascii="Times New Roman" w:eastAsia="Calibri" w:hAnsi="Times New Roman" w:cs="Times New Roman"/>
          <w:b/>
          <w:bCs/>
          <w:color w:val="F79646"/>
          <w:kern w:val="24"/>
        </w:rPr>
      </w:pPr>
    </w:p>
    <w:sectPr w:rsidR="00D6607F" w:rsidRPr="00C80189" w:rsidSect="00682BB9">
      <w:footerReference w:type="default" r:id="rId22"/>
      <w:footerReference w:type="first" r:id="rId23"/>
      <w:type w:val="continuous"/>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5B91" w14:textId="77777777" w:rsidR="00306855" w:rsidRDefault="00306855">
      <w:r>
        <w:separator/>
      </w:r>
    </w:p>
  </w:endnote>
  <w:endnote w:type="continuationSeparator" w:id="0">
    <w:p w14:paraId="781CA53A" w14:textId="77777777" w:rsidR="00306855" w:rsidRDefault="00306855">
      <w:r>
        <w:continuationSeparator/>
      </w:r>
    </w:p>
  </w:endnote>
  <w:endnote w:type="continuationNotice" w:id="1">
    <w:p w14:paraId="35E41356" w14:textId="77777777" w:rsidR="00306855" w:rsidRDefault="00306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BD67C" w14:textId="77777777" w:rsidR="000424BE" w:rsidRDefault="00042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E36C7" w14:textId="77777777" w:rsidR="000424BE" w:rsidRDefault="00042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C411A" w14:textId="77777777" w:rsidR="000424BE" w:rsidRDefault="000424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647416"/>
      <w:docPartObj>
        <w:docPartGallery w:val="Page Numbers (Bottom of Page)"/>
        <w:docPartUnique/>
      </w:docPartObj>
    </w:sdtPr>
    <w:sdtEndPr>
      <w:rPr>
        <w:rFonts w:ascii="Times New Roman" w:hAnsi="Times New Roman" w:cs="Times New Roman"/>
        <w:noProof/>
      </w:rPr>
    </w:sdtEndPr>
    <w:sdtContent>
      <w:p w14:paraId="5915F7E3" w14:textId="16D87F04" w:rsidR="00D44D7D" w:rsidRPr="00682BB9" w:rsidRDefault="00682BB9" w:rsidP="00682BB9">
        <w:pPr>
          <w:pStyle w:val="Footer"/>
          <w:jc w:val="center"/>
          <w:rPr>
            <w:rFonts w:ascii="Times New Roman" w:hAnsi="Times New Roman" w:cs="Times New Roman"/>
          </w:rPr>
        </w:pPr>
        <w:r w:rsidRPr="00682BB9">
          <w:rPr>
            <w:rFonts w:ascii="Times New Roman" w:hAnsi="Times New Roman" w:cs="Times New Roman"/>
          </w:rPr>
          <w:fldChar w:fldCharType="begin"/>
        </w:r>
        <w:r w:rsidRPr="00682BB9">
          <w:rPr>
            <w:rFonts w:ascii="Times New Roman" w:hAnsi="Times New Roman" w:cs="Times New Roman"/>
          </w:rPr>
          <w:instrText xml:space="preserve"> PAGE   \* MERGEFORMAT </w:instrText>
        </w:r>
        <w:r w:rsidRPr="00682BB9">
          <w:rPr>
            <w:rFonts w:ascii="Times New Roman" w:hAnsi="Times New Roman" w:cs="Times New Roman"/>
          </w:rPr>
          <w:fldChar w:fldCharType="separate"/>
        </w:r>
        <w:r w:rsidR="000424BE">
          <w:rPr>
            <w:rFonts w:ascii="Times New Roman" w:hAnsi="Times New Roman" w:cs="Times New Roman"/>
            <w:noProof/>
          </w:rPr>
          <w:t>4</w:t>
        </w:r>
        <w:r w:rsidRPr="00682BB9">
          <w:rPr>
            <w:rFonts w:ascii="Times New Roman" w:hAnsi="Times New Roman" w:cs="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41648"/>
      <w:docPartObj>
        <w:docPartGallery w:val="Page Numbers (Bottom of Page)"/>
        <w:docPartUnique/>
      </w:docPartObj>
    </w:sdtPr>
    <w:sdtEndPr>
      <w:rPr>
        <w:noProof/>
      </w:rPr>
    </w:sdtEndPr>
    <w:sdtContent>
      <w:p w14:paraId="63B86AFB" w14:textId="77777777" w:rsidR="00D44D7D" w:rsidRDefault="00D44D7D">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34ECF8F3" w14:textId="77777777" w:rsidR="00D44D7D" w:rsidRDefault="00D44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69F2A" w14:textId="77777777" w:rsidR="00306855" w:rsidRDefault="00306855" w:rsidP="00682BB9">
      <w:pPr>
        <w:spacing w:after="0"/>
      </w:pPr>
      <w:r>
        <w:separator/>
      </w:r>
    </w:p>
  </w:footnote>
  <w:footnote w:type="continuationSeparator" w:id="0">
    <w:p w14:paraId="6061AE47" w14:textId="77777777" w:rsidR="00306855" w:rsidRDefault="00306855" w:rsidP="00682BB9">
      <w:pPr>
        <w:spacing w:after="0"/>
      </w:pPr>
      <w:r>
        <w:continuationSeparator/>
      </w:r>
    </w:p>
  </w:footnote>
  <w:footnote w:type="continuationNotice" w:id="1">
    <w:p w14:paraId="0D09AC84" w14:textId="77777777" w:rsidR="00306855" w:rsidRDefault="00306855"/>
  </w:footnote>
  <w:footnote w:id="2">
    <w:p w14:paraId="7B57BD22" w14:textId="229248D1" w:rsidR="00D44D7D" w:rsidRPr="00BD3824" w:rsidRDefault="00D44D7D" w:rsidP="00682BB9">
      <w:pPr>
        <w:pStyle w:val="FootnoteText"/>
      </w:pPr>
      <w:r w:rsidRPr="00BD3824">
        <w:rPr>
          <w:rStyle w:val="FootnoteReference"/>
          <w:sz w:val="20"/>
        </w:rPr>
        <w:footnoteRef/>
      </w:r>
      <w:r w:rsidRPr="00BD3824">
        <w:t xml:space="preserve"> </w:t>
      </w:r>
      <w:r w:rsidRPr="00BD3824">
        <w:rPr>
          <w:i/>
        </w:rPr>
        <w:t>Modernizing the E-rate Program for Schools and Libraries</w:t>
      </w:r>
      <w:r w:rsidRPr="00BD3824">
        <w:t>, WC Docket No. 13-184, Report and Order and Further Notice of Proposed Rulemaking, FCC 14-99 (rel. July 23, 2014) (</w:t>
      </w:r>
      <w:r w:rsidRPr="00BD3824">
        <w:rPr>
          <w:i/>
        </w:rPr>
        <w:t xml:space="preserve">E-Rate Modernization Order </w:t>
      </w:r>
      <w:r w:rsidRPr="00BD3824">
        <w:t xml:space="preserve">or </w:t>
      </w:r>
      <w:r w:rsidRPr="00BD3824">
        <w:rPr>
          <w:i/>
        </w:rPr>
        <w:t>Further Notice</w:t>
      </w:r>
      <w:r w:rsidRPr="00BD3824">
        <w:t>).</w:t>
      </w:r>
    </w:p>
  </w:footnote>
  <w:footnote w:id="3">
    <w:p w14:paraId="3C6E8DBB" w14:textId="5926D69F" w:rsidR="00D44D7D" w:rsidRPr="00BD3824" w:rsidRDefault="00D44D7D" w:rsidP="00682BB9">
      <w:pPr>
        <w:pStyle w:val="FootnoteText"/>
      </w:pPr>
      <w:r w:rsidRPr="00BD3824">
        <w:rPr>
          <w:rStyle w:val="FootnoteReference"/>
          <w:sz w:val="20"/>
        </w:rPr>
        <w:footnoteRef/>
      </w:r>
      <w:r w:rsidRPr="00BD3824">
        <w:t xml:space="preserve"> </w:t>
      </w:r>
      <w:r w:rsidRPr="00BD3824">
        <w:rPr>
          <w:i/>
        </w:rPr>
        <w:t>E-Rate Modernization Order</w:t>
      </w:r>
      <w:r w:rsidRPr="00BD3824">
        <w:t xml:space="preserve"> at para. 77.</w:t>
      </w:r>
    </w:p>
  </w:footnote>
  <w:footnote w:id="4">
    <w:p w14:paraId="73E47BBC" w14:textId="47245835" w:rsidR="00D44D7D" w:rsidRPr="00BD3824" w:rsidRDefault="00D44D7D" w:rsidP="00682BB9">
      <w:pPr>
        <w:pStyle w:val="FootnoteText"/>
      </w:pPr>
      <w:r w:rsidRPr="00BD3824">
        <w:rPr>
          <w:rStyle w:val="FootnoteReference"/>
          <w:sz w:val="20"/>
        </w:rPr>
        <w:footnoteRef/>
      </w:r>
      <w:r w:rsidRPr="00BD3824">
        <w:t xml:space="preserve"> </w:t>
      </w:r>
      <w:r w:rsidRPr="00BD3824">
        <w:rPr>
          <w:i/>
        </w:rPr>
        <w:t>Id.</w:t>
      </w:r>
      <w:r w:rsidRPr="00BD3824">
        <w:t xml:space="preserve"> at para. 106.</w:t>
      </w:r>
    </w:p>
  </w:footnote>
  <w:footnote w:id="5">
    <w:p w14:paraId="383B2943" w14:textId="61005137" w:rsidR="00D44D7D" w:rsidRPr="00BD3824" w:rsidRDefault="00D44D7D" w:rsidP="00682BB9">
      <w:pPr>
        <w:pStyle w:val="FootnoteText"/>
      </w:pPr>
      <w:r w:rsidRPr="00BD3824">
        <w:rPr>
          <w:rStyle w:val="FootnoteReference"/>
          <w:sz w:val="20"/>
        </w:rPr>
        <w:footnoteRef/>
      </w:r>
      <w:r w:rsidRPr="00BD3824">
        <w:t xml:space="preserve"> </w:t>
      </w:r>
      <w:r w:rsidRPr="00BD3824">
        <w:rPr>
          <w:i/>
        </w:rPr>
        <w:t xml:space="preserve">Further Notice </w:t>
      </w:r>
      <w:r w:rsidRPr="00BD3824">
        <w:t>at para. 269.</w:t>
      </w:r>
    </w:p>
  </w:footnote>
  <w:footnote w:id="6">
    <w:p w14:paraId="67F0095F" w14:textId="6D29A404" w:rsidR="00D44D7D" w:rsidRPr="00BD3824" w:rsidRDefault="00D44D7D" w:rsidP="00682BB9">
      <w:pPr>
        <w:pStyle w:val="FootnoteText"/>
      </w:pPr>
      <w:r w:rsidRPr="00BD3824">
        <w:rPr>
          <w:rStyle w:val="FootnoteReference"/>
          <w:sz w:val="20"/>
        </w:rPr>
        <w:footnoteRef/>
      </w:r>
      <w:r w:rsidRPr="00BD3824">
        <w:t xml:space="preserve"> “Total Schools” includes all schools (public and private) participating in the E-rate program.  “Funded Schools” includes all schools receiving committed funding for “Internal Connections.”</w:t>
      </w:r>
    </w:p>
  </w:footnote>
  <w:footnote w:id="7">
    <w:p w14:paraId="7EA46BFB" w14:textId="47C34B02" w:rsidR="00D44D7D" w:rsidRPr="00BD3824" w:rsidRDefault="00D44D7D" w:rsidP="00682BB9">
      <w:pPr>
        <w:pStyle w:val="FootnoteText"/>
      </w:pPr>
      <w:r w:rsidRPr="00BD3824">
        <w:rPr>
          <w:rStyle w:val="FootnoteReference"/>
          <w:sz w:val="20"/>
        </w:rPr>
        <w:footnoteRef/>
      </w:r>
      <w:r w:rsidR="00FA2B9C" w:rsidRPr="00BD3824">
        <w:t xml:space="preserve"> </w:t>
      </w:r>
      <w:r w:rsidRPr="00BD3824">
        <w:t xml:space="preserve">“Total Library Locations” includes central libraries and branches.  </w:t>
      </w:r>
      <w:r w:rsidRPr="00BD3824">
        <w:rPr>
          <w:i/>
        </w:rPr>
        <w:t>See</w:t>
      </w:r>
      <w:r w:rsidRPr="00BD3824">
        <w:t xml:space="preserve"> Institute of Museum and Library Services, Public Libraries in the United States Survey: Fiscal Year 2011, Table 3 (2014)</w:t>
      </w:r>
      <w:r w:rsidR="001E1C12" w:rsidRPr="00BD3824">
        <w:t>,</w:t>
      </w:r>
      <w:r w:rsidRPr="00BD3824">
        <w:t xml:space="preserve"> </w:t>
      </w:r>
      <w:hyperlink r:id="rId1" w:history="1">
        <w:r w:rsidRPr="00BD3824">
          <w:rPr>
            <w:rStyle w:val="Hyperlink"/>
          </w:rPr>
          <w:t>http://www.imls.gov/research/public_libraries_in_the_us_fy_2011_report.aspx</w:t>
        </w:r>
      </w:hyperlink>
      <w:r w:rsidRPr="00BD3824">
        <w:rPr>
          <w:rStyle w:val="Hyperlink"/>
        </w:rPr>
        <w:t xml:space="preserve"> (for 2011 data)</w:t>
      </w:r>
      <w:r w:rsidRPr="00BD3824">
        <w:t xml:space="preserve">.  A 2012 report has not yet been published; however, public use data files for 2012 are available at </w:t>
      </w:r>
      <w:hyperlink r:id="rId2" w:history="1">
        <w:r w:rsidR="001E1C12" w:rsidRPr="00BD3824">
          <w:rPr>
            <w:rStyle w:val="Hyperlink"/>
          </w:rPr>
          <w:t>http://www.imls.gov/research/pls_data_files.aspx</w:t>
        </w:r>
      </w:hyperlink>
      <w:r w:rsidRPr="00BD3824">
        <w:t xml:space="preserve">.  Libraries for Funding Year 2012 are calculated from these data by summing the total number of central and branch outlets.  Because Funding Year 2013 is not yet available from IMLS, we’ve assumed the same number of “Total Library Locations” as reported for Funding Year 2012.  “Funded Library Locations” includes central libraries and branches that received a funding commitment for “Internal Connections.”  </w:t>
      </w:r>
    </w:p>
  </w:footnote>
  <w:footnote w:id="8">
    <w:p w14:paraId="64A96604" w14:textId="1B0CE338" w:rsidR="00D44D7D" w:rsidRPr="00BD3824" w:rsidRDefault="00D44D7D" w:rsidP="00682BB9">
      <w:pPr>
        <w:pStyle w:val="FootnoteText"/>
      </w:pPr>
      <w:r w:rsidRPr="00BD3824">
        <w:rPr>
          <w:rStyle w:val="FootnoteReference"/>
          <w:sz w:val="20"/>
        </w:rPr>
        <w:footnoteRef/>
      </w:r>
      <w:r w:rsidRPr="00BD3824">
        <w:t xml:space="preserve"> </w:t>
      </w:r>
      <w:r w:rsidRPr="00BD3824">
        <w:rPr>
          <w:i/>
        </w:rPr>
        <w:t>See</w:t>
      </w:r>
      <w:r w:rsidRPr="00BD3824">
        <w:t xml:space="preserve"> USAC, Schools and Libraries (E-rate), Latest News, </w:t>
      </w:r>
      <w:hyperlink r:id="rId3" w:history="1">
        <w:r w:rsidRPr="00BD3824">
          <w:rPr>
            <w:rStyle w:val="Hyperlink"/>
          </w:rPr>
          <w:t>http://usac.org/sl/tools/news/default.aspx</w:t>
        </w:r>
      </w:hyperlink>
      <w:r w:rsidRPr="00BD3824">
        <w:t xml:space="preserve"> </w:t>
      </w:r>
      <w:r w:rsidR="001E1C12" w:rsidRPr="00BD3824">
        <w:t xml:space="preserve">(last visited Aug. 12, 2014) </w:t>
      </w:r>
      <w:r w:rsidRPr="00BD3824">
        <w:t>(entry titled “2/27/2014 – Update on Priority 2 Commitments for FY2013”).</w:t>
      </w:r>
    </w:p>
  </w:footnote>
  <w:footnote w:id="9">
    <w:p w14:paraId="161CE160" w14:textId="316F5DFC" w:rsidR="00D44D7D" w:rsidRPr="00BD3824" w:rsidRDefault="00D44D7D" w:rsidP="00682BB9">
      <w:pPr>
        <w:pStyle w:val="FootnoteText"/>
      </w:pPr>
      <w:r w:rsidRPr="00BD3824">
        <w:rPr>
          <w:rStyle w:val="FootnoteReference"/>
          <w:sz w:val="20"/>
        </w:rPr>
        <w:footnoteRef/>
      </w:r>
      <w:r w:rsidRPr="00BD3824">
        <w:t xml:space="preserve"> In Funding Year 2012, priority two funding was only available for the 90 percent discount band.  USAC, Schools and Libraries News Brief</w:t>
      </w:r>
      <w:r w:rsidR="001E1C12" w:rsidRPr="00BD3824">
        <w:t xml:space="preserve">, Commitments for Funding Years 2013 and 2012 (Mar. 7, 2014), </w:t>
      </w:r>
      <w:hyperlink r:id="rId4" w:history="1">
        <w:r w:rsidRPr="00BD3824">
          <w:rPr>
            <w:rStyle w:val="Hyperlink"/>
          </w:rPr>
          <w:t>http://www.usac.org/sl/tools/news-briefs/preview.aspx?id=536</w:t>
        </w:r>
      </w:hyperlink>
      <w:r w:rsidRPr="00BD3824">
        <w:t xml:space="preserve"> (2012 Priority Two Funding Announcement).</w:t>
      </w:r>
    </w:p>
  </w:footnote>
  <w:footnote w:id="10">
    <w:p w14:paraId="38405E5F" w14:textId="30628AC8" w:rsidR="00D44D7D" w:rsidRPr="00BD3824" w:rsidRDefault="00D44D7D" w:rsidP="00682BB9">
      <w:pPr>
        <w:pStyle w:val="FootnoteText"/>
      </w:pPr>
      <w:r w:rsidRPr="00BD3824">
        <w:rPr>
          <w:rStyle w:val="FootnoteReference"/>
          <w:sz w:val="20"/>
        </w:rPr>
        <w:footnoteRef/>
      </w:r>
      <w:r w:rsidRPr="00BD3824">
        <w:t xml:space="preserve"> </w:t>
      </w:r>
      <w:r w:rsidRPr="00BD3824">
        <w:rPr>
          <w:i/>
        </w:rPr>
        <w:t>See E-Rate Modernization Order</w:t>
      </w:r>
      <w:r w:rsidRPr="00BD3824">
        <w:t xml:space="preserve"> at paras. 91-93.</w:t>
      </w:r>
    </w:p>
  </w:footnote>
  <w:footnote w:id="11">
    <w:p w14:paraId="60C372EC" w14:textId="29459BE6" w:rsidR="00D44D7D" w:rsidRPr="00BD3824" w:rsidRDefault="00D44D7D" w:rsidP="00682BB9">
      <w:pPr>
        <w:pStyle w:val="FootnoteText"/>
      </w:pPr>
      <w:r w:rsidRPr="00BD3824">
        <w:rPr>
          <w:rStyle w:val="FootnoteReference"/>
          <w:sz w:val="20"/>
        </w:rPr>
        <w:footnoteRef/>
      </w:r>
      <w:r w:rsidRPr="00BD3824">
        <w:t xml:space="preserve"> </w:t>
      </w:r>
      <w:r w:rsidRPr="00BD3824">
        <w:rPr>
          <w:i/>
        </w:rPr>
        <w:t>See id.</w:t>
      </w:r>
    </w:p>
  </w:footnote>
  <w:footnote w:id="12">
    <w:p w14:paraId="0A30495D" w14:textId="602DBFE7" w:rsidR="00D44D7D" w:rsidRPr="00BD3824" w:rsidRDefault="00D44D7D" w:rsidP="00682BB9">
      <w:pPr>
        <w:pStyle w:val="FootnoteText"/>
      </w:pPr>
      <w:r w:rsidRPr="00BD3824">
        <w:rPr>
          <w:rStyle w:val="FootnoteReference"/>
          <w:sz w:val="20"/>
        </w:rPr>
        <w:footnoteRef/>
      </w:r>
      <w:r w:rsidRPr="00BD3824">
        <w:t xml:space="preserve"> </w:t>
      </w:r>
      <w:r w:rsidRPr="00BD3824">
        <w:rPr>
          <w:i/>
        </w:rPr>
        <w:t>See</w:t>
      </w:r>
      <w:r w:rsidRPr="00BD3824">
        <w:t xml:space="preserve"> </w:t>
      </w:r>
      <w:r w:rsidRPr="00BD3824">
        <w:rPr>
          <w:i/>
        </w:rPr>
        <w:t>id.</w:t>
      </w:r>
      <w:r w:rsidRPr="00BD3824">
        <w:t xml:space="preserve"> at paras. 82, 11</w:t>
      </w:r>
      <w:r w:rsidR="00FA2B9C" w:rsidRPr="00BD3824">
        <w:t>6</w:t>
      </w:r>
      <w:r w:rsidRPr="00BD3824">
        <w:t>.</w:t>
      </w:r>
    </w:p>
  </w:footnote>
  <w:footnote w:id="13">
    <w:p w14:paraId="09556F26" w14:textId="07BDBAE4" w:rsidR="00D44D7D" w:rsidRPr="00BD3824" w:rsidRDefault="00D44D7D" w:rsidP="00682BB9">
      <w:pPr>
        <w:pStyle w:val="FootnoteText"/>
      </w:pPr>
      <w:r w:rsidRPr="00BD3824">
        <w:rPr>
          <w:rStyle w:val="FootnoteReference"/>
          <w:sz w:val="20"/>
        </w:rPr>
        <w:footnoteRef/>
      </w:r>
      <w:r w:rsidRPr="00BD3824">
        <w:t xml:space="preserve"> For Funding Year 2012, we normalized committed, internal connection, pre-discount amounts based on associated student counts.  </w:t>
      </w:r>
    </w:p>
  </w:footnote>
  <w:footnote w:id="14">
    <w:p w14:paraId="22C6ECC1" w14:textId="4F72DE77" w:rsidR="00D44D7D" w:rsidRPr="00BD3824" w:rsidRDefault="00D44D7D" w:rsidP="00682BB9">
      <w:pPr>
        <w:pStyle w:val="FootnoteText"/>
      </w:pPr>
      <w:r w:rsidRPr="00BD3824">
        <w:rPr>
          <w:rStyle w:val="FootnoteReference"/>
          <w:sz w:val="20"/>
        </w:rPr>
        <w:footnoteRef/>
      </w:r>
      <w:r w:rsidRPr="00BD3824">
        <w:t xml:space="preserve"> </w:t>
      </w:r>
      <w:r w:rsidRPr="00BD3824">
        <w:rPr>
          <w:i/>
        </w:rPr>
        <w:t>E-Rate Modernization Order</w:t>
      </w:r>
      <w:r w:rsidRPr="00BD3824">
        <w:t xml:space="preserve"> at para. 86.</w:t>
      </w:r>
    </w:p>
  </w:footnote>
  <w:footnote w:id="15">
    <w:p w14:paraId="5EB2DB98" w14:textId="73DFCED1" w:rsidR="00D44D7D" w:rsidRPr="00BD3824" w:rsidRDefault="00D44D7D" w:rsidP="00682BB9">
      <w:pPr>
        <w:pStyle w:val="FootnoteText"/>
      </w:pPr>
      <w:r w:rsidRPr="00BD3824">
        <w:rPr>
          <w:rStyle w:val="FootnoteReference"/>
          <w:sz w:val="20"/>
        </w:rPr>
        <w:footnoteRef/>
      </w:r>
      <w:r w:rsidRPr="00BD3824">
        <w:t xml:space="preserve"> </w:t>
      </w:r>
      <w:r w:rsidRPr="00BD3824">
        <w:rPr>
          <w:i/>
        </w:rPr>
        <w:t>Id.</w:t>
      </w:r>
    </w:p>
  </w:footnote>
  <w:footnote w:id="16">
    <w:p w14:paraId="184D6705" w14:textId="5827A4E2" w:rsidR="00D44D7D" w:rsidRPr="00BD3824" w:rsidRDefault="00D44D7D" w:rsidP="00682BB9">
      <w:pPr>
        <w:pStyle w:val="FootnoteText"/>
      </w:pPr>
      <w:r w:rsidRPr="00BD3824">
        <w:rPr>
          <w:rStyle w:val="FootnoteReference"/>
          <w:sz w:val="20"/>
        </w:rPr>
        <w:footnoteRef/>
      </w:r>
      <w:r w:rsidRPr="00BD3824">
        <w:t xml:space="preserve"> </w:t>
      </w:r>
      <w:r w:rsidRPr="00BD3824">
        <w:rPr>
          <w:i/>
        </w:rPr>
        <w:t>Id.</w:t>
      </w:r>
      <w:r w:rsidRPr="00BD3824">
        <w:t xml:space="preserve"> at para. 103.</w:t>
      </w:r>
    </w:p>
  </w:footnote>
  <w:footnote w:id="17">
    <w:p w14:paraId="3A055A13" w14:textId="5627D9EF" w:rsidR="00D44D7D" w:rsidRPr="00BD3824" w:rsidRDefault="00D44D7D" w:rsidP="00682BB9">
      <w:pPr>
        <w:pStyle w:val="FootnoteText"/>
      </w:pPr>
      <w:r w:rsidRPr="00BD3824">
        <w:rPr>
          <w:rStyle w:val="FootnoteReference"/>
          <w:sz w:val="20"/>
        </w:rPr>
        <w:footnoteRef/>
      </w:r>
      <w:r w:rsidRPr="00BD3824">
        <w:t xml:space="preserve"> </w:t>
      </w:r>
      <w:r w:rsidRPr="00BD3824">
        <w:rPr>
          <w:i/>
        </w:rPr>
        <w:t>Id.</w:t>
      </w:r>
      <w:r w:rsidRPr="00BD3824">
        <w:t xml:space="preserve"> at para. </w:t>
      </w:r>
      <w:r w:rsidR="00FA2B9C" w:rsidRPr="00BD3824">
        <w:t>82</w:t>
      </w:r>
      <w:r w:rsidRPr="00BD3824">
        <w:t>.</w:t>
      </w:r>
    </w:p>
  </w:footnote>
  <w:footnote w:id="18">
    <w:p w14:paraId="4316BC3F" w14:textId="16EAADFC" w:rsidR="00D44D7D" w:rsidRPr="00BD3824" w:rsidRDefault="00D44D7D" w:rsidP="00682BB9">
      <w:pPr>
        <w:pStyle w:val="FootnoteText"/>
      </w:pPr>
      <w:r w:rsidRPr="00BD3824">
        <w:rPr>
          <w:rStyle w:val="FootnoteReference"/>
          <w:sz w:val="20"/>
        </w:rPr>
        <w:footnoteRef/>
      </w:r>
      <w:r w:rsidRPr="00BD3824">
        <w:t xml:space="preserve"> </w:t>
      </w:r>
      <w:r w:rsidRPr="00BD3824">
        <w:rPr>
          <w:i/>
        </w:rPr>
        <w:t>Id.</w:t>
      </w:r>
      <w:r w:rsidR="00FA2B9C" w:rsidRPr="00BD3824">
        <w:rPr>
          <w:i/>
        </w:rPr>
        <w:t xml:space="preserve"> </w:t>
      </w:r>
      <w:r w:rsidR="00FA2B9C" w:rsidRPr="00BD3824">
        <w:t>at para. 118.</w:t>
      </w:r>
    </w:p>
  </w:footnote>
  <w:footnote w:id="19">
    <w:p w14:paraId="4CDCF8BF" w14:textId="3A779E34" w:rsidR="00D44D7D" w:rsidRPr="00BD3824" w:rsidRDefault="00D44D7D" w:rsidP="00682BB9">
      <w:pPr>
        <w:pStyle w:val="FootnoteText"/>
      </w:pPr>
      <w:r w:rsidRPr="00BD3824">
        <w:rPr>
          <w:rStyle w:val="FootnoteReference"/>
          <w:sz w:val="20"/>
        </w:rPr>
        <w:footnoteRef/>
      </w:r>
      <w:r w:rsidRPr="00BD3824">
        <w:t xml:space="preserve"> 2012 Priority Two Funding Announcement, </w:t>
      </w:r>
      <w:r w:rsidRPr="00BD3824">
        <w:rPr>
          <w:i/>
        </w:rPr>
        <w:t xml:space="preserve">supra </w:t>
      </w:r>
      <w:r w:rsidRPr="00BD3824">
        <w:t xml:space="preserve">note </w:t>
      </w:r>
      <w:r w:rsidR="001741A2" w:rsidRPr="00BD3824">
        <w:t>8</w:t>
      </w:r>
      <w:r w:rsidRPr="00BD3824">
        <w:t>.</w:t>
      </w:r>
    </w:p>
  </w:footnote>
  <w:footnote w:id="20">
    <w:p w14:paraId="68673DE9" w14:textId="107F0CCF" w:rsidR="00D44D7D" w:rsidRPr="00BD3824" w:rsidRDefault="00D44D7D" w:rsidP="00682BB9">
      <w:pPr>
        <w:pStyle w:val="FootnoteText"/>
      </w:pPr>
      <w:r w:rsidRPr="00BD3824">
        <w:rPr>
          <w:rStyle w:val="FootnoteReference"/>
          <w:sz w:val="20"/>
        </w:rPr>
        <w:footnoteRef/>
      </w:r>
      <w:r w:rsidRPr="00BD3824">
        <w:t xml:space="preserve"> We also assumed that funding requests totaled $1 billion so that there was no pro-rata distribution of funds at any discount level.  In the absence of applicant budgets that limit the largest requests, $1 billion would be insufficient to meet demand at the highest discount level in the face of demand trends since 2012.  Our projection of the “no-budget” scenario assumes that applications would be funded based on NSLP percentage within the highest discount band, as directed in the </w:t>
      </w:r>
      <w:r w:rsidRPr="00BD3824">
        <w:rPr>
          <w:i/>
        </w:rPr>
        <w:t>E-Rate Modernization Order</w:t>
      </w:r>
      <w:r w:rsidRPr="00BD3824">
        <w:t>, rather than using a reduced discount rate, as under the prior rules.</w:t>
      </w:r>
    </w:p>
  </w:footnote>
  <w:footnote w:id="21">
    <w:p w14:paraId="73FBA59C" w14:textId="1910266B" w:rsidR="00D44D7D" w:rsidRPr="00BD3824" w:rsidRDefault="00D44D7D" w:rsidP="00682BB9">
      <w:pPr>
        <w:pStyle w:val="FootnoteText"/>
      </w:pPr>
      <w:r w:rsidRPr="00BD3824">
        <w:rPr>
          <w:rStyle w:val="FootnoteReference"/>
          <w:sz w:val="20"/>
        </w:rPr>
        <w:footnoteRef/>
      </w:r>
      <w:r w:rsidRPr="00BD3824">
        <w:t xml:space="preserve"> Support at this level would be sufficient to fund all schools and libraries over five years, assuming a 90 percent program participation rate.  </w:t>
      </w:r>
    </w:p>
  </w:footnote>
  <w:footnote w:id="22">
    <w:p w14:paraId="787EBDA8" w14:textId="1B33D5B8" w:rsidR="00D44D7D" w:rsidRPr="00BD3824" w:rsidRDefault="00D44D7D" w:rsidP="00682BB9">
      <w:pPr>
        <w:pStyle w:val="FootnoteText"/>
      </w:pPr>
      <w:r w:rsidRPr="00BD3824">
        <w:rPr>
          <w:rStyle w:val="FootnoteReference"/>
          <w:sz w:val="20"/>
        </w:rPr>
        <w:footnoteRef/>
      </w:r>
      <w:r w:rsidRPr="00BD3824">
        <w:t xml:space="preserve"> For schools, we assumed the same per student pre-discount average costs as in the committed Funding Year 2012 applications ($291), but we applied a deflationary factor of 66 percent to the cost per-student at discount levels of 70 percent and below.  We made this adjustment because for category one services, requests from applicants at lower discount rates have historically been substantially below those from applicants at the 90 percent discount level, and we assume the same effect would occur for category two services.  For libraries, we assumed the same per library pre-discount average costs as in the committed Funding Year 2012 applications ($16,491.50), but did not apply a deflationary factor because we conservatively assumed that all libraries were in the 90 percent discount band.  Thus, we obtained our estimate of $2.5 billion by summing (i) the number of students that would have been served in each discount band under the $150 budget multiplied by $291 or $192 (as appropriate for the discount band), and (i) 3000 libraries multiplied by $14,842.22 (i.e., 90 percent of $16,491.50).  </w:t>
      </w:r>
    </w:p>
  </w:footnote>
  <w:footnote w:id="23">
    <w:p w14:paraId="55D64AF2" w14:textId="61781E77" w:rsidR="00D44D7D" w:rsidRPr="00BD3824" w:rsidRDefault="00D44D7D" w:rsidP="00682BB9">
      <w:pPr>
        <w:pStyle w:val="FootnoteText"/>
      </w:pPr>
      <w:r w:rsidRPr="00BD3824">
        <w:rPr>
          <w:rStyle w:val="FootnoteReference"/>
          <w:sz w:val="20"/>
        </w:rPr>
        <w:footnoteRef/>
      </w:r>
      <w:r w:rsidRPr="00BD3824">
        <w:t xml:space="preserve"> </w:t>
      </w:r>
      <w:r w:rsidRPr="00BD3824">
        <w:rPr>
          <w:i/>
          <w:snapToGrid w:val="0"/>
        </w:rPr>
        <w:t xml:space="preserve">E-Rate Modernization Order </w:t>
      </w:r>
      <w:r w:rsidRPr="00BD3824">
        <w:rPr>
          <w:snapToGrid w:val="0"/>
        </w:rPr>
        <w:t>at para 32.</w:t>
      </w:r>
    </w:p>
  </w:footnote>
  <w:footnote w:id="24">
    <w:p w14:paraId="249316F2" w14:textId="2B57FC66" w:rsidR="00D44D7D" w:rsidRPr="00BD3824" w:rsidRDefault="00D44D7D" w:rsidP="00682BB9">
      <w:pPr>
        <w:pStyle w:val="FootnoteText"/>
      </w:pPr>
      <w:r w:rsidRPr="00BD3824">
        <w:rPr>
          <w:rStyle w:val="FootnoteReference"/>
          <w:sz w:val="20"/>
        </w:rPr>
        <w:footnoteRef/>
      </w:r>
      <w:r w:rsidRPr="00BD3824">
        <w:t xml:space="preserve"> </w:t>
      </w:r>
      <w:r w:rsidR="00446EF2" w:rsidRPr="00BD3824">
        <w:rPr>
          <w:i/>
          <w:snapToGrid w:val="0"/>
        </w:rPr>
        <w:t>Further Notice</w:t>
      </w:r>
      <w:r w:rsidRPr="00BD3824">
        <w:rPr>
          <w:i/>
          <w:snapToGrid w:val="0"/>
        </w:rPr>
        <w:t xml:space="preserve"> </w:t>
      </w:r>
      <w:r w:rsidRPr="00BD3824">
        <w:rPr>
          <w:snapToGrid w:val="0"/>
        </w:rPr>
        <w:t xml:space="preserve">at para </w:t>
      </w:r>
      <w:r w:rsidR="00446EF2" w:rsidRPr="00BD3824">
        <w:rPr>
          <w:snapToGrid w:val="0"/>
        </w:rPr>
        <w:t>269.</w:t>
      </w:r>
    </w:p>
  </w:footnote>
  <w:footnote w:id="25">
    <w:p w14:paraId="4D135A89" w14:textId="3A5F12A3" w:rsidR="00D44D7D" w:rsidRPr="00BD3824" w:rsidRDefault="00D44D7D" w:rsidP="00682BB9">
      <w:pPr>
        <w:pStyle w:val="FootnoteText"/>
      </w:pPr>
      <w:r w:rsidRPr="00BD3824">
        <w:rPr>
          <w:rStyle w:val="FootnoteReference"/>
          <w:sz w:val="20"/>
        </w:rPr>
        <w:footnoteRef/>
      </w:r>
      <w:r w:rsidRPr="00BD3824">
        <w:t xml:space="preserve"> </w:t>
      </w:r>
      <w:r w:rsidR="00446EF2" w:rsidRPr="00BD3824">
        <w:rPr>
          <w:i/>
          <w:snapToGrid w:val="0"/>
        </w:rPr>
        <w:t>Id.</w:t>
      </w:r>
    </w:p>
  </w:footnote>
  <w:footnote w:id="26">
    <w:p w14:paraId="49F5B667" w14:textId="4B1FCE32" w:rsidR="00D44D7D" w:rsidRPr="00BD3824" w:rsidRDefault="00D44D7D" w:rsidP="00682BB9">
      <w:pPr>
        <w:pStyle w:val="FootnoteText"/>
      </w:pPr>
      <w:r w:rsidRPr="00BD3824">
        <w:rPr>
          <w:rStyle w:val="FootnoteReference"/>
          <w:sz w:val="20"/>
        </w:rPr>
        <w:footnoteRef/>
      </w:r>
      <w:r w:rsidRPr="00BD3824">
        <w:t xml:space="preserve"> </w:t>
      </w:r>
      <w:r w:rsidRPr="00BD3824">
        <w:rPr>
          <w:i/>
        </w:rPr>
        <w:t xml:space="preserve">E-Rate Modernization Order </w:t>
      </w:r>
      <w:r w:rsidRPr="00BD3824">
        <w:t>at para. 34.</w:t>
      </w:r>
    </w:p>
  </w:footnote>
  <w:footnote w:id="27">
    <w:p w14:paraId="0E60929E" w14:textId="1E36BC16" w:rsidR="00D44D7D" w:rsidRPr="00BD3824" w:rsidRDefault="00D44D7D" w:rsidP="00682BB9">
      <w:pPr>
        <w:pStyle w:val="FootnoteText"/>
      </w:pPr>
      <w:r w:rsidRPr="00BD3824">
        <w:rPr>
          <w:rStyle w:val="FootnoteReference"/>
          <w:sz w:val="20"/>
        </w:rPr>
        <w:footnoteRef/>
      </w:r>
      <w:r w:rsidRPr="00BD3824">
        <w:t xml:space="preserve"> </w:t>
      </w:r>
      <w:r w:rsidRPr="00BD3824">
        <w:rPr>
          <w:i/>
        </w:rPr>
        <w:t xml:space="preserve">Id. </w:t>
      </w:r>
      <w:r w:rsidRPr="00BD3824">
        <w:t>at para. 39.</w:t>
      </w:r>
    </w:p>
  </w:footnote>
  <w:footnote w:id="28">
    <w:p w14:paraId="043E3C2F" w14:textId="5ED3A90A" w:rsidR="00D44D7D" w:rsidRPr="00BD3824" w:rsidRDefault="00D44D7D" w:rsidP="00682BB9">
      <w:pPr>
        <w:pStyle w:val="FootnoteText"/>
      </w:pPr>
      <w:r w:rsidRPr="00BD3824">
        <w:rPr>
          <w:rStyle w:val="FootnoteReference"/>
          <w:sz w:val="20"/>
        </w:rPr>
        <w:footnoteRef/>
      </w:r>
      <w:r w:rsidRPr="00BD3824">
        <w:t xml:space="preserve"> </w:t>
      </w:r>
      <w:r w:rsidRPr="00BD3824">
        <w:rPr>
          <w:i/>
        </w:rPr>
        <w:t>Id.</w:t>
      </w:r>
      <w:r w:rsidRPr="00BD3824">
        <w:t xml:space="preserve"> at para. 43.</w:t>
      </w:r>
    </w:p>
  </w:footnote>
  <w:footnote w:id="29">
    <w:p w14:paraId="455AFA4D" w14:textId="6055DE87" w:rsidR="00D44D7D" w:rsidRPr="00BD3824" w:rsidRDefault="00D44D7D" w:rsidP="00682BB9">
      <w:pPr>
        <w:pStyle w:val="FootnoteText"/>
      </w:pPr>
      <w:r w:rsidRPr="00BD3824">
        <w:rPr>
          <w:rStyle w:val="FootnoteReference"/>
          <w:sz w:val="20"/>
        </w:rPr>
        <w:footnoteRef/>
      </w:r>
      <w:r w:rsidRPr="00BD3824">
        <w:t xml:space="preserve"> </w:t>
      </w:r>
      <w:r w:rsidRPr="00BD3824">
        <w:rPr>
          <w:i/>
        </w:rPr>
        <w:t>See, e.g.</w:t>
      </w:r>
      <w:r w:rsidRPr="00BD3824">
        <w:t xml:space="preserve">, </w:t>
      </w:r>
      <w:r w:rsidRPr="00BD3824">
        <w:rPr>
          <w:i/>
        </w:rPr>
        <w:t xml:space="preserve">id. </w:t>
      </w:r>
      <w:r w:rsidRPr="00BD3824">
        <w:t>at para. 39</w:t>
      </w:r>
      <w:r w:rsidRPr="00BD3824">
        <w:rPr>
          <w:i/>
        </w:rPr>
        <w:t xml:space="preserve"> </w:t>
      </w:r>
      <w:r w:rsidRPr="00BD3824">
        <w:t>(noting that “[i]n most cases, a 1 Gbps fiber connection can be readily scaled to 10 Gbps with upgraded networking equipment</w:t>
      </w:r>
      <w:r w:rsidR="00923E79" w:rsidRPr="00BD3824">
        <w:t>.</w:t>
      </w:r>
      <w:r w:rsidRPr="00BD3824">
        <w:t>”)</w:t>
      </w:r>
      <w:r w:rsidR="00446EF2" w:rsidRPr="00BD3824">
        <w:t>.</w:t>
      </w:r>
    </w:p>
  </w:footnote>
  <w:footnote w:id="30">
    <w:p w14:paraId="71811349" w14:textId="4A336F2A" w:rsidR="00D44D7D" w:rsidRPr="00BD3824" w:rsidRDefault="00D44D7D" w:rsidP="00682BB9">
      <w:pPr>
        <w:pStyle w:val="FootnoteText"/>
      </w:pPr>
      <w:r w:rsidRPr="00BD3824">
        <w:rPr>
          <w:rStyle w:val="FootnoteReference"/>
          <w:sz w:val="20"/>
        </w:rPr>
        <w:footnoteRef/>
      </w:r>
      <w:r w:rsidRPr="00BD3824">
        <w:t xml:space="preserve"> To create the scrubbed sample of community anchor institution data, staff kept only public schools with an NCES or state school identifier.  Observations with any logical inconsistencies were dropped (e.g., responding ‘yes’ to broadband services, but not identifying a technology type), as were any schools with duplicate NCES identifiers.  Schools with a ‘transtech’ code of 50 (“optical carrier/fiber to the end user”) were marked as having fiber, regardless of download/upload speeds.</w:t>
      </w:r>
    </w:p>
  </w:footnote>
  <w:footnote w:id="31">
    <w:p w14:paraId="78DB4E2A" w14:textId="5733CD98" w:rsidR="00D44D7D" w:rsidRPr="00BD3824" w:rsidRDefault="00D44D7D" w:rsidP="00682BB9">
      <w:pPr>
        <w:pStyle w:val="FootnoteText"/>
      </w:pPr>
      <w:r w:rsidRPr="00BD3824">
        <w:rPr>
          <w:rStyle w:val="FootnoteReference"/>
          <w:sz w:val="20"/>
        </w:rPr>
        <w:footnoteRef/>
      </w:r>
      <w:r w:rsidRPr="00BD3824">
        <w:t xml:space="preserve"> Each school or library in a data source is assigned one of the following scores: (-1) for no fiber, (1) for fiber, or (0) for unknown.  Each entity then receives an overall score that is the sum – across the row – of the scores for each source.  For example, if one source says that a particular school does not have fiber and another source says that a school does have fiber, the school’s overall score will be zero, or unknown fiber status.</w:t>
      </w:r>
    </w:p>
  </w:footnote>
  <w:footnote w:id="32">
    <w:p w14:paraId="4E6DD89B" w14:textId="7B5C36E7" w:rsidR="00D44D7D" w:rsidRPr="00BD3824" w:rsidRDefault="00D44D7D" w:rsidP="00682BB9">
      <w:pPr>
        <w:pStyle w:val="FootnoteText"/>
      </w:pPr>
      <w:r w:rsidRPr="00BD3824">
        <w:rPr>
          <w:rStyle w:val="FootnoteReference"/>
          <w:sz w:val="20"/>
        </w:rPr>
        <w:footnoteRef/>
      </w:r>
      <w:r w:rsidRPr="00BD3824">
        <w:t xml:space="preserve"> </w:t>
      </w:r>
      <w:r w:rsidRPr="00BD3824">
        <w:rPr>
          <w:i/>
        </w:rPr>
        <w:t>See, e.g.</w:t>
      </w:r>
      <w:r w:rsidRPr="00BD3824">
        <w:t xml:space="preserve">, Comments of the Imperial County Office of Education and California K12 High Speed Network, WC Docket No. 13-184, at 9 (filed Sept. 16, 2013) (fiber connectivity is not available for many smaller or rural schools in California); Comments of the Kentucky Department for Libraries and Archives, WC Docket No. 13-184, at 6 (filed Sept. 16, 2013) (Internet access is unreliable in Southeastern Kentucky due to mountainous terrain and lack of infrastructure); Letter from Charles Eberle, Attorney Advisor, Telecommunications Access Policy Division, Wireline Competition Bureau, FCC, to Marlene H. Dortch, Secretary, FCC, WC Docket No. 13-184, Attach. 1 (filed Spt. 27, 2013) (many rural Oregon school districts do not have access to fiber facilities); Letter from Jeffrey A. Mitchell, Counsel for the Panhandle Area Education Consortium, North East Florida Educational Consortium, and Heartland Educational Consortium, to Marlene H. Dortch, Secretary, FCC, WC Docket No. 13-184, at 2 (filed Feb. 21, 2014) (many rural Florida schools are served by a single provider that does not have fiber facilities); </w:t>
      </w:r>
      <w:r w:rsidRPr="00BD3824">
        <w:rPr>
          <w:i/>
        </w:rPr>
        <w:t>see also</w:t>
      </w:r>
      <w:r w:rsidRPr="00BD3824">
        <w:t xml:space="preserve">, Comments of the American Library Association, WC Docket No. 13-184, at 25 (filed Sept. 16, 2013) (rural libraries in several states report that they receive one or no bids for broadband service).  </w:t>
      </w:r>
    </w:p>
  </w:footnote>
  <w:footnote w:id="33">
    <w:p w14:paraId="7B9CBDCB" w14:textId="01647D4A" w:rsidR="00D44D7D" w:rsidRPr="00BD3824" w:rsidRDefault="00D44D7D" w:rsidP="00682BB9">
      <w:pPr>
        <w:pStyle w:val="FootnoteText"/>
      </w:pPr>
      <w:r w:rsidRPr="00BD3824">
        <w:rPr>
          <w:rStyle w:val="FootnoteReference"/>
          <w:sz w:val="20"/>
        </w:rPr>
        <w:footnoteRef/>
      </w:r>
      <w:r w:rsidRPr="00BD3824">
        <w:t xml:space="preserve"> </w:t>
      </w:r>
      <w:r w:rsidRPr="00BD3824">
        <w:rPr>
          <w:i/>
        </w:rPr>
        <w:t>See</w:t>
      </w:r>
      <w:r w:rsidRPr="00BD3824">
        <w:t xml:space="preserve"> Federal Communications Commission, </w:t>
      </w:r>
      <w:r w:rsidRPr="00BD3824">
        <w:rPr>
          <w:i/>
        </w:rPr>
        <w:t>E-Rate Modernization Data</w:t>
      </w:r>
      <w:r w:rsidRPr="00BD3824">
        <w:t xml:space="preserve">, </w:t>
      </w:r>
      <w:hyperlink r:id="rId5" w:history="1">
        <w:r w:rsidRPr="00BD3824">
          <w:rPr>
            <w:rStyle w:val="Hyperlink"/>
          </w:rPr>
          <w:t>http://www.fcc.gov/encyclopedia/e-rate-modernization-data</w:t>
        </w:r>
      </w:hyperlink>
      <w:r w:rsidRPr="00BD3824">
        <w:t xml:space="preserve"> </w:t>
      </w:r>
      <w:r w:rsidR="00682BB9" w:rsidRPr="00BD3824">
        <w:t xml:space="preserve">(last visited Aug. 12, 2014) </w:t>
      </w:r>
      <w:r w:rsidRPr="00BD3824">
        <w:t>(providing the full school-by-school and library-by-library datasets under the link labeled “White Paper Direct Access to Broadband Connectivity Datasets”).</w:t>
      </w:r>
    </w:p>
  </w:footnote>
  <w:footnote w:id="34">
    <w:p w14:paraId="1A5C0474" w14:textId="0A39039C" w:rsidR="00D44D7D" w:rsidRPr="00BD3824" w:rsidRDefault="00D44D7D" w:rsidP="00682BB9">
      <w:pPr>
        <w:pStyle w:val="FootnoteText"/>
      </w:pPr>
      <w:r w:rsidRPr="00BD3824">
        <w:rPr>
          <w:rStyle w:val="FootnoteReference"/>
          <w:sz w:val="20"/>
        </w:rPr>
        <w:footnoteRef/>
      </w:r>
      <w:r w:rsidRPr="00BD3824">
        <w:t xml:space="preserve"> </w:t>
      </w:r>
      <w:r w:rsidRPr="00BD3824">
        <w:rPr>
          <w:i/>
        </w:rPr>
        <w:t>See</w:t>
      </w:r>
      <w:r w:rsidRPr="00BD3824">
        <w:t xml:space="preserve"> Federal Communications Commission, </w:t>
      </w:r>
      <w:r w:rsidR="00BD3824">
        <w:rPr>
          <w:i/>
        </w:rPr>
        <w:t xml:space="preserve">FCC </w:t>
      </w:r>
      <w:r w:rsidRPr="00BD3824">
        <w:rPr>
          <w:i/>
        </w:rPr>
        <w:t>E-Rate Map</w:t>
      </w:r>
      <w:r w:rsidR="00BD3824">
        <w:rPr>
          <w:i/>
        </w:rPr>
        <w:t>s of Fiber Connectivity to Schools and Libraries</w:t>
      </w:r>
      <w:r w:rsidRPr="00BD3824">
        <w:t xml:space="preserve">, </w:t>
      </w:r>
      <w:hyperlink r:id="rId6" w:history="1">
        <w:r w:rsidR="00682BB9" w:rsidRPr="00BD3824">
          <w:rPr>
            <w:rStyle w:val="Hyperlink"/>
          </w:rPr>
          <w:t>www.fcc.gov/maps/E-rate-fiber-map</w:t>
        </w:r>
      </w:hyperlink>
      <w:r w:rsidR="00682BB9" w:rsidRPr="00BD3824">
        <w:t xml:space="preserve"> (last visited Aug. 12</w:t>
      </w:r>
      <w:r w:rsidR="001741A2" w:rsidRPr="00BD3824">
        <w:t>, 2014)</w:t>
      </w:r>
      <w:r w:rsidRPr="00BD3824">
        <w:t xml:space="preserve">. </w:t>
      </w:r>
    </w:p>
  </w:footnote>
  <w:footnote w:id="35">
    <w:p w14:paraId="57C776BC" w14:textId="57E6A119" w:rsidR="00D44D7D" w:rsidRPr="00BD3824" w:rsidRDefault="00D44D7D" w:rsidP="00682BB9">
      <w:pPr>
        <w:pStyle w:val="FootnoteText"/>
      </w:pPr>
      <w:r w:rsidRPr="00BD3824">
        <w:rPr>
          <w:rStyle w:val="FootnoteReference"/>
          <w:sz w:val="20"/>
        </w:rPr>
        <w:footnoteRef/>
      </w:r>
      <w:r w:rsidRPr="00BD3824">
        <w:t xml:space="preserve"> </w:t>
      </w:r>
      <w:r w:rsidRPr="00BD3824">
        <w:rPr>
          <w:i/>
        </w:rPr>
        <w:t>See supra</w:t>
      </w:r>
      <w:r w:rsidRPr="00BD3824">
        <w:t xml:space="preserve"> para. </w:t>
      </w:r>
      <w:r w:rsidR="00BD3824">
        <w:t>17</w:t>
      </w:r>
      <w:r w:rsidRPr="00BD3824">
        <w:t>.</w:t>
      </w:r>
    </w:p>
  </w:footnote>
  <w:footnote w:id="36">
    <w:p w14:paraId="1C31EEBF" w14:textId="31F2892A" w:rsidR="00D44D7D" w:rsidRPr="00BD3824" w:rsidRDefault="00D44D7D" w:rsidP="00682BB9">
      <w:pPr>
        <w:pStyle w:val="FootnoteText"/>
      </w:pPr>
      <w:r w:rsidRPr="00BD3824">
        <w:rPr>
          <w:rStyle w:val="FootnoteReference"/>
          <w:sz w:val="20"/>
        </w:rPr>
        <w:footnoteRef/>
      </w:r>
      <w:r w:rsidRPr="00BD3824">
        <w:t xml:space="preserve"> USAC, Funding Year 2014 FCC Form 471, at 5 (</w:t>
      </w:r>
      <w:r w:rsidR="00682BB9" w:rsidRPr="00BD3824">
        <w:t xml:space="preserve">Dec. </w:t>
      </w:r>
      <w:r w:rsidRPr="00BD3824">
        <w:t xml:space="preserve">2013), </w:t>
      </w:r>
      <w:hyperlink r:id="rId7" w:history="1">
        <w:r w:rsidRPr="00BD3824">
          <w:rPr>
            <w:rStyle w:val="Hyperlink"/>
          </w:rPr>
          <w:t>http://www.usac.org/_res/documents/sl/pdf/forms/471.pdf</w:t>
        </w:r>
      </w:hyperlink>
      <w:r w:rsidRPr="00BD3824">
        <w:t xml:space="preserve"> (Funding Year 2014 Form 471).</w:t>
      </w:r>
    </w:p>
  </w:footnote>
  <w:footnote w:id="37">
    <w:p w14:paraId="2DC17DFC" w14:textId="359B4A48" w:rsidR="00D44D7D" w:rsidRPr="00BD3824" w:rsidRDefault="00D44D7D" w:rsidP="00682BB9">
      <w:pPr>
        <w:pStyle w:val="FootnoteText"/>
      </w:pPr>
      <w:r w:rsidRPr="00BD3824">
        <w:rPr>
          <w:rStyle w:val="FootnoteReference"/>
          <w:sz w:val="20"/>
        </w:rPr>
        <w:footnoteRef/>
      </w:r>
      <w:r w:rsidRPr="00BD3824">
        <w:t xml:space="preserve"> Data were matched using the following method: Public schools were sorted by type (high, middle, elementary) and then by size within each category</w:t>
      </w:r>
      <w:r w:rsidR="001C7D01" w:rsidRPr="00BD3824">
        <w:t>, from smallest to largest</w:t>
      </w:r>
      <w:r w:rsidRPr="00BD3824">
        <w:t xml:space="preserve">.  Connections were sorted </w:t>
      </w:r>
      <w:r w:rsidR="001C7D01" w:rsidRPr="00BD3824">
        <w:t xml:space="preserve">from lowest bandwidth to highest bandwidth </w:t>
      </w:r>
      <w:r w:rsidRPr="00BD3824">
        <w:t>within each unique Billed Entity Number (BEN).  Using a BEN-to-NCES crosswalk, one connection was assigned to each school within a district.</w:t>
      </w:r>
    </w:p>
  </w:footnote>
  <w:footnote w:id="38">
    <w:p w14:paraId="0A206261" w14:textId="72AF43D1" w:rsidR="00D44D7D" w:rsidRPr="00BD3824" w:rsidRDefault="00D44D7D" w:rsidP="00682BB9">
      <w:pPr>
        <w:pStyle w:val="FootnoteText"/>
      </w:pPr>
      <w:r w:rsidRPr="00BD3824">
        <w:rPr>
          <w:rStyle w:val="FootnoteReference"/>
          <w:sz w:val="20"/>
        </w:rPr>
        <w:footnoteRef/>
      </w:r>
      <w:r w:rsidRPr="00BD3824">
        <w:t xml:space="preserve"> </w:t>
      </w:r>
      <w:r w:rsidRPr="00BD3824">
        <w:rPr>
          <w:i/>
          <w:iCs/>
        </w:rPr>
        <w:t xml:space="preserve">See </w:t>
      </w:r>
      <w:r w:rsidRPr="00BD3824">
        <w:t>USAC, Schools and Libraries, Forms, FCC Form 471 Instructions, at 24</w:t>
      </w:r>
      <w:r w:rsidR="001E1C12" w:rsidRPr="00BD3824">
        <w:t xml:space="preserve"> (Dec. 2013)</w:t>
      </w:r>
      <w:r w:rsidRPr="00BD3824">
        <w:t xml:space="preserve">, </w:t>
      </w:r>
      <w:hyperlink r:id="rId8" w:history="1">
        <w:r w:rsidR="001E1C12" w:rsidRPr="00BD3824">
          <w:rPr>
            <w:rStyle w:val="Hyperlink"/>
          </w:rPr>
          <w:t>http://www.usac.org/_res/documents/sl/pdf/forms/471i.pdf</w:t>
        </w:r>
      </w:hyperlink>
      <w:r w:rsidR="001E1C12" w:rsidRPr="00BD3824">
        <w:t xml:space="preserve"> </w:t>
      </w:r>
      <w:r w:rsidRPr="00BD3824">
        <w:t xml:space="preserve">(noting that applicants should “[c]omplete the information for this funding request only if requesting Telecommunications Services or Internet Access for the purpose of providing broadband connectivity to school and/or library facilities.”).  </w:t>
      </w:r>
    </w:p>
  </w:footnote>
  <w:footnote w:id="39">
    <w:p w14:paraId="1A781695" w14:textId="11C17699" w:rsidR="00D44D7D" w:rsidRPr="00BD3824" w:rsidRDefault="00D44D7D" w:rsidP="00682BB9">
      <w:pPr>
        <w:pStyle w:val="FootnoteText"/>
      </w:pPr>
      <w:r w:rsidRPr="00BD3824">
        <w:rPr>
          <w:rStyle w:val="FootnoteReference"/>
          <w:sz w:val="20"/>
        </w:rPr>
        <w:footnoteRef/>
      </w:r>
      <w:r w:rsidRPr="00BD3824">
        <w:t xml:space="preserve"> </w:t>
      </w:r>
      <w:r w:rsidRPr="00BD3824">
        <w:rPr>
          <w:i/>
        </w:rPr>
        <w:t>See</w:t>
      </w:r>
      <w:r w:rsidRPr="00BD3824">
        <w:t xml:space="preserve"> Letter from Reginal Leichty, Partner, EducationCounsel, to Marlene H. Dortch, Secretary, FCC, WC Docket No. 13-184, Attach. at 8 (filed Nov. 11, 2013).</w:t>
      </w:r>
    </w:p>
  </w:footnote>
  <w:footnote w:id="40">
    <w:p w14:paraId="07AAB7BD" w14:textId="36BD796C" w:rsidR="00D44D7D" w:rsidRPr="00BD3824" w:rsidRDefault="00D44D7D" w:rsidP="00682BB9">
      <w:pPr>
        <w:pStyle w:val="FootnoteText"/>
      </w:pPr>
      <w:r w:rsidRPr="00BD3824">
        <w:rPr>
          <w:rStyle w:val="FootnoteReference"/>
          <w:sz w:val="20"/>
        </w:rPr>
        <w:footnoteRef/>
      </w:r>
      <w:r w:rsidRPr="00BD3824">
        <w:t xml:space="preserve"> Letter from Evan Marwell, CEO, EducationSuperHighway, to Marlene Dortch, Secretary, FCC, WC Docket No. 13-184, Attach. 3, Connecting America’s Students: Opportunities for Action, at 3, 5 (Chart 1), 8 (Chart 3) &amp; n.14 (filed April. 10, 2014) (EducationSuperHighway White Paper). </w:t>
      </w:r>
    </w:p>
  </w:footnote>
  <w:footnote w:id="41">
    <w:p w14:paraId="2C139EF5" w14:textId="6BB4C133" w:rsidR="00D44D7D" w:rsidRPr="00BD3824" w:rsidRDefault="00D44D7D" w:rsidP="00682BB9">
      <w:pPr>
        <w:pStyle w:val="FootnoteText"/>
      </w:pPr>
      <w:r w:rsidRPr="00BD3824">
        <w:rPr>
          <w:rStyle w:val="FootnoteReference"/>
          <w:sz w:val="20"/>
        </w:rPr>
        <w:footnoteRef/>
      </w:r>
      <w:r w:rsidRPr="00BD3824">
        <w:t xml:space="preserve"> EducationSuperHighway, SchoolSpeedTest, </w:t>
      </w:r>
      <w:hyperlink r:id="rId9" w:history="1">
        <w:r w:rsidRPr="00BD3824">
          <w:rPr>
            <w:rStyle w:val="Hyperlink"/>
          </w:rPr>
          <w:t>http://www.schoolspeedtest.org/</w:t>
        </w:r>
      </w:hyperlink>
      <w:r w:rsidRPr="00BD3824">
        <w:t xml:space="preserve"> (last visited </w:t>
      </w:r>
      <w:r w:rsidR="001E1C12" w:rsidRPr="00BD3824">
        <w:t>Aug. 12</w:t>
      </w:r>
      <w:r w:rsidRPr="00BD3824">
        <w:t>, 2014).</w:t>
      </w:r>
    </w:p>
  </w:footnote>
  <w:footnote w:id="42">
    <w:p w14:paraId="0769BB25" w14:textId="465FF6F1" w:rsidR="00D44D7D" w:rsidRPr="00BD3824" w:rsidRDefault="00D44D7D" w:rsidP="00682BB9">
      <w:pPr>
        <w:pStyle w:val="FootnoteText"/>
      </w:pPr>
      <w:r w:rsidRPr="00BD3824">
        <w:rPr>
          <w:rStyle w:val="FootnoteReference"/>
          <w:sz w:val="20"/>
        </w:rPr>
        <w:footnoteRef/>
      </w:r>
      <w:r w:rsidRPr="00BD3824">
        <w:t xml:space="preserve"> </w:t>
      </w:r>
      <w:r w:rsidRPr="00BD3824">
        <w:rPr>
          <w:i/>
        </w:rPr>
        <w:t>See</w:t>
      </w:r>
      <w:r w:rsidRPr="00BD3824">
        <w:t xml:space="preserve"> Federal Communications Commission, </w:t>
      </w:r>
      <w:r w:rsidRPr="00BD3824">
        <w:rPr>
          <w:i/>
        </w:rPr>
        <w:t>E-Rate Modernization Data</w:t>
      </w:r>
      <w:r w:rsidRPr="00BD3824">
        <w:t xml:space="preserve">, </w:t>
      </w:r>
      <w:hyperlink r:id="rId10" w:history="1">
        <w:r w:rsidRPr="00BD3824">
          <w:rPr>
            <w:rStyle w:val="Hyperlink"/>
          </w:rPr>
          <w:t>http://www.fcc.gov/encyclopedia/e-rate-modernization-data</w:t>
        </w:r>
      </w:hyperlink>
      <w:r w:rsidRPr="00BD3824">
        <w:t xml:space="preserve"> (providing the aggregate Item 24 dataset under the link labeled “White Paper Aggregate Item 24 Data”).</w:t>
      </w:r>
    </w:p>
  </w:footnote>
  <w:footnote w:id="43">
    <w:p w14:paraId="115E19EA" w14:textId="6D662CDF" w:rsidR="00D44D7D" w:rsidRPr="00BD3824" w:rsidRDefault="00D44D7D" w:rsidP="00682BB9">
      <w:pPr>
        <w:pStyle w:val="FootnoteText"/>
      </w:pPr>
      <w:r w:rsidRPr="00BD3824">
        <w:rPr>
          <w:rStyle w:val="FootnoteReference"/>
          <w:sz w:val="20"/>
        </w:rPr>
        <w:footnoteRef/>
      </w:r>
      <w:r w:rsidRPr="00BD3824">
        <w:t xml:space="preserve"> Funding Year 2014 Form 471 at 5.</w:t>
      </w:r>
    </w:p>
  </w:footnote>
  <w:footnote w:id="44">
    <w:p w14:paraId="702EF9CB" w14:textId="637E0DF7" w:rsidR="00D44D7D" w:rsidRPr="00BD3824" w:rsidRDefault="00D44D7D" w:rsidP="00682BB9">
      <w:pPr>
        <w:pStyle w:val="FootnoteText"/>
      </w:pPr>
      <w:r w:rsidRPr="00BD3824">
        <w:rPr>
          <w:rStyle w:val="FootnoteReference"/>
          <w:sz w:val="20"/>
        </w:rPr>
        <w:footnoteRef/>
      </w:r>
      <w:r w:rsidRPr="00BD3824">
        <w:t xml:space="preserve"> </w:t>
      </w:r>
      <w:r w:rsidRPr="00BD3824">
        <w:rPr>
          <w:i/>
        </w:rPr>
        <w:t>Id</w:t>
      </w:r>
      <w:r w:rsidRPr="00BD3824">
        <w:t>. at 4.</w:t>
      </w:r>
    </w:p>
  </w:footnote>
  <w:footnote w:id="45">
    <w:p w14:paraId="1AAB87B1" w14:textId="3A74485F" w:rsidR="001C7D01" w:rsidRPr="00BD3824" w:rsidRDefault="001C7D01" w:rsidP="00682BB9">
      <w:pPr>
        <w:pStyle w:val="FootnoteText"/>
      </w:pPr>
      <w:r w:rsidRPr="00BD3824">
        <w:rPr>
          <w:rStyle w:val="FootnoteReference"/>
          <w:sz w:val="20"/>
        </w:rPr>
        <w:footnoteRef/>
      </w:r>
      <w:r w:rsidRPr="00BD3824">
        <w:t xml:space="preserve"> </w:t>
      </w:r>
      <w:r w:rsidR="00D665F7" w:rsidRPr="00BD3824">
        <w:t>Because applicants can purchase multiple connections at different speeds on a single funding request, staff limited this analysis to requests that only purchased fiber connections at a single speed of 1-Gbps. Price was calculated by dividing original recurring monthly cost by the number of lines.</w:t>
      </w:r>
    </w:p>
  </w:footnote>
  <w:footnote w:id="46">
    <w:p w14:paraId="40563C3E" w14:textId="034A7274" w:rsidR="00D44D7D" w:rsidRPr="00BD3824" w:rsidRDefault="00D44D7D" w:rsidP="00682BB9">
      <w:pPr>
        <w:pStyle w:val="FootnoteText"/>
      </w:pPr>
      <w:r w:rsidRPr="00BD3824">
        <w:rPr>
          <w:rStyle w:val="FootnoteReference"/>
          <w:sz w:val="20"/>
        </w:rPr>
        <w:footnoteRef/>
      </w:r>
      <w:r w:rsidRPr="00BD3824">
        <w:t xml:space="preserve"> EducationSuperHighway White Paper at 20.</w:t>
      </w:r>
    </w:p>
  </w:footnote>
  <w:footnote w:id="47">
    <w:p w14:paraId="79DAC60A" w14:textId="62557CA1" w:rsidR="00D44D7D" w:rsidRPr="00BD3824" w:rsidRDefault="00D44D7D" w:rsidP="00682BB9">
      <w:pPr>
        <w:pStyle w:val="FootnoteText"/>
      </w:pPr>
      <w:r w:rsidRPr="00BD3824">
        <w:rPr>
          <w:rStyle w:val="FootnoteReference"/>
          <w:sz w:val="20"/>
        </w:rPr>
        <w:footnoteRef/>
      </w:r>
      <w:r w:rsidRPr="00BD3824">
        <w:t xml:space="preserve"> </w:t>
      </w:r>
      <w:r w:rsidRPr="00BD3824">
        <w:rPr>
          <w:i/>
        </w:rPr>
        <w:t>Id.</w:t>
      </w:r>
    </w:p>
  </w:footnote>
  <w:footnote w:id="48">
    <w:p w14:paraId="32E5EB60" w14:textId="7AD18731" w:rsidR="00D44D7D" w:rsidRPr="00BD3824" w:rsidRDefault="00D44D7D" w:rsidP="00682BB9">
      <w:pPr>
        <w:pStyle w:val="FootnoteText"/>
      </w:pPr>
      <w:r w:rsidRPr="00BD3824">
        <w:rPr>
          <w:rStyle w:val="FootnoteReference"/>
          <w:sz w:val="20"/>
        </w:rPr>
        <w:footnoteRef/>
      </w:r>
      <w:r w:rsidRPr="00BD3824">
        <w:t xml:space="preserve"> Letter from Charles Eberle, Attorney-Advisor, Telecommunications Access Policy Division, Wireline Competition Bureau,</w:t>
      </w:r>
      <w:r w:rsidR="00923E79" w:rsidRPr="00BD3824">
        <w:t xml:space="preserve"> FCC,</w:t>
      </w:r>
      <w:r w:rsidRPr="00BD3824">
        <w:t xml:space="preserve"> to Marlene H. Dortch, Secretary, FCC, WC Docket No. 13-184, Attach. 1 at 8 (filed Feb. 21, 2014).</w:t>
      </w:r>
    </w:p>
  </w:footnote>
  <w:footnote w:id="49">
    <w:p w14:paraId="398388AF" w14:textId="6AD101CB" w:rsidR="00D44D7D" w:rsidRPr="00BD3824" w:rsidRDefault="00D44D7D" w:rsidP="00682BB9">
      <w:pPr>
        <w:pStyle w:val="FootnoteText"/>
      </w:pPr>
      <w:r w:rsidRPr="00BD3824">
        <w:rPr>
          <w:rStyle w:val="FootnoteReference"/>
          <w:sz w:val="20"/>
        </w:rPr>
        <w:footnoteRef/>
      </w:r>
      <w:r w:rsidRPr="00BD3824">
        <w:t xml:space="preserve"> </w:t>
      </w:r>
      <w:r w:rsidRPr="00BD3824">
        <w:rPr>
          <w:i/>
        </w:rPr>
        <w:t>See</w:t>
      </w:r>
      <w:r w:rsidRPr="00BD3824">
        <w:t xml:space="preserve"> Letter from Charles Eberle, Attorney-Advisor, Telecommunications Access Policy Division, Wireline Competition Bureau, </w:t>
      </w:r>
      <w:r w:rsidR="00923E79" w:rsidRPr="00BD3824">
        <w:t xml:space="preserve">FCC, </w:t>
      </w:r>
      <w:r w:rsidRPr="00BD3824">
        <w:t xml:space="preserve">to Marlene H. Dortch, Secretary, FCC, WC Docket No. 13-184 (filed May 21, 2014); </w:t>
      </w:r>
      <w:r w:rsidRPr="00BD3824">
        <w:rPr>
          <w:i/>
        </w:rPr>
        <w:t>see also</w:t>
      </w:r>
      <w:r w:rsidRPr="00BD3824">
        <w:t xml:space="preserve"> Vermont FiberConnect, </w:t>
      </w:r>
      <w:hyperlink r:id="rId11" w:history="1">
        <w:r w:rsidRPr="00BD3824">
          <w:rPr>
            <w:rStyle w:val="Hyperlink"/>
          </w:rPr>
          <w:t>http://www.vermontfiberconnect.com</w:t>
        </w:r>
      </w:hyperlink>
      <w:r w:rsidR="001741A2" w:rsidRPr="00BD3824">
        <w:t xml:space="preserve"> (last visited Aug. 12</w:t>
      </w:r>
      <w:r w:rsidRPr="00BD3824">
        <w:t>, 2014).</w:t>
      </w:r>
    </w:p>
  </w:footnote>
  <w:footnote w:id="50">
    <w:p w14:paraId="061F6E01" w14:textId="07D72283" w:rsidR="00D44D7D" w:rsidRPr="00BD3824" w:rsidRDefault="00D44D7D" w:rsidP="00682BB9">
      <w:pPr>
        <w:pStyle w:val="FootnoteText"/>
      </w:pPr>
      <w:r w:rsidRPr="00BD3824">
        <w:rPr>
          <w:rStyle w:val="FootnoteReference"/>
          <w:sz w:val="20"/>
        </w:rPr>
        <w:footnoteRef/>
      </w:r>
      <w:r w:rsidRPr="00BD3824">
        <w:t xml:space="preserve"> </w:t>
      </w:r>
      <w:r w:rsidRPr="00BD3824">
        <w:rPr>
          <w:i/>
        </w:rPr>
        <w:t>See</w:t>
      </w:r>
      <w:r w:rsidRPr="00BD3824">
        <w:t xml:space="preserve"> Letter from Charles Eberle, Attorney-Advisor, Telecommunications Access Policy Division, Wireline Competition Bureau, </w:t>
      </w:r>
      <w:r w:rsidR="00923E79" w:rsidRPr="00BD3824">
        <w:t xml:space="preserve">FCC, </w:t>
      </w:r>
      <w:r w:rsidRPr="00BD3824">
        <w:t>to Marlene H. Dortch, Secretary, FCC, WC Docket No. 13-184 (filed Mar. 13, 2014).</w:t>
      </w:r>
    </w:p>
  </w:footnote>
  <w:footnote w:id="51">
    <w:p w14:paraId="0AEDD8B3" w14:textId="6B565920" w:rsidR="00D44D7D" w:rsidRPr="004B5FD3" w:rsidRDefault="00D44D7D" w:rsidP="004B5FD3">
      <w:pPr>
        <w:spacing w:line="240" w:lineRule="auto"/>
        <w:rPr>
          <w:rFonts w:ascii="Times New Roman" w:hAnsi="Times New Roman" w:cs="Times New Roman"/>
          <w:sz w:val="20"/>
          <w:szCs w:val="20"/>
        </w:rPr>
      </w:pPr>
      <w:r w:rsidRPr="00BD3824">
        <w:rPr>
          <w:rStyle w:val="FootnoteReference"/>
          <w:rFonts w:cs="Times New Roman"/>
          <w:sz w:val="20"/>
          <w:szCs w:val="20"/>
        </w:rPr>
        <w:footnoteRef/>
      </w:r>
      <w:r w:rsidRPr="004B5FD3">
        <w:rPr>
          <w:rFonts w:ascii="Times New Roman" w:hAnsi="Times New Roman" w:cs="Times New Roman"/>
          <w:sz w:val="20"/>
          <w:szCs w:val="20"/>
        </w:rPr>
        <w:t xml:space="preserve"> </w:t>
      </w:r>
      <w:r w:rsidRPr="004B5FD3">
        <w:rPr>
          <w:rFonts w:ascii="Times New Roman" w:hAnsi="Times New Roman" w:cs="Times New Roman"/>
          <w:i/>
          <w:sz w:val="20"/>
          <w:szCs w:val="20"/>
        </w:rPr>
        <w:t>See, e.g.</w:t>
      </w:r>
      <w:r w:rsidRPr="004B5FD3">
        <w:rPr>
          <w:rFonts w:ascii="Times New Roman" w:hAnsi="Times New Roman" w:cs="Times New Roman"/>
          <w:sz w:val="20"/>
          <w:szCs w:val="20"/>
        </w:rPr>
        <w:t xml:space="preserve">, </w:t>
      </w:r>
      <w:r w:rsidR="00FA6C0A" w:rsidRPr="004B5FD3">
        <w:rPr>
          <w:rFonts w:ascii="Times New Roman" w:hAnsi="Times New Roman" w:cs="Times New Roman"/>
          <w:sz w:val="20"/>
          <w:szCs w:val="20"/>
        </w:rPr>
        <w:t>Letter from Charles Eberle, Attorney-Advisor, Telecommunications Access Policy Division, Wireline Competition Bureau, FCC, to Marlene H. Dortch, Secretary, FCC, WC Docket No. 13-184 (filed April 30, 2014) (listing submissions, including West Virginia Connectivity Data, that have been added to the E-rate Modernization Data Page</w:t>
      </w:r>
      <w:r w:rsidR="003749CA">
        <w:rPr>
          <w:rFonts w:ascii="Times New Roman" w:hAnsi="Times New Roman" w:cs="Times New Roman"/>
          <w:sz w:val="20"/>
          <w:szCs w:val="20"/>
        </w:rPr>
        <w:t xml:space="preserve">, </w:t>
      </w:r>
      <w:hyperlink r:id="rId12" w:history="1">
        <w:r w:rsidR="003749CA" w:rsidRPr="0013449E">
          <w:rPr>
            <w:rStyle w:val="Hyperlink"/>
            <w:rFonts w:ascii="Times New Roman" w:hAnsi="Times New Roman" w:cs="Times New Roman"/>
            <w:sz w:val="20"/>
            <w:szCs w:val="20"/>
          </w:rPr>
          <w:t>http://www.fcc.gov/encyclopedia/e-rate-modernization-data</w:t>
        </w:r>
      </w:hyperlink>
      <w:r w:rsidR="003749CA">
        <w:rPr>
          <w:rFonts w:ascii="Times New Roman" w:hAnsi="Times New Roman" w:cs="Times New Roman"/>
          <w:sz w:val="20"/>
          <w:szCs w:val="20"/>
        </w:rPr>
        <w:t xml:space="preserve">, </w:t>
      </w:r>
      <w:r w:rsidR="00FA6C0A" w:rsidRPr="004B5FD3">
        <w:rPr>
          <w:rFonts w:ascii="Times New Roman" w:hAnsi="Times New Roman" w:cs="Times New Roman"/>
          <w:sz w:val="20"/>
          <w:szCs w:val="20"/>
        </w:rPr>
        <w:t xml:space="preserve">because their document formats were not compatible with the Commission’s Electronic Comment Filing System); </w:t>
      </w:r>
      <w:r w:rsidRPr="004B5FD3">
        <w:rPr>
          <w:rFonts w:ascii="Times New Roman" w:hAnsi="Times New Roman" w:cs="Times New Roman"/>
          <w:i/>
          <w:sz w:val="20"/>
          <w:szCs w:val="20"/>
        </w:rPr>
        <w:t>see also</w:t>
      </w:r>
      <w:r w:rsidRPr="004B5FD3">
        <w:rPr>
          <w:rFonts w:ascii="Times New Roman" w:hAnsi="Times New Roman" w:cs="Times New Roman"/>
          <w:sz w:val="20"/>
          <w:szCs w:val="20"/>
        </w:rPr>
        <w:t xml:space="preserve"> Letter from Charles Eberle, Attorney-Advisor, Telecommunications Access Policy Division, Wireline Competition Bureau, </w:t>
      </w:r>
      <w:r w:rsidR="00923E79" w:rsidRPr="004B5FD3">
        <w:rPr>
          <w:rFonts w:ascii="Times New Roman" w:hAnsi="Times New Roman" w:cs="Times New Roman"/>
          <w:sz w:val="20"/>
          <w:szCs w:val="20"/>
        </w:rPr>
        <w:t xml:space="preserve">FCC, </w:t>
      </w:r>
      <w:r w:rsidRPr="004B5FD3">
        <w:rPr>
          <w:rFonts w:ascii="Times New Roman" w:hAnsi="Times New Roman" w:cs="Times New Roman"/>
          <w:sz w:val="20"/>
          <w:szCs w:val="20"/>
        </w:rPr>
        <w:t xml:space="preserve">to Marlene H. Dortch, Secretary, FCC, WC Docket No. 13-184 (filed Sept. 27, 2013) (stating that High Desert (OR) Education Service District pays $25.45/Mbps per month for Internet access at the district demark); Letter from Charles Eberle, Attorney-Advisor, Telecommunications Access Policy Division, Wireline Competition Bureau, </w:t>
      </w:r>
      <w:r w:rsidR="00923E79" w:rsidRPr="004B5FD3">
        <w:rPr>
          <w:rFonts w:ascii="Times New Roman" w:hAnsi="Times New Roman" w:cs="Times New Roman"/>
          <w:sz w:val="20"/>
          <w:szCs w:val="20"/>
        </w:rPr>
        <w:t xml:space="preserve">FCC, </w:t>
      </w:r>
      <w:r w:rsidRPr="004B5FD3">
        <w:rPr>
          <w:rFonts w:ascii="Times New Roman" w:hAnsi="Times New Roman" w:cs="Times New Roman"/>
          <w:sz w:val="20"/>
          <w:szCs w:val="20"/>
        </w:rPr>
        <w:t>to Marlene H. Dortch, Secretary, FCC, WC Docket No. 13-184 (filed Sept. 30, 2013) (stating that Newton (KS) Unified School District 501 pays $23/Mbps per month for Internet access at the district demark); Comments of the American Library Association, WC Docket No. 13-184, at 17 (filed Sept. 16, 2013) (explaining that rural libraries in Apache County, AZ and Idaho pay $300/Mbps and $260/M</w:t>
      </w:r>
      <w:r w:rsidR="00923E79" w:rsidRPr="004B5FD3">
        <w:rPr>
          <w:rFonts w:ascii="Times New Roman" w:hAnsi="Times New Roman" w:cs="Times New Roman"/>
          <w:sz w:val="20"/>
          <w:szCs w:val="20"/>
        </w:rPr>
        <w:t>b</w:t>
      </w:r>
      <w:r w:rsidRPr="004B5FD3">
        <w:rPr>
          <w:rFonts w:ascii="Times New Roman" w:hAnsi="Times New Roman" w:cs="Times New Roman"/>
          <w:sz w:val="20"/>
          <w:szCs w:val="20"/>
        </w:rPr>
        <w:t>ps per month, respectively).</w:t>
      </w:r>
    </w:p>
  </w:footnote>
  <w:footnote w:id="52">
    <w:p w14:paraId="619EF4C3" w14:textId="09800353" w:rsidR="00D44D7D" w:rsidRPr="00BD3824" w:rsidRDefault="00D44D7D" w:rsidP="00682BB9">
      <w:pPr>
        <w:pStyle w:val="FootnoteText"/>
      </w:pPr>
      <w:r w:rsidRPr="00BD3824">
        <w:rPr>
          <w:rStyle w:val="FootnoteReference"/>
          <w:sz w:val="20"/>
        </w:rPr>
        <w:footnoteRef/>
      </w:r>
      <w:r w:rsidRPr="00BD3824">
        <w:t xml:space="preserve"> Letter from Shana Knutson, General Counsel, Nebraska Public Service Commission, to Marlene H. Dortch, Secretary, FCC, WC Docket No. 13-184, Attach. at 3 (filed May 12, 2014).</w:t>
      </w:r>
    </w:p>
  </w:footnote>
  <w:footnote w:id="53">
    <w:p w14:paraId="2A20BD59" w14:textId="3820D9EB" w:rsidR="00D44D7D" w:rsidRPr="00BD3824" w:rsidRDefault="00D44D7D" w:rsidP="00682BB9">
      <w:pPr>
        <w:pStyle w:val="FootnoteText"/>
      </w:pPr>
      <w:r w:rsidRPr="00BD3824">
        <w:rPr>
          <w:rStyle w:val="FootnoteReference"/>
          <w:sz w:val="20"/>
        </w:rPr>
        <w:footnoteRef/>
      </w:r>
      <w:r w:rsidRPr="00BD3824">
        <w:t xml:space="preserve"> </w:t>
      </w:r>
      <w:r w:rsidR="00E0518C" w:rsidRPr="00BD3824">
        <w:t xml:space="preserve">Public Notice </w:t>
      </w:r>
      <w:r w:rsidRPr="00BD3824">
        <w:t>Comments of State Consortia Group</w:t>
      </w:r>
      <w:r w:rsidR="00A3478F" w:rsidRPr="00BD3824">
        <w:t>, WC Docket No. 13-184</w:t>
      </w:r>
      <w:r w:rsidR="00E0518C" w:rsidRPr="00BD3824">
        <w:t>, at 3</w:t>
      </w:r>
      <w:r w:rsidR="00A3478F" w:rsidRPr="00BD3824">
        <w:t xml:space="preserve"> (</w:t>
      </w:r>
      <w:r w:rsidR="00E0518C" w:rsidRPr="00BD3824">
        <w:t>filed April 21, 2014</w:t>
      </w:r>
      <w:r w:rsidR="00A3478F" w:rsidRPr="00BD3824">
        <w:t>)</w:t>
      </w:r>
      <w:r w:rsidRPr="00BD3824">
        <w:t>.</w:t>
      </w:r>
    </w:p>
  </w:footnote>
  <w:footnote w:id="54">
    <w:p w14:paraId="66CB53C6" w14:textId="33B34AEB" w:rsidR="00D44D7D" w:rsidRPr="00BD3824" w:rsidRDefault="00D44D7D" w:rsidP="00682BB9">
      <w:pPr>
        <w:pStyle w:val="FootnoteText"/>
      </w:pPr>
      <w:r w:rsidRPr="00BD3824">
        <w:rPr>
          <w:rStyle w:val="FootnoteReference"/>
          <w:sz w:val="20"/>
        </w:rPr>
        <w:footnoteRef/>
      </w:r>
      <w:r w:rsidRPr="00BD3824">
        <w:t xml:space="preserve"> </w:t>
      </w:r>
      <w:r w:rsidRPr="00BD3824">
        <w:rPr>
          <w:i/>
        </w:rPr>
        <w:t>E-Rate Modernization Order</w:t>
      </w:r>
      <w:r w:rsidRPr="00BD3824">
        <w:t xml:space="preserve"> at para. 6.</w:t>
      </w:r>
    </w:p>
  </w:footnote>
  <w:footnote w:id="55">
    <w:p w14:paraId="291B9EDD" w14:textId="0CFDC544" w:rsidR="00D44D7D" w:rsidRPr="00BD3824" w:rsidRDefault="00D44D7D" w:rsidP="00682BB9">
      <w:pPr>
        <w:pStyle w:val="FootnoteText"/>
      </w:pPr>
      <w:r w:rsidRPr="00BD3824">
        <w:rPr>
          <w:rStyle w:val="FootnoteReference"/>
          <w:sz w:val="20"/>
        </w:rPr>
        <w:footnoteRef/>
      </w:r>
      <w:r w:rsidRPr="00BD3824">
        <w:t xml:space="preserve"> </w:t>
      </w:r>
      <w:r w:rsidRPr="00BD3824">
        <w:rPr>
          <w:i/>
        </w:rPr>
        <w:t>Further Notice</w:t>
      </w:r>
      <w:r w:rsidRPr="00BD3824">
        <w:t xml:space="preserve"> at para. 269.  We note that funding is freed because each of the dollars previously allocated to the non-broadband services which are phased out by the </w:t>
      </w:r>
      <w:r w:rsidRPr="00BD3824">
        <w:rPr>
          <w:i/>
        </w:rPr>
        <w:t>E-Rate Modernization Order</w:t>
      </w:r>
      <w:r w:rsidRPr="00BD3824">
        <w:t xml:space="preserve"> is now available to applicants for eligible category one and category two broadband services.  </w:t>
      </w:r>
    </w:p>
  </w:footnote>
  <w:footnote w:id="56">
    <w:p w14:paraId="5144C858" w14:textId="6C63E6AB" w:rsidR="00D44D7D" w:rsidRPr="00BD3824" w:rsidRDefault="00D44D7D" w:rsidP="00682BB9">
      <w:pPr>
        <w:pStyle w:val="FootnoteText"/>
        <w:widowControl w:val="0"/>
      </w:pPr>
      <w:r w:rsidRPr="00BD3824">
        <w:rPr>
          <w:rStyle w:val="FootnoteReference"/>
          <w:sz w:val="20"/>
        </w:rPr>
        <w:footnoteRef/>
      </w:r>
      <w:r w:rsidRPr="00BD3824">
        <w:t xml:space="preserve"> Letter from Melvin R. Blackwell, Vice President, Schools and Libraries Division, Universal Service Administrative Company, to Lisa Hone, Deputy Chief, Telecommunications Access Policy Division, FCC, WC Docket No. 13-184, at Attach. (filed June 12, 2014) (USAC Broadband Connectivity Data Response FY2012 and 2013).  This data was created by USAC’s PIA reviewers’ classification of each funding request number (FRN) based on the predominant service or product being requested.  Because FRNs can contain multiple products or services, and determination of the predominant service or product requires case-by-case judgment, these estimates are inevitably imperfect.  For any given product or service, the estimates exclude FRNs where that product or services is listed but judged not to be predominant.  The estimates also include funding for other products or services listed together with the predominant product or service on the same FRN.  The categorization of priority one services is as follows:  “‘High Speed’ Broadband” (50 percent) includes product types “Ethernet,” “Fiber Optics,” “Leased Dark Fiber,” “Leased Dark Fiber Service,” “Leased Lit Fiber,” “Leased Lit Fiber Service,” “OC-01,” “OC-03,” “OC-12,” and “OC-N.”  “T1s and T3s” (12 percent) includes product types “ATM,” “Broadband Over Power Lines,” “Cable Modem,” “Dialup,” “DS-1,” “DS-3,” “DSL,” “Frame Relay,” “Satellite,” “Satellite Service,” “T-1,” “T-1 (Fractional),” and “T-3.”  “Fixed Voice” (23 percent) includes product types “800 Service,” “Centrex,” “ISDN – BRI,” “ISDN – PRI,” “Local Phone Service Only,” “Local/Long Distance Phone Service,” “Other Telephone Services,” “POTS,” “Voice Mail,” “Voicemail,” and “VoIP.”  “Mobile (Voice &amp; Data)” (11 percent) includes product types “Cellular (including PCS),” “Mobile Hot Spot,” “Paging Service,” “Text Messaging,” “Wireless (for data),” and “Wireless Internet Access.” “Other” (4 percent) includes product types “Distance Learning/Video Conf,” “Domain Name Registration,” “E-mail Service,” “Web Hosting,” and any other product type not otherwise included.  </w:t>
      </w:r>
    </w:p>
  </w:footnote>
  <w:footnote w:id="57">
    <w:p w14:paraId="48A7EE69" w14:textId="6F14279B" w:rsidR="00D44D7D" w:rsidRPr="00BD3824" w:rsidRDefault="00D44D7D" w:rsidP="00682BB9">
      <w:pPr>
        <w:pStyle w:val="FootnoteText"/>
      </w:pPr>
      <w:r w:rsidRPr="00BD3824">
        <w:rPr>
          <w:rStyle w:val="FootnoteReference"/>
          <w:sz w:val="20"/>
        </w:rPr>
        <w:footnoteRef/>
      </w:r>
      <w:r w:rsidRPr="00BD3824">
        <w:t xml:space="preserve"> Demand for priority one services in funding year 2014 was $2.63 billion.  As shown in the row labeled “Other” in Figure 10, approximately $100 million of this total was for services that the Commission removed from the Eligible Services List for funding year 2015.  </w:t>
      </w:r>
      <w:r w:rsidRPr="00BD3824">
        <w:rPr>
          <w:i/>
        </w:rPr>
        <w:t xml:space="preserve">See E-Rate Modernization Order </w:t>
      </w:r>
      <w:r w:rsidR="001741A2" w:rsidRPr="00BD3824">
        <w:t>at para. 78, n.</w:t>
      </w:r>
      <w:r w:rsidRPr="00BD3824">
        <w:t>166.  In order to estimate savings for “</w:t>
      </w:r>
      <w:r w:rsidRPr="00BD3824">
        <w:rPr>
          <w:bCs/>
          <w:color w:val="000000"/>
        </w:rPr>
        <w:t>Voice (fixed+mobile),”</w:t>
      </w:r>
      <w:r w:rsidRPr="00BD3824">
        <w:rPr>
          <w:b/>
          <w:bCs/>
          <w:color w:val="000000"/>
        </w:rPr>
        <w:t xml:space="preserve"> </w:t>
      </w:r>
      <w:r w:rsidRPr="002B34C7">
        <w:rPr>
          <w:bCs/>
          <w:color w:val="000000"/>
        </w:rPr>
        <w:t>w</w:t>
      </w:r>
      <w:r w:rsidRPr="00BD3824">
        <w:t>e assumed that demand for voice services in Funding Years 2015-2019 would be equal to the demand for voice services in 2014, which was 33 percent of the total 2014 demand for priority one services, or $867.9 million.</w:t>
      </w:r>
      <w:r w:rsidR="00590AA0">
        <w:t xml:space="preserve"> </w:t>
      </w:r>
      <w:r w:rsidRPr="00BD3824">
        <w:t xml:space="preserve"> </w:t>
      </w:r>
      <w:r w:rsidRPr="00BD3824">
        <w:rPr>
          <w:i/>
        </w:rPr>
        <w:t>Id.</w:t>
      </w:r>
      <w:r w:rsidRPr="00BD3824">
        <w:t xml:space="preserve"> </w:t>
      </w:r>
      <w:r w:rsidR="00590AA0">
        <w:t xml:space="preserve"> </w:t>
      </w:r>
      <w:r w:rsidRPr="00BD3824">
        <w:t xml:space="preserve">We then determined the amount </w:t>
      </w:r>
      <w:r w:rsidR="001C7D01" w:rsidRPr="00BD3824">
        <w:t>of savings from the voice phase-</w:t>
      </w:r>
      <w:r w:rsidRPr="00BD3824">
        <w:t xml:space="preserve">out for each year by multiplying $867.9 million by an estimated average voice discount.  We derived the estimated average voice discount for each of Funding Year 2015-2019 by estimating the average voice discount for all discount bands for Funding Year 2013 – the most recent year for which there is sufficient data to generate an estimate – and then reducing each discount band by 20 percentage points per year starting with Funding Year 2015.  The FRN level dataset used to generate this analysis and our calculations are available the E-rate Modernization data site.  </w:t>
      </w:r>
      <w:r w:rsidRPr="00BD3824">
        <w:rPr>
          <w:i/>
        </w:rPr>
        <w:t>See</w:t>
      </w:r>
      <w:r w:rsidRPr="00BD3824">
        <w:t xml:space="preserve"> Federal Communications Commission, </w:t>
      </w:r>
      <w:r w:rsidRPr="00BD3824">
        <w:rPr>
          <w:i/>
        </w:rPr>
        <w:t>E-Rate Modernization Data</w:t>
      </w:r>
      <w:r w:rsidRPr="00BD3824">
        <w:t xml:space="preserve">, </w:t>
      </w:r>
      <w:hyperlink r:id="rId13" w:history="1">
        <w:r w:rsidRPr="00BD3824">
          <w:rPr>
            <w:rStyle w:val="Hyperlink"/>
          </w:rPr>
          <w:t>http://www.fcc.gov/encyclopedia/e-rate-modernization-data</w:t>
        </w:r>
      </w:hyperlink>
      <w:r w:rsidRPr="00BD3824">
        <w:t xml:space="preserve"> (providing the FRN level data and our calculations under the link labeled “USAC Broadband Connectivity Data Response 2013” at tabs labeled “Data” and “Calculations.”).</w:t>
      </w:r>
    </w:p>
  </w:footnote>
  <w:footnote w:id="58">
    <w:p w14:paraId="4777D1AA" w14:textId="77777777" w:rsidR="00D44D7D" w:rsidRPr="00BD3824" w:rsidRDefault="00D44D7D" w:rsidP="00682BB9">
      <w:pPr>
        <w:pStyle w:val="FootnoteText"/>
      </w:pPr>
      <w:r w:rsidRPr="00BD3824">
        <w:rPr>
          <w:rStyle w:val="FootnoteReference"/>
          <w:sz w:val="20"/>
        </w:rPr>
        <w:footnoteRef/>
      </w:r>
      <w:r w:rsidRPr="00BD3824">
        <w:t xml:space="preserve"> </w:t>
      </w:r>
      <w:r w:rsidRPr="00BD3824">
        <w:rPr>
          <w:i/>
        </w:rPr>
        <w:t>Wireline Competition Bureau Seeks Focused Comment on E-rate Modernization</w:t>
      </w:r>
      <w:r w:rsidRPr="00BD3824">
        <w:t>, WC Docket No. 13-184, Public Notice, 29 FCC Rcd 2174, 2177, para. 7 (Wireline Comp. Bur. Mar. 6, 2014).</w:t>
      </w:r>
    </w:p>
  </w:footnote>
  <w:footnote w:id="59">
    <w:p w14:paraId="5AB335A8" w14:textId="4B181D0B" w:rsidR="00D44D7D" w:rsidRPr="00BD3824" w:rsidRDefault="00D44D7D" w:rsidP="00682BB9">
      <w:pPr>
        <w:pStyle w:val="FootnoteText"/>
      </w:pPr>
      <w:r w:rsidRPr="00BD3824">
        <w:rPr>
          <w:rStyle w:val="FootnoteReference"/>
          <w:sz w:val="20"/>
        </w:rPr>
        <w:footnoteRef/>
      </w:r>
      <w:r w:rsidRPr="00BD3824">
        <w:t xml:space="preserve"> </w:t>
      </w:r>
      <w:r w:rsidRPr="00BD3824">
        <w:rPr>
          <w:i/>
        </w:rPr>
        <w:t>See E-Rate Modernization Order</w:t>
      </w:r>
      <w:r w:rsidRPr="00BD3824">
        <w:t xml:space="preserve"> at paras. 155-186 (Section V – Maximizing the Cost-Effectiveness of Spending for E-rate Supported Purchases).</w:t>
      </w:r>
    </w:p>
  </w:footnote>
  <w:footnote w:id="60">
    <w:p w14:paraId="281E5223" w14:textId="18CDBA9D" w:rsidR="00D44D7D" w:rsidRPr="00BD3824" w:rsidRDefault="00D44D7D" w:rsidP="00682BB9">
      <w:pPr>
        <w:pStyle w:val="FootnoteText"/>
      </w:pPr>
      <w:r w:rsidRPr="00BD3824">
        <w:rPr>
          <w:rStyle w:val="FootnoteReference"/>
          <w:sz w:val="20"/>
        </w:rPr>
        <w:footnoteRef/>
      </w:r>
      <w:r w:rsidRPr="00BD3824">
        <w:t xml:space="preserve"> </w:t>
      </w:r>
      <w:r w:rsidRPr="00BD3824">
        <w:rPr>
          <w:i/>
        </w:rPr>
        <w:t>See Further Notice</w:t>
      </w:r>
      <w:r w:rsidRPr="00BD3824">
        <w:t xml:space="preserve"> at para. 269.</w:t>
      </w:r>
    </w:p>
  </w:footnote>
  <w:footnote w:id="61">
    <w:p w14:paraId="0FF2AB0A" w14:textId="7FB3881B" w:rsidR="00D44D7D" w:rsidRPr="00BD3824" w:rsidRDefault="00D44D7D" w:rsidP="00682BB9">
      <w:pPr>
        <w:pStyle w:val="FootnoteText"/>
      </w:pPr>
      <w:r w:rsidRPr="00BD3824">
        <w:rPr>
          <w:rStyle w:val="FootnoteReference"/>
          <w:sz w:val="20"/>
        </w:rPr>
        <w:footnoteRef/>
      </w:r>
      <w:r w:rsidRPr="00BD3824">
        <w:t xml:space="preserve"> </w:t>
      </w:r>
      <w:r w:rsidRPr="00BD3824">
        <w:rPr>
          <w:i/>
        </w:rPr>
        <w:t>Id</w:t>
      </w:r>
      <w:r w:rsidRPr="00BD382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C298" w14:textId="77777777" w:rsidR="000424BE" w:rsidRDefault="00042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E452" w14:textId="77777777" w:rsidR="000424BE" w:rsidRDefault="00042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C6E56" w14:textId="77777777" w:rsidR="00D44D7D" w:rsidRPr="00802FE9" w:rsidRDefault="00D44D7D" w:rsidP="00802FE9">
    <w:pPr>
      <w:pStyle w:val="Header"/>
    </w:pPr>
    <w:r w:rsidRPr="00802FE9">
      <w:tab/>
      <w:t>Federal Comm</w:t>
    </w:r>
    <w:r>
      <w:t>unications Commission</w:t>
    </w:r>
    <w:r>
      <w:tab/>
      <w:t>DA 14-[xxx]</w:t>
    </w:r>
  </w:p>
  <w:p w14:paraId="4971C2F7" w14:textId="77777777" w:rsidR="00D44D7D" w:rsidRDefault="00D44D7D" w:rsidP="00EE5D67">
    <w:pPr>
      <w:pStyle w:val="Header"/>
    </w:pPr>
    <w:r w:rsidRPr="00802FE9">
      <w:rPr>
        <w:noProof/>
      </w:rPr>
      <mc:AlternateContent>
        <mc:Choice Requires="wps">
          <w:drawing>
            <wp:anchor distT="0" distB="0" distL="114300" distR="114300" simplePos="0" relativeHeight="251659264" behindDoc="0" locked="0" layoutInCell="0" allowOverlap="1" wp14:anchorId="66BF1CF3" wp14:editId="4CC6761C">
              <wp:simplePos x="0" y="0"/>
              <wp:positionH relativeFrom="column">
                <wp:posOffset>0</wp:posOffset>
              </wp:positionH>
              <wp:positionV relativeFrom="paragraph">
                <wp:posOffset>22225</wp:posOffset>
              </wp:positionV>
              <wp:extent cx="5943600" cy="0"/>
              <wp:effectExtent l="9525" t="15875"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C24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C2C06A"/>
    <w:lvl w:ilvl="0">
      <w:start w:val="1"/>
      <w:numFmt w:val="decimal"/>
      <w:lvlText w:val="%1."/>
      <w:lvlJc w:val="left"/>
      <w:pPr>
        <w:tabs>
          <w:tab w:val="num" w:pos="1800"/>
        </w:tabs>
        <w:ind w:left="1800" w:hanging="360"/>
      </w:pPr>
    </w:lvl>
  </w:abstractNum>
  <w:abstractNum w:abstractNumId="2">
    <w:nsid w:val="FFFFFF7D"/>
    <w:multiLevelType w:val="singleLevel"/>
    <w:tmpl w:val="DF569316"/>
    <w:lvl w:ilvl="0">
      <w:start w:val="1"/>
      <w:numFmt w:val="decimal"/>
      <w:lvlText w:val="%1."/>
      <w:lvlJc w:val="left"/>
      <w:pPr>
        <w:tabs>
          <w:tab w:val="num" w:pos="1440"/>
        </w:tabs>
        <w:ind w:left="1440" w:hanging="360"/>
      </w:pPr>
    </w:lvl>
  </w:abstractNum>
  <w:abstractNum w:abstractNumId="3">
    <w:nsid w:val="FFFFFF7E"/>
    <w:multiLevelType w:val="singleLevel"/>
    <w:tmpl w:val="1BAE55DA"/>
    <w:lvl w:ilvl="0">
      <w:start w:val="1"/>
      <w:numFmt w:val="decimal"/>
      <w:lvlText w:val="%1."/>
      <w:lvlJc w:val="left"/>
      <w:pPr>
        <w:tabs>
          <w:tab w:val="num" w:pos="1080"/>
        </w:tabs>
        <w:ind w:left="1080" w:hanging="360"/>
      </w:pPr>
    </w:lvl>
  </w:abstractNum>
  <w:abstractNum w:abstractNumId="4">
    <w:nsid w:val="FFFFFF7F"/>
    <w:multiLevelType w:val="singleLevel"/>
    <w:tmpl w:val="4198C048"/>
    <w:lvl w:ilvl="0">
      <w:start w:val="1"/>
      <w:numFmt w:val="decimal"/>
      <w:lvlText w:val="%1."/>
      <w:lvlJc w:val="left"/>
      <w:pPr>
        <w:tabs>
          <w:tab w:val="num" w:pos="720"/>
        </w:tabs>
        <w:ind w:left="720" w:hanging="360"/>
      </w:pPr>
    </w:lvl>
  </w:abstractNum>
  <w:abstractNum w:abstractNumId="5">
    <w:nsid w:val="FFFFFF80"/>
    <w:multiLevelType w:val="singleLevel"/>
    <w:tmpl w:val="2166BE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A27E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6C05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A98388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3E1746"/>
    <w:lvl w:ilvl="0">
      <w:start w:val="1"/>
      <w:numFmt w:val="decimal"/>
      <w:lvlText w:val="%1."/>
      <w:lvlJc w:val="left"/>
      <w:pPr>
        <w:tabs>
          <w:tab w:val="num" w:pos="360"/>
        </w:tabs>
        <w:ind w:left="360" w:hanging="360"/>
      </w:pPr>
    </w:lvl>
  </w:abstractNum>
  <w:abstractNum w:abstractNumId="10">
    <w:nsid w:val="FFFFFF89"/>
    <w:multiLevelType w:val="singleLevel"/>
    <w:tmpl w:val="041E3B4E"/>
    <w:lvl w:ilvl="0">
      <w:start w:val="1"/>
      <w:numFmt w:val="bullet"/>
      <w:lvlText w:val=""/>
      <w:lvlJc w:val="left"/>
      <w:pPr>
        <w:tabs>
          <w:tab w:val="num" w:pos="360"/>
        </w:tabs>
        <w:ind w:left="360" w:hanging="360"/>
      </w:pPr>
      <w:rPr>
        <w:rFonts w:ascii="Symbol" w:hAnsi="Symbol"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6C78FA"/>
    <w:multiLevelType w:val="hybridMultilevel"/>
    <w:tmpl w:val="AC281248"/>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414375CE"/>
    <w:multiLevelType w:val="hybridMultilevel"/>
    <w:tmpl w:val="5C42C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23475E"/>
    <w:multiLevelType w:val="hybridMultilevel"/>
    <w:tmpl w:val="4156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5"/>
  </w:num>
  <w:num w:numId="2">
    <w:abstractNumId w:val="19"/>
  </w:num>
  <w:num w:numId="3">
    <w:abstractNumId w:val="16"/>
  </w:num>
  <w:num w:numId="4">
    <w:abstractNumId w:val="13"/>
  </w:num>
  <w:num w:numId="5">
    <w:abstractNumId w:val="12"/>
  </w:num>
  <w:num w:numId="6">
    <w:abstractNumId w:val="18"/>
  </w:num>
  <w:num w:numId="7">
    <w:abstractNumId w:val="14"/>
  </w:num>
  <w:num w:numId="8">
    <w:abstractNumId w:val="11"/>
  </w:num>
  <w:num w:numId="9">
    <w:abstractNumId w:val="17"/>
  </w:num>
  <w:num w:numId="10">
    <w:abstractNumId w:val="19"/>
  </w:num>
  <w:num w:numId="11">
    <w:abstractNumId w:val="19"/>
  </w:num>
  <w:num w:numId="12">
    <w:abstractNumId w:val="19"/>
  </w:num>
  <w:num w:numId="13">
    <w:abstractNumId w:val="19"/>
    <w:lvlOverride w:ilvl="0">
      <w:startOverride w:val="1"/>
    </w:lvlOverride>
  </w:num>
  <w:num w:numId="14">
    <w:abstractNumId w:val="19"/>
  </w:num>
  <w:num w:numId="15">
    <w:abstractNumId w:val="19"/>
  </w:num>
  <w:num w:numId="16">
    <w:abstractNumId w:val="19"/>
    <w:lvlOverride w:ilvl="0">
      <w:startOverride w:val="1"/>
    </w:lvlOverride>
  </w:num>
  <w:num w:numId="17">
    <w:abstractNumId w:val="19"/>
  </w:num>
  <w:num w:numId="18">
    <w:abstractNumId w:val="19"/>
  </w:num>
  <w:num w:numId="19">
    <w:abstractNumId w:val="19"/>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linkStyl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5B"/>
    <w:rsid w:val="00001366"/>
    <w:rsid w:val="00002321"/>
    <w:rsid w:val="000038B3"/>
    <w:rsid w:val="00003900"/>
    <w:rsid w:val="00003954"/>
    <w:rsid w:val="0000513A"/>
    <w:rsid w:val="000063EA"/>
    <w:rsid w:val="0000765B"/>
    <w:rsid w:val="00007BEB"/>
    <w:rsid w:val="0001163C"/>
    <w:rsid w:val="00011A78"/>
    <w:rsid w:val="00011DD0"/>
    <w:rsid w:val="00012B6C"/>
    <w:rsid w:val="00013FB1"/>
    <w:rsid w:val="00016632"/>
    <w:rsid w:val="00020750"/>
    <w:rsid w:val="00020C5C"/>
    <w:rsid w:val="00020DA9"/>
    <w:rsid w:val="00023EED"/>
    <w:rsid w:val="00024A96"/>
    <w:rsid w:val="00024C34"/>
    <w:rsid w:val="00024C62"/>
    <w:rsid w:val="00026538"/>
    <w:rsid w:val="00027D43"/>
    <w:rsid w:val="00027F98"/>
    <w:rsid w:val="00030C2C"/>
    <w:rsid w:val="0003128C"/>
    <w:rsid w:val="000315BE"/>
    <w:rsid w:val="000320BC"/>
    <w:rsid w:val="0003444E"/>
    <w:rsid w:val="00034732"/>
    <w:rsid w:val="00034AC7"/>
    <w:rsid w:val="00034AC9"/>
    <w:rsid w:val="00036BCA"/>
    <w:rsid w:val="0004020F"/>
    <w:rsid w:val="00040902"/>
    <w:rsid w:val="0004102F"/>
    <w:rsid w:val="00041E47"/>
    <w:rsid w:val="000424BE"/>
    <w:rsid w:val="0004313F"/>
    <w:rsid w:val="0004465E"/>
    <w:rsid w:val="000446EB"/>
    <w:rsid w:val="00044CF8"/>
    <w:rsid w:val="00047A1B"/>
    <w:rsid w:val="000515F9"/>
    <w:rsid w:val="0005264D"/>
    <w:rsid w:val="000556FC"/>
    <w:rsid w:val="000569EF"/>
    <w:rsid w:val="00060D91"/>
    <w:rsid w:val="00061651"/>
    <w:rsid w:val="00061A08"/>
    <w:rsid w:val="000620FF"/>
    <w:rsid w:val="000624CC"/>
    <w:rsid w:val="00062838"/>
    <w:rsid w:val="0006347F"/>
    <w:rsid w:val="000649FC"/>
    <w:rsid w:val="00066A2A"/>
    <w:rsid w:val="00066C31"/>
    <w:rsid w:val="000705CF"/>
    <w:rsid w:val="00070A44"/>
    <w:rsid w:val="0007117A"/>
    <w:rsid w:val="000722EE"/>
    <w:rsid w:val="000726DF"/>
    <w:rsid w:val="00072FC4"/>
    <w:rsid w:val="00073DAD"/>
    <w:rsid w:val="00074151"/>
    <w:rsid w:val="000742C5"/>
    <w:rsid w:val="000751DF"/>
    <w:rsid w:val="00075C7C"/>
    <w:rsid w:val="000766E7"/>
    <w:rsid w:val="000770CF"/>
    <w:rsid w:val="000803F8"/>
    <w:rsid w:val="00080B0F"/>
    <w:rsid w:val="00081515"/>
    <w:rsid w:val="00082ABC"/>
    <w:rsid w:val="0008439E"/>
    <w:rsid w:val="000847EF"/>
    <w:rsid w:val="0008520F"/>
    <w:rsid w:val="000855C3"/>
    <w:rsid w:val="00086B93"/>
    <w:rsid w:val="0009008D"/>
    <w:rsid w:val="00090698"/>
    <w:rsid w:val="00090C88"/>
    <w:rsid w:val="00090D22"/>
    <w:rsid w:val="000910C1"/>
    <w:rsid w:val="00091FE9"/>
    <w:rsid w:val="00096A62"/>
    <w:rsid w:val="00096D33"/>
    <w:rsid w:val="000974BC"/>
    <w:rsid w:val="000A06C5"/>
    <w:rsid w:val="000A0C40"/>
    <w:rsid w:val="000A1B8C"/>
    <w:rsid w:val="000A3C11"/>
    <w:rsid w:val="000A3CA9"/>
    <w:rsid w:val="000A560F"/>
    <w:rsid w:val="000A5A32"/>
    <w:rsid w:val="000A5D00"/>
    <w:rsid w:val="000A62F6"/>
    <w:rsid w:val="000A6596"/>
    <w:rsid w:val="000B0C53"/>
    <w:rsid w:val="000B1597"/>
    <w:rsid w:val="000B19BA"/>
    <w:rsid w:val="000B1C68"/>
    <w:rsid w:val="000B2953"/>
    <w:rsid w:val="000B3080"/>
    <w:rsid w:val="000B6476"/>
    <w:rsid w:val="000B6F77"/>
    <w:rsid w:val="000C0659"/>
    <w:rsid w:val="000C1E60"/>
    <w:rsid w:val="000C397B"/>
    <w:rsid w:val="000C4137"/>
    <w:rsid w:val="000C485F"/>
    <w:rsid w:val="000C5065"/>
    <w:rsid w:val="000C54E1"/>
    <w:rsid w:val="000C557A"/>
    <w:rsid w:val="000C5582"/>
    <w:rsid w:val="000C64B7"/>
    <w:rsid w:val="000C7770"/>
    <w:rsid w:val="000C7B6D"/>
    <w:rsid w:val="000D1507"/>
    <w:rsid w:val="000D2076"/>
    <w:rsid w:val="000D2C50"/>
    <w:rsid w:val="000D60B9"/>
    <w:rsid w:val="000D628A"/>
    <w:rsid w:val="000D6DF9"/>
    <w:rsid w:val="000D7C1D"/>
    <w:rsid w:val="000D7CC8"/>
    <w:rsid w:val="000E0301"/>
    <w:rsid w:val="000E05E0"/>
    <w:rsid w:val="000E150C"/>
    <w:rsid w:val="000E2DB3"/>
    <w:rsid w:val="000E2FA4"/>
    <w:rsid w:val="000E3134"/>
    <w:rsid w:val="000E3588"/>
    <w:rsid w:val="000E3E1E"/>
    <w:rsid w:val="000E476A"/>
    <w:rsid w:val="000E5644"/>
    <w:rsid w:val="000E5962"/>
    <w:rsid w:val="000E5FCF"/>
    <w:rsid w:val="000E60B0"/>
    <w:rsid w:val="000E656A"/>
    <w:rsid w:val="000E7116"/>
    <w:rsid w:val="000F0173"/>
    <w:rsid w:val="000F0B03"/>
    <w:rsid w:val="000F0E85"/>
    <w:rsid w:val="000F207B"/>
    <w:rsid w:val="000F37DD"/>
    <w:rsid w:val="000F3A8A"/>
    <w:rsid w:val="000F3D16"/>
    <w:rsid w:val="000F40E5"/>
    <w:rsid w:val="000F43BD"/>
    <w:rsid w:val="000F47FB"/>
    <w:rsid w:val="000F4DD6"/>
    <w:rsid w:val="00100477"/>
    <w:rsid w:val="00100824"/>
    <w:rsid w:val="00100FEE"/>
    <w:rsid w:val="0010103A"/>
    <w:rsid w:val="00101DC4"/>
    <w:rsid w:val="00102406"/>
    <w:rsid w:val="00103650"/>
    <w:rsid w:val="0010399A"/>
    <w:rsid w:val="00103F53"/>
    <w:rsid w:val="0010428D"/>
    <w:rsid w:val="001052D1"/>
    <w:rsid w:val="00105A45"/>
    <w:rsid w:val="00107FA5"/>
    <w:rsid w:val="0011008B"/>
    <w:rsid w:val="0011015E"/>
    <w:rsid w:val="00111856"/>
    <w:rsid w:val="00116692"/>
    <w:rsid w:val="00116E88"/>
    <w:rsid w:val="00117F8D"/>
    <w:rsid w:val="00121028"/>
    <w:rsid w:val="001212CD"/>
    <w:rsid w:val="00121A42"/>
    <w:rsid w:val="00121B69"/>
    <w:rsid w:val="0012277F"/>
    <w:rsid w:val="00122ADE"/>
    <w:rsid w:val="001233FC"/>
    <w:rsid w:val="00124207"/>
    <w:rsid w:val="00124C50"/>
    <w:rsid w:val="001264ED"/>
    <w:rsid w:val="00126CF1"/>
    <w:rsid w:val="00126DAB"/>
    <w:rsid w:val="0012712F"/>
    <w:rsid w:val="00127565"/>
    <w:rsid w:val="00127901"/>
    <w:rsid w:val="00127C53"/>
    <w:rsid w:val="001305F6"/>
    <w:rsid w:val="001318B4"/>
    <w:rsid w:val="00131B24"/>
    <w:rsid w:val="00132870"/>
    <w:rsid w:val="00133255"/>
    <w:rsid w:val="001348E2"/>
    <w:rsid w:val="00134EE4"/>
    <w:rsid w:val="0013509D"/>
    <w:rsid w:val="00135583"/>
    <w:rsid w:val="00135713"/>
    <w:rsid w:val="00136BDE"/>
    <w:rsid w:val="00137316"/>
    <w:rsid w:val="00137472"/>
    <w:rsid w:val="00140467"/>
    <w:rsid w:val="00140F04"/>
    <w:rsid w:val="001412EE"/>
    <w:rsid w:val="00142B19"/>
    <w:rsid w:val="001431CA"/>
    <w:rsid w:val="00143350"/>
    <w:rsid w:val="00143579"/>
    <w:rsid w:val="001439A1"/>
    <w:rsid w:val="00143C60"/>
    <w:rsid w:val="00145647"/>
    <w:rsid w:val="00145FF3"/>
    <w:rsid w:val="0014709D"/>
    <w:rsid w:val="00147A62"/>
    <w:rsid w:val="00147DCC"/>
    <w:rsid w:val="00150410"/>
    <w:rsid w:val="001509E4"/>
    <w:rsid w:val="00151997"/>
    <w:rsid w:val="00151D62"/>
    <w:rsid w:val="00153DEE"/>
    <w:rsid w:val="001600C8"/>
    <w:rsid w:val="00160783"/>
    <w:rsid w:val="00160D79"/>
    <w:rsid w:val="00161022"/>
    <w:rsid w:val="00161D1A"/>
    <w:rsid w:val="001629DE"/>
    <w:rsid w:val="00163954"/>
    <w:rsid w:val="00165263"/>
    <w:rsid w:val="00165336"/>
    <w:rsid w:val="00165684"/>
    <w:rsid w:val="00165EF2"/>
    <w:rsid w:val="001661A0"/>
    <w:rsid w:val="0016711C"/>
    <w:rsid w:val="0017118B"/>
    <w:rsid w:val="0017168B"/>
    <w:rsid w:val="001726A0"/>
    <w:rsid w:val="00173071"/>
    <w:rsid w:val="001741A2"/>
    <w:rsid w:val="001753E1"/>
    <w:rsid w:val="00176028"/>
    <w:rsid w:val="00176885"/>
    <w:rsid w:val="001769AC"/>
    <w:rsid w:val="00176E6F"/>
    <w:rsid w:val="0017772D"/>
    <w:rsid w:val="00181FFC"/>
    <w:rsid w:val="00182F07"/>
    <w:rsid w:val="001830B3"/>
    <w:rsid w:val="00183303"/>
    <w:rsid w:val="001853BD"/>
    <w:rsid w:val="00185726"/>
    <w:rsid w:val="001857B6"/>
    <w:rsid w:val="0018585D"/>
    <w:rsid w:val="00192258"/>
    <w:rsid w:val="00192510"/>
    <w:rsid w:val="001936EE"/>
    <w:rsid w:val="001936FB"/>
    <w:rsid w:val="00194069"/>
    <w:rsid w:val="00194AC1"/>
    <w:rsid w:val="00194E15"/>
    <w:rsid w:val="001959A5"/>
    <w:rsid w:val="00195FB6"/>
    <w:rsid w:val="00196306"/>
    <w:rsid w:val="00197B15"/>
    <w:rsid w:val="00197BDC"/>
    <w:rsid w:val="001A08F2"/>
    <w:rsid w:val="001A12B6"/>
    <w:rsid w:val="001A1AD4"/>
    <w:rsid w:val="001A2CB7"/>
    <w:rsid w:val="001A3DB0"/>
    <w:rsid w:val="001A4BD8"/>
    <w:rsid w:val="001A53F7"/>
    <w:rsid w:val="001A5501"/>
    <w:rsid w:val="001A5C5A"/>
    <w:rsid w:val="001A5E05"/>
    <w:rsid w:val="001A650E"/>
    <w:rsid w:val="001A6EFB"/>
    <w:rsid w:val="001A73B3"/>
    <w:rsid w:val="001B08A2"/>
    <w:rsid w:val="001B1080"/>
    <w:rsid w:val="001B18BF"/>
    <w:rsid w:val="001B24DE"/>
    <w:rsid w:val="001B38AF"/>
    <w:rsid w:val="001B3D1E"/>
    <w:rsid w:val="001B5B65"/>
    <w:rsid w:val="001B61ED"/>
    <w:rsid w:val="001B64AD"/>
    <w:rsid w:val="001B7C6B"/>
    <w:rsid w:val="001B7CC6"/>
    <w:rsid w:val="001C0125"/>
    <w:rsid w:val="001C0C7C"/>
    <w:rsid w:val="001C0F1B"/>
    <w:rsid w:val="001C4BBF"/>
    <w:rsid w:val="001C51C8"/>
    <w:rsid w:val="001C55A9"/>
    <w:rsid w:val="001C5DA9"/>
    <w:rsid w:val="001C5E96"/>
    <w:rsid w:val="001C7D01"/>
    <w:rsid w:val="001D022B"/>
    <w:rsid w:val="001D1F53"/>
    <w:rsid w:val="001D1FEC"/>
    <w:rsid w:val="001D448F"/>
    <w:rsid w:val="001D47B8"/>
    <w:rsid w:val="001D4C40"/>
    <w:rsid w:val="001D4F95"/>
    <w:rsid w:val="001D6128"/>
    <w:rsid w:val="001D643E"/>
    <w:rsid w:val="001D7A32"/>
    <w:rsid w:val="001E01E0"/>
    <w:rsid w:val="001E07F2"/>
    <w:rsid w:val="001E171F"/>
    <w:rsid w:val="001E1C12"/>
    <w:rsid w:val="001E2589"/>
    <w:rsid w:val="001E34BC"/>
    <w:rsid w:val="001E3984"/>
    <w:rsid w:val="001E470A"/>
    <w:rsid w:val="001E5EAB"/>
    <w:rsid w:val="001E60AD"/>
    <w:rsid w:val="001F1002"/>
    <w:rsid w:val="001F12D9"/>
    <w:rsid w:val="001F2E2D"/>
    <w:rsid w:val="001F4002"/>
    <w:rsid w:val="001F4606"/>
    <w:rsid w:val="001F619A"/>
    <w:rsid w:val="001F65A3"/>
    <w:rsid w:val="001F74B6"/>
    <w:rsid w:val="00202447"/>
    <w:rsid w:val="002036BF"/>
    <w:rsid w:val="00204508"/>
    <w:rsid w:val="00204CDD"/>
    <w:rsid w:val="002062D5"/>
    <w:rsid w:val="00206A75"/>
    <w:rsid w:val="00207B69"/>
    <w:rsid w:val="00210C66"/>
    <w:rsid w:val="002136B4"/>
    <w:rsid w:val="00214D65"/>
    <w:rsid w:val="00216DA5"/>
    <w:rsid w:val="002201C5"/>
    <w:rsid w:val="00221963"/>
    <w:rsid w:val="00221D44"/>
    <w:rsid w:val="00222322"/>
    <w:rsid w:val="00222FB9"/>
    <w:rsid w:val="002258A8"/>
    <w:rsid w:val="00227694"/>
    <w:rsid w:val="00227720"/>
    <w:rsid w:val="00227B76"/>
    <w:rsid w:val="00227F29"/>
    <w:rsid w:val="00231178"/>
    <w:rsid w:val="0023264C"/>
    <w:rsid w:val="00232CCA"/>
    <w:rsid w:val="0023456A"/>
    <w:rsid w:val="00235668"/>
    <w:rsid w:val="002356BA"/>
    <w:rsid w:val="002367AD"/>
    <w:rsid w:val="002375D0"/>
    <w:rsid w:val="00237864"/>
    <w:rsid w:val="00237937"/>
    <w:rsid w:val="002412FB"/>
    <w:rsid w:val="00241A3F"/>
    <w:rsid w:val="00242D71"/>
    <w:rsid w:val="00243E35"/>
    <w:rsid w:val="002446C7"/>
    <w:rsid w:val="00244854"/>
    <w:rsid w:val="002452DF"/>
    <w:rsid w:val="00245337"/>
    <w:rsid w:val="002506E4"/>
    <w:rsid w:val="00250A69"/>
    <w:rsid w:val="0025138B"/>
    <w:rsid w:val="00251B74"/>
    <w:rsid w:val="00252DAA"/>
    <w:rsid w:val="00253234"/>
    <w:rsid w:val="00253DD0"/>
    <w:rsid w:val="00254892"/>
    <w:rsid w:val="0025561F"/>
    <w:rsid w:val="00255D5B"/>
    <w:rsid w:val="00256310"/>
    <w:rsid w:val="002614FF"/>
    <w:rsid w:val="00261FE8"/>
    <w:rsid w:val="00262FAC"/>
    <w:rsid w:val="002642D3"/>
    <w:rsid w:val="00265101"/>
    <w:rsid w:val="002655AF"/>
    <w:rsid w:val="00265740"/>
    <w:rsid w:val="00266329"/>
    <w:rsid w:val="0026643D"/>
    <w:rsid w:val="0026685E"/>
    <w:rsid w:val="00266FE7"/>
    <w:rsid w:val="00267054"/>
    <w:rsid w:val="00267C9F"/>
    <w:rsid w:val="00270AC7"/>
    <w:rsid w:val="00270C0F"/>
    <w:rsid w:val="00270CDF"/>
    <w:rsid w:val="002741EF"/>
    <w:rsid w:val="002745DA"/>
    <w:rsid w:val="0027558A"/>
    <w:rsid w:val="00275D64"/>
    <w:rsid w:val="00282060"/>
    <w:rsid w:val="002821ED"/>
    <w:rsid w:val="002827A0"/>
    <w:rsid w:val="00283474"/>
    <w:rsid w:val="00283F78"/>
    <w:rsid w:val="00284751"/>
    <w:rsid w:val="00287A79"/>
    <w:rsid w:val="002902FF"/>
    <w:rsid w:val="0029079B"/>
    <w:rsid w:val="00291A1F"/>
    <w:rsid w:val="00292ADF"/>
    <w:rsid w:val="00292B1C"/>
    <w:rsid w:val="00293311"/>
    <w:rsid w:val="0029401E"/>
    <w:rsid w:val="0029507D"/>
    <w:rsid w:val="00295446"/>
    <w:rsid w:val="00296082"/>
    <w:rsid w:val="0029652F"/>
    <w:rsid w:val="0029675A"/>
    <w:rsid w:val="00296F0B"/>
    <w:rsid w:val="002A08F9"/>
    <w:rsid w:val="002A1190"/>
    <w:rsid w:val="002A1442"/>
    <w:rsid w:val="002A2652"/>
    <w:rsid w:val="002A2C57"/>
    <w:rsid w:val="002A3B36"/>
    <w:rsid w:val="002A4A25"/>
    <w:rsid w:val="002A5D8E"/>
    <w:rsid w:val="002A5FBF"/>
    <w:rsid w:val="002A623A"/>
    <w:rsid w:val="002A66BA"/>
    <w:rsid w:val="002A69AB"/>
    <w:rsid w:val="002A7BD7"/>
    <w:rsid w:val="002A7C29"/>
    <w:rsid w:val="002B052A"/>
    <w:rsid w:val="002B16A0"/>
    <w:rsid w:val="002B20F7"/>
    <w:rsid w:val="002B2208"/>
    <w:rsid w:val="002B22BD"/>
    <w:rsid w:val="002B29B0"/>
    <w:rsid w:val="002B2F39"/>
    <w:rsid w:val="002B31D3"/>
    <w:rsid w:val="002B34C7"/>
    <w:rsid w:val="002B466E"/>
    <w:rsid w:val="002B4E3F"/>
    <w:rsid w:val="002B51D7"/>
    <w:rsid w:val="002B59F0"/>
    <w:rsid w:val="002B5F5E"/>
    <w:rsid w:val="002B67F4"/>
    <w:rsid w:val="002B72C1"/>
    <w:rsid w:val="002B77D4"/>
    <w:rsid w:val="002C025F"/>
    <w:rsid w:val="002C4991"/>
    <w:rsid w:val="002C7294"/>
    <w:rsid w:val="002D01B9"/>
    <w:rsid w:val="002D3627"/>
    <w:rsid w:val="002D3786"/>
    <w:rsid w:val="002D41CE"/>
    <w:rsid w:val="002D45F6"/>
    <w:rsid w:val="002D46A7"/>
    <w:rsid w:val="002D46FB"/>
    <w:rsid w:val="002D5DF2"/>
    <w:rsid w:val="002E05C4"/>
    <w:rsid w:val="002E0695"/>
    <w:rsid w:val="002E4563"/>
    <w:rsid w:val="002E4990"/>
    <w:rsid w:val="002E5100"/>
    <w:rsid w:val="002E5222"/>
    <w:rsid w:val="002E5CF2"/>
    <w:rsid w:val="002E5EDA"/>
    <w:rsid w:val="002E6714"/>
    <w:rsid w:val="002E6B05"/>
    <w:rsid w:val="002E756A"/>
    <w:rsid w:val="002F0C9B"/>
    <w:rsid w:val="002F2658"/>
    <w:rsid w:val="002F35A0"/>
    <w:rsid w:val="002F3888"/>
    <w:rsid w:val="002F4C01"/>
    <w:rsid w:val="002F7A6B"/>
    <w:rsid w:val="002F7B64"/>
    <w:rsid w:val="00300ADC"/>
    <w:rsid w:val="00300FAE"/>
    <w:rsid w:val="003014A7"/>
    <w:rsid w:val="003018DC"/>
    <w:rsid w:val="00304287"/>
    <w:rsid w:val="00306289"/>
    <w:rsid w:val="0030635A"/>
    <w:rsid w:val="003063D6"/>
    <w:rsid w:val="00306855"/>
    <w:rsid w:val="00306CA8"/>
    <w:rsid w:val="0030715B"/>
    <w:rsid w:val="0031030F"/>
    <w:rsid w:val="003122DE"/>
    <w:rsid w:val="0031276D"/>
    <w:rsid w:val="00313A38"/>
    <w:rsid w:val="00314540"/>
    <w:rsid w:val="00315503"/>
    <w:rsid w:val="00316CBF"/>
    <w:rsid w:val="00317634"/>
    <w:rsid w:val="00322AC3"/>
    <w:rsid w:val="003236D5"/>
    <w:rsid w:val="003251FE"/>
    <w:rsid w:val="00327A1E"/>
    <w:rsid w:val="00331796"/>
    <w:rsid w:val="00331EF4"/>
    <w:rsid w:val="00332378"/>
    <w:rsid w:val="00332D5D"/>
    <w:rsid w:val="00332E09"/>
    <w:rsid w:val="00334044"/>
    <w:rsid w:val="0033453D"/>
    <w:rsid w:val="003349EE"/>
    <w:rsid w:val="0033532B"/>
    <w:rsid w:val="00335F99"/>
    <w:rsid w:val="0033736E"/>
    <w:rsid w:val="003375D8"/>
    <w:rsid w:val="003378B6"/>
    <w:rsid w:val="003404AE"/>
    <w:rsid w:val="00340F16"/>
    <w:rsid w:val="003424D1"/>
    <w:rsid w:val="00345D07"/>
    <w:rsid w:val="00346464"/>
    <w:rsid w:val="00350BEF"/>
    <w:rsid w:val="00350F94"/>
    <w:rsid w:val="003512EF"/>
    <w:rsid w:val="00351AE6"/>
    <w:rsid w:val="00351D10"/>
    <w:rsid w:val="00353069"/>
    <w:rsid w:val="00353500"/>
    <w:rsid w:val="00354D37"/>
    <w:rsid w:val="00355207"/>
    <w:rsid w:val="00355505"/>
    <w:rsid w:val="003562FE"/>
    <w:rsid w:val="003568E8"/>
    <w:rsid w:val="0035750D"/>
    <w:rsid w:val="00357857"/>
    <w:rsid w:val="00357B9C"/>
    <w:rsid w:val="003608F3"/>
    <w:rsid w:val="003630F1"/>
    <w:rsid w:val="0036545C"/>
    <w:rsid w:val="003654C3"/>
    <w:rsid w:val="00365E0B"/>
    <w:rsid w:val="00365FF8"/>
    <w:rsid w:val="00366FBD"/>
    <w:rsid w:val="00367EB9"/>
    <w:rsid w:val="00371854"/>
    <w:rsid w:val="003747AD"/>
    <w:rsid w:val="003749CA"/>
    <w:rsid w:val="00374E61"/>
    <w:rsid w:val="00375542"/>
    <w:rsid w:val="00375D30"/>
    <w:rsid w:val="003762CC"/>
    <w:rsid w:val="00380CD9"/>
    <w:rsid w:val="00381C0D"/>
    <w:rsid w:val="00382CB4"/>
    <w:rsid w:val="00382D5B"/>
    <w:rsid w:val="00382FE8"/>
    <w:rsid w:val="003837CD"/>
    <w:rsid w:val="00383FAE"/>
    <w:rsid w:val="00384497"/>
    <w:rsid w:val="0038706E"/>
    <w:rsid w:val="003905DF"/>
    <w:rsid w:val="003906F8"/>
    <w:rsid w:val="00390A41"/>
    <w:rsid w:val="00391041"/>
    <w:rsid w:val="003922DC"/>
    <w:rsid w:val="00392B2A"/>
    <w:rsid w:val="00393607"/>
    <w:rsid w:val="0039380C"/>
    <w:rsid w:val="0039488F"/>
    <w:rsid w:val="0039614D"/>
    <w:rsid w:val="00397C4D"/>
    <w:rsid w:val="003A01CD"/>
    <w:rsid w:val="003A0965"/>
    <w:rsid w:val="003A1252"/>
    <w:rsid w:val="003A132C"/>
    <w:rsid w:val="003A1CC6"/>
    <w:rsid w:val="003A1D16"/>
    <w:rsid w:val="003A3FBB"/>
    <w:rsid w:val="003A401A"/>
    <w:rsid w:val="003A4AAE"/>
    <w:rsid w:val="003A5D01"/>
    <w:rsid w:val="003A5EDC"/>
    <w:rsid w:val="003B1AC6"/>
    <w:rsid w:val="003B1DFD"/>
    <w:rsid w:val="003B27F5"/>
    <w:rsid w:val="003B332A"/>
    <w:rsid w:val="003B45D5"/>
    <w:rsid w:val="003B5EB3"/>
    <w:rsid w:val="003B70A3"/>
    <w:rsid w:val="003C01C2"/>
    <w:rsid w:val="003C0A7B"/>
    <w:rsid w:val="003C1EBE"/>
    <w:rsid w:val="003C1EE2"/>
    <w:rsid w:val="003C2731"/>
    <w:rsid w:val="003C2901"/>
    <w:rsid w:val="003C3DD7"/>
    <w:rsid w:val="003C4DDE"/>
    <w:rsid w:val="003C4EC3"/>
    <w:rsid w:val="003C771B"/>
    <w:rsid w:val="003D060D"/>
    <w:rsid w:val="003D0CCF"/>
    <w:rsid w:val="003D28F2"/>
    <w:rsid w:val="003D4727"/>
    <w:rsid w:val="003D50CA"/>
    <w:rsid w:val="003D5382"/>
    <w:rsid w:val="003D56B8"/>
    <w:rsid w:val="003D621E"/>
    <w:rsid w:val="003D6B1D"/>
    <w:rsid w:val="003D6F78"/>
    <w:rsid w:val="003D7E17"/>
    <w:rsid w:val="003E03C8"/>
    <w:rsid w:val="003E21D6"/>
    <w:rsid w:val="003E3269"/>
    <w:rsid w:val="003E44B9"/>
    <w:rsid w:val="003E45F7"/>
    <w:rsid w:val="003E5ED4"/>
    <w:rsid w:val="003E7D3A"/>
    <w:rsid w:val="003F13FD"/>
    <w:rsid w:val="003F28B2"/>
    <w:rsid w:val="003F38AD"/>
    <w:rsid w:val="003F3C7B"/>
    <w:rsid w:val="003F5F70"/>
    <w:rsid w:val="003F663F"/>
    <w:rsid w:val="004005A7"/>
    <w:rsid w:val="0040267D"/>
    <w:rsid w:val="004038B4"/>
    <w:rsid w:val="004038B5"/>
    <w:rsid w:val="00404041"/>
    <w:rsid w:val="0040435F"/>
    <w:rsid w:val="0040442F"/>
    <w:rsid w:val="00406403"/>
    <w:rsid w:val="00406FEA"/>
    <w:rsid w:val="00407539"/>
    <w:rsid w:val="0041068E"/>
    <w:rsid w:val="00411288"/>
    <w:rsid w:val="004117CA"/>
    <w:rsid w:val="00411C05"/>
    <w:rsid w:val="00414A0B"/>
    <w:rsid w:val="00414C0A"/>
    <w:rsid w:val="00415D30"/>
    <w:rsid w:val="004160B7"/>
    <w:rsid w:val="00416390"/>
    <w:rsid w:val="004171B5"/>
    <w:rsid w:val="004178A2"/>
    <w:rsid w:val="004204A5"/>
    <w:rsid w:val="00420801"/>
    <w:rsid w:val="00421B15"/>
    <w:rsid w:val="00422791"/>
    <w:rsid w:val="004227FD"/>
    <w:rsid w:val="004228A9"/>
    <w:rsid w:val="004231C0"/>
    <w:rsid w:val="004236E1"/>
    <w:rsid w:val="00423734"/>
    <w:rsid w:val="0042395F"/>
    <w:rsid w:val="0042473E"/>
    <w:rsid w:val="00425DFE"/>
    <w:rsid w:val="00425FBA"/>
    <w:rsid w:val="00427029"/>
    <w:rsid w:val="004270E2"/>
    <w:rsid w:val="00427191"/>
    <w:rsid w:val="0043048E"/>
    <w:rsid w:val="00431709"/>
    <w:rsid w:val="00432CE8"/>
    <w:rsid w:val="00433E2F"/>
    <w:rsid w:val="00436215"/>
    <w:rsid w:val="004400F6"/>
    <w:rsid w:val="004402D0"/>
    <w:rsid w:val="00440375"/>
    <w:rsid w:val="00443E0D"/>
    <w:rsid w:val="004448B6"/>
    <w:rsid w:val="00446762"/>
    <w:rsid w:val="00446EF2"/>
    <w:rsid w:val="00447657"/>
    <w:rsid w:val="004530D3"/>
    <w:rsid w:val="004538F9"/>
    <w:rsid w:val="004539DD"/>
    <w:rsid w:val="004542DE"/>
    <w:rsid w:val="00455A42"/>
    <w:rsid w:val="00455CFD"/>
    <w:rsid w:val="00455DD3"/>
    <w:rsid w:val="00455DE5"/>
    <w:rsid w:val="004560B9"/>
    <w:rsid w:val="00460583"/>
    <w:rsid w:val="00461652"/>
    <w:rsid w:val="004622F1"/>
    <w:rsid w:val="00462358"/>
    <w:rsid w:val="00462451"/>
    <w:rsid w:val="0046261A"/>
    <w:rsid w:val="00462AC4"/>
    <w:rsid w:val="0046371C"/>
    <w:rsid w:val="0046388F"/>
    <w:rsid w:val="004638A9"/>
    <w:rsid w:val="00464465"/>
    <w:rsid w:val="00466526"/>
    <w:rsid w:val="00466DC6"/>
    <w:rsid w:val="0047066B"/>
    <w:rsid w:val="004712ED"/>
    <w:rsid w:val="00472056"/>
    <w:rsid w:val="004728D8"/>
    <w:rsid w:val="004735CC"/>
    <w:rsid w:val="00475008"/>
    <w:rsid w:val="00475449"/>
    <w:rsid w:val="00475E69"/>
    <w:rsid w:val="00477480"/>
    <w:rsid w:val="00477CB3"/>
    <w:rsid w:val="00480A8E"/>
    <w:rsid w:val="004821B7"/>
    <w:rsid w:val="0048295E"/>
    <w:rsid w:val="004844B8"/>
    <w:rsid w:val="00484745"/>
    <w:rsid w:val="00486E24"/>
    <w:rsid w:val="004873E6"/>
    <w:rsid w:val="00487474"/>
    <w:rsid w:val="00490A76"/>
    <w:rsid w:val="00490AE4"/>
    <w:rsid w:val="00491A00"/>
    <w:rsid w:val="004943B7"/>
    <w:rsid w:val="00494994"/>
    <w:rsid w:val="004953DB"/>
    <w:rsid w:val="00496003"/>
    <w:rsid w:val="00496596"/>
    <w:rsid w:val="0049672B"/>
    <w:rsid w:val="00496909"/>
    <w:rsid w:val="00497F3E"/>
    <w:rsid w:val="004A1423"/>
    <w:rsid w:val="004A1665"/>
    <w:rsid w:val="004A2024"/>
    <w:rsid w:val="004A2F78"/>
    <w:rsid w:val="004A6123"/>
    <w:rsid w:val="004A69DF"/>
    <w:rsid w:val="004A6FFF"/>
    <w:rsid w:val="004A772A"/>
    <w:rsid w:val="004B3B5F"/>
    <w:rsid w:val="004B44BB"/>
    <w:rsid w:val="004B4AD3"/>
    <w:rsid w:val="004B4B8F"/>
    <w:rsid w:val="004B5C3C"/>
    <w:rsid w:val="004B5FD3"/>
    <w:rsid w:val="004B6100"/>
    <w:rsid w:val="004B626F"/>
    <w:rsid w:val="004B6AAC"/>
    <w:rsid w:val="004B77BD"/>
    <w:rsid w:val="004C072D"/>
    <w:rsid w:val="004C27FF"/>
    <w:rsid w:val="004C3340"/>
    <w:rsid w:val="004C438F"/>
    <w:rsid w:val="004C43A2"/>
    <w:rsid w:val="004C4926"/>
    <w:rsid w:val="004C4D8F"/>
    <w:rsid w:val="004C515B"/>
    <w:rsid w:val="004C6864"/>
    <w:rsid w:val="004D0DEB"/>
    <w:rsid w:val="004D0FD6"/>
    <w:rsid w:val="004D1816"/>
    <w:rsid w:val="004D5404"/>
    <w:rsid w:val="004D7B8D"/>
    <w:rsid w:val="004E37DF"/>
    <w:rsid w:val="004E3FF1"/>
    <w:rsid w:val="004E4708"/>
    <w:rsid w:val="004E53A0"/>
    <w:rsid w:val="004E5468"/>
    <w:rsid w:val="004E5ABA"/>
    <w:rsid w:val="004E612A"/>
    <w:rsid w:val="004E65B3"/>
    <w:rsid w:val="004E6AF8"/>
    <w:rsid w:val="004E6DA3"/>
    <w:rsid w:val="004E6DED"/>
    <w:rsid w:val="004E78AE"/>
    <w:rsid w:val="004F1C7B"/>
    <w:rsid w:val="004F281E"/>
    <w:rsid w:val="004F4841"/>
    <w:rsid w:val="004F509F"/>
    <w:rsid w:val="004F55B1"/>
    <w:rsid w:val="004F6DD2"/>
    <w:rsid w:val="004F7363"/>
    <w:rsid w:val="004F7C58"/>
    <w:rsid w:val="004F7E84"/>
    <w:rsid w:val="0050256C"/>
    <w:rsid w:val="005028BD"/>
    <w:rsid w:val="00504566"/>
    <w:rsid w:val="00504F5E"/>
    <w:rsid w:val="0050509D"/>
    <w:rsid w:val="00505266"/>
    <w:rsid w:val="0050571F"/>
    <w:rsid w:val="0050735E"/>
    <w:rsid w:val="00507718"/>
    <w:rsid w:val="00510440"/>
    <w:rsid w:val="005109F4"/>
    <w:rsid w:val="00511555"/>
    <w:rsid w:val="00511ED3"/>
    <w:rsid w:val="00512A72"/>
    <w:rsid w:val="00512B9E"/>
    <w:rsid w:val="005136F9"/>
    <w:rsid w:val="005139E9"/>
    <w:rsid w:val="005141D0"/>
    <w:rsid w:val="00514FCD"/>
    <w:rsid w:val="0051525F"/>
    <w:rsid w:val="00515359"/>
    <w:rsid w:val="005158AD"/>
    <w:rsid w:val="005158DA"/>
    <w:rsid w:val="005176A9"/>
    <w:rsid w:val="005208A9"/>
    <w:rsid w:val="00521750"/>
    <w:rsid w:val="00521D85"/>
    <w:rsid w:val="0052285A"/>
    <w:rsid w:val="00522ED1"/>
    <w:rsid w:val="00522F2B"/>
    <w:rsid w:val="005235DC"/>
    <w:rsid w:val="00524265"/>
    <w:rsid w:val="00524A95"/>
    <w:rsid w:val="0052506C"/>
    <w:rsid w:val="00525B0E"/>
    <w:rsid w:val="00525F46"/>
    <w:rsid w:val="00526EF6"/>
    <w:rsid w:val="00527F87"/>
    <w:rsid w:val="0053077E"/>
    <w:rsid w:val="0053093D"/>
    <w:rsid w:val="005316F2"/>
    <w:rsid w:val="005319F1"/>
    <w:rsid w:val="00532E1F"/>
    <w:rsid w:val="00533009"/>
    <w:rsid w:val="0053419B"/>
    <w:rsid w:val="005346C2"/>
    <w:rsid w:val="00535E83"/>
    <w:rsid w:val="0053674F"/>
    <w:rsid w:val="00537859"/>
    <w:rsid w:val="00537BD0"/>
    <w:rsid w:val="00537C04"/>
    <w:rsid w:val="00537D1A"/>
    <w:rsid w:val="00542B55"/>
    <w:rsid w:val="00542D17"/>
    <w:rsid w:val="00543720"/>
    <w:rsid w:val="0054554C"/>
    <w:rsid w:val="00545557"/>
    <w:rsid w:val="0054612A"/>
    <w:rsid w:val="00547354"/>
    <w:rsid w:val="005532E5"/>
    <w:rsid w:val="00553A80"/>
    <w:rsid w:val="00553DC4"/>
    <w:rsid w:val="00555480"/>
    <w:rsid w:val="00556067"/>
    <w:rsid w:val="005564A8"/>
    <w:rsid w:val="00556731"/>
    <w:rsid w:val="00557586"/>
    <w:rsid w:val="00560EFF"/>
    <w:rsid w:val="00561CA9"/>
    <w:rsid w:val="005635B0"/>
    <w:rsid w:val="00563622"/>
    <w:rsid w:val="00566081"/>
    <w:rsid w:val="005671AD"/>
    <w:rsid w:val="00571C2B"/>
    <w:rsid w:val="0057202A"/>
    <w:rsid w:val="00572418"/>
    <w:rsid w:val="0057389B"/>
    <w:rsid w:val="00573F5A"/>
    <w:rsid w:val="00574786"/>
    <w:rsid w:val="0057706D"/>
    <w:rsid w:val="005772E3"/>
    <w:rsid w:val="00577DC9"/>
    <w:rsid w:val="005807D8"/>
    <w:rsid w:val="00580E33"/>
    <w:rsid w:val="0058299B"/>
    <w:rsid w:val="005851FF"/>
    <w:rsid w:val="00585234"/>
    <w:rsid w:val="00585D75"/>
    <w:rsid w:val="0058651C"/>
    <w:rsid w:val="005874AF"/>
    <w:rsid w:val="005901CC"/>
    <w:rsid w:val="00590A9C"/>
    <w:rsid w:val="00590AA0"/>
    <w:rsid w:val="00591401"/>
    <w:rsid w:val="00593A6B"/>
    <w:rsid w:val="00593D49"/>
    <w:rsid w:val="0059501A"/>
    <w:rsid w:val="0059595E"/>
    <w:rsid w:val="005962AE"/>
    <w:rsid w:val="00597C09"/>
    <w:rsid w:val="005A0980"/>
    <w:rsid w:val="005A0E43"/>
    <w:rsid w:val="005A0FC7"/>
    <w:rsid w:val="005A1723"/>
    <w:rsid w:val="005A1E0E"/>
    <w:rsid w:val="005A28CD"/>
    <w:rsid w:val="005A40CC"/>
    <w:rsid w:val="005A4A77"/>
    <w:rsid w:val="005A4A7A"/>
    <w:rsid w:val="005A4D09"/>
    <w:rsid w:val="005A693A"/>
    <w:rsid w:val="005A7106"/>
    <w:rsid w:val="005B0F3C"/>
    <w:rsid w:val="005B10BC"/>
    <w:rsid w:val="005B18C5"/>
    <w:rsid w:val="005B196A"/>
    <w:rsid w:val="005B2A94"/>
    <w:rsid w:val="005B41A1"/>
    <w:rsid w:val="005B43E4"/>
    <w:rsid w:val="005B5485"/>
    <w:rsid w:val="005B5AE2"/>
    <w:rsid w:val="005B60AC"/>
    <w:rsid w:val="005B775B"/>
    <w:rsid w:val="005C074B"/>
    <w:rsid w:val="005C07FD"/>
    <w:rsid w:val="005C0876"/>
    <w:rsid w:val="005C0BF6"/>
    <w:rsid w:val="005C1563"/>
    <w:rsid w:val="005C3AF4"/>
    <w:rsid w:val="005C5B3F"/>
    <w:rsid w:val="005C6AC5"/>
    <w:rsid w:val="005C7517"/>
    <w:rsid w:val="005C7F07"/>
    <w:rsid w:val="005D012D"/>
    <w:rsid w:val="005D05CC"/>
    <w:rsid w:val="005D0911"/>
    <w:rsid w:val="005D18BB"/>
    <w:rsid w:val="005D23A9"/>
    <w:rsid w:val="005D292A"/>
    <w:rsid w:val="005D2FE0"/>
    <w:rsid w:val="005D3891"/>
    <w:rsid w:val="005D4EB7"/>
    <w:rsid w:val="005D7CC7"/>
    <w:rsid w:val="005E1736"/>
    <w:rsid w:val="005E18DB"/>
    <w:rsid w:val="005E5003"/>
    <w:rsid w:val="005E7A2C"/>
    <w:rsid w:val="005F02DA"/>
    <w:rsid w:val="005F2C23"/>
    <w:rsid w:val="005F4948"/>
    <w:rsid w:val="006022FB"/>
    <w:rsid w:val="006044AE"/>
    <w:rsid w:val="00604987"/>
    <w:rsid w:val="00605AAF"/>
    <w:rsid w:val="00607F10"/>
    <w:rsid w:val="006109BC"/>
    <w:rsid w:val="006114B3"/>
    <w:rsid w:val="00611D60"/>
    <w:rsid w:val="00612E48"/>
    <w:rsid w:val="00612FCB"/>
    <w:rsid w:val="00613366"/>
    <w:rsid w:val="00616736"/>
    <w:rsid w:val="00616A8D"/>
    <w:rsid w:val="00616AC3"/>
    <w:rsid w:val="0062223D"/>
    <w:rsid w:val="00622CBE"/>
    <w:rsid w:val="0062389A"/>
    <w:rsid w:val="006249EC"/>
    <w:rsid w:val="00624D37"/>
    <w:rsid w:val="00624E10"/>
    <w:rsid w:val="0062516B"/>
    <w:rsid w:val="00625BEC"/>
    <w:rsid w:val="00625D1B"/>
    <w:rsid w:val="006264FB"/>
    <w:rsid w:val="006303C5"/>
    <w:rsid w:val="0063048B"/>
    <w:rsid w:val="0063210B"/>
    <w:rsid w:val="00632270"/>
    <w:rsid w:val="006328E3"/>
    <w:rsid w:val="00633783"/>
    <w:rsid w:val="00635BA0"/>
    <w:rsid w:val="0063643C"/>
    <w:rsid w:val="00637534"/>
    <w:rsid w:val="00637584"/>
    <w:rsid w:val="00640B11"/>
    <w:rsid w:val="00640C4D"/>
    <w:rsid w:val="00640DFC"/>
    <w:rsid w:val="0064420F"/>
    <w:rsid w:val="00645269"/>
    <w:rsid w:val="0064601A"/>
    <w:rsid w:val="006461D2"/>
    <w:rsid w:val="0064700D"/>
    <w:rsid w:val="0064713E"/>
    <w:rsid w:val="00647B2B"/>
    <w:rsid w:val="00647FE4"/>
    <w:rsid w:val="006537DB"/>
    <w:rsid w:val="0065440A"/>
    <w:rsid w:val="00654499"/>
    <w:rsid w:val="00654D13"/>
    <w:rsid w:val="006557D1"/>
    <w:rsid w:val="0065642B"/>
    <w:rsid w:val="006567F3"/>
    <w:rsid w:val="00657A6A"/>
    <w:rsid w:val="00660409"/>
    <w:rsid w:val="006607FC"/>
    <w:rsid w:val="00660A64"/>
    <w:rsid w:val="006611A6"/>
    <w:rsid w:val="006619CD"/>
    <w:rsid w:val="00664204"/>
    <w:rsid w:val="00664EB5"/>
    <w:rsid w:val="0066701B"/>
    <w:rsid w:val="00667A60"/>
    <w:rsid w:val="00667CAF"/>
    <w:rsid w:val="00675643"/>
    <w:rsid w:val="006763CE"/>
    <w:rsid w:val="00676874"/>
    <w:rsid w:val="00677890"/>
    <w:rsid w:val="006806DE"/>
    <w:rsid w:val="00680CD3"/>
    <w:rsid w:val="006818CF"/>
    <w:rsid w:val="00682BB9"/>
    <w:rsid w:val="00685905"/>
    <w:rsid w:val="00685CCF"/>
    <w:rsid w:val="0068637B"/>
    <w:rsid w:val="00686A1C"/>
    <w:rsid w:val="00686EC5"/>
    <w:rsid w:val="0068796B"/>
    <w:rsid w:val="0069164A"/>
    <w:rsid w:val="006919BC"/>
    <w:rsid w:val="0069330E"/>
    <w:rsid w:val="00693503"/>
    <w:rsid w:val="00693504"/>
    <w:rsid w:val="00694A7D"/>
    <w:rsid w:val="006957C8"/>
    <w:rsid w:val="0069591A"/>
    <w:rsid w:val="00695F0B"/>
    <w:rsid w:val="006A0162"/>
    <w:rsid w:val="006A2AF6"/>
    <w:rsid w:val="006A3A02"/>
    <w:rsid w:val="006A6EA7"/>
    <w:rsid w:val="006A77B8"/>
    <w:rsid w:val="006B003F"/>
    <w:rsid w:val="006B00CE"/>
    <w:rsid w:val="006B0492"/>
    <w:rsid w:val="006B084D"/>
    <w:rsid w:val="006B0CE9"/>
    <w:rsid w:val="006B2DB7"/>
    <w:rsid w:val="006B3DE4"/>
    <w:rsid w:val="006B4AA5"/>
    <w:rsid w:val="006B5684"/>
    <w:rsid w:val="006B665A"/>
    <w:rsid w:val="006B67F5"/>
    <w:rsid w:val="006B6C8E"/>
    <w:rsid w:val="006B71A9"/>
    <w:rsid w:val="006B7235"/>
    <w:rsid w:val="006B7454"/>
    <w:rsid w:val="006B756D"/>
    <w:rsid w:val="006B78ED"/>
    <w:rsid w:val="006C0131"/>
    <w:rsid w:val="006C162D"/>
    <w:rsid w:val="006C1B21"/>
    <w:rsid w:val="006C27FC"/>
    <w:rsid w:val="006C2CB2"/>
    <w:rsid w:val="006C375F"/>
    <w:rsid w:val="006C384B"/>
    <w:rsid w:val="006C4727"/>
    <w:rsid w:val="006C474A"/>
    <w:rsid w:val="006C4774"/>
    <w:rsid w:val="006C4AE9"/>
    <w:rsid w:val="006C5B01"/>
    <w:rsid w:val="006C66CB"/>
    <w:rsid w:val="006D1FC3"/>
    <w:rsid w:val="006D252C"/>
    <w:rsid w:val="006D3443"/>
    <w:rsid w:val="006E465B"/>
    <w:rsid w:val="006E4A1B"/>
    <w:rsid w:val="006E5C49"/>
    <w:rsid w:val="006E5EB0"/>
    <w:rsid w:val="006E61A2"/>
    <w:rsid w:val="006E7E07"/>
    <w:rsid w:val="006F51CE"/>
    <w:rsid w:val="006F637D"/>
    <w:rsid w:val="006F6457"/>
    <w:rsid w:val="00701C6E"/>
    <w:rsid w:val="00702CA6"/>
    <w:rsid w:val="00702F28"/>
    <w:rsid w:val="007030A3"/>
    <w:rsid w:val="00703A69"/>
    <w:rsid w:val="0070432D"/>
    <w:rsid w:val="007044D9"/>
    <w:rsid w:val="00704935"/>
    <w:rsid w:val="00705EF6"/>
    <w:rsid w:val="007068A0"/>
    <w:rsid w:val="007068F9"/>
    <w:rsid w:val="007074F6"/>
    <w:rsid w:val="0071059A"/>
    <w:rsid w:val="00710FB8"/>
    <w:rsid w:val="00712DA2"/>
    <w:rsid w:val="00713667"/>
    <w:rsid w:val="00714D64"/>
    <w:rsid w:val="007151C9"/>
    <w:rsid w:val="007152EA"/>
    <w:rsid w:val="007159D5"/>
    <w:rsid w:val="007173FE"/>
    <w:rsid w:val="0072011E"/>
    <w:rsid w:val="00720F9E"/>
    <w:rsid w:val="00721B4B"/>
    <w:rsid w:val="0072294D"/>
    <w:rsid w:val="00722C56"/>
    <w:rsid w:val="00725661"/>
    <w:rsid w:val="00725E7A"/>
    <w:rsid w:val="0072612B"/>
    <w:rsid w:val="007264D2"/>
    <w:rsid w:val="00726756"/>
    <w:rsid w:val="00727A69"/>
    <w:rsid w:val="007312B0"/>
    <w:rsid w:val="00731B8A"/>
    <w:rsid w:val="00731E70"/>
    <w:rsid w:val="00732290"/>
    <w:rsid w:val="00735DC5"/>
    <w:rsid w:val="00735EBF"/>
    <w:rsid w:val="007362CB"/>
    <w:rsid w:val="007366BB"/>
    <w:rsid w:val="007372D0"/>
    <w:rsid w:val="00737A4F"/>
    <w:rsid w:val="00740499"/>
    <w:rsid w:val="00740798"/>
    <w:rsid w:val="007408F1"/>
    <w:rsid w:val="00740E45"/>
    <w:rsid w:val="00742F14"/>
    <w:rsid w:val="007436C7"/>
    <w:rsid w:val="00743A69"/>
    <w:rsid w:val="00743E41"/>
    <w:rsid w:val="007447CC"/>
    <w:rsid w:val="00746320"/>
    <w:rsid w:val="00746F0F"/>
    <w:rsid w:val="00747215"/>
    <w:rsid w:val="00747C03"/>
    <w:rsid w:val="007523F2"/>
    <w:rsid w:val="00752B5A"/>
    <w:rsid w:val="00753064"/>
    <w:rsid w:val="00753078"/>
    <w:rsid w:val="00753DE8"/>
    <w:rsid w:val="00755C3A"/>
    <w:rsid w:val="007571B8"/>
    <w:rsid w:val="00760637"/>
    <w:rsid w:val="00763A91"/>
    <w:rsid w:val="00763B39"/>
    <w:rsid w:val="007648AE"/>
    <w:rsid w:val="00767CB8"/>
    <w:rsid w:val="00770213"/>
    <w:rsid w:val="007704DE"/>
    <w:rsid w:val="00771A34"/>
    <w:rsid w:val="00771F96"/>
    <w:rsid w:val="00774134"/>
    <w:rsid w:val="0077428B"/>
    <w:rsid w:val="00774456"/>
    <w:rsid w:val="00774546"/>
    <w:rsid w:val="00775263"/>
    <w:rsid w:val="00775519"/>
    <w:rsid w:val="007766E0"/>
    <w:rsid w:val="0077680C"/>
    <w:rsid w:val="00776886"/>
    <w:rsid w:val="00777AA8"/>
    <w:rsid w:val="00782F10"/>
    <w:rsid w:val="00783193"/>
    <w:rsid w:val="007835EE"/>
    <w:rsid w:val="007841F0"/>
    <w:rsid w:val="0078459F"/>
    <w:rsid w:val="00784D2B"/>
    <w:rsid w:val="00784DA8"/>
    <w:rsid w:val="00784F26"/>
    <w:rsid w:val="007853FA"/>
    <w:rsid w:val="007858A2"/>
    <w:rsid w:val="00785E2F"/>
    <w:rsid w:val="0078666F"/>
    <w:rsid w:val="00792A47"/>
    <w:rsid w:val="00792B0A"/>
    <w:rsid w:val="0079360F"/>
    <w:rsid w:val="00794A4C"/>
    <w:rsid w:val="00795DDC"/>
    <w:rsid w:val="00796DC0"/>
    <w:rsid w:val="0079756D"/>
    <w:rsid w:val="00797D27"/>
    <w:rsid w:val="007A0DBA"/>
    <w:rsid w:val="007A15AF"/>
    <w:rsid w:val="007A16FA"/>
    <w:rsid w:val="007A2BB6"/>
    <w:rsid w:val="007A2DCB"/>
    <w:rsid w:val="007A36E8"/>
    <w:rsid w:val="007A39C7"/>
    <w:rsid w:val="007A45C6"/>
    <w:rsid w:val="007A63D9"/>
    <w:rsid w:val="007B0835"/>
    <w:rsid w:val="007B38BA"/>
    <w:rsid w:val="007B3DDD"/>
    <w:rsid w:val="007B50E3"/>
    <w:rsid w:val="007B6332"/>
    <w:rsid w:val="007C0394"/>
    <w:rsid w:val="007C07BA"/>
    <w:rsid w:val="007C2408"/>
    <w:rsid w:val="007C292F"/>
    <w:rsid w:val="007C3336"/>
    <w:rsid w:val="007C389A"/>
    <w:rsid w:val="007C3A57"/>
    <w:rsid w:val="007C5F0F"/>
    <w:rsid w:val="007C60EE"/>
    <w:rsid w:val="007C6818"/>
    <w:rsid w:val="007D1756"/>
    <w:rsid w:val="007D17B7"/>
    <w:rsid w:val="007D21EF"/>
    <w:rsid w:val="007D2B4F"/>
    <w:rsid w:val="007D3308"/>
    <w:rsid w:val="007D52D6"/>
    <w:rsid w:val="007D5E45"/>
    <w:rsid w:val="007D640E"/>
    <w:rsid w:val="007D705C"/>
    <w:rsid w:val="007D72A6"/>
    <w:rsid w:val="007E17D1"/>
    <w:rsid w:val="007E3B72"/>
    <w:rsid w:val="007E3E12"/>
    <w:rsid w:val="007E40FA"/>
    <w:rsid w:val="007F103E"/>
    <w:rsid w:val="007F34F1"/>
    <w:rsid w:val="007F40E2"/>
    <w:rsid w:val="007F5585"/>
    <w:rsid w:val="007F63BF"/>
    <w:rsid w:val="00801254"/>
    <w:rsid w:val="00802FE9"/>
    <w:rsid w:val="0080679D"/>
    <w:rsid w:val="0080707A"/>
    <w:rsid w:val="00807732"/>
    <w:rsid w:val="00807D7D"/>
    <w:rsid w:val="00812CC5"/>
    <w:rsid w:val="00812FAB"/>
    <w:rsid w:val="00813D72"/>
    <w:rsid w:val="00814E87"/>
    <w:rsid w:val="00815E6A"/>
    <w:rsid w:val="008160C0"/>
    <w:rsid w:val="0081689B"/>
    <w:rsid w:val="0081775C"/>
    <w:rsid w:val="008177DC"/>
    <w:rsid w:val="00817E31"/>
    <w:rsid w:val="00817EC3"/>
    <w:rsid w:val="00817F48"/>
    <w:rsid w:val="008201CE"/>
    <w:rsid w:val="008227DB"/>
    <w:rsid w:val="008239E9"/>
    <w:rsid w:val="00824278"/>
    <w:rsid w:val="00824DB3"/>
    <w:rsid w:val="00825632"/>
    <w:rsid w:val="00825951"/>
    <w:rsid w:val="008264CF"/>
    <w:rsid w:val="008265A8"/>
    <w:rsid w:val="00827192"/>
    <w:rsid w:val="00827C14"/>
    <w:rsid w:val="0083125E"/>
    <w:rsid w:val="008313D3"/>
    <w:rsid w:val="0083195F"/>
    <w:rsid w:val="00831B4C"/>
    <w:rsid w:val="00832625"/>
    <w:rsid w:val="00832D15"/>
    <w:rsid w:val="008336E5"/>
    <w:rsid w:val="00834469"/>
    <w:rsid w:val="00834F27"/>
    <w:rsid w:val="0083589D"/>
    <w:rsid w:val="00837EB5"/>
    <w:rsid w:val="008403D1"/>
    <w:rsid w:val="00841B63"/>
    <w:rsid w:val="00842269"/>
    <w:rsid w:val="00842295"/>
    <w:rsid w:val="00842BAC"/>
    <w:rsid w:val="00843B12"/>
    <w:rsid w:val="008448A6"/>
    <w:rsid w:val="008453D1"/>
    <w:rsid w:val="00846B84"/>
    <w:rsid w:val="008475BD"/>
    <w:rsid w:val="008511D2"/>
    <w:rsid w:val="00851A6D"/>
    <w:rsid w:val="0085486F"/>
    <w:rsid w:val="00854B13"/>
    <w:rsid w:val="008619D2"/>
    <w:rsid w:val="00861FFE"/>
    <w:rsid w:val="00862D89"/>
    <w:rsid w:val="00863167"/>
    <w:rsid w:val="00863978"/>
    <w:rsid w:val="008639E2"/>
    <w:rsid w:val="008641AA"/>
    <w:rsid w:val="0086534F"/>
    <w:rsid w:val="008671B3"/>
    <w:rsid w:val="00867EDA"/>
    <w:rsid w:val="008715E6"/>
    <w:rsid w:val="008738EE"/>
    <w:rsid w:val="00873CDC"/>
    <w:rsid w:val="008740C2"/>
    <w:rsid w:val="0087526D"/>
    <w:rsid w:val="00875976"/>
    <w:rsid w:val="00877567"/>
    <w:rsid w:val="00881510"/>
    <w:rsid w:val="00881CA3"/>
    <w:rsid w:val="008827C3"/>
    <w:rsid w:val="008850D4"/>
    <w:rsid w:val="0088569C"/>
    <w:rsid w:val="008856F5"/>
    <w:rsid w:val="00885A1B"/>
    <w:rsid w:val="00891828"/>
    <w:rsid w:val="00891957"/>
    <w:rsid w:val="00891A0D"/>
    <w:rsid w:val="00893529"/>
    <w:rsid w:val="0089370C"/>
    <w:rsid w:val="00894226"/>
    <w:rsid w:val="008947D1"/>
    <w:rsid w:val="00895319"/>
    <w:rsid w:val="008A1E02"/>
    <w:rsid w:val="008A3856"/>
    <w:rsid w:val="008A3BE0"/>
    <w:rsid w:val="008A6C18"/>
    <w:rsid w:val="008B0216"/>
    <w:rsid w:val="008B04AF"/>
    <w:rsid w:val="008B169B"/>
    <w:rsid w:val="008B1E33"/>
    <w:rsid w:val="008B231D"/>
    <w:rsid w:val="008B2ACA"/>
    <w:rsid w:val="008B2AF1"/>
    <w:rsid w:val="008B35F3"/>
    <w:rsid w:val="008B3707"/>
    <w:rsid w:val="008B3B45"/>
    <w:rsid w:val="008B49F0"/>
    <w:rsid w:val="008B63D8"/>
    <w:rsid w:val="008C0BEC"/>
    <w:rsid w:val="008C0F90"/>
    <w:rsid w:val="008C10A6"/>
    <w:rsid w:val="008C27AB"/>
    <w:rsid w:val="008C2A00"/>
    <w:rsid w:val="008C3266"/>
    <w:rsid w:val="008C32DF"/>
    <w:rsid w:val="008C3EDE"/>
    <w:rsid w:val="008C439B"/>
    <w:rsid w:val="008C51E1"/>
    <w:rsid w:val="008C55DD"/>
    <w:rsid w:val="008C5718"/>
    <w:rsid w:val="008C5ECE"/>
    <w:rsid w:val="008C7F52"/>
    <w:rsid w:val="008D28F7"/>
    <w:rsid w:val="008D2B65"/>
    <w:rsid w:val="008D2CAA"/>
    <w:rsid w:val="008D34DE"/>
    <w:rsid w:val="008D3D61"/>
    <w:rsid w:val="008D45DE"/>
    <w:rsid w:val="008D554D"/>
    <w:rsid w:val="008D634A"/>
    <w:rsid w:val="008D6CBB"/>
    <w:rsid w:val="008D6FE5"/>
    <w:rsid w:val="008D73D8"/>
    <w:rsid w:val="008D7DEA"/>
    <w:rsid w:val="008E1745"/>
    <w:rsid w:val="008E258C"/>
    <w:rsid w:val="008E2A8D"/>
    <w:rsid w:val="008E4A4F"/>
    <w:rsid w:val="008E57D4"/>
    <w:rsid w:val="008E587D"/>
    <w:rsid w:val="008E6280"/>
    <w:rsid w:val="008F0375"/>
    <w:rsid w:val="008F0FE1"/>
    <w:rsid w:val="008F1F7D"/>
    <w:rsid w:val="008F4B2F"/>
    <w:rsid w:val="008F5B6C"/>
    <w:rsid w:val="008F5C2F"/>
    <w:rsid w:val="008F6779"/>
    <w:rsid w:val="008F700A"/>
    <w:rsid w:val="008F7181"/>
    <w:rsid w:val="008F7FBC"/>
    <w:rsid w:val="00900776"/>
    <w:rsid w:val="009009C7"/>
    <w:rsid w:val="009009EA"/>
    <w:rsid w:val="00901767"/>
    <w:rsid w:val="009027AD"/>
    <w:rsid w:val="0090344A"/>
    <w:rsid w:val="00903849"/>
    <w:rsid w:val="00903D6E"/>
    <w:rsid w:val="0090409B"/>
    <w:rsid w:val="009043E7"/>
    <w:rsid w:val="00904A2C"/>
    <w:rsid w:val="0090500F"/>
    <w:rsid w:val="00905604"/>
    <w:rsid w:val="00905F97"/>
    <w:rsid w:val="009062B9"/>
    <w:rsid w:val="00907AC6"/>
    <w:rsid w:val="0091035D"/>
    <w:rsid w:val="00910EDB"/>
    <w:rsid w:val="0091103F"/>
    <w:rsid w:val="00911304"/>
    <w:rsid w:val="00911573"/>
    <w:rsid w:val="009161B1"/>
    <w:rsid w:val="00916BBA"/>
    <w:rsid w:val="00916BBD"/>
    <w:rsid w:val="00921396"/>
    <w:rsid w:val="00921A2D"/>
    <w:rsid w:val="00921A5C"/>
    <w:rsid w:val="00923355"/>
    <w:rsid w:val="00923A4C"/>
    <w:rsid w:val="00923E79"/>
    <w:rsid w:val="00924101"/>
    <w:rsid w:val="00925208"/>
    <w:rsid w:val="00932D17"/>
    <w:rsid w:val="00932FF4"/>
    <w:rsid w:val="0093519F"/>
    <w:rsid w:val="0093655F"/>
    <w:rsid w:val="0093733E"/>
    <w:rsid w:val="009377FB"/>
    <w:rsid w:val="00940ACA"/>
    <w:rsid w:val="00940CEB"/>
    <w:rsid w:val="00942E94"/>
    <w:rsid w:val="00943884"/>
    <w:rsid w:val="00945574"/>
    <w:rsid w:val="0094593C"/>
    <w:rsid w:val="0094594D"/>
    <w:rsid w:val="00945FA5"/>
    <w:rsid w:val="00946C2D"/>
    <w:rsid w:val="00947D59"/>
    <w:rsid w:val="00950CC9"/>
    <w:rsid w:val="00951048"/>
    <w:rsid w:val="00952CE9"/>
    <w:rsid w:val="00953464"/>
    <w:rsid w:val="009537D9"/>
    <w:rsid w:val="009539FD"/>
    <w:rsid w:val="00953C2A"/>
    <w:rsid w:val="0095792E"/>
    <w:rsid w:val="0096130F"/>
    <w:rsid w:val="009628C0"/>
    <w:rsid w:val="00962DF9"/>
    <w:rsid w:val="0096395D"/>
    <w:rsid w:val="00964EEE"/>
    <w:rsid w:val="009667F6"/>
    <w:rsid w:val="00967E34"/>
    <w:rsid w:val="009709D3"/>
    <w:rsid w:val="00970FA9"/>
    <w:rsid w:val="00971ADD"/>
    <w:rsid w:val="009761A0"/>
    <w:rsid w:val="00976470"/>
    <w:rsid w:val="00976DDF"/>
    <w:rsid w:val="0098038B"/>
    <w:rsid w:val="0098197D"/>
    <w:rsid w:val="00981CF8"/>
    <w:rsid w:val="00982B45"/>
    <w:rsid w:val="00983FB1"/>
    <w:rsid w:val="00985A7D"/>
    <w:rsid w:val="009866F4"/>
    <w:rsid w:val="0098741F"/>
    <w:rsid w:val="00991F7B"/>
    <w:rsid w:val="00992D87"/>
    <w:rsid w:val="00993044"/>
    <w:rsid w:val="0099312D"/>
    <w:rsid w:val="009939AF"/>
    <w:rsid w:val="009945BB"/>
    <w:rsid w:val="00996CC8"/>
    <w:rsid w:val="00997ADF"/>
    <w:rsid w:val="009A0270"/>
    <w:rsid w:val="009A0353"/>
    <w:rsid w:val="009A09CC"/>
    <w:rsid w:val="009A2DD4"/>
    <w:rsid w:val="009A2EE3"/>
    <w:rsid w:val="009A31B0"/>
    <w:rsid w:val="009A3F96"/>
    <w:rsid w:val="009A5017"/>
    <w:rsid w:val="009A55D2"/>
    <w:rsid w:val="009A603A"/>
    <w:rsid w:val="009A6547"/>
    <w:rsid w:val="009B084D"/>
    <w:rsid w:val="009B08A6"/>
    <w:rsid w:val="009B097D"/>
    <w:rsid w:val="009B0F1F"/>
    <w:rsid w:val="009B1407"/>
    <w:rsid w:val="009B1544"/>
    <w:rsid w:val="009B29C4"/>
    <w:rsid w:val="009B38F1"/>
    <w:rsid w:val="009B593A"/>
    <w:rsid w:val="009B6210"/>
    <w:rsid w:val="009B64C5"/>
    <w:rsid w:val="009C0076"/>
    <w:rsid w:val="009C1D0C"/>
    <w:rsid w:val="009C2EEE"/>
    <w:rsid w:val="009C368A"/>
    <w:rsid w:val="009C3FC6"/>
    <w:rsid w:val="009C5BD6"/>
    <w:rsid w:val="009C5E31"/>
    <w:rsid w:val="009D0E5D"/>
    <w:rsid w:val="009D117F"/>
    <w:rsid w:val="009D11DD"/>
    <w:rsid w:val="009D14D1"/>
    <w:rsid w:val="009D2319"/>
    <w:rsid w:val="009D3E8C"/>
    <w:rsid w:val="009D7796"/>
    <w:rsid w:val="009D7C9A"/>
    <w:rsid w:val="009E1DEE"/>
    <w:rsid w:val="009E3A40"/>
    <w:rsid w:val="009E3A41"/>
    <w:rsid w:val="009E3AA7"/>
    <w:rsid w:val="009E4211"/>
    <w:rsid w:val="009E60C1"/>
    <w:rsid w:val="009E7DDE"/>
    <w:rsid w:val="009F173F"/>
    <w:rsid w:val="009F1A9A"/>
    <w:rsid w:val="009F1B0C"/>
    <w:rsid w:val="009F29DD"/>
    <w:rsid w:val="009F2F83"/>
    <w:rsid w:val="009F3626"/>
    <w:rsid w:val="009F3630"/>
    <w:rsid w:val="009F3E37"/>
    <w:rsid w:val="009F5641"/>
    <w:rsid w:val="009F5DB0"/>
    <w:rsid w:val="009F5F4F"/>
    <w:rsid w:val="009F6E92"/>
    <w:rsid w:val="00A00ABB"/>
    <w:rsid w:val="00A0138E"/>
    <w:rsid w:val="00A019D5"/>
    <w:rsid w:val="00A02855"/>
    <w:rsid w:val="00A02AD5"/>
    <w:rsid w:val="00A03718"/>
    <w:rsid w:val="00A039CE"/>
    <w:rsid w:val="00A03AFB"/>
    <w:rsid w:val="00A03F16"/>
    <w:rsid w:val="00A0571A"/>
    <w:rsid w:val="00A05C56"/>
    <w:rsid w:val="00A066AB"/>
    <w:rsid w:val="00A06B53"/>
    <w:rsid w:val="00A0700A"/>
    <w:rsid w:val="00A11B40"/>
    <w:rsid w:val="00A12483"/>
    <w:rsid w:val="00A12DD6"/>
    <w:rsid w:val="00A14ED2"/>
    <w:rsid w:val="00A15FD5"/>
    <w:rsid w:val="00A17B4E"/>
    <w:rsid w:val="00A200A6"/>
    <w:rsid w:val="00A20FD3"/>
    <w:rsid w:val="00A2140C"/>
    <w:rsid w:val="00A233C3"/>
    <w:rsid w:val="00A23FBD"/>
    <w:rsid w:val="00A24AF3"/>
    <w:rsid w:val="00A251BE"/>
    <w:rsid w:val="00A252E6"/>
    <w:rsid w:val="00A264A2"/>
    <w:rsid w:val="00A26A79"/>
    <w:rsid w:val="00A27484"/>
    <w:rsid w:val="00A27889"/>
    <w:rsid w:val="00A30770"/>
    <w:rsid w:val="00A317C1"/>
    <w:rsid w:val="00A31C6D"/>
    <w:rsid w:val="00A31FAB"/>
    <w:rsid w:val="00A323DB"/>
    <w:rsid w:val="00A34247"/>
    <w:rsid w:val="00A346AE"/>
    <w:rsid w:val="00A3478F"/>
    <w:rsid w:val="00A35B88"/>
    <w:rsid w:val="00A3700D"/>
    <w:rsid w:val="00A377AA"/>
    <w:rsid w:val="00A37AA5"/>
    <w:rsid w:val="00A40F34"/>
    <w:rsid w:val="00A41B65"/>
    <w:rsid w:val="00A41FDA"/>
    <w:rsid w:val="00A4276A"/>
    <w:rsid w:val="00A42966"/>
    <w:rsid w:val="00A44004"/>
    <w:rsid w:val="00A446EF"/>
    <w:rsid w:val="00A44926"/>
    <w:rsid w:val="00A477F1"/>
    <w:rsid w:val="00A50F51"/>
    <w:rsid w:val="00A521BB"/>
    <w:rsid w:val="00A538DD"/>
    <w:rsid w:val="00A545AE"/>
    <w:rsid w:val="00A54B6B"/>
    <w:rsid w:val="00A55451"/>
    <w:rsid w:val="00A55525"/>
    <w:rsid w:val="00A55E64"/>
    <w:rsid w:val="00A5688A"/>
    <w:rsid w:val="00A56A4E"/>
    <w:rsid w:val="00A57266"/>
    <w:rsid w:val="00A57D4F"/>
    <w:rsid w:val="00A60C41"/>
    <w:rsid w:val="00A60F7C"/>
    <w:rsid w:val="00A610AA"/>
    <w:rsid w:val="00A61827"/>
    <w:rsid w:val="00A6197B"/>
    <w:rsid w:val="00A63960"/>
    <w:rsid w:val="00A642BE"/>
    <w:rsid w:val="00A655F1"/>
    <w:rsid w:val="00A6567F"/>
    <w:rsid w:val="00A65DD3"/>
    <w:rsid w:val="00A65E20"/>
    <w:rsid w:val="00A660B4"/>
    <w:rsid w:val="00A672E3"/>
    <w:rsid w:val="00A67FD1"/>
    <w:rsid w:val="00A70004"/>
    <w:rsid w:val="00A70A90"/>
    <w:rsid w:val="00A70DA6"/>
    <w:rsid w:val="00A71A01"/>
    <w:rsid w:val="00A720F3"/>
    <w:rsid w:val="00A72EE3"/>
    <w:rsid w:val="00A72FF1"/>
    <w:rsid w:val="00A73C68"/>
    <w:rsid w:val="00A743F9"/>
    <w:rsid w:val="00A7442D"/>
    <w:rsid w:val="00A748F5"/>
    <w:rsid w:val="00A75175"/>
    <w:rsid w:val="00A7603D"/>
    <w:rsid w:val="00A76425"/>
    <w:rsid w:val="00A77398"/>
    <w:rsid w:val="00A80DD5"/>
    <w:rsid w:val="00A80F4D"/>
    <w:rsid w:val="00A81F79"/>
    <w:rsid w:val="00A821D3"/>
    <w:rsid w:val="00A838BD"/>
    <w:rsid w:val="00A861B6"/>
    <w:rsid w:val="00A86236"/>
    <w:rsid w:val="00A8674A"/>
    <w:rsid w:val="00A86E5C"/>
    <w:rsid w:val="00A90BB2"/>
    <w:rsid w:val="00A913D6"/>
    <w:rsid w:val="00A930F5"/>
    <w:rsid w:val="00A941FA"/>
    <w:rsid w:val="00A944EF"/>
    <w:rsid w:val="00A94692"/>
    <w:rsid w:val="00A96116"/>
    <w:rsid w:val="00AA0218"/>
    <w:rsid w:val="00AA1E35"/>
    <w:rsid w:val="00AA2392"/>
    <w:rsid w:val="00AA382E"/>
    <w:rsid w:val="00AA4B53"/>
    <w:rsid w:val="00AA4B6A"/>
    <w:rsid w:val="00AA4C78"/>
    <w:rsid w:val="00AA7017"/>
    <w:rsid w:val="00AB0B8E"/>
    <w:rsid w:val="00AB0EC6"/>
    <w:rsid w:val="00AB2333"/>
    <w:rsid w:val="00AB2405"/>
    <w:rsid w:val="00AB2996"/>
    <w:rsid w:val="00AB2D08"/>
    <w:rsid w:val="00AB2D6E"/>
    <w:rsid w:val="00AB2ED6"/>
    <w:rsid w:val="00AB3816"/>
    <w:rsid w:val="00AB55E5"/>
    <w:rsid w:val="00AB5872"/>
    <w:rsid w:val="00AB75FE"/>
    <w:rsid w:val="00AC02CD"/>
    <w:rsid w:val="00AC19C4"/>
    <w:rsid w:val="00AC1C99"/>
    <w:rsid w:val="00AC2109"/>
    <w:rsid w:val="00AC3002"/>
    <w:rsid w:val="00AC39D8"/>
    <w:rsid w:val="00AC5061"/>
    <w:rsid w:val="00AC5C74"/>
    <w:rsid w:val="00AC6541"/>
    <w:rsid w:val="00AC694A"/>
    <w:rsid w:val="00AC6F1D"/>
    <w:rsid w:val="00AD11F3"/>
    <w:rsid w:val="00AD1B0B"/>
    <w:rsid w:val="00AD1EED"/>
    <w:rsid w:val="00AD2497"/>
    <w:rsid w:val="00AD253A"/>
    <w:rsid w:val="00AD2D6B"/>
    <w:rsid w:val="00AD46A5"/>
    <w:rsid w:val="00AD4710"/>
    <w:rsid w:val="00AD4C8F"/>
    <w:rsid w:val="00AD4D66"/>
    <w:rsid w:val="00AD5A3D"/>
    <w:rsid w:val="00AD6664"/>
    <w:rsid w:val="00AD6806"/>
    <w:rsid w:val="00AD7964"/>
    <w:rsid w:val="00AE01BF"/>
    <w:rsid w:val="00AE02E6"/>
    <w:rsid w:val="00AE10B4"/>
    <w:rsid w:val="00AE2072"/>
    <w:rsid w:val="00AE32DA"/>
    <w:rsid w:val="00AE3E16"/>
    <w:rsid w:val="00AE431C"/>
    <w:rsid w:val="00AE5642"/>
    <w:rsid w:val="00AE6F5F"/>
    <w:rsid w:val="00AE77EB"/>
    <w:rsid w:val="00AF067D"/>
    <w:rsid w:val="00AF2431"/>
    <w:rsid w:val="00AF2D54"/>
    <w:rsid w:val="00AF3252"/>
    <w:rsid w:val="00AF32D7"/>
    <w:rsid w:val="00AF4100"/>
    <w:rsid w:val="00AF42D0"/>
    <w:rsid w:val="00AF48DE"/>
    <w:rsid w:val="00AF50BC"/>
    <w:rsid w:val="00AF5ADB"/>
    <w:rsid w:val="00AF5F64"/>
    <w:rsid w:val="00B00CBF"/>
    <w:rsid w:val="00B0153F"/>
    <w:rsid w:val="00B02CC9"/>
    <w:rsid w:val="00B02E17"/>
    <w:rsid w:val="00B04DAC"/>
    <w:rsid w:val="00B05694"/>
    <w:rsid w:val="00B05D9D"/>
    <w:rsid w:val="00B10F06"/>
    <w:rsid w:val="00B139ED"/>
    <w:rsid w:val="00B13D56"/>
    <w:rsid w:val="00B13FAC"/>
    <w:rsid w:val="00B14E86"/>
    <w:rsid w:val="00B14F2F"/>
    <w:rsid w:val="00B15588"/>
    <w:rsid w:val="00B15C6F"/>
    <w:rsid w:val="00B17031"/>
    <w:rsid w:val="00B214A8"/>
    <w:rsid w:val="00B22F0B"/>
    <w:rsid w:val="00B23B63"/>
    <w:rsid w:val="00B248DB"/>
    <w:rsid w:val="00B24DA1"/>
    <w:rsid w:val="00B253E2"/>
    <w:rsid w:val="00B26DC5"/>
    <w:rsid w:val="00B27283"/>
    <w:rsid w:val="00B27D5B"/>
    <w:rsid w:val="00B301F8"/>
    <w:rsid w:val="00B30C44"/>
    <w:rsid w:val="00B30C45"/>
    <w:rsid w:val="00B30ED0"/>
    <w:rsid w:val="00B30EFE"/>
    <w:rsid w:val="00B31EE7"/>
    <w:rsid w:val="00B32B7C"/>
    <w:rsid w:val="00B32CDE"/>
    <w:rsid w:val="00B344D9"/>
    <w:rsid w:val="00B34BAA"/>
    <w:rsid w:val="00B36360"/>
    <w:rsid w:val="00B36959"/>
    <w:rsid w:val="00B36A6D"/>
    <w:rsid w:val="00B37726"/>
    <w:rsid w:val="00B37B90"/>
    <w:rsid w:val="00B407E4"/>
    <w:rsid w:val="00B40E5B"/>
    <w:rsid w:val="00B40ED2"/>
    <w:rsid w:val="00B41CF0"/>
    <w:rsid w:val="00B42477"/>
    <w:rsid w:val="00B42BFB"/>
    <w:rsid w:val="00B4315B"/>
    <w:rsid w:val="00B4691F"/>
    <w:rsid w:val="00B46F45"/>
    <w:rsid w:val="00B473DE"/>
    <w:rsid w:val="00B475DB"/>
    <w:rsid w:val="00B47D4E"/>
    <w:rsid w:val="00B50ABF"/>
    <w:rsid w:val="00B519D2"/>
    <w:rsid w:val="00B52AF1"/>
    <w:rsid w:val="00B533B3"/>
    <w:rsid w:val="00B55903"/>
    <w:rsid w:val="00B5604C"/>
    <w:rsid w:val="00B568DC"/>
    <w:rsid w:val="00B62224"/>
    <w:rsid w:val="00B64F5C"/>
    <w:rsid w:val="00B65B16"/>
    <w:rsid w:val="00B66479"/>
    <w:rsid w:val="00B70B33"/>
    <w:rsid w:val="00B719A8"/>
    <w:rsid w:val="00B7349C"/>
    <w:rsid w:val="00B73EE6"/>
    <w:rsid w:val="00B75AA2"/>
    <w:rsid w:val="00B75B2F"/>
    <w:rsid w:val="00B75CDF"/>
    <w:rsid w:val="00B77683"/>
    <w:rsid w:val="00B77D78"/>
    <w:rsid w:val="00B80499"/>
    <w:rsid w:val="00B80817"/>
    <w:rsid w:val="00B81F9C"/>
    <w:rsid w:val="00B829D4"/>
    <w:rsid w:val="00B84534"/>
    <w:rsid w:val="00B85326"/>
    <w:rsid w:val="00B853F0"/>
    <w:rsid w:val="00B8774D"/>
    <w:rsid w:val="00B87E34"/>
    <w:rsid w:val="00B920BA"/>
    <w:rsid w:val="00B93324"/>
    <w:rsid w:val="00B95669"/>
    <w:rsid w:val="00B956A9"/>
    <w:rsid w:val="00B95C66"/>
    <w:rsid w:val="00B9758F"/>
    <w:rsid w:val="00BA1DE9"/>
    <w:rsid w:val="00BA1F82"/>
    <w:rsid w:val="00BA23FD"/>
    <w:rsid w:val="00BA2440"/>
    <w:rsid w:val="00BA2B81"/>
    <w:rsid w:val="00BA3DD5"/>
    <w:rsid w:val="00BA4FFE"/>
    <w:rsid w:val="00BA5163"/>
    <w:rsid w:val="00BA5DC5"/>
    <w:rsid w:val="00BA6596"/>
    <w:rsid w:val="00BA6AA0"/>
    <w:rsid w:val="00BA6B80"/>
    <w:rsid w:val="00BA6FD1"/>
    <w:rsid w:val="00BA7361"/>
    <w:rsid w:val="00BA7733"/>
    <w:rsid w:val="00BA7EC4"/>
    <w:rsid w:val="00BB00E8"/>
    <w:rsid w:val="00BB09BA"/>
    <w:rsid w:val="00BB0A8D"/>
    <w:rsid w:val="00BB2B5A"/>
    <w:rsid w:val="00BB3715"/>
    <w:rsid w:val="00BB3E4E"/>
    <w:rsid w:val="00BB409C"/>
    <w:rsid w:val="00BB5B0E"/>
    <w:rsid w:val="00BB5B63"/>
    <w:rsid w:val="00BB6789"/>
    <w:rsid w:val="00BB7AD7"/>
    <w:rsid w:val="00BC0034"/>
    <w:rsid w:val="00BC1E21"/>
    <w:rsid w:val="00BC1EBB"/>
    <w:rsid w:val="00BC2E4D"/>
    <w:rsid w:val="00BC393D"/>
    <w:rsid w:val="00BC4CDB"/>
    <w:rsid w:val="00BC4ED1"/>
    <w:rsid w:val="00BC5892"/>
    <w:rsid w:val="00BC63DA"/>
    <w:rsid w:val="00BC65E6"/>
    <w:rsid w:val="00BD0097"/>
    <w:rsid w:val="00BD04EF"/>
    <w:rsid w:val="00BD0E21"/>
    <w:rsid w:val="00BD2DDE"/>
    <w:rsid w:val="00BD327D"/>
    <w:rsid w:val="00BD3824"/>
    <w:rsid w:val="00BD3BC7"/>
    <w:rsid w:val="00BD4344"/>
    <w:rsid w:val="00BD4523"/>
    <w:rsid w:val="00BD4638"/>
    <w:rsid w:val="00BD61CA"/>
    <w:rsid w:val="00BD6CE4"/>
    <w:rsid w:val="00BE01B7"/>
    <w:rsid w:val="00BE120E"/>
    <w:rsid w:val="00BE19BF"/>
    <w:rsid w:val="00BE2A8C"/>
    <w:rsid w:val="00BE3B2D"/>
    <w:rsid w:val="00BE5111"/>
    <w:rsid w:val="00BE5297"/>
    <w:rsid w:val="00BE7147"/>
    <w:rsid w:val="00BF017E"/>
    <w:rsid w:val="00BF1D07"/>
    <w:rsid w:val="00BF23DE"/>
    <w:rsid w:val="00BF2AE0"/>
    <w:rsid w:val="00BF2D2E"/>
    <w:rsid w:val="00BF4537"/>
    <w:rsid w:val="00BF565E"/>
    <w:rsid w:val="00BF65C3"/>
    <w:rsid w:val="00BF6AF4"/>
    <w:rsid w:val="00BF73F0"/>
    <w:rsid w:val="00BF7CC0"/>
    <w:rsid w:val="00C0136E"/>
    <w:rsid w:val="00C0194D"/>
    <w:rsid w:val="00C01CF1"/>
    <w:rsid w:val="00C028A6"/>
    <w:rsid w:val="00C0357D"/>
    <w:rsid w:val="00C0453D"/>
    <w:rsid w:val="00C05904"/>
    <w:rsid w:val="00C065AA"/>
    <w:rsid w:val="00C06A4B"/>
    <w:rsid w:val="00C06FD7"/>
    <w:rsid w:val="00C074D1"/>
    <w:rsid w:val="00C07831"/>
    <w:rsid w:val="00C07D7D"/>
    <w:rsid w:val="00C1126B"/>
    <w:rsid w:val="00C117E0"/>
    <w:rsid w:val="00C14BAF"/>
    <w:rsid w:val="00C14BF0"/>
    <w:rsid w:val="00C22E91"/>
    <w:rsid w:val="00C22FBB"/>
    <w:rsid w:val="00C2495F"/>
    <w:rsid w:val="00C268A8"/>
    <w:rsid w:val="00C27CD3"/>
    <w:rsid w:val="00C303EB"/>
    <w:rsid w:val="00C305AB"/>
    <w:rsid w:val="00C32CB8"/>
    <w:rsid w:val="00C34258"/>
    <w:rsid w:val="00C3445B"/>
    <w:rsid w:val="00C34DE8"/>
    <w:rsid w:val="00C34F8D"/>
    <w:rsid w:val="00C36226"/>
    <w:rsid w:val="00C36639"/>
    <w:rsid w:val="00C373F2"/>
    <w:rsid w:val="00C3765B"/>
    <w:rsid w:val="00C433BF"/>
    <w:rsid w:val="00C43904"/>
    <w:rsid w:val="00C43E0E"/>
    <w:rsid w:val="00C44D48"/>
    <w:rsid w:val="00C452F7"/>
    <w:rsid w:val="00C45C27"/>
    <w:rsid w:val="00C45C4B"/>
    <w:rsid w:val="00C45F0A"/>
    <w:rsid w:val="00C47538"/>
    <w:rsid w:val="00C476BC"/>
    <w:rsid w:val="00C47E34"/>
    <w:rsid w:val="00C509D3"/>
    <w:rsid w:val="00C511EF"/>
    <w:rsid w:val="00C51707"/>
    <w:rsid w:val="00C51B74"/>
    <w:rsid w:val="00C527A9"/>
    <w:rsid w:val="00C5354F"/>
    <w:rsid w:val="00C5475A"/>
    <w:rsid w:val="00C55A26"/>
    <w:rsid w:val="00C57470"/>
    <w:rsid w:val="00C5772F"/>
    <w:rsid w:val="00C6081E"/>
    <w:rsid w:val="00C60DD6"/>
    <w:rsid w:val="00C621EE"/>
    <w:rsid w:val="00C625D9"/>
    <w:rsid w:val="00C62681"/>
    <w:rsid w:val="00C6373A"/>
    <w:rsid w:val="00C64D3D"/>
    <w:rsid w:val="00C65E2B"/>
    <w:rsid w:val="00C66352"/>
    <w:rsid w:val="00C6789F"/>
    <w:rsid w:val="00C67ADD"/>
    <w:rsid w:val="00C7391D"/>
    <w:rsid w:val="00C7415F"/>
    <w:rsid w:val="00C74209"/>
    <w:rsid w:val="00C7493F"/>
    <w:rsid w:val="00C75234"/>
    <w:rsid w:val="00C75E02"/>
    <w:rsid w:val="00C76900"/>
    <w:rsid w:val="00C76CF5"/>
    <w:rsid w:val="00C771A5"/>
    <w:rsid w:val="00C77256"/>
    <w:rsid w:val="00C7745C"/>
    <w:rsid w:val="00C77743"/>
    <w:rsid w:val="00C80189"/>
    <w:rsid w:val="00C80D5A"/>
    <w:rsid w:val="00C82485"/>
    <w:rsid w:val="00C846DE"/>
    <w:rsid w:val="00C8535F"/>
    <w:rsid w:val="00C85B6F"/>
    <w:rsid w:val="00C8624D"/>
    <w:rsid w:val="00C870A7"/>
    <w:rsid w:val="00C87FA4"/>
    <w:rsid w:val="00C87FD9"/>
    <w:rsid w:val="00C903A5"/>
    <w:rsid w:val="00C92743"/>
    <w:rsid w:val="00C92CB2"/>
    <w:rsid w:val="00C92F0B"/>
    <w:rsid w:val="00C93DF6"/>
    <w:rsid w:val="00C94B17"/>
    <w:rsid w:val="00C94B5E"/>
    <w:rsid w:val="00C95B75"/>
    <w:rsid w:val="00C9699C"/>
    <w:rsid w:val="00C96E41"/>
    <w:rsid w:val="00C97753"/>
    <w:rsid w:val="00CA19A4"/>
    <w:rsid w:val="00CA1B90"/>
    <w:rsid w:val="00CA21B0"/>
    <w:rsid w:val="00CA43F4"/>
    <w:rsid w:val="00CA4C4B"/>
    <w:rsid w:val="00CA521A"/>
    <w:rsid w:val="00CA527F"/>
    <w:rsid w:val="00CA68CC"/>
    <w:rsid w:val="00CA6FF1"/>
    <w:rsid w:val="00CB086C"/>
    <w:rsid w:val="00CB1B6F"/>
    <w:rsid w:val="00CB3161"/>
    <w:rsid w:val="00CB3797"/>
    <w:rsid w:val="00CB3B73"/>
    <w:rsid w:val="00CB4115"/>
    <w:rsid w:val="00CB63A3"/>
    <w:rsid w:val="00CB6625"/>
    <w:rsid w:val="00CC1644"/>
    <w:rsid w:val="00CC1CD8"/>
    <w:rsid w:val="00CC1DCE"/>
    <w:rsid w:val="00CC2BE6"/>
    <w:rsid w:val="00CC45A8"/>
    <w:rsid w:val="00CC4ABE"/>
    <w:rsid w:val="00CC4B21"/>
    <w:rsid w:val="00CC50BE"/>
    <w:rsid w:val="00CC5454"/>
    <w:rsid w:val="00CC61EC"/>
    <w:rsid w:val="00CC74AF"/>
    <w:rsid w:val="00CC796B"/>
    <w:rsid w:val="00CC7E5C"/>
    <w:rsid w:val="00CD0182"/>
    <w:rsid w:val="00CD08C4"/>
    <w:rsid w:val="00CD1615"/>
    <w:rsid w:val="00CD1894"/>
    <w:rsid w:val="00CD2969"/>
    <w:rsid w:val="00CD39B0"/>
    <w:rsid w:val="00CD3B80"/>
    <w:rsid w:val="00CD3CB2"/>
    <w:rsid w:val="00CD466F"/>
    <w:rsid w:val="00CD54DF"/>
    <w:rsid w:val="00CD6824"/>
    <w:rsid w:val="00CE0742"/>
    <w:rsid w:val="00CE1405"/>
    <w:rsid w:val="00CE1E6B"/>
    <w:rsid w:val="00CE212E"/>
    <w:rsid w:val="00CE6A3E"/>
    <w:rsid w:val="00CF008F"/>
    <w:rsid w:val="00CF04E8"/>
    <w:rsid w:val="00CF1FCE"/>
    <w:rsid w:val="00CF2255"/>
    <w:rsid w:val="00CF42FF"/>
    <w:rsid w:val="00CF7101"/>
    <w:rsid w:val="00D0042D"/>
    <w:rsid w:val="00D02026"/>
    <w:rsid w:val="00D020AA"/>
    <w:rsid w:val="00D021E2"/>
    <w:rsid w:val="00D03157"/>
    <w:rsid w:val="00D032C9"/>
    <w:rsid w:val="00D03803"/>
    <w:rsid w:val="00D03DFB"/>
    <w:rsid w:val="00D04DBD"/>
    <w:rsid w:val="00D07B37"/>
    <w:rsid w:val="00D10785"/>
    <w:rsid w:val="00D11418"/>
    <w:rsid w:val="00D1182A"/>
    <w:rsid w:val="00D1187D"/>
    <w:rsid w:val="00D11C74"/>
    <w:rsid w:val="00D11D34"/>
    <w:rsid w:val="00D152F2"/>
    <w:rsid w:val="00D15661"/>
    <w:rsid w:val="00D15B8D"/>
    <w:rsid w:val="00D16CF1"/>
    <w:rsid w:val="00D1769B"/>
    <w:rsid w:val="00D17E8A"/>
    <w:rsid w:val="00D2199B"/>
    <w:rsid w:val="00D231EA"/>
    <w:rsid w:val="00D25D75"/>
    <w:rsid w:val="00D25DC0"/>
    <w:rsid w:val="00D312CF"/>
    <w:rsid w:val="00D31DCD"/>
    <w:rsid w:val="00D34259"/>
    <w:rsid w:val="00D342E5"/>
    <w:rsid w:val="00D34936"/>
    <w:rsid w:val="00D3587B"/>
    <w:rsid w:val="00D35F0C"/>
    <w:rsid w:val="00D36629"/>
    <w:rsid w:val="00D3716C"/>
    <w:rsid w:val="00D371BA"/>
    <w:rsid w:val="00D37B3C"/>
    <w:rsid w:val="00D40015"/>
    <w:rsid w:val="00D40279"/>
    <w:rsid w:val="00D4065F"/>
    <w:rsid w:val="00D434F6"/>
    <w:rsid w:val="00D44D7D"/>
    <w:rsid w:val="00D4552D"/>
    <w:rsid w:val="00D45CEC"/>
    <w:rsid w:val="00D45D53"/>
    <w:rsid w:val="00D45DF2"/>
    <w:rsid w:val="00D46F31"/>
    <w:rsid w:val="00D502CB"/>
    <w:rsid w:val="00D508C1"/>
    <w:rsid w:val="00D52E89"/>
    <w:rsid w:val="00D5365A"/>
    <w:rsid w:val="00D53C08"/>
    <w:rsid w:val="00D547C6"/>
    <w:rsid w:val="00D55A7B"/>
    <w:rsid w:val="00D55C20"/>
    <w:rsid w:val="00D565B0"/>
    <w:rsid w:val="00D56C9F"/>
    <w:rsid w:val="00D57486"/>
    <w:rsid w:val="00D57787"/>
    <w:rsid w:val="00D5783E"/>
    <w:rsid w:val="00D57D40"/>
    <w:rsid w:val="00D61E01"/>
    <w:rsid w:val="00D6235C"/>
    <w:rsid w:val="00D6522A"/>
    <w:rsid w:val="00D65EB6"/>
    <w:rsid w:val="00D6607F"/>
    <w:rsid w:val="00D66215"/>
    <w:rsid w:val="00D665F7"/>
    <w:rsid w:val="00D675BA"/>
    <w:rsid w:val="00D67FA4"/>
    <w:rsid w:val="00D705A9"/>
    <w:rsid w:val="00D714CA"/>
    <w:rsid w:val="00D716B1"/>
    <w:rsid w:val="00D71850"/>
    <w:rsid w:val="00D73854"/>
    <w:rsid w:val="00D74D37"/>
    <w:rsid w:val="00D74F32"/>
    <w:rsid w:val="00D761C9"/>
    <w:rsid w:val="00D76A2E"/>
    <w:rsid w:val="00D806CA"/>
    <w:rsid w:val="00D80830"/>
    <w:rsid w:val="00D810CC"/>
    <w:rsid w:val="00D81114"/>
    <w:rsid w:val="00D82C85"/>
    <w:rsid w:val="00D83714"/>
    <w:rsid w:val="00D8428B"/>
    <w:rsid w:val="00D8476D"/>
    <w:rsid w:val="00D858F9"/>
    <w:rsid w:val="00D862E9"/>
    <w:rsid w:val="00D86E9D"/>
    <w:rsid w:val="00D87919"/>
    <w:rsid w:val="00D87EDA"/>
    <w:rsid w:val="00D900CB"/>
    <w:rsid w:val="00D91B56"/>
    <w:rsid w:val="00D91C38"/>
    <w:rsid w:val="00D9587D"/>
    <w:rsid w:val="00D969D3"/>
    <w:rsid w:val="00D96D4A"/>
    <w:rsid w:val="00DA01C1"/>
    <w:rsid w:val="00DA08B1"/>
    <w:rsid w:val="00DA151A"/>
    <w:rsid w:val="00DA1F27"/>
    <w:rsid w:val="00DA26C0"/>
    <w:rsid w:val="00DA2861"/>
    <w:rsid w:val="00DA318A"/>
    <w:rsid w:val="00DA4312"/>
    <w:rsid w:val="00DA4F71"/>
    <w:rsid w:val="00DA523E"/>
    <w:rsid w:val="00DA57D7"/>
    <w:rsid w:val="00DA5F47"/>
    <w:rsid w:val="00DA6D71"/>
    <w:rsid w:val="00DB0E6A"/>
    <w:rsid w:val="00DB40C0"/>
    <w:rsid w:val="00DB5CE3"/>
    <w:rsid w:val="00DB66A3"/>
    <w:rsid w:val="00DC1C88"/>
    <w:rsid w:val="00DC2560"/>
    <w:rsid w:val="00DC29CF"/>
    <w:rsid w:val="00DC310F"/>
    <w:rsid w:val="00DC426A"/>
    <w:rsid w:val="00DC578D"/>
    <w:rsid w:val="00DC5CE8"/>
    <w:rsid w:val="00DC64AD"/>
    <w:rsid w:val="00DD08DA"/>
    <w:rsid w:val="00DE1CA2"/>
    <w:rsid w:val="00DE1F36"/>
    <w:rsid w:val="00DE2013"/>
    <w:rsid w:val="00DE22FB"/>
    <w:rsid w:val="00DE24FD"/>
    <w:rsid w:val="00DE28F9"/>
    <w:rsid w:val="00DE3355"/>
    <w:rsid w:val="00DE349D"/>
    <w:rsid w:val="00DE3D0E"/>
    <w:rsid w:val="00DE568A"/>
    <w:rsid w:val="00DE7CB4"/>
    <w:rsid w:val="00DF3885"/>
    <w:rsid w:val="00DF3C07"/>
    <w:rsid w:val="00DF42D2"/>
    <w:rsid w:val="00DF4440"/>
    <w:rsid w:val="00DF559A"/>
    <w:rsid w:val="00DF62DC"/>
    <w:rsid w:val="00DF67DE"/>
    <w:rsid w:val="00DF691A"/>
    <w:rsid w:val="00DF6ADC"/>
    <w:rsid w:val="00E00161"/>
    <w:rsid w:val="00E010B4"/>
    <w:rsid w:val="00E02827"/>
    <w:rsid w:val="00E03DDB"/>
    <w:rsid w:val="00E0506A"/>
    <w:rsid w:val="00E0518C"/>
    <w:rsid w:val="00E05842"/>
    <w:rsid w:val="00E11C3A"/>
    <w:rsid w:val="00E11C6E"/>
    <w:rsid w:val="00E121EE"/>
    <w:rsid w:val="00E123D4"/>
    <w:rsid w:val="00E140A2"/>
    <w:rsid w:val="00E17314"/>
    <w:rsid w:val="00E1793C"/>
    <w:rsid w:val="00E2095C"/>
    <w:rsid w:val="00E22277"/>
    <w:rsid w:val="00E232E1"/>
    <w:rsid w:val="00E2357C"/>
    <w:rsid w:val="00E25A3E"/>
    <w:rsid w:val="00E25E33"/>
    <w:rsid w:val="00E25FCB"/>
    <w:rsid w:val="00E2668C"/>
    <w:rsid w:val="00E30729"/>
    <w:rsid w:val="00E314E2"/>
    <w:rsid w:val="00E31AE3"/>
    <w:rsid w:val="00E33D8A"/>
    <w:rsid w:val="00E34C3D"/>
    <w:rsid w:val="00E34E8C"/>
    <w:rsid w:val="00E35327"/>
    <w:rsid w:val="00E3626E"/>
    <w:rsid w:val="00E370B6"/>
    <w:rsid w:val="00E37195"/>
    <w:rsid w:val="00E37F6D"/>
    <w:rsid w:val="00E41D06"/>
    <w:rsid w:val="00E44347"/>
    <w:rsid w:val="00E46ABB"/>
    <w:rsid w:val="00E46B41"/>
    <w:rsid w:val="00E46FA4"/>
    <w:rsid w:val="00E47B76"/>
    <w:rsid w:val="00E50320"/>
    <w:rsid w:val="00E50802"/>
    <w:rsid w:val="00E50C63"/>
    <w:rsid w:val="00E514DE"/>
    <w:rsid w:val="00E5294E"/>
    <w:rsid w:val="00E52B6E"/>
    <w:rsid w:val="00E52E01"/>
    <w:rsid w:val="00E5325B"/>
    <w:rsid w:val="00E532F6"/>
    <w:rsid w:val="00E53A90"/>
    <w:rsid w:val="00E53D36"/>
    <w:rsid w:val="00E53EC7"/>
    <w:rsid w:val="00E54D99"/>
    <w:rsid w:val="00E56E7F"/>
    <w:rsid w:val="00E57495"/>
    <w:rsid w:val="00E600BC"/>
    <w:rsid w:val="00E61BA5"/>
    <w:rsid w:val="00E6353D"/>
    <w:rsid w:val="00E64A04"/>
    <w:rsid w:val="00E64DDC"/>
    <w:rsid w:val="00E657E6"/>
    <w:rsid w:val="00E660CE"/>
    <w:rsid w:val="00E66465"/>
    <w:rsid w:val="00E67ABE"/>
    <w:rsid w:val="00E67FF2"/>
    <w:rsid w:val="00E70CE8"/>
    <w:rsid w:val="00E71706"/>
    <w:rsid w:val="00E72337"/>
    <w:rsid w:val="00E725D7"/>
    <w:rsid w:val="00E73800"/>
    <w:rsid w:val="00E73A6A"/>
    <w:rsid w:val="00E7401C"/>
    <w:rsid w:val="00E742FB"/>
    <w:rsid w:val="00E74948"/>
    <w:rsid w:val="00E74E26"/>
    <w:rsid w:val="00E76FB8"/>
    <w:rsid w:val="00E7702C"/>
    <w:rsid w:val="00E77EE9"/>
    <w:rsid w:val="00E81844"/>
    <w:rsid w:val="00E81E09"/>
    <w:rsid w:val="00E82EC2"/>
    <w:rsid w:val="00E833A7"/>
    <w:rsid w:val="00E84451"/>
    <w:rsid w:val="00E86953"/>
    <w:rsid w:val="00E86A4B"/>
    <w:rsid w:val="00E86CE4"/>
    <w:rsid w:val="00E90989"/>
    <w:rsid w:val="00E90B9A"/>
    <w:rsid w:val="00E914B8"/>
    <w:rsid w:val="00E91AE0"/>
    <w:rsid w:val="00E9245B"/>
    <w:rsid w:val="00E94A29"/>
    <w:rsid w:val="00E9632B"/>
    <w:rsid w:val="00E977A7"/>
    <w:rsid w:val="00E97E03"/>
    <w:rsid w:val="00EA04F9"/>
    <w:rsid w:val="00EA0F86"/>
    <w:rsid w:val="00EA1177"/>
    <w:rsid w:val="00EA11C3"/>
    <w:rsid w:val="00EA212F"/>
    <w:rsid w:val="00EA4D22"/>
    <w:rsid w:val="00EA50EB"/>
    <w:rsid w:val="00EA5A4C"/>
    <w:rsid w:val="00EA5BA3"/>
    <w:rsid w:val="00EB2D84"/>
    <w:rsid w:val="00EB2E2B"/>
    <w:rsid w:val="00EB2F16"/>
    <w:rsid w:val="00EB3145"/>
    <w:rsid w:val="00EB596F"/>
    <w:rsid w:val="00EB6741"/>
    <w:rsid w:val="00EB6CD0"/>
    <w:rsid w:val="00EB7D72"/>
    <w:rsid w:val="00EB7E4D"/>
    <w:rsid w:val="00EC0BA1"/>
    <w:rsid w:val="00EC1C2C"/>
    <w:rsid w:val="00EC3069"/>
    <w:rsid w:val="00EC3A34"/>
    <w:rsid w:val="00EC4097"/>
    <w:rsid w:val="00EC446A"/>
    <w:rsid w:val="00EC5564"/>
    <w:rsid w:val="00EC57C2"/>
    <w:rsid w:val="00EC73D1"/>
    <w:rsid w:val="00EC74B1"/>
    <w:rsid w:val="00ED0A24"/>
    <w:rsid w:val="00ED0D4F"/>
    <w:rsid w:val="00ED1342"/>
    <w:rsid w:val="00ED2460"/>
    <w:rsid w:val="00ED2B9B"/>
    <w:rsid w:val="00ED2E67"/>
    <w:rsid w:val="00ED2EA3"/>
    <w:rsid w:val="00ED4E19"/>
    <w:rsid w:val="00ED54C1"/>
    <w:rsid w:val="00ED7028"/>
    <w:rsid w:val="00ED7661"/>
    <w:rsid w:val="00EE11DB"/>
    <w:rsid w:val="00EE1CAC"/>
    <w:rsid w:val="00EE1E43"/>
    <w:rsid w:val="00EE3A3C"/>
    <w:rsid w:val="00EE5270"/>
    <w:rsid w:val="00EE5D67"/>
    <w:rsid w:val="00EE5E3B"/>
    <w:rsid w:val="00EE77E2"/>
    <w:rsid w:val="00EF11DE"/>
    <w:rsid w:val="00EF260D"/>
    <w:rsid w:val="00EF28CA"/>
    <w:rsid w:val="00EF4D60"/>
    <w:rsid w:val="00EF51D8"/>
    <w:rsid w:val="00EF5337"/>
    <w:rsid w:val="00EF581A"/>
    <w:rsid w:val="00EF5BB1"/>
    <w:rsid w:val="00EF74F8"/>
    <w:rsid w:val="00EF7ED5"/>
    <w:rsid w:val="00F0012B"/>
    <w:rsid w:val="00F00202"/>
    <w:rsid w:val="00F00319"/>
    <w:rsid w:val="00F010EA"/>
    <w:rsid w:val="00F02928"/>
    <w:rsid w:val="00F044D1"/>
    <w:rsid w:val="00F05174"/>
    <w:rsid w:val="00F057E0"/>
    <w:rsid w:val="00F06BE9"/>
    <w:rsid w:val="00F11850"/>
    <w:rsid w:val="00F11DE5"/>
    <w:rsid w:val="00F125F2"/>
    <w:rsid w:val="00F13415"/>
    <w:rsid w:val="00F13607"/>
    <w:rsid w:val="00F13761"/>
    <w:rsid w:val="00F1398F"/>
    <w:rsid w:val="00F14456"/>
    <w:rsid w:val="00F1516C"/>
    <w:rsid w:val="00F16018"/>
    <w:rsid w:val="00F16097"/>
    <w:rsid w:val="00F16AE7"/>
    <w:rsid w:val="00F17675"/>
    <w:rsid w:val="00F20115"/>
    <w:rsid w:val="00F21530"/>
    <w:rsid w:val="00F2172D"/>
    <w:rsid w:val="00F21799"/>
    <w:rsid w:val="00F218C7"/>
    <w:rsid w:val="00F22097"/>
    <w:rsid w:val="00F231FF"/>
    <w:rsid w:val="00F25418"/>
    <w:rsid w:val="00F25D2E"/>
    <w:rsid w:val="00F25FC4"/>
    <w:rsid w:val="00F266FA"/>
    <w:rsid w:val="00F26849"/>
    <w:rsid w:val="00F26C29"/>
    <w:rsid w:val="00F2794F"/>
    <w:rsid w:val="00F27A63"/>
    <w:rsid w:val="00F309DE"/>
    <w:rsid w:val="00F309F6"/>
    <w:rsid w:val="00F316E2"/>
    <w:rsid w:val="00F32524"/>
    <w:rsid w:val="00F32EBA"/>
    <w:rsid w:val="00F33615"/>
    <w:rsid w:val="00F34302"/>
    <w:rsid w:val="00F36027"/>
    <w:rsid w:val="00F3649C"/>
    <w:rsid w:val="00F36DE5"/>
    <w:rsid w:val="00F40A4B"/>
    <w:rsid w:val="00F4171E"/>
    <w:rsid w:val="00F4183B"/>
    <w:rsid w:val="00F422F4"/>
    <w:rsid w:val="00F43287"/>
    <w:rsid w:val="00F45F6E"/>
    <w:rsid w:val="00F46905"/>
    <w:rsid w:val="00F47662"/>
    <w:rsid w:val="00F47BCA"/>
    <w:rsid w:val="00F50E82"/>
    <w:rsid w:val="00F56538"/>
    <w:rsid w:val="00F567F8"/>
    <w:rsid w:val="00F56CE2"/>
    <w:rsid w:val="00F57834"/>
    <w:rsid w:val="00F5790C"/>
    <w:rsid w:val="00F62314"/>
    <w:rsid w:val="00F62BFF"/>
    <w:rsid w:val="00F649AB"/>
    <w:rsid w:val="00F65BF9"/>
    <w:rsid w:val="00F67D1A"/>
    <w:rsid w:val="00F7152A"/>
    <w:rsid w:val="00F71568"/>
    <w:rsid w:val="00F7166A"/>
    <w:rsid w:val="00F716DD"/>
    <w:rsid w:val="00F73881"/>
    <w:rsid w:val="00F73A06"/>
    <w:rsid w:val="00F741A7"/>
    <w:rsid w:val="00F743FA"/>
    <w:rsid w:val="00F76A6D"/>
    <w:rsid w:val="00F774B7"/>
    <w:rsid w:val="00F77F0C"/>
    <w:rsid w:val="00F82DF7"/>
    <w:rsid w:val="00F84262"/>
    <w:rsid w:val="00F84ADD"/>
    <w:rsid w:val="00F85D1E"/>
    <w:rsid w:val="00F873BF"/>
    <w:rsid w:val="00F9304F"/>
    <w:rsid w:val="00F93221"/>
    <w:rsid w:val="00F93F80"/>
    <w:rsid w:val="00F948D8"/>
    <w:rsid w:val="00F94B7C"/>
    <w:rsid w:val="00F9564B"/>
    <w:rsid w:val="00F9581E"/>
    <w:rsid w:val="00F95972"/>
    <w:rsid w:val="00F96EFD"/>
    <w:rsid w:val="00F975C0"/>
    <w:rsid w:val="00FA0B68"/>
    <w:rsid w:val="00FA22A3"/>
    <w:rsid w:val="00FA2433"/>
    <w:rsid w:val="00FA2B9C"/>
    <w:rsid w:val="00FA2D18"/>
    <w:rsid w:val="00FA3C30"/>
    <w:rsid w:val="00FA5D7D"/>
    <w:rsid w:val="00FA5FA2"/>
    <w:rsid w:val="00FA6729"/>
    <w:rsid w:val="00FA6C0A"/>
    <w:rsid w:val="00FA6DA3"/>
    <w:rsid w:val="00FA7B56"/>
    <w:rsid w:val="00FA7BCC"/>
    <w:rsid w:val="00FB0339"/>
    <w:rsid w:val="00FB16F6"/>
    <w:rsid w:val="00FB209F"/>
    <w:rsid w:val="00FB275A"/>
    <w:rsid w:val="00FB477D"/>
    <w:rsid w:val="00FB5376"/>
    <w:rsid w:val="00FB62BE"/>
    <w:rsid w:val="00FB7625"/>
    <w:rsid w:val="00FC09EF"/>
    <w:rsid w:val="00FC0D08"/>
    <w:rsid w:val="00FC125E"/>
    <w:rsid w:val="00FC1B28"/>
    <w:rsid w:val="00FC2210"/>
    <w:rsid w:val="00FC6703"/>
    <w:rsid w:val="00FC685B"/>
    <w:rsid w:val="00FC69BF"/>
    <w:rsid w:val="00FC77AC"/>
    <w:rsid w:val="00FD0257"/>
    <w:rsid w:val="00FD0440"/>
    <w:rsid w:val="00FD045F"/>
    <w:rsid w:val="00FD3222"/>
    <w:rsid w:val="00FD3AC4"/>
    <w:rsid w:val="00FD656F"/>
    <w:rsid w:val="00FE023B"/>
    <w:rsid w:val="00FE029C"/>
    <w:rsid w:val="00FE03B5"/>
    <w:rsid w:val="00FE0E52"/>
    <w:rsid w:val="00FE137A"/>
    <w:rsid w:val="00FE24EC"/>
    <w:rsid w:val="00FE2539"/>
    <w:rsid w:val="00FE2BA2"/>
    <w:rsid w:val="00FE3AEF"/>
    <w:rsid w:val="00FE3BEB"/>
    <w:rsid w:val="00FE526B"/>
    <w:rsid w:val="00FE62A2"/>
    <w:rsid w:val="00FF15A4"/>
    <w:rsid w:val="00FF2157"/>
    <w:rsid w:val="00FF2C6D"/>
    <w:rsid w:val="00FF5162"/>
    <w:rsid w:val="00FF51E8"/>
    <w:rsid w:val="00FF52B4"/>
    <w:rsid w:val="00FF5D5D"/>
    <w:rsid w:val="00FF5DCD"/>
    <w:rsid w:val="00FF7C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21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annotation reference" w:uiPriority="99"/>
    <w:lsdException w:name="Default Paragraph Font" w:uiPriority="1"/>
    <w:lsdException w:name="FollowedHyperlink" w:uiPriority="99"/>
    <w:lsdException w:name="Emphasis" w:uiPriority="20" w:qFormat="1"/>
    <w:lsdException w:name="Normal (Web)" w:uiPriority="99"/>
    <w:lsdException w:name="annotation subject" w:uiPriority="99"/>
    <w:lsdException w:name="No List" w:uiPriority="99"/>
    <w:lsdException w:name="Table Professional" w:uiPriority="99"/>
    <w:lsdException w:name="Table Grid" w:uiPriority="59"/>
    <w:lsdException w:name="Revision" w:uiPriority="99"/>
    <w:lsdException w:name="List Paragraph" w:uiPriority="34" w:qFormat="1"/>
  </w:latentStyles>
  <w:style w:type="paragraph" w:default="1" w:styleId="Normal">
    <w:name w:val="Normal"/>
    <w:qFormat/>
    <w:rsid w:val="008C10A6"/>
    <w:pPr>
      <w:spacing w:after="200" w:line="276" w:lineRule="auto"/>
    </w:pPr>
    <w:rPr>
      <w:rFonts w:asciiTheme="minorHAnsi" w:eastAsiaTheme="minorHAnsi" w:hAnsiTheme="minorHAnsi" w:cstheme="minorBidi"/>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95F0B"/>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autoRedefine/>
    <w:qFormat/>
    <w:rsid w:val="00695F0B"/>
    <w:pPr>
      <w:keepNext/>
      <w:numPr>
        <w:ilvl w:val="1"/>
        <w:numId w:val="1"/>
      </w:numPr>
      <w:spacing w:after="120"/>
      <w:outlineLvl w:val="1"/>
    </w:pPr>
    <w:rPr>
      <w:b/>
    </w:rPr>
  </w:style>
  <w:style w:type="paragraph" w:styleId="Heading3">
    <w:name w:val="heading 3"/>
    <w:basedOn w:val="Normal"/>
    <w:next w:val="ParaNum"/>
    <w:link w:val="Heading3Char"/>
    <w:qFormat/>
    <w:locked/>
    <w:rsid w:val="00695F0B"/>
    <w:pPr>
      <w:keepNext/>
      <w:numPr>
        <w:ilvl w:val="2"/>
        <w:numId w:val="1"/>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695F0B"/>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locked/>
    <w:rsid w:val="00695F0B"/>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1"/>
    <w:qFormat/>
    <w:locked/>
    <w:rsid w:val="00695F0B"/>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695F0B"/>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1"/>
    <w:qFormat/>
    <w:locked/>
    <w:rsid w:val="00695F0B"/>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locked/>
    <w:rsid w:val="00695F0B"/>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10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0A6"/>
  </w:style>
  <w:style w:type="paragraph" w:styleId="BalloonText">
    <w:name w:val="Balloon Text"/>
    <w:basedOn w:val="Normal"/>
    <w:link w:val="BalloonTextChar1"/>
    <w:semiHidden/>
    <w:rsid w:val="00267C9F"/>
    <w:rPr>
      <w:rFonts w:ascii="Lucida Grande" w:hAnsi="Lucida Grande"/>
      <w:sz w:val="18"/>
      <w:szCs w:val="18"/>
    </w:rPr>
  </w:style>
  <w:style w:type="character" w:customStyle="1" w:styleId="BalloonTextChar">
    <w:name w:val="Balloon Text Char"/>
    <w:basedOn w:val="DefaultParagraphFont"/>
    <w:uiPriority w:val="99"/>
    <w:semiHidden/>
    <w:rsid w:val="00C025C8"/>
    <w:rPr>
      <w:rFonts w:ascii="Lucida Grande" w:hAnsi="Lucida Grande"/>
      <w:sz w:val="18"/>
      <w:szCs w:val="18"/>
    </w:rPr>
  </w:style>
  <w:style w:type="character" w:customStyle="1" w:styleId="BalloonTextChar6">
    <w:name w:val="Balloon Text Char6"/>
    <w:basedOn w:val="DefaultParagraphFont"/>
    <w:uiPriority w:val="99"/>
    <w:semiHidden/>
    <w:rsid w:val="006D2921"/>
    <w:rPr>
      <w:rFonts w:ascii="Lucida Grande" w:hAnsi="Lucida Grande"/>
      <w:sz w:val="18"/>
      <w:szCs w:val="18"/>
    </w:rPr>
  </w:style>
  <w:style w:type="character" w:customStyle="1" w:styleId="BalloonTextChar5">
    <w:name w:val="Balloon Text Char5"/>
    <w:basedOn w:val="DefaultParagraphFont"/>
    <w:uiPriority w:val="99"/>
    <w:semiHidden/>
    <w:rsid w:val="006D2921"/>
    <w:rPr>
      <w:rFonts w:ascii="Lucida Grande" w:hAnsi="Lucida Grande"/>
      <w:sz w:val="18"/>
      <w:szCs w:val="18"/>
    </w:rPr>
  </w:style>
  <w:style w:type="character" w:customStyle="1" w:styleId="BalloonTextChar4">
    <w:name w:val="Balloon Text Char4"/>
    <w:basedOn w:val="DefaultParagraphFont"/>
    <w:uiPriority w:val="99"/>
    <w:semiHidden/>
    <w:rsid w:val="00B0300A"/>
    <w:rPr>
      <w:rFonts w:ascii="Lucida Grande" w:hAnsi="Lucida Grande"/>
      <w:sz w:val="18"/>
      <w:szCs w:val="18"/>
    </w:rPr>
  </w:style>
  <w:style w:type="character" w:customStyle="1" w:styleId="BalloonTextChar3">
    <w:name w:val="Balloon Text Char3"/>
    <w:basedOn w:val="DefaultParagraphFont"/>
    <w:uiPriority w:val="99"/>
    <w:semiHidden/>
    <w:rsid w:val="00B0300A"/>
    <w:rPr>
      <w:rFonts w:ascii="Lucida Grande" w:hAnsi="Lucida Grande"/>
      <w:sz w:val="18"/>
      <w:szCs w:val="18"/>
    </w:rPr>
  </w:style>
  <w:style w:type="character" w:customStyle="1" w:styleId="BalloonTextChar2">
    <w:name w:val="Balloon Text Char2"/>
    <w:basedOn w:val="DefaultParagraphFont"/>
    <w:uiPriority w:val="99"/>
    <w:semiHidden/>
    <w:rsid w:val="00B0300A"/>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6B00CE"/>
    <w:rPr>
      <w:rFonts w:ascii="Times New Roman Bold" w:hAnsi="Times New Roman Bold"/>
      <w:b/>
      <w:caps/>
      <w:snapToGrid w:val="0"/>
      <w:kern w:val="28"/>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locked/>
    <w:rsid w:val="00135583"/>
    <w:rPr>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basedOn w:val="DefaultParagraphFont"/>
    <w:locked/>
    <w:rsid w:val="00D15661"/>
    <w:rPr>
      <w:b/>
      <w:kern w:val="28"/>
      <w:szCs w:val="20"/>
    </w:rPr>
  </w:style>
  <w:style w:type="character" w:customStyle="1" w:styleId="Heading4Char">
    <w:name w:val="Heading 4 Char"/>
    <w:aliases w:val="Heading 4 Char2 Char1,Heading 4 Char1 Char1 Char1,Heading 4 Char Char Char Char1,Heading 4 Char Char1 Char1,Heading 4 Char2 Char Char Char1,Heading 4 Char1 Char1 Char Char Char1,Heading 4 Char Char Char1 Char Char Char1"/>
    <w:basedOn w:val="DefaultParagraphFont"/>
    <w:link w:val="Heading4"/>
    <w:locked/>
    <w:rsid w:val="00D15661"/>
    <w:rPr>
      <w:b/>
      <w:snapToGrid w:val="0"/>
      <w:kern w:val="28"/>
      <w:szCs w:val="20"/>
    </w:rPr>
  </w:style>
  <w:style w:type="character" w:customStyle="1" w:styleId="Heading5Char1">
    <w:name w:val="Heading 5 Char1"/>
    <w:aliases w:val="Heading 5 Char Char"/>
    <w:basedOn w:val="DefaultParagraphFont"/>
    <w:locked/>
    <w:rsid w:val="00D15661"/>
    <w:rPr>
      <w:b/>
      <w:kern w:val="28"/>
      <w:szCs w:val="20"/>
    </w:rPr>
  </w:style>
  <w:style w:type="character" w:customStyle="1" w:styleId="Heading6Char">
    <w:name w:val="Heading 6 Char"/>
    <w:aliases w:val="h6 Char"/>
    <w:basedOn w:val="DefaultParagraphFont"/>
    <w:locked/>
    <w:rsid w:val="00D15661"/>
    <w:rPr>
      <w:b/>
      <w:kern w:val="28"/>
      <w:szCs w:val="20"/>
    </w:rPr>
  </w:style>
  <w:style w:type="character" w:customStyle="1" w:styleId="Heading7Char">
    <w:name w:val="Heading 7 Char"/>
    <w:basedOn w:val="DefaultParagraphFont"/>
    <w:link w:val="Heading7"/>
    <w:locked/>
    <w:rsid w:val="00D15661"/>
    <w:rPr>
      <w:b/>
      <w:snapToGrid w:val="0"/>
      <w:kern w:val="28"/>
      <w:szCs w:val="20"/>
    </w:rPr>
  </w:style>
  <w:style w:type="character" w:customStyle="1" w:styleId="Heading8Char">
    <w:name w:val="Heading 8 Char"/>
    <w:basedOn w:val="DefaultParagraphFont"/>
    <w:locked/>
    <w:rsid w:val="00D15661"/>
    <w:rPr>
      <w:b/>
      <w:kern w:val="28"/>
      <w:szCs w:val="20"/>
    </w:rPr>
  </w:style>
  <w:style w:type="character" w:customStyle="1" w:styleId="Heading9Char1">
    <w:name w:val="Heading 9 Char1"/>
    <w:aliases w:val="Heading 9 Char Char"/>
    <w:basedOn w:val="DefaultParagraphFont"/>
    <w:locked/>
    <w:rsid w:val="00D15661"/>
    <w:rPr>
      <w:b/>
      <w:kern w:val="28"/>
      <w:szCs w:val="20"/>
    </w:rPr>
  </w:style>
  <w:style w:type="character" w:customStyle="1" w:styleId="BalloonTextChar1">
    <w:name w:val="Balloon Text Char1"/>
    <w:basedOn w:val="DefaultParagraphFont"/>
    <w:link w:val="BalloonText"/>
    <w:semiHidden/>
    <w:locked/>
    <w:rsid w:val="00EC0BA1"/>
    <w:rPr>
      <w:rFonts w:ascii="Lucida Grande" w:eastAsiaTheme="minorEastAsia" w:hAnsi="Lucida Grande"/>
      <w:sz w:val="18"/>
      <w:szCs w:val="18"/>
    </w:rPr>
  </w:style>
  <w:style w:type="paragraph" w:customStyle="1" w:styleId="TOCTitle">
    <w:name w:val="TOC Title"/>
    <w:basedOn w:val="Normal"/>
    <w:rsid w:val="00695F0B"/>
    <w:pPr>
      <w:spacing w:before="240" w:after="240"/>
      <w:jc w:val="center"/>
    </w:pPr>
    <w:rPr>
      <w:rFonts w:ascii="Times New Roman Bold" w:hAnsi="Times New Roman Bold"/>
      <w:b/>
      <w:caps/>
      <w:spacing w:val="-2"/>
    </w:rPr>
  </w:style>
  <w:style w:type="paragraph" w:styleId="TOAHeading">
    <w:name w:val="toa heading"/>
    <w:basedOn w:val="Normal"/>
    <w:next w:val="Normal"/>
    <w:semiHidden/>
    <w:rsid w:val="00695F0B"/>
    <w:pPr>
      <w:tabs>
        <w:tab w:val="right" w:pos="9360"/>
      </w:tabs>
      <w:suppressAutoHyphens/>
    </w:pPr>
  </w:style>
  <w:style w:type="paragraph" w:styleId="Header">
    <w:name w:val="header"/>
    <w:basedOn w:val="Normal"/>
    <w:link w:val="HeaderChar"/>
    <w:autoRedefine/>
    <w:rsid w:val="00695F0B"/>
    <w:pPr>
      <w:tabs>
        <w:tab w:val="center" w:pos="4680"/>
        <w:tab w:val="right" w:pos="9360"/>
      </w:tabs>
    </w:pPr>
    <w:rPr>
      <w:b/>
    </w:rPr>
  </w:style>
  <w:style w:type="character" w:customStyle="1" w:styleId="HeaderChar">
    <w:name w:val="Header Char"/>
    <w:basedOn w:val="DefaultParagraphFont"/>
    <w:link w:val="Header"/>
    <w:locked/>
    <w:rsid w:val="00EE5D67"/>
    <w:rPr>
      <w:b/>
      <w:snapToGrid w:val="0"/>
      <w:kern w:val="28"/>
      <w:szCs w:val="20"/>
    </w:rPr>
  </w:style>
  <w:style w:type="paragraph" w:styleId="Footer">
    <w:name w:val="footer"/>
    <w:basedOn w:val="Normal"/>
    <w:link w:val="FooterChar"/>
    <w:uiPriority w:val="99"/>
    <w:rsid w:val="00695F0B"/>
    <w:pPr>
      <w:tabs>
        <w:tab w:val="center" w:pos="4320"/>
        <w:tab w:val="right" w:pos="8640"/>
      </w:tabs>
    </w:pPr>
  </w:style>
  <w:style w:type="character" w:customStyle="1" w:styleId="FooterChar">
    <w:name w:val="Footer Char"/>
    <w:basedOn w:val="DefaultParagraphFont"/>
    <w:link w:val="Footer"/>
    <w:uiPriority w:val="99"/>
    <w:locked/>
    <w:rsid w:val="00EC0BA1"/>
    <w:rPr>
      <w:snapToGrid w:val="0"/>
      <w:kern w:val="28"/>
      <w:szCs w:val="20"/>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695F0B"/>
    <w:pPr>
      <w:spacing w:after="120"/>
    </w:pPr>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locked/>
    <w:rsid w:val="00EC0BA1"/>
    <w:rPr>
      <w:sz w:val="20"/>
      <w:szCs w:val="20"/>
    </w:rPr>
  </w:style>
  <w:style w:type="character" w:styleId="FootnoteReference">
    <w:name w:val="footnote reference"/>
    <w:aliases w:val="Style 12,(NECG) Footnote Reference,Style 13,Appel note de bas de p,Style 124,fr,o,Style 3,FR,Style 17,Footnote Reference/,Style 6,Style 7,Footnote Reference1"/>
    <w:rsid w:val="00695F0B"/>
    <w:rPr>
      <w:rFonts w:ascii="Times New Roman" w:hAnsi="Times New Roman"/>
      <w:dstrike w:val="0"/>
      <w:color w:val="auto"/>
      <w:sz w:val="22"/>
      <w:vertAlign w:val="superscript"/>
    </w:rPr>
  </w:style>
  <w:style w:type="paragraph" w:styleId="NormalWeb">
    <w:name w:val="Normal (Web)"/>
    <w:basedOn w:val="Normal"/>
    <w:uiPriority w:val="99"/>
    <w:rsid w:val="00EC0BA1"/>
    <w:pPr>
      <w:spacing w:beforeLines="1" w:afterLines="1"/>
    </w:pPr>
    <w:rPr>
      <w:rFonts w:ascii="Times" w:hAnsi="Times"/>
      <w:sz w:val="20"/>
    </w:rPr>
  </w:style>
  <w:style w:type="character" w:styleId="CommentReference">
    <w:name w:val="annotation reference"/>
    <w:basedOn w:val="DefaultParagraphFont"/>
    <w:uiPriority w:val="99"/>
    <w:semiHidden/>
    <w:rsid w:val="00EC0BA1"/>
    <w:rPr>
      <w:rFonts w:cs="Times New Roman"/>
      <w:sz w:val="16"/>
    </w:rPr>
  </w:style>
  <w:style w:type="paragraph" w:styleId="CommentText">
    <w:name w:val="annotation text"/>
    <w:basedOn w:val="Normal"/>
    <w:link w:val="CommentTextChar"/>
    <w:uiPriority w:val="99"/>
    <w:semiHidden/>
    <w:rsid w:val="00EC0BA1"/>
    <w:rPr>
      <w:sz w:val="20"/>
    </w:rPr>
  </w:style>
  <w:style w:type="character" w:customStyle="1" w:styleId="CommentTextChar">
    <w:name w:val="Comment Text Char"/>
    <w:basedOn w:val="DefaultParagraphFont"/>
    <w:link w:val="CommentText"/>
    <w:uiPriority w:val="99"/>
    <w:semiHidden/>
    <w:locked/>
    <w:rsid w:val="008511D2"/>
    <w:rPr>
      <w:rFonts w:cs="Times New Roman"/>
      <w:snapToGrid w:val="0"/>
      <w:kern w:val="28"/>
    </w:rPr>
  </w:style>
  <w:style w:type="paragraph" w:styleId="CommentSubject">
    <w:name w:val="annotation subject"/>
    <w:basedOn w:val="CommentText"/>
    <w:next w:val="CommentText"/>
    <w:link w:val="CommentSubjectChar"/>
    <w:uiPriority w:val="99"/>
    <w:semiHidden/>
    <w:rsid w:val="00EC0BA1"/>
    <w:rPr>
      <w:b/>
      <w:bCs/>
    </w:rPr>
  </w:style>
  <w:style w:type="character" w:customStyle="1" w:styleId="CommentSubjectChar">
    <w:name w:val="Comment Subject Char"/>
    <w:basedOn w:val="CommentTextChar"/>
    <w:link w:val="CommentSubject"/>
    <w:uiPriority w:val="99"/>
    <w:semiHidden/>
    <w:locked/>
    <w:rsid w:val="00D15661"/>
    <w:rPr>
      <w:rFonts w:cs="Times New Roman"/>
      <w:b/>
      <w:bCs/>
      <w:snapToGrid w:val="0"/>
      <w:kern w:val="28"/>
      <w:sz w:val="20"/>
      <w:szCs w:val="20"/>
    </w:rPr>
  </w:style>
  <w:style w:type="character" w:customStyle="1" w:styleId="StyleParaNumComplex11ptChar">
    <w:name w:val="Style ParaNum + (Complex) 11 pt Char"/>
    <w:uiPriority w:val="99"/>
    <w:locked/>
    <w:rsid w:val="00EC0BA1"/>
    <w:rPr>
      <w:rFonts w:ascii="Calibri" w:hAnsi="Calibri"/>
      <w:kern w:val="28"/>
      <w:szCs w:val="20"/>
    </w:rPr>
  </w:style>
  <w:style w:type="table" w:styleId="TableGrid">
    <w:name w:val="Table Grid"/>
    <w:basedOn w:val="TableNormal"/>
    <w:uiPriority w:val="59"/>
    <w:rsid w:val="00EC0B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95F0B"/>
    <w:rPr>
      <w:color w:val="0000FF"/>
      <w:u w:val="single"/>
    </w:rPr>
  </w:style>
  <w:style w:type="character" w:customStyle="1" w:styleId="ParaNumCharChar1">
    <w:name w:val="ParaNum Char Char1"/>
    <w:uiPriority w:val="99"/>
    <w:locked/>
    <w:rsid w:val="00EC0BA1"/>
    <w:rPr>
      <w:kern w:val="28"/>
      <w:szCs w:val="20"/>
    </w:rPr>
  </w:style>
  <w:style w:type="character" w:styleId="PageNumber">
    <w:name w:val="page number"/>
    <w:basedOn w:val="DefaultParagraphFont"/>
    <w:rsid w:val="00695F0B"/>
  </w:style>
  <w:style w:type="character" w:customStyle="1" w:styleId="CharChar3">
    <w:name w:val="Char Char3"/>
    <w:uiPriority w:val="99"/>
    <w:semiHidden/>
    <w:locked/>
    <w:rsid w:val="00EC0BA1"/>
    <w:rPr>
      <w:sz w:val="24"/>
      <w:lang w:val="en-US" w:eastAsia="en-US"/>
    </w:rPr>
  </w:style>
  <w:style w:type="paragraph" w:styleId="TOC1">
    <w:name w:val="toc 1"/>
    <w:basedOn w:val="Normal"/>
    <w:next w:val="Normal"/>
    <w:rsid w:val="00695F0B"/>
    <w:pPr>
      <w:tabs>
        <w:tab w:val="left" w:pos="360"/>
        <w:tab w:val="right" w:leader="dot" w:pos="9360"/>
      </w:tabs>
      <w:suppressAutoHyphens/>
      <w:ind w:left="360" w:right="720" w:hanging="360"/>
    </w:pPr>
    <w:rPr>
      <w:caps/>
      <w:noProof/>
    </w:rPr>
  </w:style>
  <w:style w:type="paragraph" w:styleId="TOC2">
    <w:name w:val="toc 2"/>
    <w:basedOn w:val="Normal"/>
    <w:next w:val="Normal"/>
    <w:rsid w:val="00695F0B"/>
    <w:pPr>
      <w:tabs>
        <w:tab w:val="left" w:pos="720"/>
        <w:tab w:val="right" w:leader="dot" w:pos="9360"/>
      </w:tabs>
      <w:suppressAutoHyphens/>
      <w:ind w:left="720" w:right="720" w:hanging="360"/>
    </w:pPr>
    <w:rPr>
      <w:noProof/>
    </w:rPr>
  </w:style>
  <w:style w:type="paragraph" w:styleId="TOC3">
    <w:name w:val="toc 3"/>
    <w:basedOn w:val="Normal"/>
    <w:next w:val="Normal"/>
    <w:rsid w:val="00695F0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95F0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95F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5F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5F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5F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5F0B"/>
    <w:pPr>
      <w:tabs>
        <w:tab w:val="left" w:pos="3240"/>
        <w:tab w:val="right" w:leader="dot" w:pos="9360"/>
      </w:tabs>
      <w:suppressAutoHyphens/>
      <w:ind w:left="3240" w:hanging="360"/>
    </w:pPr>
    <w:rPr>
      <w:noProof/>
    </w:rPr>
  </w:style>
  <w:style w:type="paragraph" w:styleId="EndnoteText">
    <w:name w:val="endnote text"/>
    <w:basedOn w:val="Normal"/>
    <w:link w:val="EndnoteTextChar"/>
    <w:semiHidden/>
    <w:rsid w:val="00695F0B"/>
    <w:rPr>
      <w:sz w:val="20"/>
    </w:rPr>
  </w:style>
  <w:style w:type="character" w:customStyle="1" w:styleId="EndnoteTextChar">
    <w:name w:val="Endnote Text Char"/>
    <w:basedOn w:val="DefaultParagraphFont"/>
    <w:link w:val="EndnoteText"/>
    <w:semiHidden/>
    <w:locked/>
    <w:rsid w:val="00D15661"/>
    <w:rPr>
      <w:snapToGrid w:val="0"/>
      <w:kern w:val="28"/>
      <w:sz w:val="20"/>
      <w:szCs w:val="20"/>
    </w:rPr>
  </w:style>
  <w:style w:type="character" w:styleId="EndnoteReference">
    <w:name w:val="endnote reference"/>
    <w:semiHidden/>
    <w:rsid w:val="00695F0B"/>
    <w:rPr>
      <w:vertAlign w:val="superscript"/>
    </w:rPr>
  </w:style>
  <w:style w:type="character" w:customStyle="1" w:styleId="EquationCaption">
    <w:name w:val="_Equation Caption"/>
    <w:rsid w:val="00695F0B"/>
  </w:style>
  <w:style w:type="paragraph" w:styleId="BlockText">
    <w:name w:val="Block Text"/>
    <w:basedOn w:val="Normal"/>
    <w:rsid w:val="00695F0B"/>
    <w:pPr>
      <w:spacing w:after="240"/>
      <w:ind w:left="1440" w:right="1440"/>
    </w:pPr>
  </w:style>
  <w:style w:type="paragraph" w:customStyle="1" w:styleId="Paratitle">
    <w:name w:val="Para title"/>
    <w:basedOn w:val="Normal"/>
    <w:rsid w:val="00695F0B"/>
    <w:pPr>
      <w:tabs>
        <w:tab w:val="center" w:pos="9270"/>
      </w:tabs>
      <w:spacing w:after="240"/>
    </w:pPr>
    <w:rPr>
      <w:spacing w:val="-2"/>
    </w:rPr>
  </w:style>
  <w:style w:type="paragraph" w:customStyle="1" w:styleId="Bullet">
    <w:name w:val="Bullet"/>
    <w:basedOn w:val="Normal"/>
    <w:rsid w:val="00695F0B"/>
    <w:pPr>
      <w:tabs>
        <w:tab w:val="num" w:pos="720"/>
        <w:tab w:val="left" w:pos="2160"/>
      </w:tabs>
      <w:spacing w:after="220"/>
      <w:ind w:left="2160" w:hanging="720"/>
    </w:pPr>
  </w:style>
  <w:style w:type="paragraph" w:customStyle="1" w:styleId="TableFormat">
    <w:name w:val="TableFormat"/>
    <w:basedOn w:val="Bullet"/>
    <w:rsid w:val="00695F0B"/>
    <w:pPr>
      <w:tabs>
        <w:tab w:val="clear" w:pos="720"/>
        <w:tab w:val="clear" w:pos="2160"/>
        <w:tab w:val="left" w:pos="5040"/>
      </w:tabs>
      <w:ind w:left="5040" w:hanging="3600"/>
    </w:pPr>
  </w:style>
  <w:style w:type="paragraph" w:customStyle="1" w:styleId="StyleBoldCentered">
    <w:name w:val="Style Bold Centered"/>
    <w:basedOn w:val="Normal"/>
    <w:rsid w:val="00695F0B"/>
    <w:pPr>
      <w:jc w:val="center"/>
    </w:pPr>
    <w:rPr>
      <w:rFonts w:ascii="Times New Roman Bold" w:hAnsi="Times New Roman Bold"/>
      <w:b/>
      <w:bCs/>
      <w:caps/>
    </w:rPr>
  </w:style>
  <w:style w:type="character" w:styleId="FollowedHyperlink">
    <w:name w:val="FollowedHyperlink"/>
    <w:basedOn w:val="DefaultParagraphFont"/>
    <w:uiPriority w:val="99"/>
    <w:rsid w:val="00EC0BA1"/>
    <w:rPr>
      <w:rFonts w:cs="Times New Roman"/>
      <w:color w:val="800080"/>
      <w:u w:val="single"/>
    </w:rPr>
  </w:style>
  <w:style w:type="table" w:styleId="TableProfessional">
    <w:name w:val="Table Professional"/>
    <w:basedOn w:val="TableNormal"/>
    <w:uiPriority w:val="99"/>
    <w:rsid w:val="00EC0BA1"/>
    <w:pPr>
      <w:widowControl w:val="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TOCHeading1">
    <w:name w:val="TOC Heading1"/>
    <w:basedOn w:val="Heading1"/>
    <w:next w:val="Normal"/>
    <w:uiPriority w:val="99"/>
    <w:semiHidden/>
    <w:rsid w:val="00EC0BA1"/>
    <w:pPr>
      <w:keepLines/>
      <w:numPr>
        <w:numId w:val="0"/>
      </w:numPr>
      <w:tabs>
        <w:tab w:val="left" w:pos="720"/>
      </w:tabs>
      <w:suppressAutoHyphens w:val="0"/>
      <w:spacing w:before="480" w:after="0"/>
      <w:outlineLvl w:val="9"/>
    </w:pPr>
    <w:rPr>
      <w:rFonts w:ascii="Cambria" w:eastAsia="MS Gothic" w:hAnsi="Cambria"/>
      <w:bCs/>
      <w:caps w:val="0"/>
      <w:color w:val="365F91"/>
      <w:sz w:val="28"/>
      <w:szCs w:val="28"/>
      <w:lang w:eastAsia="ja-JP"/>
    </w:rPr>
  </w:style>
  <w:style w:type="paragraph" w:customStyle="1" w:styleId="TOCHeading2">
    <w:name w:val="TOC Heading2"/>
    <w:basedOn w:val="Heading1"/>
    <w:next w:val="Normal"/>
    <w:uiPriority w:val="99"/>
    <w:rsid w:val="00136BDE"/>
    <w:pPr>
      <w:keepLines/>
      <w:numPr>
        <w:numId w:val="0"/>
      </w:numPr>
      <w:tabs>
        <w:tab w:val="left" w:pos="720"/>
      </w:tabs>
      <w:suppressAutoHyphens w:val="0"/>
      <w:spacing w:before="480" w:after="0"/>
      <w:outlineLvl w:val="9"/>
    </w:pPr>
    <w:rPr>
      <w:rFonts w:ascii="Cambria" w:eastAsia="MS Gothic" w:hAnsi="Cambria"/>
      <w:bCs/>
      <w:caps w:val="0"/>
      <w:color w:val="365F91"/>
      <w:sz w:val="28"/>
      <w:szCs w:val="28"/>
      <w:lang w:eastAsia="ja-JP"/>
    </w:rPr>
  </w:style>
  <w:style w:type="paragraph" w:customStyle="1" w:styleId="ColorfulShading-Accent11">
    <w:name w:val="Colorful Shading - Accent 11"/>
    <w:hidden/>
    <w:uiPriority w:val="99"/>
    <w:rsid w:val="00420801"/>
    <w:rPr>
      <w:kern w:val="28"/>
      <w:szCs w:val="20"/>
    </w:rPr>
  </w:style>
  <w:style w:type="paragraph" w:styleId="Revision">
    <w:name w:val="Revision"/>
    <w:hidden/>
    <w:uiPriority w:val="99"/>
    <w:semiHidden/>
    <w:rsid w:val="00407539"/>
    <w:rPr>
      <w:kern w:val="28"/>
      <w:szCs w:val="20"/>
    </w:rPr>
  </w:style>
  <w:style w:type="character" w:customStyle="1" w:styleId="Heading3Char">
    <w:name w:val="Heading 3 Char"/>
    <w:basedOn w:val="DefaultParagraphFont"/>
    <w:link w:val="Heading3"/>
    <w:rsid w:val="00496909"/>
    <w:rPr>
      <w:b/>
      <w:snapToGrid w:val="0"/>
      <w:kern w:val="28"/>
      <w:szCs w:val="20"/>
    </w:rPr>
  </w:style>
  <w:style w:type="character" w:customStyle="1" w:styleId="Heading5Char">
    <w:name w:val="Heading 5 Char"/>
    <w:basedOn w:val="DefaultParagraphFont"/>
    <w:link w:val="Heading5"/>
    <w:rsid w:val="00496909"/>
    <w:rPr>
      <w:b/>
      <w:snapToGrid w:val="0"/>
      <w:kern w:val="28"/>
      <w:szCs w:val="20"/>
    </w:rPr>
  </w:style>
  <w:style w:type="character" w:customStyle="1" w:styleId="Heading6Char1">
    <w:name w:val="Heading 6 Char1"/>
    <w:basedOn w:val="DefaultParagraphFont"/>
    <w:link w:val="Heading6"/>
    <w:rsid w:val="00496909"/>
    <w:rPr>
      <w:b/>
      <w:snapToGrid w:val="0"/>
      <w:kern w:val="28"/>
      <w:szCs w:val="20"/>
    </w:rPr>
  </w:style>
  <w:style w:type="character" w:customStyle="1" w:styleId="Heading8Char1">
    <w:name w:val="Heading 8 Char1"/>
    <w:basedOn w:val="DefaultParagraphFont"/>
    <w:link w:val="Heading8"/>
    <w:rsid w:val="00496909"/>
    <w:rPr>
      <w:b/>
      <w:snapToGrid w:val="0"/>
      <w:kern w:val="28"/>
      <w:szCs w:val="20"/>
    </w:rPr>
  </w:style>
  <w:style w:type="character" w:customStyle="1" w:styleId="Heading9Char">
    <w:name w:val="Heading 9 Char"/>
    <w:basedOn w:val="DefaultParagraphFont"/>
    <w:link w:val="Heading9"/>
    <w:rsid w:val="00496909"/>
    <w:rPr>
      <w:b/>
      <w:snapToGrid w:val="0"/>
      <w:kern w:val="28"/>
      <w:szCs w:val="20"/>
    </w:rPr>
  </w:style>
  <w:style w:type="paragraph" w:customStyle="1" w:styleId="ParaNum">
    <w:name w:val="ParaNum"/>
    <w:basedOn w:val="Normal"/>
    <w:link w:val="ParaNumChar2"/>
    <w:rsid w:val="00695F0B"/>
    <w:pPr>
      <w:numPr>
        <w:numId w:val="2"/>
      </w:numPr>
      <w:spacing w:after="120"/>
    </w:pPr>
  </w:style>
  <w:style w:type="paragraph" w:customStyle="1" w:styleId="h2">
    <w:name w:val="h2"/>
    <w:basedOn w:val="Heading2"/>
    <w:link w:val="h2Char"/>
    <w:qFormat/>
    <w:rsid w:val="001509E4"/>
  </w:style>
  <w:style w:type="character" w:customStyle="1" w:styleId="h2Char">
    <w:name w:val="h2 Char"/>
    <w:basedOn w:val="Heading2Char"/>
    <w:link w:val="h2"/>
    <w:rsid w:val="001509E4"/>
    <w:rPr>
      <w:b/>
      <w:snapToGrid w:val="0"/>
      <w:kern w:val="28"/>
      <w:szCs w:val="20"/>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basedOn w:val="DefaultParagraphFont"/>
    <w:locked/>
    <w:rsid w:val="0065440A"/>
    <w:rPr>
      <w:b/>
      <w:snapToGrid w:val="0"/>
      <w:kern w:val="28"/>
      <w:szCs w:val="20"/>
    </w:rPr>
  </w:style>
  <w:style w:type="character" w:customStyle="1" w:styleId="Heading7Char1">
    <w:name w:val="Heading 7 Char1"/>
    <w:aliases w:val="Heading 7 Char Char"/>
    <w:basedOn w:val="DefaultParagraphFont"/>
    <w:locked/>
    <w:rsid w:val="0065440A"/>
    <w:rPr>
      <w:b/>
      <w:snapToGrid w:val="0"/>
      <w:kern w:val="28"/>
      <w:szCs w:val="20"/>
    </w:rPr>
  </w:style>
  <w:style w:type="character" w:customStyle="1" w:styleId="ParaNumChar2">
    <w:name w:val="ParaNum Char2"/>
    <w:link w:val="ParaNum"/>
    <w:locked/>
    <w:rsid w:val="00270C0F"/>
    <w:rPr>
      <w:rFonts w:asciiTheme="minorHAnsi" w:eastAsiaTheme="minorHAnsi" w:hAnsiTheme="minorHAnsi" w:cstheme="minorBidi"/>
    </w:rPr>
  </w:style>
  <w:style w:type="paragraph" w:styleId="ListParagraph">
    <w:name w:val="List Paragraph"/>
    <w:basedOn w:val="Normal"/>
    <w:uiPriority w:val="34"/>
    <w:qFormat/>
    <w:rsid w:val="00270C0F"/>
    <w:pPr>
      <w:ind w:left="720"/>
    </w:pPr>
    <w:rPr>
      <w:snapToGrid w:val="0"/>
    </w:rPr>
  </w:style>
  <w:style w:type="character" w:styleId="Strong">
    <w:name w:val="Strong"/>
    <w:basedOn w:val="DefaultParagraphFont"/>
    <w:rsid w:val="00BC393D"/>
    <w:rPr>
      <w:b/>
      <w:bCs/>
    </w:rPr>
  </w:style>
  <w:style w:type="character" w:customStyle="1" w:styleId="stylenumberedparagraphs11ptchar">
    <w:name w:val="stylenumberedparagraphs11ptchar"/>
    <w:uiPriority w:val="99"/>
    <w:rsid w:val="00421B15"/>
  </w:style>
  <w:style w:type="character" w:customStyle="1" w:styleId="ParaNumChar">
    <w:name w:val="ParaNum Char"/>
    <w:locked/>
    <w:rsid w:val="00B42BFB"/>
    <w:rPr>
      <w:rFonts w:ascii="Times New Roman" w:eastAsia="Times New Roman" w:hAnsi="Times New Roman" w:cs="Times New Roman"/>
      <w:snapToGrid w:val="0"/>
      <w:kern w:val="28"/>
      <w:szCs w:val="20"/>
    </w:rPr>
  </w:style>
  <w:style w:type="character" w:styleId="Emphasis">
    <w:name w:val="Emphasis"/>
    <w:basedOn w:val="DefaultParagraphFont"/>
    <w:uiPriority w:val="20"/>
    <w:qFormat/>
    <w:rsid w:val="004624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annotation reference" w:uiPriority="99"/>
    <w:lsdException w:name="Default Paragraph Font" w:uiPriority="1"/>
    <w:lsdException w:name="FollowedHyperlink" w:uiPriority="99"/>
    <w:lsdException w:name="Emphasis" w:uiPriority="20" w:qFormat="1"/>
    <w:lsdException w:name="Normal (Web)" w:uiPriority="99"/>
    <w:lsdException w:name="annotation subject" w:uiPriority="99"/>
    <w:lsdException w:name="No List" w:uiPriority="99"/>
    <w:lsdException w:name="Table Professional" w:uiPriority="99"/>
    <w:lsdException w:name="Table Grid" w:uiPriority="59"/>
    <w:lsdException w:name="Revision" w:uiPriority="99"/>
    <w:lsdException w:name="List Paragraph" w:uiPriority="34" w:qFormat="1"/>
  </w:latentStyles>
  <w:style w:type="paragraph" w:default="1" w:styleId="Normal">
    <w:name w:val="Normal"/>
    <w:qFormat/>
    <w:rsid w:val="008C10A6"/>
    <w:pPr>
      <w:spacing w:after="200" w:line="276" w:lineRule="auto"/>
    </w:pPr>
    <w:rPr>
      <w:rFonts w:asciiTheme="minorHAnsi" w:eastAsiaTheme="minorHAnsi" w:hAnsiTheme="minorHAnsi" w:cstheme="minorBidi"/>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95F0B"/>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autoRedefine/>
    <w:qFormat/>
    <w:rsid w:val="00695F0B"/>
    <w:pPr>
      <w:keepNext/>
      <w:numPr>
        <w:ilvl w:val="1"/>
        <w:numId w:val="1"/>
      </w:numPr>
      <w:spacing w:after="120"/>
      <w:outlineLvl w:val="1"/>
    </w:pPr>
    <w:rPr>
      <w:b/>
    </w:rPr>
  </w:style>
  <w:style w:type="paragraph" w:styleId="Heading3">
    <w:name w:val="heading 3"/>
    <w:basedOn w:val="Normal"/>
    <w:next w:val="ParaNum"/>
    <w:link w:val="Heading3Char"/>
    <w:qFormat/>
    <w:locked/>
    <w:rsid w:val="00695F0B"/>
    <w:pPr>
      <w:keepNext/>
      <w:numPr>
        <w:ilvl w:val="2"/>
        <w:numId w:val="1"/>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695F0B"/>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locked/>
    <w:rsid w:val="00695F0B"/>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1"/>
    <w:qFormat/>
    <w:locked/>
    <w:rsid w:val="00695F0B"/>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695F0B"/>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1"/>
    <w:qFormat/>
    <w:locked/>
    <w:rsid w:val="00695F0B"/>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locked/>
    <w:rsid w:val="00695F0B"/>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10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0A6"/>
  </w:style>
  <w:style w:type="paragraph" w:styleId="BalloonText">
    <w:name w:val="Balloon Text"/>
    <w:basedOn w:val="Normal"/>
    <w:link w:val="BalloonTextChar1"/>
    <w:semiHidden/>
    <w:rsid w:val="00267C9F"/>
    <w:rPr>
      <w:rFonts w:ascii="Lucida Grande" w:hAnsi="Lucida Grande"/>
      <w:sz w:val="18"/>
      <w:szCs w:val="18"/>
    </w:rPr>
  </w:style>
  <w:style w:type="character" w:customStyle="1" w:styleId="BalloonTextChar">
    <w:name w:val="Balloon Text Char"/>
    <w:basedOn w:val="DefaultParagraphFont"/>
    <w:uiPriority w:val="99"/>
    <w:semiHidden/>
    <w:rsid w:val="00C025C8"/>
    <w:rPr>
      <w:rFonts w:ascii="Lucida Grande" w:hAnsi="Lucida Grande"/>
      <w:sz w:val="18"/>
      <w:szCs w:val="18"/>
    </w:rPr>
  </w:style>
  <w:style w:type="character" w:customStyle="1" w:styleId="BalloonTextChar6">
    <w:name w:val="Balloon Text Char6"/>
    <w:basedOn w:val="DefaultParagraphFont"/>
    <w:uiPriority w:val="99"/>
    <w:semiHidden/>
    <w:rsid w:val="006D2921"/>
    <w:rPr>
      <w:rFonts w:ascii="Lucida Grande" w:hAnsi="Lucida Grande"/>
      <w:sz w:val="18"/>
      <w:szCs w:val="18"/>
    </w:rPr>
  </w:style>
  <w:style w:type="character" w:customStyle="1" w:styleId="BalloonTextChar5">
    <w:name w:val="Balloon Text Char5"/>
    <w:basedOn w:val="DefaultParagraphFont"/>
    <w:uiPriority w:val="99"/>
    <w:semiHidden/>
    <w:rsid w:val="006D2921"/>
    <w:rPr>
      <w:rFonts w:ascii="Lucida Grande" w:hAnsi="Lucida Grande"/>
      <w:sz w:val="18"/>
      <w:szCs w:val="18"/>
    </w:rPr>
  </w:style>
  <w:style w:type="character" w:customStyle="1" w:styleId="BalloonTextChar4">
    <w:name w:val="Balloon Text Char4"/>
    <w:basedOn w:val="DefaultParagraphFont"/>
    <w:uiPriority w:val="99"/>
    <w:semiHidden/>
    <w:rsid w:val="00B0300A"/>
    <w:rPr>
      <w:rFonts w:ascii="Lucida Grande" w:hAnsi="Lucida Grande"/>
      <w:sz w:val="18"/>
      <w:szCs w:val="18"/>
    </w:rPr>
  </w:style>
  <w:style w:type="character" w:customStyle="1" w:styleId="BalloonTextChar3">
    <w:name w:val="Balloon Text Char3"/>
    <w:basedOn w:val="DefaultParagraphFont"/>
    <w:uiPriority w:val="99"/>
    <w:semiHidden/>
    <w:rsid w:val="00B0300A"/>
    <w:rPr>
      <w:rFonts w:ascii="Lucida Grande" w:hAnsi="Lucida Grande"/>
      <w:sz w:val="18"/>
      <w:szCs w:val="18"/>
    </w:rPr>
  </w:style>
  <w:style w:type="character" w:customStyle="1" w:styleId="BalloonTextChar2">
    <w:name w:val="Balloon Text Char2"/>
    <w:basedOn w:val="DefaultParagraphFont"/>
    <w:uiPriority w:val="99"/>
    <w:semiHidden/>
    <w:rsid w:val="00B0300A"/>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6B00CE"/>
    <w:rPr>
      <w:rFonts w:ascii="Times New Roman Bold" w:hAnsi="Times New Roman Bold"/>
      <w:b/>
      <w:caps/>
      <w:snapToGrid w:val="0"/>
      <w:kern w:val="28"/>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locked/>
    <w:rsid w:val="00135583"/>
    <w:rPr>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basedOn w:val="DefaultParagraphFont"/>
    <w:locked/>
    <w:rsid w:val="00D15661"/>
    <w:rPr>
      <w:b/>
      <w:kern w:val="28"/>
      <w:szCs w:val="20"/>
    </w:rPr>
  </w:style>
  <w:style w:type="character" w:customStyle="1" w:styleId="Heading4Char">
    <w:name w:val="Heading 4 Char"/>
    <w:aliases w:val="Heading 4 Char2 Char1,Heading 4 Char1 Char1 Char1,Heading 4 Char Char Char Char1,Heading 4 Char Char1 Char1,Heading 4 Char2 Char Char Char1,Heading 4 Char1 Char1 Char Char Char1,Heading 4 Char Char Char1 Char Char Char1"/>
    <w:basedOn w:val="DefaultParagraphFont"/>
    <w:link w:val="Heading4"/>
    <w:locked/>
    <w:rsid w:val="00D15661"/>
    <w:rPr>
      <w:b/>
      <w:snapToGrid w:val="0"/>
      <w:kern w:val="28"/>
      <w:szCs w:val="20"/>
    </w:rPr>
  </w:style>
  <w:style w:type="character" w:customStyle="1" w:styleId="Heading5Char1">
    <w:name w:val="Heading 5 Char1"/>
    <w:aliases w:val="Heading 5 Char Char"/>
    <w:basedOn w:val="DefaultParagraphFont"/>
    <w:locked/>
    <w:rsid w:val="00D15661"/>
    <w:rPr>
      <w:b/>
      <w:kern w:val="28"/>
      <w:szCs w:val="20"/>
    </w:rPr>
  </w:style>
  <w:style w:type="character" w:customStyle="1" w:styleId="Heading6Char">
    <w:name w:val="Heading 6 Char"/>
    <w:aliases w:val="h6 Char"/>
    <w:basedOn w:val="DefaultParagraphFont"/>
    <w:locked/>
    <w:rsid w:val="00D15661"/>
    <w:rPr>
      <w:b/>
      <w:kern w:val="28"/>
      <w:szCs w:val="20"/>
    </w:rPr>
  </w:style>
  <w:style w:type="character" w:customStyle="1" w:styleId="Heading7Char">
    <w:name w:val="Heading 7 Char"/>
    <w:basedOn w:val="DefaultParagraphFont"/>
    <w:link w:val="Heading7"/>
    <w:locked/>
    <w:rsid w:val="00D15661"/>
    <w:rPr>
      <w:b/>
      <w:snapToGrid w:val="0"/>
      <w:kern w:val="28"/>
      <w:szCs w:val="20"/>
    </w:rPr>
  </w:style>
  <w:style w:type="character" w:customStyle="1" w:styleId="Heading8Char">
    <w:name w:val="Heading 8 Char"/>
    <w:basedOn w:val="DefaultParagraphFont"/>
    <w:locked/>
    <w:rsid w:val="00D15661"/>
    <w:rPr>
      <w:b/>
      <w:kern w:val="28"/>
      <w:szCs w:val="20"/>
    </w:rPr>
  </w:style>
  <w:style w:type="character" w:customStyle="1" w:styleId="Heading9Char1">
    <w:name w:val="Heading 9 Char1"/>
    <w:aliases w:val="Heading 9 Char Char"/>
    <w:basedOn w:val="DefaultParagraphFont"/>
    <w:locked/>
    <w:rsid w:val="00D15661"/>
    <w:rPr>
      <w:b/>
      <w:kern w:val="28"/>
      <w:szCs w:val="20"/>
    </w:rPr>
  </w:style>
  <w:style w:type="character" w:customStyle="1" w:styleId="BalloonTextChar1">
    <w:name w:val="Balloon Text Char1"/>
    <w:basedOn w:val="DefaultParagraphFont"/>
    <w:link w:val="BalloonText"/>
    <w:semiHidden/>
    <w:locked/>
    <w:rsid w:val="00EC0BA1"/>
    <w:rPr>
      <w:rFonts w:ascii="Lucida Grande" w:eastAsiaTheme="minorEastAsia" w:hAnsi="Lucida Grande"/>
      <w:sz w:val="18"/>
      <w:szCs w:val="18"/>
    </w:rPr>
  </w:style>
  <w:style w:type="paragraph" w:customStyle="1" w:styleId="TOCTitle">
    <w:name w:val="TOC Title"/>
    <w:basedOn w:val="Normal"/>
    <w:rsid w:val="00695F0B"/>
    <w:pPr>
      <w:spacing w:before="240" w:after="240"/>
      <w:jc w:val="center"/>
    </w:pPr>
    <w:rPr>
      <w:rFonts w:ascii="Times New Roman Bold" w:hAnsi="Times New Roman Bold"/>
      <w:b/>
      <w:caps/>
      <w:spacing w:val="-2"/>
    </w:rPr>
  </w:style>
  <w:style w:type="paragraph" w:styleId="TOAHeading">
    <w:name w:val="toa heading"/>
    <w:basedOn w:val="Normal"/>
    <w:next w:val="Normal"/>
    <w:semiHidden/>
    <w:rsid w:val="00695F0B"/>
    <w:pPr>
      <w:tabs>
        <w:tab w:val="right" w:pos="9360"/>
      </w:tabs>
      <w:suppressAutoHyphens/>
    </w:pPr>
  </w:style>
  <w:style w:type="paragraph" w:styleId="Header">
    <w:name w:val="header"/>
    <w:basedOn w:val="Normal"/>
    <w:link w:val="HeaderChar"/>
    <w:autoRedefine/>
    <w:rsid w:val="00695F0B"/>
    <w:pPr>
      <w:tabs>
        <w:tab w:val="center" w:pos="4680"/>
        <w:tab w:val="right" w:pos="9360"/>
      </w:tabs>
    </w:pPr>
    <w:rPr>
      <w:b/>
    </w:rPr>
  </w:style>
  <w:style w:type="character" w:customStyle="1" w:styleId="HeaderChar">
    <w:name w:val="Header Char"/>
    <w:basedOn w:val="DefaultParagraphFont"/>
    <w:link w:val="Header"/>
    <w:locked/>
    <w:rsid w:val="00EE5D67"/>
    <w:rPr>
      <w:b/>
      <w:snapToGrid w:val="0"/>
      <w:kern w:val="28"/>
      <w:szCs w:val="20"/>
    </w:rPr>
  </w:style>
  <w:style w:type="paragraph" w:styleId="Footer">
    <w:name w:val="footer"/>
    <w:basedOn w:val="Normal"/>
    <w:link w:val="FooterChar"/>
    <w:uiPriority w:val="99"/>
    <w:rsid w:val="00695F0B"/>
    <w:pPr>
      <w:tabs>
        <w:tab w:val="center" w:pos="4320"/>
        <w:tab w:val="right" w:pos="8640"/>
      </w:tabs>
    </w:pPr>
  </w:style>
  <w:style w:type="character" w:customStyle="1" w:styleId="FooterChar">
    <w:name w:val="Footer Char"/>
    <w:basedOn w:val="DefaultParagraphFont"/>
    <w:link w:val="Footer"/>
    <w:uiPriority w:val="99"/>
    <w:locked/>
    <w:rsid w:val="00EC0BA1"/>
    <w:rPr>
      <w:snapToGrid w:val="0"/>
      <w:kern w:val="28"/>
      <w:szCs w:val="20"/>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695F0B"/>
    <w:pPr>
      <w:spacing w:after="120"/>
    </w:pPr>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locked/>
    <w:rsid w:val="00EC0BA1"/>
    <w:rPr>
      <w:sz w:val="20"/>
      <w:szCs w:val="20"/>
    </w:rPr>
  </w:style>
  <w:style w:type="character" w:styleId="FootnoteReference">
    <w:name w:val="footnote reference"/>
    <w:aliases w:val="Style 12,(NECG) Footnote Reference,Style 13,Appel note de bas de p,Style 124,fr,o,Style 3,FR,Style 17,Footnote Reference/,Style 6,Style 7,Footnote Reference1"/>
    <w:rsid w:val="00695F0B"/>
    <w:rPr>
      <w:rFonts w:ascii="Times New Roman" w:hAnsi="Times New Roman"/>
      <w:dstrike w:val="0"/>
      <w:color w:val="auto"/>
      <w:sz w:val="22"/>
      <w:vertAlign w:val="superscript"/>
    </w:rPr>
  </w:style>
  <w:style w:type="paragraph" w:styleId="NormalWeb">
    <w:name w:val="Normal (Web)"/>
    <w:basedOn w:val="Normal"/>
    <w:uiPriority w:val="99"/>
    <w:rsid w:val="00EC0BA1"/>
    <w:pPr>
      <w:spacing w:beforeLines="1" w:afterLines="1"/>
    </w:pPr>
    <w:rPr>
      <w:rFonts w:ascii="Times" w:hAnsi="Times"/>
      <w:sz w:val="20"/>
    </w:rPr>
  </w:style>
  <w:style w:type="character" w:styleId="CommentReference">
    <w:name w:val="annotation reference"/>
    <w:basedOn w:val="DefaultParagraphFont"/>
    <w:uiPriority w:val="99"/>
    <w:semiHidden/>
    <w:rsid w:val="00EC0BA1"/>
    <w:rPr>
      <w:rFonts w:cs="Times New Roman"/>
      <w:sz w:val="16"/>
    </w:rPr>
  </w:style>
  <w:style w:type="paragraph" w:styleId="CommentText">
    <w:name w:val="annotation text"/>
    <w:basedOn w:val="Normal"/>
    <w:link w:val="CommentTextChar"/>
    <w:uiPriority w:val="99"/>
    <w:semiHidden/>
    <w:rsid w:val="00EC0BA1"/>
    <w:rPr>
      <w:sz w:val="20"/>
    </w:rPr>
  </w:style>
  <w:style w:type="character" w:customStyle="1" w:styleId="CommentTextChar">
    <w:name w:val="Comment Text Char"/>
    <w:basedOn w:val="DefaultParagraphFont"/>
    <w:link w:val="CommentText"/>
    <w:uiPriority w:val="99"/>
    <w:semiHidden/>
    <w:locked/>
    <w:rsid w:val="008511D2"/>
    <w:rPr>
      <w:rFonts w:cs="Times New Roman"/>
      <w:snapToGrid w:val="0"/>
      <w:kern w:val="28"/>
    </w:rPr>
  </w:style>
  <w:style w:type="paragraph" w:styleId="CommentSubject">
    <w:name w:val="annotation subject"/>
    <w:basedOn w:val="CommentText"/>
    <w:next w:val="CommentText"/>
    <w:link w:val="CommentSubjectChar"/>
    <w:uiPriority w:val="99"/>
    <w:semiHidden/>
    <w:rsid w:val="00EC0BA1"/>
    <w:rPr>
      <w:b/>
      <w:bCs/>
    </w:rPr>
  </w:style>
  <w:style w:type="character" w:customStyle="1" w:styleId="CommentSubjectChar">
    <w:name w:val="Comment Subject Char"/>
    <w:basedOn w:val="CommentTextChar"/>
    <w:link w:val="CommentSubject"/>
    <w:uiPriority w:val="99"/>
    <w:semiHidden/>
    <w:locked/>
    <w:rsid w:val="00D15661"/>
    <w:rPr>
      <w:rFonts w:cs="Times New Roman"/>
      <w:b/>
      <w:bCs/>
      <w:snapToGrid w:val="0"/>
      <w:kern w:val="28"/>
      <w:sz w:val="20"/>
      <w:szCs w:val="20"/>
    </w:rPr>
  </w:style>
  <w:style w:type="character" w:customStyle="1" w:styleId="StyleParaNumComplex11ptChar">
    <w:name w:val="Style ParaNum + (Complex) 11 pt Char"/>
    <w:uiPriority w:val="99"/>
    <w:locked/>
    <w:rsid w:val="00EC0BA1"/>
    <w:rPr>
      <w:rFonts w:ascii="Calibri" w:hAnsi="Calibri"/>
      <w:kern w:val="28"/>
      <w:szCs w:val="20"/>
    </w:rPr>
  </w:style>
  <w:style w:type="table" w:styleId="TableGrid">
    <w:name w:val="Table Grid"/>
    <w:basedOn w:val="TableNormal"/>
    <w:uiPriority w:val="59"/>
    <w:rsid w:val="00EC0B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95F0B"/>
    <w:rPr>
      <w:color w:val="0000FF"/>
      <w:u w:val="single"/>
    </w:rPr>
  </w:style>
  <w:style w:type="character" w:customStyle="1" w:styleId="ParaNumCharChar1">
    <w:name w:val="ParaNum Char Char1"/>
    <w:uiPriority w:val="99"/>
    <w:locked/>
    <w:rsid w:val="00EC0BA1"/>
    <w:rPr>
      <w:kern w:val="28"/>
      <w:szCs w:val="20"/>
    </w:rPr>
  </w:style>
  <w:style w:type="character" w:styleId="PageNumber">
    <w:name w:val="page number"/>
    <w:basedOn w:val="DefaultParagraphFont"/>
    <w:rsid w:val="00695F0B"/>
  </w:style>
  <w:style w:type="character" w:customStyle="1" w:styleId="CharChar3">
    <w:name w:val="Char Char3"/>
    <w:uiPriority w:val="99"/>
    <w:semiHidden/>
    <w:locked/>
    <w:rsid w:val="00EC0BA1"/>
    <w:rPr>
      <w:sz w:val="24"/>
      <w:lang w:val="en-US" w:eastAsia="en-US"/>
    </w:rPr>
  </w:style>
  <w:style w:type="paragraph" w:styleId="TOC1">
    <w:name w:val="toc 1"/>
    <w:basedOn w:val="Normal"/>
    <w:next w:val="Normal"/>
    <w:rsid w:val="00695F0B"/>
    <w:pPr>
      <w:tabs>
        <w:tab w:val="left" w:pos="360"/>
        <w:tab w:val="right" w:leader="dot" w:pos="9360"/>
      </w:tabs>
      <w:suppressAutoHyphens/>
      <w:ind w:left="360" w:right="720" w:hanging="360"/>
    </w:pPr>
    <w:rPr>
      <w:caps/>
      <w:noProof/>
    </w:rPr>
  </w:style>
  <w:style w:type="paragraph" w:styleId="TOC2">
    <w:name w:val="toc 2"/>
    <w:basedOn w:val="Normal"/>
    <w:next w:val="Normal"/>
    <w:rsid w:val="00695F0B"/>
    <w:pPr>
      <w:tabs>
        <w:tab w:val="left" w:pos="720"/>
        <w:tab w:val="right" w:leader="dot" w:pos="9360"/>
      </w:tabs>
      <w:suppressAutoHyphens/>
      <w:ind w:left="720" w:right="720" w:hanging="360"/>
    </w:pPr>
    <w:rPr>
      <w:noProof/>
    </w:rPr>
  </w:style>
  <w:style w:type="paragraph" w:styleId="TOC3">
    <w:name w:val="toc 3"/>
    <w:basedOn w:val="Normal"/>
    <w:next w:val="Normal"/>
    <w:rsid w:val="00695F0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95F0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95F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5F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5F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5F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5F0B"/>
    <w:pPr>
      <w:tabs>
        <w:tab w:val="left" w:pos="3240"/>
        <w:tab w:val="right" w:leader="dot" w:pos="9360"/>
      </w:tabs>
      <w:suppressAutoHyphens/>
      <w:ind w:left="3240" w:hanging="360"/>
    </w:pPr>
    <w:rPr>
      <w:noProof/>
    </w:rPr>
  </w:style>
  <w:style w:type="paragraph" w:styleId="EndnoteText">
    <w:name w:val="endnote text"/>
    <w:basedOn w:val="Normal"/>
    <w:link w:val="EndnoteTextChar"/>
    <w:semiHidden/>
    <w:rsid w:val="00695F0B"/>
    <w:rPr>
      <w:sz w:val="20"/>
    </w:rPr>
  </w:style>
  <w:style w:type="character" w:customStyle="1" w:styleId="EndnoteTextChar">
    <w:name w:val="Endnote Text Char"/>
    <w:basedOn w:val="DefaultParagraphFont"/>
    <w:link w:val="EndnoteText"/>
    <w:semiHidden/>
    <w:locked/>
    <w:rsid w:val="00D15661"/>
    <w:rPr>
      <w:snapToGrid w:val="0"/>
      <w:kern w:val="28"/>
      <w:sz w:val="20"/>
      <w:szCs w:val="20"/>
    </w:rPr>
  </w:style>
  <w:style w:type="character" w:styleId="EndnoteReference">
    <w:name w:val="endnote reference"/>
    <w:semiHidden/>
    <w:rsid w:val="00695F0B"/>
    <w:rPr>
      <w:vertAlign w:val="superscript"/>
    </w:rPr>
  </w:style>
  <w:style w:type="character" w:customStyle="1" w:styleId="EquationCaption">
    <w:name w:val="_Equation Caption"/>
    <w:rsid w:val="00695F0B"/>
  </w:style>
  <w:style w:type="paragraph" w:styleId="BlockText">
    <w:name w:val="Block Text"/>
    <w:basedOn w:val="Normal"/>
    <w:rsid w:val="00695F0B"/>
    <w:pPr>
      <w:spacing w:after="240"/>
      <w:ind w:left="1440" w:right="1440"/>
    </w:pPr>
  </w:style>
  <w:style w:type="paragraph" w:customStyle="1" w:styleId="Paratitle">
    <w:name w:val="Para title"/>
    <w:basedOn w:val="Normal"/>
    <w:rsid w:val="00695F0B"/>
    <w:pPr>
      <w:tabs>
        <w:tab w:val="center" w:pos="9270"/>
      </w:tabs>
      <w:spacing w:after="240"/>
    </w:pPr>
    <w:rPr>
      <w:spacing w:val="-2"/>
    </w:rPr>
  </w:style>
  <w:style w:type="paragraph" w:customStyle="1" w:styleId="Bullet">
    <w:name w:val="Bullet"/>
    <w:basedOn w:val="Normal"/>
    <w:rsid w:val="00695F0B"/>
    <w:pPr>
      <w:tabs>
        <w:tab w:val="num" w:pos="720"/>
        <w:tab w:val="left" w:pos="2160"/>
      </w:tabs>
      <w:spacing w:after="220"/>
      <w:ind w:left="2160" w:hanging="720"/>
    </w:pPr>
  </w:style>
  <w:style w:type="paragraph" w:customStyle="1" w:styleId="TableFormat">
    <w:name w:val="TableFormat"/>
    <w:basedOn w:val="Bullet"/>
    <w:rsid w:val="00695F0B"/>
    <w:pPr>
      <w:tabs>
        <w:tab w:val="clear" w:pos="720"/>
        <w:tab w:val="clear" w:pos="2160"/>
        <w:tab w:val="left" w:pos="5040"/>
      </w:tabs>
      <w:ind w:left="5040" w:hanging="3600"/>
    </w:pPr>
  </w:style>
  <w:style w:type="paragraph" w:customStyle="1" w:styleId="StyleBoldCentered">
    <w:name w:val="Style Bold Centered"/>
    <w:basedOn w:val="Normal"/>
    <w:rsid w:val="00695F0B"/>
    <w:pPr>
      <w:jc w:val="center"/>
    </w:pPr>
    <w:rPr>
      <w:rFonts w:ascii="Times New Roman Bold" w:hAnsi="Times New Roman Bold"/>
      <w:b/>
      <w:bCs/>
      <w:caps/>
    </w:rPr>
  </w:style>
  <w:style w:type="character" w:styleId="FollowedHyperlink">
    <w:name w:val="FollowedHyperlink"/>
    <w:basedOn w:val="DefaultParagraphFont"/>
    <w:uiPriority w:val="99"/>
    <w:rsid w:val="00EC0BA1"/>
    <w:rPr>
      <w:rFonts w:cs="Times New Roman"/>
      <w:color w:val="800080"/>
      <w:u w:val="single"/>
    </w:rPr>
  </w:style>
  <w:style w:type="table" w:styleId="TableProfessional">
    <w:name w:val="Table Professional"/>
    <w:basedOn w:val="TableNormal"/>
    <w:uiPriority w:val="99"/>
    <w:rsid w:val="00EC0BA1"/>
    <w:pPr>
      <w:widowControl w:val="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TOCHeading1">
    <w:name w:val="TOC Heading1"/>
    <w:basedOn w:val="Heading1"/>
    <w:next w:val="Normal"/>
    <w:uiPriority w:val="99"/>
    <w:semiHidden/>
    <w:rsid w:val="00EC0BA1"/>
    <w:pPr>
      <w:keepLines/>
      <w:numPr>
        <w:numId w:val="0"/>
      </w:numPr>
      <w:tabs>
        <w:tab w:val="left" w:pos="720"/>
      </w:tabs>
      <w:suppressAutoHyphens w:val="0"/>
      <w:spacing w:before="480" w:after="0"/>
      <w:outlineLvl w:val="9"/>
    </w:pPr>
    <w:rPr>
      <w:rFonts w:ascii="Cambria" w:eastAsia="MS Gothic" w:hAnsi="Cambria"/>
      <w:bCs/>
      <w:caps w:val="0"/>
      <w:color w:val="365F91"/>
      <w:sz w:val="28"/>
      <w:szCs w:val="28"/>
      <w:lang w:eastAsia="ja-JP"/>
    </w:rPr>
  </w:style>
  <w:style w:type="paragraph" w:customStyle="1" w:styleId="TOCHeading2">
    <w:name w:val="TOC Heading2"/>
    <w:basedOn w:val="Heading1"/>
    <w:next w:val="Normal"/>
    <w:uiPriority w:val="99"/>
    <w:rsid w:val="00136BDE"/>
    <w:pPr>
      <w:keepLines/>
      <w:numPr>
        <w:numId w:val="0"/>
      </w:numPr>
      <w:tabs>
        <w:tab w:val="left" w:pos="720"/>
      </w:tabs>
      <w:suppressAutoHyphens w:val="0"/>
      <w:spacing w:before="480" w:after="0"/>
      <w:outlineLvl w:val="9"/>
    </w:pPr>
    <w:rPr>
      <w:rFonts w:ascii="Cambria" w:eastAsia="MS Gothic" w:hAnsi="Cambria"/>
      <w:bCs/>
      <w:caps w:val="0"/>
      <w:color w:val="365F91"/>
      <w:sz w:val="28"/>
      <w:szCs w:val="28"/>
      <w:lang w:eastAsia="ja-JP"/>
    </w:rPr>
  </w:style>
  <w:style w:type="paragraph" w:customStyle="1" w:styleId="ColorfulShading-Accent11">
    <w:name w:val="Colorful Shading - Accent 11"/>
    <w:hidden/>
    <w:uiPriority w:val="99"/>
    <w:rsid w:val="00420801"/>
    <w:rPr>
      <w:kern w:val="28"/>
      <w:szCs w:val="20"/>
    </w:rPr>
  </w:style>
  <w:style w:type="paragraph" w:styleId="Revision">
    <w:name w:val="Revision"/>
    <w:hidden/>
    <w:uiPriority w:val="99"/>
    <w:semiHidden/>
    <w:rsid w:val="00407539"/>
    <w:rPr>
      <w:kern w:val="28"/>
      <w:szCs w:val="20"/>
    </w:rPr>
  </w:style>
  <w:style w:type="character" w:customStyle="1" w:styleId="Heading3Char">
    <w:name w:val="Heading 3 Char"/>
    <w:basedOn w:val="DefaultParagraphFont"/>
    <w:link w:val="Heading3"/>
    <w:rsid w:val="00496909"/>
    <w:rPr>
      <w:b/>
      <w:snapToGrid w:val="0"/>
      <w:kern w:val="28"/>
      <w:szCs w:val="20"/>
    </w:rPr>
  </w:style>
  <w:style w:type="character" w:customStyle="1" w:styleId="Heading5Char">
    <w:name w:val="Heading 5 Char"/>
    <w:basedOn w:val="DefaultParagraphFont"/>
    <w:link w:val="Heading5"/>
    <w:rsid w:val="00496909"/>
    <w:rPr>
      <w:b/>
      <w:snapToGrid w:val="0"/>
      <w:kern w:val="28"/>
      <w:szCs w:val="20"/>
    </w:rPr>
  </w:style>
  <w:style w:type="character" w:customStyle="1" w:styleId="Heading6Char1">
    <w:name w:val="Heading 6 Char1"/>
    <w:basedOn w:val="DefaultParagraphFont"/>
    <w:link w:val="Heading6"/>
    <w:rsid w:val="00496909"/>
    <w:rPr>
      <w:b/>
      <w:snapToGrid w:val="0"/>
      <w:kern w:val="28"/>
      <w:szCs w:val="20"/>
    </w:rPr>
  </w:style>
  <w:style w:type="character" w:customStyle="1" w:styleId="Heading8Char1">
    <w:name w:val="Heading 8 Char1"/>
    <w:basedOn w:val="DefaultParagraphFont"/>
    <w:link w:val="Heading8"/>
    <w:rsid w:val="00496909"/>
    <w:rPr>
      <w:b/>
      <w:snapToGrid w:val="0"/>
      <w:kern w:val="28"/>
      <w:szCs w:val="20"/>
    </w:rPr>
  </w:style>
  <w:style w:type="character" w:customStyle="1" w:styleId="Heading9Char">
    <w:name w:val="Heading 9 Char"/>
    <w:basedOn w:val="DefaultParagraphFont"/>
    <w:link w:val="Heading9"/>
    <w:rsid w:val="00496909"/>
    <w:rPr>
      <w:b/>
      <w:snapToGrid w:val="0"/>
      <w:kern w:val="28"/>
      <w:szCs w:val="20"/>
    </w:rPr>
  </w:style>
  <w:style w:type="paragraph" w:customStyle="1" w:styleId="ParaNum">
    <w:name w:val="ParaNum"/>
    <w:basedOn w:val="Normal"/>
    <w:link w:val="ParaNumChar2"/>
    <w:rsid w:val="00695F0B"/>
    <w:pPr>
      <w:numPr>
        <w:numId w:val="2"/>
      </w:numPr>
      <w:spacing w:after="120"/>
    </w:pPr>
  </w:style>
  <w:style w:type="paragraph" w:customStyle="1" w:styleId="h2">
    <w:name w:val="h2"/>
    <w:basedOn w:val="Heading2"/>
    <w:link w:val="h2Char"/>
    <w:qFormat/>
    <w:rsid w:val="001509E4"/>
  </w:style>
  <w:style w:type="character" w:customStyle="1" w:styleId="h2Char">
    <w:name w:val="h2 Char"/>
    <w:basedOn w:val="Heading2Char"/>
    <w:link w:val="h2"/>
    <w:rsid w:val="001509E4"/>
    <w:rPr>
      <w:b/>
      <w:snapToGrid w:val="0"/>
      <w:kern w:val="28"/>
      <w:szCs w:val="20"/>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basedOn w:val="DefaultParagraphFont"/>
    <w:locked/>
    <w:rsid w:val="0065440A"/>
    <w:rPr>
      <w:b/>
      <w:snapToGrid w:val="0"/>
      <w:kern w:val="28"/>
      <w:szCs w:val="20"/>
    </w:rPr>
  </w:style>
  <w:style w:type="character" w:customStyle="1" w:styleId="Heading7Char1">
    <w:name w:val="Heading 7 Char1"/>
    <w:aliases w:val="Heading 7 Char Char"/>
    <w:basedOn w:val="DefaultParagraphFont"/>
    <w:locked/>
    <w:rsid w:val="0065440A"/>
    <w:rPr>
      <w:b/>
      <w:snapToGrid w:val="0"/>
      <w:kern w:val="28"/>
      <w:szCs w:val="20"/>
    </w:rPr>
  </w:style>
  <w:style w:type="character" w:customStyle="1" w:styleId="ParaNumChar2">
    <w:name w:val="ParaNum Char2"/>
    <w:link w:val="ParaNum"/>
    <w:locked/>
    <w:rsid w:val="00270C0F"/>
    <w:rPr>
      <w:rFonts w:asciiTheme="minorHAnsi" w:eastAsiaTheme="minorHAnsi" w:hAnsiTheme="minorHAnsi" w:cstheme="minorBidi"/>
    </w:rPr>
  </w:style>
  <w:style w:type="paragraph" w:styleId="ListParagraph">
    <w:name w:val="List Paragraph"/>
    <w:basedOn w:val="Normal"/>
    <w:uiPriority w:val="34"/>
    <w:qFormat/>
    <w:rsid w:val="00270C0F"/>
    <w:pPr>
      <w:ind w:left="720"/>
    </w:pPr>
    <w:rPr>
      <w:snapToGrid w:val="0"/>
    </w:rPr>
  </w:style>
  <w:style w:type="character" w:styleId="Strong">
    <w:name w:val="Strong"/>
    <w:basedOn w:val="DefaultParagraphFont"/>
    <w:rsid w:val="00BC393D"/>
    <w:rPr>
      <w:b/>
      <w:bCs/>
    </w:rPr>
  </w:style>
  <w:style w:type="character" w:customStyle="1" w:styleId="stylenumberedparagraphs11ptchar">
    <w:name w:val="stylenumberedparagraphs11ptchar"/>
    <w:uiPriority w:val="99"/>
    <w:rsid w:val="00421B15"/>
  </w:style>
  <w:style w:type="character" w:customStyle="1" w:styleId="ParaNumChar">
    <w:name w:val="ParaNum Char"/>
    <w:locked/>
    <w:rsid w:val="00B42BFB"/>
    <w:rPr>
      <w:rFonts w:ascii="Times New Roman" w:eastAsia="Times New Roman" w:hAnsi="Times New Roman" w:cs="Times New Roman"/>
      <w:snapToGrid w:val="0"/>
      <w:kern w:val="28"/>
      <w:szCs w:val="20"/>
    </w:rPr>
  </w:style>
  <w:style w:type="character" w:styleId="Emphasis">
    <w:name w:val="Emphasis"/>
    <w:basedOn w:val="DefaultParagraphFont"/>
    <w:uiPriority w:val="20"/>
    <w:qFormat/>
    <w:rsid w:val="00462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149">
      <w:bodyDiv w:val="1"/>
      <w:marLeft w:val="0"/>
      <w:marRight w:val="0"/>
      <w:marTop w:val="0"/>
      <w:marBottom w:val="0"/>
      <w:divBdr>
        <w:top w:val="none" w:sz="0" w:space="0" w:color="auto"/>
        <w:left w:val="none" w:sz="0" w:space="0" w:color="auto"/>
        <w:bottom w:val="none" w:sz="0" w:space="0" w:color="auto"/>
        <w:right w:val="none" w:sz="0" w:space="0" w:color="auto"/>
      </w:divBdr>
    </w:div>
    <w:div w:id="78647720">
      <w:bodyDiv w:val="1"/>
      <w:marLeft w:val="0"/>
      <w:marRight w:val="0"/>
      <w:marTop w:val="0"/>
      <w:marBottom w:val="0"/>
      <w:divBdr>
        <w:top w:val="none" w:sz="0" w:space="0" w:color="auto"/>
        <w:left w:val="none" w:sz="0" w:space="0" w:color="auto"/>
        <w:bottom w:val="none" w:sz="0" w:space="0" w:color="auto"/>
        <w:right w:val="none" w:sz="0" w:space="0" w:color="auto"/>
      </w:divBdr>
    </w:div>
    <w:div w:id="106118539">
      <w:bodyDiv w:val="1"/>
      <w:marLeft w:val="0"/>
      <w:marRight w:val="0"/>
      <w:marTop w:val="0"/>
      <w:marBottom w:val="0"/>
      <w:divBdr>
        <w:top w:val="none" w:sz="0" w:space="0" w:color="auto"/>
        <w:left w:val="none" w:sz="0" w:space="0" w:color="auto"/>
        <w:bottom w:val="none" w:sz="0" w:space="0" w:color="auto"/>
        <w:right w:val="none" w:sz="0" w:space="0" w:color="auto"/>
      </w:divBdr>
    </w:div>
    <w:div w:id="134759797">
      <w:bodyDiv w:val="1"/>
      <w:marLeft w:val="0"/>
      <w:marRight w:val="0"/>
      <w:marTop w:val="0"/>
      <w:marBottom w:val="0"/>
      <w:divBdr>
        <w:top w:val="none" w:sz="0" w:space="0" w:color="auto"/>
        <w:left w:val="none" w:sz="0" w:space="0" w:color="auto"/>
        <w:bottom w:val="none" w:sz="0" w:space="0" w:color="auto"/>
        <w:right w:val="none" w:sz="0" w:space="0" w:color="auto"/>
      </w:divBdr>
    </w:div>
    <w:div w:id="230699869">
      <w:bodyDiv w:val="1"/>
      <w:marLeft w:val="0"/>
      <w:marRight w:val="0"/>
      <w:marTop w:val="0"/>
      <w:marBottom w:val="0"/>
      <w:divBdr>
        <w:top w:val="none" w:sz="0" w:space="0" w:color="auto"/>
        <w:left w:val="none" w:sz="0" w:space="0" w:color="auto"/>
        <w:bottom w:val="none" w:sz="0" w:space="0" w:color="auto"/>
        <w:right w:val="none" w:sz="0" w:space="0" w:color="auto"/>
      </w:divBdr>
    </w:div>
    <w:div w:id="326173381">
      <w:bodyDiv w:val="1"/>
      <w:marLeft w:val="0"/>
      <w:marRight w:val="0"/>
      <w:marTop w:val="0"/>
      <w:marBottom w:val="0"/>
      <w:divBdr>
        <w:top w:val="none" w:sz="0" w:space="0" w:color="auto"/>
        <w:left w:val="none" w:sz="0" w:space="0" w:color="auto"/>
        <w:bottom w:val="none" w:sz="0" w:space="0" w:color="auto"/>
        <w:right w:val="none" w:sz="0" w:space="0" w:color="auto"/>
      </w:divBdr>
    </w:div>
    <w:div w:id="369689103">
      <w:bodyDiv w:val="1"/>
      <w:marLeft w:val="0"/>
      <w:marRight w:val="0"/>
      <w:marTop w:val="0"/>
      <w:marBottom w:val="0"/>
      <w:divBdr>
        <w:top w:val="none" w:sz="0" w:space="0" w:color="auto"/>
        <w:left w:val="none" w:sz="0" w:space="0" w:color="auto"/>
        <w:bottom w:val="none" w:sz="0" w:space="0" w:color="auto"/>
        <w:right w:val="none" w:sz="0" w:space="0" w:color="auto"/>
      </w:divBdr>
    </w:div>
    <w:div w:id="382098054">
      <w:bodyDiv w:val="1"/>
      <w:marLeft w:val="0"/>
      <w:marRight w:val="0"/>
      <w:marTop w:val="0"/>
      <w:marBottom w:val="0"/>
      <w:divBdr>
        <w:top w:val="none" w:sz="0" w:space="0" w:color="auto"/>
        <w:left w:val="none" w:sz="0" w:space="0" w:color="auto"/>
        <w:bottom w:val="none" w:sz="0" w:space="0" w:color="auto"/>
        <w:right w:val="none" w:sz="0" w:space="0" w:color="auto"/>
      </w:divBdr>
    </w:div>
    <w:div w:id="411127639">
      <w:bodyDiv w:val="1"/>
      <w:marLeft w:val="0"/>
      <w:marRight w:val="0"/>
      <w:marTop w:val="0"/>
      <w:marBottom w:val="0"/>
      <w:divBdr>
        <w:top w:val="none" w:sz="0" w:space="0" w:color="auto"/>
        <w:left w:val="none" w:sz="0" w:space="0" w:color="auto"/>
        <w:bottom w:val="none" w:sz="0" w:space="0" w:color="auto"/>
        <w:right w:val="none" w:sz="0" w:space="0" w:color="auto"/>
      </w:divBdr>
    </w:div>
    <w:div w:id="490289294">
      <w:bodyDiv w:val="1"/>
      <w:marLeft w:val="0"/>
      <w:marRight w:val="0"/>
      <w:marTop w:val="0"/>
      <w:marBottom w:val="0"/>
      <w:divBdr>
        <w:top w:val="none" w:sz="0" w:space="0" w:color="auto"/>
        <w:left w:val="none" w:sz="0" w:space="0" w:color="auto"/>
        <w:bottom w:val="none" w:sz="0" w:space="0" w:color="auto"/>
        <w:right w:val="none" w:sz="0" w:space="0" w:color="auto"/>
      </w:divBdr>
    </w:div>
    <w:div w:id="590166793">
      <w:bodyDiv w:val="1"/>
      <w:marLeft w:val="0"/>
      <w:marRight w:val="0"/>
      <w:marTop w:val="0"/>
      <w:marBottom w:val="0"/>
      <w:divBdr>
        <w:top w:val="none" w:sz="0" w:space="0" w:color="auto"/>
        <w:left w:val="none" w:sz="0" w:space="0" w:color="auto"/>
        <w:bottom w:val="none" w:sz="0" w:space="0" w:color="auto"/>
        <w:right w:val="none" w:sz="0" w:space="0" w:color="auto"/>
      </w:divBdr>
    </w:div>
    <w:div w:id="637078541">
      <w:marLeft w:val="0"/>
      <w:marRight w:val="0"/>
      <w:marTop w:val="0"/>
      <w:marBottom w:val="0"/>
      <w:divBdr>
        <w:top w:val="none" w:sz="0" w:space="0" w:color="auto"/>
        <w:left w:val="none" w:sz="0" w:space="0" w:color="auto"/>
        <w:bottom w:val="none" w:sz="0" w:space="0" w:color="auto"/>
        <w:right w:val="none" w:sz="0" w:space="0" w:color="auto"/>
      </w:divBdr>
    </w:div>
    <w:div w:id="637078552">
      <w:marLeft w:val="0"/>
      <w:marRight w:val="0"/>
      <w:marTop w:val="0"/>
      <w:marBottom w:val="0"/>
      <w:divBdr>
        <w:top w:val="none" w:sz="0" w:space="0" w:color="auto"/>
        <w:left w:val="none" w:sz="0" w:space="0" w:color="auto"/>
        <w:bottom w:val="none" w:sz="0" w:space="0" w:color="auto"/>
        <w:right w:val="none" w:sz="0" w:space="0" w:color="auto"/>
      </w:divBdr>
      <w:divsChild>
        <w:div w:id="637078570">
          <w:marLeft w:val="0"/>
          <w:marRight w:val="0"/>
          <w:marTop w:val="0"/>
          <w:marBottom w:val="0"/>
          <w:divBdr>
            <w:top w:val="none" w:sz="0" w:space="0" w:color="auto"/>
            <w:left w:val="single" w:sz="6" w:space="0" w:color="BBBBBB"/>
            <w:bottom w:val="single" w:sz="6" w:space="0" w:color="BBBBBB"/>
            <w:right w:val="single" w:sz="6" w:space="0" w:color="BBBBBB"/>
          </w:divBdr>
          <w:divsChild>
            <w:div w:id="637078549">
              <w:marLeft w:val="0"/>
              <w:marRight w:val="0"/>
              <w:marTop w:val="0"/>
              <w:marBottom w:val="0"/>
              <w:divBdr>
                <w:top w:val="none" w:sz="0" w:space="0" w:color="auto"/>
                <w:left w:val="none" w:sz="0" w:space="0" w:color="auto"/>
                <w:bottom w:val="none" w:sz="0" w:space="0" w:color="auto"/>
                <w:right w:val="none" w:sz="0" w:space="0" w:color="auto"/>
              </w:divBdr>
              <w:divsChild>
                <w:div w:id="637078558">
                  <w:marLeft w:val="0"/>
                  <w:marRight w:val="0"/>
                  <w:marTop w:val="0"/>
                  <w:marBottom w:val="0"/>
                  <w:divBdr>
                    <w:top w:val="none" w:sz="0" w:space="0" w:color="auto"/>
                    <w:left w:val="none" w:sz="0" w:space="0" w:color="auto"/>
                    <w:bottom w:val="none" w:sz="0" w:space="0" w:color="auto"/>
                    <w:right w:val="none" w:sz="0" w:space="0" w:color="auto"/>
                  </w:divBdr>
                  <w:divsChild>
                    <w:div w:id="637078537">
                      <w:marLeft w:val="0"/>
                      <w:marRight w:val="0"/>
                      <w:marTop w:val="0"/>
                      <w:marBottom w:val="0"/>
                      <w:divBdr>
                        <w:top w:val="none" w:sz="0" w:space="0" w:color="auto"/>
                        <w:left w:val="none" w:sz="0" w:space="0" w:color="auto"/>
                        <w:bottom w:val="none" w:sz="0" w:space="0" w:color="auto"/>
                        <w:right w:val="none" w:sz="0" w:space="0" w:color="auto"/>
                      </w:divBdr>
                      <w:divsChild>
                        <w:div w:id="637078580">
                          <w:marLeft w:val="0"/>
                          <w:marRight w:val="0"/>
                          <w:marTop w:val="0"/>
                          <w:marBottom w:val="0"/>
                          <w:divBdr>
                            <w:top w:val="none" w:sz="0" w:space="0" w:color="auto"/>
                            <w:left w:val="none" w:sz="0" w:space="0" w:color="auto"/>
                            <w:bottom w:val="none" w:sz="0" w:space="0" w:color="auto"/>
                            <w:right w:val="none" w:sz="0" w:space="0" w:color="auto"/>
                          </w:divBdr>
                          <w:divsChild>
                            <w:div w:id="637078542">
                              <w:marLeft w:val="0"/>
                              <w:marRight w:val="0"/>
                              <w:marTop w:val="0"/>
                              <w:marBottom w:val="0"/>
                              <w:divBdr>
                                <w:top w:val="none" w:sz="0" w:space="0" w:color="auto"/>
                                <w:left w:val="none" w:sz="0" w:space="0" w:color="auto"/>
                                <w:bottom w:val="none" w:sz="0" w:space="0" w:color="auto"/>
                                <w:right w:val="none" w:sz="0" w:space="0" w:color="auto"/>
                              </w:divBdr>
                              <w:divsChild>
                                <w:div w:id="637078536">
                                  <w:marLeft w:val="0"/>
                                  <w:marRight w:val="0"/>
                                  <w:marTop w:val="0"/>
                                  <w:marBottom w:val="0"/>
                                  <w:divBdr>
                                    <w:top w:val="none" w:sz="0" w:space="0" w:color="auto"/>
                                    <w:left w:val="none" w:sz="0" w:space="0" w:color="auto"/>
                                    <w:bottom w:val="none" w:sz="0" w:space="0" w:color="auto"/>
                                    <w:right w:val="none" w:sz="0" w:space="0" w:color="auto"/>
                                  </w:divBdr>
                                  <w:divsChild>
                                    <w:div w:id="637078559">
                                      <w:marLeft w:val="0"/>
                                      <w:marRight w:val="0"/>
                                      <w:marTop w:val="0"/>
                                      <w:marBottom w:val="0"/>
                                      <w:divBdr>
                                        <w:top w:val="none" w:sz="0" w:space="0" w:color="auto"/>
                                        <w:left w:val="none" w:sz="0" w:space="0" w:color="auto"/>
                                        <w:bottom w:val="none" w:sz="0" w:space="0" w:color="auto"/>
                                        <w:right w:val="none" w:sz="0" w:space="0" w:color="auto"/>
                                      </w:divBdr>
                                      <w:divsChild>
                                        <w:div w:id="637078543">
                                          <w:marLeft w:val="1200"/>
                                          <w:marRight w:val="1200"/>
                                          <w:marTop w:val="0"/>
                                          <w:marBottom w:val="0"/>
                                          <w:divBdr>
                                            <w:top w:val="none" w:sz="0" w:space="0" w:color="auto"/>
                                            <w:left w:val="none" w:sz="0" w:space="0" w:color="auto"/>
                                            <w:bottom w:val="none" w:sz="0" w:space="0" w:color="auto"/>
                                            <w:right w:val="none" w:sz="0" w:space="0" w:color="auto"/>
                                          </w:divBdr>
                                          <w:divsChild>
                                            <w:div w:id="637078548">
                                              <w:marLeft w:val="0"/>
                                              <w:marRight w:val="0"/>
                                              <w:marTop w:val="0"/>
                                              <w:marBottom w:val="0"/>
                                              <w:divBdr>
                                                <w:top w:val="none" w:sz="0" w:space="0" w:color="auto"/>
                                                <w:left w:val="none" w:sz="0" w:space="0" w:color="auto"/>
                                                <w:bottom w:val="none" w:sz="0" w:space="0" w:color="auto"/>
                                                <w:right w:val="none" w:sz="0" w:space="0" w:color="auto"/>
                                              </w:divBdr>
                                              <w:divsChild>
                                                <w:div w:id="637078535">
                                                  <w:marLeft w:val="0"/>
                                                  <w:marRight w:val="0"/>
                                                  <w:marTop w:val="0"/>
                                                  <w:marBottom w:val="0"/>
                                                  <w:divBdr>
                                                    <w:top w:val="none" w:sz="0" w:space="0" w:color="auto"/>
                                                    <w:left w:val="none" w:sz="0" w:space="0" w:color="auto"/>
                                                    <w:bottom w:val="none" w:sz="0" w:space="0" w:color="auto"/>
                                                    <w:right w:val="none" w:sz="0" w:space="0" w:color="auto"/>
                                                  </w:divBdr>
                                                  <w:divsChild>
                                                    <w:div w:id="637078532">
                                                      <w:marLeft w:val="0"/>
                                                      <w:marRight w:val="0"/>
                                                      <w:marTop w:val="0"/>
                                                      <w:marBottom w:val="0"/>
                                                      <w:divBdr>
                                                        <w:top w:val="none" w:sz="0" w:space="0" w:color="auto"/>
                                                        <w:left w:val="none" w:sz="0" w:space="0" w:color="auto"/>
                                                        <w:bottom w:val="none" w:sz="0" w:space="0" w:color="auto"/>
                                                        <w:right w:val="none" w:sz="0" w:space="0" w:color="auto"/>
                                                      </w:divBdr>
                                                      <w:divsChild>
                                                        <w:div w:id="637078557">
                                                          <w:marLeft w:val="0"/>
                                                          <w:marRight w:val="0"/>
                                                          <w:marTop w:val="0"/>
                                                          <w:marBottom w:val="0"/>
                                                          <w:divBdr>
                                                            <w:top w:val="none" w:sz="0" w:space="0" w:color="auto"/>
                                                            <w:left w:val="none" w:sz="0" w:space="0" w:color="auto"/>
                                                            <w:bottom w:val="none" w:sz="0" w:space="0" w:color="auto"/>
                                                            <w:right w:val="none" w:sz="0" w:space="0" w:color="auto"/>
                                                          </w:divBdr>
                                                          <w:divsChild>
                                                            <w:div w:id="6370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7078553">
      <w:marLeft w:val="0"/>
      <w:marRight w:val="0"/>
      <w:marTop w:val="0"/>
      <w:marBottom w:val="0"/>
      <w:divBdr>
        <w:top w:val="none" w:sz="0" w:space="0" w:color="auto"/>
        <w:left w:val="none" w:sz="0" w:space="0" w:color="auto"/>
        <w:bottom w:val="none" w:sz="0" w:space="0" w:color="auto"/>
        <w:right w:val="none" w:sz="0" w:space="0" w:color="auto"/>
      </w:divBdr>
    </w:div>
    <w:div w:id="637078562">
      <w:marLeft w:val="0"/>
      <w:marRight w:val="0"/>
      <w:marTop w:val="0"/>
      <w:marBottom w:val="0"/>
      <w:divBdr>
        <w:top w:val="none" w:sz="0" w:space="0" w:color="auto"/>
        <w:left w:val="none" w:sz="0" w:space="0" w:color="auto"/>
        <w:bottom w:val="none" w:sz="0" w:space="0" w:color="auto"/>
        <w:right w:val="none" w:sz="0" w:space="0" w:color="auto"/>
      </w:divBdr>
      <w:divsChild>
        <w:div w:id="637078528">
          <w:marLeft w:val="0"/>
          <w:marRight w:val="0"/>
          <w:marTop w:val="0"/>
          <w:marBottom w:val="0"/>
          <w:divBdr>
            <w:top w:val="none" w:sz="0" w:space="0" w:color="auto"/>
            <w:left w:val="single" w:sz="6" w:space="0" w:color="BBBBBB"/>
            <w:bottom w:val="single" w:sz="6" w:space="0" w:color="BBBBBB"/>
            <w:right w:val="single" w:sz="6" w:space="0" w:color="BBBBBB"/>
          </w:divBdr>
          <w:divsChild>
            <w:div w:id="637078598">
              <w:marLeft w:val="0"/>
              <w:marRight w:val="0"/>
              <w:marTop w:val="0"/>
              <w:marBottom w:val="0"/>
              <w:divBdr>
                <w:top w:val="none" w:sz="0" w:space="0" w:color="auto"/>
                <w:left w:val="none" w:sz="0" w:space="0" w:color="auto"/>
                <w:bottom w:val="none" w:sz="0" w:space="0" w:color="auto"/>
                <w:right w:val="none" w:sz="0" w:space="0" w:color="auto"/>
              </w:divBdr>
              <w:divsChild>
                <w:div w:id="637078538">
                  <w:marLeft w:val="0"/>
                  <w:marRight w:val="0"/>
                  <w:marTop w:val="0"/>
                  <w:marBottom w:val="0"/>
                  <w:divBdr>
                    <w:top w:val="none" w:sz="0" w:space="0" w:color="auto"/>
                    <w:left w:val="none" w:sz="0" w:space="0" w:color="auto"/>
                    <w:bottom w:val="none" w:sz="0" w:space="0" w:color="auto"/>
                    <w:right w:val="none" w:sz="0" w:space="0" w:color="auto"/>
                  </w:divBdr>
                  <w:divsChild>
                    <w:div w:id="637078585">
                      <w:marLeft w:val="0"/>
                      <w:marRight w:val="0"/>
                      <w:marTop w:val="0"/>
                      <w:marBottom w:val="0"/>
                      <w:divBdr>
                        <w:top w:val="none" w:sz="0" w:space="0" w:color="auto"/>
                        <w:left w:val="none" w:sz="0" w:space="0" w:color="auto"/>
                        <w:bottom w:val="none" w:sz="0" w:space="0" w:color="auto"/>
                        <w:right w:val="none" w:sz="0" w:space="0" w:color="auto"/>
                      </w:divBdr>
                      <w:divsChild>
                        <w:div w:id="637078574">
                          <w:marLeft w:val="0"/>
                          <w:marRight w:val="0"/>
                          <w:marTop w:val="0"/>
                          <w:marBottom w:val="0"/>
                          <w:divBdr>
                            <w:top w:val="none" w:sz="0" w:space="0" w:color="auto"/>
                            <w:left w:val="none" w:sz="0" w:space="0" w:color="auto"/>
                            <w:bottom w:val="none" w:sz="0" w:space="0" w:color="auto"/>
                            <w:right w:val="none" w:sz="0" w:space="0" w:color="auto"/>
                          </w:divBdr>
                          <w:divsChild>
                            <w:div w:id="637078600">
                              <w:marLeft w:val="0"/>
                              <w:marRight w:val="0"/>
                              <w:marTop w:val="0"/>
                              <w:marBottom w:val="0"/>
                              <w:divBdr>
                                <w:top w:val="none" w:sz="0" w:space="0" w:color="auto"/>
                                <w:left w:val="none" w:sz="0" w:space="0" w:color="auto"/>
                                <w:bottom w:val="none" w:sz="0" w:space="0" w:color="auto"/>
                                <w:right w:val="none" w:sz="0" w:space="0" w:color="auto"/>
                              </w:divBdr>
                              <w:divsChild>
                                <w:div w:id="637078534">
                                  <w:marLeft w:val="0"/>
                                  <w:marRight w:val="0"/>
                                  <w:marTop w:val="0"/>
                                  <w:marBottom w:val="0"/>
                                  <w:divBdr>
                                    <w:top w:val="none" w:sz="0" w:space="0" w:color="auto"/>
                                    <w:left w:val="none" w:sz="0" w:space="0" w:color="auto"/>
                                    <w:bottom w:val="none" w:sz="0" w:space="0" w:color="auto"/>
                                    <w:right w:val="none" w:sz="0" w:space="0" w:color="auto"/>
                                  </w:divBdr>
                                  <w:divsChild>
                                    <w:div w:id="637078584">
                                      <w:marLeft w:val="0"/>
                                      <w:marRight w:val="0"/>
                                      <w:marTop w:val="0"/>
                                      <w:marBottom w:val="0"/>
                                      <w:divBdr>
                                        <w:top w:val="none" w:sz="0" w:space="0" w:color="auto"/>
                                        <w:left w:val="none" w:sz="0" w:space="0" w:color="auto"/>
                                        <w:bottom w:val="none" w:sz="0" w:space="0" w:color="auto"/>
                                        <w:right w:val="none" w:sz="0" w:space="0" w:color="auto"/>
                                      </w:divBdr>
                                      <w:divsChild>
                                        <w:div w:id="637078529">
                                          <w:marLeft w:val="1200"/>
                                          <w:marRight w:val="1200"/>
                                          <w:marTop w:val="0"/>
                                          <w:marBottom w:val="0"/>
                                          <w:divBdr>
                                            <w:top w:val="none" w:sz="0" w:space="0" w:color="auto"/>
                                            <w:left w:val="none" w:sz="0" w:space="0" w:color="auto"/>
                                            <w:bottom w:val="none" w:sz="0" w:space="0" w:color="auto"/>
                                            <w:right w:val="none" w:sz="0" w:space="0" w:color="auto"/>
                                          </w:divBdr>
                                          <w:divsChild>
                                            <w:div w:id="637078582">
                                              <w:marLeft w:val="0"/>
                                              <w:marRight w:val="0"/>
                                              <w:marTop w:val="0"/>
                                              <w:marBottom w:val="0"/>
                                              <w:divBdr>
                                                <w:top w:val="none" w:sz="0" w:space="0" w:color="auto"/>
                                                <w:left w:val="none" w:sz="0" w:space="0" w:color="auto"/>
                                                <w:bottom w:val="none" w:sz="0" w:space="0" w:color="auto"/>
                                                <w:right w:val="none" w:sz="0" w:space="0" w:color="auto"/>
                                              </w:divBdr>
                                              <w:divsChild>
                                                <w:div w:id="637078546">
                                                  <w:marLeft w:val="0"/>
                                                  <w:marRight w:val="0"/>
                                                  <w:marTop w:val="240"/>
                                                  <w:marBottom w:val="0"/>
                                                  <w:divBdr>
                                                    <w:top w:val="none" w:sz="0" w:space="0" w:color="auto"/>
                                                    <w:left w:val="none" w:sz="0" w:space="0" w:color="auto"/>
                                                    <w:bottom w:val="none" w:sz="0" w:space="0" w:color="auto"/>
                                                    <w:right w:val="none" w:sz="0" w:space="0" w:color="auto"/>
                                                  </w:divBdr>
                                                  <w:divsChild>
                                                    <w:div w:id="637078583">
                                                      <w:marLeft w:val="0"/>
                                                      <w:marRight w:val="0"/>
                                                      <w:marTop w:val="0"/>
                                                      <w:marBottom w:val="0"/>
                                                      <w:divBdr>
                                                        <w:top w:val="none" w:sz="0" w:space="0" w:color="auto"/>
                                                        <w:left w:val="none" w:sz="0" w:space="0" w:color="auto"/>
                                                        <w:bottom w:val="none" w:sz="0" w:space="0" w:color="auto"/>
                                                        <w:right w:val="none" w:sz="0" w:space="0" w:color="auto"/>
                                                      </w:divBdr>
                                                      <w:divsChild>
                                                        <w:div w:id="637078566">
                                                          <w:marLeft w:val="1275"/>
                                                          <w:marRight w:val="0"/>
                                                          <w:marTop w:val="0"/>
                                                          <w:marBottom w:val="0"/>
                                                          <w:divBdr>
                                                            <w:top w:val="none" w:sz="0" w:space="0" w:color="auto"/>
                                                            <w:left w:val="none" w:sz="0" w:space="0" w:color="auto"/>
                                                            <w:bottom w:val="none" w:sz="0" w:space="0" w:color="auto"/>
                                                            <w:right w:val="none" w:sz="0" w:space="0" w:color="auto"/>
                                                          </w:divBdr>
                                                          <w:divsChild>
                                                            <w:div w:id="637078556">
                                                              <w:marLeft w:val="0"/>
                                                              <w:marRight w:val="0"/>
                                                              <w:marTop w:val="0"/>
                                                              <w:marBottom w:val="0"/>
                                                              <w:divBdr>
                                                                <w:top w:val="none" w:sz="0" w:space="0" w:color="auto"/>
                                                                <w:left w:val="none" w:sz="0" w:space="0" w:color="auto"/>
                                                                <w:bottom w:val="none" w:sz="0" w:space="0" w:color="auto"/>
                                                                <w:right w:val="none" w:sz="0" w:space="0" w:color="auto"/>
                                                              </w:divBdr>
                                                              <w:divsChild>
                                                                <w:div w:id="6370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7078564">
      <w:marLeft w:val="0"/>
      <w:marRight w:val="0"/>
      <w:marTop w:val="0"/>
      <w:marBottom w:val="0"/>
      <w:divBdr>
        <w:top w:val="none" w:sz="0" w:space="0" w:color="auto"/>
        <w:left w:val="none" w:sz="0" w:space="0" w:color="auto"/>
        <w:bottom w:val="none" w:sz="0" w:space="0" w:color="auto"/>
        <w:right w:val="none" w:sz="0" w:space="0" w:color="auto"/>
      </w:divBdr>
      <w:divsChild>
        <w:div w:id="637078563">
          <w:marLeft w:val="0"/>
          <w:marRight w:val="0"/>
          <w:marTop w:val="0"/>
          <w:marBottom w:val="0"/>
          <w:divBdr>
            <w:top w:val="none" w:sz="0" w:space="0" w:color="auto"/>
            <w:left w:val="single" w:sz="6" w:space="0" w:color="BBBBBB"/>
            <w:bottom w:val="single" w:sz="6" w:space="0" w:color="BBBBBB"/>
            <w:right w:val="single" w:sz="6" w:space="0" w:color="BBBBBB"/>
          </w:divBdr>
          <w:divsChild>
            <w:div w:id="637078590">
              <w:marLeft w:val="0"/>
              <w:marRight w:val="0"/>
              <w:marTop w:val="0"/>
              <w:marBottom w:val="0"/>
              <w:divBdr>
                <w:top w:val="none" w:sz="0" w:space="0" w:color="auto"/>
                <w:left w:val="none" w:sz="0" w:space="0" w:color="auto"/>
                <w:bottom w:val="none" w:sz="0" w:space="0" w:color="auto"/>
                <w:right w:val="none" w:sz="0" w:space="0" w:color="auto"/>
              </w:divBdr>
              <w:divsChild>
                <w:div w:id="637078550">
                  <w:marLeft w:val="0"/>
                  <w:marRight w:val="0"/>
                  <w:marTop w:val="0"/>
                  <w:marBottom w:val="0"/>
                  <w:divBdr>
                    <w:top w:val="none" w:sz="0" w:space="0" w:color="auto"/>
                    <w:left w:val="none" w:sz="0" w:space="0" w:color="auto"/>
                    <w:bottom w:val="none" w:sz="0" w:space="0" w:color="auto"/>
                    <w:right w:val="none" w:sz="0" w:space="0" w:color="auto"/>
                  </w:divBdr>
                  <w:divsChild>
                    <w:div w:id="637078597">
                      <w:marLeft w:val="0"/>
                      <w:marRight w:val="0"/>
                      <w:marTop w:val="0"/>
                      <w:marBottom w:val="0"/>
                      <w:divBdr>
                        <w:top w:val="none" w:sz="0" w:space="0" w:color="auto"/>
                        <w:left w:val="none" w:sz="0" w:space="0" w:color="auto"/>
                        <w:bottom w:val="none" w:sz="0" w:space="0" w:color="auto"/>
                        <w:right w:val="none" w:sz="0" w:space="0" w:color="auto"/>
                      </w:divBdr>
                      <w:divsChild>
                        <w:div w:id="637078544">
                          <w:marLeft w:val="0"/>
                          <w:marRight w:val="0"/>
                          <w:marTop w:val="0"/>
                          <w:marBottom w:val="0"/>
                          <w:divBdr>
                            <w:top w:val="none" w:sz="0" w:space="0" w:color="auto"/>
                            <w:left w:val="none" w:sz="0" w:space="0" w:color="auto"/>
                            <w:bottom w:val="none" w:sz="0" w:space="0" w:color="auto"/>
                            <w:right w:val="none" w:sz="0" w:space="0" w:color="auto"/>
                          </w:divBdr>
                          <w:divsChild>
                            <w:div w:id="637078589">
                              <w:marLeft w:val="0"/>
                              <w:marRight w:val="0"/>
                              <w:marTop w:val="0"/>
                              <w:marBottom w:val="0"/>
                              <w:divBdr>
                                <w:top w:val="none" w:sz="0" w:space="0" w:color="auto"/>
                                <w:left w:val="none" w:sz="0" w:space="0" w:color="auto"/>
                                <w:bottom w:val="none" w:sz="0" w:space="0" w:color="auto"/>
                                <w:right w:val="none" w:sz="0" w:space="0" w:color="auto"/>
                              </w:divBdr>
                              <w:divsChild>
                                <w:div w:id="637078594">
                                  <w:marLeft w:val="0"/>
                                  <w:marRight w:val="0"/>
                                  <w:marTop w:val="0"/>
                                  <w:marBottom w:val="0"/>
                                  <w:divBdr>
                                    <w:top w:val="none" w:sz="0" w:space="0" w:color="auto"/>
                                    <w:left w:val="none" w:sz="0" w:space="0" w:color="auto"/>
                                    <w:bottom w:val="none" w:sz="0" w:space="0" w:color="auto"/>
                                    <w:right w:val="none" w:sz="0" w:space="0" w:color="auto"/>
                                  </w:divBdr>
                                  <w:divsChild>
                                    <w:div w:id="637078591">
                                      <w:marLeft w:val="0"/>
                                      <w:marRight w:val="0"/>
                                      <w:marTop w:val="0"/>
                                      <w:marBottom w:val="0"/>
                                      <w:divBdr>
                                        <w:top w:val="none" w:sz="0" w:space="0" w:color="auto"/>
                                        <w:left w:val="none" w:sz="0" w:space="0" w:color="auto"/>
                                        <w:bottom w:val="none" w:sz="0" w:space="0" w:color="auto"/>
                                        <w:right w:val="none" w:sz="0" w:space="0" w:color="auto"/>
                                      </w:divBdr>
                                      <w:divsChild>
                                        <w:div w:id="637078606">
                                          <w:marLeft w:val="1200"/>
                                          <w:marRight w:val="1200"/>
                                          <w:marTop w:val="0"/>
                                          <w:marBottom w:val="0"/>
                                          <w:divBdr>
                                            <w:top w:val="none" w:sz="0" w:space="0" w:color="auto"/>
                                            <w:left w:val="none" w:sz="0" w:space="0" w:color="auto"/>
                                            <w:bottom w:val="none" w:sz="0" w:space="0" w:color="auto"/>
                                            <w:right w:val="none" w:sz="0" w:space="0" w:color="auto"/>
                                          </w:divBdr>
                                          <w:divsChild>
                                            <w:div w:id="637078560">
                                              <w:marLeft w:val="0"/>
                                              <w:marRight w:val="0"/>
                                              <w:marTop w:val="0"/>
                                              <w:marBottom w:val="0"/>
                                              <w:divBdr>
                                                <w:top w:val="none" w:sz="0" w:space="0" w:color="auto"/>
                                                <w:left w:val="none" w:sz="0" w:space="0" w:color="auto"/>
                                                <w:bottom w:val="none" w:sz="0" w:space="0" w:color="auto"/>
                                                <w:right w:val="none" w:sz="0" w:space="0" w:color="auto"/>
                                              </w:divBdr>
                                              <w:divsChild>
                                                <w:div w:id="637078593">
                                                  <w:marLeft w:val="0"/>
                                                  <w:marRight w:val="0"/>
                                                  <w:marTop w:val="0"/>
                                                  <w:marBottom w:val="0"/>
                                                  <w:divBdr>
                                                    <w:top w:val="none" w:sz="0" w:space="0" w:color="auto"/>
                                                    <w:left w:val="none" w:sz="0" w:space="0" w:color="auto"/>
                                                    <w:bottom w:val="none" w:sz="0" w:space="0" w:color="auto"/>
                                                    <w:right w:val="none" w:sz="0" w:space="0" w:color="auto"/>
                                                  </w:divBdr>
                                                  <w:divsChild>
                                                    <w:div w:id="6370785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078565">
      <w:marLeft w:val="0"/>
      <w:marRight w:val="0"/>
      <w:marTop w:val="0"/>
      <w:marBottom w:val="0"/>
      <w:divBdr>
        <w:top w:val="none" w:sz="0" w:space="0" w:color="auto"/>
        <w:left w:val="none" w:sz="0" w:space="0" w:color="auto"/>
        <w:bottom w:val="none" w:sz="0" w:space="0" w:color="auto"/>
        <w:right w:val="none" w:sz="0" w:space="0" w:color="auto"/>
      </w:divBdr>
    </w:div>
    <w:div w:id="637078567">
      <w:marLeft w:val="0"/>
      <w:marRight w:val="0"/>
      <w:marTop w:val="0"/>
      <w:marBottom w:val="0"/>
      <w:divBdr>
        <w:top w:val="none" w:sz="0" w:space="0" w:color="auto"/>
        <w:left w:val="none" w:sz="0" w:space="0" w:color="auto"/>
        <w:bottom w:val="none" w:sz="0" w:space="0" w:color="auto"/>
        <w:right w:val="none" w:sz="0" w:space="0" w:color="auto"/>
      </w:divBdr>
    </w:div>
    <w:div w:id="637078568">
      <w:marLeft w:val="0"/>
      <w:marRight w:val="0"/>
      <w:marTop w:val="0"/>
      <w:marBottom w:val="0"/>
      <w:divBdr>
        <w:top w:val="none" w:sz="0" w:space="0" w:color="auto"/>
        <w:left w:val="none" w:sz="0" w:space="0" w:color="auto"/>
        <w:bottom w:val="none" w:sz="0" w:space="0" w:color="auto"/>
        <w:right w:val="none" w:sz="0" w:space="0" w:color="auto"/>
      </w:divBdr>
      <w:divsChild>
        <w:div w:id="637078547">
          <w:marLeft w:val="0"/>
          <w:marRight w:val="0"/>
          <w:marTop w:val="0"/>
          <w:marBottom w:val="0"/>
          <w:divBdr>
            <w:top w:val="none" w:sz="0" w:space="0" w:color="auto"/>
            <w:left w:val="none" w:sz="0" w:space="0" w:color="auto"/>
            <w:bottom w:val="none" w:sz="0" w:space="0" w:color="auto"/>
            <w:right w:val="none" w:sz="0" w:space="0" w:color="auto"/>
          </w:divBdr>
        </w:div>
      </w:divsChild>
    </w:div>
    <w:div w:id="637078569">
      <w:marLeft w:val="0"/>
      <w:marRight w:val="0"/>
      <w:marTop w:val="0"/>
      <w:marBottom w:val="0"/>
      <w:divBdr>
        <w:top w:val="none" w:sz="0" w:space="0" w:color="auto"/>
        <w:left w:val="none" w:sz="0" w:space="0" w:color="auto"/>
        <w:bottom w:val="none" w:sz="0" w:space="0" w:color="auto"/>
        <w:right w:val="none" w:sz="0" w:space="0" w:color="auto"/>
      </w:divBdr>
      <w:divsChild>
        <w:div w:id="637078554">
          <w:marLeft w:val="0"/>
          <w:marRight w:val="0"/>
          <w:marTop w:val="0"/>
          <w:marBottom w:val="0"/>
          <w:divBdr>
            <w:top w:val="none" w:sz="0" w:space="0" w:color="auto"/>
            <w:left w:val="none" w:sz="0" w:space="0" w:color="auto"/>
            <w:bottom w:val="none" w:sz="0" w:space="0" w:color="auto"/>
            <w:right w:val="none" w:sz="0" w:space="0" w:color="auto"/>
          </w:divBdr>
          <w:divsChild>
            <w:div w:id="637078572">
              <w:marLeft w:val="0"/>
              <w:marRight w:val="0"/>
              <w:marTop w:val="0"/>
              <w:marBottom w:val="0"/>
              <w:divBdr>
                <w:top w:val="none" w:sz="0" w:space="0" w:color="auto"/>
                <w:left w:val="none" w:sz="0" w:space="0" w:color="auto"/>
                <w:bottom w:val="none" w:sz="0" w:space="0" w:color="auto"/>
                <w:right w:val="none" w:sz="0" w:space="0" w:color="auto"/>
              </w:divBdr>
              <w:divsChild>
                <w:div w:id="637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78571">
      <w:marLeft w:val="0"/>
      <w:marRight w:val="0"/>
      <w:marTop w:val="0"/>
      <w:marBottom w:val="0"/>
      <w:divBdr>
        <w:top w:val="none" w:sz="0" w:space="0" w:color="auto"/>
        <w:left w:val="none" w:sz="0" w:space="0" w:color="auto"/>
        <w:bottom w:val="none" w:sz="0" w:space="0" w:color="auto"/>
        <w:right w:val="none" w:sz="0" w:space="0" w:color="auto"/>
      </w:divBdr>
      <w:divsChild>
        <w:div w:id="637078609">
          <w:marLeft w:val="0"/>
          <w:marRight w:val="0"/>
          <w:marTop w:val="0"/>
          <w:marBottom w:val="0"/>
          <w:divBdr>
            <w:top w:val="none" w:sz="0" w:space="0" w:color="auto"/>
            <w:left w:val="none" w:sz="0" w:space="0" w:color="auto"/>
            <w:bottom w:val="none" w:sz="0" w:space="0" w:color="auto"/>
            <w:right w:val="none" w:sz="0" w:space="0" w:color="auto"/>
          </w:divBdr>
          <w:divsChild>
            <w:div w:id="637078533">
              <w:marLeft w:val="0"/>
              <w:marRight w:val="0"/>
              <w:marTop w:val="0"/>
              <w:marBottom w:val="0"/>
              <w:divBdr>
                <w:top w:val="none" w:sz="0" w:space="0" w:color="auto"/>
                <w:left w:val="none" w:sz="0" w:space="0" w:color="auto"/>
                <w:bottom w:val="none" w:sz="0" w:space="0" w:color="auto"/>
                <w:right w:val="none" w:sz="0" w:space="0" w:color="auto"/>
              </w:divBdr>
            </w:div>
            <w:div w:id="637078601">
              <w:marLeft w:val="0"/>
              <w:marRight w:val="0"/>
              <w:marTop w:val="0"/>
              <w:marBottom w:val="0"/>
              <w:divBdr>
                <w:top w:val="none" w:sz="0" w:space="0" w:color="auto"/>
                <w:left w:val="none" w:sz="0" w:space="0" w:color="auto"/>
                <w:bottom w:val="none" w:sz="0" w:space="0" w:color="auto"/>
                <w:right w:val="none" w:sz="0" w:space="0" w:color="auto"/>
              </w:divBdr>
              <w:divsChild>
                <w:div w:id="637078527">
                  <w:marLeft w:val="0"/>
                  <w:marRight w:val="0"/>
                  <w:marTop w:val="0"/>
                  <w:marBottom w:val="0"/>
                  <w:divBdr>
                    <w:top w:val="none" w:sz="0" w:space="0" w:color="auto"/>
                    <w:left w:val="none" w:sz="0" w:space="0" w:color="auto"/>
                    <w:bottom w:val="none" w:sz="0" w:space="0" w:color="auto"/>
                    <w:right w:val="none" w:sz="0" w:space="0" w:color="auto"/>
                  </w:divBdr>
                </w:div>
                <w:div w:id="6370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78575">
      <w:marLeft w:val="0"/>
      <w:marRight w:val="0"/>
      <w:marTop w:val="0"/>
      <w:marBottom w:val="0"/>
      <w:divBdr>
        <w:top w:val="none" w:sz="0" w:space="0" w:color="auto"/>
        <w:left w:val="none" w:sz="0" w:space="0" w:color="auto"/>
        <w:bottom w:val="none" w:sz="0" w:space="0" w:color="auto"/>
        <w:right w:val="none" w:sz="0" w:space="0" w:color="auto"/>
      </w:divBdr>
      <w:divsChild>
        <w:div w:id="637078587">
          <w:marLeft w:val="0"/>
          <w:marRight w:val="0"/>
          <w:marTop w:val="0"/>
          <w:marBottom w:val="0"/>
          <w:divBdr>
            <w:top w:val="none" w:sz="0" w:space="0" w:color="auto"/>
            <w:left w:val="none" w:sz="0" w:space="0" w:color="auto"/>
            <w:bottom w:val="none" w:sz="0" w:space="0" w:color="auto"/>
            <w:right w:val="none" w:sz="0" w:space="0" w:color="auto"/>
          </w:divBdr>
        </w:div>
      </w:divsChild>
    </w:div>
    <w:div w:id="637078578">
      <w:marLeft w:val="0"/>
      <w:marRight w:val="0"/>
      <w:marTop w:val="0"/>
      <w:marBottom w:val="0"/>
      <w:divBdr>
        <w:top w:val="none" w:sz="0" w:space="0" w:color="auto"/>
        <w:left w:val="none" w:sz="0" w:space="0" w:color="auto"/>
        <w:bottom w:val="none" w:sz="0" w:space="0" w:color="auto"/>
        <w:right w:val="none" w:sz="0" w:space="0" w:color="auto"/>
      </w:divBdr>
    </w:div>
    <w:div w:id="637078581">
      <w:marLeft w:val="0"/>
      <w:marRight w:val="0"/>
      <w:marTop w:val="0"/>
      <w:marBottom w:val="0"/>
      <w:divBdr>
        <w:top w:val="none" w:sz="0" w:space="0" w:color="auto"/>
        <w:left w:val="none" w:sz="0" w:space="0" w:color="auto"/>
        <w:bottom w:val="none" w:sz="0" w:space="0" w:color="auto"/>
        <w:right w:val="none" w:sz="0" w:space="0" w:color="auto"/>
      </w:divBdr>
    </w:div>
    <w:div w:id="637078586">
      <w:marLeft w:val="0"/>
      <w:marRight w:val="0"/>
      <w:marTop w:val="0"/>
      <w:marBottom w:val="0"/>
      <w:divBdr>
        <w:top w:val="none" w:sz="0" w:space="0" w:color="auto"/>
        <w:left w:val="none" w:sz="0" w:space="0" w:color="auto"/>
        <w:bottom w:val="none" w:sz="0" w:space="0" w:color="auto"/>
        <w:right w:val="none" w:sz="0" w:space="0" w:color="auto"/>
      </w:divBdr>
    </w:div>
    <w:div w:id="637078592">
      <w:marLeft w:val="0"/>
      <w:marRight w:val="0"/>
      <w:marTop w:val="0"/>
      <w:marBottom w:val="0"/>
      <w:divBdr>
        <w:top w:val="none" w:sz="0" w:space="0" w:color="auto"/>
        <w:left w:val="none" w:sz="0" w:space="0" w:color="auto"/>
        <w:bottom w:val="none" w:sz="0" w:space="0" w:color="auto"/>
        <w:right w:val="none" w:sz="0" w:space="0" w:color="auto"/>
      </w:divBdr>
    </w:div>
    <w:div w:id="637078595">
      <w:marLeft w:val="0"/>
      <w:marRight w:val="0"/>
      <w:marTop w:val="0"/>
      <w:marBottom w:val="0"/>
      <w:divBdr>
        <w:top w:val="none" w:sz="0" w:space="0" w:color="auto"/>
        <w:left w:val="none" w:sz="0" w:space="0" w:color="auto"/>
        <w:bottom w:val="none" w:sz="0" w:space="0" w:color="auto"/>
        <w:right w:val="none" w:sz="0" w:space="0" w:color="auto"/>
      </w:divBdr>
      <w:divsChild>
        <w:div w:id="637078545">
          <w:marLeft w:val="0"/>
          <w:marRight w:val="0"/>
          <w:marTop w:val="0"/>
          <w:marBottom w:val="0"/>
          <w:divBdr>
            <w:top w:val="none" w:sz="0" w:space="0" w:color="auto"/>
            <w:left w:val="single" w:sz="6" w:space="0" w:color="BBBBBB"/>
            <w:bottom w:val="single" w:sz="6" w:space="0" w:color="BBBBBB"/>
            <w:right w:val="single" w:sz="6" w:space="0" w:color="BBBBBB"/>
          </w:divBdr>
          <w:divsChild>
            <w:div w:id="637078588">
              <w:marLeft w:val="0"/>
              <w:marRight w:val="0"/>
              <w:marTop w:val="0"/>
              <w:marBottom w:val="0"/>
              <w:divBdr>
                <w:top w:val="none" w:sz="0" w:space="0" w:color="auto"/>
                <w:left w:val="none" w:sz="0" w:space="0" w:color="auto"/>
                <w:bottom w:val="none" w:sz="0" w:space="0" w:color="auto"/>
                <w:right w:val="none" w:sz="0" w:space="0" w:color="auto"/>
              </w:divBdr>
              <w:divsChild>
                <w:div w:id="637078551">
                  <w:marLeft w:val="0"/>
                  <w:marRight w:val="0"/>
                  <w:marTop w:val="0"/>
                  <w:marBottom w:val="0"/>
                  <w:divBdr>
                    <w:top w:val="none" w:sz="0" w:space="0" w:color="auto"/>
                    <w:left w:val="none" w:sz="0" w:space="0" w:color="auto"/>
                    <w:bottom w:val="none" w:sz="0" w:space="0" w:color="auto"/>
                    <w:right w:val="none" w:sz="0" w:space="0" w:color="auto"/>
                  </w:divBdr>
                  <w:divsChild>
                    <w:div w:id="637078602">
                      <w:marLeft w:val="0"/>
                      <w:marRight w:val="0"/>
                      <w:marTop w:val="0"/>
                      <w:marBottom w:val="0"/>
                      <w:divBdr>
                        <w:top w:val="none" w:sz="0" w:space="0" w:color="auto"/>
                        <w:left w:val="none" w:sz="0" w:space="0" w:color="auto"/>
                        <w:bottom w:val="none" w:sz="0" w:space="0" w:color="auto"/>
                        <w:right w:val="none" w:sz="0" w:space="0" w:color="auto"/>
                      </w:divBdr>
                      <w:divsChild>
                        <w:div w:id="637078577">
                          <w:marLeft w:val="0"/>
                          <w:marRight w:val="0"/>
                          <w:marTop w:val="0"/>
                          <w:marBottom w:val="0"/>
                          <w:divBdr>
                            <w:top w:val="none" w:sz="0" w:space="0" w:color="auto"/>
                            <w:left w:val="none" w:sz="0" w:space="0" w:color="auto"/>
                            <w:bottom w:val="none" w:sz="0" w:space="0" w:color="auto"/>
                            <w:right w:val="none" w:sz="0" w:space="0" w:color="auto"/>
                          </w:divBdr>
                          <w:divsChild>
                            <w:div w:id="637078561">
                              <w:marLeft w:val="0"/>
                              <w:marRight w:val="0"/>
                              <w:marTop w:val="0"/>
                              <w:marBottom w:val="0"/>
                              <w:divBdr>
                                <w:top w:val="none" w:sz="0" w:space="0" w:color="auto"/>
                                <w:left w:val="none" w:sz="0" w:space="0" w:color="auto"/>
                                <w:bottom w:val="none" w:sz="0" w:space="0" w:color="auto"/>
                                <w:right w:val="none" w:sz="0" w:space="0" w:color="auto"/>
                              </w:divBdr>
                              <w:divsChild>
                                <w:div w:id="637078576">
                                  <w:marLeft w:val="0"/>
                                  <w:marRight w:val="0"/>
                                  <w:marTop w:val="0"/>
                                  <w:marBottom w:val="0"/>
                                  <w:divBdr>
                                    <w:top w:val="none" w:sz="0" w:space="0" w:color="auto"/>
                                    <w:left w:val="none" w:sz="0" w:space="0" w:color="auto"/>
                                    <w:bottom w:val="none" w:sz="0" w:space="0" w:color="auto"/>
                                    <w:right w:val="none" w:sz="0" w:space="0" w:color="auto"/>
                                  </w:divBdr>
                                  <w:divsChild>
                                    <w:div w:id="637078607">
                                      <w:marLeft w:val="0"/>
                                      <w:marRight w:val="0"/>
                                      <w:marTop w:val="0"/>
                                      <w:marBottom w:val="0"/>
                                      <w:divBdr>
                                        <w:top w:val="none" w:sz="0" w:space="0" w:color="auto"/>
                                        <w:left w:val="none" w:sz="0" w:space="0" w:color="auto"/>
                                        <w:bottom w:val="none" w:sz="0" w:space="0" w:color="auto"/>
                                        <w:right w:val="none" w:sz="0" w:space="0" w:color="auto"/>
                                      </w:divBdr>
                                      <w:divsChild>
                                        <w:div w:id="637078573">
                                          <w:marLeft w:val="1200"/>
                                          <w:marRight w:val="1200"/>
                                          <w:marTop w:val="0"/>
                                          <w:marBottom w:val="0"/>
                                          <w:divBdr>
                                            <w:top w:val="none" w:sz="0" w:space="0" w:color="auto"/>
                                            <w:left w:val="none" w:sz="0" w:space="0" w:color="auto"/>
                                            <w:bottom w:val="none" w:sz="0" w:space="0" w:color="auto"/>
                                            <w:right w:val="none" w:sz="0" w:space="0" w:color="auto"/>
                                          </w:divBdr>
                                          <w:divsChild>
                                            <w:div w:id="637078555">
                                              <w:marLeft w:val="0"/>
                                              <w:marRight w:val="0"/>
                                              <w:marTop w:val="0"/>
                                              <w:marBottom w:val="0"/>
                                              <w:divBdr>
                                                <w:top w:val="none" w:sz="0" w:space="0" w:color="auto"/>
                                                <w:left w:val="none" w:sz="0" w:space="0" w:color="auto"/>
                                                <w:bottom w:val="none" w:sz="0" w:space="0" w:color="auto"/>
                                                <w:right w:val="none" w:sz="0" w:space="0" w:color="auto"/>
                                              </w:divBdr>
                                              <w:divsChild>
                                                <w:div w:id="637078599">
                                                  <w:marLeft w:val="0"/>
                                                  <w:marRight w:val="0"/>
                                                  <w:marTop w:val="0"/>
                                                  <w:marBottom w:val="0"/>
                                                  <w:divBdr>
                                                    <w:top w:val="none" w:sz="0" w:space="0" w:color="auto"/>
                                                    <w:left w:val="none" w:sz="0" w:space="0" w:color="auto"/>
                                                    <w:bottom w:val="none" w:sz="0" w:space="0" w:color="auto"/>
                                                    <w:right w:val="none" w:sz="0" w:space="0" w:color="auto"/>
                                                  </w:divBdr>
                                                  <w:divsChild>
                                                    <w:div w:id="637078539">
                                                      <w:marLeft w:val="0"/>
                                                      <w:marRight w:val="0"/>
                                                      <w:marTop w:val="0"/>
                                                      <w:marBottom w:val="0"/>
                                                      <w:divBdr>
                                                        <w:top w:val="none" w:sz="0" w:space="0" w:color="auto"/>
                                                        <w:left w:val="none" w:sz="0" w:space="0" w:color="auto"/>
                                                        <w:bottom w:val="none" w:sz="0" w:space="0" w:color="auto"/>
                                                        <w:right w:val="none" w:sz="0" w:space="0" w:color="auto"/>
                                                      </w:divBdr>
                                                      <w:divsChild>
                                                        <w:div w:id="637078530">
                                                          <w:marLeft w:val="0"/>
                                                          <w:marRight w:val="0"/>
                                                          <w:marTop w:val="0"/>
                                                          <w:marBottom w:val="0"/>
                                                          <w:divBdr>
                                                            <w:top w:val="none" w:sz="0" w:space="0" w:color="auto"/>
                                                            <w:left w:val="none" w:sz="0" w:space="0" w:color="auto"/>
                                                            <w:bottom w:val="none" w:sz="0" w:space="0" w:color="auto"/>
                                                            <w:right w:val="none" w:sz="0" w:space="0" w:color="auto"/>
                                                          </w:divBdr>
                                                          <w:divsChild>
                                                            <w:div w:id="6370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7078596">
      <w:marLeft w:val="0"/>
      <w:marRight w:val="0"/>
      <w:marTop w:val="0"/>
      <w:marBottom w:val="0"/>
      <w:divBdr>
        <w:top w:val="none" w:sz="0" w:space="0" w:color="auto"/>
        <w:left w:val="none" w:sz="0" w:space="0" w:color="auto"/>
        <w:bottom w:val="none" w:sz="0" w:space="0" w:color="auto"/>
        <w:right w:val="none" w:sz="0" w:space="0" w:color="auto"/>
      </w:divBdr>
    </w:div>
    <w:div w:id="637078603">
      <w:marLeft w:val="0"/>
      <w:marRight w:val="0"/>
      <w:marTop w:val="0"/>
      <w:marBottom w:val="0"/>
      <w:divBdr>
        <w:top w:val="none" w:sz="0" w:space="0" w:color="auto"/>
        <w:left w:val="none" w:sz="0" w:space="0" w:color="auto"/>
        <w:bottom w:val="none" w:sz="0" w:space="0" w:color="auto"/>
        <w:right w:val="none" w:sz="0" w:space="0" w:color="auto"/>
      </w:divBdr>
    </w:div>
    <w:div w:id="637078610">
      <w:marLeft w:val="0"/>
      <w:marRight w:val="0"/>
      <w:marTop w:val="0"/>
      <w:marBottom w:val="0"/>
      <w:divBdr>
        <w:top w:val="none" w:sz="0" w:space="0" w:color="auto"/>
        <w:left w:val="none" w:sz="0" w:space="0" w:color="auto"/>
        <w:bottom w:val="none" w:sz="0" w:space="0" w:color="auto"/>
        <w:right w:val="none" w:sz="0" w:space="0" w:color="auto"/>
      </w:divBdr>
    </w:div>
    <w:div w:id="637078611">
      <w:marLeft w:val="0"/>
      <w:marRight w:val="0"/>
      <w:marTop w:val="0"/>
      <w:marBottom w:val="0"/>
      <w:divBdr>
        <w:top w:val="none" w:sz="0" w:space="0" w:color="auto"/>
        <w:left w:val="none" w:sz="0" w:space="0" w:color="auto"/>
        <w:bottom w:val="none" w:sz="0" w:space="0" w:color="auto"/>
        <w:right w:val="none" w:sz="0" w:space="0" w:color="auto"/>
      </w:divBdr>
    </w:div>
    <w:div w:id="637078612">
      <w:marLeft w:val="0"/>
      <w:marRight w:val="0"/>
      <w:marTop w:val="0"/>
      <w:marBottom w:val="0"/>
      <w:divBdr>
        <w:top w:val="none" w:sz="0" w:space="0" w:color="auto"/>
        <w:left w:val="none" w:sz="0" w:space="0" w:color="auto"/>
        <w:bottom w:val="none" w:sz="0" w:space="0" w:color="auto"/>
        <w:right w:val="none" w:sz="0" w:space="0" w:color="auto"/>
      </w:divBdr>
    </w:div>
    <w:div w:id="637078613">
      <w:marLeft w:val="0"/>
      <w:marRight w:val="0"/>
      <w:marTop w:val="0"/>
      <w:marBottom w:val="0"/>
      <w:divBdr>
        <w:top w:val="none" w:sz="0" w:space="0" w:color="auto"/>
        <w:left w:val="none" w:sz="0" w:space="0" w:color="auto"/>
        <w:bottom w:val="none" w:sz="0" w:space="0" w:color="auto"/>
        <w:right w:val="none" w:sz="0" w:space="0" w:color="auto"/>
      </w:divBdr>
    </w:div>
    <w:div w:id="637078614">
      <w:marLeft w:val="0"/>
      <w:marRight w:val="0"/>
      <w:marTop w:val="0"/>
      <w:marBottom w:val="0"/>
      <w:divBdr>
        <w:top w:val="none" w:sz="0" w:space="0" w:color="auto"/>
        <w:left w:val="none" w:sz="0" w:space="0" w:color="auto"/>
        <w:bottom w:val="none" w:sz="0" w:space="0" w:color="auto"/>
        <w:right w:val="none" w:sz="0" w:space="0" w:color="auto"/>
      </w:divBdr>
    </w:div>
    <w:div w:id="637078615">
      <w:marLeft w:val="0"/>
      <w:marRight w:val="0"/>
      <w:marTop w:val="0"/>
      <w:marBottom w:val="0"/>
      <w:divBdr>
        <w:top w:val="none" w:sz="0" w:space="0" w:color="auto"/>
        <w:left w:val="none" w:sz="0" w:space="0" w:color="auto"/>
        <w:bottom w:val="none" w:sz="0" w:space="0" w:color="auto"/>
        <w:right w:val="none" w:sz="0" w:space="0" w:color="auto"/>
      </w:divBdr>
    </w:div>
    <w:div w:id="637078616">
      <w:marLeft w:val="0"/>
      <w:marRight w:val="0"/>
      <w:marTop w:val="0"/>
      <w:marBottom w:val="0"/>
      <w:divBdr>
        <w:top w:val="none" w:sz="0" w:space="0" w:color="auto"/>
        <w:left w:val="none" w:sz="0" w:space="0" w:color="auto"/>
        <w:bottom w:val="none" w:sz="0" w:space="0" w:color="auto"/>
        <w:right w:val="none" w:sz="0" w:space="0" w:color="auto"/>
      </w:divBdr>
    </w:div>
    <w:div w:id="637078617">
      <w:marLeft w:val="0"/>
      <w:marRight w:val="0"/>
      <w:marTop w:val="0"/>
      <w:marBottom w:val="0"/>
      <w:divBdr>
        <w:top w:val="none" w:sz="0" w:space="0" w:color="auto"/>
        <w:left w:val="none" w:sz="0" w:space="0" w:color="auto"/>
        <w:bottom w:val="none" w:sz="0" w:space="0" w:color="auto"/>
        <w:right w:val="none" w:sz="0" w:space="0" w:color="auto"/>
      </w:divBdr>
    </w:div>
    <w:div w:id="637078618">
      <w:marLeft w:val="0"/>
      <w:marRight w:val="0"/>
      <w:marTop w:val="0"/>
      <w:marBottom w:val="0"/>
      <w:divBdr>
        <w:top w:val="none" w:sz="0" w:space="0" w:color="auto"/>
        <w:left w:val="none" w:sz="0" w:space="0" w:color="auto"/>
        <w:bottom w:val="none" w:sz="0" w:space="0" w:color="auto"/>
        <w:right w:val="none" w:sz="0" w:space="0" w:color="auto"/>
      </w:divBdr>
    </w:div>
    <w:div w:id="637078619">
      <w:marLeft w:val="0"/>
      <w:marRight w:val="0"/>
      <w:marTop w:val="0"/>
      <w:marBottom w:val="0"/>
      <w:divBdr>
        <w:top w:val="none" w:sz="0" w:space="0" w:color="auto"/>
        <w:left w:val="none" w:sz="0" w:space="0" w:color="auto"/>
        <w:bottom w:val="none" w:sz="0" w:space="0" w:color="auto"/>
        <w:right w:val="none" w:sz="0" w:space="0" w:color="auto"/>
      </w:divBdr>
    </w:div>
    <w:div w:id="637078620">
      <w:marLeft w:val="0"/>
      <w:marRight w:val="0"/>
      <w:marTop w:val="0"/>
      <w:marBottom w:val="0"/>
      <w:divBdr>
        <w:top w:val="none" w:sz="0" w:space="0" w:color="auto"/>
        <w:left w:val="none" w:sz="0" w:space="0" w:color="auto"/>
        <w:bottom w:val="none" w:sz="0" w:space="0" w:color="auto"/>
        <w:right w:val="none" w:sz="0" w:space="0" w:color="auto"/>
      </w:divBdr>
    </w:div>
    <w:div w:id="637078621">
      <w:marLeft w:val="0"/>
      <w:marRight w:val="0"/>
      <w:marTop w:val="0"/>
      <w:marBottom w:val="0"/>
      <w:divBdr>
        <w:top w:val="none" w:sz="0" w:space="0" w:color="auto"/>
        <w:left w:val="none" w:sz="0" w:space="0" w:color="auto"/>
        <w:bottom w:val="none" w:sz="0" w:space="0" w:color="auto"/>
        <w:right w:val="none" w:sz="0" w:space="0" w:color="auto"/>
      </w:divBdr>
    </w:div>
    <w:div w:id="637078622">
      <w:marLeft w:val="0"/>
      <w:marRight w:val="0"/>
      <w:marTop w:val="0"/>
      <w:marBottom w:val="0"/>
      <w:divBdr>
        <w:top w:val="none" w:sz="0" w:space="0" w:color="auto"/>
        <w:left w:val="none" w:sz="0" w:space="0" w:color="auto"/>
        <w:bottom w:val="none" w:sz="0" w:space="0" w:color="auto"/>
        <w:right w:val="none" w:sz="0" w:space="0" w:color="auto"/>
      </w:divBdr>
    </w:div>
    <w:div w:id="637078623">
      <w:marLeft w:val="0"/>
      <w:marRight w:val="0"/>
      <w:marTop w:val="0"/>
      <w:marBottom w:val="0"/>
      <w:divBdr>
        <w:top w:val="none" w:sz="0" w:space="0" w:color="auto"/>
        <w:left w:val="none" w:sz="0" w:space="0" w:color="auto"/>
        <w:bottom w:val="none" w:sz="0" w:space="0" w:color="auto"/>
        <w:right w:val="none" w:sz="0" w:space="0" w:color="auto"/>
      </w:divBdr>
    </w:div>
    <w:div w:id="637078624">
      <w:marLeft w:val="0"/>
      <w:marRight w:val="0"/>
      <w:marTop w:val="0"/>
      <w:marBottom w:val="0"/>
      <w:divBdr>
        <w:top w:val="none" w:sz="0" w:space="0" w:color="auto"/>
        <w:left w:val="none" w:sz="0" w:space="0" w:color="auto"/>
        <w:bottom w:val="none" w:sz="0" w:space="0" w:color="auto"/>
        <w:right w:val="none" w:sz="0" w:space="0" w:color="auto"/>
      </w:divBdr>
    </w:div>
    <w:div w:id="637078625">
      <w:marLeft w:val="0"/>
      <w:marRight w:val="0"/>
      <w:marTop w:val="0"/>
      <w:marBottom w:val="0"/>
      <w:divBdr>
        <w:top w:val="none" w:sz="0" w:space="0" w:color="auto"/>
        <w:left w:val="none" w:sz="0" w:space="0" w:color="auto"/>
        <w:bottom w:val="none" w:sz="0" w:space="0" w:color="auto"/>
        <w:right w:val="none" w:sz="0" w:space="0" w:color="auto"/>
      </w:divBdr>
    </w:div>
    <w:div w:id="648631716">
      <w:bodyDiv w:val="1"/>
      <w:marLeft w:val="0"/>
      <w:marRight w:val="0"/>
      <w:marTop w:val="0"/>
      <w:marBottom w:val="0"/>
      <w:divBdr>
        <w:top w:val="none" w:sz="0" w:space="0" w:color="auto"/>
        <w:left w:val="none" w:sz="0" w:space="0" w:color="auto"/>
        <w:bottom w:val="none" w:sz="0" w:space="0" w:color="auto"/>
        <w:right w:val="none" w:sz="0" w:space="0" w:color="auto"/>
      </w:divBdr>
    </w:div>
    <w:div w:id="657611893">
      <w:bodyDiv w:val="1"/>
      <w:marLeft w:val="0"/>
      <w:marRight w:val="0"/>
      <w:marTop w:val="0"/>
      <w:marBottom w:val="0"/>
      <w:divBdr>
        <w:top w:val="none" w:sz="0" w:space="0" w:color="auto"/>
        <w:left w:val="none" w:sz="0" w:space="0" w:color="auto"/>
        <w:bottom w:val="none" w:sz="0" w:space="0" w:color="auto"/>
        <w:right w:val="none" w:sz="0" w:space="0" w:color="auto"/>
      </w:divBdr>
    </w:div>
    <w:div w:id="681705574">
      <w:bodyDiv w:val="1"/>
      <w:marLeft w:val="0"/>
      <w:marRight w:val="0"/>
      <w:marTop w:val="0"/>
      <w:marBottom w:val="0"/>
      <w:divBdr>
        <w:top w:val="none" w:sz="0" w:space="0" w:color="auto"/>
        <w:left w:val="none" w:sz="0" w:space="0" w:color="auto"/>
        <w:bottom w:val="none" w:sz="0" w:space="0" w:color="auto"/>
        <w:right w:val="none" w:sz="0" w:space="0" w:color="auto"/>
      </w:divBdr>
    </w:div>
    <w:div w:id="728458043">
      <w:bodyDiv w:val="1"/>
      <w:marLeft w:val="0"/>
      <w:marRight w:val="0"/>
      <w:marTop w:val="0"/>
      <w:marBottom w:val="0"/>
      <w:divBdr>
        <w:top w:val="none" w:sz="0" w:space="0" w:color="auto"/>
        <w:left w:val="none" w:sz="0" w:space="0" w:color="auto"/>
        <w:bottom w:val="none" w:sz="0" w:space="0" w:color="auto"/>
        <w:right w:val="none" w:sz="0" w:space="0" w:color="auto"/>
      </w:divBdr>
      <w:divsChild>
        <w:div w:id="1816487594">
          <w:marLeft w:val="0"/>
          <w:marRight w:val="0"/>
          <w:marTop w:val="0"/>
          <w:marBottom w:val="0"/>
          <w:divBdr>
            <w:top w:val="none" w:sz="0" w:space="0" w:color="auto"/>
            <w:left w:val="single" w:sz="6" w:space="0" w:color="BBBBBB"/>
            <w:bottom w:val="single" w:sz="6" w:space="0" w:color="BBBBBB"/>
            <w:right w:val="single" w:sz="6" w:space="0" w:color="BBBBBB"/>
          </w:divBdr>
          <w:divsChild>
            <w:div w:id="2172136">
              <w:marLeft w:val="0"/>
              <w:marRight w:val="0"/>
              <w:marTop w:val="0"/>
              <w:marBottom w:val="0"/>
              <w:divBdr>
                <w:top w:val="none" w:sz="0" w:space="0" w:color="auto"/>
                <w:left w:val="none" w:sz="0" w:space="0" w:color="auto"/>
                <w:bottom w:val="none" w:sz="0" w:space="0" w:color="auto"/>
                <w:right w:val="none" w:sz="0" w:space="0" w:color="auto"/>
              </w:divBdr>
              <w:divsChild>
                <w:div w:id="860827224">
                  <w:marLeft w:val="0"/>
                  <w:marRight w:val="0"/>
                  <w:marTop w:val="0"/>
                  <w:marBottom w:val="0"/>
                  <w:divBdr>
                    <w:top w:val="none" w:sz="0" w:space="0" w:color="auto"/>
                    <w:left w:val="none" w:sz="0" w:space="0" w:color="auto"/>
                    <w:bottom w:val="none" w:sz="0" w:space="0" w:color="auto"/>
                    <w:right w:val="none" w:sz="0" w:space="0" w:color="auto"/>
                  </w:divBdr>
                  <w:divsChild>
                    <w:div w:id="4675955">
                      <w:marLeft w:val="0"/>
                      <w:marRight w:val="0"/>
                      <w:marTop w:val="0"/>
                      <w:marBottom w:val="0"/>
                      <w:divBdr>
                        <w:top w:val="none" w:sz="0" w:space="0" w:color="auto"/>
                        <w:left w:val="none" w:sz="0" w:space="0" w:color="auto"/>
                        <w:bottom w:val="none" w:sz="0" w:space="0" w:color="auto"/>
                        <w:right w:val="none" w:sz="0" w:space="0" w:color="auto"/>
                      </w:divBdr>
                      <w:divsChild>
                        <w:div w:id="1899051526">
                          <w:marLeft w:val="0"/>
                          <w:marRight w:val="0"/>
                          <w:marTop w:val="0"/>
                          <w:marBottom w:val="0"/>
                          <w:divBdr>
                            <w:top w:val="none" w:sz="0" w:space="0" w:color="auto"/>
                            <w:left w:val="none" w:sz="0" w:space="0" w:color="auto"/>
                            <w:bottom w:val="none" w:sz="0" w:space="0" w:color="auto"/>
                            <w:right w:val="none" w:sz="0" w:space="0" w:color="auto"/>
                          </w:divBdr>
                          <w:divsChild>
                            <w:div w:id="1162085703">
                              <w:marLeft w:val="0"/>
                              <w:marRight w:val="0"/>
                              <w:marTop w:val="0"/>
                              <w:marBottom w:val="0"/>
                              <w:divBdr>
                                <w:top w:val="none" w:sz="0" w:space="0" w:color="auto"/>
                                <w:left w:val="none" w:sz="0" w:space="0" w:color="auto"/>
                                <w:bottom w:val="none" w:sz="0" w:space="0" w:color="auto"/>
                                <w:right w:val="none" w:sz="0" w:space="0" w:color="auto"/>
                              </w:divBdr>
                              <w:divsChild>
                                <w:div w:id="494342377">
                                  <w:marLeft w:val="0"/>
                                  <w:marRight w:val="0"/>
                                  <w:marTop w:val="0"/>
                                  <w:marBottom w:val="0"/>
                                  <w:divBdr>
                                    <w:top w:val="none" w:sz="0" w:space="0" w:color="auto"/>
                                    <w:left w:val="none" w:sz="0" w:space="0" w:color="auto"/>
                                    <w:bottom w:val="none" w:sz="0" w:space="0" w:color="auto"/>
                                    <w:right w:val="none" w:sz="0" w:space="0" w:color="auto"/>
                                  </w:divBdr>
                                  <w:divsChild>
                                    <w:div w:id="361634091">
                                      <w:marLeft w:val="0"/>
                                      <w:marRight w:val="0"/>
                                      <w:marTop w:val="0"/>
                                      <w:marBottom w:val="0"/>
                                      <w:divBdr>
                                        <w:top w:val="none" w:sz="0" w:space="0" w:color="auto"/>
                                        <w:left w:val="none" w:sz="0" w:space="0" w:color="auto"/>
                                        <w:bottom w:val="none" w:sz="0" w:space="0" w:color="auto"/>
                                        <w:right w:val="none" w:sz="0" w:space="0" w:color="auto"/>
                                      </w:divBdr>
                                      <w:divsChild>
                                        <w:div w:id="1022123125">
                                          <w:marLeft w:val="1200"/>
                                          <w:marRight w:val="1200"/>
                                          <w:marTop w:val="0"/>
                                          <w:marBottom w:val="0"/>
                                          <w:divBdr>
                                            <w:top w:val="none" w:sz="0" w:space="0" w:color="auto"/>
                                            <w:left w:val="none" w:sz="0" w:space="0" w:color="auto"/>
                                            <w:bottom w:val="none" w:sz="0" w:space="0" w:color="auto"/>
                                            <w:right w:val="none" w:sz="0" w:space="0" w:color="auto"/>
                                          </w:divBdr>
                                          <w:divsChild>
                                            <w:div w:id="262036898">
                                              <w:marLeft w:val="0"/>
                                              <w:marRight w:val="0"/>
                                              <w:marTop w:val="0"/>
                                              <w:marBottom w:val="0"/>
                                              <w:divBdr>
                                                <w:top w:val="none" w:sz="0" w:space="0" w:color="auto"/>
                                                <w:left w:val="none" w:sz="0" w:space="0" w:color="auto"/>
                                                <w:bottom w:val="none" w:sz="0" w:space="0" w:color="auto"/>
                                                <w:right w:val="none" w:sz="0" w:space="0" w:color="auto"/>
                                              </w:divBdr>
                                              <w:divsChild>
                                                <w:div w:id="2014411488">
                                                  <w:marLeft w:val="0"/>
                                                  <w:marRight w:val="0"/>
                                                  <w:marTop w:val="240"/>
                                                  <w:marBottom w:val="0"/>
                                                  <w:divBdr>
                                                    <w:top w:val="none" w:sz="0" w:space="0" w:color="auto"/>
                                                    <w:left w:val="none" w:sz="0" w:space="0" w:color="auto"/>
                                                    <w:bottom w:val="none" w:sz="0" w:space="0" w:color="auto"/>
                                                    <w:right w:val="none" w:sz="0" w:space="0" w:color="auto"/>
                                                  </w:divBdr>
                                                  <w:divsChild>
                                                    <w:div w:id="1245412540">
                                                      <w:marLeft w:val="0"/>
                                                      <w:marRight w:val="0"/>
                                                      <w:marTop w:val="0"/>
                                                      <w:marBottom w:val="0"/>
                                                      <w:divBdr>
                                                        <w:top w:val="none" w:sz="0" w:space="0" w:color="auto"/>
                                                        <w:left w:val="none" w:sz="0" w:space="0" w:color="auto"/>
                                                        <w:bottom w:val="none" w:sz="0" w:space="0" w:color="auto"/>
                                                        <w:right w:val="none" w:sz="0" w:space="0" w:color="auto"/>
                                                      </w:divBdr>
                                                      <w:divsChild>
                                                        <w:div w:id="181286594">
                                                          <w:marLeft w:val="1275"/>
                                                          <w:marRight w:val="0"/>
                                                          <w:marTop w:val="0"/>
                                                          <w:marBottom w:val="0"/>
                                                          <w:divBdr>
                                                            <w:top w:val="none" w:sz="0" w:space="0" w:color="auto"/>
                                                            <w:left w:val="none" w:sz="0" w:space="0" w:color="auto"/>
                                                            <w:bottom w:val="none" w:sz="0" w:space="0" w:color="auto"/>
                                                            <w:right w:val="none" w:sz="0" w:space="0" w:color="auto"/>
                                                          </w:divBdr>
                                                          <w:divsChild>
                                                            <w:div w:id="1166628907">
                                                              <w:marLeft w:val="0"/>
                                                              <w:marRight w:val="0"/>
                                                              <w:marTop w:val="0"/>
                                                              <w:marBottom w:val="0"/>
                                                              <w:divBdr>
                                                                <w:top w:val="none" w:sz="0" w:space="0" w:color="auto"/>
                                                                <w:left w:val="none" w:sz="0" w:space="0" w:color="auto"/>
                                                                <w:bottom w:val="none" w:sz="0" w:space="0" w:color="auto"/>
                                                                <w:right w:val="none" w:sz="0" w:space="0" w:color="auto"/>
                                                              </w:divBdr>
                                                              <w:divsChild>
                                                                <w:div w:id="17723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6924134">
      <w:bodyDiv w:val="1"/>
      <w:marLeft w:val="0"/>
      <w:marRight w:val="0"/>
      <w:marTop w:val="0"/>
      <w:marBottom w:val="0"/>
      <w:divBdr>
        <w:top w:val="none" w:sz="0" w:space="0" w:color="auto"/>
        <w:left w:val="none" w:sz="0" w:space="0" w:color="auto"/>
        <w:bottom w:val="none" w:sz="0" w:space="0" w:color="auto"/>
        <w:right w:val="none" w:sz="0" w:space="0" w:color="auto"/>
      </w:divBdr>
    </w:div>
    <w:div w:id="747118596">
      <w:bodyDiv w:val="1"/>
      <w:marLeft w:val="0"/>
      <w:marRight w:val="0"/>
      <w:marTop w:val="0"/>
      <w:marBottom w:val="0"/>
      <w:divBdr>
        <w:top w:val="none" w:sz="0" w:space="0" w:color="auto"/>
        <w:left w:val="none" w:sz="0" w:space="0" w:color="auto"/>
        <w:bottom w:val="none" w:sz="0" w:space="0" w:color="auto"/>
        <w:right w:val="none" w:sz="0" w:space="0" w:color="auto"/>
      </w:divBdr>
    </w:div>
    <w:div w:id="763762368">
      <w:bodyDiv w:val="1"/>
      <w:marLeft w:val="0"/>
      <w:marRight w:val="0"/>
      <w:marTop w:val="0"/>
      <w:marBottom w:val="0"/>
      <w:divBdr>
        <w:top w:val="none" w:sz="0" w:space="0" w:color="auto"/>
        <w:left w:val="none" w:sz="0" w:space="0" w:color="auto"/>
        <w:bottom w:val="none" w:sz="0" w:space="0" w:color="auto"/>
        <w:right w:val="none" w:sz="0" w:space="0" w:color="auto"/>
      </w:divBdr>
    </w:div>
    <w:div w:id="804203728">
      <w:bodyDiv w:val="1"/>
      <w:marLeft w:val="0"/>
      <w:marRight w:val="0"/>
      <w:marTop w:val="0"/>
      <w:marBottom w:val="0"/>
      <w:divBdr>
        <w:top w:val="none" w:sz="0" w:space="0" w:color="auto"/>
        <w:left w:val="none" w:sz="0" w:space="0" w:color="auto"/>
        <w:bottom w:val="none" w:sz="0" w:space="0" w:color="auto"/>
        <w:right w:val="none" w:sz="0" w:space="0" w:color="auto"/>
      </w:divBdr>
      <w:divsChild>
        <w:div w:id="188298008">
          <w:marLeft w:val="0"/>
          <w:marRight w:val="0"/>
          <w:marTop w:val="0"/>
          <w:marBottom w:val="0"/>
          <w:divBdr>
            <w:top w:val="none" w:sz="0" w:space="0" w:color="auto"/>
            <w:left w:val="single" w:sz="6" w:space="0" w:color="BBBBBB"/>
            <w:bottom w:val="single" w:sz="6" w:space="0" w:color="BBBBBB"/>
            <w:right w:val="single" w:sz="6" w:space="0" w:color="BBBBBB"/>
          </w:divBdr>
          <w:divsChild>
            <w:div w:id="562836210">
              <w:marLeft w:val="0"/>
              <w:marRight w:val="0"/>
              <w:marTop w:val="0"/>
              <w:marBottom w:val="0"/>
              <w:divBdr>
                <w:top w:val="none" w:sz="0" w:space="0" w:color="auto"/>
                <w:left w:val="none" w:sz="0" w:space="0" w:color="auto"/>
                <w:bottom w:val="none" w:sz="0" w:space="0" w:color="auto"/>
                <w:right w:val="none" w:sz="0" w:space="0" w:color="auto"/>
              </w:divBdr>
              <w:divsChild>
                <w:div w:id="1680309768">
                  <w:marLeft w:val="0"/>
                  <w:marRight w:val="0"/>
                  <w:marTop w:val="0"/>
                  <w:marBottom w:val="0"/>
                  <w:divBdr>
                    <w:top w:val="none" w:sz="0" w:space="0" w:color="auto"/>
                    <w:left w:val="none" w:sz="0" w:space="0" w:color="auto"/>
                    <w:bottom w:val="none" w:sz="0" w:space="0" w:color="auto"/>
                    <w:right w:val="none" w:sz="0" w:space="0" w:color="auto"/>
                  </w:divBdr>
                  <w:divsChild>
                    <w:div w:id="901063702">
                      <w:marLeft w:val="0"/>
                      <w:marRight w:val="0"/>
                      <w:marTop w:val="0"/>
                      <w:marBottom w:val="0"/>
                      <w:divBdr>
                        <w:top w:val="none" w:sz="0" w:space="0" w:color="auto"/>
                        <w:left w:val="none" w:sz="0" w:space="0" w:color="auto"/>
                        <w:bottom w:val="none" w:sz="0" w:space="0" w:color="auto"/>
                        <w:right w:val="none" w:sz="0" w:space="0" w:color="auto"/>
                      </w:divBdr>
                      <w:divsChild>
                        <w:div w:id="1807118745">
                          <w:marLeft w:val="0"/>
                          <w:marRight w:val="0"/>
                          <w:marTop w:val="0"/>
                          <w:marBottom w:val="0"/>
                          <w:divBdr>
                            <w:top w:val="none" w:sz="0" w:space="0" w:color="auto"/>
                            <w:left w:val="none" w:sz="0" w:space="0" w:color="auto"/>
                            <w:bottom w:val="none" w:sz="0" w:space="0" w:color="auto"/>
                            <w:right w:val="none" w:sz="0" w:space="0" w:color="auto"/>
                          </w:divBdr>
                          <w:divsChild>
                            <w:div w:id="1909145964">
                              <w:marLeft w:val="0"/>
                              <w:marRight w:val="0"/>
                              <w:marTop w:val="0"/>
                              <w:marBottom w:val="0"/>
                              <w:divBdr>
                                <w:top w:val="none" w:sz="0" w:space="0" w:color="auto"/>
                                <w:left w:val="none" w:sz="0" w:space="0" w:color="auto"/>
                                <w:bottom w:val="none" w:sz="0" w:space="0" w:color="auto"/>
                                <w:right w:val="none" w:sz="0" w:space="0" w:color="auto"/>
                              </w:divBdr>
                              <w:divsChild>
                                <w:div w:id="1571843866">
                                  <w:marLeft w:val="0"/>
                                  <w:marRight w:val="0"/>
                                  <w:marTop w:val="0"/>
                                  <w:marBottom w:val="0"/>
                                  <w:divBdr>
                                    <w:top w:val="none" w:sz="0" w:space="0" w:color="auto"/>
                                    <w:left w:val="none" w:sz="0" w:space="0" w:color="auto"/>
                                    <w:bottom w:val="none" w:sz="0" w:space="0" w:color="auto"/>
                                    <w:right w:val="none" w:sz="0" w:space="0" w:color="auto"/>
                                  </w:divBdr>
                                  <w:divsChild>
                                    <w:div w:id="1176267516">
                                      <w:marLeft w:val="0"/>
                                      <w:marRight w:val="0"/>
                                      <w:marTop w:val="0"/>
                                      <w:marBottom w:val="0"/>
                                      <w:divBdr>
                                        <w:top w:val="none" w:sz="0" w:space="0" w:color="auto"/>
                                        <w:left w:val="none" w:sz="0" w:space="0" w:color="auto"/>
                                        <w:bottom w:val="none" w:sz="0" w:space="0" w:color="auto"/>
                                        <w:right w:val="none" w:sz="0" w:space="0" w:color="auto"/>
                                      </w:divBdr>
                                      <w:divsChild>
                                        <w:div w:id="453333790">
                                          <w:marLeft w:val="1200"/>
                                          <w:marRight w:val="1200"/>
                                          <w:marTop w:val="0"/>
                                          <w:marBottom w:val="0"/>
                                          <w:divBdr>
                                            <w:top w:val="none" w:sz="0" w:space="0" w:color="auto"/>
                                            <w:left w:val="none" w:sz="0" w:space="0" w:color="auto"/>
                                            <w:bottom w:val="none" w:sz="0" w:space="0" w:color="auto"/>
                                            <w:right w:val="none" w:sz="0" w:space="0" w:color="auto"/>
                                          </w:divBdr>
                                          <w:divsChild>
                                            <w:div w:id="950672060">
                                              <w:marLeft w:val="0"/>
                                              <w:marRight w:val="0"/>
                                              <w:marTop w:val="0"/>
                                              <w:marBottom w:val="0"/>
                                              <w:divBdr>
                                                <w:top w:val="none" w:sz="0" w:space="0" w:color="auto"/>
                                                <w:left w:val="none" w:sz="0" w:space="0" w:color="auto"/>
                                                <w:bottom w:val="none" w:sz="0" w:space="0" w:color="auto"/>
                                                <w:right w:val="none" w:sz="0" w:space="0" w:color="auto"/>
                                              </w:divBdr>
                                              <w:divsChild>
                                                <w:div w:id="1184052279">
                                                  <w:marLeft w:val="0"/>
                                                  <w:marRight w:val="0"/>
                                                  <w:marTop w:val="240"/>
                                                  <w:marBottom w:val="0"/>
                                                  <w:divBdr>
                                                    <w:top w:val="none" w:sz="0" w:space="0" w:color="auto"/>
                                                    <w:left w:val="none" w:sz="0" w:space="0" w:color="auto"/>
                                                    <w:bottom w:val="none" w:sz="0" w:space="0" w:color="auto"/>
                                                    <w:right w:val="none" w:sz="0" w:space="0" w:color="auto"/>
                                                  </w:divBdr>
                                                  <w:divsChild>
                                                    <w:div w:id="2027947807">
                                                      <w:marLeft w:val="0"/>
                                                      <w:marRight w:val="0"/>
                                                      <w:marTop w:val="0"/>
                                                      <w:marBottom w:val="0"/>
                                                      <w:divBdr>
                                                        <w:top w:val="none" w:sz="0" w:space="0" w:color="auto"/>
                                                        <w:left w:val="none" w:sz="0" w:space="0" w:color="auto"/>
                                                        <w:bottom w:val="none" w:sz="0" w:space="0" w:color="auto"/>
                                                        <w:right w:val="none" w:sz="0" w:space="0" w:color="auto"/>
                                                      </w:divBdr>
                                                      <w:divsChild>
                                                        <w:div w:id="2088337066">
                                                          <w:marLeft w:val="1275"/>
                                                          <w:marRight w:val="0"/>
                                                          <w:marTop w:val="0"/>
                                                          <w:marBottom w:val="0"/>
                                                          <w:divBdr>
                                                            <w:top w:val="none" w:sz="0" w:space="0" w:color="auto"/>
                                                            <w:left w:val="none" w:sz="0" w:space="0" w:color="auto"/>
                                                            <w:bottom w:val="none" w:sz="0" w:space="0" w:color="auto"/>
                                                            <w:right w:val="none" w:sz="0" w:space="0" w:color="auto"/>
                                                          </w:divBdr>
                                                          <w:divsChild>
                                                            <w:div w:id="977997021">
                                                              <w:marLeft w:val="0"/>
                                                              <w:marRight w:val="0"/>
                                                              <w:marTop w:val="0"/>
                                                              <w:marBottom w:val="0"/>
                                                              <w:divBdr>
                                                                <w:top w:val="none" w:sz="0" w:space="0" w:color="auto"/>
                                                                <w:left w:val="none" w:sz="0" w:space="0" w:color="auto"/>
                                                                <w:bottom w:val="none" w:sz="0" w:space="0" w:color="auto"/>
                                                                <w:right w:val="none" w:sz="0" w:space="0" w:color="auto"/>
                                                              </w:divBdr>
                                                              <w:divsChild>
                                                                <w:div w:id="168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751218">
      <w:bodyDiv w:val="1"/>
      <w:marLeft w:val="0"/>
      <w:marRight w:val="0"/>
      <w:marTop w:val="0"/>
      <w:marBottom w:val="0"/>
      <w:divBdr>
        <w:top w:val="none" w:sz="0" w:space="0" w:color="auto"/>
        <w:left w:val="none" w:sz="0" w:space="0" w:color="auto"/>
        <w:bottom w:val="none" w:sz="0" w:space="0" w:color="auto"/>
        <w:right w:val="none" w:sz="0" w:space="0" w:color="auto"/>
      </w:divBdr>
    </w:div>
    <w:div w:id="863438660">
      <w:bodyDiv w:val="1"/>
      <w:marLeft w:val="0"/>
      <w:marRight w:val="0"/>
      <w:marTop w:val="0"/>
      <w:marBottom w:val="0"/>
      <w:divBdr>
        <w:top w:val="none" w:sz="0" w:space="0" w:color="auto"/>
        <w:left w:val="none" w:sz="0" w:space="0" w:color="auto"/>
        <w:bottom w:val="none" w:sz="0" w:space="0" w:color="auto"/>
        <w:right w:val="none" w:sz="0" w:space="0" w:color="auto"/>
      </w:divBdr>
      <w:divsChild>
        <w:div w:id="35668618">
          <w:marLeft w:val="1166"/>
          <w:marRight w:val="0"/>
          <w:marTop w:val="115"/>
          <w:marBottom w:val="0"/>
          <w:divBdr>
            <w:top w:val="none" w:sz="0" w:space="0" w:color="auto"/>
            <w:left w:val="none" w:sz="0" w:space="0" w:color="auto"/>
            <w:bottom w:val="none" w:sz="0" w:space="0" w:color="auto"/>
            <w:right w:val="none" w:sz="0" w:space="0" w:color="auto"/>
          </w:divBdr>
        </w:div>
        <w:div w:id="317734096">
          <w:marLeft w:val="1166"/>
          <w:marRight w:val="0"/>
          <w:marTop w:val="115"/>
          <w:marBottom w:val="0"/>
          <w:divBdr>
            <w:top w:val="none" w:sz="0" w:space="0" w:color="auto"/>
            <w:left w:val="none" w:sz="0" w:space="0" w:color="auto"/>
            <w:bottom w:val="none" w:sz="0" w:space="0" w:color="auto"/>
            <w:right w:val="none" w:sz="0" w:space="0" w:color="auto"/>
          </w:divBdr>
        </w:div>
        <w:div w:id="1169976786">
          <w:marLeft w:val="1166"/>
          <w:marRight w:val="0"/>
          <w:marTop w:val="115"/>
          <w:marBottom w:val="0"/>
          <w:divBdr>
            <w:top w:val="none" w:sz="0" w:space="0" w:color="auto"/>
            <w:left w:val="none" w:sz="0" w:space="0" w:color="auto"/>
            <w:bottom w:val="none" w:sz="0" w:space="0" w:color="auto"/>
            <w:right w:val="none" w:sz="0" w:space="0" w:color="auto"/>
          </w:divBdr>
        </w:div>
      </w:divsChild>
    </w:div>
    <w:div w:id="1007748902">
      <w:bodyDiv w:val="1"/>
      <w:marLeft w:val="0"/>
      <w:marRight w:val="0"/>
      <w:marTop w:val="0"/>
      <w:marBottom w:val="0"/>
      <w:divBdr>
        <w:top w:val="none" w:sz="0" w:space="0" w:color="auto"/>
        <w:left w:val="none" w:sz="0" w:space="0" w:color="auto"/>
        <w:bottom w:val="none" w:sz="0" w:space="0" w:color="auto"/>
        <w:right w:val="none" w:sz="0" w:space="0" w:color="auto"/>
      </w:divBdr>
    </w:div>
    <w:div w:id="1128159123">
      <w:bodyDiv w:val="1"/>
      <w:marLeft w:val="0"/>
      <w:marRight w:val="0"/>
      <w:marTop w:val="0"/>
      <w:marBottom w:val="0"/>
      <w:divBdr>
        <w:top w:val="none" w:sz="0" w:space="0" w:color="auto"/>
        <w:left w:val="none" w:sz="0" w:space="0" w:color="auto"/>
        <w:bottom w:val="none" w:sz="0" w:space="0" w:color="auto"/>
        <w:right w:val="none" w:sz="0" w:space="0" w:color="auto"/>
      </w:divBdr>
    </w:div>
    <w:div w:id="1158107424">
      <w:bodyDiv w:val="1"/>
      <w:marLeft w:val="0"/>
      <w:marRight w:val="0"/>
      <w:marTop w:val="0"/>
      <w:marBottom w:val="0"/>
      <w:divBdr>
        <w:top w:val="none" w:sz="0" w:space="0" w:color="auto"/>
        <w:left w:val="none" w:sz="0" w:space="0" w:color="auto"/>
        <w:bottom w:val="none" w:sz="0" w:space="0" w:color="auto"/>
        <w:right w:val="none" w:sz="0" w:space="0" w:color="auto"/>
      </w:divBdr>
    </w:div>
    <w:div w:id="1166439628">
      <w:bodyDiv w:val="1"/>
      <w:marLeft w:val="0"/>
      <w:marRight w:val="0"/>
      <w:marTop w:val="0"/>
      <w:marBottom w:val="0"/>
      <w:divBdr>
        <w:top w:val="none" w:sz="0" w:space="0" w:color="auto"/>
        <w:left w:val="none" w:sz="0" w:space="0" w:color="auto"/>
        <w:bottom w:val="none" w:sz="0" w:space="0" w:color="auto"/>
        <w:right w:val="none" w:sz="0" w:space="0" w:color="auto"/>
      </w:divBdr>
    </w:div>
    <w:div w:id="1196776586">
      <w:bodyDiv w:val="1"/>
      <w:marLeft w:val="0"/>
      <w:marRight w:val="0"/>
      <w:marTop w:val="0"/>
      <w:marBottom w:val="0"/>
      <w:divBdr>
        <w:top w:val="none" w:sz="0" w:space="0" w:color="auto"/>
        <w:left w:val="none" w:sz="0" w:space="0" w:color="auto"/>
        <w:bottom w:val="none" w:sz="0" w:space="0" w:color="auto"/>
        <w:right w:val="none" w:sz="0" w:space="0" w:color="auto"/>
      </w:divBdr>
    </w:div>
    <w:div w:id="1264650577">
      <w:bodyDiv w:val="1"/>
      <w:marLeft w:val="0"/>
      <w:marRight w:val="0"/>
      <w:marTop w:val="0"/>
      <w:marBottom w:val="0"/>
      <w:divBdr>
        <w:top w:val="none" w:sz="0" w:space="0" w:color="auto"/>
        <w:left w:val="none" w:sz="0" w:space="0" w:color="auto"/>
        <w:bottom w:val="none" w:sz="0" w:space="0" w:color="auto"/>
        <w:right w:val="none" w:sz="0" w:space="0" w:color="auto"/>
      </w:divBdr>
    </w:div>
    <w:div w:id="1283347994">
      <w:bodyDiv w:val="1"/>
      <w:marLeft w:val="0"/>
      <w:marRight w:val="0"/>
      <w:marTop w:val="0"/>
      <w:marBottom w:val="0"/>
      <w:divBdr>
        <w:top w:val="none" w:sz="0" w:space="0" w:color="auto"/>
        <w:left w:val="none" w:sz="0" w:space="0" w:color="auto"/>
        <w:bottom w:val="none" w:sz="0" w:space="0" w:color="auto"/>
        <w:right w:val="none" w:sz="0" w:space="0" w:color="auto"/>
      </w:divBdr>
    </w:div>
    <w:div w:id="1334383390">
      <w:bodyDiv w:val="1"/>
      <w:marLeft w:val="0"/>
      <w:marRight w:val="0"/>
      <w:marTop w:val="0"/>
      <w:marBottom w:val="0"/>
      <w:divBdr>
        <w:top w:val="none" w:sz="0" w:space="0" w:color="auto"/>
        <w:left w:val="none" w:sz="0" w:space="0" w:color="auto"/>
        <w:bottom w:val="none" w:sz="0" w:space="0" w:color="auto"/>
        <w:right w:val="none" w:sz="0" w:space="0" w:color="auto"/>
      </w:divBdr>
      <w:divsChild>
        <w:div w:id="1835417123">
          <w:marLeft w:val="0"/>
          <w:marRight w:val="0"/>
          <w:marTop w:val="0"/>
          <w:marBottom w:val="0"/>
          <w:divBdr>
            <w:top w:val="none" w:sz="0" w:space="0" w:color="auto"/>
            <w:left w:val="none" w:sz="0" w:space="0" w:color="auto"/>
            <w:bottom w:val="none" w:sz="0" w:space="0" w:color="auto"/>
            <w:right w:val="none" w:sz="0" w:space="0" w:color="auto"/>
          </w:divBdr>
          <w:divsChild>
            <w:div w:id="18377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9259">
      <w:bodyDiv w:val="1"/>
      <w:marLeft w:val="0"/>
      <w:marRight w:val="0"/>
      <w:marTop w:val="0"/>
      <w:marBottom w:val="0"/>
      <w:divBdr>
        <w:top w:val="none" w:sz="0" w:space="0" w:color="auto"/>
        <w:left w:val="none" w:sz="0" w:space="0" w:color="auto"/>
        <w:bottom w:val="none" w:sz="0" w:space="0" w:color="auto"/>
        <w:right w:val="none" w:sz="0" w:space="0" w:color="auto"/>
      </w:divBdr>
    </w:div>
    <w:div w:id="1420445982">
      <w:bodyDiv w:val="1"/>
      <w:marLeft w:val="0"/>
      <w:marRight w:val="0"/>
      <w:marTop w:val="0"/>
      <w:marBottom w:val="0"/>
      <w:divBdr>
        <w:top w:val="none" w:sz="0" w:space="0" w:color="auto"/>
        <w:left w:val="none" w:sz="0" w:space="0" w:color="auto"/>
        <w:bottom w:val="none" w:sz="0" w:space="0" w:color="auto"/>
        <w:right w:val="none" w:sz="0" w:space="0" w:color="auto"/>
      </w:divBdr>
    </w:div>
    <w:div w:id="1441878666">
      <w:bodyDiv w:val="1"/>
      <w:marLeft w:val="0"/>
      <w:marRight w:val="0"/>
      <w:marTop w:val="0"/>
      <w:marBottom w:val="0"/>
      <w:divBdr>
        <w:top w:val="none" w:sz="0" w:space="0" w:color="auto"/>
        <w:left w:val="none" w:sz="0" w:space="0" w:color="auto"/>
        <w:bottom w:val="none" w:sz="0" w:space="0" w:color="auto"/>
        <w:right w:val="none" w:sz="0" w:space="0" w:color="auto"/>
      </w:divBdr>
    </w:div>
    <w:div w:id="1508866625">
      <w:bodyDiv w:val="1"/>
      <w:marLeft w:val="0"/>
      <w:marRight w:val="0"/>
      <w:marTop w:val="0"/>
      <w:marBottom w:val="0"/>
      <w:divBdr>
        <w:top w:val="none" w:sz="0" w:space="0" w:color="auto"/>
        <w:left w:val="none" w:sz="0" w:space="0" w:color="auto"/>
        <w:bottom w:val="none" w:sz="0" w:space="0" w:color="auto"/>
        <w:right w:val="none" w:sz="0" w:space="0" w:color="auto"/>
      </w:divBdr>
      <w:divsChild>
        <w:div w:id="1923903925">
          <w:marLeft w:val="0"/>
          <w:marRight w:val="0"/>
          <w:marTop w:val="0"/>
          <w:marBottom w:val="0"/>
          <w:divBdr>
            <w:top w:val="none" w:sz="0" w:space="0" w:color="auto"/>
            <w:left w:val="single" w:sz="6" w:space="0" w:color="BBBBBB"/>
            <w:bottom w:val="single" w:sz="6" w:space="0" w:color="BBBBBB"/>
            <w:right w:val="single" w:sz="6" w:space="0" w:color="BBBBBB"/>
          </w:divBdr>
          <w:divsChild>
            <w:div w:id="1906837601">
              <w:marLeft w:val="0"/>
              <w:marRight w:val="0"/>
              <w:marTop w:val="0"/>
              <w:marBottom w:val="0"/>
              <w:divBdr>
                <w:top w:val="none" w:sz="0" w:space="0" w:color="auto"/>
                <w:left w:val="none" w:sz="0" w:space="0" w:color="auto"/>
                <w:bottom w:val="none" w:sz="0" w:space="0" w:color="auto"/>
                <w:right w:val="none" w:sz="0" w:space="0" w:color="auto"/>
              </w:divBdr>
              <w:divsChild>
                <w:div w:id="929460738">
                  <w:marLeft w:val="0"/>
                  <w:marRight w:val="0"/>
                  <w:marTop w:val="0"/>
                  <w:marBottom w:val="0"/>
                  <w:divBdr>
                    <w:top w:val="none" w:sz="0" w:space="0" w:color="auto"/>
                    <w:left w:val="none" w:sz="0" w:space="0" w:color="auto"/>
                    <w:bottom w:val="none" w:sz="0" w:space="0" w:color="auto"/>
                    <w:right w:val="none" w:sz="0" w:space="0" w:color="auto"/>
                  </w:divBdr>
                  <w:divsChild>
                    <w:div w:id="273900706">
                      <w:marLeft w:val="0"/>
                      <w:marRight w:val="0"/>
                      <w:marTop w:val="0"/>
                      <w:marBottom w:val="0"/>
                      <w:divBdr>
                        <w:top w:val="none" w:sz="0" w:space="0" w:color="auto"/>
                        <w:left w:val="none" w:sz="0" w:space="0" w:color="auto"/>
                        <w:bottom w:val="none" w:sz="0" w:space="0" w:color="auto"/>
                        <w:right w:val="none" w:sz="0" w:space="0" w:color="auto"/>
                      </w:divBdr>
                      <w:divsChild>
                        <w:div w:id="1277836302">
                          <w:marLeft w:val="0"/>
                          <w:marRight w:val="0"/>
                          <w:marTop w:val="0"/>
                          <w:marBottom w:val="0"/>
                          <w:divBdr>
                            <w:top w:val="none" w:sz="0" w:space="0" w:color="auto"/>
                            <w:left w:val="none" w:sz="0" w:space="0" w:color="auto"/>
                            <w:bottom w:val="none" w:sz="0" w:space="0" w:color="auto"/>
                            <w:right w:val="none" w:sz="0" w:space="0" w:color="auto"/>
                          </w:divBdr>
                          <w:divsChild>
                            <w:div w:id="823080569">
                              <w:marLeft w:val="0"/>
                              <w:marRight w:val="0"/>
                              <w:marTop w:val="0"/>
                              <w:marBottom w:val="0"/>
                              <w:divBdr>
                                <w:top w:val="none" w:sz="0" w:space="0" w:color="auto"/>
                                <w:left w:val="none" w:sz="0" w:space="0" w:color="auto"/>
                                <w:bottom w:val="none" w:sz="0" w:space="0" w:color="auto"/>
                                <w:right w:val="none" w:sz="0" w:space="0" w:color="auto"/>
                              </w:divBdr>
                              <w:divsChild>
                                <w:div w:id="821428896">
                                  <w:marLeft w:val="0"/>
                                  <w:marRight w:val="0"/>
                                  <w:marTop w:val="0"/>
                                  <w:marBottom w:val="0"/>
                                  <w:divBdr>
                                    <w:top w:val="none" w:sz="0" w:space="0" w:color="auto"/>
                                    <w:left w:val="none" w:sz="0" w:space="0" w:color="auto"/>
                                    <w:bottom w:val="none" w:sz="0" w:space="0" w:color="auto"/>
                                    <w:right w:val="none" w:sz="0" w:space="0" w:color="auto"/>
                                  </w:divBdr>
                                  <w:divsChild>
                                    <w:div w:id="1136022351">
                                      <w:marLeft w:val="0"/>
                                      <w:marRight w:val="0"/>
                                      <w:marTop w:val="0"/>
                                      <w:marBottom w:val="0"/>
                                      <w:divBdr>
                                        <w:top w:val="none" w:sz="0" w:space="0" w:color="auto"/>
                                        <w:left w:val="none" w:sz="0" w:space="0" w:color="auto"/>
                                        <w:bottom w:val="none" w:sz="0" w:space="0" w:color="auto"/>
                                        <w:right w:val="none" w:sz="0" w:space="0" w:color="auto"/>
                                      </w:divBdr>
                                      <w:divsChild>
                                        <w:div w:id="848907301">
                                          <w:marLeft w:val="1200"/>
                                          <w:marRight w:val="1200"/>
                                          <w:marTop w:val="0"/>
                                          <w:marBottom w:val="0"/>
                                          <w:divBdr>
                                            <w:top w:val="none" w:sz="0" w:space="0" w:color="auto"/>
                                            <w:left w:val="none" w:sz="0" w:space="0" w:color="auto"/>
                                            <w:bottom w:val="none" w:sz="0" w:space="0" w:color="auto"/>
                                            <w:right w:val="none" w:sz="0" w:space="0" w:color="auto"/>
                                          </w:divBdr>
                                          <w:divsChild>
                                            <w:div w:id="1500583155">
                                              <w:marLeft w:val="0"/>
                                              <w:marRight w:val="0"/>
                                              <w:marTop w:val="0"/>
                                              <w:marBottom w:val="0"/>
                                              <w:divBdr>
                                                <w:top w:val="none" w:sz="0" w:space="0" w:color="auto"/>
                                                <w:left w:val="none" w:sz="0" w:space="0" w:color="auto"/>
                                                <w:bottom w:val="none" w:sz="0" w:space="0" w:color="auto"/>
                                                <w:right w:val="none" w:sz="0" w:space="0" w:color="auto"/>
                                              </w:divBdr>
                                              <w:divsChild>
                                                <w:div w:id="2062902418">
                                                  <w:marLeft w:val="0"/>
                                                  <w:marRight w:val="0"/>
                                                  <w:marTop w:val="240"/>
                                                  <w:marBottom w:val="0"/>
                                                  <w:divBdr>
                                                    <w:top w:val="none" w:sz="0" w:space="0" w:color="auto"/>
                                                    <w:left w:val="none" w:sz="0" w:space="0" w:color="auto"/>
                                                    <w:bottom w:val="none" w:sz="0" w:space="0" w:color="auto"/>
                                                    <w:right w:val="none" w:sz="0" w:space="0" w:color="auto"/>
                                                  </w:divBdr>
                                                  <w:divsChild>
                                                    <w:div w:id="869683646">
                                                      <w:marLeft w:val="0"/>
                                                      <w:marRight w:val="0"/>
                                                      <w:marTop w:val="0"/>
                                                      <w:marBottom w:val="0"/>
                                                      <w:divBdr>
                                                        <w:top w:val="none" w:sz="0" w:space="0" w:color="auto"/>
                                                        <w:left w:val="none" w:sz="0" w:space="0" w:color="auto"/>
                                                        <w:bottom w:val="none" w:sz="0" w:space="0" w:color="auto"/>
                                                        <w:right w:val="none" w:sz="0" w:space="0" w:color="auto"/>
                                                      </w:divBdr>
                                                      <w:divsChild>
                                                        <w:div w:id="980114930">
                                                          <w:marLeft w:val="1275"/>
                                                          <w:marRight w:val="0"/>
                                                          <w:marTop w:val="0"/>
                                                          <w:marBottom w:val="0"/>
                                                          <w:divBdr>
                                                            <w:top w:val="none" w:sz="0" w:space="0" w:color="auto"/>
                                                            <w:left w:val="none" w:sz="0" w:space="0" w:color="auto"/>
                                                            <w:bottom w:val="none" w:sz="0" w:space="0" w:color="auto"/>
                                                            <w:right w:val="none" w:sz="0" w:space="0" w:color="auto"/>
                                                          </w:divBdr>
                                                          <w:divsChild>
                                                            <w:div w:id="393117032">
                                                              <w:marLeft w:val="0"/>
                                                              <w:marRight w:val="0"/>
                                                              <w:marTop w:val="0"/>
                                                              <w:marBottom w:val="0"/>
                                                              <w:divBdr>
                                                                <w:top w:val="none" w:sz="0" w:space="0" w:color="auto"/>
                                                                <w:left w:val="none" w:sz="0" w:space="0" w:color="auto"/>
                                                                <w:bottom w:val="none" w:sz="0" w:space="0" w:color="auto"/>
                                                                <w:right w:val="none" w:sz="0" w:space="0" w:color="auto"/>
                                                              </w:divBdr>
                                                              <w:divsChild>
                                                                <w:div w:id="20432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2307518">
      <w:bodyDiv w:val="1"/>
      <w:marLeft w:val="0"/>
      <w:marRight w:val="0"/>
      <w:marTop w:val="0"/>
      <w:marBottom w:val="0"/>
      <w:divBdr>
        <w:top w:val="none" w:sz="0" w:space="0" w:color="auto"/>
        <w:left w:val="none" w:sz="0" w:space="0" w:color="auto"/>
        <w:bottom w:val="none" w:sz="0" w:space="0" w:color="auto"/>
        <w:right w:val="none" w:sz="0" w:space="0" w:color="auto"/>
      </w:divBdr>
      <w:divsChild>
        <w:div w:id="1471754">
          <w:marLeft w:val="0"/>
          <w:marRight w:val="0"/>
          <w:marTop w:val="0"/>
          <w:marBottom w:val="0"/>
          <w:divBdr>
            <w:top w:val="none" w:sz="0" w:space="0" w:color="auto"/>
            <w:left w:val="none" w:sz="0" w:space="0" w:color="auto"/>
            <w:bottom w:val="none" w:sz="0" w:space="0" w:color="auto"/>
            <w:right w:val="none" w:sz="0" w:space="0" w:color="auto"/>
          </w:divBdr>
        </w:div>
        <w:div w:id="22218673">
          <w:marLeft w:val="0"/>
          <w:marRight w:val="0"/>
          <w:marTop w:val="0"/>
          <w:marBottom w:val="0"/>
          <w:divBdr>
            <w:top w:val="none" w:sz="0" w:space="0" w:color="auto"/>
            <w:left w:val="none" w:sz="0" w:space="0" w:color="auto"/>
            <w:bottom w:val="none" w:sz="0" w:space="0" w:color="auto"/>
            <w:right w:val="none" w:sz="0" w:space="0" w:color="auto"/>
          </w:divBdr>
        </w:div>
        <w:div w:id="25257656">
          <w:marLeft w:val="0"/>
          <w:marRight w:val="0"/>
          <w:marTop w:val="0"/>
          <w:marBottom w:val="0"/>
          <w:divBdr>
            <w:top w:val="none" w:sz="0" w:space="0" w:color="auto"/>
            <w:left w:val="none" w:sz="0" w:space="0" w:color="auto"/>
            <w:bottom w:val="none" w:sz="0" w:space="0" w:color="auto"/>
            <w:right w:val="none" w:sz="0" w:space="0" w:color="auto"/>
          </w:divBdr>
        </w:div>
        <w:div w:id="111898911">
          <w:marLeft w:val="0"/>
          <w:marRight w:val="0"/>
          <w:marTop w:val="0"/>
          <w:marBottom w:val="0"/>
          <w:divBdr>
            <w:top w:val="none" w:sz="0" w:space="0" w:color="auto"/>
            <w:left w:val="none" w:sz="0" w:space="0" w:color="auto"/>
            <w:bottom w:val="none" w:sz="0" w:space="0" w:color="auto"/>
            <w:right w:val="none" w:sz="0" w:space="0" w:color="auto"/>
          </w:divBdr>
        </w:div>
        <w:div w:id="184564366">
          <w:marLeft w:val="0"/>
          <w:marRight w:val="0"/>
          <w:marTop w:val="0"/>
          <w:marBottom w:val="0"/>
          <w:divBdr>
            <w:top w:val="none" w:sz="0" w:space="0" w:color="auto"/>
            <w:left w:val="none" w:sz="0" w:space="0" w:color="auto"/>
            <w:bottom w:val="none" w:sz="0" w:space="0" w:color="auto"/>
            <w:right w:val="none" w:sz="0" w:space="0" w:color="auto"/>
          </w:divBdr>
        </w:div>
        <w:div w:id="229273218">
          <w:marLeft w:val="0"/>
          <w:marRight w:val="0"/>
          <w:marTop w:val="0"/>
          <w:marBottom w:val="0"/>
          <w:divBdr>
            <w:top w:val="none" w:sz="0" w:space="0" w:color="auto"/>
            <w:left w:val="none" w:sz="0" w:space="0" w:color="auto"/>
            <w:bottom w:val="none" w:sz="0" w:space="0" w:color="auto"/>
            <w:right w:val="none" w:sz="0" w:space="0" w:color="auto"/>
          </w:divBdr>
        </w:div>
        <w:div w:id="286550669">
          <w:marLeft w:val="0"/>
          <w:marRight w:val="0"/>
          <w:marTop w:val="0"/>
          <w:marBottom w:val="0"/>
          <w:divBdr>
            <w:top w:val="none" w:sz="0" w:space="0" w:color="auto"/>
            <w:left w:val="none" w:sz="0" w:space="0" w:color="auto"/>
            <w:bottom w:val="none" w:sz="0" w:space="0" w:color="auto"/>
            <w:right w:val="none" w:sz="0" w:space="0" w:color="auto"/>
          </w:divBdr>
        </w:div>
        <w:div w:id="303435718">
          <w:marLeft w:val="0"/>
          <w:marRight w:val="0"/>
          <w:marTop w:val="0"/>
          <w:marBottom w:val="0"/>
          <w:divBdr>
            <w:top w:val="none" w:sz="0" w:space="0" w:color="auto"/>
            <w:left w:val="none" w:sz="0" w:space="0" w:color="auto"/>
            <w:bottom w:val="none" w:sz="0" w:space="0" w:color="auto"/>
            <w:right w:val="none" w:sz="0" w:space="0" w:color="auto"/>
          </w:divBdr>
        </w:div>
        <w:div w:id="321354241">
          <w:marLeft w:val="0"/>
          <w:marRight w:val="0"/>
          <w:marTop w:val="0"/>
          <w:marBottom w:val="0"/>
          <w:divBdr>
            <w:top w:val="none" w:sz="0" w:space="0" w:color="auto"/>
            <w:left w:val="none" w:sz="0" w:space="0" w:color="auto"/>
            <w:bottom w:val="none" w:sz="0" w:space="0" w:color="auto"/>
            <w:right w:val="none" w:sz="0" w:space="0" w:color="auto"/>
          </w:divBdr>
        </w:div>
        <w:div w:id="328287220">
          <w:marLeft w:val="0"/>
          <w:marRight w:val="0"/>
          <w:marTop w:val="0"/>
          <w:marBottom w:val="0"/>
          <w:divBdr>
            <w:top w:val="none" w:sz="0" w:space="0" w:color="auto"/>
            <w:left w:val="none" w:sz="0" w:space="0" w:color="auto"/>
            <w:bottom w:val="none" w:sz="0" w:space="0" w:color="auto"/>
            <w:right w:val="none" w:sz="0" w:space="0" w:color="auto"/>
          </w:divBdr>
        </w:div>
        <w:div w:id="358238545">
          <w:marLeft w:val="0"/>
          <w:marRight w:val="0"/>
          <w:marTop w:val="0"/>
          <w:marBottom w:val="0"/>
          <w:divBdr>
            <w:top w:val="none" w:sz="0" w:space="0" w:color="auto"/>
            <w:left w:val="none" w:sz="0" w:space="0" w:color="auto"/>
            <w:bottom w:val="none" w:sz="0" w:space="0" w:color="auto"/>
            <w:right w:val="none" w:sz="0" w:space="0" w:color="auto"/>
          </w:divBdr>
        </w:div>
        <w:div w:id="523327862">
          <w:marLeft w:val="0"/>
          <w:marRight w:val="0"/>
          <w:marTop w:val="0"/>
          <w:marBottom w:val="0"/>
          <w:divBdr>
            <w:top w:val="none" w:sz="0" w:space="0" w:color="auto"/>
            <w:left w:val="none" w:sz="0" w:space="0" w:color="auto"/>
            <w:bottom w:val="none" w:sz="0" w:space="0" w:color="auto"/>
            <w:right w:val="none" w:sz="0" w:space="0" w:color="auto"/>
          </w:divBdr>
        </w:div>
        <w:div w:id="562329439">
          <w:marLeft w:val="0"/>
          <w:marRight w:val="0"/>
          <w:marTop w:val="0"/>
          <w:marBottom w:val="0"/>
          <w:divBdr>
            <w:top w:val="none" w:sz="0" w:space="0" w:color="auto"/>
            <w:left w:val="none" w:sz="0" w:space="0" w:color="auto"/>
            <w:bottom w:val="none" w:sz="0" w:space="0" w:color="auto"/>
            <w:right w:val="none" w:sz="0" w:space="0" w:color="auto"/>
          </w:divBdr>
        </w:div>
        <w:div w:id="585190160">
          <w:marLeft w:val="0"/>
          <w:marRight w:val="0"/>
          <w:marTop w:val="0"/>
          <w:marBottom w:val="0"/>
          <w:divBdr>
            <w:top w:val="none" w:sz="0" w:space="0" w:color="auto"/>
            <w:left w:val="none" w:sz="0" w:space="0" w:color="auto"/>
            <w:bottom w:val="none" w:sz="0" w:space="0" w:color="auto"/>
            <w:right w:val="none" w:sz="0" w:space="0" w:color="auto"/>
          </w:divBdr>
        </w:div>
        <w:div w:id="590233958">
          <w:marLeft w:val="0"/>
          <w:marRight w:val="0"/>
          <w:marTop w:val="0"/>
          <w:marBottom w:val="0"/>
          <w:divBdr>
            <w:top w:val="none" w:sz="0" w:space="0" w:color="auto"/>
            <w:left w:val="none" w:sz="0" w:space="0" w:color="auto"/>
            <w:bottom w:val="none" w:sz="0" w:space="0" w:color="auto"/>
            <w:right w:val="none" w:sz="0" w:space="0" w:color="auto"/>
          </w:divBdr>
        </w:div>
        <w:div w:id="595015984">
          <w:marLeft w:val="0"/>
          <w:marRight w:val="0"/>
          <w:marTop w:val="0"/>
          <w:marBottom w:val="0"/>
          <w:divBdr>
            <w:top w:val="none" w:sz="0" w:space="0" w:color="auto"/>
            <w:left w:val="none" w:sz="0" w:space="0" w:color="auto"/>
            <w:bottom w:val="none" w:sz="0" w:space="0" w:color="auto"/>
            <w:right w:val="none" w:sz="0" w:space="0" w:color="auto"/>
          </w:divBdr>
        </w:div>
        <w:div w:id="652373614">
          <w:marLeft w:val="0"/>
          <w:marRight w:val="0"/>
          <w:marTop w:val="0"/>
          <w:marBottom w:val="0"/>
          <w:divBdr>
            <w:top w:val="none" w:sz="0" w:space="0" w:color="auto"/>
            <w:left w:val="none" w:sz="0" w:space="0" w:color="auto"/>
            <w:bottom w:val="none" w:sz="0" w:space="0" w:color="auto"/>
            <w:right w:val="none" w:sz="0" w:space="0" w:color="auto"/>
          </w:divBdr>
        </w:div>
        <w:div w:id="671032483">
          <w:marLeft w:val="0"/>
          <w:marRight w:val="0"/>
          <w:marTop w:val="0"/>
          <w:marBottom w:val="0"/>
          <w:divBdr>
            <w:top w:val="none" w:sz="0" w:space="0" w:color="auto"/>
            <w:left w:val="none" w:sz="0" w:space="0" w:color="auto"/>
            <w:bottom w:val="none" w:sz="0" w:space="0" w:color="auto"/>
            <w:right w:val="none" w:sz="0" w:space="0" w:color="auto"/>
          </w:divBdr>
        </w:div>
        <w:div w:id="729695322">
          <w:marLeft w:val="0"/>
          <w:marRight w:val="0"/>
          <w:marTop w:val="0"/>
          <w:marBottom w:val="0"/>
          <w:divBdr>
            <w:top w:val="none" w:sz="0" w:space="0" w:color="auto"/>
            <w:left w:val="none" w:sz="0" w:space="0" w:color="auto"/>
            <w:bottom w:val="none" w:sz="0" w:space="0" w:color="auto"/>
            <w:right w:val="none" w:sz="0" w:space="0" w:color="auto"/>
          </w:divBdr>
        </w:div>
        <w:div w:id="779371943">
          <w:marLeft w:val="0"/>
          <w:marRight w:val="0"/>
          <w:marTop w:val="0"/>
          <w:marBottom w:val="0"/>
          <w:divBdr>
            <w:top w:val="none" w:sz="0" w:space="0" w:color="auto"/>
            <w:left w:val="none" w:sz="0" w:space="0" w:color="auto"/>
            <w:bottom w:val="none" w:sz="0" w:space="0" w:color="auto"/>
            <w:right w:val="none" w:sz="0" w:space="0" w:color="auto"/>
          </w:divBdr>
        </w:div>
        <w:div w:id="844783517">
          <w:marLeft w:val="0"/>
          <w:marRight w:val="0"/>
          <w:marTop w:val="0"/>
          <w:marBottom w:val="0"/>
          <w:divBdr>
            <w:top w:val="none" w:sz="0" w:space="0" w:color="auto"/>
            <w:left w:val="none" w:sz="0" w:space="0" w:color="auto"/>
            <w:bottom w:val="none" w:sz="0" w:space="0" w:color="auto"/>
            <w:right w:val="none" w:sz="0" w:space="0" w:color="auto"/>
          </w:divBdr>
        </w:div>
        <w:div w:id="866601610">
          <w:marLeft w:val="0"/>
          <w:marRight w:val="0"/>
          <w:marTop w:val="0"/>
          <w:marBottom w:val="0"/>
          <w:divBdr>
            <w:top w:val="none" w:sz="0" w:space="0" w:color="auto"/>
            <w:left w:val="none" w:sz="0" w:space="0" w:color="auto"/>
            <w:bottom w:val="none" w:sz="0" w:space="0" w:color="auto"/>
            <w:right w:val="none" w:sz="0" w:space="0" w:color="auto"/>
          </w:divBdr>
        </w:div>
        <w:div w:id="921449863">
          <w:marLeft w:val="0"/>
          <w:marRight w:val="0"/>
          <w:marTop w:val="0"/>
          <w:marBottom w:val="0"/>
          <w:divBdr>
            <w:top w:val="none" w:sz="0" w:space="0" w:color="auto"/>
            <w:left w:val="none" w:sz="0" w:space="0" w:color="auto"/>
            <w:bottom w:val="none" w:sz="0" w:space="0" w:color="auto"/>
            <w:right w:val="none" w:sz="0" w:space="0" w:color="auto"/>
          </w:divBdr>
        </w:div>
        <w:div w:id="949506820">
          <w:marLeft w:val="0"/>
          <w:marRight w:val="0"/>
          <w:marTop w:val="0"/>
          <w:marBottom w:val="0"/>
          <w:divBdr>
            <w:top w:val="none" w:sz="0" w:space="0" w:color="auto"/>
            <w:left w:val="none" w:sz="0" w:space="0" w:color="auto"/>
            <w:bottom w:val="none" w:sz="0" w:space="0" w:color="auto"/>
            <w:right w:val="none" w:sz="0" w:space="0" w:color="auto"/>
          </w:divBdr>
        </w:div>
        <w:div w:id="994408743">
          <w:marLeft w:val="0"/>
          <w:marRight w:val="0"/>
          <w:marTop w:val="0"/>
          <w:marBottom w:val="0"/>
          <w:divBdr>
            <w:top w:val="none" w:sz="0" w:space="0" w:color="auto"/>
            <w:left w:val="none" w:sz="0" w:space="0" w:color="auto"/>
            <w:bottom w:val="none" w:sz="0" w:space="0" w:color="auto"/>
            <w:right w:val="none" w:sz="0" w:space="0" w:color="auto"/>
          </w:divBdr>
        </w:div>
        <w:div w:id="1020206074">
          <w:marLeft w:val="0"/>
          <w:marRight w:val="0"/>
          <w:marTop w:val="0"/>
          <w:marBottom w:val="0"/>
          <w:divBdr>
            <w:top w:val="none" w:sz="0" w:space="0" w:color="auto"/>
            <w:left w:val="none" w:sz="0" w:space="0" w:color="auto"/>
            <w:bottom w:val="none" w:sz="0" w:space="0" w:color="auto"/>
            <w:right w:val="none" w:sz="0" w:space="0" w:color="auto"/>
          </w:divBdr>
        </w:div>
        <w:div w:id="1068649088">
          <w:marLeft w:val="0"/>
          <w:marRight w:val="0"/>
          <w:marTop w:val="0"/>
          <w:marBottom w:val="0"/>
          <w:divBdr>
            <w:top w:val="none" w:sz="0" w:space="0" w:color="auto"/>
            <w:left w:val="none" w:sz="0" w:space="0" w:color="auto"/>
            <w:bottom w:val="none" w:sz="0" w:space="0" w:color="auto"/>
            <w:right w:val="none" w:sz="0" w:space="0" w:color="auto"/>
          </w:divBdr>
        </w:div>
        <w:div w:id="1126242380">
          <w:marLeft w:val="0"/>
          <w:marRight w:val="0"/>
          <w:marTop w:val="0"/>
          <w:marBottom w:val="0"/>
          <w:divBdr>
            <w:top w:val="none" w:sz="0" w:space="0" w:color="auto"/>
            <w:left w:val="none" w:sz="0" w:space="0" w:color="auto"/>
            <w:bottom w:val="none" w:sz="0" w:space="0" w:color="auto"/>
            <w:right w:val="none" w:sz="0" w:space="0" w:color="auto"/>
          </w:divBdr>
        </w:div>
        <w:div w:id="1236744455">
          <w:marLeft w:val="0"/>
          <w:marRight w:val="0"/>
          <w:marTop w:val="0"/>
          <w:marBottom w:val="0"/>
          <w:divBdr>
            <w:top w:val="none" w:sz="0" w:space="0" w:color="auto"/>
            <w:left w:val="none" w:sz="0" w:space="0" w:color="auto"/>
            <w:bottom w:val="none" w:sz="0" w:space="0" w:color="auto"/>
            <w:right w:val="none" w:sz="0" w:space="0" w:color="auto"/>
          </w:divBdr>
        </w:div>
        <w:div w:id="1298562323">
          <w:marLeft w:val="0"/>
          <w:marRight w:val="0"/>
          <w:marTop w:val="0"/>
          <w:marBottom w:val="0"/>
          <w:divBdr>
            <w:top w:val="none" w:sz="0" w:space="0" w:color="auto"/>
            <w:left w:val="none" w:sz="0" w:space="0" w:color="auto"/>
            <w:bottom w:val="none" w:sz="0" w:space="0" w:color="auto"/>
            <w:right w:val="none" w:sz="0" w:space="0" w:color="auto"/>
          </w:divBdr>
        </w:div>
        <w:div w:id="1360008517">
          <w:marLeft w:val="0"/>
          <w:marRight w:val="0"/>
          <w:marTop w:val="0"/>
          <w:marBottom w:val="0"/>
          <w:divBdr>
            <w:top w:val="none" w:sz="0" w:space="0" w:color="auto"/>
            <w:left w:val="none" w:sz="0" w:space="0" w:color="auto"/>
            <w:bottom w:val="none" w:sz="0" w:space="0" w:color="auto"/>
            <w:right w:val="none" w:sz="0" w:space="0" w:color="auto"/>
          </w:divBdr>
        </w:div>
        <w:div w:id="1586307839">
          <w:marLeft w:val="0"/>
          <w:marRight w:val="0"/>
          <w:marTop w:val="0"/>
          <w:marBottom w:val="0"/>
          <w:divBdr>
            <w:top w:val="none" w:sz="0" w:space="0" w:color="auto"/>
            <w:left w:val="none" w:sz="0" w:space="0" w:color="auto"/>
            <w:bottom w:val="none" w:sz="0" w:space="0" w:color="auto"/>
            <w:right w:val="none" w:sz="0" w:space="0" w:color="auto"/>
          </w:divBdr>
        </w:div>
        <w:div w:id="1683506488">
          <w:marLeft w:val="0"/>
          <w:marRight w:val="0"/>
          <w:marTop w:val="0"/>
          <w:marBottom w:val="0"/>
          <w:divBdr>
            <w:top w:val="none" w:sz="0" w:space="0" w:color="auto"/>
            <w:left w:val="none" w:sz="0" w:space="0" w:color="auto"/>
            <w:bottom w:val="none" w:sz="0" w:space="0" w:color="auto"/>
            <w:right w:val="none" w:sz="0" w:space="0" w:color="auto"/>
          </w:divBdr>
        </w:div>
        <w:div w:id="1760252875">
          <w:marLeft w:val="0"/>
          <w:marRight w:val="0"/>
          <w:marTop w:val="0"/>
          <w:marBottom w:val="0"/>
          <w:divBdr>
            <w:top w:val="none" w:sz="0" w:space="0" w:color="auto"/>
            <w:left w:val="none" w:sz="0" w:space="0" w:color="auto"/>
            <w:bottom w:val="none" w:sz="0" w:space="0" w:color="auto"/>
            <w:right w:val="none" w:sz="0" w:space="0" w:color="auto"/>
          </w:divBdr>
        </w:div>
        <w:div w:id="1856311372">
          <w:marLeft w:val="0"/>
          <w:marRight w:val="0"/>
          <w:marTop w:val="0"/>
          <w:marBottom w:val="0"/>
          <w:divBdr>
            <w:top w:val="none" w:sz="0" w:space="0" w:color="auto"/>
            <w:left w:val="none" w:sz="0" w:space="0" w:color="auto"/>
            <w:bottom w:val="none" w:sz="0" w:space="0" w:color="auto"/>
            <w:right w:val="none" w:sz="0" w:space="0" w:color="auto"/>
          </w:divBdr>
        </w:div>
        <w:div w:id="1876381507">
          <w:marLeft w:val="0"/>
          <w:marRight w:val="0"/>
          <w:marTop w:val="0"/>
          <w:marBottom w:val="0"/>
          <w:divBdr>
            <w:top w:val="none" w:sz="0" w:space="0" w:color="auto"/>
            <w:left w:val="none" w:sz="0" w:space="0" w:color="auto"/>
            <w:bottom w:val="none" w:sz="0" w:space="0" w:color="auto"/>
            <w:right w:val="none" w:sz="0" w:space="0" w:color="auto"/>
          </w:divBdr>
        </w:div>
        <w:div w:id="2128157508">
          <w:marLeft w:val="0"/>
          <w:marRight w:val="0"/>
          <w:marTop w:val="0"/>
          <w:marBottom w:val="0"/>
          <w:divBdr>
            <w:top w:val="none" w:sz="0" w:space="0" w:color="auto"/>
            <w:left w:val="none" w:sz="0" w:space="0" w:color="auto"/>
            <w:bottom w:val="none" w:sz="0" w:space="0" w:color="auto"/>
            <w:right w:val="none" w:sz="0" w:space="0" w:color="auto"/>
          </w:divBdr>
        </w:div>
      </w:divsChild>
    </w:div>
    <w:div w:id="1558468136">
      <w:bodyDiv w:val="1"/>
      <w:marLeft w:val="0"/>
      <w:marRight w:val="0"/>
      <w:marTop w:val="0"/>
      <w:marBottom w:val="0"/>
      <w:divBdr>
        <w:top w:val="none" w:sz="0" w:space="0" w:color="auto"/>
        <w:left w:val="none" w:sz="0" w:space="0" w:color="auto"/>
        <w:bottom w:val="none" w:sz="0" w:space="0" w:color="auto"/>
        <w:right w:val="none" w:sz="0" w:space="0" w:color="auto"/>
      </w:divBdr>
    </w:div>
    <w:div w:id="1564757546">
      <w:bodyDiv w:val="1"/>
      <w:marLeft w:val="0"/>
      <w:marRight w:val="0"/>
      <w:marTop w:val="0"/>
      <w:marBottom w:val="0"/>
      <w:divBdr>
        <w:top w:val="none" w:sz="0" w:space="0" w:color="auto"/>
        <w:left w:val="none" w:sz="0" w:space="0" w:color="auto"/>
        <w:bottom w:val="none" w:sz="0" w:space="0" w:color="auto"/>
        <w:right w:val="none" w:sz="0" w:space="0" w:color="auto"/>
      </w:divBdr>
    </w:div>
    <w:div w:id="1630550815">
      <w:bodyDiv w:val="1"/>
      <w:marLeft w:val="0"/>
      <w:marRight w:val="0"/>
      <w:marTop w:val="0"/>
      <w:marBottom w:val="0"/>
      <w:divBdr>
        <w:top w:val="none" w:sz="0" w:space="0" w:color="auto"/>
        <w:left w:val="none" w:sz="0" w:space="0" w:color="auto"/>
        <w:bottom w:val="none" w:sz="0" w:space="0" w:color="auto"/>
        <w:right w:val="none" w:sz="0" w:space="0" w:color="auto"/>
      </w:divBdr>
    </w:div>
    <w:div w:id="1643073381">
      <w:bodyDiv w:val="1"/>
      <w:marLeft w:val="0"/>
      <w:marRight w:val="0"/>
      <w:marTop w:val="0"/>
      <w:marBottom w:val="0"/>
      <w:divBdr>
        <w:top w:val="none" w:sz="0" w:space="0" w:color="auto"/>
        <w:left w:val="none" w:sz="0" w:space="0" w:color="auto"/>
        <w:bottom w:val="none" w:sz="0" w:space="0" w:color="auto"/>
        <w:right w:val="none" w:sz="0" w:space="0" w:color="auto"/>
      </w:divBdr>
    </w:div>
    <w:div w:id="1647314609">
      <w:bodyDiv w:val="1"/>
      <w:marLeft w:val="0"/>
      <w:marRight w:val="0"/>
      <w:marTop w:val="0"/>
      <w:marBottom w:val="0"/>
      <w:divBdr>
        <w:top w:val="none" w:sz="0" w:space="0" w:color="auto"/>
        <w:left w:val="none" w:sz="0" w:space="0" w:color="auto"/>
        <w:bottom w:val="none" w:sz="0" w:space="0" w:color="auto"/>
        <w:right w:val="none" w:sz="0" w:space="0" w:color="auto"/>
      </w:divBdr>
    </w:div>
    <w:div w:id="1901210864">
      <w:bodyDiv w:val="1"/>
      <w:marLeft w:val="0"/>
      <w:marRight w:val="0"/>
      <w:marTop w:val="0"/>
      <w:marBottom w:val="0"/>
      <w:divBdr>
        <w:top w:val="none" w:sz="0" w:space="0" w:color="auto"/>
        <w:left w:val="none" w:sz="0" w:space="0" w:color="auto"/>
        <w:bottom w:val="none" w:sz="0" w:space="0" w:color="auto"/>
        <w:right w:val="none" w:sz="0" w:space="0" w:color="auto"/>
      </w:divBdr>
    </w:div>
    <w:div w:id="1954743939">
      <w:bodyDiv w:val="1"/>
      <w:marLeft w:val="0"/>
      <w:marRight w:val="0"/>
      <w:marTop w:val="0"/>
      <w:marBottom w:val="0"/>
      <w:divBdr>
        <w:top w:val="none" w:sz="0" w:space="0" w:color="auto"/>
        <w:left w:val="none" w:sz="0" w:space="0" w:color="auto"/>
        <w:bottom w:val="none" w:sz="0" w:space="0" w:color="auto"/>
        <w:right w:val="none" w:sz="0" w:space="0" w:color="auto"/>
      </w:divBdr>
    </w:div>
    <w:div w:id="1994601248">
      <w:bodyDiv w:val="1"/>
      <w:marLeft w:val="0"/>
      <w:marRight w:val="0"/>
      <w:marTop w:val="0"/>
      <w:marBottom w:val="0"/>
      <w:divBdr>
        <w:top w:val="none" w:sz="0" w:space="0" w:color="auto"/>
        <w:left w:val="none" w:sz="0" w:space="0" w:color="auto"/>
        <w:bottom w:val="none" w:sz="0" w:space="0" w:color="auto"/>
        <w:right w:val="none" w:sz="0" w:space="0" w:color="auto"/>
      </w:divBdr>
    </w:div>
    <w:div w:id="2085761503">
      <w:bodyDiv w:val="1"/>
      <w:marLeft w:val="0"/>
      <w:marRight w:val="0"/>
      <w:marTop w:val="0"/>
      <w:marBottom w:val="0"/>
      <w:divBdr>
        <w:top w:val="none" w:sz="0" w:space="0" w:color="auto"/>
        <w:left w:val="none" w:sz="0" w:space="0" w:color="auto"/>
        <w:bottom w:val="none" w:sz="0" w:space="0" w:color="auto"/>
        <w:right w:val="none" w:sz="0" w:space="0" w:color="auto"/>
      </w:divBdr>
      <w:divsChild>
        <w:div w:id="94831400">
          <w:marLeft w:val="547"/>
          <w:marRight w:val="0"/>
          <w:marTop w:val="120"/>
          <w:marBottom w:val="240"/>
          <w:divBdr>
            <w:top w:val="none" w:sz="0" w:space="0" w:color="auto"/>
            <w:left w:val="none" w:sz="0" w:space="0" w:color="auto"/>
            <w:bottom w:val="none" w:sz="0" w:space="0" w:color="auto"/>
            <w:right w:val="none" w:sz="0" w:space="0" w:color="auto"/>
          </w:divBdr>
        </w:div>
        <w:div w:id="168183449">
          <w:marLeft w:val="547"/>
          <w:marRight w:val="0"/>
          <w:marTop w:val="120"/>
          <w:marBottom w:val="240"/>
          <w:divBdr>
            <w:top w:val="none" w:sz="0" w:space="0" w:color="auto"/>
            <w:left w:val="none" w:sz="0" w:space="0" w:color="auto"/>
            <w:bottom w:val="none" w:sz="0" w:space="0" w:color="auto"/>
            <w:right w:val="none" w:sz="0" w:space="0" w:color="auto"/>
          </w:divBdr>
        </w:div>
        <w:div w:id="918246920">
          <w:marLeft w:val="547"/>
          <w:marRight w:val="0"/>
          <w:marTop w:val="120"/>
          <w:marBottom w:val="240"/>
          <w:divBdr>
            <w:top w:val="none" w:sz="0" w:space="0" w:color="auto"/>
            <w:left w:val="none" w:sz="0" w:space="0" w:color="auto"/>
            <w:bottom w:val="none" w:sz="0" w:space="0" w:color="auto"/>
            <w:right w:val="none" w:sz="0" w:space="0" w:color="auto"/>
          </w:divBdr>
        </w:div>
        <w:div w:id="1466042557">
          <w:marLeft w:val="547"/>
          <w:marRight w:val="0"/>
          <w:marTop w:val="120"/>
          <w:marBottom w:val="240"/>
          <w:divBdr>
            <w:top w:val="none" w:sz="0" w:space="0" w:color="auto"/>
            <w:left w:val="none" w:sz="0" w:space="0" w:color="auto"/>
            <w:bottom w:val="none" w:sz="0" w:space="0" w:color="auto"/>
            <w:right w:val="none" w:sz="0" w:space="0" w:color="auto"/>
          </w:divBdr>
        </w:div>
      </w:divsChild>
    </w:div>
    <w:div w:id="2132479039">
      <w:bodyDiv w:val="1"/>
      <w:marLeft w:val="0"/>
      <w:marRight w:val="0"/>
      <w:marTop w:val="0"/>
      <w:marBottom w:val="0"/>
      <w:divBdr>
        <w:top w:val="none" w:sz="0" w:space="0" w:color="auto"/>
        <w:left w:val="none" w:sz="0" w:space="0" w:color="auto"/>
        <w:bottom w:val="none" w:sz="0" w:space="0" w:color="auto"/>
        <w:right w:val="none" w:sz="0" w:space="0" w:color="auto"/>
      </w:divBdr>
    </w:div>
    <w:div w:id="21369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usac.org/_res/documents/sl/pdf/forms/471i.pdf" TargetMode="External"/><Relationship Id="rId13" Type="http://schemas.openxmlformats.org/officeDocument/2006/relationships/hyperlink" Target="http://www.fcc.gov/encyclopedia/e-rate-modernization-data" TargetMode="External"/><Relationship Id="rId3" Type="http://schemas.openxmlformats.org/officeDocument/2006/relationships/hyperlink" Target="http://usac.org/sl/tools/news/default.aspx" TargetMode="External"/><Relationship Id="rId7" Type="http://schemas.openxmlformats.org/officeDocument/2006/relationships/hyperlink" Target="http://www.usac.org/_res/documents/sl/pdf/forms/471.pdf" TargetMode="External"/><Relationship Id="rId12" Type="http://schemas.openxmlformats.org/officeDocument/2006/relationships/hyperlink" Target="http://www.fcc.gov/encyclopedia/e-rate-modernization-data" TargetMode="External"/><Relationship Id="rId2" Type="http://schemas.openxmlformats.org/officeDocument/2006/relationships/hyperlink" Target="http://www.imls.gov/research/pls_data_files.aspx" TargetMode="External"/><Relationship Id="rId1" Type="http://schemas.openxmlformats.org/officeDocument/2006/relationships/hyperlink" Target="http://www.imls.gov/research/public_libraries_in_the_us_fy_2011_report.aspx" TargetMode="External"/><Relationship Id="rId6" Type="http://schemas.openxmlformats.org/officeDocument/2006/relationships/hyperlink" Target="http://www.fcc.gov/maps/E-rate-fiber-map" TargetMode="External"/><Relationship Id="rId11" Type="http://schemas.openxmlformats.org/officeDocument/2006/relationships/hyperlink" Target="http://www.vermontfiberconnect.com/" TargetMode="External"/><Relationship Id="rId5" Type="http://schemas.openxmlformats.org/officeDocument/2006/relationships/hyperlink" Target="http://www.fcc.gov/encyclopedia/e-rate-modernization-data" TargetMode="External"/><Relationship Id="rId10" Type="http://schemas.openxmlformats.org/officeDocument/2006/relationships/hyperlink" Target="http://www.fcc.gov/encyclopedia/e-rate-modernization-data" TargetMode="External"/><Relationship Id="rId4" Type="http://schemas.openxmlformats.org/officeDocument/2006/relationships/hyperlink" Target="http://www.usac.org/sl/tools/news-briefs/preview.aspx?id=536" TargetMode="External"/><Relationship Id="rId9" Type="http://schemas.openxmlformats.org/officeDocument/2006/relationships/hyperlink" Target="http://www.schoolspeedtest.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ccnet\data\Co-Share\E-Rate%20Data%20Team\Whitepaper\Presentation\Charts%20for%20Rollout%20Presentatio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fccnet\data\Co-Share\E-Rate%20Data%20Team\Whitepaper\Presentation\Charts%20for%20Rollout%20Present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ccnet\data\Co-Share\E-Rate%20Data%20Team\Whitepaper\Presentation\Charts%20for%20Rollout%20Present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ccnet\data\Bureaus-Offices\OSP\ABaker\E-rate_2014\figures4-5_jul2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ccnet\data\Co-Share\E-Rate%20Data%20Team\Whitepaper\Sources\IC\IC-BMIC%20Funding%20Cap%20Scenarios%20(MAW%204-22-14)-2%20(MAW%206-9-14).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2" Type="http://schemas.openxmlformats.org/officeDocument/2006/relationships/oleObject" Target="file:///\\fccnet\data\Co-Share\E-Rate%20Data%20Team\Whitepaper\Sources\Funding\2014_05_13%20Summary%20of%20471%20and%20Item%2024%20Data%20(MAW%205-19-14).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file:///\\fccnet\data\Co-Share\E-Rate%20Data%20Team\Whitepaper\Presentation\Copy%20of%20Charts%20for%20Rollout%20Presentation%20(6-3-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585848643919499"/>
          <c:y val="3.8011695906432698E-2"/>
          <c:w val="0.60628827646544203"/>
          <c:h val="0.87764922129213396"/>
        </c:manualLayout>
      </c:layout>
      <c:barChart>
        <c:barDir val="col"/>
        <c:grouping val="stacked"/>
        <c:varyColors val="0"/>
        <c:ser>
          <c:idx val="0"/>
          <c:order val="0"/>
          <c:tx>
            <c:strRef>
              <c:f>'IC FY2008-12 Schools Students'!$B$37</c:f>
              <c:strCache>
                <c:ptCount val="1"/>
                <c:pt idx="0">
                  <c:v>Funded Schools</c:v>
                </c:pt>
              </c:strCache>
            </c:strRef>
          </c:tx>
          <c:spPr>
            <a:solidFill>
              <a:schemeClr val="tx2"/>
            </a:solidFill>
          </c:spPr>
          <c:invertIfNegative val="0"/>
          <c:cat>
            <c:strRef>
              <c:f>'IC FY2008-12 Schools Students'!$A$38:$A$43</c:f>
              <c:strCache>
                <c:ptCount val="6"/>
                <c:pt idx="0">
                  <c:v>FY2008</c:v>
                </c:pt>
                <c:pt idx="1">
                  <c:v>FY2009</c:v>
                </c:pt>
                <c:pt idx="2">
                  <c:v>FY2010</c:v>
                </c:pt>
                <c:pt idx="3">
                  <c:v>FY2011</c:v>
                </c:pt>
                <c:pt idx="4">
                  <c:v>FY2012</c:v>
                </c:pt>
                <c:pt idx="5">
                  <c:v>FY2013</c:v>
                </c:pt>
              </c:strCache>
            </c:strRef>
          </c:cat>
          <c:val>
            <c:numRef>
              <c:f>'IC FY2008-12 Schools Students'!$B$38:$B$43</c:f>
              <c:numCache>
                <c:formatCode>_(* #,##0_);_(* \(#,##0\);_(* "-"??_);_(@_)</c:formatCode>
                <c:ptCount val="6"/>
                <c:pt idx="0">
                  <c:v>5190</c:v>
                </c:pt>
                <c:pt idx="1">
                  <c:v>7380</c:v>
                </c:pt>
                <c:pt idx="2">
                  <c:v>12448</c:v>
                </c:pt>
                <c:pt idx="3">
                  <c:v>5180</c:v>
                </c:pt>
                <c:pt idx="4">
                  <c:v>5767</c:v>
                </c:pt>
                <c:pt idx="5" formatCode="General">
                  <c:v>0</c:v>
                </c:pt>
              </c:numCache>
            </c:numRef>
          </c:val>
        </c:ser>
        <c:ser>
          <c:idx val="1"/>
          <c:order val="1"/>
          <c:tx>
            <c:strRef>
              <c:f>'IC FY2008-12 Schools Students'!$C$37</c:f>
              <c:strCache>
                <c:ptCount val="1"/>
                <c:pt idx="0">
                  <c:v>Total Schools</c:v>
                </c:pt>
              </c:strCache>
            </c:strRef>
          </c:tx>
          <c:spPr>
            <a:solidFill>
              <a:schemeClr val="accent1">
                <a:lumMod val="40000"/>
                <a:lumOff val="60000"/>
              </a:schemeClr>
            </a:solidFill>
          </c:spPr>
          <c:invertIfNegative val="0"/>
          <c:cat>
            <c:strRef>
              <c:f>'IC FY2008-12 Schools Students'!$A$38:$A$43</c:f>
              <c:strCache>
                <c:ptCount val="6"/>
                <c:pt idx="0">
                  <c:v>FY2008</c:v>
                </c:pt>
                <c:pt idx="1">
                  <c:v>FY2009</c:v>
                </c:pt>
                <c:pt idx="2">
                  <c:v>FY2010</c:v>
                </c:pt>
                <c:pt idx="3">
                  <c:v>FY2011</c:v>
                </c:pt>
                <c:pt idx="4">
                  <c:v>FY2012</c:v>
                </c:pt>
                <c:pt idx="5">
                  <c:v>FY2013</c:v>
                </c:pt>
              </c:strCache>
            </c:strRef>
          </c:cat>
          <c:val>
            <c:numRef>
              <c:f>'IC FY2008-12 Schools Students'!$C$38:$C$43</c:f>
              <c:numCache>
                <c:formatCode>_(* #,##0_);_(* \(#,##0\);_(* "-"??_);_(@_)</c:formatCode>
                <c:ptCount val="6"/>
                <c:pt idx="0">
                  <c:v>103980</c:v>
                </c:pt>
                <c:pt idx="1">
                  <c:v>104656</c:v>
                </c:pt>
                <c:pt idx="2">
                  <c:v>100311</c:v>
                </c:pt>
                <c:pt idx="3">
                  <c:v>110855</c:v>
                </c:pt>
                <c:pt idx="4">
                  <c:v>110706</c:v>
                </c:pt>
                <c:pt idx="5" formatCode="General">
                  <c:v>116000</c:v>
                </c:pt>
              </c:numCache>
            </c:numRef>
          </c:val>
        </c:ser>
        <c:dLbls>
          <c:showLegendKey val="0"/>
          <c:showVal val="0"/>
          <c:showCatName val="0"/>
          <c:showSerName val="0"/>
          <c:showPercent val="0"/>
          <c:showBubbleSize val="0"/>
        </c:dLbls>
        <c:gapWidth val="100"/>
        <c:overlap val="100"/>
        <c:axId val="71534848"/>
        <c:axId val="71554560"/>
      </c:barChart>
      <c:catAx>
        <c:axId val="71534848"/>
        <c:scaling>
          <c:orientation val="minMax"/>
        </c:scaling>
        <c:delete val="0"/>
        <c:axPos val="b"/>
        <c:majorTickMark val="none"/>
        <c:minorTickMark val="none"/>
        <c:tickLblPos val="nextTo"/>
        <c:crossAx val="71554560"/>
        <c:crosses val="autoZero"/>
        <c:auto val="1"/>
        <c:lblAlgn val="ctr"/>
        <c:lblOffset val="100"/>
        <c:noMultiLvlLbl val="0"/>
      </c:catAx>
      <c:valAx>
        <c:axId val="71554560"/>
        <c:scaling>
          <c:orientation val="minMax"/>
          <c:max val="120000"/>
        </c:scaling>
        <c:delete val="0"/>
        <c:axPos val="l"/>
        <c:majorGridlines>
          <c:spPr>
            <a:ln>
              <a:solidFill>
                <a:schemeClr val="bg1">
                  <a:lumMod val="65000"/>
                </a:schemeClr>
              </a:solidFill>
            </a:ln>
          </c:spPr>
        </c:majorGridlines>
        <c:title>
          <c:tx>
            <c:rich>
              <a:bodyPr rot="-5400000" vert="horz"/>
              <a:lstStyle/>
              <a:p>
                <a:pPr>
                  <a:defRPr b="0"/>
                </a:pPr>
                <a:r>
                  <a:rPr lang="en-US" b="0"/>
                  <a:t>Schools</a:t>
                </a:r>
              </a:p>
            </c:rich>
          </c:tx>
          <c:overlay val="0"/>
        </c:title>
        <c:numFmt formatCode="#,##0" sourceLinked="0"/>
        <c:majorTickMark val="out"/>
        <c:minorTickMark val="none"/>
        <c:tickLblPos val="nextTo"/>
        <c:spPr>
          <a:ln>
            <a:noFill/>
          </a:ln>
        </c:spPr>
        <c:crossAx val="71534848"/>
        <c:crosses val="autoZero"/>
        <c:crossBetween val="between"/>
      </c:valAx>
    </c:plotArea>
    <c:legend>
      <c:legendPos val="tr"/>
      <c:layout>
        <c:manualLayout>
          <c:xMode val="edge"/>
          <c:yMode val="edge"/>
          <c:x val="0.75024114173228296"/>
          <c:y val="5.9696141115519803E-2"/>
          <c:w val="0.24975885826771699"/>
          <c:h val="0.26742216046523598"/>
        </c:manualLayout>
      </c:layout>
      <c:overlay val="1"/>
      <c:txPr>
        <a:bodyPr/>
        <a:lstStyle/>
        <a:p>
          <a:pPr>
            <a:defRPr sz="1000"/>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01126421697299"/>
          <c:y val="3.3491763755774902E-2"/>
          <c:w val="0.60092355643044604"/>
          <c:h val="0.88668069956602003"/>
        </c:manualLayout>
      </c:layout>
      <c:barChart>
        <c:barDir val="col"/>
        <c:grouping val="stacked"/>
        <c:varyColors val="0"/>
        <c:ser>
          <c:idx val="1"/>
          <c:order val="0"/>
          <c:tx>
            <c:strRef>
              <c:f>'IC Funded Lib.'!$C$13</c:f>
              <c:strCache>
                <c:ptCount val="1"/>
                <c:pt idx="0">
                  <c:v>Funded Library Locations </c:v>
                </c:pt>
              </c:strCache>
            </c:strRef>
          </c:tx>
          <c:spPr>
            <a:solidFill>
              <a:schemeClr val="tx2"/>
            </a:solidFill>
          </c:spPr>
          <c:invertIfNegative val="0"/>
          <c:cat>
            <c:strRef>
              <c:f>'IC Funded Lib.'!$A$14:$A$19</c:f>
              <c:strCache>
                <c:ptCount val="6"/>
                <c:pt idx="0">
                  <c:v>FY2008</c:v>
                </c:pt>
                <c:pt idx="1">
                  <c:v>FY2009</c:v>
                </c:pt>
                <c:pt idx="2">
                  <c:v>FY2010</c:v>
                </c:pt>
                <c:pt idx="3">
                  <c:v>FY2011</c:v>
                </c:pt>
                <c:pt idx="4">
                  <c:v>FY2012</c:v>
                </c:pt>
                <c:pt idx="5">
                  <c:v>FY2013</c:v>
                </c:pt>
              </c:strCache>
            </c:strRef>
          </c:cat>
          <c:val>
            <c:numRef>
              <c:f>'IC Funded Lib.'!$C$14:$C$19</c:f>
              <c:numCache>
                <c:formatCode>General</c:formatCode>
                <c:ptCount val="6"/>
                <c:pt idx="0">
                  <c:v>163</c:v>
                </c:pt>
                <c:pt idx="1">
                  <c:v>424</c:v>
                </c:pt>
                <c:pt idx="2">
                  <c:v>437</c:v>
                </c:pt>
                <c:pt idx="3">
                  <c:v>213</c:v>
                </c:pt>
                <c:pt idx="4">
                  <c:v>177</c:v>
                </c:pt>
                <c:pt idx="5">
                  <c:v>0</c:v>
                </c:pt>
              </c:numCache>
            </c:numRef>
          </c:val>
        </c:ser>
        <c:ser>
          <c:idx val="0"/>
          <c:order val="1"/>
          <c:tx>
            <c:strRef>
              <c:f>'IC Funded Lib.'!$B$13</c:f>
              <c:strCache>
                <c:ptCount val="1"/>
                <c:pt idx="0">
                  <c:v>Total Library Locations (IMLS)</c:v>
                </c:pt>
              </c:strCache>
            </c:strRef>
          </c:tx>
          <c:spPr>
            <a:solidFill>
              <a:schemeClr val="accent1">
                <a:lumMod val="40000"/>
                <a:lumOff val="60000"/>
              </a:schemeClr>
            </a:solidFill>
          </c:spPr>
          <c:invertIfNegative val="0"/>
          <c:cat>
            <c:strRef>
              <c:f>'IC Funded Lib.'!$A$14:$A$19</c:f>
              <c:strCache>
                <c:ptCount val="6"/>
                <c:pt idx="0">
                  <c:v>FY2008</c:v>
                </c:pt>
                <c:pt idx="1">
                  <c:v>FY2009</c:v>
                </c:pt>
                <c:pt idx="2">
                  <c:v>FY2010</c:v>
                </c:pt>
                <c:pt idx="3">
                  <c:v>FY2011</c:v>
                </c:pt>
                <c:pt idx="4">
                  <c:v>FY2012</c:v>
                </c:pt>
                <c:pt idx="5">
                  <c:v>FY2013</c:v>
                </c:pt>
              </c:strCache>
            </c:strRef>
          </c:cat>
          <c:val>
            <c:numRef>
              <c:f>'IC Funded Lib.'!$B$14:$B$19</c:f>
              <c:numCache>
                <c:formatCode>#,##0</c:formatCode>
                <c:ptCount val="6"/>
                <c:pt idx="0">
                  <c:v>16508</c:v>
                </c:pt>
                <c:pt idx="1">
                  <c:v>16274</c:v>
                </c:pt>
                <c:pt idx="2">
                  <c:v>15980</c:v>
                </c:pt>
                <c:pt idx="3">
                  <c:v>16202</c:v>
                </c:pt>
                <c:pt idx="4">
                  <c:v>16734</c:v>
                </c:pt>
                <c:pt idx="5">
                  <c:v>16911</c:v>
                </c:pt>
              </c:numCache>
            </c:numRef>
          </c:val>
        </c:ser>
        <c:dLbls>
          <c:showLegendKey val="0"/>
          <c:showVal val="0"/>
          <c:showCatName val="0"/>
          <c:showSerName val="0"/>
          <c:showPercent val="0"/>
          <c:showBubbleSize val="0"/>
        </c:dLbls>
        <c:gapWidth val="100"/>
        <c:overlap val="100"/>
        <c:axId val="126683776"/>
        <c:axId val="126685568"/>
      </c:barChart>
      <c:catAx>
        <c:axId val="126683776"/>
        <c:scaling>
          <c:orientation val="minMax"/>
        </c:scaling>
        <c:delete val="0"/>
        <c:axPos val="b"/>
        <c:majorTickMark val="none"/>
        <c:minorTickMark val="none"/>
        <c:tickLblPos val="nextTo"/>
        <c:crossAx val="126685568"/>
        <c:crosses val="autoZero"/>
        <c:auto val="1"/>
        <c:lblAlgn val="ctr"/>
        <c:lblOffset val="100"/>
        <c:noMultiLvlLbl val="0"/>
      </c:catAx>
      <c:valAx>
        <c:axId val="126685568"/>
        <c:scaling>
          <c:orientation val="minMax"/>
        </c:scaling>
        <c:delete val="0"/>
        <c:axPos val="l"/>
        <c:majorGridlines>
          <c:spPr>
            <a:ln>
              <a:solidFill>
                <a:schemeClr val="bg1">
                  <a:lumMod val="75000"/>
                </a:schemeClr>
              </a:solidFill>
            </a:ln>
          </c:spPr>
        </c:majorGridlines>
        <c:title>
          <c:tx>
            <c:rich>
              <a:bodyPr rot="-5400000" vert="horz"/>
              <a:lstStyle/>
              <a:p>
                <a:pPr>
                  <a:defRPr b="0"/>
                </a:pPr>
                <a:r>
                  <a:rPr lang="en-US" b="0"/>
                  <a:t>Library Locations</a:t>
                </a:r>
              </a:p>
            </c:rich>
          </c:tx>
          <c:overlay val="0"/>
        </c:title>
        <c:numFmt formatCode="#,##0" sourceLinked="0"/>
        <c:majorTickMark val="out"/>
        <c:minorTickMark val="none"/>
        <c:tickLblPos val="nextTo"/>
        <c:spPr>
          <a:ln>
            <a:noFill/>
          </a:ln>
        </c:spPr>
        <c:crossAx val="126683776"/>
        <c:crosses val="autoZero"/>
        <c:crossBetween val="between"/>
      </c:valAx>
    </c:plotArea>
    <c:legend>
      <c:legendPos val="r"/>
      <c:layout>
        <c:manualLayout>
          <c:xMode val="edge"/>
          <c:yMode val="edge"/>
          <c:x val="0.76673082531350301"/>
          <c:y val="3.4305453587538302E-2"/>
          <c:w val="0.23187828083989501"/>
          <c:h val="0.36525211576275701"/>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5005996646252601"/>
          <c:y val="5.6372275628531997E-2"/>
          <c:w val="0.676328922426363"/>
          <c:h val="0.78596510165856104"/>
        </c:manualLayout>
      </c:layout>
      <c:barChart>
        <c:barDir val="col"/>
        <c:grouping val="stacked"/>
        <c:varyColors val="0"/>
        <c:ser>
          <c:idx val="1"/>
          <c:order val="0"/>
          <c:tx>
            <c:strRef>
              <c:f>'P2 FundingRequests-Alt'!$B$3</c:f>
              <c:strCache>
                <c:ptCount val="1"/>
                <c:pt idx="0">
                  <c:v>90% discount</c:v>
                </c:pt>
              </c:strCache>
            </c:strRef>
          </c:tx>
          <c:spPr>
            <a:solidFill>
              <a:schemeClr val="tx2"/>
            </a:solidFill>
          </c:spPr>
          <c:invertIfNegative val="0"/>
          <c:cat>
            <c:strRef>
              <c:f>'P2 FundingRequests-Alt'!$A$4:$A$9</c:f>
              <c:strCache>
                <c:ptCount val="6"/>
                <c:pt idx="0">
                  <c:v>FY2009</c:v>
                </c:pt>
                <c:pt idx="1">
                  <c:v>FY2010</c:v>
                </c:pt>
                <c:pt idx="2">
                  <c:v>FY2011</c:v>
                </c:pt>
                <c:pt idx="3">
                  <c:v>FY2012</c:v>
                </c:pt>
                <c:pt idx="4">
                  <c:v>FY2013</c:v>
                </c:pt>
                <c:pt idx="5">
                  <c:v>FY2014</c:v>
                </c:pt>
              </c:strCache>
            </c:strRef>
          </c:cat>
          <c:val>
            <c:numRef>
              <c:f>'P2 FundingRequests-Alt'!$B$4:$B$9</c:f>
              <c:numCache>
                <c:formatCode>_("$"* #,##0_);_("$"* \(#,##0\);_("$"* "-"??_);_(@_)</c:formatCode>
                <c:ptCount val="6"/>
                <c:pt idx="0">
                  <c:v>808</c:v>
                </c:pt>
                <c:pt idx="1">
                  <c:v>1003</c:v>
                </c:pt>
                <c:pt idx="2">
                  <c:v>1008</c:v>
                </c:pt>
                <c:pt idx="3">
                  <c:v>1379</c:v>
                </c:pt>
                <c:pt idx="4">
                  <c:v>1760</c:v>
                </c:pt>
                <c:pt idx="5">
                  <c:v>1674</c:v>
                </c:pt>
              </c:numCache>
            </c:numRef>
          </c:val>
        </c:ser>
        <c:ser>
          <c:idx val="2"/>
          <c:order val="1"/>
          <c:tx>
            <c:strRef>
              <c:f>'P2 FundingRequests-Alt'!$C$3</c:f>
              <c:strCache>
                <c:ptCount val="1"/>
                <c:pt idx="0">
                  <c:v>80-89% discount</c:v>
                </c:pt>
              </c:strCache>
            </c:strRef>
          </c:tx>
          <c:invertIfNegative val="0"/>
          <c:cat>
            <c:strRef>
              <c:f>'P2 FundingRequests-Alt'!$A$4:$A$9</c:f>
              <c:strCache>
                <c:ptCount val="6"/>
                <c:pt idx="0">
                  <c:v>FY2009</c:v>
                </c:pt>
                <c:pt idx="1">
                  <c:v>FY2010</c:v>
                </c:pt>
                <c:pt idx="2">
                  <c:v>FY2011</c:v>
                </c:pt>
                <c:pt idx="3">
                  <c:v>FY2012</c:v>
                </c:pt>
                <c:pt idx="4">
                  <c:v>FY2013</c:v>
                </c:pt>
                <c:pt idx="5">
                  <c:v>FY2014</c:v>
                </c:pt>
              </c:strCache>
            </c:strRef>
          </c:cat>
          <c:val>
            <c:numRef>
              <c:f>'P2 FundingRequests-Alt'!$C$4:$C$9</c:f>
              <c:numCache>
                <c:formatCode>_("$"* #,##0_);_("$"* \(#,##0\);_("$"* "-"??_);_(@_)</c:formatCode>
                <c:ptCount val="6"/>
                <c:pt idx="0">
                  <c:v>1016</c:v>
                </c:pt>
                <c:pt idx="1">
                  <c:v>802</c:v>
                </c:pt>
                <c:pt idx="2">
                  <c:v>1087</c:v>
                </c:pt>
                <c:pt idx="3">
                  <c:v>1238</c:v>
                </c:pt>
                <c:pt idx="4">
                  <c:v>461</c:v>
                </c:pt>
                <c:pt idx="5">
                  <c:v>451</c:v>
                </c:pt>
              </c:numCache>
            </c:numRef>
          </c:val>
        </c:ser>
        <c:ser>
          <c:idx val="3"/>
          <c:order val="2"/>
          <c:tx>
            <c:strRef>
              <c:f>'P2 FundingRequests-Alt'!$D$3</c:f>
              <c:strCache>
                <c:ptCount val="1"/>
                <c:pt idx="0">
                  <c:v>&lt; 80% discount</c:v>
                </c:pt>
              </c:strCache>
            </c:strRef>
          </c:tx>
          <c:invertIfNegative val="0"/>
          <c:cat>
            <c:strRef>
              <c:f>'P2 FundingRequests-Alt'!$A$4:$A$9</c:f>
              <c:strCache>
                <c:ptCount val="6"/>
                <c:pt idx="0">
                  <c:v>FY2009</c:v>
                </c:pt>
                <c:pt idx="1">
                  <c:v>FY2010</c:v>
                </c:pt>
                <c:pt idx="2">
                  <c:v>FY2011</c:v>
                </c:pt>
                <c:pt idx="3">
                  <c:v>FY2012</c:v>
                </c:pt>
                <c:pt idx="4">
                  <c:v>FY2013</c:v>
                </c:pt>
                <c:pt idx="5">
                  <c:v>FY2014</c:v>
                </c:pt>
              </c:strCache>
            </c:strRef>
          </c:cat>
          <c:val>
            <c:numRef>
              <c:f>'P2 FundingRequests-Alt'!$D$4:$D$9</c:f>
              <c:numCache>
                <c:formatCode>_("$"* #,##0_);_("$"* \(#,##0\);_("$"* "-"??_);_(@_)</c:formatCode>
                <c:ptCount val="6"/>
                <c:pt idx="0">
                  <c:v>119</c:v>
                </c:pt>
                <c:pt idx="1">
                  <c:v>73</c:v>
                </c:pt>
                <c:pt idx="2">
                  <c:v>42</c:v>
                </c:pt>
                <c:pt idx="3">
                  <c:v>176</c:v>
                </c:pt>
                <c:pt idx="4">
                  <c:v>56</c:v>
                </c:pt>
                <c:pt idx="5">
                  <c:v>69</c:v>
                </c:pt>
              </c:numCache>
            </c:numRef>
          </c:val>
        </c:ser>
        <c:dLbls>
          <c:showLegendKey val="0"/>
          <c:showVal val="0"/>
          <c:showCatName val="0"/>
          <c:showSerName val="0"/>
          <c:showPercent val="0"/>
          <c:showBubbleSize val="0"/>
        </c:dLbls>
        <c:gapWidth val="50"/>
        <c:overlap val="100"/>
        <c:axId val="38580224"/>
        <c:axId val="38581760"/>
      </c:barChart>
      <c:catAx>
        <c:axId val="38580224"/>
        <c:scaling>
          <c:orientation val="minMax"/>
        </c:scaling>
        <c:delete val="0"/>
        <c:axPos val="b"/>
        <c:majorTickMark val="none"/>
        <c:minorTickMark val="none"/>
        <c:tickLblPos val="nextTo"/>
        <c:crossAx val="38581760"/>
        <c:crosses val="autoZero"/>
        <c:auto val="1"/>
        <c:lblAlgn val="ctr"/>
        <c:lblOffset val="100"/>
        <c:noMultiLvlLbl val="0"/>
      </c:catAx>
      <c:valAx>
        <c:axId val="38581760"/>
        <c:scaling>
          <c:orientation val="minMax"/>
        </c:scaling>
        <c:delete val="0"/>
        <c:axPos val="l"/>
        <c:majorGridlines>
          <c:spPr>
            <a:ln>
              <a:solidFill>
                <a:schemeClr val="bg1">
                  <a:lumMod val="75000"/>
                </a:schemeClr>
              </a:solidFill>
            </a:ln>
          </c:spPr>
        </c:majorGridlines>
        <c:title>
          <c:tx>
            <c:rich>
              <a:bodyPr rot="-5400000" vert="horz"/>
              <a:lstStyle/>
              <a:p>
                <a:pPr>
                  <a:defRPr b="0"/>
                </a:pPr>
                <a:r>
                  <a:rPr lang="en-US" b="0"/>
                  <a:t>millions</a:t>
                </a:r>
              </a:p>
            </c:rich>
          </c:tx>
          <c:overlay val="0"/>
        </c:title>
        <c:numFmt formatCode="&quot;$&quot;#,##0" sourceLinked="0"/>
        <c:majorTickMark val="out"/>
        <c:minorTickMark val="none"/>
        <c:tickLblPos val="nextTo"/>
        <c:spPr>
          <a:ln>
            <a:noFill/>
          </a:ln>
        </c:spPr>
        <c:crossAx val="3858022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55731080489939"/>
          <c:y val="4.8273301151132597E-2"/>
          <c:w val="0.74010225284339404"/>
          <c:h val="0.77219972457026198"/>
        </c:manualLayout>
      </c:layout>
      <c:barChart>
        <c:barDir val="col"/>
        <c:grouping val="clustered"/>
        <c:varyColors val="0"/>
        <c:ser>
          <c:idx val="0"/>
          <c:order val="0"/>
          <c:tx>
            <c:strRef>
              <c:f>'Cost Histogram - Fig 4'!$B$1</c:f>
              <c:strCache>
                <c:ptCount val="1"/>
                <c:pt idx="0">
                  <c:v>Average Pre-Discount Cost per Student</c:v>
                </c:pt>
              </c:strCache>
            </c:strRef>
          </c:tx>
          <c:spPr>
            <a:solidFill>
              <a:schemeClr val="tx2"/>
            </a:solidFill>
          </c:spPr>
          <c:invertIfNegative val="0"/>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cat>
            <c:strRef>
              <c:f>'Cost Histogram - Fig 4'!$A$2:$A$11</c:f>
              <c:strCache>
                <c:ptCount val="10"/>
                <c:pt idx="0">
                  <c:v>0-10%</c:v>
                </c:pt>
                <c:pt idx="1">
                  <c:v>10-20%</c:v>
                </c:pt>
                <c:pt idx="2">
                  <c:v>20-30%</c:v>
                </c:pt>
                <c:pt idx="3">
                  <c:v>30-40%</c:v>
                </c:pt>
                <c:pt idx="4">
                  <c:v>40-50%</c:v>
                </c:pt>
                <c:pt idx="5">
                  <c:v>50-60%</c:v>
                </c:pt>
                <c:pt idx="6">
                  <c:v>60-70%</c:v>
                </c:pt>
                <c:pt idx="7">
                  <c:v>70-80%</c:v>
                </c:pt>
                <c:pt idx="8">
                  <c:v>80-90%</c:v>
                </c:pt>
                <c:pt idx="9">
                  <c:v>90-100%</c:v>
                </c:pt>
              </c:strCache>
            </c:strRef>
          </c:cat>
          <c:val>
            <c:numRef>
              <c:f>'Cost Histogram - Fig 4'!$B$2:$B$11</c:f>
              <c:numCache>
                <c:formatCode>"$"#,##0.00</c:formatCode>
                <c:ptCount val="10"/>
                <c:pt idx="0">
                  <c:v>20.5874529922649</c:v>
                </c:pt>
                <c:pt idx="1">
                  <c:v>54.612046533599298</c:v>
                </c:pt>
                <c:pt idx="2">
                  <c:v>85.632697548808494</c:v>
                </c:pt>
                <c:pt idx="3">
                  <c:v>119.218040404764</c:v>
                </c:pt>
                <c:pt idx="4">
                  <c:v>157.24228986930399</c:v>
                </c:pt>
                <c:pt idx="5">
                  <c:v>220.319219472127</c:v>
                </c:pt>
                <c:pt idx="6">
                  <c:v>331.22608494022199</c:v>
                </c:pt>
                <c:pt idx="7">
                  <c:v>515.24313774823497</c:v>
                </c:pt>
                <c:pt idx="8">
                  <c:v>822.19945993280601</c:v>
                </c:pt>
                <c:pt idx="9">
                  <c:v>2724.95488896502</c:v>
                </c:pt>
              </c:numCache>
            </c:numRef>
          </c:val>
        </c:ser>
        <c:dLbls>
          <c:showLegendKey val="0"/>
          <c:showVal val="0"/>
          <c:showCatName val="0"/>
          <c:showSerName val="0"/>
          <c:showPercent val="0"/>
          <c:showBubbleSize val="0"/>
        </c:dLbls>
        <c:gapWidth val="150"/>
        <c:axId val="49363968"/>
        <c:axId val="49374336"/>
      </c:barChart>
      <c:lineChart>
        <c:grouping val="standard"/>
        <c:varyColors val="0"/>
        <c:ser>
          <c:idx val="1"/>
          <c:order val="1"/>
          <c:tx>
            <c:v>Budget</c:v>
          </c:tx>
          <c:spPr>
            <a:ln w="28575" cmpd="sng">
              <a:solidFill>
                <a:schemeClr val="accent6"/>
              </a:solidFill>
              <a:prstDash val="sysDash"/>
            </a:ln>
          </c:spPr>
          <c:marker>
            <c:symbol val="none"/>
          </c:marker>
          <c:dLbls>
            <c:dLbl>
              <c:idx val="9"/>
              <c:layout>
                <c:manualLayout>
                  <c:x val="-2.3148148148148147E-3"/>
                  <c:y val="-3.2826242953517648E-3"/>
                </c:manualLayout>
              </c:layout>
              <c:tx>
                <c:rich>
                  <a:bodyPr/>
                  <a:lstStyle/>
                  <a:p>
                    <a:pPr>
                      <a:defRPr sz="1200" b="1">
                        <a:solidFill>
                          <a:schemeClr val="tx2"/>
                        </a:solidFill>
                      </a:defRPr>
                    </a:pPr>
                    <a:r>
                      <a:rPr lang="en-US">
                        <a:solidFill>
                          <a:schemeClr val="accent6"/>
                        </a:solidFill>
                      </a:rPr>
                      <a:t>$150 </a:t>
                    </a:r>
                  </a:p>
                </c:rich>
              </c:tx>
              <c:spPr>
                <a:noFill/>
                <a:ln>
                  <a:noFill/>
                </a:ln>
              </c:spPr>
              <c:showLegendKey val="0"/>
              <c:showVal val="1"/>
              <c:showCatName val="0"/>
              <c:showSerName val="0"/>
              <c:showPercent val="0"/>
              <c:showBubbleSize val="0"/>
            </c:dLbl>
            <c:spPr>
              <a:noFill/>
              <a:ln>
                <a:noFill/>
              </a:ln>
            </c:spPr>
            <c:txPr>
              <a:bodyPr/>
              <a:lstStyle/>
              <a:p>
                <a:pPr>
                  <a:defRPr sz="1100" b="1">
                    <a:solidFill>
                      <a:srgbClr val="F79646"/>
                    </a:solidFill>
                  </a:defRPr>
                </a:pPr>
                <a:endParaRPr lang="en-US"/>
              </a:p>
            </c:txPr>
            <c:showLegendKey val="0"/>
            <c:showVal val="0"/>
            <c:showCatName val="0"/>
            <c:showSerName val="0"/>
            <c:showPercent val="0"/>
            <c:showBubbleSize val="0"/>
          </c:dLbls>
          <c:cat>
            <c:strRef>
              <c:f>'Cost Histogram - Fig 4'!$A$2:$A$11</c:f>
              <c:strCache>
                <c:ptCount val="10"/>
                <c:pt idx="0">
                  <c:v>0-10%</c:v>
                </c:pt>
                <c:pt idx="1">
                  <c:v>10-20%</c:v>
                </c:pt>
                <c:pt idx="2">
                  <c:v>20-30%</c:v>
                </c:pt>
                <c:pt idx="3">
                  <c:v>30-40%</c:v>
                </c:pt>
                <c:pt idx="4">
                  <c:v>40-50%</c:v>
                </c:pt>
                <c:pt idx="5">
                  <c:v>50-60%</c:v>
                </c:pt>
                <c:pt idx="6">
                  <c:v>60-70%</c:v>
                </c:pt>
                <c:pt idx="7">
                  <c:v>70-80%</c:v>
                </c:pt>
                <c:pt idx="8">
                  <c:v>80-90%</c:v>
                </c:pt>
                <c:pt idx="9">
                  <c:v>90-100%</c:v>
                </c:pt>
              </c:strCache>
            </c:strRef>
          </c:cat>
          <c:val>
            <c:numRef>
              <c:f>'Cost Histogram - Fig 4'!$C$2:$C$11</c:f>
              <c:numCache>
                <c:formatCode>"$"#,##0_);[Red]\("$"#,##0\)</c:formatCode>
                <c:ptCount val="10"/>
                <c:pt idx="0">
                  <c:v>150</c:v>
                </c:pt>
                <c:pt idx="1">
                  <c:v>150</c:v>
                </c:pt>
                <c:pt idx="2">
                  <c:v>150</c:v>
                </c:pt>
                <c:pt idx="3">
                  <c:v>150</c:v>
                </c:pt>
                <c:pt idx="4">
                  <c:v>150</c:v>
                </c:pt>
                <c:pt idx="5">
                  <c:v>150</c:v>
                </c:pt>
                <c:pt idx="6">
                  <c:v>150</c:v>
                </c:pt>
                <c:pt idx="7">
                  <c:v>150</c:v>
                </c:pt>
                <c:pt idx="8">
                  <c:v>150</c:v>
                </c:pt>
                <c:pt idx="9">
                  <c:v>150</c:v>
                </c:pt>
              </c:numCache>
            </c:numRef>
          </c:val>
          <c:smooth val="0"/>
        </c:ser>
        <c:dLbls>
          <c:showLegendKey val="0"/>
          <c:showVal val="0"/>
          <c:showCatName val="0"/>
          <c:showSerName val="0"/>
          <c:showPercent val="0"/>
          <c:showBubbleSize val="0"/>
        </c:dLbls>
        <c:marker val="1"/>
        <c:smooth val="0"/>
        <c:axId val="49363968"/>
        <c:axId val="49374336"/>
      </c:lineChart>
      <c:catAx>
        <c:axId val="49363968"/>
        <c:scaling>
          <c:orientation val="minMax"/>
        </c:scaling>
        <c:delete val="0"/>
        <c:axPos val="b"/>
        <c:title>
          <c:tx>
            <c:rich>
              <a:bodyPr/>
              <a:lstStyle/>
              <a:p>
                <a:pPr>
                  <a:defRPr b="0"/>
                </a:pPr>
                <a:r>
                  <a:rPr lang="en-US" b="0"/>
                  <a:t>Applications by Cost/Student Decile</a:t>
                </a:r>
              </a:p>
            </c:rich>
          </c:tx>
          <c:overlay val="0"/>
        </c:title>
        <c:majorTickMark val="out"/>
        <c:minorTickMark val="none"/>
        <c:tickLblPos val="nextTo"/>
        <c:crossAx val="49374336"/>
        <c:crosses val="autoZero"/>
        <c:auto val="1"/>
        <c:lblAlgn val="ctr"/>
        <c:lblOffset val="100"/>
        <c:noMultiLvlLbl val="0"/>
      </c:catAx>
      <c:valAx>
        <c:axId val="49374336"/>
        <c:scaling>
          <c:orientation val="minMax"/>
        </c:scaling>
        <c:delete val="0"/>
        <c:axPos val="l"/>
        <c:majorGridlines/>
        <c:title>
          <c:tx>
            <c:rich>
              <a:bodyPr rot="-5400000" vert="horz"/>
              <a:lstStyle/>
              <a:p>
                <a:pPr>
                  <a:defRPr b="0"/>
                </a:pPr>
                <a:r>
                  <a:rPr lang="en-US" b="0"/>
                  <a:t>Avg. Pre-Discount</a:t>
                </a:r>
                <a:r>
                  <a:rPr lang="en-US" b="0" baseline="0"/>
                  <a:t> Cost per Student</a:t>
                </a:r>
                <a:endParaRPr lang="en-US" b="0"/>
              </a:p>
            </c:rich>
          </c:tx>
          <c:overlay val="0"/>
        </c:title>
        <c:numFmt formatCode="&quot;$&quot;#,##0" sourceLinked="0"/>
        <c:majorTickMark val="out"/>
        <c:minorTickMark val="none"/>
        <c:tickLblPos val="nextTo"/>
        <c:crossAx val="4936396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65718868474801"/>
          <c:y val="4.9842961548998303E-2"/>
          <c:w val="0.75760207057451201"/>
          <c:h val="0.78289915780729402"/>
        </c:manualLayout>
      </c:layout>
      <c:barChart>
        <c:barDir val="col"/>
        <c:grouping val="stacked"/>
        <c:varyColors val="0"/>
        <c:ser>
          <c:idx val="0"/>
          <c:order val="0"/>
          <c:tx>
            <c:v>Urban Students</c:v>
          </c:tx>
          <c:invertIfNegative val="0"/>
          <c:dPt>
            <c:idx val="0"/>
            <c:invertIfNegative val="0"/>
            <c:bubble3D val="0"/>
            <c:spPr>
              <a:solidFill>
                <a:schemeClr val="accent2"/>
              </a:solidFill>
            </c:spPr>
          </c:dPt>
          <c:dLbls>
            <c:delete val="1"/>
          </c:dLbls>
          <c:cat>
            <c:strRef>
              <c:f>('S4 1B no reform 100-250'!$E$4,'S4 1B no reform 100-250'!$P$4)</c:f>
              <c:strCache>
                <c:ptCount val="2"/>
                <c:pt idx="0">
                  <c:v>No Limit</c:v>
                </c:pt>
                <c:pt idx="1">
                  <c:v>$150 
per Student Budget</c:v>
                </c:pt>
              </c:strCache>
            </c:strRef>
          </c:cat>
          <c:val>
            <c:numRef>
              <c:f>('S4 1B no reform 100-250'!$I$17,'S4 1B no reform 100-250'!$U$17)</c:f>
              <c:numCache>
                <c:formatCode>_(* #,##0_);_(* \(#,##0\);_(* "-"??_);_(@_)</c:formatCode>
                <c:ptCount val="2"/>
                <c:pt idx="0" formatCode="#,##0">
                  <c:v>3202987.272107373</c:v>
                </c:pt>
                <c:pt idx="1">
                  <c:v>7296118.8906622203</c:v>
                </c:pt>
              </c:numCache>
            </c:numRef>
          </c:val>
        </c:ser>
        <c:ser>
          <c:idx val="1"/>
          <c:order val="1"/>
          <c:tx>
            <c:v>Rural Students</c:v>
          </c:tx>
          <c:invertIfNegative val="0"/>
          <c:dPt>
            <c:idx val="0"/>
            <c:invertIfNegative val="0"/>
            <c:bubble3D val="0"/>
            <c:spPr>
              <a:solidFill>
                <a:schemeClr val="accent2">
                  <a:lumMod val="60000"/>
                  <a:lumOff val="40000"/>
                </a:schemeClr>
              </a:solidFill>
            </c:spPr>
          </c:dPt>
          <c:dPt>
            <c:idx val="1"/>
            <c:invertIfNegative val="0"/>
            <c:bubble3D val="0"/>
            <c:spPr>
              <a:solidFill>
                <a:schemeClr val="accent1">
                  <a:lumMod val="60000"/>
                  <a:lumOff val="40000"/>
                </a:schemeClr>
              </a:solidFill>
            </c:spPr>
          </c:dPt>
          <c:dLbls>
            <c:delete val="1"/>
          </c:dLbls>
          <c:cat>
            <c:strRef>
              <c:f>('S4 1B no reform 100-250'!$E$4,'S4 1B no reform 100-250'!$P$4)</c:f>
              <c:strCache>
                <c:ptCount val="2"/>
                <c:pt idx="0">
                  <c:v>No Limit</c:v>
                </c:pt>
                <c:pt idx="1">
                  <c:v>$150 
per Student Budget</c:v>
                </c:pt>
              </c:strCache>
            </c:strRef>
          </c:cat>
          <c:val>
            <c:numRef>
              <c:f>('S4 1B no reform 100-250'!$H$17,'S4 1B no reform 100-250'!$T$17)</c:f>
              <c:numCache>
                <c:formatCode>_(* #,##0_);_(* \(#,##0\);_(* "-"??_);_(@_)</c:formatCode>
                <c:ptCount val="2"/>
                <c:pt idx="0" formatCode="#,##0">
                  <c:v>609084.71683959966</c:v>
                </c:pt>
                <c:pt idx="1">
                  <c:v>3162664.5909120995</c:v>
                </c:pt>
              </c:numCache>
            </c:numRef>
          </c:val>
        </c:ser>
        <c:dLbls>
          <c:showLegendKey val="0"/>
          <c:showVal val="1"/>
          <c:showCatName val="0"/>
          <c:showSerName val="0"/>
          <c:showPercent val="0"/>
          <c:showBubbleSize val="0"/>
        </c:dLbls>
        <c:gapWidth val="150"/>
        <c:overlap val="100"/>
        <c:axId val="49409024"/>
        <c:axId val="49410816"/>
      </c:barChart>
      <c:catAx>
        <c:axId val="49409024"/>
        <c:scaling>
          <c:orientation val="minMax"/>
        </c:scaling>
        <c:delete val="0"/>
        <c:axPos val="b"/>
        <c:majorTickMark val="none"/>
        <c:minorTickMark val="none"/>
        <c:tickLblPos val="nextTo"/>
        <c:crossAx val="49410816"/>
        <c:crosses val="autoZero"/>
        <c:auto val="1"/>
        <c:lblAlgn val="ctr"/>
        <c:lblOffset val="100"/>
        <c:noMultiLvlLbl val="0"/>
      </c:catAx>
      <c:valAx>
        <c:axId val="49410816"/>
        <c:scaling>
          <c:orientation val="minMax"/>
        </c:scaling>
        <c:delete val="0"/>
        <c:axPos val="l"/>
        <c:majorGridlines>
          <c:spPr>
            <a:ln>
              <a:solidFill>
                <a:schemeClr val="bg1">
                  <a:lumMod val="75000"/>
                </a:schemeClr>
              </a:solidFill>
            </a:ln>
          </c:spPr>
        </c:majorGridlines>
        <c:title>
          <c:tx>
            <c:rich>
              <a:bodyPr rot="-5400000" vert="horz"/>
              <a:lstStyle/>
              <a:p>
                <a:pPr>
                  <a:defRPr/>
                </a:pPr>
                <a:r>
                  <a:rPr lang="en-US" b="0"/>
                  <a:t>Students (millions)</a:t>
                </a:r>
              </a:p>
            </c:rich>
          </c:tx>
          <c:overlay val="0"/>
        </c:title>
        <c:numFmt formatCode="#,##0.0" sourceLinked="0"/>
        <c:majorTickMark val="out"/>
        <c:minorTickMark val="none"/>
        <c:tickLblPos val="nextTo"/>
        <c:spPr>
          <a:ln>
            <a:noFill/>
          </a:ln>
        </c:spPr>
        <c:crossAx val="49409024"/>
        <c:crosses val="autoZero"/>
        <c:crossBetween val="between"/>
        <c:dispUnits>
          <c:builtInUnit val="millions"/>
        </c:dispUnits>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276367138135511"/>
          <c:y val="0.14106876260367099"/>
          <c:w val="0.44726584524156698"/>
          <c:h val="0.81326758526306997"/>
        </c:manualLayout>
      </c:layout>
      <c:pieChart>
        <c:varyColors val="1"/>
        <c:ser>
          <c:idx val="0"/>
          <c:order val="0"/>
          <c:tx>
            <c:strRef>
              <c:f>Sheet1!$B$1</c:f>
              <c:strCache>
                <c:ptCount val="1"/>
                <c:pt idx="0">
                  <c:v>Fiber</c:v>
                </c:pt>
              </c:strCache>
            </c:strRef>
          </c:tx>
          <c:dPt>
            <c:idx val="0"/>
            <c:bubble3D val="0"/>
            <c:spPr>
              <a:solidFill>
                <a:schemeClr val="tx2"/>
              </a:solidFill>
            </c:spPr>
          </c:dPt>
          <c:dPt>
            <c:idx val="1"/>
            <c:bubble3D val="0"/>
          </c:dPt>
          <c:dPt>
            <c:idx val="2"/>
            <c:bubble3D val="0"/>
          </c:dPt>
          <c:dPt>
            <c:idx val="3"/>
            <c:bubble3D val="0"/>
          </c:dPt>
          <c:dLbls>
            <c:dLbl>
              <c:idx val="0"/>
              <c:layout>
                <c:manualLayout>
                  <c:x val="1.36608407253136E-2"/>
                  <c:y val="-0.102564102564103"/>
                </c:manualLayout>
              </c:layout>
              <c:dLblPos val="bestFit"/>
              <c:showLegendKey val="0"/>
              <c:showVal val="1"/>
              <c:showCatName val="1"/>
              <c:showSerName val="0"/>
              <c:showPercent val="0"/>
              <c:showBubbleSize val="0"/>
              <c:separator>
</c:separator>
            </c:dLbl>
            <c:dLbl>
              <c:idx val="1"/>
              <c:layout>
                <c:manualLayout>
                  <c:x val="-4.2310264819709498E-3"/>
                  <c:y val="3.3805176062393898E-3"/>
                </c:manualLayout>
              </c:layout>
              <c:dLblPos val="bestFit"/>
              <c:showLegendKey val="0"/>
              <c:showVal val="1"/>
              <c:showCatName val="1"/>
              <c:showSerName val="0"/>
              <c:showPercent val="0"/>
              <c:showBubbleSize val="0"/>
              <c:separator>
</c:separator>
            </c:dLbl>
            <c:dLbl>
              <c:idx val="2"/>
              <c:layout>
                <c:manualLayout>
                  <c:x val="1.17164616285882E-2"/>
                  <c:y val="0"/>
                </c:manualLayout>
              </c:layout>
              <c:dLblPos val="bestFit"/>
              <c:showLegendKey val="0"/>
              <c:showVal val="1"/>
              <c:showCatName val="1"/>
              <c:showSerName val="0"/>
              <c:showPercent val="0"/>
              <c:showBubbleSize val="0"/>
              <c:separator>
</c:separator>
            </c:dLbl>
            <c:dLbl>
              <c:idx val="3"/>
              <c:layout>
                <c:manualLayout>
                  <c:x val="1.8689324642855502E-2"/>
                  <c:y val="3.0389363722697099E-2"/>
                </c:manualLayout>
              </c:layout>
              <c:dLblPos val="bestFit"/>
              <c:showLegendKey val="0"/>
              <c:showVal val="1"/>
              <c:showCatName val="1"/>
              <c:showSerName val="0"/>
              <c:showPercent val="0"/>
              <c:showBubbleSize val="0"/>
              <c:separator>
</c:separator>
            </c:dLbl>
            <c:txPr>
              <a:bodyPr/>
              <a:lstStyle/>
              <a:p>
                <a:pPr>
                  <a:defRPr sz="1000" b="0"/>
                </a:pPr>
                <a:endParaRPr lang="en-US"/>
              </a:p>
            </c:txPr>
            <c:dLblPos val="outEnd"/>
            <c:showLegendKey val="0"/>
            <c:showVal val="1"/>
            <c:showCatName val="1"/>
            <c:showSerName val="0"/>
            <c:showPercent val="0"/>
            <c:showBubbleSize val="0"/>
            <c:separator>
</c:separator>
            <c:showLeaderLines val="0"/>
          </c:dLbls>
          <c:cat>
            <c:strRef>
              <c:f>Sheet1!$A$2:$A$5</c:f>
              <c:strCache>
                <c:ptCount val="4"/>
                <c:pt idx="0">
                  <c:v>Schools 
With Fiber</c:v>
                </c:pt>
                <c:pt idx="1">
                  <c:v>Schools
&lt; 100 Students
Without Fiber</c:v>
                </c:pt>
                <c:pt idx="2">
                  <c:v>Non-Rural Schools
&gt; 100 Students
Without Fiber</c:v>
                </c:pt>
                <c:pt idx="3">
                  <c:v>Rural Schools 
&gt; 100 Students 
Without Fiber</c:v>
                </c:pt>
              </c:strCache>
            </c:strRef>
          </c:cat>
          <c:val>
            <c:numRef>
              <c:f>Sheet1!$B$2:$B$5</c:f>
              <c:numCache>
                <c:formatCode>0%</c:formatCode>
                <c:ptCount val="4"/>
                <c:pt idx="0">
                  <c:v>0.65</c:v>
                </c:pt>
                <c:pt idx="1">
                  <c:v>0.05</c:v>
                </c:pt>
                <c:pt idx="2">
                  <c:v>0.189</c:v>
                </c:pt>
                <c:pt idx="3">
                  <c:v>0.111</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gap"/>
    <c:showDLblsOverMax val="0"/>
  </c:chart>
  <c:spPr>
    <a:ln>
      <a:noFill/>
    </a:ln>
  </c:spPr>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27755905511799"/>
          <c:y val="4.27842762429263E-2"/>
          <c:w val="0.75024095946340097"/>
          <c:h val="0.73052356894694503"/>
        </c:manualLayout>
      </c:layout>
      <c:barChart>
        <c:barDir val="col"/>
        <c:grouping val="clustered"/>
        <c:varyColors val="0"/>
        <c:ser>
          <c:idx val="0"/>
          <c:order val="0"/>
          <c:tx>
            <c:strRef>
              <c:f>'1G cost histogram_deciles'!$W$4</c:f>
              <c:strCache>
                <c:ptCount val="1"/>
              </c:strCache>
            </c:strRef>
          </c:tx>
          <c:invertIfNegative val="0"/>
          <c:cat>
            <c:strRef>
              <c:f>'1G cost histogram_deciles'!$U$5:$V$14</c:f>
              <c:strCache>
                <c:ptCount val="10"/>
                <c:pt idx="0">
                  <c:v>0-10%</c:v>
                </c:pt>
                <c:pt idx="1">
                  <c:v>10-20%</c:v>
                </c:pt>
                <c:pt idx="2">
                  <c:v>20-30%</c:v>
                </c:pt>
                <c:pt idx="3">
                  <c:v>30-40%</c:v>
                </c:pt>
                <c:pt idx="4">
                  <c:v>40-50%</c:v>
                </c:pt>
                <c:pt idx="5">
                  <c:v>50-60%</c:v>
                </c:pt>
                <c:pt idx="6">
                  <c:v>60-70%</c:v>
                </c:pt>
                <c:pt idx="7">
                  <c:v>70-80%</c:v>
                </c:pt>
                <c:pt idx="8">
                  <c:v>80-90%</c:v>
                </c:pt>
                <c:pt idx="9">
                  <c:v>90-100%</c:v>
                </c:pt>
              </c:strCache>
            </c:strRef>
          </c:cat>
          <c:val>
            <c:numRef>
              <c:f>'1G cost histogram_deciles'!$W$5:$W$14</c:f>
            </c:numRef>
          </c:val>
        </c:ser>
        <c:ser>
          <c:idx val="1"/>
          <c:order val="1"/>
          <c:tx>
            <c:strRef>
              <c:f>'1G cost histogram_deciles'!$X$4</c:f>
              <c:strCache>
                <c:ptCount val="1"/>
                <c:pt idx="0">
                  <c:v>Avg. Cost per 1-Gbps Circuit</c:v>
                </c:pt>
              </c:strCache>
            </c:strRef>
          </c:tx>
          <c:spPr>
            <a:solidFill>
              <a:srgbClr val="4F81BD"/>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cat>
            <c:strRef>
              <c:f>'1G cost histogram_deciles'!$U$5:$V$14</c:f>
              <c:strCache>
                <c:ptCount val="10"/>
                <c:pt idx="0">
                  <c:v>0-10%</c:v>
                </c:pt>
                <c:pt idx="1">
                  <c:v>10-20%</c:v>
                </c:pt>
                <c:pt idx="2">
                  <c:v>20-30%</c:v>
                </c:pt>
                <c:pt idx="3">
                  <c:v>30-40%</c:v>
                </c:pt>
                <c:pt idx="4">
                  <c:v>40-50%</c:v>
                </c:pt>
                <c:pt idx="5">
                  <c:v>50-60%</c:v>
                </c:pt>
                <c:pt idx="6">
                  <c:v>60-70%</c:v>
                </c:pt>
                <c:pt idx="7">
                  <c:v>70-80%</c:v>
                </c:pt>
                <c:pt idx="8">
                  <c:v>80-90%</c:v>
                </c:pt>
                <c:pt idx="9">
                  <c:v>90-100%</c:v>
                </c:pt>
              </c:strCache>
            </c:strRef>
          </c:cat>
          <c:val>
            <c:numRef>
              <c:f>'1G cost histogram_deciles'!$X$5:$X$14</c:f>
              <c:numCache>
                <c:formatCode>"$"#,##0</c:formatCode>
                <c:ptCount val="10"/>
                <c:pt idx="0">
                  <c:v>94.309211911357366</c:v>
                </c:pt>
                <c:pt idx="1">
                  <c:v>478.1132950138508</c:v>
                </c:pt>
                <c:pt idx="2">
                  <c:v>758.66627590027713</c:v>
                </c:pt>
                <c:pt idx="3">
                  <c:v>973.5823182825485</c:v>
                </c:pt>
                <c:pt idx="4">
                  <c:v>1205.6322966759001</c:v>
                </c:pt>
                <c:pt idx="5">
                  <c:v>1518.8658817174521</c:v>
                </c:pt>
                <c:pt idx="6">
                  <c:v>1848.547289750695</c:v>
                </c:pt>
                <c:pt idx="7">
                  <c:v>2559.8783340720211</c:v>
                </c:pt>
                <c:pt idx="8">
                  <c:v>4311.4533673130172</c:v>
                </c:pt>
                <c:pt idx="9">
                  <c:v>10998.81278465753</c:v>
                </c:pt>
              </c:numCache>
            </c:numRef>
          </c:val>
        </c:ser>
        <c:dLbls>
          <c:showLegendKey val="0"/>
          <c:showVal val="0"/>
          <c:showCatName val="0"/>
          <c:showSerName val="0"/>
          <c:showPercent val="0"/>
          <c:showBubbleSize val="0"/>
        </c:dLbls>
        <c:gapWidth val="75"/>
        <c:axId val="115569792"/>
        <c:axId val="115571712"/>
      </c:barChart>
      <c:catAx>
        <c:axId val="115569792"/>
        <c:scaling>
          <c:orientation val="minMax"/>
        </c:scaling>
        <c:delete val="0"/>
        <c:axPos val="b"/>
        <c:title>
          <c:tx>
            <c:rich>
              <a:bodyPr/>
              <a:lstStyle/>
              <a:p>
                <a:pPr>
                  <a:defRPr/>
                </a:pPr>
                <a:r>
                  <a:rPr lang="en-US" b="0" dirty="0"/>
                  <a:t>Funding </a:t>
                </a:r>
                <a:r>
                  <a:rPr lang="en-US" b="0" dirty="0" smtClean="0"/>
                  <a:t>Requests by Price/Line </a:t>
                </a:r>
                <a:r>
                  <a:rPr lang="en-US" b="0" dirty="0" err="1" smtClean="0"/>
                  <a:t>Decile</a:t>
                </a:r>
                <a:endParaRPr lang="en-US" b="0" dirty="0"/>
              </a:p>
            </c:rich>
          </c:tx>
          <c:layout>
            <c:manualLayout>
              <c:xMode val="edge"/>
              <c:yMode val="edge"/>
              <c:x val="0.322162802566346"/>
              <c:y val="0.91666408750929296"/>
            </c:manualLayout>
          </c:layout>
          <c:overlay val="0"/>
        </c:title>
        <c:majorTickMark val="none"/>
        <c:minorTickMark val="none"/>
        <c:tickLblPos val="nextTo"/>
        <c:crossAx val="115571712"/>
        <c:crosses val="autoZero"/>
        <c:auto val="1"/>
        <c:lblAlgn val="ctr"/>
        <c:lblOffset val="100"/>
        <c:noMultiLvlLbl val="0"/>
      </c:catAx>
      <c:valAx>
        <c:axId val="115571712"/>
        <c:scaling>
          <c:orientation val="minMax"/>
        </c:scaling>
        <c:delete val="0"/>
        <c:axPos val="l"/>
        <c:majorGridlines>
          <c:spPr>
            <a:ln>
              <a:solidFill>
                <a:schemeClr val="bg1">
                  <a:lumMod val="75000"/>
                </a:schemeClr>
              </a:solidFill>
            </a:ln>
          </c:spPr>
        </c:majorGridlines>
        <c:title>
          <c:tx>
            <c:rich>
              <a:bodyPr rot="-5400000" vert="horz"/>
              <a:lstStyle/>
              <a:p>
                <a:pPr>
                  <a:defRPr b="0"/>
                </a:pPr>
                <a:r>
                  <a:rPr lang="en-US" b="0"/>
                  <a:t>Avg. Pre-Discount Monthly Price</a:t>
                </a:r>
              </a:p>
            </c:rich>
          </c:tx>
          <c:layout>
            <c:manualLayout>
              <c:xMode val="edge"/>
              <c:yMode val="edge"/>
              <c:x val="8.4388670166229193E-3"/>
              <c:y val="0.13373295101118099"/>
            </c:manualLayout>
          </c:layout>
          <c:overlay val="0"/>
        </c:title>
        <c:numFmt formatCode="&quot;$&quot;#,##0" sourceLinked="1"/>
        <c:majorTickMark val="out"/>
        <c:minorTickMark val="none"/>
        <c:tickLblPos val="nextTo"/>
        <c:spPr>
          <a:ln>
            <a:noFill/>
          </a:ln>
        </c:spPr>
        <c:crossAx val="115569792"/>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5122200062886601"/>
          <c:y val="1.400071222253E-2"/>
          <c:w val="0.70719787504919895"/>
          <c:h val="0.95854488665828197"/>
        </c:manualLayout>
      </c:layout>
      <c:pieChart>
        <c:varyColors val="1"/>
        <c:ser>
          <c:idx val="0"/>
          <c:order val="0"/>
          <c:spPr>
            <a:ln w="12700">
              <a:solidFill>
                <a:schemeClr val="bg1"/>
              </a:solidFill>
            </a:ln>
          </c:spPr>
          <c:dPt>
            <c:idx val="0"/>
            <c:bubble3D val="0"/>
            <c:spPr>
              <a:solidFill>
                <a:schemeClr val="tx2"/>
              </a:solidFill>
              <a:ln w="12700">
                <a:solidFill>
                  <a:schemeClr val="bg1"/>
                </a:solidFill>
              </a:ln>
            </c:spPr>
          </c:dPt>
          <c:dPt>
            <c:idx val="1"/>
            <c:bubble3D val="0"/>
            <c:spPr>
              <a:solidFill>
                <a:schemeClr val="accent1">
                  <a:lumMod val="60000"/>
                  <a:lumOff val="40000"/>
                </a:schemeClr>
              </a:solidFill>
              <a:ln w="12700">
                <a:solidFill>
                  <a:schemeClr val="bg1"/>
                </a:solidFill>
              </a:ln>
            </c:spPr>
          </c:dPt>
          <c:dPt>
            <c:idx val="2"/>
            <c:bubble3D val="0"/>
            <c:spPr>
              <a:solidFill>
                <a:schemeClr val="accent6">
                  <a:lumMod val="50000"/>
                </a:schemeClr>
              </a:solidFill>
              <a:ln w="12700">
                <a:solidFill>
                  <a:schemeClr val="bg1"/>
                </a:solidFill>
              </a:ln>
            </c:spPr>
          </c:dPt>
          <c:dPt>
            <c:idx val="3"/>
            <c:bubble3D val="0"/>
            <c:spPr>
              <a:solidFill>
                <a:schemeClr val="accent6">
                  <a:lumMod val="75000"/>
                </a:schemeClr>
              </a:solidFill>
              <a:ln w="12700">
                <a:solidFill>
                  <a:schemeClr val="bg1"/>
                </a:solidFill>
              </a:ln>
            </c:spPr>
          </c:dPt>
          <c:dPt>
            <c:idx val="4"/>
            <c:bubble3D val="0"/>
            <c:spPr>
              <a:solidFill>
                <a:schemeClr val="accent6">
                  <a:lumMod val="60000"/>
                  <a:lumOff val="40000"/>
                </a:schemeClr>
              </a:solidFill>
              <a:ln w="12700">
                <a:solidFill>
                  <a:schemeClr val="bg1"/>
                </a:solidFill>
              </a:ln>
            </c:spPr>
          </c:dPt>
          <c:dLbls>
            <c:dLbl>
              <c:idx val="0"/>
              <c:layout>
                <c:manualLayout>
                  <c:x val="-0.231346021018628"/>
                  <c:y val="-2.01005025125628E-2"/>
                </c:manualLayout>
              </c:layout>
              <c:tx>
                <c:rich>
                  <a:bodyPr/>
                  <a:lstStyle/>
                  <a:p>
                    <a:r>
                      <a:rPr lang="en-US" b="1">
                        <a:solidFill>
                          <a:schemeClr val="bg1"/>
                        </a:solidFill>
                      </a:rPr>
                      <a:t>“High Speed” Broadband</a:t>
                    </a:r>
                  </a:p>
                  <a:p>
                    <a:r>
                      <a:rPr lang="en-US" b="1">
                        <a:solidFill>
                          <a:schemeClr val="bg1"/>
                        </a:solidFill>
                      </a:rPr>
                      <a:t>50%</a:t>
                    </a:r>
                    <a:endParaRPr lang="en-US"/>
                  </a:p>
                </c:rich>
              </c:tx>
              <c:dLblPos val="bestFit"/>
              <c:showLegendKey val="0"/>
              <c:showVal val="1"/>
              <c:showCatName val="1"/>
              <c:showSerName val="0"/>
              <c:showPercent val="0"/>
              <c:showBubbleSize val="0"/>
            </c:dLbl>
            <c:dLbl>
              <c:idx val="1"/>
              <c:layout>
                <c:manualLayout>
                  <c:x val="0.125286323015291"/>
                  <c:y val="-0.14309832308425399"/>
                </c:manualLayout>
              </c:layout>
              <c:tx>
                <c:rich>
                  <a:bodyPr/>
                  <a:lstStyle/>
                  <a:p>
                    <a:r>
                      <a:rPr lang="en-US" b="1">
                        <a:solidFill>
                          <a:schemeClr val="bg1"/>
                        </a:solidFill>
                      </a:rPr>
                      <a:t>T1s &amp; T3s</a:t>
                    </a:r>
                  </a:p>
                  <a:p>
                    <a:r>
                      <a:rPr lang="en-US" b="1">
                        <a:solidFill>
                          <a:schemeClr val="bg1"/>
                        </a:solidFill>
                      </a:rPr>
                      <a:t>12%</a:t>
                    </a:r>
                    <a:endParaRPr lang="en-US"/>
                  </a:p>
                </c:rich>
              </c:tx>
              <c:dLblPos val="bestFit"/>
              <c:showLegendKey val="0"/>
              <c:showVal val="1"/>
              <c:showCatName val="1"/>
              <c:showSerName val="0"/>
              <c:showPercent val="0"/>
              <c:showBubbleSize val="0"/>
            </c:dLbl>
            <c:dLbl>
              <c:idx val="2"/>
              <c:tx>
                <c:rich>
                  <a:bodyPr/>
                  <a:lstStyle/>
                  <a:p>
                    <a:r>
                      <a:rPr lang="en-US" b="1">
                        <a:solidFill>
                          <a:schemeClr val="bg1"/>
                        </a:solidFill>
                      </a:rPr>
                      <a:t>Fixed Voice</a:t>
                    </a:r>
                  </a:p>
                  <a:p>
                    <a:r>
                      <a:rPr lang="en-US" b="1">
                        <a:solidFill>
                          <a:schemeClr val="bg1"/>
                        </a:solidFill>
                      </a:rPr>
                      <a:t> 23%</a:t>
                    </a:r>
                    <a:endParaRPr lang="en-US"/>
                  </a:p>
                </c:rich>
              </c:tx>
              <c:dLblPos val="inEnd"/>
              <c:showLegendKey val="0"/>
              <c:showVal val="1"/>
              <c:showCatName val="1"/>
              <c:showSerName val="0"/>
              <c:showPercent val="0"/>
              <c:showBubbleSize val="0"/>
            </c:dLbl>
            <c:dLbl>
              <c:idx val="3"/>
              <c:tx>
                <c:rich>
                  <a:bodyPr/>
                  <a:lstStyle/>
                  <a:p>
                    <a:r>
                      <a:rPr lang="en-US" b="1">
                        <a:solidFill>
                          <a:schemeClr val="bg1"/>
                        </a:solidFill>
                      </a:rPr>
                      <a:t>Mobile </a:t>
                    </a:r>
                  </a:p>
                  <a:p>
                    <a:r>
                      <a:rPr lang="en-US" b="1">
                        <a:solidFill>
                          <a:schemeClr val="bg1"/>
                        </a:solidFill>
                      </a:rPr>
                      <a:t>(Voice &amp; Data)</a:t>
                    </a:r>
                  </a:p>
                  <a:p>
                    <a:r>
                      <a:rPr lang="en-US" b="1">
                        <a:solidFill>
                          <a:schemeClr val="bg1"/>
                        </a:solidFill>
                      </a:rPr>
                      <a:t> 11%</a:t>
                    </a:r>
                    <a:endParaRPr lang="en-US"/>
                  </a:p>
                </c:rich>
              </c:tx>
              <c:dLblPos val="inEnd"/>
              <c:showLegendKey val="0"/>
              <c:showVal val="1"/>
              <c:showCatName val="1"/>
              <c:showSerName val="0"/>
              <c:showPercent val="0"/>
              <c:showBubbleSize val="0"/>
            </c:dLbl>
            <c:dLbl>
              <c:idx val="4"/>
              <c:tx>
                <c:rich>
                  <a:bodyPr/>
                  <a:lstStyle/>
                  <a:p>
                    <a:r>
                      <a:rPr lang="en-US" b="1">
                        <a:solidFill>
                          <a:schemeClr val="bg1"/>
                        </a:solidFill>
                      </a:rPr>
                      <a:t>Other</a:t>
                    </a:r>
                  </a:p>
                  <a:p>
                    <a:r>
                      <a:rPr lang="en-US" b="1">
                        <a:solidFill>
                          <a:schemeClr val="bg1"/>
                        </a:solidFill>
                      </a:rPr>
                      <a:t>4%</a:t>
                    </a:r>
                    <a:endParaRPr lang="en-US"/>
                  </a:p>
                </c:rich>
              </c:tx>
              <c:dLblPos val="inEnd"/>
              <c:showLegendKey val="0"/>
              <c:showVal val="1"/>
              <c:showCatName val="1"/>
              <c:showSerName val="0"/>
              <c:showPercent val="0"/>
              <c:showBubbleSize val="0"/>
            </c:dLbl>
            <c:txPr>
              <a:bodyPr/>
              <a:lstStyle/>
              <a:p>
                <a:pPr>
                  <a:defRPr b="1">
                    <a:solidFill>
                      <a:schemeClr val="bg1"/>
                    </a:solidFill>
                  </a:defRPr>
                </a:pPr>
                <a:endParaRPr lang="en-US"/>
              </a:p>
            </c:txPr>
            <c:dLblPos val="inEnd"/>
            <c:showLegendKey val="0"/>
            <c:showVal val="1"/>
            <c:showCatName val="1"/>
            <c:showSerName val="0"/>
            <c:showPercent val="0"/>
            <c:showBubbleSize val="0"/>
            <c:showLeaderLines val="1"/>
          </c:dLbls>
          <c:cat>
            <c:strRef>
              <c:f>'P1 - mix'!$A$3:$A$7</c:f>
              <c:strCache>
                <c:ptCount val="5"/>
                <c:pt idx="0">
                  <c:v>“High Speed” Broadband </c:v>
                </c:pt>
                <c:pt idx="1">
                  <c:v>T1s &amp; T3s </c:v>
                </c:pt>
                <c:pt idx="2">
                  <c:v>Fixed Voice</c:v>
                </c:pt>
                <c:pt idx="3">
                  <c:v>Mobile (Voice &amp; Data)</c:v>
                </c:pt>
                <c:pt idx="4">
                  <c:v>Other</c:v>
                </c:pt>
              </c:strCache>
            </c:strRef>
          </c:cat>
          <c:val>
            <c:numRef>
              <c:f>'P1 - mix'!$D$3:$D$7</c:f>
              <c:numCache>
                <c:formatCode>0%</c:formatCode>
                <c:ptCount val="5"/>
                <c:pt idx="0">
                  <c:v>0.5</c:v>
                </c:pt>
                <c:pt idx="1">
                  <c:v>0.12</c:v>
                </c:pt>
                <c:pt idx="2">
                  <c:v>0.23</c:v>
                </c:pt>
                <c:pt idx="3">
                  <c:v>0.11</c:v>
                </c:pt>
                <c:pt idx="4">
                  <c:v>0.04</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4440</Words>
  <Characters>24403</Characters>
  <Application>Microsoft Office Word</Application>
  <DocSecurity>0</DocSecurity>
  <Lines>420</Lines>
  <Paragraphs>140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28857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2014-08-12T14:56:00Z</cp:lastPrinted>
  <dcterms:created xsi:type="dcterms:W3CDTF">2014-08-12T17:29:00Z</dcterms:created>
  <dcterms:modified xsi:type="dcterms:W3CDTF">2014-08-12T17:29:00Z</dcterms:modified>
  <cp:category> </cp:category>
  <cp:contentStatus> </cp:contentStatus>
</cp:coreProperties>
</file>