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F0277B" w:rsidRDefault="00F013EA" w:rsidP="00885C7F">
      <w:pPr>
        <w:jc w:val="center"/>
        <w:rPr>
          <w:b/>
          <w:szCs w:val="22"/>
        </w:rPr>
      </w:pPr>
      <w:bookmarkStart w:id="0" w:name="_GoBack"/>
      <w:bookmarkEnd w:id="0"/>
      <w:r w:rsidRPr="00F0277B">
        <w:rPr>
          <w:b/>
          <w:szCs w:val="22"/>
        </w:rPr>
        <w:t>Before the</w:t>
      </w:r>
    </w:p>
    <w:p w:rsidR="00F013EA" w:rsidRPr="00F0277B" w:rsidRDefault="00F013EA" w:rsidP="00885C7F">
      <w:pPr>
        <w:jc w:val="center"/>
        <w:rPr>
          <w:b/>
          <w:szCs w:val="22"/>
        </w:rPr>
      </w:pPr>
      <w:r w:rsidRPr="00F0277B">
        <w:rPr>
          <w:b/>
          <w:szCs w:val="22"/>
        </w:rPr>
        <w:t>Federal Communications Commission</w:t>
      </w:r>
    </w:p>
    <w:p w:rsidR="00F013EA" w:rsidRPr="00F0277B" w:rsidRDefault="00F013EA" w:rsidP="00885C7F">
      <w:pPr>
        <w:jc w:val="center"/>
        <w:rPr>
          <w:b/>
          <w:szCs w:val="22"/>
        </w:rPr>
      </w:pPr>
      <w:r w:rsidRPr="00F0277B">
        <w:rPr>
          <w:b/>
          <w:szCs w:val="22"/>
        </w:rPr>
        <w:t>Washington, D.C. 20554</w:t>
      </w:r>
    </w:p>
    <w:p w:rsidR="00F013EA" w:rsidRPr="00F0277B" w:rsidRDefault="00F013EA" w:rsidP="00885C7F">
      <w:pPr>
        <w:rPr>
          <w:szCs w:val="22"/>
        </w:rPr>
      </w:pPr>
    </w:p>
    <w:p w:rsidR="00F013EA" w:rsidRPr="00F0277B" w:rsidRDefault="00F013EA" w:rsidP="00885C7F">
      <w:pPr>
        <w:rPr>
          <w:szCs w:val="22"/>
        </w:rPr>
      </w:pPr>
    </w:p>
    <w:tbl>
      <w:tblPr>
        <w:tblW w:w="0" w:type="auto"/>
        <w:tblLayout w:type="fixed"/>
        <w:tblLook w:val="0000" w:firstRow="0" w:lastRow="0" w:firstColumn="0" w:lastColumn="0" w:noHBand="0" w:noVBand="0"/>
      </w:tblPr>
      <w:tblGrid>
        <w:gridCol w:w="4698"/>
        <w:gridCol w:w="720"/>
        <w:gridCol w:w="4230"/>
      </w:tblGrid>
      <w:tr w:rsidR="00F013EA" w:rsidRPr="00F0277B">
        <w:tc>
          <w:tcPr>
            <w:tcW w:w="4698" w:type="dxa"/>
          </w:tcPr>
          <w:p w:rsidR="00F013EA" w:rsidRPr="00F0277B" w:rsidRDefault="00E23858" w:rsidP="00885C7F">
            <w:pPr>
              <w:ind w:right="-18"/>
              <w:rPr>
                <w:szCs w:val="22"/>
              </w:rPr>
            </w:pPr>
            <w:r>
              <w:rPr>
                <w:szCs w:val="22"/>
              </w:rPr>
              <w:t>In the M</w:t>
            </w:r>
            <w:r w:rsidR="00F013EA" w:rsidRPr="00F0277B">
              <w:rPr>
                <w:szCs w:val="22"/>
              </w:rPr>
              <w:t>atter of</w:t>
            </w:r>
          </w:p>
          <w:p w:rsidR="00F013EA" w:rsidRPr="00F0277B" w:rsidRDefault="00F013EA" w:rsidP="00885C7F">
            <w:pPr>
              <w:ind w:right="-18"/>
              <w:rPr>
                <w:szCs w:val="22"/>
              </w:rPr>
            </w:pPr>
          </w:p>
          <w:p w:rsidR="00F013EA" w:rsidRPr="00F0277B" w:rsidRDefault="00061751" w:rsidP="00885C7F">
            <w:pPr>
              <w:ind w:right="-18"/>
              <w:rPr>
                <w:szCs w:val="22"/>
              </w:rPr>
            </w:pPr>
            <w:r w:rsidRPr="00F0277B">
              <w:rPr>
                <w:szCs w:val="22"/>
              </w:rPr>
              <w:t xml:space="preserve">Gerald </w:t>
            </w:r>
            <w:r w:rsidR="007C598C" w:rsidRPr="00F0277B">
              <w:rPr>
                <w:szCs w:val="22"/>
              </w:rPr>
              <w:t>Bryant TV, Inc.</w:t>
            </w:r>
          </w:p>
          <w:p w:rsidR="00F013EA" w:rsidRPr="00F0277B" w:rsidRDefault="00F013EA" w:rsidP="00885C7F">
            <w:pPr>
              <w:ind w:right="-18"/>
              <w:rPr>
                <w:szCs w:val="22"/>
              </w:rPr>
            </w:pPr>
          </w:p>
          <w:p w:rsidR="00947B04" w:rsidRPr="00F0277B" w:rsidRDefault="00CA576E" w:rsidP="00947B04">
            <w:pPr>
              <w:ind w:right="-18"/>
              <w:rPr>
                <w:szCs w:val="22"/>
              </w:rPr>
            </w:pPr>
            <w:r w:rsidRPr="00F0277B">
              <w:rPr>
                <w:szCs w:val="22"/>
              </w:rPr>
              <w:t xml:space="preserve">Petition </w:t>
            </w:r>
            <w:r w:rsidR="00F013EA" w:rsidRPr="00F0277B">
              <w:rPr>
                <w:szCs w:val="22"/>
              </w:rPr>
              <w:t xml:space="preserve">for Exemption from </w:t>
            </w:r>
            <w:r w:rsidR="00A9655C" w:rsidRPr="00F0277B">
              <w:rPr>
                <w:szCs w:val="22"/>
              </w:rPr>
              <w:t xml:space="preserve">the </w:t>
            </w:r>
          </w:p>
          <w:p w:rsidR="00F013EA" w:rsidRPr="00F0277B" w:rsidRDefault="00F013EA" w:rsidP="00947B04">
            <w:pPr>
              <w:ind w:right="-18"/>
              <w:rPr>
                <w:szCs w:val="22"/>
              </w:rPr>
            </w:pPr>
            <w:r w:rsidRPr="00F0277B">
              <w:rPr>
                <w:szCs w:val="22"/>
              </w:rPr>
              <w:t xml:space="preserve">Closed Captioning </w:t>
            </w:r>
            <w:r w:rsidR="00947B04" w:rsidRPr="00F0277B">
              <w:rPr>
                <w:szCs w:val="22"/>
              </w:rPr>
              <w:t>Requirements</w:t>
            </w:r>
          </w:p>
        </w:tc>
        <w:tc>
          <w:tcPr>
            <w:tcW w:w="720" w:type="dxa"/>
          </w:tcPr>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r w:rsidRPr="00F0277B">
              <w:rPr>
                <w:b/>
                <w:szCs w:val="22"/>
              </w:rPr>
              <w:t>)</w:t>
            </w:r>
          </w:p>
          <w:p w:rsidR="00F013EA" w:rsidRPr="00F0277B" w:rsidRDefault="00F013EA" w:rsidP="00885C7F">
            <w:pPr>
              <w:rPr>
                <w:b/>
                <w:szCs w:val="22"/>
              </w:rPr>
            </w:pPr>
          </w:p>
        </w:tc>
        <w:tc>
          <w:tcPr>
            <w:tcW w:w="4230" w:type="dxa"/>
          </w:tcPr>
          <w:p w:rsidR="00F013EA" w:rsidRPr="00F0277B" w:rsidRDefault="00F013EA" w:rsidP="00885C7F">
            <w:pPr>
              <w:rPr>
                <w:szCs w:val="22"/>
              </w:rPr>
            </w:pPr>
          </w:p>
          <w:p w:rsidR="00F013EA" w:rsidRPr="00F0277B" w:rsidRDefault="00F013EA" w:rsidP="00885C7F">
            <w:pPr>
              <w:rPr>
                <w:szCs w:val="22"/>
              </w:rPr>
            </w:pPr>
          </w:p>
          <w:p w:rsidR="00F013EA" w:rsidRPr="00F0277B" w:rsidRDefault="00947B04" w:rsidP="00885C7F">
            <w:pPr>
              <w:rPr>
                <w:szCs w:val="22"/>
              </w:rPr>
            </w:pPr>
            <w:r w:rsidRPr="00F0277B">
              <w:rPr>
                <w:spacing w:val="-2"/>
                <w:szCs w:val="22"/>
              </w:rPr>
              <w:t>CGB-CC-0024</w:t>
            </w:r>
          </w:p>
          <w:p w:rsidR="00947B04" w:rsidRPr="00F0277B" w:rsidRDefault="00947B04" w:rsidP="00885C7F">
            <w:pPr>
              <w:rPr>
                <w:spacing w:val="-2"/>
                <w:szCs w:val="22"/>
              </w:rPr>
            </w:pPr>
          </w:p>
          <w:p w:rsidR="00F013EA" w:rsidRPr="00F0277B" w:rsidRDefault="00F013EA" w:rsidP="00885C7F">
            <w:pPr>
              <w:rPr>
                <w:spacing w:val="-2"/>
                <w:szCs w:val="22"/>
              </w:rPr>
            </w:pPr>
            <w:r w:rsidRPr="00F0277B">
              <w:rPr>
                <w:spacing w:val="-2"/>
                <w:szCs w:val="22"/>
              </w:rPr>
              <w:t>CG Docket No. 06-181</w:t>
            </w:r>
          </w:p>
          <w:p w:rsidR="00F013EA" w:rsidRPr="00F0277B" w:rsidRDefault="00F013EA" w:rsidP="00885C7F">
            <w:pPr>
              <w:rPr>
                <w:spacing w:val="-2"/>
                <w:szCs w:val="22"/>
              </w:rPr>
            </w:pPr>
          </w:p>
          <w:p w:rsidR="00F013EA" w:rsidRPr="00F0277B" w:rsidRDefault="00F013EA" w:rsidP="00885C7F">
            <w:pPr>
              <w:rPr>
                <w:szCs w:val="22"/>
              </w:rPr>
            </w:pPr>
          </w:p>
        </w:tc>
      </w:tr>
    </w:tbl>
    <w:p w:rsidR="00F013EA" w:rsidRPr="00F0277B" w:rsidRDefault="00F013EA" w:rsidP="00885C7F">
      <w:pPr>
        <w:spacing w:before="120"/>
        <w:jc w:val="center"/>
        <w:rPr>
          <w:b/>
          <w:szCs w:val="22"/>
        </w:rPr>
      </w:pPr>
      <w:r w:rsidRPr="00F0277B">
        <w:rPr>
          <w:b/>
          <w:spacing w:val="-2"/>
          <w:szCs w:val="22"/>
        </w:rPr>
        <w:t>MEMORANDUM OPINION AND ORDER</w:t>
      </w:r>
    </w:p>
    <w:p w:rsidR="00F013EA" w:rsidRPr="00F0277B" w:rsidRDefault="00F013EA" w:rsidP="00885C7F">
      <w:pPr>
        <w:rPr>
          <w:szCs w:val="22"/>
        </w:rPr>
      </w:pPr>
    </w:p>
    <w:p w:rsidR="00F013EA" w:rsidRPr="00F0277B" w:rsidRDefault="00F013EA" w:rsidP="00885C7F">
      <w:pPr>
        <w:tabs>
          <w:tab w:val="right" w:pos="9360"/>
        </w:tabs>
        <w:rPr>
          <w:b/>
          <w:szCs w:val="22"/>
        </w:rPr>
      </w:pPr>
      <w:r w:rsidRPr="00C74745">
        <w:rPr>
          <w:b/>
          <w:szCs w:val="22"/>
        </w:rPr>
        <w:t xml:space="preserve">Adopted:  </w:t>
      </w:r>
      <w:r w:rsidR="00D13225" w:rsidRPr="00C74745">
        <w:rPr>
          <w:b/>
          <w:spacing w:val="-2"/>
          <w:szCs w:val="22"/>
        </w:rPr>
        <w:t>July</w:t>
      </w:r>
      <w:r w:rsidR="00C74745" w:rsidRPr="00C74745">
        <w:rPr>
          <w:b/>
          <w:spacing w:val="-2"/>
          <w:szCs w:val="22"/>
        </w:rPr>
        <w:t xml:space="preserve"> 30</w:t>
      </w:r>
      <w:r w:rsidR="00D13225" w:rsidRPr="00C74745">
        <w:rPr>
          <w:b/>
          <w:spacing w:val="-2"/>
          <w:szCs w:val="22"/>
        </w:rPr>
        <w:t>, 2014</w:t>
      </w:r>
      <w:r w:rsidRPr="00C74745">
        <w:rPr>
          <w:b/>
          <w:szCs w:val="22"/>
        </w:rPr>
        <w:tab/>
        <w:t xml:space="preserve">Released:  </w:t>
      </w:r>
      <w:r w:rsidR="00D13225" w:rsidRPr="00C74745">
        <w:rPr>
          <w:b/>
          <w:spacing w:val="-2"/>
          <w:szCs w:val="22"/>
        </w:rPr>
        <w:t xml:space="preserve">July </w:t>
      </w:r>
      <w:r w:rsidR="00C74745" w:rsidRPr="00C74745">
        <w:rPr>
          <w:b/>
          <w:spacing w:val="-2"/>
          <w:szCs w:val="22"/>
        </w:rPr>
        <w:t>30</w:t>
      </w:r>
      <w:r w:rsidR="00D13225" w:rsidRPr="00C74745">
        <w:rPr>
          <w:b/>
          <w:spacing w:val="-2"/>
          <w:szCs w:val="22"/>
        </w:rPr>
        <w:t>, 2014</w:t>
      </w:r>
    </w:p>
    <w:p w:rsidR="00F013EA" w:rsidRPr="00F0277B" w:rsidRDefault="00F013EA" w:rsidP="00885C7F">
      <w:pPr>
        <w:tabs>
          <w:tab w:val="left" w:pos="5760"/>
        </w:tabs>
        <w:rPr>
          <w:b/>
          <w:szCs w:val="22"/>
        </w:rPr>
      </w:pPr>
    </w:p>
    <w:p w:rsidR="00F013EA" w:rsidRPr="00F0277B" w:rsidRDefault="00F013EA" w:rsidP="00885C7F">
      <w:pPr>
        <w:tabs>
          <w:tab w:val="left" w:pos="5760"/>
        </w:tabs>
        <w:rPr>
          <w:szCs w:val="22"/>
        </w:rPr>
      </w:pPr>
      <w:r w:rsidRPr="00F0277B">
        <w:rPr>
          <w:szCs w:val="22"/>
        </w:rPr>
        <w:t xml:space="preserve">By the Acting </w:t>
      </w:r>
      <w:r w:rsidRPr="00F0277B">
        <w:rPr>
          <w:spacing w:val="-2"/>
          <w:szCs w:val="22"/>
        </w:rPr>
        <w:t>Chief, Consumer and Governmental Affairs Bureau:</w:t>
      </w:r>
    </w:p>
    <w:p w:rsidR="00F013EA" w:rsidRPr="00F0277B" w:rsidRDefault="00F013EA" w:rsidP="00885C7F">
      <w:pPr>
        <w:tabs>
          <w:tab w:val="left" w:pos="5760"/>
        </w:tabs>
        <w:rPr>
          <w:b/>
          <w:szCs w:val="22"/>
        </w:rPr>
      </w:pPr>
    </w:p>
    <w:p w:rsidR="00F013EA" w:rsidRPr="00F0277B" w:rsidRDefault="00F013EA" w:rsidP="00885C7F">
      <w:pPr>
        <w:rPr>
          <w:szCs w:val="22"/>
        </w:rPr>
      </w:pPr>
    </w:p>
    <w:p w:rsidR="00F013EA" w:rsidRPr="00F0277B" w:rsidRDefault="00F013EA" w:rsidP="001E1D42">
      <w:pPr>
        <w:pStyle w:val="Heading1"/>
        <w:keepNext w:val="0"/>
        <w:widowControl/>
        <w:spacing w:after="120"/>
        <w:jc w:val="left"/>
        <w:rPr>
          <w:b w:val="0"/>
          <w:szCs w:val="22"/>
        </w:rPr>
      </w:pPr>
      <w:r w:rsidRPr="00F0277B">
        <w:rPr>
          <w:szCs w:val="22"/>
        </w:rPr>
        <w:t>INTRODUCTION</w:t>
      </w:r>
    </w:p>
    <w:p w:rsidR="00B34D14" w:rsidRPr="00C74745" w:rsidRDefault="00F013EA" w:rsidP="001E1D42">
      <w:pPr>
        <w:pStyle w:val="ParaNum"/>
        <w:widowControl/>
        <w:tabs>
          <w:tab w:val="clear" w:pos="1080"/>
        </w:tabs>
        <w:spacing w:after="120"/>
        <w:jc w:val="left"/>
        <w:rPr>
          <w:szCs w:val="22"/>
        </w:rPr>
      </w:pPr>
      <w:r w:rsidRPr="00F0277B">
        <w:rPr>
          <w:szCs w:val="22"/>
        </w:rPr>
        <w:t xml:space="preserve">In </w:t>
      </w:r>
      <w:r w:rsidR="005355AF" w:rsidRPr="00F0277B">
        <w:rPr>
          <w:szCs w:val="22"/>
        </w:rPr>
        <w:t>this Memorandum Opinion and Order</w:t>
      </w:r>
      <w:r w:rsidR="00F37CE9" w:rsidRPr="00F0277B">
        <w:rPr>
          <w:szCs w:val="22"/>
        </w:rPr>
        <w:t xml:space="preserve"> (Order)</w:t>
      </w:r>
      <w:r w:rsidR="005355AF" w:rsidRPr="00F0277B">
        <w:rPr>
          <w:szCs w:val="22"/>
        </w:rPr>
        <w:t>, we address a petition filed</w:t>
      </w:r>
      <w:r w:rsidR="00EC6E4D" w:rsidRPr="00F0277B">
        <w:rPr>
          <w:szCs w:val="22"/>
        </w:rPr>
        <w:t xml:space="preserve"> </w:t>
      </w:r>
      <w:r w:rsidR="005355AF" w:rsidRPr="00F0277B">
        <w:rPr>
          <w:szCs w:val="22"/>
        </w:rPr>
        <w:t xml:space="preserve">by </w:t>
      </w:r>
      <w:r w:rsidR="00061751" w:rsidRPr="00F0277B">
        <w:rPr>
          <w:szCs w:val="22"/>
        </w:rPr>
        <w:t xml:space="preserve">Gerald </w:t>
      </w:r>
      <w:r w:rsidR="007C598C" w:rsidRPr="00F0277B">
        <w:rPr>
          <w:szCs w:val="22"/>
        </w:rPr>
        <w:t>Bryant TV, Inc. (</w:t>
      </w:r>
      <w:r w:rsidR="00983CE5" w:rsidRPr="00F0277B">
        <w:rPr>
          <w:szCs w:val="22"/>
        </w:rPr>
        <w:t>Bryant</w:t>
      </w:r>
      <w:r w:rsidR="007C598C" w:rsidRPr="00F0277B">
        <w:rPr>
          <w:szCs w:val="22"/>
        </w:rPr>
        <w:t>)</w:t>
      </w:r>
      <w:r w:rsidR="005355AF" w:rsidRPr="00F0277B">
        <w:rPr>
          <w:szCs w:val="22"/>
        </w:rPr>
        <w:t>, for an</w:t>
      </w:r>
      <w:r w:rsidR="00E34D5B" w:rsidRPr="00F0277B">
        <w:rPr>
          <w:szCs w:val="22"/>
        </w:rPr>
        <w:t xml:space="preserve"> </w:t>
      </w:r>
      <w:r w:rsidR="005355AF" w:rsidRPr="00F0277B">
        <w:rPr>
          <w:szCs w:val="22"/>
        </w:rPr>
        <w:t xml:space="preserve">exemption from the </w:t>
      </w:r>
      <w:r w:rsidR="009D1E95" w:rsidRPr="00F0277B">
        <w:rPr>
          <w:szCs w:val="22"/>
        </w:rPr>
        <w:t>Federal Communication</w:t>
      </w:r>
      <w:r w:rsidR="00947B04" w:rsidRPr="00F0277B">
        <w:rPr>
          <w:szCs w:val="22"/>
        </w:rPr>
        <w:t>s</w:t>
      </w:r>
      <w:r w:rsidR="009D1E95" w:rsidRPr="00F0277B">
        <w:rPr>
          <w:szCs w:val="22"/>
        </w:rPr>
        <w:t xml:space="preserve"> </w:t>
      </w:r>
      <w:r w:rsidR="005355AF" w:rsidRPr="00F0277B">
        <w:rPr>
          <w:szCs w:val="22"/>
        </w:rPr>
        <w:t xml:space="preserve">Commission’s </w:t>
      </w:r>
      <w:r w:rsidR="009D1E95" w:rsidRPr="00F0277B">
        <w:rPr>
          <w:szCs w:val="22"/>
        </w:rPr>
        <w:t xml:space="preserve">(FCC’s or Commission’s) </w:t>
      </w:r>
      <w:r w:rsidR="005355AF" w:rsidRPr="00F0277B">
        <w:rPr>
          <w:szCs w:val="22"/>
        </w:rPr>
        <w:t>closed captioning requirements</w:t>
      </w:r>
      <w:r w:rsidR="00A97E48" w:rsidRPr="00F0277B">
        <w:rPr>
          <w:szCs w:val="22"/>
        </w:rPr>
        <w:t xml:space="preserve"> </w:t>
      </w:r>
      <w:r w:rsidR="00F857A1" w:rsidRPr="00F0277B">
        <w:rPr>
          <w:szCs w:val="22"/>
        </w:rPr>
        <w:t xml:space="preserve">for its program, </w:t>
      </w:r>
      <w:r w:rsidR="00F857A1" w:rsidRPr="00F0277B">
        <w:rPr>
          <w:i/>
          <w:szCs w:val="22"/>
        </w:rPr>
        <w:t>JBTV</w:t>
      </w:r>
      <w:r w:rsidR="007C598C" w:rsidRPr="00F0277B">
        <w:rPr>
          <w:szCs w:val="22"/>
        </w:rPr>
        <w:t>.</w:t>
      </w:r>
      <w:r w:rsidR="00EB38D7" w:rsidRPr="00F0277B">
        <w:rPr>
          <w:rStyle w:val="CommentReference"/>
          <w:sz w:val="22"/>
          <w:szCs w:val="22"/>
        </w:rPr>
        <w:t xml:space="preserve"> </w:t>
      </w:r>
      <w:r w:rsidR="007C598C" w:rsidRPr="00F0277B">
        <w:rPr>
          <w:szCs w:val="22"/>
        </w:rPr>
        <w:t xml:space="preserve"> </w:t>
      </w:r>
      <w:r w:rsidR="00BC1B4C" w:rsidRPr="00F0277B">
        <w:rPr>
          <w:szCs w:val="22"/>
        </w:rPr>
        <w:t xml:space="preserve">Because </w:t>
      </w:r>
      <w:r w:rsidR="00472F42" w:rsidRPr="00F0277B">
        <w:rPr>
          <w:szCs w:val="22"/>
        </w:rPr>
        <w:t xml:space="preserve">we conclude that </w:t>
      </w:r>
      <w:r w:rsidR="00983CE5" w:rsidRPr="00F0277B">
        <w:rPr>
          <w:szCs w:val="22"/>
        </w:rPr>
        <w:t>Bryant</w:t>
      </w:r>
      <w:r w:rsidR="00BC1B4C" w:rsidRPr="00F0277B">
        <w:rPr>
          <w:szCs w:val="22"/>
        </w:rPr>
        <w:t xml:space="preserve"> has demonstrate</w:t>
      </w:r>
      <w:r w:rsidR="00980CBB" w:rsidRPr="00F0277B">
        <w:rPr>
          <w:szCs w:val="22"/>
        </w:rPr>
        <w:t>d</w:t>
      </w:r>
      <w:r w:rsidR="00BC1B4C" w:rsidRPr="00F0277B">
        <w:rPr>
          <w:szCs w:val="22"/>
        </w:rPr>
        <w:t xml:space="preserve"> that </w:t>
      </w:r>
      <w:r w:rsidR="00786F15" w:rsidRPr="00F0277B">
        <w:rPr>
          <w:szCs w:val="22"/>
        </w:rPr>
        <w:t xml:space="preserve">its </w:t>
      </w:r>
      <w:r w:rsidR="00BC1B4C" w:rsidRPr="00F0277B">
        <w:rPr>
          <w:szCs w:val="22"/>
        </w:rPr>
        <w:t>compliance with the Commission’s closed captioning requirements would be economically burdensome</w:t>
      </w:r>
      <w:r w:rsidR="005F2F9B">
        <w:rPr>
          <w:szCs w:val="22"/>
        </w:rPr>
        <w:t xml:space="preserve"> to it</w:t>
      </w:r>
      <w:r w:rsidR="00BC1B4C" w:rsidRPr="00F0277B">
        <w:rPr>
          <w:szCs w:val="22"/>
        </w:rPr>
        <w:t>, we grant</w:t>
      </w:r>
      <w:r w:rsidR="00980CBB" w:rsidRPr="00F0277B">
        <w:rPr>
          <w:szCs w:val="22"/>
        </w:rPr>
        <w:t xml:space="preserve"> it</w:t>
      </w:r>
      <w:r w:rsidR="0069016F" w:rsidRPr="00F0277B">
        <w:rPr>
          <w:szCs w:val="22"/>
        </w:rPr>
        <w:t xml:space="preserve"> a temporary exemption</w:t>
      </w:r>
      <w:r w:rsidR="00BC1B4C" w:rsidRPr="00F0277B">
        <w:rPr>
          <w:szCs w:val="22"/>
        </w:rPr>
        <w:t xml:space="preserve"> </w:t>
      </w:r>
      <w:r w:rsidR="002B2E06" w:rsidRPr="00F0277B">
        <w:rPr>
          <w:szCs w:val="22"/>
        </w:rPr>
        <w:t xml:space="preserve">for </w:t>
      </w:r>
      <w:r w:rsidR="0060497E" w:rsidRPr="00F0277B">
        <w:rPr>
          <w:szCs w:val="22"/>
        </w:rPr>
        <w:t xml:space="preserve">the program </w:t>
      </w:r>
      <w:r w:rsidR="00BC1B4C" w:rsidRPr="00F0277B">
        <w:rPr>
          <w:szCs w:val="22"/>
        </w:rPr>
        <w:t xml:space="preserve">for a period of </w:t>
      </w:r>
      <w:r w:rsidR="00FF76DB" w:rsidRPr="00F0277B">
        <w:rPr>
          <w:szCs w:val="22"/>
        </w:rPr>
        <w:t>two years</w:t>
      </w:r>
      <w:r w:rsidR="007E4110" w:rsidRPr="00F0277B">
        <w:rPr>
          <w:szCs w:val="22"/>
        </w:rPr>
        <w:t xml:space="preserve"> from the </w:t>
      </w:r>
      <w:r w:rsidR="005F2F9B">
        <w:rPr>
          <w:szCs w:val="22"/>
        </w:rPr>
        <w:t xml:space="preserve">date of the </w:t>
      </w:r>
      <w:r w:rsidR="007E4110" w:rsidRPr="00F0277B">
        <w:rPr>
          <w:szCs w:val="22"/>
        </w:rPr>
        <w:t>release of this Order</w:t>
      </w:r>
      <w:r w:rsidR="00BC1B4C" w:rsidRPr="00F0277B">
        <w:rPr>
          <w:szCs w:val="22"/>
        </w:rPr>
        <w:t xml:space="preserve">.  </w:t>
      </w:r>
      <w:r w:rsidR="00EF3829" w:rsidRPr="00F0277B">
        <w:rPr>
          <w:i/>
          <w:szCs w:val="22"/>
        </w:rPr>
        <w:t>JBTV</w:t>
      </w:r>
      <w:r w:rsidR="00BC1B4C" w:rsidRPr="00F0277B">
        <w:rPr>
          <w:szCs w:val="22"/>
        </w:rPr>
        <w:t xml:space="preserve"> </w:t>
      </w:r>
      <w:r w:rsidR="00FA4907" w:rsidRPr="00F0277B">
        <w:rPr>
          <w:szCs w:val="22"/>
        </w:rPr>
        <w:t>must</w:t>
      </w:r>
      <w:r w:rsidR="00BC1B4C" w:rsidRPr="00F0277B">
        <w:rPr>
          <w:szCs w:val="22"/>
        </w:rPr>
        <w:t xml:space="preserve"> </w:t>
      </w:r>
      <w:r w:rsidR="00FF76DB" w:rsidRPr="00F0277B">
        <w:rPr>
          <w:szCs w:val="22"/>
        </w:rPr>
        <w:t xml:space="preserve">be </w:t>
      </w:r>
      <w:r w:rsidR="00BC1B4C" w:rsidRPr="00F0277B">
        <w:rPr>
          <w:szCs w:val="22"/>
        </w:rPr>
        <w:t xml:space="preserve">closed captioned </w:t>
      </w:r>
      <w:r w:rsidR="009E4378" w:rsidRPr="00F0277B">
        <w:rPr>
          <w:szCs w:val="22"/>
        </w:rPr>
        <w:t xml:space="preserve">no later than the end </w:t>
      </w:r>
      <w:r w:rsidR="00BC1B4C" w:rsidRPr="00F0277B">
        <w:rPr>
          <w:szCs w:val="22"/>
        </w:rPr>
        <w:t xml:space="preserve">of the </w:t>
      </w:r>
      <w:r w:rsidR="009E4378" w:rsidRPr="00F0277B">
        <w:rPr>
          <w:szCs w:val="22"/>
        </w:rPr>
        <w:t xml:space="preserve">two-year </w:t>
      </w:r>
      <w:r w:rsidR="00BC1B4C" w:rsidRPr="00F0277B">
        <w:rPr>
          <w:szCs w:val="22"/>
        </w:rPr>
        <w:t xml:space="preserve">temporary </w:t>
      </w:r>
      <w:r w:rsidR="0069016F" w:rsidRPr="00F0277B">
        <w:rPr>
          <w:szCs w:val="22"/>
        </w:rPr>
        <w:t>exemption</w:t>
      </w:r>
      <w:r w:rsidR="00F55D90" w:rsidRPr="00F0277B">
        <w:rPr>
          <w:szCs w:val="22"/>
        </w:rPr>
        <w:t xml:space="preserve">, which </w:t>
      </w:r>
      <w:r w:rsidR="00F55D90" w:rsidRPr="00C74745">
        <w:rPr>
          <w:szCs w:val="22"/>
        </w:rPr>
        <w:t xml:space="preserve">is </w:t>
      </w:r>
      <w:r w:rsidR="00C74745">
        <w:rPr>
          <w:szCs w:val="22"/>
        </w:rPr>
        <w:t>August 1</w:t>
      </w:r>
      <w:r w:rsidR="00D13225" w:rsidRPr="00C74745">
        <w:rPr>
          <w:szCs w:val="22"/>
        </w:rPr>
        <w:t>, 2016</w:t>
      </w:r>
      <w:r w:rsidR="00BC1B4C" w:rsidRPr="00C74745">
        <w:rPr>
          <w:szCs w:val="22"/>
        </w:rPr>
        <w:t xml:space="preserve">.  </w:t>
      </w:r>
    </w:p>
    <w:p w:rsidR="00F013EA" w:rsidRPr="00F0277B" w:rsidRDefault="00F013EA" w:rsidP="001E1D42">
      <w:pPr>
        <w:pStyle w:val="Heading1"/>
        <w:keepNext w:val="0"/>
        <w:widowControl/>
        <w:spacing w:after="120"/>
        <w:jc w:val="left"/>
        <w:rPr>
          <w:szCs w:val="22"/>
        </w:rPr>
      </w:pPr>
      <w:r w:rsidRPr="00F0277B">
        <w:rPr>
          <w:szCs w:val="22"/>
        </w:rPr>
        <w:t>Background</w:t>
      </w:r>
    </w:p>
    <w:p w:rsidR="002C4E0A" w:rsidRPr="002C4E0A" w:rsidRDefault="002C4E0A" w:rsidP="002C4E0A">
      <w:pPr>
        <w:pStyle w:val="ParaNum"/>
        <w:widowControl/>
        <w:tabs>
          <w:tab w:val="clear" w:pos="1080"/>
        </w:tabs>
        <w:spacing w:after="120"/>
        <w:jc w:val="left"/>
      </w:pPr>
      <w:r w:rsidRPr="002C4E0A">
        <w:t xml:space="preserve">In 1996, Congress added section 713 to the Communications Act of 1934, as amended (Communications Act), establishing requirements for closed captioning of video programming to ensure access to such </w:t>
      </w:r>
      <w:r w:rsidRPr="002C4E0A">
        <w:rPr>
          <w:szCs w:val="22"/>
        </w:rPr>
        <w:t>programming</w:t>
      </w:r>
      <w:r w:rsidRPr="002C4E0A">
        <w:t xml:space="preserve"> by people who are deaf or hard of hearing,</w:t>
      </w:r>
      <w:r w:rsidRPr="00101734">
        <w:rPr>
          <w:vertAlign w:val="superscript"/>
        </w:rPr>
        <w:footnoteReference w:id="2"/>
      </w:r>
      <w:r w:rsidRPr="002C4E0A">
        <w:t xml:space="preserve"> and directing the Commission to prescribe rules to carry out this mandate.</w:t>
      </w:r>
      <w:r w:rsidRPr="00101734">
        <w:rPr>
          <w:vertAlign w:val="superscript"/>
        </w:rPr>
        <w:footnoteReference w:id="3"/>
      </w:r>
      <w:r w:rsidRPr="002C4E0A">
        <w:t xml:space="preserve">  In 1997, the Commission adopted rules and implementation schedules for closed captioning, which became effective on January 1, 1998.</w:t>
      </w:r>
      <w:r w:rsidRPr="00101734">
        <w:rPr>
          <w:vertAlign w:val="superscript"/>
        </w:rPr>
        <w:footnoteReference w:id="4"/>
      </w:r>
      <w:r w:rsidRPr="002C4E0A">
        <w:t xml:space="preserve">  The Commission’s closed </w:t>
      </w:r>
      <w:r w:rsidRPr="002C4E0A">
        <w:lastRenderedPageBreak/>
        <w:t>captioning rules currently require video programming distributors, absent an exemption, to caption 100% of all new, English and Spanish language programming.</w:t>
      </w:r>
      <w:r w:rsidRPr="00101734">
        <w:rPr>
          <w:vertAlign w:val="superscript"/>
        </w:rPr>
        <w:footnoteReference w:id="5"/>
      </w:r>
      <w:r w:rsidRPr="002C4E0A">
        <w:t xml:space="preserve">  </w:t>
      </w:r>
    </w:p>
    <w:p w:rsidR="0074675D" w:rsidRPr="00F0277B" w:rsidRDefault="0074675D" w:rsidP="001E1D42">
      <w:pPr>
        <w:pStyle w:val="ParaNum"/>
        <w:widowControl/>
        <w:tabs>
          <w:tab w:val="clear" w:pos="1080"/>
        </w:tabs>
        <w:spacing w:after="120"/>
        <w:jc w:val="left"/>
        <w:rPr>
          <w:szCs w:val="22"/>
        </w:rPr>
      </w:pPr>
      <w:r w:rsidRPr="00F0277B">
        <w:rPr>
          <w:szCs w:val="22"/>
        </w:rPr>
        <w:t>Section 713</w:t>
      </w:r>
      <w:r w:rsidR="00D86200" w:rsidRPr="00F0277B">
        <w:rPr>
          <w:szCs w:val="22"/>
        </w:rPr>
        <w:t>(d)(3)</w:t>
      </w:r>
      <w:r w:rsidRPr="00F0277B">
        <w:rPr>
          <w:szCs w:val="22"/>
        </w:rPr>
        <w:t xml:space="preserve"> of the </w:t>
      </w:r>
      <w:r w:rsidR="00F857A1" w:rsidRPr="00F0277B">
        <w:rPr>
          <w:szCs w:val="22"/>
        </w:rPr>
        <w:t xml:space="preserve">Communications </w:t>
      </w:r>
      <w:r w:rsidRPr="00F0277B">
        <w:rPr>
          <w:szCs w:val="22"/>
        </w:rPr>
        <w:t>Act authorizes the Commission to grant individual exemptions from the television closed captioning requirements</w:t>
      </w:r>
      <w:r w:rsidRPr="00F0277B">
        <w:rPr>
          <w:b/>
          <w:caps/>
          <w:szCs w:val="22"/>
        </w:rPr>
        <w:t xml:space="preserve"> </w:t>
      </w:r>
      <w:r w:rsidRPr="00F0277B">
        <w:rPr>
          <w:szCs w:val="22"/>
        </w:rPr>
        <w:t xml:space="preserve">upon a showing that the requirements would be economically burdensome, defined as </w:t>
      </w:r>
      <w:r w:rsidR="001A1893" w:rsidRPr="00F0277B">
        <w:rPr>
          <w:szCs w:val="22"/>
        </w:rPr>
        <w:t xml:space="preserve">imposing on the petitioner </w:t>
      </w:r>
      <w:r w:rsidRPr="00F0277B">
        <w:rPr>
          <w:szCs w:val="22"/>
        </w:rPr>
        <w:t>a “significant difficulty or expense.”</w:t>
      </w:r>
      <w:r w:rsidRPr="00F0277B">
        <w:rPr>
          <w:szCs w:val="22"/>
          <w:vertAlign w:val="superscript"/>
        </w:rPr>
        <w:footnoteReference w:id="6"/>
      </w:r>
      <w:r w:rsidRPr="00F0277B">
        <w:rPr>
          <w:szCs w:val="22"/>
        </w:rPr>
        <w:t xml:space="preserve">  Any entity in the programming distribution chain, including the owner, provider, or distributor of the programming, may petition the Commission for such an exemption under section 79.1(f) of the Commission’s rules.</w:t>
      </w:r>
      <w:r w:rsidRPr="00F0277B">
        <w:rPr>
          <w:szCs w:val="22"/>
          <w:vertAlign w:val="superscript"/>
        </w:rPr>
        <w:footnoteReference w:id="7"/>
      </w:r>
      <w:r w:rsidRPr="00F0277B">
        <w:rPr>
          <w:szCs w:val="22"/>
        </w:rPr>
        <w:t xml:space="preserve">  When making its determination as to whether a</w:t>
      </w:r>
      <w:r w:rsidR="001A1893" w:rsidRPr="00F0277B">
        <w:rPr>
          <w:szCs w:val="22"/>
        </w:rPr>
        <w:t xml:space="preserve"> </w:t>
      </w:r>
      <w:r w:rsidRPr="00F0277B">
        <w:rPr>
          <w:szCs w:val="22"/>
        </w:rPr>
        <w:t>petitioner has made the required showing</w:t>
      </w:r>
      <w:r w:rsidR="000617B8" w:rsidRPr="00F0277B">
        <w:rPr>
          <w:szCs w:val="22"/>
        </w:rPr>
        <w:t>,</w:t>
      </w:r>
      <w:r w:rsidRPr="00F0277B">
        <w:rPr>
          <w:szCs w:val="22"/>
        </w:rPr>
        <w:t xml:space="preserve"> the Commission, in accordance with section 713(e) of the </w:t>
      </w:r>
      <w:r w:rsidR="00F857A1" w:rsidRPr="00F0277B">
        <w:rPr>
          <w:szCs w:val="22"/>
        </w:rPr>
        <w:t xml:space="preserve">Communications </w:t>
      </w:r>
      <w:r w:rsidRPr="00F0277B">
        <w:rPr>
          <w:szCs w:val="22"/>
        </w:rPr>
        <w:t>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F0277B">
        <w:rPr>
          <w:szCs w:val="22"/>
          <w:vertAlign w:val="superscript"/>
        </w:rPr>
        <w:footnoteReference w:id="8"/>
      </w:r>
    </w:p>
    <w:p w:rsidR="0074675D" w:rsidRPr="00F0277B" w:rsidRDefault="004638E2" w:rsidP="001E1D42">
      <w:pPr>
        <w:pStyle w:val="ParaNum"/>
        <w:widowControl/>
        <w:tabs>
          <w:tab w:val="clear" w:pos="1080"/>
        </w:tabs>
        <w:spacing w:after="120"/>
        <w:jc w:val="left"/>
        <w:rPr>
          <w:szCs w:val="22"/>
        </w:rPr>
      </w:pPr>
      <w:r w:rsidRPr="00F0277B">
        <w:rPr>
          <w:szCs w:val="22"/>
        </w:rPr>
        <w:t>T</w:t>
      </w:r>
      <w:r w:rsidR="0074675D" w:rsidRPr="00F0277B">
        <w:rPr>
          <w:szCs w:val="22"/>
        </w:rPr>
        <w:t xml:space="preserve">he Commission requires the following information and documentation to be submitted with closed captioning exemption petitions to enable </w:t>
      </w:r>
      <w:r w:rsidR="00A8283D" w:rsidRPr="00F0277B">
        <w:rPr>
          <w:szCs w:val="22"/>
        </w:rPr>
        <w:t>its consideration</w:t>
      </w:r>
      <w:r w:rsidR="0074675D" w:rsidRPr="00F0277B">
        <w:rPr>
          <w:szCs w:val="22"/>
        </w:rPr>
        <w:t xml:space="preserve"> of the above factors:  </w:t>
      </w:r>
    </w:p>
    <w:p w:rsidR="0074675D" w:rsidRPr="00F0277B" w:rsidRDefault="0074675D" w:rsidP="001E1D42">
      <w:pPr>
        <w:numPr>
          <w:ilvl w:val="0"/>
          <w:numId w:val="22"/>
        </w:numPr>
        <w:spacing w:after="120"/>
        <w:rPr>
          <w:szCs w:val="22"/>
        </w:rPr>
      </w:pPr>
      <w:r w:rsidRPr="00F0277B">
        <w:rPr>
          <w:snapToGrid w:val="0"/>
          <w:kern w:val="28"/>
          <w:szCs w:val="22"/>
        </w:rPr>
        <w:t>the name of the programming (or channel of programming) for which an exemption is requested;</w:t>
      </w:r>
    </w:p>
    <w:p w:rsidR="0074675D" w:rsidRPr="00F0277B" w:rsidRDefault="0074675D" w:rsidP="001E1D42">
      <w:pPr>
        <w:numPr>
          <w:ilvl w:val="0"/>
          <w:numId w:val="22"/>
        </w:numPr>
        <w:spacing w:after="120"/>
        <w:rPr>
          <w:szCs w:val="22"/>
        </w:rPr>
      </w:pPr>
      <w:r w:rsidRPr="00F0277B">
        <w:rPr>
          <w:snapToGrid w:val="0"/>
          <w:kern w:val="28"/>
          <w:szCs w:val="22"/>
        </w:rPr>
        <w:t xml:space="preserve">information and documentation about the petitioner’s costs associated with closed captioning each program and efforts to find companies that can provide captioning at a reasonable cost; </w:t>
      </w:r>
    </w:p>
    <w:p w:rsidR="0074675D" w:rsidRPr="00F0277B" w:rsidRDefault="0074675D" w:rsidP="001E1D42">
      <w:pPr>
        <w:numPr>
          <w:ilvl w:val="0"/>
          <w:numId w:val="22"/>
        </w:numPr>
        <w:spacing w:after="120"/>
        <w:rPr>
          <w:szCs w:val="22"/>
        </w:rPr>
      </w:pPr>
      <w:r w:rsidRPr="00F0277B">
        <w:rPr>
          <w:snapToGrid w:val="0"/>
          <w:kern w:val="28"/>
          <w:szCs w:val="22"/>
        </w:rPr>
        <w:t xml:space="preserve">an explanation of the impact that having to provide closed captioning will have on the petitioner’s programming activities; </w:t>
      </w:r>
    </w:p>
    <w:p w:rsidR="0074675D" w:rsidRPr="00F0277B" w:rsidRDefault="0074675D" w:rsidP="001E1D42">
      <w:pPr>
        <w:numPr>
          <w:ilvl w:val="0"/>
          <w:numId w:val="22"/>
        </w:numPr>
        <w:spacing w:after="120"/>
        <w:rPr>
          <w:szCs w:val="22"/>
        </w:rPr>
      </w:pPr>
      <w:r w:rsidRPr="00F0277B">
        <w:rPr>
          <w:snapToGrid w:val="0"/>
          <w:kern w:val="28"/>
          <w:szCs w:val="22"/>
        </w:rPr>
        <w:t xml:space="preserve">information and documentation of the petitioner’s </w:t>
      </w:r>
      <w:r w:rsidR="00760202" w:rsidRPr="00F0277B">
        <w:rPr>
          <w:snapToGrid w:val="0"/>
          <w:kern w:val="28"/>
          <w:szCs w:val="22"/>
        </w:rPr>
        <w:t xml:space="preserve">financial resources, including its </w:t>
      </w:r>
      <w:r w:rsidRPr="00F0277B">
        <w:rPr>
          <w:snapToGrid w:val="0"/>
          <w:kern w:val="28"/>
          <w:szCs w:val="22"/>
        </w:rPr>
        <w:t>income, expenses, current assets, and current liabilities for the two most recent completed calendar or fiscal years;</w:t>
      </w:r>
    </w:p>
    <w:p w:rsidR="0074675D" w:rsidRPr="00F0277B" w:rsidRDefault="0074675D" w:rsidP="001E1D42">
      <w:pPr>
        <w:numPr>
          <w:ilvl w:val="0"/>
          <w:numId w:val="22"/>
        </w:numPr>
        <w:spacing w:after="120"/>
        <w:rPr>
          <w:szCs w:val="22"/>
        </w:rPr>
      </w:pPr>
      <w:r w:rsidRPr="00F0277B">
        <w:rPr>
          <w:snapToGrid w:val="0"/>
          <w:kern w:val="28"/>
          <w:szCs w:val="22"/>
        </w:rPr>
        <w:t>verification that the petitioner has sought closed captioning assistance from its video programming distributor(s); and</w:t>
      </w:r>
    </w:p>
    <w:p w:rsidR="0074675D" w:rsidRPr="00F0277B" w:rsidRDefault="0074675D" w:rsidP="001E1D42">
      <w:pPr>
        <w:numPr>
          <w:ilvl w:val="0"/>
          <w:numId w:val="22"/>
        </w:numPr>
        <w:spacing w:after="120"/>
        <w:rPr>
          <w:szCs w:val="22"/>
        </w:rPr>
      </w:pPr>
      <w:r w:rsidRPr="00F0277B">
        <w:rPr>
          <w:snapToGrid w:val="0"/>
          <w:kern w:val="28"/>
          <w:szCs w:val="22"/>
        </w:rPr>
        <w:t xml:space="preserve">verification that the petitioner has sought additional sponsorships (other than from its </w:t>
      </w:r>
      <w:r w:rsidR="004638E2" w:rsidRPr="00F0277B">
        <w:rPr>
          <w:snapToGrid w:val="0"/>
          <w:kern w:val="28"/>
          <w:szCs w:val="22"/>
        </w:rPr>
        <w:t xml:space="preserve">video </w:t>
      </w:r>
      <w:r w:rsidRPr="00F0277B">
        <w:rPr>
          <w:snapToGrid w:val="0"/>
          <w:kern w:val="28"/>
          <w:szCs w:val="22"/>
        </w:rPr>
        <w:t>program</w:t>
      </w:r>
      <w:r w:rsidR="004638E2" w:rsidRPr="00F0277B">
        <w:rPr>
          <w:snapToGrid w:val="0"/>
          <w:kern w:val="28"/>
          <w:szCs w:val="22"/>
        </w:rPr>
        <w:t>ming</w:t>
      </w:r>
      <w:r w:rsidRPr="00F0277B">
        <w:rPr>
          <w:snapToGrid w:val="0"/>
          <w:kern w:val="28"/>
          <w:szCs w:val="22"/>
        </w:rPr>
        <w:t xml:space="preserve"> distributor</w:t>
      </w:r>
      <w:r w:rsidR="004638E2" w:rsidRPr="00F0277B">
        <w:rPr>
          <w:snapToGrid w:val="0"/>
          <w:kern w:val="28"/>
          <w:szCs w:val="22"/>
        </w:rPr>
        <w:t>(s)</w:t>
      </w:r>
      <w:r w:rsidRPr="00F0277B">
        <w:rPr>
          <w:snapToGrid w:val="0"/>
          <w:kern w:val="28"/>
          <w:szCs w:val="22"/>
        </w:rPr>
        <w:t>)</w:t>
      </w:r>
      <w:r w:rsidR="004638E2" w:rsidRPr="00F0277B">
        <w:rPr>
          <w:snapToGrid w:val="0"/>
          <w:kern w:val="28"/>
          <w:szCs w:val="22"/>
        </w:rPr>
        <w:t>,</w:t>
      </w:r>
      <w:r w:rsidRPr="00F0277B">
        <w:rPr>
          <w:snapToGrid w:val="0"/>
          <w:kern w:val="28"/>
          <w:szCs w:val="22"/>
        </w:rPr>
        <w:t xml:space="preserve"> or other sources of revenue for captioning.</w:t>
      </w:r>
      <w:r w:rsidRPr="00F0277B">
        <w:rPr>
          <w:snapToGrid w:val="0"/>
          <w:kern w:val="28"/>
          <w:szCs w:val="22"/>
          <w:vertAlign w:val="superscript"/>
        </w:rPr>
        <w:footnoteReference w:id="9"/>
      </w:r>
      <w:r w:rsidRPr="00F0277B">
        <w:rPr>
          <w:snapToGrid w:val="0"/>
          <w:kern w:val="28"/>
          <w:szCs w:val="22"/>
        </w:rPr>
        <w:t xml:space="preserve">  </w:t>
      </w:r>
    </w:p>
    <w:p w:rsidR="0074675D" w:rsidRPr="00F0277B" w:rsidRDefault="0074675D" w:rsidP="001E1D42">
      <w:pPr>
        <w:pStyle w:val="ParaNum"/>
        <w:widowControl/>
        <w:tabs>
          <w:tab w:val="clear" w:pos="1080"/>
        </w:tabs>
        <w:spacing w:after="120"/>
        <w:jc w:val="left"/>
        <w:rPr>
          <w:szCs w:val="22"/>
        </w:rPr>
      </w:pPr>
      <w:r w:rsidRPr="00F0277B">
        <w:rPr>
          <w:snapToGrid w:val="0"/>
          <w:szCs w:val="22"/>
        </w:rPr>
        <w:t xml:space="preserve">Each petition must </w:t>
      </w:r>
      <w:r w:rsidRPr="00F0277B">
        <w:rPr>
          <w:szCs w:val="22"/>
        </w:rPr>
        <w:t>contain a detailed, full showing of any facts or considerations relied upon, supported by affidavit</w:t>
      </w:r>
      <w:r w:rsidRPr="00F0277B">
        <w:rPr>
          <w:snapToGrid w:val="0"/>
          <w:szCs w:val="22"/>
        </w:rPr>
        <w:t>.</w:t>
      </w:r>
      <w:r w:rsidRPr="00F0277B">
        <w:rPr>
          <w:szCs w:val="22"/>
          <w:vertAlign w:val="superscript"/>
        </w:rPr>
        <w:footnoteReference w:id="10"/>
      </w:r>
      <w:r w:rsidRPr="00F0277B">
        <w:rPr>
          <w:snapToGrid w:val="0"/>
          <w:szCs w:val="22"/>
        </w:rPr>
        <w:t xml:space="preserve">  Failure to support an exemption request with adequate explanation and evidence may result in the dismissal of the request.</w:t>
      </w:r>
      <w:r w:rsidRPr="00F0277B">
        <w:rPr>
          <w:snapToGrid w:val="0"/>
          <w:szCs w:val="22"/>
          <w:vertAlign w:val="superscript"/>
        </w:rPr>
        <w:footnoteReference w:id="11"/>
      </w:r>
      <w:r w:rsidRPr="00F0277B">
        <w:rPr>
          <w:snapToGrid w:val="0"/>
          <w:szCs w:val="22"/>
        </w:rPr>
        <w:t xml:space="preserve">  While a petition is pending, the programming subject to the request for exemption is considered exempt from the closed captioning requirements.</w:t>
      </w:r>
      <w:r w:rsidRPr="00F0277B">
        <w:rPr>
          <w:snapToGrid w:val="0"/>
          <w:kern w:val="28"/>
          <w:szCs w:val="22"/>
          <w:vertAlign w:val="superscript"/>
        </w:rPr>
        <w:footnoteReference w:id="12"/>
      </w:r>
    </w:p>
    <w:p w:rsidR="00B01B16" w:rsidRPr="00F0277B" w:rsidRDefault="00B01B16" w:rsidP="001E1D42">
      <w:pPr>
        <w:pStyle w:val="ParaNum"/>
        <w:widowControl/>
        <w:tabs>
          <w:tab w:val="clear" w:pos="1080"/>
        </w:tabs>
        <w:spacing w:after="120"/>
        <w:jc w:val="left"/>
        <w:rPr>
          <w:szCs w:val="22"/>
        </w:rPr>
      </w:pPr>
      <w:r w:rsidRPr="00F0277B">
        <w:rPr>
          <w:szCs w:val="22"/>
        </w:rPr>
        <w:t>Bryant initially filed a petition for exemption on December 30, 2005, and subsequently supplemented it</w:t>
      </w:r>
      <w:r w:rsidR="00A76317" w:rsidRPr="00F0277B">
        <w:rPr>
          <w:szCs w:val="22"/>
        </w:rPr>
        <w:t xml:space="preserve"> (</w:t>
      </w:r>
      <w:r w:rsidR="00947574" w:rsidRPr="00F0277B">
        <w:rPr>
          <w:szCs w:val="22"/>
        </w:rPr>
        <w:t xml:space="preserve">hereinafter </w:t>
      </w:r>
      <w:r w:rsidR="00A76317" w:rsidRPr="00F0277B">
        <w:rPr>
          <w:szCs w:val="22"/>
        </w:rPr>
        <w:t>Petition)</w:t>
      </w:r>
      <w:r w:rsidRPr="00F0277B">
        <w:rPr>
          <w:szCs w:val="22"/>
        </w:rPr>
        <w:t>.</w:t>
      </w:r>
      <w:r w:rsidRPr="00F0277B">
        <w:rPr>
          <w:rStyle w:val="FootnoteReference"/>
          <w:szCs w:val="22"/>
        </w:rPr>
        <w:footnoteReference w:id="13"/>
      </w:r>
      <w:r w:rsidRPr="00F0277B">
        <w:rPr>
          <w:szCs w:val="22"/>
        </w:rPr>
        <w:t xml:space="preserve">  </w:t>
      </w:r>
      <w:r w:rsidRPr="00F0277B">
        <w:rPr>
          <w:vanish/>
          <w:szCs w:val="22"/>
        </w:rPr>
        <w:t xml:space="preserve">  l.6-604, (CGB Mar. 17, 2006).</w:t>
      </w:r>
      <w:r w:rsidRPr="00F0277B">
        <w:rPr>
          <w:vanish/>
          <w:szCs w:val="22"/>
        </w:rPr>
        <w:cr/>
        <w:t xml:space="preserve">-0024, DA0, 2005)ommunications Commission, dated March 7, 2006.  </w:t>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Pr="00F0277B">
        <w:rPr>
          <w:vanish/>
          <w:szCs w:val="22"/>
        </w:rPr>
        <w:pgNum/>
      </w:r>
      <w:r w:rsidR="006B165A" w:rsidRPr="00F0277B">
        <w:rPr>
          <w:szCs w:val="22"/>
        </w:rPr>
        <w:t xml:space="preserve">In a </w:t>
      </w:r>
      <w:r w:rsidR="00FA3CF4" w:rsidRPr="00F0277B">
        <w:rPr>
          <w:szCs w:val="22"/>
        </w:rPr>
        <w:t>P</w:t>
      </w:r>
      <w:r w:rsidR="006B165A" w:rsidRPr="00F0277B">
        <w:rPr>
          <w:szCs w:val="22"/>
        </w:rPr>
        <w:t xml:space="preserve">ublic </w:t>
      </w:r>
      <w:r w:rsidR="00FA3CF4" w:rsidRPr="00F0277B">
        <w:rPr>
          <w:szCs w:val="22"/>
        </w:rPr>
        <w:t>N</w:t>
      </w:r>
      <w:r w:rsidR="006B165A" w:rsidRPr="00F0277B">
        <w:rPr>
          <w:szCs w:val="22"/>
        </w:rPr>
        <w:t xml:space="preserve">otice released on March </w:t>
      </w:r>
      <w:r w:rsidR="00A76317" w:rsidRPr="00F0277B">
        <w:rPr>
          <w:szCs w:val="22"/>
        </w:rPr>
        <w:t xml:space="preserve">17, </w:t>
      </w:r>
      <w:r w:rsidR="006B165A" w:rsidRPr="00F0277B">
        <w:rPr>
          <w:szCs w:val="22"/>
        </w:rPr>
        <w:t>2006, t</w:t>
      </w:r>
      <w:r w:rsidRPr="00F0277B">
        <w:rPr>
          <w:szCs w:val="22"/>
        </w:rPr>
        <w:t xml:space="preserve">he </w:t>
      </w:r>
      <w:r w:rsidR="00786F15" w:rsidRPr="00F0277B">
        <w:rPr>
          <w:szCs w:val="22"/>
        </w:rPr>
        <w:t xml:space="preserve">Consumer and Governmental Affairs Bureau (CGB or Bureau) </w:t>
      </w:r>
      <w:r w:rsidRPr="00F0277B">
        <w:rPr>
          <w:szCs w:val="22"/>
        </w:rPr>
        <w:t xml:space="preserve">invited comment on that </w:t>
      </w:r>
      <w:r w:rsidR="00A76317" w:rsidRPr="00F0277B">
        <w:rPr>
          <w:szCs w:val="22"/>
        </w:rPr>
        <w:t>P</w:t>
      </w:r>
      <w:r w:rsidRPr="00F0277B">
        <w:rPr>
          <w:szCs w:val="22"/>
        </w:rPr>
        <w:t>etition, as supplemented.</w:t>
      </w:r>
      <w:r w:rsidRPr="00F0277B">
        <w:rPr>
          <w:rStyle w:val="FootnoteReference"/>
          <w:szCs w:val="22"/>
        </w:rPr>
        <w:footnoteReference w:id="14"/>
      </w:r>
      <w:r w:rsidR="001C672D">
        <w:rPr>
          <w:szCs w:val="22"/>
        </w:rPr>
        <w:t xml:space="preserve">  </w:t>
      </w:r>
      <w:r w:rsidR="00606176" w:rsidRPr="00F0277B">
        <w:rPr>
          <w:szCs w:val="22"/>
        </w:rPr>
        <w:t>In 2012, the Bureau notified Bryant of the need to file updated information with respect to its pending Petition.</w:t>
      </w:r>
      <w:r w:rsidR="00E82DDB" w:rsidRPr="00F0277B">
        <w:rPr>
          <w:rStyle w:val="FootnoteReference"/>
          <w:szCs w:val="22"/>
        </w:rPr>
        <w:footnoteReference w:id="15"/>
      </w:r>
      <w:r w:rsidRPr="00F0277B">
        <w:rPr>
          <w:szCs w:val="22"/>
        </w:rPr>
        <w:t xml:space="preserve">  </w:t>
      </w:r>
      <w:r w:rsidR="00A76317" w:rsidRPr="00F0277B">
        <w:rPr>
          <w:szCs w:val="22"/>
        </w:rPr>
        <w:t xml:space="preserve">In response, </w:t>
      </w:r>
      <w:r w:rsidR="003719B4">
        <w:rPr>
          <w:szCs w:val="22"/>
        </w:rPr>
        <w:t xml:space="preserve">on June 26, 2012, </w:t>
      </w:r>
      <w:r w:rsidR="00A76317" w:rsidRPr="00F0277B">
        <w:rPr>
          <w:szCs w:val="22"/>
        </w:rPr>
        <w:t>Bryant updated its Petition.</w:t>
      </w:r>
      <w:r w:rsidR="00A76317" w:rsidRPr="00F0277B">
        <w:rPr>
          <w:rStyle w:val="FootnoteReference"/>
          <w:szCs w:val="22"/>
        </w:rPr>
        <w:footnoteReference w:id="16"/>
      </w:r>
      <w:r w:rsidR="00A76317" w:rsidRPr="00F0277B">
        <w:rPr>
          <w:szCs w:val="22"/>
        </w:rPr>
        <w:t xml:space="preserve">  </w:t>
      </w:r>
      <w:r w:rsidR="00FE11F8" w:rsidRPr="00F0277B">
        <w:rPr>
          <w:szCs w:val="22"/>
        </w:rPr>
        <w:t xml:space="preserve">Bryant </w:t>
      </w:r>
      <w:r w:rsidR="003719B4">
        <w:rPr>
          <w:szCs w:val="22"/>
        </w:rPr>
        <w:t xml:space="preserve">again </w:t>
      </w:r>
      <w:r w:rsidR="00FE11F8" w:rsidRPr="00F0277B">
        <w:rPr>
          <w:szCs w:val="22"/>
        </w:rPr>
        <w:t>supplemented its Petition</w:t>
      </w:r>
      <w:r w:rsidR="00606176" w:rsidRPr="00F0277B">
        <w:rPr>
          <w:szCs w:val="22"/>
        </w:rPr>
        <w:t xml:space="preserve"> </w:t>
      </w:r>
      <w:r w:rsidR="003719B4">
        <w:rPr>
          <w:szCs w:val="22"/>
        </w:rPr>
        <w:t xml:space="preserve">on October 24, 2013, </w:t>
      </w:r>
      <w:r w:rsidR="00FE11F8" w:rsidRPr="00F0277B">
        <w:rPr>
          <w:szCs w:val="22"/>
        </w:rPr>
        <w:t xml:space="preserve">in response to a </w:t>
      </w:r>
      <w:r w:rsidR="003719B4">
        <w:rPr>
          <w:szCs w:val="22"/>
        </w:rPr>
        <w:t xml:space="preserve">subsequent </w:t>
      </w:r>
      <w:r w:rsidR="00FE11F8" w:rsidRPr="00F0277B">
        <w:rPr>
          <w:szCs w:val="22"/>
        </w:rPr>
        <w:t>request from the Bureau for additional information.</w:t>
      </w:r>
      <w:r w:rsidR="00FE11F8" w:rsidRPr="00F0277B">
        <w:rPr>
          <w:rStyle w:val="FootnoteReference"/>
          <w:szCs w:val="22"/>
        </w:rPr>
        <w:footnoteReference w:id="17"/>
      </w:r>
      <w:r w:rsidR="00FE11F8" w:rsidRPr="00F0277B">
        <w:rPr>
          <w:szCs w:val="22"/>
        </w:rPr>
        <w:t xml:space="preserve">  </w:t>
      </w:r>
      <w:r w:rsidRPr="00F0277B">
        <w:rPr>
          <w:szCs w:val="22"/>
        </w:rPr>
        <w:t xml:space="preserve">The </w:t>
      </w:r>
      <w:r w:rsidR="00786F15" w:rsidRPr="00F0277B">
        <w:rPr>
          <w:szCs w:val="22"/>
        </w:rPr>
        <w:t xml:space="preserve">Bureau </w:t>
      </w:r>
      <w:r w:rsidRPr="00F0277B">
        <w:rPr>
          <w:szCs w:val="22"/>
        </w:rPr>
        <w:t xml:space="preserve">placed the </w:t>
      </w:r>
      <w:r w:rsidR="00FA3CF4" w:rsidRPr="00F0277B">
        <w:rPr>
          <w:szCs w:val="22"/>
        </w:rPr>
        <w:t xml:space="preserve">completed </w:t>
      </w:r>
      <w:r w:rsidRPr="00F0277B">
        <w:rPr>
          <w:szCs w:val="22"/>
        </w:rPr>
        <w:t>Petition on Public Notice on December 26, 2013.</w:t>
      </w:r>
      <w:r w:rsidRPr="00F0277B">
        <w:rPr>
          <w:rStyle w:val="FootnoteReference"/>
          <w:szCs w:val="22"/>
        </w:rPr>
        <w:footnoteReference w:id="18"/>
      </w:r>
      <w:r w:rsidRPr="00F0277B">
        <w:rPr>
          <w:szCs w:val="22"/>
        </w:rPr>
        <w:t xml:space="preserve"> </w:t>
      </w:r>
      <w:r w:rsidR="00EF4D9B" w:rsidRPr="00F0277B">
        <w:rPr>
          <w:szCs w:val="22"/>
        </w:rPr>
        <w:t xml:space="preserve"> </w:t>
      </w:r>
      <w:r w:rsidR="003719B4">
        <w:rPr>
          <w:szCs w:val="22"/>
        </w:rPr>
        <w:t>The Commission received o</w:t>
      </w:r>
      <w:r w:rsidR="00EF4D9B" w:rsidRPr="00F0277B">
        <w:rPr>
          <w:szCs w:val="22"/>
        </w:rPr>
        <w:t xml:space="preserve">ne set of comments </w:t>
      </w:r>
      <w:r w:rsidR="003719B4">
        <w:rPr>
          <w:szCs w:val="22"/>
        </w:rPr>
        <w:t xml:space="preserve">in response </w:t>
      </w:r>
      <w:r w:rsidR="00EF4D9B" w:rsidRPr="00F0277B">
        <w:rPr>
          <w:szCs w:val="22"/>
        </w:rPr>
        <w:t xml:space="preserve">to the </w:t>
      </w:r>
      <w:r w:rsidR="00DD401E">
        <w:rPr>
          <w:szCs w:val="22"/>
        </w:rPr>
        <w:t>Public Notice</w:t>
      </w:r>
      <w:r w:rsidR="00EF4D9B" w:rsidRPr="00F0277B">
        <w:rPr>
          <w:szCs w:val="22"/>
        </w:rPr>
        <w:t>.</w:t>
      </w:r>
      <w:r w:rsidR="00EF4D9B" w:rsidRPr="00F0277B">
        <w:rPr>
          <w:rStyle w:val="FootnoteReference"/>
          <w:szCs w:val="22"/>
        </w:rPr>
        <w:footnoteReference w:id="19"/>
      </w:r>
      <w:r w:rsidR="00EF4D9B" w:rsidRPr="00F0277B">
        <w:rPr>
          <w:szCs w:val="22"/>
        </w:rPr>
        <w:t xml:space="preserve">  </w:t>
      </w:r>
    </w:p>
    <w:p w:rsidR="00E35E5A" w:rsidRPr="00F0277B" w:rsidRDefault="00F013EA" w:rsidP="001E1D42">
      <w:pPr>
        <w:pStyle w:val="Heading1"/>
        <w:keepNext w:val="0"/>
        <w:widowControl/>
        <w:spacing w:after="120"/>
        <w:jc w:val="left"/>
        <w:rPr>
          <w:szCs w:val="22"/>
        </w:rPr>
      </w:pPr>
      <w:r w:rsidRPr="00F0277B">
        <w:rPr>
          <w:szCs w:val="22"/>
        </w:rPr>
        <w:t>discussion</w:t>
      </w:r>
      <w:r w:rsidR="00E35E5A" w:rsidRPr="00F0277B">
        <w:rPr>
          <w:szCs w:val="22"/>
        </w:rPr>
        <w:t xml:space="preserve"> </w:t>
      </w:r>
    </w:p>
    <w:p w:rsidR="003F10D4" w:rsidRPr="00F0277B" w:rsidRDefault="00983CE5" w:rsidP="001E1D42">
      <w:pPr>
        <w:pStyle w:val="ParaNum"/>
        <w:widowControl/>
        <w:tabs>
          <w:tab w:val="clear" w:pos="1080"/>
        </w:tabs>
        <w:spacing w:after="120"/>
        <w:jc w:val="left"/>
        <w:rPr>
          <w:szCs w:val="22"/>
        </w:rPr>
      </w:pPr>
      <w:r w:rsidRPr="00F0277B">
        <w:rPr>
          <w:szCs w:val="22"/>
        </w:rPr>
        <w:t>Bryant</w:t>
      </w:r>
      <w:r w:rsidR="005C0024" w:rsidRPr="00F0277B">
        <w:rPr>
          <w:szCs w:val="22"/>
        </w:rPr>
        <w:t xml:space="preserve"> </w:t>
      </w:r>
      <w:r w:rsidR="004638E2" w:rsidRPr="00F0277B">
        <w:rPr>
          <w:szCs w:val="22"/>
        </w:rPr>
        <w:t xml:space="preserve">describes </w:t>
      </w:r>
      <w:r w:rsidR="00A90ECD" w:rsidRPr="00F0277B">
        <w:rPr>
          <w:i/>
          <w:szCs w:val="22"/>
        </w:rPr>
        <w:t>JBTV</w:t>
      </w:r>
      <w:r w:rsidR="004638E2" w:rsidRPr="00F0277B">
        <w:rPr>
          <w:szCs w:val="22"/>
        </w:rPr>
        <w:t xml:space="preserve"> as </w:t>
      </w:r>
      <w:r w:rsidR="005C0024" w:rsidRPr="00F0277B">
        <w:rPr>
          <w:szCs w:val="22"/>
        </w:rPr>
        <w:t xml:space="preserve">a </w:t>
      </w:r>
      <w:r w:rsidR="0028718A" w:rsidRPr="00F0277B">
        <w:rPr>
          <w:szCs w:val="22"/>
        </w:rPr>
        <w:t>60</w:t>
      </w:r>
      <w:r w:rsidR="005C0024" w:rsidRPr="00F0277B">
        <w:rPr>
          <w:szCs w:val="22"/>
        </w:rPr>
        <w:t xml:space="preserve">-minute show that features </w:t>
      </w:r>
      <w:r w:rsidR="007A7DC4" w:rsidRPr="00F0277B">
        <w:rPr>
          <w:szCs w:val="22"/>
        </w:rPr>
        <w:t>“</w:t>
      </w:r>
      <w:r w:rsidR="005C0024" w:rsidRPr="00F0277B">
        <w:rPr>
          <w:szCs w:val="22"/>
        </w:rPr>
        <w:t>local musicians and their amateur music videos, some concerts filmed in the Chicagoland area, and music video</w:t>
      </w:r>
      <w:r w:rsidR="004638E2" w:rsidRPr="00F0277B">
        <w:rPr>
          <w:szCs w:val="22"/>
        </w:rPr>
        <w:t>s</w:t>
      </w:r>
      <w:r w:rsidR="005C0024" w:rsidRPr="00F0277B">
        <w:rPr>
          <w:szCs w:val="22"/>
        </w:rPr>
        <w:t xml:space="preserve"> from more well-known artists.</w:t>
      </w:r>
      <w:r w:rsidR="007A7DC4" w:rsidRPr="00F0277B">
        <w:rPr>
          <w:szCs w:val="22"/>
        </w:rPr>
        <w:t>”</w:t>
      </w:r>
      <w:r w:rsidR="00A66C88" w:rsidRPr="00F0277B">
        <w:rPr>
          <w:rStyle w:val="FootnoteReference"/>
          <w:szCs w:val="22"/>
        </w:rPr>
        <w:footnoteReference w:id="20"/>
      </w:r>
      <w:r w:rsidR="005C0024" w:rsidRPr="00F0277B">
        <w:rPr>
          <w:szCs w:val="22"/>
        </w:rPr>
        <w:t xml:space="preserve">  </w:t>
      </w:r>
      <w:r w:rsidR="00FD617C" w:rsidRPr="00F0277B">
        <w:rPr>
          <w:szCs w:val="22"/>
        </w:rPr>
        <w:t xml:space="preserve">The producer of </w:t>
      </w:r>
      <w:r w:rsidR="00FD617C" w:rsidRPr="00F0277B">
        <w:rPr>
          <w:i/>
          <w:szCs w:val="22"/>
        </w:rPr>
        <w:t>JBTV</w:t>
      </w:r>
      <w:r w:rsidR="00FD617C" w:rsidRPr="00F0277B">
        <w:rPr>
          <w:szCs w:val="22"/>
        </w:rPr>
        <w:t xml:space="preserve">, </w:t>
      </w:r>
      <w:r w:rsidR="007A7DC4" w:rsidRPr="00F0277B">
        <w:rPr>
          <w:szCs w:val="22"/>
        </w:rPr>
        <w:t xml:space="preserve">Gerald </w:t>
      </w:r>
      <w:r w:rsidR="00FD617C" w:rsidRPr="00F0277B">
        <w:rPr>
          <w:szCs w:val="22"/>
        </w:rPr>
        <w:t>Bryant</w:t>
      </w:r>
      <w:r w:rsidR="00F34076" w:rsidRPr="00F0277B">
        <w:rPr>
          <w:szCs w:val="22"/>
        </w:rPr>
        <w:t>,</w:t>
      </w:r>
      <w:r w:rsidR="00BE7748" w:rsidRPr="00F0277B">
        <w:rPr>
          <w:szCs w:val="22"/>
        </w:rPr>
        <w:t xml:space="preserve"> started </w:t>
      </w:r>
      <w:r w:rsidR="00BE7748" w:rsidRPr="00F0277B">
        <w:rPr>
          <w:i/>
          <w:szCs w:val="22"/>
        </w:rPr>
        <w:t>JBTV</w:t>
      </w:r>
      <w:r w:rsidR="00BE7748" w:rsidRPr="00F0277B">
        <w:rPr>
          <w:szCs w:val="22"/>
        </w:rPr>
        <w:t xml:space="preserve"> as a “hobby” in 1986 and </w:t>
      </w:r>
      <w:r w:rsidR="00EF7A6D" w:rsidRPr="00F0277B">
        <w:rPr>
          <w:szCs w:val="22"/>
        </w:rPr>
        <w:t xml:space="preserve">asserts </w:t>
      </w:r>
      <w:r w:rsidR="00F34076" w:rsidRPr="00F0277B">
        <w:rPr>
          <w:szCs w:val="22"/>
        </w:rPr>
        <w:t xml:space="preserve">that </w:t>
      </w:r>
      <w:r w:rsidR="00BE7748" w:rsidRPr="00F0277B">
        <w:rPr>
          <w:szCs w:val="22"/>
        </w:rPr>
        <w:t>this</w:t>
      </w:r>
      <w:r w:rsidR="00EF7A6D" w:rsidRPr="00F0277B">
        <w:rPr>
          <w:szCs w:val="22"/>
        </w:rPr>
        <w:t xml:space="preserve"> program</w:t>
      </w:r>
      <w:r w:rsidR="00BE7748" w:rsidRPr="00F0277B">
        <w:rPr>
          <w:szCs w:val="22"/>
        </w:rPr>
        <w:t xml:space="preserve"> is America’s longest-running modern music television show and Chicago’s longest-running television show of any kind.</w:t>
      </w:r>
      <w:r w:rsidR="00BE7748" w:rsidRPr="00F0277B">
        <w:rPr>
          <w:rStyle w:val="FootnoteReference"/>
          <w:szCs w:val="22"/>
        </w:rPr>
        <w:footnoteReference w:id="21"/>
      </w:r>
      <w:r w:rsidR="00BE7748" w:rsidRPr="00F0277B">
        <w:rPr>
          <w:szCs w:val="22"/>
        </w:rPr>
        <w:t xml:space="preserve">  </w:t>
      </w:r>
      <w:r w:rsidR="000E5022" w:rsidRPr="00F0277B">
        <w:rPr>
          <w:szCs w:val="22"/>
        </w:rPr>
        <w:t>Bryant generally produces one new show each week for</w:t>
      </w:r>
      <w:r w:rsidR="003719F8" w:rsidRPr="00F0277B">
        <w:rPr>
          <w:szCs w:val="22"/>
        </w:rPr>
        <w:t xml:space="preserve"> its weekly</w:t>
      </w:r>
      <w:r w:rsidR="000E5022" w:rsidRPr="00F0277B">
        <w:rPr>
          <w:szCs w:val="22"/>
        </w:rPr>
        <w:t xml:space="preserve"> </w:t>
      </w:r>
      <w:r w:rsidR="005C0024" w:rsidRPr="00F0277B">
        <w:rPr>
          <w:szCs w:val="22"/>
        </w:rPr>
        <w:t xml:space="preserve">broadcast on </w:t>
      </w:r>
      <w:r w:rsidR="00002DFD" w:rsidRPr="00F0277B">
        <w:rPr>
          <w:szCs w:val="22"/>
        </w:rPr>
        <w:t xml:space="preserve">Chicago </w:t>
      </w:r>
      <w:r w:rsidR="00760202" w:rsidRPr="00F0277B">
        <w:rPr>
          <w:szCs w:val="22"/>
        </w:rPr>
        <w:t>area</w:t>
      </w:r>
      <w:r w:rsidR="00002DFD" w:rsidRPr="00F0277B">
        <w:rPr>
          <w:szCs w:val="22"/>
        </w:rPr>
        <w:t xml:space="preserve"> station </w:t>
      </w:r>
      <w:r w:rsidR="00B444F3" w:rsidRPr="00F0277B">
        <w:rPr>
          <w:szCs w:val="22"/>
        </w:rPr>
        <w:t>WJYS</w:t>
      </w:r>
      <w:r w:rsidR="004F6AB9" w:rsidRPr="00F0277B">
        <w:rPr>
          <w:szCs w:val="22"/>
        </w:rPr>
        <w:t>(TV</w:t>
      </w:r>
      <w:r w:rsidR="006E300D" w:rsidRPr="00F0277B">
        <w:rPr>
          <w:szCs w:val="22"/>
        </w:rPr>
        <w:t>)</w:t>
      </w:r>
      <w:r w:rsidR="0077757F" w:rsidRPr="00F0277B">
        <w:rPr>
          <w:szCs w:val="22"/>
        </w:rPr>
        <w:t>.</w:t>
      </w:r>
      <w:r w:rsidR="000E5022" w:rsidRPr="00F0277B">
        <w:rPr>
          <w:rStyle w:val="FootnoteReference"/>
          <w:szCs w:val="22"/>
        </w:rPr>
        <w:footnoteReference w:id="22"/>
      </w:r>
      <w:r w:rsidR="00B444F3" w:rsidRPr="00F0277B">
        <w:rPr>
          <w:szCs w:val="22"/>
        </w:rPr>
        <w:t xml:space="preserve">  Tuff TV, </w:t>
      </w:r>
      <w:r w:rsidR="00122620" w:rsidRPr="00F0277B">
        <w:rPr>
          <w:szCs w:val="22"/>
        </w:rPr>
        <w:t xml:space="preserve">a </w:t>
      </w:r>
      <w:r w:rsidR="00B706EA" w:rsidRPr="00F0277B">
        <w:rPr>
          <w:szCs w:val="22"/>
        </w:rPr>
        <w:t xml:space="preserve">program </w:t>
      </w:r>
      <w:r w:rsidR="00122620" w:rsidRPr="00F0277B">
        <w:rPr>
          <w:szCs w:val="22"/>
        </w:rPr>
        <w:t xml:space="preserve">channel </w:t>
      </w:r>
      <w:r w:rsidR="00B706EA" w:rsidRPr="00F0277B">
        <w:rPr>
          <w:szCs w:val="22"/>
        </w:rPr>
        <w:t xml:space="preserve">aired by </w:t>
      </w:r>
      <w:r w:rsidR="00760202" w:rsidRPr="00F0277B">
        <w:rPr>
          <w:szCs w:val="22"/>
        </w:rPr>
        <w:t>televi</w:t>
      </w:r>
      <w:r w:rsidR="00B706EA" w:rsidRPr="00F0277B">
        <w:rPr>
          <w:szCs w:val="22"/>
        </w:rPr>
        <w:t>s</w:t>
      </w:r>
      <w:r w:rsidR="00760202" w:rsidRPr="00F0277B">
        <w:rPr>
          <w:szCs w:val="22"/>
        </w:rPr>
        <w:t>ion s</w:t>
      </w:r>
      <w:r w:rsidR="00B706EA" w:rsidRPr="00F0277B">
        <w:rPr>
          <w:szCs w:val="22"/>
        </w:rPr>
        <w:t xml:space="preserve">tations </w:t>
      </w:r>
      <w:r w:rsidR="00760202" w:rsidRPr="00F0277B">
        <w:rPr>
          <w:szCs w:val="22"/>
        </w:rPr>
        <w:t xml:space="preserve">on their digital multicast channels </w:t>
      </w:r>
      <w:r w:rsidR="00B444F3" w:rsidRPr="00F0277B">
        <w:rPr>
          <w:szCs w:val="22"/>
        </w:rPr>
        <w:t xml:space="preserve">in 37 U.S. markets, </w:t>
      </w:r>
      <w:r w:rsidR="001A34B5" w:rsidRPr="00F0277B">
        <w:rPr>
          <w:szCs w:val="22"/>
        </w:rPr>
        <w:t xml:space="preserve">shows </w:t>
      </w:r>
      <w:r w:rsidR="003F10D4" w:rsidRPr="00F0277B">
        <w:rPr>
          <w:szCs w:val="22"/>
        </w:rPr>
        <w:t xml:space="preserve">edited, repurposed content from Bryant’s prior shows </w:t>
      </w:r>
      <w:r w:rsidR="00B444F3" w:rsidRPr="00F0277B">
        <w:rPr>
          <w:szCs w:val="22"/>
        </w:rPr>
        <w:t>at 1:00 a.m. on weekdays.</w:t>
      </w:r>
      <w:r w:rsidR="00A66C88" w:rsidRPr="00F0277B">
        <w:rPr>
          <w:rStyle w:val="FootnoteReference"/>
          <w:szCs w:val="22"/>
        </w:rPr>
        <w:footnoteReference w:id="23"/>
      </w:r>
      <w:r w:rsidR="00B444F3" w:rsidRPr="00F0277B">
        <w:rPr>
          <w:szCs w:val="22"/>
        </w:rPr>
        <w:t xml:space="preserve">  </w:t>
      </w:r>
      <w:r w:rsidR="000617B8" w:rsidRPr="00F0277B">
        <w:rPr>
          <w:szCs w:val="22"/>
        </w:rPr>
        <w:t xml:space="preserve">Mr. </w:t>
      </w:r>
      <w:r w:rsidR="00B444F3" w:rsidRPr="00F0277B">
        <w:rPr>
          <w:szCs w:val="22"/>
        </w:rPr>
        <w:t>Bryant</w:t>
      </w:r>
      <w:r w:rsidR="0077757F" w:rsidRPr="00F0277B">
        <w:rPr>
          <w:szCs w:val="22"/>
        </w:rPr>
        <w:t xml:space="preserve"> </w:t>
      </w:r>
      <w:r w:rsidR="003F10D4" w:rsidRPr="00F0277B">
        <w:rPr>
          <w:szCs w:val="22"/>
        </w:rPr>
        <w:t>reports that he</w:t>
      </w:r>
      <w:r w:rsidR="00B444F3" w:rsidRPr="00F0277B">
        <w:rPr>
          <w:szCs w:val="22"/>
        </w:rPr>
        <w:t xml:space="preserve"> is assisted by a small, all-volunteer staff</w:t>
      </w:r>
      <w:r w:rsidR="003F10D4" w:rsidRPr="00F0277B">
        <w:rPr>
          <w:szCs w:val="22"/>
        </w:rPr>
        <w:t xml:space="preserve">, and that he </w:t>
      </w:r>
      <w:r w:rsidR="00B444F3" w:rsidRPr="00F0277B">
        <w:rPr>
          <w:szCs w:val="22"/>
        </w:rPr>
        <w:t xml:space="preserve">uses his own personal funds to </w:t>
      </w:r>
      <w:r w:rsidR="00CA2C97" w:rsidRPr="00F0277B">
        <w:rPr>
          <w:szCs w:val="22"/>
        </w:rPr>
        <w:t xml:space="preserve">produce </w:t>
      </w:r>
      <w:r w:rsidR="00B706EA" w:rsidRPr="00F0277B">
        <w:rPr>
          <w:i/>
          <w:szCs w:val="22"/>
        </w:rPr>
        <w:t>JBTV</w:t>
      </w:r>
      <w:r w:rsidR="00CA2C97" w:rsidRPr="00F0277B">
        <w:rPr>
          <w:szCs w:val="22"/>
        </w:rPr>
        <w:t>.</w:t>
      </w:r>
      <w:r w:rsidR="00CA2C97" w:rsidRPr="00F0277B">
        <w:rPr>
          <w:rStyle w:val="FootnoteReference"/>
          <w:szCs w:val="22"/>
        </w:rPr>
        <w:footnoteReference w:id="24"/>
      </w:r>
      <w:r w:rsidR="00DA034D" w:rsidRPr="00F0277B">
        <w:rPr>
          <w:szCs w:val="22"/>
        </w:rPr>
        <w:t xml:space="preserve"> </w:t>
      </w:r>
      <w:r w:rsidR="00CA2C97" w:rsidRPr="00F0277B">
        <w:rPr>
          <w:szCs w:val="22"/>
        </w:rPr>
        <w:t xml:space="preserve"> He </w:t>
      </w:r>
      <w:r w:rsidR="003F10D4" w:rsidRPr="00F0277B">
        <w:rPr>
          <w:szCs w:val="22"/>
        </w:rPr>
        <w:t xml:space="preserve">also asserts that he </w:t>
      </w:r>
      <w:r w:rsidR="00DA034D" w:rsidRPr="00F0277B">
        <w:rPr>
          <w:szCs w:val="22"/>
        </w:rPr>
        <w:t xml:space="preserve">requests that </w:t>
      </w:r>
      <w:r w:rsidR="00CA2C97" w:rsidRPr="00F0277B">
        <w:rPr>
          <w:szCs w:val="22"/>
        </w:rPr>
        <w:t xml:space="preserve">music videos submitted for </w:t>
      </w:r>
      <w:r w:rsidR="003F10D4" w:rsidRPr="00F0277B">
        <w:rPr>
          <w:szCs w:val="22"/>
        </w:rPr>
        <w:t xml:space="preserve">his </w:t>
      </w:r>
      <w:r w:rsidR="00CA2C97" w:rsidRPr="00F0277B">
        <w:rPr>
          <w:szCs w:val="22"/>
        </w:rPr>
        <w:t>broadcast</w:t>
      </w:r>
      <w:r w:rsidR="003F10D4" w:rsidRPr="00F0277B">
        <w:rPr>
          <w:szCs w:val="22"/>
        </w:rPr>
        <w:t>s</w:t>
      </w:r>
      <w:r w:rsidR="003719F8" w:rsidRPr="00F0277B">
        <w:rPr>
          <w:szCs w:val="22"/>
        </w:rPr>
        <w:t xml:space="preserve"> </w:t>
      </w:r>
      <w:r w:rsidR="00CA2C97" w:rsidRPr="00F0277B">
        <w:rPr>
          <w:szCs w:val="22"/>
        </w:rPr>
        <w:t>be</w:t>
      </w:r>
      <w:r w:rsidR="00DA034D" w:rsidRPr="00F0277B">
        <w:rPr>
          <w:szCs w:val="22"/>
        </w:rPr>
        <w:t xml:space="preserve"> closed caption</w:t>
      </w:r>
      <w:r w:rsidR="00CA2C97" w:rsidRPr="00F0277B">
        <w:rPr>
          <w:szCs w:val="22"/>
        </w:rPr>
        <w:t>ed, which result</w:t>
      </w:r>
      <w:r w:rsidR="00E42D16" w:rsidRPr="00F0277B">
        <w:rPr>
          <w:szCs w:val="22"/>
        </w:rPr>
        <w:t>s</w:t>
      </w:r>
      <w:r w:rsidR="00CA2C97" w:rsidRPr="00F0277B">
        <w:rPr>
          <w:szCs w:val="22"/>
        </w:rPr>
        <w:t xml:space="preserve"> in closed captioning for</w:t>
      </w:r>
      <w:r w:rsidR="003F10D4" w:rsidRPr="00F0277B">
        <w:rPr>
          <w:szCs w:val="22"/>
        </w:rPr>
        <w:t xml:space="preserve"> </w:t>
      </w:r>
      <w:r w:rsidR="00CA2C97" w:rsidRPr="00F0277B">
        <w:rPr>
          <w:szCs w:val="22"/>
        </w:rPr>
        <w:t>a</w:t>
      </w:r>
      <w:r w:rsidR="00DA034D" w:rsidRPr="00F0277B">
        <w:rPr>
          <w:szCs w:val="22"/>
        </w:rPr>
        <w:t xml:space="preserve">pproximately 50% of the music videos currently aired on </w:t>
      </w:r>
      <w:r w:rsidR="00DA034D" w:rsidRPr="00F0277B">
        <w:rPr>
          <w:i/>
          <w:szCs w:val="22"/>
        </w:rPr>
        <w:t>JBTV</w:t>
      </w:r>
      <w:r w:rsidR="00DA034D" w:rsidRPr="00F0277B">
        <w:rPr>
          <w:szCs w:val="22"/>
        </w:rPr>
        <w:t>.</w:t>
      </w:r>
      <w:r w:rsidR="00DA034D" w:rsidRPr="00F0277B">
        <w:rPr>
          <w:rStyle w:val="FootnoteReference"/>
          <w:szCs w:val="22"/>
        </w:rPr>
        <w:footnoteReference w:id="25"/>
      </w:r>
      <w:r w:rsidR="00DA034D" w:rsidRPr="00F0277B">
        <w:rPr>
          <w:szCs w:val="22"/>
        </w:rPr>
        <w:t xml:space="preserve">  </w:t>
      </w:r>
      <w:r w:rsidR="00C72D15" w:rsidRPr="00F0277B">
        <w:rPr>
          <w:szCs w:val="22"/>
        </w:rPr>
        <w:t>Bryant maintains that requiring its programming to comply with the Commission’s closed captioning requirements would be economically burdensome.</w:t>
      </w:r>
      <w:r w:rsidR="00C72D15" w:rsidRPr="00F0277B">
        <w:rPr>
          <w:rStyle w:val="FootnoteReference"/>
          <w:szCs w:val="22"/>
        </w:rPr>
        <w:footnoteReference w:id="26"/>
      </w:r>
      <w:r w:rsidR="00C72D15" w:rsidRPr="00F0277B">
        <w:rPr>
          <w:szCs w:val="22"/>
        </w:rPr>
        <w:t xml:space="preserve"> </w:t>
      </w:r>
    </w:p>
    <w:p w:rsidR="00BC2530" w:rsidRPr="00F0277B" w:rsidRDefault="00A90ECD" w:rsidP="001E1D42">
      <w:pPr>
        <w:pStyle w:val="ParaNum"/>
        <w:widowControl/>
        <w:tabs>
          <w:tab w:val="clear" w:pos="1080"/>
        </w:tabs>
        <w:spacing w:after="120"/>
        <w:jc w:val="left"/>
        <w:rPr>
          <w:szCs w:val="22"/>
        </w:rPr>
      </w:pPr>
      <w:r w:rsidRPr="00F0277B">
        <w:rPr>
          <w:szCs w:val="22"/>
        </w:rPr>
        <w:t>Bryant</w:t>
      </w:r>
      <w:r w:rsidR="00550D43" w:rsidRPr="00F0277B">
        <w:rPr>
          <w:szCs w:val="22"/>
        </w:rPr>
        <w:t xml:space="preserve"> obtained two quotes </w:t>
      </w:r>
      <w:r w:rsidR="004638E2" w:rsidRPr="00F0277B">
        <w:rPr>
          <w:szCs w:val="22"/>
        </w:rPr>
        <w:t xml:space="preserve">to </w:t>
      </w:r>
      <w:r w:rsidR="00550D43" w:rsidRPr="00F0277B">
        <w:rPr>
          <w:szCs w:val="22"/>
        </w:rPr>
        <w:t>caption</w:t>
      </w:r>
      <w:r w:rsidR="004638E2" w:rsidRPr="00F0277B">
        <w:rPr>
          <w:szCs w:val="22"/>
        </w:rPr>
        <w:t xml:space="preserve"> its program</w:t>
      </w:r>
      <w:r w:rsidR="00550D43" w:rsidRPr="00F0277B">
        <w:rPr>
          <w:szCs w:val="22"/>
        </w:rPr>
        <w:t xml:space="preserve">.  The first, </w:t>
      </w:r>
      <w:r w:rsidR="00864411" w:rsidRPr="00F0277B">
        <w:rPr>
          <w:szCs w:val="22"/>
        </w:rPr>
        <w:t xml:space="preserve">from </w:t>
      </w:r>
      <w:r w:rsidR="00550D43" w:rsidRPr="00F0277B">
        <w:rPr>
          <w:szCs w:val="22"/>
        </w:rPr>
        <w:t xml:space="preserve">Chicago HD, </w:t>
      </w:r>
      <w:r w:rsidR="004638E2" w:rsidRPr="00F0277B">
        <w:rPr>
          <w:szCs w:val="22"/>
        </w:rPr>
        <w:t>is</w:t>
      </w:r>
      <w:r w:rsidR="00550D43" w:rsidRPr="00F0277B">
        <w:rPr>
          <w:szCs w:val="22"/>
        </w:rPr>
        <w:t xml:space="preserve"> </w:t>
      </w:r>
      <w:r w:rsidR="00002DFD" w:rsidRPr="00F0277B">
        <w:rPr>
          <w:szCs w:val="22"/>
        </w:rPr>
        <w:t>for</w:t>
      </w:r>
      <w:r w:rsidR="00550D43" w:rsidRPr="00F0277B">
        <w:rPr>
          <w:szCs w:val="22"/>
        </w:rPr>
        <w:t xml:space="preserve"> $1,006.25 per show, or a total annual cost of approximately $52,325</w:t>
      </w:r>
      <w:r w:rsidR="00CA2C97" w:rsidRPr="00F0277B">
        <w:rPr>
          <w:szCs w:val="22"/>
        </w:rPr>
        <w:t>.00</w:t>
      </w:r>
      <w:r w:rsidR="00550D43" w:rsidRPr="00F0277B">
        <w:rPr>
          <w:szCs w:val="22"/>
        </w:rPr>
        <w:t>.</w:t>
      </w:r>
      <w:r w:rsidR="00550D43" w:rsidRPr="00F0277B">
        <w:rPr>
          <w:rStyle w:val="FootnoteReference"/>
          <w:szCs w:val="22"/>
        </w:rPr>
        <w:footnoteReference w:id="27"/>
      </w:r>
      <w:r w:rsidR="00550D43" w:rsidRPr="00F0277B">
        <w:rPr>
          <w:szCs w:val="22"/>
        </w:rPr>
        <w:t xml:space="preserve">  The second quote, </w:t>
      </w:r>
      <w:r w:rsidR="00864411" w:rsidRPr="00F0277B">
        <w:rPr>
          <w:szCs w:val="22"/>
        </w:rPr>
        <w:t xml:space="preserve">from </w:t>
      </w:r>
      <w:r w:rsidR="00550D43" w:rsidRPr="00F0277B">
        <w:rPr>
          <w:szCs w:val="22"/>
        </w:rPr>
        <w:t>Caption Media Group, estimate</w:t>
      </w:r>
      <w:r w:rsidR="004638E2" w:rsidRPr="00F0277B">
        <w:rPr>
          <w:szCs w:val="22"/>
        </w:rPr>
        <w:t>s that it will cost</w:t>
      </w:r>
      <w:r w:rsidR="00550D43" w:rsidRPr="00F0277B">
        <w:rPr>
          <w:szCs w:val="22"/>
        </w:rPr>
        <w:t xml:space="preserve"> $938.00 </w:t>
      </w:r>
      <w:r w:rsidR="004638E2" w:rsidRPr="00F0277B">
        <w:rPr>
          <w:szCs w:val="22"/>
        </w:rPr>
        <w:t xml:space="preserve">to caption each </w:t>
      </w:r>
      <w:r w:rsidR="00B66347" w:rsidRPr="00F0277B">
        <w:rPr>
          <w:szCs w:val="22"/>
        </w:rPr>
        <w:t>show</w:t>
      </w:r>
      <w:r w:rsidR="004638E2" w:rsidRPr="00F0277B">
        <w:rPr>
          <w:szCs w:val="22"/>
        </w:rPr>
        <w:t>,</w:t>
      </w:r>
      <w:r w:rsidR="00550D43" w:rsidRPr="00F0277B">
        <w:rPr>
          <w:szCs w:val="22"/>
        </w:rPr>
        <w:t xml:space="preserve"> or a total annual cost of approximately $48,776</w:t>
      </w:r>
      <w:r w:rsidR="00E42D16" w:rsidRPr="00F0277B">
        <w:rPr>
          <w:szCs w:val="22"/>
        </w:rPr>
        <w:t>.00</w:t>
      </w:r>
      <w:r w:rsidR="00550D43" w:rsidRPr="00F0277B">
        <w:rPr>
          <w:szCs w:val="22"/>
        </w:rPr>
        <w:t>.</w:t>
      </w:r>
      <w:r w:rsidR="00550D43" w:rsidRPr="00F0277B">
        <w:rPr>
          <w:rStyle w:val="FootnoteReference"/>
          <w:szCs w:val="22"/>
        </w:rPr>
        <w:footnoteReference w:id="28"/>
      </w:r>
      <w:r w:rsidR="00550D43" w:rsidRPr="00F0277B">
        <w:rPr>
          <w:szCs w:val="22"/>
        </w:rPr>
        <w:t xml:space="preserve">  </w:t>
      </w:r>
    </w:p>
    <w:p w:rsidR="00617258" w:rsidRPr="00F0277B" w:rsidRDefault="00B96EE2" w:rsidP="001E1D42">
      <w:pPr>
        <w:pStyle w:val="ParaNum"/>
        <w:tabs>
          <w:tab w:val="clear" w:pos="1080"/>
        </w:tabs>
        <w:spacing w:after="120"/>
        <w:jc w:val="left"/>
        <w:rPr>
          <w:szCs w:val="22"/>
        </w:rPr>
      </w:pPr>
      <w:r w:rsidRPr="00F0277B">
        <w:rPr>
          <w:szCs w:val="22"/>
        </w:rPr>
        <w:t>Bryant reports income of $203,295.59, expenses of $268,054.10, and a net loss of $64,758.51 for 2011.</w:t>
      </w:r>
      <w:r w:rsidRPr="00F0277B">
        <w:rPr>
          <w:rStyle w:val="FootnoteReference"/>
          <w:szCs w:val="22"/>
        </w:rPr>
        <w:footnoteReference w:id="29"/>
      </w:r>
      <w:r w:rsidRPr="00F0277B">
        <w:rPr>
          <w:szCs w:val="22"/>
        </w:rPr>
        <w:t xml:space="preserve">  Bryant also reports income of $135,008.00, expenses of $276.280.68, and a net loss of $141,272.68 for 2012.</w:t>
      </w:r>
      <w:r w:rsidRPr="00F0277B">
        <w:rPr>
          <w:szCs w:val="22"/>
          <w:vertAlign w:val="superscript"/>
        </w:rPr>
        <w:footnoteReference w:id="30"/>
      </w:r>
      <w:r w:rsidRPr="00F0277B">
        <w:rPr>
          <w:szCs w:val="22"/>
        </w:rPr>
        <w:t xml:space="preserve">  Bryant reports current assets of $45,694.18, current liabilities of $494,716.81, and net current liabilities of $449,022.63 as of December 31, 2011.</w:t>
      </w:r>
      <w:r w:rsidRPr="00F0277B">
        <w:rPr>
          <w:rStyle w:val="FootnoteReference"/>
          <w:szCs w:val="22"/>
        </w:rPr>
        <w:footnoteReference w:id="31"/>
      </w:r>
      <w:r w:rsidRPr="00F0277B">
        <w:rPr>
          <w:szCs w:val="22"/>
        </w:rPr>
        <w:t xml:space="preserve">  Bryant also reports current assets of $111,732.08, current liabilities of $670,692.77, and net current liabilities of $558,960.69 as of December 31, 2012.</w:t>
      </w:r>
      <w:r w:rsidRPr="00F0277B">
        <w:rPr>
          <w:szCs w:val="22"/>
          <w:vertAlign w:val="superscript"/>
        </w:rPr>
        <w:footnoteReference w:id="32"/>
      </w:r>
      <w:r w:rsidRPr="00F0277B">
        <w:rPr>
          <w:szCs w:val="22"/>
        </w:rPr>
        <w:t xml:space="preserve">  </w:t>
      </w:r>
      <w:r w:rsidR="00A90ECD" w:rsidRPr="00F0277B">
        <w:rPr>
          <w:szCs w:val="22"/>
        </w:rPr>
        <w:t>Bryant</w:t>
      </w:r>
      <w:r w:rsidR="00A836FA" w:rsidRPr="00F0277B">
        <w:rPr>
          <w:szCs w:val="22"/>
        </w:rPr>
        <w:t xml:space="preserve"> </w:t>
      </w:r>
      <w:r w:rsidR="000617B8" w:rsidRPr="00F0277B">
        <w:rPr>
          <w:szCs w:val="22"/>
        </w:rPr>
        <w:t xml:space="preserve">represents </w:t>
      </w:r>
      <w:r w:rsidR="00A836FA" w:rsidRPr="00F0277B">
        <w:rPr>
          <w:szCs w:val="22"/>
        </w:rPr>
        <w:t xml:space="preserve">that </w:t>
      </w:r>
      <w:r w:rsidR="00974934" w:rsidRPr="00F0277B">
        <w:rPr>
          <w:szCs w:val="22"/>
        </w:rPr>
        <w:t>it</w:t>
      </w:r>
      <w:r w:rsidR="003F10D4" w:rsidRPr="00F0277B">
        <w:rPr>
          <w:szCs w:val="22"/>
        </w:rPr>
        <w:t xml:space="preserve"> incurs </w:t>
      </w:r>
      <w:r w:rsidR="00A836FA" w:rsidRPr="00F0277B">
        <w:rPr>
          <w:szCs w:val="22"/>
        </w:rPr>
        <w:t xml:space="preserve">significant losses </w:t>
      </w:r>
      <w:r w:rsidR="00D07863" w:rsidRPr="00F0277B">
        <w:rPr>
          <w:szCs w:val="22"/>
        </w:rPr>
        <w:t>on</w:t>
      </w:r>
      <w:r w:rsidR="000617B8" w:rsidRPr="00F0277B">
        <w:rPr>
          <w:szCs w:val="22"/>
        </w:rPr>
        <w:t xml:space="preserve"> </w:t>
      </w:r>
      <w:r w:rsidR="00A836FA" w:rsidRPr="00F0277B">
        <w:rPr>
          <w:i/>
          <w:szCs w:val="22"/>
        </w:rPr>
        <w:t>JBTV</w:t>
      </w:r>
      <w:r w:rsidR="00A836FA" w:rsidRPr="00F0277B">
        <w:rPr>
          <w:szCs w:val="22"/>
        </w:rPr>
        <w:t xml:space="preserve"> and</w:t>
      </w:r>
      <w:r w:rsidR="00F64EEA" w:rsidRPr="00F0277B">
        <w:rPr>
          <w:szCs w:val="22"/>
        </w:rPr>
        <w:t>,</w:t>
      </w:r>
      <w:r w:rsidR="00A836FA" w:rsidRPr="00F0277B">
        <w:rPr>
          <w:szCs w:val="22"/>
        </w:rPr>
        <w:t xml:space="preserve"> given that the demand for </w:t>
      </w:r>
      <w:r w:rsidR="00A90ECD" w:rsidRPr="00F0277B">
        <w:rPr>
          <w:szCs w:val="22"/>
        </w:rPr>
        <w:t>Bryant</w:t>
      </w:r>
      <w:r w:rsidR="00A836FA" w:rsidRPr="00F0277B">
        <w:rPr>
          <w:szCs w:val="22"/>
        </w:rPr>
        <w:t xml:space="preserve">’s television commercial production services has “steeply decreased” and is a major source of </w:t>
      </w:r>
      <w:r w:rsidR="00EA4C16" w:rsidRPr="00F0277B">
        <w:rPr>
          <w:szCs w:val="22"/>
        </w:rPr>
        <w:t xml:space="preserve">Bryant’s </w:t>
      </w:r>
      <w:r w:rsidR="00A836FA" w:rsidRPr="00F0277B">
        <w:rPr>
          <w:szCs w:val="22"/>
        </w:rPr>
        <w:t xml:space="preserve">revenue, </w:t>
      </w:r>
      <w:r w:rsidR="00686711" w:rsidRPr="00F0277B">
        <w:rPr>
          <w:szCs w:val="22"/>
        </w:rPr>
        <w:t xml:space="preserve">it </w:t>
      </w:r>
      <w:r w:rsidR="00A836FA" w:rsidRPr="00F0277B">
        <w:rPr>
          <w:szCs w:val="22"/>
        </w:rPr>
        <w:t xml:space="preserve">expects </w:t>
      </w:r>
      <w:r w:rsidR="00EA4C16" w:rsidRPr="00F0277B">
        <w:rPr>
          <w:szCs w:val="22"/>
        </w:rPr>
        <w:t>that its</w:t>
      </w:r>
      <w:r w:rsidR="00A836FA" w:rsidRPr="00F0277B">
        <w:rPr>
          <w:szCs w:val="22"/>
        </w:rPr>
        <w:t xml:space="preserve"> net loss </w:t>
      </w:r>
      <w:r w:rsidR="004C7A13" w:rsidRPr="00F0277B">
        <w:rPr>
          <w:szCs w:val="22"/>
        </w:rPr>
        <w:t xml:space="preserve">will </w:t>
      </w:r>
      <w:r w:rsidR="00EA4C16" w:rsidRPr="00F0277B">
        <w:rPr>
          <w:szCs w:val="22"/>
        </w:rPr>
        <w:t>increase</w:t>
      </w:r>
      <w:r w:rsidR="00A836FA" w:rsidRPr="00F0277B">
        <w:rPr>
          <w:szCs w:val="22"/>
        </w:rPr>
        <w:t xml:space="preserve"> in 2013.</w:t>
      </w:r>
      <w:r w:rsidR="00A836FA" w:rsidRPr="00F0277B">
        <w:rPr>
          <w:szCs w:val="22"/>
          <w:vertAlign w:val="superscript"/>
        </w:rPr>
        <w:footnoteReference w:id="33"/>
      </w:r>
      <w:r w:rsidR="00A836FA" w:rsidRPr="00F0277B">
        <w:rPr>
          <w:szCs w:val="22"/>
        </w:rPr>
        <w:t xml:space="preserve">  </w:t>
      </w:r>
    </w:p>
    <w:p w:rsidR="00A836FA" w:rsidRPr="00F0277B" w:rsidRDefault="00FA35EB" w:rsidP="001E1D42">
      <w:pPr>
        <w:pStyle w:val="ParaNum"/>
        <w:tabs>
          <w:tab w:val="clear" w:pos="1080"/>
        </w:tabs>
        <w:spacing w:after="120"/>
        <w:jc w:val="left"/>
        <w:rPr>
          <w:szCs w:val="22"/>
        </w:rPr>
      </w:pPr>
      <w:r w:rsidRPr="00F0277B">
        <w:rPr>
          <w:szCs w:val="22"/>
        </w:rPr>
        <w:t>Bryant</w:t>
      </w:r>
      <w:r w:rsidR="003F10D4" w:rsidRPr="00F0277B">
        <w:rPr>
          <w:szCs w:val="22"/>
        </w:rPr>
        <w:t xml:space="preserve"> reports that it</w:t>
      </w:r>
      <w:r w:rsidRPr="00F0277B">
        <w:rPr>
          <w:szCs w:val="22"/>
        </w:rPr>
        <w:t>s</w:t>
      </w:r>
      <w:r w:rsidR="00736F42" w:rsidRPr="00F0277B">
        <w:rPr>
          <w:szCs w:val="22"/>
        </w:rPr>
        <w:t xml:space="preserve"> </w:t>
      </w:r>
      <w:r w:rsidRPr="00F0277B">
        <w:rPr>
          <w:szCs w:val="22"/>
        </w:rPr>
        <w:t xml:space="preserve">requests for captioning assistance from </w:t>
      </w:r>
      <w:r w:rsidR="00002DFD" w:rsidRPr="00F0277B">
        <w:rPr>
          <w:szCs w:val="22"/>
        </w:rPr>
        <w:t xml:space="preserve">its </w:t>
      </w:r>
      <w:r w:rsidR="002F6B41" w:rsidRPr="00F0277B">
        <w:rPr>
          <w:szCs w:val="22"/>
        </w:rPr>
        <w:t>video programming distributors</w:t>
      </w:r>
      <w:r w:rsidR="00002DFD" w:rsidRPr="00F0277B">
        <w:rPr>
          <w:szCs w:val="22"/>
        </w:rPr>
        <w:t xml:space="preserve"> </w:t>
      </w:r>
      <w:r w:rsidRPr="00F0277B">
        <w:rPr>
          <w:szCs w:val="22"/>
        </w:rPr>
        <w:t>WJYS and Tuff TV were declined.</w:t>
      </w:r>
      <w:r w:rsidRPr="00F0277B">
        <w:rPr>
          <w:rStyle w:val="FootnoteReference"/>
          <w:szCs w:val="22"/>
        </w:rPr>
        <w:footnoteReference w:id="34"/>
      </w:r>
      <w:r w:rsidRPr="00F0277B">
        <w:rPr>
          <w:szCs w:val="22"/>
        </w:rPr>
        <w:t xml:space="preserve">  </w:t>
      </w:r>
      <w:r w:rsidR="00A90ECD" w:rsidRPr="00F0277B">
        <w:rPr>
          <w:szCs w:val="22"/>
        </w:rPr>
        <w:t>Bryant</w:t>
      </w:r>
      <w:r w:rsidR="00985AAA" w:rsidRPr="00F0277B">
        <w:rPr>
          <w:szCs w:val="22"/>
        </w:rPr>
        <w:t xml:space="preserve"> further claims that </w:t>
      </w:r>
      <w:r w:rsidR="00444CA6" w:rsidRPr="00F0277B">
        <w:rPr>
          <w:szCs w:val="22"/>
        </w:rPr>
        <w:t>it “has been unable to generate significant revenue from corporate sponsors” for its program</w:t>
      </w:r>
      <w:r w:rsidR="00A836FA" w:rsidRPr="00F0277B">
        <w:rPr>
          <w:szCs w:val="22"/>
        </w:rPr>
        <w:t>.</w:t>
      </w:r>
      <w:r w:rsidR="00A836FA" w:rsidRPr="00F0277B">
        <w:rPr>
          <w:szCs w:val="22"/>
          <w:vertAlign w:val="superscript"/>
        </w:rPr>
        <w:footnoteReference w:id="35"/>
      </w:r>
      <w:r w:rsidR="00985AAA" w:rsidRPr="00F0277B">
        <w:rPr>
          <w:szCs w:val="22"/>
        </w:rPr>
        <w:t xml:space="preserve">  </w:t>
      </w:r>
      <w:r w:rsidRPr="00F0277B">
        <w:rPr>
          <w:szCs w:val="22"/>
        </w:rPr>
        <w:t>Bryant asserts that, absent an exemption from the captioning requirements, “[i]t is a near certainty that closed captioning JBTV will render [</w:t>
      </w:r>
      <w:r w:rsidR="00864411" w:rsidRPr="00F0277B">
        <w:rPr>
          <w:szCs w:val="22"/>
        </w:rPr>
        <w:t>Bryant</w:t>
      </w:r>
      <w:r w:rsidRPr="00F0277B">
        <w:rPr>
          <w:szCs w:val="22"/>
        </w:rPr>
        <w:t>] unable to continue producing the show.”</w:t>
      </w:r>
      <w:r w:rsidRPr="00F0277B">
        <w:rPr>
          <w:szCs w:val="22"/>
          <w:vertAlign w:val="superscript"/>
        </w:rPr>
        <w:footnoteReference w:id="36"/>
      </w:r>
      <w:r w:rsidRPr="00F0277B">
        <w:rPr>
          <w:szCs w:val="22"/>
        </w:rPr>
        <w:t xml:space="preserve"> </w:t>
      </w:r>
    </w:p>
    <w:p w:rsidR="003013EF" w:rsidRPr="00F0277B" w:rsidRDefault="000B276A" w:rsidP="001E1D42">
      <w:pPr>
        <w:pStyle w:val="ParaNum"/>
        <w:widowControl/>
        <w:tabs>
          <w:tab w:val="clear" w:pos="1080"/>
        </w:tabs>
        <w:spacing w:after="120"/>
        <w:jc w:val="left"/>
        <w:rPr>
          <w:szCs w:val="22"/>
        </w:rPr>
      </w:pPr>
      <w:r w:rsidRPr="00F0277B">
        <w:rPr>
          <w:szCs w:val="22"/>
        </w:rPr>
        <w:t>Consumer Groups</w:t>
      </w:r>
      <w:r w:rsidR="00686711" w:rsidRPr="00F0277B">
        <w:rPr>
          <w:szCs w:val="22"/>
        </w:rPr>
        <w:t xml:space="preserve">, which were the only parties to comment on the Petition in response to the </w:t>
      </w:r>
      <w:r w:rsidR="00002DFD" w:rsidRPr="00F0277B">
        <w:rPr>
          <w:i/>
          <w:szCs w:val="22"/>
        </w:rPr>
        <w:t xml:space="preserve">2013 </w:t>
      </w:r>
      <w:r w:rsidR="00686711" w:rsidRPr="00F0277B">
        <w:rPr>
          <w:i/>
          <w:szCs w:val="22"/>
        </w:rPr>
        <w:t>Public Notice</w:t>
      </w:r>
      <w:r w:rsidR="00686711" w:rsidRPr="00F0277B">
        <w:rPr>
          <w:szCs w:val="22"/>
        </w:rPr>
        <w:t>,</w:t>
      </w:r>
      <w:r w:rsidRPr="00F0277B">
        <w:rPr>
          <w:szCs w:val="22"/>
        </w:rPr>
        <w:t xml:space="preserve"> </w:t>
      </w:r>
      <w:r w:rsidR="000E20EF" w:rsidRPr="00F0277B">
        <w:rPr>
          <w:szCs w:val="22"/>
        </w:rPr>
        <w:t xml:space="preserve">do not oppose </w:t>
      </w:r>
      <w:r w:rsidR="00686711" w:rsidRPr="00F0277B">
        <w:rPr>
          <w:szCs w:val="22"/>
        </w:rPr>
        <w:t xml:space="preserve">the grant of </w:t>
      </w:r>
      <w:r w:rsidR="000E20EF" w:rsidRPr="00F0277B">
        <w:rPr>
          <w:szCs w:val="22"/>
        </w:rPr>
        <w:t xml:space="preserve">a temporary </w:t>
      </w:r>
      <w:r w:rsidR="005C1030" w:rsidRPr="00F0277B">
        <w:rPr>
          <w:szCs w:val="22"/>
        </w:rPr>
        <w:t>12</w:t>
      </w:r>
      <w:r w:rsidR="00736F42" w:rsidRPr="00F0277B">
        <w:rPr>
          <w:szCs w:val="22"/>
        </w:rPr>
        <w:t>-</w:t>
      </w:r>
      <w:r w:rsidR="005C1030" w:rsidRPr="00F0277B">
        <w:rPr>
          <w:szCs w:val="22"/>
        </w:rPr>
        <w:t xml:space="preserve"> to 18</w:t>
      </w:r>
      <w:r w:rsidR="00736F42" w:rsidRPr="00F0277B">
        <w:rPr>
          <w:szCs w:val="22"/>
        </w:rPr>
        <w:t>-</w:t>
      </w:r>
      <w:r w:rsidR="005C1030" w:rsidRPr="00F0277B">
        <w:rPr>
          <w:szCs w:val="22"/>
        </w:rPr>
        <w:t xml:space="preserve">month exemption because </w:t>
      </w:r>
      <w:r w:rsidR="00A90ECD" w:rsidRPr="00F0277B">
        <w:rPr>
          <w:szCs w:val="22"/>
        </w:rPr>
        <w:t>Bryant</w:t>
      </w:r>
      <w:r w:rsidR="005C1030" w:rsidRPr="00F0277B">
        <w:rPr>
          <w:szCs w:val="22"/>
        </w:rPr>
        <w:t>’s reported financial losses demonstrate that captioning would be economically burdensome.</w:t>
      </w:r>
      <w:r w:rsidRPr="00F0277B">
        <w:rPr>
          <w:rStyle w:val="FootnoteReference"/>
          <w:szCs w:val="22"/>
        </w:rPr>
        <w:footnoteReference w:id="37"/>
      </w:r>
      <w:r w:rsidR="002A1536" w:rsidRPr="00F0277B">
        <w:rPr>
          <w:szCs w:val="22"/>
        </w:rPr>
        <w:t xml:space="preserve">  </w:t>
      </w:r>
      <w:r w:rsidR="000E20EF" w:rsidRPr="00F0277B">
        <w:rPr>
          <w:szCs w:val="22"/>
        </w:rPr>
        <w:t xml:space="preserve">Consumer Groups </w:t>
      </w:r>
      <w:r w:rsidR="00CC19DE" w:rsidRPr="00F0277B">
        <w:rPr>
          <w:szCs w:val="22"/>
        </w:rPr>
        <w:t xml:space="preserve">state that they </w:t>
      </w:r>
      <w:r w:rsidR="000E20EF" w:rsidRPr="00F0277B">
        <w:rPr>
          <w:szCs w:val="22"/>
        </w:rPr>
        <w:t xml:space="preserve">recognize that </w:t>
      </w:r>
      <w:r w:rsidR="00A90ECD" w:rsidRPr="00F0277B">
        <w:rPr>
          <w:szCs w:val="22"/>
        </w:rPr>
        <w:t>Bryant</w:t>
      </w:r>
      <w:r w:rsidR="005C1030" w:rsidRPr="00F0277B">
        <w:rPr>
          <w:szCs w:val="22"/>
        </w:rPr>
        <w:t xml:space="preserve"> operates at a significant loss</w:t>
      </w:r>
      <w:r w:rsidR="00597EC1" w:rsidRPr="00F0277B">
        <w:rPr>
          <w:szCs w:val="22"/>
        </w:rPr>
        <w:t xml:space="preserve"> and</w:t>
      </w:r>
      <w:r w:rsidR="005C1030" w:rsidRPr="00F0277B">
        <w:rPr>
          <w:szCs w:val="22"/>
        </w:rPr>
        <w:t xml:space="preserve"> has insufficient sponsorships and outstanding debts.</w:t>
      </w:r>
      <w:r w:rsidR="005C1030" w:rsidRPr="00F0277B">
        <w:rPr>
          <w:rStyle w:val="FootnoteReference"/>
          <w:szCs w:val="22"/>
        </w:rPr>
        <w:footnoteReference w:id="38"/>
      </w:r>
      <w:r w:rsidR="005C1030" w:rsidRPr="00F0277B">
        <w:rPr>
          <w:szCs w:val="22"/>
        </w:rPr>
        <w:t xml:space="preserve">  </w:t>
      </w:r>
      <w:r w:rsidR="00CC19DE" w:rsidRPr="00F0277B">
        <w:rPr>
          <w:szCs w:val="22"/>
        </w:rPr>
        <w:t xml:space="preserve">They claim, </w:t>
      </w:r>
      <w:r w:rsidR="000E20EF" w:rsidRPr="00F0277B">
        <w:rPr>
          <w:szCs w:val="22"/>
        </w:rPr>
        <w:t>however</w:t>
      </w:r>
      <w:r w:rsidR="00597EC1" w:rsidRPr="00F0277B">
        <w:rPr>
          <w:szCs w:val="22"/>
        </w:rPr>
        <w:t>,</w:t>
      </w:r>
      <w:r w:rsidR="000E20EF" w:rsidRPr="00F0277B">
        <w:rPr>
          <w:szCs w:val="22"/>
        </w:rPr>
        <w:t xml:space="preserve"> that </w:t>
      </w:r>
      <w:r w:rsidR="00F4799B" w:rsidRPr="00F0277B">
        <w:rPr>
          <w:szCs w:val="22"/>
        </w:rPr>
        <w:t>Bryant</w:t>
      </w:r>
      <w:r w:rsidR="00CC19DE" w:rsidRPr="00F0277B">
        <w:rPr>
          <w:szCs w:val="22"/>
        </w:rPr>
        <w:t>’s</w:t>
      </w:r>
      <w:r w:rsidR="000E20EF" w:rsidRPr="00F0277B">
        <w:rPr>
          <w:szCs w:val="22"/>
        </w:rPr>
        <w:t xml:space="preserve"> captioning costs are likely overst</w:t>
      </w:r>
      <w:r w:rsidR="0069016F" w:rsidRPr="00F0277B">
        <w:rPr>
          <w:szCs w:val="22"/>
        </w:rPr>
        <w:t>ated</w:t>
      </w:r>
      <w:r w:rsidR="000E64A7" w:rsidRPr="00F0277B">
        <w:rPr>
          <w:szCs w:val="22"/>
        </w:rPr>
        <w:t xml:space="preserve">, but recognize that “even smaller captioning costs would still represent an additional expense on top of </w:t>
      </w:r>
      <w:r w:rsidR="00E47C49" w:rsidRPr="00F0277B">
        <w:rPr>
          <w:szCs w:val="22"/>
        </w:rPr>
        <w:t>[Bryant’s]</w:t>
      </w:r>
      <w:r w:rsidR="000E64A7" w:rsidRPr="00F0277B">
        <w:rPr>
          <w:szCs w:val="22"/>
        </w:rPr>
        <w:t xml:space="preserve"> multi-year loss.”</w:t>
      </w:r>
      <w:r w:rsidR="000E64A7" w:rsidRPr="00F0277B">
        <w:rPr>
          <w:rStyle w:val="FootnoteReference"/>
          <w:szCs w:val="22"/>
        </w:rPr>
        <w:footnoteReference w:id="39"/>
      </w:r>
      <w:r w:rsidR="0069016F" w:rsidRPr="00F0277B">
        <w:rPr>
          <w:szCs w:val="22"/>
        </w:rPr>
        <w:t xml:space="preserve">  </w:t>
      </w:r>
      <w:r w:rsidR="000E64A7" w:rsidRPr="00F0277B">
        <w:rPr>
          <w:szCs w:val="22"/>
        </w:rPr>
        <w:t xml:space="preserve">Consumer Groups state that a temporary waiver would </w:t>
      </w:r>
      <w:r w:rsidR="00E47C49" w:rsidRPr="00F0277B">
        <w:rPr>
          <w:szCs w:val="22"/>
        </w:rPr>
        <w:t xml:space="preserve">allow Bryant </w:t>
      </w:r>
      <w:r w:rsidR="000E64A7" w:rsidRPr="00F0277B">
        <w:rPr>
          <w:szCs w:val="22"/>
        </w:rPr>
        <w:t xml:space="preserve">“to obtain a more solid financial footing and caption its programming,” but </w:t>
      </w:r>
      <w:r w:rsidR="003F10D4" w:rsidRPr="00F0277B">
        <w:rPr>
          <w:szCs w:val="22"/>
        </w:rPr>
        <w:t xml:space="preserve">request that </w:t>
      </w:r>
      <w:r w:rsidR="0069016F" w:rsidRPr="00F0277B">
        <w:rPr>
          <w:szCs w:val="22"/>
        </w:rPr>
        <w:t>the exemption</w:t>
      </w:r>
      <w:r w:rsidR="000E20EF" w:rsidRPr="00F0277B">
        <w:rPr>
          <w:szCs w:val="22"/>
        </w:rPr>
        <w:t xml:space="preserve"> </w:t>
      </w:r>
      <w:r w:rsidR="004D4C17" w:rsidRPr="00F0277B">
        <w:rPr>
          <w:szCs w:val="22"/>
        </w:rPr>
        <w:t xml:space="preserve">has </w:t>
      </w:r>
      <w:r w:rsidR="000E20EF" w:rsidRPr="00F0277B">
        <w:rPr>
          <w:szCs w:val="22"/>
        </w:rPr>
        <w:t>a “firm expiration date</w:t>
      </w:r>
      <w:r w:rsidR="003B5DEB" w:rsidRPr="00F0277B">
        <w:rPr>
          <w:szCs w:val="22"/>
        </w:rPr>
        <w:t>.</w:t>
      </w:r>
      <w:r w:rsidR="000E20EF" w:rsidRPr="00F0277B">
        <w:rPr>
          <w:szCs w:val="22"/>
        </w:rPr>
        <w:t>”</w:t>
      </w:r>
      <w:r w:rsidR="00073730" w:rsidRPr="00F0277B">
        <w:rPr>
          <w:rStyle w:val="FootnoteReference"/>
          <w:szCs w:val="22"/>
        </w:rPr>
        <w:footnoteReference w:id="40"/>
      </w:r>
      <w:r w:rsidR="003B5DEB" w:rsidRPr="00F0277B">
        <w:rPr>
          <w:szCs w:val="22"/>
        </w:rPr>
        <w:t xml:space="preserve">  </w:t>
      </w:r>
      <w:r w:rsidR="000E20EF" w:rsidRPr="00F0277B">
        <w:rPr>
          <w:szCs w:val="22"/>
        </w:rPr>
        <w:t xml:space="preserve">Consumer Groups </w:t>
      </w:r>
      <w:r w:rsidR="00CC19DE" w:rsidRPr="00F0277B">
        <w:rPr>
          <w:szCs w:val="22"/>
        </w:rPr>
        <w:t xml:space="preserve">further </w:t>
      </w:r>
      <w:r w:rsidR="000E20EF" w:rsidRPr="00F0277B">
        <w:rPr>
          <w:szCs w:val="22"/>
        </w:rPr>
        <w:t xml:space="preserve">point to the fact that </w:t>
      </w:r>
      <w:r w:rsidR="00F4799B" w:rsidRPr="00F0277B">
        <w:rPr>
          <w:szCs w:val="22"/>
        </w:rPr>
        <w:t>Bryant</w:t>
      </w:r>
      <w:r w:rsidR="000E20EF" w:rsidRPr="00F0277B">
        <w:rPr>
          <w:szCs w:val="22"/>
        </w:rPr>
        <w:t xml:space="preserve"> has been </w:t>
      </w:r>
      <w:r w:rsidR="0077192E" w:rsidRPr="00F0277B">
        <w:rPr>
          <w:szCs w:val="22"/>
        </w:rPr>
        <w:t xml:space="preserve">exempt </w:t>
      </w:r>
      <w:r w:rsidR="000E20EF" w:rsidRPr="00F0277B">
        <w:rPr>
          <w:szCs w:val="22"/>
        </w:rPr>
        <w:t xml:space="preserve">since its </w:t>
      </w:r>
      <w:r w:rsidR="00686711" w:rsidRPr="00F0277B">
        <w:rPr>
          <w:szCs w:val="22"/>
        </w:rPr>
        <w:t>P</w:t>
      </w:r>
      <w:r w:rsidR="000E20EF" w:rsidRPr="00F0277B">
        <w:rPr>
          <w:szCs w:val="22"/>
        </w:rPr>
        <w:t xml:space="preserve">etition was </w:t>
      </w:r>
      <w:r w:rsidR="00D647F2" w:rsidRPr="00F0277B">
        <w:rPr>
          <w:szCs w:val="22"/>
        </w:rPr>
        <w:t xml:space="preserve">initially </w:t>
      </w:r>
      <w:r w:rsidR="000E20EF" w:rsidRPr="00F0277B">
        <w:rPr>
          <w:szCs w:val="22"/>
        </w:rPr>
        <w:t xml:space="preserve">filed with the </w:t>
      </w:r>
      <w:r w:rsidR="00C871AC" w:rsidRPr="00F0277B">
        <w:rPr>
          <w:szCs w:val="22"/>
        </w:rPr>
        <w:t xml:space="preserve">Commission </w:t>
      </w:r>
      <w:r w:rsidR="000E20EF" w:rsidRPr="00F0277B">
        <w:rPr>
          <w:szCs w:val="22"/>
        </w:rPr>
        <w:t xml:space="preserve">in December 2005, </w:t>
      </w:r>
      <w:r w:rsidR="00C871AC" w:rsidRPr="00F0277B">
        <w:rPr>
          <w:szCs w:val="22"/>
        </w:rPr>
        <w:t xml:space="preserve">and </w:t>
      </w:r>
      <w:r w:rsidR="000E20EF" w:rsidRPr="00F0277B">
        <w:rPr>
          <w:szCs w:val="22"/>
        </w:rPr>
        <w:t xml:space="preserve">thus </w:t>
      </w:r>
      <w:r w:rsidR="00D647F2" w:rsidRPr="00F0277B">
        <w:rPr>
          <w:szCs w:val="22"/>
        </w:rPr>
        <w:t xml:space="preserve">Bryant </w:t>
      </w:r>
      <w:r w:rsidR="000E20EF" w:rsidRPr="00F0277B">
        <w:rPr>
          <w:szCs w:val="22"/>
        </w:rPr>
        <w:t>has known about</w:t>
      </w:r>
      <w:r w:rsidR="00FD617C" w:rsidRPr="00F0277B">
        <w:rPr>
          <w:szCs w:val="22"/>
        </w:rPr>
        <w:t>,</w:t>
      </w:r>
      <w:r w:rsidR="000E20EF" w:rsidRPr="00F0277B">
        <w:rPr>
          <w:szCs w:val="22"/>
        </w:rPr>
        <w:t xml:space="preserve"> and should now begin to budget for compliance with</w:t>
      </w:r>
      <w:r w:rsidR="00FD617C" w:rsidRPr="00F0277B">
        <w:rPr>
          <w:szCs w:val="22"/>
        </w:rPr>
        <w:t>,</w:t>
      </w:r>
      <w:r w:rsidR="000E20EF" w:rsidRPr="00F0277B">
        <w:rPr>
          <w:szCs w:val="22"/>
        </w:rPr>
        <w:t xml:space="preserve"> the captioning requirements.</w:t>
      </w:r>
      <w:r w:rsidR="000E20EF" w:rsidRPr="00F0277B">
        <w:rPr>
          <w:rStyle w:val="FootnoteReference"/>
          <w:szCs w:val="22"/>
        </w:rPr>
        <w:footnoteReference w:id="41"/>
      </w:r>
    </w:p>
    <w:p w:rsidR="00DA35B8" w:rsidRPr="00F0277B" w:rsidRDefault="00522DEB" w:rsidP="001E1D42">
      <w:pPr>
        <w:pStyle w:val="ParaNum"/>
        <w:widowControl/>
        <w:tabs>
          <w:tab w:val="clear" w:pos="1080"/>
        </w:tabs>
        <w:spacing w:after="120"/>
        <w:jc w:val="left"/>
        <w:rPr>
          <w:szCs w:val="22"/>
        </w:rPr>
      </w:pPr>
      <w:r w:rsidRPr="00F0277B">
        <w:rPr>
          <w:i/>
          <w:szCs w:val="22"/>
        </w:rPr>
        <w:t>Determination.</w:t>
      </w:r>
      <w:r w:rsidRPr="00F0277B">
        <w:rPr>
          <w:szCs w:val="22"/>
        </w:rPr>
        <w:t xml:space="preserve">  </w:t>
      </w:r>
      <w:r w:rsidR="004B58FA" w:rsidRPr="00F0277B">
        <w:rPr>
          <w:szCs w:val="22"/>
        </w:rPr>
        <w:t xml:space="preserve">After a careful </w:t>
      </w:r>
      <w:r w:rsidR="00723B65" w:rsidRPr="00F0277B">
        <w:rPr>
          <w:szCs w:val="22"/>
        </w:rPr>
        <w:t>review</w:t>
      </w:r>
      <w:r w:rsidR="004B58FA" w:rsidRPr="00F0277B">
        <w:rPr>
          <w:szCs w:val="22"/>
        </w:rPr>
        <w:t xml:space="preserve"> of </w:t>
      </w:r>
      <w:r w:rsidR="001B1593" w:rsidRPr="00F0277B">
        <w:rPr>
          <w:szCs w:val="22"/>
        </w:rPr>
        <w:t>the record</w:t>
      </w:r>
      <w:r w:rsidR="004B58FA" w:rsidRPr="00F0277B">
        <w:rPr>
          <w:szCs w:val="22"/>
        </w:rPr>
        <w:t xml:space="preserve">, the Bureau </w:t>
      </w:r>
      <w:r w:rsidRPr="00F0277B">
        <w:rPr>
          <w:szCs w:val="22"/>
        </w:rPr>
        <w:t>find</w:t>
      </w:r>
      <w:r w:rsidR="004B58FA" w:rsidRPr="00F0277B">
        <w:rPr>
          <w:szCs w:val="22"/>
        </w:rPr>
        <w:t>s</w:t>
      </w:r>
      <w:r w:rsidRPr="00F0277B">
        <w:rPr>
          <w:szCs w:val="22"/>
        </w:rPr>
        <w:t xml:space="preserve"> that </w:t>
      </w:r>
      <w:r w:rsidR="00F4799B" w:rsidRPr="00F0277B">
        <w:rPr>
          <w:szCs w:val="22"/>
        </w:rPr>
        <w:t>Bryant</w:t>
      </w:r>
      <w:r w:rsidR="000E20EF" w:rsidRPr="00F0277B">
        <w:rPr>
          <w:szCs w:val="22"/>
        </w:rPr>
        <w:t xml:space="preserve"> has successfully</w:t>
      </w:r>
      <w:r w:rsidRPr="00F0277B">
        <w:rPr>
          <w:szCs w:val="22"/>
        </w:rPr>
        <w:t xml:space="preserve"> demonstrate</w:t>
      </w:r>
      <w:r w:rsidR="000E20EF" w:rsidRPr="00F0277B">
        <w:rPr>
          <w:szCs w:val="22"/>
        </w:rPr>
        <w:t>d</w:t>
      </w:r>
      <w:r w:rsidRPr="00F0277B">
        <w:rPr>
          <w:szCs w:val="22"/>
        </w:rPr>
        <w:t xml:space="preserve"> that the provision of closed captioning </w:t>
      </w:r>
      <w:r w:rsidR="00DE4D80" w:rsidRPr="00F0277B">
        <w:rPr>
          <w:szCs w:val="22"/>
        </w:rPr>
        <w:t xml:space="preserve">for </w:t>
      </w:r>
      <w:r w:rsidR="00DE4D80" w:rsidRPr="00F0277B">
        <w:rPr>
          <w:i/>
          <w:szCs w:val="22"/>
        </w:rPr>
        <w:t>JBTV</w:t>
      </w:r>
      <w:r w:rsidR="0077757F" w:rsidRPr="00F0277B">
        <w:rPr>
          <w:i/>
          <w:szCs w:val="22"/>
        </w:rPr>
        <w:t xml:space="preserve"> </w:t>
      </w:r>
      <w:r w:rsidRPr="00F0277B">
        <w:rPr>
          <w:szCs w:val="22"/>
        </w:rPr>
        <w:t>would be economically burdensome</w:t>
      </w:r>
      <w:r w:rsidR="003636C7" w:rsidRPr="00F0277B">
        <w:rPr>
          <w:szCs w:val="22"/>
        </w:rPr>
        <w:t xml:space="preserve">.  </w:t>
      </w:r>
      <w:r w:rsidR="00095610" w:rsidRPr="00F0277B">
        <w:rPr>
          <w:szCs w:val="22"/>
        </w:rPr>
        <w:t xml:space="preserve">Our conclusion is supported by </w:t>
      </w:r>
      <w:r w:rsidR="00980CBB" w:rsidRPr="00F0277B">
        <w:rPr>
          <w:szCs w:val="22"/>
        </w:rPr>
        <w:t xml:space="preserve">the information and documentation </w:t>
      </w:r>
      <w:r w:rsidR="00095610" w:rsidRPr="00F0277B">
        <w:rPr>
          <w:szCs w:val="22"/>
        </w:rPr>
        <w:t xml:space="preserve">Bryant </w:t>
      </w:r>
      <w:r w:rsidR="00980CBB" w:rsidRPr="00F0277B">
        <w:rPr>
          <w:szCs w:val="22"/>
        </w:rPr>
        <w:t xml:space="preserve">has provided, </w:t>
      </w:r>
      <w:r w:rsidR="00095610" w:rsidRPr="00F0277B">
        <w:rPr>
          <w:szCs w:val="22"/>
        </w:rPr>
        <w:t xml:space="preserve">which shows that it </w:t>
      </w:r>
      <w:r w:rsidR="00980CBB" w:rsidRPr="00F0277B">
        <w:rPr>
          <w:szCs w:val="22"/>
        </w:rPr>
        <w:t xml:space="preserve">has been </w:t>
      </w:r>
      <w:r w:rsidR="00E47C49" w:rsidRPr="00F0277B">
        <w:rPr>
          <w:szCs w:val="22"/>
        </w:rPr>
        <w:t>operating at a loss</w:t>
      </w:r>
      <w:r w:rsidR="00980CBB" w:rsidRPr="00F0277B">
        <w:rPr>
          <w:szCs w:val="22"/>
        </w:rPr>
        <w:t xml:space="preserve"> for at least the past two years</w:t>
      </w:r>
      <w:r w:rsidR="00095610" w:rsidRPr="00F0277B">
        <w:rPr>
          <w:szCs w:val="22"/>
        </w:rPr>
        <w:t xml:space="preserve">, and its net losses </w:t>
      </w:r>
      <w:r w:rsidR="00951B40" w:rsidRPr="00F0277B">
        <w:rPr>
          <w:szCs w:val="22"/>
        </w:rPr>
        <w:t xml:space="preserve">in </w:t>
      </w:r>
      <w:r w:rsidR="00095610" w:rsidRPr="00F0277B">
        <w:rPr>
          <w:szCs w:val="22"/>
        </w:rPr>
        <w:t>2011 and 2012 indicate a significant deterioration in its financial condition.</w:t>
      </w:r>
      <w:r w:rsidR="00095610" w:rsidRPr="00F0277B">
        <w:rPr>
          <w:rStyle w:val="FootnoteReference"/>
          <w:szCs w:val="22"/>
        </w:rPr>
        <w:footnoteReference w:id="42"/>
      </w:r>
      <w:r w:rsidR="00095610" w:rsidRPr="00F0277B">
        <w:rPr>
          <w:szCs w:val="22"/>
        </w:rPr>
        <w:t xml:space="preserve">  </w:t>
      </w:r>
      <w:r w:rsidR="007B0196" w:rsidRPr="00F0277B">
        <w:rPr>
          <w:szCs w:val="22"/>
        </w:rPr>
        <w:t>We are persuaded, based on the</w:t>
      </w:r>
      <w:r w:rsidR="00095610" w:rsidRPr="00F0277B">
        <w:rPr>
          <w:szCs w:val="22"/>
        </w:rPr>
        <w:t>se</w:t>
      </w:r>
      <w:r w:rsidR="007B0196" w:rsidRPr="00F0277B">
        <w:rPr>
          <w:szCs w:val="22"/>
        </w:rPr>
        <w:t xml:space="preserve"> materials, that </w:t>
      </w:r>
      <w:r w:rsidR="00980CBB" w:rsidRPr="00F0277B">
        <w:rPr>
          <w:szCs w:val="22"/>
        </w:rPr>
        <w:t xml:space="preserve">having to caption its program will exacerbate these losses </w:t>
      </w:r>
      <w:r w:rsidR="007B0196" w:rsidRPr="00F0277B">
        <w:rPr>
          <w:szCs w:val="22"/>
        </w:rPr>
        <w:t xml:space="preserve">and </w:t>
      </w:r>
      <w:r w:rsidR="00980CBB" w:rsidRPr="00F0277B">
        <w:rPr>
          <w:szCs w:val="22"/>
        </w:rPr>
        <w:t>possibly lead to the termination of the program.</w:t>
      </w:r>
      <w:r w:rsidR="000E20EF" w:rsidRPr="00F0277B">
        <w:rPr>
          <w:szCs w:val="22"/>
        </w:rPr>
        <w:t xml:space="preserve">  </w:t>
      </w:r>
    </w:p>
    <w:p w:rsidR="0045031D" w:rsidRPr="00F0277B" w:rsidRDefault="00DF6AE4" w:rsidP="001E1D42">
      <w:pPr>
        <w:pStyle w:val="ParaNum"/>
        <w:widowControl/>
        <w:tabs>
          <w:tab w:val="clear" w:pos="1080"/>
        </w:tabs>
        <w:spacing w:after="120"/>
        <w:jc w:val="left"/>
        <w:rPr>
          <w:szCs w:val="22"/>
        </w:rPr>
      </w:pPr>
      <w:r w:rsidRPr="00F0277B">
        <w:rPr>
          <w:szCs w:val="22"/>
        </w:rPr>
        <w:t>Bryant</w:t>
      </w:r>
      <w:r w:rsidR="00686711" w:rsidRPr="00F0277B">
        <w:rPr>
          <w:szCs w:val="22"/>
        </w:rPr>
        <w:t xml:space="preserve"> </w:t>
      </w:r>
      <w:r w:rsidR="00E34D5B" w:rsidRPr="00F0277B">
        <w:rPr>
          <w:szCs w:val="22"/>
        </w:rPr>
        <w:t xml:space="preserve">does not specify </w:t>
      </w:r>
      <w:r w:rsidR="004B58FA" w:rsidRPr="00F0277B">
        <w:rPr>
          <w:szCs w:val="22"/>
        </w:rPr>
        <w:t>a</w:t>
      </w:r>
      <w:r w:rsidR="00E34D5B" w:rsidRPr="00F0277B">
        <w:rPr>
          <w:szCs w:val="22"/>
        </w:rPr>
        <w:t xml:space="preserve"> timeframe for </w:t>
      </w:r>
      <w:r w:rsidR="004B58FA" w:rsidRPr="00F0277B">
        <w:rPr>
          <w:szCs w:val="22"/>
        </w:rPr>
        <w:t>the</w:t>
      </w:r>
      <w:r w:rsidR="00E34D5B" w:rsidRPr="00F0277B">
        <w:rPr>
          <w:szCs w:val="22"/>
        </w:rPr>
        <w:t xml:space="preserve"> exemption</w:t>
      </w:r>
      <w:r w:rsidR="001432B7" w:rsidRPr="00F0277B">
        <w:rPr>
          <w:szCs w:val="22"/>
        </w:rPr>
        <w:t xml:space="preserve"> that </w:t>
      </w:r>
      <w:r w:rsidRPr="00F0277B">
        <w:rPr>
          <w:szCs w:val="22"/>
        </w:rPr>
        <w:t xml:space="preserve">it </w:t>
      </w:r>
      <w:r w:rsidR="001432B7" w:rsidRPr="00F0277B">
        <w:rPr>
          <w:szCs w:val="22"/>
        </w:rPr>
        <w:t>request</w:t>
      </w:r>
      <w:r w:rsidR="004F1938" w:rsidRPr="00F0277B">
        <w:rPr>
          <w:szCs w:val="22"/>
        </w:rPr>
        <w:t>s</w:t>
      </w:r>
      <w:r w:rsidR="00C871AC" w:rsidRPr="00F0277B">
        <w:rPr>
          <w:szCs w:val="22"/>
        </w:rPr>
        <w:t xml:space="preserve">.  </w:t>
      </w:r>
      <w:r w:rsidR="00095610" w:rsidRPr="00F0277B">
        <w:rPr>
          <w:szCs w:val="22"/>
        </w:rPr>
        <w:t>As</w:t>
      </w:r>
      <w:r w:rsidR="004B58FA" w:rsidRPr="00F0277B">
        <w:rPr>
          <w:szCs w:val="22"/>
        </w:rPr>
        <w:t xml:space="preserve"> the Commission has previously noted, </w:t>
      </w:r>
      <w:r w:rsidR="00A26C1A" w:rsidRPr="00F0277B">
        <w:rPr>
          <w:szCs w:val="22"/>
        </w:rPr>
        <w:t xml:space="preserve">an </w:t>
      </w:r>
      <w:r w:rsidR="000E20EF" w:rsidRPr="00F0277B">
        <w:rPr>
          <w:szCs w:val="22"/>
        </w:rPr>
        <w:t xml:space="preserve">exemption from the captioning </w:t>
      </w:r>
      <w:r w:rsidR="00A26C1A" w:rsidRPr="00F0277B">
        <w:rPr>
          <w:szCs w:val="22"/>
        </w:rPr>
        <w:t xml:space="preserve">rules is </w:t>
      </w:r>
      <w:r w:rsidR="00462E22" w:rsidRPr="00F0277B">
        <w:rPr>
          <w:szCs w:val="22"/>
        </w:rPr>
        <w:t>“</w:t>
      </w:r>
      <w:r w:rsidR="000E20EF" w:rsidRPr="00F0277B">
        <w:rPr>
          <w:szCs w:val="22"/>
        </w:rPr>
        <w:t xml:space="preserve">not </w:t>
      </w:r>
      <w:r w:rsidR="00A26C1A" w:rsidRPr="00F0277B">
        <w:rPr>
          <w:szCs w:val="22"/>
        </w:rPr>
        <w:t>designed to perpetually relieve a petitioner of its captioning obligation.”</w:t>
      </w:r>
      <w:r w:rsidR="00A26C1A" w:rsidRPr="00F0277B">
        <w:rPr>
          <w:szCs w:val="22"/>
          <w:vertAlign w:val="superscript"/>
        </w:rPr>
        <w:footnoteReference w:id="43"/>
      </w:r>
      <w:r w:rsidR="00A26C1A" w:rsidRPr="00F0277B">
        <w:rPr>
          <w:szCs w:val="22"/>
        </w:rPr>
        <w:t xml:space="preserve"> </w:t>
      </w:r>
      <w:r w:rsidR="00462E22" w:rsidRPr="00F0277B">
        <w:rPr>
          <w:szCs w:val="22"/>
        </w:rPr>
        <w:t xml:space="preserve"> </w:t>
      </w:r>
      <w:r w:rsidR="00320031" w:rsidRPr="00F0277B">
        <w:rPr>
          <w:szCs w:val="22"/>
        </w:rPr>
        <w:t xml:space="preserve">The </w:t>
      </w:r>
      <w:r w:rsidR="00C871AC" w:rsidRPr="00F0277B">
        <w:rPr>
          <w:szCs w:val="22"/>
        </w:rPr>
        <w:t xml:space="preserve">Commission has </w:t>
      </w:r>
      <w:r w:rsidR="00320031" w:rsidRPr="00F0277B">
        <w:rPr>
          <w:szCs w:val="22"/>
        </w:rPr>
        <w:t xml:space="preserve">recognized that “changes in technology, the economics of captioning, or the financial resources of a video programming provider may affect the justification </w:t>
      </w:r>
      <w:r w:rsidR="006B231A" w:rsidRPr="00F0277B">
        <w:rPr>
          <w:szCs w:val="22"/>
        </w:rPr>
        <w:t xml:space="preserve">for </w:t>
      </w:r>
      <w:r w:rsidR="00320031" w:rsidRPr="00F0277B">
        <w:rPr>
          <w:szCs w:val="22"/>
        </w:rPr>
        <w:t>an undue burden exemption” over time and</w:t>
      </w:r>
      <w:r w:rsidR="00E47C49" w:rsidRPr="00F0277B">
        <w:rPr>
          <w:szCs w:val="22"/>
        </w:rPr>
        <w:t>,</w:t>
      </w:r>
      <w:r w:rsidR="00320031" w:rsidRPr="00F0277B">
        <w:rPr>
          <w:szCs w:val="22"/>
        </w:rPr>
        <w:t xml:space="preserve"> </w:t>
      </w:r>
      <w:r w:rsidR="004E1A28" w:rsidRPr="00F0277B">
        <w:rPr>
          <w:szCs w:val="22"/>
        </w:rPr>
        <w:t xml:space="preserve">therefore, </w:t>
      </w:r>
      <w:r w:rsidR="00320031" w:rsidRPr="00F0277B">
        <w:rPr>
          <w:szCs w:val="22"/>
        </w:rPr>
        <w:t>“it is better to maintain the flexibility to limit the duration of an undue burden exemption if the facts before us indicate that the particular circumstances of the petition warrant a limited exemption.”</w:t>
      </w:r>
      <w:r w:rsidR="00320031" w:rsidRPr="00F0277B">
        <w:rPr>
          <w:szCs w:val="22"/>
          <w:vertAlign w:val="superscript"/>
        </w:rPr>
        <w:footnoteReference w:id="44"/>
      </w:r>
      <w:r w:rsidR="00320031" w:rsidRPr="00F0277B">
        <w:rPr>
          <w:szCs w:val="22"/>
        </w:rPr>
        <w:t xml:space="preserve">  Similarly, the Commission </w:t>
      </w:r>
      <w:r w:rsidR="00A26C1A" w:rsidRPr="00F0277B">
        <w:rPr>
          <w:szCs w:val="22"/>
        </w:rPr>
        <w:t xml:space="preserve">has </w:t>
      </w:r>
      <w:r w:rsidR="00320031" w:rsidRPr="00F0277B">
        <w:rPr>
          <w:szCs w:val="22"/>
        </w:rPr>
        <w:t>stated its intention to “consider time limits . . . when evaluating requests for undue burden exemptions on the basis of the information regarding individual circumstances.”</w:t>
      </w:r>
      <w:r w:rsidR="00320031" w:rsidRPr="00F0277B">
        <w:rPr>
          <w:szCs w:val="22"/>
          <w:vertAlign w:val="superscript"/>
        </w:rPr>
        <w:footnoteReference w:id="45"/>
      </w:r>
      <w:r w:rsidR="0045031D" w:rsidRPr="00F0277B">
        <w:rPr>
          <w:szCs w:val="22"/>
        </w:rPr>
        <w:t xml:space="preserve">  The</w:t>
      </w:r>
      <w:r w:rsidR="00AF10EA" w:rsidRPr="00F0277B">
        <w:rPr>
          <w:szCs w:val="22"/>
        </w:rPr>
        <w:t xml:space="preserve"> situation of a petitioner may change over time, and may no longer warrant continuation of the exemption. </w:t>
      </w:r>
      <w:r w:rsidR="00F7487C" w:rsidRPr="00F0277B">
        <w:rPr>
          <w:szCs w:val="22"/>
        </w:rPr>
        <w:t xml:space="preserve"> </w:t>
      </w:r>
      <w:r w:rsidR="00AF10EA" w:rsidRPr="00F0277B">
        <w:rPr>
          <w:szCs w:val="22"/>
        </w:rPr>
        <w:t xml:space="preserve">In the event that </w:t>
      </w:r>
      <w:r w:rsidR="00516019" w:rsidRPr="00F0277B">
        <w:rPr>
          <w:szCs w:val="22"/>
        </w:rPr>
        <w:t xml:space="preserve">a </w:t>
      </w:r>
      <w:r w:rsidR="00AF10EA" w:rsidRPr="00F0277B">
        <w:rPr>
          <w:szCs w:val="22"/>
        </w:rPr>
        <w:t xml:space="preserve">petitioner does continue to need an exemption, </w:t>
      </w:r>
      <w:r w:rsidR="00DA41E2" w:rsidRPr="00F0277B">
        <w:rPr>
          <w:szCs w:val="22"/>
        </w:rPr>
        <w:t xml:space="preserve">it </w:t>
      </w:r>
      <w:r w:rsidR="00766F5C" w:rsidRPr="00F0277B">
        <w:rPr>
          <w:szCs w:val="22"/>
        </w:rPr>
        <w:t>may submit a new petition to extend the exemption for additional time</w:t>
      </w:r>
      <w:r w:rsidR="00AF10EA" w:rsidRPr="00F0277B">
        <w:rPr>
          <w:szCs w:val="22"/>
        </w:rPr>
        <w:t xml:space="preserve">.  </w:t>
      </w:r>
    </w:p>
    <w:p w:rsidR="003013EF" w:rsidRPr="00F0277B" w:rsidRDefault="002B7B7F" w:rsidP="001E1D42">
      <w:pPr>
        <w:pStyle w:val="ParaNum"/>
        <w:widowControl/>
        <w:tabs>
          <w:tab w:val="clear" w:pos="1080"/>
        </w:tabs>
        <w:spacing w:after="120"/>
        <w:jc w:val="left"/>
        <w:rPr>
          <w:szCs w:val="22"/>
        </w:rPr>
      </w:pPr>
      <w:r w:rsidRPr="00F0277B">
        <w:rPr>
          <w:szCs w:val="22"/>
        </w:rPr>
        <w:t>As discussed above, i</w:t>
      </w:r>
      <w:r w:rsidR="00320031" w:rsidRPr="00F0277B">
        <w:rPr>
          <w:szCs w:val="22"/>
        </w:rPr>
        <w:t xml:space="preserve">n the instant case, </w:t>
      </w:r>
      <w:r w:rsidR="00F4799B" w:rsidRPr="00F0277B">
        <w:rPr>
          <w:szCs w:val="22"/>
        </w:rPr>
        <w:t>Bryant</w:t>
      </w:r>
      <w:r w:rsidR="001E7585" w:rsidRPr="00F0277B">
        <w:rPr>
          <w:szCs w:val="22"/>
        </w:rPr>
        <w:t xml:space="preserve"> </w:t>
      </w:r>
      <w:r w:rsidRPr="00F0277B">
        <w:rPr>
          <w:szCs w:val="22"/>
        </w:rPr>
        <w:t xml:space="preserve">has </w:t>
      </w:r>
      <w:r w:rsidR="00F7487C" w:rsidRPr="00F0277B">
        <w:rPr>
          <w:szCs w:val="22"/>
        </w:rPr>
        <w:t xml:space="preserve">demonstrated </w:t>
      </w:r>
      <w:r w:rsidR="001E7585" w:rsidRPr="00F0277B">
        <w:rPr>
          <w:szCs w:val="22"/>
        </w:rPr>
        <w:t xml:space="preserve">that </w:t>
      </w:r>
      <w:r w:rsidR="00C871AC" w:rsidRPr="00F0277B">
        <w:rPr>
          <w:szCs w:val="22"/>
        </w:rPr>
        <w:t xml:space="preserve">its </w:t>
      </w:r>
      <w:r w:rsidR="00320031" w:rsidRPr="00F0277B">
        <w:rPr>
          <w:szCs w:val="22"/>
        </w:rPr>
        <w:t xml:space="preserve">current financial situation makes captioning costs </w:t>
      </w:r>
      <w:r w:rsidRPr="00F0277B">
        <w:rPr>
          <w:szCs w:val="22"/>
        </w:rPr>
        <w:t>economically burdensome</w:t>
      </w:r>
      <w:r w:rsidR="00320031" w:rsidRPr="00F0277B">
        <w:rPr>
          <w:szCs w:val="22"/>
        </w:rPr>
        <w:t xml:space="preserve">.  Given the evolution of technology, </w:t>
      </w:r>
      <w:r w:rsidRPr="00F0277B">
        <w:rPr>
          <w:szCs w:val="22"/>
        </w:rPr>
        <w:t>potential</w:t>
      </w:r>
      <w:r w:rsidR="00320031" w:rsidRPr="00F0277B">
        <w:rPr>
          <w:szCs w:val="22"/>
        </w:rPr>
        <w:t xml:space="preserve"> drops in the cost of captioning</w:t>
      </w:r>
      <w:r w:rsidR="00C871AC" w:rsidRPr="00F0277B">
        <w:rPr>
          <w:szCs w:val="22"/>
        </w:rPr>
        <w:t xml:space="preserve"> over time</w:t>
      </w:r>
      <w:r w:rsidR="00320031" w:rsidRPr="00F0277B">
        <w:rPr>
          <w:szCs w:val="22"/>
        </w:rPr>
        <w:t xml:space="preserve">, and the possibility that the financial status of </w:t>
      </w:r>
      <w:r w:rsidR="00F4799B" w:rsidRPr="00F0277B">
        <w:rPr>
          <w:szCs w:val="22"/>
        </w:rPr>
        <w:t>Bryant</w:t>
      </w:r>
      <w:r w:rsidR="00320031" w:rsidRPr="00F0277B">
        <w:rPr>
          <w:szCs w:val="22"/>
        </w:rPr>
        <w:t xml:space="preserve"> may change, </w:t>
      </w:r>
      <w:r w:rsidRPr="00F0277B">
        <w:rPr>
          <w:szCs w:val="22"/>
        </w:rPr>
        <w:t xml:space="preserve">we conclude that </w:t>
      </w:r>
      <w:r w:rsidR="00320031" w:rsidRPr="00F0277B">
        <w:rPr>
          <w:szCs w:val="22"/>
        </w:rPr>
        <w:t>a</w:t>
      </w:r>
      <w:r w:rsidRPr="00F0277B">
        <w:rPr>
          <w:szCs w:val="22"/>
        </w:rPr>
        <w:t>n</w:t>
      </w:r>
      <w:r w:rsidR="00320031" w:rsidRPr="00F0277B">
        <w:rPr>
          <w:szCs w:val="22"/>
        </w:rPr>
        <w:t xml:space="preserve"> exemption </w:t>
      </w:r>
      <w:r w:rsidR="004E1A28" w:rsidRPr="00F0277B">
        <w:rPr>
          <w:szCs w:val="22"/>
        </w:rPr>
        <w:t xml:space="preserve">of </w:t>
      </w:r>
      <w:r w:rsidR="00516019" w:rsidRPr="00F0277B">
        <w:rPr>
          <w:szCs w:val="22"/>
        </w:rPr>
        <w:t>two years</w:t>
      </w:r>
      <w:r w:rsidR="004E1A28" w:rsidRPr="00F0277B">
        <w:rPr>
          <w:szCs w:val="22"/>
        </w:rPr>
        <w:t xml:space="preserve"> </w:t>
      </w:r>
      <w:r w:rsidR="00320031" w:rsidRPr="00F0277B">
        <w:rPr>
          <w:szCs w:val="22"/>
        </w:rPr>
        <w:t xml:space="preserve">is warranted in this case.  </w:t>
      </w:r>
      <w:r w:rsidR="004B58FA" w:rsidRPr="00F0277B">
        <w:rPr>
          <w:szCs w:val="22"/>
        </w:rPr>
        <w:t xml:space="preserve">We </w:t>
      </w:r>
      <w:r w:rsidR="00986AD3" w:rsidRPr="00F0277B">
        <w:rPr>
          <w:szCs w:val="22"/>
        </w:rPr>
        <w:t xml:space="preserve">believe </w:t>
      </w:r>
      <w:r w:rsidR="004E1A28" w:rsidRPr="00F0277B">
        <w:rPr>
          <w:szCs w:val="22"/>
        </w:rPr>
        <w:t xml:space="preserve">this period of time </w:t>
      </w:r>
      <w:r w:rsidR="00986AD3" w:rsidRPr="00F0277B">
        <w:rPr>
          <w:szCs w:val="22"/>
        </w:rPr>
        <w:t xml:space="preserve">will </w:t>
      </w:r>
      <w:r w:rsidR="004B58FA" w:rsidRPr="00F0277B">
        <w:rPr>
          <w:szCs w:val="22"/>
        </w:rPr>
        <w:t xml:space="preserve">give </w:t>
      </w:r>
      <w:r w:rsidR="00F4799B" w:rsidRPr="00F0277B">
        <w:rPr>
          <w:szCs w:val="22"/>
        </w:rPr>
        <w:t>Bryant</w:t>
      </w:r>
      <w:r w:rsidR="004B58FA" w:rsidRPr="00F0277B">
        <w:rPr>
          <w:szCs w:val="22"/>
        </w:rPr>
        <w:t xml:space="preserve"> ample time to locate ways to comply with the </w:t>
      </w:r>
      <w:r w:rsidR="00516019" w:rsidRPr="00F0277B">
        <w:rPr>
          <w:szCs w:val="22"/>
        </w:rPr>
        <w:t xml:space="preserve">closed </w:t>
      </w:r>
      <w:r w:rsidR="004B58FA" w:rsidRPr="00F0277B">
        <w:rPr>
          <w:szCs w:val="22"/>
        </w:rPr>
        <w:t xml:space="preserve">captioning requirements.  </w:t>
      </w:r>
    </w:p>
    <w:p w:rsidR="00F013EA" w:rsidRPr="00F0277B" w:rsidRDefault="00F013EA" w:rsidP="001E1D42">
      <w:pPr>
        <w:pStyle w:val="Heading1"/>
        <w:keepLines/>
        <w:widowControl/>
        <w:spacing w:after="120"/>
        <w:jc w:val="left"/>
        <w:rPr>
          <w:szCs w:val="22"/>
        </w:rPr>
      </w:pPr>
      <w:r w:rsidRPr="00F0277B">
        <w:rPr>
          <w:szCs w:val="22"/>
        </w:rPr>
        <w:t>ordering clauses</w:t>
      </w:r>
      <w:r w:rsidRPr="00F0277B">
        <w:rPr>
          <w:szCs w:val="22"/>
        </w:rPr>
        <w:tab/>
      </w:r>
    </w:p>
    <w:p w:rsidR="0088742B" w:rsidRPr="00C74745" w:rsidRDefault="00F013EA" w:rsidP="001E1D42">
      <w:pPr>
        <w:pStyle w:val="ParaNum"/>
        <w:keepNext/>
        <w:keepLines/>
        <w:widowControl/>
        <w:tabs>
          <w:tab w:val="clear" w:pos="1080"/>
        </w:tabs>
        <w:spacing w:after="120"/>
        <w:jc w:val="left"/>
        <w:rPr>
          <w:szCs w:val="22"/>
        </w:rPr>
      </w:pPr>
      <w:r w:rsidRPr="00F0277B">
        <w:rPr>
          <w:szCs w:val="22"/>
        </w:rPr>
        <w:t xml:space="preserve">Accordingly, </w:t>
      </w:r>
      <w:r w:rsidR="00002DFD" w:rsidRPr="00F0277B">
        <w:rPr>
          <w:szCs w:val="22"/>
        </w:rPr>
        <w:t>pursuant to section 713 of the Communications Act of 1934, as amended</w:t>
      </w:r>
      <w:r w:rsidR="00A9655C" w:rsidRPr="00F0277B">
        <w:rPr>
          <w:szCs w:val="22"/>
        </w:rPr>
        <w:t>,</w:t>
      </w:r>
      <w:r w:rsidR="00002DFD" w:rsidRPr="00F0277B">
        <w:rPr>
          <w:szCs w:val="22"/>
        </w:rPr>
        <w:t xml:space="preserve"> and section</w:t>
      </w:r>
      <w:r w:rsidR="004C071A" w:rsidRPr="00F0277B">
        <w:rPr>
          <w:szCs w:val="22"/>
        </w:rPr>
        <w:t>s 0.141(f) and</w:t>
      </w:r>
      <w:r w:rsidR="00002DFD" w:rsidRPr="00F0277B">
        <w:rPr>
          <w:szCs w:val="22"/>
        </w:rPr>
        <w:t xml:space="preserve"> 79.1</w:t>
      </w:r>
      <w:r w:rsidR="004C071A" w:rsidRPr="00F0277B">
        <w:rPr>
          <w:szCs w:val="22"/>
        </w:rPr>
        <w:t>(f) of the Commission’s rules,</w:t>
      </w:r>
      <w:r w:rsidR="004C071A" w:rsidRPr="00F0277B">
        <w:rPr>
          <w:rStyle w:val="FootnoteReference"/>
          <w:szCs w:val="22"/>
        </w:rPr>
        <w:t xml:space="preserve"> </w:t>
      </w:r>
      <w:r w:rsidR="004C071A" w:rsidRPr="00F0277B">
        <w:rPr>
          <w:rStyle w:val="FootnoteReference"/>
          <w:szCs w:val="22"/>
        </w:rPr>
        <w:footnoteReference w:id="46"/>
      </w:r>
      <w:r w:rsidR="004C071A" w:rsidRPr="00F0277B">
        <w:rPr>
          <w:szCs w:val="22"/>
        </w:rPr>
        <w:t xml:space="preserve"> </w:t>
      </w:r>
      <w:r w:rsidRPr="00F0277B">
        <w:rPr>
          <w:szCs w:val="22"/>
        </w:rPr>
        <w:t>IT IS ORDERED</w:t>
      </w:r>
      <w:r w:rsidR="0074675D" w:rsidRPr="00F0277B">
        <w:rPr>
          <w:szCs w:val="22"/>
        </w:rPr>
        <w:t xml:space="preserve"> that the P</w:t>
      </w:r>
      <w:r w:rsidRPr="00F0277B">
        <w:rPr>
          <w:szCs w:val="22"/>
        </w:rPr>
        <w:t>etition filed by</w:t>
      </w:r>
      <w:r w:rsidR="00640010" w:rsidRPr="00F0277B">
        <w:rPr>
          <w:szCs w:val="22"/>
        </w:rPr>
        <w:t xml:space="preserve"> </w:t>
      </w:r>
      <w:r w:rsidR="00F4799B" w:rsidRPr="00F0277B">
        <w:rPr>
          <w:szCs w:val="22"/>
        </w:rPr>
        <w:t>Bryant</w:t>
      </w:r>
      <w:r w:rsidRPr="00F0277B">
        <w:rPr>
          <w:szCs w:val="22"/>
        </w:rPr>
        <w:t>, requesting a</w:t>
      </w:r>
      <w:r w:rsidR="0074675D" w:rsidRPr="00F0277B">
        <w:rPr>
          <w:szCs w:val="22"/>
        </w:rPr>
        <w:t xml:space="preserve">n exemption from the Commission’s closed captioning rules, </w:t>
      </w:r>
      <w:r w:rsidRPr="00F0277B">
        <w:rPr>
          <w:szCs w:val="22"/>
        </w:rPr>
        <w:t xml:space="preserve">IS </w:t>
      </w:r>
      <w:r w:rsidR="00317C11" w:rsidRPr="00F0277B">
        <w:rPr>
          <w:szCs w:val="22"/>
        </w:rPr>
        <w:t>GRANTED</w:t>
      </w:r>
      <w:r w:rsidR="000C15AA" w:rsidRPr="00F0277B">
        <w:rPr>
          <w:szCs w:val="22"/>
        </w:rPr>
        <w:t>, and it is</w:t>
      </w:r>
      <w:r w:rsidR="00CE7A11" w:rsidRPr="00F0277B">
        <w:rPr>
          <w:szCs w:val="22"/>
        </w:rPr>
        <w:t xml:space="preserve"> </w:t>
      </w:r>
      <w:r w:rsidR="000C15AA" w:rsidRPr="00F0277B">
        <w:rPr>
          <w:szCs w:val="22"/>
        </w:rPr>
        <w:t>granted such an exemption</w:t>
      </w:r>
      <w:r w:rsidR="00317C11" w:rsidRPr="00F0277B">
        <w:rPr>
          <w:szCs w:val="22"/>
        </w:rPr>
        <w:t xml:space="preserve"> for a period of </w:t>
      </w:r>
      <w:r w:rsidR="00FC6FD9" w:rsidRPr="00F0277B">
        <w:rPr>
          <w:szCs w:val="22"/>
        </w:rPr>
        <w:t xml:space="preserve">two years from the </w:t>
      </w:r>
      <w:r w:rsidR="00FC6FD9" w:rsidRPr="00C74745">
        <w:rPr>
          <w:szCs w:val="22"/>
        </w:rPr>
        <w:t>release of this Order</w:t>
      </w:r>
      <w:r w:rsidR="0074675D" w:rsidRPr="00C74745">
        <w:rPr>
          <w:szCs w:val="22"/>
        </w:rPr>
        <w:t xml:space="preserve"> or until </w:t>
      </w:r>
      <w:r w:rsidR="00C74745" w:rsidRPr="00C74745">
        <w:rPr>
          <w:szCs w:val="22"/>
        </w:rPr>
        <w:t>August 1</w:t>
      </w:r>
      <w:r w:rsidR="00D13225" w:rsidRPr="00C74745">
        <w:rPr>
          <w:szCs w:val="22"/>
        </w:rPr>
        <w:t>, 2016</w:t>
      </w:r>
      <w:r w:rsidR="00640010" w:rsidRPr="00C74745">
        <w:rPr>
          <w:szCs w:val="22"/>
        </w:rPr>
        <w:t xml:space="preserve">.  </w:t>
      </w:r>
    </w:p>
    <w:p w:rsidR="00640010" w:rsidRPr="00C74745" w:rsidRDefault="00640010" w:rsidP="001E1D42">
      <w:pPr>
        <w:pStyle w:val="ParaNum"/>
        <w:widowControl/>
        <w:tabs>
          <w:tab w:val="clear" w:pos="1080"/>
        </w:tabs>
        <w:spacing w:after="120"/>
        <w:jc w:val="left"/>
        <w:rPr>
          <w:szCs w:val="22"/>
        </w:rPr>
      </w:pPr>
      <w:r w:rsidRPr="00C74745">
        <w:rPr>
          <w:szCs w:val="22"/>
        </w:rPr>
        <w:t xml:space="preserve">IT IS FURTHER ORDERED that </w:t>
      </w:r>
      <w:r w:rsidR="00F4799B" w:rsidRPr="00C74745">
        <w:rPr>
          <w:szCs w:val="22"/>
        </w:rPr>
        <w:t>Bryant</w:t>
      </w:r>
      <w:r w:rsidRPr="00C74745">
        <w:rPr>
          <w:szCs w:val="22"/>
        </w:rPr>
        <w:t xml:space="preserve"> </w:t>
      </w:r>
      <w:r w:rsidR="000C15AA" w:rsidRPr="00C74745">
        <w:rPr>
          <w:szCs w:val="22"/>
        </w:rPr>
        <w:t xml:space="preserve">shall </w:t>
      </w:r>
      <w:r w:rsidRPr="00C74745">
        <w:rPr>
          <w:szCs w:val="22"/>
        </w:rPr>
        <w:t xml:space="preserve">commence </w:t>
      </w:r>
      <w:r w:rsidR="00FC6FD9" w:rsidRPr="00C74745">
        <w:rPr>
          <w:szCs w:val="22"/>
        </w:rPr>
        <w:t xml:space="preserve">closed </w:t>
      </w:r>
      <w:r w:rsidRPr="00C74745">
        <w:rPr>
          <w:szCs w:val="22"/>
        </w:rPr>
        <w:t>captioning of the programming that is the subject of its Petitio</w:t>
      </w:r>
      <w:r w:rsidR="00317C11" w:rsidRPr="00C74745">
        <w:rPr>
          <w:szCs w:val="22"/>
        </w:rPr>
        <w:t xml:space="preserve">n no later than </w:t>
      </w:r>
      <w:r w:rsidR="00C74745" w:rsidRPr="00C74745">
        <w:rPr>
          <w:szCs w:val="22"/>
        </w:rPr>
        <w:t>August 1</w:t>
      </w:r>
      <w:r w:rsidR="00D13225" w:rsidRPr="00C74745">
        <w:rPr>
          <w:szCs w:val="22"/>
        </w:rPr>
        <w:t>, 2016</w:t>
      </w:r>
      <w:r w:rsidR="0074675D" w:rsidRPr="00C74745">
        <w:rPr>
          <w:szCs w:val="22"/>
        </w:rPr>
        <w:t xml:space="preserve">.  </w:t>
      </w:r>
    </w:p>
    <w:p w:rsidR="00A9655C" w:rsidRPr="00F0277B" w:rsidRDefault="00522DEB" w:rsidP="001E1D42">
      <w:pPr>
        <w:pStyle w:val="ParaNum"/>
        <w:widowControl/>
        <w:tabs>
          <w:tab w:val="clear" w:pos="1080"/>
        </w:tabs>
        <w:spacing w:after="120"/>
        <w:jc w:val="left"/>
        <w:rPr>
          <w:szCs w:val="22"/>
        </w:rPr>
      </w:pPr>
      <w:r w:rsidRPr="00F0277B">
        <w:rPr>
          <w:szCs w:val="22"/>
        </w:rPr>
        <w:t xml:space="preserve">IT IS FURTHER ORDERED that </w:t>
      </w:r>
      <w:r w:rsidR="00F4799B" w:rsidRPr="00F0277B">
        <w:rPr>
          <w:szCs w:val="22"/>
        </w:rPr>
        <w:t>Bryant</w:t>
      </w:r>
      <w:r w:rsidR="00AB4B72" w:rsidRPr="00F0277B">
        <w:rPr>
          <w:szCs w:val="22"/>
        </w:rPr>
        <w:t xml:space="preserve"> must</w:t>
      </w:r>
      <w:r w:rsidRPr="00F0277B">
        <w:rPr>
          <w:szCs w:val="22"/>
        </w:rPr>
        <w:t xml:space="preserve"> inform the Commission of the date on which it commences closed captioning of its programming in accordance with this Order and the Commission’s rules</w:t>
      </w:r>
      <w:r w:rsidR="0074675D" w:rsidRPr="00F0277B">
        <w:rPr>
          <w:szCs w:val="22"/>
        </w:rPr>
        <w:t xml:space="preserve"> by e-mail to </w:t>
      </w:r>
      <w:hyperlink r:id="rId8" w:history="1">
        <w:r w:rsidR="0074675D" w:rsidRPr="00F0277B">
          <w:rPr>
            <w:rStyle w:val="Hyperlink"/>
            <w:szCs w:val="22"/>
          </w:rPr>
          <w:t>captioningexemption@fcc.gov</w:t>
        </w:r>
      </w:hyperlink>
      <w:r w:rsidR="0074675D" w:rsidRPr="00F0277B">
        <w:rPr>
          <w:szCs w:val="22"/>
        </w:rPr>
        <w:t>.</w:t>
      </w:r>
      <w:r w:rsidR="0034210B" w:rsidRPr="00F0277B">
        <w:rPr>
          <w:rStyle w:val="FootnoteReference"/>
          <w:szCs w:val="22"/>
        </w:rPr>
        <w:footnoteReference w:id="47"/>
      </w:r>
      <w:r w:rsidR="0074675D" w:rsidRPr="00F0277B">
        <w:rPr>
          <w:szCs w:val="22"/>
        </w:rPr>
        <w:t xml:space="preserve">  </w:t>
      </w:r>
      <w:r w:rsidR="0034210B" w:rsidRPr="00F0277B">
        <w:rPr>
          <w:szCs w:val="22"/>
        </w:rPr>
        <w:t xml:space="preserve">The e-mail </w:t>
      </w:r>
      <w:r w:rsidRPr="00F0277B">
        <w:rPr>
          <w:szCs w:val="22"/>
        </w:rPr>
        <w:t>must refer</w:t>
      </w:r>
      <w:r w:rsidR="00317C11" w:rsidRPr="00F0277B">
        <w:rPr>
          <w:szCs w:val="22"/>
        </w:rPr>
        <w:t>ence Case Identifier CGB-CC-0024</w:t>
      </w:r>
      <w:r w:rsidR="0034210B" w:rsidRPr="00F0277B">
        <w:rPr>
          <w:szCs w:val="22"/>
        </w:rPr>
        <w:t xml:space="preserve">.  </w:t>
      </w:r>
    </w:p>
    <w:p w:rsidR="00A9655C" w:rsidRPr="00F0277B" w:rsidRDefault="00A9655C" w:rsidP="006B0863">
      <w:pPr>
        <w:pStyle w:val="ParaNum"/>
        <w:widowControl/>
        <w:numPr>
          <w:ilvl w:val="0"/>
          <w:numId w:val="0"/>
        </w:numPr>
        <w:tabs>
          <w:tab w:val="clear" w:pos="1440"/>
          <w:tab w:val="left" w:pos="4680"/>
        </w:tabs>
        <w:spacing w:after="0"/>
        <w:jc w:val="left"/>
        <w:rPr>
          <w:szCs w:val="22"/>
        </w:rPr>
      </w:pPr>
    </w:p>
    <w:p w:rsidR="00F013EA" w:rsidRPr="00F0277B" w:rsidRDefault="00F013EA" w:rsidP="006B0863">
      <w:pPr>
        <w:pStyle w:val="ParaNum"/>
        <w:widowControl/>
        <w:numPr>
          <w:ilvl w:val="0"/>
          <w:numId w:val="0"/>
        </w:numPr>
        <w:tabs>
          <w:tab w:val="clear" w:pos="1440"/>
          <w:tab w:val="left" w:pos="4680"/>
        </w:tabs>
        <w:spacing w:after="0"/>
        <w:jc w:val="left"/>
        <w:rPr>
          <w:szCs w:val="22"/>
        </w:rPr>
      </w:pPr>
      <w:r w:rsidRPr="00F0277B">
        <w:rPr>
          <w:szCs w:val="22"/>
        </w:rPr>
        <w:tab/>
        <w:t>FEDERAL COMMUNICATIONS COMMISSION</w:t>
      </w:r>
    </w:p>
    <w:p w:rsidR="00FC6FD9" w:rsidRPr="00F0277B" w:rsidRDefault="00FC6FD9" w:rsidP="006B0863">
      <w:pPr>
        <w:pStyle w:val="ParaNum"/>
        <w:widowControl/>
        <w:numPr>
          <w:ilvl w:val="0"/>
          <w:numId w:val="0"/>
        </w:numPr>
        <w:tabs>
          <w:tab w:val="clear" w:pos="1440"/>
          <w:tab w:val="left" w:pos="4680"/>
        </w:tabs>
        <w:spacing w:after="0"/>
        <w:jc w:val="left"/>
        <w:rPr>
          <w:szCs w:val="22"/>
        </w:rPr>
      </w:pPr>
    </w:p>
    <w:p w:rsidR="00FC6FD9" w:rsidRPr="00F0277B" w:rsidRDefault="00FC6FD9" w:rsidP="006B0863">
      <w:pPr>
        <w:pStyle w:val="ParaNum"/>
        <w:widowControl/>
        <w:numPr>
          <w:ilvl w:val="0"/>
          <w:numId w:val="0"/>
        </w:numPr>
        <w:tabs>
          <w:tab w:val="clear" w:pos="1440"/>
          <w:tab w:val="left" w:pos="4680"/>
        </w:tabs>
        <w:spacing w:after="0"/>
        <w:jc w:val="left"/>
        <w:rPr>
          <w:szCs w:val="22"/>
        </w:rPr>
      </w:pPr>
    </w:p>
    <w:p w:rsidR="00F013EA" w:rsidRPr="00F0277B" w:rsidRDefault="00F013EA" w:rsidP="006B0863">
      <w:pPr>
        <w:pStyle w:val="ParaNum"/>
        <w:widowControl/>
        <w:numPr>
          <w:ilvl w:val="0"/>
          <w:numId w:val="0"/>
        </w:numPr>
        <w:tabs>
          <w:tab w:val="clear" w:pos="1440"/>
          <w:tab w:val="left" w:pos="4680"/>
        </w:tabs>
        <w:spacing w:after="0"/>
        <w:jc w:val="left"/>
        <w:rPr>
          <w:szCs w:val="22"/>
        </w:rPr>
      </w:pPr>
    </w:p>
    <w:p w:rsidR="00F013EA" w:rsidRPr="00F0277B" w:rsidRDefault="00F013EA" w:rsidP="006B0863">
      <w:pPr>
        <w:pStyle w:val="ParaNum"/>
        <w:widowControl/>
        <w:numPr>
          <w:ilvl w:val="0"/>
          <w:numId w:val="0"/>
        </w:numPr>
        <w:tabs>
          <w:tab w:val="clear" w:pos="1440"/>
          <w:tab w:val="left" w:pos="4680"/>
        </w:tabs>
        <w:spacing w:after="0"/>
        <w:jc w:val="left"/>
        <w:rPr>
          <w:szCs w:val="22"/>
        </w:rPr>
      </w:pPr>
      <w:r w:rsidRPr="00F0277B">
        <w:rPr>
          <w:szCs w:val="22"/>
        </w:rPr>
        <w:tab/>
      </w:r>
      <w:r w:rsidR="006D1CE7">
        <w:rPr>
          <w:szCs w:val="22"/>
        </w:rPr>
        <w:t>Karen Peltz Strauss</w:t>
      </w:r>
    </w:p>
    <w:p w:rsidR="00FC6FD9" w:rsidRPr="00F0277B" w:rsidRDefault="00F013EA" w:rsidP="006B0863">
      <w:pPr>
        <w:pStyle w:val="ParaNum"/>
        <w:widowControl/>
        <w:numPr>
          <w:ilvl w:val="0"/>
          <w:numId w:val="0"/>
        </w:numPr>
        <w:tabs>
          <w:tab w:val="clear" w:pos="1440"/>
          <w:tab w:val="left" w:pos="4680"/>
        </w:tabs>
        <w:spacing w:after="0"/>
        <w:jc w:val="left"/>
        <w:rPr>
          <w:szCs w:val="22"/>
        </w:rPr>
      </w:pPr>
      <w:r w:rsidRPr="00F0277B">
        <w:rPr>
          <w:szCs w:val="22"/>
        </w:rPr>
        <w:tab/>
      </w:r>
      <w:r w:rsidR="006D1CE7">
        <w:rPr>
          <w:szCs w:val="22"/>
        </w:rPr>
        <w:t>Deputy</w:t>
      </w:r>
      <w:r w:rsidRPr="00F0277B">
        <w:rPr>
          <w:szCs w:val="22"/>
        </w:rPr>
        <w:t xml:space="preserve"> Chief</w:t>
      </w:r>
    </w:p>
    <w:p w:rsidR="00F013EA" w:rsidRPr="00F0277B" w:rsidRDefault="00FC6FD9" w:rsidP="006B0863">
      <w:pPr>
        <w:pStyle w:val="ParaNum"/>
        <w:widowControl/>
        <w:numPr>
          <w:ilvl w:val="0"/>
          <w:numId w:val="0"/>
        </w:numPr>
        <w:tabs>
          <w:tab w:val="clear" w:pos="1440"/>
          <w:tab w:val="left" w:pos="4680"/>
        </w:tabs>
        <w:spacing w:after="0"/>
        <w:jc w:val="left"/>
        <w:rPr>
          <w:szCs w:val="22"/>
        </w:rPr>
      </w:pPr>
      <w:r w:rsidRPr="00F0277B">
        <w:rPr>
          <w:szCs w:val="22"/>
        </w:rPr>
        <w:tab/>
      </w:r>
      <w:r w:rsidR="00F013EA" w:rsidRPr="00F0277B">
        <w:rPr>
          <w:szCs w:val="22"/>
        </w:rPr>
        <w:t xml:space="preserve">Consumer </w:t>
      </w:r>
      <w:r w:rsidRPr="00F0277B">
        <w:rPr>
          <w:szCs w:val="22"/>
        </w:rPr>
        <w:t>and</w:t>
      </w:r>
      <w:r w:rsidR="00F013EA" w:rsidRPr="00F0277B">
        <w:rPr>
          <w:szCs w:val="22"/>
        </w:rPr>
        <w:t xml:space="preserve"> Governmental Affairs Bureau</w:t>
      </w:r>
    </w:p>
    <w:p w:rsidR="00FC6FD9" w:rsidRPr="00F0277B" w:rsidRDefault="00FC6FD9" w:rsidP="006B0863">
      <w:pPr>
        <w:pStyle w:val="ParaNum"/>
        <w:widowControl/>
        <w:numPr>
          <w:ilvl w:val="0"/>
          <w:numId w:val="0"/>
        </w:numPr>
        <w:tabs>
          <w:tab w:val="clear" w:pos="1440"/>
          <w:tab w:val="left" w:pos="4680"/>
        </w:tabs>
        <w:spacing w:after="0"/>
        <w:jc w:val="left"/>
        <w:rPr>
          <w:szCs w:val="22"/>
        </w:rPr>
      </w:pPr>
    </w:p>
    <w:sectPr w:rsidR="00FC6FD9" w:rsidRPr="00F0277B" w:rsidSect="001E1D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44" w:rsidRDefault="00653A44">
      <w:r>
        <w:separator/>
      </w:r>
    </w:p>
  </w:endnote>
  <w:endnote w:type="continuationSeparator" w:id="0">
    <w:p w:rsidR="00653A44" w:rsidRDefault="00653A44">
      <w:r>
        <w:continuationSeparator/>
      </w:r>
    </w:p>
  </w:endnote>
  <w:endnote w:type="continuationNotice" w:id="1">
    <w:p w:rsidR="00653A44" w:rsidRDefault="0065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26" w:rsidRDefault="00196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2" w:rsidRDefault="001E1D42">
    <w:pPr>
      <w:pStyle w:val="Footer"/>
      <w:jc w:val="center"/>
    </w:pPr>
    <w:r>
      <w:rPr>
        <w:rStyle w:val="PageNumber"/>
      </w:rPr>
      <w:fldChar w:fldCharType="begin"/>
    </w:r>
    <w:r>
      <w:rPr>
        <w:rStyle w:val="PageNumber"/>
      </w:rPr>
      <w:instrText xml:space="preserve"> PAGE </w:instrText>
    </w:r>
    <w:r>
      <w:rPr>
        <w:rStyle w:val="PageNumber"/>
      </w:rPr>
      <w:fldChar w:fldCharType="separate"/>
    </w:r>
    <w:r w:rsidR="00AA45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26" w:rsidRDefault="0019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44" w:rsidRDefault="00653A44">
      <w:pPr>
        <w:rPr>
          <w:sz w:val="20"/>
        </w:rPr>
      </w:pPr>
      <w:r>
        <w:rPr>
          <w:sz w:val="20"/>
        </w:rPr>
        <w:separator/>
      </w:r>
    </w:p>
  </w:footnote>
  <w:footnote w:type="continuationSeparator" w:id="0">
    <w:p w:rsidR="00653A44" w:rsidRDefault="00653A44">
      <w:pPr>
        <w:rPr>
          <w:sz w:val="20"/>
        </w:rPr>
      </w:pPr>
      <w:r>
        <w:rPr>
          <w:sz w:val="20"/>
        </w:rPr>
        <w:separator/>
      </w:r>
    </w:p>
    <w:p w:rsidR="00653A44" w:rsidRDefault="00653A44">
      <w:pPr>
        <w:rPr>
          <w:sz w:val="20"/>
        </w:rPr>
      </w:pPr>
      <w:r>
        <w:rPr>
          <w:sz w:val="20"/>
        </w:rPr>
        <w:t>(...continued from previous page)</w:t>
      </w:r>
    </w:p>
  </w:footnote>
  <w:footnote w:type="continuationNotice" w:id="1">
    <w:p w:rsidR="00653A44" w:rsidRDefault="00653A44">
      <w:pPr>
        <w:jc w:val="right"/>
        <w:rPr>
          <w:sz w:val="20"/>
        </w:rPr>
      </w:pPr>
      <w:r>
        <w:rPr>
          <w:sz w:val="20"/>
        </w:rPr>
        <w:t>(continued....)</w:t>
      </w:r>
    </w:p>
  </w:footnote>
  <w:footnote w:id="2">
    <w:p w:rsidR="002C4E0A" w:rsidRPr="00D37256" w:rsidRDefault="002C4E0A"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2C4E0A" w:rsidRPr="00D37256" w:rsidRDefault="002C4E0A"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 (c).</w:t>
      </w:r>
    </w:p>
  </w:footnote>
  <w:footnote w:id="4">
    <w:p w:rsidR="002C4E0A" w:rsidRPr="00D37256" w:rsidRDefault="002C4E0A"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 xml:space="preserve">Closed Captioning and Video Description of Video Programming, Implementation of Section 305 of the Telecommunications Act of 1996, Video Programming Accessibility,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2C4E0A" w:rsidRPr="00D37256" w:rsidRDefault="002C4E0A" w:rsidP="002C4E0A">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1E1D42" w:rsidRPr="001E1D42" w:rsidRDefault="001E1D42"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w:t>
      </w:r>
      <w:r w:rsidRPr="001E1D42">
        <w:rPr>
          <w:i/>
        </w:rPr>
        <w:t>See</w:t>
      </w:r>
      <w:r w:rsidRPr="001E1D42">
        <w:t xml:space="preserve"> 47 U.S.C. §§ 613(d)(3),(e); </w:t>
      </w:r>
      <w:r w:rsidRPr="001E1D42">
        <w:rPr>
          <w:i/>
        </w:rPr>
        <w:t>see also</w:t>
      </w:r>
      <w:r w:rsidRPr="001E1D42">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1E1D42">
        <w:rPr>
          <w:i/>
        </w:rPr>
        <w:t>See Interpretation of Economically Burdensome Standard, Amendment of Section 79.1(f) of the Commission’s Rules, Video Programming Accessibility</w:t>
      </w:r>
      <w:r w:rsidRPr="001E1D42">
        <w:t>, Report and Order, 27 FCC Rcd 8831, 8834, ¶ 7 (2012) (</w:t>
      </w:r>
      <w:r w:rsidRPr="001E1D42">
        <w:rPr>
          <w:i/>
        </w:rPr>
        <w:t>Economically Burdensome Standard Order</w:t>
      </w:r>
      <w:r w:rsidRPr="001E1D42">
        <w:t>).</w:t>
      </w:r>
    </w:p>
  </w:footnote>
  <w:footnote w:id="7">
    <w:p w:rsidR="001E1D42" w:rsidRPr="001E1D42" w:rsidRDefault="001E1D42"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1E1D42">
        <w:rPr>
          <w:i/>
        </w:rPr>
        <w:t xml:space="preserve">See also </w:t>
      </w:r>
      <w:r w:rsidRPr="001E1D42">
        <w:t xml:space="preserve">n.4, </w:t>
      </w:r>
      <w:r w:rsidRPr="001E1D42">
        <w:rPr>
          <w:i/>
        </w:rPr>
        <w:t>supra</w:t>
      </w:r>
      <w:r w:rsidRPr="001E1D42">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1E1D42" w:rsidRPr="001E1D42" w:rsidRDefault="001E1D42"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1E1D42">
        <w:rPr>
          <w:i/>
        </w:rPr>
        <w:t>Economically Burdensome Standard Order</w:t>
      </w:r>
      <w:r w:rsidRPr="001E1D42">
        <w:t>, 27 FCC Rcd at 8834-35, ¶ 8.</w:t>
      </w:r>
      <w:r w:rsidRPr="001E1D42">
        <w:rPr>
          <w:i/>
        </w:rPr>
        <w:t xml:space="preserve">  </w:t>
      </w:r>
    </w:p>
  </w:footnote>
  <w:footnote w:id="9">
    <w:p w:rsidR="001E1D42" w:rsidRPr="001E1D42" w:rsidRDefault="001E1D42" w:rsidP="001E1D42">
      <w:pPr>
        <w:suppressAutoHyphens/>
        <w:spacing w:after="120"/>
        <w:rPr>
          <w:sz w:val="20"/>
        </w:rPr>
      </w:pPr>
      <w:r w:rsidRPr="001E1D42">
        <w:rPr>
          <w:rStyle w:val="FootnoteReference"/>
          <w:sz w:val="20"/>
        </w:rPr>
        <w:footnoteRef/>
      </w:r>
      <w:r w:rsidRPr="001E1D42">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1E1D42">
          <w:rPr>
            <w:rStyle w:val="Hyperlink"/>
            <w:sz w:val="20"/>
          </w:rPr>
          <w:t>http://hraunfoss.fcc.gov/edocs_public/attachmatch/DOC-323421A1.pdf</w:t>
        </w:r>
      </w:hyperlink>
      <w:r w:rsidRPr="001E1D42">
        <w:rPr>
          <w:rStyle w:val="Hyperlink"/>
          <w:sz w:val="20"/>
          <w:u w:val="none"/>
        </w:rPr>
        <w:t xml:space="preserve">, </w:t>
      </w:r>
      <w:r w:rsidRPr="001E1D42">
        <w:rPr>
          <w:rStyle w:val="Hyperlink"/>
          <w:color w:val="auto"/>
          <w:sz w:val="20"/>
          <w:u w:val="none"/>
        </w:rPr>
        <w:t>which the Bureau developed, based on the Communications Act, the Commission’s rules, and Commission history and experience evaluating such petitions</w:t>
      </w:r>
      <w:r w:rsidRPr="001E1D42">
        <w:rPr>
          <w:sz w:val="20"/>
        </w:rPr>
        <w:t xml:space="preserve">.  </w:t>
      </w:r>
      <w:r w:rsidRPr="001E1D42">
        <w:rPr>
          <w:i/>
          <w:sz w:val="20"/>
        </w:rPr>
        <w:t>See Anglers for Christ Ministries, Inc., et al.; Amendment of Section 79.1(f) of the Commission’s Rules; Video Programming Accessibility</w:t>
      </w:r>
      <w:r w:rsidRPr="001E1D42">
        <w:rPr>
          <w:sz w:val="20"/>
        </w:rPr>
        <w:t>, Memorandum Opinion and Order, Order, and Notice of Proposed Rulemaking, 26 FCC Rcd 14941, 14955-56, ¶ 28 (2011) (</w:t>
      </w:r>
      <w:r w:rsidRPr="001E1D42">
        <w:rPr>
          <w:i/>
          <w:sz w:val="20"/>
        </w:rPr>
        <w:t>Anglers Reversal MO&amp;O</w:t>
      </w:r>
      <w:r w:rsidRPr="001E1D42">
        <w:rPr>
          <w:sz w:val="20"/>
        </w:rPr>
        <w:t>).</w:t>
      </w:r>
    </w:p>
  </w:footnote>
  <w:footnote w:id="10">
    <w:p w:rsidR="001E1D42" w:rsidRPr="001E1D42" w:rsidRDefault="001E1D42" w:rsidP="001E1D42">
      <w:pPr>
        <w:spacing w:after="120"/>
        <w:rPr>
          <w:sz w:val="20"/>
        </w:rPr>
      </w:pPr>
      <w:r w:rsidRPr="001E1D42">
        <w:rPr>
          <w:rStyle w:val="FootnoteReference"/>
          <w:sz w:val="20"/>
        </w:rPr>
        <w:footnoteRef/>
      </w:r>
      <w:r w:rsidRPr="001E1D42">
        <w:rPr>
          <w:sz w:val="20"/>
        </w:rPr>
        <w:t xml:space="preserve"> 47 C.F.R. § 79.1(f)(9).  A petition for exemption may also be supported by an </w:t>
      </w:r>
      <w:r w:rsidRPr="001E1D42">
        <w:rPr>
          <w:rStyle w:val="contents"/>
          <w:sz w:val="20"/>
        </w:rPr>
        <w:t>unsworn written statement signed by a declarant under penalty of perjury.  47 C.F.R. § 1.16.</w:t>
      </w:r>
    </w:p>
  </w:footnote>
  <w:footnote w:id="11">
    <w:p w:rsidR="001E1D42" w:rsidRPr="001E1D42" w:rsidRDefault="001E1D42"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w:t>
      </w:r>
      <w:r w:rsidRPr="001E1D42">
        <w:rPr>
          <w:i/>
        </w:rPr>
        <w:t>Anglers Reversal MO&amp;O</w:t>
      </w:r>
      <w:r w:rsidRPr="001E1D42">
        <w:t xml:space="preserve">, 26 FCC Rcd at 14955-56, ¶ 28 (citing </w:t>
      </w:r>
      <w:r w:rsidRPr="001E1D42">
        <w:rPr>
          <w:i/>
        </w:rPr>
        <w:t>The Wild Outdoors</w:t>
      </w:r>
      <w:r w:rsidRPr="001E1D42">
        <w:t xml:space="preserve">, </w:t>
      </w:r>
      <w:r w:rsidRPr="001E1D42">
        <w:rPr>
          <w:i/>
        </w:rPr>
        <w:t>Video Programming Accessibility, Petition for Waiver of Closed Captioning Requirements</w:t>
      </w:r>
      <w:r w:rsidRPr="001E1D42">
        <w:t>, Memorandum Opinion and Order, 16 FCC Rcd 13611, 13614, ¶ 12 (Cable Services Bureau, 2001) (</w:t>
      </w:r>
      <w:r w:rsidRPr="001E1D42">
        <w:rPr>
          <w:i/>
        </w:rPr>
        <w:t>Wild Outdoors 2001</w:t>
      </w:r>
      <w:r w:rsidRPr="001E1D42">
        <w:t xml:space="preserve">)).  </w:t>
      </w:r>
    </w:p>
  </w:footnote>
  <w:footnote w:id="12">
    <w:p w:rsidR="001E1D42" w:rsidRPr="001E1D42" w:rsidRDefault="001E1D42" w:rsidP="001E1D42">
      <w:pPr>
        <w:pStyle w:val="FootnoteText"/>
        <w:tabs>
          <w:tab w:val="clear" w:pos="180"/>
          <w:tab w:val="clear" w:pos="720"/>
          <w:tab w:val="clear" w:pos="1440"/>
          <w:tab w:val="clear" w:pos="2160"/>
        </w:tabs>
        <w:jc w:val="left"/>
      </w:pPr>
      <w:r w:rsidRPr="001E1D42">
        <w:rPr>
          <w:rStyle w:val="FootnoteReference"/>
        </w:rPr>
        <w:footnoteRef/>
      </w:r>
      <w:r w:rsidRPr="001E1D42">
        <w:t xml:space="preserve"> 47 U.S.C. § 613(d)(3); 47 C.F.R. § 79.1(f)(11).</w:t>
      </w:r>
    </w:p>
  </w:footnote>
  <w:footnote w:id="13">
    <w:p w:rsidR="001E1D42" w:rsidRPr="001E1D42" w:rsidRDefault="001E1D42" w:rsidP="001E1D42">
      <w:pPr>
        <w:pStyle w:val="FootnoteText"/>
        <w:jc w:val="left"/>
      </w:pPr>
      <w:r w:rsidRPr="001E1D42">
        <w:rPr>
          <w:rStyle w:val="FootnoteReference"/>
        </w:rPr>
        <w:footnoteRef/>
      </w:r>
      <w:r w:rsidRPr="001E1D42">
        <w:t xml:space="preserve"> </w:t>
      </w:r>
      <w:r w:rsidRPr="001E1D42">
        <w:rPr>
          <w:i/>
        </w:rPr>
        <w:t>See</w:t>
      </w:r>
      <w:r w:rsidRPr="001E1D42">
        <w:t xml:space="preserve"> Letter from Darlene M. Oliver, Robinson Curly &amp; Clayton, P.C., to Amelia Brown, Disability Rights Office, Federal Communications Commission (Mar. 7, 2006).  </w:t>
      </w:r>
    </w:p>
  </w:footnote>
  <w:footnote w:id="14">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Request for Exemption from Commission’s Closed Captioning Rules, </w:t>
      </w:r>
      <w:r w:rsidRPr="001E1D42">
        <w:t xml:space="preserve">Public Notice, DA 06-604 (Mar. 17, 2006).  </w:t>
      </w:r>
    </w:p>
  </w:footnote>
  <w:footnote w:id="15">
    <w:p w:rsidR="001E1D42" w:rsidRPr="001E1D42" w:rsidRDefault="001E1D42" w:rsidP="001E1D42">
      <w:pPr>
        <w:pStyle w:val="FootnoteText"/>
        <w:jc w:val="left"/>
      </w:pPr>
      <w:r w:rsidRPr="001E1D42">
        <w:rPr>
          <w:rStyle w:val="FootnoteReference"/>
        </w:rPr>
        <w:footnoteRef/>
      </w:r>
      <w:r w:rsidRPr="001E1D42">
        <w:t xml:space="preserve"> </w:t>
      </w:r>
      <w:r w:rsidRPr="001E1D42">
        <w:rPr>
          <w:i/>
        </w:rPr>
        <w:t>See Notice of Need to File Updated Information with Respect to Pending Petitions for Exemption from Commission’s Closed Captioning Rules, Which Were Filed Prior to October 2010</w:t>
      </w:r>
      <w:r w:rsidRPr="001E1D42">
        <w:t xml:space="preserve">, Public Notice, 27 FCC Rcd 3106 (CGB 2012) (alerting petitioners of the need to affirm that information previously provided is still accurate and up-to-date; to update that information; or to withdraw their petitions).  </w:t>
      </w:r>
      <w:r w:rsidRPr="001E1D42">
        <w:rPr>
          <w:i/>
        </w:rPr>
        <w:t xml:space="preserve">See also </w:t>
      </w:r>
      <w:r w:rsidRPr="001E1D42">
        <w:t>Letter from Kris Anne Monteith, Acting Chief, Consumer and Governmental Affairs Bureau, to Robinson Curly &amp; Clayton, P.C. (Apr. 5, 2012).</w:t>
      </w:r>
    </w:p>
  </w:footnote>
  <w:footnote w:id="16">
    <w:p w:rsidR="001E1D42" w:rsidRPr="001E1D42" w:rsidRDefault="001E1D42" w:rsidP="001E1D42">
      <w:pPr>
        <w:pStyle w:val="FootnoteText"/>
        <w:jc w:val="left"/>
      </w:pPr>
      <w:r w:rsidRPr="001E1D42">
        <w:rPr>
          <w:rStyle w:val="FootnoteReference"/>
        </w:rPr>
        <w:footnoteRef/>
      </w:r>
      <w:r w:rsidRPr="001E1D42">
        <w:t xml:space="preserve"> </w:t>
      </w:r>
      <w:r w:rsidRPr="001E1D42">
        <w:rPr>
          <w:i/>
        </w:rPr>
        <w:t>See</w:t>
      </w:r>
      <w:r w:rsidRPr="001E1D42">
        <w:t xml:space="preserve"> Letter from Alan F. Curley, Robinson Curly &amp; Clayton, P.C., to Office of the Secretary, Federal Communications Commission (Jun. 26, 2012) (Petition Update). </w:t>
      </w:r>
    </w:p>
  </w:footnote>
  <w:footnote w:id="17">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See </w:t>
      </w:r>
      <w:r w:rsidRPr="001E1D42">
        <w:t>Letter from Suzy Rosen Singleton, Attorney, Disability Rights Office, Consumer and Governmental Affairs Office, to Alan F. Curley, Robinson Curly &amp; Clayton, P.C. (Sept. 26, 2012); Letter from Alan F. Curley, Robinson Curly &amp; Clayton, P.C., to Office of the Secretary, Federal Communications Commission (Oct. 24, 2013) (Petition Supplement).</w:t>
      </w:r>
    </w:p>
  </w:footnote>
  <w:footnote w:id="18">
    <w:p w:rsidR="001E1D42" w:rsidRPr="001E1D42" w:rsidRDefault="001E1D42" w:rsidP="001E1D42">
      <w:pPr>
        <w:pStyle w:val="FootnoteText"/>
        <w:jc w:val="left"/>
      </w:pPr>
      <w:r w:rsidRPr="001E1D42">
        <w:rPr>
          <w:rStyle w:val="FootnoteReference"/>
        </w:rPr>
        <w:footnoteRef/>
      </w:r>
      <w:r w:rsidRPr="001E1D42">
        <w:t xml:space="preserve"> </w:t>
      </w:r>
      <w:r w:rsidRPr="001E1D42">
        <w:rPr>
          <w:i/>
        </w:rPr>
        <w:t>Request for Comment/Request for Exemption from Commission’s Closed Captioning Rules</w:t>
      </w:r>
      <w:r w:rsidRPr="001E1D42">
        <w:t>, Public Notice, 28 FCC Rcd 17100 (CGB 2013) (</w:t>
      </w:r>
      <w:r w:rsidRPr="001E1D42">
        <w:rPr>
          <w:i/>
        </w:rPr>
        <w:t>2013 Public Notice</w:t>
      </w:r>
      <w:r w:rsidRPr="001E1D42">
        <w:t xml:space="preserve">).  </w:t>
      </w:r>
    </w:p>
  </w:footnote>
  <w:footnote w:id="19">
    <w:p w:rsidR="001E1D42" w:rsidRPr="001E1D42" w:rsidRDefault="001E1D42" w:rsidP="001E1D42">
      <w:pPr>
        <w:pStyle w:val="FootnoteText"/>
        <w:jc w:val="left"/>
      </w:pPr>
      <w:r w:rsidRPr="001E1D42">
        <w:rPr>
          <w:rStyle w:val="FootnoteReference"/>
        </w:rPr>
        <w:footnoteRef/>
      </w:r>
      <w:r w:rsidRPr="001E1D42">
        <w:t xml:space="preserve"> </w:t>
      </w:r>
      <w:r w:rsidRPr="001E1D42">
        <w:rPr>
          <w:i/>
        </w:rPr>
        <w:t>See</w:t>
      </w:r>
      <w:r w:rsidRPr="001E1D42">
        <w:t xml:space="preserve"> Opposition to Petitions for Exemption from the Commission’s Closed Captioning Rules, Telecommunications for the Deaf and Hard of Hearing, Inc., Deaf and Hard of Hearing Consumer Advocacy Network, Cerebral Palsy and Deaf Organization, California Coalition of Agencies Serving the Deaf and Hard of Hearing, National Association of the Deaf, and the Association of Late-Deafened Adults (collectively, Consumer Groups) at 2, 14-16 (Jan. 27, 2014) (Consumer Groups Comments).</w:t>
      </w:r>
    </w:p>
  </w:footnote>
  <w:footnote w:id="20">
    <w:p w:rsidR="001E1D42" w:rsidRPr="001E1D42" w:rsidRDefault="001E1D42" w:rsidP="001E1D42">
      <w:pPr>
        <w:pStyle w:val="FootnoteText"/>
        <w:jc w:val="left"/>
      </w:pPr>
      <w:r w:rsidRPr="001E1D42">
        <w:rPr>
          <w:rStyle w:val="FootnoteReference"/>
        </w:rPr>
        <w:footnoteRef/>
      </w:r>
      <w:r w:rsidRPr="001E1D42">
        <w:t xml:space="preserve"> Petition Supplement at 1.</w:t>
      </w:r>
    </w:p>
  </w:footnote>
  <w:footnote w:id="21">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4.</w:t>
      </w:r>
    </w:p>
  </w:footnote>
  <w:footnote w:id="22">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w:t>
      </w:r>
    </w:p>
  </w:footnote>
  <w:footnote w:id="23">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Id.  </w:t>
      </w:r>
    </w:p>
  </w:footnote>
  <w:footnote w:id="24">
    <w:p w:rsidR="001E1D42" w:rsidRPr="001E1D42" w:rsidRDefault="001E1D42" w:rsidP="001E1D42">
      <w:pPr>
        <w:pStyle w:val="FootnoteText"/>
        <w:jc w:val="left"/>
        <w:rPr>
          <w:i/>
        </w:rPr>
      </w:pPr>
      <w:r w:rsidRPr="001E1D42">
        <w:rPr>
          <w:rStyle w:val="FootnoteReference"/>
        </w:rPr>
        <w:footnoteRef/>
      </w:r>
      <w:r w:rsidRPr="001E1D42">
        <w:t xml:space="preserve"> </w:t>
      </w:r>
      <w:r w:rsidRPr="001E1D42">
        <w:rPr>
          <w:i/>
        </w:rPr>
        <w:t>Id.</w:t>
      </w:r>
    </w:p>
  </w:footnote>
  <w:footnote w:id="25">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2.  </w:t>
      </w:r>
    </w:p>
  </w:footnote>
  <w:footnote w:id="26">
    <w:p w:rsidR="001E1D42" w:rsidRPr="001E1D42" w:rsidRDefault="001E1D42" w:rsidP="001E1D42">
      <w:pPr>
        <w:spacing w:after="120"/>
        <w:rPr>
          <w:sz w:val="20"/>
        </w:rPr>
      </w:pPr>
      <w:r w:rsidRPr="001E1D42">
        <w:rPr>
          <w:rStyle w:val="FootnoteReference"/>
          <w:sz w:val="20"/>
        </w:rPr>
        <w:footnoteRef/>
      </w:r>
      <w:r w:rsidRPr="001E1D42">
        <w:rPr>
          <w:sz w:val="20"/>
        </w:rPr>
        <w:t xml:space="preserve"> Petition Update at 1.  Bryant also asserts that </w:t>
      </w:r>
      <w:r w:rsidRPr="001E1D42">
        <w:rPr>
          <w:i/>
          <w:sz w:val="20"/>
        </w:rPr>
        <w:t>JBTV</w:t>
      </w:r>
      <w:r w:rsidRPr="001E1D42">
        <w:rPr>
          <w:sz w:val="20"/>
        </w:rPr>
        <w:t xml:space="preserve"> qualifies for the exemption established under section 79.1(d)(8) of the Commission’s rules for locally produced and distributed non-news programming with no repeat value.  </w:t>
      </w:r>
      <w:r w:rsidRPr="001E1D42">
        <w:rPr>
          <w:i/>
          <w:sz w:val="20"/>
        </w:rPr>
        <w:t>Id.</w:t>
      </w:r>
      <w:r w:rsidRPr="001E1D42">
        <w:rPr>
          <w:sz w:val="20"/>
        </w:rPr>
        <w:t xml:space="preserve"> at 4-6.  We disagree.  This rule categorically exempts from the closed captioning requirements “[p]rogramming that is locally produced by the video programming distributor, has no repeat value, is of local public interest, is not news programming, and for which the ‘electronic newsroom technique’ of captioning is unavailable.”  47 C.F.R. § 79.1(d)(8).  In this context, the Commission defines “video programming distributor” as any television broadcast station licensed by the Commission, any multichannel video programming distributor, and “any other distributor of video programming for residential reception that delivers such programming directly to the home and is subject to the jurisdiction of the Commission.”  47 C.F.R. § 79.1(a)(2).  As such, based on Bryant’s submissions, we conclude that </w:t>
      </w:r>
      <w:r w:rsidRPr="001E1D42">
        <w:rPr>
          <w:i/>
          <w:sz w:val="20"/>
        </w:rPr>
        <w:t>JBTV</w:t>
      </w:r>
      <w:r w:rsidRPr="001E1D42">
        <w:rPr>
          <w:sz w:val="20"/>
        </w:rPr>
        <w:t xml:space="preserve"> is not exempt under this rule because Bryant is not a “video programming distributor” as so defined.</w:t>
      </w:r>
    </w:p>
  </w:footnote>
  <w:footnote w:id="27">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at 2, 7.</w:t>
      </w:r>
    </w:p>
  </w:footnote>
  <w:footnote w:id="28">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2, 8-9.</w:t>
      </w:r>
    </w:p>
  </w:footnote>
  <w:footnote w:id="29">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Id. </w:t>
      </w:r>
      <w:r w:rsidRPr="001E1D42">
        <w:t>at 10 (“Profit &amp; Loss” statement for 2011) (these amounts reflect the total of revenues, interest income, and other income; and the total of cost of goods sold and other expenses).</w:t>
      </w:r>
    </w:p>
  </w:footnote>
  <w:footnote w:id="30">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Id. </w:t>
      </w:r>
      <w:r w:rsidRPr="001E1D42">
        <w:t xml:space="preserve">at 12 (“Profit &amp; Loss” statement for 2012) (these amounts reflect the total of revenues, interest income, and other income; and the total of cost of goods sold and other expenses).  </w:t>
      </w:r>
    </w:p>
  </w:footnote>
  <w:footnote w:id="31">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11 (“Balance Sheet” as of December 31, 2011).  Excluding “Loan from Shareholder” ($82,399.35) and “Loan Payable” ($343,104.75), which may not be “current” liabilities, results in net current liabilities of $23,518.53.  </w:t>
      </w:r>
    </w:p>
  </w:footnote>
  <w:footnote w:id="32">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13 (“Balance Sheet” as of December 31, 2012).  Excluding “Loan from Shareholder” ($294,426.50) and “Loan Payable” ($341,017.70), which may not be “current” liabilities, results in net current assets of $76,483.51.</w:t>
      </w:r>
    </w:p>
  </w:footnote>
  <w:footnote w:id="33">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Id. </w:t>
      </w:r>
      <w:r w:rsidRPr="001E1D42">
        <w:t xml:space="preserve">at 3.  </w:t>
      </w:r>
    </w:p>
  </w:footnote>
  <w:footnote w:id="34">
    <w:p w:rsidR="001E1D42" w:rsidRPr="001E1D42" w:rsidRDefault="001E1D42" w:rsidP="001E1D42">
      <w:pPr>
        <w:pStyle w:val="FootnoteText"/>
        <w:jc w:val="left"/>
      </w:pPr>
      <w:r w:rsidRPr="001E1D42">
        <w:rPr>
          <w:rStyle w:val="FootnoteReference"/>
        </w:rPr>
        <w:footnoteRef/>
      </w:r>
      <w:r w:rsidRPr="001E1D42">
        <w:rPr>
          <w:i/>
        </w:rPr>
        <w:t xml:space="preserve"> Id</w:t>
      </w:r>
      <w:r w:rsidRPr="001E1D42">
        <w:t xml:space="preserve">. at 2.  </w:t>
      </w:r>
    </w:p>
  </w:footnote>
  <w:footnote w:id="35">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3.  </w:t>
      </w:r>
      <w:r w:rsidRPr="001E1D42">
        <w:rPr>
          <w:i/>
        </w:rPr>
        <w:t>JBTV</w:t>
      </w:r>
      <w:r w:rsidRPr="001E1D42">
        <w:t xml:space="preserve">’s only recurring sponsorship is $5,000.00 a month from a computer store.  </w:t>
      </w:r>
      <w:r w:rsidRPr="001E1D42">
        <w:rPr>
          <w:i/>
        </w:rPr>
        <w:t xml:space="preserve">Id. </w:t>
      </w:r>
      <w:r w:rsidRPr="001E1D42">
        <w:t>at 2.</w:t>
      </w:r>
    </w:p>
  </w:footnote>
  <w:footnote w:id="36">
    <w:p w:rsidR="001E1D42" w:rsidRPr="001E1D42" w:rsidRDefault="001E1D42" w:rsidP="001E1D42">
      <w:pPr>
        <w:pStyle w:val="FootnoteText"/>
        <w:jc w:val="left"/>
      </w:pPr>
      <w:r w:rsidRPr="001E1D42">
        <w:rPr>
          <w:rStyle w:val="FootnoteReference"/>
        </w:rPr>
        <w:footnoteRef/>
      </w:r>
      <w:r w:rsidRPr="001E1D42">
        <w:t xml:space="preserve"> </w:t>
      </w:r>
      <w:r w:rsidRPr="001E1D42">
        <w:rPr>
          <w:i/>
        </w:rPr>
        <w:t xml:space="preserve">Id. </w:t>
      </w:r>
      <w:r w:rsidRPr="001E1D42">
        <w:t xml:space="preserve">at 2.  Bryant also expresses concern that captioning services will delay the airing of the show, rendering its content untimely.  </w:t>
      </w:r>
      <w:r w:rsidRPr="001E1D42">
        <w:rPr>
          <w:i/>
        </w:rPr>
        <w:t xml:space="preserve">Id. </w:t>
      </w:r>
      <w:r w:rsidRPr="001E1D42">
        <w:t xml:space="preserve">at 3.  </w:t>
      </w:r>
    </w:p>
  </w:footnote>
  <w:footnote w:id="37">
    <w:p w:rsidR="001E1D42" w:rsidRPr="001E1D42" w:rsidRDefault="001E1D42" w:rsidP="001E1D42">
      <w:pPr>
        <w:pStyle w:val="FootnoteText"/>
        <w:jc w:val="left"/>
      </w:pPr>
      <w:r w:rsidRPr="001E1D42">
        <w:rPr>
          <w:rStyle w:val="FootnoteReference"/>
        </w:rPr>
        <w:footnoteRef/>
      </w:r>
      <w:r w:rsidRPr="001E1D42">
        <w:t xml:space="preserve"> Consumer Groups Comments at 2.  Consumer Groups further acknowledge that Bryant demonstrated “a substantial, multi-year loss for its entire operation” and “documented financial stress.”  </w:t>
      </w:r>
      <w:r w:rsidRPr="001E1D42">
        <w:rPr>
          <w:i/>
        </w:rPr>
        <w:t xml:space="preserve">Id. </w:t>
      </w:r>
      <w:r w:rsidRPr="001E1D42">
        <w:t>at 15.</w:t>
      </w:r>
    </w:p>
  </w:footnote>
  <w:footnote w:id="38">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14-15.</w:t>
      </w:r>
    </w:p>
  </w:footnote>
  <w:footnote w:id="39">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15, n.48.</w:t>
      </w:r>
    </w:p>
  </w:footnote>
  <w:footnote w:id="40">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15 (citing </w:t>
      </w:r>
      <w:r w:rsidRPr="001E1D42">
        <w:rPr>
          <w:i/>
        </w:rPr>
        <w:t>Anglers Reversal MO&amp;O</w:t>
      </w:r>
      <w:r w:rsidRPr="001E1D42">
        <w:t>, 26 FCC Rcd at 14953, ¶ 23).</w:t>
      </w:r>
    </w:p>
  </w:footnote>
  <w:footnote w:id="41">
    <w:p w:rsidR="001E1D42" w:rsidRPr="001E1D42" w:rsidRDefault="001E1D42" w:rsidP="001E1D42">
      <w:pPr>
        <w:pStyle w:val="FootnoteText"/>
        <w:jc w:val="left"/>
      </w:pPr>
      <w:r w:rsidRPr="001E1D42">
        <w:rPr>
          <w:rStyle w:val="FootnoteReference"/>
        </w:rPr>
        <w:footnoteRef/>
      </w:r>
      <w:r w:rsidRPr="001E1D42">
        <w:t xml:space="preserve"> </w:t>
      </w:r>
      <w:r w:rsidRPr="001E1D42">
        <w:rPr>
          <w:i/>
        </w:rPr>
        <w:t>Id.</w:t>
      </w:r>
      <w:r w:rsidRPr="001E1D42">
        <w:t xml:space="preserve"> at 15-16.  </w:t>
      </w:r>
      <w:r w:rsidRPr="001E1D42">
        <w:rPr>
          <w:i/>
        </w:rPr>
        <w:t>See also</w:t>
      </w:r>
      <w:r w:rsidRPr="001E1D42">
        <w:t xml:space="preserve"> ¶ 6, </w:t>
      </w:r>
      <w:r w:rsidRPr="001E1D42">
        <w:rPr>
          <w:i/>
        </w:rPr>
        <w:t>supra</w:t>
      </w:r>
      <w:r w:rsidRPr="001E1D42">
        <w:t>.</w:t>
      </w:r>
    </w:p>
  </w:footnote>
  <w:footnote w:id="42">
    <w:p w:rsidR="001E1D42" w:rsidRPr="001E1D42" w:rsidRDefault="001E1D42" w:rsidP="001E1D42">
      <w:pPr>
        <w:pStyle w:val="FootnoteText"/>
        <w:jc w:val="left"/>
      </w:pPr>
      <w:r w:rsidRPr="001E1D42">
        <w:rPr>
          <w:rStyle w:val="FootnoteReference"/>
        </w:rPr>
        <w:footnoteRef/>
      </w:r>
      <w:r w:rsidRPr="001E1D42">
        <w:t xml:space="preserve"> Petition Supplement at 10 (“Profit &amp; Loss” statement for 2011) and 12 (“Profit &amp; Loss” statement for 2012).</w:t>
      </w:r>
    </w:p>
  </w:footnote>
  <w:footnote w:id="43">
    <w:p w:rsidR="001E1D42" w:rsidRPr="001E1D42" w:rsidRDefault="001E1D42" w:rsidP="001E1D42">
      <w:pPr>
        <w:spacing w:after="120"/>
        <w:rPr>
          <w:sz w:val="20"/>
        </w:rPr>
      </w:pPr>
      <w:r w:rsidRPr="001E1D42">
        <w:rPr>
          <w:rStyle w:val="FootnoteReference"/>
          <w:sz w:val="20"/>
        </w:rPr>
        <w:footnoteRef/>
      </w:r>
      <w:r w:rsidRPr="001E1D42">
        <w:rPr>
          <w:sz w:val="20"/>
        </w:rPr>
        <w:t xml:space="preserve"> </w:t>
      </w:r>
      <w:r w:rsidRPr="001E1D42">
        <w:rPr>
          <w:i/>
          <w:sz w:val="20"/>
        </w:rPr>
        <w:t xml:space="preserve">See, e.g., </w:t>
      </w:r>
      <w:r w:rsidRPr="001E1D42">
        <w:rPr>
          <w:i/>
          <w:iCs/>
          <w:sz w:val="20"/>
        </w:rPr>
        <w:t>The Wild Outdoors, Video Programming Accessibility, Petition for Waiver of Closed Captioning Requirements</w:t>
      </w:r>
      <w:r w:rsidRPr="001E1D42">
        <w:rPr>
          <w:iCs/>
          <w:sz w:val="20"/>
        </w:rPr>
        <w:t>,</w:t>
      </w:r>
      <w:r w:rsidRPr="001E1D42">
        <w:rPr>
          <w:i/>
          <w:iCs/>
          <w:sz w:val="20"/>
        </w:rPr>
        <w:t xml:space="preserve"> </w:t>
      </w:r>
      <w:r w:rsidRPr="001E1D42">
        <w:rPr>
          <w:iCs/>
          <w:sz w:val="20"/>
        </w:rPr>
        <w:t xml:space="preserve">Memorandum Opinion and Order, </w:t>
      </w:r>
      <w:r w:rsidRPr="001E1D42">
        <w:rPr>
          <w:sz w:val="20"/>
        </w:rPr>
        <w:t>20 FCC Rcd 11873, 11874, ¶ 3 (MB 2005) (</w:t>
      </w:r>
      <w:r w:rsidRPr="001E1D42">
        <w:rPr>
          <w:i/>
          <w:sz w:val="20"/>
        </w:rPr>
        <w:t>Wild Outdoors 2005</w:t>
      </w:r>
      <w:r w:rsidRPr="001E1D42">
        <w:rPr>
          <w:sz w:val="20"/>
        </w:rPr>
        <w:t xml:space="preserve">); </w:t>
      </w:r>
      <w:r w:rsidRPr="001E1D42">
        <w:rPr>
          <w:i/>
          <w:iCs/>
          <w:spacing w:val="-2"/>
          <w:sz w:val="20"/>
        </w:rPr>
        <w:t>Awakening Ministries</w:t>
      </w:r>
      <w:r w:rsidRPr="001E1D42">
        <w:rPr>
          <w:spacing w:val="-2"/>
          <w:sz w:val="20"/>
        </w:rPr>
        <w:t xml:space="preserve">, </w:t>
      </w:r>
      <w:r w:rsidRPr="001E1D42">
        <w:rPr>
          <w:i/>
          <w:iCs/>
          <w:sz w:val="20"/>
        </w:rPr>
        <w:t>Video Programming Accessibility, Petition for Waiver of Closed Captioning Requirements</w:t>
      </w:r>
      <w:r w:rsidRPr="001E1D42">
        <w:rPr>
          <w:sz w:val="20"/>
        </w:rPr>
        <w:t xml:space="preserve">, Memorandum Opinion and Order, 20 FCC Rcd 10740, 10741, ¶ 4 (MB 2005).  </w:t>
      </w:r>
      <w:r w:rsidRPr="001E1D42">
        <w:rPr>
          <w:i/>
          <w:sz w:val="20"/>
        </w:rPr>
        <w:t>See also</w:t>
      </w:r>
      <w:r w:rsidRPr="001E1D42">
        <w:rPr>
          <w:sz w:val="20"/>
        </w:rPr>
        <w:t xml:space="preserve"> </w:t>
      </w:r>
      <w:r w:rsidRPr="001E1D42">
        <w:rPr>
          <w:i/>
          <w:sz w:val="20"/>
        </w:rPr>
        <w:t>Anglers Reversal MO&amp;O</w:t>
      </w:r>
      <w:r w:rsidRPr="001E1D42">
        <w:rPr>
          <w:sz w:val="20"/>
        </w:rPr>
        <w:t>, 26 FCC Rcd at 14953,</w:t>
      </w:r>
      <w:r w:rsidRPr="001E1D42">
        <w:rPr>
          <w:i/>
          <w:sz w:val="20"/>
        </w:rPr>
        <w:t xml:space="preserve"> </w:t>
      </w:r>
      <w:r w:rsidRPr="001E1D42">
        <w:rPr>
          <w:sz w:val="20"/>
        </w:rPr>
        <w:t xml:space="preserve">¶ 23. </w:t>
      </w:r>
    </w:p>
  </w:footnote>
  <w:footnote w:id="44">
    <w:p w:rsidR="001E1D42" w:rsidRPr="001E1D42" w:rsidRDefault="001E1D42" w:rsidP="001E1D42">
      <w:pPr>
        <w:pStyle w:val="FootnoteText"/>
        <w:jc w:val="left"/>
        <w:rPr>
          <w:i/>
        </w:rPr>
      </w:pPr>
      <w:r w:rsidRPr="001E1D42">
        <w:rPr>
          <w:rStyle w:val="FootnoteReference"/>
        </w:rPr>
        <w:footnoteRef/>
      </w:r>
      <w:r w:rsidRPr="001E1D42">
        <w:t xml:space="preserve"> </w:t>
      </w:r>
      <w:r w:rsidRPr="001E1D42">
        <w:rPr>
          <w:i/>
        </w:rPr>
        <w:t>Closed Captioning Report and Order</w:t>
      </w:r>
      <w:r w:rsidRPr="001E1D42">
        <w:t xml:space="preserve">, 13 FCC Rcd at 3366, ¶ 205, </w:t>
      </w:r>
      <w:r w:rsidRPr="001E1D42">
        <w:rPr>
          <w:i/>
        </w:rPr>
        <w:t>quoted in</w:t>
      </w:r>
      <w:r w:rsidRPr="001E1D42">
        <w:t xml:space="preserve"> </w:t>
      </w:r>
      <w:r w:rsidRPr="001E1D42">
        <w:rPr>
          <w:i/>
        </w:rPr>
        <w:t>Anglers Reversal MO&amp;O</w:t>
      </w:r>
      <w:r w:rsidRPr="001E1D42">
        <w:t xml:space="preserve">, 26 FCC Rcd at 14952, ¶ 22.  </w:t>
      </w:r>
      <w:r w:rsidRPr="001E1D42">
        <w:rPr>
          <w:i/>
          <w:iCs/>
        </w:rPr>
        <w:t>See also,</w:t>
      </w:r>
      <w:r w:rsidRPr="001E1D42">
        <w:t xml:space="preserve"> </w:t>
      </w:r>
      <w:r w:rsidRPr="001E1D42">
        <w:rPr>
          <w:i/>
        </w:rPr>
        <w:t xml:space="preserve">e.g., </w:t>
      </w:r>
      <w:r w:rsidRPr="001E1D42">
        <w:rPr>
          <w:i/>
          <w:iCs/>
        </w:rPr>
        <w:t>Outland Sports, Inc., Video Programming Accessibility, Petition for Waiver of Closed Captioning Requirements</w:t>
      </w:r>
      <w:r w:rsidRPr="001E1D42">
        <w:t xml:space="preserve">, Memorandum Opinion and Order, 16 FCC Rcd 13605, 13609, ¶ 12 (Cable Services Bureau 2001) (granting an exemption for one year); </w:t>
      </w:r>
      <w:r w:rsidRPr="001E1D42">
        <w:rPr>
          <w:i/>
          <w:iCs/>
        </w:rPr>
        <w:t>Wild Outdoors</w:t>
      </w:r>
      <w:r w:rsidRPr="001E1D42">
        <w:t xml:space="preserve"> </w:t>
      </w:r>
      <w:r w:rsidRPr="001E1D42">
        <w:rPr>
          <w:i/>
        </w:rPr>
        <w:t>2001</w:t>
      </w:r>
      <w:r w:rsidRPr="001E1D42">
        <w:t xml:space="preserve">, 16 FCC Rcd 13611 (one year); </w:t>
      </w:r>
      <w:r w:rsidRPr="001E1D42">
        <w:rPr>
          <w:i/>
          <w:iCs/>
        </w:rPr>
        <w:t>WDLP Broadcasting Co, LLC</w:t>
      </w:r>
      <w:r w:rsidRPr="001E1D42">
        <w:t xml:space="preserve">, </w:t>
      </w:r>
      <w:r w:rsidRPr="001E1D42">
        <w:rPr>
          <w:i/>
          <w:iCs/>
        </w:rPr>
        <w:t>Video Programming Accessibility, Petition for Waiver of Closed Captioning Requirements</w:t>
      </w:r>
      <w:r w:rsidRPr="001E1D42">
        <w:t>, Memorandum Opinion and Order, 20 FCC Rcd 13531 (MB 2005) (three years)</w:t>
      </w:r>
      <w:r w:rsidRPr="001E1D42">
        <w:rPr>
          <w:i/>
        </w:rPr>
        <w:t>.  See also Anglers Reversal MO&amp;O</w:t>
      </w:r>
      <w:r w:rsidRPr="001E1D42">
        <w:t>, 26 FCC Rcd at 14953, ¶ 23.</w:t>
      </w:r>
    </w:p>
  </w:footnote>
  <w:footnote w:id="45">
    <w:p w:rsidR="001E1D42" w:rsidRPr="001E1D42" w:rsidRDefault="001E1D42" w:rsidP="001E1D42">
      <w:pPr>
        <w:pStyle w:val="FootnoteText"/>
        <w:jc w:val="left"/>
      </w:pPr>
      <w:r w:rsidRPr="001E1D42">
        <w:rPr>
          <w:rStyle w:val="FootnoteReference"/>
        </w:rPr>
        <w:footnoteRef/>
      </w:r>
      <w:r w:rsidRPr="001E1D42">
        <w:t xml:space="preserve"> </w:t>
      </w:r>
      <w:r w:rsidRPr="001E1D42">
        <w:rPr>
          <w:i/>
        </w:rPr>
        <w:t>Closed Captioning Reconsideration Order</w:t>
      </w:r>
      <w:r w:rsidRPr="001E1D42">
        <w:t xml:space="preserve">, 13 FCC Rcd at 20022, ¶ 112 (stating also that “[w]hile a specific time limit may be appropriate for some cases, a longer or shorter period may be appropriate in others”), </w:t>
      </w:r>
      <w:r w:rsidRPr="001E1D42">
        <w:rPr>
          <w:i/>
        </w:rPr>
        <w:t>quoted in</w:t>
      </w:r>
      <w:r w:rsidRPr="001E1D42">
        <w:t xml:space="preserve"> </w:t>
      </w:r>
      <w:r w:rsidRPr="001E1D42">
        <w:rPr>
          <w:i/>
        </w:rPr>
        <w:t>Anglers Reversal MO&amp;O</w:t>
      </w:r>
      <w:r w:rsidRPr="001E1D42">
        <w:t xml:space="preserve">, 26 FCC Rcd at 14952, ¶ 22 n.78.  </w:t>
      </w:r>
      <w:r w:rsidRPr="001E1D42">
        <w:rPr>
          <w:i/>
        </w:rPr>
        <w:t xml:space="preserve">See also </w:t>
      </w:r>
      <w:r w:rsidRPr="001E1D42">
        <w:t xml:space="preserve">n.5, </w:t>
      </w:r>
      <w:r w:rsidRPr="001E1D42">
        <w:rPr>
          <w:i/>
        </w:rPr>
        <w:t xml:space="preserve">supra </w:t>
      </w:r>
      <w:r w:rsidRPr="001E1D42">
        <w:t>(confirming that the term “undue burden” is synonymous with the term “economically burdensome” for purposes of petitions for exemption from the Commission’s closed captioning rules).</w:t>
      </w:r>
    </w:p>
  </w:footnote>
  <w:footnote w:id="46">
    <w:p w:rsidR="001E1D42" w:rsidRPr="001E1D42" w:rsidRDefault="001E1D42" w:rsidP="001E1D42">
      <w:pPr>
        <w:pStyle w:val="FootnoteText"/>
        <w:jc w:val="left"/>
      </w:pPr>
      <w:r w:rsidRPr="001E1D42">
        <w:rPr>
          <w:rStyle w:val="FootnoteReference"/>
        </w:rPr>
        <w:footnoteRef/>
      </w:r>
      <w:r w:rsidRPr="001E1D42">
        <w:t xml:space="preserve"> 47 U.S.C. § 613, 47 C.F.R. §§ 0.141(f), 79.1(f).</w:t>
      </w:r>
    </w:p>
  </w:footnote>
  <w:footnote w:id="47">
    <w:p w:rsidR="001E1D42" w:rsidRPr="001E1D42" w:rsidRDefault="001E1D42" w:rsidP="001E1D42">
      <w:pPr>
        <w:pStyle w:val="FootnoteText"/>
        <w:jc w:val="left"/>
      </w:pPr>
      <w:r w:rsidRPr="001E1D42">
        <w:rPr>
          <w:rStyle w:val="FootnoteReference"/>
        </w:rPr>
        <w:footnoteRef/>
      </w:r>
      <w:r w:rsidRPr="001E1D42">
        <w:t xml:space="preserve"> </w:t>
      </w:r>
      <w:r w:rsidRPr="001E1D42">
        <w:rPr>
          <w:i/>
        </w:rPr>
        <w:t>See</w:t>
      </w:r>
      <w:r w:rsidRPr="001E1D42">
        <w:t xml:space="preserve"> </w:t>
      </w:r>
      <w:r w:rsidRPr="001E1D42">
        <w:rPr>
          <w:i/>
        </w:rPr>
        <w:t>Notice of New Electronic Filing Procedures for Television Closed Captioning Exemption Requests</w:t>
      </w:r>
      <w:r w:rsidRPr="001E1D42">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26" w:rsidRDefault="00196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2" w:rsidRDefault="001E1D42">
    <w:pPr>
      <w:pStyle w:val="Header"/>
      <w:tabs>
        <w:tab w:val="clear" w:pos="4320"/>
        <w:tab w:val="clear" w:pos="8640"/>
        <w:tab w:val="center" w:pos="4680"/>
        <w:tab w:val="right" w:pos="9360"/>
      </w:tabs>
      <w:rPr>
        <w:b/>
      </w:rPr>
    </w:pPr>
    <w:r>
      <w:rPr>
        <w:b/>
      </w:rPr>
      <w:tab/>
      <w:t>Federal Communications Commission</w:t>
    </w:r>
    <w:r>
      <w:rPr>
        <w:b/>
      </w:rPr>
      <w:tab/>
      <w:t>DA 14-</w:t>
    </w:r>
    <w:r w:rsidR="00AA45A7">
      <w:rPr>
        <w:b/>
      </w:rPr>
      <w:t>1096</w:t>
    </w:r>
    <w:r>
      <w:rPr>
        <w:b/>
      </w:rPr>
      <w:t xml:space="preserve"> </w:t>
    </w:r>
  </w:p>
  <w:p w:rsidR="001E1D42" w:rsidRDefault="001E1D42">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5EA7796B" wp14:editId="59E9EE43">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E1D42" w:rsidRDefault="001E1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42" w:rsidRDefault="001E1D42">
    <w:pPr>
      <w:pStyle w:val="Header"/>
      <w:tabs>
        <w:tab w:val="clear" w:pos="4320"/>
        <w:tab w:val="clear" w:pos="8640"/>
        <w:tab w:val="center" w:pos="4680"/>
        <w:tab w:val="right" w:pos="9360"/>
      </w:tabs>
      <w:rPr>
        <w:b/>
      </w:rPr>
    </w:pPr>
    <w:r>
      <w:rPr>
        <w:b/>
      </w:rPr>
      <w:tab/>
      <w:t>Federal Communications Commission</w:t>
    </w:r>
    <w:r>
      <w:rPr>
        <w:b/>
      </w:rPr>
      <w:tab/>
      <w:t xml:space="preserve"> DA 14-</w:t>
    </w:r>
    <w:r w:rsidR="00AA45A7">
      <w:rPr>
        <w:b/>
      </w:rPr>
      <w:t>1096</w:t>
    </w:r>
    <w:r>
      <w:rPr>
        <w:b/>
      </w:rPr>
      <w:t xml:space="preserve"> </w:t>
    </w:r>
  </w:p>
  <w:p w:rsidR="001E1D42" w:rsidRDefault="001E1D42">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7729C83C" wp14:editId="18F38D6D">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54"/>
    <w:multiLevelType w:val="hybridMultilevel"/>
    <w:tmpl w:val="3D16FC0E"/>
    <w:lvl w:ilvl="0" w:tplc="0AF83B8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F8821E0"/>
    <w:multiLevelType w:val="hybridMultilevel"/>
    <w:tmpl w:val="7790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multilevel"/>
    <w:tmpl w:val="8C041E5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8EA74C6"/>
    <w:multiLevelType w:val="hybridMultilevel"/>
    <w:tmpl w:val="979E1AFE"/>
    <w:lvl w:ilvl="0" w:tplc="18B6820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3"/>
  </w:num>
  <w:num w:numId="2">
    <w:abstractNumId w:val="24"/>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3"/>
  </w:num>
  <w:num w:numId="11">
    <w:abstractNumId w:val="11"/>
  </w:num>
  <w:num w:numId="12">
    <w:abstractNumId w:val="7"/>
  </w:num>
  <w:num w:numId="13">
    <w:abstractNumId w:val="14"/>
  </w:num>
  <w:num w:numId="14">
    <w:abstractNumId w:val="20"/>
  </w:num>
  <w:num w:numId="15">
    <w:abstractNumId w:val="2"/>
  </w:num>
  <w:num w:numId="16">
    <w:abstractNumId w:val="3"/>
  </w:num>
  <w:num w:numId="17">
    <w:abstractNumId w:val="9"/>
  </w:num>
  <w:num w:numId="18">
    <w:abstractNumId w:val="1"/>
  </w:num>
  <w:num w:numId="19">
    <w:abstractNumId w:val="10"/>
  </w:num>
  <w:num w:numId="20">
    <w:abstractNumId w:val="17"/>
  </w:num>
  <w:num w:numId="21">
    <w:abstractNumId w:val="18"/>
  </w:num>
  <w:num w:numId="22">
    <w:abstractNumId w:val="12"/>
  </w:num>
  <w:num w:numId="23">
    <w:abstractNumId w:val="8"/>
  </w:num>
  <w:num w:numId="24">
    <w:abstractNumId w:val="0"/>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2065"/>
    <w:rsid w:val="00002DFD"/>
    <w:rsid w:val="000111FB"/>
    <w:rsid w:val="00012911"/>
    <w:rsid w:val="00012A78"/>
    <w:rsid w:val="000225C5"/>
    <w:rsid w:val="00026E80"/>
    <w:rsid w:val="00030A9E"/>
    <w:rsid w:val="00030C97"/>
    <w:rsid w:val="000323D5"/>
    <w:rsid w:val="000354FF"/>
    <w:rsid w:val="0003665E"/>
    <w:rsid w:val="00044ADF"/>
    <w:rsid w:val="00050E49"/>
    <w:rsid w:val="000511EE"/>
    <w:rsid w:val="00061751"/>
    <w:rsid w:val="000617B8"/>
    <w:rsid w:val="0006568F"/>
    <w:rsid w:val="000668E1"/>
    <w:rsid w:val="00073730"/>
    <w:rsid w:val="000738C7"/>
    <w:rsid w:val="00095610"/>
    <w:rsid w:val="00095CE5"/>
    <w:rsid w:val="00096AE7"/>
    <w:rsid w:val="000B167C"/>
    <w:rsid w:val="000B16B3"/>
    <w:rsid w:val="000B276A"/>
    <w:rsid w:val="000C15AA"/>
    <w:rsid w:val="000C4DFB"/>
    <w:rsid w:val="000D3589"/>
    <w:rsid w:val="000D7883"/>
    <w:rsid w:val="000E0B2D"/>
    <w:rsid w:val="000E20EF"/>
    <w:rsid w:val="000E5022"/>
    <w:rsid w:val="000E64A7"/>
    <w:rsid w:val="000F5E33"/>
    <w:rsid w:val="00101307"/>
    <w:rsid w:val="001014AC"/>
    <w:rsid w:val="00101648"/>
    <w:rsid w:val="00101734"/>
    <w:rsid w:val="0010402D"/>
    <w:rsid w:val="0010470F"/>
    <w:rsid w:val="0011391C"/>
    <w:rsid w:val="00114D39"/>
    <w:rsid w:val="00117613"/>
    <w:rsid w:val="00117EE3"/>
    <w:rsid w:val="001201CD"/>
    <w:rsid w:val="00120450"/>
    <w:rsid w:val="00122620"/>
    <w:rsid w:val="00122BFE"/>
    <w:rsid w:val="00125F1E"/>
    <w:rsid w:val="0013176F"/>
    <w:rsid w:val="001432B7"/>
    <w:rsid w:val="0014586A"/>
    <w:rsid w:val="00145E57"/>
    <w:rsid w:val="00145F44"/>
    <w:rsid w:val="00146D6C"/>
    <w:rsid w:val="00147DEC"/>
    <w:rsid w:val="00152060"/>
    <w:rsid w:val="00154989"/>
    <w:rsid w:val="0015569E"/>
    <w:rsid w:val="0015614E"/>
    <w:rsid w:val="00162FB0"/>
    <w:rsid w:val="00171DED"/>
    <w:rsid w:val="00172F54"/>
    <w:rsid w:val="00175FFB"/>
    <w:rsid w:val="00183FF6"/>
    <w:rsid w:val="00186456"/>
    <w:rsid w:val="0019501A"/>
    <w:rsid w:val="00196826"/>
    <w:rsid w:val="001974BC"/>
    <w:rsid w:val="00197940"/>
    <w:rsid w:val="001A1893"/>
    <w:rsid w:val="001A1DB8"/>
    <w:rsid w:val="001A34B5"/>
    <w:rsid w:val="001B1593"/>
    <w:rsid w:val="001B5E8C"/>
    <w:rsid w:val="001B6A51"/>
    <w:rsid w:val="001C1AF1"/>
    <w:rsid w:val="001C672D"/>
    <w:rsid w:val="001C7A99"/>
    <w:rsid w:val="001D1D6C"/>
    <w:rsid w:val="001D2CB1"/>
    <w:rsid w:val="001D636F"/>
    <w:rsid w:val="001E1D42"/>
    <w:rsid w:val="001E7585"/>
    <w:rsid w:val="001F0591"/>
    <w:rsid w:val="001F3139"/>
    <w:rsid w:val="001F7576"/>
    <w:rsid w:val="0020183E"/>
    <w:rsid w:val="00202362"/>
    <w:rsid w:val="002024D8"/>
    <w:rsid w:val="002161A4"/>
    <w:rsid w:val="00223FF9"/>
    <w:rsid w:val="00232763"/>
    <w:rsid w:val="00237525"/>
    <w:rsid w:val="002376BA"/>
    <w:rsid w:val="002471C8"/>
    <w:rsid w:val="002501AD"/>
    <w:rsid w:val="00262B33"/>
    <w:rsid w:val="0026550F"/>
    <w:rsid w:val="00265A03"/>
    <w:rsid w:val="00267C2E"/>
    <w:rsid w:val="00271FFD"/>
    <w:rsid w:val="00273B61"/>
    <w:rsid w:val="002741FF"/>
    <w:rsid w:val="002802ED"/>
    <w:rsid w:val="00280B21"/>
    <w:rsid w:val="0028718A"/>
    <w:rsid w:val="002876CB"/>
    <w:rsid w:val="002905D1"/>
    <w:rsid w:val="00295F92"/>
    <w:rsid w:val="002A1536"/>
    <w:rsid w:val="002A604B"/>
    <w:rsid w:val="002B2E06"/>
    <w:rsid w:val="002B6DE6"/>
    <w:rsid w:val="002B7B7F"/>
    <w:rsid w:val="002C3CE2"/>
    <w:rsid w:val="002C4E0A"/>
    <w:rsid w:val="002D4672"/>
    <w:rsid w:val="002D6E14"/>
    <w:rsid w:val="002D7BB1"/>
    <w:rsid w:val="002E434B"/>
    <w:rsid w:val="002F146E"/>
    <w:rsid w:val="002F2591"/>
    <w:rsid w:val="002F3B19"/>
    <w:rsid w:val="002F5C0B"/>
    <w:rsid w:val="002F66AF"/>
    <w:rsid w:val="002F6B41"/>
    <w:rsid w:val="002F7C2A"/>
    <w:rsid w:val="003013EF"/>
    <w:rsid w:val="00305F6A"/>
    <w:rsid w:val="0030630F"/>
    <w:rsid w:val="00306C7C"/>
    <w:rsid w:val="00317C11"/>
    <w:rsid w:val="00320031"/>
    <w:rsid w:val="00334B43"/>
    <w:rsid w:val="00335FC7"/>
    <w:rsid w:val="0033752C"/>
    <w:rsid w:val="00341A34"/>
    <w:rsid w:val="0034210B"/>
    <w:rsid w:val="00347DAD"/>
    <w:rsid w:val="003636C7"/>
    <w:rsid w:val="003719B4"/>
    <w:rsid w:val="003719F8"/>
    <w:rsid w:val="003810A1"/>
    <w:rsid w:val="00384CF4"/>
    <w:rsid w:val="00386DA8"/>
    <w:rsid w:val="00390449"/>
    <w:rsid w:val="00393633"/>
    <w:rsid w:val="00394ED7"/>
    <w:rsid w:val="003971A4"/>
    <w:rsid w:val="003A472E"/>
    <w:rsid w:val="003B5DEB"/>
    <w:rsid w:val="003B71D2"/>
    <w:rsid w:val="003C1451"/>
    <w:rsid w:val="003C2541"/>
    <w:rsid w:val="003C6AFB"/>
    <w:rsid w:val="003C74D6"/>
    <w:rsid w:val="003F10D4"/>
    <w:rsid w:val="003F455E"/>
    <w:rsid w:val="003F5A8C"/>
    <w:rsid w:val="00403DCB"/>
    <w:rsid w:val="00410E17"/>
    <w:rsid w:val="0042223C"/>
    <w:rsid w:val="00444CA6"/>
    <w:rsid w:val="0045031D"/>
    <w:rsid w:val="00450EFA"/>
    <w:rsid w:val="00451EDF"/>
    <w:rsid w:val="00462E22"/>
    <w:rsid w:val="004638E2"/>
    <w:rsid w:val="00467CD1"/>
    <w:rsid w:val="00472F42"/>
    <w:rsid w:val="00474542"/>
    <w:rsid w:val="00486F8D"/>
    <w:rsid w:val="004938E1"/>
    <w:rsid w:val="004A2962"/>
    <w:rsid w:val="004B58FA"/>
    <w:rsid w:val="004B73D0"/>
    <w:rsid w:val="004C071A"/>
    <w:rsid w:val="004C282D"/>
    <w:rsid w:val="004C45BF"/>
    <w:rsid w:val="004C5A26"/>
    <w:rsid w:val="004C5FC7"/>
    <w:rsid w:val="004C7A13"/>
    <w:rsid w:val="004C7E58"/>
    <w:rsid w:val="004D4A51"/>
    <w:rsid w:val="004D4C17"/>
    <w:rsid w:val="004E1A28"/>
    <w:rsid w:val="004E36F2"/>
    <w:rsid w:val="004E4694"/>
    <w:rsid w:val="004E752E"/>
    <w:rsid w:val="004E7589"/>
    <w:rsid w:val="004F1938"/>
    <w:rsid w:val="004F3391"/>
    <w:rsid w:val="004F341F"/>
    <w:rsid w:val="004F6AB9"/>
    <w:rsid w:val="004F7486"/>
    <w:rsid w:val="00510F1A"/>
    <w:rsid w:val="00516019"/>
    <w:rsid w:val="00521584"/>
    <w:rsid w:val="00522DEB"/>
    <w:rsid w:val="00526166"/>
    <w:rsid w:val="005355AF"/>
    <w:rsid w:val="005361A1"/>
    <w:rsid w:val="00543C4B"/>
    <w:rsid w:val="00547078"/>
    <w:rsid w:val="00547E82"/>
    <w:rsid w:val="00550D43"/>
    <w:rsid w:val="00555840"/>
    <w:rsid w:val="005560AC"/>
    <w:rsid w:val="00563429"/>
    <w:rsid w:val="00570332"/>
    <w:rsid w:val="00571082"/>
    <w:rsid w:val="005736D3"/>
    <w:rsid w:val="005758F2"/>
    <w:rsid w:val="00575B65"/>
    <w:rsid w:val="0057687F"/>
    <w:rsid w:val="00577D20"/>
    <w:rsid w:val="00586BA1"/>
    <w:rsid w:val="0059452B"/>
    <w:rsid w:val="00596B58"/>
    <w:rsid w:val="00597EC1"/>
    <w:rsid w:val="005A3053"/>
    <w:rsid w:val="005A4C5C"/>
    <w:rsid w:val="005B1D94"/>
    <w:rsid w:val="005C0024"/>
    <w:rsid w:val="005C0432"/>
    <w:rsid w:val="005C1030"/>
    <w:rsid w:val="005D03B0"/>
    <w:rsid w:val="005D6603"/>
    <w:rsid w:val="005E1EF3"/>
    <w:rsid w:val="005E65A6"/>
    <w:rsid w:val="005E7751"/>
    <w:rsid w:val="005F1591"/>
    <w:rsid w:val="005F2F9B"/>
    <w:rsid w:val="0060497E"/>
    <w:rsid w:val="00606176"/>
    <w:rsid w:val="006104B5"/>
    <w:rsid w:val="00617258"/>
    <w:rsid w:val="00617A87"/>
    <w:rsid w:val="00620852"/>
    <w:rsid w:val="00625140"/>
    <w:rsid w:val="006262E4"/>
    <w:rsid w:val="0063020F"/>
    <w:rsid w:val="006332ED"/>
    <w:rsid w:val="00633B4E"/>
    <w:rsid w:val="00640010"/>
    <w:rsid w:val="006450A4"/>
    <w:rsid w:val="00645335"/>
    <w:rsid w:val="006456BD"/>
    <w:rsid w:val="00647B61"/>
    <w:rsid w:val="00653A44"/>
    <w:rsid w:val="00655334"/>
    <w:rsid w:val="00664C03"/>
    <w:rsid w:val="00674552"/>
    <w:rsid w:val="00681C11"/>
    <w:rsid w:val="00686711"/>
    <w:rsid w:val="00686EC7"/>
    <w:rsid w:val="00687925"/>
    <w:rsid w:val="0069016F"/>
    <w:rsid w:val="00690A35"/>
    <w:rsid w:val="0069443A"/>
    <w:rsid w:val="006A1ED7"/>
    <w:rsid w:val="006A29A1"/>
    <w:rsid w:val="006B07F1"/>
    <w:rsid w:val="006B0863"/>
    <w:rsid w:val="006B165A"/>
    <w:rsid w:val="006B1921"/>
    <w:rsid w:val="006B231A"/>
    <w:rsid w:val="006B59A3"/>
    <w:rsid w:val="006B5F92"/>
    <w:rsid w:val="006B6E36"/>
    <w:rsid w:val="006C636C"/>
    <w:rsid w:val="006D1589"/>
    <w:rsid w:val="006D1CE7"/>
    <w:rsid w:val="006D261D"/>
    <w:rsid w:val="006D555D"/>
    <w:rsid w:val="006E300D"/>
    <w:rsid w:val="006E54B9"/>
    <w:rsid w:val="006F1404"/>
    <w:rsid w:val="006F2BE3"/>
    <w:rsid w:val="006F3946"/>
    <w:rsid w:val="006F51DA"/>
    <w:rsid w:val="007101C6"/>
    <w:rsid w:val="00723B65"/>
    <w:rsid w:val="00723F9B"/>
    <w:rsid w:val="00731CA3"/>
    <w:rsid w:val="00735CC3"/>
    <w:rsid w:val="00736F42"/>
    <w:rsid w:val="00744564"/>
    <w:rsid w:val="00745F9C"/>
    <w:rsid w:val="0074675D"/>
    <w:rsid w:val="00746961"/>
    <w:rsid w:val="0075170B"/>
    <w:rsid w:val="00753EC6"/>
    <w:rsid w:val="00756D90"/>
    <w:rsid w:val="00760202"/>
    <w:rsid w:val="00762A6A"/>
    <w:rsid w:val="00764D57"/>
    <w:rsid w:val="00766F5C"/>
    <w:rsid w:val="00767996"/>
    <w:rsid w:val="0077192E"/>
    <w:rsid w:val="00773479"/>
    <w:rsid w:val="00773994"/>
    <w:rsid w:val="007746D3"/>
    <w:rsid w:val="0077757F"/>
    <w:rsid w:val="00786F15"/>
    <w:rsid w:val="007929F2"/>
    <w:rsid w:val="007944ED"/>
    <w:rsid w:val="007A2AF2"/>
    <w:rsid w:val="007A41E6"/>
    <w:rsid w:val="007A4BD1"/>
    <w:rsid w:val="007A755A"/>
    <w:rsid w:val="007A7DC4"/>
    <w:rsid w:val="007B0196"/>
    <w:rsid w:val="007B1B28"/>
    <w:rsid w:val="007C074E"/>
    <w:rsid w:val="007C4050"/>
    <w:rsid w:val="007C55AD"/>
    <w:rsid w:val="007C598C"/>
    <w:rsid w:val="007C7DA9"/>
    <w:rsid w:val="007D2FCA"/>
    <w:rsid w:val="007D3076"/>
    <w:rsid w:val="007D66BB"/>
    <w:rsid w:val="007E0C4B"/>
    <w:rsid w:val="007E23E3"/>
    <w:rsid w:val="007E4110"/>
    <w:rsid w:val="007F028C"/>
    <w:rsid w:val="007F3108"/>
    <w:rsid w:val="007F4E8B"/>
    <w:rsid w:val="00810D8F"/>
    <w:rsid w:val="00817BD0"/>
    <w:rsid w:val="008223CF"/>
    <w:rsid w:val="00824E0B"/>
    <w:rsid w:val="0082529A"/>
    <w:rsid w:val="00826893"/>
    <w:rsid w:val="00831976"/>
    <w:rsid w:val="00836EB7"/>
    <w:rsid w:val="00842631"/>
    <w:rsid w:val="0084349B"/>
    <w:rsid w:val="00843C77"/>
    <w:rsid w:val="00852285"/>
    <w:rsid w:val="008559B0"/>
    <w:rsid w:val="00861BDE"/>
    <w:rsid w:val="00862091"/>
    <w:rsid w:val="00864411"/>
    <w:rsid w:val="008739A8"/>
    <w:rsid w:val="00884D07"/>
    <w:rsid w:val="00885427"/>
    <w:rsid w:val="00885C7F"/>
    <w:rsid w:val="0088742B"/>
    <w:rsid w:val="00896714"/>
    <w:rsid w:val="008A0976"/>
    <w:rsid w:val="008A1368"/>
    <w:rsid w:val="008A7CDA"/>
    <w:rsid w:val="008B21EB"/>
    <w:rsid w:val="008C0495"/>
    <w:rsid w:val="008C7D3F"/>
    <w:rsid w:val="008D17EA"/>
    <w:rsid w:val="008D1B2A"/>
    <w:rsid w:val="008E08EF"/>
    <w:rsid w:val="008E11E9"/>
    <w:rsid w:val="008E41A7"/>
    <w:rsid w:val="008F354D"/>
    <w:rsid w:val="0090271D"/>
    <w:rsid w:val="00913519"/>
    <w:rsid w:val="0091525B"/>
    <w:rsid w:val="00923CED"/>
    <w:rsid w:val="00925092"/>
    <w:rsid w:val="00927BCA"/>
    <w:rsid w:val="00941599"/>
    <w:rsid w:val="00947574"/>
    <w:rsid w:val="00947B04"/>
    <w:rsid w:val="009511C8"/>
    <w:rsid w:val="00951B40"/>
    <w:rsid w:val="00952F0D"/>
    <w:rsid w:val="009656A0"/>
    <w:rsid w:val="00970181"/>
    <w:rsid w:val="00972F24"/>
    <w:rsid w:val="00973313"/>
    <w:rsid w:val="00974934"/>
    <w:rsid w:val="0097526F"/>
    <w:rsid w:val="00980CBB"/>
    <w:rsid w:val="00983CE5"/>
    <w:rsid w:val="00984803"/>
    <w:rsid w:val="00985AAA"/>
    <w:rsid w:val="0098688D"/>
    <w:rsid w:val="00986AD3"/>
    <w:rsid w:val="009912DA"/>
    <w:rsid w:val="00993F8B"/>
    <w:rsid w:val="009941FF"/>
    <w:rsid w:val="009A04C1"/>
    <w:rsid w:val="009A3BB1"/>
    <w:rsid w:val="009A752C"/>
    <w:rsid w:val="009B1327"/>
    <w:rsid w:val="009B4C7F"/>
    <w:rsid w:val="009B5D91"/>
    <w:rsid w:val="009C5B52"/>
    <w:rsid w:val="009D1E95"/>
    <w:rsid w:val="009D6162"/>
    <w:rsid w:val="009D61AF"/>
    <w:rsid w:val="009E1CEE"/>
    <w:rsid w:val="009E2EAC"/>
    <w:rsid w:val="009E4378"/>
    <w:rsid w:val="009F689F"/>
    <w:rsid w:val="00A034AE"/>
    <w:rsid w:val="00A153A7"/>
    <w:rsid w:val="00A16552"/>
    <w:rsid w:val="00A16AC7"/>
    <w:rsid w:val="00A226FB"/>
    <w:rsid w:val="00A22F6C"/>
    <w:rsid w:val="00A24FE9"/>
    <w:rsid w:val="00A26283"/>
    <w:rsid w:val="00A26C1A"/>
    <w:rsid w:val="00A26C54"/>
    <w:rsid w:val="00A310B2"/>
    <w:rsid w:val="00A31358"/>
    <w:rsid w:val="00A41D5A"/>
    <w:rsid w:val="00A44CF7"/>
    <w:rsid w:val="00A46CB6"/>
    <w:rsid w:val="00A46ED6"/>
    <w:rsid w:val="00A507A6"/>
    <w:rsid w:val="00A519AD"/>
    <w:rsid w:val="00A57DCF"/>
    <w:rsid w:val="00A66C88"/>
    <w:rsid w:val="00A74630"/>
    <w:rsid w:val="00A76317"/>
    <w:rsid w:val="00A8283D"/>
    <w:rsid w:val="00A836FA"/>
    <w:rsid w:val="00A90972"/>
    <w:rsid w:val="00A90ECD"/>
    <w:rsid w:val="00A93471"/>
    <w:rsid w:val="00A94C75"/>
    <w:rsid w:val="00A9655C"/>
    <w:rsid w:val="00A9755B"/>
    <w:rsid w:val="00A97E48"/>
    <w:rsid w:val="00AA273B"/>
    <w:rsid w:val="00AA281E"/>
    <w:rsid w:val="00AA3DF8"/>
    <w:rsid w:val="00AA4563"/>
    <w:rsid w:val="00AA45A7"/>
    <w:rsid w:val="00AB3D9D"/>
    <w:rsid w:val="00AB4433"/>
    <w:rsid w:val="00AB4B72"/>
    <w:rsid w:val="00AC21BE"/>
    <w:rsid w:val="00AC2F04"/>
    <w:rsid w:val="00AC3C2D"/>
    <w:rsid w:val="00AE1AA6"/>
    <w:rsid w:val="00AE5003"/>
    <w:rsid w:val="00AF1061"/>
    <w:rsid w:val="00AF10EA"/>
    <w:rsid w:val="00AF163C"/>
    <w:rsid w:val="00AF2D58"/>
    <w:rsid w:val="00B01B16"/>
    <w:rsid w:val="00B01DE7"/>
    <w:rsid w:val="00B03F57"/>
    <w:rsid w:val="00B0652D"/>
    <w:rsid w:val="00B066E4"/>
    <w:rsid w:val="00B21A1E"/>
    <w:rsid w:val="00B34D14"/>
    <w:rsid w:val="00B41C86"/>
    <w:rsid w:val="00B424BD"/>
    <w:rsid w:val="00B444F3"/>
    <w:rsid w:val="00B53BD9"/>
    <w:rsid w:val="00B542D0"/>
    <w:rsid w:val="00B605C6"/>
    <w:rsid w:val="00B66347"/>
    <w:rsid w:val="00B706EA"/>
    <w:rsid w:val="00B708D4"/>
    <w:rsid w:val="00B74D3F"/>
    <w:rsid w:val="00B843F1"/>
    <w:rsid w:val="00B854E7"/>
    <w:rsid w:val="00B90BF9"/>
    <w:rsid w:val="00B93E18"/>
    <w:rsid w:val="00B96D1A"/>
    <w:rsid w:val="00B96E30"/>
    <w:rsid w:val="00B96EE2"/>
    <w:rsid w:val="00BA13AE"/>
    <w:rsid w:val="00BA255C"/>
    <w:rsid w:val="00BA2598"/>
    <w:rsid w:val="00BB5E41"/>
    <w:rsid w:val="00BC124D"/>
    <w:rsid w:val="00BC1B4C"/>
    <w:rsid w:val="00BC2530"/>
    <w:rsid w:val="00BC4613"/>
    <w:rsid w:val="00BD469B"/>
    <w:rsid w:val="00BD4CA6"/>
    <w:rsid w:val="00BE15E7"/>
    <w:rsid w:val="00BE306C"/>
    <w:rsid w:val="00BE7748"/>
    <w:rsid w:val="00BF02D2"/>
    <w:rsid w:val="00C02443"/>
    <w:rsid w:val="00C0501D"/>
    <w:rsid w:val="00C05730"/>
    <w:rsid w:val="00C10050"/>
    <w:rsid w:val="00C107B9"/>
    <w:rsid w:val="00C1093F"/>
    <w:rsid w:val="00C140AA"/>
    <w:rsid w:val="00C16126"/>
    <w:rsid w:val="00C204C6"/>
    <w:rsid w:val="00C27657"/>
    <w:rsid w:val="00C361FE"/>
    <w:rsid w:val="00C36AED"/>
    <w:rsid w:val="00C403FC"/>
    <w:rsid w:val="00C4526D"/>
    <w:rsid w:val="00C470DF"/>
    <w:rsid w:val="00C5183C"/>
    <w:rsid w:val="00C521D2"/>
    <w:rsid w:val="00C60CD3"/>
    <w:rsid w:val="00C627AA"/>
    <w:rsid w:val="00C72D15"/>
    <w:rsid w:val="00C73262"/>
    <w:rsid w:val="00C74745"/>
    <w:rsid w:val="00C76FA1"/>
    <w:rsid w:val="00C82DFD"/>
    <w:rsid w:val="00C871AC"/>
    <w:rsid w:val="00C87613"/>
    <w:rsid w:val="00C90898"/>
    <w:rsid w:val="00C93DE5"/>
    <w:rsid w:val="00CA2C97"/>
    <w:rsid w:val="00CA52D8"/>
    <w:rsid w:val="00CA576E"/>
    <w:rsid w:val="00CB5D5A"/>
    <w:rsid w:val="00CB61DB"/>
    <w:rsid w:val="00CC199D"/>
    <w:rsid w:val="00CC19DE"/>
    <w:rsid w:val="00CC1BF9"/>
    <w:rsid w:val="00CC31DC"/>
    <w:rsid w:val="00CD0E4A"/>
    <w:rsid w:val="00CD4067"/>
    <w:rsid w:val="00CE0912"/>
    <w:rsid w:val="00CE1249"/>
    <w:rsid w:val="00CE2318"/>
    <w:rsid w:val="00CE23AD"/>
    <w:rsid w:val="00CE5710"/>
    <w:rsid w:val="00CE7A11"/>
    <w:rsid w:val="00CF68B9"/>
    <w:rsid w:val="00CF746F"/>
    <w:rsid w:val="00D07863"/>
    <w:rsid w:val="00D13225"/>
    <w:rsid w:val="00D20299"/>
    <w:rsid w:val="00D2368B"/>
    <w:rsid w:val="00D25819"/>
    <w:rsid w:val="00D27AF2"/>
    <w:rsid w:val="00D32532"/>
    <w:rsid w:val="00D43276"/>
    <w:rsid w:val="00D46BC4"/>
    <w:rsid w:val="00D52777"/>
    <w:rsid w:val="00D54020"/>
    <w:rsid w:val="00D62321"/>
    <w:rsid w:val="00D647F2"/>
    <w:rsid w:val="00D8247A"/>
    <w:rsid w:val="00D86200"/>
    <w:rsid w:val="00DA034D"/>
    <w:rsid w:val="00DA189F"/>
    <w:rsid w:val="00DA35B8"/>
    <w:rsid w:val="00DA41E2"/>
    <w:rsid w:val="00DA77CD"/>
    <w:rsid w:val="00DB3593"/>
    <w:rsid w:val="00DB6405"/>
    <w:rsid w:val="00DB7AED"/>
    <w:rsid w:val="00DD24C7"/>
    <w:rsid w:val="00DD401E"/>
    <w:rsid w:val="00DD4ADC"/>
    <w:rsid w:val="00DD7FB2"/>
    <w:rsid w:val="00DE0AEA"/>
    <w:rsid w:val="00DE4D80"/>
    <w:rsid w:val="00DF4ABC"/>
    <w:rsid w:val="00DF4DB8"/>
    <w:rsid w:val="00DF6AE4"/>
    <w:rsid w:val="00E00FB6"/>
    <w:rsid w:val="00E072C7"/>
    <w:rsid w:val="00E104B4"/>
    <w:rsid w:val="00E23858"/>
    <w:rsid w:val="00E253E5"/>
    <w:rsid w:val="00E34D5B"/>
    <w:rsid w:val="00E35352"/>
    <w:rsid w:val="00E35E5A"/>
    <w:rsid w:val="00E372A7"/>
    <w:rsid w:val="00E37B03"/>
    <w:rsid w:val="00E37F85"/>
    <w:rsid w:val="00E401A1"/>
    <w:rsid w:val="00E411C2"/>
    <w:rsid w:val="00E41A20"/>
    <w:rsid w:val="00E42D16"/>
    <w:rsid w:val="00E47C49"/>
    <w:rsid w:val="00E52193"/>
    <w:rsid w:val="00E61DA8"/>
    <w:rsid w:val="00E63341"/>
    <w:rsid w:val="00E63822"/>
    <w:rsid w:val="00E63B45"/>
    <w:rsid w:val="00E64693"/>
    <w:rsid w:val="00E656C9"/>
    <w:rsid w:val="00E7432C"/>
    <w:rsid w:val="00E7441A"/>
    <w:rsid w:val="00E74DC1"/>
    <w:rsid w:val="00E7544C"/>
    <w:rsid w:val="00E815B7"/>
    <w:rsid w:val="00E817F3"/>
    <w:rsid w:val="00E82DDB"/>
    <w:rsid w:val="00E86348"/>
    <w:rsid w:val="00E8651F"/>
    <w:rsid w:val="00E871A5"/>
    <w:rsid w:val="00EA2E8F"/>
    <w:rsid w:val="00EA4C16"/>
    <w:rsid w:val="00EB38D7"/>
    <w:rsid w:val="00EC5548"/>
    <w:rsid w:val="00EC6A62"/>
    <w:rsid w:val="00EC6E4D"/>
    <w:rsid w:val="00ED263C"/>
    <w:rsid w:val="00EF2A8F"/>
    <w:rsid w:val="00EF3829"/>
    <w:rsid w:val="00EF4D9B"/>
    <w:rsid w:val="00EF7A6D"/>
    <w:rsid w:val="00F00AD1"/>
    <w:rsid w:val="00F013EA"/>
    <w:rsid w:val="00F0277B"/>
    <w:rsid w:val="00F07B62"/>
    <w:rsid w:val="00F105DB"/>
    <w:rsid w:val="00F10EB0"/>
    <w:rsid w:val="00F16E46"/>
    <w:rsid w:val="00F22155"/>
    <w:rsid w:val="00F25341"/>
    <w:rsid w:val="00F32C50"/>
    <w:rsid w:val="00F33875"/>
    <w:rsid w:val="00F34076"/>
    <w:rsid w:val="00F37CE9"/>
    <w:rsid w:val="00F44A03"/>
    <w:rsid w:val="00F4799B"/>
    <w:rsid w:val="00F55025"/>
    <w:rsid w:val="00F55D90"/>
    <w:rsid w:val="00F64EEA"/>
    <w:rsid w:val="00F71810"/>
    <w:rsid w:val="00F7229F"/>
    <w:rsid w:val="00F7425A"/>
    <w:rsid w:val="00F7487C"/>
    <w:rsid w:val="00F75FEB"/>
    <w:rsid w:val="00F84D74"/>
    <w:rsid w:val="00F857A1"/>
    <w:rsid w:val="00F864BA"/>
    <w:rsid w:val="00F90A9D"/>
    <w:rsid w:val="00F92945"/>
    <w:rsid w:val="00FA07AA"/>
    <w:rsid w:val="00FA35EB"/>
    <w:rsid w:val="00FA3CF4"/>
    <w:rsid w:val="00FA4907"/>
    <w:rsid w:val="00FA5FEF"/>
    <w:rsid w:val="00FA7FF0"/>
    <w:rsid w:val="00FB43EA"/>
    <w:rsid w:val="00FC085F"/>
    <w:rsid w:val="00FC6FD9"/>
    <w:rsid w:val="00FD617C"/>
    <w:rsid w:val="00FE11F8"/>
    <w:rsid w:val="00FE688A"/>
    <w:rsid w:val="00FF3750"/>
    <w:rsid w:val="00FF7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uiPriority w:val="99"/>
    <w:semiHidden/>
    <w:rsid w:val="00307577"/>
    <w:rPr>
      <w:rFonts w:ascii="Lucida Grande" w:hAnsi="Lucida Grande"/>
      <w:sz w:val="18"/>
      <w:szCs w:val="18"/>
    </w:rPr>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character" w:customStyle="1" w:styleId="BalloonTextChar1">
    <w:name w:val="Balloon Text Char1"/>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096AE7"/>
    <w:rPr>
      <w:sz w:val="16"/>
      <w:szCs w:val="16"/>
    </w:rPr>
  </w:style>
  <w:style w:type="paragraph" w:styleId="CommentText">
    <w:name w:val="annotation text"/>
    <w:basedOn w:val="Normal"/>
    <w:link w:val="CommentTextChar"/>
    <w:uiPriority w:val="99"/>
    <w:unhideWhenUsed/>
    <w:locked/>
    <w:rsid w:val="00096AE7"/>
    <w:rPr>
      <w:sz w:val="20"/>
    </w:rPr>
  </w:style>
  <w:style w:type="character" w:customStyle="1" w:styleId="CommentTextChar">
    <w:name w:val="Comment Text Char"/>
    <w:basedOn w:val="DefaultParagraphFont"/>
    <w:link w:val="CommentText"/>
    <w:uiPriority w:val="99"/>
    <w:rsid w:val="00096AE7"/>
    <w:rPr>
      <w:sz w:val="20"/>
      <w:szCs w:val="20"/>
    </w:rPr>
  </w:style>
  <w:style w:type="paragraph" w:styleId="CommentSubject">
    <w:name w:val="annotation subject"/>
    <w:basedOn w:val="CommentText"/>
    <w:next w:val="CommentText"/>
    <w:link w:val="CommentSubjectChar"/>
    <w:uiPriority w:val="99"/>
    <w:semiHidden/>
    <w:unhideWhenUsed/>
    <w:locked/>
    <w:rsid w:val="00096AE7"/>
    <w:rPr>
      <w:b/>
      <w:bCs/>
    </w:rPr>
  </w:style>
  <w:style w:type="character" w:customStyle="1" w:styleId="CommentSubjectChar">
    <w:name w:val="Comment Subject Char"/>
    <w:basedOn w:val="CommentTextChar"/>
    <w:link w:val="CommentSubject"/>
    <w:uiPriority w:val="99"/>
    <w:semiHidden/>
    <w:rsid w:val="00096AE7"/>
    <w:rPr>
      <w:b/>
      <w:bCs/>
      <w:sz w:val="20"/>
      <w:szCs w:val="20"/>
    </w:rPr>
  </w:style>
  <w:style w:type="paragraph" w:styleId="BodyText">
    <w:name w:val="Body Text"/>
    <w:basedOn w:val="Normal"/>
    <w:link w:val="BodyTextChar"/>
    <w:locked/>
    <w:rsid w:val="002876CB"/>
    <w:rPr>
      <w:rFonts w:ascii="Arial" w:hAnsi="Arial"/>
      <w:sz w:val="24"/>
    </w:rPr>
  </w:style>
  <w:style w:type="character" w:customStyle="1" w:styleId="BodyTextChar">
    <w:name w:val="Body Text Char"/>
    <w:basedOn w:val="DefaultParagraphFont"/>
    <w:link w:val="BodyText"/>
    <w:rsid w:val="002876CB"/>
    <w:rPr>
      <w:rFonts w:ascii="Arial" w:hAnsi="Arial"/>
      <w:sz w:val="24"/>
      <w:szCs w:val="20"/>
    </w:rPr>
  </w:style>
  <w:style w:type="paragraph" w:styleId="Revision">
    <w:name w:val="Revision"/>
    <w:hidden/>
    <w:uiPriority w:val="99"/>
    <w:semiHidden/>
    <w:rsid w:val="007D66BB"/>
    <w:rPr>
      <w:szCs w:val="20"/>
    </w:rPr>
  </w:style>
  <w:style w:type="paragraph" w:styleId="ListParagraph">
    <w:name w:val="List Paragraph"/>
    <w:basedOn w:val="Normal"/>
    <w:uiPriority w:val="34"/>
    <w:qFormat/>
    <w:rsid w:val="007E4110"/>
    <w:pPr>
      <w:ind w:left="720"/>
      <w:contextualSpacing/>
    </w:pPr>
  </w:style>
  <w:style w:type="character" w:customStyle="1" w:styleId="contents">
    <w:name w:val="contents"/>
    <w:basedOn w:val="DefaultParagraphFont"/>
    <w:rsid w:val="00E7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uiPriority w:val="99"/>
    <w:semiHidden/>
    <w:rsid w:val="00307577"/>
    <w:rPr>
      <w:rFonts w:ascii="Lucida Grande" w:hAnsi="Lucida Grande"/>
      <w:sz w:val="18"/>
      <w:szCs w:val="18"/>
    </w:rPr>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character" w:customStyle="1" w:styleId="BalloonTextChar1">
    <w:name w:val="Balloon Text Char1"/>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096AE7"/>
    <w:rPr>
      <w:sz w:val="16"/>
      <w:szCs w:val="16"/>
    </w:rPr>
  </w:style>
  <w:style w:type="paragraph" w:styleId="CommentText">
    <w:name w:val="annotation text"/>
    <w:basedOn w:val="Normal"/>
    <w:link w:val="CommentTextChar"/>
    <w:uiPriority w:val="99"/>
    <w:unhideWhenUsed/>
    <w:locked/>
    <w:rsid w:val="00096AE7"/>
    <w:rPr>
      <w:sz w:val="20"/>
    </w:rPr>
  </w:style>
  <w:style w:type="character" w:customStyle="1" w:styleId="CommentTextChar">
    <w:name w:val="Comment Text Char"/>
    <w:basedOn w:val="DefaultParagraphFont"/>
    <w:link w:val="CommentText"/>
    <w:uiPriority w:val="99"/>
    <w:rsid w:val="00096AE7"/>
    <w:rPr>
      <w:sz w:val="20"/>
      <w:szCs w:val="20"/>
    </w:rPr>
  </w:style>
  <w:style w:type="paragraph" w:styleId="CommentSubject">
    <w:name w:val="annotation subject"/>
    <w:basedOn w:val="CommentText"/>
    <w:next w:val="CommentText"/>
    <w:link w:val="CommentSubjectChar"/>
    <w:uiPriority w:val="99"/>
    <w:semiHidden/>
    <w:unhideWhenUsed/>
    <w:locked/>
    <w:rsid w:val="00096AE7"/>
    <w:rPr>
      <w:b/>
      <w:bCs/>
    </w:rPr>
  </w:style>
  <w:style w:type="character" w:customStyle="1" w:styleId="CommentSubjectChar">
    <w:name w:val="Comment Subject Char"/>
    <w:basedOn w:val="CommentTextChar"/>
    <w:link w:val="CommentSubject"/>
    <w:uiPriority w:val="99"/>
    <w:semiHidden/>
    <w:rsid w:val="00096AE7"/>
    <w:rPr>
      <w:b/>
      <w:bCs/>
      <w:sz w:val="20"/>
      <w:szCs w:val="20"/>
    </w:rPr>
  </w:style>
  <w:style w:type="paragraph" w:styleId="BodyText">
    <w:name w:val="Body Text"/>
    <w:basedOn w:val="Normal"/>
    <w:link w:val="BodyTextChar"/>
    <w:locked/>
    <w:rsid w:val="002876CB"/>
    <w:rPr>
      <w:rFonts w:ascii="Arial" w:hAnsi="Arial"/>
      <w:sz w:val="24"/>
    </w:rPr>
  </w:style>
  <w:style w:type="character" w:customStyle="1" w:styleId="BodyTextChar">
    <w:name w:val="Body Text Char"/>
    <w:basedOn w:val="DefaultParagraphFont"/>
    <w:link w:val="BodyText"/>
    <w:rsid w:val="002876CB"/>
    <w:rPr>
      <w:rFonts w:ascii="Arial" w:hAnsi="Arial"/>
      <w:sz w:val="24"/>
      <w:szCs w:val="20"/>
    </w:rPr>
  </w:style>
  <w:style w:type="paragraph" w:styleId="Revision">
    <w:name w:val="Revision"/>
    <w:hidden/>
    <w:uiPriority w:val="99"/>
    <w:semiHidden/>
    <w:rsid w:val="007D66BB"/>
    <w:rPr>
      <w:szCs w:val="20"/>
    </w:rPr>
  </w:style>
  <w:style w:type="paragraph" w:styleId="ListParagraph">
    <w:name w:val="List Paragraph"/>
    <w:basedOn w:val="Normal"/>
    <w:uiPriority w:val="34"/>
    <w:qFormat/>
    <w:rsid w:val="007E4110"/>
    <w:pPr>
      <w:ind w:left="720"/>
      <w:contextualSpacing/>
    </w:pPr>
  </w:style>
  <w:style w:type="character" w:customStyle="1" w:styleId="contents">
    <w:name w:val="contents"/>
    <w:basedOn w:val="DefaultParagraphFont"/>
    <w:rsid w:val="00E7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57">
      <w:bodyDiv w:val="1"/>
      <w:marLeft w:val="0"/>
      <w:marRight w:val="0"/>
      <w:marTop w:val="0"/>
      <w:marBottom w:val="0"/>
      <w:divBdr>
        <w:top w:val="none" w:sz="0" w:space="0" w:color="auto"/>
        <w:left w:val="none" w:sz="0" w:space="0" w:color="auto"/>
        <w:bottom w:val="none" w:sz="0" w:space="0" w:color="auto"/>
        <w:right w:val="none" w:sz="0" w:space="0" w:color="auto"/>
      </w:divBdr>
      <w:divsChild>
        <w:div w:id="1689135278">
          <w:marLeft w:val="0"/>
          <w:marRight w:val="0"/>
          <w:marTop w:val="0"/>
          <w:marBottom w:val="0"/>
          <w:divBdr>
            <w:top w:val="none" w:sz="0" w:space="0" w:color="auto"/>
            <w:left w:val="none" w:sz="0" w:space="0" w:color="auto"/>
            <w:bottom w:val="none" w:sz="0" w:space="0" w:color="auto"/>
            <w:right w:val="none" w:sz="0" w:space="0" w:color="auto"/>
          </w:divBdr>
        </w:div>
        <w:div w:id="978345854">
          <w:marLeft w:val="0"/>
          <w:marRight w:val="0"/>
          <w:marTop w:val="0"/>
          <w:marBottom w:val="0"/>
          <w:divBdr>
            <w:top w:val="none" w:sz="0" w:space="0" w:color="auto"/>
            <w:left w:val="none" w:sz="0" w:space="0" w:color="auto"/>
            <w:bottom w:val="none" w:sz="0" w:space="0" w:color="auto"/>
            <w:right w:val="none" w:sz="0" w:space="0" w:color="auto"/>
          </w:divBdr>
        </w:div>
        <w:div w:id="385837895">
          <w:marLeft w:val="0"/>
          <w:marRight w:val="0"/>
          <w:marTop w:val="0"/>
          <w:marBottom w:val="0"/>
          <w:divBdr>
            <w:top w:val="none" w:sz="0" w:space="0" w:color="auto"/>
            <w:left w:val="none" w:sz="0" w:space="0" w:color="auto"/>
            <w:bottom w:val="none" w:sz="0" w:space="0" w:color="auto"/>
            <w:right w:val="none" w:sz="0" w:space="0" w:color="auto"/>
          </w:divBdr>
        </w:div>
        <w:div w:id="994457050">
          <w:marLeft w:val="0"/>
          <w:marRight w:val="0"/>
          <w:marTop w:val="0"/>
          <w:marBottom w:val="0"/>
          <w:divBdr>
            <w:top w:val="none" w:sz="0" w:space="0" w:color="auto"/>
            <w:left w:val="none" w:sz="0" w:space="0" w:color="auto"/>
            <w:bottom w:val="none" w:sz="0" w:space="0" w:color="auto"/>
            <w:right w:val="none" w:sz="0" w:space="0" w:color="auto"/>
          </w:divBdr>
        </w:div>
        <w:div w:id="2029747919">
          <w:marLeft w:val="0"/>
          <w:marRight w:val="0"/>
          <w:marTop w:val="0"/>
          <w:marBottom w:val="0"/>
          <w:divBdr>
            <w:top w:val="none" w:sz="0" w:space="0" w:color="auto"/>
            <w:left w:val="none" w:sz="0" w:space="0" w:color="auto"/>
            <w:bottom w:val="none" w:sz="0" w:space="0" w:color="auto"/>
            <w:right w:val="none" w:sz="0" w:space="0" w:color="auto"/>
          </w:divBdr>
        </w:div>
      </w:divsChild>
    </w:div>
    <w:div w:id="194969943">
      <w:bodyDiv w:val="1"/>
      <w:marLeft w:val="0"/>
      <w:marRight w:val="0"/>
      <w:marTop w:val="0"/>
      <w:marBottom w:val="0"/>
      <w:divBdr>
        <w:top w:val="none" w:sz="0" w:space="0" w:color="auto"/>
        <w:left w:val="none" w:sz="0" w:space="0" w:color="auto"/>
        <w:bottom w:val="none" w:sz="0" w:space="0" w:color="auto"/>
        <w:right w:val="none" w:sz="0" w:space="0" w:color="auto"/>
      </w:divBdr>
    </w:div>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45875976">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944340669">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sChild>
    </w:div>
    <w:div w:id="573784024">
      <w:bodyDiv w:val="1"/>
      <w:marLeft w:val="0"/>
      <w:marRight w:val="0"/>
      <w:marTop w:val="0"/>
      <w:marBottom w:val="0"/>
      <w:divBdr>
        <w:top w:val="none" w:sz="0" w:space="0" w:color="auto"/>
        <w:left w:val="none" w:sz="0" w:space="0" w:color="auto"/>
        <w:bottom w:val="none" w:sz="0" w:space="0" w:color="auto"/>
        <w:right w:val="none" w:sz="0" w:space="0" w:color="auto"/>
      </w:divBdr>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904997371">
      <w:bodyDiv w:val="1"/>
      <w:marLeft w:val="0"/>
      <w:marRight w:val="0"/>
      <w:marTop w:val="0"/>
      <w:marBottom w:val="0"/>
      <w:divBdr>
        <w:top w:val="none" w:sz="0" w:space="0" w:color="auto"/>
        <w:left w:val="none" w:sz="0" w:space="0" w:color="auto"/>
        <w:bottom w:val="none" w:sz="0" w:space="0" w:color="auto"/>
        <w:right w:val="none" w:sz="0" w:space="0" w:color="auto"/>
      </w:divBdr>
    </w:div>
    <w:div w:id="1000234531">
      <w:bodyDiv w:val="1"/>
      <w:marLeft w:val="0"/>
      <w:marRight w:val="0"/>
      <w:marTop w:val="0"/>
      <w:marBottom w:val="0"/>
      <w:divBdr>
        <w:top w:val="none" w:sz="0" w:space="0" w:color="auto"/>
        <w:left w:val="none" w:sz="0" w:space="0" w:color="auto"/>
        <w:bottom w:val="none" w:sz="0" w:space="0" w:color="auto"/>
        <w:right w:val="none" w:sz="0" w:space="0" w:color="auto"/>
      </w:divBdr>
    </w:div>
    <w:div w:id="1252354097">
      <w:bodyDiv w:val="1"/>
      <w:marLeft w:val="0"/>
      <w:marRight w:val="0"/>
      <w:marTop w:val="0"/>
      <w:marBottom w:val="0"/>
      <w:divBdr>
        <w:top w:val="none" w:sz="0" w:space="0" w:color="auto"/>
        <w:left w:val="none" w:sz="0" w:space="0" w:color="auto"/>
        <w:bottom w:val="none" w:sz="0" w:space="0" w:color="auto"/>
        <w:right w:val="none" w:sz="0" w:space="0" w:color="auto"/>
      </w:divBdr>
      <w:divsChild>
        <w:div w:id="2035498135">
          <w:marLeft w:val="0"/>
          <w:marRight w:val="0"/>
          <w:marTop w:val="0"/>
          <w:marBottom w:val="0"/>
          <w:divBdr>
            <w:top w:val="none" w:sz="0" w:space="0" w:color="auto"/>
            <w:left w:val="none" w:sz="0" w:space="0" w:color="auto"/>
            <w:bottom w:val="none" w:sz="0" w:space="0" w:color="auto"/>
            <w:right w:val="none" w:sz="0" w:space="0" w:color="auto"/>
          </w:divBdr>
        </w:div>
        <w:div w:id="5254387">
          <w:marLeft w:val="0"/>
          <w:marRight w:val="0"/>
          <w:marTop w:val="0"/>
          <w:marBottom w:val="0"/>
          <w:divBdr>
            <w:top w:val="none" w:sz="0" w:space="0" w:color="auto"/>
            <w:left w:val="none" w:sz="0" w:space="0" w:color="auto"/>
            <w:bottom w:val="none" w:sz="0" w:space="0" w:color="auto"/>
            <w:right w:val="none" w:sz="0" w:space="0" w:color="auto"/>
          </w:divBdr>
        </w:div>
        <w:div w:id="189803865">
          <w:marLeft w:val="0"/>
          <w:marRight w:val="0"/>
          <w:marTop w:val="0"/>
          <w:marBottom w:val="0"/>
          <w:divBdr>
            <w:top w:val="none" w:sz="0" w:space="0" w:color="auto"/>
            <w:left w:val="none" w:sz="0" w:space="0" w:color="auto"/>
            <w:bottom w:val="none" w:sz="0" w:space="0" w:color="auto"/>
            <w:right w:val="none" w:sz="0" w:space="0" w:color="auto"/>
          </w:divBdr>
        </w:div>
        <w:div w:id="1263800424">
          <w:marLeft w:val="0"/>
          <w:marRight w:val="0"/>
          <w:marTop w:val="0"/>
          <w:marBottom w:val="0"/>
          <w:divBdr>
            <w:top w:val="none" w:sz="0" w:space="0" w:color="auto"/>
            <w:left w:val="none" w:sz="0" w:space="0" w:color="auto"/>
            <w:bottom w:val="none" w:sz="0" w:space="0" w:color="auto"/>
            <w:right w:val="none" w:sz="0" w:space="0" w:color="auto"/>
          </w:divBdr>
        </w:div>
        <w:div w:id="1671954631">
          <w:marLeft w:val="0"/>
          <w:marRight w:val="0"/>
          <w:marTop w:val="0"/>
          <w:marBottom w:val="0"/>
          <w:divBdr>
            <w:top w:val="none" w:sz="0" w:space="0" w:color="auto"/>
            <w:left w:val="none" w:sz="0" w:space="0" w:color="auto"/>
            <w:bottom w:val="none" w:sz="0" w:space="0" w:color="auto"/>
            <w:right w:val="none" w:sz="0" w:space="0" w:color="auto"/>
          </w:divBdr>
        </w:div>
        <w:div w:id="1587424320">
          <w:marLeft w:val="0"/>
          <w:marRight w:val="0"/>
          <w:marTop w:val="0"/>
          <w:marBottom w:val="0"/>
          <w:divBdr>
            <w:top w:val="none" w:sz="0" w:space="0" w:color="auto"/>
            <w:left w:val="none" w:sz="0" w:space="0" w:color="auto"/>
            <w:bottom w:val="none" w:sz="0" w:space="0" w:color="auto"/>
            <w:right w:val="none" w:sz="0" w:space="0" w:color="auto"/>
          </w:divBdr>
        </w:div>
        <w:div w:id="831330605">
          <w:marLeft w:val="0"/>
          <w:marRight w:val="0"/>
          <w:marTop w:val="0"/>
          <w:marBottom w:val="0"/>
          <w:divBdr>
            <w:top w:val="none" w:sz="0" w:space="0" w:color="auto"/>
            <w:left w:val="none" w:sz="0" w:space="0" w:color="auto"/>
            <w:bottom w:val="none" w:sz="0" w:space="0" w:color="auto"/>
            <w:right w:val="none" w:sz="0" w:space="0" w:color="auto"/>
          </w:divBdr>
        </w:div>
        <w:div w:id="1687561250">
          <w:marLeft w:val="0"/>
          <w:marRight w:val="0"/>
          <w:marTop w:val="0"/>
          <w:marBottom w:val="0"/>
          <w:divBdr>
            <w:top w:val="none" w:sz="0" w:space="0" w:color="auto"/>
            <w:left w:val="none" w:sz="0" w:space="0" w:color="auto"/>
            <w:bottom w:val="none" w:sz="0" w:space="0" w:color="auto"/>
            <w:right w:val="none" w:sz="0" w:space="0" w:color="auto"/>
          </w:divBdr>
        </w:div>
        <w:div w:id="748841944">
          <w:marLeft w:val="0"/>
          <w:marRight w:val="0"/>
          <w:marTop w:val="0"/>
          <w:marBottom w:val="0"/>
          <w:divBdr>
            <w:top w:val="none" w:sz="0" w:space="0" w:color="auto"/>
            <w:left w:val="none" w:sz="0" w:space="0" w:color="auto"/>
            <w:bottom w:val="none" w:sz="0" w:space="0" w:color="auto"/>
            <w:right w:val="none" w:sz="0" w:space="0" w:color="auto"/>
          </w:divBdr>
        </w:div>
        <w:div w:id="1875381413">
          <w:marLeft w:val="0"/>
          <w:marRight w:val="0"/>
          <w:marTop w:val="0"/>
          <w:marBottom w:val="0"/>
          <w:divBdr>
            <w:top w:val="none" w:sz="0" w:space="0" w:color="auto"/>
            <w:left w:val="none" w:sz="0" w:space="0" w:color="auto"/>
            <w:bottom w:val="none" w:sz="0" w:space="0" w:color="auto"/>
            <w:right w:val="none" w:sz="0" w:space="0" w:color="auto"/>
          </w:divBdr>
        </w:div>
        <w:div w:id="647831203">
          <w:marLeft w:val="0"/>
          <w:marRight w:val="0"/>
          <w:marTop w:val="0"/>
          <w:marBottom w:val="0"/>
          <w:divBdr>
            <w:top w:val="none" w:sz="0" w:space="0" w:color="auto"/>
            <w:left w:val="none" w:sz="0" w:space="0" w:color="auto"/>
            <w:bottom w:val="none" w:sz="0" w:space="0" w:color="auto"/>
            <w:right w:val="none" w:sz="0" w:space="0" w:color="auto"/>
          </w:divBdr>
        </w:div>
        <w:div w:id="1842232326">
          <w:marLeft w:val="0"/>
          <w:marRight w:val="0"/>
          <w:marTop w:val="0"/>
          <w:marBottom w:val="0"/>
          <w:divBdr>
            <w:top w:val="none" w:sz="0" w:space="0" w:color="auto"/>
            <w:left w:val="none" w:sz="0" w:space="0" w:color="auto"/>
            <w:bottom w:val="none" w:sz="0" w:space="0" w:color="auto"/>
            <w:right w:val="none" w:sz="0" w:space="0" w:color="auto"/>
          </w:divBdr>
        </w:div>
        <w:div w:id="1089497254">
          <w:marLeft w:val="0"/>
          <w:marRight w:val="0"/>
          <w:marTop w:val="0"/>
          <w:marBottom w:val="0"/>
          <w:divBdr>
            <w:top w:val="none" w:sz="0" w:space="0" w:color="auto"/>
            <w:left w:val="none" w:sz="0" w:space="0" w:color="auto"/>
            <w:bottom w:val="none" w:sz="0" w:space="0" w:color="auto"/>
            <w:right w:val="none" w:sz="0" w:space="0" w:color="auto"/>
          </w:divBdr>
        </w:div>
        <w:div w:id="1330711289">
          <w:marLeft w:val="0"/>
          <w:marRight w:val="0"/>
          <w:marTop w:val="0"/>
          <w:marBottom w:val="0"/>
          <w:divBdr>
            <w:top w:val="none" w:sz="0" w:space="0" w:color="auto"/>
            <w:left w:val="none" w:sz="0" w:space="0" w:color="auto"/>
            <w:bottom w:val="none" w:sz="0" w:space="0" w:color="auto"/>
            <w:right w:val="none" w:sz="0" w:space="0" w:color="auto"/>
          </w:divBdr>
        </w:div>
        <w:div w:id="1870877537">
          <w:marLeft w:val="0"/>
          <w:marRight w:val="0"/>
          <w:marTop w:val="0"/>
          <w:marBottom w:val="0"/>
          <w:divBdr>
            <w:top w:val="none" w:sz="0" w:space="0" w:color="auto"/>
            <w:left w:val="none" w:sz="0" w:space="0" w:color="auto"/>
            <w:bottom w:val="none" w:sz="0" w:space="0" w:color="auto"/>
            <w:right w:val="none" w:sz="0" w:space="0" w:color="auto"/>
          </w:divBdr>
        </w:div>
      </w:divsChild>
    </w:div>
    <w:div w:id="1388340662">
      <w:bodyDiv w:val="1"/>
      <w:marLeft w:val="0"/>
      <w:marRight w:val="0"/>
      <w:marTop w:val="0"/>
      <w:marBottom w:val="0"/>
      <w:divBdr>
        <w:top w:val="none" w:sz="0" w:space="0" w:color="auto"/>
        <w:left w:val="none" w:sz="0" w:space="0" w:color="auto"/>
        <w:bottom w:val="none" w:sz="0" w:space="0" w:color="auto"/>
        <w:right w:val="none" w:sz="0" w:space="0" w:color="auto"/>
      </w:divBdr>
    </w:div>
    <w:div w:id="1474984112">
      <w:bodyDiv w:val="1"/>
      <w:marLeft w:val="0"/>
      <w:marRight w:val="0"/>
      <w:marTop w:val="0"/>
      <w:marBottom w:val="0"/>
      <w:divBdr>
        <w:top w:val="none" w:sz="0" w:space="0" w:color="auto"/>
        <w:left w:val="none" w:sz="0" w:space="0" w:color="auto"/>
        <w:bottom w:val="none" w:sz="0" w:space="0" w:color="auto"/>
        <w:right w:val="none" w:sz="0" w:space="0" w:color="auto"/>
      </w:divBdr>
    </w:div>
    <w:div w:id="1577861349">
      <w:bodyDiv w:val="1"/>
      <w:marLeft w:val="0"/>
      <w:marRight w:val="0"/>
      <w:marTop w:val="0"/>
      <w:marBottom w:val="0"/>
      <w:divBdr>
        <w:top w:val="none" w:sz="0" w:space="0" w:color="auto"/>
        <w:left w:val="none" w:sz="0" w:space="0" w:color="auto"/>
        <w:bottom w:val="none" w:sz="0" w:space="0" w:color="auto"/>
        <w:right w:val="none" w:sz="0" w:space="0" w:color="auto"/>
      </w:divBdr>
      <w:divsChild>
        <w:div w:id="753479144">
          <w:marLeft w:val="0"/>
          <w:marRight w:val="0"/>
          <w:marTop w:val="0"/>
          <w:marBottom w:val="0"/>
          <w:divBdr>
            <w:top w:val="none" w:sz="0" w:space="0" w:color="auto"/>
            <w:left w:val="none" w:sz="0" w:space="0" w:color="auto"/>
            <w:bottom w:val="none" w:sz="0" w:space="0" w:color="auto"/>
            <w:right w:val="none" w:sz="0" w:space="0" w:color="auto"/>
          </w:divBdr>
        </w:div>
        <w:div w:id="1131678402">
          <w:marLeft w:val="0"/>
          <w:marRight w:val="0"/>
          <w:marTop w:val="0"/>
          <w:marBottom w:val="0"/>
          <w:divBdr>
            <w:top w:val="none" w:sz="0" w:space="0" w:color="auto"/>
            <w:left w:val="none" w:sz="0" w:space="0" w:color="auto"/>
            <w:bottom w:val="none" w:sz="0" w:space="0" w:color="auto"/>
            <w:right w:val="none" w:sz="0" w:space="0" w:color="auto"/>
          </w:divBdr>
        </w:div>
        <w:div w:id="1011953128">
          <w:marLeft w:val="0"/>
          <w:marRight w:val="0"/>
          <w:marTop w:val="0"/>
          <w:marBottom w:val="0"/>
          <w:divBdr>
            <w:top w:val="none" w:sz="0" w:space="0" w:color="auto"/>
            <w:left w:val="none" w:sz="0" w:space="0" w:color="auto"/>
            <w:bottom w:val="none" w:sz="0" w:space="0" w:color="auto"/>
            <w:right w:val="none" w:sz="0" w:space="0" w:color="auto"/>
          </w:divBdr>
        </w:div>
        <w:div w:id="600064012">
          <w:marLeft w:val="0"/>
          <w:marRight w:val="0"/>
          <w:marTop w:val="0"/>
          <w:marBottom w:val="0"/>
          <w:divBdr>
            <w:top w:val="none" w:sz="0" w:space="0" w:color="auto"/>
            <w:left w:val="none" w:sz="0" w:space="0" w:color="auto"/>
            <w:bottom w:val="none" w:sz="0" w:space="0" w:color="auto"/>
            <w:right w:val="none" w:sz="0" w:space="0" w:color="auto"/>
          </w:divBdr>
        </w:div>
        <w:div w:id="701513768">
          <w:marLeft w:val="0"/>
          <w:marRight w:val="0"/>
          <w:marTop w:val="0"/>
          <w:marBottom w:val="0"/>
          <w:divBdr>
            <w:top w:val="none" w:sz="0" w:space="0" w:color="auto"/>
            <w:left w:val="none" w:sz="0" w:space="0" w:color="auto"/>
            <w:bottom w:val="none" w:sz="0" w:space="0" w:color="auto"/>
            <w:right w:val="none" w:sz="0" w:space="0" w:color="auto"/>
          </w:divBdr>
        </w:div>
        <w:div w:id="1310790336">
          <w:marLeft w:val="0"/>
          <w:marRight w:val="0"/>
          <w:marTop w:val="0"/>
          <w:marBottom w:val="0"/>
          <w:divBdr>
            <w:top w:val="none" w:sz="0" w:space="0" w:color="auto"/>
            <w:left w:val="none" w:sz="0" w:space="0" w:color="auto"/>
            <w:bottom w:val="none" w:sz="0" w:space="0" w:color="auto"/>
            <w:right w:val="none" w:sz="0" w:space="0" w:color="auto"/>
          </w:divBdr>
        </w:div>
        <w:div w:id="1363556475">
          <w:marLeft w:val="0"/>
          <w:marRight w:val="0"/>
          <w:marTop w:val="0"/>
          <w:marBottom w:val="0"/>
          <w:divBdr>
            <w:top w:val="none" w:sz="0" w:space="0" w:color="auto"/>
            <w:left w:val="none" w:sz="0" w:space="0" w:color="auto"/>
            <w:bottom w:val="none" w:sz="0" w:space="0" w:color="auto"/>
            <w:right w:val="none" w:sz="0" w:space="0" w:color="auto"/>
          </w:divBdr>
        </w:div>
        <w:div w:id="1445151858">
          <w:marLeft w:val="0"/>
          <w:marRight w:val="0"/>
          <w:marTop w:val="0"/>
          <w:marBottom w:val="0"/>
          <w:divBdr>
            <w:top w:val="none" w:sz="0" w:space="0" w:color="auto"/>
            <w:left w:val="none" w:sz="0" w:space="0" w:color="auto"/>
            <w:bottom w:val="none" w:sz="0" w:space="0" w:color="auto"/>
            <w:right w:val="none" w:sz="0" w:space="0" w:color="auto"/>
          </w:divBdr>
        </w:div>
      </w:divsChild>
    </w:div>
    <w:div w:id="1684503847">
      <w:bodyDiv w:val="1"/>
      <w:marLeft w:val="0"/>
      <w:marRight w:val="0"/>
      <w:marTop w:val="0"/>
      <w:marBottom w:val="0"/>
      <w:divBdr>
        <w:top w:val="none" w:sz="0" w:space="0" w:color="auto"/>
        <w:left w:val="none" w:sz="0" w:space="0" w:color="auto"/>
        <w:bottom w:val="none" w:sz="0" w:space="0" w:color="auto"/>
        <w:right w:val="none" w:sz="0" w:space="0" w:color="auto"/>
      </w:divBdr>
      <w:divsChild>
        <w:div w:id="574319894">
          <w:marLeft w:val="0"/>
          <w:marRight w:val="0"/>
          <w:marTop w:val="0"/>
          <w:marBottom w:val="0"/>
          <w:divBdr>
            <w:top w:val="none" w:sz="0" w:space="0" w:color="auto"/>
            <w:left w:val="none" w:sz="0" w:space="0" w:color="auto"/>
            <w:bottom w:val="none" w:sz="0" w:space="0" w:color="auto"/>
            <w:right w:val="none" w:sz="0" w:space="0" w:color="auto"/>
          </w:divBdr>
        </w:div>
        <w:div w:id="362247261">
          <w:marLeft w:val="0"/>
          <w:marRight w:val="0"/>
          <w:marTop w:val="0"/>
          <w:marBottom w:val="0"/>
          <w:divBdr>
            <w:top w:val="none" w:sz="0" w:space="0" w:color="auto"/>
            <w:left w:val="none" w:sz="0" w:space="0" w:color="auto"/>
            <w:bottom w:val="none" w:sz="0" w:space="0" w:color="auto"/>
            <w:right w:val="none" w:sz="0" w:space="0" w:color="auto"/>
          </w:divBdr>
        </w:div>
        <w:div w:id="925773801">
          <w:marLeft w:val="0"/>
          <w:marRight w:val="0"/>
          <w:marTop w:val="0"/>
          <w:marBottom w:val="0"/>
          <w:divBdr>
            <w:top w:val="none" w:sz="0" w:space="0" w:color="auto"/>
            <w:left w:val="none" w:sz="0" w:space="0" w:color="auto"/>
            <w:bottom w:val="none" w:sz="0" w:space="0" w:color="auto"/>
            <w:right w:val="none" w:sz="0" w:space="0" w:color="auto"/>
          </w:divBdr>
        </w:div>
        <w:div w:id="331104095">
          <w:marLeft w:val="0"/>
          <w:marRight w:val="0"/>
          <w:marTop w:val="0"/>
          <w:marBottom w:val="0"/>
          <w:divBdr>
            <w:top w:val="none" w:sz="0" w:space="0" w:color="auto"/>
            <w:left w:val="none" w:sz="0" w:space="0" w:color="auto"/>
            <w:bottom w:val="none" w:sz="0" w:space="0" w:color="auto"/>
            <w:right w:val="none" w:sz="0" w:space="0" w:color="auto"/>
          </w:divBdr>
        </w:div>
        <w:div w:id="973486482">
          <w:marLeft w:val="0"/>
          <w:marRight w:val="0"/>
          <w:marTop w:val="0"/>
          <w:marBottom w:val="0"/>
          <w:divBdr>
            <w:top w:val="none" w:sz="0" w:space="0" w:color="auto"/>
            <w:left w:val="none" w:sz="0" w:space="0" w:color="auto"/>
            <w:bottom w:val="none" w:sz="0" w:space="0" w:color="auto"/>
            <w:right w:val="none" w:sz="0" w:space="0" w:color="auto"/>
          </w:divBdr>
        </w:div>
        <w:div w:id="791558968">
          <w:marLeft w:val="0"/>
          <w:marRight w:val="0"/>
          <w:marTop w:val="0"/>
          <w:marBottom w:val="0"/>
          <w:divBdr>
            <w:top w:val="none" w:sz="0" w:space="0" w:color="auto"/>
            <w:left w:val="none" w:sz="0" w:space="0" w:color="auto"/>
            <w:bottom w:val="none" w:sz="0" w:space="0" w:color="auto"/>
            <w:right w:val="none" w:sz="0" w:space="0" w:color="auto"/>
          </w:divBdr>
        </w:div>
        <w:div w:id="2128351763">
          <w:marLeft w:val="0"/>
          <w:marRight w:val="0"/>
          <w:marTop w:val="0"/>
          <w:marBottom w:val="0"/>
          <w:divBdr>
            <w:top w:val="none" w:sz="0" w:space="0" w:color="auto"/>
            <w:left w:val="none" w:sz="0" w:space="0" w:color="auto"/>
            <w:bottom w:val="none" w:sz="0" w:space="0" w:color="auto"/>
            <w:right w:val="none" w:sz="0" w:space="0" w:color="auto"/>
          </w:divBdr>
        </w:div>
        <w:div w:id="1693846336">
          <w:marLeft w:val="0"/>
          <w:marRight w:val="0"/>
          <w:marTop w:val="0"/>
          <w:marBottom w:val="0"/>
          <w:divBdr>
            <w:top w:val="none" w:sz="0" w:space="0" w:color="auto"/>
            <w:left w:val="none" w:sz="0" w:space="0" w:color="auto"/>
            <w:bottom w:val="none" w:sz="0" w:space="0" w:color="auto"/>
            <w:right w:val="none" w:sz="0" w:space="0" w:color="auto"/>
          </w:divBdr>
        </w:div>
        <w:div w:id="636648114">
          <w:marLeft w:val="0"/>
          <w:marRight w:val="0"/>
          <w:marTop w:val="0"/>
          <w:marBottom w:val="0"/>
          <w:divBdr>
            <w:top w:val="none" w:sz="0" w:space="0" w:color="auto"/>
            <w:left w:val="none" w:sz="0" w:space="0" w:color="auto"/>
            <w:bottom w:val="none" w:sz="0" w:space="0" w:color="auto"/>
            <w:right w:val="none" w:sz="0" w:space="0" w:color="auto"/>
          </w:divBdr>
        </w:div>
        <w:div w:id="1016227103">
          <w:marLeft w:val="0"/>
          <w:marRight w:val="0"/>
          <w:marTop w:val="0"/>
          <w:marBottom w:val="0"/>
          <w:divBdr>
            <w:top w:val="none" w:sz="0" w:space="0" w:color="auto"/>
            <w:left w:val="none" w:sz="0" w:space="0" w:color="auto"/>
            <w:bottom w:val="none" w:sz="0" w:space="0" w:color="auto"/>
            <w:right w:val="none" w:sz="0" w:space="0" w:color="auto"/>
          </w:divBdr>
        </w:div>
        <w:div w:id="236748503">
          <w:marLeft w:val="0"/>
          <w:marRight w:val="0"/>
          <w:marTop w:val="0"/>
          <w:marBottom w:val="0"/>
          <w:divBdr>
            <w:top w:val="none" w:sz="0" w:space="0" w:color="auto"/>
            <w:left w:val="none" w:sz="0" w:space="0" w:color="auto"/>
            <w:bottom w:val="none" w:sz="0" w:space="0" w:color="auto"/>
            <w:right w:val="none" w:sz="0" w:space="0" w:color="auto"/>
          </w:divBdr>
        </w:div>
        <w:div w:id="1038432422">
          <w:marLeft w:val="0"/>
          <w:marRight w:val="0"/>
          <w:marTop w:val="0"/>
          <w:marBottom w:val="0"/>
          <w:divBdr>
            <w:top w:val="none" w:sz="0" w:space="0" w:color="auto"/>
            <w:left w:val="none" w:sz="0" w:space="0" w:color="auto"/>
            <w:bottom w:val="none" w:sz="0" w:space="0" w:color="auto"/>
            <w:right w:val="none" w:sz="0" w:space="0" w:color="auto"/>
          </w:divBdr>
        </w:div>
        <w:div w:id="1661613950">
          <w:marLeft w:val="0"/>
          <w:marRight w:val="0"/>
          <w:marTop w:val="0"/>
          <w:marBottom w:val="0"/>
          <w:divBdr>
            <w:top w:val="none" w:sz="0" w:space="0" w:color="auto"/>
            <w:left w:val="none" w:sz="0" w:space="0" w:color="auto"/>
            <w:bottom w:val="none" w:sz="0" w:space="0" w:color="auto"/>
            <w:right w:val="none" w:sz="0" w:space="0" w:color="auto"/>
          </w:divBdr>
        </w:div>
        <w:div w:id="2116827402">
          <w:marLeft w:val="0"/>
          <w:marRight w:val="0"/>
          <w:marTop w:val="0"/>
          <w:marBottom w:val="0"/>
          <w:divBdr>
            <w:top w:val="none" w:sz="0" w:space="0" w:color="auto"/>
            <w:left w:val="none" w:sz="0" w:space="0" w:color="auto"/>
            <w:bottom w:val="none" w:sz="0" w:space="0" w:color="auto"/>
            <w:right w:val="none" w:sz="0" w:space="0" w:color="auto"/>
          </w:divBdr>
        </w:div>
        <w:div w:id="1250507511">
          <w:marLeft w:val="0"/>
          <w:marRight w:val="0"/>
          <w:marTop w:val="0"/>
          <w:marBottom w:val="0"/>
          <w:divBdr>
            <w:top w:val="none" w:sz="0" w:space="0" w:color="auto"/>
            <w:left w:val="none" w:sz="0" w:space="0" w:color="auto"/>
            <w:bottom w:val="none" w:sz="0" w:space="0" w:color="auto"/>
            <w:right w:val="none" w:sz="0" w:space="0" w:color="auto"/>
          </w:divBdr>
        </w:div>
        <w:div w:id="521551288">
          <w:marLeft w:val="0"/>
          <w:marRight w:val="0"/>
          <w:marTop w:val="0"/>
          <w:marBottom w:val="0"/>
          <w:divBdr>
            <w:top w:val="none" w:sz="0" w:space="0" w:color="auto"/>
            <w:left w:val="none" w:sz="0" w:space="0" w:color="auto"/>
            <w:bottom w:val="none" w:sz="0" w:space="0" w:color="auto"/>
            <w:right w:val="none" w:sz="0" w:space="0" w:color="auto"/>
          </w:divBdr>
        </w:div>
        <w:div w:id="1288198674">
          <w:marLeft w:val="0"/>
          <w:marRight w:val="0"/>
          <w:marTop w:val="0"/>
          <w:marBottom w:val="0"/>
          <w:divBdr>
            <w:top w:val="none" w:sz="0" w:space="0" w:color="auto"/>
            <w:left w:val="none" w:sz="0" w:space="0" w:color="auto"/>
            <w:bottom w:val="none" w:sz="0" w:space="0" w:color="auto"/>
            <w:right w:val="none" w:sz="0" w:space="0" w:color="auto"/>
          </w:divBdr>
        </w:div>
        <w:div w:id="191842135">
          <w:marLeft w:val="0"/>
          <w:marRight w:val="0"/>
          <w:marTop w:val="0"/>
          <w:marBottom w:val="0"/>
          <w:divBdr>
            <w:top w:val="none" w:sz="0" w:space="0" w:color="auto"/>
            <w:left w:val="none" w:sz="0" w:space="0" w:color="auto"/>
            <w:bottom w:val="none" w:sz="0" w:space="0" w:color="auto"/>
            <w:right w:val="none" w:sz="0" w:space="0" w:color="auto"/>
          </w:divBdr>
        </w:div>
        <w:div w:id="1649095752">
          <w:marLeft w:val="0"/>
          <w:marRight w:val="0"/>
          <w:marTop w:val="0"/>
          <w:marBottom w:val="0"/>
          <w:divBdr>
            <w:top w:val="none" w:sz="0" w:space="0" w:color="auto"/>
            <w:left w:val="none" w:sz="0" w:space="0" w:color="auto"/>
            <w:bottom w:val="none" w:sz="0" w:space="0" w:color="auto"/>
            <w:right w:val="none" w:sz="0" w:space="0" w:color="auto"/>
          </w:divBdr>
        </w:div>
        <w:div w:id="1082869537">
          <w:marLeft w:val="0"/>
          <w:marRight w:val="0"/>
          <w:marTop w:val="0"/>
          <w:marBottom w:val="0"/>
          <w:divBdr>
            <w:top w:val="none" w:sz="0" w:space="0" w:color="auto"/>
            <w:left w:val="none" w:sz="0" w:space="0" w:color="auto"/>
            <w:bottom w:val="none" w:sz="0" w:space="0" w:color="auto"/>
            <w:right w:val="none" w:sz="0" w:space="0" w:color="auto"/>
          </w:divBdr>
        </w:div>
        <w:div w:id="1515269119">
          <w:marLeft w:val="0"/>
          <w:marRight w:val="0"/>
          <w:marTop w:val="0"/>
          <w:marBottom w:val="0"/>
          <w:divBdr>
            <w:top w:val="none" w:sz="0" w:space="0" w:color="auto"/>
            <w:left w:val="none" w:sz="0" w:space="0" w:color="auto"/>
            <w:bottom w:val="none" w:sz="0" w:space="0" w:color="auto"/>
            <w:right w:val="none" w:sz="0" w:space="0" w:color="auto"/>
          </w:divBdr>
        </w:div>
      </w:divsChild>
    </w:div>
    <w:div w:id="1913809739">
      <w:bodyDiv w:val="1"/>
      <w:marLeft w:val="0"/>
      <w:marRight w:val="0"/>
      <w:marTop w:val="0"/>
      <w:marBottom w:val="0"/>
      <w:divBdr>
        <w:top w:val="none" w:sz="0" w:space="0" w:color="auto"/>
        <w:left w:val="none" w:sz="0" w:space="0" w:color="auto"/>
        <w:bottom w:val="none" w:sz="0" w:space="0" w:color="auto"/>
        <w:right w:val="none" w:sz="0" w:space="0" w:color="auto"/>
      </w:divBdr>
      <w:divsChild>
        <w:div w:id="1617129553">
          <w:marLeft w:val="0"/>
          <w:marRight w:val="0"/>
          <w:marTop w:val="0"/>
          <w:marBottom w:val="0"/>
          <w:divBdr>
            <w:top w:val="none" w:sz="0" w:space="0" w:color="auto"/>
            <w:left w:val="none" w:sz="0" w:space="0" w:color="auto"/>
            <w:bottom w:val="none" w:sz="0" w:space="0" w:color="auto"/>
            <w:right w:val="none" w:sz="0" w:space="0" w:color="auto"/>
          </w:divBdr>
        </w:div>
        <w:div w:id="151335871">
          <w:marLeft w:val="0"/>
          <w:marRight w:val="0"/>
          <w:marTop w:val="0"/>
          <w:marBottom w:val="0"/>
          <w:divBdr>
            <w:top w:val="none" w:sz="0" w:space="0" w:color="auto"/>
            <w:left w:val="none" w:sz="0" w:space="0" w:color="auto"/>
            <w:bottom w:val="none" w:sz="0" w:space="0" w:color="auto"/>
            <w:right w:val="none" w:sz="0" w:space="0" w:color="auto"/>
          </w:divBdr>
        </w:div>
        <w:div w:id="908610540">
          <w:marLeft w:val="0"/>
          <w:marRight w:val="0"/>
          <w:marTop w:val="0"/>
          <w:marBottom w:val="0"/>
          <w:divBdr>
            <w:top w:val="none" w:sz="0" w:space="0" w:color="auto"/>
            <w:left w:val="none" w:sz="0" w:space="0" w:color="auto"/>
            <w:bottom w:val="none" w:sz="0" w:space="0" w:color="auto"/>
            <w:right w:val="none" w:sz="0" w:space="0" w:color="auto"/>
          </w:divBdr>
        </w:div>
        <w:div w:id="93409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1841</Words>
  <Characters>10257</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2014-07-30T19:57:00Z</dcterms:created>
  <dcterms:modified xsi:type="dcterms:W3CDTF">2014-07-30T19:57:00Z</dcterms:modified>
  <cp:category> </cp:category>
  <cp:contentStatus> </cp:contentStatus>
</cp:coreProperties>
</file>